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94F16" w14:paraId="7BCFFA86" w14:textId="77777777">
        <w:trPr>
          <w:cantSplit/>
          <w:trHeight w:hRule="exact" w:val="851"/>
        </w:trPr>
        <w:tc>
          <w:tcPr>
            <w:tcW w:w="1276" w:type="dxa"/>
            <w:tcBorders>
              <w:bottom w:val="single" w:sz="4" w:space="0" w:color="auto"/>
            </w:tcBorders>
            <w:vAlign w:val="bottom"/>
          </w:tcPr>
          <w:p w14:paraId="2FB9637C" w14:textId="77777777" w:rsidR="00F6234B" w:rsidRDefault="00F6234B">
            <w:pPr>
              <w:spacing w:after="80"/>
            </w:pPr>
          </w:p>
        </w:tc>
        <w:tc>
          <w:tcPr>
            <w:tcW w:w="2268" w:type="dxa"/>
            <w:tcBorders>
              <w:bottom w:val="single" w:sz="4" w:space="0" w:color="auto"/>
            </w:tcBorders>
            <w:vAlign w:val="bottom"/>
          </w:tcPr>
          <w:p w14:paraId="762A4F08" w14:textId="397E40D8" w:rsidR="00F6234B" w:rsidRDefault="00F6234B">
            <w:pPr>
              <w:spacing w:after="80" w:line="300" w:lineRule="exact"/>
              <w:rPr>
                <w:b/>
                <w:sz w:val="24"/>
                <w:szCs w:val="24"/>
              </w:rPr>
            </w:pPr>
          </w:p>
        </w:tc>
        <w:tc>
          <w:tcPr>
            <w:tcW w:w="6095" w:type="dxa"/>
            <w:gridSpan w:val="2"/>
            <w:tcBorders>
              <w:bottom w:val="single" w:sz="4" w:space="0" w:color="auto"/>
            </w:tcBorders>
            <w:vAlign w:val="bottom"/>
          </w:tcPr>
          <w:p w14:paraId="5026CE95" w14:textId="5642A9EC" w:rsidR="00F6234B" w:rsidRDefault="00F6234B" w:rsidP="009D693D">
            <w:pPr>
              <w:suppressAutoHyphens w:val="0"/>
              <w:spacing w:after="20"/>
              <w:jc w:val="right"/>
            </w:pPr>
          </w:p>
        </w:tc>
      </w:tr>
      <w:tr w:rsidR="00894F16" w14:paraId="031BABC7" w14:textId="77777777">
        <w:trPr>
          <w:cantSplit/>
          <w:trHeight w:hRule="exact" w:val="2835"/>
        </w:trPr>
        <w:tc>
          <w:tcPr>
            <w:tcW w:w="1276" w:type="dxa"/>
            <w:tcBorders>
              <w:top w:val="single" w:sz="4" w:space="0" w:color="auto"/>
              <w:bottom w:val="single" w:sz="12" w:space="0" w:color="auto"/>
            </w:tcBorders>
          </w:tcPr>
          <w:p w14:paraId="74CAE30F" w14:textId="7EC4EE0A" w:rsidR="00F6234B" w:rsidRDefault="00F6234B">
            <w:pPr>
              <w:spacing w:before="120"/>
              <w:jc w:val="center"/>
            </w:pPr>
          </w:p>
        </w:tc>
        <w:tc>
          <w:tcPr>
            <w:tcW w:w="5528" w:type="dxa"/>
            <w:gridSpan w:val="2"/>
            <w:tcBorders>
              <w:top w:val="single" w:sz="4" w:space="0" w:color="auto"/>
              <w:bottom w:val="single" w:sz="12" w:space="0" w:color="auto"/>
            </w:tcBorders>
          </w:tcPr>
          <w:p w14:paraId="7F27663C" w14:textId="77777777" w:rsidR="00F6234B" w:rsidRDefault="00F6234B">
            <w:pPr>
              <w:spacing w:before="120" w:line="380" w:lineRule="exact"/>
              <w:rPr>
                <w:b/>
                <w:sz w:val="34"/>
                <w:szCs w:val="40"/>
              </w:rPr>
            </w:pPr>
          </w:p>
          <w:p w14:paraId="3B4BD5B6" w14:textId="77777777" w:rsidR="00404FB6" w:rsidRDefault="00404FB6">
            <w:pPr>
              <w:spacing w:before="120" w:line="380" w:lineRule="exact"/>
              <w:rPr>
                <w:b/>
                <w:sz w:val="34"/>
                <w:szCs w:val="40"/>
              </w:rPr>
            </w:pPr>
          </w:p>
          <w:p w14:paraId="2675A45F" w14:textId="2E09BAA0" w:rsidR="00404FB6" w:rsidRDefault="00404FB6">
            <w:pPr>
              <w:spacing w:before="120" w:line="380" w:lineRule="exact"/>
            </w:pPr>
            <w:r>
              <w:rPr>
                <w:b/>
                <w:sz w:val="34"/>
                <w:szCs w:val="40"/>
              </w:rPr>
              <w:t>Advance version</w:t>
            </w:r>
          </w:p>
        </w:tc>
        <w:tc>
          <w:tcPr>
            <w:tcW w:w="2835" w:type="dxa"/>
            <w:tcBorders>
              <w:top w:val="single" w:sz="4" w:space="0" w:color="auto"/>
              <w:bottom w:val="single" w:sz="12" w:space="0" w:color="auto"/>
            </w:tcBorders>
          </w:tcPr>
          <w:p w14:paraId="7C23C3CE" w14:textId="6083233C" w:rsidR="00F6234B" w:rsidRDefault="00F6234B">
            <w:pPr>
              <w:suppressAutoHyphens w:val="0"/>
            </w:pPr>
          </w:p>
        </w:tc>
      </w:tr>
    </w:tbl>
    <w:p w14:paraId="5799A12C" w14:textId="77777777" w:rsidR="00F6234B" w:rsidRDefault="00A335D5">
      <w:pPr>
        <w:spacing w:before="120"/>
        <w:rPr>
          <w:b/>
          <w:sz w:val="24"/>
          <w:szCs w:val="24"/>
        </w:rPr>
      </w:pPr>
      <w:r>
        <w:rPr>
          <w:b/>
          <w:sz w:val="24"/>
          <w:szCs w:val="24"/>
        </w:rPr>
        <w:t>Committee against Torture</w:t>
      </w:r>
    </w:p>
    <w:p w14:paraId="3BC8F173" w14:textId="6478701A" w:rsidR="00F6234B" w:rsidRDefault="00A335D5" w:rsidP="00065353">
      <w:pPr>
        <w:pStyle w:val="HMG"/>
      </w:pPr>
      <w:r>
        <w:tab/>
      </w:r>
      <w:r>
        <w:tab/>
        <w:t xml:space="preserve">Information received from </w:t>
      </w:r>
      <w:r w:rsidR="00401D3B">
        <w:t>Thailand</w:t>
      </w:r>
      <w:r>
        <w:t xml:space="preserve"> on follow-up to the concluding observations</w:t>
      </w:r>
      <w:r w:rsidR="009C1A19">
        <w:t xml:space="preserve"> on its </w:t>
      </w:r>
      <w:r w:rsidR="009D693D">
        <w:t>s</w:t>
      </w:r>
      <w:r w:rsidR="00401D3B">
        <w:t xml:space="preserve">econd </w:t>
      </w:r>
      <w:r w:rsidR="009C1A19">
        <w:t>periodic report</w:t>
      </w:r>
      <w:r>
        <w:rPr>
          <w:rStyle w:val="FootnoteReference"/>
          <w:b w:val="0"/>
          <w:sz w:val="20"/>
          <w:vertAlign w:val="baseline"/>
        </w:rPr>
        <w:footnoteReference w:customMarkFollows="1" w:id="2"/>
        <w:t>*</w:t>
      </w:r>
    </w:p>
    <w:p w14:paraId="26E398CD" w14:textId="055A1602" w:rsidR="00F6234B" w:rsidRDefault="00A335D5" w:rsidP="00C6048B">
      <w:pPr>
        <w:pStyle w:val="SingleTxtG"/>
        <w:jc w:val="right"/>
      </w:pPr>
      <w:r>
        <w:t>[Date received:</w:t>
      </w:r>
      <w:r>
        <w:rPr>
          <w:color w:val="FF0000"/>
        </w:rPr>
        <w:t xml:space="preserve"> </w:t>
      </w:r>
      <w:r w:rsidR="00401D3B">
        <w:rPr>
          <w:color w:val="000000" w:themeColor="text1"/>
        </w:rPr>
        <w:t>27 February</w:t>
      </w:r>
      <w:r w:rsidR="00C6048B" w:rsidRPr="00C6048B">
        <w:rPr>
          <w:color w:val="000000" w:themeColor="text1"/>
        </w:rPr>
        <w:t xml:space="preserve"> 202</w:t>
      </w:r>
      <w:r w:rsidR="009D693D">
        <w:rPr>
          <w:color w:val="000000" w:themeColor="text1"/>
        </w:rPr>
        <w:t>6</w:t>
      </w:r>
      <w:r>
        <w:t>]</w:t>
      </w:r>
    </w:p>
    <w:p w14:paraId="6977B140" w14:textId="7FC2B0D0" w:rsidR="00872B60" w:rsidRDefault="00872B60">
      <w:pPr>
        <w:suppressAutoHyphens w:val="0"/>
        <w:spacing w:after="200" w:line="276" w:lineRule="auto"/>
        <w:rPr>
          <w:rFonts w:eastAsiaTheme="minorHAnsi"/>
          <w:color w:val="0000FF"/>
        </w:rPr>
      </w:pPr>
      <w:r>
        <w:rPr>
          <w:color w:val="0000FF"/>
        </w:rPr>
        <w:br w:type="page"/>
      </w:r>
    </w:p>
    <w:p w14:paraId="528A7B3E" w14:textId="296F25EE" w:rsidR="004A137A" w:rsidRPr="00EC61D6" w:rsidRDefault="00404FB6" w:rsidP="004A137A">
      <w:pPr>
        <w:pStyle w:val="HChG"/>
      </w:pPr>
      <w:r>
        <w:rPr>
          <w:noProof/>
        </w:rPr>
        <w:lastRenderedPageBreak/>
        <mc:AlternateContent>
          <mc:Choice Requires="wps">
            <w:drawing>
              <wp:anchor distT="45720" distB="45720" distL="114300" distR="114300" simplePos="0" relativeHeight="251659264" behindDoc="0" locked="0" layoutInCell="1" allowOverlap="1" wp14:anchorId="0345D1B2" wp14:editId="1CAE282D">
                <wp:simplePos x="0" y="0"/>
                <wp:positionH relativeFrom="column">
                  <wp:posOffset>7340600</wp:posOffset>
                </wp:positionH>
                <wp:positionV relativeFrom="paragraph">
                  <wp:posOffset>-757555</wp:posOffset>
                </wp:positionV>
                <wp:extent cx="906780" cy="367030"/>
                <wp:effectExtent l="12700" t="10795" r="13970" b="12700"/>
                <wp:wrapNone/>
                <wp:docPr id="160967805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367030"/>
                        </a:xfrm>
                        <a:prstGeom prst="rect">
                          <a:avLst/>
                        </a:prstGeom>
                        <a:solidFill>
                          <a:srgbClr val="FFFFFF"/>
                        </a:solidFill>
                        <a:ln w="9525">
                          <a:solidFill>
                            <a:srgbClr val="FFFFFF"/>
                          </a:solidFill>
                          <a:miter lim="800000"/>
                          <a:headEnd/>
                          <a:tailEnd/>
                        </a:ln>
                      </wps:spPr>
                      <wps:txbx>
                        <w:txbxContent>
                          <w:p w14:paraId="288A39E3" w14:textId="21EBA7BD" w:rsidR="004A137A" w:rsidRPr="00404FB6" w:rsidRDefault="004A137A" w:rsidP="004A137A">
                            <w:pPr>
                              <w:pStyle w:val="Header"/>
                              <w:jc w:val="right"/>
                              <w:rPr>
                                <w:rFonts w:ascii="TH SarabunPSK" w:hAnsi="TH SarabunPSK" w:cs="TH SarabunPSK"/>
                                <w:b w:val="0"/>
                                <w:bCs/>
                                <w:u w:val="single"/>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345D1B2" id="_x0000_t202" coordsize="21600,21600" o:spt="202" path="m,l,21600r21600,l21600,xe">
                <v:stroke joinstyle="miter"/>
                <v:path gradientshapeok="t" o:connecttype="rect"/>
              </v:shapetype>
              <v:shape id="Text Box 1" o:spid="_x0000_s1026" type="#_x0000_t202" style="position:absolute;left:0;text-align:left;margin-left:578pt;margin-top:-59.65pt;width:71.4pt;height:28.9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" strokecolor="white">
                <v:textbox style="mso-fit-shape-to-text:t">
                  <w:txbxContent>
                    <w:p w14:paraId="288A39E3" w14:textId="21EBA7BD" w:rsidR="004A137A" w:rsidRPr="00404FB6" w:rsidRDefault="004A137A" w:rsidP="004A137A">
                      <w:pPr>
                        <w:pStyle w:val="Header"/>
                        <w:jc w:val="right"/>
                        <w:rPr>
                          <w:rFonts w:ascii="TH SarabunPSK" w:hAnsi="TH SarabunPSK" w:cs="TH SarabunPSK"/>
                          <w:b w:val="0"/>
                          <w:bCs/>
                          <w:u w:val="single"/>
                        </w:rPr>
                      </w:pPr>
                    </w:p>
                  </w:txbxContent>
                </v:textbox>
              </v:shape>
            </w:pict>
          </mc:Fallback>
        </mc:AlternateContent>
      </w:r>
      <w:r w:rsidR="007E3428">
        <w:tab/>
      </w:r>
      <w:r w:rsidR="007E3428">
        <w:tab/>
      </w:r>
      <w:r w:rsidR="004A137A" w:rsidRPr="00EC61D6">
        <w:t>Report on the implementation of priority recommendations of the</w:t>
      </w:r>
      <w:r w:rsidR="004A137A" w:rsidRPr="009D625B">
        <w:t xml:space="preserve"> </w:t>
      </w:r>
      <w:r w:rsidR="004A137A" w:rsidRPr="00EC61D6">
        <w:t xml:space="preserve">Committee against Torture in relation to Thailand’s submission of its Second Periodic Country Report, pursuant to paragraphs 11, 17(d), 33(a) and 33(c) of the Concluding Observations </w:t>
      </w:r>
    </w:p>
    <w:p w14:paraId="0BBF8BB2" w14:textId="78BDE8B1" w:rsidR="004A137A" w:rsidRPr="00EC61D6" w:rsidRDefault="004A137A" w:rsidP="004A137A">
      <w:pPr>
        <w:pStyle w:val="H1G"/>
      </w:pPr>
      <w:r w:rsidRPr="004A137A">
        <w:rPr>
          <w:rFonts w:eastAsia="Aptos"/>
        </w:rPr>
        <w:tab/>
      </w:r>
      <w:r w:rsidR="00DF1394">
        <w:rPr>
          <w:rFonts w:eastAsia="Aptos"/>
        </w:rPr>
        <w:t>A.</w:t>
      </w:r>
      <w:r w:rsidRPr="004A137A">
        <w:rPr>
          <w:rFonts w:eastAsia="Aptos"/>
        </w:rPr>
        <w:tab/>
      </w:r>
      <w:r w:rsidR="00AE2EC4">
        <w:rPr>
          <w:bCs/>
          <w:lang w:val="en-US"/>
        </w:rPr>
        <w:tab/>
        <w:t>Information on the implementation of paragraph 11</w:t>
      </w:r>
    </w:p>
    <w:p w14:paraId="4E5ED2A0" w14:textId="2408C061" w:rsidR="004A137A" w:rsidRPr="00EC61D6" w:rsidRDefault="00AE2EC4" w:rsidP="004C0BF1">
      <w:pPr>
        <w:pStyle w:val="SingleTxtG"/>
      </w:pPr>
      <w:r>
        <w:t>1.</w:t>
      </w:r>
      <w:r>
        <w:tab/>
      </w:r>
      <w:r w:rsidR="004A137A" w:rsidRPr="00EC61D6">
        <w:t>The objective of prescribing a statute of limitations for the offence of torture under the Prevention and Suppression of Torture and Enforced Disappearance Act B.E. 2565 (2022) is to ensure that</w:t>
      </w:r>
      <w:r w:rsidR="004A137A" w:rsidRPr="009D625B">
        <w:t>, in practice,</w:t>
      </w:r>
      <w:r w:rsidR="004A137A" w:rsidRPr="00EC61D6">
        <w:t xml:space="preserve"> the law is enforced promptly and effectively. It is not intended to allow </w:t>
      </w:r>
      <w:r w:rsidR="004A137A" w:rsidRPr="00EC61D6">
        <w:rPr>
          <w:spacing w:val="-6"/>
        </w:rPr>
        <w:t xml:space="preserve">offenders to evade liability or to deny remedies to </w:t>
      </w:r>
      <w:r w:rsidR="004A137A" w:rsidRPr="009D625B">
        <w:rPr>
          <w:spacing w:val="-6"/>
        </w:rPr>
        <w:t xml:space="preserve">the </w:t>
      </w:r>
      <w:r w:rsidR="004A137A" w:rsidRPr="00EC61D6">
        <w:rPr>
          <w:spacing w:val="-6"/>
        </w:rPr>
        <w:t>victims. During the drafting process of the Act,</w:t>
      </w:r>
      <w:r w:rsidR="004A137A" w:rsidRPr="00EC61D6">
        <w:t xml:space="preserve"> the underlying considerations and effects relating to this issue were </w:t>
      </w:r>
      <w:proofErr w:type="spellStart"/>
      <w:r w:rsidR="004A137A" w:rsidRPr="00EC61D6">
        <w:t>analyzed</w:t>
      </w:r>
      <w:proofErr w:type="spellEnd"/>
      <w:r w:rsidR="004A137A" w:rsidRPr="00EC61D6">
        <w:t xml:space="preserve"> thoroughly.</w:t>
      </w:r>
    </w:p>
    <w:p w14:paraId="26C32F59" w14:textId="6B197CDD" w:rsidR="004A137A" w:rsidRPr="00EC61D6" w:rsidRDefault="00AE2EC4" w:rsidP="004C0BF1">
      <w:pPr>
        <w:pStyle w:val="SingleTxtG"/>
      </w:pPr>
      <w:r>
        <w:t>2.</w:t>
      </w:r>
      <w:r w:rsidR="004A137A" w:rsidRPr="00EC61D6">
        <w:tab/>
        <w:t>In addition, recogniz</w:t>
      </w:r>
      <w:r w:rsidR="004A137A" w:rsidRPr="009D625B">
        <w:t>ing</w:t>
      </w:r>
      <w:r w:rsidR="004A137A" w:rsidRPr="00EC61D6">
        <w:t xml:space="preserve"> the CAT Committee’s concern on this matter, </w:t>
      </w:r>
      <w:r w:rsidR="004A137A" w:rsidRPr="009D625B">
        <w:t>the</w:t>
      </w:r>
      <w:r w:rsidR="004A137A" w:rsidRPr="002928B8">
        <w:rPr>
          <w:color w:val="FF0000"/>
        </w:rPr>
        <w:t xml:space="preserve"> </w:t>
      </w:r>
      <w:r w:rsidR="004A137A" w:rsidRPr="0052041D">
        <w:t>National Committee for the Prevention and Suppression of Torture and Enforced Disappea</w:t>
      </w:r>
      <w:r w:rsidR="004A137A" w:rsidRPr="00EC61D6">
        <w:t xml:space="preserve">rance held a </w:t>
      </w:r>
      <w:r w:rsidR="004A137A" w:rsidRPr="00AE2EC4">
        <w:rPr>
          <w:spacing w:val="-6"/>
        </w:rPr>
        <w:t>public</w:t>
      </w:r>
      <w:r w:rsidR="004A137A" w:rsidRPr="00EC61D6">
        <w:t xml:space="preserve"> hearing to gather opinions from </w:t>
      </w:r>
      <w:r w:rsidR="004A137A" w:rsidRPr="009D625B">
        <w:t xml:space="preserve">various </w:t>
      </w:r>
      <w:r w:rsidR="004A137A" w:rsidRPr="00EC61D6">
        <w:t xml:space="preserve">sectors on 3 September 2025. The result of said public hearing affirmed the necessity of having </w:t>
      </w:r>
      <w:r w:rsidR="004A137A" w:rsidRPr="009D625B">
        <w:t xml:space="preserve">a </w:t>
      </w:r>
      <w:r w:rsidR="004A137A" w:rsidRPr="00EC61D6">
        <w:t xml:space="preserve">statute of limitations for offences under the Act by applying </w:t>
      </w:r>
      <w:r w:rsidR="004A137A" w:rsidRPr="009D625B">
        <w:t xml:space="preserve">a </w:t>
      </w:r>
      <w:r w:rsidR="004A137A" w:rsidRPr="00EC61D6">
        <w:t xml:space="preserve">general principle under Section 95 of the </w:t>
      </w:r>
      <w:r w:rsidR="004A137A" w:rsidRPr="009D625B">
        <w:t xml:space="preserve">Thailand </w:t>
      </w:r>
      <w:r w:rsidR="004A137A" w:rsidRPr="002928B8">
        <w:t>Penal</w:t>
      </w:r>
      <w:r w:rsidR="004A137A" w:rsidRPr="00EC61D6">
        <w:t xml:space="preserve"> Code. </w:t>
      </w:r>
    </w:p>
    <w:p w14:paraId="28FC4067" w14:textId="10875DFF" w:rsidR="004A137A" w:rsidRPr="00EC61D6" w:rsidRDefault="00AE2EC4" w:rsidP="004C0BF1">
      <w:pPr>
        <w:pStyle w:val="SingleTxtG"/>
        <w:rPr>
          <w:rFonts w:eastAsia="Aptos"/>
        </w:rPr>
      </w:pPr>
      <w:r>
        <w:rPr>
          <w:rFonts w:eastAsia="Aptos"/>
        </w:rPr>
        <w:t>3.</w:t>
      </w:r>
      <w:r>
        <w:rPr>
          <w:rFonts w:eastAsia="Aptos"/>
        </w:rPr>
        <w:tab/>
      </w:r>
      <w:r w:rsidR="004A137A" w:rsidRPr="00EC61D6">
        <w:rPr>
          <w:rFonts w:eastAsia="Aptos"/>
        </w:rPr>
        <w:t xml:space="preserve">According to Section 95 of the </w:t>
      </w:r>
      <w:r w:rsidR="004A137A" w:rsidRPr="009D625B">
        <w:rPr>
          <w:rFonts w:eastAsia="Aptos"/>
        </w:rPr>
        <w:t xml:space="preserve">Thailand </w:t>
      </w:r>
      <w:r w:rsidR="004A137A" w:rsidRPr="002928B8">
        <w:rPr>
          <w:rFonts w:eastAsia="Aptos"/>
        </w:rPr>
        <w:t>Penal</w:t>
      </w:r>
      <w:r w:rsidR="004A137A" w:rsidRPr="00EC61D6">
        <w:rPr>
          <w:rFonts w:eastAsia="Aptos"/>
        </w:rPr>
        <w:t xml:space="preserve"> Code, a 20-year statute of limitations applies to the following offences:</w:t>
      </w:r>
    </w:p>
    <w:p w14:paraId="703F6570" w14:textId="72BA9719" w:rsidR="004A137A" w:rsidRPr="00EC61D6" w:rsidRDefault="00AE2EC4" w:rsidP="00AE2EC4">
      <w:pPr>
        <w:pStyle w:val="SingleTxtG"/>
        <w:ind w:firstLine="567"/>
      </w:pPr>
      <w:r>
        <w:t>(a)</w:t>
      </w:r>
      <w:r>
        <w:tab/>
      </w:r>
      <w:r w:rsidR="004A137A" w:rsidRPr="00EC61D6">
        <w:t>Torture resulting in serious consequences</w:t>
      </w:r>
      <w:r w:rsidR="004A137A" w:rsidRPr="009D625B">
        <w:t xml:space="preserve"> (</w:t>
      </w:r>
      <w:r w:rsidR="004A137A" w:rsidRPr="00EC61D6">
        <w:t>Section 35, paragraphs 2 and 3</w:t>
      </w:r>
      <w:r w:rsidR="004A137A" w:rsidRPr="009D625B">
        <w:t xml:space="preserve"> of the Act)</w:t>
      </w:r>
      <w:r w:rsidR="004A137A" w:rsidRPr="002928B8">
        <w:t>.</w:t>
      </w:r>
    </w:p>
    <w:p w14:paraId="4B237877" w14:textId="3DE33975" w:rsidR="004A137A" w:rsidRPr="00EC61D6" w:rsidRDefault="00AE2EC4" w:rsidP="00AE2EC4">
      <w:pPr>
        <w:pStyle w:val="SingleTxtG"/>
        <w:ind w:firstLine="567"/>
        <w:rPr>
          <w:spacing w:val="-6"/>
        </w:rPr>
      </w:pPr>
      <w:r>
        <w:rPr>
          <w:spacing w:val="-6"/>
        </w:rPr>
        <w:t>(b)</w:t>
      </w:r>
      <w:r>
        <w:rPr>
          <w:spacing w:val="-6"/>
        </w:rPr>
        <w:tab/>
      </w:r>
      <w:r w:rsidR="004A137A" w:rsidRPr="00EC61D6">
        <w:rPr>
          <w:spacing w:val="-6"/>
        </w:rPr>
        <w:t xml:space="preserve">Torture committed against a vulnerable person </w:t>
      </w:r>
      <w:r w:rsidR="004A137A" w:rsidRPr="009D625B">
        <w:rPr>
          <w:spacing w:val="-6"/>
        </w:rPr>
        <w:t>(</w:t>
      </w:r>
      <w:r w:rsidR="004A137A" w:rsidRPr="00EC61D6">
        <w:rPr>
          <w:spacing w:val="-6"/>
        </w:rPr>
        <w:t>Section 35 and Section 38, paragraph 1</w:t>
      </w:r>
      <w:r w:rsidR="004A137A" w:rsidRPr="009D625B">
        <w:rPr>
          <w:spacing w:val="-6"/>
        </w:rPr>
        <w:t xml:space="preserve"> of the Act)</w:t>
      </w:r>
      <w:r w:rsidR="004A137A" w:rsidRPr="00EC61D6">
        <w:rPr>
          <w:spacing w:val="-6"/>
        </w:rPr>
        <w:t>.</w:t>
      </w:r>
    </w:p>
    <w:p w14:paraId="2AD153F5" w14:textId="7695DE2A" w:rsidR="004A137A" w:rsidRPr="00EC61D6" w:rsidRDefault="00AE2EC4" w:rsidP="00AE2EC4">
      <w:pPr>
        <w:pStyle w:val="SingleTxtG"/>
        <w:ind w:firstLine="567"/>
      </w:pPr>
      <w:r>
        <w:t>(</w:t>
      </w:r>
      <w:r w:rsidR="002D71AD">
        <w:t>c</w:t>
      </w:r>
      <w:r>
        <w:t>)</w:t>
      </w:r>
      <w:r w:rsidR="002D71AD">
        <w:tab/>
      </w:r>
      <w:r w:rsidR="004A137A" w:rsidRPr="00EC61D6">
        <w:t>A 15-year statute of limitations applies to the offence of torture not resulting in serious consequences</w:t>
      </w:r>
      <w:r w:rsidR="004A137A" w:rsidRPr="009D625B">
        <w:t xml:space="preserve"> (</w:t>
      </w:r>
      <w:r w:rsidR="004A137A" w:rsidRPr="00EC61D6">
        <w:t>Section 35, paragraph 1</w:t>
      </w:r>
      <w:r w:rsidR="004A137A" w:rsidRPr="009D625B">
        <w:t xml:space="preserve"> of the Act)</w:t>
      </w:r>
      <w:r w:rsidR="004A137A" w:rsidRPr="00EC61D6">
        <w:t xml:space="preserve">. </w:t>
      </w:r>
    </w:p>
    <w:p w14:paraId="3B8EB8F8" w14:textId="3BF2AA29" w:rsidR="004A137A" w:rsidRPr="00EC61D6" w:rsidRDefault="002D71AD" w:rsidP="00AE2EC4">
      <w:pPr>
        <w:pStyle w:val="SingleTxtG"/>
        <w:ind w:firstLine="567"/>
      </w:pPr>
      <w:r>
        <w:t>(d)</w:t>
      </w:r>
      <w:r>
        <w:tab/>
      </w:r>
      <w:r w:rsidR="004A137A" w:rsidRPr="00EC61D6">
        <w:t xml:space="preserve">A 10-year statute of limitations applies to the offence of cruel, inhuman, or degrading treatment </w:t>
      </w:r>
      <w:r w:rsidR="004A137A" w:rsidRPr="009D625B">
        <w:t>(</w:t>
      </w:r>
      <w:r w:rsidR="004A137A" w:rsidRPr="00EC61D6">
        <w:t>Section 36</w:t>
      </w:r>
      <w:r w:rsidR="004A137A" w:rsidRPr="009D625B">
        <w:t xml:space="preserve"> of the Act)</w:t>
      </w:r>
      <w:r w:rsidR="004A137A" w:rsidRPr="00EC61D6">
        <w:t>.</w:t>
      </w:r>
    </w:p>
    <w:p w14:paraId="6D5AC933" w14:textId="50916462" w:rsidR="004A137A" w:rsidRPr="00EC61D6" w:rsidRDefault="002D71AD" w:rsidP="004C0BF1">
      <w:pPr>
        <w:pStyle w:val="SingleTxtG"/>
      </w:pPr>
      <w:r>
        <w:t>4.</w:t>
      </w:r>
      <w:r>
        <w:tab/>
      </w:r>
      <w:r w:rsidR="004A137A" w:rsidRPr="00EC61D6">
        <w:t xml:space="preserve">In cases of enforced disappearance under Section 7 of the </w:t>
      </w:r>
      <w:r w:rsidR="004A137A" w:rsidRPr="00EC61D6">
        <w:rPr>
          <w:rFonts w:eastAsia="Calibri"/>
        </w:rPr>
        <w:t>Prevention and Suppression of Torture and Enforced Disappearance Act B.E. 2565 (2022)</w:t>
      </w:r>
      <w:r w:rsidR="004A137A" w:rsidRPr="00EC61D6">
        <w:t>, such</w:t>
      </w:r>
      <w:r w:rsidR="004A137A" w:rsidRPr="00EC61D6">
        <w:rPr>
          <w:color w:val="FF0000"/>
        </w:rPr>
        <w:t xml:space="preserve"> </w:t>
      </w:r>
      <w:r w:rsidR="004A137A" w:rsidRPr="00EC61D6">
        <w:t xml:space="preserve">offence constitutes a continuing offence. Therefore, </w:t>
      </w:r>
      <w:r w:rsidR="004A137A" w:rsidRPr="009D625B">
        <w:t>a</w:t>
      </w:r>
      <w:r w:rsidR="004A137A" w:rsidRPr="00EC61D6">
        <w:t xml:space="preserve"> statute of limitations does not commence until the fate or whereabouts of the disappeared person is identified. This effectively extends the statute of limitation period</w:t>
      </w:r>
      <w:r w:rsidR="004A137A" w:rsidRPr="00EC61D6">
        <w:rPr>
          <w:color w:val="FF0000"/>
        </w:rPr>
        <w:t xml:space="preserve"> </w:t>
      </w:r>
      <w:r w:rsidR="004A137A" w:rsidRPr="00EC61D6">
        <w:t>in accordance with the principles embodied in the Convention</w:t>
      </w:r>
      <w:r w:rsidR="004A137A" w:rsidRPr="009D625B">
        <w:t xml:space="preserve"> </w:t>
      </w:r>
      <w:r w:rsidR="004A137A" w:rsidRPr="002928B8">
        <w:t>for the Protection of All Persons from Enforced Disappearance</w:t>
      </w:r>
      <w:r w:rsidR="004A137A" w:rsidRPr="00EC61D6">
        <w:t>. Furthermore, cases instituted under the Prevention and Suppression of Torture and Enforced Disappearance Act fall within the jurisdiction of the Criminal Court for Corruption and Misconduct Cases</w:t>
      </w:r>
      <w:r w:rsidR="004A137A" w:rsidRPr="009D625B">
        <w:t>,</w:t>
      </w:r>
      <w:r w:rsidR="004A137A" w:rsidRPr="00EC61D6">
        <w:t xml:space="preserve"> which the Act on the Procedure for Corruption and Misconduct Cases B.E. 2559 (2016) section 13 expressly provides for the interruption of prescription period in criminal cases during the period in which the offender absconds. This reflects a legislative intent to ensure that perpetrators are brought to justice for acts of torture, cruel, inhuman or degrading treatment, and enforced disappearance, which constitute serious violations of human rights and for which impunity or exemption from punishment </w:t>
      </w:r>
      <w:r w:rsidR="004A137A" w:rsidRPr="009D625B">
        <w:t xml:space="preserve">must </w:t>
      </w:r>
      <w:r w:rsidR="004A137A" w:rsidRPr="00EC61D6">
        <w:t xml:space="preserve">not be permitted. </w:t>
      </w:r>
    </w:p>
    <w:p w14:paraId="4EE591D4" w14:textId="36330C3D" w:rsidR="004A137A" w:rsidRPr="00EC61D6" w:rsidRDefault="002D71AD" w:rsidP="004C0BF1">
      <w:pPr>
        <w:pStyle w:val="SingleTxtG"/>
        <w:rPr>
          <w:rFonts w:cs="Cordia New"/>
          <w:color w:val="FF0000"/>
        </w:rPr>
      </w:pPr>
      <w:r>
        <w:t>5.</w:t>
      </w:r>
      <w:r>
        <w:tab/>
      </w:r>
      <w:r w:rsidR="004A137A" w:rsidRPr="00EC61D6">
        <w:t>Considering the effectiveness of investigations, the prescription of an excessively long statute of limitations, or the absence of any limitation period, may render the discovery and gathering of evidence significantly more difficult and impracticable, thereby undermining the fairness of judicial proceedings, as the passage of time erodes factual clarity and impairs evidentiary reliability, heightening the risk of dismissal or judicial error. Nonetheless</w:t>
      </w:r>
      <w:r w:rsidR="004A137A" w:rsidRPr="009D625B">
        <w:t xml:space="preserve">, </w:t>
      </w:r>
      <w:r w:rsidR="004A137A" w:rsidRPr="00EC61D6">
        <w:t>this matter will be taken into consideration during the evaluation of the law’s effectiveness</w:t>
      </w:r>
      <w:r w:rsidR="004A137A" w:rsidRPr="009D625B">
        <w:t xml:space="preserve"> </w:t>
      </w:r>
      <w:r w:rsidR="004A137A" w:rsidRPr="002928B8">
        <w:t>to be conducted within five years</w:t>
      </w:r>
      <w:r w:rsidR="004A137A" w:rsidRPr="0052041D">
        <w:t xml:space="preserve"> o</w:t>
      </w:r>
      <w:r w:rsidR="004A137A" w:rsidRPr="00EC61D6">
        <w:t>f its entry into force pursuant to the Act on Legislative Drafting and Evaluation of Law B.E. 2562 (2019), in order to ensure comprehensive assessment and the participation of all relevant sectors.</w:t>
      </w:r>
      <w:r w:rsidR="004A137A" w:rsidRPr="009D625B">
        <w:t xml:space="preserve"> </w:t>
      </w:r>
    </w:p>
    <w:p w14:paraId="581845DC" w14:textId="77777777" w:rsidR="004A137A" w:rsidRPr="00EC61D6" w:rsidRDefault="004A137A" w:rsidP="004C0BF1">
      <w:pPr>
        <w:pStyle w:val="SingleTxtG"/>
      </w:pPr>
    </w:p>
    <w:p w14:paraId="363CEC94" w14:textId="5E457254" w:rsidR="004A137A" w:rsidRPr="00EC61D6" w:rsidRDefault="006134B1" w:rsidP="006134B1">
      <w:pPr>
        <w:pStyle w:val="H1G"/>
      </w:pPr>
      <w:r w:rsidRPr="006134B1">
        <w:tab/>
        <w:t>B.</w:t>
      </w:r>
      <w:r w:rsidRPr="006134B1">
        <w:tab/>
      </w:r>
      <w:r w:rsidRPr="006134B1">
        <w:rPr>
          <w:bCs/>
          <w:lang w:val="en-US"/>
        </w:rPr>
        <w:t>Information</w:t>
      </w:r>
      <w:r>
        <w:rPr>
          <w:bCs/>
          <w:lang w:val="en-US"/>
        </w:rPr>
        <w:t xml:space="preserve"> on the implementation of paragraph </w:t>
      </w:r>
      <w:r w:rsidR="004A137A" w:rsidRPr="006134B1">
        <w:t>17 (d)</w:t>
      </w:r>
      <w:r w:rsidR="004A137A" w:rsidRPr="00EC61D6">
        <w:t xml:space="preserve"> </w:t>
      </w:r>
    </w:p>
    <w:p w14:paraId="5A4CB392" w14:textId="0528DC36" w:rsidR="004A137A" w:rsidRPr="00EC61D6" w:rsidRDefault="006134B1" w:rsidP="004C0BF1">
      <w:pPr>
        <w:pStyle w:val="SingleTxtG"/>
        <w:rPr>
          <w:color w:val="000000"/>
        </w:rPr>
      </w:pPr>
      <w:r>
        <w:rPr>
          <w:rFonts w:eastAsia="Calibri"/>
        </w:rPr>
        <w:t>6.</w:t>
      </w:r>
      <w:r>
        <w:rPr>
          <w:rFonts w:eastAsia="Calibri"/>
        </w:rPr>
        <w:tab/>
      </w:r>
      <w:r w:rsidR="004A137A" w:rsidRPr="00EC61D6">
        <w:rPr>
          <w:rFonts w:eastAsia="Calibri"/>
        </w:rPr>
        <w:t>The National</w:t>
      </w:r>
      <w:r w:rsidR="004A137A" w:rsidRPr="00EC61D6">
        <w:rPr>
          <w:rFonts w:eastAsia="Calibri"/>
          <w:color w:val="FF0000"/>
        </w:rPr>
        <w:t xml:space="preserve"> </w:t>
      </w:r>
      <w:r w:rsidR="004A137A" w:rsidRPr="00EC61D6">
        <w:rPr>
          <w:rFonts w:eastAsia="Calibri"/>
        </w:rPr>
        <w:t>Committee for the Prevention and Suppression of Torture and Enforced Disappearance</w:t>
      </w:r>
      <w:r w:rsidR="004A137A" w:rsidRPr="00EC61D6">
        <w:rPr>
          <w:color w:val="000000"/>
        </w:rPr>
        <w:t xml:space="preserve"> has been allocated adequate budgetary resources as requested, including funding for 20 personnel. However, the Department of Rights and Liberties Protection, which serves as the Committee’s Secretariat, continues to face significant challenges. Since the Act entered into force, the workload has increased steadily, both in the number of complaints received and in the growing complexity of cases, many of which require personnel with specialized expertise in law, investigation, and human rights. Accordingly, steps are currently being undertaken to establish a dedicated Office for the Prevention and Suppression of Torture and Enforced Disappearance</w:t>
      </w:r>
      <w:r w:rsidR="004A137A" w:rsidRPr="009D625B">
        <w:rPr>
          <w:color w:val="000000"/>
        </w:rPr>
        <w:t>,</w:t>
      </w:r>
      <w:r w:rsidR="004A137A" w:rsidRPr="00EC61D6">
        <w:rPr>
          <w:color w:val="000000"/>
        </w:rPr>
        <w:t xml:space="preserve"> and to expand staffing capacity to an adequate </w:t>
      </w:r>
      <w:r w:rsidR="004A137A" w:rsidRPr="009D625B">
        <w:rPr>
          <w:color w:val="000000"/>
        </w:rPr>
        <w:t>level</w:t>
      </w:r>
      <w:r w:rsidR="004A137A" w:rsidRPr="00EC61D6">
        <w:rPr>
          <w:color w:val="000000"/>
        </w:rPr>
        <w:t xml:space="preserve"> in order to ensure that the implementation of the Act is carried out expeditiously, effectively, and in a manner that fully reflects the </w:t>
      </w:r>
      <w:r w:rsidR="004A137A" w:rsidRPr="00EC61D6">
        <w:t>spirit</w:t>
      </w:r>
      <w:r w:rsidR="004A137A" w:rsidRPr="00EC61D6">
        <w:rPr>
          <w:color w:val="000000"/>
        </w:rPr>
        <w:t xml:space="preserve"> of the legislation.</w:t>
      </w:r>
    </w:p>
    <w:p w14:paraId="4B91BEA8" w14:textId="7CAEA998" w:rsidR="004A137A" w:rsidRPr="00EC61D6" w:rsidRDefault="006134B1" w:rsidP="004C0BF1">
      <w:pPr>
        <w:pStyle w:val="SingleTxtG"/>
        <w:rPr>
          <w:color w:val="000000"/>
        </w:rPr>
      </w:pPr>
      <w:r>
        <w:rPr>
          <w:color w:val="000000"/>
        </w:rPr>
        <w:t>7.</w:t>
      </w:r>
      <w:r>
        <w:rPr>
          <w:color w:val="000000"/>
        </w:rPr>
        <w:tab/>
      </w:r>
      <w:r w:rsidR="004A137A" w:rsidRPr="00EC61D6">
        <w:rPr>
          <w:color w:val="000000"/>
        </w:rPr>
        <w:t>At present, the Department of Rights and Liberties Protection has submitted a proposal for the</w:t>
      </w:r>
      <w:r w:rsidR="004A137A" w:rsidRPr="009D625B">
        <w:rPr>
          <w:color w:val="000000"/>
        </w:rPr>
        <w:t xml:space="preserve"> </w:t>
      </w:r>
      <w:r w:rsidR="004A137A" w:rsidRPr="00EC61D6">
        <w:rPr>
          <w:color w:val="000000"/>
        </w:rPr>
        <w:t>establishment</w:t>
      </w:r>
      <w:r w:rsidR="004A137A" w:rsidRPr="009D625B">
        <w:rPr>
          <w:color w:val="000000"/>
        </w:rPr>
        <w:t xml:space="preserve"> of the </w:t>
      </w:r>
      <w:r w:rsidR="004A137A" w:rsidRPr="002928B8">
        <w:rPr>
          <w:color w:val="000000"/>
        </w:rPr>
        <w:t>aforementioned</w:t>
      </w:r>
      <w:r w:rsidR="004A137A" w:rsidRPr="0052041D">
        <w:rPr>
          <w:color w:val="000000"/>
        </w:rPr>
        <w:t xml:space="preserve"> </w:t>
      </w:r>
      <w:r w:rsidR="004A137A" w:rsidRPr="00EC61D6">
        <w:rPr>
          <w:color w:val="000000"/>
        </w:rPr>
        <w:t xml:space="preserve">office to the Office of the Public Sector Development Commission, as well as a request for </w:t>
      </w:r>
      <w:r w:rsidR="004A137A" w:rsidRPr="00EC61D6">
        <w:t xml:space="preserve">additional </w:t>
      </w:r>
      <w:r w:rsidR="004A137A" w:rsidRPr="00EC61D6">
        <w:rPr>
          <w:color w:val="000000"/>
        </w:rPr>
        <w:t xml:space="preserve">civil service positions to the Office of the Civil Service Commission. The proposals are currently under consideration. </w:t>
      </w:r>
    </w:p>
    <w:p w14:paraId="314C0BF9" w14:textId="134E7C21" w:rsidR="004A137A" w:rsidRPr="00EC61D6" w:rsidRDefault="006134B1" w:rsidP="004C0BF1">
      <w:pPr>
        <w:pStyle w:val="SingleTxtG"/>
        <w:rPr>
          <w:color w:val="000000"/>
        </w:rPr>
      </w:pPr>
      <w:r>
        <w:rPr>
          <w:color w:val="000000"/>
        </w:rPr>
        <w:t>8.</w:t>
      </w:r>
      <w:r>
        <w:rPr>
          <w:color w:val="000000"/>
        </w:rPr>
        <w:tab/>
      </w:r>
      <w:r w:rsidR="004A137A" w:rsidRPr="00EC61D6">
        <w:rPr>
          <w:color w:val="000000"/>
        </w:rPr>
        <w:t>Agencies with the authority to detain individuals receive dedicated budget allocations, which are regularly reviewed and assessed to support the procurement</w:t>
      </w:r>
      <w:r w:rsidR="004A137A" w:rsidRPr="009D625B">
        <w:rPr>
          <w:color w:val="000000"/>
        </w:rPr>
        <w:t xml:space="preserve"> </w:t>
      </w:r>
      <w:r w:rsidR="004A137A" w:rsidRPr="00EC61D6">
        <w:rPr>
          <w:color w:val="000000"/>
        </w:rPr>
        <w:t xml:space="preserve">of audio-visual recording equipment, storage devices, and related maintenance needs. The Royal Thai Police, </w:t>
      </w:r>
      <w:r w:rsidR="004A137A" w:rsidRPr="009D625B">
        <w:rPr>
          <w:color w:val="000000"/>
        </w:rPr>
        <w:t>as</w:t>
      </w:r>
      <w:r w:rsidR="004A137A" w:rsidRPr="00EC61D6">
        <w:rPr>
          <w:color w:val="000000"/>
        </w:rPr>
        <w:t xml:space="preserve"> the primary agency with detention authority, was allocated a budget of over 700 million baht (approximately 21.5 million USD) for fiscal years 2024</w:t>
      </w:r>
      <w:r w:rsidR="004A137A" w:rsidRPr="009D625B">
        <w:rPr>
          <w:color w:val="000000"/>
        </w:rPr>
        <w:t>-</w:t>
      </w:r>
      <w:r w:rsidR="004A137A" w:rsidRPr="00EC61D6">
        <w:rPr>
          <w:color w:val="000000"/>
        </w:rPr>
        <w:t xml:space="preserve">2025 for the purchase of 95,000 body-worn cameras, vehicle-mounted cameras, and facility-mounted cameras for its </w:t>
      </w:r>
      <w:r w:rsidR="004A137A" w:rsidRPr="00EC61D6">
        <w:t>premises</w:t>
      </w:r>
      <w:r w:rsidR="004A137A" w:rsidRPr="00EC61D6">
        <w:rPr>
          <w:color w:val="000000"/>
        </w:rPr>
        <w:t xml:space="preserve">. For fiscal year 2026, it is estimated that more than 200 million baht (approximately 6.2 million USD) will be allocated to continue procuring such equipment to ensure sufficient supply for officers. </w:t>
      </w:r>
    </w:p>
    <w:p w14:paraId="4D741A3C" w14:textId="2BF1E242" w:rsidR="004A137A" w:rsidRPr="00EC61D6" w:rsidRDefault="006134B1" w:rsidP="004C0BF1">
      <w:pPr>
        <w:pStyle w:val="SingleTxtG"/>
        <w:rPr>
          <w:color w:val="000000"/>
        </w:rPr>
      </w:pPr>
      <w:r>
        <w:rPr>
          <w:color w:val="000000"/>
        </w:rPr>
        <w:t>9.</w:t>
      </w:r>
      <w:r w:rsidR="004A137A" w:rsidRPr="00EC61D6">
        <w:rPr>
          <w:color w:val="000000"/>
        </w:rPr>
        <w:tab/>
        <w:t xml:space="preserve">At present, the Rights and Liberties Protection Department, as the leading agency responsible for </w:t>
      </w:r>
      <w:r w:rsidR="004A137A" w:rsidRPr="009D625B">
        <w:rPr>
          <w:color w:val="000000"/>
        </w:rPr>
        <w:t xml:space="preserve">coordination and </w:t>
      </w:r>
      <w:r w:rsidR="004A137A" w:rsidRPr="00EC61D6">
        <w:rPr>
          <w:color w:val="000000"/>
        </w:rPr>
        <w:t>implement</w:t>
      </w:r>
      <w:r w:rsidR="004A137A" w:rsidRPr="009D625B">
        <w:rPr>
          <w:color w:val="000000"/>
        </w:rPr>
        <w:t>ation of</w:t>
      </w:r>
      <w:r w:rsidR="004A137A" w:rsidRPr="00EC61D6">
        <w:rPr>
          <w:color w:val="000000"/>
        </w:rPr>
        <w:t xml:space="preserve"> </w:t>
      </w:r>
      <w:r w:rsidR="004A137A" w:rsidRPr="00EC61D6">
        <w:rPr>
          <w:rFonts w:eastAsia="Calibri"/>
        </w:rPr>
        <w:t>the Prevention and Suppression of Torture and Enforced Disappearance Act B.E. 2565 (2022)</w:t>
      </w:r>
      <w:r w:rsidR="004A137A" w:rsidRPr="00EC61D6">
        <w:rPr>
          <w:color w:val="000000"/>
        </w:rPr>
        <w:t xml:space="preserve">, is in the process of developing a centralized system </w:t>
      </w:r>
      <w:r w:rsidR="004A137A" w:rsidRPr="00EC61D6">
        <w:rPr>
          <w:color w:val="000000"/>
          <w:spacing w:val="-2"/>
        </w:rPr>
        <w:t>for managing complaints. The trial of the system has already been undertaken in January 2026.</w:t>
      </w:r>
      <w:r w:rsidR="004A137A" w:rsidRPr="00EC61D6">
        <w:rPr>
          <w:color w:val="000000"/>
        </w:rPr>
        <w:t xml:space="preserve"> </w:t>
      </w:r>
    </w:p>
    <w:p w14:paraId="7A1F5446" w14:textId="3F2D816E" w:rsidR="004A137A" w:rsidRPr="00EC61D6" w:rsidRDefault="006134B1" w:rsidP="004C0BF1">
      <w:pPr>
        <w:pStyle w:val="SingleTxtG"/>
        <w:rPr>
          <w:color w:val="000000"/>
        </w:rPr>
      </w:pPr>
      <w:r>
        <w:rPr>
          <w:color w:val="000000"/>
        </w:rPr>
        <w:t>10.</w:t>
      </w:r>
      <w:r w:rsidR="004A137A" w:rsidRPr="00EC61D6">
        <w:rPr>
          <w:color w:val="000000"/>
        </w:rPr>
        <w:tab/>
        <w:t xml:space="preserve">The Rights and Liberties Protection Department, in collaboration with relevant agencies, has been actively and continuously raising awareness </w:t>
      </w:r>
      <w:r w:rsidR="004A137A" w:rsidRPr="009D625B">
        <w:rPr>
          <w:color w:val="000000"/>
        </w:rPr>
        <w:t xml:space="preserve">on torture and enforced disappearance </w:t>
      </w:r>
      <w:r w:rsidR="004A137A" w:rsidRPr="00EC61D6">
        <w:rPr>
          <w:color w:val="000000"/>
        </w:rPr>
        <w:t xml:space="preserve">among government officials and the public. These partners include </w:t>
      </w:r>
      <w:r w:rsidR="004A137A" w:rsidRPr="00EC61D6">
        <w:t>the Office of the Court of Justice</w:t>
      </w:r>
      <w:r w:rsidR="004A137A" w:rsidRPr="00EC61D6">
        <w:rPr>
          <w:color w:val="000000"/>
        </w:rPr>
        <w:t xml:space="preserve">, the Office of the Attorney General, the National Anti-Corruption Commission, the Royal Thai Police, the Immigration Bureau, the Ministry of </w:t>
      </w:r>
      <w:proofErr w:type="spellStart"/>
      <w:r w:rsidR="004A137A" w:rsidRPr="00EC61D6">
        <w:rPr>
          <w:color w:val="000000"/>
        </w:rPr>
        <w:t>Defense</w:t>
      </w:r>
      <w:proofErr w:type="spellEnd"/>
      <w:r w:rsidR="004A137A" w:rsidRPr="00EC61D6">
        <w:rPr>
          <w:color w:val="000000"/>
        </w:rPr>
        <w:t xml:space="preserve">, the Department of Provincial Administration, the Department of Corrections, the Department of Special Investigation, the Office of the Narcotics Control Board, the Customs Department, the Excise Department, the Royal Forest Department, the Department of Employment, </w:t>
      </w:r>
      <w:r w:rsidR="004A137A" w:rsidRPr="00EC61D6">
        <w:t xml:space="preserve">the Department of Disease Control, </w:t>
      </w:r>
      <w:r w:rsidR="004A137A" w:rsidRPr="00EC61D6">
        <w:rPr>
          <w:spacing w:val="-6"/>
        </w:rPr>
        <w:t>the Department of Marine and Coastal Resources</w:t>
      </w:r>
      <w:r w:rsidR="004A137A" w:rsidRPr="009D625B">
        <w:rPr>
          <w:rFonts w:cs="Cordia New"/>
          <w:spacing w:val="-6"/>
        </w:rPr>
        <w:t xml:space="preserve">, among </w:t>
      </w:r>
      <w:r w:rsidR="004A137A" w:rsidRPr="00EC61D6">
        <w:rPr>
          <w:spacing w:val="-6"/>
        </w:rPr>
        <w:t>others. In addition, ongoing awareness-raising</w:t>
      </w:r>
      <w:r w:rsidR="004A137A" w:rsidRPr="00EC61D6">
        <w:t xml:space="preserve"> efforts have been carried out in the southe</w:t>
      </w:r>
      <w:r w:rsidR="004A137A" w:rsidRPr="00EC61D6">
        <w:rPr>
          <w:color w:val="000000"/>
        </w:rPr>
        <w:t xml:space="preserve">rn border provinces. To date, </w:t>
      </w:r>
      <w:r w:rsidR="004A137A" w:rsidRPr="009D625B">
        <w:rPr>
          <w:color w:val="000000"/>
        </w:rPr>
        <w:t xml:space="preserve">the awareness raising campaign </w:t>
      </w:r>
      <w:r w:rsidR="004A137A" w:rsidRPr="002928B8">
        <w:rPr>
          <w:color w:val="000000"/>
        </w:rPr>
        <w:t>ha</w:t>
      </w:r>
      <w:r w:rsidR="004A137A" w:rsidRPr="0052041D">
        <w:rPr>
          <w:color w:val="000000"/>
        </w:rPr>
        <w:t>s</w:t>
      </w:r>
      <w:r w:rsidR="004A137A" w:rsidRPr="00EC61D6">
        <w:rPr>
          <w:color w:val="000000"/>
        </w:rPr>
        <w:t xml:space="preserve"> reached more than 200,000 individuals across all sectors.</w:t>
      </w:r>
    </w:p>
    <w:p w14:paraId="1EF0F186" w14:textId="6D4DB78E" w:rsidR="004A137A" w:rsidRPr="00EC61D6" w:rsidRDefault="006134B1" w:rsidP="004C0BF1">
      <w:pPr>
        <w:pStyle w:val="SingleTxtG"/>
        <w:rPr>
          <w:color w:val="000000"/>
        </w:rPr>
      </w:pPr>
      <w:r>
        <w:rPr>
          <w:color w:val="000000"/>
        </w:rPr>
        <w:t>11.</w:t>
      </w:r>
      <w:r w:rsidR="004A137A" w:rsidRPr="00EC61D6">
        <w:rPr>
          <w:color w:val="000000"/>
        </w:rPr>
        <w:tab/>
        <w:t xml:space="preserve">Furthermore, the Department has worked with international agencies, such as the </w:t>
      </w:r>
      <w:r w:rsidR="004A137A" w:rsidRPr="009D625B">
        <w:rPr>
          <w:color w:val="000000"/>
        </w:rPr>
        <w:t>United States</w:t>
      </w:r>
      <w:r w:rsidR="004A137A" w:rsidRPr="002928B8">
        <w:rPr>
          <w:color w:val="000000"/>
        </w:rPr>
        <w:t>’</w:t>
      </w:r>
      <w:r w:rsidR="004A137A" w:rsidRPr="0052041D">
        <w:rPr>
          <w:color w:val="000000"/>
        </w:rPr>
        <w:t xml:space="preserve"> </w:t>
      </w:r>
      <w:r w:rsidR="004A137A" w:rsidRPr="00EC61D6">
        <w:rPr>
          <w:color w:val="000000"/>
        </w:rPr>
        <w:t>Federal Bureau of Investigation (FBI</w:t>
      </w:r>
      <w:r w:rsidR="004A137A" w:rsidRPr="009D625B">
        <w:rPr>
          <w:color w:val="000000"/>
        </w:rPr>
        <w:t>)</w:t>
      </w:r>
      <w:r w:rsidR="004A137A" w:rsidRPr="00EC61D6">
        <w:rPr>
          <w:color w:val="000000"/>
        </w:rPr>
        <w:t xml:space="preserve"> and the United Kingdom police, to exchange experiences and best practices on audio-visual recording. Joint </w:t>
      </w:r>
      <w:r w:rsidR="004A137A" w:rsidRPr="00EC61D6">
        <w:t>training sessions on investigative procedures and forensic evidence examination have also been condu</w:t>
      </w:r>
      <w:r w:rsidR="004A137A" w:rsidRPr="00EC61D6">
        <w:rPr>
          <w:color w:val="000000"/>
        </w:rPr>
        <w:t xml:space="preserve">cted with the Office of the United Nations High Commissioner for Human Rights and the International Commission of Jurists, in accordance with the principles </w:t>
      </w:r>
      <w:r w:rsidR="004A137A" w:rsidRPr="009D625B">
        <w:rPr>
          <w:color w:val="000000"/>
        </w:rPr>
        <w:t>set out in</w:t>
      </w:r>
      <w:r w:rsidR="004A137A" w:rsidRPr="00EC61D6">
        <w:rPr>
          <w:color w:val="000000"/>
        </w:rPr>
        <w:t xml:space="preserve"> the Istanbul Protocol and the Minnesota Protocol.</w:t>
      </w:r>
    </w:p>
    <w:p w14:paraId="1C6E7155" w14:textId="159E19BA" w:rsidR="004A137A" w:rsidRPr="009D625B" w:rsidRDefault="006134B1" w:rsidP="004C0BF1">
      <w:pPr>
        <w:pStyle w:val="SingleTxtG"/>
      </w:pPr>
      <w:r>
        <w:rPr>
          <w:color w:val="000000"/>
        </w:rPr>
        <w:t>12.</w:t>
      </w:r>
      <w:r>
        <w:rPr>
          <w:color w:val="000000"/>
        </w:rPr>
        <w:tab/>
      </w:r>
      <w:r w:rsidR="004A137A" w:rsidRPr="00EC61D6">
        <w:rPr>
          <w:color w:val="000000"/>
        </w:rPr>
        <w:t xml:space="preserve">The Department has also produced public information materials on </w:t>
      </w:r>
      <w:r w:rsidR="004A137A" w:rsidRPr="00EC61D6">
        <w:rPr>
          <w:rFonts w:eastAsia="Calibri"/>
        </w:rPr>
        <w:t>the Prevention and Suppression of Torture and Enforced Disappearance Act B.E. 2565 (2022)</w:t>
      </w:r>
      <w:r w:rsidR="004A137A" w:rsidRPr="00EC61D6">
        <w:rPr>
          <w:color w:val="000000"/>
        </w:rPr>
        <w:t xml:space="preserve"> in multiple languages, including Thai, English, and Malay</w:t>
      </w:r>
      <w:r w:rsidR="004A137A" w:rsidRPr="009D625B">
        <w:rPr>
          <w:color w:val="000000"/>
        </w:rPr>
        <w:t xml:space="preserve">, </w:t>
      </w:r>
      <w:r w:rsidR="004A137A" w:rsidRPr="002928B8">
        <w:rPr>
          <w:color w:val="000000"/>
        </w:rPr>
        <w:t>and</w:t>
      </w:r>
      <w:r w:rsidR="004A137A" w:rsidRPr="0052041D">
        <w:rPr>
          <w:color w:val="000000"/>
        </w:rPr>
        <w:t xml:space="preserve"> in various</w:t>
      </w:r>
      <w:r w:rsidR="004A137A" w:rsidRPr="00EC61D6">
        <w:rPr>
          <w:color w:val="000000"/>
        </w:rPr>
        <w:t xml:space="preserve"> formats such as infographics and e-learning resources, to </w:t>
      </w:r>
      <w:r w:rsidR="004A137A" w:rsidRPr="009D625B">
        <w:rPr>
          <w:color w:val="000000"/>
        </w:rPr>
        <w:t>promote understanding of</w:t>
      </w:r>
      <w:r w:rsidR="004A137A" w:rsidRPr="00EC61D6">
        <w:rPr>
          <w:color w:val="000000"/>
        </w:rPr>
        <w:t xml:space="preserve"> the </w:t>
      </w:r>
      <w:r w:rsidR="004A137A" w:rsidRPr="009D625B">
        <w:rPr>
          <w:color w:val="000000"/>
        </w:rPr>
        <w:t xml:space="preserve">general </w:t>
      </w:r>
      <w:r w:rsidR="004A137A" w:rsidRPr="00EC61D6">
        <w:rPr>
          <w:color w:val="000000"/>
        </w:rPr>
        <w:t xml:space="preserve">public </w:t>
      </w:r>
      <w:r w:rsidR="004A137A" w:rsidRPr="009D625B">
        <w:rPr>
          <w:color w:val="000000"/>
        </w:rPr>
        <w:t>about</w:t>
      </w:r>
      <w:r w:rsidR="004A137A" w:rsidRPr="00EC61D6">
        <w:t xml:space="preserve"> the Act through platforms that are </w:t>
      </w:r>
      <w:r w:rsidR="004A137A" w:rsidRPr="009D625B">
        <w:t>user</w:t>
      </w:r>
      <w:r w:rsidR="004A137A" w:rsidRPr="002928B8">
        <w:t>-</w:t>
      </w:r>
      <w:r w:rsidR="004A137A" w:rsidRPr="0052041D">
        <w:t xml:space="preserve">friendly and </w:t>
      </w:r>
      <w:r w:rsidR="004A137A" w:rsidRPr="00EC61D6">
        <w:t>easily accessible.</w:t>
      </w:r>
    </w:p>
    <w:p w14:paraId="6597782B" w14:textId="762CC404" w:rsidR="004A137A" w:rsidRPr="00EC61D6" w:rsidRDefault="008064D5" w:rsidP="008064D5">
      <w:pPr>
        <w:pStyle w:val="H1G"/>
        <w:rPr>
          <w:color w:val="000000"/>
        </w:rPr>
      </w:pPr>
      <w:r>
        <w:rPr>
          <w:lang w:val="en-US"/>
        </w:rPr>
        <w:tab/>
        <w:t>C.</w:t>
      </w:r>
      <w:r>
        <w:rPr>
          <w:lang w:val="en-US"/>
        </w:rPr>
        <w:tab/>
      </w:r>
      <w:r w:rsidR="006134B1" w:rsidRPr="006134B1">
        <w:rPr>
          <w:lang w:val="en-US"/>
        </w:rPr>
        <w:t>Information</w:t>
      </w:r>
      <w:r w:rsidR="006134B1">
        <w:rPr>
          <w:lang w:val="en-US"/>
        </w:rPr>
        <w:t xml:space="preserve"> on the implementation of </w:t>
      </w:r>
      <w:r w:rsidR="006134B1" w:rsidRPr="008064D5">
        <w:rPr>
          <w:lang w:val="en-US"/>
        </w:rPr>
        <w:t>p</w:t>
      </w:r>
      <w:proofErr w:type="spellStart"/>
      <w:r w:rsidR="004A137A" w:rsidRPr="008064D5">
        <w:rPr>
          <w:color w:val="000000"/>
        </w:rPr>
        <w:t>aragraph</w:t>
      </w:r>
      <w:proofErr w:type="spellEnd"/>
      <w:r w:rsidR="004A137A" w:rsidRPr="008064D5">
        <w:rPr>
          <w:color w:val="000000"/>
        </w:rPr>
        <w:t xml:space="preserve"> 33</w:t>
      </w:r>
      <w:r w:rsidR="004A137A" w:rsidRPr="008064D5">
        <w:rPr>
          <w:color w:val="000000"/>
          <w:cs/>
        </w:rPr>
        <w:t xml:space="preserve"> </w:t>
      </w:r>
      <w:r w:rsidR="004A137A" w:rsidRPr="008064D5">
        <w:rPr>
          <w:color w:val="000000"/>
          <w:spacing w:val="-4"/>
        </w:rPr>
        <w:t>(</w:t>
      </w:r>
      <w:r w:rsidR="004A137A" w:rsidRPr="00EC61D6">
        <w:rPr>
          <w:color w:val="000000"/>
          <w:spacing w:val="-4"/>
        </w:rPr>
        <w:t xml:space="preserve">a) </w:t>
      </w:r>
      <w:r>
        <w:rPr>
          <w:color w:val="000000"/>
          <w:spacing w:val="-4"/>
        </w:rPr>
        <w:t>and (c)</w:t>
      </w:r>
    </w:p>
    <w:p w14:paraId="6FE73F18" w14:textId="2D0FE70E" w:rsidR="004A137A" w:rsidRPr="00EC61D6" w:rsidRDefault="008064D5" w:rsidP="004C0BF1">
      <w:pPr>
        <w:pStyle w:val="SingleTxtG"/>
        <w:rPr>
          <w:color w:val="000000"/>
        </w:rPr>
      </w:pPr>
      <w:r>
        <w:rPr>
          <w:color w:val="000000"/>
        </w:rPr>
        <w:t>13.</w:t>
      </w:r>
      <w:r w:rsidR="004A137A" w:rsidRPr="00EC61D6">
        <w:rPr>
          <w:color w:val="000000"/>
        </w:rPr>
        <w:tab/>
        <w:t>The Immigration Bureau has issued and enforced Order No. 45/2567 (2024), dated 27 February</w:t>
      </w:r>
      <w:r w:rsidR="004A137A" w:rsidRPr="00EC61D6">
        <w:rPr>
          <w:color w:val="000000"/>
          <w:cs/>
        </w:rPr>
        <w:t xml:space="preserve"> </w:t>
      </w:r>
      <w:r w:rsidR="004A137A" w:rsidRPr="00EC61D6">
        <w:rPr>
          <w:color w:val="000000"/>
        </w:rPr>
        <w:t xml:space="preserve">B.E. 2567 (2024), revising the guidelines on the granting of bail, particularly for persons in need of international protection, including but not limited to persons who are granted protected persons status in line with the Regulation of the Office of the Prime Minister On the Screening of Aliens who Enter into the Kingdom and are Unable to Return to the Country of Origin B.E. 2562 </w:t>
      </w:r>
      <w:r w:rsidR="004A137A" w:rsidRPr="00EC61D6">
        <w:t>(2019). Under the said Order, the bail amount has been reduced from 50,000 baht (approximately 1,536 USD) to 20,000 baht (approximately 614 USD).</w:t>
      </w:r>
      <w:r w:rsidR="004A137A" w:rsidRPr="00EC61D6">
        <w:rPr>
          <w:rFonts w:cs="Cordia New"/>
        </w:rPr>
        <w:t xml:space="preserve"> This would allow for more bail requests by the cases qualified under such guidelines to be applied and granted</w:t>
      </w:r>
      <w:r w:rsidR="004A137A" w:rsidRPr="00EC61D6">
        <w:t>. In</w:t>
      </w:r>
      <w:r w:rsidR="004A137A" w:rsidRPr="00EC61D6">
        <w:rPr>
          <w:color w:val="000000"/>
        </w:rPr>
        <w:t xml:space="preserve"> addition, no bail fee is required in cases involving aliens pending deportation who are unaccompanied minors, minors without legal guardians, or children accompanying detained aliens while awaiting deportation. </w:t>
      </w:r>
    </w:p>
    <w:p w14:paraId="156C6FEF" w14:textId="1861B9FB" w:rsidR="004A137A" w:rsidRPr="00EC61D6" w:rsidRDefault="0085577A" w:rsidP="004C0BF1">
      <w:pPr>
        <w:pStyle w:val="SingleTxtG"/>
      </w:pPr>
      <w:r w:rsidRPr="0085577A">
        <w:t>14.</w:t>
      </w:r>
      <w:r w:rsidR="004A137A" w:rsidRPr="00EC61D6">
        <w:rPr>
          <w:i/>
          <w:iCs/>
        </w:rPr>
        <w:tab/>
      </w:r>
      <w:r w:rsidR="004A137A" w:rsidRPr="009D625B">
        <w:t>To</w:t>
      </w:r>
      <w:r w:rsidR="004A137A" w:rsidRPr="00EC61D6">
        <w:t xml:space="preserve"> ensur</w:t>
      </w:r>
      <w:r w:rsidR="004A137A" w:rsidRPr="009D625B">
        <w:t>e</w:t>
      </w:r>
      <w:r w:rsidR="004A137A" w:rsidRPr="00EC61D6">
        <w:t xml:space="preserve"> that children and families with children are not detained solely on the basis of their immigration status, Thailand has committed to implementing alternatives to detention for migrant children measures in accordance with the Memorandum of Understanding on the Determination of Measures and Approaches Alternative to Detention of Children in Immigration Detention </w:t>
      </w:r>
      <w:proofErr w:type="spellStart"/>
      <w:r w:rsidR="004A137A" w:rsidRPr="00EC61D6">
        <w:t>Centers</w:t>
      </w:r>
      <w:proofErr w:type="spellEnd"/>
      <w:r w:rsidR="004A137A" w:rsidRPr="00EC61D6">
        <w:t xml:space="preserve"> B.E. 2562 (2019)</w:t>
      </w:r>
      <w:r w:rsidR="004A137A" w:rsidRPr="00EC61D6">
        <w:rPr>
          <w:i/>
          <w:iCs/>
        </w:rPr>
        <w:t xml:space="preserve"> (MOU-ATD</w:t>
      </w:r>
      <w:r w:rsidR="004A137A" w:rsidRPr="00EC61D6">
        <w:t xml:space="preserve">). This mechanism has been adopted by Thailand to ensure that </w:t>
      </w:r>
      <w:r w:rsidR="004A137A" w:rsidRPr="00EC61D6">
        <w:rPr>
          <w:spacing w:val="-2"/>
        </w:rPr>
        <w:t>the protection of children’s rights is in compliance with the Child Protection Act B.E. 2546 (2003), the Convention on the Rights of the Child, and other relevant international obligations.</w:t>
      </w:r>
      <w:r w:rsidR="004A137A" w:rsidRPr="00EC61D6">
        <w:t xml:space="preserve"> </w:t>
      </w:r>
    </w:p>
    <w:p w14:paraId="7C0EF32C" w14:textId="4840F83F" w:rsidR="004A137A" w:rsidRPr="009D625B" w:rsidRDefault="0085577A" w:rsidP="004C0BF1">
      <w:pPr>
        <w:pStyle w:val="SingleTxtG"/>
      </w:pPr>
      <w:r>
        <w:t>15.</w:t>
      </w:r>
      <w:r w:rsidR="004A137A" w:rsidRPr="00EC61D6">
        <w:tab/>
        <w:t xml:space="preserve">The MOU-ATD serves as a framework for cooperation among government agencies and relevant stakeholders in addressing the issue of detaining children in immigration detention centres while awaiting deportation. It aims to guarantee that children receive protection in accordance with domestic legal framework and international obligations. The objective of the MOU-ATD is to determine responsibilities and provide common guidelines for </w:t>
      </w:r>
      <w:r w:rsidR="004A137A" w:rsidRPr="009D625B">
        <w:t>relevant</w:t>
      </w:r>
      <w:r w:rsidR="004A137A" w:rsidRPr="00EC61D6">
        <w:t xml:space="preserve"> government agencies in an effort to integrate procedures on non-detention of migrant children under the age of 18.  </w:t>
      </w:r>
    </w:p>
    <w:p w14:paraId="6493C689" w14:textId="126E3E79" w:rsidR="004A137A" w:rsidRPr="00EC61D6" w:rsidRDefault="0085577A" w:rsidP="004C0BF1">
      <w:pPr>
        <w:pStyle w:val="SingleTxtG"/>
        <w:rPr>
          <w:rFonts w:cs="Cordia New"/>
          <w:color w:val="FF0000"/>
        </w:rPr>
      </w:pPr>
      <w:r>
        <w:t>16.</w:t>
      </w:r>
      <w:r w:rsidR="004A137A" w:rsidRPr="002928B8">
        <w:tab/>
      </w:r>
      <w:r w:rsidR="004A137A" w:rsidRPr="00EC61D6">
        <w:t>The MOU-ATD also emphasizes the principle that children shall not be detained, and that plac</w:t>
      </w:r>
      <w:r w:rsidR="004A137A" w:rsidRPr="009D625B">
        <w:t>ing them</w:t>
      </w:r>
      <w:r w:rsidR="004A137A" w:rsidRPr="00EC61D6">
        <w:t xml:space="preserve"> in immigration detention centres pending deportation shall be used only as a measure of last resort and for the shortest period of time possible. Furthermore, any decision affecting a child must give primary consideration to the best interests of the child, and the child’s views shall always be heard. Arrangements for the care of children prioritize family-based care as the primary option. </w:t>
      </w:r>
      <w:r w:rsidR="004A137A" w:rsidRPr="009D625B">
        <w:t xml:space="preserve">Shelters for </w:t>
      </w:r>
      <w:r w:rsidR="004A137A" w:rsidRPr="002928B8">
        <w:rPr>
          <w:szCs w:val="35"/>
        </w:rPr>
        <w:t xml:space="preserve">Children and Families </w:t>
      </w:r>
      <w:r w:rsidR="004A137A" w:rsidRPr="00EC61D6">
        <w:t>under the Ministry of Social Development and Human Security or legally registered private shelters are used as alternatives to detention for migrant children.</w:t>
      </w:r>
      <w:r w:rsidR="004A137A" w:rsidRPr="009D625B">
        <w:t xml:space="preserve"> </w:t>
      </w:r>
    </w:p>
    <w:p w14:paraId="143450CF" w14:textId="77A5C432" w:rsidR="004A137A" w:rsidRPr="00EC61D6" w:rsidRDefault="0085577A" w:rsidP="004C0BF1">
      <w:pPr>
        <w:pStyle w:val="SingleTxtG"/>
        <w:rPr>
          <w:color w:val="EE0000"/>
        </w:rPr>
      </w:pPr>
      <w:r>
        <w:t>17.</w:t>
      </w:r>
      <w:r w:rsidR="004A137A" w:rsidRPr="00EC61D6">
        <w:tab/>
        <w:t xml:space="preserve"> In addition, Standard Operating Procedures (SOPs) to implement the MOU-ATD have been developed and came into effect in 2020. The SOP aims to ensure that all relevant stakeholders — including frontline officers, international organi</w:t>
      </w:r>
      <w:r w:rsidR="004A137A" w:rsidRPr="009D625B">
        <w:t>z</w:t>
      </w:r>
      <w:r w:rsidR="004A137A" w:rsidRPr="00EC61D6">
        <w:t>ations (UNHCR, IOM and UNICEF) and civil society organi</w:t>
      </w:r>
      <w:r w:rsidR="004A137A" w:rsidRPr="009D625B">
        <w:t>z</w:t>
      </w:r>
      <w:r w:rsidR="004A137A" w:rsidRPr="00EC61D6">
        <w:t>ations — can effectively implement the MOU-ATD.</w:t>
      </w:r>
    </w:p>
    <w:p w14:paraId="360CE347" w14:textId="5939245C" w:rsidR="004A137A" w:rsidRPr="00EC61D6" w:rsidRDefault="0085577A" w:rsidP="004C0BF1">
      <w:pPr>
        <w:pStyle w:val="SingleTxtG"/>
        <w:rPr>
          <w:color w:val="EE0000"/>
        </w:rPr>
      </w:pPr>
      <w:r w:rsidRPr="0085577A">
        <w:t>18.</w:t>
      </w:r>
      <w:r w:rsidR="004A137A" w:rsidRPr="00EC61D6">
        <w:rPr>
          <w:color w:val="EE0000"/>
        </w:rPr>
        <w:tab/>
      </w:r>
      <w:r w:rsidR="004A137A" w:rsidRPr="00EC61D6">
        <w:t>In order to effectively implement the MOU-ATD and its SOP, the Thai Government places importance on trainings for frontline officers, as well as monitoring and assessment of the MOU’s application, in collaboration with civil society organizations and international organizations.</w:t>
      </w:r>
      <w:r w:rsidR="004A137A" w:rsidRPr="00EC61D6">
        <w:rPr>
          <w:color w:val="EE0000"/>
        </w:rPr>
        <w:t xml:space="preserve"> </w:t>
      </w:r>
      <w:r w:rsidR="004A137A" w:rsidRPr="00EC61D6">
        <w:t xml:space="preserve">Furthermore, Thailand is also currently reviewing the SOP to enhance efficiency and effectiveness of the referral procedure and case management, and to expand community-based care. </w:t>
      </w:r>
    </w:p>
    <w:p w14:paraId="2777D89C" w14:textId="35BDE90B" w:rsidR="004A137A" w:rsidRPr="009D625B" w:rsidRDefault="0085577A" w:rsidP="004C0BF1">
      <w:pPr>
        <w:pStyle w:val="SingleTxtG"/>
      </w:pPr>
      <w:r>
        <w:t>19.</w:t>
      </w:r>
      <w:r w:rsidR="004A137A" w:rsidRPr="00EC61D6">
        <w:tab/>
        <w:t xml:space="preserve">Thailand is enhancing its efforts to improve detention facilities. This includes upgrading the Detention Center for Women and Children with childcare facilities and healthcare services, renovating the Bangkok Immigration Detention Centre (Suan </w:t>
      </w:r>
      <w:proofErr w:type="spellStart"/>
      <w:r w:rsidR="004A137A" w:rsidRPr="00EC61D6">
        <w:t>Phlu</w:t>
      </w:r>
      <w:proofErr w:type="spellEnd"/>
      <w:r w:rsidR="004A137A" w:rsidRPr="00EC61D6">
        <w:t>) to improve living conditions</w:t>
      </w:r>
      <w:r w:rsidR="004A137A" w:rsidRPr="009D625B">
        <w:t>. P</w:t>
      </w:r>
      <w:r w:rsidR="004A137A" w:rsidRPr="00EC61D6">
        <w:t xml:space="preserve">rogrammes have </w:t>
      </w:r>
      <w:r w:rsidR="004A137A" w:rsidRPr="009D625B">
        <w:t xml:space="preserve">also </w:t>
      </w:r>
      <w:r w:rsidR="004A137A" w:rsidRPr="00EC61D6">
        <w:t xml:space="preserve">been implemented to promote detainees’ overall health (IDC Healthy), along with regular annual dental examination and treatment services. A new immigration detention </w:t>
      </w:r>
      <w:proofErr w:type="spellStart"/>
      <w:r w:rsidR="004A137A" w:rsidRPr="00EC61D6">
        <w:t>center</w:t>
      </w:r>
      <w:proofErr w:type="spellEnd"/>
      <w:r w:rsidR="004A137A" w:rsidRPr="00EC61D6">
        <w:t xml:space="preserve"> in the Klong 5 area on a 50-rai (80,000 square metres) site is under construction to </w:t>
      </w:r>
      <w:r w:rsidR="004A137A" w:rsidRPr="009D625B">
        <w:t>address</w:t>
      </w:r>
      <w:r w:rsidR="004A137A" w:rsidRPr="00EC61D6">
        <w:t xml:space="preserve"> </w:t>
      </w:r>
      <w:r w:rsidR="004A137A" w:rsidRPr="009D625B">
        <w:t xml:space="preserve">the </w:t>
      </w:r>
      <w:r w:rsidR="004A137A" w:rsidRPr="00EC61D6">
        <w:t xml:space="preserve">overcrowding issue. </w:t>
      </w:r>
    </w:p>
    <w:p w14:paraId="343FED7A" w14:textId="1DFB662E" w:rsidR="00CA49ED" w:rsidRDefault="0085577A" w:rsidP="004C0BF1">
      <w:pPr>
        <w:pStyle w:val="SingleTxtG"/>
        <w:rPr>
          <w:rFonts w:eastAsia="SimSun"/>
          <w:lang w:eastAsia="zh-CN"/>
        </w:rPr>
      </w:pPr>
      <w:r>
        <w:t>20.</w:t>
      </w:r>
      <w:r w:rsidR="004A137A" w:rsidRPr="002928B8">
        <w:tab/>
        <w:t xml:space="preserve"> </w:t>
      </w:r>
      <w:r w:rsidR="004A137A" w:rsidRPr="00EC61D6">
        <w:t xml:space="preserve">In addition, Immigration Bureau Order No. 89/2562 (2019), dated 27 February B.E. 2562 (2019), has been issued to establish revised and more appropriate guidelines for the admission and detention of detainees in Immigration Detention </w:t>
      </w:r>
      <w:proofErr w:type="spellStart"/>
      <w:r w:rsidR="004A137A" w:rsidRPr="00EC61D6">
        <w:t>Centers</w:t>
      </w:r>
      <w:proofErr w:type="spellEnd"/>
      <w:r w:rsidR="004A137A" w:rsidRPr="00EC61D6">
        <w:t>. These guidelines set standards for hygiene, nutrition, complaint mechanisms, custody, protection of rights, recreation, religious observance, prevention of sexual abuse, suicide prevention, medical care, rules on the use of force, visitation, and the distribution of detainee handbooks providing information on legal rights, codes of conduct, and available complaint channels</w:t>
      </w:r>
    </w:p>
    <w:p w14:paraId="29F80084" w14:textId="2A3886E5" w:rsidR="00997108" w:rsidRPr="00997108" w:rsidRDefault="00997108" w:rsidP="00997108">
      <w:pPr>
        <w:pStyle w:val="SingleTxtG"/>
        <w:tabs>
          <w:tab w:val="clear" w:pos="2835"/>
        </w:tabs>
        <w:kinsoku/>
        <w:overflowPunct/>
        <w:autoSpaceDE/>
        <w:autoSpaceDN/>
        <w:adjustRightInd/>
        <w:snapToGrid/>
        <w:spacing w:before="240" w:after="0"/>
        <w:ind w:left="0" w:right="0"/>
        <w:jc w:val="center"/>
        <w:rPr>
          <w:rFonts w:eastAsia="SimSun"/>
          <w:u w:val="single"/>
          <w:lang w:eastAsia="zh-CN"/>
        </w:rPr>
      </w:pPr>
      <w:r>
        <w:rPr>
          <w:rFonts w:eastAsia="SimSun"/>
          <w:u w:val="single"/>
          <w:lang w:eastAsia="zh-CN"/>
        </w:rPr>
        <w:tab/>
      </w:r>
      <w:r>
        <w:rPr>
          <w:rFonts w:eastAsia="SimSun"/>
          <w:u w:val="single"/>
          <w:lang w:eastAsia="zh-CN"/>
        </w:rPr>
        <w:tab/>
      </w:r>
      <w:r>
        <w:rPr>
          <w:rFonts w:eastAsia="SimSun"/>
          <w:u w:val="single"/>
          <w:lang w:eastAsia="zh-CN"/>
        </w:rPr>
        <w:tab/>
      </w:r>
    </w:p>
    <w:sectPr w:rsidR="00997108" w:rsidRPr="0099710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06A4F" w14:textId="77777777" w:rsidR="008C25E0" w:rsidRDefault="008C25E0">
      <w:pPr>
        <w:spacing w:line="240" w:lineRule="auto"/>
      </w:pPr>
    </w:p>
  </w:endnote>
  <w:endnote w:type="continuationSeparator" w:id="0">
    <w:p w14:paraId="77C9981A" w14:textId="77777777" w:rsidR="008C25E0" w:rsidRDefault="008C25E0">
      <w:pPr>
        <w:pStyle w:val="Footer"/>
      </w:pPr>
    </w:p>
  </w:endnote>
  <w:endnote w:type="continuationNotice" w:id="1">
    <w:p w14:paraId="3996DFC8" w14:textId="77777777" w:rsidR="008C25E0" w:rsidRDefault="008C25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TH SarabunPSK">
    <w:charset w:val="DE"/>
    <w:family w:val="swiss"/>
    <w:pitch w:val="variable"/>
    <w:sig w:usb0="01000003" w:usb1="00000000" w:usb2="00000000" w:usb3="00000000" w:csb0="000101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11B13" w14:textId="77777777" w:rsidR="00F6234B" w:rsidRDefault="00A335D5">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7C857" w14:textId="77777777" w:rsidR="00F6234B" w:rsidRDefault="00A335D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0A34D" w14:textId="77777777" w:rsidR="00F6234B" w:rsidRDefault="00A335D5">
    <w:pPr>
      <w:pStyle w:val="Footer"/>
      <w:spacing w:before="120"/>
      <w:rPr>
        <w:noProof/>
        <w:sz w:val="20"/>
        <w:lang w:val="fr-FR" w:eastAsia="fr-FR"/>
      </w:rPr>
    </w:pPr>
    <w:r>
      <w:rPr>
        <w:noProof/>
        <w:lang w:val="fr-CH" w:eastAsia="zh-CN"/>
      </w:rPr>
      <w:drawing>
        <wp:anchor distT="0" distB="0" distL="114300" distR="114300" simplePos="0" relativeHeight="251658240" behindDoc="0" locked="1" layoutInCell="1" allowOverlap="1" wp14:anchorId="0DA71EBD" wp14:editId="5F52F73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94F16" w14:paraId="3CF05307" w14:textId="77777777">
      <w:tc>
        <w:tcPr>
          <w:tcW w:w="1848" w:type="dxa"/>
          <w:vAlign w:val="bottom"/>
          <w:hideMark/>
        </w:tcPr>
        <w:p w14:paraId="2B2577F9" w14:textId="77777777" w:rsidR="00F6234B" w:rsidRDefault="00A335D5">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zh-CN"/>
            </w:rPr>
            <w:drawing>
              <wp:inline distT="0" distB="0" distL="0" distR="0" wp14:anchorId="0CE33940" wp14:editId="0418032D">
                <wp:extent cx="936625" cy="226695"/>
                <wp:effectExtent l="0" t="0" r="0" b="1905"/>
                <wp:docPr id="3" name="Imagen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4"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6625" cy="226695"/>
                        </a:xfrm>
                        <a:prstGeom prst="rect">
                          <a:avLst/>
                        </a:prstGeom>
                        <a:noFill/>
                        <a:ln>
                          <a:noFill/>
                        </a:ln>
                      </pic:spPr>
                    </pic:pic>
                  </a:graphicData>
                </a:graphic>
              </wp:inline>
            </w:drawing>
          </w:r>
        </w:p>
      </w:tc>
      <w:tc>
        <w:tcPr>
          <w:tcW w:w="1274" w:type="dxa"/>
        </w:tcPr>
        <w:p w14:paraId="57784B5F" w14:textId="77777777" w:rsidR="00F6234B" w:rsidRDefault="00F6234B">
          <w:pPr>
            <w:kinsoku w:val="0"/>
            <w:overflowPunct w:val="0"/>
            <w:autoSpaceDE w:val="0"/>
            <w:autoSpaceDN w:val="0"/>
            <w:adjustRightInd w:val="0"/>
            <w:snapToGrid w:val="0"/>
            <w:spacing w:line="240" w:lineRule="auto"/>
            <w:jc w:val="right"/>
            <w:rPr>
              <w:rFonts w:eastAsiaTheme="minorHAnsi"/>
              <w:sz w:val="16"/>
              <w:lang w:val="fr-CH"/>
            </w:rPr>
          </w:pPr>
        </w:p>
      </w:tc>
    </w:tr>
  </w:tbl>
  <w:p w14:paraId="6AAE1360" w14:textId="77777777" w:rsidR="00F6234B" w:rsidRDefault="00A335D5">
    <w:pPr>
      <w:pStyle w:val="Footer"/>
    </w:pPr>
    <w:r>
      <w:rPr>
        <w:noProof/>
        <w:lang w:val="fr-FR" w:eastAsia="fr-F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C1656" w14:textId="77777777" w:rsidR="008C25E0" w:rsidRDefault="008C25E0">
      <w:pPr>
        <w:pStyle w:val="Footer"/>
        <w:tabs>
          <w:tab w:val="right" w:pos="2155"/>
        </w:tabs>
        <w:spacing w:after="80" w:line="240" w:lineRule="atLeast"/>
        <w:ind w:left="680"/>
        <w:rPr>
          <w:u w:val="single"/>
        </w:rPr>
      </w:pPr>
      <w:r>
        <w:rPr>
          <w:u w:val="single"/>
        </w:rPr>
        <w:tab/>
      </w:r>
    </w:p>
  </w:footnote>
  <w:footnote w:type="continuationSeparator" w:id="0">
    <w:p w14:paraId="52467876" w14:textId="77777777" w:rsidR="008C25E0" w:rsidRDefault="008C25E0">
      <w:pPr>
        <w:pStyle w:val="Footer"/>
        <w:tabs>
          <w:tab w:val="right" w:pos="2155"/>
        </w:tabs>
        <w:spacing w:after="80" w:line="240" w:lineRule="atLeast"/>
        <w:ind w:left="680"/>
        <w:rPr>
          <w:u w:val="single"/>
        </w:rPr>
      </w:pPr>
      <w:r>
        <w:rPr>
          <w:u w:val="single"/>
        </w:rPr>
        <w:tab/>
      </w:r>
    </w:p>
  </w:footnote>
  <w:footnote w:type="continuationNotice" w:id="1">
    <w:p w14:paraId="2832D0B5" w14:textId="77777777" w:rsidR="008C25E0" w:rsidRDefault="008C25E0">
      <w:pPr>
        <w:spacing w:line="240" w:lineRule="auto"/>
        <w:rPr>
          <w:sz w:val="2"/>
          <w:szCs w:val="2"/>
        </w:rPr>
      </w:pPr>
    </w:p>
  </w:footnote>
  <w:footnote w:id="2">
    <w:p w14:paraId="283E8E4C" w14:textId="77777777" w:rsidR="00F6234B" w:rsidRDefault="00A335D5">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72CD4" w14:textId="77777777" w:rsidR="00404FB6" w:rsidRDefault="00404FB6" w:rsidP="00404FB6">
    <w:pPr>
      <w:pStyle w:val="Header"/>
      <w:pBdr>
        <w:bottom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2C73" w14:textId="3E869D95" w:rsidR="00F6234B" w:rsidRDefault="00F6234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E4CE5FF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AF448BC" w:tentative="1">
      <w:start w:val="1"/>
      <w:numFmt w:val="lowerLetter"/>
      <w:lvlText w:val="%2."/>
      <w:lvlJc w:val="left"/>
      <w:pPr>
        <w:tabs>
          <w:tab w:val="num" w:pos="1440"/>
        </w:tabs>
        <w:ind w:left="1440" w:hanging="360"/>
      </w:pPr>
    </w:lvl>
    <w:lvl w:ilvl="2" w:tplc="A94EB132" w:tentative="1">
      <w:start w:val="1"/>
      <w:numFmt w:val="lowerRoman"/>
      <w:lvlText w:val="%3."/>
      <w:lvlJc w:val="right"/>
      <w:pPr>
        <w:tabs>
          <w:tab w:val="num" w:pos="2160"/>
        </w:tabs>
        <w:ind w:left="2160" w:hanging="180"/>
      </w:pPr>
    </w:lvl>
    <w:lvl w:ilvl="3" w:tplc="63F06B92" w:tentative="1">
      <w:start w:val="1"/>
      <w:numFmt w:val="decimal"/>
      <w:lvlText w:val="%4."/>
      <w:lvlJc w:val="left"/>
      <w:pPr>
        <w:tabs>
          <w:tab w:val="num" w:pos="2880"/>
        </w:tabs>
        <w:ind w:left="2880" w:hanging="360"/>
      </w:pPr>
    </w:lvl>
    <w:lvl w:ilvl="4" w:tplc="17C89CEA" w:tentative="1">
      <w:start w:val="1"/>
      <w:numFmt w:val="lowerLetter"/>
      <w:lvlText w:val="%5."/>
      <w:lvlJc w:val="left"/>
      <w:pPr>
        <w:tabs>
          <w:tab w:val="num" w:pos="3600"/>
        </w:tabs>
        <w:ind w:left="3600" w:hanging="360"/>
      </w:pPr>
    </w:lvl>
    <w:lvl w:ilvl="5" w:tplc="69B6E882" w:tentative="1">
      <w:start w:val="1"/>
      <w:numFmt w:val="lowerRoman"/>
      <w:lvlText w:val="%6."/>
      <w:lvlJc w:val="right"/>
      <w:pPr>
        <w:tabs>
          <w:tab w:val="num" w:pos="4320"/>
        </w:tabs>
        <w:ind w:left="4320" w:hanging="180"/>
      </w:pPr>
    </w:lvl>
    <w:lvl w:ilvl="6" w:tplc="403A8220" w:tentative="1">
      <w:start w:val="1"/>
      <w:numFmt w:val="decimal"/>
      <w:lvlText w:val="%7."/>
      <w:lvlJc w:val="left"/>
      <w:pPr>
        <w:tabs>
          <w:tab w:val="num" w:pos="5040"/>
        </w:tabs>
        <w:ind w:left="5040" w:hanging="360"/>
      </w:pPr>
    </w:lvl>
    <w:lvl w:ilvl="7" w:tplc="94AE5FBA" w:tentative="1">
      <w:start w:val="1"/>
      <w:numFmt w:val="lowerLetter"/>
      <w:lvlText w:val="%8."/>
      <w:lvlJc w:val="left"/>
      <w:pPr>
        <w:tabs>
          <w:tab w:val="num" w:pos="5760"/>
        </w:tabs>
        <w:ind w:left="5760" w:hanging="360"/>
      </w:pPr>
    </w:lvl>
    <w:lvl w:ilvl="8" w:tplc="CE761184" w:tentative="1">
      <w:start w:val="1"/>
      <w:numFmt w:val="lowerRoman"/>
      <w:lvlText w:val="%9."/>
      <w:lvlJc w:val="right"/>
      <w:pPr>
        <w:tabs>
          <w:tab w:val="num" w:pos="6480"/>
        </w:tabs>
        <w:ind w:left="6480" w:hanging="180"/>
      </w:pPr>
    </w:lvl>
  </w:abstractNum>
  <w:abstractNum w:abstractNumId="13" w15:restartNumberingAfterBreak="0">
    <w:nsid w:val="1D5454D0"/>
    <w:multiLevelType w:val="hybridMultilevel"/>
    <w:tmpl w:val="012C4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BE788CBA">
      <w:start w:val="1"/>
      <w:numFmt w:val="bullet"/>
      <w:pStyle w:val="Bullet2G"/>
      <w:lvlText w:val="•"/>
      <w:lvlJc w:val="left"/>
      <w:pPr>
        <w:tabs>
          <w:tab w:val="num" w:pos="2268"/>
        </w:tabs>
        <w:ind w:left="2268" w:hanging="170"/>
      </w:pPr>
      <w:rPr>
        <w:rFonts w:ascii="Times New Roman" w:hAnsi="Times New Roman" w:cs="Times New Roman" w:hint="default"/>
      </w:rPr>
    </w:lvl>
    <w:lvl w:ilvl="1" w:tplc="25269046" w:tentative="1">
      <w:start w:val="1"/>
      <w:numFmt w:val="bullet"/>
      <w:lvlText w:val="o"/>
      <w:lvlJc w:val="left"/>
      <w:pPr>
        <w:tabs>
          <w:tab w:val="num" w:pos="3708"/>
        </w:tabs>
        <w:ind w:left="3708" w:hanging="360"/>
      </w:pPr>
      <w:rPr>
        <w:rFonts w:ascii="Courier New" w:hAnsi="Courier New" w:hint="default"/>
      </w:rPr>
    </w:lvl>
    <w:lvl w:ilvl="2" w:tplc="6FA20D7E" w:tentative="1">
      <w:start w:val="1"/>
      <w:numFmt w:val="bullet"/>
      <w:lvlText w:val=""/>
      <w:lvlJc w:val="left"/>
      <w:pPr>
        <w:tabs>
          <w:tab w:val="num" w:pos="4428"/>
        </w:tabs>
        <w:ind w:left="4428" w:hanging="360"/>
      </w:pPr>
      <w:rPr>
        <w:rFonts w:ascii="Wingdings" w:hAnsi="Wingdings" w:hint="default"/>
      </w:rPr>
    </w:lvl>
    <w:lvl w:ilvl="3" w:tplc="1E120532" w:tentative="1">
      <w:start w:val="1"/>
      <w:numFmt w:val="bullet"/>
      <w:lvlText w:val=""/>
      <w:lvlJc w:val="left"/>
      <w:pPr>
        <w:tabs>
          <w:tab w:val="num" w:pos="5148"/>
        </w:tabs>
        <w:ind w:left="5148" w:hanging="360"/>
      </w:pPr>
      <w:rPr>
        <w:rFonts w:ascii="Symbol" w:hAnsi="Symbol" w:hint="default"/>
      </w:rPr>
    </w:lvl>
    <w:lvl w:ilvl="4" w:tplc="CE34517C" w:tentative="1">
      <w:start w:val="1"/>
      <w:numFmt w:val="bullet"/>
      <w:lvlText w:val="o"/>
      <w:lvlJc w:val="left"/>
      <w:pPr>
        <w:tabs>
          <w:tab w:val="num" w:pos="5868"/>
        </w:tabs>
        <w:ind w:left="5868" w:hanging="360"/>
      </w:pPr>
      <w:rPr>
        <w:rFonts w:ascii="Courier New" w:hAnsi="Courier New" w:hint="default"/>
      </w:rPr>
    </w:lvl>
    <w:lvl w:ilvl="5" w:tplc="7896B1E2" w:tentative="1">
      <w:start w:val="1"/>
      <w:numFmt w:val="bullet"/>
      <w:lvlText w:val=""/>
      <w:lvlJc w:val="left"/>
      <w:pPr>
        <w:tabs>
          <w:tab w:val="num" w:pos="6588"/>
        </w:tabs>
        <w:ind w:left="6588" w:hanging="360"/>
      </w:pPr>
      <w:rPr>
        <w:rFonts w:ascii="Wingdings" w:hAnsi="Wingdings" w:hint="default"/>
      </w:rPr>
    </w:lvl>
    <w:lvl w:ilvl="6" w:tplc="D31C90A8" w:tentative="1">
      <w:start w:val="1"/>
      <w:numFmt w:val="bullet"/>
      <w:lvlText w:val=""/>
      <w:lvlJc w:val="left"/>
      <w:pPr>
        <w:tabs>
          <w:tab w:val="num" w:pos="7308"/>
        </w:tabs>
        <w:ind w:left="7308" w:hanging="360"/>
      </w:pPr>
      <w:rPr>
        <w:rFonts w:ascii="Symbol" w:hAnsi="Symbol" w:hint="default"/>
      </w:rPr>
    </w:lvl>
    <w:lvl w:ilvl="7" w:tplc="E81AF088" w:tentative="1">
      <w:start w:val="1"/>
      <w:numFmt w:val="bullet"/>
      <w:lvlText w:val="o"/>
      <w:lvlJc w:val="left"/>
      <w:pPr>
        <w:tabs>
          <w:tab w:val="num" w:pos="8028"/>
        </w:tabs>
        <w:ind w:left="8028" w:hanging="360"/>
      </w:pPr>
      <w:rPr>
        <w:rFonts w:ascii="Courier New" w:hAnsi="Courier New" w:hint="default"/>
      </w:rPr>
    </w:lvl>
    <w:lvl w:ilvl="8" w:tplc="0FDAA4C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090217"/>
    <w:multiLevelType w:val="multilevel"/>
    <w:tmpl w:val="A20A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982C81"/>
    <w:multiLevelType w:val="hybridMultilevel"/>
    <w:tmpl w:val="3A38D2E8"/>
    <w:lvl w:ilvl="0" w:tplc="88BE8824">
      <w:start w:val="1"/>
      <w:numFmt w:val="decimal"/>
      <w:lvlText w:val="%1."/>
      <w:lvlJc w:val="left"/>
      <w:pPr>
        <w:ind w:left="720" w:hanging="360"/>
      </w:pPr>
      <w:rPr>
        <w:rFonts w:eastAsia="Apto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842BD94">
      <w:start w:val="1"/>
      <w:numFmt w:val="bullet"/>
      <w:pStyle w:val="Bullet1G"/>
      <w:lvlText w:val="•"/>
      <w:lvlJc w:val="left"/>
      <w:pPr>
        <w:tabs>
          <w:tab w:val="num" w:pos="1701"/>
        </w:tabs>
        <w:ind w:left="1701" w:hanging="170"/>
      </w:pPr>
      <w:rPr>
        <w:rFonts w:ascii="Times New Roman" w:hAnsi="Times New Roman" w:cs="Times New Roman" w:hint="default"/>
      </w:rPr>
    </w:lvl>
    <w:lvl w:ilvl="1" w:tplc="683402C0" w:tentative="1">
      <w:start w:val="1"/>
      <w:numFmt w:val="bullet"/>
      <w:lvlText w:val="o"/>
      <w:lvlJc w:val="left"/>
      <w:pPr>
        <w:tabs>
          <w:tab w:val="num" w:pos="3141"/>
        </w:tabs>
        <w:ind w:left="3141" w:hanging="360"/>
      </w:pPr>
      <w:rPr>
        <w:rFonts w:ascii="Courier New" w:hAnsi="Courier New" w:hint="default"/>
      </w:rPr>
    </w:lvl>
    <w:lvl w:ilvl="2" w:tplc="C55E320C" w:tentative="1">
      <w:start w:val="1"/>
      <w:numFmt w:val="bullet"/>
      <w:lvlText w:val=""/>
      <w:lvlJc w:val="left"/>
      <w:pPr>
        <w:tabs>
          <w:tab w:val="num" w:pos="3861"/>
        </w:tabs>
        <w:ind w:left="3861" w:hanging="360"/>
      </w:pPr>
      <w:rPr>
        <w:rFonts w:ascii="Wingdings" w:hAnsi="Wingdings" w:hint="default"/>
      </w:rPr>
    </w:lvl>
    <w:lvl w:ilvl="3" w:tplc="830A7D34" w:tentative="1">
      <w:start w:val="1"/>
      <w:numFmt w:val="bullet"/>
      <w:lvlText w:val=""/>
      <w:lvlJc w:val="left"/>
      <w:pPr>
        <w:tabs>
          <w:tab w:val="num" w:pos="4581"/>
        </w:tabs>
        <w:ind w:left="4581" w:hanging="360"/>
      </w:pPr>
      <w:rPr>
        <w:rFonts w:ascii="Symbol" w:hAnsi="Symbol" w:hint="default"/>
      </w:rPr>
    </w:lvl>
    <w:lvl w:ilvl="4" w:tplc="B05E857E" w:tentative="1">
      <w:start w:val="1"/>
      <w:numFmt w:val="bullet"/>
      <w:lvlText w:val="o"/>
      <w:lvlJc w:val="left"/>
      <w:pPr>
        <w:tabs>
          <w:tab w:val="num" w:pos="5301"/>
        </w:tabs>
        <w:ind w:left="5301" w:hanging="360"/>
      </w:pPr>
      <w:rPr>
        <w:rFonts w:ascii="Courier New" w:hAnsi="Courier New" w:hint="default"/>
      </w:rPr>
    </w:lvl>
    <w:lvl w:ilvl="5" w:tplc="A81EF54E" w:tentative="1">
      <w:start w:val="1"/>
      <w:numFmt w:val="bullet"/>
      <w:lvlText w:val=""/>
      <w:lvlJc w:val="left"/>
      <w:pPr>
        <w:tabs>
          <w:tab w:val="num" w:pos="6021"/>
        </w:tabs>
        <w:ind w:left="6021" w:hanging="360"/>
      </w:pPr>
      <w:rPr>
        <w:rFonts w:ascii="Wingdings" w:hAnsi="Wingdings" w:hint="default"/>
      </w:rPr>
    </w:lvl>
    <w:lvl w:ilvl="6" w:tplc="70B081A6" w:tentative="1">
      <w:start w:val="1"/>
      <w:numFmt w:val="bullet"/>
      <w:lvlText w:val=""/>
      <w:lvlJc w:val="left"/>
      <w:pPr>
        <w:tabs>
          <w:tab w:val="num" w:pos="6741"/>
        </w:tabs>
        <w:ind w:left="6741" w:hanging="360"/>
      </w:pPr>
      <w:rPr>
        <w:rFonts w:ascii="Symbol" w:hAnsi="Symbol" w:hint="default"/>
      </w:rPr>
    </w:lvl>
    <w:lvl w:ilvl="7" w:tplc="48B2259C" w:tentative="1">
      <w:start w:val="1"/>
      <w:numFmt w:val="bullet"/>
      <w:lvlText w:val="o"/>
      <w:lvlJc w:val="left"/>
      <w:pPr>
        <w:tabs>
          <w:tab w:val="num" w:pos="7461"/>
        </w:tabs>
        <w:ind w:left="7461" w:hanging="360"/>
      </w:pPr>
      <w:rPr>
        <w:rFonts w:ascii="Courier New" w:hAnsi="Courier New" w:hint="default"/>
      </w:rPr>
    </w:lvl>
    <w:lvl w:ilvl="8" w:tplc="501E224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594630">
    <w:abstractNumId w:val="18"/>
  </w:num>
  <w:num w:numId="2" w16cid:durableId="923421249">
    <w:abstractNumId w:val="14"/>
  </w:num>
  <w:num w:numId="3" w16cid:durableId="1117405292">
    <w:abstractNumId w:val="12"/>
  </w:num>
  <w:num w:numId="4" w16cid:durableId="1573346996">
    <w:abstractNumId w:val="8"/>
  </w:num>
  <w:num w:numId="5" w16cid:durableId="308948712">
    <w:abstractNumId w:val="3"/>
  </w:num>
  <w:num w:numId="6" w16cid:durableId="1342778650">
    <w:abstractNumId w:val="2"/>
  </w:num>
  <w:num w:numId="7" w16cid:durableId="980772233">
    <w:abstractNumId w:val="1"/>
  </w:num>
  <w:num w:numId="8" w16cid:durableId="1846557310">
    <w:abstractNumId w:val="0"/>
  </w:num>
  <w:num w:numId="9" w16cid:durableId="806775104">
    <w:abstractNumId w:val="9"/>
  </w:num>
  <w:num w:numId="10" w16cid:durableId="1413695835">
    <w:abstractNumId w:val="7"/>
  </w:num>
  <w:num w:numId="11" w16cid:durableId="1969430576">
    <w:abstractNumId w:val="6"/>
  </w:num>
  <w:num w:numId="12" w16cid:durableId="233206718">
    <w:abstractNumId w:val="5"/>
  </w:num>
  <w:num w:numId="13" w16cid:durableId="143742309">
    <w:abstractNumId w:val="4"/>
  </w:num>
  <w:num w:numId="14" w16cid:durableId="1478492728">
    <w:abstractNumId w:val="18"/>
  </w:num>
  <w:num w:numId="15" w16cid:durableId="2141486237">
    <w:abstractNumId w:val="14"/>
  </w:num>
  <w:num w:numId="16" w16cid:durableId="1716926716">
    <w:abstractNumId w:val="12"/>
  </w:num>
  <w:num w:numId="17" w16cid:durableId="1057508702">
    <w:abstractNumId w:val="11"/>
  </w:num>
  <w:num w:numId="18" w16cid:durableId="628391834">
    <w:abstractNumId w:val="17"/>
  </w:num>
  <w:num w:numId="19" w16cid:durableId="1736123226">
    <w:abstractNumId w:val="10"/>
  </w:num>
  <w:num w:numId="20" w16cid:durableId="1199779748">
    <w:abstractNumId w:val="19"/>
  </w:num>
  <w:num w:numId="21" w16cid:durableId="198514948">
    <w:abstractNumId w:val="13"/>
  </w:num>
  <w:num w:numId="22" w16cid:durableId="815954975">
    <w:abstractNumId w:val="15"/>
  </w:num>
  <w:num w:numId="23" w16cid:durableId="21104634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34B"/>
    <w:rsid w:val="0004229E"/>
    <w:rsid w:val="00065353"/>
    <w:rsid w:val="00091B57"/>
    <w:rsid w:val="000D6EBD"/>
    <w:rsid w:val="000E2303"/>
    <w:rsid w:val="00112CDC"/>
    <w:rsid w:val="00171C87"/>
    <w:rsid w:val="001743CC"/>
    <w:rsid w:val="001C3F69"/>
    <w:rsid w:val="00213FF2"/>
    <w:rsid w:val="00255CA5"/>
    <w:rsid w:val="002D3DE7"/>
    <w:rsid w:val="002D71AD"/>
    <w:rsid w:val="002F48DB"/>
    <w:rsid w:val="003A13D1"/>
    <w:rsid w:val="003D0C6E"/>
    <w:rsid w:val="00401D3B"/>
    <w:rsid w:val="00404FB6"/>
    <w:rsid w:val="00413656"/>
    <w:rsid w:val="0045317F"/>
    <w:rsid w:val="004A137A"/>
    <w:rsid w:val="004C0BF1"/>
    <w:rsid w:val="004C6FD4"/>
    <w:rsid w:val="004D0C75"/>
    <w:rsid w:val="004D4967"/>
    <w:rsid w:val="004D59C3"/>
    <w:rsid w:val="0050318F"/>
    <w:rsid w:val="00533A31"/>
    <w:rsid w:val="006134B1"/>
    <w:rsid w:val="00620285"/>
    <w:rsid w:val="006A5D33"/>
    <w:rsid w:val="006A7A9A"/>
    <w:rsid w:val="00713D20"/>
    <w:rsid w:val="00757AE1"/>
    <w:rsid w:val="007E3428"/>
    <w:rsid w:val="008064D5"/>
    <w:rsid w:val="00847189"/>
    <w:rsid w:val="0085577A"/>
    <w:rsid w:val="008639C0"/>
    <w:rsid w:val="00872B60"/>
    <w:rsid w:val="00894F16"/>
    <w:rsid w:val="008C25E0"/>
    <w:rsid w:val="008E7BFD"/>
    <w:rsid w:val="0093287E"/>
    <w:rsid w:val="00947297"/>
    <w:rsid w:val="00973214"/>
    <w:rsid w:val="00991E4E"/>
    <w:rsid w:val="00997108"/>
    <w:rsid w:val="009C1A19"/>
    <w:rsid w:val="009D5C1C"/>
    <w:rsid w:val="009D693D"/>
    <w:rsid w:val="00A335D5"/>
    <w:rsid w:val="00A67EFE"/>
    <w:rsid w:val="00AB47E2"/>
    <w:rsid w:val="00AB6F10"/>
    <w:rsid w:val="00AE2EC4"/>
    <w:rsid w:val="00B14816"/>
    <w:rsid w:val="00B52512"/>
    <w:rsid w:val="00B71FD9"/>
    <w:rsid w:val="00BB0CB1"/>
    <w:rsid w:val="00BC557D"/>
    <w:rsid w:val="00C6048B"/>
    <w:rsid w:val="00CA49ED"/>
    <w:rsid w:val="00CF365F"/>
    <w:rsid w:val="00D113BF"/>
    <w:rsid w:val="00DA7659"/>
    <w:rsid w:val="00DF1394"/>
    <w:rsid w:val="00E27D7A"/>
    <w:rsid w:val="00E678E3"/>
    <w:rsid w:val="00E837F5"/>
    <w:rsid w:val="00EE00B4"/>
    <w:rsid w:val="00EF7400"/>
    <w:rsid w:val="00EF741F"/>
    <w:rsid w:val="00F4731F"/>
    <w:rsid w:val="00F6234B"/>
    <w:rsid w:val="00F637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69E87"/>
  <w15:docId w15:val="{A7909379-97E3-4A3E-91DE-0E85600A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E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091B57"/>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091B57"/>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091B57"/>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091B57"/>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091B57"/>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091B57"/>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basedOn w:val="DefaultParagraphFont"/>
    <w:uiPriority w:val="22"/>
    <w:qFormat/>
    <w:rsid w:val="00CA49ED"/>
    <w:rPr>
      <w:b/>
      <w:bCs/>
    </w:rPr>
  </w:style>
  <w:style w:type="paragraph" w:styleId="ListParagraph">
    <w:name w:val="List Paragraph"/>
    <w:basedOn w:val="Normal"/>
    <w:uiPriority w:val="34"/>
    <w:qFormat/>
    <w:rsid w:val="004A137A"/>
    <w:pPr>
      <w:suppressAutoHyphens w:val="0"/>
      <w:spacing w:after="160" w:line="278" w:lineRule="auto"/>
      <w:ind w:left="720"/>
      <w:contextualSpacing/>
    </w:pPr>
    <w:rPr>
      <w:rFonts w:ascii="Calibri" w:eastAsia="Calibri" w:hAnsi="Calibri" w:cs="Cordia New"/>
      <w:kern w:val="2"/>
      <w:sz w:val="24"/>
      <w:szCs w:val="30"/>
      <w:lang w:val="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2025-10-06T20:05:26+00:00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2025-10-06T20:05:26+00:00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2025-10-06T20:05:26+00:00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9F0B18DE-BE29-47AC-8B2B-7881027AC7BB}">
  <ds:schemaRefs>
    <ds:schemaRef ds:uri="http://schemas.microsoft.com/sharepoint/v3/contenttype/forms"/>
  </ds:schemaRefs>
</ds:datastoreItem>
</file>

<file path=customXml/itemProps2.xml><?xml version="1.0" encoding="utf-8"?>
<ds:datastoreItem xmlns:ds="http://schemas.openxmlformats.org/officeDocument/2006/customXml" ds:itemID="{1DE8DB55-8903-49B0-BA62-4BFF4BA3A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FBDAED-90FF-4D5A-818A-AB98A238ABE1}">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2014</Words>
  <Characters>11482</Characters>
  <Application>Microsoft Office Word</Application>
  <DocSecurity>0</DocSecurity>
  <Lines>95</Lines>
  <Paragraphs>26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CAT/C/ARM/FCO/5</dc:title>
  <dc:creator>Gloria</dc:creator>
  <cp:lastModifiedBy>Denise D''Aniello</cp:lastModifiedBy>
  <cp:revision>2</cp:revision>
  <cp:lastPrinted>2014-05-14T10:59:00Z</cp:lastPrinted>
  <dcterms:created xsi:type="dcterms:W3CDTF">2026-06-05T15:56:00Z</dcterms:created>
  <dcterms:modified xsi:type="dcterms:W3CDTF">2026-06-05T15:56:00Z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0x010100A7FA57C9FAB45A42AB7F0F2F29DA9B83</vt:lpwstr>
  </property>
  <property fmtid="{D5CDD505-2E9C-101B-9397-08002B2CF9AE}" pid="8" name="count">
    <vt:lpwstr>Armenia</vt:lpwstr>
  </property>
  <property fmtid="{D5CDD505-2E9C-101B-9397-08002B2CF9AE}" pid="9" name="countw">
    <vt:lpwstr>Armenia</vt:lpwstr>
  </property>
  <property fmtid="{D5CDD505-2E9C-101B-9397-08002B2CF9AE}" pid="10" name="countwd">
    <vt:lpwstr>Armenia</vt:lpwstr>
  </property>
  <property fmtid="{D5CDD505-2E9C-101B-9397-08002B2CF9AE}" pid="11" name="date">
    <vt:lpwstr>14 May 2025</vt:lpwstr>
  </property>
  <property fmtid="{D5CDD505-2E9C-101B-9397-08002B2CF9AE}" pid="12" name="Date-Generated">
    <vt:filetime>2025-05-12T08:46:41Z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147800</vt:r8>
  </property>
  <property fmtid="{D5CDD505-2E9C-101B-9397-08002B2CF9AE}" pid="22" name="Org">
    <vt:lpwstr>OHCHR</vt:lpwstr>
  </property>
  <property fmtid="{D5CDD505-2E9C-101B-9397-08002B2CF9AE}" pid="23" name="prep">
    <vt:lpwstr>fifth periodic report of Armenia</vt:lpwstr>
  </property>
  <property fmtid="{D5CDD505-2E9C-101B-9397-08002B2CF9AE}" pid="24" name="preps">
    <vt:lpwstr>fifth periodic report of Armenia</vt:lpwstr>
  </property>
  <property fmtid="{D5CDD505-2E9C-101B-9397-08002B2CF9AE}" pid="25" name="prepw">
    <vt:lpwstr>fifth periodic report</vt:lpwstr>
  </property>
  <property fmtid="{D5CDD505-2E9C-101B-9397-08002B2CF9AE}" pid="26" name="prepwc">
    <vt:lpwstr>Fifth periodic report </vt:lpwstr>
  </property>
  <property fmtid="{D5CDD505-2E9C-101B-9397-08002B2CF9AE}" pid="27" name="prepws">
    <vt:lpwstr>fifth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C/ARM/FCO/5</vt:lpwstr>
  </property>
  <property fmtid="{D5CDD505-2E9C-101B-9397-08002B2CF9AE}" pid="33" name="symh">
    <vt:lpwstr>CAT/C/ARM/FCO/5</vt:lpwstr>
  </property>
  <property fmtid="{D5CDD505-2E9C-101B-9397-08002B2CF9AE}" pid="34" name="Title">
    <vt:lpwstr>CAT/C/ARM/FCO/5</vt:lpwstr>
  </property>
  <property fmtid="{D5CDD505-2E9C-101B-9397-08002B2CF9AE}" pid="35" name="tlang">
    <vt:lpwstr/>
  </property>
  <property fmtid="{D5CDD505-2E9C-101B-9397-08002B2CF9AE}" pid="36" name="virs">
    <vt:lpwstr>English, French and Spanish only</vt:lpwstr>
  </property>
</Properties>
</file>