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2C6C2" w14:textId="745E6DB1" w:rsidR="009966C9" w:rsidRDefault="000261B1" w:rsidP="00CF01A5">
      <w:pPr>
        <w:jc w:val="center"/>
      </w:pPr>
      <w:r>
        <w:rPr>
          <w:noProof/>
        </w:rPr>
        <w:drawing>
          <wp:inline distT="0" distB="0" distL="0" distR="0" wp14:anchorId="223931D1" wp14:editId="347833FB">
            <wp:extent cx="3412672" cy="666019"/>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47286" cy="692290"/>
                    </a:xfrm>
                    <a:prstGeom prst="rect">
                      <a:avLst/>
                    </a:prstGeom>
                  </pic:spPr>
                </pic:pic>
              </a:graphicData>
            </a:graphic>
          </wp:inline>
        </w:drawing>
      </w:r>
      <w:r w:rsidR="00FC590D">
        <w:rPr>
          <w:rFonts w:ascii="Times New Roman" w:eastAsia="Times New Roman" w:hAnsi="Times New Roman" w:cs="Times New Roman"/>
          <w:noProof/>
        </w:rPr>
        <w:drawing>
          <wp:inline distT="0" distB="0" distL="0" distR="0" wp14:anchorId="0B7E0B8E" wp14:editId="7E663C62">
            <wp:extent cx="986201" cy="814812"/>
            <wp:effectExtent l="0" t="0" r="4445" b="0"/>
            <wp:docPr id="9" name="Picture 9"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37105" cy="856870"/>
                    </a:xfrm>
                    <a:prstGeom prst="rect">
                      <a:avLst/>
                    </a:prstGeom>
                  </pic:spPr>
                </pic:pic>
              </a:graphicData>
            </a:graphic>
          </wp:inline>
        </w:drawing>
      </w:r>
    </w:p>
    <w:p w14:paraId="61834963" w14:textId="77777777" w:rsidR="005E4A2E" w:rsidRDefault="005E4A2E" w:rsidP="009966C9">
      <w:pPr>
        <w:jc w:val="center"/>
      </w:pPr>
    </w:p>
    <w:p w14:paraId="733A1863" w14:textId="68E01659" w:rsidR="009966C9" w:rsidRDefault="000261B1" w:rsidP="001F78F9">
      <w:pPr>
        <w:jc w:val="center"/>
      </w:pPr>
      <w:r>
        <w:rPr>
          <w:noProof/>
        </w:rPr>
        <w:drawing>
          <wp:inline distT="0" distB="0" distL="0" distR="0" wp14:anchorId="279068DA" wp14:editId="439A226E">
            <wp:extent cx="1501140" cy="673196"/>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2594" cy="678333"/>
                    </a:xfrm>
                    <a:prstGeom prst="rect">
                      <a:avLst/>
                    </a:prstGeom>
                  </pic:spPr>
                </pic:pic>
              </a:graphicData>
            </a:graphic>
          </wp:inline>
        </w:drawing>
      </w:r>
      <w:r>
        <w:rPr>
          <w:noProof/>
        </w:rPr>
        <w:drawing>
          <wp:inline distT="0" distB="0" distL="0" distR="0" wp14:anchorId="559CD9B6" wp14:editId="45B07FBC">
            <wp:extent cx="932507" cy="89689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60487" cy="923801"/>
                    </a:xfrm>
                    <a:prstGeom prst="rect">
                      <a:avLst/>
                    </a:prstGeom>
                  </pic:spPr>
                </pic:pic>
              </a:graphicData>
            </a:graphic>
          </wp:inline>
        </w:drawing>
      </w:r>
      <w:r w:rsidR="00FD1330">
        <w:rPr>
          <w:rFonts w:ascii="Times" w:eastAsia="Times" w:hAnsi="Times" w:cs="Times"/>
          <w:b/>
          <w:noProof/>
          <w:sz w:val="40"/>
          <w:szCs w:val="40"/>
        </w:rPr>
        <w:drawing>
          <wp:inline distT="0" distB="0" distL="0" distR="0" wp14:anchorId="0DB66D45" wp14:editId="2FDA6FCF">
            <wp:extent cx="706170" cy="1035916"/>
            <wp:effectExtent l="0" t="0" r="5080" b="5715"/>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717056" cy="1051885"/>
                    </a:xfrm>
                    <a:prstGeom prst="rect">
                      <a:avLst/>
                    </a:prstGeom>
                  </pic:spPr>
                </pic:pic>
              </a:graphicData>
            </a:graphic>
          </wp:inline>
        </w:drawing>
      </w:r>
      <w:r w:rsidR="00AE368F">
        <w:rPr>
          <w:noProof/>
        </w:rPr>
        <w:drawing>
          <wp:inline distT="0" distB="0" distL="0" distR="0" wp14:anchorId="325A30E5" wp14:editId="52DAEBB3">
            <wp:extent cx="1004570" cy="1098613"/>
            <wp:effectExtent l="0" t="0" r="0" b="6350"/>
            <wp:docPr id="7" name="Picture 7" descr="A group of people holding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holding a sign&#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40824" cy="1138261"/>
                    </a:xfrm>
                    <a:prstGeom prst="rect">
                      <a:avLst/>
                    </a:prstGeom>
                  </pic:spPr>
                </pic:pic>
              </a:graphicData>
            </a:graphic>
          </wp:inline>
        </w:drawing>
      </w:r>
    </w:p>
    <w:p w14:paraId="7388A89F" w14:textId="77777777" w:rsidR="000261B1" w:rsidRDefault="000261B1" w:rsidP="001F78F9">
      <w:pPr>
        <w:jc w:val="center"/>
      </w:pPr>
    </w:p>
    <w:p w14:paraId="12E4DA46" w14:textId="0B943149" w:rsidR="009966C9" w:rsidRPr="001F78F9" w:rsidRDefault="000261B1" w:rsidP="009966C9">
      <w:pPr>
        <w:jc w:val="center"/>
        <w:rPr>
          <w:rFonts w:ascii="Times New Roman" w:eastAsia="Times New Roman" w:hAnsi="Times New Roman" w:cs="Times New Roman"/>
        </w:rPr>
      </w:pPr>
      <w:r>
        <w:rPr>
          <w:noProof/>
        </w:rPr>
        <w:drawing>
          <wp:inline distT="0" distB="0" distL="0" distR="0" wp14:anchorId="5EBE8C51" wp14:editId="67672E00">
            <wp:extent cx="2893803" cy="596265"/>
            <wp:effectExtent l="0" t="0" r="1905" b="635"/>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63398" cy="651815"/>
                    </a:xfrm>
                    <a:prstGeom prst="rect">
                      <a:avLst/>
                    </a:prstGeom>
                  </pic:spPr>
                </pic:pic>
              </a:graphicData>
            </a:graphic>
          </wp:inline>
        </w:drawing>
      </w:r>
      <w:r w:rsidR="005E4A2E">
        <w:rPr>
          <w:rFonts w:ascii="Times New Roman" w:eastAsia="Times New Roman" w:hAnsi="Times New Roman" w:cs="Times New Roman"/>
        </w:rPr>
        <w:t xml:space="preserve">  </w:t>
      </w:r>
      <w:r w:rsidR="00781601" w:rsidRPr="009966C9">
        <w:rPr>
          <w:rFonts w:ascii="Times New Roman" w:eastAsia="Times New Roman" w:hAnsi="Times New Roman" w:cs="Times New Roman"/>
        </w:rPr>
        <w:fldChar w:fldCharType="begin"/>
      </w:r>
      <w:r w:rsidR="00781601" w:rsidRPr="009966C9">
        <w:rPr>
          <w:rFonts w:ascii="Times New Roman" w:eastAsia="Times New Roman" w:hAnsi="Times New Roman" w:cs="Times New Roman"/>
        </w:rPr>
        <w:instrText xml:space="preserve"> INCLUDEPICTURE "https://attachments.office.net/owa/l.leira-clinic@law.miami.edu/service.svc/s/GetAttachmentThumbnail?id=AAMkAGU1MGRhZGYyLWQ1MTQtNDdkMS04OThiLTI5MmM1MTM4NmIwMwBGAAAAAAAmqYsBanTwRofiEtRJo8asBwCQCui5l96WSYxcoD%2BW8VkLAAAAAAEMAACQCui5l96WSYxcoD%2BW8VkLAAC7OdQbAAABEgAQAFwwFgFIgkRGmJmMxEq5NQw%3D&amp;thumbnailType=2&amp;token=eyJhbGciOiJSUzI1NiIsImtpZCI6IkZBRDY1NDI2MkM2QUYyOTYxQUExRThDQUI3OEZGMUIyNzBFNzA3RTkiLCJ0eXAiOiJKV1QiLCJ4NXQiOiItdFpVSml4cThwWWFvZWpLdDRfeHNuRG5CLWsifQ.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.hoEyQ3owUJ-HtOxribvAwvw0VL00oKr7Pxfc75W2V6lRzS2bWitmUw7CUpiP4CQ-hYdVM7XN4Z1kcCozguzDj3PR6hWdNVEI7MA6AqmaL_VrSxyTPu0wy2dpj3CaTkCOP2ympucLOuEkyQBX1GN-VJJz87SdCKOQEdBHXyMCx9gfUuvqK7r6TfV2kXHkROMdn9EBswm502mkndG-aumVn35HjlxvRXA0GasEbSqWbHEbmVARwY_GeW4ihr2DQBEMy9awKrzNLdjSrY492iJazW3CvsWXG1ujBD07imoMnKdNznfNVk-KBePy5I3h2nlxsSIdc9TOIaHpzpmv2IJZWQ&amp;X-OWA-CANARY=AiylCTWfjUKqEp3SIRwzZ_D0qfdaN9oY86E6RUSH6CWpgDXZ302R0RBDRGAgsFJJHtTpq0EBLuE.&amp;owa=outlook.office.com&amp;scriptVer=20220408004.16&amp;animation=true" \* MERGEFORMATINET </w:instrText>
      </w:r>
      <w:r w:rsidR="00781601" w:rsidRPr="009966C9">
        <w:rPr>
          <w:rFonts w:ascii="Times New Roman" w:eastAsia="Times New Roman" w:hAnsi="Times New Roman" w:cs="Times New Roman"/>
        </w:rPr>
        <w:fldChar w:fldCharType="separate"/>
      </w:r>
      <w:r w:rsidR="00781601" w:rsidRPr="009966C9">
        <w:rPr>
          <w:rFonts w:ascii="Times New Roman" w:eastAsia="Times New Roman" w:hAnsi="Times New Roman" w:cs="Times New Roman"/>
          <w:noProof/>
        </w:rPr>
        <w:drawing>
          <wp:inline distT="0" distB="0" distL="0" distR="0" wp14:anchorId="22EC6EC7" wp14:editId="63629218">
            <wp:extent cx="669925" cy="651849"/>
            <wp:effectExtent l="0" t="0" r="3175" b="0"/>
            <wp:docPr id="4"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72793" cy="654639"/>
                    </a:xfrm>
                    <a:prstGeom prst="rect">
                      <a:avLst/>
                    </a:prstGeom>
                    <a:noFill/>
                    <a:ln>
                      <a:noFill/>
                    </a:ln>
                  </pic:spPr>
                </pic:pic>
              </a:graphicData>
            </a:graphic>
          </wp:inline>
        </w:drawing>
      </w:r>
      <w:r w:rsidR="00781601" w:rsidRPr="009966C9">
        <w:rPr>
          <w:rFonts w:ascii="Times New Roman" w:eastAsia="Times New Roman" w:hAnsi="Times New Roman" w:cs="Times New Roman"/>
        </w:rPr>
        <w:fldChar w:fldCharType="end"/>
      </w:r>
      <w:r w:rsidR="005E4A2E">
        <w:rPr>
          <w:rFonts w:ascii="Times New Roman" w:eastAsia="Times New Roman" w:hAnsi="Times New Roman" w:cs="Times New Roman"/>
        </w:rPr>
        <w:t xml:space="preserve">   </w:t>
      </w:r>
      <w:r w:rsidR="005E4A2E">
        <w:rPr>
          <w:rFonts w:ascii="Times New Roman" w:eastAsia="Times New Roman" w:hAnsi="Times New Roman" w:cs="Times New Roman"/>
          <w:noProof/>
        </w:rPr>
        <w:drawing>
          <wp:inline distT="0" distB="0" distL="0" distR="0" wp14:anchorId="4F338334" wp14:editId="4A5F3C46">
            <wp:extent cx="876692" cy="904875"/>
            <wp:effectExtent l="0" t="0" r="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6048" cy="935175"/>
                    </a:xfrm>
                    <a:prstGeom prst="rect">
                      <a:avLst/>
                    </a:prstGeom>
                  </pic:spPr>
                </pic:pic>
              </a:graphicData>
            </a:graphic>
          </wp:inline>
        </w:drawing>
      </w:r>
    </w:p>
    <w:p w14:paraId="1E2DEFE0" w14:textId="77777777" w:rsidR="009966C9" w:rsidRDefault="009966C9" w:rsidP="00CF01A5">
      <w:pPr>
        <w:rPr>
          <w:rFonts w:ascii="Times" w:eastAsia="Times" w:hAnsi="Times" w:cs="Times"/>
          <w:b/>
          <w:sz w:val="40"/>
          <w:szCs w:val="40"/>
        </w:rPr>
      </w:pPr>
    </w:p>
    <w:p w14:paraId="456ACA48" w14:textId="34E3B1EF" w:rsidR="00FD1330" w:rsidRDefault="00FD1330" w:rsidP="00FD1330">
      <w:pPr>
        <w:jc w:val="center"/>
        <w:rPr>
          <w:rFonts w:ascii="Times" w:eastAsia="Times" w:hAnsi="Times" w:cs="Times"/>
          <w:b/>
          <w:sz w:val="40"/>
          <w:szCs w:val="40"/>
        </w:rPr>
      </w:pPr>
      <w:r>
        <w:rPr>
          <w:rFonts w:ascii="Times" w:eastAsia="Times" w:hAnsi="Times" w:cs="Times"/>
          <w:b/>
          <w:sz w:val="40"/>
          <w:szCs w:val="40"/>
        </w:rPr>
        <w:t>Racial Injustice and Violations of the Human Right to Food in the United States</w:t>
      </w:r>
      <w:r>
        <w:rPr>
          <w:rFonts w:ascii="Times" w:eastAsia="Times" w:hAnsi="Times" w:cs="Times"/>
          <w:b/>
          <w:sz w:val="40"/>
          <w:szCs w:val="40"/>
          <w:vertAlign w:val="superscript"/>
        </w:rPr>
        <w:footnoteReference w:id="1"/>
      </w:r>
    </w:p>
    <w:p w14:paraId="11C663AB" w14:textId="77777777" w:rsidR="00620770" w:rsidRPr="00B85D81" w:rsidRDefault="00620770" w:rsidP="00FD1330">
      <w:pPr>
        <w:jc w:val="center"/>
        <w:rPr>
          <w:rFonts w:ascii="Times" w:eastAsia="Times" w:hAnsi="Times" w:cs="Times"/>
          <w:b/>
          <w:sz w:val="30"/>
          <w:szCs w:val="30"/>
        </w:rPr>
      </w:pPr>
    </w:p>
    <w:p w14:paraId="2CDF00AD" w14:textId="77777777" w:rsidR="00FD1330" w:rsidRDefault="00FD1330" w:rsidP="00FD1330">
      <w:pPr>
        <w:jc w:val="center"/>
        <w:rPr>
          <w:rFonts w:ascii="Times" w:eastAsia="Times" w:hAnsi="Times" w:cs="Times"/>
          <w:b/>
          <w:sz w:val="26"/>
          <w:szCs w:val="26"/>
        </w:rPr>
      </w:pPr>
      <w:r>
        <w:rPr>
          <w:rFonts w:ascii="Times" w:eastAsia="Times" w:hAnsi="Times" w:cs="Times"/>
          <w:b/>
          <w:sz w:val="26"/>
          <w:szCs w:val="26"/>
        </w:rPr>
        <w:t>List of Themes</w:t>
      </w:r>
      <w:r>
        <w:rPr>
          <w:rStyle w:val="FootnoteReference"/>
          <w:rFonts w:ascii="Times" w:eastAsia="Times" w:hAnsi="Times" w:cs="Times"/>
          <w:b/>
          <w:sz w:val="26"/>
          <w:szCs w:val="26"/>
        </w:rPr>
        <w:footnoteReference w:id="2"/>
      </w:r>
      <w:r>
        <w:rPr>
          <w:rFonts w:ascii="Times" w:eastAsia="Times" w:hAnsi="Times" w:cs="Times"/>
          <w:b/>
          <w:sz w:val="26"/>
          <w:szCs w:val="26"/>
        </w:rPr>
        <w:t xml:space="preserve"> Submission to the </w:t>
      </w:r>
    </w:p>
    <w:p w14:paraId="0229C27F" w14:textId="77777777" w:rsidR="00FD1330" w:rsidRDefault="00FD1330" w:rsidP="00FD1330">
      <w:pPr>
        <w:jc w:val="center"/>
        <w:rPr>
          <w:rFonts w:ascii="Times" w:eastAsia="Times" w:hAnsi="Times" w:cs="Times"/>
          <w:b/>
          <w:sz w:val="26"/>
          <w:szCs w:val="26"/>
        </w:rPr>
      </w:pPr>
      <w:r>
        <w:rPr>
          <w:rFonts w:ascii="Times" w:eastAsia="Times" w:hAnsi="Times" w:cs="Times"/>
          <w:b/>
          <w:sz w:val="26"/>
          <w:szCs w:val="26"/>
        </w:rPr>
        <w:t xml:space="preserve">Committee on the Elimination of Racial Discrimination (CERD) </w:t>
      </w:r>
    </w:p>
    <w:p w14:paraId="171726DB" w14:textId="77777777" w:rsidR="00FD1330" w:rsidRPr="000F5B72" w:rsidRDefault="00FD1330" w:rsidP="00FD1330">
      <w:pPr>
        <w:jc w:val="center"/>
        <w:rPr>
          <w:rFonts w:ascii="Times" w:eastAsia="Times" w:hAnsi="Times" w:cs="Times"/>
          <w:b/>
          <w:sz w:val="26"/>
          <w:szCs w:val="26"/>
        </w:rPr>
      </w:pPr>
      <w:r>
        <w:rPr>
          <w:rFonts w:ascii="Times" w:eastAsia="Times" w:hAnsi="Times" w:cs="Times"/>
          <w:b/>
          <w:sz w:val="26"/>
          <w:szCs w:val="26"/>
        </w:rPr>
        <w:t>For the United States Review</w:t>
      </w:r>
    </w:p>
    <w:p w14:paraId="2E3BB881" w14:textId="77777777" w:rsidR="00B85D81" w:rsidRPr="00B85D81" w:rsidRDefault="00B85D81" w:rsidP="00FD1330">
      <w:pPr>
        <w:pBdr>
          <w:top w:val="nil"/>
          <w:left w:val="nil"/>
          <w:bottom w:val="nil"/>
          <w:right w:val="nil"/>
          <w:between w:val="nil"/>
        </w:pBdr>
        <w:jc w:val="center"/>
        <w:rPr>
          <w:rFonts w:ascii="Times" w:eastAsia="Times" w:hAnsi="Times" w:cs="Times"/>
          <w:color w:val="000000"/>
          <w:sz w:val="22"/>
          <w:szCs w:val="22"/>
        </w:rPr>
      </w:pPr>
    </w:p>
    <w:p w14:paraId="6E3A532F" w14:textId="43ABBB42" w:rsidR="00FD1330" w:rsidRPr="00B85D81" w:rsidRDefault="00FD1330" w:rsidP="00FD1330">
      <w:pPr>
        <w:pBdr>
          <w:top w:val="nil"/>
          <w:left w:val="nil"/>
          <w:bottom w:val="nil"/>
          <w:right w:val="nil"/>
          <w:between w:val="nil"/>
        </w:pBdr>
        <w:jc w:val="center"/>
        <w:rPr>
          <w:rFonts w:ascii="Times" w:eastAsia="Times" w:hAnsi="Times" w:cs="Times"/>
          <w:color w:val="000000"/>
          <w:sz w:val="22"/>
          <w:szCs w:val="22"/>
        </w:rPr>
      </w:pPr>
      <w:r w:rsidRPr="00B85D81">
        <w:rPr>
          <w:rFonts w:ascii="Times" w:eastAsia="Times" w:hAnsi="Times" w:cs="Times"/>
          <w:color w:val="000000"/>
          <w:sz w:val="22"/>
          <w:szCs w:val="22"/>
        </w:rPr>
        <w:t>Submitted on May 16, 2022</w:t>
      </w:r>
      <w:r w:rsidR="006055B0" w:rsidRPr="00B85D81">
        <w:rPr>
          <w:rFonts w:ascii="Times" w:eastAsia="Times" w:hAnsi="Times" w:cs="Times"/>
          <w:color w:val="000000"/>
          <w:sz w:val="22"/>
          <w:szCs w:val="22"/>
        </w:rPr>
        <w:t>, and coordinated by:</w:t>
      </w:r>
    </w:p>
    <w:p w14:paraId="2BD0E14C" w14:textId="77777777" w:rsidR="00AE368F" w:rsidRPr="00B85D81" w:rsidRDefault="00AE368F" w:rsidP="00FD1330">
      <w:pPr>
        <w:pBdr>
          <w:top w:val="nil"/>
          <w:left w:val="nil"/>
          <w:bottom w:val="nil"/>
          <w:right w:val="nil"/>
          <w:between w:val="nil"/>
        </w:pBdr>
        <w:jc w:val="center"/>
        <w:rPr>
          <w:rFonts w:ascii="Times" w:eastAsia="Times" w:hAnsi="Times" w:cs="Times"/>
          <w:color w:val="000000"/>
          <w:sz w:val="22"/>
          <w:szCs w:val="22"/>
        </w:rPr>
      </w:pPr>
    </w:p>
    <w:p w14:paraId="2FA75F7D" w14:textId="516C0CA5" w:rsidR="00FD1330" w:rsidRPr="00516A0D" w:rsidRDefault="00FD1330" w:rsidP="00B85D81">
      <w:pPr>
        <w:jc w:val="center"/>
        <w:rPr>
          <w:rFonts w:ascii="Times New Roman" w:eastAsia="Times" w:hAnsi="Times New Roman" w:cs="Times New Roman"/>
          <w:b/>
          <w:sz w:val="22"/>
          <w:szCs w:val="22"/>
        </w:rPr>
      </w:pPr>
      <w:r w:rsidRPr="00516A0D">
        <w:rPr>
          <w:rFonts w:ascii="Times New Roman" w:eastAsia="Times" w:hAnsi="Times New Roman" w:cs="Times New Roman"/>
          <w:b/>
          <w:sz w:val="22"/>
          <w:szCs w:val="22"/>
          <w:u w:val="single"/>
        </w:rPr>
        <w:t xml:space="preserve">University of Miami School of Law Human Rights Clinic </w:t>
      </w:r>
    </w:p>
    <w:p w14:paraId="4306FF13" w14:textId="77777777" w:rsidR="00FD1330" w:rsidRPr="00516A0D" w:rsidRDefault="00FD1330" w:rsidP="00FD1330">
      <w:pPr>
        <w:jc w:val="center"/>
        <w:rPr>
          <w:rFonts w:ascii="Times New Roman" w:eastAsia="Times" w:hAnsi="Times New Roman" w:cs="Times New Roman"/>
          <w:i/>
          <w:sz w:val="22"/>
          <w:szCs w:val="22"/>
        </w:rPr>
      </w:pPr>
      <w:r w:rsidRPr="00516A0D">
        <w:rPr>
          <w:rFonts w:ascii="Times New Roman" w:eastAsia="Times" w:hAnsi="Times New Roman" w:cs="Times New Roman"/>
          <w:b/>
          <w:sz w:val="22"/>
          <w:szCs w:val="22"/>
        </w:rPr>
        <w:t xml:space="preserve">Denisse </w:t>
      </w:r>
      <w:proofErr w:type="spellStart"/>
      <w:r w:rsidRPr="00516A0D">
        <w:rPr>
          <w:rFonts w:ascii="Times New Roman" w:eastAsia="Times" w:hAnsi="Times New Roman" w:cs="Times New Roman"/>
          <w:b/>
          <w:sz w:val="22"/>
          <w:szCs w:val="22"/>
        </w:rPr>
        <w:t>Córdova</w:t>
      </w:r>
      <w:proofErr w:type="spellEnd"/>
      <w:r w:rsidRPr="00516A0D">
        <w:rPr>
          <w:rFonts w:ascii="Times New Roman" w:eastAsia="Times" w:hAnsi="Times New Roman" w:cs="Times New Roman"/>
          <w:b/>
          <w:sz w:val="22"/>
          <w:szCs w:val="22"/>
        </w:rPr>
        <w:t xml:space="preserve"> Montes</w:t>
      </w:r>
      <w:r w:rsidRPr="00516A0D">
        <w:rPr>
          <w:rFonts w:ascii="Times New Roman" w:eastAsia="Times" w:hAnsi="Times New Roman" w:cs="Times New Roman"/>
          <w:i/>
          <w:sz w:val="22"/>
          <w:szCs w:val="22"/>
        </w:rPr>
        <w:t>, Acting Associate Director</w:t>
      </w:r>
    </w:p>
    <w:p w14:paraId="7E744C5F" w14:textId="77777777" w:rsidR="00FD1330" w:rsidRPr="00516A0D" w:rsidRDefault="00FD1330" w:rsidP="00FD1330">
      <w:pPr>
        <w:jc w:val="center"/>
        <w:rPr>
          <w:rFonts w:ascii="Times New Roman" w:eastAsia="Times" w:hAnsi="Times New Roman" w:cs="Times New Roman"/>
          <w:i/>
          <w:sz w:val="22"/>
          <w:szCs w:val="22"/>
        </w:rPr>
      </w:pPr>
      <w:r w:rsidRPr="00516A0D">
        <w:rPr>
          <w:rFonts w:ascii="Times New Roman" w:eastAsia="Times" w:hAnsi="Times New Roman" w:cs="Times New Roman"/>
          <w:b/>
          <w:sz w:val="22"/>
          <w:szCs w:val="22"/>
        </w:rPr>
        <w:t>Lauren Edwards</w:t>
      </w:r>
      <w:r w:rsidRPr="00516A0D">
        <w:rPr>
          <w:rFonts w:ascii="Times New Roman" w:eastAsia="Times" w:hAnsi="Times New Roman" w:cs="Times New Roman"/>
          <w:sz w:val="22"/>
          <w:szCs w:val="22"/>
        </w:rPr>
        <w:t xml:space="preserve">, </w:t>
      </w:r>
      <w:r w:rsidRPr="00516A0D">
        <w:rPr>
          <w:rFonts w:ascii="Times New Roman" w:eastAsia="Times" w:hAnsi="Times New Roman" w:cs="Times New Roman"/>
          <w:i/>
          <w:sz w:val="22"/>
          <w:szCs w:val="22"/>
        </w:rPr>
        <w:t>Student Intern</w:t>
      </w:r>
    </w:p>
    <w:p w14:paraId="4EA2DBDC" w14:textId="77777777" w:rsidR="00FD1330" w:rsidRPr="00516A0D" w:rsidRDefault="00FD1330" w:rsidP="007E6E07">
      <w:pPr>
        <w:jc w:val="center"/>
        <w:rPr>
          <w:rFonts w:ascii="Times New Roman" w:eastAsia="Times" w:hAnsi="Times New Roman" w:cs="Times New Roman"/>
          <w:b/>
          <w:sz w:val="22"/>
          <w:szCs w:val="22"/>
        </w:rPr>
      </w:pPr>
      <w:r w:rsidRPr="00516A0D">
        <w:rPr>
          <w:rFonts w:ascii="Times New Roman" w:eastAsia="Times" w:hAnsi="Times New Roman" w:cs="Times New Roman"/>
          <w:b/>
          <w:bCs/>
          <w:iCs/>
          <w:sz w:val="22"/>
          <w:szCs w:val="22"/>
        </w:rPr>
        <w:t xml:space="preserve">Laura </w:t>
      </w:r>
      <w:proofErr w:type="spellStart"/>
      <w:r w:rsidRPr="00516A0D">
        <w:rPr>
          <w:rFonts w:ascii="Times New Roman" w:eastAsia="Times" w:hAnsi="Times New Roman" w:cs="Times New Roman"/>
          <w:b/>
          <w:bCs/>
          <w:iCs/>
          <w:sz w:val="22"/>
          <w:szCs w:val="22"/>
        </w:rPr>
        <w:t>Leira</w:t>
      </w:r>
      <w:proofErr w:type="spellEnd"/>
      <w:r w:rsidRPr="00516A0D">
        <w:rPr>
          <w:rFonts w:ascii="Times New Roman" w:eastAsia="Times" w:hAnsi="Times New Roman" w:cs="Times New Roman"/>
          <w:b/>
          <w:bCs/>
          <w:iCs/>
          <w:sz w:val="22"/>
          <w:szCs w:val="22"/>
        </w:rPr>
        <w:t>,</w:t>
      </w:r>
      <w:r w:rsidRPr="00516A0D">
        <w:rPr>
          <w:rFonts w:ascii="Times New Roman" w:eastAsia="Times" w:hAnsi="Times New Roman" w:cs="Times New Roman"/>
          <w:i/>
          <w:sz w:val="22"/>
          <w:szCs w:val="22"/>
        </w:rPr>
        <w:t xml:space="preserve"> Student Intern</w:t>
      </w:r>
      <w:r w:rsidRPr="00516A0D">
        <w:rPr>
          <w:rFonts w:ascii="Times New Roman" w:eastAsia="Times" w:hAnsi="Times New Roman" w:cs="Times New Roman"/>
          <w:b/>
          <w:sz w:val="22"/>
          <w:szCs w:val="22"/>
        </w:rPr>
        <w:t xml:space="preserve"> </w:t>
      </w:r>
    </w:p>
    <w:p w14:paraId="58D970CB" w14:textId="77777777" w:rsidR="00FD1330" w:rsidRPr="00516A0D" w:rsidRDefault="00FD1330" w:rsidP="00FD1330">
      <w:pPr>
        <w:jc w:val="center"/>
        <w:rPr>
          <w:rFonts w:ascii="Times New Roman" w:eastAsia="Times" w:hAnsi="Times New Roman" w:cs="Times New Roman"/>
          <w:b/>
          <w:sz w:val="22"/>
          <w:szCs w:val="22"/>
        </w:rPr>
      </w:pPr>
      <w:r w:rsidRPr="00516A0D">
        <w:rPr>
          <w:rFonts w:ascii="Times New Roman" w:eastAsia="Times" w:hAnsi="Times New Roman" w:cs="Times New Roman"/>
          <w:b/>
          <w:sz w:val="22"/>
          <w:szCs w:val="22"/>
        </w:rPr>
        <w:t xml:space="preserve">Maja </w:t>
      </w:r>
      <w:proofErr w:type="spellStart"/>
      <w:r w:rsidRPr="00516A0D">
        <w:rPr>
          <w:rFonts w:ascii="Times New Roman" w:eastAsia="Times" w:hAnsi="Times New Roman" w:cs="Times New Roman"/>
          <w:b/>
          <w:sz w:val="22"/>
          <w:szCs w:val="22"/>
        </w:rPr>
        <w:t>Veselinovic</w:t>
      </w:r>
      <w:proofErr w:type="spellEnd"/>
      <w:r w:rsidRPr="00516A0D">
        <w:rPr>
          <w:rFonts w:ascii="Times New Roman" w:eastAsia="Times" w:hAnsi="Times New Roman" w:cs="Times New Roman"/>
          <w:i/>
          <w:sz w:val="22"/>
          <w:szCs w:val="22"/>
        </w:rPr>
        <w:t>, Student Intern</w:t>
      </w:r>
    </w:p>
    <w:p w14:paraId="28C90ED6" w14:textId="77777777" w:rsidR="00FD1330" w:rsidRPr="00516A0D" w:rsidRDefault="00FD1330" w:rsidP="00FD1330">
      <w:pPr>
        <w:jc w:val="center"/>
        <w:rPr>
          <w:rFonts w:ascii="Times New Roman" w:eastAsia="Times" w:hAnsi="Times New Roman" w:cs="Times New Roman"/>
          <w:i/>
          <w:sz w:val="22"/>
          <w:szCs w:val="22"/>
        </w:rPr>
      </w:pPr>
      <w:r w:rsidRPr="00516A0D">
        <w:rPr>
          <w:rFonts w:ascii="Times New Roman" w:eastAsia="Times" w:hAnsi="Times New Roman" w:cs="Times New Roman"/>
          <w:b/>
          <w:sz w:val="22"/>
          <w:szCs w:val="22"/>
        </w:rPr>
        <w:br/>
      </w:r>
      <w:r w:rsidRPr="00516A0D">
        <w:rPr>
          <w:rFonts w:ascii="Times New Roman" w:eastAsia="Times" w:hAnsi="Times New Roman" w:cs="Times New Roman"/>
          <w:sz w:val="22"/>
          <w:szCs w:val="22"/>
        </w:rPr>
        <w:t xml:space="preserve">1311 Miller Drive, Coral Gables, FL 33146 </w:t>
      </w:r>
    </w:p>
    <w:p w14:paraId="55E5A6E1" w14:textId="58BAE83A" w:rsidR="00F659E3" w:rsidRDefault="000F34B4" w:rsidP="00516208">
      <w:pPr>
        <w:jc w:val="center"/>
        <w:rPr>
          <w:rFonts w:ascii="Times" w:eastAsia="Times" w:hAnsi="Times" w:cs="Times"/>
        </w:rPr>
      </w:pPr>
      <w:hyperlink r:id="rId17">
        <w:r w:rsidR="00FD1330" w:rsidRPr="004627CF">
          <w:rPr>
            <w:rFonts w:ascii="Times New Roman" w:eastAsia="Times" w:hAnsi="Times New Roman" w:cs="Times New Roman"/>
            <w:color w:val="0563C1"/>
            <w:sz w:val="22"/>
            <w:szCs w:val="22"/>
            <w:u w:val="single"/>
          </w:rPr>
          <w:t>www.law.miami.edu/hrc</w:t>
        </w:r>
      </w:hyperlink>
      <w:r w:rsidR="00FD1330" w:rsidRPr="004627CF">
        <w:rPr>
          <w:rFonts w:ascii="Times New Roman" w:eastAsia="Times" w:hAnsi="Times New Roman" w:cs="Times New Roman"/>
          <w:color w:val="0563C1"/>
          <w:sz w:val="22"/>
          <w:szCs w:val="22"/>
          <w:u w:val="single"/>
        </w:rPr>
        <w:t xml:space="preserve"> </w:t>
      </w:r>
      <w:r w:rsidR="00FD1330" w:rsidRPr="004627CF">
        <w:rPr>
          <w:rFonts w:ascii="Times New Roman" w:eastAsia="Times" w:hAnsi="Times New Roman" w:cs="Times New Roman"/>
          <w:sz w:val="22"/>
          <w:szCs w:val="22"/>
        </w:rPr>
        <w:t xml:space="preserve">| 305-284-2939 | </w:t>
      </w:r>
      <w:hyperlink r:id="rId18">
        <w:r w:rsidR="00FD1330" w:rsidRPr="004627CF">
          <w:rPr>
            <w:rFonts w:ascii="Times New Roman" w:eastAsia="Times" w:hAnsi="Times New Roman" w:cs="Times New Roman"/>
            <w:color w:val="0563C1"/>
            <w:sz w:val="22"/>
            <w:szCs w:val="22"/>
            <w:u w:val="single"/>
          </w:rPr>
          <w:t>dordova@law.miami.edu</w:t>
        </w:r>
      </w:hyperlink>
      <w:r w:rsidR="00FD1330">
        <w:rPr>
          <w:rFonts w:ascii="Times" w:eastAsia="Times" w:hAnsi="Times" w:cs="Times"/>
        </w:rPr>
        <w:t xml:space="preserve">  </w:t>
      </w:r>
    </w:p>
    <w:p w14:paraId="13827E2F" w14:textId="0360405E" w:rsidR="00136F1F" w:rsidRDefault="00136F1F" w:rsidP="00A853EB">
      <w:pPr>
        <w:rPr>
          <w:rFonts w:ascii="Times" w:eastAsia="Times" w:hAnsi="Times" w:cs="Times"/>
        </w:rPr>
      </w:pPr>
    </w:p>
    <w:p w14:paraId="1E91FF5D" w14:textId="61FE4283" w:rsidR="00CF01A5" w:rsidRDefault="00CF01A5" w:rsidP="00A853EB">
      <w:pPr>
        <w:rPr>
          <w:rFonts w:ascii="Times" w:eastAsia="Times" w:hAnsi="Times" w:cs="Times"/>
        </w:rPr>
      </w:pPr>
    </w:p>
    <w:p w14:paraId="724A907A" w14:textId="31957FF3" w:rsidR="00CF01A5" w:rsidRDefault="00CF01A5" w:rsidP="00A853EB">
      <w:pPr>
        <w:rPr>
          <w:rFonts w:ascii="Times" w:eastAsia="Times" w:hAnsi="Times" w:cs="Times"/>
        </w:rPr>
      </w:pPr>
    </w:p>
    <w:p w14:paraId="4F5A48D8" w14:textId="77777777" w:rsidR="00CF01A5" w:rsidRPr="00516208" w:rsidRDefault="00CF01A5" w:rsidP="00A853EB">
      <w:pPr>
        <w:rPr>
          <w:rFonts w:ascii="Times" w:eastAsia="Times" w:hAnsi="Times" w:cs="Times"/>
        </w:rPr>
      </w:pPr>
    </w:p>
    <w:p w14:paraId="4D57950E" w14:textId="40273F55" w:rsidR="00637F92" w:rsidRDefault="007E6E07" w:rsidP="00A853EB">
      <w:pPr>
        <w:pStyle w:val="ListParagraph"/>
        <w:numPr>
          <w:ilvl w:val="0"/>
          <w:numId w:val="1"/>
        </w:numPr>
        <w:ind w:left="1080"/>
        <w:rPr>
          <w:rFonts w:ascii="Garamond" w:hAnsi="Garamond"/>
          <w:b/>
          <w:lang w:val="en"/>
        </w:rPr>
      </w:pPr>
      <w:r w:rsidRPr="00516A0D">
        <w:rPr>
          <w:rFonts w:ascii="Garamond" w:hAnsi="Garamond"/>
          <w:b/>
          <w:lang w:val="en"/>
        </w:rPr>
        <w:lastRenderedPageBreak/>
        <w:t>I</w:t>
      </w:r>
      <w:r w:rsidR="00F959A1" w:rsidRPr="00516A0D">
        <w:rPr>
          <w:rFonts w:ascii="Garamond" w:hAnsi="Garamond"/>
          <w:b/>
          <w:lang w:val="en"/>
        </w:rPr>
        <w:t xml:space="preserve">ntroduction: </w:t>
      </w:r>
      <w:r w:rsidR="0098192E">
        <w:rPr>
          <w:rFonts w:ascii="Garamond" w:hAnsi="Garamond"/>
          <w:b/>
          <w:lang w:val="en"/>
        </w:rPr>
        <w:t>Hunger</w:t>
      </w:r>
      <w:r w:rsidR="00F959A1" w:rsidRPr="00516A0D">
        <w:rPr>
          <w:rFonts w:ascii="Garamond" w:hAnsi="Garamond"/>
          <w:b/>
          <w:lang w:val="en"/>
        </w:rPr>
        <w:t xml:space="preserve"> and Racial Discrimination are Intimately Intertwined in the U.S. </w:t>
      </w:r>
    </w:p>
    <w:p w14:paraId="3CB57AD8" w14:textId="77777777" w:rsidR="005E4A2E" w:rsidRPr="002439F0" w:rsidRDefault="005E4A2E" w:rsidP="005E4A2E">
      <w:pPr>
        <w:pStyle w:val="ListParagraph"/>
        <w:ind w:left="1080"/>
        <w:rPr>
          <w:rFonts w:ascii="Garamond" w:hAnsi="Garamond"/>
          <w:b/>
          <w:lang w:val="en"/>
        </w:rPr>
      </w:pPr>
    </w:p>
    <w:p w14:paraId="79602945" w14:textId="35FF8DBC" w:rsidR="00F959A1" w:rsidRPr="00516A0D" w:rsidRDefault="00F959A1" w:rsidP="007E6E07">
      <w:pPr>
        <w:pStyle w:val="ListParagraph"/>
        <w:numPr>
          <w:ilvl w:val="0"/>
          <w:numId w:val="3"/>
        </w:numPr>
        <w:jc w:val="both"/>
        <w:rPr>
          <w:rFonts w:ascii="Garamond" w:hAnsi="Garamond"/>
          <w:b/>
        </w:rPr>
      </w:pPr>
      <w:r w:rsidRPr="00516A0D">
        <w:rPr>
          <w:rFonts w:ascii="Garamond" w:hAnsi="Garamond"/>
        </w:rPr>
        <w:t xml:space="preserve">Violations of the right to food in the United States (U.S.) are linked with structural discrimination </w:t>
      </w:r>
      <w:r w:rsidR="0098192E" w:rsidRPr="00516A0D">
        <w:rPr>
          <w:rFonts w:ascii="Garamond" w:hAnsi="Garamond"/>
        </w:rPr>
        <w:t>based on</w:t>
      </w:r>
      <w:r w:rsidRPr="00516A0D">
        <w:rPr>
          <w:rFonts w:ascii="Garamond" w:hAnsi="Garamond"/>
        </w:rPr>
        <w:t xml:space="preserve"> race. Black, Indigenous, and People of Color (BIPOC) are disproportionately and persistently food insecure. Evidence shows that, over the past 20 years, both Black and Latinx households have consistently been at least twice as likely as White households to experience food insecurity.</w:t>
      </w:r>
      <w:r w:rsidRPr="00516A0D">
        <w:rPr>
          <w:rFonts w:ascii="Garamond" w:hAnsi="Garamond"/>
          <w:vertAlign w:val="superscript"/>
        </w:rPr>
        <w:footnoteReference w:id="3"/>
      </w:r>
      <w:r w:rsidRPr="00516A0D">
        <w:rPr>
          <w:rFonts w:ascii="Garamond" w:hAnsi="Garamond"/>
        </w:rPr>
        <w:t xml:space="preserve"> While the influx in federal aid and nutrition assistance in response to the COVID-19 pandemic and resulting economic recession helped avoid increases in national food insecurity in the U.S., Black and Latinx households still experienced alarming spikes in food insecurity compared to White households.</w:t>
      </w:r>
      <w:r w:rsidRPr="00516A0D">
        <w:rPr>
          <w:rStyle w:val="FootnoteReference"/>
          <w:rFonts w:ascii="Garamond" w:hAnsi="Garamond"/>
          <w:color w:val="000000" w:themeColor="text1"/>
        </w:rPr>
        <w:footnoteReference w:id="4"/>
      </w:r>
      <w:r w:rsidRPr="00516A0D">
        <w:rPr>
          <w:rFonts w:ascii="Garamond" w:hAnsi="Garamond"/>
        </w:rPr>
        <w:t xml:space="preserve"> About 21.7% of Black households and about 17.2% of Latinx households experienced food insecurity in 2020.</w:t>
      </w:r>
      <w:r w:rsidRPr="00516A0D">
        <w:rPr>
          <w:rFonts w:ascii="Garamond" w:hAnsi="Garamond"/>
          <w:vertAlign w:val="superscript"/>
        </w:rPr>
        <w:footnoteReference w:id="5"/>
      </w:r>
      <w:r w:rsidRPr="00516A0D">
        <w:rPr>
          <w:rFonts w:ascii="Garamond" w:hAnsi="Garamond"/>
        </w:rPr>
        <w:t xml:space="preserve"> Compare this to 7.1% of White households who experienced food insecurity during the same year.</w:t>
      </w:r>
      <w:r w:rsidRPr="00516A0D">
        <w:rPr>
          <w:rStyle w:val="FootnoteReference"/>
          <w:rFonts w:ascii="Garamond" w:hAnsi="Garamond"/>
          <w:color w:val="000000" w:themeColor="text1"/>
        </w:rPr>
        <w:footnoteReference w:id="6"/>
      </w:r>
      <w:r w:rsidRPr="00516A0D">
        <w:rPr>
          <w:rFonts w:ascii="Garamond" w:hAnsi="Garamond"/>
        </w:rPr>
        <w:t xml:space="preserve"> Moreover, about one in four Native Americans experience food insecurity, compared to one in eight Americans overall.</w:t>
      </w:r>
      <w:r w:rsidRPr="00516A0D">
        <w:rPr>
          <w:rStyle w:val="FootnoteReference"/>
          <w:rFonts w:ascii="Garamond" w:hAnsi="Garamond"/>
          <w:color w:val="000000" w:themeColor="text1"/>
        </w:rPr>
        <w:footnoteReference w:id="7"/>
      </w:r>
    </w:p>
    <w:p w14:paraId="7B5CD3D1" w14:textId="77777777" w:rsidR="00F959A1" w:rsidRPr="00CD3629" w:rsidRDefault="00F959A1" w:rsidP="007E6E07">
      <w:pPr>
        <w:pStyle w:val="ListParagraph"/>
        <w:ind w:left="1080"/>
        <w:jc w:val="both"/>
        <w:rPr>
          <w:rFonts w:ascii="Garamond" w:hAnsi="Garamond"/>
          <w:b/>
          <w:sz w:val="22"/>
          <w:szCs w:val="22"/>
        </w:rPr>
      </w:pPr>
    </w:p>
    <w:p w14:paraId="3CB47B38" w14:textId="71CF61EE" w:rsidR="00F959A1" w:rsidRPr="00F959A1" w:rsidRDefault="00F959A1" w:rsidP="007E6E07">
      <w:pPr>
        <w:pStyle w:val="ListParagraph"/>
        <w:numPr>
          <w:ilvl w:val="0"/>
          <w:numId w:val="3"/>
        </w:numPr>
        <w:jc w:val="both"/>
        <w:rPr>
          <w:rFonts w:ascii="Garamond" w:hAnsi="Garamond"/>
          <w:bCs/>
          <w:color w:val="FF0000"/>
        </w:rPr>
      </w:pPr>
      <w:r w:rsidRPr="00CD3629">
        <w:rPr>
          <w:rFonts w:ascii="Garamond" w:hAnsi="Garamond"/>
        </w:rPr>
        <w:t xml:space="preserve">Food insecurity in the U.S. is not the result of a lack of enough food, but the result of a lack of a human rights approach to hunger that </w:t>
      </w:r>
      <w:r w:rsidR="00F659E3">
        <w:rPr>
          <w:rFonts w:ascii="Garamond" w:hAnsi="Garamond"/>
        </w:rPr>
        <w:t>posit</w:t>
      </w:r>
      <w:r w:rsidRPr="00CD3629">
        <w:rPr>
          <w:rFonts w:ascii="Garamond" w:hAnsi="Garamond"/>
        </w:rPr>
        <w:t xml:space="preserve"> </w:t>
      </w:r>
      <w:r w:rsidR="00F659E3" w:rsidRPr="00CD3629">
        <w:rPr>
          <w:rFonts w:ascii="Garamond" w:hAnsi="Garamond"/>
        </w:rPr>
        <w:t>violations</w:t>
      </w:r>
      <w:r w:rsidR="00F659E3">
        <w:rPr>
          <w:rFonts w:ascii="Garamond" w:hAnsi="Garamond"/>
        </w:rPr>
        <w:t xml:space="preserve"> </w:t>
      </w:r>
      <w:r w:rsidR="00F659E3" w:rsidRPr="00CD3629">
        <w:rPr>
          <w:rFonts w:ascii="Garamond" w:hAnsi="Garamond"/>
        </w:rPr>
        <w:t>of food system workers’ rights</w:t>
      </w:r>
      <w:r w:rsidR="00F659E3">
        <w:rPr>
          <w:rFonts w:ascii="Garamond" w:hAnsi="Garamond"/>
        </w:rPr>
        <w:t>,</w:t>
      </w:r>
      <w:r w:rsidR="00F659E3" w:rsidRPr="00CD3629">
        <w:rPr>
          <w:rFonts w:ascii="Garamond" w:hAnsi="Garamond"/>
        </w:rPr>
        <w:t xml:space="preserve"> </w:t>
      </w:r>
      <w:r w:rsidRPr="00CD3629">
        <w:rPr>
          <w:rFonts w:ascii="Garamond" w:hAnsi="Garamond"/>
        </w:rPr>
        <w:t xml:space="preserve">environmental racism, </w:t>
      </w:r>
      <w:r w:rsidR="00F659E3">
        <w:rPr>
          <w:rFonts w:ascii="Garamond" w:hAnsi="Garamond"/>
        </w:rPr>
        <w:t xml:space="preserve">and </w:t>
      </w:r>
      <w:r w:rsidRPr="00CD3629">
        <w:rPr>
          <w:rFonts w:ascii="Garamond" w:hAnsi="Garamond"/>
        </w:rPr>
        <w:t xml:space="preserve">the corporate capture of natural resources </w:t>
      </w:r>
      <w:r w:rsidR="00F659E3">
        <w:rPr>
          <w:rFonts w:ascii="Garamond" w:hAnsi="Garamond"/>
        </w:rPr>
        <w:t xml:space="preserve">as </w:t>
      </w:r>
      <w:r w:rsidRPr="00CD3629">
        <w:rPr>
          <w:rFonts w:ascii="Garamond" w:hAnsi="Garamond"/>
        </w:rPr>
        <w:t xml:space="preserve">root causes of hunger. As a result of government policies that have failed to tackle </w:t>
      </w:r>
      <w:r w:rsidR="00F659E3">
        <w:rPr>
          <w:rFonts w:ascii="Garamond" w:hAnsi="Garamond"/>
        </w:rPr>
        <w:t>structural</w:t>
      </w:r>
      <w:r w:rsidRPr="00CD3629">
        <w:rPr>
          <w:rFonts w:ascii="Garamond" w:hAnsi="Garamond"/>
        </w:rPr>
        <w:t xml:space="preserve"> racism, </w:t>
      </w:r>
      <w:r w:rsidR="00F659E3">
        <w:rPr>
          <w:rFonts w:ascii="Garamond" w:hAnsi="Garamond"/>
        </w:rPr>
        <w:t xml:space="preserve">the </w:t>
      </w:r>
      <w:r w:rsidR="00F659E3" w:rsidRPr="00CD3629">
        <w:rPr>
          <w:rFonts w:ascii="Garamond" w:hAnsi="Garamond"/>
        </w:rPr>
        <w:t xml:space="preserve">climate crisis, </w:t>
      </w:r>
      <w:r w:rsidRPr="00CD3629">
        <w:rPr>
          <w:rFonts w:ascii="Garamond" w:hAnsi="Garamond"/>
        </w:rPr>
        <w:t xml:space="preserve">and the corporate capture of the food system, </w:t>
      </w:r>
      <w:r w:rsidR="00F659E3" w:rsidRPr="00CD3629">
        <w:rPr>
          <w:rFonts w:ascii="Garamond" w:hAnsi="Garamond"/>
        </w:rPr>
        <w:t>workers in the food system—who are disproportionately BIPOC—continue to have their rights violated,</w:t>
      </w:r>
      <w:r w:rsidRPr="00CD3629">
        <w:rPr>
          <w:rFonts w:ascii="Garamond" w:hAnsi="Garamond"/>
        </w:rPr>
        <w:t xml:space="preserve"> </w:t>
      </w:r>
      <w:r w:rsidR="00F659E3">
        <w:rPr>
          <w:rFonts w:ascii="Garamond" w:hAnsi="Garamond"/>
        </w:rPr>
        <w:t xml:space="preserve">BIPOC communities </w:t>
      </w:r>
      <w:r w:rsidRPr="00CD3629">
        <w:rPr>
          <w:rFonts w:ascii="Garamond" w:hAnsi="Garamond"/>
        </w:rPr>
        <w:t>have less access to land suitable for farming and food production, and BIPOC children and women continue to be the most affected.</w:t>
      </w:r>
    </w:p>
    <w:p w14:paraId="72E7E636" w14:textId="77777777" w:rsidR="00F959A1" w:rsidRPr="00F959A1" w:rsidRDefault="00F959A1" w:rsidP="007E6E07">
      <w:pPr>
        <w:pStyle w:val="ListParagraph"/>
        <w:rPr>
          <w:b/>
          <w:lang w:val="en"/>
        </w:rPr>
      </w:pPr>
    </w:p>
    <w:p w14:paraId="5405E53C" w14:textId="5B14A2D7" w:rsidR="00F959A1" w:rsidRPr="00200DC5" w:rsidRDefault="00F959A1" w:rsidP="007E6E07">
      <w:pPr>
        <w:pStyle w:val="ListParagraph"/>
        <w:numPr>
          <w:ilvl w:val="0"/>
          <w:numId w:val="3"/>
        </w:numPr>
        <w:jc w:val="both"/>
        <w:rPr>
          <w:rFonts w:ascii="Garamond" w:hAnsi="Garamond"/>
          <w:bCs/>
          <w:color w:val="FF0000"/>
        </w:rPr>
      </w:pPr>
      <w:r w:rsidRPr="00F959A1">
        <w:rPr>
          <w:rFonts w:ascii="Garamond" w:hAnsi="Garamond"/>
          <w:bCs/>
          <w:lang w:val="en"/>
        </w:rPr>
        <w:t>In its prior reviews of the U.S., the United Nations Committee on the Elimination of Racial Discrimination (the Committee) underscored the need to address the disproportionate impacts of U.S. policy on BIPOC.</w:t>
      </w:r>
      <w:r w:rsidR="00A71CD8" w:rsidRPr="00961AA3">
        <w:rPr>
          <w:rStyle w:val="FootnoteReference"/>
          <w:rFonts w:ascii="Garamond" w:hAnsi="Garamond"/>
        </w:rPr>
        <w:footnoteReference w:id="8"/>
      </w:r>
      <w:r w:rsidR="00A71CD8">
        <w:rPr>
          <w:rFonts w:ascii="Garamond" w:hAnsi="Garamond"/>
          <w:bCs/>
          <w:lang w:val="en"/>
        </w:rPr>
        <w:t xml:space="preserve"> </w:t>
      </w:r>
      <w:r w:rsidRPr="00F959A1">
        <w:rPr>
          <w:rFonts w:ascii="Garamond" w:hAnsi="Garamond"/>
          <w:bCs/>
          <w:lang w:val="en"/>
        </w:rPr>
        <w:t>More specifically, the Committee noted concerns with discrimination in the context of government policies on the environment, corporate accountability, workers’ rights, and education. This Committee specifically expressed its concern about nuclear testing, mining, and other highly polluting activities as they negatively</w:t>
      </w:r>
      <w:r>
        <w:rPr>
          <w:rFonts w:ascii="Garamond" w:hAnsi="Garamond"/>
          <w:bCs/>
          <w:lang w:val="en"/>
        </w:rPr>
        <w:t xml:space="preserve"> </w:t>
      </w:r>
      <w:r w:rsidRPr="00CD3629">
        <w:rPr>
          <w:rFonts w:ascii="Garamond" w:hAnsi="Garamond"/>
        </w:rPr>
        <w:t>impact the spiritual and cultural practices of Indigenous Peoples.</w:t>
      </w:r>
      <w:r w:rsidRPr="00961AA3">
        <w:rPr>
          <w:rStyle w:val="FootnoteReference"/>
          <w:rFonts w:ascii="Garamond" w:hAnsi="Garamond"/>
        </w:rPr>
        <w:footnoteReference w:id="9"/>
      </w:r>
      <w:r w:rsidRPr="00CD3629">
        <w:rPr>
          <w:rFonts w:ascii="Garamond" w:hAnsi="Garamond"/>
        </w:rPr>
        <w:t xml:space="preserve">  This Committee also expressed concerns about the adverse effects of economic activities occurring outside the U.S. by transnational corporations involved in natural resource extraction.</w:t>
      </w:r>
      <w:r w:rsidRPr="00961AA3">
        <w:rPr>
          <w:rStyle w:val="FootnoteReference"/>
          <w:rFonts w:ascii="Garamond" w:hAnsi="Garamond"/>
        </w:rPr>
        <w:footnoteReference w:id="10"/>
      </w:r>
      <w:r w:rsidRPr="00CD3629">
        <w:rPr>
          <w:rFonts w:ascii="Garamond" w:hAnsi="Garamond"/>
        </w:rPr>
        <w:t xml:space="preserve"> It also mentioned the exploitation of natural resources by transnational corporations registered in the U.S. negatively impacting the rights to land, health, living environment, and way of life of Indigenous Peoples.</w:t>
      </w:r>
      <w:r w:rsidRPr="00961AA3">
        <w:rPr>
          <w:rStyle w:val="FootnoteReference"/>
          <w:rFonts w:ascii="Garamond" w:hAnsi="Garamond"/>
        </w:rPr>
        <w:footnoteReference w:id="11"/>
      </w:r>
      <w:r w:rsidRPr="00CD3629">
        <w:rPr>
          <w:rFonts w:ascii="Garamond" w:hAnsi="Garamond"/>
        </w:rPr>
        <w:t xml:space="preserve"> In the same review, this Committee noted concerns that workers belonging to racial, ethnic, and national minorities, in particular women and undocumented migrant workers—which should be </w:t>
      </w:r>
      <w:r w:rsidRPr="00CD3629">
        <w:rPr>
          <w:rFonts w:ascii="Garamond" w:hAnsi="Garamond"/>
        </w:rPr>
        <w:lastRenderedPageBreak/>
        <w:t>noted are primarily employed in the food and agricultural sectors</w:t>
      </w:r>
      <w:r w:rsidRPr="00961AA3">
        <w:rPr>
          <w:rStyle w:val="FootnoteReference"/>
          <w:rFonts w:ascii="Garamond" w:hAnsi="Garamond"/>
        </w:rPr>
        <w:footnoteReference w:id="12"/>
      </w:r>
      <w:r w:rsidRPr="00CD3629">
        <w:rPr>
          <w:rFonts w:ascii="Garamond" w:hAnsi="Garamond"/>
        </w:rPr>
        <w:t>—continue to face discriminatory treatment and abuse in the workplace and to be disproportionately represented in occupations characterized by long working hours, low wages and unsafe or dangerous conditions of work.</w:t>
      </w:r>
      <w:r w:rsidRPr="00961AA3">
        <w:rPr>
          <w:rStyle w:val="FootnoteReference"/>
          <w:rFonts w:ascii="Garamond" w:hAnsi="Garamond"/>
        </w:rPr>
        <w:footnoteReference w:id="13"/>
      </w:r>
      <w:r w:rsidRPr="00CD3629">
        <w:rPr>
          <w:rFonts w:ascii="Garamond" w:hAnsi="Garamond"/>
        </w:rPr>
        <w:t xml:space="preserve"> While this Committee applauded the U.S.’s steps to address de facto racial segregation,</w:t>
      </w:r>
      <w:r w:rsidRPr="00961AA3">
        <w:rPr>
          <w:rStyle w:val="FootnoteReference"/>
          <w:rFonts w:ascii="Garamond" w:hAnsi="Garamond"/>
        </w:rPr>
        <w:footnoteReference w:id="14"/>
      </w:r>
      <w:r w:rsidRPr="00CD3629">
        <w:rPr>
          <w:rFonts w:ascii="Garamond" w:hAnsi="Garamond"/>
        </w:rPr>
        <w:t xml:space="preserve"> it remained concerned that students from racial and ethnic minority groups disproportionately continue to attend segregated schools with segregated or unequal facilities.</w:t>
      </w:r>
      <w:r w:rsidRPr="00961AA3">
        <w:rPr>
          <w:rStyle w:val="FootnoteReference"/>
          <w:rFonts w:ascii="Garamond" w:hAnsi="Garamond"/>
        </w:rPr>
        <w:footnoteReference w:id="15"/>
      </w:r>
    </w:p>
    <w:p w14:paraId="7BECF966" w14:textId="77777777" w:rsidR="00200DC5" w:rsidRPr="00200DC5" w:rsidRDefault="00200DC5" w:rsidP="004C50DC">
      <w:pPr>
        <w:pStyle w:val="ListParagraph"/>
        <w:ind w:left="1080"/>
        <w:jc w:val="both"/>
        <w:rPr>
          <w:rFonts w:ascii="Garamond" w:hAnsi="Garamond"/>
          <w:bCs/>
          <w:color w:val="FF0000"/>
        </w:rPr>
      </w:pPr>
    </w:p>
    <w:p w14:paraId="3C05989F" w14:textId="553B2D38" w:rsidR="00200DC5" w:rsidRDefault="00200DC5" w:rsidP="004C50DC">
      <w:pPr>
        <w:pStyle w:val="ListParagraph"/>
        <w:numPr>
          <w:ilvl w:val="0"/>
          <w:numId w:val="3"/>
        </w:numPr>
        <w:jc w:val="both"/>
        <w:rPr>
          <w:rFonts w:ascii="Garamond" w:hAnsi="Garamond"/>
          <w:bCs/>
        </w:rPr>
      </w:pPr>
      <w:r w:rsidRPr="00CD3629">
        <w:rPr>
          <w:rFonts w:ascii="Garamond" w:hAnsi="Garamond"/>
          <w:bCs/>
        </w:rPr>
        <w:t>The U.S. has taken some commendable steps to address the concerns of the Committee</w:t>
      </w:r>
      <w:r w:rsidRPr="00CD3629">
        <w:rPr>
          <w:rFonts w:ascii="Garamond" w:hAnsi="Garamond"/>
          <w:bCs/>
          <w:color w:val="000000" w:themeColor="text1"/>
        </w:rPr>
        <w:t>, as outlined in their state report to this Committee; however, there is no mention of food insecurity and acts taken to combat it in the state report.</w:t>
      </w:r>
      <w:r w:rsidRPr="00961AA3">
        <w:rPr>
          <w:rStyle w:val="FootnoteReference"/>
          <w:rFonts w:ascii="Garamond" w:hAnsi="Garamond"/>
          <w:bCs/>
          <w:color w:val="000000" w:themeColor="text1"/>
        </w:rPr>
        <w:footnoteReference w:id="16"/>
      </w:r>
      <w:r w:rsidRPr="00CD3629" w:rsidDel="005434B8">
        <w:rPr>
          <w:rFonts w:ascii="Garamond" w:hAnsi="Garamond"/>
          <w:bCs/>
          <w:color w:val="000000" w:themeColor="text1"/>
        </w:rPr>
        <w:t xml:space="preserve"> </w:t>
      </w:r>
      <w:r w:rsidRPr="00CD3629">
        <w:rPr>
          <w:rFonts w:ascii="Garamond" w:hAnsi="Garamond"/>
          <w:bCs/>
          <w:color w:val="000000" w:themeColor="text1"/>
        </w:rPr>
        <w:t>T</w:t>
      </w:r>
      <w:r w:rsidRPr="00CD3629">
        <w:rPr>
          <w:rFonts w:ascii="Garamond" w:hAnsi="Garamond"/>
          <w:bCs/>
        </w:rPr>
        <w:t>he right to food remains overlooked in many aspects, given the fact that it is not enshrined in U.S. law.</w:t>
      </w:r>
      <w:r w:rsidRPr="00961AA3">
        <w:rPr>
          <w:rStyle w:val="FootnoteReference"/>
          <w:rFonts w:ascii="Garamond" w:hAnsi="Garamond"/>
          <w:bCs/>
        </w:rPr>
        <w:footnoteReference w:id="17"/>
      </w:r>
      <w:r w:rsidRPr="00CD3629">
        <w:rPr>
          <w:rFonts w:ascii="Garamond" w:hAnsi="Garamond"/>
          <w:bCs/>
        </w:rPr>
        <w:t xml:space="preserve"> </w:t>
      </w:r>
      <w:r w:rsidRPr="00CD3629">
        <w:rPr>
          <w:rFonts w:ascii="Garamond" w:hAnsi="Garamond"/>
          <w:bCs/>
          <w:color w:val="000000" w:themeColor="text1"/>
        </w:rPr>
        <w:t>The U.S. Department of Agriculture (“USDA”) has recently stated that “[t]he COVID-19 pandemic brought food insecurity to the forefront of the national conversation and shined a new light on the devastating toll of chronic disease, with an estimated two-thirds of COVID hospitalizations in the U.S. related to diet-related diseases,” said the USDA Secretary, Tom Vilsack.</w:t>
      </w:r>
      <w:r w:rsidRPr="00961AA3">
        <w:rPr>
          <w:rStyle w:val="FootnoteReference"/>
          <w:rFonts w:ascii="Garamond" w:hAnsi="Garamond"/>
          <w:bCs/>
          <w:color w:val="000000" w:themeColor="text1"/>
        </w:rPr>
        <w:footnoteReference w:id="18"/>
      </w:r>
      <w:r w:rsidRPr="00CD3629">
        <w:rPr>
          <w:rFonts w:ascii="Garamond" w:hAnsi="Garamond"/>
          <w:bCs/>
          <w:color w:val="000000" w:themeColor="text1"/>
        </w:rPr>
        <w:t xml:space="preserve"> “Across the [D]</w:t>
      </w:r>
      <w:proofErr w:type="spellStart"/>
      <w:r w:rsidRPr="00CD3629">
        <w:rPr>
          <w:rFonts w:ascii="Garamond" w:hAnsi="Garamond"/>
          <w:bCs/>
          <w:color w:val="000000" w:themeColor="text1"/>
        </w:rPr>
        <w:t>epartment</w:t>
      </w:r>
      <w:proofErr w:type="spellEnd"/>
      <w:r w:rsidRPr="00CD3629">
        <w:rPr>
          <w:rFonts w:ascii="Garamond" w:hAnsi="Garamond"/>
          <w:bCs/>
          <w:color w:val="000000" w:themeColor="text1"/>
        </w:rPr>
        <w:t xml:space="preserve"> we recognize that food and health are inherently intertwined, and we’re leaning into our powerful tools to help reduce chronic disease, advance equity and promote overall well-being. We look forward to working with our stakeholders to achieve this vision.”</w:t>
      </w:r>
      <w:r w:rsidRPr="00961AA3">
        <w:rPr>
          <w:rStyle w:val="FootnoteReference"/>
          <w:rFonts w:ascii="Garamond" w:hAnsi="Garamond"/>
          <w:bCs/>
          <w:color w:val="000000" w:themeColor="text1"/>
        </w:rPr>
        <w:footnoteReference w:id="19"/>
      </w:r>
      <w:r w:rsidRPr="00CD3629">
        <w:rPr>
          <w:rFonts w:ascii="Garamond" w:hAnsi="Garamond"/>
          <w:color w:val="000000" w:themeColor="text1"/>
        </w:rPr>
        <w:t xml:space="preserve"> </w:t>
      </w:r>
      <w:r w:rsidRPr="00CD3629">
        <w:rPr>
          <w:rFonts w:ascii="Garamond" w:hAnsi="Garamond"/>
          <w:bCs/>
        </w:rPr>
        <w:t>Yet, over 38 million continue to struggle against food insecurity, or lack of access to an affordable, nutritious diet.</w:t>
      </w:r>
      <w:r w:rsidRPr="00961AA3">
        <w:rPr>
          <w:rStyle w:val="FootnoteReference"/>
          <w:rFonts w:ascii="Garamond" w:hAnsi="Garamond"/>
          <w:bCs/>
        </w:rPr>
        <w:footnoteReference w:id="20"/>
      </w:r>
      <w:r w:rsidRPr="00CD3629">
        <w:rPr>
          <w:rFonts w:ascii="Garamond" w:hAnsi="Garamond"/>
          <w:bCs/>
        </w:rPr>
        <w:t xml:space="preserve">   </w:t>
      </w:r>
    </w:p>
    <w:p w14:paraId="5A42B0A8" w14:textId="77777777" w:rsidR="00200DC5" w:rsidRPr="00CD3629" w:rsidRDefault="00200DC5" w:rsidP="004C50DC">
      <w:pPr>
        <w:pStyle w:val="ListParagraph"/>
        <w:ind w:left="1080" w:right="540"/>
        <w:jc w:val="both"/>
        <w:rPr>
          <w:rFonts w:ascii="Garamond" w:hAnsi="Garamond"/>
          <w:bCs/>
        </w:rPr>
      </w:pPr>
    </w:p>
    <w:p w14:paraId="37AC28EC" w14:textId="75F04481" w:rsidR="004C50DC" w:rsidRDefault="00200DC5" w:rsidP="004C50DC">
      <w:pPr>
        <w:pStyle w:val="ListParagraph"/>
        <w:numPr>
          <w:ilvl w:val="0"/>
          <w:numId w:val="3"/>
        </w:numPr>
        <w:jc w:val="both"/>
        <w:rPr>
          <w:rFonts w:ascii="Garamond" w:hAnsi="Garamond"/>
        </w:rPr>
      </w:pPr>
      <w:r w:rsidRPr="00CD3629">
        <w:rPr>
          <w:rFonts w:ascii="Garamond" w:hAnsi="Garamond"/>
        </w:rPr>
        <w:t xml:space="preserve">The Report of the Working Group of Experts of People of African Descent on its mission to the United States of America (“Working Group”) also noted that </w:t>
      </w:r>
      <w:r w:rsidR="002439F0">
        <w:rPr>
          <w:rFonts w:ascii="Garamond" w:hAnsi="Garamond"/>
        </w:rPr>
        <w:t xml:space="preserve">Black </w:t>
      </w:r>
      <w:r w:rsidRPr="00CD3629">
        <w:rPr>
          <w:rFonts w:ascii="Garamond" w:hAnsi="Garamond"/>
        </w:rPr>
        <w:t>Americans had limited access to food variety, including to healthy food, as they were concentrated in poor neighborhoods with food outlets selling unhealthy and expired food.</w:t>
      </w:r>
      <w:r w:rsidRPr="00961AA3">
        <w:rPr>
          <w:rStyle w:val="FootnoteReference"/>
          <w:rFonts w:ascii="Garamond" w:hAnsi="Garamond"/>
        </w:rPr>
        <w:footnoteReference w:id="21"/>
      </w:r>
      <w:r w:rsidRPr="00CD3629">
        <w:rPr>
          <w:rFonts w:ascii="Garamond" w:hAnsi="Garamond"/>
        </w:rPr>
        <w:t xml:space="preserve"> The Working Group further noted a series of maps showing high concentrations of </w:t>
      </w:r>
      <w:r w:rsidR="002439F0">
        <w:rPr>
          <w:rFonts w:ascii="Garamond" w:hAnsi="Garamond"/>
        </w:rPr>
        <w:t>Black</w:t>
      </w:r>
      <w:r w:rsidR="002439F0" w:rsidRPr="00CD3629">
        <w:rPr>
          <w:rFonts w:ascii="Garamond" w:hAnsi="Garamond"/>
        </w:rPr>
        <w:t xml:space="preserve"> </w:t>
      </w:r>
      <w:r w:rsidRPr="00CD3629">
        <w:rPr>
          <w:rFonts w:ascii="Garamond" w:hAnsi="Garamond"/>
        </w:rPr>
        <w:t>Americans families in low-income neighborhoods and districts.</w:t>
      </w:r>
      <w:r w:rsidRPr="00961AA3">
        <w:rPr>
          <w:rStyle w:val="FootnoteReference"/>
          <w:rFonts w:ascii="Garamond" w:hAnsi="Garamond"/>
        </w:rPr>
        <w:footnoteReference w:id="22"/>
      </w:r>
      <w:r w:rsidRPr="00CD3629">
        <w:rPr>
          <w:rFonts w:ascii="Garamond" w:hAnsi="Garamond"/>
        </w:rPr>
        <w:t xml:space="preserve"> This reflected the correlation between racial segregation and socioeconomic disparities in access to adequate food between the </w:t>
      </w:r>
      <w:r w:rsidR="002439F0">
        <w:rPr>
          <w:rFonts w:ascii="Garamond" w:hAnsi="Garamond"/>
        </w:rPr>
        <w:t>Black</w:t>
      </w:r>
      <w:r w:rsidR="002439F0" w:rsidRPr="00CD3629">
        <w:rPr>
          <w:rFonts w:ascii="Garamond" w:hAnsi="Garamond"/>
        </w:rPr>
        <w:t xml:space="preserve"> </w:t>
      </w:r>
      <w:r w:rsidRPr="00CD3629">
        <w:rPr>
          <w:rFonts w:ascii="Garamond" w:hAnsi="Garamond"/>
        </w:rPr>
        <w:t xml:space="preserve">American population and the </w:t>
      </w:r>
      <w:r w:rsidR="002439F0">
        <w:rPr>
          <w:rFonts w:ascii="Garamond" w:hAnsi="Garamond"/>
        </w:rPr>
        <w:t>W</w:t>
      </w:r>
      <w:r w:rsidRPr="00CD3629">
        <w:rPr>
          <w:rFonts w:ascii="Garamond" w:hAnsi="Garamond"/>
        </w:rPr>
        <w:t xml:space="preserve">hite population. </w:t>
      </w:r>
      <w:r w:rsidRPr="00961AA3">
        <w:rPr>
          <w:rStyle w:val="FootnoteReference"/>
          <w:rFonts w:ascii="Garamond" w:hAnsi="Garamond"/>
        </w:rPr>
        <w:footnoteReference w:id="23"/>
      </w:r>
    </w:p>
    <w:p w14:paraId="5F1E5142" w14:textId="77777777" w:rsidR="004C50DC" w:rsidRPr="004C50DC" w:rsidRDefault="004C50DC" w:rsidP="004C50DC">
      <w:pPr>
        <w:jc w:val="both"/>
        <w:rPr>
          <w:rFonts w:ascii="Garamond" w:hAnsi="Garamond"/>
        </w:rPr>
      </w:pPr>
    </w:p>
    <w:p w14:paraId="61EF9B57" w14:textId="54395256" w:rsidR="005E4A2E" w:rsidRPr="00CF01A5" w:rsidRDefault="00200DC5" w:rsidP="00136F1F">
      <w:pPr>
        <w:pStyle w:val="ListParagraph"/>
        <w:numPr>
          <w:ilvl w:val="0"/>
          <w:numId w:val="3"/>
        </w:numPr>
        <w:jc w:val="both"/>
        <w:rPr>
          <w:rFonts w:ascii="Garamond" w:hAnsi="Garamond"/>
          <w:b/>
          <w:color w:val="000000" w:themeColor="text1"/>
        </w:rPr>
      </w:pPr>
      <w:r w:rsidRPr="00CD3629">
        <w:rPr>
          <w:rFonts w:ascii="Garamond" w:hAnsi="Garamond"/>
          <w:bCs/>
          <w:color w:val="000000" w:themeColor="text1"/>
        </w:rPr>
        <w:t xml:space="preserve">In this submission, we address the U.S. obligations vis-à-vis the right to food, the predominant—and inadequate—policy response to hunger in the U.S., and the implications of ongoing U.S. labor, corporate, </w:t>
      </w:r>
      <w:r w:rsidR="00516208" w:rsidRPr="00CD3629">
        <w:rPr>
          <w:rFonts w:ascii="Garamond" w:hAnsi="Garamond"/>
          <w:bCs/>
          <w:color w:val="000000" w:themeColor="text1"/>
        </w:rPr>
        <w:t xml:space="preserve">environmental, </w:t>
      </w:r>
      <w:r w:rsidRPr="00CD3629">
        <w:rPr>
          <w:rFonts w:ascii="Garamond" w:hAnsi="Garamond"/>
          <w:bCs/>
          <w:color w:val="000000" w:themeColor="text1"/>
        </w:rPr>
        <w:t>and education policies that are exacerbating violations of the right to food in the U.S.</w:t>
      </w:r>
    </w:p>
    <w:p w14:paraId="66538A24" w14:textId="77777777" w:rsidR="00CF01A5" w:rsidRPr="00CF01A5" w:rsidRDefault="00CF01A5" w:rsidP="00CF01A5">
      <w:pPr>
        <w:pStyle w:val="ListParagraph"/>
        <w:rPr>
          <w:rFonts w:ascii="Garamond" w:hAnsi="Garamond"/>
          <w:b/>
          <w:color w:val="000000" w:themeColor="text1"/>
        </w:rPr>
      </w:pPr>
    </w:p>
    <w:p w14:paraId="3618892E" w14:textId="77777777" w:rsidR="00CF01A5" w:rsidRPr="00CF01A5" w:rsidRDefault="00CF01A5" w:rsidP="00CF01A5">
      <w:pPr>
        <w:jc w:val="both"/>
        <w:rPr>
          <w:rFonts w:ascii="Garamond" w:hAnsi="Garamond"/>
          <w:b/>
          <w:color w:val="000000" w:themeColor="text1"/>
        </w:rPr>
      </w:pPr>
    </w:p>
    <w:p w14:paraId="571CA613" w14:textId="56AEB042" w:rsidR="00200DC5" w:rsidRPr="00200DC5" w:rsidRDefault="00200DC5" w:rsidP="00A853EB">
      <w:pPr>
        <w:pStyle w:val="ListParagraph"/>
        <w:numPr>
          <w:ilvl w:val="0"/>
          <w:numId w:val="1"/>
        </w:numPr>
        <w:spacing w:after="120"/>
        <w:ind w:left="1080" w:right="360"/>
        <w:jc w:val="both"/>
        <w:rPr>
          <w:rFonts w:ascii="Garamond" w:hAnsi="Garamond"/>
          <w:b/>
          <w:color w:val="000000" w:themeColor="text1"/>
        </w:rPr>
      </w:pPr>
      <w:r w:rsidRPr="00961AA3">
        <w:rPr>
          <w:rFonts w:ascii="Garamond" w:hAnsi="Garamond"/>
          <w:b/>
          <w:color w:val="000000" w:themeColor="text1"/>
        </w:rPr>
        <w:lastRenderedPageBreak/>
        <w:t xml:space="preserve">The </w:t>
      </w:r>
      <w:r w:rsidRPr="00BA677D">
        <w:rPr>
          <w:rFonts w:ascii="Garamond" w:hAnsi="Garamond"/>
          <w:b/>
          <w:color w:val="000000" w:themeColor="text1"/>
        </w:rPr>
        <w:t xml:space="preserve">U.S. </w:t>
      </w:r>
      <w:r w:rsidRPr="00961AA3">
        <w:rPr>
          <w:rFonts w:ascii="Garamond" w:hAnsi="Garamond"/>
          <w:b/>
          <w:color w:val="000000" w:themeColor="text1"/>
        </w:rPr>
        <w:t xml:space="preserve">Has </w:t>
      </w:r>
      <w:r w:rsidRPr="00BA677D">
        <w:rPr>
          <w:rFonts w:ascii="Garamond" w:hAnsi="Garamond"/>
          <w:b/>
          <w:color w:val="000000" w:themeColor="text1"/>
        </w:rPr>
        <w:t>Obligations to Realize the Human Right to Food Under International Law</w:t>
      </w:r>
    </w:p>
    <w:p w14:paraId="6DB2751A" w14:textId="77777777" w:rsidR="00200DC5" w:rsidRPr="00200DC5" w:rsidRDefault="00200DC5" w:rsidP="004C50DC">
      <w:pPr>
        <w:pStyle w:val="ListParagraph"/>
        <w:spacing w:after="120"/>
        <w:rPr>
          <w:rFonts w:ascii="Garamond" w:hAnsi="Garamond"/>
          <w:bCs/>
          <w:color w:val="000000" w:themeColor="text1"/>
        </w:rPr>
      </w:pPr>
    </w:p>
    <w:p w14:paraId="2F877AA2" w14:textId="77DCDEFF" w:rsidR="00200DC5" w:rsidRPr="00111462" w:rsidRDefault="00200DC5" w:rsidP="004C50DC">
      <w:pPr>
        <w:pStyle w:val="ListParagraph"/>
        <w:numPr>
          <w:ilvl w:val="0"/>
          <w:numId w:val="3"/>
        </w:numPr>
        <w:jc w:val="both"/>
        <w:rPr>
          <w:rFonts w:ascii="Garamond" w:hAnsi="Garamond"/>
          <w:b/>
          <w:color w:val="000000" w:themeColor="text1"/>
        </w:rPr>
      </w:pPr>
      <w:r w:rsidRPr="00200DC5">
        <w:rPr>
          <w:rFonts w:ascii="Garamond" w:hAnsi="Garamond"/>
          <w:bCs/>
          <w:color w:val="000000" w:themeColor="text1"/>
        </w:rPr>
        <w:t>The human right to food is firmly established in international law.</w:t>
      </w:r>
      <w:r w:rsidRPr="00961AA3">
        <w:rPr>
          <w:rStyle w:val="FootnoteReference"/>
          <w:rFonts w:ascii="Garamond" w:hAnsi="Garamond"/>
          <w:bCs/>
          <w:color w:val="000000" w:themeColor="text1"/>
        </w:rPr>
        <w:footnoteReference w:id="24"/>
      </w:r>
      <w:r w:rsidRPr="00200DC5">
        <w:rPr>
          <w:rFonts w:ascii="Garamond" w:hAnsi="Garamond"/>
          <w:bCs/>
          <w:color w:val="000000" w:themeColor="text1"/>
        </w:rPr>
        <w:t xml:space="preserve"> Article 25 of the 1948 Universal Declaration of Human Rights (“UDHR”) considers the right to food in the context of the right to an adequate standard of living.</w:t>
      </w:r>
      <w:r w:rsidRPr="00961AA3">
        <w:rPr>
          <w:rStyle w:val="FootnoteReference"/>
          <w:rFonts w:ascii="Garamond" w:hAnsi="Garamond"/>
          <w:bCs/>
          <w:color w:val="000000" w:themeColor="text1"/>
        </w:rPr>
        <w:footnoteReference w:id="25"/>
      </w:r>
      <w:r w:rsidRPr="00200DC5">
        <w:rPr>
          <w:rFonts w:ascii="Garamond" w:hAnsi="Garamond"/>
          <w:bCs/>
          <w:color w:val="000000" w:themeColor="text1"/>
        </w:rPr>
        <w:t xml:space="preserve"> As a stand-alone right, the right to food is most prominently recognized in Article 11 of the 1966 International Covenant on Economic, Social and Cultural Rights (ICESCR),</w:t>
      </w:r>
      <w:r w:rsidRPr="00961AA3">
        <w:rPr>
          <w:rStyle w:val="FootnoteReference"/>
          <w:rFonts w:ascii="Garamond" w:hAnsi="Garamond"/>
          <w:bCs/>
          <w:color w:val="000000" w:themeColor="text1"/>
        </w:rPr>
        <w:footnoteReference w:id="26"/>
      </w:r>
      <w:r w:rsidRPr="00200DC5">
        <w:rPr>
          <w:rFonts w:ascii="Garamond" w:hAnsi="Garamond"/>
          <w:bCs/>
          <w:color w:val="000000" w:themeColor="text1"/>
        </w:rPr>
        <w:t xml:space="preserve"> which the U.S. has signed but not ratified.</w:t>
      </w:r>
      <w:r w:rsidRPr="00961AA3">
        <w:rPr>
          <w:rStyle w:val="FootnoteReference"/>
          <w:rFonts w:ascii="Garamond" w:hAnsi="Garamond"/>
          <w:bCs/>
          <w:color w:val="000000" w:themeColor="text1"/>
        </w:rPr>
        <w:footnoteReference w:id="27"/>
      </w:r>
      <w:r w:rsidRPr="00200DC5">
        <w:rPr>
          <w:rFonts w:ascii="Garamond" w:hAnsi="Garamond"/>
          <w:bCs/>
          <w:color w:val="000000" w:themeColor="text1"/>
        </w:rPr>
        <w:t xml:space="preserve"> In 1999, the UN Committee on Economic, Social and Cultural Rights (CESCR) further defined this right in General Comment 12</w:t>
      </w:r>
      <w:r w:rsidR="008432DE">
        <w:rPr>
          <w:rFonts w:ascii="Garamond" w:hAnsi="Garamond"/>
          <w:bCs/>
          <w:color w:val="000000" w:themeColor="text1"/>
        </w:rPr>
        <w:t xml:space="preserve"> (GC 12)</w:t>
      </w:r>
      <w:r w:rsidRPr="00200DC5">
        <w:rPr>
          <w:rFonts w:ascii="Garamond" w:hAnsi="Garamond"/>
          <w:bCs/>
          <w:color w:val="000000" w:themeColor="text1"/>
        </w:rPr>
        <w:t xml:space="preserve">: The Right to Adequate Food. Per </w:t>
      </w:r>
      <w:r w:rsidR="008432DE">
        <w:rPr>
          <w:rFonts w:ascii="Garamond" w:hAnsi="Garamond"/>
          <w:bCs/>
          <w:color w:val="000000" w:themeColor="text1"/>
        </w:rPr>
        <w:t>GC</w:t>
      </w:r>
      <w:r w:rsidRPr="00200DC5">
        <w:rPr>
          <w:rFonts w:ascii="Garamond" w:hAnsi="Garamond"/>
          <w:bCs/>
          <w:color w:val="000000" w:themeColor="text1"/>
        </w:rPr>
        <w:t xml:space="preserve"> 12, paragraph 6, “The right to adequate food is realized when every man, woman and child, alone or in community with others, has physical and economic access at all times to adequate food or means for its procurement.”</w:t>
      </w:r>
      <w:r w:rsidRPr="00961AA3">
        <w:rPr>
          <w:rStyle w:val="FootnoteReference"/>
          <w:rFonts w:ascii="Garamond" w:hAnsi="Garamond"/>
          <w:bCs/>
          <w:color w:val="000000" w:themeColor="text1"/>
        </w:rPr>
        <w:footnoteReference w:id="28"/>
      </w:r>
      <w:r w:rsidRPr="00200DC5">
        <w:rPr>
          <w:rFonts w:ascii="Garamond" w:hAnsi="Garamond"/>
        </w:rPr>
        <w:t xml:space="preserve"> The Special Rapporteur on the Right to Food, Jean Ziegler, stated that “the right to have regular, permanent and unrestricted access, either directly or by means of financial purchases, to quantitatively and qualitatively adequate and sufficient food corresponding to the cultural traditions of the people to which the consumer belongs, and which ensures a physical and mental, individual and collective, fulfilling and dignified life free of fear.”</w:t>
      </w:r>
      <w:r w:rsidRPr="00961AA3">
        <w:rPr>
          <w:rStyle w:val="FootnoteReference"/>
          <w:rFonts w:ascii="Garamond" w:hAnsi="Garamond"/>
        </w:rPr>
        <w:footnoteReference w:id="29"/>
      </w:r>
      <w:r w:rsidRPr="00200DC5">
        <w:rPr>
          <w:rFonts w:ascii="Garamond" w:hAnsi="Garamond"/>
        </w:rPr>
        <w:t xml:space="preserve"> There are four main components of the right to food that stem from </w:t>
      </w:r>
      <w:r w:rsidR="008432DE">
        <w:rPr>
          <w:rFonts w:ascii="Garamond" w:hAnsi="Garamond"/>
        </w:rPr>
        <w:t>GC</w:t>
      </w:r>
      <w:r w:rsidRPr="00200DC5">
        <w:rPr>
          <w:rFonts w:ascii="Garamond" w:hAnsi="Garamond"/>
        </w:rPr>
        <w:t xml:space="preserve"> 12: accessibility (food must be both economically and physically accessible), availability (food must be available through either one’s land or natural resources, or through an efficient distribution system), adequacy, (food must satisfy dietary needs, be culturally acceptable, and be safe of harmful substances), and sustainability (food must be accessible, available, and adequate for present and future generations).</w:t>
      </w:r>
      <w:r w:rsidRPr="00961AA3">
        <w:rPr>
          <w:rStyle w:val="FootnoteReference"/>
          <w:rFonts w:ascii="Garamond" w:hAnsi="Garamond"/>
        </w:rPr>
        <w:footnoteReference w:id="30"/>
      </w:r>
      <w:r w:rsidRPr="00200DC5">
        <w:rPr>
          <w:rFonts w:ascii="Garamond" w:hAnsi="Garamond"/>
        </w:rPr>
        <w:t xml:space="preserve"> The right to food is intertwined with other human rights, including the right to adequate working conditions, which is enshrined in </w:t>
      </w:r>
      <w:r w:rsidRPr="00200DC5">
        <w:rPr>
          <w:rFonts w:ascii="Garamond" w:eastAsia="Times New Roman" w:hAnsi="Garamond" w:cs="Times New Roman"/>
          <w:color w:val="000000"/>
        </w:rPr>
        <w:t>UDHR Article 23</w:t>
      </w:r>
      <w:r w:rsidRPr="00961AA3">
        <w:rPr>
          <w:rStyle w:val="FootnoteReference"/>
          <w:rFonts w:ascii="Garamond" w:eastAsia="Times New Roman" w:hAnsi="Garamond" w:cs="Times New Roman"/>
          <w:color w:val="000000"/>
        </w:rPr>
        <w:footnoteReference w:id="31"/>
      </w:r>
      <w:r w:rsidRPr="00200DC5">
        <w:rPr>
          <w:rFonts w:ascii="Garamond" w:eastAsia="Times New Roman" w:hAnsi="Garamond" w:cs="Times New Roman"/>
          <w:color w:val="000000"/>
        </w:rPr>
        <w:t xml:space="preserve"> and ICESCR Articles 6, 7, and 8.</w:t>
      </w:r>
      <w:r w:rsidRPr="00961AA3">
        <w:rPr>
          <w:rStyle w:val="FootnoteReference"/>
          <w:rFonts w:ascii="Garamond" w:eastAsia="Times New Roman" w:hAnsi="Garamond" w:cs="Times New Roman"/>
          <w:color w:val="000000"/>
        </w:rPr>
        <w:footnoteReference w:id="32"/>
      </w:r>
    </w:p>
    <w:p w14:paraId="13C42A03" w14:textId="77777777" w:rsidR="00111462" w:rsidRPr="00200DC5" w:rsidRDefault="00111462" w:rsidP="007E6E07">
      <w:pPr>
        <w:pStyle w:val="ListParagraph"/>
        <w:ind w:left="1080"/>
        <w:jc w:val="both"/>
        <w:rPr>
          <w:rFonts w:ascii="Garamond" w:hAnsi="Garamond"/>
          <w:b/>
          <w:color w:val="000000" w:themeColor="text1"/>
        </w:rPr>
      </w:pPr>
    </w:p>
    <w:p w14:paraId="2EFA37E8" w14:textId="5B32BC73" w:rsidR="00111462" w:rsidRDefault="00111462" w:rsidP="007E6E07">
      <w:pPr>
        <w:pStyle w:val="ListParagraph"/>
        <w:numPr>
          <w:ilvl w:val="0"/>
          <w:numId w:val="3"/>
        </w:numPr>
        <w:jc w:val="both"/>
        <w:rPr>
          <w:rFonts w:ascii="Garamond" w:hAnsi="Garamond"/>
          <w:bCs/>
        </w:rPr>
      </w:pPr>
      <w:r w:rsidRPr="00CD3629">
        <w:rPr>
          <w:rFonts w:ascii="Garamond" w:hAnsi="Garamond"/>
          <w:bCs/>
        </w:rPr>
        <w:t>Even though the U.S. has not ratified the ICESCR, the U.S. has ratified several other human rights instruments. The U.S. ratified the International Convention on the Elimination of All Forms of Racial Discrimination (ICERD).</w:t>
      </w:r>
      <w:r w:rsidRPr="00961AA3">
        <w:rPr>
          <w:rStyle w:val="FootnoteReference"/>
          <w:rFonts w:ascii="Garamond" w:hAnsi="Garamond"/>
          <w:bCs/>
        </w:rPr>
        <w:footnoteReference w:id="33"/>
      </w:r>
      <w:r w:rsidRPr="00CD3629">
        <w:rPr>
          <w:rFonts w:ascii="Garamond" w:hAnsi="Garamond"/>
          <w:bCs/>
        </w:rPr>
        <w:t xml:space="preserve">  Article 5(d)(</w:t>
      </w:r>
      <w:proofErr w:type="spellStart"/>
      <w:r w:rsidRPr="00CD3629">
        <w:rPr>
          <w:rFonts w:ascii="Garamond" w:hAnsi="Garamond"/>
          <w:bCs/>
        </w:rPr>
        <w:t>i</w:t>
      </w:r>
      <w:proofErr w:type="spellEnd"/>
      <w:r w:rsidRPr="00CD3629">
        <w:rPr>
          <w:rFonts w:ascii="Garamond" w:hAnsi="Garamond"/>
          <w:bCs/>
        </w:rPr>
        <w:t xml:space="preserve">) of ICERD requires State Parties “to prohibit and to eliminate racial discrimination in all its forms and to guarantee the right of everyone, without </w:t>
      </w:r>
      <w:r w:rsidRPr="00CD3629">
        <w:rPr>
          <w:rFonts w:ascii="Garamond" w:hAnsi="Garamond"/>
          <w:bCs/>
        </w:rPr>
        <w:lastRenderedPageBreak/>
        <w:t xml:space="preserve">distinction as to race, </w:t>
      </w:r>
      <w:proofErr w:type="spellStart"/>
      <w:r w:rsidRPr="00CD3629">
        <w:rPr>
          <w:rFonts w:ascii="Garamond" w:hAnsi="Garamond"/>
          <w:bCs/>
        </w:rPr>
        <w:t>colour</w:t>
      </w:r>
      <w:proofErr w:type="spellEnd"/>
      <w:r w:rsidRPr="00CD3629">
        <w:rPr>
          <w:rFonts w:ascii="Garamond" w:hAnsi="Garamond"/>
          <w:bCs/>
        </w:rPr>
        <w:t>, or national or ethnic origin, to equality before the law . . .” including with respect to “economic, social and cultural rights.”</w:t>
      </w:r>
      <w:r w:rsidRPr="00961AA3">
        <w:rPr>
          <w:rStyle w:val="FootnoteReference"/>
          <w:rFonts w:ascii="Garamond" w:hAnsi="Garamond"/>
          <w:bCs/>
        </w:rPr>
        <w:footnoteReference w:id="34"/>
      </w:r>
    </w:p>
    <w:p w14:paraId="3F86FF6F" w14:textId="77777777" w:rsidR="00111462" w:rsidRPr="00111462" w:rsidRDefault="00111462" w:rsidP="007E6E07">
      <w:pPr>
        <w:pStyle w:val="ListParagraph"/>
        <w:rPr>
          <w:rFonts w:ascii="Garamond" w:hAnsi="Garamond"/>
          <w:bCs/>
        </w:rPr>
      </w:pPr>
    </w:p>
    <w:p w14:paraId="5F04615D" w14:textId="2DA3AF2C" w:rsidR="00111462" w:rsidRDefault="00111462" w:rsidP="007E6E07">
      <w:pPr>
        <w:pStyle w:val="ListParagraph"/>
        <w:numPr>
          <w:ilvl w:val="0"/>
          <w:numId w:val="3"/>
        </w:numPr>
        <w:jc w:val="both"/>
        <w:rPr>
          <w:rFonts w:ascii="Garamond" w:eastAsia="Times New Roman" w:hAnsi="Garamond" w:cs="Times New Roman"/>
          <w:color w:val="000000"/>
        </w:rPr>
      </w:pPr>
      <w:r w:rsidRPr="00CD3629">
        <w:rPr>
          <w:rFonts w:ascii="Garamond" w:hAnsi="Garamond"/>
          <w:bCs/>
        </w:rPr>
        <w:t>The U.S. has ratified the International Covenant on Civil and Political Rights (“ICCPR”).</w:t>
      </w:r>
      <w:r w:rsidRPr="00961AA3">
        <w:rPr>
          <w:rStyle w:val="FootnoteReference"/>
          <w:rFonts w:ascii="Garamond" w:hAnsi="Garamond"/>
          <w:bCs/>
        </w:rPr>
        <w:footnoteReference w:id="35"/>
      </w:r>
      <w:r w:rsidRPr="00CD3629">
        <w:rPr>
          <w:rFonts w:ascii="Garamond" w:hAnsi="Garamond"/>
          <w:bCs/>
        </w:rPr>
        <w:t xml:space="preserve"> Article 25 of the ICCPR enshrines the human right to political participation, while Articles 2 and 26 enshrine the right to equality and non-discrimination, two rights that are intimately intertwined with the right to food.</w:t>
      </w:r>
      <w:r w:rsidRPr="00961AA3">
        <w:rPr>
          <w:rStyle w:val="FootnoteReference"/>
          <w:rFonts w:ascii="Garamond" w:hAnsi="Garamond"/>
          <w:bCs/>
        </w:rPr>
        <w:footnoteReference w:id="36"/>
      </w:r>
      <w:r w:rsidRPr="00CD3629">
        <w:rPr>
          <w:rFonts w:ascii="Garamond" w:hAnsi="Garamond"/>
          <w:bCs/>
        </w:rPr>
        <w:t xml:space="preserve"> The full realization of the human right to food in the U.S. is dependent on people’s ability to exercise their right to political participation in the definition of their food system. Violations of the right to equality and non-discrimination based on race, gender, and socioeconomic status result in hunger and malnutrition disproportionately affecting BIPOC, women and children, and the poor. Similarly, </w:t>
      </w:r>
      <w:r w:rsidRPr="00CD3629">
        <w:rPr>
          <w:rFonts w:ascii="Garamond" w:eastAsia="Times New Roman" w:hAnsi="Garamond" w:cs="Times New Roman"/>
          <w:color w:val="000000"/>
        </w:rPr>
        <w:t>Article 1(2) of the ICCPR speaks to one’s right of sustaining oneself and can also be used to invoke state obligations on the right to food.</w:t>
      </w:r>
      <w:r w:rsidRPr="00961AA3">
        <w:rPr>
          <w:rStyle w:val="FootnoteReference"/>
          <w:rFonts w:ascii="Garamond" w:eastAsia="Times New Roman" w:hAnsi="Garamond" w:cs="Times New Roman"/>
          <w:color w:val="000000"/>
        </w:rPr>
        <w:footnoteReference w:id="37"/>
      </w:r>
      <w:r w:rsidRPr="00CD3629">
        <w:rPr>
          <w:rFonts w:ascii="Garamond" w:eastAsia="Times New Roman" w:hAnsi="Garamond" w:cs="Times New Roman"/>
          <w:color w:val="000000"/>
        </w:rPr>
        <w:t xml:space="preserve"> </w:t>
      </w:r>
    </w:p>
    <w:p w14:paraId="7B84069E" w14:textId="77777777" w:rsidR="00111462" w:rsidRPr="00111462" w:rsidRDefault="00111462" w:rsidP="004C50DC">
      <w:pPr>
        <w:ind w:right="360"/>
        <w:jc w:val="both"/>
        <w:rPr>
          <w:rFonts w:ascii="Garamond" w:eastAsia="Times New Roman" w:hAnsi="Garamond" w:cs="Times New Roman"/>
          <w:color w:val="000000"/>
        </w:rPr>
      </w:pPr>
    </w:p>
    <w:p w14:paraId="4175A9ED" w14:textId="37BCDA36" w:rsidR="004C50DC" w:rsidRDefault="00111462" w:rsidP="007E6E07">
      <w:pPr>
        <w:pStyle w:val="ListParagraph"/>
        <w:numPr>
          <w:ilvl w:val="0"/>
          <w:numId w:val="3"/>
        </w:numPr>
        <w:jc w:val="both"/>
        <w:rPr>
          <w:rFonts w:ascii="Garamond" w:hAnsi="Garamond"/>
        </w:rPr>
      </w:pPr>
      <w:r w:rsidRPr="00CD3629">
        <w:rPr>
          <w:rFonts w:ascii="Garamond" w:hAnsi="Garamond"/>
        </w:rPr>
        <w:t>The Convention on the Rights of the Child (“CRC”) has been signed but not ratified by the U.S., meaning that the U.S. must “refrain . . . from acts that would defeat the object and purpose of the treaty.”</w:t>
      </w:r>
      <w:r w:rsidRPr="00961AA3">
        <w:rPr>
          <w:vertAlign w:val="superscript"/>
        </w:rPr>
        <w:footnoteReference w:id="38"/>
      </w:r>
      <w:r w:rsidRPr="00CD3629">
        <w:rPr>
          <w:rFonts w:ascii="Garamond" w:hAnsi="Garamond"/>
        </w:rPr>
        <w:t xml:space="preserve">  Article 24 of </w:t>
      </w:r>
      <w:r w:rsidR="002A18BE">
        <w:rPr>
          <w:rFonts w:ascii="Garamond" w:hAnsi="Garamond"/>
        </w:rPr>
        <w:t xml:space="preserve">the </w:t>
      </w:r>
      <w:r w:rsidRPr="00CD3629">
        <w:rPr>
          <w:rFonts w:ascii="Garamond" w:hAnsi="Garamond"/>
        </w:rPr>
        <w:t>CRC states that “State parties shall pursue full implementation of this right and, in particular, shall take appropriate measures to diminish infant mortality… through the provision of adequate nutritious foods and clean drinking-water, taking into consideration the dangers and risks of environmental pollution. . . .”</w:t>
      </w:r>
      <w:r w:rsidRPr="00961AA3">
        <w:rPr>
          <w:rStyle w:val="FootnoteReference"/>
          <w:rFonts w:ascii="Garamond" w:hAnsi="Garamond"/>
        </w:rPr>
        <w:footnoteReference w:id="39"/>
      </w:r>
      <w:r w:rsidRPr="00CD3629">
        <w:rPr>
          <w:rFonts w:ascii="Garamond" w:hAnsi="Garamond"/>
        </w:rPr>
        <w:t xml:space="preserve">  </w:t>
      </w:r>
    </w:p>
    <w:p w14:paraId="75B74085" w14:textId="77777777" w:rsidR="004C50DC" w:rsidRPr="004C50DC" w:rsidRDefault="004C50DC" w:rsidP="007E6E07">
      <w:pPr>
        <w:jc w:val="both"/>
        <w:rPr>
          <w:rFonts w:ascii="Garamond" w:hAnsi="Garamond"/>
        </w:rPr>
      </w:pPr>
    </w:p>
    <w:p w14:paraId="6A467B44" w14:textId="0B1AEAB2" w:rsidR="004C50DC" w:rsidRPr="008C7D12" w:rsidRDefault="00040D08" w:rsidP="008C7D12">
      <w:pPr>
        <w:pStyle w:val="ListParagraph"/>
        <w:numPr>
          <w:ilvl w:val="0"/>
          <w:numId w:val="3"/>
        </w:numPr>
        <w:jc w:val="both"/>
        <w:rPr>
          <w:rFonts w:ascii="Garamond" w:hAnsi="Garamond"/>
          <w:bCs/>
          <w:color w:val="000000" w:themeColor="text1"/>
        </w:rPr>
      </w:pPr>
      <w:r w:rsidRPr="00CD3629">
        <w:rPr>
          <w:rFonts w:ascii="Garamond" w:hAnsi="Garamond"/>
          <w:color w:val="000000" w:themeColor="text1"/>
        </w:rPr>
        <w:t>Finally, the U.S. took part in the development of the Voluntary Guidelines to Support the Progressive Realization of the Right to Adequate Food in the Context of National Food Security and Agriculture Organization of the United Nations (FAO) in 2004.</w:t>
      </w:r>
      <w:r w:rsidRPr="00961AA3">
        <w:rPr>
          <w:vertAlign w:val="superscript"/>
        </w:rPr>
        <w:footnoteReference w:id="40"/>
      </w:r>
      <w:r w:rsidRPr="00CD3629">
        <w:rPr>
          <w:rFonts w:ascii="Garamond" w:hAnsi="Garamond"/>
          <w:color w:val="000000" w:themeColor="text1"/>
        </w:rPr>
        <w:t xml:space="preserve">  The FAO supports a seven-step framework to implement the right to food. States should (1) identify hungry people, whose right to food is not realized; (2) assess existing policies and programs; (3) develop strategies for an enabling environment and assistance measures; (4) improve institutional coordination and functioning; (5) review and strengthen legal framework; (6) monitor progress over time with a human rights focus; and (7) ensure effective recourse for violations of the right to food.</w:t>
      </w:r>
      <w:r w:rsidRPr="00961AA3">
        <w:rPr>
          <w:rStyle w:val="FootnoteReference"/>
          <w:rFonts w:ascii="Garamond" w:hAnsi="Garamond"/>
          <w:color w:val="000000" w:themeColor="text1"/>
        </w:rPr>
        <w:footnoteReference w:id="41"/>
      </w:r>
      <w:r w:rsidRPr="00CD3629">
        <w:rPr>
          <w:rFonts w:ascii="Garamond" w:hAnsi="Garamond"/>
          <w:color w:val="000000" w:themeColor="text1"/>
        </w:rPr>
        <w:t xml:space="preserve"> </w:t>
      </w:r>
    </w:p>
    <w:p w14:paraId="1D052AC5" w14:textId="77777777" w:rsidR="004C50DC" w:rsidRPr="004C50DC" w:rsidRDefault="004C50DC" w:rsidP="004C50DC">
      <w:pPr>
        <w:pStyle w:val="ListParagraph"/>
        <w:ind w:left="1080" w:right="360"/>
        <w:jc w:val="both"/>
        <w:rPr>
          <w:rFonts w:ascii="Garamond" w:hAnsi="Garamond"/>
          <w:bCs/>
          <w:color w:val="000000" w:themeColor="text1"/>
        </w:rPr>
      </w:pPr>
    </w:p>
    <w:p w14:paraId="721BFCF1" w14:textId="1947B8AB" w:rsidR="004C50DC" w:rsidRPr="004C50DC" w:rsidRDefault="004C50DC" w:rsidP="00A853EB">
      <w:pPr>
        <w:pStyle w:val="ListParagraph"/>
        <w:numPr>
          <w:ilvl w:val="0"/>
          <w:numId w:val="1"/>
        </w:numPr>
        <w:spacing w:before="120"/>
        <w:ind w:left="1080" w:right="360"/>
        <w:rPr>
          <w:rFonts w:ascii="Garamond" w:hAnsi="Garamond"/>
          <w:b/>
        </w:rPr>
      </w:pPr>
      <w:r w:rsidRPr="004C50DC">
        <w:rPr>
          <w:rFonts w:ascii="Garamond" w:hAnsi="Garamond"/>
          <w:b/>
        </w:rPr>
        <w:t xml:space="preserve">The U.S. is Failing in Its Current Response to Hunger: </w:t>
      </w:r>
      <w:r w:rsidR="002A18BE">
        <w:rPr>
          <w:rFonts w:ascii="Garamond" w:hAnsi="Garamond"/>
          <w:b/>
        </w:rPr>
        <w:t xml:space="preserve">Structural Racism, </w:t>
      </w:r>
      <w:r w:rsidRPr="004C50DC">
        <w:rPr>
          <w:rFonts w:ascii="Garamond" w:hAnsi="Garamond"/>
          <w:b/>
        </w:rPr>
        <w:t>Domestic Nutrition Assistance Programs</w:t>
      </w:r>
      <w:r w:rsidR="002A18BE">
        <w:rPr>
          <w:rFonts w:ascii="Garamond" w:hAnsi="Garamond"/>
          <w:b/>
        </w:rPr>
        <w:t>,</w:t>
      </w:r>
      <w:r w:rsidRPr="004C50DC">
        <w:rPr>
          <w:rFonts w:ascii="Garamond" w:hAnsi="Garamond"/>
          <w:b/>
        </w:rPr>
        <w:t xml:space="preserve"> and Charity</w:t>
      </w:r>
    </w:p>
    <w:p w14:paraId="6EFE14DE" w14:textId="77777777" w:rsidR="004C50DC" w:rsidRPr="004C50DC" w:rsidRDefault="004C50DC" w:rsidP="004C50DC">
      <w:pPr>
        <w:ind w:right="360"/>
        <w:jc w:val="both"/>
        <w:rPr>
          <w:rFonts w:ascii="Garamond" w:hAnsi="Garamond"/>
          <w:bCs/>
          <w:color w:val="000000" w:themeColor="text1"/>
        </w:rPr>
      </w:pPr>
    </w:p>
    <w:p w14:paraId="67E4901F" w14:textId="5DC03F04" w:rsidR="004C50DC" w:rsidRPr="004C50DC" w:rsidRDefault="004C50DC" w:rsidP="00F305A1">
      <w:pPr>
        <w:pStyle w:val="ListParagraph"/>
        <w:numPr>
          <w:ilvl w:val="0"/>
          <w:numId w:val="9"/>
        </w:numPr>
        <w:ind w:left="720"/>
        <w:jc w:val="both"/>
        <w:rPr>
          <w:rFonts w:ascii="Garamond" w:hAnsi="Garamond"/>
          <w:bCs/>
        </w:rPr>
      </w:pPr>
      <w:r w:rsidRPr="00961AA3">
        <w:rPr>
          <w:rFonts w:ascii="Garamond" w:hAnsi="Garamond"/>
          <w:bCs/>
        </w:rPr>
        <w:t>U.S. policies implemented to try and combat the food security crisis</w:t>
      </w:r>
      <w:r w:rsidR="002A18BE">
        <w:rPr>
          <w:rFonts w:ascii="Garamond" w:hAnsi="Garamond"/>
          <w:bCs/>
        </w:rPr>
        <w:t>—</w:t>
      </w:r>
      <w:r w:rsidRPr="00961AA3">
        <w:rPr>
          <w:rFonts w:ascii="Garamond" w:hAnsi="Garamond"/>
          <w:bCs/>
        </w:rPr>
        <w:t>namely</w:t>
      </w:r>
      <w:r w:rsidR="002A18BE">
        <w:rPr>
          <w:rFonts w:ascii="Garamond" w:hAnsi="Garamond"/>
          <w:bCs/>
        </w:rPr>
        <w:t xml:space="preserve"> </w:t>
      </w:r>
      <w:r w:rsidRPr="00961AA3">
        <w:rPr>
          <w:rFonts w:ascii="Garamond" w:hAnsi="Garamond"/>
          <w:bCs/>
        </w:rPr>
        <w:t xml:space="preserve">government food entitlement programs and charitable food programs—are inadequate and fail to recognize individuals’ right to food. </w:t>
      </w:r>
      <w:r w:rsidR="002A18BE">
        <w:rPr>
          <w:rFonts w:ascii="Garamond" w:hAnsi="Garamond"/>
          <w:bCs/>
        </w:rPr>
        <w:t>O</w:t>
      </w:r>
      <w:r w:rsidRPr="00961AA3">
        <w:rPr>
          <w:rFonts w:ascii="Garamond" w:hAnsi="Garamond"/>
          <w:bCs/>
        </w:rPr>
        <w:t xml:space="preserve">ne in six Americans lives in a household that cannot afford adequate food. Of these </w:t>
      </w:r>
      <w:r w:rsidRPr="00961AA3">
        <w:rPr>
          <w:rFonts w:ascii="Garamond" w:hAnsi="Garamond"/>
          <w:bCs/>
        </w:rPr>
        <w:lastRenderedPageBreak/>
        <w:t xml:space="preserve">households, 17 </w:t>
      </w:r>
      <w:proofErr w:type="spellStart"/>
      <w:r w:rsidRPr="00961AA3">
        <w:rPr>
          <w:rFonts w:ascii="Garamond" w:hAnsi="Garamond"/>
          <w:bCs/>
        </w:rPr>
        <w:t>million</w:t>
      </w:r>
      <w:proofErr w:type="spellEnd"/>
      <w:r w:rsidRPr="00961AA3">
        <w:rPr>
          <w:rFonts w:ascii="Garamond" w:hAnsi="Garamond"/>
          <w:bCs/>
        </w:rPr>
        <w:t xml:space="preserve"> of them are children.</w:t>
      </w:r>
      <w:r w:rsidRPr="00961AA3">
        <w:rPr>
          <w:rStyle w:val="FootnoteReference"/>
          <w:rFonts w:ascii="Garamond" w:hAnsi="Garamond"/>
          <w:bCs/>
        </w:rPr>
        <w:footnoteReference w:id="42"/>
      </w:r>
      <w:r w:rsidRPr="00961AA3">
        <w:rPr>
          <w:rFonts w:ascii="Garamond" w:hAnsi="Garamond"/>
          <w:bCs/>
        </w:rPr>
        <w:t xml:space="preserve"> </w:t>
      </w:r>
      <w:r w:rsidRPr="00961AA3">
        <w:rPr>
          <w:rFonts w:ascii="Garamond" w:hAnsi="Garamond"/>
          <w:bCs/>
          <w:color w:val="000000" w:themeColor="text1"/>
        </w:rPr>
        <w:t xml:space="preserve"> Under the Farm Bill, the Supplemental Nutrition Assistance Program (SNAP) (formerly, Food Stamp Program) is a program that provides electronic benefits which are redeemable for SNAP-eligible foods at SNAP-eligible retailers.  The Emergency Food Assistance Program (TEFAP) Provides food commodities through states to reach local emergency feeding organizations (i.e., food banks). The program receives $623 million dollars in funding per fiscal year. The Special Supplemental Nutrition Program for Women, Infants, and Children (WIC) is a specialized program only for women and children.</w:t>
      </w:r>
    </w:p>
    <w:p w14:paraId="60DFD0F5" w14:textId="77777777" w:rsidR="004C50DC" w:rsidRPr="004C50DC" w:rsidRDefault="004C50DC" w:rsidP="00F305A1">
      <w:pPr>
        <w:pStyle w:val="ListParagraph"/>
        <w:jc w:val="both"/>
        <w:rPr>
          <w:rFonts w:ascii="Garamond" w:hAnsi="Garamond"/>
          <w:bCs/>
        </w:rPr>
      </w:pPr>
    </w:p>
    <w:p w14:paraId="57902C87" w14:textId="6BBA8CCB" w:rsidR="004C50DC" w:rsidRDefault="004C50DC" w:rsidP="00F305A1">
      <w:pPr>
        <w:pStyle w:val="ListParagraph"/>
        <w:numPr>
          <w:ilvl w:val="0"/>
          <w:numId w:val="9"/>
        </w:numPr>
        <w:ind w:left="720" w:right="90"/>
        <w:jc w:val="both"/>
        <w:rPr>
          <w:rFonts w:ascii="Garamond" w:hAnsi="Garamond"/>
          <w:bCs/>
        </w:rPr>
      </w:pPr>
      <w:r w:rsidRPr="004C50DC">
        <w:rPr>
          <w:rFonts w:ascii="Garamond" w:hAnsi="Garamond"/>
          <w:bCs/>
        </w:rPr>
        <w:t xml:space="preserve">The Supplemental Nutrition Assistance Program (SNAP) is the U.S.’s largest anti-hunger government program. </w:t>
      </w:r>
      <w:r w:rsidRPr="004C50DC">
        <w:rPr>
          <w:rFonts w:ascii="Garamond" w:hAnsi="Garamond"/>
          <w:bCs/>
          <w:color w:val="000000" w:themeColor="text1"/>
        </w:rPr>
        <w:t>There are currently 40.3 million Americans enrolled in SNAP.</w:t>
      </w:r>
      <w:r w:rsidRPr="00961AA3">
        <w:rPr>
          <w:rStyle w:val="FootnoteReference"/>
          <w:rFonts w:ascii="Garamond" w:hAnsi="Garamond"/>
          <w:bCs/>
          <w:color w:val="000000" w:themeColor="text1"/>
        </w:rPr>
        <w:footnoteReference w:id="43"/>
      </w:r>
      <w:r w:rsidRPr="004C50DC">
        <w:rPr>
          <w:rFonts w:ascii="Garamond" w:hAnsi="Garamond"/>
          <w:bCs/>
          <w:color w:val="000000" w:themeColor="text1"/>
        </w:rPr>
        <w:t xml:space="preserve"> </w:t>
      </w:r>
      <w:r w:rsidRPr="004C50DC">
        <w:rPr>
          <w:rFonts w:ascii="Garamond" w:hAnsi="Garamond"/>
          <w:bCs/>
        </w:rPr>
        <w:t xml:space="preserve">SNAP became even more important to these households as the COVID-19 pandemic took off, but by 2021 over 20 million households reported they still did not have enough food to consume even with SNAP, and thus had to rely on charitable food assistance programs such as food banks. </w:t>
      </w:r>
      <w:r w:rsidRPr="00961AA3">
        <w:rPr>
          <w:rStyle w:val="FootnoteReference"/>
          <w:rFonts w:ascii="Garamond" w:hAnsi="Garamond"/>
          <w:bCs/>
        </w:rPr>
        <w:footnoteReference w:id="44"/>
      </w:r>
    </w:p>
    <w:p w14:paraId="6EB8367D" w14:textId="77777777" w:rsidR="004C50DC" w:rsidRDefault="004C50DC" w:rsidP="007E6E07">
      <w:pPr>
        <w:pStyle w:val="ListParagraph"/>
        <w:ind w:left="1080" w:right="90"/>
        <w:jc w:val="both"/>
        <w:rPr>
          <w:rFonts w:ascii="Garamond" w:hAnsi="Garamond"/>
          <w:bCs/>
        </w:rPr>
      </w:pPr>
    </w:p>
    <w:p w14:paraId="09ECFE9B" w14:textId="77777777" w:rsidR="002A18BE" w:rsidRDefault="004C50DC" w:rsidP="00F305A1">
      <w:pPr>
        <w:pStyle w:val="ListParagraph"/>
        <w:numPr>
          <w:ilvl w:val="0"/>
          <w:numId w:val="9"/>
        </w:numPr>
        <w:ind w:left="720" w:right="90"/>
        <w:jc w:val="both"/>
        <w:rPr>
          <w:rFonts w:ascii="Garamond" w:hAnsi="Garamond"/>
          <w:bCs/>
        </w:rPr>
      </w:pPr>
      <w:r w:rsidRPr="004C50DC">
        <w:rPr>
          <w:rFonts w:ascii="Garamond" w:hAnsi="Garamond"/>
          <w:bCs/>
        </w:rPr>
        <w:t>While SNAP has been one of the first lines of defense for many households in the U.S., the program is steeped in racial histories of racialized labor control.</w:t>
      </w:r>
      <w:r w:rsidRPr="00961AA3">
        <w:rPr>
          <w:rStyle w:val="FootnoteReference"/>
          <w:rFonts w:ascii="Garamond" w:hAnsi="Garamond"/>
          <w:bCs/>
        </w:rPr>
        <w:footnoteReference w:id="45"/>
      </w:r>
      <w:r w:rsidRPr="004C50DC">
        <w:rPr>
          <w:rFonts w:ascii="Garamond" w:hAnsi="Garamond"/>
          <w:bCs/>
        </w:rPr>
        <w:t xml:space="preserve"> Structural racism in SNAP is evident in the amount provided, which affects the adequacy of food obtained, and the requirements that must be met to qualify for the program, with a disproportionate impact of BIPOC families who make up the majority of recipients.</w:t>
      </w:r>
      <w:r w:rsidRPr="00961AA3">
        <w:rPr>
          <w:rStyle w:val="FootnoteReference"/>
          <w:rFonts w:ascii="Garamond" w:hAnsi="Garamond"/>
          <w:bCs/>
        </w:rPr>
        <w:footnoteReference w:id="46"/>
      </w:r>
      <w:r w:rsidRPr="004C50DC">
        <w:rPr>
          <w:rFonts w:ascii="Garamond" w:hAnsi="Garamond"/>
          <w:bCs/>
        </w:rPr>
        <w:t xml:space="preserve"> </w:t>
      </w:r>
      <w:r w:rsidRPr="004C50DC">
        <w:rPr>
          <w:rFonts w:ascii="Garamond" w:hAnsi="Garamond"/>
          <w:bCs/>
          <w:color w:val="000000" w:themeColor="text1"/>
        </w:rPr>
        <w:t xml:space="preserve">The monetary SNAP benefit units vary by the size of the household and the benefit calculation rules </w:t>
      </w:r>
      <w:r w:rsidRPr="004C50DC">
        <w:rPr>
          <w:rFonts w:ascii="Garamond" w:hAnsi="Garamond"/>
          <w:bCs/>
        </w:rPr>
        <w:t>and have historically been calculated based on the “Thrifty Food Plan”,</w:t>
      </w:r>
      <w:r w:rsidRPr="00961AA3">
        <w:rPr>
          <w:rStyle w:val="FootnoteReference"/>
          <w:rFonts w:ascii="Garamond" w:hAnsi="Garamond"/>
          <w:bCs/>
        </w:rPr>
        <w:footnoteReference w:id="47"/>
      </w:r>
      <w:r w:rsidRPr="004C50DC">
        <w:rPr>
          <w:rFonts w:ascii="Garamond" w:hAnsi="Garamond"/>
          <w:bCs/>
        </w:rPr>
        <w:t xml:space="preserve"> which determines the amount given to families on the basis of the cheapest food available, limiting the nutritional quality, the quantity, and the cultural adequacy of the food purchased.  </w:t>
      </w:r>
    </w:p>
    <w:p w14:paraId="63F034C2" w14:textId="77777777" w:rsidR="002A18BE" w:rsidRPr="002A18BE" w:rsidRDefault="002A18BE" w:rsidP="002A18BE">
      <w:pPr>
        <w:pStyle w:val="ListParagraph"/>
        <w:rPr>
          <w:rFonts w:ascii="Garamond" w:hAnsi="Garamond"/>
          <w:bCs/>
        </w:rPr>
      </w:pPr>
    </w:p>
    <w:p w14:paraId="49DC242C" w14:textId="333E638F" w:rsidR="004C50DC" w:rsidRDefault="003724BC" w:rsidP="00F305A1">
      <w:pPr>
        <w:pStyle w:val="ListParagraph"/>
        <w:numPr>
          <w:ilvl w:val="0"/>
          <w:numId w:val="9"/>
        </w:numPr>
        <w:ind w:left="720" w:right="90"/>
        <w:jc w:val="both"/>
        <w:rPr>
          <w:rFonts w:ascii="Garamond" w:hAnsi="Garamond"/>
          <w:bCs/>
        </w:rPr>
      </w:pPr>
      <w:r>
        <w:rPr>
          <w:rFonts w:ascii="Garamond" w:hAnsi="Garamond"/>
          <w:bCs/>
        </w:rPr>
        <w:t>In addition, t</w:t>
      </w:r>
      <w:r w:rsidR="004C50DC" w:rsidRPr="004C50DC">
        <w:rPr>
          <w:rFonts w:ascii="Garamond" w:hAnsi="Garamond"/>
          <w:bCs/>
        </w:rPr>
        <w:t>he work requirements threaten access to SNAP public assistance from families that fail to show they have worked a certain number of hours per week. These requirements deny families much-needed assistance and “discount much of their labor, ignoring the caregiving work that people provide for their loved ones, and pushing them into low-paid, insecure jobs that make it impossible to make ends meet.”</w:t>
      </w:r>
      <w:r w:rsidR="004C50DC" w:rsidRPr="00961AA3">
        <w:rPr>
          <w:rStyle w:val="FootnoteReference"/>
          <w:rFonts w:ascii="Garamond" w:hAnsi="Garamond"/>
          <w:bCs/>
        </w:rPr>
        <w:footnoteReference w:id="48"/>
      </w:r>
      <w:r w:rsidR="004C50DC" w:rsidRPr="004C50DC">
        <w:rPr>
          <w:rFonts w:ascii="Garamond" w:hAnsi="Garamond"/>
          <w:bCs/>
        </w:rPr>
        <w:t xml:space="preserve"> These work requirements continue to promote policies that disproportionately impact BIPOC and question their work ethics. The requirements continue to force people into lower wage jobs and volunteer-based work </w:t>
      </w:r>
      <w:proofErr w:type="gramStart"/>
      <w:r w:rsidR="004C50DC" w:rsidRPr="004C50DC">
        <w:rPr>
          <w:rFonts w:ascii="Garamond" w:hAnsi="Garamond"/>
          <w:bCs/>
        </w:rPr>
        <w:t>in order to</w:t>
      </w:r>
      <w:proofErr w:type="gramEnd"/>
      <w:r w:rsidR="004C50DC" w:rsidRPr="004C50DC">
        <w:rPr>
          <w:rFonts w:ascii="Garamond" w:hAnsi="Garamond"/>
          <w:bCs/>
        </w:rPr>
        <w:t xml:space="preserve"> continue to access SNAP.</w:t>
      </w:r>
    </w:p>
    <w:p w14:paraId="59BE11B7" w14:textId="77777777" w:rsidR="004C50DC" w:rsidRDefault="004C50DC" w:rsidP="00F305A1">
      <w:pPr>
        <w:pStyle w:val="ListParagraph"/>
        <w:ind w:right="90"/>
        <w:jc w:val="both"/>
        <w:rPr>
          <w:rFonts w:ascii="Garamond" w:hAnsi="Garamond"/>
          <w:bCs/>
        </w:rPr>
      </w:pPr>
    </w:p>
    <w:p w14:paraId="18856C30" w14:textId="7B7E217D" w:rsidR="004C50DC" w:rsidRDefault="004C50DC" w:rsidP="00F305A1">
      <w:pPr>
        <w:pStyle w:val="ListParagraph"/>
        <w:numPr>
          <w:ilvl w:val="0"/>
          <w:numId w:val="9"/>
        </w:numPr>
        <w:ind w:left="720"/>
        <w:jc w:val="both"/>
        <w:rPr>
          <w:rFonts w:ascii="Garamond" w:hAnsi="Garamond"/>
          <w:bCs/>
        </w:rPr>
      </w:pPr>
      <w:r w:rsidRPr="004C50DC">
        <w:rPr>
          <w:rFonts w:ascii="Garamond" w:hAnsi="Garamond"/>
          <w:bCs/>
        </w:rPr>
        <w:t xml:space="preserve">Aside from the burden of having to meet specific work requirements, there are additional structural barriers to enrollment, including the complexity of the process and the stigma and shame associated with it, with significant ramifications for BIPOC individuals and their families. It is extremely difficult to enroll in SNAP since the enrollment process “is generally frustrating and time-consuming-requiring, on average, a 20-page application or 90-minute phone call, plus submitting as many as 10 </w:t>
      </w:r>
      <w:r w:rsidRPr="004C50DC">
        <w:rPr>
          <w:rFonts w:ascii="Garamond" w:hAnsi="Garamond"/>
          <w:bCs/>
        </w:rPr>
        <w:lastRenderedPageBreak/>
        <w:t>documents.”</w:t>
      </w:r>
      <w:r w:rsidRPr="00961AA3">
        <w:rPr>
          <w:rStyle w:val="FootnoteReference"/>
          <w:rFonts w:ascii="Garamond" w:hAnsi="Garamond"/>
          <w:bCs/>
        </w:rPr>
        <w:footnoteReference w:id="49"/>
      </w:r>
      <w:r w:rsidRPr="004C50DC">
        <w:rPr>
          <w:rFonts w:ascii="Garamond" w:hAnsi="Garamond"/>
          <w:bCs/>
        </w:rPr>
        <w:t xml:space="preserve"> Furthermore, recipients of SNAP are subjected to heightened scrutiny and surveillance by the state, as well as to stigma.</w:t>
      </w:r>
      <w:r w:rsidRPr="00961AA3">
        <w:rPr>
          <w:rStyle w:val="FootnoteReference"/>
          <w:rFonts w:ascii="Garamond" w:hAnsi="Garamond"/>
          <w:bCs/>
        </w:rPr>
        <w:footnoteReference w:id="50"/>
      </w:r>
      <w:r w:rsidRPr="004C50DC">
        <w:rPr>
          <w:rFonts w:ascii="Garamond" w:hAnsi="Garamond"/>
          <w:bCs/>
        </w:rPr>
        <w:t xml:space="preserve"> SNAP participants are often portrayed as taking advantage of social programs and engaging in fraud and abuse, and this stigma often takes on a racial tone as it perpetuates the “Black Welfare Queen” myth created and promoted by past administrations.</w:t>
      </w:r>
      <w:r w:rsidRPr="00961AA3">
        <w:rPr>
          <w:rStyle w:val="FootnoteReference"/>
          <w:rFonts w:ascii="Garamond" w:hAnsi="Garamond"/>
          <w:bCs/>
        </w:rPr>
        <w:footnoteReference w:id="51"/>
      </w:r>
    </w:p>
    <w:p w14:paraId="672A853D" w14:textId="77777777" w:rsidR="004C50DC" w:rsidRDefault="004C50DC" w:rsidP="00F305A1">
      <w:pPr>
        <w:pStyle w:val="ListParagraph"/>
        <w:jc w:val="both"/>
        <w:rPr>
          <w:rFonts w:ascii="Garamond" w:hAnsi="Garamond"/>
          <w:bCs/>
        </w:rPr>
      </w:pPr>
    </w:p>
    <w:p w14:paraId="6A855ABA" w14:textId="7E468EFC" w:rsidR="004C50DC" w:rsidRDefault="004C50DC" w:rsidP="00F305A1">
      <w:pPr>
        <w:pStyle w:val="ListParagraph"/>
        <w:numPr>
          <w:ilvl w:val="0"/>
          <w:numId w:val="9"/>
        </w:numPr>
        <w:ind w:left="720"/>
        <w:jc w:val="both"/>
        <w:rPr>
          <w:rFonts w:ascii="Garamond" w:hAnsi="Garamond"/>
          <w:bCs/>
        </w:rPr>
      </w:pPr>
      <w:r w:rsidRPr="004C50DC">
        <w:rPr>
          <w:rFonts w:ascii="Garamond" w:hAnsi="Garamond"/>
          <w:bCs/>
        </w:rPr>
        <w:t xml:space="preserve">Research </w:t>
      </w:r>
      <w:r w:rsidR="003724BC">
        <w:rPr>
          <w:rFonts w:ascii="Garamond" w:hAnsi="Garamond"/>
          <w:bCs/>
        </w:rPr>
        <w:t xml:space="preserve">also </w:t>
      </w:r>
      <w:r w:rsidRPr="004C50DC">
        <w:rPr>
          <w:rFonts w:ascii="Garamond" w:hAnsi="Garamond"/>
          <w:bCs/>
        </w:rPr>
        <w:t>shows that Indigenous communities are less likely than non-Indigenous communities to use SNAP, largely due to lack of access to places that accept SNAP.</w:t>
      </w:r>
      <w:r w:rsidRPr="00961AA3">
        <w:rPr>
          <w:rStyle w:val="FootnoteReference"/>
          <w:rFonts w:ascii="Garamond" w:hAnsi="Garamond"/>
          <w:bCs/>
        </w:rPr>
        <w:footnoteReference w:id="52"/>
      </w:r>
      <w:r w:rsidRPr="004C50DC">
        <w:rPr>
          <w:rFonts w:ascii="Garamond" w:hAnsi="Garamond"/>
          <w:bCs/>
        </w:rPr>
        <w:t xml:space="preserve"> A benefits card is useless if there’s no food store in your community.</w:t>
      </w:r>
      <w:r w:rsidRPr="00961AA3">
        <w:rPr>
          <w:rStyle w:val="FootnoteReference"/>
          <w:rFonts w:ascii="Garamond" w:hAnsi="Garamond"/>
          <w:bCs/>
        </w:rPr>
        <w:footnoteReference w:id="53"/>
      </w:r>
      <w:r w:rsidRPr="004C50DC">
        <w:rPr>
          <w:rFonts w:ascii="Garamond" w:hAnsi="Garamond"/>
          <w:bCs/>
        </w:rPr>
        <w:t xml:space="preserve"> </w:t>
      </w:r>
      <w:r w:rsidRPr="00961AA3">
        <w:t xml:space="preserve"> </w:t>
      </w:r>
      <w:r w:rsidRPr="004C50DC">
        <w:rPr>
          <w:rFonts w:ascii="Garamond" w:hAnsi="Garamond"/>
          <w:bCs/>
        </w:rPr>
        <w:t>Furthermore, the Food Distribution Program on Indian Reservations (FDPIR) provides USDA Foods to income-eligible households living on Indian reservations and to Native American households residing in designated areas near reservations.</w:t>
      </w:r>
      <w:r w:rsidRPr="00961AA3">
        <w:rPr>
          <w:rStyle w:val="FootnoteReference"/>
          <w:rFonts w:ascii="Garamond" w:hAnsi="Garamond"/>
          <w:bCs/>
        </w:rPr>
        <w:footnoteReference w:id="54"/>
      </w:r>
      <w:r w:rsidRPr="004C50DC">
        <w:rPr>
          <w:rFonts w:ascii="Garamond" w:hAnsi="Garamond"/>
          <w:bCs/>
        </w:rPr>
        <w:t xml:space="preserve"> Although the U.S. Department of Agriculture (USDA) has received $50 million in appropriations to support additional food purchases for FDPIR as part of COVID-19 response, USDA declined to issue additional food products to FDPIR in way Indigenous communities initially requested.</w:t>
      </w:r>
      <w:r w:rsidR="008C6CDA">
        <w:rPr>
          <w:rStyle w:val="FootnoteReference"/>
          <w:rFonts w:ascii="Garamond" w:hAnsi="Garamond"/>
          <w:bCs/>
        </w:rPr>
        <w:footnoteReference w:id="55"/>
      </w:r>
      <w:r w:rsidRPr="004C50DC">
        <w:rPr>
          <w:rFonts w:ascii="Garamond" w:hAnsi="Garamond"/>
          <w:bCs/>
        </w:rPr>
        <w:t xml:space="preserve"> Instead, they created a lengthy process to delay access to the food products.</w:t>
      </w:r>
      <w:r w:rsidRPr="00961AA3">
        <w:rPr>
          <w:rStyle w:val="FootnoteReference"/>
          <w:rFonts w:ascii="Garamond" w:hAnsi="Garamond"/>
          <w:bCs/>
        </w:rPr>
        <w:footnoteReference w:id="56"/>
      </w:r>
      <w:r w:rsidRPr="004C50DC">
        <w:rPr>
          <w:rFonts w:ascii="Garamond" w:hAnsi="Garamond"/>
          <w:bCs/>
        </w:rPr>
        <w:t xml:space="preserve"> </w:t>
      </w:r>
    </w:p>
    <w:p w14:paraId="44887E85" w14:textId="77777777" w:rsidR="004C50DC" w:rsidRDefault="004C50DC" w:rsidP="00F305A1">
      <w:pPr>
        <w:pStyle w:val="ListParagraph"/>
        <w:jc w:val="both"/>
        <w:rPr>
          <w:rFonts w:ascii="Garamond" w:hAnsi="Garamond"/>
          <w:bCs/>
        </w:rPr>
      </w:pPr>
    </w:p>
    <w:p w14:paraId="7E8BEF71" w14:textId="77777777" w:rsidR="00516208" w:rsidRPr="00516208" w:rsidRDefault="004C50DC" w:rsidP="00516208">
      <w:pPr>
        <w:pStyle w:val="ListParagraph"/>
        <w:numPr>
          <w:ilvl w:val="0"/>
          <w:numId w:val="9"/>
        </w:numPr>
        <w:ind w:left="720"/>
        <w:jc w:val="both"/>
        <w:rPr>
          <w:rFonts w:ascii="Garamond" w:hAnsi="Garamond"/>
          <w:bCs/>
        </w:rPr>
      </w:pPr>
      <w:r w:rsidRPr="004C50DC">
        <w:rPr>
          <w:rFonts w:ascii="Garamond" w:hAnsi="Garamond"/>
          <w:bCs/>
        </w:rPr>
        <w:t>The Biden Administration has recently made some promising adjustments to food entitlement programs. For example, Biden’s Plan for Tribal Nations will “provide tribes with a greater role in the care and management of public lands that are of cultural significance to Tribal Nations.”</w:t>
      </w:r>
      <w:r w:rsidRPr="00961AA3">
        <w:rPr>
          <w:rStyle w:val="FootnoteReference"/>
          <w:rFonts w:ascii="Garamond" w:hAnsi="Garamond"/>
          <w:bCs/>
        </w:rPr>
        <w:footnoteReference w:id="57"/>
      </w:r>
      <w:r w:rsidRPr="004C50DC">
        <w:rPr>
          <w:rFonts w:ascii="Garamond" w:hAnsi="Garamond"/>
          <w:bCs/>
        </w:rPr>
        <w:t xml:space="preserve"> </w:t>
      </w:r>
      <w:r w:rsidRPr="004C50DC">
        <w:rPr>
          <w:rFonts w:ascii="Garamond" w:hAnsi="Garamond"/>
          <w:bCs/>
          <w:color w:val="000000" w:themeColor="text1"/>
        </w:rPr>
        <w:t>The USDA also recently announced that it has updated the Thrifty Food Plan (TFP), which is used to set amount of food assistance people participating in SNAP receive, to reflect the cost of a healthy diet more accurately.</w:t>
      </w:r>
      <w:r w:rsidRPr="00961AA3">
        <w:rPr>
          <w:rStyle w:val="FootnoteReference"/>
          <w:rFonts w:ascii="Garamond" w:hAnsi="Garamond"/>
          <w:bCs/>
          <w:color w:val="000000" w:themeColor="text1"/>
        </w:rPr>
        <w:footnoteReference w:id="58"/>
      </w:r>
    </w:p>
    <w:p w14:paraId="6E51AE38" w14:textId="77777777" w:rsidR="005510D7" w:rsidRPr="00516208" w:rsidRDefault="005510D7" w:rsidP="005510D7">
      <w:pPr>
        <w:jc w:val="both"/>
        <w:rPr>
          <w:rFonts w:ascii="Garamond" w:hAnsi="Garamond"/>
          <w:bCs/>
        </w:rPr>
      </w:pPr>
    </w:p>
    <w:p w14:paraId="4E9585F1" w14:textId="77777777" w:rsidR="005510D7" w:rsidRDefault="005510D7" w:rsidP="00177D54">
      <w:pPr>
        <w:pStyle w:val="ListParagraph"/>
        <w:numPr>
          <w:ilvl w:val="0"/>
          <w:numId w:val="1"/>
        </w:numPr>
        <w:ind w:left="1080" w:right="360"/>
        <w:jc w:val="both"/>
        <w:rPr>
          <w:rFonts w:ascii="Garamond" w:hAnsi="Garamond"/>
          <w:b/>
        </w:rPr>
      </w:pPr>
      <w:r w:rsidRPr="00233D5C">
        <w:rPr>
          <w:rFonts w:ascii="Garamond" w:hAnsi="Garamond"/>
          <w:b/>
        </w:rPr>
        <w:t>Labor Discrimination is at the Root of Right to Food Violations in the U.S.</w:t>
      </w:r>
    </w:p>
    <w:p w14:paraId="59404218" w14:textId="77777777" w:rsidR="005510D7" w:rsidRDefault="005510D7" w:rsidP="005510D7">
      <w:pPr>
        <w:pStyle w:val="ListParagraph"/>
        <w:ind w:left="360" w:right="360"/>
        <w:jc w:val="both"/>
        <w:rPr>
          <w:rFonts w:ascii="Garamond" w:hAnsi="Garamond"/>
          <w:b/>
        </w:rPr>
      </w:pPr>
    </w:p>
    <w:p w14:paraId="596DBDAE" w14:textId="4BD20A44" w:rsidR="00516208" w:rsidRPr="005510D7" w:rsidRDefault="005510D7" w:rsidP="005510D7">
      <w:pPr>
        <w:pStyle w:val="ListParagraph"/>
        <w:numPr>
          <w:ilvl w:val="0"/>
          <w:numId w:val="13"/>
        </w:numPr>
        <w:ind w:right="360"/>
        <w:jc w:val="both"/>
        <w:rPr>
          <w:rFonts w:ascii="Garamond" w:hAnsi="Garamond"/>
          <w:b/>
        </w:rPr>
      </w:pPr>
      <w:r>
        <w:rPr>
          <w:rFonts w:ascii="Garamond" w:hAnsi="Garamond"/>
          <w:b/>
        </w:rPr>
        <w:t>Introduction</w:t>
      </w:r>
    </w:p>
    <w:p w14:paraId="7A89C628" w14:textId="5D79404D" w:rsidR="00516208" w:rsidRPr="00516208" w:rsidRDefault="00233D5C" w:rsidP="00516208">
      <w:pPr>
        <w:pStyle w:val="ListParagraph"/>
        <w:numPr>
          <w:ilvl w:val="0"/>
          <w:numId w:val="9"/>
        </w:numPr>
        <w:ind w:left="720"/>
        <w:jc w:val="both"/>
        <w:rPr>
          <w:rFonts w:ascii="Garamond" w:hAnsi="Garamond"/>
          <w:bCs/>
        </w:rPr>
      </w:pPr>
      <w:r w:rsidRPr="00516208">
        <w:rPr>
          <w:rFonts w:ascii="Garamond" w:eastAsia="Times New Roman" w:hAnsi="Garamond" w:cs="Times New Roman"/>
          <w:color w:val="000000"/>
        </w:rPr>
        <w:t>The ability to support and feed oneself is undermined by the pervasiveness of systemic racism that defines labor in our food system. Black Americans are almost twice as likely to be unemployed than White Americans and the wage gap between both demographics is larger now than it was forty years ago.</w:t>
      </w:r>
      <w:r w:rsidRPr="00961AA3">
        <w:rPr>
          <w:rStyle w:val="FootnoteReference"/>
          <w:rFonts w:ascii="Garamond" w:eastAsia="Times New Roman" w:hAnsi="Garamond" w:cs="Times New Roman"/>
          <w:color w:val="000000"/>
        </w:rPr>
        <w:footnoteReference w:id="59"/>
      </w:r>
      <w:r w:rsidRPr="00516208">
        <w:rPr>
          <w:rFonts w:ascii="Garamond" w:eastAsia="Times New Roman" w:hAnsi="Garamond" w:cs="Times New Roman"/>
          <w:color w:val="000000"/>
        </w:rPr>
        <w:t xml:space="preserve"> Additionally, Black Americans earn 30% less than White Americans.</w:t>
      </w:r>
      <w:r w:rsidRPr="00961AA3">
        <w:rPr>
          <w:rStyle w:val="FootnoteReference"/>
          <w:rFonts w:ascii="Garamond" w:eastAsia="Times New Roman" w:hAnsi="Garamond" w:cs="Times New Roman"/>
          <w:color w:val="000000"/>
        </w:rPr>
        <w:footnoteReference w:id="60"/>
      </w:r>
      <w:r w:rsidRPr="00516208">
        <w:rPr>
          <w:rFonts w:ascii="Garamond" w:eastAsia="Times New Roman" w:hAnsi="Garamond" w:cs="Times New Roman"/>
          <w:color w:val="000000"/>
        </w:rPr>
        <w:t xml:space="preserve"> Per census data from </w:t>
      </w:r>
      <w:r w:rsidRPr="00516208">
        <w:rPr>
          <w:rFonts w:ascii="Garamond" w:eastAsia="Times New Roman" w:hAnsi="Garamond" w:cs="Times New Roman"/>
          <w:color w:val="000000"/>
        </w:rPr>
        <w:lastRenderedPageBreak/>
        <w:t>2020, 19.5% of Black Americans lived below the poverty line, compared to 8.2% of White Americans.</w:t>
      </w:r>
      <w:r>
        <w:rPr>
          <w:rStyle w:val="FootnoteReference"/>
          <w:rFonts w:ascii="Garamond" w:eastAsia="Times New Roman" w:hAnsi="Garamond" w:cs="Times New Roman"/>
          <w:color w:val="000000"/>
        </w:rPr>
        <w:footnoteReference w:id="61"/>
      </w:r>
      <w:r w:rsidRPr="00516208">
        <w:rPr>
          <w:rFonts w:ascii="Garamond" w:eastAsia="Times New Roman" w:hAnsi="Garamond" w:cs="Times New Roman"/>
          <w:color w:val="000000"/>
        </w:rPr>
        <w:t xml:space="preserve"> Moreover, one in every five Black households is situated in a food desert.</w:t>
      </w:r>
      <w:r w:rsidRPr="00961AA3">
        <w:rPr>
          <w:rStyle w:val="FootnoteReference"/>
          <w:rFonts w:ascii="Garamond" w:eastAsia="Times New Roman" w:hAnsi="Garamond" w:cs="Times New Roman"/>
          <w:color w:val="000000"/>
        </w:rPr>
        <w:footnoteReference w:id="62"/>
      </w:r>
      <w:r w:rsidRPr="00516208">
        <w:rPr>
          <w:rFonts w:ascii="Garamond" w:eastAsia="Times New Roman" w:hAnsi="Garamond" w:cs="Times New Roman"/>
          <w:color w:val="000000"/>
        </w:rPr>
        <w:t xml:space="preserve"> As a result, Black households are twice as likely to face food insecurity than White households.</w:t>
      </w:r>
      <w:r w:rsidRPr="00961AA3">
        <w:rPr>
          <w:rStyle w:val="FootnoteReference"/>
          <w:rFonts w:ascii="Garamond" w:eastAsia="Times New Roman" w:hAnsi="Garamond" w:cs="Times New Roman"/>
          <w:color w:val="000000"/>
        </w:rPr>
        <w:footnoteReference w:id="63"/>
      </w:r>
      <w:r w:rsidRPr="00516208">
        <w:rPr>
          <w:rFonts w:ascii="Garamond" w:eastAsia="Times New Roman" w:hAnsi="Garamond" w:cs="Times New Roman"/>
          <w:color w:val="000000"/>
        </w:rPr>
        <w:t xml:space="preserve"> Repeatedly, the U.S. has implemented legislation that discriminates against Black people, hindering the Black community’s ability to participate in the land market and build generational wealth.</w:t>
      </w:r>
      <w:r w:rsidRPr="00961AA3">
        <w:rPr>
          <w:rStyle w:val="FootnoteReference"/>
          <w:rFonts w:ascii="Garamond" w:eastAsia="Times New Roman" w:hAnsi="Garamond" w:cs="Times New Roman"/>
          <w:color w:val="000000"/>
        </w:rPr>
        <w:footnoteReference w:id="64"/>
      </w:r>
      <w:r w:rsidRPr="00516208">
        <w:rPr>
          <w:rFonts w:ascii="Garamond" w:eastAsia="Times New Roman" w:hAnsi="Garamond" w:cs="Times New Roman"/>
          <w:color w:val="000000"/>
        </w:rPr>
        <w:t xml:space="preserve"> Considering historic discrimination against Black people, </w:t>
      </w:r>
      <w:r w:rsidR="006A0EF3" w:rsidRPr="00516208">
        <w:rPr>
          <w:rFonts w:ascii="Garamond" w:eastAsia="Times New Roman" w:hAnsi="Garamond" w:cs="Times New Roman"/>
          <w:color w:val="000000"/>
        </w:rPr>
        <w:t xml:space="preserve">the </w:t>
      </w:r>
      <w:r w:rsidRPr="00516208">
        <w:rPr>
          <w:rFonts w:ascii="Garamond" w:eastAsia="Times New Roman" w:hAnsi="Garamond" w:cs="Times New Roman"/>
          <w:color w:val="000000"/>
        </w:rPr>
        <w:t xml:space="preserve">lack of participation in our labor and food systems </w:t>
      </w:r>
      <w:r w:rsidR="006A0EF3" w:rsidRPr="00516208">
        <w:rPr>
          <w:rFonts w:ascii="Garamond" w:eastAsia="Times New Roman" w:hAnsi="Garamond" w:cs="Times New Roman"/>
          <w:color w:val="000000"/>
        </w:rPr>
        <w:t xml:space="preserve">is a </w:t>
      </w:r>
      <w:r w:rsidRPr="00516208">
        <w:rPr>
          <w:rFonts w:ascii="Garamond" w:eastAsia="Times New Roman" w:hAnsi="Garamond" w:cs="Times New Roman"/>
          <w:color w:val="000000"/>
        </w:rPr>
        <w:t>questions not just of access, but of justice as well. The lack of adequate working conditions and wages results in poverty that compromises all four elements of the right to food—accessibility, availability, adequacy, and sustainability.</w:t>
      </w:r>
    </w:p>
    <w:p w14:paraId="7C3300A1" w14:textId="77777777" w:rsidR="00516208" w:rsidRPr="00516208" w:rsidRDefault="00516208" w:rsidP="00516208">
      <w:pPr>
        <w:pStyle w:val="ListParagraph"/>
        <w:jc w:val="both"/>
        <w:rPr>
          <w:rFonts w:ascii="Garamond" w:hAnsi="Garamond"/>
          <w:bCs/>
        </w:rPr>
      </w:pPr>
    </w:p>
    <w:p w14:paraId="6714BC94" w14:textId="2CD676D1" w:rsidR="00516208" w:rsidRPr="00516208" w:rsidRDefault="000D0EEF" w:rsidP="00516208">
      <w:pPr>
        <w:pStyle w:val="ListParagraph"/>
        <w:numPr>
          <w:ilvl w:val="0"/>
          <w:numId w:val="9"/>
        </w:numPr>
        <w:ind w:left="720"/>
        <w:jc w:val="both"/>
        <w:rPr>
          <w:rFonts w:ascii="Garamond" w:hAnsi="Garamond"/>
          <w:bCs/>
        </w:rPr>
      </w:pPr>
      <w:r w:rsidRPr="00516208">
        <w:rPr>
          <w:rFonts w:ascii="Garamond" w:eastAsia="Times New Roman" w:hAnsi="Garamond" w:cs="Times New Roman"/>
          <w:color w:val="000000"/>
        </w:rPr>
        <w:t>Race, labor, and the right to food in the U.S. are interconnected and starkly defined by a legacy of slavery. The interconnection of race and labor in the U.S. starts with the institution of slavery in approximately 1619 and continues past its abolition in 1865, when Congress passed the Thirteenth Amendment to the U.S. Constitution.</w:t>
      </w:r>
      <w:r w:rsidRPr="00961AA3">
        <w:rPr>
          <w:rStyle w:val="FootnoteReference"/>
          <w:rFonts w:ascii="Garamond" w:eastAsia="Times New Roman" w:hAnsi="Garamond" w:cs="Times New Roman"/>
          <w:color w:val="000000"/>
        </w:rPr>
        <w:footnoteReference w:id="65"/>
      </w:r>
      <w:r w:rsidRPr="00516208">
        <w:rPr>
          <w:rFonts w:ascii="Garamond" w:eastAsia="Times New Roman" w:hAnsi="Garamond" w:cs="Times New Roman"/>
          <w:color w:val="000000"/>
        </w:rPr>
        <w:t xml:space="preserve"> While the Thirteenth Amendment outlawed slavery, it did so with a condition: “Neither slavery nor involuntary servitude, </w:t>
      </w:r>
      <w:r w:rsidRPr="00516208">
        <w:rPr>
          <w:rFonts w:ascii="Garamond" w:eastAsia="Times New Roman" w:hAnsi="Garamond" w:cs="Times New Roman"/>
          <w:i/>
          <w:iCs/>
          <w:color w:val="000000"/>
        </w:rPr>
        <w:t>except as a punishment for crime whereof the party shall have been duly convicted</w:t>
      </w:r>
      <w:r w:rsidRPr="00516208">
        <w:rPr>
          <w:rFonts w:ascii="Garamond" w:eastAsia="Times New Roman" w:hAnsi="Garamond" w:cs="Times New Roman"/>
          <w:color w:val="000000"/>
        </w:rPr>
        <w:t>, shall exist within the United States, or any place subject to their jurisdiction (emphasis added).”</w:t>
      </w:r>
      <w:r w:rsidRPr="00961AA3">
        <w:rPr>
          <w:rStyle w:val="FootnoteReference"/>
          <w:rFonts w:ascii="Garamond" w:eastAsia="Times New Roman" w:hAnsi="Garamond" w:cs="Times New Roman"/>
          <w:color w:val="000000"/>
        </w:rPr>
        <w:footnoteReference w:id="66"/>
      </w:r>
      <w:r w:rsidRPr="00516208">
        <w:rPr>
          <w:rFonts w:ascii="Garamond" w:eastAsia="Times New Roman" w:hAnsi="Garamond" w:cs="Times New Roman"/>
          <w:color w:val="000000"/>
        </w:rPr>
        <w:t xml:space="preserve"> Following the passage of the Thirteenth, Fourteenth, and Fifteenth Amendments (the “Reconstruction Amendments”), Black Codes, Jim Crow-Era laws, and a criminal justice system incentivized by the prospect of cheap labor continued to undermine efforts towards racial equality.</w:t>
      </w:r>
      <w:r w:rsidRPr="00961AA3">
        <w:rPr>
          <w:rStyle w:val="FootnoteReference"/>
          <w:rFonts w:ascii="Garamond" w:eastAsia="Times New Roman" w:hAnsi="Garamond" w:cs="Times New Roman"/>
          <w:color w:val="000000"/>
        </w:rPr>
        <w:footnoteReference w:id="67"/>
      </w:r>
    </w:p>
    <w:p w14:paraId="21936B22" w14:textId="77777777" w:rsidR="00516208" w:rsidRPr="00516208" w:rsidRDefault="00516208" w:rsidP="00516208">
      <w:pPr>
        <w:pStyle w:val="ListParagraph"/>
        <w:rPr>
          <w:rFonts w:ascii="Garamond" w:eastAsia="Times New Roman" w:hAnsi="Garamond" w:cs="Times New Roman"/>
          <w:color w:val="000000"/>
        </w:rPr>
      </w:pPr>
    </w:p>
    <w:p w14:paraId="7D0E1FA8" w14:textId="3BB342C1" w:rsidR="000D0EEF" w:rsidRPr="00516208" w:rsidRDefault="000D0EEF" w:rsidP="00516208">
      <w:pPr>
        <w:pStyle w:val="ListParagraph"/>
        <w:numPr>
          <w:ilvl w:val="0"/>
          <w:numId w:val="9"/>
        </w:numPr>
        <w:ind w:left="720"/>
        <w:jc w:val="both"/>
        <w:rPr>
          <w:rFonts w:ascii="Garamond" w:hAnsi="Garamond"/>
          <w:bCs/>
        </w:rPr>
      </w:pPr>
      <w:r w:rsidRPr="00516208">
        <w:rPr>
          <w:rFonts w:ascii="Garamond" w:eastAsia="Times New Roman" w:hAnsi="Garamond" w:cs="Times New Roman"/>
          <w:color w:val="000000"/>
        </w:rPr>
        <w:t>General Recommendation 34 of the CERD Committee speaks to the discrimination of Black Americans, noting the direct link between the institution of slavery and the current carceral system in the U.S.—a system that is uniquely tied to labor. Per General Recommendation 34,</w:t>
      </w:r>
      <w:r w:rsidRPr="00961AA3">
        <w:rPr>
          <w:rStyle w:val="FootnoteReference"/>
          <w:rFonts w:ascii="Garamond" w:eastAsia="Times New Roman" w:hAnsi="Garamond" w:cs="Times New Roman"/>
          <w:color w:val="000000"/>
        </w:rPr>
        <w:footnoteReference w:id="68"/>
      </w:r>
      <w:r w:rsidRPr="00516208">
        <w:rPr>
          <w:rFonts w:ascii="Garamond" w:eastAsia="Times New Roman" w:hAnsi="Garamond" w:cs="Times New Roman"/>
          <w:color w:val="000000"/>
        </w:rPr>
        <w:t xml:space="preserve"> </w:t>
      </w:r>
    </w:p>
    <w:p w14:paraId="3DFE458A" w14:textId="55A96FD1" w:rsidR="000D0EEF" w:rsidRDefault="000D0EEF" w:rsidP="00CF01A5">
      <w:pPr>
        <w:ind w:left="2160" w:right="1440"/>
        <w:jc w:val="both"/>
        <w:rPr>
          <w:rFonts w:ascii="Garamond" w:eastAsia="Times New Roman" w:hAnsi="Garamond" w:cs="Times New Roman"/>
          <w:color w:val="000000"/>
        </w:rPr>
      </w:pPr>
      <w:r w:rsidRPr="00961AA3">
        <w:rPr>
          <w:rFonts w:ascii="Garamond" w:eastAsia="Times New Roman" w:hAnsi="Garamond" w:cs="Times New Roman"/>
          <w:color w:val="000000"/>
        </w:rPr>
        <w:t>Racism and structural discrimination against people of African descent, rooted in the infamous regime of slavery, are evident in the situations of inequality affecting them and reflected</w:t>
      </w:r>
      <w:r w:rsidRPr="00961AA3">
        <w:rPr>
          <w:rFonts w:ascii="Garamond" w:eastAsia="Times New Roman" w:hAnsi="Garamond" w:cs="Times New Roman"/>
          <w:i/>
          <w:iCs/>
          <w:color w:val="000000"/>
        </w:rPr>
        <w:t>, </w:t>
      </w:r>
      <w:r w:rsidRPr="00961AA3">
        <w:rPr>
          <w:rFonts w:ascii="Garamond" w:eastAsia="Times New Roman" w:hAnsi="Garamond" w:cs="Times New Roman"/>
          <w:color w:val="000000"/>
        </w:rPr>
        <w:t xml:space="preserve">inter alia, in the following domains: their grouping, together with indigenous peoples, among the poorest of the poor; their low rate of participation and representation in political and institutional decision-making processes; additional difficulties they face in access to and completion and quality of education, which results in the transmission of poverty from generation to generation; inequality in access to the </w:t>
      </w:r>
      <w:proofErr w:type="spellStart"/>
      <w:r w:rsidRPr="00961AA3">
        <w:rPr>
          <w:rFonts w:ascii="Garamond" w:eastAsia="Times New Roman" w:hAnsi="Garamond" w:cs="Times New Roman"/>
          <w:color w:val="000000"/>
        </w:rPr>
        <w:t>labour</w:t>
      </w:r>
      <w:proofErr w:type="spellEnd"/>
      <w:r w:rsidRPr="00961AA3">
        <w:rPr>
          <w:rFonts w:ascii="Garamond" w:eastAsia="Times New Roman" w:hAnsi="Garamond" w:cs="Times New Roman"/>
          <w:color w:val="000000"/>
        </w:rPr>
        <w:t xml:space="preserve"> market; limited social recognition and valuation of their ethnic and cultural diversity; and a disproportionate presence in prison populations.</w:t>
      </w:r>
    </w:p>
    <w:p w14:paraId="0CF3DE67" w14:textId="25D549D5" w:rsidR="000D0EEF" w:rsidRPr="000D0EEF" w:rsidRDefault="000D0EEF" w:rsidP="000D0EEF">
      <w:pPr>
        <w:pStyle w:val="ListParagraph"/>
        <w:numPr>
          <w:ilvl w:val="0"/>
          <w:numId w:val="13"/>
        </w:numPr>
        <w:ind w:right="1440"/>
        <w:jc w:val="both"/>
        <w:rPr>
          <w:rFonts w:ascii="Garamond" w:eastAsia="Times New Roman" w:hAnsi="Garamond" w:cs="Times New Roman"/>
          <w:b/>
          <w:bCs/>
          <w:color w:val="000000"/>
        </w:rPr>
      </w:pPr>
      <w:r w:rsidRPr="000D0EEF">
        <w:rPr>
          <w:rFonts w:ascii="Garamond" w:eastAsia="Times New Roman" w:hAnsi="Garamond" w:cs="Times New Roman"/>
          <w:b/>
          <w:bCs/>
          <w:color w:val="000000"/>
        </w:rPr>
        <w:lastRenderedPageBreak/>
        <w:t>The Legacy of Slavery, Prison Labor, and the Food System</w:t>
      </w:r>
    </w:p>
    <w:p w14:paraId="68B5B33B" w14:textId="63456684" w:rsidR="00233D5C" w:rsidRDefault="000D0EEF" w:rsidP="007E6E07">
      <w:pPr>
        <w:pStyle w:val="ListParagraph"/>
        <w:numPr>
          <w:ilvl w:val="0"/>
          <w:numId w:val="12"/>
        </w:numPr>
        <w:tabs>
          <w:tab w:val="left" w:pos="9000"/>
        </w:tabs>
        <w:jc w:val="both"/>
        <w:rPr>
          <w:rFonts w:ascii="Garamond" w:eastAsia="Times New Roman" w:hAnsi="Garamond" w:cs="Times New Roman"/>
          <w:color w:val="000000"/>
        </w:rPr>
      </w:pPr>
      <w:r w:rsidRPr="000D0EEF">
        <w:rPr>
          <w:rFonts w:ascii="Garamond" w:eastAsia="Times New Roman" w:hAnsi="Garamond" w:cs="Times New Roman"/>
          <w:color w:val="000000"/>
        </w:rPr>
        <w:t>Our current carceral system, which disproportionally affects Black Americans and other communities of color, is a relied-upon source of cheap labor. Convict leasing, the process through which companies or individuals pay leasing fees to state and local governments in exchange for the labor of prisoners, was largely outlawed in 20</w:t>
      </w:r>
      <w:r w:rsidRPr="000D0EEF">
        <w:rPr>
          <w:rFonts w:ascii="Garamond" w:eastAsia="Times New Roman" w:hAnsi="Garamond" w:cs="Times New Roman"/>
          <w:color w:val="000000"/>
          <w:vertAlign w:val="superscript"/>
        </w:rPr>
        <w:t>th</w:t>
      </w:r>
      <w:r w:rsidRPr="000D0EEF">
        <w:rPr>
          <w:rFonts w:ascii="Garamond" w:eastAsia="Times New Roman" w:hAnsi="Garamond" w:cs="Times New Roman"/>
          <w:color w:val="000000"/>
        </w:rPr>
        <w:t xml:space="preserve"> century, though still exists, to some extent, today.</w:t>
      </w:r>
      <w:r w:rsidRPr="00961AA3">
        <w:rPr>
          <w:rStyle w:val="FootnoteReference"/>
          <w:rFonts w:ascii="Garamond" w:eastAsia="Times New Roman" w:hAnsi="Garamond" w:cs="Times New Roman"/>
          <w:color w:val="000000"/>
        </w:rPr>
        <w:footnoteReference w:id="69"/>
      </w:r>
      <w:r w:rsidRPr="000D0EEF">
        <w:rPr>
          <w:rFonts w:ascii="Garamond" w:eastAsia="Times New Roman" w:hAnsi="Garamond" w:cs="Times New Roman"/>
          <w:color w:val="000000"/>
        </w:rPr>
        <w:t xml:space="preserve"> The COVID-19 pandemic and restrictive immigration policies under the Trump administration affected the agriculture industry’s reliance on migrant labor. As a response, some states allowed for the use of prison labor to meet demands in farms. As recently as 2019, over 30,000 incarcerated men and women worked in farms or in other food-related jobs.</w:t>
      </w:r>
      <w:r w:rsidRPr="00961AA3">
        <w:rPr>
          <w:rStyle w:val="FootnoteReference"/>
          <w:rFonts w:ascii="Garamond" w:eastAsia="Times New Roman" w:hAnsi="Garamond" w:cs="Times New Roman"/>
          <w:color w:val="000000"/>
        </w:rPr>
        <w:footnoteReference w:id="70"/>
      </w:r>
      <w:r w:rsidRPr="000D0EEF">
        <w:rPr>
          <w:rFonts w:ascii="Garamond" w:eastAsia="Times New Roman" w:hAnsi="Garamond" w:cs="Times New Roman"/>
          <w:color w:val="000000"/>
        </w:rPr>
        <w:t xml:space="preserve"> Idaho, as recently as 2020, relied on prison labor to meet the demand of fieldhands needed on its potato farms.</w:t>
      </w:r>
      <w:r w:rsidRPr="00961AA3">
        <w:rPr>
          <w:rStyle w:val="FootnoteReference"/>
          <w:rFonts w:ascii="Garamond" w:eastAsia="Times New Roman" w:hAnsi="Garamond" w:cs="Times New Roman"/>
          <w:color w:val="000000"/>
        </w:rPr>
        <w:footnoteReference w:id="71"/>
      </w:r>
      <w:r w:rsidRPr="000D0EEF">
        <w:rPr>
          <w:rFonts w:ascii="Garamond" w:eastAsia="Times New Roman" w:hAnsi="Garamond" w:cs="Times New Roman"/>
          <w:color w:val="000000"/>
        </w:rPr>
        <w:t xml:space="preserve"> Furthermore, our carceral system provides food to state hospitals and long-term care facilities, and public schools.</w:t>
      </w:r>
      <w:r w:rsidRPr="00961AA3">
        <w:rPr>
          <w:rStyle w:val="FootnoteReference"/>
          <w:rFonts w:ascii="Garamond" w:eastAsia="Times New Roman" w:hAnsi="Garamond" w:cs="Times New Roman"/>
          <w:color w:val="000000"/>
        </w:rPr>
        <w:footnoteReference w:id="72"/>
      </w:r>
      <w:r w:rsidRPr="000D0EEF">
        <w:rPr>
          <w:rFonts w:ascii="Garamond" w:eastAsia="Times New Roman" w:hAnsi="Garamond" w:cs="Times New Roman"/>
          <w:color w:val="000000"/>
        </w:rPr>
        <w:t xml:space="preserve"> Kentucky prisons raise cattle, Louisiana prisons raise livestock, and Colorado prisons produce milk.</w:t>
      </w:r>
      <w:r w:rsidRPr="00961AA3">
        <w:rPr>
          <w:rStyle w:val="FootnoteReference"/>
          <w:rFonts w:ascii="Garamond" w:eastAsia="Times New Roman" w:hAnsi="Garamond" w:cs="Times New Roman"/>
          <w:color w:val="000000"/>
        </w:rPr>
        <w:footnoteReference w:id="73"/>
      </w:r>
      <w:r w:rsidRPr="000D0EEF">
        <w:rPr>
          <w:rFonts w:ascii="Garamond" w:eastAsia="Times New Roman" w:hAnsi="Garamond" w:cs="Times New Roman"/>
          <w:color w:val="000000"/>
        </w:rPr>
        <w:t xml:space="preserve"> On average, incarcerated persons earn about USD 0.63 per hour, though wages can range from USD 0.14 to USD 2.00.</w:t>
      </w:r>
      <w:r w:rsidRPr="00961AA3">
        <w:rPr>
          <w:rStyle w:val="FootnoteReference"/>
          <w:rFonts w:ascii="Garamond" w:eastAsia="Times New Roman" w:hAnsi="Garamond" w:cs="Times New Roman"/>
          <w:color w:val="000000"/>
        </w:rPr>
        <w:footnoteReference w:id="74"/>
      </w:r>
      <w:r w:rsidRPr="000D0EEF">
        <w:rPr>
          <w:rFonts w:ascii="Garamond" w:eastAsia="Times New Roman" w:hAnsi="Garamond" w:cs="Times New Roman"/>
          <w:color w:val="000000"/>
        </w:rPr>
        <w:t xml:space="preserve"> Eight states—Alabama, Arkansas, Florida, Georgia, Mississippi, Oklahoma, South Carolina, and Texas—do not pay incarcerated persons for their labor.</w:t>
      </w:r>
      <w:r w:rsidRPr="00961AA3">
        <w:rPr>
          <w:rStyle w:val="FootnoteReference"/>
          <w:rFonts w:ascii="Garamond" w:eastAsia="Times New Roman" w:hAnsi="Garamond" w:cs="Times New Roman"/>
          <w:color w:val="000000"/>
        </w:rPr>
        <w:footnoteReference w:id="75"/>
      </w:r>
      <w:r w:rsidRPr="000D0EEF">
        <w:rPr>
          <w:rFonts w:ascii="Garamond" w:eastAsia="Times New Roman" w:hAnsi="Garamond" w:cs="Times New Roman"/>
          <w:color w:val="000000"/>
        </w:rPr>
        <w:t xml:space="preserve"> Moreover, formerly incarcerated persons with drug convictions face restrictions to obtaining SNAP benefits,</w:t>
      </w:r>
      <w:r w:rsidRPr="00961AA3">
        <w:rPr>
          <w:rStyle w:val="FootnoteReference"/>
          <w:rFonts w:ascii="Garamond" w:eastAsia="Times New Roman" w:hAnsi="Garamond" w:cs="Times New Roman"/>
          <w:color w:val="000000"/>
        </w:rPr>
        <w:footnoteReference w:id="76"/>
      </w:r>
      <w:r w:rsidRPr="000D0EEF">
        <w:rPr>
          <w:rFonts w:ascii="Garamond" w:eastAsia="Times New Roman" w:hAnsi="Garamond" w:cs="Times New Roman"/>
          <w:color w:val="000000"/>
        </w:rPr>
        <w:t xml:space="preserve"> which further denies them food security. </w:t>
      </w:r>
    </w:p>
    <w:p w14:paraId="28A74956" w14:textId="77777777" w:rsidR="000D0EEF" w:rsidRDefault="000D0EEF" w:rsidP="000D0EEF">
      <w:pPr>
        <w:pStyle w:val="ListParagraph"/>
        <w:tabs>
          <w:tab w:val="left" w:pos="9000"/>
        </w:tabs>
        <w:ind w:left="1080" w:right="360"/>
        <w:jc w:val="both"/>
        <w:rPr>
          <w:rFonts w:ascii="Garamond" w:eastAsia="Times New Roman" w:hAnsi="Garamond" w:cs="Times New Roman"/>
          <w:color w:val="000000"/>
        </w:rPr>
      </w:pPr>
    </w:p>
    <w:p w14:paraId="1D7D4EF3" w14:textId="25BA47F8" w:rsidR="00CF01A5" w:rsidRDefault="000D0EEF" w:rsidP="007E6E07">
      <w:pPr>
        <w:pStyle w:val="ListParagraph"/>
        <w:numPr>
          <w:ilvl w:val="0"/>
          <w:numId w:val="12"/>
        </w:numPr>
        <w:jc w:val="both"/>
        <w:rPr>
          <w:rFonts w:ascii="Garamond" w:eastAsia="Times New Roman" w:hAnsi="Garamond" w:cs="Times New Roman"/>
          <w:color w:val="000000"/>
        </w:rPr>
      </w:pPr>
      <w:r w:rsidRPr="00961AA3">
        <w:rPr>
          <w:rFonts w:ascii="Garamond" w:eastAsia="Times New Roman" w:hAnsi="Garamond" w:cs="Times New Roman"/>
          <w:color w:val="000000"/>
        </w:rPr>
        <w:t>The state is not the only supporter of prison labor, but corporations also rely on prison labor. Leprino Foods, a USD 3 billion global dairy ingredients supplier and the sole supplier of mozzarella cheese to Pizza Hut, Papa John’s, and Domino’s pizza, was the only buyer of Colorado Correctional Industries’ buffalo milk between 2017 and 2020.</w:t>
      </w:r>
      <w:r w:rsidRPr="00961AA3">
        <w:rPr>
          <w:rStyle w:val="FootnoteReference"/>
          <w:rFonts w:ascii="Garamond" w:eastAsia="Times New Roman" w:hAnsi="Garamond" w:cs="Times New Roman"/>
          <w:color w:val="000000"/>
        </w:rPr>
        <w:footnoteReference w:id="77"/>
      </w:r>
      <w:r w:rsidRPr="00961AA3">
        <w:rPr>
          <w:rFonts w:ascii="Garamond" w:eastAsia="Times New Roman" w:hAnsi="Garamond" w:cs="Times New Roman"/>
          <w:color w:val="000000"/>
        </w:rPr>
        <w:t xml:space="preserve"> The conglomerate Dairy Farmers of America, which produces food under the brands Borden and Breakstone’s (among others), purchased more than USD 10.5 million worth of milk from Colorado and South Carolina prisons from 2017 to 2020.</w:t>
      </w:r>
      <w:r w:rsidRPr="00961AA3">
        <w:rPr>
          <w:rStyle w:val="FootnoteReference"/>
          <w:rFonts w:ascii="Garamond" w:eastAsia="Times New Roman" w:hAnsi="Garamond" w:cs="Times New Roman"/>
          <w:color w:val="000000"/>
        </w:rPr>
        <w:footnoteReference w:id="78"/>
      </w:r>
      <w:r w:rsidRPr="00961AA3">
        <w:rPr>
          <w:rFonts w:ascii="Garamond" w:eastAsia="Times New Roman" w:hAnsi="Garamond" w:cs="Times New Roman"/>
          <w:color w:val="000000"/>
        </w:rPr>
        <w:t xml:space="preserve"> Typically, </w:t>
      </w:r>
      <w:r w:rsidR="00CE546F">
        <w:rPr>
          <w:rFonts w:ascii="Garamond" w:eastAsia="Times New Roman" w:hAnsi="Garamond" w:cs="Times New Roman"/>
          <w:color w:val="000000"/>
        </w:rPr>
        <w:t xml:space="preserve">the </w:t>
      </w:r>
      <w:r w:rsidRPr="00961AA3">
        <w:rPr>
          <w:rFonts w:ascii="Garamond" w:eastAsia="Times New Roman" w:hAnsi="Garamond" w:cs="Times New Roman"/>
          <w:color w:val="000000"/>
        </w:rPr>
        <w:t>Ashurst-</w:t>
      </w:r>
      <w:proofErr w:type="spellStart"/>
      <w:r w:rsidRPr="00961AA3">
        <w:rPr>
          <w:rFonts w:ascii="Garamond" w:eastAsia="Times New Roman" w:hAnsi="Garamond" w:cs="Times New Roman"/>
          <w:color w:val="000000"/>
        </w:rPr>
        <w:t>Sumners</w:t>
      </w:r>
      <w:proofErr w:type="spellEnd"/>
      <w:r w:rsidRPr="00961AA3">
        <w:rPr>
          <w:rFonts w:ascii="Garamond" w:eastAsia="Times New Roman" w:hAnsi="Garamond" w:cs="Times New Roman"/>
          <w:color w:val="000000"/>
        </w:rPr>
        <w:t xml:space="preserve"> Act of 1935, prohibits the interstate sale of goods made by prison labor, but an exemption for agricultural goods remains.</w:t>
      </w:r>
      <w:r w:rsidRPr="00961AA3">
        <w:rPr>
          <w:rStyle w:val="FootnoteReference"/>
          <w:rFonts w:ascii="Garamond" w:eastAsia="Times New Roman" w:hAnsi="Garamond" w:cs="Times New Roman"/>
          <w:color w:val="000000"/>
        </w:rPr>
        <w:footnoteReference w:id="79"/>
      </w:r>
    </w:p>
    <w:p w14:paraId="076099AA" w14:textId="77777777" w:rsidR="00CF01A5" w:rsidRPr="00CF01A5" w:rsidRDefault="00CF01A5" w:rsidP="00CF01A5">
      <w:pPr>
        <w:pStyle w:val="ListParagraph"/>
        <w:rPr>
          <w:rFonts w:ascii="Garamond" w:eastAsia="Times New Roman" w:hAnsi="Garamond" w:cs="Times New Roman"/>
          <w:color w:val="000000"/>
        </w:rPr>
      </w:pPr>
    </w:p>
    <w:p w14:paraId="7667CE41" w14:textId="2BA913E6" w:rsidR="00CF01A5" w:rsidRDefault="00CF01A5" w:rsidP="00CF01A5">
      <w:pPr>
        <w:jc w:val="both"/>
        <w:rPr>
          <w:rFonts w:ascii="Garamond" w:eastAsia="Times New Roman" w:hAnsi="Garamond" w:cs="Times New Roman"/>
          <w:color w:val="000000"/>
        </w:rPr>
      </w:pPr>
    </w:p>
    <w:p w14:paraId="106D2E22" w14:textId="77777777" w:rsidR="00CF01A5" w:rsidRPr="00CF01A5" w:rsidRDefault="00CF01A5" w:rsidP="00CF01A5">
      <w:pPr>
        <w:jc w:val="both"/>
        <w:rPr>
          <w:rFonts w:ascii="Garamond" w:eastAsia="Times New Roman" w:hAnsi="Garamond" w:cs="Times New Roman"/>
          <w:color w:val="000000"/>
        </w:rPr>
      </w:pPr>
    </w:p>
    <w:p w14:paraId="22786297" w14:textId="77777777" w:rsidR="00CF01A5" w:rsidRPr="000D0EEF" w:rsidRDefault="00CF01A5" w:rsidP="007E6E07">
      <w:pPr>
        <w:jc w:val="both"/>
        <w:rPr>
          <w:rFonts w:ascii="Garamond" w:eastAsia="Times New Roman" w:hAnsi="Garamond" w:cs="Times New Roman"/>
          <w:b/>
          <w:bCs/>
          <w:color w:val="000000"/>
        </w:rPr>
      </w:pPr>
    </w:p>
    <w:p w14:paraId="311AE903" w14:textId="1C7191DE" w:rsidR="000D0EEF" w:rsidRPr="000D0EEF" w:rsidRDefault="000D0EEF" w:rsidP="007E6E07">
      <w:pPr>
        <w:pStyle w:val="ListParagraph"/>
        <w:numPr>
          <w:ilvl w:val="0"/>
          <w:numId w:val="13"/>
        </w:numPr>
        <w:jc w:val="both"/>
        <w:rPr>
          <w:rFonts w:ascii="Garamond" w:eastAsia="Times New Roman" w:hAnsi="Garamond" w:cs="Times New Roman"/>
          <w:b/>
          <w:bCs/>
          <w:color w:val="000000"/>
        </w:rPr>
      </w:pPr>
      <w:r w:rsidRPr="000D0EEF">
        <w:rPr>
          <w:rFonts w:ascii="Garamond" w:eastAsia="Times New Roman" w:hAnsi="Garamond" w:cs="Times New Roman"/>
          <w:b/>
          <w:bCs/>
          <w:color w:val="000000"/>
        </w:rPr>
        <w:lastRenderedPageBreak/>
        <w:t>Exclusion of BIPOC Food System Workers from Worker Protection Schemes</w:t>
      </w:r>
    </w:p>
    <w:p w14:paraId="4D561690" w14:textId="7984B4CC" w:rsidR="000D0EEF" w:rsidRDefault="000D0EEF" w:rsidP="007E6E07">
      <w:pPr>
        <w:pStyle w:val="ListParagraph"/>
        <w:numPr>
          <w:ilvl w:val="0"/>
          <w:numId w:val="12"/>
        </w:numPr>
        <w:jc w:val="both"/>
        <w:rPr>
          <w:rFonts w:ascii="Garamond" w:eastAsia="Times New Roman" w:hAnsi="Garamond" w:cs="Times New Roman"/>
          <w:color w:val="000000"/>
        </w:rPr>
      </w:pPr>
      <w:r w:rsidRPr="00961AA3">
        <w:rPr>
          <w:rFonts w:ascii="Garamond" w:eastAsia="Times New Roman" w:hAnsi="Garamond" w:cs="Times New Roman"/>
          <w:color w:val="000000"/>
        </w:rPr>
        <w:t xml:space="preserve">Our food system is primarily supported by </w:t>
      </w:r>
      <w:r w:rsidR="00D36D32">
        <w:rPr>
          <w:rFonts w:ascii="Garamond" w:eastAsia="Times New Roman" w:hAnsi="Garamond" w:cs="Times New Roman"/>
          <w:color w:val="000000"/>
        </w:rPr>
        <w:t>BIPOC communities</w:t>
      </w:r>
      <w:r w:rsidRPr="00961AA3">
        <w:rPr>
          <w:rFonts w:ascii="Garamond" w:eastAsia="Times New Roman" w:hAnsi="Garamond" w:cs="Times New Roman"/>
          <w:color w:val="000000"/>
        </w:rPr>
        <w:t>, yet many are excluded from worker protections. Per 2019 census data, people of color make up 66.1% of the food processing industry.</w:t>
      </w:r>
      <w:r w:rsidRPr="00961AA3">
        <w:rPr>
          <w:rStyle w:val="FootnoteReference"/>
          <w:rFonts w:ascii="Garamond" w:eastAsia="Times New Roman" w:hAnsi="Garamond" w:cs="Times New Roman"/>
          <w:color w:val="000000"/>
        </w:rPr>
        <w:footnoteReference w:id="80"/>
      </w:r>
      <w:r w:rsidRPr="00961AA3">
        <w:rPr>
          <w:rFonts w:ascii="Garamond" w:eastAsia="Times New Roman" w:hAnsi="Garamond" w:cs="Times New Roman"/>
          <w:color w:val="000000"/>
        </w:rPr>
        <w:t xml:space="preserve"> People of color also make up a majority of the agricultural industry’s workforce—69% of farm laborers are people of color, 57% of which are of Mexican heritage.</w:t>
      </w:r>
      <w:r w:rsidRPr="00961AA3">
        <w:rPr>
          <w:rStyle w:val="FootnoteReference"/>
          <w:rFonts w:ascii="Garamond" w:eastAsia="Times New Roman" w:hAnsi="Garamond" w:cs="Times New Roman"/>
          <w:color w:val="000000"/>
        </w:rPr>
        <w:footnoteReference w:id="81"/>
      </w:r>
      <w:r w:rsidRPr="00961AA3">
        <w:rPr>
          <w:rFonts w:ascii="Garamond" w:eastAsia="Times New Roman" w:hAnsi="Garamond" w:cs="Times New Roman"/>
          <w:color w:val="000000"/>
        </w:rPr>
        <w:t xml:space="preserve"> Also, a presumed 50% of farm laborers are undocumented.</w:t>
      </w:r>
      <w:r w:rsidRPr="00961AA3">
        <w:rPr>
          <w:rStyle w:val="FootnoteReference"/>
          <w:rFonts w:ascii="Garamond" w:eastAsia="Times New Roman" w:hAnsi="Garamond" w:cs="Times New Roman"/>
          <w:color w:val="000000"/>
        </w:rPr>
        <w:footnoteReference w:id="82"/>
      </w:r>
      <w:r w:rsidRPr="00961AA3">
        <w:rPr>
          <w:rFonts w:ascii="Garamond" w:eastAsia="Times New Roman" w:hAnsi="Garamond" w:cs="Times New Roman"/>
          <w:color w:val="000000"/>
        </w:rPr>
        <w:t xml:space="preserve"> </w:t>
      </w:r>
      <w:r w:rsidR="00372E64">
        <w:rPr>
          <w:rFonts w:ascii="Garamond" w:eastAsia="Times New Roman" w:hAnsi="Garamond" w:cs="Times New Roman"/>
          <w:color w:val="000000"/>
        </w:rPr>
        <w:t>U</w:t>
      </w:r>
      <w:r w:rsidRPr="00961AA3">
        <w:rPr>
          <w:rFonts w:ascii="Garamond" w:eastAsia="Times New Roman" w:hAnsi="Garamond" w:cs="Times New Roman"/>
          <w:color w:val="000000"/>
        </w:rPr>
        <w:t>ndocumented workers</w:t>
      </w:r>
      <w:r w:rsidR="00372E64">
        <w:rPr>
          <w:rFonts w:ascii="Garamond" w:eastAsia="Times New Roman" w:hAnsi="Garamond" w:cs="Times New Roman"/>
          <w:color w:val="000000"/>
        </w:rPr>
        <w:t xml:space="preserve"> are entitled to the same rights and protections under </w:t>
      </w:r>
      <w:r w:rsidRPr="00961AA3">
        <w:rPr>
          <w:rFonts w:ascii="Garamond" w:eastAsia="Times New Roman" w:hAnsi="Garamond" w:cs="Times New Roman"/>
          <w:color w:val="000000"/>
        </w:rPr>
        <w:t>U.S. labor laws</w:t>
      </w:r>
      <w:r w:rsidR="00372E64">
        <w:rPr>
          <w:rFonts w:ascii="Garamond" w:eastAsia="Times New Roman" w:hAnsi="Garamond" w:cs="Times New Roman"/>
          <w:color w:val="000000"/>
        </w:rPr>
        <w:t xml:space="preserve"> as citizens, including</w:t>
      </w:r>
      <w:r w:rsidRPr="00961AA3">
        <w:rPr>
          <w:rFonts w:ascii="Garamond" w:eastAsia="Times New Roman" w:hAnsi="Garamond" w:cs="Times New Roman"/>
          <w:color w:val="000000"/>
        </w:rPr>
        <w:t xml:space="preserve"> the right to unionize, as detailed in the National Labor Relations Act.</w:t>
      </w:r>
      <w:r w:rsidRPr="00961AA3">
        <w:rPr>
          <w:rStyle w:val="FootnoteReference"/>
          <w:rFonts w:ascii="Garamond" w:eastAsia="Times New Roman" w:hAnsi="Garamond" w:cs="Times New Roman"/>
          <w:color w:val="000000"/>
        </w:rPr>
        <w:footnoteReference w:id="83"/>
      </w:r>
      <w:r w:rsidRPr="00961AA3">
        <w:rPr>
          <w:rFonts w:ascii="Garamond" w:eastAsia="Times New Roman" w:hAnsi="Garamond" w:cs="Times New Roman"/>
          <w:color w:val="000000"/>
        </w:rPr>
        <w:t xml:space="preserve"> </w:t>
      </w:r>
      <w:r w:rsidR="00372E64">
        <w:rPr>
          <w:rFonts w:ascii="Garamond" w:eastAsia="Times New Roman" w:hAnsi="Garamond" w:cs="Times New Roman"/>
          <w:color w:val="000000"/>
        </w:rPr>
        <w:t>But</w:t>
      </w:r>
      <w:r w:rsidRPr="00961AA3">
        <w:rPr>
          <w:rFonts w:ascii="Garamond" w:eastAsia="Times New Roman" w:hAnsi="Garamond" w:cs="Times New Roman"/>
          <w:color w:val="000000"/>
        </w:rPr>
        <w:t xml:space="preserve"> opportunities for farm laborers to work legally in the U.S., such as through the H-2A Temporary Agriculture Program (a visa program) are unsustainable</w:t>
      </w:r>
      <w:r w:rsidR="00F97B23">
        <w:rPr>
          <w:rFonts w:ascii="Garamond" w:eastAsia="Times New Roman" w:hAnsi="Garamond" w:cs="Times New Roman"/>
          <w:color w:val="000000"/>
        </w:rPr>
        <w:t xml:space="preserve"> and </w:t>
      </w:r>
      <w:r w:rsidR="00372E64">
        <w:rPr>
          <w:rFonts w:ascii="Garamond" w:eastAsia="Times New Roman" w:hAnsi="Garamond" w:cs="Times New Roman"/>
          <w:color w:val="000000"/>
        </w:rPr>
        <w:t xml:space="preserve">are </w:t>
      </w:r>
      <w:r w:rsidR="00F97B23">
        <w:rPr>
          <w:rFonts w:ascii="Garamond" w:eastAsia="Times New Roman" w:hAnsi="Garamond" w:cs="Times New Roman"/>
          <w:color w:val="000000"/>
        </w:rPr>
        <w:t>also plagued with violations</w:t>
      </w:r>
      <w:r w:rsidRPr="00961AA3">
        <w:rPr>
          <w:rFonts w:ascii="Garamond" w:eastAsia="Times New Roman" w:hAnsi="Garamond" w:cs="Times New Roman"/>
          <w:color w:val="000000"/>
        </w:rPr>
        <w:t>.</w:t>
      </w:r>
      <w:r w:rsidRPr="00961AA3">
        <w:rPr>
          <w:rStyle w:val="FootnoteReference"/>
          <w:rFonts w:ascii="Garamond" w:eastAsia="Times New Roman" w:hAnsi="Garamond" w:cs="Times New Roman"/>
          <w:color w:val="000000"/>
        </w:rPr>
        <w:footnoteReference w:id="84"/>
      </w:r>
      <w:r w:rsidRPr="00961AA3">
        <w:rPr>
          <w:rFonts w:ascii="Garamond" w:eastAsia="Times New Roman" w:hAnsi="Garamond" w:cs="Times New Roman"/>
          <w:color w:val="000000"/>
        </w:rPr>
        <w:t xml:space="preserve"> </w:t>
      </w:r>
    </w:p>
    <w:p w14:paraId="2733C2A2" w14:textId="77777777" w:rsidR="000D0EEF" w:rsidRPr="000D0EEF" w:rsidRDefault="000D0EEF" w:rsidP="000D0EEF">
      <w:pPr>
        <w:ind w:right="360"/>
        <w:jc w:val="both"/>
        <w:rPr>
          <w:rFonts w:ascii="Garamond" w:eastAsia="Times New Roman" w:hAnsi="Garamond" w:cs="Times New Roman"/>
          <w:color w:val="000000"/>
        </w:rPr>
      </w:pPr>
    </w:p>
    <w:p w14:paraId="59E30FF6" w14:textId="729FDDAB" w:rsidR="000D0EEF" w:rsidRDefault="000D0EEF" w:rsidP="007E6E07">
      <w:pPr>
        <w:pStyle w:val="ListParagraph"/>
        <w:numPr>
          <w:ilvl w:val="0"/>
          <w:numId w:val="12"/>
        </w:numPr>
        <w:jc w:val="both"/>
        <w:rPr>
          <w:rFonts w:ascii="Garamond" w:eastAsia="Times New Roman" w:hAnsi="Garamond" w:cs="Times New Roman"/>
          <w:color w:val="000000"/>
        </w:rPr>
      </w:pPr>
      <w:r w:rsidRPr="00961AA3">
        <w:rPr>
          <w:rFonts w:ascii="Garamond" w:eastAsia="Times New Roman" w:hAnsi="Garamond" w:cs="Times New Roman"/>
          <w:color w:val="000000"/>
        </w:rPr>
        <w:t>Agricultural workers are often excluded from worker protections guaranteed in other industries. In several states, agricultural workers as a whole are not covered under minimum wage laws, nor are they considered as “employees” under several state codes.</w:t>
      </w:r>
      <w:r w:rsidRPr="00961AA3">
        <w:rPr>
          <w:rStyle w:val="FootnoteReference"/>
          <w:rFonts w:ascii="Garamond" w:eastAsia="Times New Roman" w:hAnsi="Garamond" w:cs="Times New Roman"/>
          <w:color w:val="000000"/>
        </w:rPr>
        <w:footnoteReference w:id="85"/>
      </w:r>
      <w:r w:rsidRPr="00961AA3">
        <w:rPr>
          <w:rFonts w:ascii="Garamond" w:eastAsia="Times New Roman" w:hAnsi="Garamond" w:cs="Times New Roman"/>
          <w:color w:val="000000"/>
        </w:rPr>
        <w:t xml:space="preserve"> Agricultural workers are also not guaranteed workers’ compensation—only 14 states require employers to cover agricultural workers; the remaining states either mandate limited coverage or optional coverage.</w:t>
      </w:r>
      <w:r w:rsidRPr="00961AA3">
        <w:rPr>
          <w:rStyle w:val="FootnoteReference"/>
          <w:rFonts w:ascii="Garamond" w:eastAsia="Times New Roman" w:hAnsi="Garamond" w:cs="Times New Roman"/>
          <w:color w:val="000000"/>
        </w:rPr>
        <w:footnoteReference w:id="86"/>
      </w:r>
      <w:r w:rsidRPr="00961AA3">
        <w:rPr>
          <w:rFonts w:ascii="Garamond" w:eastAsia="Times New Roman" w:hAnsi="Garamond" w:cs="Times New Roman"/>
          <w:color w:val="000000"/>
        </w:rPr>
        <w:t xml:space="preserve"> Federal laws regarding worker protections, such as the Migrant &amp; Seasonal Agricultural Worker Protection Act, give deference to farm labor contractors to establish wage schemes, as opposed to establishing specific protections to farm laborers.</w:t>
      </w:r>
      <w:r w:rsidRPr="00961AA3">
        <w:rPr>
          <w:rStyle w:val="FootnoteReference"/>
          <w:rFonts w:ascii="Garamond" w:eastAsia="Times New Roman" w:hAnsi="Garamond" w:cs="Times New Roman"/>
          <w:color w:val="000000"/>
        </w:rPr>
        <w:footnoteReference w:id="87"/>
      </w:r>
    </w:p>
    <w:p w14:paraId="7A07EE31" w14:textId="77777777" w:rsidR="000D0EEF" w:rsidRDefault="000D0EEF" w:rsidP="007E6E07">
      <w:pPr>
        <w:pStyle w:val="ListParagraph"/>
        <w:ind w:left="1080"/>
        <w:jc w:val="both"/>
        <w:rPr>
          <w:rFonts w:ascii="Garamond" w:eastAsia="Times New Roman" w:hAnsi="Garamond" w:cs="Times New Roman"/>
          <w:color w:val="000000"/>
        </w:rPr>
      </w:pPr>
    </w:p>
    <w:p w14:paraId="0D8FFC8C" w14:textId="42BCE002" w:rsidR="000D0EEF" w:rsidRDefault="000D0EEF" w:rsidP="007E6E07">
      <w:pPr>
        <w:pStyle w:val="ListParagraph"/>
        <w:numPr>
          <w:ilvl w:val="0"/>
          <w:numId w:val="12"/>
        </w:numPr>
        <w:jc w:val="both"/>
        <w:rPr>
          <w:rFonts w:ascii="Garamond" w:eastAsia="Times New Roman" w:hAnsi="Garamond" w:cs="Times New Roman"/>
          <w:color w:val="000000"/>
        </w:rPr>
      </w:pPr>
      <w:r w:rsidRPr="000D0EEF">
        <w:rPr>
          <w:rFonts w:ascii="Garamond" w:eastAsia="Times New Roman" w:hAnsi="Garamond" w:cs="Times New Roman"/>
          <w:color w:val="000000"/>
        </w:rPr>
        <w:t>Efforts to curb discriminatory labor practices are sometimes met with resistance, both in the public and private sectors. One such example regarding the public sector is seen in state-level preemption laws. The Supremacy Clause found in Article VI, Clause 2 of the U.S. Constitution gives way to the preemption doctrine—the principle that federal law trumps state law wherever the two may be in discordance with each other.</w:t>
      </w:r>
      <w:r w:rsidRPr="00961AA3">
        <w:rPr>
          <w:rStyle w:val="FootnoteReference"/>
          <w:rFonts w:ascii="Garamond" w:eastAsia="Times New Roman" w:hAnsi="Garamond" w:cs="Times New Roman"/>
          <w:color w:val="000000"/>
        </w:rPr>
        <w:footnoteReference w:id="88"/>
      </w:r>
      <w:r w:rsidRPr="000D0EEF">
        <w:rPr>
          <w:rFonts w:ascii="Garamond" w:eastAsia="Times New Roman" w:hAnsi="Garamond" w:cs="Times New Roman"/>
          <w:color w:val="000000"/>
        </w:rPr>
        <w:t xml:space="preserve"> This principle extends to the state and municipal levels of law as well. In the state of Florida, for example, there existed a preemption bill that would have barred municipalities from enacting a minimum wage higher than the state minimum.</w:t>
      </w:r>
      <w:r w:rsidR="00372E64">
        <w:rPr>
          <w:rStyle w:val="FootnoteReference"/>
          <w:rFonts w:ascii="Garamond" w:eastAsia="Times New Roman" w:hAnsi="Garamond" w:cs="Times New Roman"/>
          <w:color w:val="000000"/>
        </w:rPr>
        <w:footnoteReference w:id="89"/>
      </w:r>
      <w:r w:rsidRPr="000D0EEF">
        <w:rPr>
          <w:rFonts w:ascii="Garamond" w:eastAsia="Times New Roman" w:hAnsi="Garamond" w:cs="Times New Roman"/>
          <w:color w:val="000000"/>
        </w:rPr>
        <w:t xml:space="preserve"> Relatedly, currently, in Florida, there exists a preemption bill regarding the regulation of cottage foods.</w:t>
      </w:r>
      <w:r w:rsidRPr="00961AA3">
        <w:rPr>
          <w:rStyle w:val="FootnoteReference"/>
          <w:rFonts w:ascii="Garamond" w:eastAsia="Times New Roman" w:hAnsi="Garamond" w:cs="Times New Roman"/>
          <w:color w:val="000000"/>
        </w:rPr>
        <w:footnoteReference w:id="90"/>
      </w:r>
      <w:r w:rsidRPr="000D0EEF">
        <w:rPr>
          <w:rFonts w:ascii="Garamond" w:eastAsia="Times New Roman" w:hAnsi="Garamond" w:cs="Times New Roman"/>
          <w:color w:val="000000"/>
        </w:rPr>
        <w:t xml:space="preserve"> Known as the “Home Sweet Home Act,” this preemption measure removes the autonomy of local governments from their food systems. In essence, such preemption laws undermine food sovereignty and the effort </w:t>
      </w:r>
      <w:r w:rsidRPr="000D0EEF">
        <w:rPr>
          <w:rFonts w:ascii="Garamond" w:eastAsia="Times New Roman" w:hAnsi="Garamond" w:cs="Times New Roman"/>
          <w:color w:val="000000"/>
        </w:rPr>
        <w:lastRenderedPageBreak/>
        <w:t>to shift the power dynamics of a food system that marginalizes under-privileged and under-served communities.</w:t>
      </w:r>
      <w:r w:rsidRPr="00961AA3">
        <w:rPr>
          <w:rStyle w:val="FootnoteReference"/>
          <w:rFonts w:ascii="Garamond" w:eastAsia="Times New Roman" w:hAnsi="Garamond" w:cs="Times New Roman"/>
          <w:color w:val="000000"/>
        </w:rPr>
        <w:footnoteReference w:id="91"/>
      </w:r>
      <w:r w:rsidRPr="000D0EEF">
        <w:rPr>
          <w:rFonts w:ascii="Garamond" w:eastAsia="Times New Roman" w:hAnsi="Garamond" w:cs="Times New Roman"/>
          <w:color w:val="000000"/>
        </w:rPr>
        <w:t xml:space="preserve">  </w:t>
      </w:r>
    </w:p>
    <w:p w14:paraId="0DB84E48" w14:textId="77777777" w:rsidR="000D0EEF" w:rsidRDefault="000D0EEF" w:rsidP="007E6E07">
      <w:pPr>
        <w:pStyle w:val="ListParagraph"/>
        <w:ind w:left="1080"/>
        <w:jc w:val="both"/>
        <w:rPr>
          <w:rFonts w:ascii="Garamond" w:eastAsia="Times New Roman" w:hAnsi="Garamond" w:cs="Times New Roman"/>
          <w:color w:val="000000"/>
        </w:rPr>
      </w:pPr>
    </w:p>
    <w:p w14:paraId="2A18357E" w14:textId="670B812C" w:rsidR="000D0EEF" w:rsidRDefault="000D0EEF" w:rsidP="007E6E07">
      <w:pPr>
        <w:pStyle w:val="ListParagraph"/>
        <w:numPr>
          <w:ilvl w:val="0"/>
          <w:numId w:val="12"/>
        </w:numPr>
        <w:jc w:val="both"/>
        <w:rPr>
          <w:rFonts w:ascii="Garamond" w:eastAsia="Times New Roman" w:hAnsi="Garamond" w:cs="Times New Roman"/>
          <w:color w:val="000000"/>
        </w:rPr>
      </w:pPr>
      <w:r w:rsidRPr="000D0EEF">
        <w:rPr>
          <w:rFonts w:ascii="Garamond" w:eastAsia="Times New Roman" w:hAnsi="Garamond" w:cs="Times New Roman"/>
          <w:color w:val="000000"/>
        </w:rPr>
        <w:t>The U.S. undermines labor rights through the implementation of policies that destabilize trade unions. The right to form trade unions is one that is recognized internationally in various instruments, including the ICCPR, the ICESCR, and by international bodies, such as the International Labor Organization. “Right-to-Work” laws</w:t>
      </w:r>
      <w:r w:rsidR="00D36D32">
        <w:rPr>
          <w:rFonts w:ascii="Garamond" w:eastAsia="Times New Roman" w:hAnsi="Garamond" w:cs="Times New Roman"/>
          <w:color w:val="000000"/>
        </w:rPr>
        <w:t xml:space="preserve"> </w:t>
      </w:r>
      <w:r w:rsidRPr="000D0EEF">
        <w:rPr>
          <w:rFonts w:ascii="Garamond" w:eastAsia="Times New Roman" w:hAnsi="Garamond" w:cs="Times New Roman"/>
          <w:color w:val="000000"/>
        </w:rPr>
        <w:t>in the U.S., however, destabilize trade unions by hindering their bargaining power.</w:t>
      </w:r>
      <w:r w:rsidRPr="00961AA3">
        <w:rPr>
          <w:rStyle w:val="FootnoteReference"/>
          <w:rFonts w:ascii="Garamond" w:eastAsia="Times New Roman" w:hAnsi="Garamond" w:cs="Times New Roman"/>
          <w:color w:val="000000"/>
        </w:rPr>
        <w:footnoteReference w:id="92"/>
      </w:r>
      <w:r w:rsidRPr="000D0EEF">
        <w:rPr>
          <w:rFonts w:ascii="Garamond" w:eastAsia="Times New Roman" w:hAnsi="Garamond" w:cs="Times New Roman"/>
          <w:color w:val="000000"/>
        </w:rPr>
        <w:t xml:space="preserve"> As recently as 2020, unionized workers earned an average of 11.2% more in wages than their non-unionized peers.</w:t>
      </w:r>
      <w:r w:rsidRPr="00961AA3">
        <w:rPr>
          <w:rStyle w:val="FootnoteReference"/>
          <w:rFonts w:ascii="Garamond" w:eastAsia="Times New Roman" w:hAnsi="Garamond" w:cs="Times New Roman"/>
          <w:color w:val="000000"/>
        </w:rPr>
        <w:footnoteReference w:id="93"/>
      </w:r>
      <w:r w:rsidRPr="000D0EEF">
        <w:rPr>
          <w:rFonts w:ascii="Garamond" w:eastAsia="Times New Roman" w:hAnsi="Garamond" w:cs="Times New Roman"/>
          <w:color w:val="000000"/>
        </w:rPr>
        <w:t xml:space="preserve"> Moreover, Black workers in “Right-to-Work” states tend to have lower wages than in non “Right-to-Work” states.</w:t>
      </w:r>
      <w:r w:rsidRPr="00961AA3">
        <w:rPr>
          <w:rStyle w:val="FootnoteReference"/>
          <w:rFonts w:ascii="Garamond" w:eastAsia="Times New Roman" w:hAnsi="Garamond" w:cs="Times New Roman"/>
          <w:color w:val="000000"/>
        </w:rPr>
        <w:footnoteReference w:id="94"/>
      </w:r>
      <w:r w:rsidRPr="000D0EEF">
        <w:rPr>
          <w:rFonts w:ascii="Garamond" w:eastAsia="Times New Roman" w:hAnsi="Garamond" w:cs="Times New Roman"/>
          <w:color w:val="000000"/>
        </w:rPr>
        <w:t xml:space="preserve"> By a slight majority, American trade unions are primarily made up of Black workers.</w:t>
      </w:r>
      <w:r w:rsidRPr="00961AA3">
        <w:rPr>
          <w:rStyle w:val="FootnoteReference"/>
          <w:rFonts w:ascii="Garamond" w:eastAsia="Times New Roman" w:hAnsi="Garamond" w:cs="Times New Roman"/>
          <w:color w:val="000000"/>
        </w:rPr>
        <w:footnoteReference w:id="95"/>
      </w:r>
    </w:p>
    <w:p w14:paraId="1ECA102A" w14:textId="77777777" w:rsidR="000D0EEF" w:rsidRDefault="000D0EEF" w:rsidP="000D0EEF">
      <w:pPr>
        <w:pStyle w:val="ListParagraph"/>
        <w:ind w:left="1080" w:right="360"/>
        <w:jc w:val="both"/>
        <w:rPr>
          <w:rFonts w:ascii="Garamond" w:eastAsia="Times New Roman" w:hAnsi="Garamond" w:cs="Times New Roman"/>
          <w:color w:val="000000"/>
        </w:rPr>
      </w:pPr>
    </w:p>
    <w:p w14:paraId="44B31AB6" w14:textId="4285FF66" w:rsidR="008C7D12" w:rsidRPr="00136F1F" w:rsidRDefault="000D0EEF" w:rsidP="00136F1F">
      <w:pPr>
        <w:pStyle w:val="ListParagraph"/>
        <w:numPr>
          <w:ilvl w:val="0"/>
          <w:numId w:val="12"/>
        </w:numPr>
        <w:jc w:val="both"/>
        <w:rPr>
          <w:rFonts w:ascii="Garamond" w:eastAsia="Times New Roman" w:hAnsi="Garamond" w:cs="Times New Roman"/>
          <w:color w:val="000000"/>
        </w:rPr>
      </w:pPr>
      <w:r w:rsidRPr="000D0EEF">
        <w:rPr>
          <w:rFonts w:ascii="Garamond" w:eastAsia="Times New Roman" w:hAnsi="Garamond" w:cs="Times New Roman"/>
          <w:color w:val="000000"/>
        </w:rPr>
        <w:t xml:space="preserve">Unions have been a reliable source of worker protection where public and private practices have </w:t>
      </w:r>
      <w:r w:rsidR="00A86B8B">
        <w:rPr>
          <w:rFonts w:ascii="Garamond" w:eastAsia="Times New Roman" w:hAnsi="Garamond" w:cs="Times New Roman"/>
          <w:color w:val="000000"/>
        </w:rPr>
        <w:t>engaged in</w:t>
      </w:r>
      <w:r w:rsidR="00A86B8B" w:rsidRPr="000D0EEF">
        <w:rPr>
          <w:rFonts w:ascii="Garamond" w:eastAsia="Times New Roman" w:hAnsi="Garamond" w:cs="Times New Roman"/>
          <w:color w:val="000000"/>
        </w:rPr>
        <w:t xml:space="preserve"> </w:t>
      </w:r>
      <w:r w:rsidRPr="000D0EEF">
        <w:rPr>
          <w:rFonts w:ascii="Garamond" w:eastAsia="Times New Roman" w:hAnsi="Garamond" w:cs="Times New Roman"/>
          <w:color w:val="000000"/>
        </w:rPr>
        <w:t>discrimination and have done little to protect the working class. Union members earn</w:t>
      </w:r>
      <w:r w:rsidR="00A86B8B">
        <w:rPr>
          <w:rFonts w:ascii="Garamond" w:eastAsia="Times New Roman" w:hAnsi="Garamond" w:cs="Times New Roman"/>
          <w:color w:val="000000"/>
        </w:rPr>
        <w:t>ing</w:t>
      </w:r>
      <w:r w:rsidRPr="000D0EEF">
        <w:rPr>
          <w:rFonts w:ascii="Garamond" w:eastAsia="Times New Roman" w:hAnsi="Garamond" w:cs="Times New Roman"/>
          <w:color w:val="000000"/>
        </w:rPr>
        <w:t xml:space="preserve"> higher wages have greater access to paid sick days than their non-union</w:t>
      </w:r>
      <w:r w:rsidR="00A86B8B">
        <w:rPr>
          <w:rFonts w:ascii="Garamond" w:eastAsia="Times New Roman" w:hAnsi="Garamond" w:cs="Times New Roman"/>
          <w:color w:val="000000"/>
        </w:rPr>
        <w:t xml:space="preserve"> colleagues</w:t>
      </w:r>
      <w:r w:rsidRPr="000D0EEF">
        <w:rPr>
          <w:rFonts w:ascii="Garamond" w:eastAsia="Times New Roman" w:hAnsi="Garamond" w:cs="Times New Roman"/>
          <w:color w:val="000000"/>
        </w:rPr>
        <w:t xml:space="preserve">, and are more likely to be covered by employer provided </w:t>
      </w:r>
      <w:r w:rsidR="00A86B8B">
        <w:rPr>
          <w:rFonts w:ascii="Garamond" w:eastAsia="Times New Roman" w:hAnsi="Garamond" w:cs="Times New Roman"/>
          <w:color w:val="000000"/>
        </w:rPr>
        <w:t>programs</w:t>
      </w:r>
      <w:r w:rsidR="00A86B8B" w:rsidRPr="000D0EEF">
        <w:rPr>
          <w:rFonts w:ascii="Garamond" w:eastAsia="Times New Roman" w:hAnsi="Garamond" w:cs="Times New Roman"/>
          <w:color w:val="000000"/>
        </w:rPr>
        <w:t xml:space="preserve"> </w:t>
      </w:r>
      <w:r w:rsidRPr="000D0EEF">
        <w:rPr>
          <w:rFonts w:ascii="Garamond" w:eastAsia="Times New Roman" w:hAnsi="Garamond" w:cs="Times New Roman"/>
          <w:color w:val="000000"/>
        </w:rPr>
        <w:t>than their non-union peers.</w:t>
      </w:r>
      <w:r w:rsidRPr="00961AA3">
        <w:rPr>
          <w:rStyle w:val="FootnoteReference"/>
          <w:rFonts w:ascii="Garamond" w:eastAsia="Times New Roman" w:hAnsi="Garamond" w:cs="Times New Roman"/>
          <w:color w:val="000000"/>
        </w:rPr>
        <w:footnoteReference w:id="96"/>
      </w:r>
      <w:r w:rsidRPr="000D0EEF">
        <w:rPr>
          <w:rFonts w:ascii="Garamond" w:eastAsia="Times New Roman" w:hAnsi="Garamond" w:cs="Times New Roman"/>
          <w:color w:val="000000"/>
        </w:rPr>
        <w:t xml:space="preserve"> In the U.S. agricultural system, which is largely supported by migrant labor, workers’ collectives have come together to address racial discrimination, wage theft, unsafe working conditions, sexual assault, and other abuses prevalent in agricultural fields.</w:t>
      </w:r>
      <w:r w:rsidRPr="00961AA3">
        <w:rPr>
          <w:rStyle w:val="FootnoteReference"/>
          <w:rFonts w:ascii="Garamond" w:eastAsia="Times New Roman" w:hAnsi="Garamond" w:cs="Times New Roman"/>
          <w:color w:val="000000"/>
        </w:rPr>
        <w:footnoteReference w:id="97"/>
      </w:r>
      <w:r w:rsidRPr="000D0EEF">
        <w:rPr>
          <w:rFonts w:ascii="Garamond" w:eastAsia="Times New Roman" w:hAnsi="Garamond" w:cs="Times New Roman"/>
          <w:color w:val="000000"/>
        </w:rPr>
        <w:t xml:space="preserve"> One such example is the work of the Coalition of Immokalee Workers (CIW), a worker-based human rights organization in Florida. Over a decade ago, the CIW created the Fair Food Program, an initiative to protect farmworkers from labor and other abuses. The Fair Food Program is considered “the best workplace monitoring system in the U.S.”</w:t>
      </w:r>
      <w:r w:rsidRPr="00961AA3">
        <w:rPr>
          <w:rStyle w:val="FootnoteReference"/>
          <w:rFonts w:ascii="Garamond" w:eastAsia="Times New Roman" w:hAnsi="Garamond" w:cs="Times New Roman"/>
          <w:color w:val="000000"/>
        </w:rPr>
        <w:footnoteReference w:id="98"/>
      </w:r>
      <w:r w:rsidRPr="000D0EEF">
        <w:rPr>
          <w:rFonts w:ascii="Garamond" w:eastAsia="Times New Roman" w:hAnsi="Garamond" w:cs="Times New Roman"/>
          <w:color w:val="000000"/>
        </w:rPr>
        <w:t xml:space="preserve"> Several large-scale food industry companies, including McDonald’s and Walmart, have signed onto the program, but others refuse to comply.</w:t>
      </w:r>
      <w:r w:rsidRPr="00961AA3">
        <w:rPr>
          <w:rStyle w:val="FootnoteReference"/>
          <w:rFonts w:ascii="Garamond" w:eastAsia="Times New Roman" w:hAnsi="Garamond" w:cs="Times New Roman"/>
          <w:color w:val="000000"/>
        </w:rPr>
        <w:footnoteReference w:id="99"/>
      </w:r>
    </w:p>
    <w:p w14:paraId="59962AB4" w14:textId="7F6AF49F" w:rsidR="005E4A2E" w:rsidRDefault="005E4A2E" w:rsidP="008C7D12">
      <w:pPr>
        <w:pStyle w:val="ListParagraph"/>
        <w:pBdr>
          <w:top w:val="nil"/>
          <w:left w:val="nil"/>
          <w:bottom w:val="nil"/>
          <w:right w:val="nil"/>
          <w:between w:val="nil"/>
        </w:pBdr>
        <w:ind w:left="1080" w:right="-180"/>
        <w:jc w:val="both"/>
        <w:rPr>
          <w:rFonts w:ascii="Garamond" w:hAnsi="Garamond"/>
          <w:b/>
        </w:rPr>
      </w:pPr>
    </w:p>
    <w:p w14:paraId="453779B0" w14:textId="77777777" w:rsidR="00CF01A5" w:rsidRPr="00085DC4" w:rsidRDefault="00CF01A5" w:rsidP="008C7D12">
      <w:pPr>
        <w:pStyle w:val="ListParagraph"/>
        <w:pBdr>
          <w:top w:val="nil"/>
          <w:left w:val="nil"/>
          <w:bottom w:val="nil"/>
          <w:right w:val="nil"/>
          <w:between w:val="nil"/>
        </w:pBdr>
        <w:ind w:left="1080" w:right="-180"/>
        <w:jc w:val="both"/>
        <w:rPr>
          <w:rFonts w:ascii="Garamond" w:hAnsi="Garamond"/>
          <w:b/>
        </w:rPr>
      </w:pPr>
    </w:p>
    <w:p w14:paraId="7D52DFA1" w14:textId="70F10F3C" w:rsidR="008C7D12" w:rsidRDefault="008C7D12" w:rsidP="00177D54">
      <w:pPr>
        <w:pStyle w:val="ListParagraph"/>
        <w:numPr>
          <w:ilvl w:val="0"/>
          <w:numId w:val="1"/>
        </w:numPr>
        <w:pBdr>
          <w:top w:val="nil"/>
          <w:left w:val="nil"/>
          <w:bottom w:val="nil"/>
          <w:right w:val="nil"/>
          <w:between w:val="nil"/>
        </w:pBdr>
        <w:ind w:left="1080"/>
        <w:jc w:val="both"/>
        <w:rPr>
          <w:rFonts w:ascii="Garamond" w:hAnsi="Garamond"/>
          <w:b/>
        </w:rPr>
      </w:pPr>
      <w:r>
        <w:rPr>
          <w:rFonts w:ascii="Garamond" w:hAnsi="Garamond"/>
          <w:b/>
        </w:rPr>
        <w:lastRenderedPageBreak/>
        <w:t>The Corporate Capture of Land and Natural Resources and the Lack of Corporate Accountability Disproportionately Affect the Right to Food of Indigenous Populations</w:t>
      </w:r>
    </w:p>
    <w:p w14:paraId="6AE25473" w14:textId="77777777" w:rsidR="005E4A2E" w:rsidRPr="00A853EB" w:rsidRDefault="005E4A2E" w:rsidP="005E4A2E">
      <w:pPr>
        <w:pStyle w:val="ListParagraph"/>
        <w:pBdr>
          <w:top w:val="nil"/>
          <w:left w:val="nil"/>
          <w:bottom w:val="nil"/>
          <w:right w:val="nil"/>
          <w:between w:val="nil"/>
        </w:pBdr>
        <w:ind w:left="1080"/>
        <w:jc w:val="both"/>
        <w:rPr>
          <w:rFonts w:ascii="Garamond" w:hAnsi="Garamond"/>
          <w:b/>
        </w:rPr>
      </w:pPr>
    </w:p>
    <w:p w14:paraId="6F5A2DA7" w14:textId="39BF36F3" w:rsidR="008C7D12" w:rsidRPr="00085DC4" w:rsidRDefault="008C7D12" w:rsidP="008C7D12">
      <w:pPr>
        <w:numPr>
          <w:ilvl w:val="1"/>
          <w:numId w:val="1"/>
        </w:numPr>
        <w:ind w:left="720"/>
        <w:jc w:val="both"/>
        <w:rPr>
          <w:rFonts w:ascii="Garamond" w:hAnsi="Garamond"/>
          <w:b/>
          <w:color w:val="000000" w:themeColor="text1"/>
        </w:rPr>
      </w:pPr>
      <w:r w:rsidRPr="00961AA3">
        <w:rPr>
          <w:rFonts w:ascii="Garamond" w:hAnsi="Garamond"/>
          <w:bCs/>
        </w:rPr>
        <w:t>Indigenous Peoples experience high rates of food insecurity, meaning they don’t have enough food to live an active, healthy life.</w:t>
      </w:r>
      <w:r w:rsidRPr="00961AA3">
        <w:rPr>
          <w:rStyle w:val="FootnoteReference"/>
          <w:rFonts w:ascii="Garamond" w:hAnsi="Garamond"/>
          <w:bCs/>
        </w:rPr>
        <w:footnoteReference w:id="100"/>
      </w:r>
      <w:r w:rsidRPr="00961AA3">
        <w:rPr>
          <w:rFonts w:ascii="Garamond" w:hAnsi="Garamond"/>
          <w:bCs/>
        </w:rPr>
        <w:t xml:space="preserve"> About one in four Indigenous Peoples experience food insecurity compared to one in eight Americans overall.</w:t>
      </w:r>
      <w:r w:rsidRPr="00961AA3">
        <w:rPr>
          <w:rStyle w:val="FootnoteReference"/>
          <w:rFonts w:ascii="Garamond" w:hAnsi="Garamond"/>
          <w:bCs/>
        </w:rPr>
        <w:footnoteReference w:id="101"/>
      </w:r>
      <w:r w:rsidRPr="00961AA3">
        <w:rPr>
          <w:rFonts w:ascii="Garamond" w:hAnsi="Garamond"/>
          <w:bCs/>
        </w:rPr>
        <w:t xml:space="preserve"> Indigenous families are 400% more likely to report being food insecure.</w:t>
      </w:r>
      <w:r w:rsidRPr="00961AA3">
        <w:rPr>
          <w:rStyle w:val="FootnoteReference"/>
          <w:rFonts w:ascii="Garamond" w:hAnsi="Garamond"/>
          <w:bCs/>
        </w:rPr>
        <w:footnoteReference w:id="102"/>
      </w:r>
      <w:r w:rsidRPr="00961AA3">
        <w:rPr>
          <w:rFonts w:ascii="Garamond" w:hAnsi="Garamond"/>
          <w:bCs/>
        </w:rPr>
        <w:t xml:space="preserve"> There are a total of twenty-eight counties in America that are majority Native American, and 18 of those counties are considered high food insecurity counties.</w:t>
      </w:r>
      <w:r w:rsidRPr="00961AA3">
        <w:rPr>
          <w:rStyle w:val="FootnoteReference"/>
          <w:rFonts w:ascii="Garamond" w:hAnsi="Garamond"/>
          <w:bCs/>
        </w:rPr>
        <w:footnoteReference w:id="103"/>
      </w:r>
      <w:r w:rsidRPr="00961AA3">
        <w:rPr>
          <w:rFonts w:ascii="Garamond" w:hAnsi="Garamond"/>
          <w:bCs/>
        </w:rPr>
        <w:t xml:space="preserve"> In a study of a Northern Plains reservation in Montana, </w:t>
      </w:r>
      <w:r>
        <w:rPr>
          <w:rFonts w:ascii="Garamond" w:hAnsi="Garamond"/>
          <w:bCs/>
        </w:rPr>
        <w:t>43%</w:t>
      </w:r>
      <w:r w:rsidRPr="00961AA3">
        <w:rPr>
          <w:rFonts w:ascii="Garamond" w:hAnsi="Garamond"/>
          <w:bCs/>
        </w:rPr>
        <w:t xml:space="preserve"> of tribal households were food insecure.</w:t>
      </w:r>
      <w:r w:rsidRPr="00961AA3">
        <w:rPr>
          <w:rStyle w:val="FootnoteReference"/>
          <w:rFonts w:ascii="Garamond" w:hAnsi="Garamond"/>
          <w:bCs/>
        </w:rPr>
        <w:footnoteReference w:id="104"/>
      </w:r>
      <w:r w:rsidRPr="00961AA3">
        <w:rPr>
          <w:rFonts w:ascii="Garamond" w:hAnsi="Garamond"/>
          <w:bCs/>
        </w:rPr>
        <w:t xml:space="preserve"> In Oklahoma, more than </w:t>
      </w:r>
      <w:r>
        <w:rPr>
          <w:rFonts w:ascii="Garamond" w:hAnsi="Garamond"/>
          <w:bCs/>
        </w:rPr>
        <w:t>60%</w:t>
      </w:r>
      <w:r w:rsidR="00ED12F3">
        <w:rPr>
          <w:rFonts w:ascii="Garamond" w:hAnsi="Garamond"/>
          <w:bCs/>
        </w:rPr>
        <w:t xml:space="preserve"> </w:t>
      </w:r>
      <w:r w:rsidRPr="00961AA3">
        <w:rPr>
          <w:rFonts w:ascii="Garamond" w:hAnsi="Garamond"/>
          <w:bCs/>
        </w:rPr>
        <w:t>of American Indians surveyed were food insecure.</w:t>
      </w:r>
      <w:r w:rsidRPr="00961AA3">
        <w:rPr>
          <w:rStyle w:val="FootnoteReference"/>
          <w:rFonts w:ascii="Garamond" w:hAnsi="Garamond"/>
          <w:bCs/>
        </w:rPr>
        <w:footnoteReference w:id="105"/>
      </w:r>
      <w:r w:rsidRPr="00961AA3">
        <w:rPr>
          <w:rFonts w:ascii="Garamond" w:hAnsi="Garamond"/>
          <w:bCs/>
        </w:rPr>
        <w:t xml:space="preserve"> This is drastically higher than the national food insecurity rate of </w:t>
      </w:r>
      <w:r>
        <w:rPr>
          <w:rFonts w:ascii="Garamond" w:hAnsi="Garamond"/>
          <w:bCs/>
          <w:color w:val="000000" w:themeColor="text1"/>
        </w:rPr>
        <w:t>11%</w:t>
      </w:r>
      <w:r w:rsidRPr="00961AA3">
        <w:rPr>
          <w:rFonts w:ascii="Garamond" w:hAnsi="Garamond"/>
          <w:bCs/>
          <w:color w:val="000000" w:themeColor="text1"/>
        </w:rPr>
        <w:t>.</w:t>
      </w:r>
      <w:r w:rsidRPr="00961AA3">
        <w:rPr>
          <w:rStyle w:val="FootnoteReference"/>
          <w:rFonts w:ascii="Garamond" w:hAnsi="Garamond"/>
          <w:bCs/>
          <w:color w:val="000000" w:themeColor="text1"/>
        </w:rPr>
        <w:footnoteReference w:id="106"/>
      </w:r>
      <w:r w:rsidRPr="00961AA3">
        <w:rPr>
          <w:rFonts w:ascii="Garamond" w:hAnsi="Garamond"/>
          <w:bCs/>
          <w:color w:val="000000" w:themeColor="text1"/>
        </w:rPr>
        <w:t xml:space="preserve"> Notably, Oklahoma has the second highest population of Indigenous People.</w:t>
      </w:r>
      <w:r w:rsidRPr="00961AA3">
        <w:rPr>
          <w:rStyle w:val="FootnoteReference"/>
          <w:rFonts w:ascii="Garamond" w:hAnsi="Garamond"/>
          <w:bCs/>
          <w:color w:val="000000" w:themeColor="text1"/>
        </w:rPr>
        <w:footnoteReference w:id="107"/>
      </w:r>
      <w:r w:rsidRPr="00961AA3">
        <w:rPr>
          <w:rFonts w:ascii="Garamond" w:hAnsi="Garamond"/>
          <w:bCs/>
          <w:color w:val="000000" w:themeColor="text1"/>
        </w:rPr>
        <w:t xml:space="preserve"> As Oklahoma is one of the largest drilling sites in the U.S.,</w:t>
      </w:r>
      <w:r w:rsidRPr="00961AA3">
        <w:rPr>
          <w:rStyle w:val="FootnoteReference"/>
          <w:rFonts w:ascii="Garamond" w:hAnsi="Garamond"/>
          <w:bCs/>
          <w:color w:val="000000" w:themeColor="text1"/>
        </w:rPr>
        <w:footnoteReference w:id="108"/>
      </w:r>
      <w:r w:rsidRPr="00961AA3">
        <w:rPr>
          <w:rFonts w:ascii="Garamond" w:hAnsi="Garamond"/>
          <w:bCs/>
          <w:color w:val="000000" w:themeColor="text1"/>
        </w:rPr>
        <w:t xml:space="preserve"> toxic fumes, emissions, and manmade earthquakes have led to health issues and contamination of Indigenous land.</w:t>
      </w:r>
      <w:r w:rsidRPr="00961AA3">
        <w:rPr>
          <w:rStyle w:val="FootnoteReference"/>
          <w:rFonts w:ascii="Garamond" w:hAnsi="Garamond"/>
          <w:bCs/>
          <w:color w:val="000000" w:themeColor="text1"/>
        </w:rPr>
        <w:footnoteReference w:id="109"/>
      </w:r>
    </w:p>
    <w:p w14:paraId="71965DC5" w14:textId="77777777" w:rsidR="008C7D12" w:rsidRPr="00085DC4" w:rsidRDefault="008C7D12" w:rsidP="008C7D12">
      <w:pPr>
        <w:ind w:left="720"/>
        <w:jc w:val="both"/>
        <w:rPr>
          <w:rFonts w:ascii="Garamond" w:hAnsi="Garamond"/>
          <w:b/>
          <w:color w:val="000000" w:themeColor="text1"/>
        </w:rPr>
      </w:pPr>
    </w:p>
    <w:p w14:paraId="30984362" w14:textId="77777777" w:rsidR="008C7D12" w:rsidRPr="00085DC4" w:rsidRDefault="008C7D12" w:rsidP="008C7D12">
      <w:pPr>
        <w:numPr>
          <w:ilvl w:val="1"/>
          <w:numId w:val="1"/>
        </w:numPr>
        <w:ind w:left="720"/>
        <w:jc w:val="both"/>
        <w:rPr>
          <w:rFonts w:ascii="Garamond" w:hAnsi="Garamond"/>
          <w:b/>
          <w:color w:val="000000" w:themeColor="text1"/>
        </w:rPr>
      </w:pPr>
      <w:r w:rsidRPr="00961AA3">
        <w:rPr>
          <w:rFonts w:ascii="Garamond" w:hAnsi="Garamond"/>
          <w:bCs/>
          <w:color w:val="000000" w:themeColor="text1"/>
        </w:rPr>
        <w:t>Food plays an intimate role in Indigenous self-determination, sovereignty, cultural survival, and cultural development.</w:t>
      </w:r>
      <w:r w:rsidRPr="00961AA3">
        <w:rPr>
          <w:rStyle w:val="FootnoteReference"/>
          <w:rFonts w:ascii="Garamond" w:hAnsi="Garamond"/>
          <w:bCs/>
          <w:color w:val="000000" w:themeColor="text1"/>
        </w:rPr>
        <w:footnoteReference w:id="110"/>
      </w:r>
      <w:r w:rsidRPr="00961AA3">
        <w:rPr>
          <w:rFonts w:ascii="Garamond" w:hAnsi="Garamond"/>
          <w:bCs/>
          <w:color w:val="000000" w:themeColor="text1"/>
        </w:rPr>
        <w:t xml:space="preserve"> Traditional Indigenous food has provided sustenance and promoted health in native communities for countless centuries.</w:t>
      </w:r>
      <w:r w:rsidRPr="00961AA3">
        <w:rPr>
          <w:rStyle w:val="FootnoteReference"/>
          <w:rFonts w:ascii="Garamond" w:hAnsi="Garamond"/>
          <w:bCs/>
          <w:color w:val="000000" w:themeColor="text1"/>
        </w:rPr>
        <w:footnoteReference w:id="111"/>
      </w:r>
      <w:r w:rsidRPr="00961AA3">
        <w:rPr>
          <w:rFonts w:ascii="Garamond" w:hAnsi="Garamond"/>
          <w:bCs/>
          <w:color w:val="000000" w:themeColor="text1"/>
        </w:rPr>
        <w:t xml:space="preserve"> First foods formed the backbone of many Indigenous societies by virtue of their religious, cultural, economic, and medicinal importance, in addition to their role in feeding native peoples.</w:t>
      </w:r>
      <w:r w:rsidRPr="00961AA3">
        <w:rPr>
          <w:rStyle w:val="FootnoteReference"/>
          <w:rFonts w:ascii="Garamond" w:hAnsi="Garamond"/>
          <w:bCs/>
          <w:color w:val="000000" w:themeColor="text1"/>
        </w:rPr>
        <w:footnoteReference w:id="112"/>
      </w:r>
      <w:r w:rsidRPr="00961AA3">
        <w:rPr>
          <w:rFonts w:ascii="Garamond" w:hAnsi="Garamond"/>
          <w:bCs/>
          <w:color w:val="000000" w:themeColor="text1"/>
        </w:rPr>
        <w:t xml:space="preserve"> A Native Hawaiian activist, </w:t>
      </w:r>
      <w:proofErr w:type="spellStart"/>
      <w:r w:rsidRPr="00961AA3">
        <w:rPr>
          <w:rFonts w:ascii="Garamond" w:hAnsi="Garamond"/>
          <w:bCs/>
          <w:color w:val="000000" w:themeColor="text1"/>
        </w:rPr>
        <w:t>Kamuelo</w:t>
      </w:r>
      <w:proofErr w:type="spellEnd"/>
      <w:r w:rsidRPr="00961AA3">
        <w:rPr>
          <w:rFonts w:ascii="Garamond" w:hAnsi="Garamond"/>
          <w:bCs/>
          <w:color w:val="000000" w:themeColor="text1"/>
        </w:rPr>
        <w:t xml:space="preserve"> Enos, stated that a healthy food system is an indicator of a healthy community; one cannot exist without the other.</w:t>
      </w:r>
      <w:r w:rsidRPr="00961AA3">
        <w:rPr>
          <w:rStyle w:val="FootnoteReference"/>
          <w:rFonts w:ascii="Garamond" w:hAnsi="Garamond"/>
          <w:bCs/>
          <w:color w:val="000000" w:themeColor="text1"/>
        </w:rPr>
        <w:footnoteReference w:id="113"/>
      </w:r>
    </w:p>
    <w:p w14:paraId="5C5DC0F8" w14:textId="77777777" w:rsidR="008C7D12" w:rsidRPr="00ED125B" w:rsidRDefault="008C7D12" w:rsidP="008C7D12">
      <w:pPr>
        <w:ind w:left="720"/>
        <w:jc w:val="both"/>
        <w:rPr>
          <w:rFonts w:ascii="Garamond" w:hAnsi="Garamond"/>
          <w:b/>
          <w:color w:val="000000" w:themeColor="text1"/>
        </w:rPr>
      </w:pPr>
    </w:p>
    <w:p w14:paraId="13C0D70B" w14:textId="77777777" w:rsidR="008C7D12" w:rsidRPr="00085DC4" w:rsidRDefault="008C7D12" w:rsidP="008C7D12">
      <w:pPr>
        <w:numPr>
          <w:ilvl w:val="1"/>
          <w:numId w:val="1"/>
        </w:numPr>
        <w:ind w:left="720"/>
        <w:jc w:val="both"/>
        <w:rPr>
          <w:rFonts w:ascii="Garamond" w:hAnsi="Garamond"/>
          <w:b/>
        </w:rPr>
      </w:pPr>
      <w:r w:rsidRPr="00961AA3">
        <w:rPr>
          <w:rFonts w:ascii="Garamond" w:hAnsi="Garamond"/>
          <w:bCs/>
        </w:rPr>
        <w:lastRenderedPageBreak/>
        <w:t>U.S. has a long-standing legal and moral obligation to protect and promote tribes’ best interests, including by supporting tribal self-determination, respecting tribal sovereignty, and providing the resources necessary for cultural survival and economic development.</w:t>
      </w:r>
      <w:r w:rsidRPr="00961AA3">
        <w:rPr>
          <w:rStyle w:val="FootnoteReference"/>
          <w:rFonts w:ascii="Garamond" w:hAnsi="Garamond"/>
          <w:bCs/>
        </w:rPr>
        <w:footnoteReference w:id="114"/>
      </w:r>
      <w:r w:rsidRPr="00961AA3">
        <w:rPr>
          <w:rFonts w:ascii="Garamond" w:hAnsi="Garamond"/>
          <w:bCs/>
        </w:rPr>
        <w:t xml:space="preserve">  </w:t>
      </w:r>
      <w:r w:rsidRPr="00961AA3">
        <w:rPr>
          <w:rFonts w:ascii="Garamond" w:hAnsi="Garamond"/>
        </w:rPr>
        <w:t>"The [U.S.] has undertaken a unique trust responsibility to protect and support Indian tribes and Indians…. [T]he fiduciary responsibilities of the United States to Indians also are founded in part on specific commitments made through written treaties and agreements securing peace, in exchange for which Indians have surrendered claims to vast tracts of land."</w:t>
      </w:r>
      <w:r w:rsidRPr="00961AA3">
        <w:rPr>
          <w:rStyle w:val="FootnoteReference"/>
          <w:rFonts w:ascii="Garamond" w:hAnsi="Garamond"/>
        </w:rPr>
        <w:footnoteReference w:id="115"/>
      </w:r>
    </w:p>
    <w:p w14:paraId="68067884" w14:textId="77777777" w:rsidR="008C7D12" w:rsidRPr="00ED125B" w:rsidRDefault="008C7D12" w:rsidP="008C7D12">
      <w:pPr>
        <w:ind w:left="720"/>
        <w:jc w:val="both"/>
        <w:rPr>
          <w:rFonts w:ascii="Garamond" w:hAnsi="Garamond"/>
          <w:b/>
        </w:rPr>
      </w:pPr>
    </w:p>
    <w:p w14:paraId="5B4A50A5" w14:textId="77777777" w:rsidR="008C7D12" w:rsidRPr="00085DC4" w:rsidRDefault="008C7D12" w:rsidP="008C7D12">
      <w:pPr>
        <w:numPr>
          <w:ilvl w:val="1"/>
          <w:numId w:val="1"/>
        </w:numPr>
        <w:ind w:left="720"/>
        <w:jc w:val="both"/>
        <w:rPr>
          <w:rFonts w:ascii="Garamond" w:hAnsi="Garamond"/>
          <w:b/>
        </w:rPr>
      </w:pPr>
      <w:r w:rsidRPr="00961AA3">
        <w:rPr>
          <w:rFonts w:ascii="Garamond" w:hAnsi="Garamond"/>
          <w:bCs/>
        </w:rPr>
        <w:t>The U.S.’s lack of adequate oversight over corporate land grabbing infringes on Indigenous Peoples’ accessibility to food within the U.S. The realization of Indigenous Peoples’ right to food depends crucially on their access to and control over the natural resources on their ancestral lands.</w:t>
      </w:r>
      <w:r w:rsidRPr="00961AA3">
        <w:rPr>
          <w:rStyle w:val="FootnoteReference"/>
          <w:rFonts w:ascii="Garamond" w:hAnsi="Garamond"/>
          <w:bCs/>
        </w:rPr>
        <w:footnoteReference w:id="116"/>
      </w:r>
      <w:r w:rsidRPr="00961AA3">
        <w:rPr>
          <w:rFonts w:ascii="Garamond" w:hAnsi="Garamond"/>
          <w:bCs/>
        </w:rPr>
        <w:t xml:space="preserve"> The U.S. often prioritizes corporate interests over the rights of Indigenous Peoples, leaving Indigenous People with little resources to protect their communities.</w:t>
      </w:r>
      <w:r w:rsidRPr="00961AA3">
        <w:rPr>
          <w:rStyle w:val="FootnoteReference"/>
          <w:rFonts w:ascii="Garamond" w:hAnsi="Garamond"/>
          <w:bCs/>
        </w:rPr>
        <w:footnoteReference w:id="117"/>
      </w:r>
      <w:r w:rsidRPr="00961AA3">
        <w:rPr>
          <w:rFonts w:ascii="Garamond" w:hAnsi="Garamond"/>
          <w:bCs/>
        </w:rPr>
        <w:t xml:space="preserve"> A six-month investigation revealed that the Federal Bureau of Indian Affairs, tasked with negotiating the best possible deals for Indigenous Peoples, often make it cheap and easy for corporations to exploit Indigenous resources.</w:t>
      </w:r>
      <w:r w:rsidRPr="00961AA3">
        <w:rPr>
          <w:rStyle w:val="FootnoteReference"/>
          <w:rFonts w:ascii="Garamond" w:hAnsi="Garamond"/>
          <w:bCs/>
        </w:rPr>
        <w:footnoteReference w:id="118"/>
      </w:r>
      <w:r w:rsidRPr="00961AA3">
        <w:rPr>
          <w:rFonts w:ascii="Garamond" w:hAnsi="Garamond"/>
          <w:bCs/>
        </w:rPr>
        <w:t xml:space="preserve"> </w:t>
      </w:r>
    </w:p>
    <w:p w14:paraId="4D04AAF9" w14:textId="77777777" w:rsidR="008C7D12" w:rsidRPr="00ED125B" w:rsidRDefault="008C7D12" w:rsidP="008C7D12">
      <w:pPr>
        <w:ind w:left="720"/>
        <w:jc w:val="both"/>
        <w:rPr>
          <w:rFonts w:ascii="Garamond" w:hAnsi="Garamond"/>
          <w:b/>
        </w:rPr>
      </w:pPr>
    </w:p>
    <w:p w14:paraId="471FF4EA" w14:textId="63D60162" w:rsidR="008C7D12" w:rsidRPr="00085DC4" w:rsidRDefault="008C7D12" w:rsidP="008C7D12">
      <w:pPr>
        <w:numPr>
          <w:ilvl w:val="1"/>
          <w:numId w:val="1"/>
        </w:numPr>
        <w:ind w:left="720"/>
        <w:jc w:val="both"/>
        <w:rPr>
          <w:rFonts w:ascii="Garamond" w:hAnsi="Garamond"/>
          <w:b/>
        </w:rPr>
      </w:pPr>
      <w:r w:rsidRPr="00961AA3">
        <w:rPr>
          <w:rFonts w:ascii="Garamond" w:hAnsi="Garamond"/>
          <w:bCs/>
        </w:rPr>
        <w:t>The U.S.’s lack of adequate oversight of corporate activities disrupts traditional hunting, fishing, farming, and gathering economies in Indigenous communities as pollutants fill these traditional foodways.</w:t>
      </w:r>
      <w:r w:rsidRPr="00961AA3">
        <w:rPr>
          <w:rStyle w:val="FootnoteReference"/>
          <w:rFonts w:ascii="Garamond" w:hAnsi="Garamond"/>
          <w:bCs/>
        </w:rPr>
        <w:footnoteReference w:id="119"/>
      </w:r>
      <w:r w:rsidRPr="00961AA3">
        <w:rPr>
          <w:rFonts w:ascii="Garamond" w:hAnsi="Garamond"/>
          <w:bCs/>
        </w:rPr>
        <w:t xml:space="preserve"> Corporations have been able to drill, frack, farm, and fell timber on Native lands at the expense of Indigenous Peoples’ land rights, which in turn, negatively impacts their access to food.</w:t>
      </w:r>
      <w:r w:rsidRPr="00961AA3">
        <w:rPr>
          <w:rStyle w:val="FootnoteReference"/>
          <w:rFonts w:ascii="Garamond" w:hAnsi="Garamond"/>
          <w:bCs/>
        </w:rPr>
        <w:footnoteReference w:id="120"/>
      </w:r>
      <w:r w:rsidRPr="00961AA3">
        <w:rPr>
          <w:rFonts w:ascii="Garamond" w:hAnsi="Garamond"/>
          <w:bCs/>
        </w:rPr>
        <w:t xml:space="preserve"> Although Indigenous communities represent only </w:t>
      </w:r>
      <w:r>
        <w:rPr>
          <w:rFonts w:ascii="Garamond" w:hAnsi="Garamond"/>
          <w:bCs/>
        </w:rPr>
        <w:t>2%</w:t>
      </w:r>
      <w:r w:rsidRPr="00961AA3">
        <w:rPr>
          <w:rFonts w:ascii="Garamond" w:hAnsi="Garamond"/>
          <w:bCs/>
        </w:rPr>
        <w:t xml:space="preserve"> of land in the U.S., they sit atop approximately </w:t>
      </w:r>
      <w:r>
        <w:rPr>
          <w:rFonts w:ascii="Garamond" w:hAnsi="Garamond"/>
          <w:bCs/>
        </w:rPr>
        <w:t>20%</w:t>
      </w:r>
      <w:r w:rsidR="00ED12F3">
        <w:rPr>
          <w:rFonts w:ascii="Garamond" w:hAnsi="Garamond"/>
          <w:bCs/>
        </w:rPr>
        <w:t xml:space="preserve"> </w:t>
      </w:r>
      <w:r w:rsidRPr="00961AA3">
        <w:rPr>
          <w:rFonts w:ascii="Garamond" w:hAnsi="Garamond"/>
          <w:bCs/>
        </w:rPr>
        <w:t>of the U.S. fossil fuel supplies.</w:t>
      </w:r>
      <w:r w:rsidRPr="00961AA3">
        <w:rPr>
          <w:rStyle w:val="FootnoteReference"/>
          <w:rFonts w:ascii="Garamond" w:hAnsi="Garamond"/>
          <w:bCs/>
        </w:rPr>
        <w:footnoteReference w:id="121"/>
      </w:r>
      <w:r w:rsidRPr="00961AA3">
        <w:rPr>
          <w:rFonts w:ascii="Garamond" w:hAnsi="Garamond"/>
          <w:bCs/>
        </w:rPr>
        <w:t xml:space="preserve"> Congress, in the early twentieth century, authorized leasing of lands allotted to Indigenous groups to non-indigenous groups, leaving Indigenous landowners vulnerable to exploitation.</w:t>
      </w:r>
      <w:r w:rsidRPr="00961AA3">
        <w:rPr>
          <w:rStyle w:val="FootnoteReference"/>
          <w:rFonts w:ascii="Garamond" w:hAnsi="Garamond"/>
          <w:bCs/>
        </w:rPr>
        <w:footnoteReference w:id="122"/>
      </w:r>
      <w:r w:rsidRPr="00961AA3">
        <w:rPr>
          <w:rFonts w:ascii="Garamond" w:hAnsi="Garamond"/>
          <w:bCs/>
        </w:rPr>
        <w:t xml:space="preserve"> This continues to this day and Indigenous communities are forced to lease their land to corporations in order to obtain money for basic necessities, like food or gas money.</w:t>
      </w:r>
      <w:r w:rsidRPr="00961AA3">
        <w:rPr>
          <w:rStyle w:val="FootnoteReference"/>
          <w:rFonts w:ascii="Garamond" w:hAnsi="Garamond"/>
          <w:bCs/>
        </w:rPr>
        <w:footnoteReference w:id="123"/>
      </w:r>
      <w:r w:rsidRPr="00961AA3">
        <w:rPr>
          <w:rFonts w:ascii="Garamond" w:hAnsi="Garamond"/>
          <w:bCs/>
        </w:rPr>
        <w:t xml:space="preserve"> Corporations’ exploitative activities on Indigenous lands, affects Indigenous Peoples’ accessibility to food by polluting the ecosystem, leading to vital elements of the food chain to die off.  For example, the ice melting in Alaska has led to less algae that survives on the bottom of the ice. Algae is vital to the food chain.  So, “[w]</w:t>
      </w:r>
      <w:proofErr w:type="spellStart"/>
      <w:r w:rsidRPr="00961AA3">
        <w:rPr>
          <w:rFonts w:ascii="Garamond" w:hAnsi="Garamond"/>
          <w:bCs/>
        </w:rPr>
        <w:t>hen</w:t>
      </w:r>
      <w:proofErr w:type="spellEnd"/>
      <w:r w:rsidRPr="00961AA3">
        <w:rPr>
          <w:rFonts w:ascii="Garamond" w:hAnsi="Garamond"/>
          <w:bCs/>
        </w:rPr>
        <w:t xml:space="preserve"> you have no ice, you have no food chain,” </w:t>
      </w:r>
      <w:r w:rsidR="00ED12F3">
        <w:rPr>
          <w:rFonts w:ascii="Garamond" w:hAnsi="Garamond"/>
          <w:bCs/>
        </w:rPr>
        <w:t xml:space="preserve">said </w:t>
      </w:r>
      <w:r w:rsidRPr="00961AA3">
        <w:rPr>
          <w:rFonts w:ascii="Garamond" w:hAnsi="Garamond"/>
          <w:bCs/>
        </w:rPr>
        <w:t xml:space="preserve">a former elementary school teacher and member of the </w:t>
      </w:r>
      <w:proofErr w:type="spellStart"/>
      <w:r w:rsidRPr="00961AA3">
        <w:rPr>
          <w:rFonts w:ascii="Garamond" w:hAnsi="Garamond"/>
          <w:bCs/>
        </w:rPr>
        <w:t>Iñupiat</w:t>
      </w:r>
      <w:proofErr w:type="spellEnd"/>
      <w:r w:rsidRPr="00961AA3">
        <w:rPr>
          <w:rFonts w:ascii="Garamond" w:hAnsi="Garamond"/>
          <w:bCs/>
        </w:rPr>
        <w:t xml:space="preserve"> population in Alaska.  The </w:t>
      </w:r>
      <w:proofErr w:type="spellStart"/>
      <w:r w:rsidRPr="00961AA3">
        <w:rPr>
          <w:rFonts w:ascii="Garamond" w:hAnsi="Garamond"/>
          <w:bCs/>
        </w:rPr>
        <w:t>Iñupiat</w:t>
      </w:r>
      <w:proofErr w:type="spellEnd"/>
      <w:r w:rsidRPr="00961AA3">
        <w:rPr>
          <w:rFonts w:ascii="Garamond" w:hAnsi="Garamond"/>
          <w:bCs/>
        </w:rPr>
        <w:t xml:space="preserve">, who rely on hunting whales, </w:t>
      </w:r>
      <w:proofErr w:type="gramStart"/>
      <w:r w:rsidRPr="00961AA3">
        <w:rPr>
          <w:rFonts w:ascii="Garamond" w:hAnsi="Garamond"/>
          <w:bCs/>
        </w:rPr>
        <w:t>seals</w:t>
      </w:r>
      <w:proofErr w:type="gramEnd"/>
      <w:r w:rsidRPr="00961AA3">
        <w:rPr>
          <w:rFonts w:ascii="Garamond" w:hAnsi="Garamond"/>
          <w:bCs/>
        </w:rPr>
        <w:t xml:space="preserve"> and other animals, are now forced to go miles to find ice and hunt for animals.  </w:t>
      </w:r>
      <w:r w:rsidR="00ED12F3">
        <w:rPr>
          <w:rFonts w:ascii="Garamond" w:hAnsi="Garamond"/>
          <w:bCs/>
        </w:rPr>
        <w:t>As h</w:t>
      </w:r>
      <w:r w:rsidRPr="00961AA3">
        <w:rPr>
          <w:rFonts w:ascii="Garamond" w:hAnsi="Garamond"/>
          <w:bCs/>
        </w:rPr>
        <w:t xml:space="preserve">unting gets harder and food prices increase, it becomes impossible to feed the community.  </w:t>
      </w:r>
    </w:p>
    <w:p w14:paraId="30038269" w14:textId="77777777" w:rsidR="008C7D12" w:rsidRPr="00ED125B" w:rsidRDefault="008C7D12" w:rsidP="008C7D12">
      <w:pPr>
        <w:ind w:left="720"/>
        <w:jc w:val="both"/>
        <w:rPr>
          <w:rFonts w:ascii="Garamond" w:hAnsi="Garamond"/>
          <w:b/>
        </w:rPr>
      </w:pPr>
    </w:p>
    <w:p w14:paraId="11AEC1FA" w14:textId="23FFF9ED" w:rsidR="008C7D12" w:rsidRPr="00085DC4" w:rsidRDefault="008C7D12" w:rsidP="008C7D12">
      <w:pPr>
        <w:numPr>
          <w:ilvl w:val="1"/>
          <w:numId w:val="1"/>
        </w:numPr>
        <w:ind w:left="720"/>
        <w:jc w:val="both"/>
        <w:rPr>
          <w:rFonts w:ascii="Garamond" w:hAnsi="Garamond"/>
          <w:b/>
        </w:rPr>
      </w:pPr>
      <w:r w:rsidRPr="00961AA3">
        <w:rPr>
          <w:rFonts w:ascii="Garamond" w:hAnsi="Garamond"/>
          <w:bCs/>
        </w:rPr>
        <w:t>In violation of its extra-territorial human rights obligations, the U.S. does not adequately regulate U.S.-based corporations seizure of Indigenous lands around the world, affecting the accessibility of food worldwide.</w:t>
      </w:r>
      <w:r w:rsidRPr="00961AA3">
        <w:rPr>
          <w:rStyle w:val="FootnoteReference"/>
          <w:rFonts w:ascii="Garamond" w:hAnsi="Garamond"/>
          <w:bCs/>
        </w:rPr>
        <w:footnoteReference w:id="124"/>
      </w:r>
      <w:r w:rsidRPr="00961AA3">
        <w:rPr>
          <w:rFonts w:ascii="Garamond" w:hAnsi="Garamond"/>
          <w:bCs/>
        </w:rPr>
        <w:t xml:space="preserve"> The poorest countries with the weakest protection of people’s land rights are subject to </w:t>
      </w:r>
      <w:r w:rsidRPr="00961AA3">
        <w:rPr>
          <w:rFonts w:ascii="Garamond" w:hAnsi="Garamond"/>
          <w:bCs/>
        </w:rPr>
        <w:lastRenderedPageBreak/>
        <w:t>land grabs, not necessarily the countries that have the most available arable land.</w:t>
      </w:r>
      <w:r w:rsidRPr="00961AA3">
        <w:rPr>
          <w:rStyle w:val="FootnoteReference"/>
          <w:rFonts w:ascii="Garamond" w:hAnsi="Garamond"/>
          <w:bCs/>
        </w:rPr>
        <w:footnoteReference w:id="125"/>
      </w:r>
      <w:r w:rsidRPr="00961AA3">
        <w:rPr>
          <w:rFonts w:ascii="Garamond" w:hAnsi="Garamond"/>
        </w:rPr>
        <w:t xml:space="preserve"> </w:t>
      </w:r>
      <w:r w:rsidRPr="00961AA3">
        <w:rPr>
          <w:rFonts w:ascii="Garamond" w:hAnsi="Garamond"/>
          <w:bCs/>
        </w:rPr>
        <w:t>Access to, use of, and control over land and related natural resources are necessary conditions for the realization of human rights for the people living off these resources, including the right to food and nutrition, the right to water and sanitation, the right to health, the right to housing, the right to work, the right not to be deprived of one’s means of subsistence, and the right to take part in cultural life.</w:t>
      </w:r>
      <w:r w:rsidRPr="00961AA3">
        <w:rPr>
          <w:rStyle w:val="FootnoteReference"/>
          <w:rFonts w:ascii="Garamond" w:hAnsi="Garamond"/>
          <w:bCs/>
        </w:rPr>
        <w:footnoteReference w:id="126"/>
      </w:r>
      <w:r w:rsidRPr="00961AA3">
        <w:rPr>
          <w:rFonts w:ascii="Garamond" w:hAnsi="Garamond"/>
        </w:rPr>
        <w:t xml:space="preserve"> Tanzanian Maasai Edward </w:t>
      </w:r>
      <w:proofErr w:type="spellStart"/>
      <w:r w:rsidRPr="00961AA3">
        <w:rPr>
          <w:rFonts w:ascii="Garamond" w:hAnsi="Garamond"/>
        </w:rPr>
        <w:t>Loure</w:t>
      </w:r>
      <w:proofErr w:type="spellEnd"/>
      <w:r w:rsidRPr="00961AA3">
        <w:rPr>
          <w:rFonts w:ascii="Garamond" w:hAnsi="Garamond"/>
        </w:rPr>
        <w:t xml:space="preserve"> said that, “without food, there is no life. . . .We have to secure land for our livestock. Once a cow has a great pasture, it will be a healthy cow, and the healthy cow results in healthy human beings, because we are able to get products from our cows. We get meat, we get milk, and from there we have a complete human.”</w:t>
      </w:r>
      <w:r w:rsidRPr="00961AA3">
        <w:rPr>
          <w:rStyle w:val="FootnoteReference"/>
          <w:rFonts w:ascii="Garamond" w:hAnsi="Garamond"/>
        </w:rPr>
        <w:footnoteReference w:id="127"/>
      </w:r>
      <w:r w:rsidRPr="00961AA3">
        <w:rPr>
          <w:rFonts w:ascii="Garamond" w:hAnsi="Garamond"/>
        </w:rPr>
        <w:t xml:space="preserve">  </w:t>
      </w:r>
      <w:r w:rsidRPr="00961AA3">
        <w:rPr>
          <w:rFonts w:ascii="Garamond" w:hAnsi="Garamond"/>
          <w:bCs/>
        </w:rPr>
        <w:t xml:space="preserve">When corporations and industry move into their lands, </w:t>
      </w:r>
      <w:r w:rsidR="00ED12F3">
        <w:rPr>
          <w:rFonts w:ascii="Garamond" w:hAnsi="Garamond"/>
          <w:bCs/>
        </w:rPr>
        <w:t>I</w:t>
      </w:r>
      <w:r w:rsidRPr="00961AA3">
        <w:rPr>
          <w:rFonts w:ascii="Garamond" w:hAnsi="Garamond"/>
          <w:bCs/>
        </w:rPr>
        <w:t xml:space="preserve">ndigenous </w:t>
      </w:r>
      <w:proofErr w:type="gramStart"/>
      <w:r w:rsidRPr="00961AA3">
        <w:rPr>
          <w:rFonts w:ascii="Garamond" w:hAnsi="Garamond"/>
          <w:bCs/>
        </w:rPr>
        <w:t>communities</w:t>
      </w:r>
      <w:proofErr w:type="gramEnd"/>
      <w:r w:rsidRPr="00961AA3">
        <w:rPr>
          <w:rFonts w:ascii="Garamond" w:hAnsi="Garamond"/>
          <w:bCs/>
        </w:rPr>
        <w:t xml:space="preserve"> and the resources that they maintain, and on which they depend, are threatened.</w:t>
      </w:r>
      <w:r w:rsidRPr="00961AA3">
        <w:rPr>
          <w:rStyle w:val="FootnoteReference"/>
          <w:rFonts w:ascii="Garamond" w:hAnsi="Garamond"/>
          <w:bCs/>
        </w:rPr>
        <w:footnoteReference w:id="128"/>
      </w:r>
    </w:p>
    <w:p w14:paraId="78544066" w14:textId="77777777" w:rsidR="008C7D12" w:rsidRPr="00ED125B" w:rsidRDefault="008C7D12" w:rsidP="008C7D12">
      <w:pPr>
        <w:ind w:left="720"/>
        <w:jc w:val="both"/>
        <w:rPr>
          <w:rFonts w:ascii="Garamond" w:hAnsi="Garamond"/>
          <w:b/>
        </w:rPr>
      </w:pPr>
    </w:p>
    <w:p w14:paraId="53378C2E" w14:textId="77777777" w:rsidR="008C7D12" w:rsidRPr="00085DC4" w:rsidRDefault="008C7D12" w:rsidP="008C7D12">
      <w:pPr>
        <w:numPr>
          <w:ilvl w:val="1"/>
          <w:numId w:val="1"/>
        </w:numPr>
        <w:ind w:left="720"/>
        <w:jc w:val="both"/>
        <w:rPr>
          <w:rFonts w:ascii="Garamond" w:hAnsi="Garamond"/>
          <w:b/>
        </w:rPr>
      </w:pPr>
      <w:r w:rsidRPr="00961AA3">
        <w:rPr>
          <w:rFonts w:ascii="Garamond" w:hAnsi="Garamond"/>
          <w:bCs/>
        </w:rPr>
        <w:t>Recently, the Biden Administration proposed a twenty-year ban on new oil and gas drilling on federal lands within ten miles of Chaco Canyon, one of the oldest and most culturally important native sites in the U.S.</w:t>
      </w:r>
      <w:r w:rsidRPr="00961AA3">
        <w:rPr>
          <w:rStyle w:val="FootnoteReference"/>
          <w:rFonts w:ascii="Garamond" w:hAnsi="Garamond"/>
          <w:bCs/>
        </w:rPr>
        <w:footnoteReference w:id="129"/>
      </w:r>
      <w:r w:rsidRPr="00961AA3">
        <w:rPr>
          <w:rFonts w:ascii="Garamond" w:hAnsi="Garamond"/>
          <w:bCs/>
        </w:rPr>
        <w:t xml:space="preserve"> This proposed ban would keep the oil and gas industry from further encroaching on Indigenous land.</w:t>
      </w:r>
      <w:r w:rsidRPr="00961AA3">
        <w:rPr>
          <w:rStyle w:val="FootnoteReference"/>
          <w:rFonts w:ascii="Garamond" w:hAnsi="Garamond"/>
          <w:bCs/>
        </w:rPr>
        <w:footnoteReference w:id="130"/>
      </w:r>
      <w:r w:rsidRPr="00961AA3">
        <w:rPr>
          <w:rFonts w:ascii="Garamond" w:hAnsi="Garamond"/>
          <w:bCs/>
        </w:rPr>
        <w:t xml:space="preserve"> While these are positive and powerful commitments and proposals, policy changes in light of the right to food framework is essential to supporting tribal self-determination, respecting tribal sovereignty, and providing the resources necessary for cultural survival and economic development.</w:t>
      </w:r>
    </w:p>
    <w:p w14:paraId="0B3EF326" w14:textId="77777777" w:rsidR="008C7D12" w:rsidRPr="007E6E07" w:rsidRDefault="008C7D12" w:rsidP="00E21BF5">
      <w:pPr>
        <w:ind w:left="720"/>
        <w:jc w:val="both"/>
        <w:rPr>
          <w:rFonts w:ascii="Garamond" w:eastAsia="Times New Roman" w:hAnsi="Garamond" w:cs="Times New Roman"/>
          <w:b/>
          <w:color w:val="000000"/>
        </w:rPr>
      </w:pPr>
    </w:p>
    <w:p w14:paraId="44745FAB" w14:textId="63D67FB5" w:rsidR="00111462" w:rsidRDefault="00E21BF5" w:rsidP="00177D54">
      <w:pPr>
        <w:pStyle w:val="ListParagraph"/>
        <w:numPr>
          <w:ilvl w:val="0"/>
          <w:numId w:val="1"/>
        </w:numPr>
        <w:ind w:left="1080" w:right="360"/>
        <w:jc w:val="both"/>
        <w:rPr>
          <w:rFonts w:ascii="Garamond" w:hAnsi="Garamond"/>
          <w:b/>
        </w:rPr>
      </w:pPr>
      <w:r w:rsidRPr="007E6E07">
        <w:rPr>
          <w:rFonts w:ascii="Garamond" w:hAnsi="Garamond"/>
          <w:b/>
        </w:rPr>
        <w:t>Environmental Racism is at the Root of Right to Food Violations in the U.S.</w:t>
      </w:r>
    </w:p>
    <w:p w14:paraId="36EE2D9A" w14:textId="77777777" w:rsidR="008401D2" w:rsidRPr="007E6E07" w:rsidRDefault="008401D2" w:rsidP="008401D2">
      <w:pPr>
        <w:pStyle w:val="ListParagraph"/>
        <w:ind w:left="360" w:right="360"/>
        <w:jc w:val="both"/>
        <w:rPr>
          <w:rFonts w:ascii="Garamond" w:hAnsi="Garamond"/>
          <w:b/>
        </w:rPr>
      </w:pPr>
    </w:p>
    <w:p w14:paraId="0BD253E8" w14:textId="298879B7" w:rsidR="00E21BF5" w:rsidRPr="007E6E07" w:rsidRDefault="00E21BF5" w:rsidP="00E21BF5">
      <w:pPr>
        <w:pStyle w:val="ListParagraph"/>
        <w:numPr>
          <w:ilvl w:val="0"/>
          <w:numId w:val="14"/>
        </w:numPr>
        <w:ind w:right="360"/>
        <w:jc w:val="both"/>
        <w:rPr>
          <w:rFonts w:ascii="Garamond" w:hAnsi="Garamond"/>
          <w:b/>
        </w:rPr>
      </w:pPr>
      <w:r w:rsidRPr="007E6E07">
        <w:rPr>
          <w:rFonts w:ascii="Garamond" w:hAnsi="Garamond"/>
          <w:b/>
        </w:rPr>
        <w:t>Introduction</w:t>
      </w:r>
    </w:p>
    <w:p w14:paraId="31B4B15A" w14:textId="31085340" w:rsidR="00E21BF5" w:rsidRDefault="00E21BF5" w:rsidP="00F305A1">
      <w:pPr>
        <w:pStyle w:val="ListParagraph"/>
        <w:numPr>
          <w:ilvl w:val="0"/>
          <w:numId w:val="16"/>
        </w:numPr>
        <w:jc w:val="both"/>
        <w:rPr>
          <w:rFonts w:ascii="Garamond" w:hAnsi="Garamond"/>
        </w:rPr>
      </w:pPr>
      <w:r w:rsidRPr="007E6E07">
        <w:rPr>
          <w:rFonts w:ascii="Garamond" w:hAnsi="Garamond"/>
        </w:rPr>
        <w:t>The corporate food system is implicated in the global climate crisis</w:t>
      </w:r>
      <w:r w:rsidR="00A86B8B">
        <w:rPr>
          <w:rFonts w:ascii="Garamond" w:hAnsi="Garamond"/>
        </w:rPr>
        <w:t>,</w:t>
      </w:r>
      <w:r w:rsidRPr="007E6E07">
        <w:rPr>
          <w:rFonts w:ascii="Garamond" w:hAnsi="Garamond"/>
        </w:rPr>
        <w:t xml:space="preserve"> </w:t>
      </w:r>
      <w:r w:rsidR="00A86B8B" w:rsidRPr="00961AA3">
        <w:rPr>
          <w:rFonts w:ascii="Garamond" w:hAnsi="Garamond"/>
        </w:rPr>
        <w:t xml:space="preserve">with severe repercussions for the right to food of BIPOC communities in the U.S. U.S. policies have created a global climate crisis </w:t>
      </w:r>
      <w:r w:rsidRPr="007E6E07">
        <w:rPr>
          <w:rFonts w:ascii="Garamond" w:hAnsi="Garamond"/>
        </w:rPr>
        <w:t>by producing more non-food crops than food crops and using highly mechanized mono-cropping practices that result in the loss of nutrients in the soil.</w:t>
      </w:r>
      <w:r w:rsidR="002134AA">
        <w:rPr>
          <w:rStyle w:val="FootnoteReference"/>
          <w:rFonts w:ascii="Garamond" w:hAnsi="Garamond"/>
        </w:rPr>
        <w:footnoteReference w:id="131"/>
      </w:r>
      <w:r w:rsidRPr="007E6E07">
        <w:rPr>
          <w:rFonts w:ascii="Garamond" w:hAnsi="Garamond"/>
        </w:rPr>
        <w:t xml:space="preserve"> Discriminatory</w:t>
      </w:r>
      <w:r w:rsidRPr="00961AA3">
        <w:rPr>
          <w:rFonts w:ascii="Garamond" w:hAnsi="Garamond"/>
        </w:rPr>
        <w:t xml:space="preserve"> land-use laws, environmental racism, and the historical dispossession of natural resources and knowledge, together with a corporate food system that fails BIPOC communities, have left these communities more exposed to climate risks.</w:t>
      </w:r>
      <w:r w:rsidR="002134AA">
        <w:rPr>
          <w:rStyle w:val="FootnoteReference"/>
          <w:rFonts w:ascii="Garamond" w:hAnsi="Garamond"/>
        </w:rPr>
        <w:footnoteReference w:id="132"/>
      </w:r>
      <w:r w:rsidRPr="00961AA3">
        <w:rPr>
          <w:rFonts w:ascii="Garamond" w:hAnsi="Garamond"/>
        </w:rPr>
        <w:t xml:space="preserve"> </w:t>
      </w:r>
    </w:p>
    <w:p w14:paraId="4FF2F5EF" w14:textId="77777777" w:rsidR="00E21BF5" w:rsidRDefault="00E21BF5" w:rsidP="00F305A1">
      <w:pPr>
        <w:pStyle w:val="ListParagraph"/>
        <w:jc w:val="both"/>
        <w:rPr>
          <w:rFonts w:ascii="Garamond" w:hAnsi="Garamond"/>
        </w:rPr>
      </w:pPr>
    </w:p>
    <w:p w14:paraId="46932AF6" w14:textId="60D48170" w:rsidR="00E21BF5" w:rsidRDefault="00E21BF5" w:rsidP="00F305A1">
      <w:pPr>
        <w:pStyle w:val="ListParagraph"/>
        <w:numPr>
          <w:ilvl w:val="0"/>
          <w:numId w:val="16"/>
        </w:numPr>
        <w:jc w:val="both"/>
        <w:rPr>
          <w:rFonts w:ascii="Garamond" w:hAnsi="Garamond"/>
        </w:rPr>
      </w:pPr>
      <w:r w:rsidRPr="00E21BF5">
        <w:rPr>
          <w:rFonts w:ascii="Garamond" w:hAnsi="Garamond"/>
        </w:rPr>
        <w:t>Indigenous Peoples are among the first to face the direct consequences of the climate crisis due to their dependence upon, and close relationship with, the environment and its resources.</w:t>
      </w:r>
      <w:r w:rsidRPr="00516A0D">
        <w:rPr>
          <w:rFonts w:ascii="Garamond" w:hAnsi="Garamond"/>
          <w:vertAlign w:val="superscript"/>
        </w:rPr>
        <w:footnoteReference w:id="133"/>
      </w:r>
      <w:r w:rsidRPr="00B50DB0">
        <w:rPr>
          <w:rFonts w:ascii="Garamond" w:hAnsi="Garamond"/>
        </w:rPr>
        <w:t> </w:t>
      </w:r>
      <w:r w:rsidRPr="00E21BF5">
        <w:rPr>
          <w:rFonts w:ascii="Garamond" w:hAnsi="Garamond"/>
        </w:rPr>
        <w:t>At the same time, they are rarely considered when new climate policies are being drafted. As a result, many Indigenous Peoples in the U.S. no longer feel a dependence on or connection to the land.</w:t>
      </w:r>
      <w:r>
        <w:rPr>
          <w:rStyle w:val="FootnoteReference"/>
          <w:rFonts w:ascii="Garamond" w:hAnsi="Garamond"/>
        </w:rPr>
        <w:footnoteReference w:id="134"/>
      </w:r>
      <w:r w:rsidRPr="00E21BF5">
        <w:rPr>
          <w:rFonts w:ascii="Garamond" w:hAnsi="Garamond"/>
        </w:rPr>
        <w:t xml:space="preserve">Political </w:t>
      </w:r>
      <w:r w:rsidRPr="00E21BF5">
        <w:rPr>
          <w:rFonts w:ascii="Garamond" w:hAnsi="Garamond"/>
        </w:rPr>
        <w:lastRenderedPageBreak/>
        <w:t>and economic marginalization of Indigenous Peoples results in their loss of land and resources and related human rights violations.</w:t>
      </w:r>
      <w:r w:rsidRPr="00516A0D">
        <w:rPr>
          <w:rFonts w:ascii="Garamond" w:hAnsi="Garamond"/>
          <w:vertAlign w:val="superscript"/>
        </w:rPr>
        <w:footnoteReference w:id="135"/>
      </w:r>
      <w:r w:rsidRPr="00E21BF5">
        <w:rPr>
          <w:rFonts w:ascii="Garamond" w:hAnsi="Garamond"/>
        </w:rPr>
        <w:t xml:space="preserve"> This loss of land and resources violates Indigenous Peoples’ right to food because their methods of farming, growing, producing, and consuming food are negatively impacted. Further, Indigenous communities have several agroecological methods that are important for climate resiliency and can </w:t>
      </w:r>
      <w:proofErr w:type="gramStart"/>
      <w:r w:rsidRPr="00E21BF5">
        <w:rPr>
          <w:rFonts w:ascii="Garamond" w:hAnsi="Garamond"/>
        </w:rPr>
        <w:t>actually help</w:t>
      </w:r>
      <w:proofErr w:type="gramEnd"/>
      <w:r w:rsidRPr="00E21BF5">
        <w:rPr>
          <w:rFonts w:ascii="Garamond" w:hAnsi="Garamond"/>
        </w:rPr>
        <w:t xml:space="preserve"> combat the negative impacts of the climate crisis</w:t>
      </w:r>
      <w:r w:rsidR="00B50DB0">
        <w:rPr>
          <w:rFonts w:ascii="Garamond" w:hAnsi="Garamond"/>
        </w:rPr>
        <w:t>,</w:t>
      </w:r>
      <w:r>
        <w:rPr>
          <w:rStyle w:val="FootnoteReference"/>
          <w:rFonts w:ascii="Garamond" w:hAnsi="Garamond"/>
        </w:rPr>
        <w:footnoteReference w:id="136"/>
      </w:r>
      <w:r w:rsidR="00B50DB0">
        <w:rPr>
          <w:rFonts w:ascii="Garamond" w:hAnsi="Garamond"/>
        </w:rPr>
        <w:t xml:space="preserve"> yet are not considered because Indigenous Peoples are often left out of decision-making processes.</w:t>
      </w:r>
      <w:r w:rsidRPr="00E21BF5">
        <w:rPr>
          <w:rFonts w:ascii="Garamond" w:hAnsi="Garamond"/>
        </w:rPr>
        <w:t xml:space="preserve"> </w:t>
      </w:r>
    </w:p>
    <w:p w14:paraId="27A1A8AD" w14:textId="77777777" w:rsidR="00E21BF5" w:rsidRPr="00E21BF5" w:rsidRDefault="00E21BF5" w:rsidP="00F305A1">
      <w:pPr>
        <w:jc w:val="both"/>
        <w:rPr>
          <w:rFonts w:ascii="Garamond" w:hAnsi="Garamond"/>
        </w:rPr>
      </w:pPr>
    </w:p>
    <w:p w14:paraId="6D4E3DD9" w14:textId="250E5808" w:rsidR="00E21BF5" w:rsidRDefault="00E21BF5" w:rsidP="00F305A1">
      <w:pPr>
        <w:pStyle w:val="ListParagraph"/>
        <w:numPr>
          <w:ilvl w:val="0"/>
          <w:numId w:val="16"/>
        </w:numPr>
        <w:jc w:val="both"/>
        <w:rPr>
          <w:rFonts w:ascii="Garamond" w:hAnsi="Garamond"/>
        </w:rPr>
      </w:pPr>
      <w:r w:rsidRPr="00E21BF5">
        <w:rPr>
          <w:rFonts w:ascii="Garamond" w:hAnsi="Garamond"/>
        </w:rPr>
        <w:t xml:space="preserve">As the planet warms and crop failure becomes more frequent, the supply of food will decrease, leading to increased demand for food, and </w:t>
      </w:r>
      <w:r w:rsidR="00B80FC7">
        <w:rPr>
          <w:rFonts w:ascii="Garamond" w:hAnsi="Garamond"/>
        </w:rPr>
        <w:t>exacerbating existing</w:t>
      </w:r>
      <w:r w:rsidRPr="00E21BF5">
        <w:rPr>
          <w:rFonts w:ascii="Garamond" w:hAnsi="Garamond"/>
        </w:rPr>
        <w:t xml:space="preserve"> food apartheid or food deserts. The United States Department of Agriculture (USDA) defines </w:t>
      </w:r>
      <w:r w:rsidRPr="00E21BF5">
        <w:rPr>
          <w:rFonts w:ascii="Garamond" w:hAnsi="Garamond"/>
          <w:highlight w:val="white"/>
        </w:rPr>
        <w:t>a food desert census tract as a low-income tract where a substantial number or substantial share of residents does not have easy</w:t>
      </w:r>
      <w:r w:rsidRPr="00E21BF5">
        <w:rPr>
          <w:rFonts w:ascii="Garamond" w:hAnsi="Garamond"/>
          <w:i/>
          <w:highlight w:val="white"/>
        </w:rPr>
        <w:t xml:space="preserve"> access</w:t>
      </w:r>
      <w:r w:rsidRPr="00E21BF5">
        <w:rPr>
          <w:rFonts w:ascii="Garamond" w:hAnsi="Garamond"/>
          <w:highlight w:val="white"/>
        </w:rPr>
        <w:t xml:space="preserve"> to a supermarket or large grocery store.</w:t>
      </w:r>
      <w:r w:rsidRPr="00516A0D">
        <w:rPr>
          <w:rFonts w:ascii="Garamond" w:hAnsi="Garamond"/>
          <w:vertAlign w:val="superscript"/>
        </w:rPr>
        <w:footnoteReference w:id="137"/>
      </w:r>
      <w:r w:rsidRPr="00E21BF5">
        <w:rPr>
          <w:rFonts w:ascii="Garamond" w:hAnsi="Garamond"/>
        </w:rPr>
        <w:t xml:space="preserve"> Further, food apartheid, which predominately impacts BIPOC communities, lack physically accessible healthy food in the few grocery stores that they do have in their communities.</w:t>
      </w:r>
      <w:r w:rsidR="00FD10C1">
        <w:rPr>
          <w:rStyle w:val="FootnoteReference"/>
          <w:rFonts w:ascii="Garamond" w:hAnsi="Garamond"/>
        </w:rPr>
        <w:footnoteReference w:id="138"/>
      </w:r>
    </w:p>
    <w:p w14:paraId="4076CA23" w14:textId="77777777" w:rsidR="00E21BF5" w:rsidRPr="00E21BF5" w:rsidRDefault="00E21BF5" w:rsidP="00F305A1">
      <w:pPr>
        <w:jc w:val="both"/>
        <w:rPr>
          <w:rFonts w:ascii="Garamond" w:hAnsi="Garamond"/>
        </w:rPr>
      </w:pPr>
    </w:p>
    <w:p w14:paraId="5B5C955B" w14:textId="71020759" w:rsidR="00E21BF5" w:rsidRDefault="00E21BF5" w:rsidP="00F305A1">
      <w:pPr>
        <w:pStyle w:val="ListParagraph"/>
        <w:numPr>
          <w:ilvl w:val="0"/>
          <w:numId w:val="16"/>
        </w:numPr>
        <w:jc w:val="both"/>
        <w:rPr>
          <w:rFonts w:ascii="Garamond" w:hAnsi="Garamond"/>
        </w:rPr>
      </w:pPr>
      <w:r w:rsidRPr="00E21BF5">
        <w:rPr>
          <w:rFonts w:ascii="Garamond" w:hAnsi="Garamond"/>
        </w:rPr>
        <w:t xml:space="preserve">BIPOC communities are more likely to be located near large polluting industries such as waste dumps and industrial livestock operations. The pollution from the dumps and confinement animal operations hinders communities from acquiring adequate farming resources and contaminates the water supply, which places already vulnerable communities at extreme risk for poor health, </w:t>
      </w:r>
      <w:r w:rsidR="00B80FC7">
        <w:rPr>
          <w:rFonts w:ascii="Garamond" w:hAnsi="Garamond"/>
        </w:rPr>
        <w:t xml:space="preserve">and </w:t>
      </w:r>
      <w:r w:rsidRPr="00E21BF5">
        <w:rPr>
          <w:rFonts w:ascii="Garamond" w:hAnsi="Garamond"/>
        </w:rPr>
        <w:t xml:space="preserve">housing and food </w:t>
      </w:r>
      <w:r w:rsidR="00B80FC7">
        <w:rPr>
          <w:rFonts w:ascii="Garamond" w:hAnsi="Garamond"/>
        </w:rPr>
        <w:t>in</w:t>
      </w:r>
      <w:r w:rsidRPr="00E21BF5">
        <w:rPr>
          <w:rFonts w:ascii="Garamond" w:hAnsi="Garamond"/>
        </w:rPr>
        <w:t>security.</w:t>
      </w:r>
      <w:r w:rsidRPr="00516A0D">
        <w:rPr>
          <w:rFonts w:ascii="Garamond" w:hAnsi="Garamond"/>
          <w:vertAlign w:val="superscript"/>
        </w:rPr>
        <w:footnoteReference w:id="139"/>
      </w:r>
    </w:p>
    <w:p w14:paraId="1A8651DF" w14:textId="77777777" w:rsidR="00E21BF5" w:rsidRPr="00E21BF5" w:rsidRDefault="00E21BF5" w:rsidP="00E21BF5">
      <w:pPr>
        <w:pStyle w:val="ListParagraph"/>
        <w:rPr>
          <w:rFonts w:ascii="Garamond" w:hAnsi="Garamond"/>
        </w:rPr>
      </w:pPr>
    </w:p>
    <w:p w14:paraId="5CF01F96" w14:textId="77777777" w:rsidR="00E21BF5" w:rsidRPr="007E6E07" w:rsidRDefault="00E21BF5" w:rsidP="00E21BF5">
      <w:pPr>
        <w:pStyle w:val="ListParagraph"/>
        <w:numPr>
          <w:ilvl w:val="0"/>
          <w:numId w:val="14"/>
        </w:numPr>
        <w:jc w:val="both"/>
        <w:rPr>
          <w:rFonts w:ascii="Garamond" w:hAnsi="Garamond"/>
          <w:b/>
          <w:bCs/>
        </w:rPr>
      </w:pPr>
      <w:r w:rsidRPr="007E6E07">
        <w:rPr>
          <w:rFonts w:ascii="Garamond" w:hAnsi="Garamond"/>
          <w:b/>
          <w:bCs/>
        </w:rPr>
        <w:t>The Climate Crisis Impacts Farming, Farmers, and Agricultural Workers</w:t>
      </w:r>
    </w:p>
    <w:p w14:paraId="7EBDEF59" w14:textId="01D57064" w:rsidR="00E21BF5" w:rsidRDefault="00E21BF5" w:rsidP="00F305A1">
      <w:pPr>
        <w:pStyle w:val="ListParagraph"/>
        <w:numPr>
          <w:ilvl w:val="0"/>
          <w:numId w:val="20"/>
        </w:numPr>
        <w:pBdr>
          <w:top w:val="nil"/>
          <w:left w:val="nil"/>
          <w:bottom w:val="nil"/>
          <w:right w:val="nil"/>
          <w:between w:val="nil"/>
        </w:pBdr>
        <w:jc w:val="both"/>
        <w:rPr>
          <w:rFonts w:ascii="Garamond" w:hAnsi="Garamond"/>
        </w:rPr>
      </w:pPr>
      <w:r w:rsidRPr="00961AA3">
        <w:rPr>
          <w:rFonts w:ascii="Garamond" w:hAnsi="Garamond"/>
          <w:bCs/>
        </w:rPr>
        <w:t xml:space="preserve">Extreme weather disasters and increased temperatures have directly impacted agricultural productivity and agricultural workers’ health in BIPOC communities. While BIPOC own and operate less than </w:t>
      </w:r>
      <w:r w:rsidR="00C333C7">
        <w:rPr>
          <w:rFonts w:ascii="Garamond" w:hAnsi="Garamond"/>
          <w:bCs/>
        </w:rPr>
        <w:t>5%</w:t>
      </w:r>
      <w:r w:rsidR="00B80FC7">
        <w:rPr>
          <w:rFonts w:ascii="Garamond" w:hAnsi="Garamond"/>
          <w:bCs/>
        </w:rPr>
        <w:t xml:space="preserve"> </w:t>
      </w:r>
      <w:r w:rsidRPr="00961AA3">
        <w:rPr>
          <w:rFonts w:ascii="Garamond" w:hAnsi="Garamond"/>
          <w:bCs/>
        </w:rPr>
        <w:t>of the nation’s farms, the majority of the 2.4 million agricultural workers in the U</w:t>
      </w:r>
      <w:r w:rsidR="00B80FC7">
        <w:rPr>
          <w:rFonts w:ascii="Garamond" w:hAnsi="Garamond"/>
          <w:bCs/>
        </w:rPr>
        <w:t>.</w:t>
      </w:r>
      <w:r w:rsidRPr="00961AA3">
        <w:rPr>
          <w:rFonts w:ascii="Garamond" w:hAnsi="Garamond"/>
          <w:bCs/>
        </w:rPr>
        <w:t>S</w:t>
      </w:r>
      <w:r w:rsidR="00B80FC7">
        <w:rPr>
          <w:rFonts w:ascii="Garamond" w:hAnsi="Garamond"/>
          <w:bCs/>
        </w:rPr>
        <w:t>.</w:t>
      </w:r>
      <w:r w:rsidRPr="00961AA3">
        <w:rPr>
          <w:rFonts w:ascii="Garamond" w:hAnsi="Garamond"/>
          <w:bCs/>
        </w:rPr>
        <w:t xml:space="preserve"> are BIPOC that do not own or operate their own farms.</w:t>
      </w:r>
      <w:r w:rsidRPr="00961AA3">
        <w:rPr>
          <w:rStyle w:val="FootnoteReference"/>
          <w:rFonts w:ascii="Garamond" w:hAnsi="Garamond"/>
          <w:bCs/>
        </w:rPr>
        <w:footnoteReference w:id="140"/>
      </w:r>
      <w:r w:rsidRPr="00961AA3">
        <w:rPr>
          <w:rFonts w:ascii="Garamond" w:hAnsi="Garamond"/>
          <w:bCs/>
        </w:rPr>
        <w:t xml:space="preserve"> </w:t>
      </w:r>
      <w:r w:rsidRPr="00961AA3">
        <w:rPr>
          <w:rFonts w:ascii="Garamond" w:hAnsi="Garamond"/>
        </w:rPr>
        <w:t xml:space="preserve"> Increases in temperature </w:t>
      </w:r>
      <w:r w:rsidR="009327ED">
        <w:rPr>
          <w:rFonts w:ascii="Garamond" w:hAnsi="Garamond"/>
        </w:rPr>
        <w:t xml:space="preserve">and </w:t>
      </w:r>
      <w:r w:rsidR="009327ED" w:rsidRPr="00961AA3">
        <w:rPr>
          <w:rFonts w:ascii="Garamond" w:hAnsi="Garamond"/>
        </w:rPr>
        <w:t xml:space="preserve">precipitation patterns </w:t>
      </w:r>
      <w:proofErr w:type="gramStart"/>
      <w:r w:rsidR="009327ED" w:rsidRPr="00961AA3">
        <w:rPr>
          <w:rFonts w:ascii="Garamond" w:hAnsi="Garamond"/>
        </w:rPr>
        <w:t>in a given</w:t>
      </w:r>
      <w:proofErr w:type="gramEnd"/>
      <w:r w:rsidR="009327ED" w:rsidRPr="00961AA3">
        <w:rPr>
          <w:rFonts w:ascii="Garamond" w:hAnsi="Garamond"/>
        </w:rPr>
        <w:t xml:space="preserve"> region</w:t>
      </w:r>
      <w:r w:rsidR="009327ED" w:rsidRPr="00961AA3" w:rsidDel="009327ED">
        <w:rPr>
          <w:rFonts w:ascii="Garamond" w:hAnsi="Garamond"/>
        </w:rPr>
        <w:t xml:space="preserve"> </w:t>
      </w:r>
      <w:r w:rsidR="009327ED">
        <w:rPr>
          <w:rFonts w:ascii="Garamond" w:hAnsi="Garamond"/>
        </w:rPr>
        <w:t>impact</w:t>
      </w:r>
      <w:r w:rsidR="009327ED" w:rsidRPr="00961AA3">
        <w:rPr>
          <w:rFonts w:ascii="Garamond" w:hAnsi="Garamond"/>
        </w:rPr>
        <w:t xml:space="preserve"> </w:t>
      </w:r>
      <w:r w:rsidRPr="00961AA3">
        <w:rPr>
          <w:rFonts w:ascii="Garamond" w:hAnsi="Garamond"/>
        </w:rPr>
        <w:t>the amount of time individuals can spend farming. Higher temperatures increase agricultural workers’ risk of heat exhaustion, heat stroke, and dehydration.</w:t>
      </w:r>
      <w:r w:rsidR="00FD10C1">
        <w:rPr>
          <w:rStyle w:val="FootnoteReference"/>
          <w:rFonts w:ascii="Garamond" w:hAnsi="Garamond"/>
        </w:rPr>
        <w:footnoteReference w:id="141"/>
      </w:r>
      <w:r w:rsidRPr="00961AA3">
        <w:rPr>
          <w:rFonts w:ascii="Garamond" w:hAnsi="Garamond"/>
        </w:rPr>
        <w:t xml:space="preserve"> This increase in heat-related diseases and illnesses increases the risk of occupational accidents as workers are more likely to feel weak or lose consciousness </w:t>
      </w:r>
      <w:proofErr w:type="gramStart"/>
      <w:r w:rsidRPr="00961AA3">
        <w:rPr>
          <w:rFonts w:ascii="Garamond" w:hAnsi="Garamond"/>
        </w:rPr>
        <w:t>as a result of</w:t>
      </w:r>
      <w:proofErr w:type="gramEnd"/>
      <w:r w:rsidRPr="00961AA3">
        <w:rPr>
          <w:rFonts w:ascii="Garamond" w:hAnsi="Garamond"/>
        </w:rPr>
        <w:t xml:space="preserve"> the heat.</w:t>
      </w:r>
      <w:r w:rsidR="00FD10C1">
        <w:rPr>
          <w:rStyle w:val="FootnoteReference"/>
          <w:rFonts w:ascii="Garamond" w:hAnsi="Garamond"/>
        </w:rPr>
        <w:footnoteReference w:id="142"/>
      </w:r>
      <w:r w:rsidRPr="00961AA3">
        <w:rPr>
          <w:rFonts w:ascii="Garamond" w:hAnsi="Garamond"/>
        </w:rPr>
        <w:t xml:space="preserve"> </w:t>
      </w:r>
    </w:p>
    <w:p w14:paraId="22E83250" w14:textId="77777777" w:rsidR="007E6E07" w:rsidRPr="00961AA3" w:rsidRDefault="007E6E07" w:rsidP="00F305A1">
      <w:pPr>
        <w:pStyle w:val="ListParagraph"/>
        <w:pBdr>
          <w:top w:val="nil"/>
          <w:left w:val="nil"/>
          <w:bottom w:val="nil"/>
          <w:right w:val="nil"/>
          <w:between w:val="nil"/>
        </w:pBdr>
        <w:jc w:val="both"/>
        <w:rPr>
          <w:rFonts w:ascii="Garamond" w:hAnsi="Garamond"/>
        </w:rPr>
      </w:pPr>
    </w:p>
    <w:p w14:paraId="11B28A4B" w14:textId="41A5A580" w:rsidR="00F305A1" w:rsidRDefault="002F22A7" w:rsidP="00F305A1">
      <w:pPr>
        <w:pStyle w:val="ListParagraph"/>
        <w:numPr>
          <w:ilvl w:val="0"/>
          <w:numId w:val="20"/>
        </w:numPr>
        <w:pBdr>
          <w:top w:val="nil"/>
          <w:left w:val="nil"/>
          <w:bottom w:val="nil"/>
          <w:right w:val="nil"/>
          <w:between w:val="nil"/>
        </w:pBdr>
        <w:jc w:val="both"/>
        <w:rPr>
          <w:rFonts w:ascii="Garamond" w:hAnsi="Garamond"/>
        </w:rPr>
      </w:pPr>
      <w:r w:rsidRPr="00961AA3">
        <w:rPr>
          <w:rFonts w:ascii="Garamond" w:hAnsi="Garamond"/>
        </w:rPr>
        <w:t>Black farmers in the U.S. are disproportionately impacted by heat-related illnesses. According to a report done by the Census of Agriculture in 2017, 48,697 farmers identified as Black, accounting for 1.4</w:t>
      </w:r>
      <w:r w:rsidR="00C333C7">
        <w:rPr>
          <w:rFonts w:ascii="Garamond" w:hAnsi="Garamond"/>
        </w:rPr>
        <w:t>%</w:t>
      </w:r>
      <w:r w:rsidRPr="00961AA3">
        <w:rPr>
          <w:rFonts w:ascii="Garamond" w:hAnsi="Garamond"/>
        </w:rPr>
        <w:t xml:space="preserve"> of the country’s food producers.</w:t>
      </w:r>
      <w:r w:rsidR="00D94886">
        <w:rPr>
          <w:rStyle w:val="FootnoteReference"/>
          <w:rFonts w:ascii="Garamond" w:hAnsi="Garamond"/>
        </w:rPr>
        <w:footnoteReference w:id="143"/>
      </w:r>
      <w:r w:rsidRPr="00961AA3">
        <w:rPr>
          <w:rFonts w:ascii="Garamond" w:hAnsi="Garamond"/>
        </w:rPr>
        <w:t xml:space="preserve"> However, many of these Black farmers live primarily in southern and mid–Atlantic states, which experience higher increased temperatures than northern </w:t>
      </w:r>
      <w:r w:rsidRPr="00961AA3">
        <w:rPr>
          <w:rFonts w:ascii="Garamond" w:hAnsi="Garamond"/>
        </w:rPr>
        <w:lastRenderedPageBreak/>
        <w:t>states, given their already warmer temperatures due to geographic location.</w:t>
      </w:r>
      <w:r w:rsidRPr="00961AA3">
        <w:rPr>
          <w:rFonts w:ascii="Garamond" w:hAnsi="Garamond"/>
          <w:vertAlign w:val="superscript"/>
        </w:rPr>
        <w:footnoteReference w:id="144"/>
      </w:r>
      <w:r w:rsidRPr="00961AA3">
        <w:rPr>
          <w:rFonts w:ascii="Garamond" w:hAnsi="Garamond"/>
        </w:rPr>
        <w:t xml:space="preserve"> In the 2017 report, the Census of Agriculture found that only 3 counties in all of the United States had over 300 Black-operated farms, two of which are in Texas and one in Florida.</w:t>
      </w:r>
      <w:r w:rsidRPr="00961AA3">
        <w:rPr>
          <w:rFonts w:ascii="Garamond" w:hAnsi="Garamond"/>
          <w:vertAlign w:val="superscript"/>
        </w:rPr>
        <w:footnoteReference w:id="145"/>
      </w:r>
      <w:r w:rsidRPr="00961AA3">
        <w:rPr>
          <w:rFonts w:ascii="Garamond" w:hAnsi="Garamond"/>
        </w:rPr>
        <w:t xml:space="preserve"> A recent study found that Texas is expected to be 3 degrees warmer by 2036 than the average in the 1950’s.</w:t>
      </w:r>
      <w:r w:rsidRPr="00961AA3">
        <w:rPr>
          <w:rFonts w:ascii="Garamond" w:hAnsi="Garamond"/>
          <w:vertAlign w:val="superscript"/>
        </w:rPr>
        <w:footnoteReference w:id="146"/>
      </w:r>
      <w:r w:rsidRPr="00961AA3">
        <w:rPr>
          <w:rFonts w:ascii="Garamond" w:hAnsi="Garamond"/>
        </w:rPr>
        <w:t xml:space="preserve"> This is a dramatic temperature increase that will result in further intensified heat waves and disease. Recurrent dehydration can lead to heat-triggered chronic kidney disease, which is the leading cause of death from kidney disease in the world.</w:t>
      </w:r>
      <w:r w:rsidRPr="00961AA3">
        <w:rPr>
          <w:rStyle w:val="FootnoteReference"/>
          <w:rFonts w:ascii="Garamond" w:eastAsia="Arial" w:hAnsi="Garamond"/>
        </w:rPr>
        <w:footnoteReference w:id="147"/>
      </w:r>
      <w:r w:rsidRPr="00961AA3">
        <w:rPr>
          <w:rFonts w:ascii="Garamond" w:hAnsi="Garamond"/>
        </w:rPr>
        <w:t xml:space="preserve"> </w:t>
      </w:r>
      <w:r w:rsidRPr="00961AA3">
        <w:rPr>
          <w:rFonts w:ascii="Garamond" w:hAnsi="Garamond" w:cs="Open Sans"/>
          <w:color w:val="393D40"/>
          <w:shd w:val="clear" w:color="auto" w:fill="FFFFFF"/>
        </w:rPr>
        <w:t xml:space="preserve"> Kaiser Health News reported that “</w:t>
      </w:r>
      <w:r w:rsidRPr="00961AA3">
        <w:rPr>
          <w:rFonts w:ascii="Garamond" w:hAnsi="Garamond"/>
        </w:rPr>
        <w:t>from </w:t>
      </w:r>
      <w:hyperlink r:id="rId19" w:history="1">
        <w:r w:rsidRPr="00961AA3">
          <w:rPr>
            <w:rStyle w:val="Hyperlink"/>
            <w:rFonts w:ascii="Garamond" w:hAnsi="Garamond"/>
          </w:rPr>
          <w:t>2005 to 2015</w:t>
        </w:r>
      </w:hyperlink>
      <w:r w:rsidRPr="00961AA3">
        <w:rPr>
          <w:rFonts w:ascii="Garamond" w:hAnsi="Garamond"/>
        </w:rPr>
        <w:t>, the rates of emergency department visits for heat-related illnesses increased by 67% for African Americans, 63% for Hispanic people, 53% for Asian Americans, and 27% for White people.”</w:t>
      </w:r>
      <w:r w:rsidRPr="00961AA3">
        <w:rPr>
          <w:rStyle w:val="FootnoteReference"/>
          <w:rFonts w:ascii="Garamond" w:hAnsi="Garamond"/>
        </w:rPr>
        <w:footnoteReference w:id="148"/>
      </w:r>
    </w:p>
    <w:p w14:paraId="2A77214C" w14:textId="77777777" w:rsidR="00F305A1" w:rsidRDefault="00F305A1" w:rsidP="00F305A1">
      <w:pPr>
        <w:pStyle w:val="ListParagraph"/>
        <w:pBdr>
          <w:top w:val="nil"/>
          <w:left w:val="nil"/>
          <w:bottom w:val="nil"/>
          <w:right w:val="nil"/>
          <w:between w:val="nil"/>
        </w:pBdr>
        <w:jc w:val="both"/>
        <w:rPr>
          <w:rFonts w:ascii="Garamond" w:hAnsi="Garamond"/>
        </w:rPr>
      </w:pPr>
    </w:p>
    <w:p w14:paraId="506252ED" w14:textId="23254725" w:rsidR="002F22A7" w:rsidRPr="00F305A1" w:rsidRDefault="002F22A7" w:rsidP="00F305A1">
      <w:pPr>
        <w:pStyle w:val="ListParagraph"/>
        <w:numPr>
          <w:ilvl w:val="0"/>
          <w:numId w:val="20"/>
        </w:numPr>
        <w:pBdr>
          <w:top w:val="nil"/>
          <w:left w:val="nil"/>
          <w:bottom w:val="nil"/>
          <w:right w:val="nil"/>
          <w:between w:val="nil"/>
        </w:pBdr>
        <w:jc w:val="both"/>
        <w:rPr>
          <w:rFonts w:ascii="Garamond" w:hAnsi="Garamond"/>
        </w:rPr>
      </w:pPr>
      <w:r w:rsidRPr="00F305A1">
        <w:rPr>
          <w:rFonts w:ascii="Garamond" w:hAnsi="Garamond"/>
        </w:rPr>
        <w:t xml:space="preserve">Domestic law and policy in the </w:t>
      </w:r>
      <w:r w:rsidR="009327ED">
        <w:rPr>
          <w:rFonts w:ascii="Garamond" w:hAnsi="Garamond"/>
        </w:rPr>
        <w:t>U.S.</w:t>
      </w:r>
      <w:r w:rsidRPr="00F305A1">
        <w:rPr>
          <w:rFonts w:ascii="Garamond" w:hAnsi="Garamond"/>
        </w:rPr>
        <w:t xml:space="preserve"> fall short of internationally recognized obligations to protect agricultural workers and small-scale food producers from heat exposure. The United Nations Declaration on the Rights of Peasants and Other People Working in Rural Areas recognizes </w:t>
      </w:r>
      <w:r w:rsidR="009327ED">
        <w:rPr>
          <w:rFonts w:ascii="Garamond" w:hAnsi="Garamond"/>
        </w:rPr>
        <w:t>food producers’ and workers</w:t>
      </w:r>
      <w:r w:rsidR="009327ED" w:rsidRPr="00F305A1">
        <w:rPr>
          <w:rFonts w:ascii="Garamond" w:hAnsi="Garamond"/>
        </w:rPr>
        <w:t xml:space="preserve">’ </w:t>
      </w:r>
      <w:r w:rsidRPr="00F305A1">
        <w:rPr>
          <w:rFonts w:ascii="Garamond" w:hAnsi="Garamond"/>
        </w:rPr>
        <w:t xml:space="preserve">rights as “inalienable human rights.” </w:t>
      </w:r>
      <w:r w:rsidRPr="00961AA3">
        <w:rPr>
          <w:rStyle w:val="FootnoteReference"/>
          <w:rFonts w:ascii="Garamond" w:hAnsi="Garamond"/>
        </w:rPr>
        <w:footnoteReference w:id="149"/>
      </w:r>
      <w:r w:rsidRPr="00F305A1">
        <w:rPr>
          <w:rFonts w:ascii="Garamond" w:hAnsi="Garamond"/>
        </w:rPr>
        <w:t xml:space="preserve"> The United States needs to recognize </w:t>
      </w:r>
      <w:r w:rsidR="009327ED">
        <w:rPr>
          <w:rFonts w:ascii="Garamond" w:hAnsi="Garamond"/>
        </w:rPr>
        <w:t>food producers’ and workers</w:t>
      </w:r>
      <w:r w:rsidR="009327ED" w:rsidRPr="00F305A1">
        <w:rPr>
          <w:rFonts w:ascii="Garamond" w:hAnsi="Garamond"/>
        </w:rPr>
        <w:t xml:space="preserve">’ </w:t>
      </w:r>
      <w:r w:rsidRPr="00F305A1">
        <w:rPr>
          <w:rFonts w:ascii="Garamond" w:hAnsi="Garamond"/>
        </w:rPr>
        <w:t xml:space="preserve">rights are human rights by implementing legislative action that protects </w:t>
      </w:r>
      <w:r w:rsidR="009327ED">
        <w:rPr>
          <w:rFonts w:ascii="Garamond" w:hAnsi="Garamond"/>
        </w:rPr>
        <w:t>them</w:t>
      </w:r>
      <w:r w:rsidR="009327ED" w:rsidRPr="00F305A1">
        <w:rPr>
          <w:rFonts w:ascii="Garamond" w:hAnsi="Garamond"/>
        </w:rPr>
        <w:t xml:space="preserve"> </w:t>
      </w:r>
      <w:r w:rsidRPr="00F305A1">
        <w:rPr>
          <w:rFonts w:ascii="Garamond" w:hAnsi="Garamond"/>
        </w:rPr>
        <w:t>from heat and the life-threatening impacts of the climate crisis. Heat stress legislation to protect farm workers was introduced in March of 2021 to try to protect workers from cramps, organ damage, heat exhaustion, stroke, and death by requiring the Occupational Safety and Health Administration to establish enforceable standards like “paid breaks in cool spaces, access to water, limitations on time exposed to heat, and emergency response for workers with heat-related illness.”</w:t>
      </w:r>
      <w:r w:rsidRPr="00961AA3">
        <w:rPr>
          <w:rStyle w:val="FootnoteReference"/>
          <w:rFonts w:ascii="Garamond" w:hAnsi="Garamond"/>
        </w:rPr>
        <w:footnoteReference w:id="150"/>
      </w:r>
      <w:r w:rsidRPr="00F305A1">
        <w:rPr>
          <w:rFonts w:ascii="Garamond" w:hAnsi="Garamond"/>
        </w:rPr>
        <w:t xml:space="preserve">Additionally, the legislation calls for workers to be trained on heat-related illnesses and proper response procedures. </w:t>
      </w:r>
    </w:p>
    <w:p w14:paraId="4E7BB969" w14:textId="77777777" w:rsidR="002F22A7" w:rsidRPr="00961AA3" w:rsidRDefault="002F22A7" w:rsidP="002F22A7">
      <w:pPr>
        <w:pStyle w:val="ListParagraph"/>
        <w:pBdr>
          <w:top w:val="nil"/>
          <w:left w:val="nil"/>
          <w:bottom w:val="nil"/>
          <w:right w:val="nil"/>
          <w:between w:val="nil"/>
        </w:pBdr>
        <w:ind w:left="1080"/>
        <w:jc w:val="both"/>
        <w:rPr>
          <w:rFonts w:ascii="Garamond" w:hAnsi="Garamond"/>
        </w:rPr>
      </w:pPr>
    </w:p>
    <w:p w14:paraId="75820B8C" w14:textId="3C1B35EE" w:rsidR="002F22A7" w:rsidRPr="007E6E07" w:rsidRDefault="00CC1978" w:rsidP="002F22A7">
      <w:pPr>
        <w:pStyle w:val="ListParagraph"/>
        <w:numPr>
          <w:ilvl w:val="0"/>
          <w:numId w:val="14"/>
        </w:numPr>
        <w:pBdr>
          <w:top w:val="nil"/>
          <w:left w:val="nil"/>
          <w:bottom w:val="nil"/>
          <w:right w:val="nil"/>
          <w:between w:val="nil"/>
        </w:pBdr>
        <w:jc w:val="both"/>
        <w:rPr>
          <w:rFonts w:ascii="Garamond" w:hAnsi="Garamond"/>
          <w:b/>
          <w:bCs/>
        </w:rPr>
      </w:pPr>
      <w:r>
        <w:rPr>
          <w:rFonts w:ascii="Garamond" w:hAnsi="Garamond"/>
          <w:b/>
          <w:bCs/>
        </w:rPr>
        <w:t xml:space="preserve">Racism in </w:t>
      </w:r>
      <w:r w:rsidR="002F22A7" w:rsidRPr="007E6E07">
        <w:rPr>
          <w:rFonts w:ascii="Garamond" w:hAnsi="Garamond"/>
          <w:b/>
          <w:bCs/>
        </w:rPr>
        <w:t>Land-Use Laws Affect Food Availability and Adequacy</w:t>
      </w:r>
    </w:p>
    <w:p w14:paraId="671C8694" w14:textId="3EFFE346" w:rsidR="00CC1978" w:rsidRPr="00516A0D" w:rsidRDefault="00CC1978" w:rsidP="00CC1978">
      <w:pPr>
        <w:pStyle w:val="ListParagraph"/>
        <w:numPr>
          <w:ilvl w:val="0"/>
          <w:numId w:val="21"/>
        </w:numPr>
        <w:pBdr>
          <w:top w:val="nil"/>
          <w:left w:val="nil"/>
          <w:bottom w:val="nil"/>
          <w:right w:val="nil"/>
          <w:between w:val="nil"/>
        </w:pBdr>
        <w:jc w:val="both"/>
        <w:rPr>
          <w:rFonts w:ascii="Garamond" w:hAnsi="Garamond"/>
        </w:rPr>
      </w:pPr>
      <w:r w:rsidRPr="00961AA3">
        <w:rPr>
          <w:rFonts w:ascii="Garamond" w:eastAsia="Times New Roman" w:hAnsi="Garamond" w:cs="Times New Roman"/>
          <w:color w:val="000000"/>
        </w:rPr>
        <w:t xml:space="preserve">Fundamentally, poverty is a result of barriers to equal access, opportunity, and participation in our labor system, as well </w:t>
      </w:r>
      <w:proofErr w:type="gramStart"/>
      <w:r w:rsidRPr="00961AA3">
        <w:rPr>
          <w:rFonts w:ascii="Garamond" w:eastAsia="Times New Roman" w:hAnsi="Garamond" w:cs="Times New Roman"/>
          <w:color w:val="000000"/>
        </w:rPr>
        <w:t>as a result of</w:t>
      </w:r>
      <w:proofErr w:type="gramEnd"/>
      <w:r w:rsidRPr="00961AA3">
        <w:rPr>
          <w:rFonts w:ascii="Garamond" w:eastAsia="Times New Roman" w:hAnsi="Garamond" w:cs="Times New Roman"/>
          <w:color w:val="000000"/>
        </w:rPr>
        <w:t xml:space="preserve"> barriers to property ownership—all of which are perpetuated through racism. </w:t>
      </w:r>
      <w:r>
        <w:rPr>
          <w:rFonts w:ascii="Garamond" w:eastAsia="Times New Roman" w:hAnsi="Garamond" w:cs="Times New Roman"/>
          <w:color w:val="000000"/>
        </w:rPr>
        <w:t>Throughout the 1930s-1960s, The Federal Housing Administration “redlined” black communities, restricting their access to mortgages.</w:t>
      </w:r>
      <w:r>
        <w:rPr>
          <w:rStyle w:val="FootnoteReference"/>
          <w:rFonts w:ascii="Garamond" w:eastAsia="Times New Roman" w:hAnsi="Garamond" w:cs="Times New Roman"/>
          <w:color w:val="000000"/>
        </w:rPr>
        <w:footnoteReference w:id="151"/>
      </w:r>
      <w:r>
        <w:rPr>
          <w:rFonts w:ascii="Garamond" w:eastAsia="Times New Roman" w:hAnsi="Garamond" w:cs="Times New Roman"/>
          <w:color w:val="000000"/>
        </w:rPr>
        <w:t xml:space="preserve"> Moreover, Black farmers were historically excluded from federal farms programs.</w:t>
      </w:r>
      <w:r>
        <w:rPr>
          <w:rStyle w:val="FootnoteReference"/>
          <w:rFonts w:ascii="Garamond" w:eastAsia="Times New Roman" w:hAnsi="Garamond" w:cs="Times New Roman"/>
          <w:color w:val="000000"/>
        </w:rPr>
        <w:footnoteReference w:id="152"/>
      </w:r>
      <w:r w:rsidRPr="00961AA3">
        <w:rPr>
          <w:rFonts w:ascii="Garamond" w:eastAsia="Times New Roman" w:hAnsi="Garamond" w:cs="Times New Roman"/>
          <w:color w:val="000000"/>
        </w:rPr>
        <w:t xml:space="preserve"> </w:t>
      </w:r>
      <w:r>
        <w:rPr>
          <w:rFonts w:ascii="Garamond" w:eastAsia="Times New Roman" w:hAnsi="Garamond" w:cs="Times New Roman"/>
          <w:color w:val="000000"/>
        </w:rPr>
        <w:t>In more recent years, communities of color have worked to dismantle food apartheid where government action has fallen short.</w:t>
      </w:r>
      <w:r>
        <w:rPr>
          <w:rStyle w:val="FootnoteReference"/>
          <w:rFonts w:ascii="Garamond" w:eastAsia="Times New Roman" w:hAnsi="Garamond" w:cs="Times New Roman"/>
          <w:color w:val="000000"/>
        </w:rPr>
        <w:footnoteReference w:id="153"/>
      </w:r>
    </w:p>
    <w:p w14:paraId="79BECCF4" w14:textId="77777777" w:rsidR="00CC1978" w:rsidRPr="0090230A" w:rsidRDefault="00CC1978" w:rsidP="00516A0D">
      <w:pPr>
        <w:pStyle w:val="ListParagraph"/>
        <w:pBdr>
          <w:top w:val="nil"/>
          <w:left w:val="nil"/>
          <w:bottom w:val="nil"/>
          <w:right w:val="nil"/>
          <w:between w:val="nil"/>
        </w:pBdr>
        <w:jc w:val="both"/>
        <w:rPr>
          <w:rFonts w:ascii="Garamond" w:hAnsi="Garamond"/>
        </w:rPr>
      </w:pPr>
    </w:p>
    <w:p w14:paraId="6BE398AC" w14:textId="42AFADD5" w:rsidR="007E6E07" w:rsidRDefault="00CC1978" w:rsidP="00F305A1">
      <w:pPr>
        <w:pStyle w:val="ListParagraph"/>
        <w:numPr>
          <w:ilvl w:val="0"/>
          <w:numId w:val="21"/>
        </w:numPr>
        <w:pBdr>
          <w:top w:val="nil"/>
          <w:left w:val="nil"/>
          <w:bottom w:val="nil"/>
          <w:right w:val="nil"/>
          <w:between w:val="nil"/>
        </w:pBdr>
        <w:jc w:val="both"/>
        <w:rPr>
          <w:rFonts w:ascii="Garamond" w:hAnsi="Garamond"/>
        </w:rPr>
      </w:pPr>
      <w:r>
        <w:rPr>
          <w:rFonts w:ascii="Garamond" w:hAnsi="Garamond"/>
        </w:rPr>
        <w:t>Racism l</w:t>
      </w:r>
      <w:r w:rsidR="007E6E07" w:rsidRPr="00961AA3">
        <w:rPr>
          <w:rFonts w:ascii="Garamond" w:hAnsi="Garamond"/>
        </w:rPr>
        <w:t xml:space="preserve">and use and zoning laws </w:t>
      </w:r>
      <w:r>
        <w:rPr>
          <w:rFonts w:ascii="Garamond" w:hAnsi="Garamond"/>
        </w:rPr>
        <w:t xml:space="preserve">continue to </w:t>
      </w:r>
      <w:r w:rsidR="007E6E07" w:rsidRPr="00961AA3">
        <w:rPr>
          <w:rFonts w:ascii="Garamond" w:hAnsi="Garamond"/>
        </w:rPr>
        <w:t>negatively impact people in low-income and BIPOC communities both in urban and rural communities</w:t>
      </w:r>
      <w:r w:rsidR="009327ED">
        <w:rPr>
          <w:rFonts w:ascii="Garamond" w:hAnsi="Garamond"/>
        </w:rPr>
        <w:t>. B</w:t>
      </w:r>
      <w:r w:rsidR="007E6E07" w:rsidRPr="00961AA3">
        <w:rPr>
          <w:rFonts w:ascii="Garamond" w:hAnsi="Garamond"/>
        </w:rPr>
        <w:t xml:space="preserve">oundaries regulate how individuals can use their </w:t>
      </w:r>
      <w:r w:rsidR="007E6E07" w:rsidRPr="00961AA3">
        <w:rPr>
          <w:rFonts w:ascii="Garamond" w:hAnsi="Garamond"/>
        </w:rPr>
        <w:lastRenderedPageBreak/>
        <w:t>land, often to the detriment of historically marginalized groups.</w:t>
      </w:r>
      <w:r w:rsidR="00F87746">
        <w:rPr>
          <w:rStyle w:val="FootnoteReference"/>
          <w:rFonts w:ascii="Garamond" w:hAnsi="Garamond"/>
        </w:rPr>
        <w:footnoteReference w:id="154"/>
      </w:r>
      <w:r w:rsidR="007E6E07" w:rsidRPr="00961AA3">
        <w:rPr>
          <w:rFonts w:ascii="Garamond" w:hAnsi="Garamond"/>
        </w:rPr>
        <w:t xml:space="preserve"> Furthermore, zoning laws typically prevent economic and racial diversity.</w:t>
      </w:r>
      <w:r w:rsidR="00F223B5">
        <w:rPr>
          <w:rStyle w:val="FootnoteReference"/>
          <w:rFonts w:ascii="Garamond" w:hAnsi="Garamond"/>
        </w:rPr>
        <w:footnoteReference w:id="155"/>
      </w:r>
      <w:r w:rsidR="007E6E07" w:rsidRPr="00961AA3">
        <w:rPr>
          <w:rFonts w:ascii="Garamond" w:hAnsi="Garamond"/>
        </w:rPr>
        <w:t xml:space="preserve"> </w:t>
      </w:r>
    </w:p>
    <w:p w14:paraId="034CD77C" w14:textId="77777777" w:rsidR="007E6E07" w:rsidRDefault="007E6E07" w:rsidP="00F305A1">
      <w:pPr>
        <w:pStyle w:val="ListParagraph"/>
        <w:pBdr>
          <w:top w:val="nil"/>
          <w:left w:val="nil"/>
          <w:bottom w:val="nil"/>
          <w:right w:val="nil"/>
          <w:between w:val="nil"/>
        </w:pBdr>
        <w:jc w:val="both"/>
        <w:rPr>
          <w:rFonts w:ascii="Garamond" w:hAnsi="Garamond"/>
        </w:rPr>
      </w:pPr>
    </w:p>
    <w:p w14:paraId="2E8D2CD0" w14:textId="5BDE5FDE" w:rsidR="007E6E07" w:rsidRPr="009327ED" w:rsidRDefault="007E6E07" w:rsidP="009327ED">
      <w:pPr>
        <w:pStyle w:val="ListParagraph"/>
        <w:numPr>
          <w:ilvl w:val="0"/>
          <w:numId w:val="21"/>
        </w:numPr>
        <w:pBdr>
          <w:top w:val="nil"/>
          <w:left w:val="nil"/>
          <w:bottom w:val="nil"/>
          <w:right w:val="nil"/>
          <w:between w:val="nil"/>
        </w:pBdr>
        <w:jc w:val="both"/>
        <w:rPr>
          <w:rFonts w:ascii="Garamond" w:hAnsi="Garamond"/>
        </w:rPr>
      </w:pPr>
      <w:r w:rsidRPr="00961AA3">
        <w:rPr>
          <w:rFonts w:ascii="Garamond" w:hAnsi="Garamond"/>
        </w:rPr>
        <w:t xml:space="preserve">Existing zoning laws have a negative impact on BIPOC communities’ climate resilient practices. </w:t>
      </w:r>
      <w:r w:rsidR="009327ED">
        <w:rPr>
          <w:rFonts w:ascii="Garamond" w:hAnsi="Garamond"/>
        </w:rPr>
        <w:t>As a result, m</w:t>
      </w:r>
      <w:r w:rsidRPr="00961AA3">
        <w:rPr>
          <w:rFonts w:ascii="Garamond" w:hAnsi="Garamond"/>
        </w:rPr>
        <w:t>any communities fail to expand community land trusts, which would positively benefit Black and Indigenous Peoples, as well as the environment. A community land trust is a “nonprofit organization that purchases and manages land to keep it affordable for its owners.”</w:t>
      </w:r>
      <w:r w:rsidRPr="00961AA3">
        <w:rPr>
          <w:rFonts w:ascii="Garamond" w:hAnsi="Garamond"/>
          <w:vertAlign w:val="superscript"/>
        </w:rPr>
        <w:footnoteReference w:id="156"/>
      </w:r>
      <w:r w:rsidRPr="00961AA3">
        <w:rPr>
          <w:rFonts w:ascii="Garamond" w:hAnsi="Garamond"/>
        </w:rPr>
        <w:t xml:space="preserve"> Urban and rural community land trusts implement Indigenous foods and growing practices, which can aid in mitigating climate change and increasing food production. For example, many Indigenous growing practices are used in the process of agroecology, which seeks to expand diverse, nutritious, and native foods.</w:t>
      </w:r>
      <w:r w:rsidRPr="00961AA3">
        <w:rPr>
          <w:rFonts w:ascii="Garamond" w:hAnsi="Garamond"/>
          <w:vertAlign w:val="superscript"/>
        </w:rPr>
        <w:footnoteReference w:id="157"/>
      </w:r>
      <w:r w:rsidRPr="00961AA3">
        <w:rPr>
          <w:rFonts w:ascii="Garamond" w:hAnsi="Garamond"/>
        </w:rPr>
        <w:t xml:space="preserve"> Agroecology is a holistic food production process that aids in reducing pollution, conserving water, and preserving soil health while better protecting farmers.</w:t>
      </w:r>
      <w:r w:rsidR="00F223B5">
        <w:rPr>
          <w:rStyle w:val="FootnoteReference"/>
          <w:rFonts w:ascii="Garamond" w:hAnsi="Garamond"/>
        </w:rPr>
        <w:footnoteReference w:id="158"/>
      </w:r>
      <w:r w:rsidRPr="00961AA3">
        <w:rPr>
          <w:rFonts w:ascii="Garamond" w:hAnsi="Garamond"/>
        </w:rPr>
        <w:t xml:space="preserve"> However, most urban Black and Indigenous communities are zoned in areas with poor soil and water quality, making most farming attempts unsuccessful. Additionally, urban centers with food apartheids are often characterized by less green space and canopy. Green space and canopy are critical to minimize heat islands that the climate crisis is exacerbating as well as improving air quality.</w:t>
      </w:r>
      <w:r w:rsidR="0082666D">
        <w:rPr>
          <w:rStyle w:val="FootnoteReference"/>
          <w:rFonts w:ascii="Garamond" w:hAnsi="Garamond"/>
        </w:rPr>
        <w:footnoteReference w:id="159"/>
      </w:r>
      <w:r w:rsidRPr="00961AA3">
        <w:rPr>
          <w:rFonts w:ascii="Garamond" w:hAnsi="Garamond"/>
        </w:rPr>
        <w:t xml:space="preserve"> This green space and canopy have potential for expanding local food system development through gardens, farms, and food forests in cities.</w:t>
      </w:r>
      <w:r w:rsidR="009327ED">
        <w:rPr>
          <w:rFonts w:ascii="Garamond" w:hAnsi="Garamond"/>
        </w:rPr>
        <w:t xml:space="preserve"> </w:t>
      </w:r>
      <w:r w:rsidRPr="009327ED">
        <w:rPr>
          <w:rFonts w:ascii="Garamond" w:hAnsi="Garamond"/>
        </w:rPr>
        <w:t xml:space="preserve">Furthermore, </w:t>
      </w:r>
      <w:r w:rsidRPr="00516A0D">
        <w:rPr>
          <w:rFonts w:ascii="Garamond" w:hAnsi="Garamond" w:cs="Helvetica Neue"/>
          <w:color w:val="000000"/>
        </w:rPr>
        <w:t>low-income urban centers are home to BIPOC families who were forced from rural lands (e.g., lack of credit access) and they bring food production knowledge reserves to the city that could support urban food production if policy supported adequate zoning laws.</w:t>
      </w:r>
      <w:r w:rsidRPr="009327ED">
        <w:rPr>
          <w:rStyle w:val="FootnoteReference"/>
          <w:rFonts w:ascii="Garamond" w:hAnsi="Garamond" w:cs="Helvetica Neue"/>
          <w:color w:val="000000"/>
        </w:rPr>
        <w:footnoteReference w:id="160"/>
      </w:r>
    </w:p>
    <w:p w14:paraId="6425F532" w14:textId="77777777" w:rsidR="007E6E07" w:rsidRPr="00ED125B" w:rsidRDefault="007E6E07" w:rsidP="00F305A1">
      <w:pPr>
        <w:pStyle w:val="ListParagraph"/>
        <w:pBdr>
          <w:top w:val="nil"/>
          <w:left w:val="nil"/>
          <w:bottom w:val="nil"/>
          <w:right w:val="nil"/>
          <w:between w:val="nil"/>
        </w:pBdr>
        <w:jc w:val="both"/>
        <w:rPr>
          <w:rFonts w:ascii="Garamond" w:hAnsi="Garamond"/>
        </w:rPr>
      </w:pPr>
    </w:p>
    <w:p w14:paraId="31B10F06" w14:textId="6C3E38B0" w:rsidR="007E6E07" w:rsidRPr="00516A0D" w:rsidRDefault="009327ED" w:rsidP="00516A0D">
      <w:pPr>
        <w:pStyle w:val="ListParagraph"/>
        <w:numPr>
          <w:ilvl w:val="0"/>
          <w:numId w:val="21"/>
        </w:numPr>
        <w:pBdr>
          <w:top w:val="nil"/>
          <w:left w:val="nil"/>
          <w:bottom w:val="nil"/>
          <w:right w:val="nil"/>
          <w:between w:val="nil"/>
        </w:pBdr>
        <w:jc w:val="both"/>
        <w:rPr>
          <w:rFonts w:ascii="Garamond" w:hAnsi="Garamond"/>
        </w:rPr>
      </w:pPr>
      <w:r>
        <w:rPr>
          <w:rFonts w:ascii="Garamond" w:hAnsi="Garamond"/>
        </w:rPr>
        <w:t>U.S.</w:t>
      </w:r>
      <w:r w:rsidR="007E6E07" w:rsidRPr="00961AA3">
        <w:rPr>
          <w:rFonts w:ascii="Garamond" w:hAnsi="Garamond"/>
        </w:rPr>
        <w:t xml:space="preserve"> land-use laws and policies are not currently up to international standards as they fail to protect certain communities’ access to land and their farming practices. In the UN Special Rapporteur on the Right to Food’s recent report on Seeds, right to life and farmers’ rights, it was noted that Indigenous Peoples’ right to seeds “has been confirmed in the United Nations Declaration on the Rights of Indigenous Peoples, which affirms Indigenous Peoples’ right to maintain, control protect and develop their cultural heritage, traditional knowledge and traditional culture expressions, as well as their human and genetic resources, seeds, medicines and knowledge of the properties of fauna and flora.” </w:t>
      </w:r>
      <w:r w:rsidR="007E6E07" w:rsidRPr="00961AA3">
        <w:rPr>
          <w:rStyle w:val="FootnoteReference"/>
          <w:rFonts w:ascii="Garamond" w:hAnsi="Garamond"/>
        </w:rPr>
        <w:footnoteReference w:id="161"/>
      </w:r>
      <w:r w:rsidR="007E6E07" w:rsidRPr="00961AA3">
        <w:rPr>
          <w:rFonts w:ascii="Garamond" w:hAnsi="Garamond"/>
        </w:rPr>
        <w:t xml:space="preserve"> The United States needs to take further measures to recognize and protect these rights for Indigenous Peoples by implementing policies that incorporate and account for protecting their traditional practices. </w:t>
      </w:r>
    </w:p>
    <w:p w14:paraId="4274AA43" w14:textId="15DB72BE" w:rsidR="0090230A" w:rsidRDefault="0090230A" w:rsidP="00F305A1">
      <w:pPr>
        <w:pBdr>
          <w:top w:val="nil"/>
          <w:left w:val="nil"/>
          <w:bottom w:val="nil"/>
          <w:right w:val="nil"/>
          <w:between w:val="nil"/>
        </w:pBdr>
        <w:jc w:val="both"/>
        <w:rPr>
          <w:rFonts w:ascii="Garamond" w:hAnsi="Garamond"/>
        </w:rPr>
      </w:pPr>
    </w:p>
    <w:p w14:paraId="32983EAA" w14:textId="77777777" w:rsidR="0090230A" w:rsidRDefault="0090230A" w:rsidP="0090230A">
      <w:pPr>
        <w:pStyle w:val="ListParagraph"/>
        <w:numPr>
          <w:ilvl w:val="0"/>
          <w:numId w:val="14"/>
        </w:numPr>
        <w:pBdr>
          <w:top w:val="nil"/>
          <w:left w:val="nil"/>
          <w:bottom w:val="nil"/>
          <w:right w:val="nil"/>
          <w:between w:val="nil"/>
        </w:pBdr>
        <w:rPr>
          <w:rFonts w:ascii="Garamond" w:hAnsi="Garamond"/>
          <w:b/>
        </w:rPr>
      </w:pPr>
      <w:r w:rsidRPr="00961AA3">
        <w:rPr>
          <w:rFonts w:ascii="Garamond" w:hAnsi="Garamond"/>
          <w:b/>
        </w:rPr>
        <w:lastRenderedPageBreak/>
        <w:t>Environmental Racism</w:t>
      </w:r>
      <w:r w:rsidRPr="00961AA3">
        <w:rPr>
          <w:rStyle w:val="FootnoteReference"/>
          <w:rFonts w:ascii="Garamond" w:hAnsi="Garamond"/>
          <w:b/>
        </w:rPr>
        <w:footnoteReference w:id="162"/>
      </w:r>
      <w:r w:rsidRPr="00961AA3">
        <w:rPr>
          <w:rFonts w:ascii="Garamond" w:hAnsi="Garamond"/>
          <w:b/>
        </w:rPr>
        <w:t xml:space="preserve"> Affects Food Accessibility</w:t>
      </w:r>
    </w:p>
    <w:p w14:paraId="03686479" w14:textId="719D7045" w:rsidR="0090230A" w:rsidRPr="0090230A" w:rsidRDefault="0090230A" w:rsidP="00F305A1">
      <w:pPr>
        <w:pStyle w:val="ListParagraph"/>
        <w:numPr>
          <w:ilvl w:val="0"/>
          <w:numId w:val="24"/>
        </w:numPr>
        <w:pBdr>
          <w:top w:val="nil"/>
          <w:left w:val="nil"/>
          <w:bottom w:val="nil"/>
          <w:right w:val="nil"/>
          <w:between w:val="nil"/>
        </w:pBdr>
        <w:jc w:val="both"/>
        <w:rPr>
          <w:rFonts w:ascii="Garamond" w:hAnsi="Garamond"/>
          <w:b/>
        </w:rPr>
      </w:pPr>
      <w:r w:rsidRPr="00961AA3">
        <w:rPr>
          <w:rFonts w:ascii="Garamond" w:hAnsi="Garamond"/>
          <w:bCs/>
        </w:rPr>
        <w:t xml:space="preserve">Certain climate-related laws and policies deliberately target already vulnerable BIPOC communities, exposing them to toxic waste. </w:t>
      </w:r>
      <w:r w:rsidRPr="00961AA3">
        <w:rPr>
          <w:rFonts w:ascii="Garamond" w:hAnsi="Garamond"/>
        </w:rPr>
        <w:t>Landfills, trash incinerators, coal plants, and toxic waste dumps are typically found in Black, Brown, and Indigenous communities, with significant health implications.</w:t>
      </w:r>
      <w:r w:rsidR="00C5102E">
        <w:rPr>
          <w:rStyle w:val="FootnoteReference"/>
          <w:rFonts w:ascii="Garamond" w:hAnsi="Garamond"/>
        </w:rPr>
        <w:footnoteReference w:id="163"/>
      </w:r>
      <w:r w:rsidRPr="00961AA3">
        <w:rPr>
          <w:rFonts w:ascii="Garamond" w:hAnsi="Garamond"/>
        </w:rPr>
        <w:t xml:space="preserve"> As a result of the placement of these facilities, the health of these communities is often severely compromised due to the direct impact these facilities have on the environment and the subsequent indirect impact on accessing healthy and affordable foods. Additionally, some of the workers on the animal farms and meatpacking facilities are undocumented, which makes them less inclined to participate in the health monitoring programs because they are fearful of legal repercussions.</w:t>
      </w:r>
      <w:r w:rsidRPr="00516A0D">
        <w:rPr>
          <w:rFonts w:ascii="Garamond" w:hAnsi="Garamond"/>
          <w:vertAlign w:val="superscript"/>
        </w:rPr>
        <w:footnoteReference w:id="164"/>
      </w:r>
      <w:r w:rsidRPr="00961AA3">
        <w:rPr>
          <w:rFonts w:ascii="Garamond" w:hAnsi="Garamond"/>
        </w:rPr>
        <w:t xml:space="preserve"> In addition to the location of these harmful facilities, fast food restaurants have been shown to be more prevalent BIPOC and low-income communities in the </w:t>
      </w:r>
      <w:r w:rsidR="00CC1978">
        <w:rPr>
          <w:rFonts w:ascii="Garamond" w:hAnsi="Garamond"/>
        </w:rPr>
        <w:t>U.S.</w:t>
      </w:r>
      <w:r w:rsidRPr="00961AA3">
        <w:rPr>
          <w:rFonts w:ascii="Garamond" w:hAnsi="Garamond"/>
        </w:rPr>
        <w:t xml:space="preserve">, which result in increased health risks. </w:t>
      </w:r>
      <w:r w:rsidRPr="00961AA3">
        <w:rPr>
          <w:rStyle w:val="FootnoteReference"/>
          <w:rFonts w:ascii="Garamond" w:hAnsi="Garamond"/>
        </w:rPr>
        <w:footnoteReference w:id="165"/>
      </w:r>
      <w:r w:rsidRPr="00961AA3">
        <w:rPr>
          <w:rFonts w:ascii="Garamond" w:hAnsi="Garamond"/>
        </w:rPr>
        <w:t xml:space="preserve"> </w:t>
      </w:r>
    </w:p>
    <w:p w14:paraId="2876E012" w14:textId="77777777" w:rsidR="0090230A" w:rsidRPr="0090230A" w:rsidRDefault="0090230A" w:rsidP="00F305A1">
      <w:pPr>
        <w:pStyle w:val="ListParagraph"/>
        <w:pBdr>
          <w:top w:val="nil"/>
          <w:left w:val="nil"/>
          <w:bottom w:val="nil"/>
          <w:right w:val="nil"/>
          <w:between w:val="nil"/>
        </w:pBdr>
        <w:jc w:val="both"/>
        <w:rPr>
          <w:rFonts w:ascii="Garamond" w:hAnsi="Garamond"/>
          <w:b/>
        </w:rPr>
      </w:pPr>
    </w:p>
    <w:p w14:paraId="7DF590E4" w14:textId="7C6D17B4" w:rsidR="0090230A" w:rsidRPr="00085DC4" w:rsidRDefault="0090230A" w:rsidP="00F305A1">
      <w:pPr>
        <w:pStyle w:val="ListParagraph"/>
        <w:numPr>
          <w:ilvl w:val="0"/>
          <w:numId w:val="24"/>
        </w:numPr>
        <w:pBdr>
          <w:top w:val="nil"/>
          <w:left w:val="nil"/>
          <w:bottom w:val="nil"/>
          <w:right w:val="nil"/>
          <w:between w:val="nil"/>
        </w:pBdr>
        <w:jc w:val="both"/>
        <w:rPr>
          <w:rFonts w:ascii="Garamond" w:hAnsi="Garamond"/>
          <w:b/>
        </w:rPr>
      </w:pPr>
      <w:r w:rsidRPr="00961AA3">
        <w:rPr>
          <w:rFonts w:ascii="Garamond" w:hAnsi="Garamond"/>
        </w:rPr>
        <w:t>Examples of communities in the U.S. that experience the impact of environmental racism are abound. For example, a community in San Joaquin Valley, California is experiencing long-term effects of environmental racism. The population in the San Joaquin Valley consists of 49</w:t>
      </w:r>
      <w:r w:rsidR="00C333C7">
        <w:rPr>
          <w:rFonts w:ascii="Garamond" w:hAnsi="Garamond"/>
        </w:rPr>
        <w:t>%</w:t>
      </w:r>
      <w:r w:rsidRPr="00961AA3">
        <w:rPr>
          <w:rFonts w:ascii="Garamond" w:hAnsi="Garamond"/>
        </w:rPr>
        <w:t xml:space="preserve"> Latinx. Of these Latinx families, one in six children suffer from asthma, which has been directly linked to the dairy farms located in the Valley.</w:t>
      </w:r>
      <w:r w:rsidRPr="00961AA3">
        <w:rPr>
          <w:rFonts w:ascii="Garamond" w:hAnsi="Garamond"/>
          <w:vertAlign w:val="superscript"/>
        </w:rPr>
        <w:footnoteReference w:id="166"/>
      </w:r>
      <w:r w:rsidRPr="00961AA3">
        <w:rPr>
          <w:rFonts w:ascii="Garamond" w:hAnsi="Garamond"/>
        </w:rPr>
        <w:t xml:space="preserve"> The waste from the dairy farms, industrial emissions, dust particles, and pesticides create a foggy atmosphere, impacting the health of the community and their ability to grow and access healthy, nutritious foods.</w:t>
      </w:r>
      <w:r>
        <w:rPr>
          <w:rStyle w:val="FootnoteReference"/>
          <w:rFonts w:ascii="Garamond" w:hAnsi="Garamond"/>
        </w:rPr>
        <w:footnoteReference w:id="167"/>
      </w:r>
    </w:p>
    <w:p w14:paraId="41B1B02B" w14:textId="77777777" w:rsidR="00085DC4" w:rsidRPr="00085DC4" w:rsidRDefault="00085DC4" w:rsidP="00F305A1">
      <w:pPr>
        <w:pBdr>
          <w:top w:val="nil"/>
          <w:left w:val="nil"/>
          <w:bottom w:val="nil"/>
          <w:right w:val="nil"/>
          <w:between w:val="nil"/>
        </w:pBdr>
        <w:jc w:val="both"/>
        <w:rPr>
          <w:rFonts w:ascii="Garamond" w:hAnsi="Garamond"/>
          <w:b/>
        </w:rPr>
      </w:pPr>
    </w:p>
    <w:p w14:paraId="355359FC" w14:textId="41887CEF" w:rsidR="00CF01A5" w:rsidRPr="00CF01A5" w:rsidRDefault="0090230A" w:rsidP="00CF01A5">
      <w:pPr>
        <w:pStyle w:val="ListParagraph"/>
        <w:numPr>
          <w:ilvl w:val="0"/>
          <w:numId w:val="24"/>
        </w:numPr>
        <w:pBdr>
          <w:top w:val="nil"/>
          <w:left w:val="nil"/>
          <w:bottom w:val="nil"/>
          <w:right w:val="nil"/>
          <w:between w:val="nil"/>
        </w:pBdr>
        <w:jc w:val="both"/>
        <w:rPr>
          <w:rFonts w:ascii="Garamond" w:hAnsi="Garamond"/>
          <w:b/>
        </w:rPr>
      </w:pPr>
      <w:r w:rsidRPr="00961AA3">
        <w:rPr>
          <w:rFonts w:ascii="Garamond" w:hAnsi="Garamond"/>
        </w:rPr>
        <w:t>International standards under Article 5(d)(</w:t>
      </w:r>
      <w:proofErr w:type="spellStart"/>
      <w:r w:rsidRPr="00961AA3">
        <w:rPr>
          <w:rFonts w:ascii="Garamond" w:hAnsi="Garamond"/>
        </w:rPr>
        <w:t>i</w:t>
      </w:r>
      <w:proofErr w:type="spellEnd"/>
      <w:r w:rsidRPr="00961AA3">
        <w:rPr>
          <w:rFonts w:ascii="Garamond" w:hAnsi="Garamond"/>
        </w:rPr>
        <w:t>) of ICERD requires the elimination of racial discrimination in all forms, which would include environmental racism. The Biden administration released an Executive Order in early 2021 that pledged to crack down on pollution and allow “40% of the benefits from federal investments in clean energy and clean water [to go to] communities that bear disproportionate pollution.”</w:t>
      </w:r>
      <w:r w:rsidRPr="00961AA3">
        <w:rPr>
          <w:rStyle w:val="FootnoteReference"/>
          <w:rFonts w:ascii="Garamond" w:hAnsi="Garamond"/>
        </w:rPr>
        <w:footnoteReference w:id="168"/>
      </w:r>
      <w:r w:rsidRPr="00961AA3">
        <w:rPr>
          <w:rFonts w:ascii="Garamond" w:hAnsi="Garamond"/>
        </w:rPr>
        <w:t xml:space="preserve"> However, communities are not quick to trust that any changes will be made and any ICERD standards will be applied, as there have been many broken promises over the years from the U.S. government in trying to combat the climate crisis in BIPOC communities. </w:t>
      </w:r>
    </w:p>
    <w:p w14:paraId="4D4BD923" w14:textId="77777777" w:rsidR="00CF01A5" w:rsidRPr="00B74B6A" w:rsidRDefault="00CF01A5" w:rsidP="00516208">
      <w:pPr>
        <w:pStyle w:val="ListParagraph"/>
        <w:rPr>
          <w:rFonts w:ascii="Garamond" w:hAnsi="Garamond"/>
          <w:bCs/>
        </w:rPr>
      </w:pPr>
    </w:p>
    <w:p w14:paraId="12E9AEC7" w14:textId="07CEB019" w:rsidR="00516208" w:rsidRDefault="00516208" w:rsidP="00177D54">
      <w:pPr>
        <w:pStyle w:val="ListParagraph"/>
        <w:numPr>
          <w:ilvl w:val="0"/>
          <w:numId w:val="1"/>
        </w:numPr>
        <w:ind w:left="1080"/>
        <w:jc w:val="both"/>
        <w:rPr>
          <w:rFonts w:ascii="Garamond" w:hAnsi="Garamond"/>
          <w:b/>
        </w:rPr>
      </w:pPr>
      <w:r>
        <w:rPr>
          <w:rFonts w:ascii="Garamond" w:hAnsi="Garamond"/>
          <w:b/>
        </w:rPr>
        <w:t>Violations of the Right to Food and Racial Injustice Affect BIPOC Women and Children</w:t>
      </w:r>
    </w:p>
    <w:p w14:paraId="1F466D5A" w14:textId="77777777" w:rsidR="005E4A2E" w:rsidRDefault="005E4A2E" w:rsidP="005E4A2E">
      <w:pPr>
        <w:pStyle w:val="ListParagraph"/>
        <w:ind w:left="1080"/>
        <w:jc w:val="both"/>
        <w:rPr>
          <w:rFonts w:ascii="Garamond" w:hAnsi="Garamond"/>
          <w:b/>
        </w:rPr>
      </w:pPr>
    </w:p>
    <w:p w14:paraId="29E2B494" w14:textId="77777777" w:rsidR="00516208" w:rsidRDefault="00516208" w:rsidP="00516208">
      <w:pPr>
        <w:pStyle w:val="ListParagraph"/>
        <w:numPr>
          <w:ilvl w:val="0"/>
          <w:numId w:val="25"/>
        </w:numPr>
        <w:ind w:left="720"/>
        <w:jc w:val="both"/>
        <w:rPr>
          <w:rFonts w:ascii="Garamond" w:hAnsi="Garamond"/>
          <w:bCs/>
        </w:rPr>
      </w:pPr>
      <w:r w:rsidRPr="00085DC4">
        <w:rPr>
          <w:rFonts w:ascii="Garamond" w:hAnsi="Garamond"/>
          <w:bCs/>
        </w:rPr>
        <w:t>According to the USDA, single-parent, female-headed households are significantly more likely to be food-insecure than single-parent, male-headed households (31.6</w:t>
      </w:r>
      <w:r>
        <w:rPr>
          <w:rFonts w:ascii="Garamond" w:hAnsi="Garamond"/>
          <w:bCs/>
        </w:rPr>
        <w:t>%</w:t>
      </w:r>
      <w:r w:rsidRPr="00085DC4">
        <w:rPr>
          <w:rFonts w:ascii="Garamond" w:hAnsi="Garamond"/>
          <w:bCs/>
        </w:rPr>
        <w:t xml:space="preserve"> to 21.7</w:t>
      </w:r>
      <w:r>
        <w:rPr>
          <w:rFonts w:ascii="Garamond" w:hAnsi="Garamond"/>
          <w:bCs/>
        </w:rPr>
        <w:t>%</w:t>
      </w:r>
      <w:r w:rsidRPr="00085DC4">
        <w:rPr>
          <w:rFonts w:ascii="Garamond" w:hAnsi="Garamond"/>
          <w:bCs/>
        </w:rPr>
        <w:t>).</w:t>
      </w:r>
      <w:r w:rsidRPr="00961AA3">
        <w:rPr>
          <w:rStyle w:val="FootnoteReference"/>
          <w:rFonts w:ascii="Garamond" w:hAnsi="Garamond"/>
          <w:bCs/>
        </w:rPr>
        <w:footnoteReference w:id="169"/>
      </w:r>
      <w:r w:rsidRPr="00085DC4">
        <w:rPr>
          <w:rFonts w:ascii="Garamond" w:hAnsi="Garamond"/>
          <w:bCs/>
        </w:rPr>
        <w:t xml:space="preserve"> This reality is compounded for BIPOC women, who experience higher risks of poverty.</w:t>
      </w:r>
      <w:r w:rsidRPr="00961AA3">
        <w:rPr>
          <w:rStyle w:val="FootnoteReference"/>
          <w:rFonts w:ascii="Garamond" w:hAnsi="Garamond"/>
          <w:bCs/>
        </w:rPr>
        <w:footnoteReference w:id="170"/>
      </w:r>
      <w:r w:rsidRPr="00085DC4">
        <w:rPr>
          <w:rFonts w:ascii="Garamond" w:hAnsi="Garamond"/>
          <w:bCs/>
        </w:rPr>
        <w:t xml:space="preserve"> One in three single mothers struggle to feed herself and her children.</w:t>
      </w:r>
      <w:r w:rsidRPr="00961AA3">
        <w:rPr>
          <w:rStyle w:val="FootnoteReference"/>
          <w:rFonts w:ascii="Garamond" w:hAnsi="Garamond"/>
          <w:bCs/>
        </w:rPr>
        <w:footnoteReference w:id="171"/>
      </w:r>
    </w:p>
    <w:p w14:paraId="793652A6" w14:textId="77777777" w:rsidR="00516208" w:rsidRDefault="00516208" w:rsidP="00516208">
      <w:pPr>
        <w:pStyle w:val="ListParagraph"/>
        <w:jc w:val="both"/>
        <w:rPr>
          <w:rFonts w:ascii="Garamond" w:hAnsi="Garamond"/>
          <w:bCs/>
        </w:rPr>
      </w:pPr>
    </w:p>
    <w:p w14:paraId="340DB60C" w14:textId="77777777" w:rsidR="00516208" w:rsidRPr="00085DC4" w:rsidRDefault="00516208" w:rsidP="00516208">
      <w:pPr>
        <w:pStyle w:val="ListParagraph"/>
        <w:numPr>
          <w:ilvl w:val="0"/>
          <w:numId w:val="25"/>
        </w:numPr>
        <w:ind w:left="720"/>
        <w:jc w:val="both"/>
        <w:rPr>
          <w:rFonts w:ascii="Garamond" w:hAnsi="Garamond"/>
          <w:bCs/>
        </w:rPr>
      </w:pPr>
      <w:r w:rsidRPr="00085DC4">
        <w:rPr>
          <w:rFonts w:ascii="Garamond" w:hAnsi="Garamond"/>
        </w:rPr>
        <w:t>Similarly, the U.S. is failing to ensure children of marginalized groups have access to adequate, nutritious food.  A recent study by the Urban Institute found that approximately four in ten families with parents who are Hispanic/Latinx (39.1</w:t>
      </w:r>
      <w:r>
        <w:rPr>
          <w:rFonts w:ascii="Garamond" w:hAnsi="Garamond"/>
        </w:rPr>
        <w:t>%</w:t>
      </w:r>
      <w:r w:rsidRPr="00085DC4">
        <w:rPr>
          <w:rFonts w:ascii="Garamond" w:hAnsi="Garamond"/>
        </w:rPr>
        <w:t xml:space="preserve"> ) and parents who are Black (40.8</w:t>
      </w:r>
      <w:r>
        <w:rPr>
          <w:rFonts w:ascii="Garamond" w:hAnsi="Garamond"/>
        </w:rPr>
        <w:t>%</w:t>
      </w:r>
      <w:r w:rsidRPr="00085DC4">
        <w:rPr>
          <w:rFonts w:ascii="Garamond" w:hAnsi="Garamond"/>
        </w:rPr>
        <w:t>) reported food insecurity in the prior 30 days, almost triple the rate of families with White parents (15.1</w:t>
      </w:r>
      <w:r>
        <w:rPr>
          <w:rFonts w:ascii="Garamond" w:hAnsi="Garamond"/>
        </w:rPr>
        <w:t>%</w:t>
      </w:r>
      <w:r w:rsidRPr="00085DC4">
        <w:rPr>
          <w:rFonts w:ascii="Garamond" w:hAnsi="Garamond"/>
        </w:rPr>
        <w:t>).</w:t>
      </w:r>
      <w:r w:rsidRPr="00961AA3">
        <w:rPr>
          <w:rStyle w:val="FootnoteReference"/>
          <w:rFonts w:ascii="Garamond" w:hAnsi="Garamond"/>
        </w:rPr>
        <w:footnoteReference w:id="172"/>
      </w:r>
      <w:r w:rsidRPr="00085DC4">
        <w:rPr>
          <w:rFonts w:ascii="Garamond" w:hAnsi="Garamond"/>
        </w:rPr>
        <w:t xml:space="preserve"> Further, coinciding with high rates of food insecurity, more than three times as many Hispanic/Latinx parents (36.9</w:t>
      </w:r>
      <w:r>
        <w:rPr>
          <w:rFonts w:ascii="Garamond" w:hAnsi="Garamond"/>
        </w:rPr>
        <w:t>%</w:t>
      </w:r>
      <w:r w:rsidRPr="00085DC4">
        <w:rPr>
          <w:rFonts w:ascii="Garamond" w:hAnsi="Garamond"/>
        </w:rPr>
        <w:t>) and about three times as many Black parents (29.6</w:t>
      </w:r>
      <w:r>
        <w:rPr>
          <w:rFonts w:ascii="Garamond" w:hAnsi="Garamond"/>
        </w:rPr>
        <w:t>%</w:t>
      </w:r>
      <w:r w:rsidRPr="00085DC4">
        <w:rPr>
          <w:rFonts w:ascii="Garamond" w:hAnsi="Garamond"/>
        </w:rPr>
        <w:t>) reported being worried about having enough to eat in the next month as White parents (9.6</w:t>
      </w:r>
      <w:r>
        <w:rPr>
          <w:rFonts w:ascii="Garamond" w:hAnsi="Garamond"/>
        </w:rPr>
        <w:t>%</w:t>
      </w:r>
      <w:r w:rsidRPr="00085DC4">
        <w:rPr>
          <w:rFonts w:ascii="Garamond" w:hAnsi="Garamond"/>
        </w:rPr>
        <w:t>).</w:t>
      </w:r>
      <w:r w:rsidRPr="00961AA3">
        <w:rPr>
          <w:rStyle w:val="FootnoteReference"/>
          <w:rFonts w:ascii="Garamond" w:hAnsi="Garamond"/>
        </w:rPr>
        <w:footnoteReference w:id="173"/>
      </w:r>
    </w:p>
    <w:p w14:paraId="0D0DBB10" w14:textId="77777777" w:rsidR="00516208" w:rsidRPr="00085DC4" w:rsidRDefault="00516208" w:rsidP="00516208">
      <w:pPr>
        <w:pStyle w:val="ListParagraph"/>
        <w:jc w:val="both"/>
        <w:rPr>
          <w:rFonts w:ascii="Garamond" w:hAnsi="Garamond"/>
          <w:bCs/>
        </w:rPr>
      </w:pPr>
    </w:p>
    <w:p w14:paraId="62CDF9FA" w14:textId="77777777" w:rsidR="00516208" w:rsidRPr="00085DC4" w:rsidRDefault="00516208" w:rsidP="00516208">
      <w:pPr>
        <w:pStyle w:val="ListParagraph"/>
        <w:numPr>
          <w:ilvl w:val="0"/>
          <w:numId w:val="25"/>
        </w:numPr>
        <w:ind w:left="720"/>
        <w:jc w:val="both"/>
        <w:rPr>
          <w:rFonts w:ascii="Garamond" w:hAnsi="Garamond"/>
          <w:bCs/>
        </w:rPr>
      </w:pPr>
      <w:r w:rsidRPr="00085DC4">
        <w:rPr>
          <w:rFonts w:ascii="Garamond" w:hAnsi="Garamond"/>
        </w:rPr>
        <w:t>Children are especially vulnerable to lack of adequate food, as they need nutritious and safe food to grow physically and mentally. Hunger and malnutrition impair children’s learning abilities and may</w:t>
      </w:r>
      <w:r w:rsidRPr="00085DC4">
        <w:rPr>
          <w:rFonts w:ascii="Garamond" w:hAnsi="Garamond" w:cs="Times New Roman"/>
        </w:rPr>
        <w:t xml:space="preserve"> </w:t>
      </w:r>
      <w:r w:rsidRPr="00085DC4">
        <w:rPr>
          <w:rFonts w:ascii="Garamond" w:hAnsi="Garamond"/>
        </w:rPr>
        <w:t>force them to drop out of school and work instead, thus undermining their enjoyment of the right to education.</w:t>
      </w:r>
      <w:r w:rsidRPr="00961AA3">
        <w:rPr>
          <w:rStyle w:val="FootnoteReference"/>
          <w:rFonts w:ascii="Garamond" w:hAnsi="Garamond"/>
        </w:rPr>
        <w:footnoteReference w:id="174"/>
      </w:r>
      <w:r w:rsidRPr="00085DC4">
        <w:rPr>
          <w:rFonts w:ascii="Garamond" w:hAnsi="Garamond"/>
        </w:rPr>
        <w:t xml:space="preserve"> Food insecurity has been linked to delayed development in young children; risk of chronic illnesses; and behavioral problems.</w:t>
      </w:r>
      <w:r w:rsidRPr="00961AA3">
        <w:rPr>
          <w:rStyle w:val="FootnoteReference"/>
          <w:rFonts w:ascii="Garamond" w:hAnsi="Garamond"/>
        </w:rPr>
        <w:footnoteReference w:id="175"/>
      </w:r>
      <w:r w:rsidRPr="00085DC4">
        <w:rPr>
          <w:rFonts w:ascii="Garamond" w:hAnsi="Garamond"/>
        </w:rPr>
        <w:t xml:space="preserve"> Moreover, to be free from hunger and malnutrition, individuals need to know how to maintain a nutritious diet and have the skills and capacity to produce or obtain food as a livelihood.</w:t>
      </w:r>
      <w:r w:rsidRPr="00961AA3">
        <w:rPr>
          <w:rStyle w:val="FootnoteReference"/>
          <w:rFonts w:ascii="Garamond" w:hAnsi="Garamond"/>
        </w:rPr>
        <w:footnoteReference w:id="176"/>
      </w:r>
      <w:r w:rsidRPr="00085DC4">
        <w:rPr>
          <w:rFonts w:ascii="Garamond" w:hAnsi="Garamond"/>
        </w:rPr>
        <w:t xml:space="preserve"> Thus, access to education, including vocational education, is essential for the enjoyment of the right to food.</w:t>
      </w:r>
      <w:r w:rsidRPr="00961AA3">
        <w:rPr>
          <w:rStyle w:val="FootnoteReference"/>
          <w:rFonts w:ascii="Garamond" w:hAnsi="Garamond"/>
        </w:rPr>
        <w:footnoteReference w:id="177"/>
      </w:r>
    </w:p>
    <w:p w14:paraId="12FBC942" w14:textId="77777777" w:rsidR="00516208" w:rsidRPr="00085DC4" w:rsidRDefault="00516208" w:rsidP="00516208">
      <w:pPr>
        <w:pStyle w:val="ListParagraph"/>
        <w:jc w:val="both"/>
        <w:rPr>
          <w:rFonts w:ascii="Garamond" w:hAnsi="Garamond"/>
          <w:bCs/>
        </w:rPr>
      </w:pPr>
    </w:p>
    <w:p w14:paraId="6064AFDB" w14:textId="77777777" w:rsidR="00516208" w:rsidRPr="00085DC4" w:rsidRDefault="00516208" w:rsidP="00516208">
      <w:pPr>
        <w:pStyle w:val="ListParagraph"/>
        <w:numPr>
          <w:ilvl w:val="0"/>
          <w:numId w:val="25"/>
        </w:numPr>
        <w:ind w:left="720"/>
        <w:jc w:val="both"/>
        <w:rPr>
          <w:rFonts w:ascii="Garamond" w:hAnsi="Garamond"/>
          <w:bCs/>
        </w:rPr>
      </w:pPr>
      <w:r w:rsidRPr="00085DC4">
        <w:rPr>
          <w:rFonts w:ascii="Garamond" w:hAnsi="Garamond"/>
        </w:rPr>
        <w:t>Violations of the right to food of women and children are interconnected and begin with breastfeeding, the most local of food systems. It is well established that breastfeeding is beneficial for the mother, baby, and society.</w:t>
      </w:r>
      <w:r w:rsidRPr="00961AA3">
        <w:rPr>
          <w:rStyle w:val="FootnoteReference"/>
          <w:rFonts w:ascii="Garamond" w:hAnsi="Garamond"/>
        </w:rPr>
        <w:footnoteReference w:id="178"/>
      </w:r>
      <w:r w:rsidRPr="00085DC4">
        <w:rPr>
          <w:rFonts w:ascii="Garamond" w:hAnsi="Garamond"/>
        </w:rPr>
        <w:t xml:space="preserve"> However, low rates of breastfeeding are prevalent in BIPOC communities.</w:t>
      </w:r>
      <w:r w:rsidRPr="00961AA3">
        <w:rPr>
          <w:rStyle w:val="FootnoteReference"/>
          <w:rFonts w:ascii="Garamond" w:hAnsi="Garamond"/>
        </w:rPr>
        <w:footnoteReference w:id="179"/>
      </w:r>
      <w:r w:rsidRPr="00085DC4">
        <w:rPr>
          <w:rFonts w:ascii="Garamond" w:hAnsi="Garamond"/>
        </w:rPr>
        <w:t xml:space="preserve"> This is particularly an issue for Black women, who have the lowest breastfeeding rates out of all racial groups.</w:t>
      </w:r>
      <w:r w:rsidRPr="00961AA3">
        <w:rPr>
          <w:rStyle w:val="FootnoteReference"/>
          <w:rFonts w:ascii="Garamond" w:hAnsi="Garamond"/>
        </w:rPr>
        <w:footnoteReference w:id="180"/>
      </w:r>
      <w:r w:rsidRPr="00085DC4">
        <w:rPr>
          <w:rFonts w:ascii="Garamond" w:hAnsi="Garamond"/>
        </w:rPr>
        <w:t xml:space="preserve"> One reason for this is that hospital maternity wards serving larger Black populations are less likely to help Black women initiate breastfeeding after giving birth or offer lactation support following delivery.</w:t>
      </w:r>
      <w:r w:rsidRPr="00961AA3">
        <w:rPr>
          <w:rStyle w:val="FootnoteReference"/>
          <w:rFonts w:ascii="Garamond" w:hAnsi="Garamond"/>
        </w:rPr>
        <w:footnoteReference w:id="181"/>
      </w:r>
      <w:r w:rsidRPr="00085DC4">
        <w:rPr>
          <w:rFonts w:ascii="Garamond" w:hAnsi="Garamond"/>
        </w:rPr>
        <w:t xml:space="preserve"> Furthermore, studies show that Black mothers lack the necessary workplace protections that support breastfeeding. Black mothers need to return to work shortly after giving birth and are often confronted with inflexible work hours and lack of privacy to lactate.</w:t>
      </w:r>
      <w:r w:rsidRPr="00961AA3">
        <w:rPr>
          <w:rStyle w:val="FootnoteReference"/>
          <w:rFonts w:ascii="Garamond" w:hAnsi="Garamond"/>
        </w:rPr>
        <w:footnoteReference w:id="182"/>
      </w:r>
      <w:r w:rsidRPr="00085DC4">
        <w:rPr>
          <w:rFonts w:ascii="Garamond" w:hAnsi="Garamond"/>
        </w:rPr>
        <w:t xml:space="preserve"> </w:t>
      </w:r>
    </w:p>
    <w:p w14:paraId="11BB5E52" w14:textId="77777777" w:rsidR="00516208" w:rsidRPr="00085DC4" w:rsidRDefault="00516208" w:rsidP="00516208">
      <w:pPr>
        <w:pStyle w:val="ListParagraph"/>
        <w:jc w:val="both"/>
        <w:rPr>
          <w:rFonts w:ascii="Garamond" w:hAnsi="Garamond"/>
          <w:bCs/>
        </w:rPr>
      </w:pPr>
    </w:p>
    <w:p w14:paraId="5C1E29A2" w14:textId="77777777" w:rsidR="00516208" w:rsidRPr="00085DC4" w:rsidRDefault="00516208" w:rsidP="00516208">
      <w:pPr>
        <w:pStyle w:val="ListParagraph"/>
        <w:numPr>
          <w:ilvl w:val="0"/>
          <w:numId w:val="25"/>
        </w:numPr>
        <w:ind w:left="720"/>
        <w:jc w:val="both"/>
        <w:rPr>
          <w:rFonts w:ascii="Garamond" w:hAnsi="Garamond"/>
          <w:bCs/>
        </w:rPr>
      </w:pPr>
      <w:r w:rsidRPr="00085DC4">
        <w:rPr>
          <w:rFonts w:ascii="Garamond" w:hAnsi="Garamond"/>
        </w:rPr>
        <w:t xml:space="preserve">Thirty million children in the U.S. depend on schools for free or reduced-priced meals, </w:t>
      </w:r>
      <w:r w:rsidRPr="00085DC4">
        <w:rPr>
          <w:rFonts w:ascii="Garamond" w:hAnsi="Garamond"/>
          <w:color w:val="000000" w:themeColor="text1"/>
        </w:rPr>
        <w:t>something that was disrupted during the pandemic</w:t>
      </w:r>
      <w:r w:rsidRPr="00085DC4">
        <w:rPr>
          <w:rFonts w:ascii="Garamond" w:hAnsi="Garamond"/>
        </w:rPr>
        <w:t>. Because of the pandemic, roughly 15% of students who qualify for free or reduced-price lunches were receiving them.</w:t>
      </w:r>
      <w:r w:rsidRPr="00961AA3">
        <w:rPr>
          <w:rStyle w:val="FootnoteReference"/>
          <w:rFonts w:ascii="Garamond" w:hAnsi="Garamond"/>
        </w:rPr>
        <w:footnoteReference w:id="183"/>
      </w:r>
      <w:r w:rsidRPr="00085DC4">
        <w:rPr>
          <w:rFonts w:ascii="Garamond" w:hAnsi="Garamond"/>
        </w:rPr>
        <w:t xml:space="preserve"> While school districts attempted to ensure students had access to lunches through drive-by lunch pick up, children living with parents who are </w:t>
      </w:r>
      <w:r w:rsidRPr="00085DC4">
        <w:rPr>
          <w:rFonts w:ascii="Garamond" w:hAnsi="Garamond"/>
        </w:rPr>
        <w:lastRenderedPageBreak/>
        <w:t>essential workers were largely unable to access these pick-ups. For example, “[a] child without access to transportation by car in the Four Corners neighborhood in St. Mary Parish would have had to walk four hours each way to get to the nearest ‘Grab n Go’ site, each of which was open for a mere hour and a half[,]” a letter to the governors of Louisiana and Alabama said.</w:t>
      </w:r>
      <w:r w:rsidRPr="00961AA3">
        <w:rPr>
          <w:rStyle w:val="FootnoteReference"/>
          <w:rFonts w:ascii="Garamond" w:hAnsi="Garamond"/>
        </w:rPr>
        <w:footnoteReference w:id="184"/>
      </w:r>
      <w:r w:rsidRPr="00085DC4">
        <w:rPr>
          <w:rFonts w:ascii="Garamond" w:hAnsi="Garamond"/>
        </w:rPr>
        <w:t xml:space="preserve"> Because BIPOC parents are more likely to be essential workers, BIPOC children are disproportionately affected by inaccessibility of school lunches.</w:t>
      </w:r>
      <w:r w:rsidRPr="00961AA3">
        <w:rPr>
          <w:rStyle w:val="FootnoteReference"/>
          <w:rFonts w:ascii="Garamond" w:hAnsi="Garamond"/>
        </w:rPr>
        <w:footnoteReference w:id="185"/>
      </w:r>
    </w:p>
    <w:p w14:paraId="0C300E63" w14:textId="77777777" w:rsidR="00516208" w:rsidRPr="00085DC4" w:rsidRDefault="00516208" w:rsidP="00516208">
      <w:pPr>
        <w:pStyle w:val="ListParagraph"/>
        <w:jc w:val="both"/>
        <w:rPr>
          <w:rFonts w:ascii="Garamond" w:hAnsi="Garamond"/>
          <w:bCs/>
        </w:rPr>
      </w:pPr>
    </w:p>
    <w:p w14:paraId="2AA499F9" w14:textId="77777777" w:rsidR="00516208" w:rsidRPr="00085DC4" w:rsidRDefault="00516208" w:rsidP="00516208">
      <w:pPr>
        <w:pStyle w:val="ListParagraph"/>
        <w:numPr>
          <w:ilvl w:val="0"/>
          <w:numId w:val="25"/>
        </w:numPr>
        <w:ind w:left="720"/>
        <w:jc w:val="both"/>
        <w:rPr>
          <w:rFonts w:ascii="Garamond" w:hAnsi="Garamond"/>
          <w:bCs/>
        </w:rPr>
      </w:pPr>
      <w:r w:rsidRPr="00085DC4">
        <w:rPr>
          <w:rFonts w:ascii="Garamond" w:hAnsi="Garamond"/>
        </w:rPr>
        <w:t>The U.S., through the USDA National School Lunch Program (“NSLP”), has attempted to battle hunger in the nation. The NSLP is one of the largest anti-hunger programs, second to SNAP. Data from 2020 shows that roughly 76.9% of students rely on the NSLP.</w:t>
      </w:r>
      <w:r w:rsidRPr="00961AA3">
        <w:rPr>
          <w:rStyle w:val="FootnoteReference"/>
          <w:rFonts w:ascii="Garamond" w:hAnsi="Garamond"/>
        </w:rPr>
        <w:footnoteReference w:id="186"/>
      </w:r>
      <w:r w:rsidRPr="00085DC4">
        <w:rPr>
          <w:rFonts w:ascii="Garamond" w:hAnsi="Garamond"/>
        </w:rPr>
        <w:t xml:space="preserve"> The NSLP granted waivers amidst the COVID-19 pandemic to ensure that children are continuing to be fed, allowing all public school students to receive free school lunches.</w:t>
      </w:r>
      <w:r w:rsidRPr="00961AA3">
        <w:rPr>
          <w:rStyle w:val="FootnoteReference"/>
          <w:rFonts w:ascii="Garamond" w:hAnsi="Garamond"/>
        </w:rPr>
        <w:footnoteReference w:id="187"/>
      </w:r>
      <w:r w:rsidRPr="00085DC4">
        <w:rPr>
          <w:rFonts w:ascii="Garamond" w:hAnsi="Garamond"/>
        </w:rPr>
        <w:t xml:space="preserve"> In March 2022, the U.S. government rejected calls to keep these waivers in place, despite advocates arguing for these waivers to become permanent, allowing for universal school lunches.</w:t>
      </w:r>
      <w:r w:rsidRPr="00961AA3">
        <w:rPr>
          <w:rStyle w:val="FootnoteReference"/>
          <w:rFonts w:ascii="Garamond" w:hAnsi="Garamond"/>
        </w:rPr>
        <w:footnoteReference w:id="188"/>
      </w:r>
      <w:r w:rsidRPr="00085DC4">
        <w:rPr>
          <w:rFonts w:ascii="Garamond" w:hAnsi="Garamond"/>
        </w:rPr>
        <w:t xml:space="preserve"> Now, students and parents will be forced back into tiered systems, many now having to pay to eat during the school day.</w:t>
      </w:r>
      <w:r w:rsidRPr="00961AA3">
        <w:rPr>
          <w:rStyle w:val="FootnoteReference"/>
          <w:rFonts w:ascii="Garamond" w:hAnsi="Garamond"/>
        </w:rPr>
        <w:footnoteReference w:id="189"/>
      </w:r>
      <w:r w:rsidRPr="00085DC4">
        <w:rPr>
          <w:rFonts w:ascii="Garamond" w:hAnsi="Garamond"/>
        </w:rPr>
        <w:t xml:space="preserve"> </w:t>
      </w:r>
    </w:p>
    <w:p w14:paraId="07B3AD2B" w14:textId="77777777" w:rsidR="00516208" w:rsidRPr="00085DC4" w:rsidRDefault="00516208" w:rsidP="00516208">
      <w:pPr>
        <w:pStyle w:val="ListParagraph"/>
        <w:jc w:val="both"/>
        <w:rPr>
          <w:rFonts w:ascii="Garamond" w:hAnsi="Garamond"/>
          <w:bCs/>
        </w:rPr>
      </w:pPr>
    </w:p>
    <w:p w14:paraId="1664A5D4" w14:textId="7AE2A583" w:rsidR="00CF01A5" w:rsidRPr="00CF01A5" w:rsidRDefault="00516208" w:rsidP="00136F1F">
      <w:pPr>
        <w:pStyle w:val="ListParagraph"/>
        <w:numPr>
          <w:ilvl w:val="0"/>
          <w:numId w:val="25"/>
        </w:numPr>
        <w:ind w:left="720"/>
        <w:jc w:val="both"/>
        <w:rPr>
          <w:rFonts w:ascii="Garamond" w:hAnsi="Garamond"/>
          <w:bCs/>
        </w:rPr>
      </w:pPr>
      <w:r w:rsidRPr="00085DC4">
        <w:rPr>
          <w:rFonts w:ascii="Garamond" w:hAnsi="Garamond"/>
        </w:rPr>
        <w:t>Universal free school lunch ensures that children of all backgrounds are receiving nutritious lunches, decreases risks of food insecurity, and eliminates stigma associated with free meals.</w:t>
      </w:r>
      <w:r w:rsidRPr="00961AA3">
        <w:rPr>
          <w:rStyle w:val="FootnoteReference"/>
          <w:rFonts w:ascii="Garamond" w:hAnsi="Garamond"/>
        </w:rPr>
        <w:footnoteReference w:id="190"/>
      </w:r>
      <w:r w:rsidRPr="00085DC4">
        <w:rPr>
          <w:rFonts w:ascii="Garamond" w:hAnsi="Garamond"/>
        </w:rPr>
        <w:t xml:space="preserve"> While the U.S. government has taken some steps to alleviate food insecurity amongst children, it is not enough. The U.S. should implement a permanent, universal free school lunch program to ensure all children are able to realize the right to food. </w:t>
      </w:r>
    </w:p>
    <w:p w14:paraId="12B70F65" w14:textId="77777777" w:rsidR="00CF01A5" w:rsidRPr="00136F1F" w:rsidRDefault="00CF01A5" w:rsidP="00136F1F">
      <w:pPr>
        <w:jc w:val="both"/>
        <w:rPr>
          <w:rFonts w:ascii="Garamond" w:hAnsi="Garamond"/>
          <w:bCs/>
        </w:rPr>
      </w:pPr>
    </w:p>
    <w:p w14:paraId="31EE9A4E" w14:textId="390683F1" w:rsidR="0040347E" w:rsidRDefault="0040347E" w:rsidP="00177D54">
      <w:pPr>
        <w:pStyle w:val="ListParagraph"/>
        <w:numPr>
          <w:ilvl w:val="0"/>
          <w:numId w:val="1"/>
        </w:numPr>
        <w:ind w:left="1080"/>
        <w:jc w:val="both"/>
        <w:rPr>
          <w:rFonts w:ascii="Garamond" w:hAnsi="Garamond"/>
          <w:b/>
        </w:rPr>
      </w:pPr>
      <w:r w:rsidRPr="0040347E">
        <w:rPr>
          <w:rFonts w:ascii="Garamond" w:hAnsi="Garamond"/>
          <w:b/>
        </w:rPr>
        <w:t>Proposed Questions for the U.S. Government</w:t>
      </w:r>
    </w:p>
    <w:p w14:paraId="4A008F10" w14:textId="77777777" w:rsidR="008401D2" w:rsidRPr="0040347E" w:rsidRDefault="008401D2" w:rsidP="008401D2">
      <w:pPr>
        <w:pStyle w:val="ListParagraph"/>
        <w:ind w:left="360"/>
        <w:jc w:val="both"/>
        <w:rPr>
          <w:rFonts w:ascii="Garamond" w:hAnsi="Garamond"/>
          <w:b/>
        </w:rPr>
      </w:pPr>
    </w:p>
    <w:p w14:paraId="474F6F23" w14:textId="5FDB7909" w:rsidR="0040347E" w:rsidRDefault="0040347E" w:rsidP="00F305A1">
      <w:pPr>
        <w:pStyle w:val="ListParagraph"/>
        <w:numPr>
          <w:ilvl w:val="0"/>
          <w:numId w:val="27"/>
        </w:numPr>
        <w:ind w:left="720"/>
        <w:jc w:val="both"/>
        <w:rPr>
          <w:rFonts w:ascii="Garamond" w:hAnsi="Garamond" w:cs="Times New Roman"/>
        </w:rPr>
      </w:pPr>
      <w:r w:rsidRPr="002A7FFD">
        <w:rPr>
          <w:rFonts w:ascii="Garamond" w:hAnsi="Garamond" w:cs="Times New Roman"/>
        </w:rPr>
        <w:t xml:space="preserve">Given the Biden Administration’s recent announcement that it will hold a White House Conference on Hunger, Nutrition, and Health in September 2022, what steps does the administration plan to take to ensure that the conference </w:t>
      </w:r>
      <w:r w:rsidRPr="002A7FFD">
        <w:rPr>
          <w:rFonts w:ascii="Garamond" w:eastAsia="Times New Roman" w:hAnsi="Garamond" w:cs="Calibri"/>
          <w:color w:val="000000"/>
        </w:rPr>
        <w:t xml:space="preserve">adopts a rights-based framework, centers the voices of people with lived experiences of hunger, and addresses </w:t>
      </w:r>
      <w:r w:rsidRPr="002A7FFD">
        <w:rPr>
          <w:rFonts w:ascii="Garamond" w:hAnsi="Garamond" w:cs="Times New Roman"/>
        </w:rPr>
        <w:t xml:space="preserve">racial discrimination in the food system as central to tackling hunger in the U.S.? </w:t>
      </w:r>
    </w:p>
    <w:p w14:paraId="01BF4961" w14:textId="77777777" w:rsidR="0040347E" w:rsidRDefault="0040347E" w:rsidP="00F305A1">
      <w:pPr>
        <w:pStyle w:val="ListParagraph"/>
        <w:jc w:val="both"/>
        <w:rPr>
          <w:rFonts w:ascii="Garamond" w:hAnsi="Garamond" w:cs="Times New Roman"/>
        </w:rPr>
      </w:pPr>
    </w:p>
    <w:p w14:paraId="3A4FB6C3" w14:textId="725B4CD7" w:rsidR="005E4A2E" w:rsidRPr="00136F1F" w:rsidRDefault="0040347E" w:rsidP="00136F1F">
      <w:pPr>
        <w:pStyle w:val="ListParagraph"/>
        <w:numPr>
          <w:ilvl w:val="0"/>
          <w:numId w:val="27"/>
        </w:numPr>
        <w:ind w:left="720"/>
        <w:jc w:val="both"/>
        <w:rPr>
          <w:rFonts w:ascii="Garamond" w:hAnsi="Garamond" w:cs="Times New Roman"/>
        </w:rPr>
      </w:pPr>
      <w:r w:rsidRPr="0040347E">
        <w:rPr>
          <w:rFonts w:ascii="Garamond" w:hAnsi="Garamond" w:cs="Times New Roman"/>
        </w:rPr>
        <w:t>What additional steps does the U.S. plan to take to increase access to the human right to food for all? What mechanisms can the U.S. use to help remedy past racial discrimination? How will the U.S. strengthen BIPOC’s resiliency strategies?</w:t>
      </w:r>
    </w:p>
    <w:p w14:paraId="231AFFE1" w14:textId="63F49D6E" w:rsidR="005E4A2E" w:rsidRDefault="005E4A2E" w:rsidP="0040347E">
      <w:pPr>
        <w:pStyle w:val="ListParagraph"/>
        <w:ind w:left="360"/>
        <w:jc w:val="both"/>
        <w:rPr>
          <w:rFonts w:ascii="Garamond" w:hAnsi="Garamond"/>
          <w:bCs/>
        </w:rPr>
      </w:pPr>
    </w:p>
    <w:p w14:paraId="3A487521" w14:textId="08C2499C" w:rsidR="00CF01A5" w:rsidRDefault="00CF01A5" w:rsidP="0040347E">
      <w:pPr>
        <w:pStyle w:val="ListParagraph"/>
        <w:ind w:left="360"/>
        <w:jc w:val="both"/>
        <w:rPr>
          <w:rFonts w:ascii="Garamond" w:hAnsi="Garamond"/>
          <w:bCs/>
        </w:rPr>
      </w:pPr>
    </w:p>
    <w:p w14:paraId="208E9840" w14:textId="19739A08" w:rsidR="00CF01A5" w:rsidRDefault="00CF01A5" w:rsidP="0040347E">
      <w:pPr>
        <w:pStyle w:val="ListParagraph"/>
        <w:ind w:left="360"/>
        <w:jc w:val="both"/>
        <w:rPr>
          <w:rFonts w:ascii="Garamond" w:hAnsi="Garamond"/>
          <w:bCs/>
        </w:rPr>
      </w:pPr>
    </w:p>
    <w:p w14:paraId="02E8E307" w14:textId="3B5A26E9" w:rsidR="00CF01A5" w:rsidRDefault="00CF01A5" w:rsidP="0040347E">
      <w:pPr>
        <w:pStyle w:val="ListParagraph"/>
        <w:ind w:left="360"/>
        <w:jc w:val="both"/>
        <w:rPr>
          <w:rFonts w:ascii="Garamond" w:hAnsi="Garamond"/>
          <w:bCs/>
        </w:rPr>
      </w:pPr>
    </w:p>
    <w:p w14:paraId="0C93884D" w14:textId="77777777" w:rsidR="00CF01A5" w:rsidRDefault="00CF01A5" w:rsidP="0040347E">
      <w:pPr>
        <w:pStyle w:val="ListParagraph"/>
        <w:ind w:left="360"/>
        <w:jc w:val="both"/>
        <w:rPr>
          <w:rFonts w:ascii="Garamond" w:hAnsi="Garamond"/>
          <w:bCs/>
        </w:rPr>
      </w:pPr>
    </w:p>
    <w:p w14:paraId="4B5E023F" w14:textId="4A31EACE" w:rsidR="0040347E" w:rsidRDefault="0040347E" w:rsidP="00177D54">
      <w:pPr>
        <w:pStyle w:val="ListParagraph"/>
        <w:numPr>
          <w:ilvl w:val="0"/>
          <w:numId w:val="1"/>
        </w:numPr>
        <w:ind w:left="1080"/>
        <w:jc w:val="both"/>
        <w:rPr>
          <w:rFonts w:ascii="Garamond" w:hAnsi="Garamond"/>
          <w:b/>
        </w:rPr>
      </w:pPr>
      <w:r w:rsidRPr="0040347E">
        <w:rPr>
          <w:rFonts w:ascii="Garamond" w:hAnsi="Garamond"/>
          <w:b/>
        </w:rPr>
        <w:lastRenderedPageBreak/>
        <w:t xml:space="preserve">Proposed Recommendations for the U.S. Government </w:t>
      </w:r>
    </w:p>
    <w:p w14:paraId="7809BECB" w14:textId="77777777" w:rsidR="008401D2" w:rsidRPr="0040347E" w:rsidRDefault="008401D2" w:rsidP="008401D2">
      <w:pPr>
        <w:pStyle w:val="ListParagraph"/>
        <w:ind w:left="360"/>
        <w:jc w:val="both"/>
        <w:rPr>
          <w:rFonts w:ascii="Garamond" w:hAnsi="Garamond"/>
          <w:b/>
        </w:rPr>
      </w:pPr>
    </w:p>
    <w:p w14:paraId="3B2225CF" w14:textId="5BBCDD99" w:rsidR="0040347E" w:rsidRPr="00177D54" w:rsidRDefault="0040347E" w:rsidP="00177D54">
      <w:pPr>
        <w:pStyle w:val="ListParagraph"/>
        <w:numPr>
          <w:ilvl w:val="0"/>
          <w:numId w:val="29"/>
        </w:numPr>
        <w:shd w:val="clear" w:color="auto" w:fill="FFFFFF"/>
        <w:jc w:val="both"/>
        <w:rPr>
          <w:rFonts w:ascii="Garamond" w:eastAsia="Times New Roman" w:hAnsi="Garamond" w:cs="Calibri"/>
          <w:color w:val="201F1E"/>
        </w:rPr>
      </w:pPr>
      <w:r w:rsidRPr="0040347E">
        <w:rPr>
          <w:rFonts w:ascii="Garamond" w:eastAsia="Times New Roman" w:hAnsi="Garamond" w:cs="Calibri"/>
          <w:color w:val="201F1E"/>
          <w:bdr w:val="none" w:sz="0" w:space="0" w:color="auto" w:frame="1"/>
        </w:rPr>
        <w:t xml:space="preserve">Uphold </w:t>
      </w:r>
      <w:r w:rsidR="00177D54">
        <w:rPr>
          <w:rFonts w:ascii="Garamond" w:eastAsia="Times New Roman" w:hAnsi="Garamond" w:cs="Calibri"/>
          <w:color w:val="201F1E"/>
          <w:bdr w:val="none" w:sz="0" w:space="0" w:color="auto" w:frame="1"/>
        </w:rPr>
        <w:t xml:space="preserve">the </w:t>
      </w:r>
      <w:r w:rsidRPr="0040347E">
        <w:rPr>
          <w:rFonts w:ascii="Garamond" w:eastAsia="Times New Roman" w:hAnsi="Garamond" w:cs="Calibri"/>
          <w:color w:val="201F1E"/>
          <w:bdr w:val="none" w:sz="0" w:space="0" w:color="auto" w:frame="1"/>
        </w:rPr>
        <w:t>ICERD and ICCPR</w:t>
      </w:r>
      <w:r w:rsidR="00177D54">
        <w:rPr>
          <w:rFonts w:ascii="Garamond" w:eastAsia="Times New Roman" w:hAnsi="Garamond" w:cs="Calibri"/>
          <w:color w:val="201F1E"/>
          <w:bdr w:val="none" w:sz="0" w:space="0" w:color="auto" w:frame="1"/>
        </w:rPr>
        <w:t xml:space="preserve"> and </w:t>
      </w:r>
      <w:r w:rsidR="00177D54">
        <w:rPr>
          <w:rFonts w:ascii="Garamond" w:eastAsia="Times New Roman" w:hAnsi="Garamond" w:cs="Times New Roman"/>
          <w:color w:val="000000"/>
        </w:rPr>
        <w:t>r</w:t>
      </w:r>
      <w:r w:rsidRPr="00177D54">
        <w:rPr>
          <w:rFonts w:ascii="Garamond" w:eastAsia="Times New Roman" w:hAnsi="Garamond" w:cs="Times New Roman"/>
          <w:color w:val="000000"/>
        </w:rPr>
        <w:t xml:space="preserve">atify </w:t>
      </w:r>
      <w:r w:rsidR="00177D54">
        <w:rPr>
          <w:rFonts w:ascii="Garamond" w:eastAsia="Times New Roman" w:hAnsi="Garamond" w:cs="Times New Roman"/>
          <w:color w:val="000000"/>
        </w:rPr>
        <w:t xml:space="preserve">the </w:t>
      </w:r>
      <w:r w:rsidRPr="00177D54">
        <w:rPr>
          <w:rFonts w:ascii="Garamond" w:eastAsia="Times New Roman" w:hAnsi="Garamond" w:cs="Times New Roman"/>
          <w:color w:val="000000"/>
        </w:rPr>
        <w:t>ICESCR, CEDAW, and CRC.</w:t>
      </w:r>
    </w:p>
    <w:p w14:paraId="73656171" w14:textId="77777777" w:rsidR="0040347E" w:rsidRPr="0040347E" w:rsidRDefault="0040347E" w:rsidP="0040347E">
      <w:pPr>
        <w:pStyle w:val="ListParagraph"/>
        <w:shd w:val="clear" w:color="auto" w:fill="FFFFFF"/>
        <w:ind w:left="1080"/>
        <w:jc w:val="both"/>
        <w:rPr>
          <w:rFonts w:ascii="Garamond" w:eastAsia="Times New Roman" w:hAnsi="Garamond" w:cs="Calibri"/>
          <w:color w:val="201F1E"/>
        </w:rPr>
      </w:pPr>
    </w:p>
    <w:p w14:paraId="26A579F8" w14:textId="667DCE74" w:rsidR="0040347E" w:rsidRPr="0040347E" w:rsidRDefault="0040347E" w:rsidP="0040347E">
      <w:pPr>
        <w:shd w:val="clear" w:color="auto" w:fill="FFFFFF"/>
        <w:ind w:left="360"/>
        <w:jc w:val="both"/>
        <w:rPr>
          <w:rFonts w:ascii="Garamond" w:eastAsia="Times New Roman" w:hAnsi="Garamond" w:cs="Calibri"/>
          <w:b/>
          <w:bCs/>
          <w:color w:val="201F1E"/>
        </w:rPr>
      </w:pPr>
      <w:r w:rsidRPr="0040347E">
        <w:rPr>
          <w:rFonts w:ascii="Garamond" w:eastAsia="Times New Roman" w:hAnsi="Garamond" w:cs="Calibri"/>
          <w:b/>
          <w:bCs/>
          <w:color w:val="201F1E"/>
        </w:rPr>
        <w:t>Food Systems Should Be Controlled by The People</w:t>
      </w:r>
    </w:p>
    <w:p w14:paraId="1B57AD58" w14:textId="77777777" w:rsidR="0040347E" w:rsidRPr="0040347E" w:rsidRDefault="0040347E" w:rsidP="0040347E">
      <w:pPr>
        <w:numPr>
          <w:ilvl w:val="0"/>
          <w:numId w:val="30"/>
        </w:numPr>
        <w:jc w:val="both"/>
        <w:rPr>
          <w:rFonts w:ascii="Garamond" w:eastAsia="Times New Roman" w:hAnsi="Garamond" w:cs="Calibri"/>
          <w:color w:val="000000"/>
        </w:rPr>
      </w:pPr>
      <w:r w:rsidRPr="0040347E">
        <w:rPr>
          <w:rFonts w:ascii="Garamond" w:eastAsia="Times New Roman" w:hAnsi="Garamond" w:cs="Calibri"/>
          <w:color w:val="000000"/>
        </w:rPr>
        <w:t>Adopt a rights-based national plan to end hunger the incorporates strong civic participation from those most affected.</w:t>
      </w:r>
    </w:p>
    <w:p w14:paraId="0DA1CAE9" w14:textId="77777777" w:rsidR="0040347E" w:rsidRPr="0040347E" w:rsidRDefault="0040347E" w:rsidP="0040347E">
      <w:pPr>
        <w:numPr>
          <w:ilvl w:val="0"/>
          <w:numId w:val="30"/>
        </w:numPr>
        <w:jc w:val="both"/>
        <w:rPr>
          <w:rFonts w:ascii="Garamond" w:eastAsia="Times New Roman" w:hAnsi="Garamond" w:cs="Calibri"/>
          <w:color w:val="000000"/>
        </w:rPr>
      </w:pPr>
      <w:r w:rsidRPr="0040347E">
        <w:rPr>
          <w:rFonts w:ascii="Garamond" w:eastAsia="Times New Roman" w:hAnsi="Garamond" w:cs="Calibri"/>
          <w:color w:val="000000"/>
        </w:rPr>
        <w:t>The September 2022 White House Conference on Hunger should adopt a rights-based framework and center the voices of people with lived experiences of hunger.</w:t>
      </w:r>
    </w:p>
    <w:p w14:paraId="12F1FA21" w14:textId="77777777" w:rsidR="0040347E" w:rsidRPr="0040347E" w:rsidRDefault="0040347E" w:rsidP="0040347E">
      <w:pPr>
        <w:numPr>
          <w:ilvl w:val="0"/>
          <w:numId w:val="30"/>
        </w:numPr>
        <w:jc w:val="both"/>
        <w:rPr>
          <w:rFonts w:ascii="Garamond" w:eastAsia="Times New Roman" w:hAnsi="Garamond" w:cs="Calibri"/>
          <w:color w:val="000000"/>
        </w:rPr>
      </w:pPr>
      <w:r w:rsidRPr="0040347E">
        <w:rPr>
          <w:rFonts w:ascii="Garamond" w:eastAsia="Times New Roman" w:hAnsi="Garamond" w:cs="Calibri"/>
          <w:color w:val="000000"/>
        </w:rPr>
        <w:t>Reverse Citizens</w:t>
      </w:r>
      <w:r w:rsidRPr="0040347E">
        <w:rPr>
          <w:rFonts w:ascii="Garamond" w:eastAsia="Times New Roman" w:hAnsi="Garamond" w:cs="Times New Roman"/>
          <w:color w:val="000000"/>
        </w:rPr>
        <w:t> United.</w:t>
      </w:r>
    </w:p>
    <w:p w14:paraId="68158147" w14:textId="77777777" w:rsidR="0040347E" w:rsidRPr="0040347E" w:rsidRDefault="0040347E" w:rsidP="0040347E">
      <w:pPr>
        <w:numPr>
          <w:ilvl w:val="0"/>
          <w:numId w:val="30"/>
        </w:numPr>
        <w:jc w:val="both"/>
        <w:rPr>
          <w:rFonts w:ascii="Garamond" w:eastAsia="Times New Roman" w:hAnsi="Garamond" w:cs="Calibri"/>
          <w:color w:val="000000"/>
        </w:rPr>
      </w:pPr>
      <w:r w:rsidRPr="0040347E">
        <w:rPr>
          <w:rFonts w:ascii="Garamond" w:eastAsia="Times New Roman" w:hAnsi="Garamond" w:cs="Times New Roman"/>
          <w:color w:val="000000"/>
        </w:rPr>
        <w:t>Strengthen anti-trust laws.  </w:t>
      </w:r>
    </w:p>
    <w:p w14:paraId="1C0D70F7" w14:textId="77777777" w:rsidR="0040347E" w:rsidRPr="0040347E" w:rsidRDefault="0040347E" w:rsidP="0040347E">
      <w:pPr>
        <w:numPr>
          <w:ilvl w:val="0"/>
          <w:numId w:val="30"/>
        </w:numPr>
        <w:jc w:val="both"/>
        <w:rPr>
          <w:rFonts w:ascii="Garamond" w:eastAsia="Times New Roman" w:hAnsi="Garamond" w:cs="Calibri"/>
          <w:color w:val="000000"/>
        </w:rPr>
      </w:pPr>
      <w:r w:rsidRPr="0040347E">
        <w:rPr>
          <w:rFonts w:ascii="Garamond" w:eastAsia="Times New Roman" w:hAnsi="Garamond" w:cs="Times New Roman"/>
          <w:color w:val="000000"/>
        </w:rPr>
        <w:t>Protect the fishing, hunting, water, and land rights of Indigenous Peoples.</w:t>
      </w:r>
    </w:p>
    <w:p w14:paraId="4AB363FC" w14:textId="77777777" w:rsidR="0040347E" w:rsidRPr="0040347E" w:rsidRDefault="0040347E" w:rsidP="0040347E">
      <w:pPr>
        <w:numPr>
          <w:ilvl w:val="0"/>
          <w:numId w:val="30"/>
        </w:numPr>
        <w:jc w:val="both"/>
        <w:rPr>
          <w:rFonts w:ascii="Garamond" w:eastAsia="Times New Roman" w:hAnsi="Garamond" w:cs="Calibri"/>
          <w:color w:val="000000"/>
        </w:rPr>
      </w:pPr>
      <w:r w:rsidRPr="0040347E">
        <w:rPr>
          <w:rFonts w:ascii="Garamond" w:eastAsia="Times New Roman" w:hAnsi="Garamond" w:cs="Times New Roman"/>
          <w:color w:val="000000"/>
        </w:rPr>
        <w:t>Empower existing community outreach frameworks to address the right to food.</w:t>
      </w:r>
    </w:p>
    <w:p w14:paraId="5F0F937C" w14:textId="77777777" w:rsidR="0040347E" w:rsidRPr="0040347E" w:rsidRDefault="0040347E" w:rsidP="0040347E">
      <w:pPr>
        <w:numPr>
          <w:ilvl w:val="0"/>
          <w:numId w:val="30"/>
        </w:numPr>
        <w:jc w:val="both"/>
        <w:rPr>
          <w:rFonts w:ascii="Garamond" w:eastAsia="Times New Roman" w:hAnsi="Garamond" w:cs="Calibri"/>
          <w:color w:val="000000"/>
        </w:rPr>
      </w:pPr>
      <w:r w:rsidRPr="0040347E">
        <w:rPr>
          <w:rFonts w:ascii="Garamond" w:eastAsia="Times New Roman" w:hAnsi="Garamond" w:cs="Times New Roman"/>
          <w:color w:val="000000"/>
        </w:rPr>
        <w:t>Adopt a rights-based national plan to end hunger that incorporates strong civic participation from those most affected.</w:t>
      </w:r>
    </w:p>
    <w:p w14:paraId="7399ED30" w14:textId="77777777" w:rsidR="0040347E" w:rsidRPr="0040347E" w:rsidRDefault="0040347E" w:rsidP="0040347E">
      <w:pPr>
        <w:numPr>
          <w:ilvl w:val="0"/>
          <w:numId w:val="30"/>
        </w:numPr>
        <w:jc w:val="both"/>
        <w:rPr>
          <w:rFonts w:ascii="Garamond" w:eastAsia="Times New Roman" w:hAnsi="Garamond" w:cs="Calibri"/>
          <w:color w:val="000000"/>
        </w:rPr>
      </w:pPr>
      <w:r w:rsidRPr="0040347E">
        <w:rPr>
          <w:rFonts w:ascii="Garamond" w:eastAsia="Times New Roman" w:hAnsi="Garamond" w:cs="Times New Roman"/>
          <w:color w:val="000000"/>
        </w:rPr>
        <w:t>Regulate corporate influence over research and lobbying</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on food.</w:t>
      </w:r>
    </w:p>
    <w:p w14:paraId="732D2EEA" w14:textId="1252FC19" w:rsidR="0040347E" w:rsidRPr="008401D2" w:rsidRDefault="0040347E" w:rsidP="0040347E">
      <w:pPr>
        <w:numPr>
          <w:ilvl w:val="0"/>
          <w:numId w:val="30"/>
        </w:numPr>
        <w:jc w:val="both"/>
        <w:rPr>
          <w:rFonts w:ascii="Garamond" w:eastAsia="Times New Roman" w:hAnsi="Garamond" w:cs="Calibri"/>
          <w:color w:val="000000"/>
        </w:rPr>
      </w:pPr>
      <w:r w:rsidRPr="0040347E">
        <w:rPr>
          <w:rFonts w:ascii="Garamond" w:eastAsia="Times New Roman" w:hAnsi="Garamond" w:cs="Times New Roman"/>
          <w:color w:val="000000"/>
        </w:rPr>
        <w:t>Require increased transparency of corporate campaign donations and lobbying.</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 </w:t>
      </w:r>
    </w:p>
    <w:p w14:paraId="149E09E0" w14:textId="77777777" w:rsidR="008401D2" w:rsidRPr="0040347E" w:rsidRDefault="008401D2" w:rsidP="008401D2">
      <w:pPr>
        <w:ind w:left="720"/>
        <w:jc w:val="both"/>
        <w:rPr>
          <w:rFonts w:ascii="Garamond" w:eastAsia="Times New Roman" w:hAnsi="Garamond" w:cs="Calibri"/>
          <w:color w:val="000000"/>
        </w:rPr>
      </w:pPr>
    </w:p>
    <w:p w14:paraId="6037651E" w14:textId="77777777" w:rsidR="0040347E" w:rsidRPr="0040347E" w:rsidRDefault="0040347E" w:rsidP="0040347E">
      <w:pPr>
        <w:shd w:val="clear" w:color="auto" w:fill="FFFFFF"/>
        <w:ind w:firstLine="360"/>
        <w:jc w:val="both"/>
        <w:textAlignment w:val="baseline"/>
        <w:rPr>
          <w:rFonts w:ascii="Garamond" w:eastAsia="Times New Roman" w:hAnsi="Garamond" w:cs="Times New Roman"/>
          <w:color w:val="000000"/>
        </w:rPr>
      </w:pPr>
      <w:r w:rsidRPr="0040347E">
        <w:rPr>
          <w:rFonts w:ascii="Garamond" w:eastAsia="Times New Roman" w:hAnsi="Garamond" w:cs="Times New Roman"/>
          <w:b/>
          <w:bCs/>
          <w:color w:val="201F1E"/>
        </w:rPr>
        <w:t>Food Should Be Adequate and</w:t>
      </w:r>
      <w:r w:rsidRPr="0040347E">
        <w:rPr>
          <w:rFonts w:ascii="Times New Roman" w:eastAsia="Times New Roman" w:hAnsi="Times New Roman" w:cs="Times New Roman"/>
          <w:b/>
          <w:bCs/>
          <w:color w:val="201F1E"/>
        </w:rPr>
        <w:t> </w:t>
      </w:r>
      <w:r w:rsidRPr="0040347E">
        <w:rPr>
          <w:rFonts w:ascii="Garamond" w:eastAsia="Times New Roman" w:hAnsi="Garamond" w:cs="Times New Roman"/>
          <w:b/>
          <w:bCs/>
          <w:color w:val="201F1E"/>
        </w:rPr>
        <w:t>Nutritious</w:t>
      </w:r>
      <w:r w:rsidRPr="0040347E">
        <w:rPr>
          <w:rFonts w:ascii="Garamond" w:eastAsia="Times New Roman" w:hAnsi="Garamond" w:cs="Times New Roman"/>
          <w:color w:val="000000"/>
        </w:rPr>
        <w:t> </w:t>
      </w:r>
    </w:p>
    <w:p w14:paraId="482F0A30" w14:textId="77777777" w:rsidR="0040347E" w:rsidRPr="0040347E" w:rsidRDefault="0040347E" w:rsidP="0040347E">
      <w:pPr>
        <w:numPr>
          <w:ilvl w:val="0"/>
          <w:numId w:val="31"/>
        </w:numPr>
        <w:jc w:val="both"/>
        <w:rPr>
          <w:rFonts w:ascii="Garamond" w:eastAsia="Times New Roman" w:hAnsi="Garamond" w:cs="Calibri"/>
          <w:color w:val="000000"/>
        </w:rPr>
      </w:pPr>
      <w:r w:rsidRPr="0040347E">
        <w:rPr>
          <w:rFonts w:ascii="Garamond" w:eastAsia="Times New Roman" w:hAnsi="Garamond" w:cs="Calibri"/>
          <w:color w:val="000000"/>
        </w:rPr>
        <w:t>Increase and protect</w:t>
      </w:r>
      <w:r w:rsidRPr="0040347E">
        <w:rPr>
          <w:rFonts w:ascii="Times New Roman" w:eastAsia="Times New Roman" w:hAnsi="Times New Roman" w:cs="Times New Roman"/>
          <w:color w:val="000000"/>
        </w:rPr>
        <w:t> </w:t>
      </w:r>
      <w:r w:rsidRPr="0040347E">
        <w:rPr>
          <w:rFonts w:ascii="Garamond" w:eastAsia="Times New Roman" w:hAnsi="Garamond" w:cs="Calibri"/>
          <w:color w:val="000000"/>
        </w:rPr>
        <w:t>supplemental food and nutrition</w:t>
      </w:r>
      <w:r w:rsidRPr="0040347E">
        <w:rPr>
          <w:rFonts w:ascii="Times New Roman" w:eastAsia="Times New Roman" w:hAnsi="Times New Roman" w:cs="Times New Roman"/>
          <w:color w:val="000000"/>
        </w:rPr>
        <w:t> </w:t>
      </w:r>
      <w:r w:rsidRPr="0040347E">
        <w:rPr>
          <w:rFonts w:ascii="Garamond" w:eastAsia="Times New Roman" w:hAnsi="Garamond" w:cs="Calibri"/>
          <w:color w:val="000000"/>
        </w:rPr>
        <w:t>programs.</w:t>
      </w:r>
      <w:r w:rsidRPr="0040347E">
        <w:rPr>
          <w:rFonts w:ascii="Times New Roman" w:eastAsia="Times New Roman" w:hAnsi="Times New Roman" w:cs="Times New Roman"/>
          <w:color w:val="000000"/>
        </w:rPr>
        <w:t> </w:t>
      </w:r>
      <w:r w:rsidRPr="0040347E">
        <w:rPr>
          <w:rFonts w:ascii="Garamond" w:eastAsia="Times New Roman" w:hAnsi="Garamond" w:cs="Calibri"/>
          <w:color w:val="000000"/>
        </w:rPr>
        <w:t> </w:t>
      </w:r>
    </w:p>
    <w:p w14:paraId="4FA6A88E" w14:textId="77777777" w:rsidR="0040347E" w:rsidRPr="0040347E" w:rsidRDefault="0040347E" w:rsidP="0040347E">
      <w:pPr>
        <w:numPr>
          <w:ilvl w:val="0"/>
          <w:numId w:val="31"/>
        </w:numPr>
        <w:jc w:val="both"/>
        <w:rPr>
          <w:rFonts w:ascii="Garamond" w:eastAsia="Times New Roman" w:hAnsi="Garamond" w:cs="Calibri"/>
          <w:color w:val="000000"/>
        </w:rPr>
      </w:pPr>
      <w:r w:rsidRPr="0040347E">
        <w:rPr>
          <w:rFonts w:ascii="Garamond" w:eastAsia="Times New Roman" w:hAnsi="Garamond" w:cs="Calibri"/>
          <w:color w:val="000000"/>
        </w:rPr>
        <w:t>Regulate</w:t>
      </w:r>
      <w:r w:rsidRPr="0040347E">
        <w:rPr>
          <w:rFonts w:ascii="Garamond" w:eastAsia="Times New Roman" w:hAnsi="Garamond" w:cs="Times New Roman"/>
          <w:color w:val="000000"/>
        </w:rPr>
        <w:t> the marketing and labeling of</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unhealthy food. </w:t>
      </w:r>
    </w:p>
    <w:p w14:paraId="7785C525" w14:textId="3B251C7C" w:rsidR="007B5E7A" w:rsidRPr="007B5E7A" w:rsidRDefault="007B5E7A" w:rsidP="0040347E">
      <w:pPr>
        <w:numPr>
          <w:ilvl w:val="0"/>
          <w:numId w:val="31"/>
        </w:numPr>
        <w:jc w:val="both"/>
        <w:rPr>
          <w:rFonts w:ascii="Garamond" w:eastAsia="Times New Roman" w:hAnsi="Garamond" w:cs="Calibri"/>
          <w:color w:val="000000"/>
        </w:rPr>
      </w:pPr>
      <w:r>
        <w:rPr>
          <w:rFonts w:ascii="Garamond" w:eastAsia="Times New Roman" w:hAnsi="Garamond" w:cs="Times New Roman"/>
          <w:color w:val="000000"/>
        </w:rPr>
        <w:t xml:space="preserve">Reinstate the </w:t>
      </w:r>
      <w:r w:rsidRPr="00085DC4">
        <w:rPr>
          <w:rFonts w:ascii="Garamond" w:hAnsi="Garamond"/>
        </w:rPr>
        <w:t>USDA National School Lunch Program</w:t>
      </w:r>
      <w:r>
        <w:rPr>
          <w:rFonts w:ascii="Garamond" w:hAnsi="Garamond"/>
        </w:rPr>
        <w:t xml:space="preserve"> waivers.</w:t>
      </w:r>
    </w:p>
    <w:p w14:paraId="479D369D" w14:textId="767166E8" w:rsidR="0040347E" w:rsidRPr="0040347E" w:rsidRDefault="0040347E" w:rsidP="0040347E">
      <w:pPr>
        <w:numPr>
          <w:ilvl w:val="0"/>
          <w:numId w:val="31"/>
        </w:numPr>
        <w:jc w:val="both"/>
        <w:rPr>
          <w:rFonts w:ascii="Garamond" w:eastAsia="Times New Roman" w:hAnsi="Garamond" w:cs="Calibri"/>
          <w:color w:val="000000"/>
        </w:rPr>
      </w:pPr>
      <w:r w:rsidRPr="0040347E">
        <w:rPr>
          <w:rFonts w:ascii="Garamond" w:eastAsia="Times New Roman" w:hAnsi="Garamond" w:cs="Times New Roman"/>
          <w:color w:val="000000"/>
        </w:rPr>
        <w:t>Implement universal school food programs focusing on nutrition and addressing the existing stigma surrounding free and reduced meals, such as Breakfast After the Bell.</w:t>
      </w:r>
    </w:p>
    <w:p w14:paraId="7544F581" w14:textId="77777777" w:rsidR="0040347E" w:rsidRPr="0040347E" w:rsidRDefault="0040347E" w:rsidP="0040347E">
      <w:pPr>
        <w:numPr>
          <w:ilvl w:val="0"/>
          <w:numId w:val="31"/>
        </w:numPr>
        <w:jc w:val="both"/>
        <w:rPr>
          <w:rFonts w:ascii="Garamond" w:eastAsia="Times New Roman" w:hAnsi="Garamond" w:cs="Calibri"/>
          <w:color w:val="000000"/>
        </w:rPr>
      </w:pPr>
      <w:r w:rsidRPr="0040347E">
        <w:rPr>
          <w:rFonts w:ascii="Garamond" w:eastAsia="Times New Roman" w:hAnsi="Garamond" w:cs="Times New Roman"/>
          <w:color w:val="000000"/>
        </w:rPr>
        <w:t xml:space="preserve">End proliferation of </w:t>
      </w:r>
      <w:proofErr w:type="gramStart"/>
      <w:r w:rsidRPr="0040347E">
        <w:rPr>
          <w:rFonts w:ascii="Garamond" w:eastAsia="Times New Roman" w:hAnsi="Garamond" w:cs="Times New Roman"/>
          <w:color w:val="000000"/>
        </w:rPr>
        <w:t>fast food</w:t>
      </w:r>
      <w:proofErr w:type="gramEnd"/>
      <w:r w:rsidRPr="0040347E">
        <w:rPr>
          <w:rFonts w:ascii="Garamond" w:eastAsia="Times New Roman" w:hAnsi="Garamond" w:cs="Times New Roman"/>
          <w:color w:val="000000"/>
        </w:rPr>
        <w:t xml:space="preserve"> restaurants in low-income neighborhoods and ensure that fresh and affordable food is accessible in all neighborhoods.</w:t>
      </w:r>
    </w:p>
    <w:p w14:paraId="718B5936" w14:textId="77777777" w:rsidR="0040347E" w:rsidRPr="0040347E" w:rsidRDefault="0040347E" w:rsidP="0040347E">
      <w:pPr>
        <w:numPr>
          <w:ilvl w:val="0"/>
          <w:numId w:val="31"/>
        </w:numPr>
        <w:shd w:val="clear" w:color="auto" w:fill="FFFFFF"/>
        <w:jc w:val="both"/>
        <w:textAlignment w:val="baseline"/>
        <w:rPr>
          <w:rFonts w:ascii="Garamond" w:eastAsia="Times New Roman" w:hAnsi="Garamond" w:cs="Times New Roman"/>
          <w:color w:val="000000"/>
        </w:rPr>
      </w:pPr>
      <w:r w:rsidRPr="0040347E">
        <w:rPr>
          <w:rFonts w:ascii="Garamond" w:eastAsia="Times New Roman" w:hAnsi="Garamond" w:cs="Times New Roman"/>
          <w:color w:val="000000"/>
        </w:rPr>
        <w:t>Meaningfully incorporate nutrition into right to food laws, policies, and programs. </w:t>
      </w:r>
    </w:p>
    <w:p w14:paraId="09EA567F" w14:textId="77777777" w:rsidR="0040347E" w:rsidRPr="0040347E" w:rsidRDefault="0040347E" w:rsidP="0040347E">
      <w:pPr>
        <w:jc w:val="both"/>
        <w:rPr>
          <w:rFonts w:ascii="Garamond" w:eastAsia="Times New Roman" w:hAnsi="Garamond" w:cs="Times New Roman"/>
          <w:b/>
          <w:bCs/>
          <w:color w:val="201F1E"/>
        </w:rPr>
      </w:pPr>
    </w:p>
    <w:p w14:paraId="7E04EC92" w14:textId="77777777" w:rsidR="0040347E" w:rsidRPr="0040347E" w:rsidRDefault="0040347E" w:rsidP="0040347E">
      <w:pPr>
        <w:ind w:left="450" w:hanging="90"/>
        <w:jc w:val="both"/>
        <w:rPr>
          <w:rFonts w:ascii="Garamond" w:eastAsia="Times New Roman" w:hAnsi="Garamond" w:cs="Calibri"/>
          <w:color w:val="000000"/>
        </w:rPr>
      </w:pPr>
      <w:r w:rsidRPr="0040347E">
        <w:rPr>
          <w:rFonts w:ascii="Garamond" w:eastAsia="Times New Roman" w:hAnsi="Garamond" w:cs="Times New Roman"/>
          <w:b/>
          <w:bCs/>
          <w:color w:val="201F1E"/>
        </w:rPr>
        <w:t>Food Should Be Economically Accessible</w:t>
      </w:r>
      <w:r w:rsidRPr="0040347E">
        <w:rPr>
          <w:rFonts w:ascii="Garamond" w:eastAsia="Times New Roman" w:hAnsi="Garamond" w:cs="Times New Roman"/>
          <w:color w:val="000000"/>
        </w:rPr>
        <w:t> </w:t>
      </w:r>
    </w:p>
    <w:p w14:paraId="1DF4A436" w14:textId="77777777" w:rsidR="0040347E" w:rsidRPr="0040347E" w:rsidRDefault="0040347E" w:rsidP="0040347E">
      <w:pPr>
        <w:numPr>
          <w:ilvl w:val="0"/>
          <w:numId w:val="32"/>
        </w:numPr>
        <w:jc w:val="both"/>
        <w:rPr>
          <w:rFonts w:ascii="Garamond" w:eastAsia="Times New Roman" w:hAnsi="Garamond" w:cs="Calibri"/>
          <w:color w:val="000000"/>
        </w:rPr>
      </w:pPr>
      <w:r w:rsidRPr="0040347E">
        <w:rPr>
          <w:rFonts w:ascii="Garamond" w:eastAsia="Times New Roman" w:hAnsi="Garamond" w:cs="Times New Roman"/>
          <w:color w:val="000000"/>
        </w:rPr>
        <w:t>Ensure adequate working conditions, living wages, and gender and racial equity.</w:t>
      </w:r>
      <w:r w:rsidRPr="0040347E">
        <w:rPr>
          <w:rFonts w:ascii="Times New Roman" w:eastAsia="Times New Roman" w:hAnsi="Times New Roman" w:cs="Times New Roman"/>
          <w:color w:val="000000"/>
        </w:rPr>
        <w:t>  </w:t>
      </w:r>
      <w:r w:rsidRPr="0040347E">
        <w:rPr>
          <w:rFonts w:ascii="Garamond" w:eastAsia="Times New Roman" w:hAnsi="Garamond" w:cs="Calibri"/>
          <w:color w:val="000000"/>
        </w:rPr>
        <w:t> </w:t>
      </w:r>
    </w:p>
    <w:p w14:paraId="4D4C792B" w14:textId="77777777" w:rsidR="0040347E" w:rsidRPr="0040347E" w:rsidRDefault="0040347E" w:rsidP="0040347E">
      <w:pPr>
        <w:numPr>
          <w:ilvl w:val="0"/>
          <w:numId w:val="32"/>
        </w:numPr>
        <w:jc w:val="both"/>
        <w:rPr>
          <w:rFonts w:ascii="Garamond" w:eastAsia="Times New Roman" w:hAnsi="Garamond" w:cs="Calibri"/>
          <w:color w:val="000000"/>
        </w:rPr>
      </w:pPr>
      <w:r w:rsidRPr="0040347E">
        <w:rPr>
          <w:rFonts w:ascii="Garamond" w:eastAsia="Times New Roman" w:hAnsi="Garamond" w:cs="Times New Roman"/>
          <w:color w:val="000000"/>
        </w:rPr>
        <w:t>Secure and protect land access for</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independent producers, particularly</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people of color and Indigenous communities.</w:t>
      </w:r>
    </w:p>
    <w:p w14:paraId="09D14064" w14:textId="77777777" w:rsidR="0040347E" w:rsidRPr="0040347E" w:rsidRDefault="0040347E" w:rsidP="0040347E">
      <w:pPr>
        <w:numPr>
          <w:ilvl w:val="0"/>
          <w:numId w:val="32"/>
        </w:numPr>
        <w:jc w:val="both"/>
        <w:rPr>
          <w:rFonts w:ascii="Garamond" w:eastAsia="Times New Roman" w:hAnsi="Garamond" w:cs="Calibri"/>
          <w:color w:val="000000"/>
        </w:rPr>
      </w:pPr>
      <w:r w:rsidRPr="0040347E">
        <w:rPr>
          <w:rFonts w:ascii="Garamond" w:eastAsia="Times New Roman" w:hAnsi="Garamond" w:cs="Times New Roman"/>
          <w:color w:val="000000"/>
        </w:rPr>
        <w:t>Pay reparations to communities whose labor has been systematically exploited and have been dispossessed of their land since the founding of the U.S. and address the unequitable redistribution of land. </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 </w:t>
      </w:r>
    </w:p>
    <w:p w14:paraId="3B9FE0AB" w14:textId="77777777" w:rsidR="0040347E" w:rsidRPr="0040347E" w:rsidRDefault="0040347E" w:rsidP="0040347E">
      <w:pPr>
        <w:numPr>
          <w:ilvl w:val="0"/>
          <w:numId w:val="32"/>
        </w:numPr>
        <w:jc w:val="both"/>
        <w:rPr>
          <w:rFonts w:ascii="Garamond" w:eastAsia="Times New Roman" w:hAnsi="Garamond" w:cs="Calibri"/>
          <w:color w:val="000000"/>
        </w:rPr>
      </w:pPr>
      <w:r w:rsidRPr="0040347E">
        <w:rPr>
          <w:rFonts w:ascii="Garamond" w:eastAsia="Times New Roman" w:hAnsi="Garamond" w:cs="Times New Roman"/>
          <w:color w:val="000000"/>
        </w:rPr>
        <w:t xml:space="preserve">Address access, adequacy and quality of affordable housing, healthcare, employment, and the immigration system, </w:t>
      </w:r>
      <w:r w:rsidRPr="0040347E">
        <w:rPr>
          <w:rFonts w:ascii="Garamond" w:hAnsi="Garamond" w:cs="Helvetica Neue"/>
          <w:color w:val="000000"/>
        </w:rPr>
        <w:t>including amending immigration policy to allow for pathway to citizenship for agriculture and food industry workers.</w:t>
      </w:r>
    </w:p>
    <w:p w14:paraId="7F7ADDA1" w14:textId="77777777" w:rsidR="0040347E" w:rsidRPr="0040347E" w:rsidRDefault="0040347E" w:rsidP="0040347E">
      <w:pPr>
        <w:numPr>
          <w:ilvl w:val="0"/>
          <w:numId w:val="32"/>
        </w:numPr>
        <w:jc w:val="both"/>
        <w:rPr>
          <w:rFonts w:ascii="Garamond" w:eastAsia="Times New Roman" w:hAnsi="Garamond" w:cs="Calibri"/>
          <w:color w:val="000000"/>
        </w:rPr>
      </w:pPr>
      <w:r w:rsidRPr="0040347E">
        <w:rPr>
          <w:rFonts w:ascii="Garamond" w:eastAsia="Times New Roman" w:hAnsi="Garamond" w:cs="Times New Roman"/>
          <w:color w:val="000000"/>
        </w:rPr>
        <w:t>Promote and fund cooperative ownership</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of</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land and community</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food</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stores.</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 </w:t>
      </w:r>
    </w:p>
    <w:p w14:paraId="27955DB4" w14:textId="77777777" w:rsidR="0040347E" w:rsidRPr="0040347E" w:rsidRDefault="0040347E" w:rsidP="0040347E">
      <w:pPr>
        <w:numPr>
          <w:ilvl w:val="0"/>
          <w:numId w:val="32"/>
        </w:numPr>
        <w:jc w:val="both"/>
        <w:rPr>
          <w:rFonts w:ascii="Garamond" w:eastAsia="Times New Roman" w:hAnsi="Garamond" w:cs="Calibri"/>
          <w:color w:val="000000"/>
        </w:rPr>
      </w:pPr>
      <w:r w:rsidRPr="0040347E">
        <w:rPr>
          <w:rFonts w:ascii="Garamond" w:hAnsi="Garamond" w:cs="Helvetica Neue"/>
          <w:color w:val="000000"/>
        </w:rPr>
        <w:t>End the exemption for agriculture in the Ashurst-</w:t>
      </w:r>
      <w:proofErr w:type="spellStart"/>
      <w:r w:rsidRPr="0040347E">
        <w:rPr>
          <w:rFonts w:ascii="Garamond" w:hAnsi="Garamond" w:cs="Helvetica Neue"/>
          <w:color w:val="000000"/>
        </w:rPr>
        <w:t>Sumners</w:t>
      </w:r>
      <w:proofErr w:type="spellEnd"/>
      <w:r w:rsidRPr="0040347E">
        <w:rPr>
          <w:rFonts w:ascii="Garamond" w:hAnsi="Garamond" w:cs="Helvetica Neue"/>
          <w:color w:val="000000"/>
        </w:rPr>
        <w:t xml:space="preserve"> Act.</w:t>
      </w:r>
    </w:p>
    <w:p w14:paraId="283891BE" w14:textId="77777777" w:rsidR="0040347E" w:rsidRPr="0040347E" w:rsidRDefault="0040347E" w:rsidP="0040347E">
      <w:pPr>
        <w:jc w:val="both"/>
        <w:rPr>
          <w:rFonts w:ascii="Garamond" w:eastAsia="Times New Roman" w:hAnsi="Garamond" w:cs="Times New Roman"/>
          <w:b/>
          <w:bCs/>
          <w:color w:val="201F1E"/>
        </w:rPr>
      </w:pPr>
    </w:p>
    <w:p w14:paraId="1D3BE737" w14:textId="77777777" w:rsidR="0040347E" w:rsidRPr="0040347E" w:rsidRDefault="0040347E" w:rsidP="0040347E">
      <w:pPr>
        <w:ind w:left="540" w:hanging="180"/>
        <w:jc w:val="both"/>
        <w:rPr>
          <w:rFonts w:ascii="Garamond" w:eastAsia="Times New Roman" w:hAnsi="Garamond" w:cs="Calibri"/>
          <w:color w:val="000000"/>
        </w:rPr>
      </w:pPr>
      <w:r w:rsidRPr="0040347E">
        <w:rPr>
          <w:rFonts w:ascii="Garamond" w:eastAsia="Times New Roman" w:hAnsi="Garamond" w:cs="Times New Roman"/>
          <w:b/>
          <w:bCs/>
          <w:color w:val="201F1E"/>
        </w:rPr>
        <w:t>Food Should Be Environmentally Sustainable</w:t>
      </w:r>
      <w:r w:rsidRPr="0040347E">
        <w:rPr>
          <w:rFonts w:ascii="Garamond" w:eastAsia="Times New Roman" w:hAnsi="Garamond" w:cs="Times New Roman"/>
          <w:color w:val="000000"/>
        </w:rPr>
        <w:t> </w:t>
      </w:r>
    </w:p>
    <w:p w14:paraId="1E21DD82" w14:textId="77777777" w:rsidR="0040347E" w:rsidRPr="0040347E" w:rsidRDefault="0040347E" w:rsidP="0040347E">
      <w:pPr>
        <w:numPr>
          <w:ilvl w:val="0"/>
          <w:numId w:val="33"/>
        </w:numPr>
        <w:shd w:val="clear" w:color="auto" w:fill="FFFFFF"/>
        <w:jc w:val="both"/>
        <w:textAlignment w:val="baseline"/>
        <w:rPr>
          <w:rFonts w:ascii="Garamond" w:eastAsia="Times New Roman" w:hAnsi="Garamond" w:cs="Times New Roman"/>
          <w:color w:val="000000"/>
        </w:rPr>
      </w:pPr>
      <w:r w:rsidRPr="0040347E">
        <w:rPr>
          <w:rFonts w:ascii="Garamond" w:eastAsia="Times New Roman" w:hAnsi="Garamond" w:cs="Times New Roman"/>
          <w:color w:val="000000"/>
        </w:rPr>
        <w:t>Support, subsidize and incentivize independent</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and small-scale</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food producers.</w:t>
      </w:r>
    </w:p>
    <w:p w14:paraId="143B845E" w14:textId="77777777" w:rsidR="0040347E" w:rsidRPr="0040347E" w:rsidRDefault="0040347E" w:rsidP="0040347E">
      <w:pPr>
        <w:numPr>
          <w:ilvl w:val="0"/>
          <w:numId w:val="33"/>
        </w:numPr>
        <w:shd w:val="clear" w:color="auto" w:fill="FFFFFF"/>
        <w:jc w:val="both"/>
        <w:textAlignment w:val="baseline"/>
        <w:rPr>
          <w:rFonts w:ascii="Garamond" w:eastAsia="Times New Roman" w:hAnsi="Garamond" w:cs="Times New Roman"/>
          <w:color w:val="000000"/>
        </w:rPr>
      </w:pPr>
      <w:r w:rsidRPr="0040347E">
        <w:rPr>
          <w:rFonts w:ascii="Garamond" w:eastAsia="Times New Roman" w:hAnsi="Garamond" w:cs="Times New Roman"/>
          <w:color w:val="000000"/>
        </w:rPr>
        <w:t>Incentivize food producers that implement sustainable practices.</w:t>
      </w:r>
      <w:r w:rsidRPr="0040347E">
        <w:rPr>
          <w:rFonts w:ascii="Times New Roman" w:eastAsia="Times New Roman" w:hAnsi="Times New Roman" w:cs="Times New Roman"/>
          <w:color w:val="000000"/>
        </w:rPr>
        <w:t> </w:t>
      </w:r>
      <w:r w:rsidRPr="0040347E">
        <w:rPr>
          <w:rFonts w:ascii="Garamond" w:eastAsia="Times New Roman" w:hAnsi="Garamond" w:cs="Times New Roman"/>
          <w:color w:val="000000"/>
        </w:rPr>
        <w:t> </w:t>
      </w:r>
    </w:p>
    <w:p w14:paraId="4A51D035" w14:textId="77777777" w:rsidR="0040347E" w:rsidRPr="0040347E" w:rsidRDefault="0040347E" w:rsidP="0040347E">
      <w:pPr>
        <w:numPr>
          <w:ilvl w:val="0"/>
          <w:numId w:val="33"/>
        </w:numPr>
        <w:shd w:val="clear" w:color="auto" w:fill="FFFFFF"/>
        <w:jc w:val="both"/>
        <w:textAlignment w:val="baseline"/>
        <w:rPr>
          <w:rFonts w:ascii="Garamond" w:eastAsia="Times New Roman" w:hAnsi="Garamond" w:cs="Times New Roman"/>
          <w:color w:val="000000"/>
        </w:rPr>
      </w:pPr>
      <w:r w:rsidRPr="0040347E">
        <w:rPr>
          <w:rFonts w:ascii="Garamond" w:eastAsia="Times New Roman" w:hAnsi="Garamond" w:cs="Times New Roman"/>
          <w:color w:val="000000"/>
        </w:rPr>
        <w:t>Hold agricultural companies liable for their impacts on the environment, which taint water and food supplies.</w:t>
      </w:r>
    </w:p>
    <w:p w14:paraId="37855C39" w14:textId="00D766FA" w:rsidR="00E21BF5" w:rsidRPr="00724E4C" w:rsidRDefault="0040347E" w:rsidP="00F252A7">
      <w:pPr>
        <w:numPr>
          <w:ilvl w:val="0"/>
          <w:numId w:val="33"/>
        </w:numPr>
        <w:shd w:val="clear" w:color="auto" w:fill="FFFFFF"/>
        <w:jc w:val="both"/>
        <w:textAlignment w:val="baseline"/>
        <w:rPr>
          <w:rFonts w:ascii="Garamond" w:eastAsia="Times New Roman" w:hAnsi="Garamond" w:cs="Times New Roman"/>
          <w:color w:val="000000"/>
        </w:rPr>
      </w:pPr>
      <w:r w:rsidRPr="0040347E">
        <w:rPr>
          <w:rFonts w:ascii="Garamond" w:eastAsia="Times New Roman" w:hAnsi="Garamond" w:cs="Times New Roman"/>
          <w:color w:val="000000"/>
        </w:rPr>
        <w:t>Federal government’s conservation plan must prioritize Indigenous Peoples’ demands.</w:t>
      </w:r>
    </w:p>
    <w:sectPr w:rsidR="00E21BF5" w:rsidRPr="00724E4C" w:rsidSect="00CF01A5">
      <w:footerReference w:type="even" r:id="rId20"/>
      <w:footerReference w:type="default" r:id="rId21"/>
      <w:pgSz w:w="12240" w:h="15840"/>
      <w:pgMar w:top="720" w:right="1080" w:bottom="72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9FF00" w14:textId="77777777" w:rsidR="000F34B4" w:rsidRDefault="000F34B4" w:rsidP="00F959A1">
      <w:r>
        <w:separator/>
      </w:r>
    </w:p>
  </w:endnote>
  <w:endnote w:type="continuationSeparator" w:id="0">
    <w:p w14:paraId="7878ED41" w14:textId="77777777" w:rsidR="000F34B4" w:rsidRDefault="000F34B4" w:rsidP="00F95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EB Garamond">
    <w:panose1 w:val="020B0604020202020204"/>
    <w:charset w:val="00"/>
    <w:family w:val="auto"/>
    <w:pitch w:val="variable"/>
    <w:sig w:usb0="E00002FF" w:usb1="02000413" w:usb2="00000000" w:usb3="00000000" w:csb0="0000019F" w:csb1="00000000"/>
  </w:font>
  <w:font w:name="Times">
    <w:panose1 w:val="00000500000000020000"/>
    <w:charset w:val="00"/>
    <w:family w:val="auto"/>
    <w:pitch w:val="variable"/>
    <w:sig w:usb0="E00002FF" w:usb1="5000205A" w:usb2="00000000" w:usb3="00000000" w:csb0="0000019F" w:csb1="00000000"/>
  </w:font>
  <w:font w:name="Garamond">
    <w:panose1 w:val="020B0604020202020204"/>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Open Sans">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5328135"/>
      <w:docPartObj>
        <w:docPartGallery w:val="Page Numbers (Bottom of Page)"/>
        <w:docPartUnique/>
      </w:docPartObj>
    </w:sdtPr>
    <w:sdtEndPr>
      <w:rPr>
        <w:rStyle w:val="PageNumber"/>
      </w:rPr>
    </w:sdtEndPr>
    <w:sdtContent>
      <w:p w14:paraId="1E0871C7" w14:textId="6BACDB9A" w:rsidR="00085DC4" w:rsidRDefault="00085DC4" w:rsidP="00A21C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571A3D" w14:textId="77777777" w:rsidR="00085DC4" w:rsidRDefault="00085D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1223576"/>
      <w:docPartObj>
        <w:docPartGallery w:val="Page Numbers (Bottom of Page)"/>
        <w:docPartUnique/>
      </w:docPartObj>
    </w:sdtPr>
    <w:sdtEndPr>
      <w:rPr>
        <w:rStyle w:val="PageNumber"/>
      </w:rPr>
    </w:sdtEndPr>
    <w:sdtContent>
      <w:p w14:paraId="549F34E8" w14:textId="2FEFA96D" w:rsidR="00085DC4" w:rsidRDefault="00085DC4" w:rsidP="00A21C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5B2DCC55" w14:textId="77777777" w:rsidR="00085DC4" w:rsidRDefault="00085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A870C" w14:textId="77777777" w:rsidR="000F34B4" w:rsidRDefault="000F34B4" w:rsidP="00F959A1">
      <w:r>
        <w:separator/>
      </w:r>
    </w:p>
  </w:footnote>
  <w:footnote w:type="continuationSeparator" w:id="0">
    <w:p w14:paraId="774B0892" w14:textId="77777777" w:rsidR="000F34B4" w:rsidRDefault="000F34B4" w:rsidP="00F959A1">
      <w:r>
        <w:continuationSeparator/>
      </w:r>
    </w:p>
  </w:footnote>
  <w:footnote w:id="1">
    <w:p w14:paraId="0C8882CE" w14:textId="17B276AC" w:rsidR="00FD1330" w:rsidRPr="00A853EB" w:rsidRDefault="00FD1330" w:rsidP="00474744">
      <w:pPr>
        <w:pBdr>
          <w:top w:val="nil"/>
          <w:left w:val="nil"/>
          <w:bottom w:val="nil"/>
          <w:right w:val="nil"/>
          <w:between w:val="nil"/>
        </w:pBdr>
        <w:rPr>
          <w:rFonts w:ascii="Garamond" w:eastAsia="Arial" w:hAnsi="Garamond" w:cs="Arial"/>
          <w:color w:val="000000"/>
          <w:sz w:val="20"/>
          <w:szCs w:val="20"/>
        </w:rPr>
      </w:pPr>
      <w:r w:rsidRPr="009966C9">
        <w:rPr>
          <w:rStyle w:val="FootnoteReference"/>
          <w:rFonts w:ascii="Garamond" w:hAnsi="Garamond"/>
          <w:sz w:val="20"/>
          <w:szCs w:val="20"/>
        </w:rPr>
        <w:footnoteRef/>
      </w:r>
      <w:r w:rsidRPr="009966C9">
        <w:rPr>
          <w:rFonts w:ascii="Garamond" w:eastAsia="Arial" w:hAnsi="Garamond" w:cs="Arial"/>
          <w:color w:val="000000"/>
          <w:sz w:val="20"/>
          <w:szCs w:val="20"/>
        </w:rPr>
        <w:t xml:space="preserve"> </w:t>
      </w:r>
      <w:r w:rsidRPr="00A853EB">
        <w:rPr>
          <w:rFonts w:ascii="Garamond" w:eastAsia="Arial" w:hAnsi="Garamond" w:cs="Arial"/>
          <w:color w:val="000000"/>
          <w:sz w:val="20"/>
          <w:szCs w:val="20"/>
        </w:rPr>
        <w:t xml:space="preserve">Excerpts of this submission are from the University of Miami School of Law Human Rights Clinic Joint Submission to the Human Rights Council for its 36th Session of the Universal Periodic Review of the United States entitled </w:t>
      </w:r>
      <w:hyperlink r:id="rId1">
        <w:r w:rsidRPr="00A853EB">
          <w:rPr>
            <w:rFonts w:ascii="Garamond" w:eastAsia="Arial" w:hAnsi="Garamond" w:cs="Arial"/>
            <w:color w:val="0563C1"/>
            <w:sz w:val="20"/>
            <w:szCs w:val="20"/>
            <w:u w:val="single"/>
          </w:rPr>
          <w:t>The Human Right to Food in the Context of Political Participation, Equality and Nondiscrimination</w:t>
        </w:r>
      </w:hyperlink>
      <w:r w:rsidRPr="00A853EB">
        <w:rPr>
          <w:rFonts w:ascii="Garamond" w:eastAsia="Arial" w:hAnsi="Garamond" w:cs="Arial"/>
          <w:color w:val="000000"/>
          <w:sz w:val="20"/>
          <w:szCs w:val="20"/>
        </w:rPr>
        <w:t xml:space="preserve"> and f</w:t>
      </w:r>
      <w:r w:rsidR="005E4A2E">
        <w:rPr>
          <w:rFonts w:ascii="Garamond" w:eastAsia="Arial" w:hAnsi="Garamond" w:cs="Arial"/>
          <w:color w:val="000000"/>
          <w:sz w:val="20"/>
          <w:szCs w:val="20"/>
        </w:rPr>
        <w:t>rom</w:t>
      </w:r>
      <w:r w:rsidRPr="00A853EB">
        <w:rPr>
          <w:rFonts w:ascii="Garamond" w:eastAsia="Arial" w:hAnsi="Garamond" w:cs="Arial"/>
          <w:color w:val="000000"/>
          <w:sz w:val="20"/>
          <w:szCs w:val="20"/>
        </w:rPr>
        <w:t xml:space="preserve"> the University of Miami School of Law Human Rights Clinic Submission to the United Nations Special Rapporteur on the Right to Food, Mr. Michael Fakhri, entitled </w:t>
      </w:r>
      <w:hyperlink r:id="rId2">
        <w:r w:rsidRPr="00A853EB">
          <w:rPr>
            <w:rFonts w:ascii="Garamond" w:eastAsia="Arial" w:hAnsi="Garamond" w:cs="Arial"/>
            <w:color w:val="0563C1"/>
            <w:sz w:val="20"/>
            <w:szCs w:val="20"/>
            <w:u w:val="single"/>
          </w:rPr>
          <w:t>Violations of the Human Right to Food During Covid-19 in the United States</w:t>
        </w:r>
      </w:hyperlink>
      <w:r w:rsidRPr="00A853EB">
        <w:rPr>
          <w:rFonts w:ascii="Garamond" w:eastAsia="Arial" w:hAnsi="Garamond" w:cs="Arial"/>
          <w:color w:val="000000"/>
          <w:sz w:val="20"/>
          <w:szCs w:val="20"/>
        </w:rPr>
        <w:t>.</w:t>
      </w:r>
      <w:r w:rsidR="009966C9" w:rsidRPr="00A853EB">
        <w:rPr>
          <w:rFonts w:ascii="Garamond" w:eastAsia="Arial" w:hAnsi="Garamond" w:cs="Arial"/>
          <w:color w:val="000000"/>
          <w:sz w:val="20"/>
          <w:szCs w:val="20"/>
        </w:rPr>
        <w:t xml:space="preserve"> </w:t>
      </w:r>
    </w:p>
  </w:footnote>
  <w:footnote w:id="2">
    <w:p w14:paraId="6C0ECBDC" w14:textId="297D5FEB" w:rsidR="00FD1330" w:rsidRPr="00A853EB" w:rsidRDefault="00FD1330" w:rsidP="00474744">
      <w:pPr>
        <w:rPr>
          <w:rFonts w:ascii="Garamond" w:eastAsia="Times New Roman" w:hAnsi="Garamond" w:cs="Times New Roman"/>
          <w:sz w:val="20"/>
          <w:szCs w:val="20"/>
        </w:rPr>
      </w:pPr>
      <w:r w:rsidRPr="00A853EB">
        <w:rPr>
          <w:rStyle w:val="FootnoteReference"/>
          <w:rFonts w:ascii="Garamond" w:hAnsi="Garamond"/>
          <w:sz w:val="20"/>
          <w:szCs w:val="20"/>
        </w:rPr>
        <w:footnoteRef/>
      </w:r>
      <w:r w:rsidRPr="00A853EB">
        <w:rPr>
          <w:rFonts w:ascii="Garamond" w:hAnsi="Garamond"/>
          <w:sz w:val="20"/>
          <w:szCs w:val="20"/>
        </w:rPr>
        <w:t xml:space="preserve"> </w:t>
      </w:r>
      <w:r w:rsidR="006055B0" w:rsidRPr="00A853EB">
        <w:rPr>
          <w:rFonts w:ascii="Garamond" w:hAnsi="Garamond"/>
          <w:sz w:val="20"/>
          <w:szCs w:val="20"/>
        </w:rPr>
        <w:t>T</w:t>
      </w:r>
      <w:r w:rsidRPr="00A853EB">
        <w:rPr>
          <w:rFonts w:ascii="Garamond" w:hAnsi="Garamond"/>
          <w:sz w:val="20"/>
          <w:szCs w:val="20"/>
        </w:rPr>
        <w:t xml:space="preserve">his submission </w:t>
      </w:r>
      <w:r w:rsidR="006176F7" w:rsidRPr="00A853EB">
        <w:rPr>
          <w:rFonts w:ascii="Garamond" w:hAnsi="Garamond"/>
          <w:sz w:val="20"/>
          <w:szCs w:val="20"/>
        </w:rPr>
        <w:t xml:space="preserve">greatly </w:t>
      </w:r>
      <w:r w:rsidR="006055B0" w:rsidRPr="00A853EB">
        <w:rPr>
          <w:rFonts w:ascii="Garamond" w:hAnsi="Garamond"/>
          <w:sz w:val="20"/>
          <w:szCs w:val="20"/>
        </w:rPr>
        <w:t>benefited from input from</w:t>
      </w:r>
      <w:r w:rsidR="006176F7" w:rsidRPr="00A853EB">
        <w:rPr>
          <w:rFonts w:ascii="Garamond" w:hAnsi="Garamond"/>
          <w:sz w:val="20"/>
          <w:szCs w:val="20"/>
        </w:rPr>
        <w:t xml:space="preserve"> the following individuals with lived experiences of hunger, advocates, and</w:t>
      </w:r>
      <w:r w:rsidR="009966C9" w:rsidRPr="00A853EB">
        <w:rPr>
          <w:rFonts w:ascii="Garamond" w:hAnsi="Garamond"/>
          <w:sz w:val="20"/>
          <w:szCs w:val="20"/>
        </w:rPr>
        <w:t xml:space="preserve">      </w:t>
      </w:r>
      <w:r w:rsidR="006176F7" w:rsidRPr="00A853EB">
        <w:rPr>
          <w:rFonts w:ascii="Garamond" w:hAnsi="Garamond"/>
          <w:sz w:val="20"/>
          <w:szCs w:val="20"/>
        </w:rPr>
        <w:t>academics</w:t>
      </w:r>
      <w:r w:rsidR="006055B0" w:rsidRPr="00A853EB">
        <w:rPr>
          <w:rFonts w:ascii="Garamond" w:hAnsi="Garamond"/>
          <w:sz w:val="20"/>
          <w:szCs w:val="20"/>
        </w:rPr>
        <w:t>:</w:t>
      </w:r>
      <w:r w:rsidRPr="00A853EB">
        <w:rPr>
          <w:rFonts w:ascii="Garamond" w:hAnsi="Garamond"/>
          <w:sz w:val="20"/>
          <w:szCs w:val="20"/>
        </w:rPr>
        <w:t xml:space="preserve"> </w:t>
      </w:r>
      <w:r w:rsidR="00B85D81" w:rsidRPr="00A853EB">
        <w:rPr>
          <w:rFonts w:ascii="Garamond" w:hAnsi="Garamond"/>
          <w:sz w:val="20"/>
          <w:szCs w:val="20"/>
        </w:rPr>
        <w:t xml:space="preserve">Suzanne Babb, Anne Bellows, Lorrie Clevenger, </w:t>
      </w:r>
      <w:r w:rsidR="006055B0" w:rsidRPr="00A853EB">
        <w:rPr>
          <w:rFonts w:ascii="Garamond" w:hAnsi="Garamond"/>
          <w:sz w:val="20"/>
          <w:szCs w:val="20"/>
        </w:rPr>
        <w:t xml:space="preserve">Alison Cohen, Rebecca de Souza, </w:t>
      </w:r>
      <w:r w:rsidR="00B85D81" w:rsidRPr="00A853EB">
        <w:rPr>
          <w:rFonts w:ascii="Garamond" w:hAnsi="Garamond"/>
          <w:sz w:val="20"/>
          <w:szCs w:val="20"/>
        </w:rPr>
        <w:t xml:space="preserve">Amy Jo Hutchinson, Angi Kerns, </w:t>
      </w:r>
      <w:r w:rsidR="006055B0" w:rsidRPr="00A853EB">
        <w:rPr>
          <w:rFonts w:ascii="Garamond" w:eastAsia="Times New Roman" w:hAnsi="Garamond" w:cs="Calibri"/>
          <w:color w:val="000000"/>
          <w:sz w:val="20"/>
          <w:szCs w:val="20"/>
        </w:rPr>
        <w:t>Laura-Anne Minkoff-</w:t>
      </w:r>
      <w:proofErr w:type="spellStart"/>
      <w:r w:rsidR="006055B0" w:rsidRPr="00A853EB">
        <w:rPr>
          <w:rFonts w:ascii="Garamond" w:eastAsia="Times New Roman" w:hAnsi="Garamond" w:cs="Calibri"/>
          <w:color w:val="000000"/>
          <w:sz w:val="20"/>
          <w:szCs w:val="20"/>
        </w:rPr>
        <w:t>Zern</w:t>
      </w:r>
      <w:proofErr w:type="spellEnd"/>
      <w:r w:rsidR="00B85D81" w:rsidRPr="00A853EB">
        <w:rPr>
          <w:rFonts w:ascii="Garamond" w:eastAsia="Times New Roman" w:hAnsi="Garamond" w:cs="Calibri"/>
          <w:color w:val="000000"/>
          <w:sz w:val="20"/>
          <w:szCs w:val="20"/>
        </w:rPr>
        <w:t xml:space="preserve">, </w:t>
      </w:r>
      <w:r w:rsidRPr="00A853EB">
        <w:rPr>
          <w:rFonts w:ascii="Garamond" w:hAnsi="Garamond"/>
          <w:sz w:val="20"/>
          <w:szCs w:val="20"/>
        </w:rPr>
        <w:t>Josh</w:t>
      </w:r>
      <w:r w:rsidR="00B85D81" w:rsidRPr="00A853EB">
        <w:rPr>
          <w:rFonts w:ascii="Garamond" w:hAnsi="Garamond"/>
          <w:sz w:val="20"/>
          <w:szCs w:val="20"/>
        </w:rPr>
        <w:t>ua</w:t>
      </w:r>
      <w:r w:rsidRPr="00A853EB">
        <w:rPr>
          <w:rFonts w:ascii="Garamond" w:hAnsi="Garamond"/>
          <w:sz w:val="20"/>
          <w:szCs w:val="20"/>
        </w:rPr>
        <w:t xml:space="preserve"> </w:t>
      </w:r>
      <w:proofErr w:type="spellStart"/>
      <w:r w:rsidRPr="00A853EB">
        <w:rPr>
          <w:rFonts w:ascii="Garamond" w:hAnsi="Garamond"/>
          <w:sz w:val="20"/>
          <w:szCs w:val="20"/>
        </w:rPr>
        <w:t>Lohnes</w:t>
      </w:r>
      <w:proofErr w:type="spellEnd"/>
      <w:r w:rsidRPr="00A853EB">
        <w:rPr>
          <w:rFonts w:ascii="Garamond" w:hAnsi="Garamond"/>
          <w:sz w:val="20"/>
          <w:szCs w:val="20"/>
        </w:rPr>
        <w:t xml:space="preserve">, </w:t>
      </w:r>
      <w:r w:rsidR="00B85D81" w:rsidRPr="00A853EB">
        <w:rPr>
          <w:rFonts w:ascii="Garamond" w:hAnsi="Garamond"/>
          <w:sz w:val="20"/>
          <w:szCs w:val="20"/>
        </w:rPr>
        <w:t xml:space="preserve">Adam Pine, </w:t>
      </w:r>
      <w:r w:rsidRPr="00A853EB">
        <w:rPr>
          <w:rFonts w:ascii="Garamond" w:hAnsi="Garamond"/>
          <w:sz w:val="20"/>
          <w:szCs w:val="20"/>
        </w:rPr>
        <w:t xml:space="preserve">and </w:t>
      </w:r>
      <w:r w:rsidR="00B85D81" w:rsidRPr="00A853EB">
        <w:rPr>
          <w:rFonts w:ascii="Garamond" w:hAnsi="Garamond"/>
          <w:sz w:val="20"/>
          <w:szCs w:val="20"/>
        </w:rPr>
        <w:t>Christina Wong</w:t>
      </w:r>
      <w:r w:rsidR="009966C9" w:rsidRPr="00A853EB">
        <w:rPr>
          <w:rFonts w:ascii="Garamond" w:hAnsi="Garamond"/>
          <w:sz w:val="20"/>
          <w:szCs w:val="20"/>
        </w:rPr>
        <w:t xml:space="preserve">. </w:t>
      </w:r>
      <w:r w:rsidR="009966C9" w:rsidRPr="00A853EB">
        <w:rPr>
          <w:rFonts w:ascii="Garamond" w:eastAsia="Arial" w:hAnsi="Garamond" w:cs="Arial"/>
          <w:color w:val="000000"/>
          <w:sz w:val="20"/>
          <w:szCs w:val="20"/>
        </w:rPr>
        <w:t xml:space="preserve">This submission is supported by </w:t>
      </w:r>
      <w:r w:rsidR="007F1E6E">
        <w:rPr>
          <w:rFonts w:ascii="Garamond" w:eastAsia="Arial" w:hAnsi="Garamond" w:cs="Arial"/>
          <w:color w:val="000000"/>
          <w:sz w:val="20"/>
          <w:szCs w:val="20"/>
        </w:rPr>
        <w:t>t</w:t>
      </w:r>
      <w:r w:rsidR="009966C9" w:rsidRPr="00A853EB">
        <w:rPr>
          <w:rFonts w:ascii="Garamond" w:eastAsia="Arial" w:hAnsi="Garamond" w:cs="Arial"/>
          <w:color w:val="000000"/>
          <w:sz w:val="20"/>
          <w:szCs w:val="20"/>
        </w:rPr>
        <w:t>he</w:t>
      </w:r>
      <w:r w:rsidR="007F1E6E">
        <w:rPr>
          <w:rFonts w:ascii="Garamond" w:eastAsia="Arial" w:hAnsi="Garamond" w:cs="Arial"/>
          <w:color w:val="000000"/>
          <w:sz w:val="20"/>
          <w:szCs w:val="20"/>
        </w:rPr>
        <w:t xml:space="preserve"> University of Miami School of Law Human Rights Clinic;</w:t>
      </w:r>
      <w:r w:rsidR="009966C9" w:rsidRPr="00A853EB">
        <w:rPr>
          <w:rFonts w:ascii="Garamond" w:eastAsia="Arial" w:hAnsi="Garamond" w:cs="Arial"/>
          <w:color w:val="000000"/>
          <w:sz w:val="20"/>
          <w:szCs w:val="20"/>
        </w:rPr>
        <w:t xml:space="preserve"> </w:t>
      </w:r>
      <w:r w:rsidR="007F1E6E" w:rsidRPr="00A853EB">
        <w:rPr>
          <w:rFonts w:ascii="Garamond" w:eastAsia="Arial" w:hAnsi="Garamond" w:cs="Arial"/>
          <w:color w:val="000000"/>
          <w:sz w:val="20"/>
          <w:szCs w:val="20"/>
        </w:rPr>
        <w:t xml:space="preserve">West Virginia University’ s Center for Resilient Communities; </w:t>
      </w:r>
      <w:proofErr w:type="spellStart"/>
      <w:r w:rsidR="007F1E6E" w:rsidRPr="00A853EB">
        <w:rPr>
          <w:rFonts w:ascii="Garamond" w:eastAsia="Arial" w:hAnsi="Garamond" w:cs="Arial"/>
          <w:color w:val="000000"/>
          <w:sz w:val="20"/>
          <w:szCs w:val="20"/>
        </w:rPr>
        <w:t>WhyHunger</w:t>
      </w:r>
      <w:proofErr w:type="spellEnd"/>
      <w:r w:rsidR="007F1E6E" w:rsidRPr="00A853EB">
        <w:rPr>
          <w:rFonts w:ascii="Garamond" w:eastAsia="Arial" w:hAnsi="Garamond" w:cs="Arial"/>
          <w:color w:val="000000"/>
          <w:sz w:val="20"/>
          <w:szCs w:val="20"/>
        </w:rPr>
        <w:t>; Food for Maine’s Future</w:t>
      </w:r>
      <w:r w:rsidR="007F1E6E">
        <w:rPr>
          <w:rFonts w:ascii="Garamond" w:eastAsia="Arial" w:hAnsi="Garamond" w:cs="Arial"/>
          <w:color w:val="000000"/>
          <w:sz w:val="20"/>
          <w:szCs w:val="20"/>
        </w:rPr>
        <w:t>;</w:t>
      </w:r>
      <w:r w:rsidR="007F1E6E" w:rsidRPr="00A853EB">
        <w:rPr>
          <w:rFonts w:ascii="Garamond" w:eastAsia="Arial" w:hAnsi="Garamond" w:cs="Arial"/>
          <w:color w:val="000000"/>
          <w:sz w:val="20"/>
          <w:szCs w:val="20"/>
        </w:rPr>
        <w:t xml:space="preserve"> </w:t>
      </w:r>
      <w:r w:rsidR="009966C9" w:rsidRPr="00A853EB">
        <w:rPr>
          <w:rFonts w:ascii="Garamond" w:eastAsia="Arial" w:hAnsi="Garamond" w:cs="Arial"/>
          <w:color w:val="000000"/>
          <w:sz w:val="20"/>
          <w:szCs w:val="20"/>
        </w:rPr>
        <w:t>EDFU Foundation; Grow with the Flow, LLC; The Graduate Center of the City University of New York;</w:t>
      </w:r>
      <w:r w:rsidR="007F1E6E">
        <w:rPr>
          <w:rFonts w:ascii="Garamond" w:eastAsia="Arial" w:hAnsi="Garamond" w:cs="Arial"/>
          <w:color w:val="000000"/>
          <w:sz w:val="20"/>
          <w:szCs w:val="20"/>
        </w:rPr>
        <w:t xml:space="preserve"> the Institute for Agriculture and Trade Policy;</w:t>
      </w:r>
      <w:r w:rsidR="009966C9" w:rsidRPr="00A853EB">
        <w:rPr>
          <w:rFonts w:ascii="Garamond" w:eastAsia="Arial" w:hAnsi="Garamond" w:cs="Arial"/>
          <w:color w:val="000000"/>
          <w:sz w:val="20"/>
          <w:szCs w:val="20"/>
        </w:rPr>
        <w:t xml:space="preserve"> and the Agroecology Research-Action Collective.</w:t>
      </w:r>
    </w:p>
  </w:footnote>
  <w:footnote w:id="3">
    <w:p w14:paraId="791C3513" w14:textId="77777777" w:rsidR="00F959A1" w:rsidRPr="00A853EB" w:rsidRDefault="00F959A1" w:rsidP="00474744">
      <w:pPr>
        <w:pBdr>
          <w:top w:val="nil"/>
          <w:left w:val="nil"/>
          <w:bottom w:val="nil"/>
          <w:right w:val="nil"/>
          <w:between w:val="nil"/>
        </w:pBdr>
        <w:rPr>
          <w:rFonts w:ascii="Garamond" w:hAnsi="Garamond"/>
          <w:color w:val="000000"/>
          <w:sz w:val="20"/>
          <w:szCs w:val="20"/>
        </w:rPr>
      </w:pPr>
      <w:r w:rsidRPr="00A853EB">
        <w:rPr>
          <w:rStyle w:val="FootnoteReference"/>
          <w:rFonts w:ascii="Garamond" w:eastAsia="Arial" w:hAnsi="Garamond"/>
          <w:sz w:val="20"/>
          <w:szCs w:val="20"/>
        </w:rPr>
        <w:footnoteRef/>
      </w:r>
      <w:r w:rsidRPr="00A853EB">
        <w:rPr>
          <w:rFonts w:ascii="Garamond" w:hAnsi="Garamond"/>
          <w:color w:val="000000"/>
          <w:sz w:val="20"/>
          <w:szCs w:val="20"/>
        </w:rPr>
        <w:t xml:space="preserve"> </w:t>
      </w:r>
      <w:proofErr w:type="spellStart"/>
      <w:r w:rsidRPr="00A853EB">
        <w:rPr>
          <w:rFonts w:ascii="Garamond" w:hAnsi="Garamond"/>
          <w:color w:val="000000"/>
          <w:sz w:val="20"/>
          <w:szCs w:val="20"/>
        </w:rPr>
        <w:t>Areeba</w:t>
      </w:r>
      <w:proofErr w:type="spellEnd"/>
      <w:r w:rsidRPr="00A853EB">
        <w:rPr>
          <w:rFonts w:ascii="Garamond" w:hAnsi="Garamond"/>
          <w:color w:val="000000"/>
          <w:sz w:val="20"/>
          <w:szCs w:val="20"/>
        </w:rPr>
        <w:t xml:space="preserve"> Haider &amp; Lorena Roque, </w:t>
      </w:r>
      <w:r w:rsidRPr="00A853EB">
        <w:rPr>
          <w:rFonts w:ascii="Garamond" w:hAnsi="Garamond"/>
          <w:i/>
          <w:color w:val="000000"/>
          <w:sz w:val="20"/>
          <w:szCs w:val="20"/>
        </w:rPr>
        <w:t>New Poverty and Food Insecurity Data Illustrate Persistent Racial Inequities</w:t>
      </w:r>
      <w:r w:rsidRPr="00A853EB">
        <w:rPr>
          <w:rFonts w:ascii="Garamond" w:hAnsi="Garamond"/>
          <w:color w:val="000000"/>
          <w:sz w:val="20"/>
          <w:szCs w:val="20"/>
        </w:rPr>
        <w:t xml:space="preserve">, </w:t>
      </w:r>
      <w:r w:rsidRPr="00A853EB">
        <w:rPr>
          <w:rFonts w:ascii="Garamond" w:hAnsi="Garamond"/>
          <w:smallCaps/>
          <w:color w:val="000000"/>
          <w:sz w:val="20"/>
          <w:szCs w:val="20"/>
        </w:rPr>
        <w:t>Center for American Progress</w:t>
      </w:r>
      <w:r w:rsidRPr="00A853EB">
        <w:rPr>
          <w:rFonts w:ascii="Garamond" w:hAnsi="Garamond"/>
          <w:color w:val="000000"/>
          <w:sz w:val="20"/>
          <w:szCs w:val="20"/>
        </w:rPr>
        <w:t xml:space="preserve"> (Sep. 29, 2021), </w:t>
      </w:r>
      <w:hyperlink r:id="rId3">
        <w:r w:rsidRPr="00A853EB">
          <w:rPr>
            <w:rFonts w:ascii="Garamond" w:hAnsi="Garamond"/>
            <w:color w:val="0563C1"/>
            <w:sz w:val="20"/>
            <w:szCs w:val="20"/>
            <w:u w:val="single"/>
          </w:rPr>
          <w:t>https://www.americanprogress.org/article/new-poverty-food-insecurity-data-illustrate-persistent-racial-inequities/</w:t>
        </w:r>
      </w:hyperlink>
      <w:r w:rsidRPr="00A853EB">
        <w:rPr>
          <w:rFonts w:ascii="Garamond" w:hAnsi="Garamond"/>
          <w:color w:val="000000"/>
          <w:sz w:val="20"/>
          <w:szCs w:val="20"/>
        </w:rPr>
        <w:t xml:space="preserve">. Notably, massive influxes of federal aid and nutritional assistance in response to COVID-19 pandemic and resulting economic recession helped the United States avoid a devastating national increase in poverty during an unprecedented economic shock. </w:t>
      </w:r>
    </w:p>
  </w:footnote>
  <w:footnote w:id="4">
    <w:p w14:paraId="4A2D013A" w14:textId="77777777" w:rsidR="00F959A1" w:rsidRPr="00A853EB" w:rsidRDefault="00F959A1"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Id.</w:t>
      </w:r>
      <w:r w:rsidRPr="00A853EB">
        <w:rPr>
          <w:rFonts w:ascii="Garamond" w:hAnsi="Garamond"/>
          <w:lang w:val="en-US"/>
        </w:rPr>
        <w:t xml:space="preserve"> </w:t>
      </w:r>
    </w:p>
  </w:footnote>
  <w:footnote w:id="5">
    <w:p w14:paraId="3B94FA7E" w14:textId="77777777" w:rsidR="00F959A1" w:rsidRPr="00A853EB" w:rsidRDefault="00F959A1" w:rsidP="00474744">
      <w:pPr>
        <w:pBdr>
          <w:top w:val="nil"/>
          <w:left w:val="nil"/>
          <w:bottom w:val="nil"/>
          <w:right w:val="nil"/>
          <w:between w:val="nil"/>
        </w:pBdr>
        <w:rPr>
          <w:rFonts w:ascii="Garamond" w:hAnsi="Garamond"/>
          <w:color w:val="000000"/>
          <w:sz w:val="20"/>
          <w:szCs w:val="20"/>
        </w:rPr>
      </w:pPr>
      <w:r w:rsidRPr="00A853EB">
        <w:rPr>
          <w:rStyle w:val="FootnoteReference"/>
          <w:rFonts w:ascii="Garamond" w:eastAsia="Arial" w:hAnsi="Garamond"/>
          <w:sz w:val="20"/>
          <w:szCs w:val="20"/>
        </w:rPr>
        <w:footnoteRef/>
      </w:r>
      <w:r w:rsidRPr="00A853EB">
        <w:rPr>
          <w:rFonts w:ascii="Garamond" w:hAnsi="Garamond"/>
          <w:color w:val="000000"/>
          <w:sz w:val="20"/>
          <w:szCs w:val="20"/>
        </w:rPr>
        <w:t xml:space="preserve"> </w:t>
      </w:r>
      <w:r w:rsidRPr="00A853EB">
        <w:rPr>
          <w:rFonts w:ascii="Garamond" w:hAnsi="Garamond"/>
          <w:i/>
          <w:color w:val="000000"/>
          <w:sz w:val="20"/>
          <w:szCs w:val="20"/>
        </w:rPr>
        <w:t>Id.</w:t>
      </w:r>
      <w:r w:rsidRPr="00A853EB">
        <w:rPr>
          <w:rFonts w:ascii="Garamond" w:hAnsi="Garamond"/>
          <w:color w:val="000000"/>
          <w:sz w:val="20"/>
          <w:szCs w:val="20"/>
        </w:rPr>
        <w:t xml:space="preserve"> </w:t>
      </w:r>
    </w:p>
  </w:footnote>
  <w:footnote w:id="6">
    <w:p w14:paraId="5D5A873E" w14:textId="77777777" w:rsidR="00F959A1" w:rsidRPr="00A853EB" w:rsidRDefault="00F959A1"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 xml:space="preserve">Id. </w:t>
      </w:r>
    </w:p>
  </w:footnote>
  <w:footnote w:id="7">
    <w:p w14:paraId="75033CB2" w14:textId="77777777" w:rsidR="00F959A1" w:rsidRPr="00A853EB" w:rsidRDefault="00F959A1"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http://www.nativepartnership.org/site/DocServer/2017-PWNA-NPRA-Food-Insecurity-Project-Grow.pdf?docID=7106</w:t>
      </w:r>
    </w:p>
  </w:footnote>
  <w:footnote w:id="8">
    <w:p w14:paraId="5158438A" w14:textId="77777777" w:rsidR="00A71CD8" w:rsidRPr="00A853EB" w:rsidRDefault="00A71CD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See generally,</w:t>
      </w:r>
      <w:r w:rsidRPr="00A853EB">
        <w:rPr>
          <w:rFonts w:ascii="Garamond" w:eastAsia="Times New Roman" w:hAnsi="Garamond" w:cs="Arial"/>
          <w:shd w:val="clear" w:color="auto" w:fill="FFFFFF"/>
          <w:lang w:val="en-US"/>
        </w:rPr>
        <w:t xml:space="preserve"> </w:t>
      </w:r>
      <w:r w:rsidRPr="00A853EB">
        <w:rPr>
          <w:rFonts w:ascii="Garamond" w:hAnsi="Garamond" w:cs="Times New Roman"/>
          <w:smallCaps/>
        </w:rPr>
        <w:t>Comm. on Elimination Racial Discrimination</w:t>
      </w:r>
      <w:r w:rsidRPr="00A853EB">
        <w:rPr>
          <w:rFonts w:ascii="Garamond" w:hAnsi="Garamond"/>
          <w:lang w:val="en-US"/>
        </w:rPr>
        <w:t>,</w:t>
      </w:r>
      <w:r w:rsidRPr="00A853EB">
        <w:rPr>
          <w:rFonts w:ascii="Garamond" w:hAnsi="Garamond" w:cs="Times New Roman"/>
          <w:smallCaps/>
        </w:rPr>
        <w:t xml:space="preserve"> Concluding Observations on the Fifth to Ninth Periodic Reports of United States of America,</w:t>
      </w:r>
      <w:r w:rsidRPr="00A853EB">
        <w:rPr>
          <w:rFonts w:ascii="Garamond" w:hAnsi="Garamond"/>
          <w:lang w:val="en-US"/>
        </w:rPr>
        <w:t xml:space="preserve"> U.N. Doc. A/51/18 (Aug. 17, 2001)[Hereinafter CERD Co </w:t>
      </w:r>
      <w:r w:rsidRPr="00A853EB">
        <w:rPr>
          <w:rFonts w:ascii="Garamond" w:hAnsi="Garamond"/>
          <w:smallCaps/>
          <w:lang w:val="en-US"/>
        </w:rPr>
        <w:t>Fifth to Ninth</w:t>
      </w:r>
      <w:r w:rsidRPr="00A853EB">
        <w:rPr>
          <w:rFonts w:ascii="Garamond" w:hAnsi="Garamond"/>
          <w:lang w:val="en-US"/>
        </w:rPr>
        <w:t xml:space="preserve">]; </w:t>
      </w:r>
      <w:r w:rsidRPr="00A853EB">
        <w:rPr>
          <w:rFonts w:ascii="Garamond" w:hAnsi="Garamond" w:cs="Times New Roman"/>
          <w:smallCaps/>
        </w:rPr>
        <w:t>Comm. on Elimination Racial Discrimination</w:t>
      </w:r>
      <w:r w:rsidRPr="00A853EB">
        <w:rPr>
          <w:rFonts w:ascii="Garamond" w:hAnsi="Garamond"/>
          <w:lang w:val="en-US"/>
        </w:rPr>
        <w:t>,</w:t>
      </w:r>
      <w:r w:rsidRPr="00A853EB">
        <w:rPr>
          <w:rFonts w:ascii="Garamond" w:hAnsi="Garamond" w:cs="Times New Roman"/>
          <w:smallCaps/>
        </w:rPr>
        <w:t xml:space="preserve"> Concluding Observations on the Fourth, Fifth, and Sixth Periodic Reports of United States of America,</w:t>
      </w:r>
      <w:r w:rsidRPr="00A853EB">
        <w:rPr>
          <w:rFonts w:ascii="Garamond" w:hAnsi="Garamond"/>
          <w:lang w:val="en-US"/>
        </w:rPr>
        <w:t xml:space="preserve"> U.N. Doc. CERD/C/USA/CO/6 (May 8, 2008)[Hereinafter CERD Co </w:t>
      </w:r>
      <w:r w:rsidRPr="00A853EB">
        <w:rPr>
          <w:rFonts w:ascii="Garamond" w:hAnsi="Garamond"/>
          <w:smallCaps/>
          <w:lang w:val="en-US"/>
        </w:rPr>
        <w:t>Fourth, Fifth, and Sixth</w:t>
      </w:r>
      <w:r w:rsidRPr="00A853EB">
        <w:rPr>
          <w:rFonts w:ascii="Garamond" w:hAnsi="Garamond"/>
          <w:lang w:val="en-US"/>
        </w:rPr>
        <w:t xml:space="preserve">]; </w:t>
      </w:r>
      <w:r w:rsidRPr="00A853EB">
        <w:rPr>
          <w:rFonts w:ascii="Garamond" w:hAnsi="Garamond" w:cs="Times New Roman"/>
          <w:smallCaps/>
        </w:rPr>
        <w:t>Comm. on Elimination Racial Discrimination</w:t>
      </w:r>
      <w:r w:rsidRPr="00A853EB">
        <w:rPr>
          <w:rFonts w:ascii="Garamond" w:hAnsi="Garamond" w:cs="Times New Roman"/>
        </w:rPr>
        <w:t xml:space="preserve">, </w:t>
      </w:r>
      <w:r w:rsidRPr="00A853EB">
        <w:rPr>
          <w:rFonts w:ascii="Garamond" w:hAnsi="Garamond" w:cs="Times New Roman"/>
          <w:smallCaps/>
        </w:rPr>
        <w:t>Concluding Observations on the combined seventh to ninth periodic reports of United States of America,</w:t>
      </w:r>
      <w:r w:rsidRPr="00A853EB">
        <w:rPr>
          <w:rFonts w:ascii="Garamond" w:hAnsi="Garamond" w:cs="Times New Roman"/>
        </w:rPr>
        <w:t xml:space="preserve"> U.N. Doc. CERD/C/USA/CO/7-9 (Aug. 29, 2014)[hereinafter CERD Co</w:t>
      </w:r>
      <w:r w:rsidRPr="00A853EB">
        <w:rPr>
          <w:rFonts w:ascii="Garamond" w:hAnsi="Garamond" w:cs="Times New Roman"/>
          <w:smallCaps/>
        </w:rPr>
        <w:t xml:space="preserve"> Seventh to Ninth</w:t>
      </w:r>
      <w:r w:rsidRPr="00A853EB">
        <w:rPr>
          <w:rFonts w:ascii="Garamond" w:hAnsi="Garamond" w:cs="Times New Roman"/>
        </w:rPr>
        <w:t>].</w:t>
      </w:r>
    </w:p>
  </w:footnote>
  <w:footnote w:id="9">
    <w:p w14:paraId="1FF9FD85" w14:textId="08570729" w:rsidR="00F959A1" w:rsidRPr="00A853EB" w:rsidRDefault="00F959A1"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CERD Co</w:t>
      </w:r>
      <w:r w:rsidRPr="00A853EB">
        <w:rPr>
          <w:rFonts w:ascii="Garamond" w:hAnsi="Garamond"/>
          <w:smallCaps/>
          <w:lang w:val="en-US"/>
        </w:rPr>
        <w:t xml:space="preserve"> Fourth, Fifth, and Sixth</w:t>
      </w:r>
      <w:r w:rsidRPr="00A853EB">
        <w:rPr>
          <w:rFonts w:ascii="Garamond" w:hAnsi="Garamond"/>
        </w:rPr>
        <w:t xml:space="preserve">, supra note 3 at ¶ 29; see also, CERD Co </w:t>
      </w:r>
      <w:r w:rsidRPr="00A853EB">
        <w:rPr>
          <w:rFonts w:ascii="Garamond" w:hAnsi="Garamond"/>
          <w:smallCaps/>
        </w:rPr>
        <w:t>Fifth to Ninth</w:t>
      </w:r>
      <w:r w:rsidRPr="00A853EB">
        <w:rPr>
          <w:rFonts w:ascii="Garamond" w:hAnsi="Garamond"/>
        </w:rPr>
        <w:t>, supra note 3 at ¶400; CERD</w:t>
      </w:r>
      <w:r w:rsidR="00474744">
        <w:rPr>
          <w:rFonts w:ascii="Garamond" w:hAnsi="Garamond"/>
        </w:rPr>
        <w:t xml:space="preserve"> </w:t>
      </w:r>
      <w:r w:rsidRPr="00A853EB">
        <w:rPr>
          <w:rFonts w:ascii="Garamond" w:hAnsi="Garamond"/>
        </w:rPr>
        <w:t xml:space="preserve">Co Seventh to Ninth, supra note 3 at ¶10. </w:t>
      </w:r>
    </w:p>
  </w:footnote>
  <w:footnote w:id="10">
    <w:p w14:paraId="547F8B51" w14:textId="77777777" w:rsidR="00F959A1" w:rsidRPr="00A853EB" w:rsidRDefault="00F959A1"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CERD Co Seventh to Ninth, supra note 3 at ¶10; CERD Co </w:t>
      </w:r>
      <w:r w:rsidRPr="00A853EB">
        <w:rPr>
          <w:rFonts w:ascii="Garamond" w:hAnsi="Garamond"/>
          <w:lang w:val="en-US"/>
        </w:rPr>
        <w:t xml:space="preserve">CERD Co </w:t>
      </w:r>
      <w:r w:rsidRPr="00A853EB">
        <w:rPr>
          <w:rFonts w:ascii="Garamond" w:hAnsi="Garamond"/>
          <w:smallCaps/>
          <w:lang w:val="en-US"/>
        </w:rPr>
        <w:t>Fourth, Fifth, and Sixth</w:t>
      </w:r>
      <w:r w:rsidRPr="00A853EB">
        <w:rPr>
          <w:rFonts w:ascii="Garamond" w:hAnsi="Garamond"/>
        </w:rPr>
        <w:t>, supra note 3 at ¶</w:t>
      </w:r>
      <w:r w:rsidRPr="00A853EB">
        <w:rPr>
          <w:rFonts w:ascii="Garamond" w:hAnsi="Garamond"/>
          <w:lang w:val="en-US"/>
        </w:rPr>
        <w:t xml:space="preserve"> 30. </w:t>
      </w:r>
    </w:p>
  </w:footnote>
  <w:footnote w:id="11">
    <w:p w14:paraId="3C107E83" w14:textId="77777777" w:rsidR="00F959A1" w:rsidRPr="00A853EB" w:rsidRDefault="00F959A1"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CERD Co </w:t>
      </w:r>
      <w:r w:rsidRPr="00A853EB">
        <w:rPr>
          <w:rFonts w:ascii="Garamond" w:hAnsi="Garamond"/>
          <w:lang w:val="en-US"/>
        </w:rPr>
        <w:t xml:space="preserve">CERD Co </w:t>
      </w:r>
      <w:r w:rsidRPr="00A853EB">
        <w:rPr>
          <w:rFonts w:ascii="Garamond" w:hAnsi="Garamond"/>
          <w:smallCaps/>
          <w:lang w:val="en-US"/>
        </w:rPr>
        <w:t>Fourth, Fifth, and Sixth</w:t>
      </w:r>
      <w:r w:rsidRPr="00A853EB">
        <w:rPr>
          <w:rFonts w:ascii="Garamond" w:hAnsi="Garamond"/>
        </w:rPr>
        <w:t>, supra note 3 at ¶</w:t>
      </w:r>
      <w:r w:rsidRPr="00A853EB">
        <w:rPr>
          <w:rFonts w:ascii="Garamond" w:hAnsi="Garamond"/>
          <w:lang w:val="en-US"/>
        </w:rPr>
        <w:t xml:space="preserve"> 30. </w:t>
      </w:r>
    </w:p>
  </w:footnote>
  <w:footnote w:id="12">
    <w:p w14:paraId="5FD24A7E" w14:textId="77777777" w:rsidR="00F959A1" w:rsidRPr="00A853EB" w:rsidRDefault="00F959A1"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Miriam Jordan, Farmworkers, Mostly Undocumented, Become ‘Essential’ During Pandemic, </w:t>
      </w:r>
      <w:r w:rsidRPr="00A853EB">
        <w:rPr>
          <w:rFonts w:ascii="Garamond" w:hAnsi="Garamond"/>
          <w:smallCaps/>
        </w:rPr>
        <w:t>New York Times</w:t>
      </w:r>
      <w:r w:rsidRPr="00A853EB">
        <w:rPr>
          <w:rFonts w:ascii="Garamond" w:hAnsi="Garamond"/>
        </w:rPr>
        <w:t xml:space="preserve">, (Apr. 2, 2020) </w:t>
      </w:r>
      <w:hyperlink r:id="rId4" w:history="1">
        <w:r w:rsidRPr="00A853EB">
          <w:rPr>
            <w:rStyle w:val="Hyperlink"/>
            <w:rFonts w:ascii="Garamond" w:hAnsi="Garamond"/>
          </w:rPr>
          <w:t>https://www.nytimes.com/2020/04/02/us/coronavirus-undocumented-immigrant-farmworkers-agriculture.html</w:t>
        </w:r>
      </w:hyperlink>
      <w:r w:rsidRPr="00A853EB">
        <w:rPr>
          <w:rFonts w:ascii="Garamond" w:hAnsi="Garamond"/>
        </w:rPr>
        <w:t xml:space="preserve">. </w:t>
      </w:r>
    </w:p>
  </w:footnote>
  <w:footnote w:id="13">
    <w:p w14:paraId="2180BAFD" w14:textId="77777777" w:rsidR="00F959A1" w:rsidRPr="00A853EB" w:rsidRDefault="00F959A1"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CERD Co </w:t>
      </w:r>
      <w:r w:rsidRPr="00A853EB">
        <w:rPr>
          <w:rFonts w:ascii="Garamond" w:hAnsi="Garamond"/>
          <w:lang w:val="en-US"/>
        </w:rPr>
        <w:t xml:space="preserve">CERD Co </w:t>
      </w:r>
      <w:r w:rsidRPr="00A853EB">
        <w:rPr>
          <w:rFonts w:ascii="Garamond" w:hAnsi="Garamond"/>
          <w:smallCaps/>
          <w:lang w:val="en-US"/>
        </w:rPr>
        <w:t>Fourth, Fifth, and Sixth</w:t>
      </w:r>
      <w:r w:rsidRPr="00A853EB">
        <w:rPr>
          <w:rFonts w:ascii="Garamond" w:hAnsi="Garamond"/>
        </w:rPr>
        <w:t>, supra note 3 at ¶</w:t>
      </w:r>
      <w:r w:rsidRPr="00A853EB">
        <w:rPr>
          <w:rFonts w:ascii="Garamond" w:hAnsi="Garamond"/>
          <w:lang w:val="en-US"/>
        </w:rPr>
        <w:t xml:space="preserve"> 28. </w:t>
      </w:r>
    </w:p>
  </w:footnote>
  <w:footnote w:id="14">
    <w:p w14:paraId="62922F02" w14:textId="77777777" w:rsidR="00F959A1" w:rsidRPr="00A853EB" w:rsidRDefault="00F959A1"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cs="Times New Roman"/>
        </w:rPr>
        <w:t>CERD Co</w:t>
      </w:r>
      <w:r w:rsidRPr="00A853EB">
        <w:rPr>
          <w:rFonts w:ascii="Garamond" w:hAnsi="Garamond" w:cs="Times New Roman"/>
          <w:smallCaps/>
        </w:rPr>
        <w:t xml:space="preserve"> Seventh to Ninth</w:t>
      </w:r>
      <w:r w:rsidRPr="00A853EB">
        <w:rPr>
          <w:rFonts w:ascii="Garamond" w:hAnsi="Garamond"/>
        </w:rPr>
        <w:t xml:space="preserve">, supra note 3 at ¶14. </w:t>
      </w:r>
    </w:p>
  </w:footnote>
  <w:footnote w:id="15">
    <w:p w14:paraId="1D225B49" w14:textId="77777777" w:rsidR="00F959A1" w:rsidRPr="00A853EB" w:rsidRDefault="00F959A1"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cs="Times New Roman"/>
        </w:rPr>
        <w:t>CERD Co</w:t>
      </w:r>
      <w:r w:rsidRPr="00A853EB">
        <w:rPr>
          <w:rFonts w:ascii="Garamond" w:hAnsi="Garamond" w:cs="Times New Roman"/>
          <w:smallCaps/>
        </w:rPr>
        <w:t xml:space="preserve"> Seventh to </w:t>
      </w:r>
      <w:proofErr w:type="gramStart"/>
      <w:r w:rsidRPr="00A853EB">
        <w:rPr>
          <w:rFonts w:ascii="Garamond" w:hAnsi="Garamond" w:cs="Times New Roman"/>
          <w:smallCaps/>
        </w:rPr>
        <w:t>Ninth</w:t>
      </w:r>
      <w:r w:rsidRPr="00A853EB">
        <w:rPr>
          <w:rFonts w:ascii="Garamond" w:hAnsi="Garamond"/>
        </w:rPr>
        <w:t>,,</w:t>
      </w:r>
      <w:proofErr w:type="gramEnd"/>
      <w:r w:rsidRPr="00A853EB">
        <w:rPr>
          <w:rFonts w:ascii="Garamond" w:hAnsi="Garamond"/>
        </w:rPr>
        <w:t xml:space="preserve"> supra note 3 at ¶14. </w:t>
      </w:r>
    </w:p>
  </w:footnote>
  <w:footnote w:id="16">
    <w:p w14:paraId="3DBCD365"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CERD, </w:t>
      </w:r>
      <w:proofErr w:type="gramStart"/>
      <w:r w:rsidRPr="00A853EB">
        <w:rPr>
          <w:rFonts w:ascii="Garamond" w:hAnsi="Garamond"/>
          <w:lang w:val="en-US"/>
        </w:rPr>
        <w:t>Combined</w:t>
      </w:r>
      <w:proofErr w:type="gramEnd"/>
      <w:r w:rsidRPr="00A853EB">
        <w:rPr>
          <w:rFonts w:ascii="Garamond" w:hAnsi="Garamond"/>
          <w:lang w:val="en-US"/>
        </w:rPr>
        <w:t xml:space="preserve"> tenth to twelfth periodic reports submitted by the United States of America under article 9 of the Convention, U.N. Doc. CERD/C/USA/10-12 (Jun. 2021) [hereinafter “CERD USA State Report].</w:t>
      </w:r>
    </w:p>
  </w:footnote>
  <w:footnote w:id="17">
    <w:p w14:paraId="1006960C"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See </w:t>
      </w:r>
      <w:r w:rsidRPr="00A853EB">
        <w:rPr>
          <w:rFonts w:ascii="Garamond" w:hAnsi="Garamond"/>
          <w:lang w:val="en-US"/>
        </w:rPr>
        <w:t xml:space="preserve">Alison Cohen and Denisse Cordova Montes, Freedom From Want: Advocating for the Right to Food in the United States, </w:t>
      </w:r>
      <w:r w:rsidRPr="00A853EB">
        <w:rPr>
          <w:rFonts w:ascii="Garamond" w:hAnsi="Garamond"/>
          <w:smallCaps/>
          <w:lang w:val="en-US"/>
        </w:rPr>
        <w:t>Why Hunger</w:t>
      </w:r>
      <w:r w:rsidRPr="00A853EB">
        <w:rPr>
          <w:rFonts w:ascii="Garamond" w:hAnsi="Garamond"/>
          <w:lang w:val="en-US"/>
        </w:rPr>
        <w:t xml:space="preserve"> (Jan. 26, 2021) </w:t>
      </w:r>
      <w:hyperlink r:id="rId5" w:anchor=":~:text=The%20U.S.%20is%20one%20of,to%20food%20and%20adequate%20nutrition" w:history="1">
        <w:r w:rsidRPr="00A853EB">
          <w:rPr>
            <w:rStyle w:val="Hyperlink"/>
            <w:rFonts w:ascii="Garamond" w:hAnsi="Garamond"/>
            <w:lang w:val="en-US"/>
          </w:rPr>
          <w:t>https://whyhunger.org/category/blog/freedom-from-want-advocating-for-the-right-to-food-in-the-united-states/#:~:text=The%20U.S.%20is%20one%20of,to%20food%20and%20adequate%20nutrition</w:t>
        </w:r>
      </w:hyperlink>
      <w:r w:rsidRPr="00A853EB">
        <w:rPr>
          <w:rFonts w:ascii="Garamond" w:hAnsi="Garamond"/>
          <w:lang w:val="en-US"/>
        </w:rPr>
        <w:t xml:space="preserve">. </w:t>
      </w:r>
    </w:p>
  </w:footnote>
  <w:footnote w:id="18">
    <w:p w14:paraId="67B7015B"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USDA Announces Actions on Nutritional Security, </w:t>
      </w:r>
      <w:r w:rsidRPr="00A853EB">
        <w:rPr>
          <w:rFonts w:ascii="Garamond" w:hAnsi="Garamond"/>
          <w:smallCaps/>
        </w:rPr>
        <w:t>U.S. Department of Agriculture</w:t>
      </w:r>
      <w:r w:rsidRPr="00A853EB">
        <w:rPr>
          <w:rFonts w:ascii="Garamond" w:hAnsi="Garamond"/>
        </w:rPr>
        <w:t xml:space="preserve">, (Mar. 17, 2022) </w:t>
      </w:r>
      <w:hyperlink r:id="rId6" w:history="1">
        <w:r w:rsidRPr="00A853EB">
          <w:rPr>
            <w:rStyle w:val="Hyperlink"/>
            <w:rFonts w:ascii="Garamond" w:hAnsi="Garamond"/>
          </w:rPr>
          <w:t>https://www.fns.usda.gov/news-item/usda-0062.22</w:t>
        </w:r>
      </w:hyperlink>
      <w:r w:rsidRPr="00A853EB">
        <w:rPr>
          <w:rFonts w:ascii="Garamond" w:hAnsi="Garamond"/>
        </w:rPr>
        <w:t xml:space="preserve">. </w:t>
      </w:r>
    </w:p>
  </w:footnote>
  <w:footnote w:id="19">
    <w:p w14:paraId="72BBE655"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 xml:space="preserve">Id. </w:t>
      </w:r>
    </w:p>
  </w:footnote>
  <w:footnote w:id="20">
    <w:p w14:paraId="2D8048C3"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i/>
          <w:iCs/>
        </w:rPr>
        <w:footnoteRef/>
      </w:r>
      <w:r w:rsidRPr="00A853EB">
        <w:rPr>
          <w:rFonts w:ascii="Garamond" w:hAnsi="Garamond"/>
          <w:i/>
          <w:iCs/>
        </w:rPr>
        <w:t xml:space="preserve"> Hunger and Poverty in America</w:t>
      </w:r>
      <w:r w:rsidRPr="00A853EB">
        <w:rPr>
          <w:rFonts w:ascii="Garamond" w:hAnsi="Garamond"/>
        </w:rPr>
        <w:t xml:space="preserve">, </w:t>
      </w:r>
      <w:r w:rsidRPr="00A853EB">
        <w:rPr>
          <w:rFonts w:ascii="Garamond" w:hAnsi="Garamond"/>
          <w:smallCaps/>
        </w:rPr>
        <w:t>Food Research and Action Center</w:t>
      </w:r>
      <w:r w:rsidRPr="00A853EB">
        <w:rPr>
          <w:rFonts w:ascii="Garamond" w:hAnsi="Garamond"/>
        </w:rPr>
        <w:t xml:space="preserve">, </w:t>
      </w:r>
      <w:hyperlink r:id="rId7" w:history="1">
        <w:r w:rsidRPr="00A853EB">
          <w:rPr>
            <w:rStyle w:val="Hyperlink"/>
            <w:rFonts w:ascii="Garamond" w:hAnsi="Garamond"/>
          </w:rPr>
          <w:t>https://frac.org/hunger-poverty-america</w:t>
        </w:r>
      </w:hyperlink>
      <w:r w:rsidRPr="00A853EB">
        <w:rPr>
          <w:rFonts w:ascii="Garamond" w:hAnsi="Garamond"/>
        </w:rPr>
        <w:t xml:space="preserve"> (last accessed Apr. 17, 2022). </w:t>
      </w:r>
    </w:p>
  </w:footnote>
  <w:footnote w:id="21">
    <w:p w14:paraId="280D9C1E" w14:textId="77777777" w:rsidR="00200DC5" w:rsidRPr="00A853EB" w:rsidRDefault="00200DC5" w:rsidP="00474744">
      <w:pPr>
        <w:pStyle w:val="FootnoteText"/>
        <w:ind w:left="0" w:firstLine="0"/>
        <w:rPr>
          <w:rFonts w:ascii="Garamond" w:hAnsi="Garamond"/>
          <w:i/>
          <w:iCs/>
        </w:rPr>
      </w:pPr>
      <w:r w:rsidRPr="00A853EB">
        <w:rPr>
          <w:rStyle w:val="FootnoteReference"/>
          <w:rFonts w:ascii="Garamond" w:hAnsi="Garamond"/>
        </w:rPr>
        <w:footnoteRef/>
      </w:r>
      <w:r w:rsidRPr="00A853EB">
        <w:rPr>
          <w:rFonts w:ascii="Garamond" w:hAnsi="Garamond"/>
        </w:rPr>
        <w:t xml:space="preserve"> Hum. </w:t>
      </w:r>
      <w:proofErr w:type="spellStart"/>
      <w:r w:rsidRPr="00A853EB">
        <w:rPr>
          <w:rFonts w:ascii="Garamond" w:hAnsi="Garamond"/>
        </w:rPr>
        <w:t>Rts</w:t>
      </w:r>
      <w:proofErr w:type="spellEnd"/>
      <w:r w:rsidRPr="00A853EB">
        <w:rPr>
          <w:rFonts w:ascii="Garamond" w:hAnsi="Garamond"/>
        </w:rPr>
        <w:t xml:space="preserve">. Council, </w:t>
      </w:r>
      <w:r w:rsidRPr="00A853EB">
        <w:rPr>
          <w:rFonts w:ascii="Garamond" w:hAnsi="Garamond"/>
          <w:i/>
          <w:iCs/>
        </w:rPr>
        <w:t>Report of the Working Group of Experts on People of African Descent on its</w:t>
      </w:r>
    </w:p>
    <w:p w14:paraId="2D2AF621" w14:textId="77777777" w:rsidR="00200DC5" w:rsidRPr="00A853EB" w:rsidRDefault="00200DC5" w:rsidP="00474744">
      <w:pPr>
        <w:pStyle w:val="FootnoteText"/>
        <w:ind w:left="0" w:firstLine="0"/>
        <w:rPr>
          <w:rFonts w:ascii="Garamond" w:hAnsi="Garamond"/>
          <w:lang w:val="en-US"/>
        </w:rPr>
      </w:pPr>
      <w:r w:rsidRPr="00A853EB">
        <w:rPr>
          <w:rFonts w:ascii="Garamond" w:hAnsi="Garamond"/>
          <w:i/>
          <w:iCs/>
        </w:rPr>
        <w:t>mission to the United States of America</w:t>
      </w:r>
      <w:r w:rsidRPr="00A853EB">
        <w:rPr>
          <w:rFonts w:ascii="Garamond" w:hAnsi="Garamond"/>
        </w:rPr>
        <w:t xml:space="preserve"> [hereinafter Working Group], ¶ 14 A/HRC/33/61/Add.2 (2016). </w:t>
      </w:r>
    </w:p>
  </w:footnote>
  <w:footnote w:id="22">
    <w:p w14:paraId="6431118C"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Working Group, supra note 25 at ¶50. </w:t>
      </w:r>
    </w:p>
  </w:footnote>
  <w:footnote w:id="23">
    <w:p w14:paraId="497B2597"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Working Group, supra note 25 at ¶50.</w:t>
      </w:r>
    </w:p>
  </w:footnote>
  <w:footnote w:id="24">
    <w:p w14:paraId="7B786487"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cs="Times New Roman"/>
        </w:rPr>
        <w:t>Universal Declaration of Human Rights, art. 11, G.A. Res. 217 (III) A, U.N. Doc. A/810 (Dec. 10, 1948) [hereinafter UDHR].</w:t>
      </w:r>
    </w:p>
  </w:footnote>
  <w:footnote w:id="25">
    <w:p w14:paraId="54B57A6A"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UDHR, supra note 12, art. 25. </w:t>
      </w:r>
    </w:p>
  </w:footnote>
  <w:footnote w:id="26">
    <w:p w14:paraId="51261996" w14:textId="77777777" w:rsidR="00200DC5" w:rsidRPr="00A853EB" w:rsidRDefault="00200DC5" w:rsidP="00474744">
      <w:pPr>
        <w:pStyle w:val="FootnoteText"/>
        <w:ind w:left="0" w:firstLine="0"/>
        <w:rPr>
          <w:rFonts w:ascii="Garamond" w:hAnsi="Garamond" w:cs="Times New Roman"/>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cs="Times New Roman"/>
        </w:rPr>
        <w:t xml:space="preserve">International Covenant on Economic, Social, and Cultural Rights art. 12(1), adopted Dec. 16, 1966, 993 U.N.T.S. 3 [hereinafter ICESCR]. </w:t>
      </w:r>
    </w:p>
  </w:footnote>
  <w:footnote w:id="27">
    <w:p w14:paraId="3DB06A9B"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cs="Times New Roman"/>
          <w:i/>
          <w:iCs/>
        </w:rPr>
        <w:t xml:space="preserve">What is the Difference Between Signing, Ratification and Accession of UN </w:t>
      </w:r>
      <w:proofErr w:type="gramStart"/>
      <w:r w:rsidRPr="00A853EB">
        <w:rPr>
          <w:rFonts w:ascii="Garamond" w:hAnsi="Garamond" w:cs="Times New Roman"/>
          <w:i/>
          <w:iCs/>
        </w:rPr>
        <w:t>treaties?</w:t>
      </w:r>
      <w:r w:rsidRPr="00A853EB">
        <w:rPr>
          <w:rFonts w:ascii="Garamond" w:hAnsi="Garamond" w:cs="Times New Roman"/>
        </w:rPr>
        <w:t>,</w:t>
      </w:r>
      <w:proofErr w:type="gramEnd"/>
      <w:r w:rsidRPr="00A853EB">
        <w:rPr>
          <w:rFonts w:ascii="Garamond" w:hAnsi="Garamond" w:cs="Times New Roman"/>
          <w:i/>
          <w:iCs/>
        </w:rPr>
        <w:t xml:space="preserve"> </w:t>
      </w:r>
      <w:r w:rsidRPr="00A853EB">
        <w:rPr>
          <w:rFonts w:ascii="Garamond" w:hAnsi="Garamond" w:cs="Times New Roman"/>
          <w:smallCaps/>
        </w:rPr>
        <w:t xml:space="preserve">Dam Hammarskjöld </w:t>
      </w:r>
      <w:proofErr w:type="spellStart"/>
      <w:r w:rsidRPr="00A853EB">
        <w:rPr>
          <w:rFonts w:ascii="Garamond" w:hAnsi="Garamond" w:cs="Times New Roman"/>
          <w:smallCaps/>
        </w:rPr>
        <w:t>Libr</w:t>
      </w:r>
      <w:proofErr w:type="spellEnd"/>
      <w:r w:rsidRPr="00A853EB">
        <w:rPr>
          <w:rFonts w:ascii="Garamond" w:hAnsi="Garamond" w:cs="Times New Roman"/>
          <w:smallCaps/>
        </w:rPr>
        <w:t>.</w:t>
      </w:r>
      <w:r w:rsidRPr="00A853EB">
        <w:rPr>
          <w:rFonts w:ascii="Garamond" w:hAnsi="Garamond" w:cs="Times New Roman"/>
        </w:rPr>
        <w:t>, ask.un.org/</w:t>
      </w:r>
      <w:proofErr w:type="spellStart"/>
      <w:r w:rsidRPr="00A853EB">
        <w:rPr>
          <w:rFonts w:ascii="Garamond" w:hAnsi="Garamond" w:cs="Times New Roman"/>
        </w:rPr>
        <w:t>faq</w:t>
      </w:r>
      <w:proofErr w:type="spellEnd"/>
      <w:r w:rsidRPr="00A853EB">
        <w:rPr>
          <w:rFonts w:ascii="Garamond" w:hAnsi="Garamond" w:cs="Times New Roman"/>
        </w:rPr>
        <w:t>/14594 (last visited Sept. 30, 2021).</w:t>
      </w:r>
    </w:p>
  </w:footnote>
  <w:footnote w:id="28">
    <w:p w14:paraId="33F6915A" w14:textId="26A01AC6"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cs="Times New Roman"/>
        </w:rPr>
        <w:t xml:space="preserve">Committee on Economic, Social, and Cultural Rights (CESCR), </w:t>
      </w:r>
      <w:r w:rsidRPr="00A853EB">
        <w:rPr>
          <w:rFonts w:ascii="Garamond" w:hAnsi="Garamond" w:cs="Times New Roman"/>
          <w:i/>
          <w:iCs/>
        </w:rPr>
        <w:t xml:space="preserve">The right to </w:t>
      </w:r>
      <w:r w:rsidR="002439F0" w:rsidRPr="00A853EB">
        <w:rPr>
          <w:rFonts w:ascii="Garamond" w:hAnsi="Garamond" w:cs="Times New Roman"/>
          <w:i/>
          <w:iCs/>
        </w:rPr>
        <w:t>adequate food</w:t>
      </w:r>
      <w:r w:rsidRPr="00A853EB">
        <w:rPr>
          <w:rFonts w:ascii="Garamond" w:hAnsi="Garamond" w:cs="Times New Roman"/>
          <w:i/>
          <w:iCs/>
        </w:rPr>
        <w:t>, General Comment 12</w:t>
      </w:r>
      <w:r w:rsidRPr="00A853EB">
        <w:rPr>
          <w:rFonts w:ascii="Garamond" w:hAnsi="Garamond" w:cs="Times New Roman"/>
        </w:rPr>
        <w:t>, ¶6 (2000).</w:t>
      </w:r>
    </w:p>
  </w:footnote>
  <w:footnote w:id="29">
    <w:p w14:paraId="153309C2"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(A/HRC/7/5, para 17).</w:t>
      </w:r>
    </w:p>
  </w:footnote>
  <w:footnote w:id="30">
    <w:p w14:paraId="620A05B5" w14:textId="77777777" w:rsidR="00200DC5" w:rsidRPr="00A853EB" w:rsidRDefault="00200DC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See generally, </w:t>
      </w:r>
      <w:r w:rsidRPr="00A853EB">
        <w:rPr>
          <w:rFonts w:ascii="Garamond" w:hAnsi="Garamond" w:cs="Times New Roman"/>
        </w:rPr>
        <w:t>CESCR, supra note 16</w:t>
      </w:r>
      <w:r w:rsidRPr="00A853EB">
        <w:rPr>
          <w:rFonts w:ascii="Garamond" w:hAnsi="Garamond" w:cs="Times New Roman"/>
          <w:i/>
          <w:iCs/>
        </w:rPr>
        <w:t>, General Comment 12</w:t>
      </w:r>
      <w:r w:rsidRPr="00A853EB">
        <w:rPr>
          <w:rFonts w:ascii="Garamond" w:hAnsi="Garamond" w:cs="Times New Roman"/>
        </w:rPr>
        <w:t>, ¶6 (2000).</w:t>
      </w:r>
    </w:p>
  </w:footnote>
  <w:footnote w:id="31">
    <w:p w14:paraId="3589CD5E" w14:textId="77777777" w:rsidR="00200DC5" w:rsidRPr="00A853EB" w:rsidRDefault="00200DC5" w:rsidP="00474744">
      <w:pPr>
        <w:rPr>
          <w:rFonts w:ascii="Garamond" w:eastAsia="Times New Roman" w:hAnsi="Garamond" w:cstheme="minorHAnsi"/>
          <w:sz w:val="20"/>
          <w:szCs w:val="20"/>
        </w:rPr>
      </w:pPr>
      <w:r w:rsidRPr="00A853EB">
        <w:rPr>
          <w:rStyle w:val="FootnoteReference"/>
          <w:rFonts w:ascii="Garamond" w:hAnsi="Garamond"/>
          <w:sz w:val="20"/>
          <w:szCs w:val="20"/>
        </w:rPr>
        <w:footnoteRef/>
      </w:r>
      <w:r w:rsidRPr="00A853EB">
        <w:rPr>
          <w:rFonts w:ascii="Garamond" w:hAnsi="Garamond"/>
          <w:sz w:val="20"/>
          <w:szCs w:val="20"/>
        </w:rPr>
        <w:t xml:space="preserve"> </w:t>
      </w:r>
      <w:hyperlink r:id="rId8" w:history="1">
        <w:r w:rsidRPr="00A853EB">
          <w:rPr>
            <w:rStyle w:val="Hyperlink"/>
            <w:rFonts w:ascii="Garamond" w:hAnsi="Garamond" w:cstheme="minorHAnsi"/>
            <w:sz w:val="20"/>
            <w:szCs w:val="20"/>
          </w:rPr>
          <w:t>https://www.un.org/en/udhrbook/pdf/udhr_booklet_en_web.pdf</w:t>
        </w:r>
      </w:hyperlink>
      <w:r w:rsidRPr="00A853EB">
        <w:rPr>
          <w:rFonts w:ascii="Garamond" w:hAnsi="Garamond" w:cstheme="minorHAnsi"/>
          <w:sz w:val="20"/>
          <w:szCs w:val="20"/>
        </w:rPr>
        <w:t xml:space="preserve"> </w:t>
      </w:r>
      <w:r w:rsidRPr="00A853EB">
        <w:rPr>
          <w:rFonts w:ascii="Garamond" w:hAnsi="Garamond" w:cstheme="minorHAnsi"/>
          <w:i/>
          <w:iCs/>
          <w:sz w:val="20"/>
          <w:szCs w:val="20"/>
        </w:rPr>
        <w:t>UDHR Article 23:</w:t>
      </w:r>
      <w:r w:rsidRPr="00A853EB">
        <w:rPr>
          <w:rFonts w:ascii="Garamond" w:hAnsi="Garamond" w:cstheme="minorHAnsi"/>
          <w:sz w:val="20"/>
          <w:szCs w:val="20"/>
        </w:rPr>
        <w:t xml:space="preserve"> “</w:t>
      </w:r>
      <w:r w:rsidRPr="00A853EB">
        <w:rPr>
          <w:rFonts w:ascii="Garamond" w:eastAsia="Times New Roman" w:hAnsi="Garamond" w:cstheme="minorHAnsi"/>
          <w:sz w:val="20"/>
          <w:szCs w:val="20"/>
        </w:rPr>
        <w:t xml:space="preserve">Everyone has the right to work, to free choice of employment, to just and </w:t>
      </w:r>
      <w:proofErr w:type="spellStart"/>
      <w:r w:rsidRPr="00A853EB">
        <w:rPr>
          <w:rFonts w:ascii="Garamond" w:eastAsia="Times New Roman" w:hAnsi="Garamond" w:cstheme="minorHAnsi"/>
          <w:sz w:val="20"/>
          <w:szCs w:val="20"/>
        </w:rPr>
        <w:t>favourable</w:t>
      </w:r>
      <w:proofErr w:type="spellEnd"/>
      <w:r w:rsidRPr="00A853EB">
        <w:rPr>
          <w:rFonts w:ascii="Garamond" w:eastAsia="Times New Roman" w:hAnsi="Garamond" w:cstheme="minorHAnsi"/>
          <w:sz w:val="20"/>
          <w:szCs w:val="20"/>
        </w:rPr>
        <w:t xml:space="preserve"> conditions of work and to protection against unemployment.” </w:t>
      </w:r>
    </w:p>
  </w:footnote>
  <w:footnote w:id="32">
    <w:p w14:paraId="292C242D" w14:textId="4E2B018E" w:rsidR="00200DC5" w:rsidRPr="00A853EB" w:rsidRDefault="00200DC5" w:rsidP="00474744">
      <w:pPr>
        <w:rPr>
          <w:rFonts w:ascii="Garamond" w:eastAsia="Times New Roman" w:hAnsi="Garamond" w:cs="Times New Roman"/>
          <w:color w:val="000000" w:themeColor="text1"/>
          <w:sz w:val="20"/>
          <w:szCs w:val="20"/>
          <w:lang w:val="en"/>
        </w:rPr>
      </w:pPr>
      <w:r w:rsidRPr="00A853EB">
        <w:rPr>
          <w:rStyle w:val="FootnoteReference"/>
          <w:rFonts w:ascii="Garamond" w:hAnsi="Garamond"/>
          <w:sz w:val="20"/>
          <w:szCs w:val="20"/>
        </w:rPr>
        <w:footnoteRef/>
      </w:r>
      <w:r w:rsidRPr="00A853EB">
        <w:rPr>
          <w:rFonts w:ascii="Garamond" w:hAnsi="Garamond"/>
          <w:sz w:val="20"/>
          <w:szCs w:val="20"/>
        </w:rPr>
        <w:t xml:space="preserve"> </w:t>
      </w:r>
      <w:r w:rsidR="00A71CD8" w:rsidRPr="00A853EB">
        <w:rPr>
          <w:rFonts w:ascii="Garamond" w:hAnsi="Garamond"/>
          <w:sz w:val="20"/>
          <w:szCs w:val="20"/>
        </w:rPr>
        <w:t xml:space="preserve"> </w:t>
      </w:r>
      <w:r w:rsidRPr="00A853EB">
        <w:rPr>
          <w:rFonts w:ascii="Garamond" w:eastAsia="Times New Roman" w:hAnsi="Garamond" w:cs="Times New Roman"/>
          <w:color w:val="000000"/>
          <w:sz w:val="20"/>
          <w:szCs w:val="20"/>
        </w:rPr>
        <w:t>“Right to work” as defined and understood by international agreements is distinguishable from “Right-to-Work”</w:t>
      </w:r>
      <w:r w:rsidR="00A71CD8" w:rsidRPr="00A853EB">
        <w:rPr>
          <w:rFonts w:ascii="Garamond" w:eastAsia="Times New Roman" w:hAnsi="Garamond" w:cs="Times New Roman"/>
          <w:color w:val="000000"/>
          <w:sz w:val="20"/>
          <w:szCs w:val="20"/>
        </w:rPr>
        <w:t xml:space="preserve"> </w:t>
      </w:r>
      <w:r w:rsidRPr="00A853EB">
        <w:rPr>
          <w:rFonts w:ascii="Garamond" w:eastAsia="Times New Roman" w:hAnsi="Garamond" w:cs="Times New Roman"/>
          <w:color w:val="000000"/>
          <w:sz w:val="20"/>
          <w:szCs w:val="20"/>
        </w:rPr>
        <w:t>policies in the United States.</w:t>
      </w:r>
      <w:r w:rsidRPr="00A853EB">
        <w:rPr>
          <w:rStyle w:val="FootnoteReference"/>
          <w:rFonts w:ascii="Garamond" w:eastAsia="Times New Roman" w:hAnsi="Garamond" w:cs="Times New Roman"/>
          <w:color w:val="000000"/>
          <w:sz w:val="20"/>
          <w:szCs w:val="20"/>
        </w:rPr>
        <w:footnoteRef/>
      </w:r>
      <w:r w:rsidRPr="00A853EB">
        <w:rPr>
          <w:rFonts w:ascii="Garamond" w:eastAsia="Times New Roman" w:hAnsi="Garamond" w:cs="Times New Roman"/>
          <w:color w:val="000000"/>
          <w:sz w:val="20"/>
          <w:szCs w:val="20"/>
        </w:rPr>
        <w:t xml:space="preserve"> </w:t>
      </w:r>
      <w:r w:rsidR="0023756C" w:rsidRPr="00A853EB">
        <w:rPr>
          <w:rFonts w:ascii="Garamond" w:eastAsia="Times New Roman" w:hAnsi="Garamond" w:cs="Times New Roman"/>
          <w:color w:val="000000"/>
          <w:sz w:val="20"/>
          <w:szCs w:val="20"/>
        </w:rPr>
        <w:t>General comment No. 18 to the ICESCR elaborates on the right to work,</w:t>
      </w:r>
      <w:r w:rsidRPr="00A853EB">
        <w:rPr>
          <w:rFonts w:ascii="Garamond" w:eastAsia="Times New Roman" w:hAnsi="Garamond" w:cs="Times New Roman"/>
          <w:color w:val="000000"/>
          <w:sz w:val="20"/>
          <w:szCs w:val="20"/>
        </w:rPr>
        <w:t xml:space="preserve"> </w:t>
      </w:r>
      <w:r w:rsidR="0023756C" w:rsidRPr="00A853EB">
        <w:rPr>
          <w:rFonts w:ascii="Garamond" w:eastAsia="Times New Roman" w:hAnsi="Garamond" w:cs="Times New Roman"/>
          <w:color w:val="000000"/>
          <w:sz w:val="20"/>
          <w:szCs w:val="20"/>
        </w:rPr>
        <w:t xml:space="preserve">stating that it includes “right of everyone to form trade unions and join the trade union of his/her choice as well as the right of trade unions to function freely.” </w:t>
      </w:r>
      <w:r w:rsidR="0023756C" w:rsidRPr="00A853EB">
        <w:rPr>
          <w:rFonts w:ascii="Garamond" w:eastAsia="Times New Roman" w:hAnsi="Garamond" w:cs="Times New Roman"/>
          <w:i/>
          <w:iCs/>
          <w:color w:val="000000"/>
          <w:sz w:val="20"/>
          <w:szCs w:val="20"/>
        </w:rPr>
        <w:t>See General comment No. 18 (</w:t>
      </w:r>
      <w:r w:rsidR="0023756C" w:rsidRPr="00A853EB">
        <w:rPr>
          <w:rFonts w:ascii="Garamond" w:eastAsia="Times New Roman" w:hAnsi="Garamond" w:cs="Times New Roman"/>
          <w:i/>
          <w:iCs/>
          <w:color w:val="000000"/>
          <w:sz w:val="20"/>
          <w:szCs w:val="20"/>
          <w:lang w:val="en"/>
        </w:rPr>
        <w:t>E/C.12/GC/186 February 2006)</w:t>
      </w:r>
      <w:r w:rsidR="0023756C" w:rsidRPr="00A853EB">
        <w:rPr>
          <w:rFonts w:ascii="Garamond" w:eastAsia="Times New Roman" w:hAnsi="Garamond" w:cs="Times New Roman"/>
          <w:color w:val="000000"/>
          <w:sz w:val="20"/>
          <w:szCs w:val="20"/>
          <w:lang w:val="en"/>
        </w:rPr>
        <w:t xml:space="preserve">, </w:t>
      </w:r>
      <w:hyperlink r:id="rId9" w:history="1">
        <w:r w:rsidR="0023756C" w:rsidRPr="00A853EB">
          <w:rPr>
            <w:rStyle w:val="Hyperlink"/>
            <w:rFonts w:ascii="Garamond" w:eastAsia="Times New Roman" w:hAnsi="Garamond" w:cs="Times New Roman"/>
            <w:sz w:val="20"/>
            <w:szCs w:val="20"/>
          </w:rPr>
          <w:t>http://docstore.ohchr.org/SelfServices/FilesHandler.ashx?enc=4slQ6QSmlBEDzFEovLCuW1a0Szab0oXTdImnsJZZVQfUKxXVisd7Dae%2FCu%2B13J25Nha7l9NlwYZ%2FTmK57O%2FSr7TB2hbCAidyVu5x7XcqjNXn44LZ52C%2BIkX8AGQrVyIc</w:t>
        </w:r>
      </w:hyperlink>
      <w:r w:rsidR="0023756C" w:rsidRPr="00A853EB">
        <w:rPr>
          <w:rFonts w:ascii="Garamond" w:eastAsia="Times New Roman" w:hAnsi="Garamond" w:cs="Times New Roman"/>
          <w:color w:val="000000"/>
          <w:sz w:val="20"/>
          <w:szCs w:val="20"/>
        </w:rPr>
        <w:t xml:space="preserve">. </w:t>
      </w:r>
      <w:proofErr w:type="gramStart"/>
      <w:r w:rsidR="0023756C" w:rsidRPr="00A853EB">
        <w:rPr>
          <w:rStyle w:val="Hyperlink"/>
          <w:rFonts w:ascii="Garamond" w:eastAsia="Times New Roman" w:hAnsi="Garamond" w:cs="Times New Roman"/>
          <w:color w:val="000000" w:themeColor="text1"/>
          <w:sz w:val="20"/>
          <w:szCs w:val="20"/>
          <w:u w:val="none"/>
        </w:rPr>
        <w:t xml:space="preserve">Conversely, </w:t>
      </w:r>
      <w:r w:rsidRPr="00A853EB">
        <w:rPr>
          <w:rFonts w:ascii="Garamond" w:eastAsia="Times New Roman" w:hAnsi="Garamond" w:cs="Times New Roman"/>
          <w:color w:val="000000"/>
          <w:sz w:val="20"/>
          <w:szCs w:val="20"/>
        </w:rPr>
        <w:t xml:space="preserve"> </w:t>
      </w:r>
      <w:r w:rsidR="0023756C" w:rsidRPr="00A853EB">
        <w:rPr>
          <w:rFonts w:ascii="Garamond" w:eastAsia="Times New Roman" w:hAnsi="Garamond" w:cs="Times New Roman"/>
          <w:color w:val="000000"/>
          <w:sz w:val="20"/>
          <w:szCs w:val="20"/>
        </w:rPr>
        <w:t>“</w:t>
      </w:r>
      <w:proofErr w:type="gramEnd"/>
      <w:r w:rsidR="0023756C" w:rsidRPr="00A853EB">
        <w:rPr>
          <w:rFonts w:ascii="Garamond" w:eastAsia="Times New Roman" w:hAnsi="Garamond" w:cs="Times New Roman"/>
          <w:color w:val="000000"/>
          <w:sz w:val="20"/>
          <w:szCs w:val="20"/>
        </w:rPr>
        <w:t xml:space="preserve">Right-to-work” laws in the U.S. “are pieces of legislation that guarantee that no employee can be required to join, or not join, a union, or be required to pay dues to a labor union as a condition of employment.” </w:t>
      </w:r>
      <w:r w:rsidR="0023756C" w:rsidRPr="00A853EB">
        <w:rPr>
          <w:rFonts w:ascii="Garamond" w:eastAsia="Times New Roman" w:hAnsi="Garamond" w:cs="Times New Roman"/>
          <w:i/>
          <w:iCs/>
          <w:color w:val="000000"/>
          <w:sz w:val="20"/>
          <w:szCs w:val="20"/>
        </w:rPr>
        <w:t>See Ballotpedia</w:t>
      </w:r>
      <w:r w:rsidR="0023756C" w:rsidRPr="00A853EB">
        <w:rPr>
          <w:rFonts w:ascii="Garamond" w:eastAsia="Times New Roman" w:hAnsi="Garamond" w:cs="Times New Roman"/>
          <w:color w:val="000000"/>
          <w:sz w:val="20"/>
          <w:szCs w:val="20"/>
        </w:rPr>
        <w:t xml:space="preserve">,  </w:t>
      </w:r>
      <w:hyperlink r:id="rId10" w:history="1">
        <w:r w:rsidR="0023756C" w:rsidRPr="00A853EB">
          <w:rPr>
            <w:rStyle w:val="Hyperlink"/>
            <w:rFonts w:ascii="Garamond" w:eastAsia="Times New Roman" w:hAnsi="Garamond" w:cs="Times New Roman"/>
            <w:sz w:val="20"/>
            <w:szCs w:val="20"/>
          </w:rPr>
          <w:t>https://ballotpedia.org/Right-to-work_laws</w:t>
        </w:r>
      </w:hyperlink>
      <w:r w:rsidR="0023756C" w:rsidRPr="00A853EB">
        <w:rPr>
          <w:rStyle w:val="Hyperlink"/>
          <w:rFonts w:ascii="Garamond" w:eastAsia="Times New Roman" w:hAnsi="Garamond" w:cs="Times New Roman"/>
          <w:color w:val="000000" w:themeColor="text1"/>
          <w:sz w:val="20"/>
          <w:szCs w:val="20"/>
          <w:u w:val="none"/>
        </w:rPr>
        <w:t xml:space="preserve">. </w:t>
      </w:r>
    </w:p>
  </w:footnote>
  <w:footnote w:id="33">
    <w:p w14:paraId="503F7C0C" w14:textId="77777777" w:rsidR="00111462" w:rsidRPr="00A853EB" w:rsidRDefault="0011146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Maya Watson, </w:t>
      </w:r>
      <w:r w:rsidRPr="00A853EB">
        <w:rPr>
          <w:rFonts w:ascii="Garamond" w:hAnsi="Garamond"/>
          <w:i/>
          <w:iCs/>
        </w:rPr>
        <w:t>The United States’ Hollow Commitment to Eradicating Global Discrimination</w:t>
      </w:r>
      <w:r w:rsidRPr="00A853EB">
        <w:rPr>
          <w:rFonts w:ascii="Garamond" w:hAnsi="Garamond"/>
        </w:rPr>
        <w:t xml:space="preserve">, </w:t>
      </w:r>
      <w:r w:rsidRPr="00A853EB">
        <w:rPr>
          <w:rFonts w:ascii="Garamond" w:hAnsi="Garamond"/>
          <w:smallCaps/>
        </w:rPr>
        <w:t>American Bar Association</w:t>
      </w:r>
      <w:r w:rsidRPr="00A853EB">
        <w:rPr>
          <w:rFonts w:ascii="Garamond" w:hAnsi="Garamond"/>
        </w:rPr>
        <w:t xml:space="preserve"> (Jan. 6, 2020) </w:t>
      </w:r>
      <w:hyperlink r:id="rId11" w:anchor=":~:text=The%20United%20States%20and%20ICERD,-The%20goal%20of&amp;text=The%20United%20States%20signed%20ICERD,an%20end%20to%20racial%20discrimination" w:history="1">
        <w:r w:rsidRPr="00A853EB">
          <w:rPr>
            <w:rStyle w:val="Hyperlink"/>
            <w:rFonts w:ascii="Garamond" w:hAnsi="Garamond"/>
          </w:rPr>
          <w:t>https://www.americanbar.org/groups/crsj/publications/human_rights_magazine_home/black-to-the-future-part-ii/the-united-states--hollow-commitment-to-eradicating-global-racia/#:~:text=The%20United%20States%20and%20ICERD,-The%20goal%20of&amp;text=The%20United%20States%20signed%20ICERD,an%20end%20to%20racial%20discrimination</w:t>
        </w:r>
      </w:hyperlink>
      <w:r w:rsidRPr="00A853EB">
        <w:rPr>
          <w:rFonts w:ascii="Garamond" w:hAnsi="Garamond"/>
        </w:rPr>
        <w:t xml:space="preserve">. </w:t>
      </w:r>
    </w:p>
  </w:footnote>
  <w:footnote w:id="34">
    <w:p w14:paraId="2E86BE1D" w14:textId="77777777" w:rsidR="00111462" w:rsidRPr="00A853EB" w:rsidRDefault="0011146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International Convention on the Elimination of All Forms of Racial Discrimination art. 5, 660 U.N.T.S. 195, 212 [hereinafter ICERD].</w:t>
      </w:r>
    </w:p>
  </w:footnote>
  <w:footnote w:id="35">
    <w:p w14:paraId="4618220C" w14:textId="77777777" w:rsidR="00111462" w:rsidRPr="00A853EB" w:rsidRDefault="0011146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Jimmy Carter, U.S. Finally Ratifies Human Rights Covenant, The Carter Center (Jun. 28, 1992) </w:t>
      </w:r>
      <w:hyperlink r:id="rId12" w:history="1">
        <w:r w:rsidRPr="00A853EB">
          <w:rPr>
            <w:rStyle w:val="Hyperlink"/>
            <w:rFonts w:ascii="Garamond" w:hAnsi="Garamond"/>
            <w:lang w:val="en-US"/>
          </w:rPr>
          <w:t>https://www.cartercenter.org/news/documents/doc1369.html</w:t>
        </w:r>
      </w:hyperlink>
      <w:r w:rsidRPr="00A853EB">
        <w:rPr>
          <w:rFonts w:ascii="Garamond" w:hAnsi="Garamond"/>
          <w:lang w:val="en-US"/>
        </w:rPr>
        <w:t xml:space="preserve">. </w:t>
      </w:r>
    </w:p>
  </w:footnote>
  <w:footnote w:id="36">
    <w:p w14:paraId="26DF0A77" w14:textId="77777777" w:rsidR="00111462" w:rsidRPr="00A853EB" w:rsidRDefault="0011146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International Covenant on Civil and Political Rights art. 25, </w:t>
      </w:r>
      <w:r w:rsidRPr="00A853EB">
        <w:rPr>
          <w:rFonts w:ascii="Garamond" w:hAnsi="Garamond"/>
          <w:i/>
          <w:iCs/>
        </w:rPr>
        <w:t xml:space="preserve">adopted </w:t>
      </w:r>
      <w:r w:rsidRPr="00A853EB">
        <w:rPr>
          <w:rFonts w:ascii="Garamond" w:hAnsi="Garamond"/>
        </w:rPr>
        <w:t>Dec. 16, 1966, 999 U.N.T.S. 171 [hereinafter ICCPR].</w:t>
      </w:r>
    </w:p>
  </w:footnote>
  <w:footnote w:id="37">
    <w:p w14:paraId="55A1447B" w14:textId="7E4DB0B6" w:rsidR="00111462" w:rsidRPr="00A853EB" w:rsidRDefault="00111462" w:rsidP="00474744">
      <w:pPr>
        <w:tabs>
          <w:tab w:val="left" w:pos="270"/>
        </w:tabs>
        <w:rPr>
          <w:rFonts w:ascii="Garamond" w:hAnsi="Garamond" w:cstheme="minorHAnsi"/>
          <w:sz w:val="20"/>
          <w:szCs w:val="20"/>
        </w:rPr>
      </w:pPr>
      <w:r w:rsidRPr="00A853EB">
        <w:rPr>
          <w:rStyle w:val="FootnoteReference"/>
          <w:rFonts w:ascii="Garamond" w:hAnsi="Garamond" w:cstheme="minorHAnsi"/>
          <w:sz w:val="20"/>
          <w:szCs w:val="20"/>
        </w:rPr>
        <w:footnoteRef/>
      </w:r>
      <w:r w:rsidRPr="00A853EB">
        <w:rPr>
          <w:rFonts w:ascii="Garamond" w:hAnsi="Garamond" w:cstheme="minorHAnsi"/>
          <w:sz w:val="20"/>
          <w:szCs w:val="20"/>
        </w:rPr>
        <w:t xml:space="preserve"> </w:t>
      </w:r>
      <w:r w:rsidRPr="00A853EB">
        <w:rPr>
          <w:rFonts w:ascii="Garamond" w:hAnsi="Garamond" w:cstheme="minorHAnsi"/>
          <w:i/>
          <w:iCs/>
          <w:sz w:val="20"/>
          <w:szCs w:val="20"/>
        </w:rPr>
        <w:t>ICCPR Article 1(2):</w:t>
      </w:r>
      <w:r w:rsidRPr="00A853EB">
        <w:rPr>
          <w:rFonts w:ascii="Garamond" w:hAnsi="Garamond" w:cstheme="minorHAnsi"/>
          <w:sz w:val="20"/>
          <w:szCs w:val="20"/>
        </w:rPr>
        <w:t xml:space="preserve"> “All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hyperlink r:id="rId13" w:history="1">
        <w:r w:rsidR="003C108E" w:rsidRPr="00A21CFC">
          <w:rPr>
            <w:rStyle w:val="Hyperlink"/>
            <w:rFonts w:ascii="Garamond" w:hAnsi="Garamond" w:cstheme="minorHAnsi"/>
            <w:sz w:val="20"/>
            <w:szCs w:val="20"/>
          </w:rPr>
          <w:t>https://www.ohchr.org/en/instruments-mechanisms/instruments/international-covenant-civil-and-political-rights</w:t>
        </w:r>
      </w:hyperlink>
      <w:r w:rsidR="003C108E">
        <w:rPr>
          <w:rStyle w:val="Hyperlink"/>
          <w:rFonts w:ascii="Garamond" w:hAnsi="Garamond" w:cstheme="minorHAnsi"/>
          <w:color w:val="000000" w:themeColor="text1"/>
          <w:sz w:val="20"/>
          <w:szCs w:val="20"/>
          <w:u w:val="none"/>
        </w:rPr>
        <w:t>.</w:t>
      </w:r>
      <w:r w:rsidR="00B83D95" w:rsidRPr="00A853EB">
        <w:rPr>
          <w:rStyle w:val="Hyperlink"/>
          <w:rFonts w:ascii="Garamond" w:hAnsi="Garamond" w:cstheme="minorHAnsi"/>
          <w:sz w:val="20"/>
          <w:szCs w:val="20"/>
        </w:rPr>
        <w:t xml:space="preserve"> </w:t>
      </w:r>
    </w:p>
  </w:footnote>
  <w:footnote w:id="38">
    <w:p w14:paraId="590C9ACD" w14:textId="77777777" w:rsidR="00111462" w:rsidRPr="00A853EB" w:rsidRDefault="00111462" w:rsidP="00474744">
      <w:pPr>
        <w:pStyle w:val="FootnoteText"/>
        <w:ind w:left="0" w:firstLine="0"/>
        <w:rPr>
          <w:rFonts w:ascii="Garamond" w:hAnsi="Garamond" w:cs="Times New Roman"/>
        </w:rPr>
      </w:pPr>
      <w:r w:rsidRPr="00A853EB">
        <w:rPr>
          <w:rStyle w:val="FootnoteReference"/>
          <w:rFonts w:ascii="Garamond" w:hAnsi="Garamond" w:cs="Times New Roman"/>
        </w:rPr>
        <w:footnoteRef/>
      </w:r>
      <w:r w:rsidRPr="00A853EB">
        <w:rPr>
          <w:rFonts w:ascii="Garamond" w:hAnsi="Garamond" w:cs="Times New Roman"/>
        </w:rPr>
        <w:t xml:space="preserve"> </w:t>
      </w:r>
      <w:r w:rsidRPr="00A853EB">
        <w:rPr>
          <w:rFonts w:ascii="Garamond" w:hAnsi="Garamond" w:cs="Times New Roman"/>
          <w:i/>
          <w:iCs/>
        </w:rPr>
        <w:t xml:space="preserve">What is the Difference Between Signing, Ratification and Accession of UN </w:t>
      </w:r>
      <w:proofErr w:type="gramStart"/>
      <w:r w:rsidRPr="00A853EB">
        <w:rPr>
          <w:rFonts w:ascii="Garamond" w:hAnsi="Garamond" w:cs="Times New Roman"/>
          <w:i/>
          <w:iCs/>
        </w:rPr>
        <w:t>treaties?</w:t>
      </w:r>
      <w:r w:rsidRPr="00A853EB">
        <w:rPr>
          <w:rFonts w:ascii="Garamond" w:hAnsi="Garamond" w:cs="Times New Roman"/>
        </w:rPr>
        <w:t>,</w:t>
      </w:r>
      <w:proofErr w:type="gramEnd"/>
      <w:r w:rsidRPr="00A853EB">
        <w:rPr>
          <w:rFonts w:ascii="Garamond" w:hAnsi="Garamond" w:cs="Times New Roman"/>
          <w:i/>
          <w:iCs/>
        </w:rPr>
        <w:t xml:space="preserve"> </w:t>
      </w:r>
      <w:r w:rsidRPr="00A853EB">
        <w:rPr>
          <w:rFonts w:ascii="Garamond" w:hAnsi="Garamond" w:cs="Times New Roman"/>
          <w:smallCaps/>
        </w:rPr>
        <w:t xml:space="preserve">Dam Hammarskjöld </w:t>
      </w:r>
      <w:proofErr w:type="spellStart"/>
      <w:r w:rsidRPr="00A853EB">
        <w:rPr>
          <w:rFonts w:ascii="Garamond" w:hAnsi="Garamond" w:cs="Times New Roman"/>
          <w:smallCaps/>
        </w:rPr>
        <w:t>Libr</w:t>
      </w:r>
      <w:proofErr w:type="spellEnd"/>
      <w:r w:rsidRPr="00A853EB">
        <w:rPr>
          <w:rFonts w:ascii="Garamond" w:hAnsi="Garamond" w:cs="Times New Roman"/>
          <w:smallCaps/>
        </w:rPr>
        <w:t>.</w:t>
      </w:r>
      <w:r w:rsidRPr="00A853EB">
        <w:rPr>
          <w:rFonts w:ascii="Garamond" w:hAnsi="Garamond" w:cs="Times New Roman"/>
        </w:rPr>
        <w:t>, ask.un.org/</w:t>
      </w:r>
      <w:proofErr w:type="spellStart"/>
      <w:r w:rsidRPr="00A853EB">
        <w:rPr>
          <w:rFonts w:ascii="Garamond" w:hAnsi="Garamond" w:cs="Times New Roman"/>
        </w:rPr>
        <w:t>faq</w:t>
      </w:r>
      <w:proofErr w:type="spellEnd"/>
      <w:r w:rsidRPr="00A853EB">
        <w:rPr>
          <w:rFonts w:ascii="Garamond" w:hAnsi="Garamond" w:cs="Times New Roman"/>
        </w:rPr>
        <w:t>/14594 (last visited Sept. 30, 2021).</w:t>
      </w:r>
    </w:p>
  </w:footnote>
  <w:footnote w:id="39">
    <w:p w14:paraId="539B8F66" w14:textId="77777777" w:rsidR="00111462" w:rsidRPr="00A853EB" w:rsidRDefault="0011146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United Nations Convention on the Rights of the Child art 24, opened for signature Nov. 20, 1989, 1577 U.N.T.S. 3 (entered into force Sept. 2, 1990) [hereinafter CRC].</w:t>
      </w:r>
    </w:p>
  </w:footnote>
  <w:footnote w:id="40">
    <w:p w14:paraId="4850BAFB" w14:textId="7D605E6A" w:rsidR="00040D08" w:rsidRPr="00A853EB" w:rsidRDefault="00040D08" w:rsidP="00474744">
      <w:pPr>
        <w:rPr>
          <w:rFonts w:ascii="Garamond" w:eastAsia="Calibri" w:hAnsi="Garamond" w:cs="Calibri"/>
          <w:sz w:val="20"/>
          <w:szCs w:val="20"/>
        </w:rPr>
      </w:pPr>
      <w:r w:rsidRPr="00A853EB">
        <w:rPr>
          <w:rStyle w:val="FootnoteReference"/>
          <w:rFonts w:ascii="Garamond" w:eastAsia="Arial" w:hAnsi="Garamond"/>
          <w:sz w:val="20"/>
          <w:szCs w:val="20"/>
        </w:rPr>
        <w:footnoteRef/>
      </w:r>
      <w:r w:rsidRPr="00A853EB">
        <w:rPr>
          <w:rFonts w:ascii="Garamond" w:hAnsi="Garamond"/>
          <w:sz w:val="20"/>
          <w:szCs w:val="20"/>
        </w:rPr>
        <w:t xml:space="preserve"> </w:t>
      </w:r>
      <w:r w:rsidRPr="00A853EB">
        <w:rPr>
          <w:rFonts w:ascii="Garamond" w:eastAsia="Calibri" w:hAnsi="Garamond" w:cs="Calibri"/>
          <w:sz w:val="20"/>
          <w:szCs w:val="20"/>
        </w:rPr>
        <w:t xml:space="preserve">Right to Food, Food &amp; Ag. Org. of the U.N. </w:t>
      </w:r>
      <w:hyperlink r:id="rId14" w:history="1">
        <w:r w:rsidR="00A71CD8" w:rsidRPr="00A853EB">
          <w:rPr>
            <w:rStyle w:val="Hyperlink"/>
            <w:rFonts w:ascii="Garamond" w:eastAsia="Calibri" w:hAnsi="Garamond" w:cs="Calibri"/>
            <w:sz w:val="20"/>
            <w:szCs w:val="20"/>
          </w:rPr>
          <w:t>http://www.fao.org/policy-support/policy-themes/right-to-food/en/</w:t>
        </w:r>
      </w:hyperlink>
      <w:r w:rsidR="00A71CD8" w:rsidRPr="00A853EB">
        <w:rPr>
          <w:rFonts w:ascii="Garamond" w:eastAsia="Calibri" w:hAnsi="Garamond" w:cs="Calibri"/>
          <w:sz w:val="20"/>
          <w:szCs w:val="20"/>
        </w:rPr>
        <w:t xml:space="preserve"> </w:t>
      </w:r>
      <w:r w:rsidRPr="00A853EB">
        <w:rPr>
          <w:rFonts w:ascii="Garamond" w:eastAsia="Calibri" w:hAnsi="Garamond" w:cs="Calibri"/>
          <w:sz w:val="20"/>
          <w:szCs w:val="20"/>
        </w:rPr>
        <w:t>(accessed October 2).</w:t>
      </w:r>
    </w:p>
  </w:footnote>
  <w:footnote w:id="41">
    <w:p w14:paraId="5C220294" w14:textId="77777777" w:rsidR="00040D08" w:rsidRPr="00A853EB" w:rsidRDefault="00040D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Arsalan Ahmad, United Nations to Follow Seven Steps on Better Food System, </w:t>
      </w:r>
      <w:r w:rsidRPr="00A853EB">
        <w:rPr>
          <w:rFonts w:ascii="Garamond" w:hAnsi="Garamond"/>
          <w:smallCaps/>
        </w:rPr>
        <w:t>Technology Times</w:t>
      </w:r>
      <w:r w:rsidRPr="00A853EB">
        <w:rPr>
          <w:rFonts w:ascii="Garamond" w:hAnsi="Garamond"/>
        </w:rPr>
        <w:t xml:space="preserve"> (Aug. 31, 2021) </w:t>
      </w:r>
      <w:hyperlink r:id="rId15" w:history="1">
        <w:r w:rsidRPr="00A853EB">
          <w:rPr>
            <w:rStyle w:val="Hyperlink"/>
            <w:rFonts w:ascii="Garamond" w:hAnsi="Garamond"/>
          </w:rPr>
          <w:t>https://technologytimes.pk/2021/08/31/united-nations-to-follow-seven-steps-on-better-food-system/</w:t>
        </w:r>
      </w:hyperlink>
      <w:r w:rsidRPr="00A853EB">
        <w:rPr>
          <w:rFonts w:ascii="Garamond" w:hAnsi="Garamond"/>
        </w:rPr>
        <w:t xml:space="preserve">  </w:t>
      </w:r>
    </w:p>
  </w:footnote>
  <w:footnote w:id="42">
    <w:p w14:paraId="63116045" w14:textId="659BC240" w:rsidR="004C50DC" w:rsidRPr="00A853EB" w:rsidRDefault="004C50DC"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00516A0D" w:rsidRPr="00A853EB">
        <w:rPr>
          <w:rFonts w:ascii="Garamond" w:hAnsi="Garamond"/>
        </w:rPr>
        <w:t xml:space="preserve">Child Hunger in America, Save the Children (accessed May 2022), </w:t>
      </w:r>
      <w:hyperlink r:id="rId16" w:anchor=":~:text=Statistics%20about%20child%20hunger%20in,more%20families%20are%20going%20hungry" w:history="1">
        <w:r w:rsidR="00516A0D" w:rsidRPr="00A853EB">
          <w:rPr>
            <w:rStyle w:val="Hyperlink"/>
            <w:rFonts w:ascii="Garamond" w:hAnsi="Garamond"/>
          </w:rPr>
          <w:t>https://www.savethechildren.org/us/charity-stories/child-hunger-in-america#:~:text=Statistics%20about%20child%20hunger%20in,more%20families%20are%20going%20hungry</w:t>
        </w:r>
      </w:hyperlink>
      <w:r w:rsidR="00516A0D" w:rsidRPr="00A853EB">
        <w:rPr>
          <w:rFonts w:ascii="Garamond" w:hAnsi="Garamond"/>
        </w:rPr>
        <w:t xml:space="preserve">; The State of America’s Children 2021, Children’s Defense Fund (2021), </w:t>
      </w:r>
      <w:hyperlink r:id="rId17" w:history="1">
        <w:r w:rsidR="00516A0D" w:rsidRPr="00A853EB">
          <w:rPr>
            <w:rStyle w:val="Hyperlink"/>
            <w:rFonts w:ascii="Garamond" w:hAnsi="Garamond"/>
          </w:rPr>
          <w:t>https://www.childrensdefense.org/wp-content/uploads/2021/04/The-State-of-Americas-Children-2021.pdf</w:t>
        </w:r>
      </w:hyperlink>
      <w:r w:rsidR="00516A0D" w:rsidRPr="00A853EB">
        <w:rPr>
          <w:rFonts w:ascii="Garamond" w:hAnsi="Garamond"/>
        </w:rPr>
        <w:t xml:space="preserve">.  </w:t>
      </w:r>
    </w:p>
  </w:footnote>
  <w:footnote w:id="43">
    <w:p w14:paraId="2F8CD0FA" w14:textId="180C463A" w:rsidR="004C50DC" w:rsidRPr="00A853EB" w:rsidRDefault="004C50DC" w:rsidP="00474744">
      <w:pPr>
        <w:contextualSpacing/>
        <w:rPr>
          <w:rFonts w:ascii="Garamond" w:eastAsia="Times New Roman" w:hAnsi="Garamond" w:cs="Times New Roman"/>
          <w:sz w:val="20"/>
          <w:szCs w:val="20"/>
        </w:rPr>
      </w:pPr>
      <w:r w:rsidRPr="00A853EB">
        <w:rPr>
          <w:rStyle w:val="FootnoteReference"/>
          <w:rFonts w:ascii="Garamond" w:hAnsi="Garamond"/>
          <w:sz w:val="20"/>
          <w:szCs w:val="20"/>
        </w:rPr>
        <w:footnoteRef/>
      </w:r>
      <w:r w:rsidRPr="00A853EB">
        <w:rPr>
          <w:rFonts w:ascii="Garamond" w:hAnsi="Garamond"/>
          <w:sz w:val="20"/>
          <w:szCs w:val="20"/>
        </w:rPr>
        <w:t xml:space="preserve"> </w:t>
      </w:r>
      <w:r w:rsidRPr="00A853EB">
        <w:rPr>
          <w:rFonts w:ascii="Garamond" w:eastAsia="Times New Roman" w:hAnsi="Garamond" w:cs="Times New Roman"/>
          <w:sz w:val="20"/>
          <w:szCs w:val="20"/>
          <w:shd w:val="clear" w:color="auto" w:fill="FFFFFF"/>
        </w:rPr>
        <w:t>2018 Farm Bill Primer: SNAP and Nutrition Title Programs Congressional Research Service</w:t>
      </w:r>
      <w:r w:rsidR="00516A0D" w:rsidRPr="00A853EB">
        <w:rPr>
          <w:rFonts w:ascii="Garamond" w:eastAsia="Times New Roman" w:hAnsi="Garamond" w:cs="Times New Roman"/>
          <w:sz w:val="20"/>
          <w:szCs w:val="20"/>
          <w:shd w:val="clear" w:color="auto" w:fill="FFFFFF"/>
        </w:rPr>
        <w:t xml:space="preserve"> </w:t>
      </w:r>
      <w:r w:rsidRPr="00A853EB">
        <w:rPr>
          <w:rFonts w:ascii="Garamond" w:eastAsia="Times New Roman" w:hAnsi="Garamond" w:cs="Times New Roman"/>
          <w:sz w:val="20"/>
          <w:szCs w:val="20"/>
          <w:shd w:val="clear" w:color="auto" w:fill="FFFFFF"/>
        </w:rPr>
        <w:t>(Jan. 2019). (Except as</w:t>
      </w:r>
      <w:r w:rsidR="00DC55DD" w:rsidRPr="00A853EB">
        <w:rPr>
          <w:rFonts w:ascii="Garamond" w:eastAsia="Times New Roman" w:hAnsi="Garamond" w:cs="Times New Roman"/>
          <w:sz w:val="20"/>
          <w:szCs w:val="20"/>
          <w:shd w:val="clear" w:color="auto" w:fill="FFFFFF"/>
        </w:rPr>
        <w:t xml:space="preserve"> </w:t>
      </w:r>
      <w:r w:rsidRPr="00A853EB">
        <w:rPr>
          <w:rFonts w:ascii="Garamond" w:eastAsia="Times New Roman" w:hAnsi="Garamond" w:cs="Times New Roman"/>
          <w:sz w:val="20"/>
          <w:szCs w:val="20"/>
          <w:shd w:val="clear" w:color="auto" w:fill="FFFFFF"/>
        </w:rPr>
        <w:t xml:space="preserve">noted, participation and funding data from USDA-FNS Key Data Report, dated November 2018, based on data through September 2018. SFMNP funding and data displayed for FY2017 from USDA-FNS program website). </w:t>
      </w:r>
    </w:p>
  </w:footnote>
  <w:footnote w:id="44">
    <w:p w14:paraId="4839E1DC" w14:textId="77777777" w:rsidR="004C50DC" w:rsidRPr="00A853EB" w:rsidRDefault="004C50DC"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Tracking the COVID-19 Economy’s Effects on Food, Housing, and Employment Hardships, </w:t>
      </w:r>
      <w:r w:rsidRPr="00A853EB">
        <w:rPr>
          <w:rFonts w:ascii="Garamond" w:hAnsi="Garamond"/>
          <w:smallCaps/>
        </w:rPr>
        <w:t>center on budget and policy priorities (</w:t>
      </w:r>
      <w:r w:rsidRPr="00A853EB">
        <w:rPr>
          <w:rFonts w:ascii="Garamond" w:hAnsi="Garamond"/>
        </w:rPr>
        <w:t>accessed May 7, 2022)</w:t>
      </w:r>
    </w:p>
    <w:p w14:paraId="6F9A82FF" w14:textId="432DBA69" w:rsidR="004C50DC" w:rsidRPr="00A853EB" w:rsidRDefault="004C50DC" w:rsidP="00474744">
      <w:pPr>
        <w:pStyle w:val="FootnoteText"/>
        <w:ind w:left="0" w:firstLine="0"/>
        <w:rPr>
          <w:rFonts w:ascii="Garamond" w:hAnsi="Garamond"/>
        </w:rPr>
      </w:pPr>
      <w:r w:rsidRPr="00A853EB">
        <w:rPr>
          <w:rFonts w:ascii="Garamond" w:hAnsi="Garamond"/>
        </w:rPr>
        <w:t xml:space="preserve"> </w:t>
      </w:r>
      <w:hyperlink r:id="rId18" w:history="1">
        <w:r w:rsidRPr="00A853EB">
          <w:rPr>
            <w:rStyle w:val="Hyperlink"/>
            <w:rFonts w:ascii="Garamond" w:hAnsi="Garamond"/>
          </w:rPr>
          <w:t>https://www.cbpp.org/research/poverty-and-inequality/tracking-the-covid-19-economys-effects-on-food-housing-and</w:t>
        </w:r>
      </w:hyperlink>
      <w:r w:rsidR="003C108E">
        <w:rPr>
          <w:rStyle w:val="Hyperlink"/>
          <w:rFonts w:ascii="Garamond" w:hAnsi="Garamond"/>
          <w:color w:val="000000" w:themeColor="text1"/>
          <w:u w:val="none"/>
        </w:rPr>
        <w:t>.</w:t>
      </w:r>
      <w:r w:rsidRPr="00A853EB">
        <w:rPr>
          <w:rFonts w:ascii="Garamond" w:hAnsi="Garamond"/>
        </w:rPr>
        <w:t xml:space="preserve"> </w:t>
      </w:r>
    </w:p>
  </w:footnote>
  <w:footnote w:id="45">
    <w:p w14:paraId="798F8E3E" w14:textId="77777777" w:rsidR="004C50DC" w:rsidRPr="00A853EB" w:rsidRDefault="004C50DC"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lang w:val="en-US"/>
        </w:rPr>
        <w:t xml:space="preserve"> Pine, A. &amp; de Souza, R (forthcoming). Hunger, Survivance, and Imaginative Futures: A Racial Analysis of the “Right to Food” in Dempsey, S.E. (ed.), </w:t>
      </w:r>
      <w:r w:rsidRPr="00A853EB">
        <w:rPr>
          <w:rFonts w:ascii="Garamond" w:hAnsi="Garamond"/>
          <w:i/>
          <w:iCs/>
          <w:lang w:val="en-US"/>
        </w:rPr>
        <w:t>Organizing Food Justice: Critical Organizational Communication Theory Meets the Food Movement</w:t>
      </w:r>
      <w:r w:rsidRPr="00A853EB">
        <w:rPr>
          <w:rFonts w:ascii="Garamond" w:hAnsi="Garamond"/>
          <w:lang w:val="en-US"/>
        </w:rPr>
        <w:t>. Routledge.</w:t>
      </w:r>
    </w:p>
  </w:footnote>
  <w:footnote w:id="46">
    <w:p w14:paraId="1350CEBF" w14:textId="77777777" w:rsidR="004C50DC" w:rsidRPr="00A853EB" w:rsidRDefault="004C50DC"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Heather Hartline-Grafton, New USDA Report Provides Picture of Who Participates in SNAP, </w:t>
      </w:r>
      <w:r w:rsidRPr="00A853EB">
        <w:rPr>
          <w:rFonts w:ascii="Garamond" w:hAnsi="Garamond"/>
          <w:smallCaps/>
        </w:rPr>
        <w:t xml:space="preserve">Food research &amp; action center </w:t>
      </w:r>
      <w:hyperlink r:id="rId19" w:history="1">
        <w:r w:rsidRPr="00A853EB">
          <w:rPr>
            <w:rStyle w:val="Hyperlink"/>
            <w:rFonts w:ascii="Garamond" w:hAnsi="Garamond"/>
          </w:rPr>
          <w:t>https://frac.org/blog/new-usda-report-provides-picture-of-who-participates-in-snap</w:t>
        </w:r>
      </w:hyperlink>
      <w:r w:rsidRPr="00A853EB">
        <w:rPr>
          <w:rFonts w:ascii="Garamond" w:hAnsi="Garamond"/>
        </w:rPr>
        <w:t xml:space="preserve"> </w:t>
      </w:r>
    </w:p>
  </w:footnote>
  <w:footnote w:id="47">
    <w:p w14:paraId="1E18305C" w14:textId="1A31B655" w:rsidR="004C50DC" w:rsidRPr="00A853EB" w:rsidRDefault="004C50DC"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00DC55DD" w:rsidRPr="00A853EB">
        <w:rPr>
          <w:rFonts w:ascii="Garamond" w:hAnsi="Garamond"/>
        </w:rPr>
        <w:t xml:space="preserve">Snap and the Thrift Food Plan, USDA Food and Nutrition Service, </w:t>
      </w:r>
      <w:hyperlink r:id="rId20" w:history="1">
        <w:r w:rsidR="00DC55DD" w:rsidRPr="00A853EB">
          <w:rPr>
            <w:rStyle w:val="Hyperlink"/>
            <w:rFonts w:ascii="Garamond" w:hAnsi="Garamond"/>
          </w:rPr>
          <w:t>https://www.fns.usda.gov/snap/thriftyfoodplan</w:t>
        </w:r>
      </w:hyperlink>
      <w:r w:rsidR="00DC55DD" w:rsidRPr="00A853EB">
        <w:rPr>
          <w:rFonts w:ascii="Garamond" w:hAnsi="Garamond"/>
        </w:rPr>
        <w:t>.</w:t>
      </w:r>
      <w:r w:rsidRPr="00A853EB">
        <w:rPr>
          <w:rFonts w:ascii="Garamond" w:hAnsi="Garamond"/>
        </w:rPr>
        <w:t xml:space="preserve"> </w:t>
      </w:r>
    </w:p>
  </w:footnote>
  <w:footnote w:id="48">
    <w:p w14:paraId="2103EB07" w14:textId="2C3FC3C6" w:rsidR="004C50DC" w:rsidRPr="00A853EB" w:rsidRDefault="004C50DC"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lang w:val="en-US"/>
        </w:rPr>
        <w:t xml:space="preserve"> </w:t>
      </w:r>
      <w:r w:rsidR="00DC55DD" w:rsidRPr="00A853EB">
        <w:rPr>
          <w:rFonts w:ascii="Garamond" w:hAnsi="Garamond"/>
          <w:i/>
          <w:iCs/>
          <w:lang w:val="en-US"/>
        </w:rPr>
        <w:t xml:space="preserve">Tracking the COVID-19 Economy’ s Effects on Food, Housing, and Employment </w:t>
      </w:r>
      <w:r w:rsidR="00DC55DD" w:rsidRPr="00A853EB">
        <w:rPr>
          <w:rFonts w:ascii="Garamond" w:hAnsi="Garamond"/>
          <w:lang w:val="en-US"/>
        </w:rPr>
        <w:t xml:space="preserve">Hardship, Center on Budget and Policy Priorities (Oct. 2021), </w:t>
      </w:r>
      <w:hyperlink r:id="rId21" w:history="1">
        <w:r w:rsidR="00DC55DD" w:rsidRPr="00A853EB">
          <w:rPr>
            <w:rStyle w:val="Hyperlink"/>
            <w:rFonts w:ascii="Garamond" w:hAnsi="Garamond"/>
          </w:rPr>
          <w:t>https://www.cbpp.org/research/poverty-and-inequality/tracking-the-covid-19-economys-effects-on-food-housing-and</w:t>
        </w:r>
      </w:hyperlink>
      <w:r w:rsidR="00DC55DD" w:rsidRPr="00A853EB">
        <w:rPr>
          <w:rFonts w:ascii="Garamond" w:hAnsi="Garamond"/>
        </w:rPr>
        <w:t>.</w:t>
      </w:r>
    </w:p>
  </w:footnote>
  <w:footnote w:id="49">
    <w:p w14:paraId="2E5C2876" w14:textId="6B0EBA03" w:rsidR="004C50DC" w:rsidRPr="00A853EB" w:rsidRDefault="004C50DC"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00DC55DD" w:rsidRPr="00A853EB">
        <w:rPr>
          <w:rFonts w:ascii="Garamond" w:hAnsi="Garamond"/>
        </w:rPr>
        <w:t xml:space="preserve">Carolyn L. Todd, </w:t>
      </w:r>
      <w:r w:rsidR="00DC55DD" w:rsidRPr="00A853EB">
        <w:rPr>
          <w:rFonts w:ascii="Garamond" w:hAnsi="Garamond"/>
          <w:i/>
          <w:iCs/>
        </w:rPr>
        <w:t>Applying for SNAP Can Be Way Too Hard. This Nonprofit Wants to Change That</w:t>
      </w:r>
      <w:r w:rsidR="00DC55DD" w:rsidRPr="00A853EB">
        <w:rPr>
          <w:rFonts w:ascii="Garamond" w:hAnsi="Garamond"/>
        </w:rPr>
        <w:t xml:space="preserve">, Self (Oct. 29, 2020), </w:t>
      </w:r>
      <w:hyperlink r:id="rId22" w:anchor=":~:text=The%20typical%20process%20of%20applying,10%20documents%2C%20according%20to%20mRelief" w:history="1">
        <w:r w:rsidR="00DC55DD" w:rsidRPr="00A853EB">
          <w:rPr>
            <w:rStyle w:val="Hyperlink"/>
            <w:rFonts w:ascii="Garamond" w:hAnsi="Garamond"/>
          </w:rPr>
          <w:t>https://www.self.com/story/nonprofit-mrelief-improving-snap#:~:text=The%20typical%20process%20of%20applying,10%20documents%2C%20according%20to%20mRelief</w:t>
        </w:r>
      </w:hyperlink>
      <w:r w:rsidRPr="00A853EB">
        <w:rPr>
          <w:rFonts w:ascii="Garamond" w:hAnsi="Garamond"/>
        </w:rPr>
        <w:t>.</w:t>
      </w:r>
      <w:r w:rsidR="00B83D95" w:rsidRPr="00A853EB">
        <w:rPr>
          <w:rFonts w:ascii="Garamond" w:hAnsi="Garamond"/>
        </w:rPr>
        <w:t xml:space="preserve"> </w:t>
      </w:r>
    </w:p>
  </w:footnote>
  <w:footnote w:id="50">
    <w:p w14:paraId="20890432" w14:textId="77777777" w:rsidR="004C50DC" w:rsidRPr="00A853EB" w:rsidRDefault="004C50DC"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Pine, A. &amp; de Souza, R (forthcoming). Hunger, Survivance, and Imaginative Futures: A Racial Analysis of the “Right to Food” in Dempsey, S.E. (ed.), </w:t>
      </w:r>
      <w:r w:rsidRPr="00A853EB">
        <w:rPr>
          <w:rFonts w:ascii="Garamond" w:hAnsi="Garamond"/>
          <w:i/>
          <w:iCs/>
          <w:lang w:val="en-US"/>
        </w:rPr>
        <w:t>Organizing Food Justice: Critical Organizational Communication Theory Meets the Food Movement</w:t>
      </w:r>
      <w:r w:rsidRPr="00A853EB">
        <w:rPr>
          <w:rFonts w:ascii="Garamond" w:hAnsi="Garamond"/>
          <w:lang w:val="en-US"/>
        </w:rPr>
        <w:t>. Routledge.</w:t>
      </w:r>
    </w:p>
  </w:footnote>
  <w:footnote w:id="51">
    <w:p w14:paraId="4372B706" w14:textId="77777777" w:rsidR="004C50DC" w:rsidRPr="00A853EB" w:rsidRDefault="004C50DC"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Pine, A. &amp; de Souza, R (forthcoming). Hunger, Survivance, and Imaginative Futures: A Racial Analysis of the “Right to Food” in Dempsey, S.E. (ed.), </w:t>
      </w:r>
      <w:r w:rsidRPr="00A853EB">
        <w:rPr>
          <w:rFonts w:ascii="Garamond" w:hAnsi="Garamond"/>
          <w:i/>
          <w:iCs/>
          <w:lang w:val="en-US"/>
        </w:rPr>
        <w:t>Organizing Food Justice: Critical Organizational Communication Theory Meets the Food Movement</w:t>
      </w:r>
      <w:r w:rsidRPr="00A853EB">
        <w:rPr>
          <w:rFonts w:ascii="Garamond" w:hAnsi="Garamond"/>
          <w:lang w:val="en-US"/>
        </w:rPr>
        <w:t>. Routledge.</w:t>
      </w:r>
    </w:p>
  </w:footnote>
  <w:footnote w:id="52">
    <w:p w14:paraId="22E43840" w14:textId="77777777" w:rsidR="004C50DC" w:rsidRPr="00A853EB" w:rsidRDefault="004C50DC"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Meghan O’Connell, Food Access and Cost in American Indian Communities in Washington State, Journal of the Academy of Nutrition and Dietetics (Sep. 1, 2011) </w:t>
      </w:r>
      <w:hyperlink r:id="rId23" w:history="1">
        <w:r w:rsidRPr="00A853EB">
          <w:rPr>
            <w:rStyle w:val="Hyperlink"/>
            <w:rFonts w:ascii="Garamond" w:hAnsi="Garamond"/>
          </w:rPr>
          <w:t>https://www.jandonline.org/article/S0002-8223(11)00698-5/fulltext</w:t>
        </w:r>
      </w:hyperlink>
      <w:r w:rsidRPr="00A853EB">
        <w:rPr>
          <w:rFonts w:ascii="Garamond" w:hAnsi="Garamond"/>
        </w:rPr>
        <w:t xml:space="preserve">.  </w:t>
      </w:r>
    </w:p>
  </w:footnote>
  <w:footnote w:id="53">
    <w:p w14:paraId="284EA546" w14:textId="77777777" w:rsidR="004C50DC" w:rsidRPr="00A853EB" w:rsidRDefault="004C50DC"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Brian </w:t>
      </w:r>
      <w:proofErr w:type="spellStart"/>
      <w:r w:rsidRPr="00A853EB">
        <w:rPr>
          <w:rFonts w:ascii="Garamond" w:hAnsi="Garamond"/>
        </w:rPr>
        <w:t>Oaster</w:t>
      </w:r>
      <w:proofErr w:type="spellEnd"/>
      <w:r w:rsidRPr="00A853EB">
        <w:rPr>
          <w:rFonts w:ascii="Garamond" w:hAnsi="Garamond"/>
        </w:rPr>
        <w:t xml:space="preserve">, </w:t>
      </w:r>
      <w:r w:rsidRPr="00A853EB">
        <w:rPr>
          <w:rFonts w:ascii="Garamond" w:hAnsi="Garamond"/>
          <w:i/>
          <w:iCs/>
        </w:rPr>
        <w:t xml:space="preserve">The first answer for </w:t>
      </w:r>
      <w:proofErr w:type="spellStart"/>
      <w:r w:rsidRPr="00A853EB">
        <w:rPr>
          <w:rFonts w:ascii="Garamond" w:hAnsi="Garamond"/>
          <w:i/>
          <w:iCs/>
        </w:rPr>
        <w:t>for</w:t>
      </w:r>
      <w:proofErr w:type="spellEnd"/>
      <w:r w:rsidRPr="00A853EB">
        <w:rPr>
          <w:rFonts w:ascii="Garamond" w:hAnsi="Garamond"/>
          <w:i/>
          <w:iCs/>
        </w:rPr>
        <w:t xml:space="preserve"> food security: data sovereignty</w:t>
      </w:r>
      <w:r w:rsidRPr="00A853EB">
        <w:rPr>
          <w:rFonts w:ascii="Garamond" w:hAnsi="Garamond"/>
        </w:rPr>
        <w:t xml:space="preserve">, </w:t>
      </w:r>
      <w:r w:rsidRPr="00A853EB">
        <w:rPr>
          <w:rFonts w:ascii="Garamond" w:hAnsi="Garamond"/>
          <w:smallCaps/>
        </w:rPr>
        <w:t>High Country News</w:t>
      </w:r>
      <w:r w:rsidRPr="00A853EB">
        <w:rPr>
          <w:rFonts w:ascii="Garamond" w:hAnsi="Garamond"/>
        </w:rPr>
        <w:t xml:space="preserve"> (Feb. 11, 2022) </w:t>
      </w:r>
      <w:hyperlink r:id="rId24" w:history="1">
        <w:r w:rsidRPr="00A853EB">
          <w:rPr>
            <w:rStyle w:val="Hyperlink"/>
            <w:rFonts w:ascii="Garamond" w:hAnsi="Garamond"/>
          </w:rPr>
          <w:t>https://www.hcn.org/articles/indigenous-affairs-food-the-first-answer-for-food-insecurity-data-sovereignty</w:t>
        </w:r>
      </w:hyperlink>
      <w:r w:rsidRPr="00A853EB">
        <w:rPr>
          <w:rFonts w:ascii="Garamond" w:hAnsi="Garamond"/>
        </w:rPr>
        <w:t xml:space="preserve">. </w:t>
      </w:r>
    </w:p>
  </w:footnote>
  <w:footnote w:id="54">
    <w:p w14:paraId="6C2746D8" w14:textId="77777777" w:rsidR="004C50DC" w:rsidRPr="00A853EB" w:rsidRDefault="004C50DC"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Increasing Access to Healthy Foods in Indian Country, </w:t>
      </w:r>
      <w:r w:rsidRPr="00A853EB">
        <w:rPr>
          <w:rFonts w:ascii="Garamond" w:hAnsi="Garamond"/>
          <w:smallCaps/>
          <w:lang w:val="en-US"/>
        </w:rPr>
        <w:t>Food and Nutrition Service</w:t>
      </w:r>
      <w:r w:rsidRPr="00A853EB">
        <w:rPr>
          <w:rFonts w:ascii="Garamond" w:hAnsi="Garamond"/>
          <w:lang w:val="en-US"/>
        </w:rPr>
        <w:t xml:space="preserve"> (Accessed May 8, 2022) </w:t>
      </w:r>
      <w:hyperlink r:id="rId25" w:history="1">
        <w:r w:rsidRPr="00A853EB">
          <w:rPr>
            <w:rStyle w:val="Hyperlink"/>
            <w:rFonts w:ascii="Garamond" w:hAnsi="Garamond"/>
            <w:lang w:val="en-US"/>
          </w:rPr>
          <w:t>https://www.fns.usda.gov/fdpir/food-distribution-program-indian-reservations</w:t>
        </w:r>
      </w:hyperlink>
      <w:r w:rsidRPr="00A853EB">
        <w:rPr>
          <w:rFonts w:ascii="Garamond" w:hAnsi="Garamond"/>
          <w:lang w:val="en-US"/>
        </w:rPr>
        <w:t xml:space="preserve">. </w:t>
      </w:r>
    </w:p>
  </w:footnote>
  <w:footnote w:id="55">
    <w:p w14:paraId="73E85567" w14:textId="3D1EB4D1" w:rsidR="008C6CDA" w:rsidRPr="00A853EB" w:rsidRDefault="008C6CDA"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Toni Stanger-McLaughlin et. al., </w:t>
      </w:r>
      <w:r w:rsidRPr="00A853EB">
        <w:rPr>
          <w:rFonts w:ascii="Garamond" w:hAnsi="Garamond"/>
          <w:i/>
          <w:iCs/>
          <w:lang w:val="en-US"/>
        </w:rPr>
        <w:t>Reimagining Hunger Responses in Times of Crisis,</w:t>
      </w:r>
      <w:r w:rsidRPr="00A853EB">
        <w:rPr>
          <w:rFonts w:ascii="Garamond" w:hAnsi="Garamond"/>
          <w:lang w:val="en-US"/>
        </w:rPr>
        <w:t xml:space="preserve"> </w:t>
      </w:r>
      <w:r w:rsidRPr="00A853EB">
        <w:rPr>
          <w:rFonts w:ascii="Garamond" w:hAnsi="Garamond"/>
          <w:smallCaps/>
          <w:lang w:val="en-US"/>
        </w:rPr>
        <w:t>Native American Agriculture Fund</w:t>
      </w:r>
      <w:r w:rsidRPr="00A853EB">
        <w:rPr>
          <w:rFonts w:ascii="Garamond" w:hAnsi="Garamond"/>
          <w:lang w:val="en-US"/>
        </w:rPr>
        <w:t xml:space="preserve"> (Jan. 2022), </w:t>
      </w:r>
      <w:hyperlink r:id="rId26" w:history="1">
        <w:r w:rsidRPr="00A853EB">
          <w:rPr>
            <w:rStyle w:val="Hyperlink"/>
            <w:rFonts w:ascii="Garamond" w:hAnsi="Garamond"/>
            <w:lang w:val="en-US"/>
          </w:rPr>
          <w:t>https://nativeamericanagriculturefund.org/wp-content/uploads/2018/04/Reimagining-Hunger-Responses-in-Times-of-Crisis.pdf</w:t>
        </w:r>
      </w:hyperlink>
      <w:r w:rsidRPr="00A853EB">
        <w:rPr>
          <w:rFonts w:ascii="Garamond" w:hAnsi="Garamond"/>
          <w:lang w:val="en-US"/>
        </w:rPr>
        <w:t>.</w:t>
      </w:r>
    </w:p>
  </w:footnote>
  <w:footnote w:id="56">
    <w:p w14:paraId="39D5B332" w14:textId="6E3B0697" w:rsidR="004C50DC" w:rsidRPr="00A853EB" w:rsidRDefault="004C50DC"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008C6CDA" w:rsidRPr="00A853EB">
        <w:rPr>
          <w:rFonts w:ascii="Garamond" w:hAnsi="Garamond"/>
          <w:i/>
          <w:iCs/>
          <w:lang w:val="en-US"/>
        </w:rPr>
        <w:t>Id.</w:t>
      </w:r>
      <w:r w:rsidR="008C6CDA" w:rsidRPr="00A853EB">
        <w:rPr>
          <w:rFonts w:ascii="Garamond" w:hAnsi="Garamond"/>
          <w:lang w:val="en-US"/>
        </w:rPr>
        <w:t xml:space="preserve"> </w:t>
      </w:r>
      <w:r w:rsidRPr="00A853EB">
        <w:rPr>
          <w:rFonts w:ascii="Garamond" w:hAnsi="Garamond"/>
          <w:lang w:val="en-US"/>
        </w:rPr>
        <w:t xml:space="preserve"> </w:t>
      </w:r>
    </w:p>
  </w:footnote>
  <w:footnote w:id="57">
    <w:p w14:paraId="56486033" w14:textId="77777777" w:rsidR="004C50DC" w:rsidRPr="00A853EB" w:rsidRDefault="004C50DC" w:rsidP="00474744">
      <w:pPr>
        <w:rPr>
          <w:rFonts w:ascii="Garamond" w:eastAsia="Times New Roman" w:hAnsi="Garamond" w:cs="Times New Roman"/>
          <w:sz w:val="20"/>
          <w:szCs w:val="20"/>
        </w:rPr>
      </w:pPr>
      <w:r w:rsidRPr="00A853EB">
        <w:rPr>
          <w:rStyle w:val="FootnoteReference"/>
          <w:rFonts w:ascii="Garamond" w:hAnsi="Garamond"/>
          <w:sz w:val="20"/>
          <w:szCs w:val="20"/>
        </w:rPr>
        <w:footnoteRef/>
      </w:r>
      <w:r w:rsidRPr="00A853EB">
        <w:rPr>
          <w:rFonts w:ascii="Garamond" w:hAnsi="Garamond"/>
          <w:sz w:val="20"/>
          <w:szCs w:val="20"/>
        </w:rPr>
        <w:t xml:space="preserve"> </w:t>
      </w:r>
      <w:r w:rsidRPr="00A853EB">
        <w:rPr>
          <w:rFonts w:ascii="Garamond" w:eastAsia="Times New Roman" w:hAnsi="Garamond" w:cs="Times New Roman"/>
          <w:i/>
          <w:iCs/>
          <w:color w:val="000000"/>
          <w:sz w:val="20"/>
          <w:szCs w:val="20"/>
        </w:rPr>
        <w:t>Biden For President, “Biden-Harris Plan for Tribal Nations</w:t>
      </w:r>
      <w:r w:rsidRPr="00A853EB">
        <w:rPr>
          <w:rFonts w:ascii="Garamond" w:eastAsia="Times New Roman" w:hAnsi="Garamond" w:cs="Times New Roman"/>
          <w:color w:val="000000"/>
          <w:sz w:val="20"/>
          <w:szCs w:val="20"/>
        </w:rPr>
        <w:t>, https://joebiden.com/tribalnations/ (last accessed March 2022).</w:t>
      </w:r>
    </w:p>
  </w:footnote>
  <w:footnote w:id="58">
    <w:p w14:paraId="319F78F8" w14:textId="7D8C7B71" w:rsidR="004C50DC" w:rsidRPr="00A853EB" w:rsidRDefault="004C50DC"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Joseph </w:t>
      </w:r>
      <w:proofErr w:type="spellStart"/>
      <w:r w:rsidRPr="00A853EB">
        <w:rPr>
          <w:rFonts w:ascii="Garamond" w:hAnsi="Garamond"/>
        </w:rPr>
        <w:t>Llobrera</w:t>
      </w:r>
      <w:proofErr w:type="spellEnd"/>
      <w:r w:rsidRPr="00A853EB">
        <w:rPr>
          <w:rFonts w:ascii="Garamond" w:hAnsi="Garamond"/>
        </w:rPr>
        <w:t>, Matt Saenz, &amp; Lauren Hall, USDA Announces Important SNAP Benefit Modernization, Budget and Policy Priorities (Aug. 26, 2021)</w:t>
      </w:r>
      <w:r w:rsidR="00B74B6A" w:rsidRPr="00A853EB">
        <w:rPr>
          <w:rFonts w:ascii="Garamond" w:hAnsi="Garamond"/>
        </w:rPr>
        <w:t>,</w:t>
      </w:r>
      <w:r w:rsidRPr="00A853EB">
        <w:rPr>
          <w:rFonts w:ascii="Garamond" w:hAnsi="Garamond"/>
        </w:rPr>
        <w:t xml:space="preserve"> </w:t>
      </w:r>
      <w:hyperlink r:id="rId27" w:history="1">
        <w:r w:rsidRPr="00A853EB">
          <w:rPr>
            <w:rStyle w:val="Hyperlink"/>
            <w:rFonts w:ascii="Garamond" w:hAnsi="Garamond"/>
          </w:rPr>
          <w:t>https://www.cbpp.org/research/food-assistance/usda-announces-important-snap-benefit-modernization</w:t>
        </w:r>
      </w:hyperlink>
      <w:r w:rsidRPr="00A853EB">
        <w:rPr>
          <w:rFonts w:ascii="Garamond" w:hAnsi="Garamond"/>
        </w:rPr>
        <w:t xml:space="preserve">.  </w:t>
      </w:r>
    </w:p>
  </w:footnote>
  <w:footnote w:id="59">
    <w:p w14:paraId="341D5B3F" w14:textId="77777777" w:rsidR="00233D5C" w:rsidRPr="00A853EB" w:rsidRDefault="00233D5C"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Valerie Wilson, </w:t>
      </w:r>
      <w:proofErr w:type="gramStart"/>
      <w:r w:rsidRPr="00A853EB">
        <w:rPr>
          <w:rFonts w:ascii="Garamond" w:hAnsi="Garamond"/>
          <w:i/>
          <w:iCs/>
        </w:rPr>
        <w:t>Racism</w:t>
      </w:r>
      <w:proofErr w:type="gramEnd"/>
      <w:r w:rsidRPr="00A853EB">
        <w:rPr>
          <w:rFonts w:ascii="Garamond" w:hAnsi="Garamond"/>
          <w:i/>
          <w:iCs/>
        </w:rPr>
        <w:t xml:space="preserve"> and the Economy: Focus on Employment</w:t>
      </w:r>
      <w:r w:rsidRPr="00A853EB">
        <w:rPr>
          <w:rFonts w:ascii="Garamond" w:hAnsi="Garamond"/>
        </w:rPr>
        <w:t xml:space="preserve">, Economic Policy Institute (Nov. 21, 2020), </w:t>
      </w:r>
      <w:hyperlink r:id="rId28" w:history="1">
        <w:r w:rsidRPr="00A853EB">
          <w:rPr>
            <w:rStyle w:val="Hyperlink"/>
            <w:rFonts w:ascii="Garamond" w:hAnsi="Garamond"/>
          </w:rPr>
          <w:t>https://www.epi.org/blog/racism-and-the-economy-fed/</w:t>
        </w:r>
      </w:hyperlink>
      <w:r w:rsidRPr="00A853EB">
        <w:rPr>
          <w:rFonts w:ascii="Garamond" w:hAnsi="Garamond"/>
        </w:rPr>
        <w:t xml:space="preserve">. </w:t>
      </w:r>
    </w:p>
  </w:footnote>
  <w:footnote w:id="60">
    <w:p w14:paraId="654260EB" w14:textId="77777777" w:rsidR="00233D5C" w:rsidRPr="00A853EB" w:rsidRDefault="00233D5C"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Palash Ghosh, </w:t>
      </w:r>
      <w:r w:rsidRPr="00A853EB">
        <w:rPr>
          <w:rFonts w:ascii="Garamond" w:hAnsi="Garamond"/>
          <w:i/>
          <w:iCs/>
        </w:rPr>
        <w:t>Black Americans Earn 30% Less Than White Americans</w:t>
      </w:r>
      <w:r w:rsidRPr="00A853EB">
        <w:rPr>
          <w:rFonts w:ascii="Garamond" w:hAnsi="Garamond"/>
        </w:rPr>
        <w:t xml:space="preserve">, While Black Households Have Just One-Eighth Wealth Of White Households, Forbes (June18, 2021), </w:t>
      </w:r>
      <w:hyperlink r:id="rId29" w:history="1">
        <w:r w:rsidRPr="00A853EB">
          <w:rPr>
            <w:rStyle w:val="Hyperlink"/>
            <w:rFonts w:ascii="Garamond" w:hAnsi="Garamond"/>
          </w:rPr>
          <w:t>https://www.forbes.com/sites/palashghosh/2021/06/18/blacks-earn-30-less-than-whites-while-black-households-have-just-one-eighth-of-wealth-of-white-households/?sh=76625bc2550c</w:t>
        </w:r>
      </w:hyperlink>
      <w:r w:rsidRPr="00A853EB">
        <w:rPr>
          <w:rFonts w:ascii="Garamond" w:hAnsi="Garamond"/>
        </w:rPr>
        <w:t xml:space="preserve">. </w:t>
      </w:r>
    </w:p>
  </w:footnote>
  <w:footnote w:id="61">
    <w:p w14:paraId="3E8CF9D4" w14:textId="7E359C3D" w:rsidR="00233D5C" w:rsidRPr="00A853EB" w:rsidRDefault="00233D5C"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Emily A. Shrider, Melissa </w:t>
      </w:r>
      <w:proofErr w:type="spellStart"/>
      <w:r w:rsidRPr="00A853EB">
        <w:rPr>
          <w:rFonts w:ascii="Garamond" w:hAnsi="Garamond"/>
        </w:rPr>
        <w:t>Kollar</w:t>
      </w:r>
      <w:proofErr w:type="spellEnd"/>
      <w:r w:rsidRPr="00A853EB">
        <w:rPr>
          <w:rFonts w:ascii="Garamond" w:hAnsi="Garamond"/>
        </w:rPr>
        <w:t xml:space="preserve">, Frances Chen, and Jessica </w:t>
      </w:r>
      <w:proofErr w:type="spellStart"/>
      <w:r w:rsidRPr="00A853EB">
        <w:rPr>
          <w:rFonts w:ascii="Garamond" w:hAnsi="Garamond"/>
        </w:rPr>
        <w:t>Semega</w:t>
      </w:r>
      <w:proofErr w:type="spellEnd"/>
      <w:r w:rsidRPr="00A853EB">
        <w:rPr>
          <w:rFonts w:ascii="Garamond" w:hAnsi="Garamond"/>
        </w:rPr>
        <w:t xml:space="preserve">, </w:t>
      </w:r>
      <w:r w:rsidRPr="00A853EB">
        <w:rPr>
          <w:rFonts w:ascii="Garamond" w:hAnsi="Garamond"/>
          <w:i/>
          <w:iCs/>
        </w:rPr>
        <w:t>Income and Poverty in the United States: 2020</w:t>
      </w:r>
      <w:r w:rsidRPr="00A853EB">
        <w:rPr>
          <w:rFonts w:ascii="Garamond" w:hAnsi="Garamond"/>
        </w:rPr>
        <w:t xml:space="preserve">, U.S. Census </w:t>
      </w:r>
      <w:proofErr w:type="spellStart"/>
      <w:r w:rsidRPr="00A853EB">
        <w:rPr>
          <w:rFonts w:ascii="Garamond" w:hAnsi="Garamond"/>
        </w:rPr>
        <w:t>Bureu</w:t>
      </w:r>
      <w:proofErr w:type="spellEnd"/>
      <w:r w:rsidRPr="00A853EB">
        <w:rPr>
          <w:rFonts w:ascii="Garamond" w:hAnsi="Garamond"/>
        </w:rPr>
        <w:t xml:space="preserve"> (September 14, 2021), </w:t>
      </w:r>
      <w:hyperlink r:id="rId30" w:anchor=":~:text=Among%20non%2DHispanic%20Whites%2C%208.2,a%20significant%20change%20from%202019" w:history="1">
        <w:r w:rsidRPr="00A853EB">
          <w:rPr>
            <w:rStyle w:val="Hyperlink"/>
            <w:rFonts w:ascii="Garamond" w:hAnsi="Garamond"/>
          </w:rPr>
          <w:t>https://www.census.gov/library/publications/2021/demo/p60-273.html#:~:text=Among%20non%2DHispanic%20Whites%2C%208.2,a%20significant%20change%20from%202019</w:t>
        </w:r>
      </w:hyperlink>
      <w:r w:rsidR="003C108E">
        <w:rPr>
          <w:rStyle w:val="Hyperlink"/>
          <w:rFonts w:ascii="Garamond" w:hAnsi="Garamond"/>
          <w:color w:val="000000" w:themeColor="text1"/>
          <w:u w:val="none"/>
        </w:rPr>
        <w:t>.</w:t>
      </w:r>
      <w:r w:rsidRPr="00A853EB">
        <w:rPr>
          <w:rFonts w:ascii="Garamond" w:hAnsi="Garamond"/>
        </w:rPr>
        <w:t xml:space="preserve"> </w:t>
      </w:r>
    </w:p>
  </w:footnote>
  <w:footnote w:id="62">
    <w:p w14:paraId="4159076B" w14:textId="77777777" w:rsidR="00233D5C" w:rsidRPr="00A853EB" w:rsidRDefault="00233D5C"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Too many Black Americans live in food deserts</w:t>
      </w:r>
      <w:r w:rsidRPr="00A853EB">
        <w:rPr>
          <w:rFonts w:ascii="Garamond" w:hAnsi="Garamond"/>
        </w:rPr>
        <w:t xml:space="preserve">, McKinsey &amp; Co. (September 9, 2021), </w:t>
      </w:r>
      <w:hyperlink r:id="rId31" w:history="1">
        <w:r w:rsidRPr="00A853EB">
          <w:rPr>
            <w:rStyle w:val="Hyperlink"/>
            <w:rFonts w:ascii="Garamond" w:hAnsi="Garamond"/>
          </w:rPr>
          <w:t>https://www.mckinsey.com/featured-insights/coronavirus-leading-through-the-crisis/charting-the-path-to-the-next-normal/too-many-black-americans-live-in-food-deserts</w:t>
        </w:r>
      </w:hyperlink>
      <w:r w:rsidRPr="00A853EB">
        <w:rPr>
          <w:rFonts w:ascii="Garamond" w:hAnsi="Garamond"/>
        </w:rPr>
        <w:t>.</w:t>
      </w:r>
    </w:p>
  </w:footnote>
  <w:footnote w:id="63">
    <w:p w14:paraId="0F7E5FB4" w14:textId="77777777" w:rsidR="00233D5C" w:rsidRPr="00A853EB" w:rsidRDefault="00233D5C"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Diane Whitmore </w:t>
      </w:r>
      <w:proofErr w:type="spellStart"/>
      <w:r w:rsidRPr="00A853EB">
        <w:rPr>
          <w:rFonts w:ascii="Garamond" w:hAnsi="Garamond"/>
        </w:rPr>
        <w:t>Schanzenbach</w:t>
      </w:r>
      <w:proofErr w:type="spellEnd"/>
      <w:r w:rsidRPr="00A853EB">
        <w:rPr>
          <w:rFonts w:ascii="Garamond" w:hAnsi="Garamond"/>
        </w:rPr>
        <w:t xml:space="preserve"> and </w:t>
      </w:r>
      <w:proofErr w:type="spellStart"/>
      <w:r w:rsidRPr="00A853EB">
        <w:rPr>
          <w:rFonts w:ascii="Garamond" w:hAnsi="Garamond"/>
        </w:rPr>
        <w:t>Abigal</w:t>
      </w:r>
      <w:proofErr w:type="spellEnd"/>
      <w:r w:rsidRPr="00A853EB">
        <w:rPr>
          <w:rFonts w:ascii="Garamond" w:hAnsi="Garamond"/>
        </w:rPr>
        <w:t xml:space="preserve"> Pitts, </w:t>
      </w:r>
      <w:r w:rsidRPr="00A853EB">
        <w:rPr>
          <w:rFonts w:ascii="Garamond" w:hAnsi="Garamond"/>
          <w:i/>
          <w:iCs/>
        </w:rPr>
        <w:t>Racial Disparities in Food Insecurity Persist</w:t>
      </w:r>
      <w:r w:rsidRPr="00A853EB">
        <w:rPr>
          <w:rFonts w:ascii="Garamond" w:hAnsi="Garamond"/>
        </w:rPr>
        <w:t xml:space="preserve"> (July 9, 2020), </w:t>
      </w:r>
      <w:hyperlink r:id="rId32" w:history="1">
        <w:r w:rsidRPr="00A853EB">
          <w:rPr>
            <w:rStyle w:val="Hyperlink"/>
            <w:rFonts w:ascii="Garamond" w:hAnsi="Garamond"/>
          </w:rPr>
          <w:t>https://www.ipr.northwestern.edu/news/2020/food-insecurity-by-race-ethnicity.html</w:t>
        </w:r>
      </w:hyperlink>
      <w:r w:rsidRPr="00A853EB">
        <w:rPr>
          <w:rFonts w:ascii="Garamond" w:hAnsi="Garamond"/>
        </w:rPr>
        <w:t>.</w:t>
      </w:r>
    </w:p>
  </w:footnote>
  <w:footnote w:id="64">
    <w:p w14:paraId="7E2A28F8" w14:textId="77777777" w:rsidR="00233D5C" w:rsidRPr="00A853EB" w:rsidRDefault="00233D5C"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Black farmers in the US: The opportunity for addressing racial disparities in farming</w:t>
      </w:r>
      <w:r w:rsidRPr="00A853EB">
        <w:rPr>
          <w:rFonts w:ascii="Garamond" w:hAnsi="Garamond"/>
        </w:rPr>
        <w:t xml:space="preserve">, McKinsey &amp; Co. (Nov. 10, 2019), </w:t>
      </w:r>
      <w:hyperlink r:id="rId33" w:anchor=":~:text=Today%2C%20just%201.4%20percent%20of,farm%20sales%20(Exhibit%201)" w:history="1">
        <w:r w:rsidRPr="00A853EB">
          <w:rPr>
            <w:rStyle w:val="Hyperlink"/>
            <w:rFonts w:ascii="Garamond" w:hAnsi="Garamond"/>
          </w:rPr>
          <w:t>https://www.mckinsey.com/industries/agriculture/our-insights/black-farmers-in-the-us-the-opportunity-for-addressing-racial-disparities-in-farming#:~:text=Today%2C%20just%201.4%20percent%20of,farm%20sales%20(Exhibit%201)</w:t>
        </w:r>
      </w:hyperlink>
      <w:r w:rsidRPr="00A853EB">
        <w:rPr>
          <w:rFonts w:ascii="Garamond" w:hAnsi="Garamond"/>
        </w:rPr>
        <w:t xml:space="preserve">. </w:t>
      </w:r>
    </w:p>
  </w:footnote>
  <w:footnote w:id="65">
    <w:p w14:paraId="030D5829" w14:textId="69B7C199"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Slavery in America</w:t>
      </w:r>
      <w:r w:rsidRPr="00A853EB">
        <w:rPr>
          <w:rFonts w:ascii="Garamond" w:hAnsi="Garamond"/>
        </w:rPr>
        <w:t xml:space="preserve">, History (May 4, 2022), </w:t>
      </w:r>
      <w:hyperlink r:id="rId34" w:history="1">
        <w:r w:rsidRPr="00A853EB">
          <w:rPr>
            <w:rStyle w:val="Hyperlink"/>
            <w:rFonts w:ascii="Garamond" w:hAnsi="Garamond"/>
          </w:rPr>
          <w:t>https://www.history.com/topics/black-history/slavery</w:t>
        </w:r>
      </w:hyperlink>
      <w:r w:rsidR="003C108E">
        <w:rPr>
          <w:rStyle w:val="Hyperlink"/>
          <w:rFonts w:ascii="Garamond" w:hAnsi="Garamond"/>
          <w:color w:val="000000" w:themeColor="text1"/>
          <w:u w:val="none"/>
        </w:rPr>
        <w:t>.</w:t>
      </w:r>
      <w:r w:rsidRPr="00A853EB">
        <w:rPr>
          <w:rFonts w:ascii="Garamond" w:hAnsi="Garamond"/>
        </w:rPr>
        <w:t xml:space="preserve"> </w:t>
      </w:r>
    </w:p>
  </w:footnote>
  <w:footnote w:id="66">
    <w:p w14:paraId="31FBDF0F" w14:textId="498B0B15"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U.S. Const. amend XIII, </w:t>
      </w:r>
      <w:hyperlink r:id="rId35" w:history="1">
        <w:r w:rsidRPr="00A853EB">
          <w:rPr>
            <w:rStyle w:val="Hyperlink"/>
            <w:rFonts w:ascii="Garamond" w:hAnsi="Garamond"/>
          </w:rPr>
          <w:t>https://constitution.congress.gov/constitution/amendment-13/</w:t>
        </w:r>
      </w:hyperlink>
      <w:r w:rsidR="003C108E">
        <w:rPr>
          <w:rStyle w:val="Hyperlink"/>
          <w:rFonts w:ascii="Garamond" w:hAnsi="Garamond"/>
          <w:color w:val="000000" w:themeColor="text1"/>
          <w:u w:val="none"/>
        </w:rPr>
        <w:t>.</w:t>
      </w:r>
      <w:r w:rsidRPr="00A853EB">
        <w:rPr>
          <w:rFonts w:ascii="Garamond" w:hAnsi="Garamond"/>
        </w:rPr>
        <w:t xml:space="preserve"> </w:t>
      </w:r>
    </w:p>
  </w:footnote>
  <w:footnote w:id="67">
    <w:p w14:paraId="26A904D7"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Convict Leasing, Equal Justice Initiative</w:t>
      </w:r>
      <w:r w:rsidRPr="00A853EB">
        <w:rPr>
          <w:rFonts w:ascii="Garamond" w:hAnsi="Garamond"/>
        </w:rPr>
        <w:t xml:space="preserve"> (Nov. 1, 2013), </w:t>
      </w:r>
      <w:hyperlink r:id="rId36" w:anchor=":~:text=After%20the%20Civil%20War%2C%20slavery,and%20often%20deadly%20work%20conditions" w:history="1">
        <w:r w:rsidRPr="00A853EB">
          <w:rPr>
            <w:rStyle w:val="Hyperlink"/>
            <w:rFonts w:ascii="Garamond" w:hAnsi="Garamond"/>
          </w:rPr>
          <w:t>https://eji.org/news/history-racial-injustice-convict-leasing/#:~:text=After%20the%20Civil%20War%2C%20slavery,and%20often%20deadly%20work%20conditions</w:t>
        </w:r>
      </w:hyperlink>
      <w:r w:rsidRPr="00A853EB">
        <w:rPr>
          <w:rFonts w:ascii="Garamond" w:hAnsi="Garamond"/>
        </w:rPr>
        <w:t xml:space="preserve">. </w:t>
      </w:r>
    </w:p>
  </w:footnote>
  <w:footnote w:id="68">
    <w:p w14:paraId="6281499C"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General Recommendation No. 34 adopted by the Committee (CERD/C/GC/34), Committee on the Elimination Racial Discrimination, adopted Oct. 3, 2011, </w:t>
      </w:r>
      <w:hyperlink r:id="rId37" w:history="1">
        <w:r w:rsidRPr="00A853EB">
          <w:rPr>
            <w:rStyle w:val="Hyperlink"/>
            <w:rFonts w:ascii="Garamond" w:hAnsi="Garamond"/>
          </w:rPr>
          <w:t>https://docstore.ohchr.org/SelfServices/FilesHandler.ashx?enc=6QkG1d%2fPPRiCAqhKb7yhssyNNtgI51ma08CMa6o7BglRUxSxOzNFe0nIlIF2oNHnUe%2baDGj4EdVWqeovFV%2bCvEZ1Yr0uSpC1bzs88koNz86mNkGpXFAwo0gCiIJCPYlp</w:t>
        </w:r>
      </w:hyperlink>
      <w:r w:rsidRPr="00A853EB">
        <w:rPr>
          <w:rFonts w:ascii="Garamond" w:hAnsi="Garamond"/>
        </w:rPr>
        <w:t>.</w:t>
      </w:r>
    </w:p>
  </w:footnote>
  <w:footnote w:id="69">
    <w:p w14:paraId="1FD8C27B" w14:textId="3141B608"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Ellen </w:t>
      </w:r>
      <w:proofErr w:type="spellStart"/>
      <w:r w:rsidRPr="00A853EB">
        <w:rPr>
          <w:rFonts w:ascii="Garamond" w:hAnsi="Garamond"/>
        </w:rPr>
        <w:t>Terell</w:t>
      </w:r>
      <w:proofErr w:type="spellEnd"/>
      <w:r w:rsidRPr="00A853EB">
        <w:rPr>
          <w:rFonts w:ascii="Garamond" w:hAnsi="Garamond"/>
        </w:rPr>
        <w:t xml:space="preserve">, </w:t>
      </w:r>
      <w:r w:rsidRPr="00A853EB">
        <w:rPr>
          <w:rFonts w:ascii="Garamond" w:hAnsi="Garamond"/>
          <w:i/>
          <w:iCs/>
        </w:rPr>
        <w:t>The Convict Leasing System: Slavery in its Worst Aspects</w:t>
      </w:r>
      <w:r w:rsidRPr="00A853EB">
        <w:rPr>
          <w:rFonts w:ascii="Garamond" w:hAnsi="Garamond"/>
        </w:rPr>
        <w:t xml:space="preserve">, Library of Congress (June 17, 2021), </w:t>
      </w:r>
      <w:hyperlink r:id="rId38" w:history="1">
        <w:r w:rsidRPr="00A853EB">
          <w:rPr>
            <w:rStyle w:val="Hyperlink"/>
            <w:rFonts w:ascii="Garamond" w:hAnsi="Garamond"/>
          </w:rPr>
          <w:t>https://blogs.loc.gov/inside_adams/2021/06/convict-leasing-system/</w:t>
        </w:r>
      </w:hyperlink>
      <w:r w:rsidRPr="00A853EB">
        <w:rPr>
          <w:rFonts w:ascii="Garamond" w:hAnsi="Garamond"/>
        </w:rPr>
        <w:t xml:space="preserve">; Prison Labor is Remarkably Common Within the Food System, Hunter College New York City Food Policy Center (Sept. 14, 2021), </w:t>
      </w:r>
      <w:r w:rsidRPr="00A853EB">
        <w:rPr>
          <w:rFonts w:ascii="Garamond" w:hAnsi="Garamond"/>
          <w:i/>
          <w:iCs/>
        </w:rPr>
        <w:t xml:space="preserve"> </w:t>
      </w:r>
      <w:hyperlink r:id="rId39" w:history="1">
        <w:r w:rsidRPr="00A853EB">
          <w:rPr>
            <w:rStyle w:val="Hyperlink"/>
            <w:rFonts w:ascii="Garamond" w:hAnsi="Garamond"/>
          </w:rPr>
          <w:t>https://www.nycfoodpolicy.org/prison-labor-is-remarkably-common-within-the-food-system/</w:t>
        </w:r>
      </w:hyperlink>
      <w:r w:rsidR="003C108E">
        <w:rPr>
          <w:rStyle w:val="Hyperlink"/>
          <w:rFonts w:ascii="Garamond" w:hAnsi="Garamond"/>
          <w:color w:val="000000" w:themeColor="text1"/>
          <w:u w:val="none"/>
        </w:rPr>
        <w:t>.</w:t>
      </w:r>
      <w:r w:rsidRPr="00A853EB">
        <w:rPr>
          <w:rFonts w:ascii="Garamond" w:hAnsi="Garamond"/>
        </w:rPr>
        <w:t xml:space="preserve"> </w:t>
      </w:r>
    </w:p>
  </w:footnote>
  <w:footnote w:id="70">
    <w:p w14:paraId="59A99E42"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proofErr w:type="spellStart"/>
      <w:r w:rsidRPr="00A853EB">
        <w:rPr>
          <w:rFonts w:ascii="Garamond" w:hAnsi="Garamond"/>
        </w:rPr>
        <w:t>Stian</w:t>
      </w:r>
      <w:proofErr w:type="spellEnd"/>
      <w:r w:rsidRPr="00A853EB">
        <w:rPr>
          <w:rFonts w:ascii="Garamond" w:hAnsi="Garamond"/>
        </w:rPr>
        <w:t xml:space="preserve"> Rice, </w:t>
      </w:r>
      <w:r w:rsidRPr="00A853EB">
        <w:rPr>
          <w:rFonts w:ascii="Garamond" w:hAnsi="Garamond"/>
          <w:i/>
          <w:iCs/>
        </w:rPr>
        <w:t>Convicts are returning to farming – anti-immigrant policies are the reason</w:t>
      </w:r>
      <w:r w:rsidRPr="00A853EB">
        <w:rPr>
          <w:rFonts w:ascii="Garamond" w:hAnsi="Garamond"/>
        </w:rPr>
        <w:t xml:space="preserve">, The Conversation (June 7, 2019), </w:t>
      </w:r>
      <w:hyperlink r:id="rId40" w:history="1">
        <w:r w:rsidRPr="00A853EB">
          <w:rPr>
            <w:rStyle w:val="Hyperlink"/>
            <w:rFonts w:ascii="Garamond" w:hAnsi="Garamond"/>
          </w:rPr>
          <w:t>https://theconversation.com/convicts-are-returning-to-farming-anti-immigrant-policies-are-the-reason-117152</w:t>
        </w:r>
      </w:hyperlink>
      <w:r w:rsidRPr="00A853EB">
        <w:rPr>
          <w:rFonts w:ascii="Garamond" w:hAnsi="Garamond"/>
        </w:rPr>
        <w:t xml:space="preserve">. </w:t>
      </w:r>
    </w:p>
  </w:footnote>
  <w:footnote w:id="71">
    <w:p w14:paraId="5B291EF2" w14:textId="40F1256D" w:rsidR="000D0EEF" w:rsidRPr="00A853EB" w:rsidRDefault="000D0EEF"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lang w:val="en-US"/>
        </w:rPr>
        <w:t xml:space="preserve"> André Souza, </w:t>
      </w:r>
      <w:r w:rsidRPr="00A853EB">
        <w:rPr>
          <w:rFonts w:ascii="Garamond" w:hAnsi="Garamond"/>
          <w:i/>
          <w:iCs/>
          <w:lang w:val="en-US"/>
        </w:rPr>
        <w:t>Prison Potatoes: Idaho’s Famous Food</w:t>
      </w:r>
      <w:r w:rsidRPr="00A853EB">
        <w:rPr>
          <w:rFonts w:ascii="Garamond" w:hAnsi="Garamond"/>
          <w:lang w:val="en-US"/>
        </w:rPr>
        <w:t xml:space="preserve">, Boise Highlights (Jan., 22, 2022), </w:t>
      </w:r>
      <w:hyperlink r:id="rId41" w:history="1">
        <w:r w:rsidRPr="00A853EB">
          <w:rPr>
            <w:rStyle w:val="Hyperlink"/>
            <w:rFonts w:ascii="Garamond" w:hAnsi="Garamond"/>
            <w:lang w:val="en-US"/>
          </w:rPr>
          <w:t>https://boisehighlights.com/2135/front-page-stories/prison-potatoes-idahos-famous-food/</w:t>
        </w:r>
      </w:hyperlink>
      <w:r w:rsidR="003C108E">
        <w:rPr>
          <w:rStyle w:val="Hyperlink"/>
          <w:rFonts w:ascii="Garamond" w:hAnsi="Garamond"/>
          <w:color w:val="000000" w:themeColor="text1"/>
          <w:u w:val="none"/>
          <w:lang w:val="en-US"/>
        </w:rPr>
        <w:t>.</w:t>
      </w:r>
      <w:r w:rsidRPr="00A853EB">
        <w:rPr>
          <w:rFonts w:ascii="Garamond" w:hAnsi="Garamond"/>
          <w:lang w:val="en-US"/>
        </w:rPr>
        <w:t xml:space="preserve"> </w:t>
      </w:r>
    </w:p>
  </w:footnote>
  <w:footnote w:id="72">
    <w:p w14:paraId="53950301"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H. Claire Brown, </w:t>
      </w:r>
      <w:r w:rsidRPr="00A853EB">
        <w:rPr>
          <w:rFonts w:ascii="Garamond" w:hAnsi="Garamond"/>
          <w:i/>
          <w:iCs/>
        </w:rPr>
        <w:t>This under-the-radar supply chain routes food from prisons to hospitals, food banks, and even schools</w:t>
      </w:r>
      <w:r w:rsidRPr="00A853EB">
        <w:rPr>
          <w:rFonts w:ascii="Garamond" w:hAnsi="Garamond"/>
        </w:rPr>
        <w:t xml:space="preserve">, The Counter (May 25, 2021), </w:t>
      </w:r>
      <w:hyperlink r:id="rId42" w:history="1">
        <w:r w:rsidRPr="00A853EB">
          <w:rPr>
            <w:rStyle w:val="Hyperlink"/>
            <w:rFonts w:ascii="Garamond" w:hAnsi="Garamond"/>
          </w:rPr>
          <w:t>https://thecounter.org/this-under-the-radar-supply-chain-routes-food-from-prisons-to-hospitals-food-banks-and-even-schools/</w:t>
        </w:r>
      </w:hyperlink>
      <w:r w:rsidRPr="00A853EB">
        <w:rPr>
          <w:rFonts w:ascii="Garamond" w:hAnsi="Garamond"/>
        </w:rPr>
        <w:t>.</w:t>
      </w:r>
    </w:p>
  </w:footnote>
  <w:footnote w:id="73">
    <w:p w14:paraId="16A11615"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Western Kentucky Correctional Complex</w:t>
      </w:r>
      <w:r w:rsidRPr="00A853EB">
        <w:rPr>
          <w:rFonts w:ascii="Garamond" w:hAnsi="Garamond"/>
        </w:rPr>
        <w:t xml:space="preserve">, Prison Pro, </w:t>
      </w:r>
      <w:hyperlink r:id="rId43" w:history="1">
        <w:r w:rsidRPr="00A853EB">
          <w:rPr>
            <w:rStyle w:val="Hyperlink"/>
            <w:rFonts w:ascii="Garamond" w:hAnsi="Garamond"/>
          </w:rPr>
          <w:t>https://www.prisonpro.com/content/western-kentucky-correctional-complex</w:t>
        </w:r>
      </w:hyperlink>
      <w:r w:rsidRPr="00A853EB">
        <w:rPr>
          <w:rFonts w:ascii="Garamond" w:hAnsi="Garamond"/>
        </w:rPr>
        <w:t xml:space="preserve">; H. Claire Brown, </w:t>
      </w:r>
      <w:r w:rsidRPr="00A853EB">
        <w:rPr>
          <w:rFonts w:ascii="Garamond" w:hAnsi="Garamond"/>
          <w:i/>
          <w:iCs/>
        </w:rPr>
        <w:t>How corporations buy—and sell—food made with prison labor</w:t>
      </w:r>
      <w:r w:rsidRPr="00A853EB">
        <w:rPr>
          <w:rFonts w:ascii="Garamond" w:hAnsi="Garamond"/>
        </w:rPr>
        <w:t xml:space="preserve">, The Counter (May 18, 2021), </w:t>
      </w:r>
      <w:hyperlink r:id="rId44" w:history="1">
        <w:r w:rsidRPr="00A853EB">
          <w:rPr>
            <w:rStyle w:val="Hyperlink"/>
            <w:rFonts w:ascii="Garamond" w:hAnsi="Garamond"/>
          </w:rPr>
          <w:t>https://thecounter.org/how-corporations-buy-and-sell-food-made-with-prison-labor/</w:t>
        </w:r>
      </w:hyperlink>
      <w:r w:rsidRPr="00A853EB">
        <w:rPr>
          <w:rFonts w:ascii="Garamond" w:hAnsi="Garamond"/>
        </w:rPr>
        <w:t>.</w:t>
      </w:r>
    </w:p>
  </w:footnote>
  <w:footnote w:id="74">
    <w:p w14:paraId="5A0F49D8" w14:textId="77777777" w:rsidR="00291DB3"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 xml:space="preserve">How Much do Prisoners Make in Each </w:t>
      </w:r>
      <w:proofErr w:type="gramStart"/>
      <w:r w:rsidRPr="00A853EB">
        <w:rPr>
          <w:rFonts w:ascii="Garamond" w:hAnsi="Garamond"/>
          <w:i/>
          <w:iCs/>
        </w:rPr>
        <w:t>State?</w:t>
      </w:r>
      <w:r w:rsidRPr="00A853EB">
        <w:rPr>
          <w:rFonts w:ascii="Garamond" w:hAnsi="Garamond"/>
        </w:rPr>
        <w:t>,</w:t>
      </w:r>
      <w:proofErr w:type="gramEnd"/>
      <w:r w:rsidRPr="00A853EB">
        <w:rPr>
          <w:rFonts w:ascii="Garamond" w:hAnsi="Garamond"/>
        </w:rPr>
        <w:t xml:space="preserve"> Kent State University (Aug., 27, 2021),</w:t>
      </w:r>
    </w:p>
    <w:p w14:paraId="3CD8D981" w14:textId="3B043E04" w:rsidR="000D0EEF" w:rsidRPr="00A853EB" w:rsidRDefault="000F34B4" w:rsidP="00474744">
      <w:pPr>
        <w:pStyle w:val="FootnoteText"/>
        <w:ind w:left="0" w:firstLine="0"/>
        <w:rPr>
          <w:rFonts w:ascii="Garamond" w:hAnsi="Garamond"/>
        </w:rPr>
      </w:pPr>
      <w:hyperlink r:id="rId45" w:anchor=":~:text=Average%20Wages%20for%20Inmates&amp;text=Typically%2C%20wages%20range%20from%2014,states%2C%20prisoners%20work%20for%20free" w:history="1">
        <w:r w:rsidR="0040347E" w:rsidRPr="00A853EB">
          <w:rPr>
            <w:rStyle w:val="Hyperlink"/>
            <w:rFonts w:ascii="Garamond" w:hAnsi="Garamond"/>
          </w:rPr>
          <w:t>https://onlinedegrees.kent.edu/sociology/criminal-justice/community/how-much-do-prisoners-make-in-each-state#:~:text=Average%20Wages%20for%20Inmates&amp;text=Typically%2C%20wages%20range%20from%2014,states%2C%20prisoners%20work%20for%20free</w:t>
        </w:r>
      </w:hyperlink>
      <w:r w:rsidR="000D0EEF" w:rsidRPr="00A853EB">
        <w:rPr>
          <w:rFonts w:ascii="Garamond" w:hAnsi="Garamond"/>
        </w:rPr>
        <w:t xml:space="preserve">. </w:t>
      </w:r>
    </w:p>
  </w:footnote>
  <w:footnote w:id="75">
    <w:p w14:paraId="661CF457"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Id.</w:t>
      </w:r>
      <w:r w:rsidRPr="00A853EB">
        <w:rPr>
          <w:rFonts w:ascii="Garamond" w:hAnsi="Garamond"/>
        </w:rPr>
        <w:t xml:space="preserve">  </w:t>
      </w:r>
    </w:p>
  </w:footnote>
  <w:footnote w:id="76">
    <w:p w14:paraId="7FD69C92" w14:textId="77777777" w:rsidR="000D0EEF" w:rsidRPr="00A853EB" w:rsidRDefault="000D0EEF" w:rsidP="00474744">
      <w:pPr>
        <w:pStyle w:val="FootnoteText"/>
        <w:ind w:left="0" w:firstLine="0"/>
        <w:rPr>
          <w:rFonts w:ascii="Garamond" w:hAnsi="Garamond"/>
          <w:color w:val="000000" w:themeColor="text1"/>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cs="Helvetica Neue"/>
          <w:color w:val="000000"/>
          <w:lang w:val="en-US"/>
        </w:rPr>
        <w:t xml:space="preserve">See e.g., Reese &amp; </w:t>
      </w:r>
      <w:proofErr w:type="spellStart"/>
      <w:r w:rsidRPr="00A853EB">
        <w:rPr>
          <w:rFonts w:ascii="Garamond" w:hAnsi="Garamond" w:cs="Helvetica Neue"/>
          <w:color w:val="000000"/>
          <w:lang w:val="en-US"/>
        </w:rPr>
        <w:t>Sbicca</w:t>
      </w:r>
      <w:proofErr w:type="spellEnd"/>
      <w:r w:rsidRPr="00A853EB">
        <w:rPr>
          <w:rFonts w:ascii="Garamond" w:hAnsi="Garamond" w:cs="Helvetica Neue"/>
          <w:color w:val="000000"/>
          <w:lang w:val="en-US"/>
        </w:rPr>
        <w:t xml:space="preserve"> 2022 Food and </w:t>
      </w:r>
      <w:proofErr w:type="spellStart"/>
      <w:r w:rsidRPr="00A853EB">
        <w:rPr>
          <w:rFonts w:ascii="Garamond" w:hAnsi="Garamond" w:cs="Helvetica Neue"/>
          <w:color w:val="000000"/>
          <w:lang w:val="en-US"/>
        </w:rPr>
        <w:t>Carcerality</w:t>
      </w:r>
      <w:proofErr w:type="spellEnd"/>
      <w:r w:rsidRPr="00A853EB">
        <w:rPr>
          <w:rFonts w:ascii="Garamond" w:hAnsi="Garamond" w:cs="Helvetica Neue"/>
          <w:color w:val="000000"/>
          <w:lang w:val="en-US"/>
        </w:rPr>
        <w:t xml:space="preserve">, </w:t>
      </w:r>
      <w:r w:rsidRPr="00A853EB">
        <w:rPr>
          <w:rFonts w:ascii="Garamond" w:hAnsi="Garamond" w:cs="Helvetica Neue"/>
          <w:i/>
          <w:iCs/>
          <w:color w:val="000000"/>
          <w:lang w:val="en-US"/>
        </w:rPr>
        <w:t>Food and Foodways</w:t>
      </w:r>
      <w:r w:rsidRPr="00A853EB">
        <w:rPr>
          <w:rFonts w:ascii="Garamond" w:hAnsi="Garamond" w:cs="Helvetica Neue"/>
          <w:color w:val="000000"/>
          <w:lang w:val="en-US"/>
        </w:rPr>
        <w:t xml:space="preserve">; </w:t>
      </w:r>
      <w:r w:rsidRPr="00A853EB">
        <w:rPr>
          <w:rFonts w:ascii="Garamond" w:hAnsi="Garamond" w:cs="Helvetica Neue"/>
          <w:i/>
          <w:iCs/>
          <w:color w:val="000000"/>
          <w:lang w:val="en-US"/>
        </w:rPr>
        <w:t>No More Double Punishments: Lifting the Ban on SNAP and TANF for People with Prior Felony Drug Convictions</w:t>
      </w:r>
      <w:r w:rsidRPr="00A853EB">
        <w:rPr>
          <w:rFonts w:ascii="Garamond" w:hAnsi="Garamond" w:cs="Helvetica Neue"/>
          <w:color w:val="000000"/>
          <w:lang w:val="en-US"/>
        </w:rPr>
        <w:t xml:space="preserve">, Clasp (Apr. 2022), </w:t>
      </w:r>
      <w:hyperlink r:id="rId46" w:history="1">
        <w:r w:rsidRPr="00A853EB">
          <w:rPr>
            <w:rStyle w:val="Hyperlink"/>
            <w:rFonts w:ascii="Garamond" w:hAnsi="Garamond" w:cs="Helvetica Neue"/>
            <w:lang w:val="en-US"/>
          </w:rPr>
          <w:t>https://www.clasp.org/publications/report/brief/no-more-double-punishments/</w:t>
        </w:r>
      </w:hyperlink>
      <w:r w:rsidRPr="00A853EB">
        <w:rPr>
          <w:rFonts w:ascii="Garamond" w:hAnsi="Garamond" w:cs="Helvetica Neue"/>
          <w:color w:val="000000" w:themeColor="text1"/>
          <w:lang w:val="en-US"/>
        </w:rPr>
        <w:t>.</w:t>
      </w:r>
    </w:p>
  </w:footnote>
  <w:footnote w:id="77">
    <w:p w14:paraId="49DE826B"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H. Claire Brown, </w:t>
      </w:r>
      <w:r w:rsidRPr="00A853EB">
        <w:rPr>
          <w:rFonts w:ascii="Garamond" w:hAnsi="Garamond"/>
          <w:i/>
          <w:iCs/>
        </w:rPr>
        <w:t>How corporations buy—and sell—food made with prison labor</w:t>
      </w:r>
      <w:r w:rsidRPr="00A853EB">
        <w:rPr>
          <w:rFonts w:ascii="Garamond" w:hAnsi="Garamond"/>
        </w:rPr>
        <w:t xml:space="preserve">, The Counter (May 18, 2021), </w:t>
      </w:r>
      <w:hyperlink r:id="rId47" w:history="1">
        <w:r w:rsidRPr="00A853EB">
          <w:rPr>
            <w:rStyle w:val="Hyperlink"/>
            <w:rFonts w:ascii="Garamond" w:hAnsi="Garamond"/>
          </w:rPr>
          <w:t>https://thecounter.org/how-corporations-buy-and-sell-food-made-with-prison-labor/</w:t>
        </w:r>
      </w:hyperlink>
      <w:r w:rsidRPr="00A853EB">
        <w:rPr>
          <w:rFonts w:ascii="Garamond" w:hAnsi="Garamond"/>
        </w:rPr>
        <w:t>.</w:t>
      </w:r>
    </w:p>
  </w:footnote>
  <w:footnote w:id="78">
    <w:p w14:paraId="783E28FF" w14:textId="77777777" w:rsidR="000D0EEF" w:rsidRPr="00A853EB" w:rsidRDefault="000D0EEF" w:rsidP="00474744">
      <w:pPr>
        <w:pStyle w:val="FootnoteText"/>
        <w:ind w:left="0" w:firstLine="0"/>
        <w:rPr>
          <w:rFonts w:ascii="Garamond" w:hAnsi="Garamond"/>
          <w:i/>
          <w:iC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 xml:space="preserve">Id. </w:t>
      </w:r>
    </w:p>
  </w:footnote>
  <w:footnote w:id="79">
    <w:p w14:paraId="03B7AE95" w14:textId="77777777" w:rsidR="000D0EEF" w:rsidRPr="00A853EB" w:rsidRDefault="000D0EEF" w:rsidP="00474744">
      <w:pPr>
        <w:pStyle w:val="FootnoteText"/>
        <w:ind w:left="0" w:firstLine="0"/>
        <w:rPr>
          <w:rFonts w:ascii="Garamond" w:hAnsi="Garamond"/>
          <w:i/>
          <w:iCs/>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 xml:space="preserve">Id. </w:t>
      </w:r>
    </w:p>
  </w:footnote>
  <w:footnote w:id="80">
    <w:p w14:paraId="7AAC7B0F"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Food Processing Workers, All Other</w:t>
      </w:r>
      <w:r w:rsidRPr="00A853EB">
        <w:rPr>
          <w:rFonts w:ascii="Garamond" w:hAnsi="Garamond"/>
        </w:rPr>
        <w:t xml:space="preserve">, Data USA (accessed May 2022), </w:t>
      </w:r>
      <w:hyperlink r:id="rId48" w:anchor=":~:text=Demographic%20information%20on%20Food%20processing,White%20(Non%2DHispanic)" w:history="1">
        <w:r w:rsidRPr="00A853EB">
          <w:rPr>
            <w:rStyle w:val="Hyperlink"/>
            <w:rFonts w:ascii="Garamond" w:hAnsi="Garamond"/>
          </w:rPr>
          <w:t>https://datausa.io/profile/soc/food-processing-workers-all-other#:~:text=Demographic%20information%20on%20Food%20processing,White%20(Non%2DHispanic)</w:t>
        </w:r>
      </w:hyperlink>
      <w:r w:rsidRPr="00A853EB">
        <w:rPr>
          <w:rFonts w:ascii="Garamond" w:hAnsi="Garamond"/>
        </w:rPr>
        <w:t xml:space="preserve">. </w:t>
      </w:r>
    </w:p>
  </w:footnote>
  <w:footnote w:id="81">
    <w:p w14:paraId="45F9F791"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Farm Labor</w:t>
      </w:r>
      <w:r w:rsidRPr="00A853EB">
        <w:rPr>
          <w:rFonts w:ascii="Garamond" w:hAnsi="Garamond"/>
        </w:rPr>
        <w:t xml:space="preserve">, USDA Economic Research Service (accessed May 2022), </w:t>
      </w:r>
      <w:hyperlink r:id="rId49" w:anchor="demographic" w:history="1">
        <w:r w:rsidRPr="00A853EB">
          <w:rPr>
            <w:rStyle w:val="Hyperlink"/>
            <w:rFonts w:ascii="Garamond" w:hAnsi="Garamond"/>
          </w:rPr>
          <w:t>https://www.ers.usda.gov/topics/farm-economy/farm-labor/#demographic</w:t>
        </w:r>
      </w:hyperlink>
      <w:r w:rsidRPr="00A853EB">
        <w:rPr>
          <w:rFonts w:ascii="Garamond" w:hAnsi="Garamond"/>
        </w:rPr>
        <w:t xml:space="preserve">. </w:t>
      </w:r>
    </w:p>
  </w:footnote>
  <w:footnote w:id="82">
    <w:p w14:paraId="219B5F1A" w14:textId="77777777" w:rsidR="000D0EEF" w:rsidRPr="00A853EB" w:rsidRDefault="000D0EEF" w:rsidP="00474744">
      <w:pPr>
        <w:pStyle w:val="FootnoteText"/>
        <w:ind w:left="0" w:right="-9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Immigrant Farmworkers and America's Food Production: 5 Things to Know</w:t>
      </w:r>
      <w:r w:rsidRPr="00A853EB">
        <w:rPr>
          <w:rFonts w:ascii="Garamond" w:hAnsi="Garamond"/>
        </w:rPr>
        <w:t xml:space="preserve">, FWD.us (Mar. 18, 2021), </w:t>
      </w:r>
      <w:hyperlink r:id="rId50" w:anchor=":~:text=Undocumented%20farm%20workers%20make%20up,food%20would%20otherwise%20go%20unharvested" w:history="1">
        <w:r w:rsidRPr="00A853EB">
          <w:rPr>
            <w:rStyle w:val="Hyperlink"/>
            <w:rFonts w:ascii="Garamond" w:hAnsi="Garamond"/>
          </w:rPr>
          <w:t>https://www.fwd.us/news/immigrant-farmworkers-and-americas-food-production-5-things-to-know/#:~:text=Undocumented%20farm%20workers%20make%20up,food%20would%20otherwise%20go%20unharvested</w:t>
        </w:r>
      </w:hyperlink>
      <w:r w:rsidRPr="00A853EB">
        <w:rPr>
          <w:rFonts w:ascii="Garamond" w:hAnsi="Garamond"/>
        </w:rPr>
        <w:t>.</w:t>
      </w:r>
    </w:p>
  </w:footnote>
  <w:footnote w:id="83">
    <w:p w14:paraId="632C78C5" w14:textId="6978BB93"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00372E64" w:rsidRPr="00A853EB">
        <w:rPr>
          <w:rFonts w:ascii="Garamond" w:hAnsi="Garamond"/>
          <w:i/>
          <w:iCs/>
        </w:rPr>
        <w:t>Employment Rights of Undocumented Workers</w:t>
      </w:r>
      <w:r w:rsidR="00372E64" w:rsidRPr="00A853EB">
        <w:rPr>
          <w:rFonts w:ascii="Garamond" w:hAnsi="Garamond"/>
        </w:rPr>
        <w:t xml:space="preserve">, Legal Aid at Work, (accessed May 2022), </w:t>
      </w:r>
      <w:hyperlink r:id="rId51" w:history="1">
        <w:r w:rsidR="00372E64" w:rsidRPr="00A853EB">
          <w:rPr>
            <w:rStyle w:val="Hyperlink"/>
            <w:rFonts w:ascii="Garamond" w:hAnsi="Garamond"/>
          </w:rPr>
          <w:t>https://legalaidatwork.org/factsheet/undocumented-workers-employment-rights/</w:t>
        </w:r>
      </w:hyperlink>
      <w:r w:rsidR="00372E64" w:rsidRPr="00A853EB">
        <w:rPr>
          <w:rFonts w:ascii="Garamond" w:hAnsi="Garamond"/>
        </w:rPr>
        <w:t xml:space="preserve">; </w:t>
      </w:r>
      <w:r w:rsidRPr="00A853EB">
        <w:rPr>
          <w:rFonts w:ascii="Garamond" w:hAnsi="Garamond"/>
        </w:rPr>
        <w:t xml:space="preserve">29 U.S.C. §§ 151-169, </w:t>
      </w:r>
      <w:hyperlink r:id="rId52" w:history="1">
        <w:r w:rsidRPr="00A853EB">
          <w:rPr>
            <w:rStyle w:val="Hyperlink"/>
            <w:rFonts w:ascii="Garamond" w:hAnsi="Garamond"/>
          </w:rPr>
          <w:t>https://www.nlrb.gov/guidance/key-reference-materials/national-labor-relations-act</w:t>
        </w:r>
      </w:hyperlink>
      <w:r w:rsidR="00372E64" w:rsidRPr="00A853EB">
        <w:rPr>
          <w:rFonts w:ascii="Garamond" w:hAnsi="Garamond"/>
        </w:rPr>
        <w:t>.</w:t>
      </w:r>
    </w:p>
  </w:footnote>
  <w:footnote w:id="84">
    <w:p w14:paraId="3C22135B"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Curt Covington, </w:t>
      </w:r>
      <w:r w:rsidRPr="00A853EB">
        <w:rPr>
          <w:rFonts w:ascii="Garamond" w:hAnsi="Garamond"/>
          <w:i/>
          <w:iCs/>
        </w:rPr>
        <w:t>Immigration reform can ease farm labor shortages</w:t>
      </w:r>
      <w:r w:rsidRPr="00A853EB">
        <w:rPr>
          <w:rFonts w:ascii="Garamond" w:hAnsi="Garamond"/>
        </w:rPr>
        <w:t xml:space="preserve">, The Hill (Apr. 24, 2022), </w:t>
      </w:r>
      <w:hyperlink r:id="rId53" w:history="1">
        <w:r w:rsidRPr="00A853EB">
          <w:rPr>
            <w:rStyle w:val="Hyperlink"/>
            <w:rFonts w:ascii="Garamond" w:hAnsi="Garamond"/>
          </w:rPr>
          <w:t>https://thehill.com/opinion/immigration/3467527-immigration-reform-can-ease-farm-labor-shortages/</w:t>
        </w:r>
      </w:hyperlink>
      <w:r w:rsidRPr="00A853EB">
        <w:rPr>
          <w:rFonts w:ascii="Garamond" w:hAnsi="Garamond"/>
        </w:rPr>
        <w:t xml:space="preserve">. </w:t>
      </w:r>
    </w:p>
  </w:footnote>
  <w:footnote w:id="85">
    <w:p w14:paraId="6B04E9C5"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Wages Map,</w:t>
      </w:r>
      <w:r w:rsidRPr="00A853EB">
        <w:rPr>
          <w:rFonts w:ascii="Garamond" w:hAnsi="Garamond"/>
        </w:rPr>
        <w:t xml:space="preserve"> Farmworker Justice (accessed May 2022),  </w:t>
      </w:r>
      <w:hyperlink r:id="rId54" w:history="1">
        <w:r w:rsidRPr="00A853EB">
          <w:rPr>
            <w:rStyle w:val="Hyperlink"/>
            <w:rFonts w:ascii="Garamond" w:hAnsi="Garamond"/>
          </w:rPr>
          <w:t>https://www.farmworkerjustice.org/wages-map/</w:t>
        </w:r>
      </w:hyperlink>
      <w:r w:rsidRPr="00A853EB">
        <w:rPr>
          <w:rFonts w:ascii="Garamond" w:hAnsi="Garamond"/>
        </w:rPr>
        <w:t xml:space="preserve">. </w:t>
      </w:r>
    </w:p>
  </w:footnote>
  <w:footnote w:id="86">
    <w:p w14:paraId="368928E5" w14:textId="48E5498F"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Worker’s Compensation Map,</w:t>
      </w:r>
      <w:r w:rsidRPr="00A853EB">
        <w:rPr>
          <w:rFonts w:ascii="Garamond" w:hAnsi="Garamond"/>
        </w:rPr>
        <w:t xml:space="preserve"> Farmworker Justice (accessed May 2022),  </w:t>
      </w:r>
      <w:hyperlink r:id="rId55" w:history="1">
        <w:r w:rsidRPr="00A853EB">
          <w:rPr>
            <w:rStyle w:val="Hyperlink"/>
            <w:rFonts w:ascii="Garamond" w:hAnsi="Garamond"/>
          </w:rPr>
          <w:t>https://www.farmworkerjustice.org/workers-compensation-map/</w:t>
        </w:r>
      </w:hyperlink>
      <w:r w:rsidR="003C108E">
        <w:rPr>
          <w:rStyle w:val="Hyperlink"/>
          <w:rFonts w:ascii="Garamond" w:hAnsi="Garamond"/>
          <w:color w:val="000000" w:themeColor="text1"/>
          <w:u w:val="none"/>
        </w:rPr>
        <w:t>.</w:t>
      </w:r>
      <w:r w:rsidRPr="00A853EB">
        <w:rPr>
          <w:rFonts w:ascii="Garamond" w:hAnsi="Garamond"/>
        </w:rPr>
        <w:t xml:space="preserve"> </w:t>
      </w:r>
    </w:p>
  </w:footnote>
  <w:footnote w:id="87">
    <w:p w14:paraId="46F2BC9F" w14:textId="1F43BEB4"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See Sec. 202 of The Migrant and Seasonal Agricultural Worker Protection Act</w:t>
      </w:r>
      <w:r w:rsidRPr="00A853EB">
        <w:rPr>
          <w:rFonts w:ascii="Garamond" w:hAnsi="Garamond"/>
        </w:rPr>
        <w:t xml:space="preserve">: “Each farm labor contractor, agricultural employer, and agricultural association which employs any migrant agricultural worker shall pay the wages owed to such worker when due.” </w:t>
      </w:r>
      <w:hyperlink r:id="rId56" w:anchor="title_2" w:history="1">
        <w:r w:rsidRPr="00A853EB">
          <w:rPr>
            <w:rStyle w:val="Hyperlink"/>
            <w:rFonts w:ascii="Garamond" w:hAnsi="Garamond"/>
          </w:rPr>
          <w:t>https://www.dol.gov/agencies/whd/laws-and-regulations/laws/mspa#title_2</w:t>
        </w:r>
      </w:hyperlink>
      <w:r w:rsidRPr="00A853EB">
        <w:rPr>
          <w:rFonts w:ascii="Garamond" w:hAnsi="Garamond"/>
        </w:rPr>
        <w:t>.</w:t>
      </w:r>
    </w:p>
  </w:footnote>
  <w:footnote w:id="88">
    <w:p w14:paraId="1438FF00" w14:textId="04F7CB5F" w:rsidR="000D0EEF" w:rsidRPr="00781601" w:rsidRDefault="000D0EEF"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U.S. Const. art. </w:t>
      </w:r>
      <w:r w:rsidRPr="00781601">
        <w:rPr>
          <w:rFonts w:ascii="Garamond" w:hAnsi="Garamond"/>
          <w:lang w:val="en-US"/>
        </w:rPr>
        <w:t xml:space="preserve">VI,  </w:t>
      </w:r>
      <w:hyperlink r:id="rId57" w:anchor="article-6-clause-2" w:history="1">
        <w:r w:rsidRPr="00781601">
          <w:rPr>
            <w:rStyle w:val="Hyperlink"/>
            <w:rFonts w:ascii="Garamond" w:hAnsi="Garamond"/>
            <w:lang w:val="en-US"/>
          </w:rPr>
          <w:t>https://constitution.congress.gov/constitution/article-6/#article-6-clause-2</w:t>
        </w:r>
      </w:hyperlink>
      <w:r w:rsidR="003C108E" w:rsidRPr="00781601">
        <w:rPr>
          <w:rStyle w:val="Hyperlink"/>
          <w:rFonts w:ascii="Garamond" w:hAnsi="Garamond"/>
          <w:color w:val="000000" w:themeColor="text1"/>
          <w:u w:val="none"/>
          <w:lang w:val="en-US"/>
        </w:rPr>
        <w:t>.</w:t>
      </w:r>
      <w:r w:rsidRPr="00781601">
        <w:rPr>
          <w:rFonts w:ascii="Garamond" w:hAnsi="Garamond"/>
          <w:lang w:val="en-US"/>
        </w:rPr>
        <w:t xml:space="preserve"> </w:t>
      </w:r>
    </w:p>
  </w:footnote>
  <w:footnote w:id="89">
    <w:p w14:paraId="62EA85E4" w14:textId="3D5686EE" w:rsidR="00372E64" w:rsidRPr="00A853EB" w:rsidRDefault="00372E64"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CS/HB 943 - Preemption of Local Government Wage Mandates, </w:t>
      </w:r>
      <w:hyperlink r:id="rId58" w:history="1">
        <w:r w:rsidRPr="00A853EB">
          <w:rPr>
            <w:rStyle w:val="Hyperlink"/>
            <w:rFonts w:ascii="Garamond" w:hAnsi="Garamond"/>
          </w:rPr>
          <w:t>https://www.myfloridahouse.gov/Sections/Bills/billsdetail.aspx?BillId=75727&amp;</w:t>
        </w:r>
      </w:hyperlink>
      <w:r w:rsidRPr="00A853EB">
        <w:rPr>
          <w:rFonts w:ascii="Garamond" w:hAnsi="Garamond"/>
        </w:rPr>
        <w:t xml:space="preserve">. </w:t>
      </w:r>
    </w:p>
  </w:footnote>
  <w:footnote w:id="90">
    <w:p w14:paraId="699B4CE2" w14:textId="57C0E5D2"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CS/SB 1294: Cottage Food Operations, </w:t>
      </w:r>
      <w:hyperlink r:id="rId59" w:history="1">
        <w:r w:rsidRPr="00A853EB">
          <w:rPr>
            <w:rStyle w:val="Hyperlink"/>
            <w:rFonts w:ascii="Garamond" w:hAnsi="Garamond"/>
          </w:rPr>
          <w:t>https://www.flsenate.gov/Session/Bill/2021/1294</w:t>
        </w:r>
      </w:hyperlink>
      <w:r w:rsidR="00372E64" w:rsidRPr="00A853EB">
        <w:rPr>
          <w:rFonts w:ascii="Garamond" w:hAnsi="Garamond"/>
        </w:rPr>
        <w:t>.</w:t>
      </w:r>
    </w:p>
  </w:footnote>
  <w:footnote w:id="91">
    <w:p w14:paraId="05E1688D" w14:textId="7777777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Per Article 15(4) of United Nations Declaration on the Rights of Peasants and Other People Working in Rural Areas (UNDROP), the right to food sovereignty is the access to the “decision-making processes on food and agriculture policy and the right to healthy and adequate food produced through ecologically sound and sustainable methods that respect…cultures,”  </w:t>
      </w:r>
      <w:hyperlink r:id="rId60" w:history="1">
        <w:r w:rsidRPr="00A853EB">
          <w:rPr>
            <w:rStyle w:val="Hyperlink"/>
            <w:rFonts w:ascii="Garamond" w:hAnsi="Garamond"/>
          </w:rPr>
          <w:t>https://digitallibrary.un.org/record/1650694?ln=en</w:t>
        </w:r>
      </w:hyperlink>
      <w:r w:rsidRPr="00A853EB">
        <w:rPr>
          <w:rFonts w:ascii="Garamond" w:hAnsi="Garamond"/>
        </w:rPr>
        <w:t xml:space="preserve">. </w:t>
      </w:r>
    </w:p>
  </w:footnote>
  <w:footnote w:id="92">
    <w:p w14:paraId="1A2B2208" w14:textId="5DF3E472"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002F52F1" w:rsidRPr="00A853EB">
        <w:rPr>
          <w:rFonts w:ascii="Garamond" w:hAnsi="Garamond"/>
        </w:rPr>
        <w:t xml:space="preserve"> Paul Constant, </w:t>
      </w:r>
      <w:r w:rsidR="002F52F1" w:rsidRPr="00A853EB">
        <w:rPr>
          <w:rFonts w:ascii="Garamond" w:hAnsi="Garamond"/>
          <w:i/>
          <w:iCs/>
        </w:rPr>
        <w:t>'Right-to-work' legislation may sound nice, but it's actually terrible for workers and has a deeply racist history</w:t>
      </w:r>
      <w:r w:rsidR="002F52F1" w:rsidRPr="00A853EB">
        <w:rPr>
          <w:rFonts w:ascii="Garamond" w:hAnsi="Garamond"/>
        </w:rPr>
        <w:t>, Insider (Sept. 25, 2021)</w:t>
      </w:r>
      <w:r w:rsidRPr="00A853EB">
        <w:rPr>
          <w:rFonts w:ascii="Garamond" w:hAnsi="Garamond"/>
        </w:rPr>
        <w:t xml:space="preserve"> </w:t>
      </w:r>
      <w:hyperlink r:id="rId61" w:history="1">
        <w:r w:rsidR="002F52F1" w:rsidRPr="00A853EB">
          <w:rPr>
            <w:rStyle w:val="Hyperlink"/>
            <w:rFonts w:ascii="Garamond" w:hAnsi="Garamond"/>
          </w:rPr>
          <w:t>https://www.businessinsider.com/pitchfork-economics-right-to-work-legislation-terrible-for-workers-2021-9</w:t>
        </w:r>
      </w:hyperlink>
      <w:r w:rsidRPr="00A853EB">
        <w:rPr>
          <w:rFonts w:ascii="Garamond" w:hAnsi="Garamond"/>
        </w:rPr>
        <w:t>;</w:t>
      </w:r>
      <w:r w:rsidR="002204E9" w:rsidRPr="00A853EB">
        <w:rPr>
          <w:rFonts w:ascii="Garamond" w:hAnsi="Garamond"/>
        </w:rPr>
        <w:t xml:space="preserve"> David Cooper and Julia Wolf, </w:t>
      </w:r>
      <w:r w:rsidR="002204E9" w:rsidRPr="00A853EB">
        <w:rPr>
          <w:rFonts w:ascii="Garamond" w:hAnsi="Garamond"/>
          <w:i/>
          <w:iCs/>
        </w:rPr>
        <w:t>So-called right-to-work is wrong for Montana</w:t>
      </w:r>
      <w:r w:rsidR="002204E9" w:rsidRPr="00A853EB">
        <w:rPr>
          <w:rFonts w:ascii="Garamond" w:hAnsi="Garamond"/>
        </w:rPr>
        <w:t>, Economic Policy Institute (Feb. 25, 2021),</w:t>
      </w:r>
      <w:r w:rsidRPr="00A853EB">
        <w:rPr>
          <w:rFonts w:ascii="Garamond" w:hAnsi="Garamond"/>
        </w:rPr>
        <w:t xml:space="preserve"> </w:t>
      </w:r>
      <w:hyperlink r:id="rId62" w:anchor=":~:text=By%20making%20it%20harder%20for,unions%20or%20maintain%20existing%20ones" w:history="1">
        <w:r w:rsidRPr="00A853EB">
          <w:rPr>
            <w:rStyle w:val="Hyperlink"/>
            <w:rFonts w:ascii="Garamond" w:hAnsi="Garamond"/>
          </w:rPr>
          <w:t>https://www.epi.org/publication/so-called-right-to-work-is-wrong-for-montana/#:~:text=By%20making%20it%20harder%20for,unions%20or%20maintain%20existing%20ones</w:t>
        </w:r>
      </w:hyperlink>
      <w:r w:rsidRPr="00A853EB">
        <w:rPr>
          <w:rFonts w:ascii="Garamond" w:hAnsi="Garamond"/>
        </w:rPr>
        <w:t xml:space="preserve">. </w:t>
      </w:r>
    </w:p>
  </w:footnote>
  <w:footnote w:id="93">
    <w:p w14:paraId="03C54F12" w14:textId="2A54EEED"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002204E9" w:rsidRPr="00A853EB">
        <w:rPr>
          <w:rFonts w:ascii="Garamond" w:hAnsi="Garamond"/>
          <w:i/>
          <w:iCs/>
        </w:rPr>
        <w:t>Union workers are paid 11.2% more and have greater access to health insurance and paid sick days than their nonunion counterparts</w:t>
      </w:r>
      <w:r w:rsidR="002204E9" w:rsidRPr="00A853EB">
        <w:rPr>
          <w:rFonts w:ascii="Garamond" w:hAnsi="Garamond"/>
        </w:rPr>
        <w:t xml:space="preserve">, Economic Policy Institute (Aug. 25, 2020), </w:t>
      </w:r>
      <w:hyperlink r:id="rId63" w:history="1">
        <w:r w:rsidR="002204E9" w:rsidRPr="00A853EB">
          <w:rPr>
            <w:rStyle w:val="Hyperlink"/>
            <w:rFonts w:ascii="Garamond" w:hAnsi="Garamond"/>
          </w:rPr>
          <w:t>https://www.epi.org/press/union-workers-are-paid-11-2-more-and-have-greater-access-to-health-insurance-and-paid-sick-days-than-their-nonunion-counterparts-policymakers-must-strengthen-workers-ability-to-form-unions/</w:t>
        </w:r>
      </w:hyperlink>
      <w:r w:rsidR="002204E9" w:rsidRPr="00A853EB">
        <w:rPr>
          <w:rFonts w:ascii="Garamond" w:hAnsi="Garamond"/>
        </w:rPr>
        <w:t xml:space="preserve">. </w:t>
      </w:r>
    </w:p>
  </w:footnote>
  <w:footnote w:id="94">
    <w:p w14:paraId="437727ED" w14:textId="5D9C9F66"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002204E9" w:rsidRPr="00A853EB">
        <w:rPr>
          <w:rFonts w:ascii="Garamond" w:hAnsi="Garamond"/>
        </w:rPr>
        <w:t xml:space="preserve">Valerie Wilson and Julia Wolf, </w:t>
      </w:r>
      <w:r w:rsidR="002204E9" w:rsidRPr="00A853EB">
        <w:rPr>
          <w:rFonts w:ascii="Garamond" w:hAnsi="Garamond"/>
          <w:i/>
          <w:iCs/>
        </w:rPr>
        <w:t>Black workers in right-to-work (RTW) states tend to have lower wages than in Missouri and other non-RTW states</w:t>
      </w:r>
      <w:r w:rsidR="002204E9" w:rsidRPr="00A853EB">
        <w:rPr>
          <w:rFonts w:ascii="Garamond" w:hAnsi="Garamond"/>
        </w:rPr>
        <w:t xml:space="preserve">, Economic Policy Institute (May 15, 2018), </w:t>
      </w:r>
      <w:hyperlink r:id="rId64" w:history="1">
        <w:r w:rsidR="002204E9" w:rsidRPr="00A853EB">
          <w:rPr>
            <w:rStyle w:val="Hyperlink"/>
            <w:rFonts w:ascii="Garamond" w:hAnsi="Garamond"/>
          </w:rPr>
          <w:t>https://www.epi.org/publication/black-workers-in-right-to-work-rtw-states-tend-to-have-lower-wages-than-in-missouri-and-other-non-rtw-states/</w:t>
        </w:r>
      </w:hyperlink>
      <w:r w:rsidR="002204E9" w:rsidRPr="00A853EB">
        <w:rPr>
          <w:rFonts w:ascii="Garamond" w:hAnsi="Garamond"/>
        </w:rPr>
        <w:t>.</w:t>
      </w:r>
      <w:r w:rsidRPr="00A853EB">
        <w:rPr>
          <w:rFonts w:ascii="Garamond" w:hAnsi="Garamond"/>
        </w:rPr>
        <w:t xml:space="preserve"> </w:t>
      </w:r>
    </w:p>
  </w:footnote>
  <w:footnote w:id="95">
    <w:p w14:paraId="4D438663" w14:textId="375B6959" w:rsidR="000D0EEF" w:rsidRPr="003C108E" w:rsidRDefault="000D0EEF" w:rsidP="00474744">
      <w:pPr>
        <w:pStyle w:val="FootnoteText"/>
        <w:ind w:left="0" w:firstLine="0"/>
        <w:rPr>
          <w:rFonts w:ascii="Garamond" w:hAnsi="Garamond"/>
          <w:color w:val="000000" w:themeColor="text1"/>
        </w:rPr>
      </w:pPr>
      <w:r w:rsidRPr="00A853EB">
        <w:rPr>
          <w:rStyle w:val="FootnoteReference"/>
          <w:rFonts w:ascii="Garamond" w:hAnsi="Garamond"/>
        </w:rPr>
        <w:footnoteRef/>
      </w:r>
      <w:r w:rsidR="00C714DD" w:rsidRPr="00A853EB">
        <w:rPr>
          <w:rFonts w:ascii="Garamond" w:hAnsi="Garamond"/>
          <w:i/>
          <w:iCs/>
        </w:rPr>
        <w:t>So-called right-to-work is wrong for Montana</w:t>
      </w:r>
      <w:r w:rsidR="00C714DD" w:rsidRPr="00A853EB">
        <w:rPr>
          <w:rFonts w:ascii="Garamond" w:hAnsi="Garamond"/>
        </w:rPr>
        <w:t xml:space="preserve">, Economic Policy Institute (Feb. 25, 2021), </w:t>
      </w:r>
      <w:hyperlink r:id="rId65" w:anchor=":~:text=By%20making%20it%20harder%20for,unions%20or%20maintain%20existing%20ones" w:history="1">
        <w:r w:rsidR="00C714DD" w:rsidRPr="00A853EB">
          <w:rPr>
            <w:rStyle w:val="Hyperlink"/>
            <w:rFonts w:ascii="Garamond" w:hAnsi="Garamond"/>
          </w:rPr>
          <w:t>https://www.epi.org/publication/so-called-right-to-work-is-wrong-for-montana/#:~:text=By%20making%20it%20harder%20for,unions%20or%20maintain%20existing%20ones</w:t>
        </w:r>
      </w:hyperlink>
      <w:r w:rsidRPr="00A853EB">
        <w:rPr>
          <w:rFonts w:ascii="Garamond" w:hAnsi="Garamond"/>
        </w:rPr>
        <w:t xml:space="preserve">; </w:t>
      </w:r>
      <w:r w:rsidR="00C714DD" w:rsidRPr="00A853EB">
        <w:rPr>
          <w:rFonts w:ascii="Garamond" w:hAnsi="Garamond"/>
        </w:rPr>
        <w:t xml:space="preserve">Union Members 2021 News Release, Bureau of Labor Statistics (Jan. 20, 2022), </w:t>
      </w:r>
      <w:r w:rsidRPr="00A853EB">
        <w:rPr>
          <w:rFonts w:ascii="Garamond" w:hAnsi="Garamond"/>
        </w:rPr>
        <w:t xml:space="preserve">  </w:t>
      </w:r>
      <w:hyperlink r:id="rId66" w:history="1">
        <w:r w:rsidRPr="00A853EB">
          <w:rPr>
            <w:rStyle w:val="Hyperlink"/>
            <w:rFonts w:ascii="Garamond" w:hAnsi="Garamond"/>
          </w:rPr>
          <w:t>https://www.bls.gov/news.release/pdf/union2.pdf</w:t>
        </w:r>
      </w:hyperlink>
      <w:r w:rsidR="003C108E">
        <w:rPr>
          <w:rStyle w:val="Hyperlink"/>
          <w:rFonts w:ascii="Garamond" w:hAnsi="Garamond"/>
          <w:color w:val="000000" w:themeColor="text1"/>
          <w:u w:val="none"/>
        </w:rPr>
        <w:t>.</w:t>
      </w:r>
    </w:p>
  </w:footnote>
  <w:footnote w:id="96">
    <w:p w14:paraId="32877542" w14:textId="2A321B22" w:rsidR="000D0EEF" w:rsidRPr="00A853EB" w:rsidRDefault="000D0EEF" w:rsidP="00474744">
      <w:pPr>
        <w:pStyle w:val="FootnoteText"/>
        <w:ind w:left="0" w:firstLine="0"/>
        <w:rPr>
          <w:rFonts w:ascii="Garamond" w:hAnsi="Garamond"/>
          <w:lang w:val="en-US"/>
        </w:rPr>
      </w:pPr>
      <w:r w:rsidRPr="00A853EB">
        <w:rPr>
          <w:rStyle w:val="FootnoteReference"/>
          <w:rFonts w:ascii="Garamond" w:hAnsi="Garamond"/>
        </w:rPr>
        <w:footnoteRef/>
      </w:r>
      <w:r w:rsidR="00A7610A" w:rsidRPr="00A853EB">
        <w:rPr>
          <w:rFonts w:ascii="Garamond" w:hAnsi="Garamond"/>
        </w:rPr>
        <w:t xml:space="preserve"> Celine McNicholas and Margaret </w:t>
      </w:r>
      <w:proofErr w:type="spellStart"/>
      <w:r w:rsidR="00A7610A" w:rsidRPr="00A853EB">
        <w:rPr>
          <w:rFonts w:ascii="Garamond" w:hAnsi="Garamond"/>
        </w:rPr>
        <w:t>Poydock</w:t>
      </w:r>
      <w:proofErr w:type="spellEnd"/>
      <w:r w:rsidR="00A7610A" w:rsidRPr="00A853EB">
        <w:rPr>
          <w:rFonts w:ascii="Garamond" w:hAnsi="Garamond"/>
        </w:rPr>
        <w:t xml:space="preserve">, </w:t>
      </w:r>
      <w:r w:rsidR="00A7610A" w:rsidRPr="00A853EB">
        <w:rPr>
          <w:rFonts w:ascii="Garamond" w:hAnsi="Garamond"/>
          <w:i/>
          <w:iCs/>
        </w:rPr>
        <w:t>Who are essential workers?</w:t>
      </w:r>
      <w:r w:rsidR="00A7610A" w:rsidRPr="00A853EB">
        <w:rPr>
          <w:rFonts w:ascii="Garamond" w:hAnsi="Garamond"/>
        </w:rPr>
        <w:t xml:space="preserve">, </w:t>
      </w:r>
      <w:r w:rsidR="00A7610A" w:rsidRPr="00A853EB">
        <w:rPr>
          <w:rFonts w:ascii="Garamond" w:hAnsi="Garamond"/>
          <w:i/>
          <w:iCs/>
        </w:rPr>
        <w:t xml:space="preserve"> </w:t>
      </w:r>
      <w:r w:rsidR="00A7610A" w:rsidRPr="00A853EB">
        <w:rPr>
          <w:rFonts w:ascii="Garamond" w:hAnsi="Garamond"/>
        </w:rPr>
        <w:t xml:space="preserve">Economic Policy Institute (May 19, 2020),  </w:t>
      </w:r>
      <w:r w:rsidRPr="00A853EB">
        <w:rPr>
          <w:rFonts w:ascii="Garamond" w:hAnsi="Garamond"/>
          <w:lang w:val="en-US"/>
        </w:rPr>
        <w:t xml:space="preserve"> </w:t>
      </w:r>
      <w:hyperlink r:id="rId67" w:history="1">
        <w:r w:rsidR="00C714DD" w:rsidRPr="00A853EB">
          <w:rPr>
            <w:rStyle w:val="Hyperlink"/>
            <w:rFonts w:ascii="Garamond" w:hAnsi="Garamond"/>
            <w:lang w:val="en-US"/>
          </w:rPr>
          <w:t>https://www.epi.org/blog/who-are-essential-workers-a-comprehensive-look-at-their-wages-demographics-and-unionization-rates/</w:t>
        </w:r>
      </w:hyperlink>
      <w:r w:rsidR="003C108E">
        <w:rPr>
          <w:rStyle w:val="Hyperlink"/>
          <w:rFonts w:ascii="Garamond" w:hAnsi="Garamond"/>
          <w:color w:val="000000" w:themeColor="text1"/>
          <w:u w:val="none"/>
          <w:lang w:val="en-US"/>
        </w:rPr>
        <w:t>.</w:t>
      </w:r>
      <w:r w:rsidR="00C714DD" w:rsidRPr="00A853EB">
        <w:rPr>
          <w:rFonts w:ascii="Garamond" w:hAnsi="Garamond"/>
          <w:lang w:val="en-US"/>
        </w:rPr>
        <w:t xml:space="preserve"> </w:t>
      </w:r>
    </w:p>
  </w:footnote>
  <w:footnote w:id="97">
    <w:p w14:paraId="11AA3108" w14:textId="599C0F83"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008E444C" w:rsidRPr="00A853EB">
        <w:rPr>
          <w:rFonts w:ascii="Garamond" w:hAnsi="Garamond"/>
          <w:i/>
          <w:iCs/>
        </w:rPr>
        <w:t>About</w:t>
      </w:r>
      <w:r w:rsidR="008E444C" w:rsidRPr="00A853EB">
        <w:rPr>
          <w:rFonts w:ascii="Garamond" w:hAnsi="Garamond"/>
        </w:rPr>
        <w:t xml:space="preserve">, Fair Food Program (accessed May 2022), </w:t>
      </w:r>
      <w:hyperlink r:id="rId68" w:history="1">
        <w:r w:rsidR="008E444C" w:rsidRPr="00A853EB">
          <w:rPr>
            <w:rStyle w:val="Hyperlink"/>
            <w:rFonts w:ascii="Garamond" w:hAnsi="Garamond"/>
          </w:rPr>
          <w:t>https://fairfoodprogram.org/about/</w:t>
        </w:r>
      </w:hyperlink>
    </w:p>
  </w:footnote>
  <w:footnote w:id="98">
    <w:p w14:paraId="4927C165" w14:textId="2B266DF7"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008E444C" w:rsidRPr="00A853EB">
        <w:rPr>
          <w:rFonts w:ascii="Garamond" w:hAnsi="Garamond"/>
          <w:i/>
          <w:iCs/>
        </w:rPr>
        <w:t>Fair Food Program: The leading edge of human rights in agriculture</w:t>
      </w:r>
      <w:r w:rsidR="008E444C" w:rsidRPr="00A853EB">
        <w:rPr>
          <w:rFonts w:ascii="Garamond" w:hAnsi="Garamond"/>
        </w:rPr>
        <w:t xml:space="preserve">, Coalition of Immokalee Workers (accessed May 2022), </w:t>
      </w:r>
      <w:hyperlink r:id="rId69" w:history="1">
        <w:r w:rsidR="008E444C" w:rsidRPr="00A853EB">
          <w:rPr>
            <w:rStyle w:val="Hyperlink"/>
            <w:rFonts w:ascii="Garamond" w:hAnsi="Garamond"/>
          </w:rPr>
          <w:t>https://ciw-online.org/fair-food-program/</w:t>
        </w:r>
      </w:hyperlink>
      <w:r w:rsidR="008E444C" w:rsidRPr="00A853EB">
        <w:rPr>
          <w:rFonts w:ascii="Garamond" w:hAnsi="Garamond"/>
        </w:rPr>
        <w:t>.</w:t>
      </w:r>
      <w:r w:rsidRPr="00A853EB">
        <w:rPr>
          <w:rFonts w:ascii="Garamond" w:hAnsi="Garamond"/>
        </w:rPr>
        <w:t xml:space="preserve"> </w:t>
      </w:r>
    </w:p>
  </w:footnote>
  <w:footnote w:id="99">
    <w:p w14:paraId="15331018" w14:textId="28CBEC11" w:rsidR="000D0EEF" w:rsidRPr="00A853EB" w:rsidRDefault="000D0EEF" w:rsidP="00474744">
      <w:pPr>
        <w:pStyle w:val="FootnoteText"/>
        <w:ind w:left="0" w:firstLine="0"/>
        <w:rPr>
          <w:rFonts w:ascii="Garamond" w:hAnsi="Garamond"/>
        </w:rPr>
      </w:pPr>
      <w:r w:rsidRPr="00A853EB">
        <w:rPr>
          <w:rStyle w:val="FootnoteReference"/>
          <w:rFonts w:ascii="Garamond" w:hAnsi="Garamond"/>
        </w:rPr>
        <w:footnoteRef/>
      </w:r>
      <w:r w:rsidR="008E444C" w:rsidRPr="00A853EB">
        <w:rPr>
          <w:rFonts w:ascii="Garamond" w:hAnsi="Garamond"/>
        </w:rPr>
        <w:t>Partners, Fair Food Program (accessed May 2022),</w:t>
      </w:r>
      <w:r w:rsidRPr="00A853EB">
        <w:rPr>
          <w:rFonts w:ascii="Garamond" w:hAnsi="Garamond"/>
        </w:rPr>
        <w:t xml:space="preserve"> </w:t>
      </w:r>
      <w:hyperlink r:id="rId70" w:history="1">
        <w:r w:rsidR="008E444C" w:rsidRPr="00A853EB">
          <w:rPr>
            <w:rStyle w:val="Hyperlink"/>
            <w:rFonts w:ascii="Garamond" w:hAnsi="Garamond"/>
          </w:rPr>
          <w:t>https://fairfoodprogram.org/partners/</w:t>
        </w:r>
      </w:hyperlink>
      <w:r w:rsidRPr="00A853EB">
        <w:rPr>
          <w:rFonts w:ascii="Garamond" w:hAnsi="Garamond"/>
        </w:rPr>
        <w:t>;</w:t>
      </w:r>
      <w:r w:rsidR="008E444C" w:rsidRPr="00A853EB">
        <w:rPr>
          <w:rFonts w:ascii="Garamond" w:hAnsi="Garamond"/>
        </w:rPr>
        <w:t xml:space="preserve"> </w:t>
      </w:r>
      <w:proofErr w:type="spellStart"/>
      <w:r w:rsidR="008E444C" w:rsidRPr="00A853EB">
        <w:rPr>
          <w:rFonts w:ascii="Garamond" w:hAnsi="Garamond"/>
          <w:i/>
          <w:iCs/>
        </w:rPr>
        <w:t>Wendys</w:t>
      </w:r>
      <w:proofErr w:type="spellEnd"/>
      <w:r w:rsidR="008E444C" w:rsidRPr="00A853EB">
        <w:rPr>
          <w:rFonts w:ascii="Garamond" w:hAnsi="Garamond"/>
          <w:i/>
          <w:iCs/>
        </w:rPr>
        <w:t>: The Final Fast Food Holdout</w:t>
      </w:r>
      <w:r w:rsidR="008E444C" w:rsidRPr="00A853EB">
        <w:rPr>
          <w:rFonts w:ascii="Garamond" w:hAnsi="Garamond"/>
        </w:rPr>
        <w:t xml:space="preserve">, Coalition of Immokalee Workers (accessed May 2022), </w:t>
      </w:r>
      <w:r w:rsidRPr="00A853EB">
        <w:rPr>
          <w:rFonts w:ascii="Garamond" w:hAnsi="Garamond"/>
        </w:rPr>
        <w:t xml:space="preserve"> </w:t>
      </w:r>
      <w:hyperlink r:id="rId71" w:history="1">
        <w:r w:rsidRPr="00A853EB">
          <w:rPr>
            <w:rStyle w:val="Hyperlink"/>
            <w:rFonts w:ascii="Garamond" w:hAnsi="Garamond"/>
          </w:rPr>
          <w:t>https://ciw-online.org/wendys/</w:t>
        </w:r>
      </w:hyperlink>
      <w:r w:rsidRPr="00A853EB">
        <w:rPr>
          <w:rFonts w:ascii="Garamond" w:hAnsi="Garamond"/>
        </w:rPr>
        <w:t xml:space="preserve"> </w:t>
      </w:r>
    </w:p>
  </w:footnote>
  <w:footnote w:id="100">
    <w:p w14:paraId="70118593" w14:textId="672FE58F"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Monica Hake et. al., </w:t>
      </w:r>
      <w:r w:rsidRPr="00A853EB">
        <w:rPr>
          <w:rFonts w:ascii="Garamond" w:hAnsi="Garamond"/>
          <w:i/>
          <w:iCs/>
          <w:lang w:val="en-US"/>
        </w:rPr>
        <w:t>The Impact of the Coronavirus on Food Insecurity in 2020 and 2021</w:t>
      </w:r>
      <w:r w:rsidRPr="00A853EB">
        <w:rPr>
          <w:rFonts w:ascii="Garamond" w:hAnsi="Garamond"/>
          <w:lang w:val="en-US"/>
        </w:rPr>
        <w:t xml:space="preserve">, </w:t>
      </w:r>
      <w:r w:rsidRPr="00A853EB">
        <w:rPr>
          <w:rFonts w:ascii="Garamond" w:hAnsi="Garamond"/>
          <w:smallCaps/>
          <w:lang w:val="en-US"/>
        </w:rPr>
        <w:t>Feeding America</w:t>
      </w:r>
      <w:r w:rsidRPr="00A853EB">
        <w:rPr>
          <w:rFonts w:ascii="Garamond" w:hAnsi="Garamond"/>
          <w:lang w:val="en-US"/>
        </w:rPr>
        <w:t xml:space="preserve"> (Mar. 9, 2021), </w:t>
      </w:r>
      <w:hyperlink r:id="rId72" w:history="1">
        <w:r w:rsidRPr="00A853EB">
          <w:rPr>
            <w:rStyle w:val="Hyperlink"/>
            <w:rFonts w:ascii="Garamond" w:hAnsi="Garamond"/>
            <w:lang w:val="en-US"/>
          </w:rPr>
          <w:t>https://www.feedingamerica.org/sites/default/files/2021-03/National%20Projections%20Brief_3.9.2021_0.pdf</w:t>
        </w:r>
      </w:hyperlink>
      <w:r w:rsidRPr="00A853EB">
        <w:rPr>
          <w:rFonts w:ascii="Garamond" w:hAnsi="Garamond"/>
          <w:lang w:val="en-US"/>
        </w:rPr>
        <w:t xml:space="preserve">; see also </w:t>
      </w:r>
      <w:r w:rsidRPr="00A853EB">
        <w:rPr>
          <w:rFonts w:ascii="Garamond" w:hAnsi="Garamond"/>
          <w:i/>
          <w:iCs/>
          <w:lang w:val="en-US"/>
        </w:rPr>
        <w:t>How Hunger Affects Native American Communities</w:t>
      </w:r>
      <w:r w:rsidRPr="00A853EB">
        <w:rPr>
          <w:rFonts w:ascii="Garamond" w:hAnsi="Garamond"/>
          <w:lang w:val="en-US"/>
        </w:rPr>
        <w:t xml:space="preserve">, </w:t>
      </w:r>
      <w:r w:rsidRPr="00A853EB">
        <w:rPr>
          <w:rFonts w:ascii="Garamond" w:hAnsi="Garamond"/>
          <w:smallCaps/>
          <w:lang w:val="en-US"/>
        </w:rPr>
        <w:t>Move for Hunger</w:t>
      </w:r>
      <w:r w:rsidRPr="00A853EB">
        <w:rPr>
          <w:rFonts w:ascii="Garamond" w:hAnsi="Garamond"/>
          <w:lang w:val="en-US"/>
        </w:rPr>
        <w:t xml:space="preserve">, </w:t>
      </w:r>
      <w:hyperlink r:id="rId73" w:anchor=":~:text=About%20one%20in%20four%20Native,access%20to%20sufficient%2C%20affordable%20food" w:history="1">
        <w:r w:rsidRPr="00A853EB">
          <w:rPr>
            <w:rStyle w:val="Hyperlink"/>
            <w:rFonts w:ascii="Garamond" w:hAnsi="Garamond"/>
            <w:lang w:val="en-US"/>
          </w:rPr>
          <w:t>https://moveforhunger.org/one-in-4-native-americans-is-food insecure#:~:text=About%20one%20in%20four%20Native,access%20to%20sufficient%2C%20affordable%20food</w:t>
        </w:r>
      </w:hyperlink>
      <w:r w:rsidRPr="00A853EB">
        <w:rPr>
          <w:rStyle w:val="Hyperlink"/>
          <w:rFonts w:ascii="Garamond" w:hAnsi="Garamond"/>
          <w:lang w:val="en-US"/>
        </w:rPr>
        <w:t xml:space="preserve">. </w:t>
      </w:r>
    </w:p>
  </w:footnote>
  <w:footnote w:id="101">
    <w:p w14:paraId="6B3E5B60"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How Hunger Affects Native American Communities</w:t>
      </w:r>
      <w:r w:rsidRPr="00A853EB">
        <w:rPr>
          <w:rFonts w:ascii="Garamond" w:hAnsi="Garamond"/>
          <w:lang w:val="en-US"/>
        </w:rPr>
        <w:t xml:space="preserve">, </w:t>
      </w:r>
      <w:r w:rsidRPr="00A853EB">
        <w:rPr>
          <w:rFonts w:ascii="Garamond" w:hAnsi="Garamond"/>
          <w:smallCaps/>
          <w:lang w:val="en-US"/>
        </w:rPr>
        <w:t>Move for Hunger</w:t>
      </w:r>
      <w:r w:rsidRPr="00A853EB">
        <w:rPr>
          <w:rFonts w:ascii="Garamond" w:hAnsi="Garamond"/>
          <w:lang w:val="en-US"/>
        </w:rPr>
        <w:t xml:space="preserve">, </w:t>
      </w:r>
      <w:hyperlink r:id="rId74" w:anchor=":~:text=About%20one%20in%20four%20Native,access%20to%20sufficient%2C%20affordable%20food" w:history="1">
        <w:r w:rsidRPr="00A853EB">
          <w:rPr>
            <w:rStyle w:val="Hyperlink"/>
            <w:rFonts w:ascii="Garamond" w:hAnsi="Garamond"/>
            <w:lang w:val="en-US"/>
          </w:rPr>
          <w:t>https://moveforhunger.org/one-in-4-native-americans-is-food insecure#:~:text=About%20one%20in%20four%20Native,access%20to%20sufficient%2C%20affordable%20food</w:t>
        </w:r>
      </w:hyperlink>
      <w:r w:rsidRPr="00A853EB">
        <w:rPr>
          <w:rFonts w:ascii="Garamond" w:hAnsi="Garamond"/>
          <w:lang w:val="en-US"/>
        </w:rPr>
        <w:t xml:space="preserve"> (last visited Apr. 15, 2022). </w:t>
      </w:r>
    </w:p>
  </w:footnote>
  <w:footnote w:id="102">
    <w:p w14:paraId="52445F32"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Id.</w:t>
      </w:r>
      <w:r w:rsidRPr="00A853EB">
        <w:rPr>
          <w:rFonts w:ascii="Garamond" w:hAnsi="Garamond"/>
          <w:lang w:val="en-US"/>
        </w:rPr>
        <w:t xml:space="preserve"> </w:t>
      </w:r>
    </w:p>
  </w:footnote>
  <w:footnote w:id="103">
    <w:p w14:paraId="2404DB9B"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Monica Hake et. al., </w:t>
      </w:r>
      <w:r w:rsidRPr="00A853EB">
        <w:rPr>
          <w:rFonts w:ascii="Garamond" w:hAnsi="Garamond"/>
          <w:i/>
          <w:iCs/>
          <w:lang w:val="en-US"/>
        </w:rPr>
        <w:t>The Impact of the Coronavirus on Food Insecurity in 2020</w:t>
      </w:r>
      <w:r w:rsidRPr="00A853EB">
        <w:rPr>
          <w:rFonts w:ascii="Garamond" w:hAnsi="Garamond"/>
          <w:lang w:val="en-US"/>
        </w:rPr>
        <w:t xml:space="preserve">, </w:t>
      </w:r>
      <w:r w:rsidRPr="00A853EB">
        <w:rPr>
          <w:rFonts w:ascii="Garamond" w:hAnsi="Garamond"/>
          <w:smallCaps/>
          <w:lang w:val="en-US"/>
        </w:rPr>
        <w:t>Feeding America</w:t>
      </w:r>
      <w:r w:rsidRPr="00A853EB">
        <w:rPr>
          <w:rFonts w:ascii="Garamond" w:hAnsi="Garamond"/>
          <w:lang w:val="en-US"/>
        </w:rPr>
        <w:t xml:space="preserve"> (Oct. 2020) </w:t>
      </w:r>
      <w:hyperlink r:id="rId75" w:history="1">
        <w:r w:rsidRPr="00A853EB">
          <w:rPr>
            <w:rStyle w:val="Hyperlink"/>
            <w:rFonts w:ascii="Garamond" w:hAnsi="Garamond"/>
            <w:lang w:val="en-US"/>
          </w:rPr>
          <w:t>https://www.feedingamerica.org/sites/default/files/2020-10/Brief_Local%20Impact_10.2020_0.pdf?s_src=W21BREFER&amp;s_referrer=https%3A%2F%2Fmap.feedingamerica.org%2F&amp;s_channel=https%3A%2F%2Fmap.feedingamerica.org%2F&amp;s_subsrc=https%3A%2F%2Fwww.feedingamerica.org%2F%3F_ga%3D2.233500119.812905744.1636213716-510719850.1635443892</w:t>
        </w:r>
      </w:hyperlink>
      <w:r w:rsidRPr="00A853EB">
        <w:rPr>
          <w:rFonts w:ascii="Garamond" w:hAnsi="Garamond"/>
          <w:lang w:val="en-US"/>
        </w:rPr>
        <w:t xml:space="preserve">. </w:t>
      </w:r>
    </w:p>
  </w:footnote>
  <w:footnote w:id="104">
    <w:p w14:paraId="69698600"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Valarie Blue Bird Jernigan, </w:t>
      </w:r>
      <w:r w:rsidRPr="00A853EB">
        <w:rPr>
          <w:rFonts w:ascii="Garamond" w:hAnsi="Garamond"/>
          <w:i/>
          <w:iCs/>
        </w:rPr>
        <w:t>Food Insecurity and Chronic Diseases Among American Indians in Rural Oklahoma: The Thrive Study</w:t>
      </w:r>
      <w:r w:rsidRPr="00A853EB">
        <w:rPr>
          <w:rFonts w:ascii="Garamond" w:hAnsi="Garamond"/>
        </w:rPr>
        <w:t xml:space="preserve">, </w:t>
      </w:r>
      <w:r w:rsidRPr="00A853EB">
        <w:rPr>
          <w:rFonts w:ascii="Garamond" w:hAnsi="Garamond"/>
          <w:smallCaps/>
        </w:rPr>
        <w:t>American Public Health Association</w:t>
      </w:r>
      <w:r w:rsidRPr="00A853EB">
        <w:rPr>
          <w:rFonts w:ascii="Garamond" w:hAnsi="Garamond"/>
        </w:rPr>
        <w:t xml:space="preserve"> (Feb. 8, 2017) </w:t>
      </w:r>
      <w:hyperlink r:id="rId76" w:history="1">
        <w:r w:rsidRPr="00A853EB">
          <w:rPr>
            <w:rStyle w:val="Hyperlink"/>
            <w:rFonts w:ascii="Garamond" w:hAnsi="Garamond"/>
          </w:rPr>
          <w:t>https://ajph.aphapublications.org/doi/10.2105/AJPH.2016.303605</w:t>
        </w:r>
      </w:hyperlink>
      <w:r w:rsidRPr="00A853EB">
        <w:rPr>
          <w:rFonts w:ascii="Garamond" w:hAnsi="Garamond"/>
        </w:rPr>
        <w:t xml:space="preserve">. </w:t>
      </w:r>
    </w:p>
  </w:footnote>
  <w:footnote w:id="105">
    <w:p w14:paraId="10468CCA"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Id.</w:t>
      </w:r>
      <w:r w:rsidRPr="00A853EB">
        <w:rPr>
          <w:rFonts w:ascii="Garamond" w:hAnsi="Garamond"/>
        </w:rPr>
        <w:t xml:space="preserve"> </w:t>
      </w:r>
    </w:p>
  </w:footnote>
  <w:footnote w:id="106">
    <w:p w14:paraId="7D93CC3D" w14:textId="77777777" w:rsidR="008C7D12" w:rsidRPr="00A853EB" w:rsidRDefault="008C7D12" w:rsidP="00474744">
      <w:pPr>
        <w:rPr>
          <w:rFonts w:ascii="Garamond" w:eastAsia="Times New Roman" w:hAnsi="Garamond" w:cs="Times New Roman"/>
          <w:sz w:val="20"/>
          <w:szCs w:val="20"/>
        </w:rPr>
      </w:pPr>
      <w:r w:rsidRPr="00A853EB">
        <w:rPr>
          <w:rStyle w:val="FootnoteReference"/>
          <w:rFonts w:ascii="Garamond" w:hAnsi="Garamond"/>
          <w:sz w:val="20"/>
          <w:szCs w:val="20"/>
        </w:rPr>
        <w:footnoteRef/>
      </w:r>
      <w:r w:rsidRPr="00A853EB">
        <w:rPr>
          <w:rFonts w:ascii="Garamond" w:hAnsi="Garamond"/>
          <w:sz w:val="20"/>
          <w:szCs w:val="20"/>
        </w:rPr>
        <w:t xml:space="preserve"> </w:t>
      </w:r>
      <w:r w:rsidRPr="00A853EB">
        <w:rPr>
          <w:rFonts w:ascii="Garamond" w:hAnsi="Garamond"/>
          <w:i/>
          <w:iCs/>
          <w:sz w:val="20"/>
          <w:szCs w:val="20"/>
        </w:rPr>
        <w:t>See</w:t>
      </w:r>
      <w:r w:rsidRPr="00A853EB">
        <w:rPr>
          <w:rFonts w:ascii="Garamond" w:hAnsi="Garamond"/>
          <w:sz w:val="20"/>
          <w:szCs w:val="20"/>
        </w:rPr>
        <w:t xml:space="preserve"> Monica Hake et. al.</w:t>
      </w:r>
      <w:r w:rsidRPr="00A853EB">
        <w:rPr>
          <w:rFonts w:ascii="Garamond" w:eastAsia="Times New Roman" w:hAnsi="Garamond" w:cs="Times New Roman"/>
          <w:color w:val="000000"/>
          <w:sz w:val="20"/>
          <w:szCs w:val="20"/>
        </w:rPr>
        <w:t xml:space="preserve">, </w:t>
      </w:r>
      <w:r w:rsidRPr="00A853EB">
        <w:rPr>
          <w:rFonts w:ascii="Garamond" w:eastAsia="Times New Roman" w:hAnsi="Garamond" w:cs="Times New Roman"/>
          <w:i/>
          <w:iCs/>
          <w:color w:val="000000"/>
          <w:sz w:val="20"/>
          <w:szCs w:val="20"/>
        </w:rPr>
        <w:t>supra</w:t>
      </w:r>
      <w:r w:rsidRPr="00A853EB">
        <w:rPr>
          <w:rFonts w:ascii="Garamond" w:eastAsia="Times New Roman" w:hAnsi="Garamond" w:cs="Times New Roman"/>
          <w:color w:val="000000"/>
          <w:sz w:val="20"/>
          <w:szCs w:val="20"/>
        </w:rPr>
        <w:t xml:space="preserve"> note 33.  </w:t>
      </w:r>
    </w:p>
  </w:footnote>
  <w:footnote w:id="107">
    <w:p w14:paraId="2A0F3C78"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Native American Population in 2022, </w:t>
      </w:r>
      <w:r w:rsidRPr="00A853EB">
        <w:rPr>
          <w:rFonts w:ascii="Garamond" w:hAnsi="Garamond"/>
          <w:smallCaps/>
          <w:lang w:val="en-US"/>
        </w:rPr>
        <w:t>World Population Review</w:t>
      </w:r>
      <w:r w:rsidRPr="00A853EB">
        <w:rPr>
          <w:rFonts w:ascii="Garamond" w:hAnsi="Garamond"/>
          <w:lang w:val="en-US"/>
        </w:rPr>
        <w:t xml:space="preserve"> (accessed on May 7, 2022) </w:t>
      </w:r>
      <w:hyperlink r:id="rId77" w:history="1">
        <w:r w:rsidRPr="00A853EB">
          <w:rPr>
            <w:rStyle w:val="Hyperlink"/>
            <w:rFonts w:ascii="Garamond" w:hAnsi="Garamond"/>
            <w:lang w:val="en-US"/>
          </w:rPr>
          <w:t>https://worldpopulationreview.com/state-rankings/native-american-population</w:t>
        </w:r>
      </w:hyperlink>
      <w:r w:rsidRPr="00A853EB">
        <w:rPr>
          <w:rFonts w:ascii="Garamond" w:hAnsi="Garamond"/>
          <w:lang w:val="en-US"/>
        </w:rPr>
        <w:t xml:space="preserve">. </w:t>
      </w:r>
    </w:p>
  </w:footnote>
  <w:footnote w:id="108">
    <w:p w14:paraId="258F8842"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Drilling Productivity Report, Energy Information Administration (Apr. 18, 2022) </w:t>
      </w:r>
      <w:hyperlink r:id="rId78" w:history="1">
        <w:r w:rsidRPr="00A853EB">
          <w:rPr>
            <w:rStyle w:val="Hyperlink"/>
            <w:rFonts w:ascii="Garamond" w:hAnsi="Garamond"/>
          </w:rPr>
          <w:t>https://www.eia.gov/petroleum/drilling/</w:t>
        </w:r>
      </w:hyperlink>
      <w:r w:rsidRPr="00A853EB">
        <w:rPr>
          <w:rFonts w:ascii="Garamond" w:hAnsi="Garamond"/>
        </w:rPr>
        <w:t xml:space="preserve">. </w:t>
      </w:r>
    </w:p>
  </w:footnote>
  <w:footnote w:id="109">
    <w:p w14:paraId="0E6B1C74"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Phil McKenna, We’re Being Wrapped in Poison: A Century of Oil and Gas Developments Has Devastated the Ponca City Region of North Oklahoma, </w:t>
      </w:r>
      <w:r w:rsidRPr="00A853EB">
        <w:rPr>
          <w:rFonts w:ascii="Garamond" w:hAnsi="Garamond"/>
          <w:smallCaps/>
          <w:lang w:val="en-US"/>
        </w:rPr>
        <w:t>Inside Climate News</w:t>
      </w:r>
      <w:r w:rsidRPr="00A853EB">
        <w:rPr>
          <w:rFonts w:ascii="Garamond" w:hAnsi="Garamond"/>
          <w:lang w:val="en-US"/>
        </w:rPr>
        <w:t xml:space="preserve"> (Dec. 26, 2021) </w:t>
      </w:r>
      <w:hyperlink r:id="rId79" w:history="1">
        <w:r w:rsidRPr="00A853EB">
          <w:rPr>
            <w:rStyle w:val="Hyperlink"/>
            <w:rFonts w:ascii="Garamond" w:hAnsi="Garamond"/>
            <w:lang w:val="en-US"/>
          </w:rPr>
          <w:t>https://insideclimatenews.org/news/26122021/ponca-city-oklahoma-fossil-fuels/</w:t>
        </w:r>
      </w:hyperlink>
      <w:r w:rsidRPr="00A853EB">
        <w:rPr>
          <w:rFonts w:ascii="Garamond" w:hAnsi="Garamond"/>
          <w:lang w:val="en-US"/>
        </w:rPr>
        <w:t xml:space="preserve">. </w:t>
      </w:r>
    </w:p>
  </w:footnote>
  <w:footnote w:id="110">
    <w:p w14:paraId="3E2F44C4"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Valerie Blue Bird Jernigan, </w:t>
      </w:r>
      <w:r w:rsidRPr="00A853EB">
        <w:rPr>
          <w:rFonts w:ascii="Garamond" w:hAnsi="Garamond"/>
          <w:i/>
          <w:iCs/>
        </w:rPr>
        <w:t>Ending food insecurity in Native communities means restoring land rights, handing back control</w:t>
      </w:r>
      <w:r w:rsidRPr="00A853EB">
        <w:rPr>
          <w:rFonts w:ascii="Garamond" w:hAnsi="Garamond"/>
        </w:rPr>
        <w:t xml:space="preserve">, </w:t>
      </w:r>
      <w:r w:rsidRPr="00A853EB">
        <w:rPr>
          <w:rFonts w:ascii="Garamond" w:hAnsi="Garamond"/>
          <w:smallCaps/>
        </w:rPr>
        <w:t>The Conversation</w:t>
      </w:r>
      <w:r w:rsidRPr="00A853EB">
        <w:rPr>
          <w:rFonts w:ascii="Garamond" w:hAnsi="Garamond"/>
        </w:rPr>
        <w:t xml:space="preserve"> (May 27, 2021) </w:t>
      </w:r>
      <w:hyperlink r:id="rId80" w:anchor=":~:text=Indigenous%20food%20sovereignty%20%E2%80%93%20the%20right,strategy%20to%20support%20Indigenous%20communities" w:history="1">
        <w:r w:rsidRPr="00A853EB">
          <w:rPr>
            <w:rStyle w:val="Hyperlink"/>
            <w:rFonts w:ascii="Garamond" w:hAnsi="Garamond"/>
          </w:rPr>
          <w:t>https://theconversation.com/ending-food-insecurity-in-native-communities-means-restoring-land-rights-handing-back-control-158858#:~:text=Indigenous%20food%20sovereignty%20%E2%80%93%20the%20right,strategy%20to%20support%20Indigenous%20communities</w:t>
        </w:r>
      </w:hyperlink>
      <w:r w:rsidRPr="00A853EB">
        <w:rPr>
          <w:rFonts w:ascii="Garamond" w:hAnsi="Garamond"/>
        </w:rPr>
        <w:t xml:space="preserve">. </w:t>
      </w:r>
    </w:p>
  </w:footnote>
  <w:footnote w:id="111">
    <w:p w14:paraId="366DD6A4"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Carson </w:t>
      </w:r>
      <w:proofErr w:type="spellStart"/>
      <w:r w:rsidRPr="00A853EB">
        <w:rPr>
          <w:rFonts w:ascii="Garamond" w:hAnsi="Garamond"/>
          <w:lang w:val="en-US"/>
        </w:rPr>
        <w:t>Viles</w:t>
      </w:r>
      <w:proofErr w:type="spellEnd"/>
      <w:r w:rsidRPr="00A853EB">
        <w:rPr>
          <w:rFonts w:ascii="Garamond" w:hAnsi="Garamond"/>
          <w:lang w:val="en-US"/>
        </w:rPr>
        <w:t xml:space="preserve">, </w:t>
      </w:r>
      <w:r w:rsidRPr="00A853EB">
        <w:rPr>
          <w:rFonts w:ascii="Garamond" w:hAnsi="Garamond"/>
          <w:i/>
          <w:iCs/>
          <w:lang w:val="en-US"/>
        </w:rPr>
        <w:t>First Foods and Climate Change</w:t>
      </w:r>
      <w:r w:rsidRPr="00A853EB">
        <w:rPr>
          <w:rFonts w:ascii="Garamond" w:hAnsi="Garamond"/>
          <w:lang w:val="en-US"/>
        </w:rPr>
        <w:t xml:space="preserve">, </w:t>
      </w:r>
      <w:r w:rsidRPr="00A853EB">
        <w:rPr>
          <w:rFonts w:ascii="Garamond" w:hAnsi="Garamond"/>
          <w:smallCaps/>
          <w:lang w:val="en-US"/>
        </w:rPr>
        <w:t>Northern Arizona University</w:t>
      </w:r>
      <w:r w:rsidRPr="00A853EB">
        <w:rPr>
          <w:rFonts w:ascii="Garamond" w:hAnsi="Garamond"/>
          <w:lang w:val="en-US"/>
        </w:rPr>
        <w:t xml:space="preserve">, </w:t>
      </w:r>
      <w:hyperlink r:id="rId81" w:anchor=":~:text=The%20relationship%20between%20indigenous%20peoples,provide%20and%20are%20provided%20for" w:history="1">
        <w:r w:rsidRPr="00A853EB">
          <w:rPr>
            <w:rStyle w:val="Hyperlink"/>
            <w:rFonts w:ascii="Garamond" w:hAnsi="Garamond"/>
            <w:lang w:val="en-US"/>
          </w:rPr>
          <w:t>https://www7.nau.edu/itep/main/tcc/Basic/TDK_FirstFoods#:~:text=The%20relationship%20between%20indigenous%20peoples,provide%20and%20are%20provided%20for</w:t>
        </w:r>
      </w:hyperlink>
      <w:r w:rsidRPr="00A853EB">
        <w:rPr>
          <w:rFonts w:ascii="Garamond" w:hAnsi="Garamond"/>
          <w:lang w:val="en-US"/>
        </w:rPr>
        <w:t xml:space="preserve"> (last visited Apr. 17, 2022). </w:t>
      </w:r>
    </w:p>
  </w:footnote>
  <w:footnote w:id="112">
    <w:p w14:paraId="2ED01756"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Id.</w:t>
      </w:r>
      <w:r w:rsidRPr="00A853EB">
        <w:rPr>
          <w:rFonts w:ascii="Garamond" w:hAnsi="Garamond"/>
          <w:lang w:val="en-US"/>
        </w:rPr>
        <w:t xml:space="preserve"> </w:t>
      </w:r>
    </w:p>
  </w:footnote>
  <w:footnote w:id="113">
    <w:p w14:paraId="001C1C35"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Valarie Blue Bird Jernigan, </w:t>
      </w:r>
      <w:r w:rsidRPr="00A853EB">
        <w:rPr>
          <w:rFonts w:ascii="Garamond" w:hAnsi="Garamond"/>
          <w:i/>
          <w:iCs/>
        </w:rPr>
        <w:t>supra</w:t>
      </w:r>
      <w:r w:rsidRPr="00A853EB">
        <w:rPr>
          <w:rFonts w:ascii="Garamond" w:hAnsi="Garamond"/>
        </w:rPr>
        <w:t xml:space="preserve"> note 40. </w:t>
      </w:r>
    </w:p>
  </w:footnote>
  <w:footnote w:id="114">
    <w:p w14:paraId="5172C830"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Indian Trust Asset Reform Act § 205, 25 U.S.C.A. § 5601 (West 2016). </w:t>
      </w:r>
    </w:p>
  </w:footnote>
  <w:footnote w:id="115">
    <w:p w14:paraId="3B76B65A"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Id.</w:t>
      </w:r>
      <w:r w:rsidRPr="00A853EB">
        <w:rPr>
          <w:rFonts w:ascii="Garamond" w:hAnsi="Garamond"/>
        </w:rPr>
        <w:t xml:space="preserve"> </w:t>
      </w:r>
    </w:p>
  </w:footnote>
  <w:footnote w:id="116">
    <w:p w14:paraId="543E658C"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Right to Adequate Food </w:t>
      </w:r>
      <w:r w:rsidRPr="00A853EB">
        <w:rPr>
          <w:rFonts w:ascii="Garamond" w:hAnsi="Garamond"/>
          <w:lang w:val="en-US"/>
        </w:rPr>
        <w:t xml:space="preserve">Factsheet from FAO </w:t>
      </w:r>
    </w:p>
  </w:footnote>
  <w:footnote w:id="117">
    <w:p w14:paraId="78CA974E"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Carter Squires, Kelsey </w:t>
      </w:r>
      <w:proofErr w:type="spellStart"/>
      <w:r w:rsidRPr="00A853EB">
        <w:rPr>
          <w:rFonts w:ascii="Garamond" w:hAnsi="Garamond"/>
        </w:rPr>
        <w:t>Landaue</w:t>
      </w:r>
      <w:proofErr w:type="spellEnd"/>
      <w:r w:rsidRPr="00A853EB">
        <w:rPr>
          <w:rFonts w:ascii="Garamond" w:hAnsi="Garamond"/>
        </w:rPr>
        <w:t xml:space="preserve">, &amp; Robin Lewis, </w:t>
      </w:r>
      <w:r w:rsidRPr="00A853EB">
        <w:rPr>
          <w:rFonts w:ascii="Garamond" w:hAnsi="Garamond"/>
          <w:i/>
          <w:iCs/>
        </w:rPr>
        <w:t>Uncommon ground: The impact of natural resources corruption on indigenous peoples</w:t>
      </w:r>
      <w:r w:rsidRPr="00A853EB">
        <w:rPr>
          <w:rFonts w:ascii="Garamond" w:hAnsi="Garamond"/>
        </w:rPr>
        <w:t xml:space="preserve">, </w:t>
      </w:r>
      <w:r w:rsidRPr="00A853EB">
        <w:rPr>
          <w:rFonts w:ascii="Garamond" w:hAnsi="Garamond"/>
          <w:smallCaps/>
        </w:rPr>
        <w:t>Brookings</w:t>
      </w:r>
      <w:r w:rsidRPr="00A853EB">
        <w:rPr>
          <w:rFonts w:ascii="Garamond" w:hAnsi="Garamond"/>
        </w:rPr>
        <w:t xml:space="preserve"> (Aug. 7, 2020) </w:t>
      </w:r>
      <w:hyperlink r:id="rId82" w:history="1">
        <w:r w:rsidRPr="00A853EB">
          <w:rPr>
            <w:rStyle w:val="Hyperlink"/>
            <w:rFonts w:ascii="Garamond" w:hAnsi="Garamond"/>
          </w:rPr>
          <w:t>https://www.brookings.edu/blog/up-front/2020/08/07/uncommon-ground-the-impact-of-natural-resource-corruption-on-indigenous-peoples/</w:t>
        </w:r>
      </w:hyperlink>
      <w:r w:rsidRPr="00A853EB">
        <w:rPr>
          <w:rFonts w:ascii="Garamond" w:hAnsi="Garamond"/>
        </w:rPr>
        <w:t xml:space="preserve">.  </w:t>
      </w:r>
    </w:p>
  </w:footnote>
  <w:footnote w:id="118">
    <w:p w14:paraId="0F1B7750"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Stephanie Woodard, How the U.S. Government is Helping Corporations Plunder Native Land, In These Times (Sep. 6, 2016) </w:t>
      </w:r>
      <w:hyperlink r:id="rId83" w:history="1">
        <w:r w:rsidRPr="00A853EB">
          <w:rPr>
            <w:rStyle w:val="Hyperlink"/>
            <w:rFonts w:ascii="Garamond" w:hAnsi="Garamond"/>
          </w:rPr>
          <w:t>https://inthesetimes.com/features/native-land-plunder-bureau-of-indian-affairs.html</w:t>
        </w:r>
      </w:hyperlink>
      <w:r w:rsidRPr="00A853EB">
        <w:rPr>
          <w:rFonts w:ascii="Garamond" w:hAnsi="Garamond"/>
        </w:rPr>
        <w:t xml:space="preserve">. </w:t>
      </w:r>
    </w:p>
  </w:footnote>
  <w:footnote w:id="119">
    <w:p w14:paraId="2BBCE1CD"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Mills, supra note 52.  </w:t>
      </w:r>
    </w:p>
  </w:footnote>
  <w:footnote w:id="120">
    <w:p w14:paraId="082F2F9F"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Id.</w:t>
      </w:r>
      <w:r w:rsidRPr="00A853EB">
        <w:rPr>
          <w:rFonts w:ascii="Garamond" w:hAnsi="Garamond"/>
        </w:rPr>
        <w:t xml:space="preserve"> </w:t>
      </w:r>
    </w:p>
  </w:footnote>
  <w:footnote w:id="121">
    <w:p w14:paraId="15429871"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Tracey Osborne</w:t>
      </w:r>
      <w:r w:rsidRPr="00A853EB">
        <w:rPr>
          <w:rFonts w:ascii="Garamond" w:hAnsi="Garamond"/>
          <w:i/>
          <w:iCs/>
          <w:lang w:val="en-US"/>
        </w:rPr>
        <w:t>, Native Americans Fighting Fossil Fuels</w:t>
      </w:r>
      <w:r w:rsidRPr="00A853EB">
        <w:rPr>
          <w:rFonts w:ascii="Garamond" w:hAnsi="Garamond"/>
          <w:lang w:val="en-US"/>
        </w:rPr>
        <w:t xml:space="preserve">, </w:t>
      </w:r>
      <w:r w:rsidRPr="00A853EB">
        <w:rPr>
          <w:rFonts w:ascii="Garamond" w:hAnsi="Garamond"/>
          <w:smallCaps/>
          <w:lang w:val="en-US"/>
        </w:rPr>
        <w:t>Scientific American</w:t>
      </w:r>
      <w:r w:rsidRPr="00A853EB">
        <w:rPr>
          <w:rFonts w:ascii="Garamond" w:hAnsi="Garamond"/>
          <w:lang w:val="en-US"/>
        </w:rPr>
        <w:t xml:space="preserve"> (Apr. 9, 2018), </w:t>
      </w:r>
      <w:hyperlink r:id="rId84" w:anchor=":~:text=In%20the%20U.S.%20Native%20American,Council%20of%20Energy%20Resource%20Tribes" w:history="1">
        <w:r w:rsidRPr="00A853EB">
          <w:rPr>
            <w:rStyle w:val="Hyperlink"/>
            <w:rFonts w:ascii="Garamond" w:hAnsi="Garamond"/>
            <w:lang w:val="en-US"/>
          </w:rPr>
          <w:t>https://blogs.scientificamerican.com/voices/native-americans-fighting-fossil-fuels/#:~:text=In%20the%20U.S.%20Native%20American,Council%20of%20Energy%20Resource%20Tribes</w:t>
        </w:r>
      </w:hyperlink>
      <w:r w:rsidRPr="00A853EB">
        <w:rPr>
          <w:rFonts w:ascii="Garamond" w:hAnsi="Garamond"/>
          <w:lang w:val="en-US"/>
        </w:rPr>
        <w:t xml:space="preserve">. </w:t>
      </w:r>
    </w:p>
  </w:footnote>
  <w:footnote w:id="122">
    <w:p w14:paraId="36DEEAF0"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 xml:space="preserve">Id. </w:t>
      </w:r>
      <w:r w:rsidRPr="00A853EB">
        <w:rPr>
          <w:rFonts w:ascii="Garamond" w:hAnsi="Garamond"/>
          <w:lang w:val="en-US"/>
        </w:rPr>
        <w:t xml:space="preserve">Many Indigenous landowners have reported being stalked and harassed by oil companies seeking “informed consent” to use the lands. </w:t>
      </w:r>
    </w:p>
  </w:footnote>
  <w:footnote w:id="123">
    <w:p w14:paraId="20E7C265"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Woodward, </w:t>
      </w:r>
      <w:r w:rsidRPr="00A853EB">
        <w:rPr>
          <w:rFonts w:ascii="Garamond" w:hAnsi="Garamond"/>
          <w:i/>
          <w:iCs/>
        </w:rPr>
        <w:t>supra</w:t>
      </w:r>
      <w:r w:rsidRPr="00A853EB">
        <w:rPr>
          <w:rFonts w:ascii="Garamond" w:hAnsi="Garamond"/>
        </w:rPr>
        <w:t xml:space="preserve"> note 48.  </w:t>
      </w:r>
    </w:p>
  </w:footnote>
  <w:footnote w:id="124">
    <w:p w14:paraId="761961EC"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Annelies Zoomers &amp; </w:t>
      </w:r>
      <w:proofErr w:type="spellStart"/>
      <w:r w:rsidRPr="00A853EB">
        <w:rPr>
          <w:rFonts w:ascii="Garamond" w:hAnsi="Garamond"/>
        </w:rPr>
        <w:t>Mayke</w:t>
      </w:r>
      <w:proofErr w:type="spellEnd"/>
      <w:r w:rsidRPr="00A853EB">
        <w:rPr>
          <w:rFonts w:ascii="Garamond" w:hAnsi="Garamond"/>
        </w:rPr>
        <w:t xml:space="preserve"> </w:t>
      </w:r>
      <w:proofErr w:type="spellStart"/>
      <w:r w:rsidRPr="00A853EB">
        <w:rPr>
          <w:rFonts w:ascii="Garamond" w:hAnsi="Garamond"/>
        </w:rPr>
        <w:t>Kaag</w:t>
      </w:r>
      <w:proofErr w:type="spellEnd"/>
      <w:r w:rsidRPr="00A853EB">
        <w:rPr>
          <w:rFonts w:ascii="Garamond" w:hAnsi="Garamond"/>
        </w:rPr>
        <w:t xml:space="preserve">, </w:t>
      </w:r>
      <w:r w:rsidRPr="00A853EB">
        <w:rPr>
          <w:rFonts w:ascii="Garamond" w:hAnsi="Garamond"/>
          <w:i/>
          <w:iCs/>
        </w:rPr>
        <w:t>The global land grab as modern day corporate colonialism</w:t>
      </w:r>
      <w:r w:rsidRPr="00A853EB">
        <w:rPr>
          <w:rFonts w:ascii="Garamond" w:hAnsi="Garamond"/>
        </w:rPr>
        <w:t xml:space="preserve">, </w:t>
      </w:r>
      <w:r w:rsidRPr="00A853EB">
        <w:rPr>
          <w:rFonts w:ascii="Garamond" w:hAnsi="Garamond"/>
          <w:smallCaps/>
        </w:rPr>
        <w:t>The Conversation</w:t>
      </w:r>
      <w:r w:rsidRPr="00A853EB">
        <w:rPr>
          <w:rFonts w:ascii="Garamond" w:hAnsi="Garamond"/>
        </w:rPr>
        <w:t xml:space="preserve"> (Apr. 25, 2014) </w:t>
      </w:r>
      <w:hyperlink r:id="rId85" w:history="1">
        <w:r w:rsidRPr="00A853EB">
          <w:rPr>
            <w:rStyle w:val="Hyperlink"/>
            <w:rFonts w:ascii="Garamond" w:hAnsi="Garamond"/>
          </w:rPr>
          <w:t>https://theconversation.com/the-global-land-grab-as-modern-day-corporate-colonialism-25844</w:t>
        </w:r>
      </w:hyperlink>
      <w:r w:rsidRPr="00A853EB">
        <w:rPr>
          <w:rFonts w:ascii="Garamond" w:hAnsi="Garamond"/>
        </w:rPr>
        <w:t xml:space="preserve">. </w:t>
      </w:r>
    </w:p>
  </w:footnote>
  <w:footnote w:id="125">
    <w:p w14:paraId="46CE94A5" w14:textId="1F73462C"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See</w:t>
      </w:r>
      <w:r w:rsidRPr="00A853EB">
        <w:rPr>
          <w:rFonts w:ascii="Garamond" w:hAnsi="Garamond"/>
        </w:rPr>
        <w:t xml:space="preserve"> IMF, What Drives the Global Land </w:t>
      </w:r>
      <w:proofErr w:type="gramStart"/>
      <w:r w:rsidRPr="00A853EB">
        <w:rPr>
          <w:rFonts w:ascii="Garamond" w:hAnsi="Garamond"/>
        </w:rPr>
        <w:t>Rush?,</w:t>
      </w:r>
      <w:proofErr w:type="gramEnd"/>
      <w:r w:rsidRPr="00A853EB">
        <w:rPr>
          <w:rFonts w:ascii="Garamond" w:hAnsi="Garamond"/>
        </w:rPr>
        <w:t xml:space="preserve"> Working Report No. 11/251 (2011),  </w:t>
      </w:r>
      <w:hyperlink r:id="rId86" w:history="1">
        <w:r w:rsidR="003C108E" w:rsidRPr="00A21CFC">
          <w:rPr>
            <w:rStyle w:val="Hyperlink"/>
            <w:rFonts w:ascii="Garamond" w:hAnsi="Garamond"/>
          </w:rPr>
          <w:t>http://www.imf.org/external/pubs/ft/wp/2011/wp11251.pdf</w:t>
        </w:r>
      </w:hyperlink>
      <w:r w:rsidR="003C108E">
        <w:rPr>
          <w:rFonts w:ascii="Garamond" w:hAnsi="Garamond"/>
        </w:rPr>
        <w:t xml:space="preserve"> </w:t>
      </w:r>
      <w:r w:rsidRPr="00A853EB">
        <w:rPr>
          <w:rFonts w:ascii="Garamond" w:hAnsi="Garamond"/>
        </w:rPr>
        <w:t>[https://perma.cc/T9KP-FVP7].</w:t>
      </w:r>
    </w:p>
  </w:footnote>
  <w:footnote w:id="126">
    <w:p w14:paraId="7E2945CB"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lang w:val="en-US"/>
        </w:rPr>
        <w:t xml:space="preserve">Elyse Mills, Land Grabbing and Human Rights: The Role of EU Actors Abroad, FIAN International (Apr. 2017) </w:t>
      </w:r>
      <w:hyperlink r:id="rId87" w:history="1">
        <w:r w:rsidRPr="00A853EB">
          <w:rPr>
            <w:rStyle w:val="Hyperlink"/>
            <w:rFonts w:ascii="Garamond" w:hAnsi="Garamond"/>
            <w:lang w:val="en-US"/>
          </w:rPr>
          <w:t>https://www.tni.org/files/publication-downloads/web_eng.pdf</w:t>
        </w:r>
      </w:hyperlink>
      <w:r w:rsidRPr="00A853EB">
        <w:rPr>
          <w:rFonts w:ascii="Garamond" w:hAnsi="Garamond"/>
          <w:lang w:val="en-US"/>
        </w:rPr>
        <w:t xml:space="preserve">. </w:t>
      </w:r>
    </w:p>
  </w:footnote>
  <w:footnote w:id="127">
    <w:p w14:paraId="1067845F"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Francisco Luis Prieto, </w:t>
      </w:r>
      <w:r w:rsidRPr="00A853EB">
        <w:rPr>
          <w:rFonts w:ascii="Garamond" w:hAnsi="Garamond"/>
          <w:i/>
          <w:iCs/>
          <w:lang w:val="en-US"/>
        </w:rPr>
        <w:t>Land grabbing: An urgent issue for indigenous peoples around the world</w:t>
      </w:r>
      <w:r w:rsidRPr="00A853EB">
        <w:rPr>
          <w:rFonts w:ascii="Garamond" w:hAnsi="Garamond"/>
          <w:lang w:val="en-US"/>
        </w:rPr>
        <w:t xml:space="preserve">, </w:t>
      </w:r>
      <w:r w:rsidRPr="00A853EB">
        <w:rPr>
          <w:rFonts w:ascii="Garamond" w:hAnsi="Garamond"/>
          <w:smallCaps/>
          <w:lang w:val="en-US"/>
        </w:rPr>
        <w:t>Slow Food</w:t>
      </w:r>
      <w:r w:rsidRPr="00A853EB">
        <w:rPr>
          <w:rFonts w:ascii="Garamond" w:hAnsi="Garamond"/>
          <w:lang w:val="en-US"/>
        </w:rPr>
        <w:t xml:space="preserve"> (Jan. 25 2018) </w:t>
      </w:r>
      <w:hyperlink r:id="rId88" w:history="1">
        <w:r w:rsidRPr="00A853EB">
          <w:rPr>
            <w:rStyle w:val="Hyperlink"/>
            <w:rFonts w:ascii="Garamond" w:hAnsi="Garamond"/>
            <w:lang w:val="en-US"/>
          </w:rPr>
          <w:t>https://www.slowfood.com/land-grabbing-urgent-issue-indigenous-peoples-around-world/</w:t>
        </w:r>
      </w:hyperlink>
      <w:r w:rsidRPr="00A853EB">
        <w:rPr>
          <w:rFonts w:ascii="Garamond" w:hAnsi="Garamond"/>
          <w:lang w:val="en-US"/>
        </w:rPr>
        <w:t xml:space="preserve">. </w:t>
      </w:r>
    </w:p>
  </w:footnote>
  <w:footnote w:id="128">
    <w:p w14:paraId="6E4DDB4B"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 xml:space="preserve">Id. </w:t>
      </w:r>
    </w:p>
  </w:footnote>
  <w:footnote w:id="129">
    <w:p w14:paraId="3BE2C196" w14:textId="12EAFC19"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Jena Brooker, Biden proposes 20-year drilling ban near sacred Indigenous site, Grist (Nov. 15, 2021) </w:t>
      </w:r>
      <w:hyperlink r:id="rId89" w:history="1">
        <w:r w:rsidRPr="00A853EB">
          <w:rPr>
            <w:rStyle w:val="Hyperlink"/>
            <w:rFonts w:ascii="Garamond" w:hAnsi="Garamond"/>
          </w:rPr>
          <w:t>https://grist.org/article/biden-proposes-20-year-drilling-ban-near-sacred-indigenous-site/</w:t>
        </w:r>
      </w:hyperlink>
      <w:r w:rsidR="003C108E">
        <w:rPr>
          <w:rStyle w:val="Hyperlink"/>
          <w:rFonts w:ascii="Garamond" w:hAnsi="Garamond"/>
          <w:color w:val="000000" w:themeColor="text1"/>
          <w:u w:val="none"/>
        </w:rPr>
        <w:t>.</w:t>
      </w:r>
      <w:r w:rsidRPr="00A853EB">
        <w:rPr>
          <w:rFonts w:ascii="Garamond" w:hAnsi="Garamond"/>
        </w:rPr>
        <w:t xml:space="preserve"> </w:t>
      </w:r>
    </w:p>
  </w:footnote>
  <w:footnote w:id="130">
    <w:p w14:paraId="05295C5B" w14:textId="77777777" w:rsidR="008C7D12" w:rsidRPr="00A853EB" w:rsidRDefault="008C7D12"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Id.</w:t>
      </w:r>
      <w:r w:rsidRPr="00A853EB">
        <w:rPr>
          <w:rFonts w:ascii="Garamond" w:hAnsi="Garamond"/>
        </w:rPr>
        <w:t xml:space="preserve"> </w:t>
      </w:r>
    </w:p>
  </w:footnote>
  <w:footnote w:id="131">
    <w:p w14:paraId="3F2F181D" w14:textId="770C3EA7" w:rsidR="002134AA" w:rsidRPr="00A853EB" w:rsidRDefault="002134AA"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How Industrial Agriculture Affects Our Soil, Food Print (Oct. 8, 2018, updated Dec. 1, 2021), </w:t>
      </w:r>
      <w:hyperlink r:id="rId90" w:history="1">
        <w:r w:rsidRPr="00A853EB">
          <w:rPr>
            <w:rStyle w:val="Hyperlink"/>
            <w:rFonts w:ascii="Garamond" w:hAnsi="Garamond"/>
          </w:rPr>
          <w:t>https://foodprint.org/issues/how-industrial-agriculture-affects-our-soil/</w:t>
        </w:r>
      </w:hyperlink>
      <w:r w:rsidRPr="00A853EB">
        <w:rPr>
          <w:rFonts w:ascii="Garamond" w:hAnsi="Garamond"/>
        </w:rPr>
        <w:t xml:space="preserve"> ; </w:t>
      </w:r>
      <w:r w:rsidRPr="00A853EB">
        <w:rPr>
          <w:rFonts w:ascii="Garamond" w:eastAsia="Arial" w:hAnsi="Garamond" w:cs="Arial"/>
          <w:i/>
          <w:iCs/>
          <w:color w:val="000000"/>
        </w:rPr>
        <w:t xml:space="preserve">Climate </w:t>
      </w:r>
      <w:r w:rsidRPr="00A853EB">
        <w:rPr>
          <w:rFonts w:ascii="Garamond" w:eastAsia="Arial" w:hAnsi="Garamond" w:cs="Arial"/>
          <w:i/>
          <w:iCs/>
          <w:color w:val="000000" w:themeColor="text1"/>
        </w:rPr>
        <w:t xml:space="preserve">Change, </w:t>
      </w:r>
      <w:r w:rsidRPr="00A853EB">
        <w:rPr>
          <w:rFonts w:ascii="Garamond" w:eastAsia="Arial" w:hAnsi="Garamond" w:cs="Arial"/>
          <w:color w:val="000000" w:themeColor="text1"/>
        </w:rPr>
        <w:t xml:space="preserve">UN </w:t>
      </w:r>
      <w:r w:rsidRPr="00A853EB">
        <w:rPr>
          <w:rFonts w:ascii="Garamond" w:eastAsia="Times New Roman" w:hAnsi="Garamond" w:cs="Times New Roman"/>
          <w:color w:val="000000" w:themeColor="text1"/>
          <w:shd w:val="clear" w:color="auto" w:fill="FFFFFF"/>
        </w:rPr>
        <w:t xml:space="preserve">Department of Economic and Social Affairs (accessed May 2022), </w:t>
      </w:r>
      <w:hyperlink r:id="rId91" w:history="1">
        <w:r w:rsidRPr="00A853EB">
          <w:rPr>
            <w:rStyle w:val="Hyperlink"/>
            <w:rFonts w:ascii="Garamond" w:eastAsia="Arial" w:hAnsi="Garamond" w:cs="Arial"/>
          </w:rPr>
          <w:t>https://www.un.org/development/desa/indigenouspeoples/climate-change.html</w:t>
        </w:r>
      </w:hyperlink>
    </w:p>
  </w:footnote>
  <w:footnote w:id="132">
    <w:p w14:paraId="276E8F53" w14:textId="32F5E0E5" w:rsidR="002134AA" w:rsidRPr="00A853EB" w:rsidRDefault="002134AA"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Annie Young, </w:t>
      </w:r>
      <w:r w:rsidRPr="00A853EB">
        <w:rPr>
          <w:rFonts w:ascii="Garamond" w:hAnsi="Garamond"/>
          <w:i/>
          <w:iCs/>
        </w:rPr>
        <w:t>Where Food, Climate, and Racial Equity Meet</w:t>
      </w:r>
      <w:r w:rsidRPr="00A853EB">
        <w:rPr>
          <w:rFonts w:ascii="Garamond" w:hAnsi="Garamond"/>
        </w:rPr>
        <w:t xml:space="preserve">, Tufts University (Jan. 27, 2022), </w:t>
      </w:r>
      <w:hyperlink r:id="rId92" w:history="1">
        <w:r w:rsidRPr="00A853EB">
          <w:rPr>
            <w:rStyle w:val="Hyperlink"/>
            <w:rFonts w:ascii="Garamond" w:hAnsi="Garamond"/>
          </w:rPr>
          <w:t>https://now.tufts.edu/2022/01/27/where-food-climate-and-racial-equity-meet</w:t>
        </w:r>
      </w:hyperlink>
      <w:r w:rsidRPr="00A853EB">
        <w:rPr>
          <w:rFonts w:ascii="Garamond" w:hAnsi="Garamond"/>
        </w:rPr>
        <w:t xml:space="preserve">. </w:t>
      </w:r>
    </w:p>
  </w:footnote>
  <w:footnote w:id="133">
    <w:p w14:paraId="19A77746" w14:textId="7204AB68" w:rsidR="00E21BF5" w:rsidRPr="00A853EB" w:rsidRDefault="00E21BF5" w:rsidP="00474744">
      <w:pPr>
        <w:rPr>
          <w:rFonts w:ascii="Garamond" w:eastAsia="Times New Roman" w:hAnsi="Garamond" w:cs="Times New Roman"/>
          <w:sz w:val="20"/>
          <w:szCs w:val="20"/>
        </w:rPr>
      </w:pPr>
      <w:r w:rsidRPr="00A853EB">
        <w:rPr>
          <w:rStyle w:val="FootnoteReference"/>
          <w:rFonts w:ascii="Garamond" w:eastAsia="Arial" w:hAnsi="Garamond"/>
          <w:sz w:val="20"/>
          <w:szCs w:val="20"/>
        </w:rPr>
        <w:footnoteRef/>
      </w:r>
      <w:r w:rsidRPr="00A853EB">
        <w:rPr>
          <w:rFonts w:ascii="Garamond" w:eastAsia="Arial" w:hAnsi="Garamond" w:cs="Arial"/>
          <w:color w:val="000000"/>
          <w:sz w:val="20"/>
          <w:szCs w:val="20"/>
        </w:rPr>
        <w:t xml:space="preserve"> </w:t>
      </w:r>
      <w:r w:rsidR="00A10CB8" w:rsidRPr="00A853EB">
        <w:rPr>
          <w:rFonts w:ascii="Garamond" w:eastAsia="Arial" w:hAnsi="Garamond" w:cs="Arial"/>
          <w:i/>
          <w:iCs/>
          <w:color w:val="000000"/>
          <w:sz w:val="20"/>
          <w:szCs w:val="20"/>
        </w:rPr>
        <w:t xml:space="preserve">Climate </w:t>
      </w:r>
      <w:r w:rsidR="00A10CB8" w:rsidRPr="00A853EB">
        <w:rPr>
          <w:rFonts w:ascii="Garamond" w:eastAsia="Arial" w:hAnsi="Garamond" w:cs="Arial"/>
          <w:i/>
          <w:iCs/>
          <w:color w:val="000000" w:themeColor="text1"/>
          <w:sz w:val="20"/>
          <w:szCs w:val="20"/>
        </w:rPr>
        <w:t xml:space="preserve">Change, </w:t>
      </w:r>
      <w:r w:rsidR="00966FCB" w:rsidRPr="00A853EB">
        <w:rPr>
          <w:rFonts w:ascii="Garamond" w:eastAsia="Arial" w:hAnsi="Garamond" w:cs="Arial"/>
          <w:color w:val="000000" w:themeColor="text1"/>
          <w:sz w:val="20"/>
          <w:szCs w:val="20"/>
        </w:rPr>
        <w:t xml:space="preserve">UN </w:t>
      </w:r>
      <w:r w:rsidR="00966FCB" w:rsidRPr="00A853EB">
        <w:rPr>
          <w:rFonts w:ascii="Garamond" w:eastAsia="Times New Roman" w:hAnsi="Garamond" w:cs="Times New Roman"/>
          <w:color w:val="000000" w:themeColor="text1"/>
          <w:sz w:val="20"/>
          <w:szCs w:val="20"/>
          <w:shd w:val="clear" w:color="auto" w:fill="FFFFFF"/>
        </w:rPr>
        <w:t>Department of Economic and Social Affairs</w:t>
      </w:r>
      <w:r w:rsidR="00A10CB8" w:rsidRPr="00A853EB">
        <w:rPr>
          <w:rFonts w:ascii="Garamond" w:eastAsia="Times New Roman" w:hAnsi="Garamond" w:cs="Times New Roman"/>
          <w:color w:val="000000" w:themeColor="text1"/>
          <w:sz w:val="20"/>
          <w:szCs w:val="20"/>
          <w:shd w:val="clear" w:color="auto" w:fill="FFFFFF"/>
        </w:rPr>
        <w:t xml:space="preserve"> (accessed May 2022), </w:t>
      </w:r>
      <w:hyperlink r:id="rId93" w:history="1">
        <w:r w:rsidR="002134AA" w:rsidRPr="00A853EB">
          <w:rPr>
            <w:rStyle w:val="Hyperlink"/>
            <w:rFonts w:ascii="Garamond" w:eastAsia="Arial" w:hAnsi="Garamond" w:cs="Arial"/>
            <w:sz w:val="20"/>
            <w:szCs w:val="20"/>
          </w:rPr>
          <w:t>https://www.un.org/development/desa/indigenouspeoples/climate-change.html</w:t>
        </w:r>
      </w:hyperlink>
      <w:r w:rsidRPr="00A853EB">
        <w:rPr>
          <w:rFonts w:ascii="Garamond" w:eastAsia="Arial" w:hAnsi="Garamond" w:cs="Arial"/>
          <w:color w:val="000000"/>
          <w:sz w:val="20"/>
          <w:szCs w:val="20"/>
        </w:rPr>
        <w:t xml:space="preserve"> </w:t>
      </w:r>
    </w:p>
  </w:footnote>
  <w:footnote w:id="134">
    <w:p w14:paraId="772431A5" w14:textId="52A93061" w:rsidR="00E21BF5" w:rsidRPr="00A853EB" w:rsidRDefault="00E21BF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Q&amp;A with A-</w:t>
      </w:r>
      <w:proofErr w:type="spellStart"/>
      <w:r w:rsidRPr="00A853EB">
        <w:rPr>
          <w:rFonts w:ascii="Garamond" w:hAnsi="Garamond"/>
        </w:rPr>
        <w:t>dae</w:t>
      </w:r>
      <w:proofErr w:type="spellEnd"/>
      <w:r w:rsidRPr="00A853EB">
        <w:rPr>
          <w:rFonts w:ascii="Garamond" w:hAnsi="Garamond"/>
        </w:rPr>
        <w:t xml:space="preserve">, </w:t>
      </w:r>
      <w:r w:rsidRPr="00A853EB">
        <w:rPr>
          <w:rFonts w:ascii="Garamond" w:hAnsi="Garamond"/>
          <w:smallCaps/>
          <w:lang w:val="en-US"/>
        </w:rPr>
        <w:t xml:space="preserve">first nations development institute </w:t>
      </w:r>
      <w:r w:rsidRPr="00A853EB">
        <w:rPr>
          <w:rFonts w:ascii="Garamond" w:hAnsi="Garamond"/>
          <w:lang w:val="en-US"/>
        </w:rPr>
        <w:t>(accessed May 8, 2022)</w:t>
      </w:r>
      <w:r w:rsidR="00085DC4" w:rsidRPr="00A853EB">
        <w:rPr>
          <w:rFonts w:ascii="Garamond" w:hAnsi="Garamond"/>
          <w:lang w:val="en-US"/>
        </w:rPr>
        <w:t xml:space="preserve"> </w:t>
      </w:r>
      <w:hyperlink r:id="rId94" w:history="1">
        <w:r w:rsidR="00085DC4" w:rsidRPr="00A853EB">
          <w:rPr>
            <w:rStyle w:val="Hyperlink"/>
            <w:rFonts w:ascii="Garamond" w:hAnsi="Garamond"/>
          </w:rPr>
          <w:t>https://www.firstnations.org/native-foods-resources/</w:t>
        </w:r>
      </w:hyperlink>
      <w:r w:rsidRPr="00A853EB">
        <w:rPr>
          <w:rFonts w:ascii="Garamond" w:hAnsi="Garamond"/>
        </w:rPr>
        <w:t xml:space="preserve"> </w:t>
      </w:r>
    </w:p>
  </w:footnote>
  <w:footnote w:id="135">
    <w:p w14:paraId="42917A2E" w14:textId="77777777" w:rsidR="00E21BF5" w:rsidRPr="00A853EB" w:rsidRDefault="00E21BF5" w:rsidP="00474744">
      <w:pPr>
        <w:rPr>
          <w:rFonts w:ascii="Garamond" w:hAnsi="Garamond"/>
          <w:sz w:val="20"/>
          <w:szCs w:val="20"/>
        </w:rPr>
      </w:pPr>
      <w:r w:rsidRPr="00A853EB">
        <w:rPr>
          <w:rStyle w:val="FootnoteReference"/>
          <w:rFonts w:ascii="Garamond" w:eastAsia="Arial" w:hAnsi="Garamond"/>
          <w:sz w:val="20"/>
          <w:szCs w:val="20"/>
        </w:rPr>
        <w:footnoteRef/>
      </w:r>
      <w:r w:rsidRPr="00A853EB">
        <w:rPr>
          <w:rFonts w:ascii="Garamond" w:hAnsi="Garamond"/>
          <w:sz w:val="20"/>
          <w:szCs w:val="20"/>
        </w:rPr>
        <w:t xml:space="preserve"> </w:t>
      </w:r>
      <w:r w:rsidRPr="00A853EB">
        <w:rPr>
          <w:rFonts w:ascii="Garamond" w:hAnsi="Garamond"/>
          <w:i/>
          <w:iCs/>
          <w:sz w:val="20"/>
          <w:szCs w:val="20"/>
        </w:rPr>
        <w:t>Id.</w:t>
      </w:r>
      <w:r w:rsidRPr="00A853EB">
        <w:rPr>
          <w:rFonts w:ascii="Garamond" w:hAnsi="Garamond"/>
          <w:sz w:val="20"/>
          <w:szCs w:val="20"/>
        </w:rPr>
        <w:t xml:space="preserve"> </w:t>
      </w:r>
    </w:p>
  </w:footnote>
  <w:footnote w:id="136">
    <w:p w14:paraId="62091EA2" w14:textId="77777777" w:rsidR="00E21BF5" w:rsidRPr="00A853EB" w:rsidRDefault="00E21BF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The Effects of Climate Change on Indigenous Peoples, </w:t>
      </w:r>
      <w:r w:rsidRPr="00A853EB">
        <w:rPr>
          <w:rFonts w:ascii="Garamond" w:hAnsi="Garamond"/>
          <w:smallCaps/>
          <w:lang w:val="en-US"/>
        </w:rPr>
        <w:t xml:space="preserve">department of economic and social affairs (accessed may 8, 2022) </w:t>
      </w:r>
      <w:hyperlink r:id="rId95" w:history="1">
        <w:r w:rsidRPr="00A853EB">
          <w:rPr>
            <w:rStyle w:val="Hyperlink"/>
            <w:rFonts w:ascii="Garamond" w:eastAsia="Arial" w:hAnsi="Garamond" w:cs="Arial"/>
          </w:rPr>
          <w:t>https://www.un.org/development/desa/indigenouspeoples/climate-change.html</w:t>
        </w:r>
      </w:hyperlink>
    </w:p>
  </w:footnote>
  <w:footnote w:id="137">
    <w:p w14:paraId="602E2248" w14:textId="77777777" w:rsidR="00085DC4" w:rsidRPr="00A853EB" w:rsidRDefault="00E21BF5" w:rsidP="00474744">
      <w:pPr>
        <w:rPr>
          <w:rFonts w:ascii="Garamond" w:hAnsi="Garamond"/>
          <w:sz w:val="20"/>
          <w:szCs w:val="20"/>
        </w:rPr>
      </w:pPr>
      <w:r w:rsidRPr="00A853EB">
        <w:rPr>
          <w:rStyle w:val="FootnoteReference"/>
          <w:rFonts w:ascii="Garamond" w:eastAsia="Arial" w:hAnsi="Garamond"/>
          <w:sz w:val="20"/>
          <w:szCs w:val="20"/>
        </w:rPr>
        <w:footnoteRef/>
      </w:r>
      <w:r w:rsidRPr="00A853EB">
        <w:rPr>
          <w:rFonts w:ascii="Garamond" w:hAnsi="Garamond"/>
          <w:sz w:val="20"/>
          <w:szCs w:val="20"/>
        </w:rPr>
        <w:t xml:space="preserve"> Interactive Web Tool Maps Food Deserts, Provides Key Data, </w:t>
      </w:r>
      <w:proofErr w:type="spellStart"/>
      <w:r w:rsidRPr="00A853EB">
        <w:rPr>
          <w:rFonts w:ascii="Garamond" w:hAnsi="Garamond"/>
          <w:smallCaps/>
          <w:sz w:val="20"/>
          <w:szCs w:val="20"/>
        </w:rPr>
        <w:t>u.s.</w:t>
      </w:r>
      <w:proofErr w:type="spellEnd"/>
      <w:r w:rsidRPr="00A853EB">
        <w:rPr>
          <w:rFonts w:ascii="Garamond" w:hAnsi="Garamond"/>
          <w:smallCaps/>
          <w:sz w:val="20"/>
          <w:szCs w:val="20"/>
        </w:rPr>
        <w:t xml:space="preserve"> department of agriculture </w:t>
      </w:r>
      <w:r w:rsidRPr="00A853EB">
        <w:rPr>
          <w:rFonts w:ascii="Garamond" w:hAnsi="Garamond"/>
          <w:sz w:val="20"/>
          <w:szCs w:val="20"/>
        </w:rPr>
        <w:t>(accessed May 8,</w:t>
      </w:r>
    </w:p>
    <w:p w14:paraId="540130D3" w14:textId="6211CE8F" w:rsidR="00085DC4" w:rsidRPr="00A853EB" w:rsidRDefault="00E21BF5" w:rsidP="00474744">
      <w:pPr>
        <w:rPr>
          <w:rFonts w:ascii="Garamond" w:hAnsi="Garamond"/>
          <w:sz w:val="20"/>
          <w:szCs w:val="20"/>
        </w:rPr>
      </w:pPr>
      <w:r w:rsidRPr="00A853EB">
        <w:rPr>
          <w:rFonts w:ascii="Garamond" w:hAnsi="Garamond"/>
          <w:sz w:val="20"/>
          <w:szCs w:val="20"/>
        </w:rPr>
        <w:t>2022)</w:t>
      </w:r>
    </w:p>
    <w:p w14:paraId="6A7E6CAC" w14:textId="411C1317" w:rsidR="00E21BF5" w:rsidRPr="00A853EB" w:rsidRDefault="000F34B4" w:rsidP="00474744">
      <w:pPr>
        <w:rPr>
          <w:rFonts w:ascii="Garamond" w:hAnsi="Garamond"/>
          <w:sz w:val="20"/>
          <w:szCs w:val="20"/>
        </w:rPr>
      </w:pPr>
      <w:hyperlink r:id="rId96" w:anchor=":~:text=In%20the%20Food%20Desert%20Locator,supermarket%20or%20large%20grocery%20store" w:history="1">
        <w:r w:rsidR="00085DC4" w:rsidRPr="00A853EB">
          <w:rPr>
            <w:rStyle w:val="Hyperlink"/>
            <w:rFonts w:ascii="Garamond" w:hAnsi="Garamond"/>
            <w:sz w:val="20"/>
            <w:szCs w:val="20"/>
          </w:rPr>
          <w:t>https://www.usda.gov/media/blog/2011/05/03/interactive-web-tool-maps-food-deserts-provides-key-data#:~:text=In%20the%20Food%20Desert%20Locator,supermarket%20or%20large%20grocery%20store</w:t>
        </w:r>
      </w:hyperlink>
      <w:r w:rsidR="00E21BF5" w:rsidRPr="00A853EB">
        <w:rPr>
          <w:rFonts w:ascii="Garamond" w:hAnsi="Garamond"/>
          <w:sz w:val="20"/>
          <w:szCs w:val="20"/>
        </w:rPr>
        <w:t>.</w:t>
      </w:r>
    </w:p>
  </w:footnote>
  <w:footnote w:id="138">
    <w:p w14:paraId="3253F829" w14:textId="604451F1" w:rsidR="00FD10C1" w:rsidRPr="00A853EB" w:rsidRDefault="00FD10C1"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Anna </w:t>
      </w:r>
      <w:proofErr w:type="spellStart"/>
      <w:r w:rsidRPr="00A853EB">
        <w:rPr>
          <w:rFonts w:ascii="Garamond" w:hAnsi="Garamond"/>
        </w:rPr>
        <w:t>Brones</w:t>
      </w:r>
      <w:proofErr w:type="spellEnd"/>
      <w:r w:rsidRPr="00A853EB">
        <w:rPr>
          <w:rFonts w:ascii="Garamond" w:hAnsi="Garamond"/>
        </w:rPr>
        <w:t xml:space="preserve">, </w:t>
      </w:r>
      <w:r w:rsidRPr="00A853EB">
        <w:rPr>
          <w:rFonts w:ascii="Garamond" w:hAnsi="Garamond"/>
          <w:i/>
          <w:iCs/>
        </w:rPr>
        <w:t>Food apartheid: the root of the problem with America's groceries</w:t>
      </w:r>
      <w:r w:rsidRPr="00A853EB">
        <w:rPr>
          <w:rFonts w:ascii="Garamond" w:hAnsi="Garamond"/>
        </w:rPr>
        <w:t xml:space="preserve">, The Guardian, </w:t>
      </w:r>
      <w:hyperlink r:id="rId97" w:history="1">
        <w:r w:rsidRPr="00A853EB">
          <w:rPr>
            <w:rStyle w:val="Hyperlink"/>
            <w:rFonts w:ascii="Garamond" w:hAnsi="Garamond"/>
          </w:rPr>
          <w:t>https://www.theguardian.com/society/2018/may/15/food-apartheid-food-deserts-racism-inequality-america-karen-washington-interview</w:t>
        </w:r>
      </w:hyperlink>
      <w:r w:rsidRPr="00A853EB">
        <w:rPr>
          <w:rFonts w:ascii="Garamond" w:hAnsi="Garamond"/>
        </w:rPr>
        <w:t xml:space="preserve">. </w:t>
      </w:r>
    </w:p>
  </w:footnote>
  <w:footnote w:id="139">
    <w:p w14:paraId="0F1BEC83" w14:textId="56180A0F" w:rsidR="00E21BF5" w:rsidRPr="00A853EB" w:rsidRDefault="00E21BF5" w:rsidP="00474744">
      <w:pPr>
        <w:rPr>
          <w:rFonts w:ascii="Garamond" w:hAnsi="Garamond"/>
          <w:sz w:val="20"/>
          <w:szCs w:val="20"/>
        </w:rPr>
      </w:pPr>
      <w:r w:rsidRPr="00A853EB">
        <w:rPr>
          <w:rStyle w:val="FootnoteReference"/>
          <w:rFonts w:ascii="Garamond" w:eastAsia="Arial" w:hAnsi="Garamond"/>
          <w:sz w:val="20"/>
          <w:szCs w:val="20"/>
        </w:rPr>
        <w:footnoteRef/>
      </w:r>
      <w:r w:rsidRPr="00A853EB">
        <w:rPr>
          <w:rFonts w:ascii="Garamond" w:hAnsi="Garamond"/>
          <w:sz w:val="20"/>
          <w:szCs w:val="20"/>
        </w:rPr>
        <w:t xml:space="preserve"> </w:t>
      </w:r>
      <w:r w:rsidR="002F2FCC" w:rsidRPr="00A853EB">
        <w:rPr>
          <w:rFonts w:ascii="Garamond" w:hAnsi="Garamond"/>
          <w:i/>
          <w:iCs/>
          <w:sz w:val="20"/>
          <w:szCs w:val="20"/>
        </w:rPr>
        <w:t>How Our Food System Affects Public Health</w:t>
      </w:r>
      <w:r w:rsidR="002F2FCC" w:rsidRPr="00A853EB">
        <w:rPr>
          <w:rFonts w:ascii="Garamond" w:hAnsi="Garamond"/>
          <w:sz w:val="20"/>
          <w:szCs w:val="20"/>
        </w:rPr>
        <w:t xml:space="preserve">, </w:t>
      </w:r>
      <w:proofErr w:type="spellStart"/>
      <w:r w:rsidR="002F2FCC" w:rsidRPr="00A853EB">
        <w:rPr>
          <w:rFonts w:ascii="Garamond" w:hAnsi="Garamond"/>
          <w:sz w:val="20"/>
          <w:szCs w:val="20"/>
        </w:rPr>
        <w:t>FoodPrint</w:t>
      </w:r>
      <w:proofErr w:type="spellEnd"/>
      <w:r w:rsidR="002F2FCC" w:rsidRPr="00A853EB">
        <w:rPr>
          <w:rFonts w:ascii="Garamond" w:hAnsi="Garamond"/>
          <w:sz w:val="20"/>
          <w:szCs w:val="20"/>
        </w:rPr>
        <w:t xml:space="preserve"> (Oct. 8, 2018, updated </w:t>
      </w:r>
      <w:proofErr w:type="gramStart"/>
      <w:r w:rsidR="002F2FCC" w:rsidRPr="00A853EB">
        <w:rPr>
          <w:rFonts w:ascii="Garamond" w:hAnsi="Garamond"/>
          <w:sz w:val="20"/>
          <w:szCs w:val="20"/>
        </w:rPr>
        <w:t>Aug,</w:t>
      </w:r>
      <w:proofErr w:type="gramEnd"/>
      <w:r w:rsidR="002F2FCC" w:rsidRPr="00A853EB">
        <w:rPr>
          <w:rFonts w:ascii="Garamond" w:hAnsi="Garamond"/>
          <w:sz w:val="20"/>
          <w:szCs w:val="20"/>
        </w:rPr>
        <w:t xml:space="preserve"> 11, 2020), </w:t>
      </w:r>
      <w:hyperlink r:id="rId98" w:history="1">
        <w:r w:rsidR="002F2FCC" w:rsidRPr="00A853EB">
          <w:rPr>
            <w:rStyle w:val="Hyperlink"/>
            <w:rFonts w:ascii="Garamond" w:hAnsi="Garamond"/>
            <w:sz w:val="20"/>
            <w:szCs w:val="20"/>
          </w:rPr>
          <w:t>https://foodprint.org/issues/how-our-food-system-affects-public-health/</w:t>
        </w:r>
      </w:hyperlink>
      <w:r w:rsidR="002F2FCC" w:rsidRPr="00A853EB">
        <w:rPr>
          <w:rFonts w:ascii="Garamond" w:hAnsi="Garamond"/>
          <w:color w:val="1155CC"/>
          <w:sz w:val="20"/>
          <w:szCs w:val="20"/>
          <w:u w:val="single"/>
        </w:rPr>
        <w:t>.</w:t>
      </w:r>
    </w:p>
  </w:footnote>
  <w:footnote w:id="140">
    <w:p w14:paraId="57942796" w14:textId="1E3D86F4" w:rsidR="00E21BF5" w:rsidRPr="00A853EB" w:rsidRDefault="00E21BF5"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00DF2793" w:rsidRPr="00A853EB">
        <w:rPr>
          <w:rFonts w:ascii="Garamond" w:hAnsi="Garamond"/>
          <w:i/>
          <w:iCs/>
        </w:rPr>
        <w:t>Leveling the Fields</w:t>
      </w:r>
      <w:r w:rsidR="00DF2793" w:rsidRPr="00A853EB">
        <w:rPr>
          <w:rFonts w:ascii="Garamond" w:hAnsi="Garamond"/>
        </w:rPr>
        <w:t>, Union of Concerned Scientists (May 202</w:t>
      </w:r>
      <w:r w:rsidR="00FD10C1" w:rsidRPr="00A853EB">
        <w:rPr>
          <w:rFonts w:ascii="Garamond" w:hAnsi="Garamond"/>
        </w:rPr>
        <w:t>2</w:t>
      </w:r>
      <w:r w:rsidR="00DF2793" w:rsidRPr="00A853EB">
        <w:rPr>
          <w:rFonts w:ascii="Garamond" w:hAnsi="Garamond"/>
        </w:rPr>
        <w:t xml:space="preserve">), </w:t>
      </w:r>
      <w:hyperlink r:id="rId99" w:history="1">
        <w:r w:rsidR="00DF2793" w:rsidRPr="00A853EB">
          <w:rPr>
            <w:rStyle w:val="Hyperlink"/>
            <w:rFonts w:ascii="Garamond" w:hAnsi="Garamond"/>
          </w:rPr>
          <w:t>https://www.ucsusa.org/sites/default/files/2020-06/leveling-the-fields.pdf</w:t>
        </w:r>
      </w:hyperlink>
      <w:r w:rsidR="00DF2793" w:rsidRPr="00A853EB">
        <w:rPr>
          <w:rFonts w:ascii="Garamond" w:hAnsi="Garamond"/>
        </w:rPr>
        <w:t xml:space="preserve">. </w:t>
      </w:r>
    </w:p>
  </w:footnote>
  <w:footnote w:id="141">
    <w:p w14:paraId="118629A0" w14:textId="42CE8D30" w:rsidR="00FD10C1" w:rsidRPr="00A853EB" w:rsidRDefault="00FD10C1"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Heat Stress</w:t>
      </w:r>
      <w:r w:rsidRPr="00A853EB">
        <w:rPr>
          <w:rFonts w:ascii="Garamond" w:hAnsi="Garamond"/>
        </w:rPr>
        <w:t xml:space="preserve">, Center for Disease Control (accessed May 2022), </w:t>
      </w:r>
      <w:hyperlink r:id="rId100" w:history="1">
        <w:r w:rsidRPr="00A853EB">
          <w:rPr>
            <w:rStyle w:val="Hyperlink"/>
            <w:rFonts w:ascii="Garamond" w:hAnsi="Garamond"/>
          </w:rPr>
          <w:t>https://www.cdc.gov/niosh/topics/heatstress/default.html</w:t>
        </w:r>
      </w:hyperlink>
      <w:r w:rsidRPr="00A853EB">
        <w:rPr>
          <w:rFonts w:ascii="Garamond" w:hAnsi="Garamond"/>
        </w:rPr>
        <w:t xml:space="preserve">. </w:t>
      </w:r>
    </w:p>
  </w:footnote>
  <w:footnote w:id="142">
    <w:p w14:paraId="7445516A" w14:textId="0C0A30DE" w:rsidR="00FD10C1" w:rsidRPr="00A853EB" w:rsidRDefault="00FD10C1"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 xml:space="preserve">Id. </w:t>
      </w:r>
    </w:p>
  </w:footnote>
  <w:footnote w:id="143">
    <w:p w14:paraId="0ACAF0BA" w14:textId="60962FD3" w:rsidR="00D94886" w:rsidRPr="00A853EB" w:rsidRDefault="00D94886" w:rsidP="00474744">
      <w:pPr>
        <w:pStyle w:val="FootnoteText"/>
        <w:ind w:left="0" w:firstLine="0"/>
        <w:rPr>
          <w:rFonts w:ascii="Garamond" w:hAnsi="Garamond"/>
          <w:color w:val="000000" w:themeColor="text1"/>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Black Producers</w:t>
      </w:r>
      <w:r w:rsidRPr="00A853EB">
        <w:rPr>
          <w:rFonts w:ascii="Garamond" w:hAnsi="Garamond"/>
        </w:rPr>
        <w:t xml:space="preserve">, USDA National Agricultural Statistics Service (2017), </w:t>
      </w:r>
      <w:hyperlink r:id="rId101" w:history="1">
        <w:r w:rsidRPr="00A853EB">
          <w:rPr>
            <w:rStyle w:val="Hyperlink"/>
            <w:rFonts w:ascii="Garamond" w:hAnsi="Garamond"/>
          </w:rPr>
          <w:t>https://www.nass.usda.gov/Publications/Highlights/2019/2017Census_Black_Producers.pdf</w:t>
        </w:r>
      </w:hyperlink>
      <w:r w:rsidRPr="00A853EB">
        <w:rPr>
          <w:rFonts w:ascii="Garamond" w:hAnsi="Garamond"/>
          <w:color w:val="000000" w:themeColor="text1"/>
        </w:rPr>
        <w:t>.</w:t>
      </w:r>
    </w:p>
  </w:footnote>
  <w:footnote w:id="144">
    <w:p w14:paraId="69587773" w14:textId="396EF411" w:rsidR="002F22A7" w:rsidRPr="00A853EB" w:rsidRDefault="002F22A7" w:rsidP="00474744">
      <w:pPr>
        <w:rPr>
          <w:rFonts w:ascii="Garamond" w:hAnsi="Garamond"/>
          <w:sz w:val="20"/>
          <w:szCs w:val="20"/>
        </w:rPr>
      </w:pPr>
      <w:r w:rsidRPr="00A853EB">
        <w:rPr>
          <w:rStyle w:val="FootnoteReference"/>
          <w:rFonts w:ascii="Garamond" w:eastAsia="Arial" w:hAnsi="Garamond"/>
          <w:sz w:val="20"/>
          <w:szCs w:val="20"/>
        </w:rPr>
        <w:footnoteRef/>
      </w:r>
      <w:r w:rsidRPr="00A853EB">
        <w:rPr>
          <w:rFonts w:ascii="Garamond" w:hAnsi="Garamond"/>
          <w:sz w:val="20"/>
          <w:szCs w:val="20"/>
        </w:rPr>
        <w:t xml:space="preserve"> </w:t>
      </w:r>
      <w:r w:rsidR="00DF2793" w:rsidRPr="00A853EB">
        <w:rPr>
          <w:rFonts w:ascii="Garamond" w:hAnsi="Garamond"/>
          <w:i/>
          <w:iCs/>
          <w:sz w:val="20"/>
          <w:szCs w:val="20"/>
        </w:rPr>
        <w:t>Black Producers</w:t>
      </w:r>
      <w:r w:rsidR="00DF2793" w:rsidRPr="00A853EB">
        <w:rPr>
          <w:rFonts w:ascii="Garamond" w:hAnsi="Garamond"/>
          <w:sz w:val="20"/>
          <w:szCs w:val="20"/>
        </w:rPr>
        <w:t xml:space="preserve">, USDA National Agricultural Statistics Service (2017), </w:t>
      </w:r>
      <w:hyperlink r:id="rId102" w:history="1">
        <w:r w:rsidR="00DF2793" w:rsidRPr="00A853EB">
          <w:rPr>
            <w:rStyle w:val="Hyperlink"/>
            <w:rFonts w:ascii="Garamond" w:hAnsi="Garamond"/>
            <w:sz w:val="20"/>
            <w:szCs w:val="20"/>
          </w:rPr>
          <w:t>https://www.nass.usda.gov/Publications/Highlights/2019/2017Census_Black_Producers.pdf</w:t>
        </w:r>
      </w:hyperlink>
      <w:r w:rsidR="00D94886" w:rsidRPr="00A853EB">
        <w:rPr>
          <w:rFonts w:ascii="Garamond" w:hAnsi="Garamond"/>
          <w:color w:val="000000" w:themeColor="text1"/>
          <w:sz w:val="20"/>
          <w:szCs w:val="20"/>
        </w:rPr>
        <w:t>.</w:t>
      </w:r>
    </w:p>
  </w:footnote>
  <w:footnote w:id="145">
    <w:p w14:paraId="01EB6959" w14:textId="77777777" w:rsidR="002F22A7" w:rsidRPr="00A853EB" w:rsidRDefault="002F22A7" w:rsidP="00474744">
      <w:pPr>
        <w:rPr>
          <w:rFonts w:ascii="Garamond" w:hAnsi="Garamond"/>
          <w:sz w:val="20"/>
          <w:szCs w:val="20"/>
        </w:rPr>
      </w:pPr>
      <w:r w:rsidRPr="00A853EB">
        <w:rPr>
          <w:rStyle w:val="FootnoteReference"/>
          <w:rFonts w:ascii="Garamond" w:eastAsia="Arial" w:hAnsi="Garamond"/>
          <w:sz w:val="20"/>
          <w:szCs w:val="20"/>
        </w:rPr>
        <w:footnoteRef/>
      </w:r>
      <w:r w:rsidRPr="00A853EB">
        <w:rPr>
          <w:rFonts w:ascii="Garamond" w:hAnsi="Garamond"/>
          <w:sz w:val="20"/>
          <w:szCs w:val="20"/>
        </w:rPr>
        <w:t xml:space="preserve"> </w:t>
      </w:r>
      <w:r w:rsidRPr="00A853EB">
        <w:rPr>
          <w:rFonts w:ascii="Garamond" w:hAnsi="Garamond"/>
          <w:i/>
          <w:iCs/>
          <w:sz w:val="20"/>
          <w:szCs w:val="20"/>
        </w:rPr>
        <w:t>Id.</w:t>
      </w:r>
      <w:r w:rsidRPr="00A853EB">
        <w:rPr>
          <w:rFonts w:ascii="Garamond" w:hAnsi="Garamond"/>
          <w:sz w:val="20"/>
          <w:szCs w:val="20"/>
        </w:rPr>
        <w:t xml:space="preserve"> </w:t>
      </w:r>
    </w:p>
  </w:footnote>
  <w:footnote w:id="146">
    <w:p w14:paraId="3F352465" w14:textId="6B74ACA0" w:rsidR="002F22A7" w:rsidRPr="00A853EB" w:rsidRDefault="002F22A7" w:rsidP="00474744">
      <w:pPr>
        <w:rPr>
          <w:rFonts w:ascii="Garamond" w:hAnsi="Garamond"/>
          <w:sz w:val="20"/>
          <w:szCs w:val="20"/>
        </w:rPr>
      </w:pPr>
      <w:r w:rsidRPr="00A853EB">
        <w:rPr>
          <w:rStyle w:val="FootnoteReference"/>
          <w:rFonts w:ascii="Garamond" w:eastAsia="Arial" w:hAnsi="Garamond"/>
          <w:sz w:val="20"/>
          <w:szCs w:val="20"/>
        </w:rPr>
        <w:footnoteRef/>
      </w:r>
      <w:r w:rsidRPr="00A853EB">
        <w:rPr>
          <w:rFonts w:ascii="Garamond" w:hAnsi="Garamond"/>
          <w:sz w:val="20"/>
          <w:szCs w:val="20"/>
        </w:rPr>
        <w:t xml:space="preserve"> </w:t>
      </w:r>
      <w:r w:rsidR="00DF2793" w:rsidRPr="00A853EB">
        <w:rPr>
          <w:rFonts w:ascii="Garamond" w:hAnsi="Garamond"/>
          <w:sz w:val="20"/>
          <w:szCs w:val="20"/>
        </w:rPr>
        <w:t xml:space="preserve">Erin Douglas, </w:t>
      </w:r>
      <w:r w:rsidR="00DF2793" w:rsidRPr="00A853EB">
        <w:rPr>
          <w:rFonts w:ascii="Garamond" w:hAnsi="Garamond"/>
          <w:i/>
          <w:iCs/>
          <w:sz w:val="20"/>
          <w:szCs w:val="20"/>
        </w:rPr>
        <w:t>Climate change is making Texas hotter, threatening public health, water supply and the state’s infrastructure</w:t>
      </w:r>
      <w:r w:rsidR="00DF2793" w:rsidRPr="00A853EB">
        <w:rPr>
          <w:rFonts w:ascii="Garamond" w:hAnsi="Garamond"/>
          <w:sz w:val="20"/>
          <w:szCs w:val="20"/>
        </w:rPr>
        <w:t xml:space="preserve">, Texas Tribune (Oct. 7, 2021), </w:t>
      </w:r>
      <w:hyperlink r:id="rId103" w:anchor=":~:text=The%20average%20annual%20temperature%20in,2018%2C%20especially%20in%20urban%20areas" w:history="1">
        <w:r w:rsidR="00DF2793" w:rsidRPr="00A853EB">
          <w:rPr>
            <w:rStyle w:val="Hyperlink"/>
            <w:rFonts w:ascii="Garamond" w:hAnsi="Garamond"/>
            <w:sz w:val="20"/>
            <w:szCs w:val="20"/>
          </w:rPr>
          <w:t>https://www.texastribune.org/2021/10/07/texas-climate-change-heat-water/#:~:text=The%20average%20annual%20temperature%20in,2018%2C%20especially%20in%20urban%20areas</w:t>
        </w:r>
      </w:hyperlink>
      <w:r w:rsidRPr="00A853EB">
        <w:rPr>
          <w:rFonts w:ascii="Garamond" w:hAnsi="Garamond"/>
          <w:sz w:val="20"/>
          <w:szCs w:val="20"/>
        </w:rPr>
        <w:t>.</w:t>
      </w:r>
    </w:p>
  </w:footnote>
  <w:footnote w:id="147">
    <w:p w14:paraId="74C1FED9" w14:textId="50D15520" w:rsidR="002F22A7" w:rsidRPr="00A853EB" w:rsidRDefault="002F22A7" w:rsidP="00474744">
      <w:pPr>
        <w:pStyle w:val="FootnoteText"/>
        <w:ind w:left="0" w:firstLine="0"/>
        <w:rPr>
          <w:rFonts w:ascii="Garamond" w:hAnsi="Garamond"/>
        </w:rPr>
      </w:pPr>
      <w:r w:rsidRPr="00A853EB">
        <w:rPr>
          <w:rStyle w:val="FootnoteReference"/>
          <w:rFonts w:ascii="Garamond" w:hAnsi="Garamond"/>
        </w:rPr>
        <w:footnoteRef/>
      </w:r>
      <w:r w:rsidR="00DF2793" w:rsidRPr="00A853EB">
        <w:rPr>
          <w:rFonts w:ascii="Garamond" w:hAnsi="Garamond"/>
        </w:rPr>
        <w:t xml:space="preserve">Byomkesh </w:t>
      </w:r>
      <w:proofErr w:type="spellStart"/>
      <w:r w:rsidR="00DF2793" w:rsidRPr="00A853EB">
        <w:rPr>
          <w:rFonts w:ascii="Garamond" w:hAnsi="Garamond"/>
        </w:rPr>
        <w:t>Talukder</w:t>
      </w:r>
      <w:proofErr w:type="spellEnd"/>
      <w:r w:rsidR="00DF2793" w:rsidRPr="00A853EB">
        <w:rPr>
          <w:rFonts w:ascii="Garamond" w:hAnsi="Garamond"/>
        </w:rPr>
        <w:t xml:space="preserve">, Gary W. van Loon, Keith W. </w:t>
      </w:r>
      <w:proofErr w:type="spellStart"/>
      <w:r w:rsidR="00DF2793" w:rsidRPr="00A853EB">
        <w:rPr>
          <w:rFonts w:ascii="Garamond" w:hAnsi="Garamond"/>
        </w:rPr>
        <w:t>Hipel</w:t>
      </w:r>
      <w:proofErr w:type="spellEnd"/>
      <w:r w:rsidR="00DF2793" w:rsidRPr="00A853EB">
        <w:rPr>
          <w:rFonts w:ascii="Garamond" w:hAnsi="Garamond"/>
        </w:rPr>
        <w:t xml:space="preserve">, </w:t>
      </w:r>
      <w:proofErr w:type="spellStart"/>
      <w:r w:rsidR="00DF2793" w:rsidRPr="00A853EB">
        <w:rPr>
          <w:rFonts w:ascii="Garamond" w:hAnsi="Garamond"/>
        </w:rPr>
        <w:t>Sosten</w:t>
      </w:r>
      <w:proofErr w:type="spellEnd"/>
      <w:r w:rsidR="00DF2793" w:rsidRPr="00A853EB">
        <w:rPr>
          <w:rFonts w:ascii="Garamond" w:hAnsi="Garamond"/>
        </w:rPr>
        <w:t xml:space="preserve"> </w:t>
      </w:r>
      <w:proofErr w:type="spellStart"/>
      <w:r w:rsidR="00DF2793" w:rsidRPr="00A853EB">
        <w:rPr>
          <w:rFonts w:ascii="Garamond" w:hAnsi="Garamond"/>
        </w:rPr>
        <w:t>Chiotha</w:t>
      </w:r>
      <w:proofErr w:type="spellEnd"/>
      <w:r w:rsidR="00DF2793" w:rsidRPr="00A853EB">
        <w:rPr>
          <w:rFonts w:ascii="Garamond" w:hAnsi="Garamond"/>
        </w:rPr>
        <w:t xml:space="preserve">, and James </w:t>
      </w:r>
      <w:proofErr w:type="spellStart"/>
      <w:r w:rsidR="00DF2793" w:rsidRPr="00A853EB">
        <w:rPr>
          <w:rFonts w:ascii="Garamond" w:hAnsi="Garamond"/>
        </w:rPr>
        <w:t>Orbinski</w:t>
      </w:r>
      <w:proofErr w:type="spellEnd"/>
      <w:r w:rsidR="0041551D" w:rsidRPr="00A853EB">
        <w:rPr>
          <w:rFonts w:ascii="Garamond" w:hAnsi="Garamond"/>
        </w:rPr>
        <w:t xml:space="preserve">, </w:t>
      </w:r>
      <w:r w:rsidR="0041551D" w:rsidRPr="00A853EB">
        <w:rPr>
          <w:rFonts w:ascii="Garamond" w:hAnsi="Garamond"/>
          <w:i/>
          <w:iCs/>
        </w:rPr>
        <w:t>Health impacts of climate change on smallholder farmers</w:t>
      </w:r>
      <w:r w:rsidR="00727420" w:rsidRPr="00A853EB">
        <w:rPr>
          <w:rFonts w:ascii="Garamond" w:hAnsi="Garamond"/>
        </w:rPr>
        <w:t xml:space="preserve">, </w:t>
      </w:r>
      <w:r w:rsidR="0041551D" w:rsidRPr="00A853EB">
        <w:rPr>
          <w:rFonts w:ascii="Garamond" w:hAnsi="Garamond"/>
        </w:rPr>
        <w:t>Science Direct</w:t>
      </w:r>
      <w:r w:rsidR="00727420" w:rsidRPr="00A853EB">
        <w:rPr>
          <w:rFonts w:ascii="Garamond" w:hAnsi="Garamond"/>
        </w:rPr>
        <w:t xml:space="preserve"> (One Health Vol. 13, Dec. 2021)</w:t>
      </w:r>
      <w:r w:rsidR="0041551D" w:rsidRPr="00A853EB">
        <w:rPr>
          <w:rFonts w:ascii="Garamond" w:hAnsi="Garamond"/>
        </w:rPr>
        <w:t xml:space="preserve">, </w:t>
      </w:r>
      <w:r w:rsidRPr="00A853EB">
        <w:rPr>
          <w:rFonts w:ascii="Garamond" w:hAnsi="Garamond"/>
        </w:rPr>
        <w:t xml:space="preserve"> </w:t>
      </w:r>
      <w:hyperlink r:id="rId104" w:history="1">
        <w:r w:rsidR="00DF2793" w:rsidRPr="00A853EB">
          <w:rPr>
            <w:rStyle w:val="Hyperlink"/>
            <w:rFonts w:ascii="Garamond" w:hAnsi="Garamond"/>
          </w:rPr>
          <w:t>https://www.sciencedirect.com/science/article/pii/S2352771421000483</w:t>
        </w:r>
      </w:hyperlink>
      <w:r w:rsidR="00DF2793" w:rsidRPr="00A853EB">
        <w:rPr>
          <w:rFonts w:ascii="Garamond" w:hAnsi="Garamond"/>
        </w:rPr>
        <w:t xml:space="preserve">. </w:t>
      </w:r>
    </w:p>
  </w:footnote>
  <w:footnote w:id="148">
    <w:p w14:paraId="515AB89A" w14:textId="24AD03D7" w:rsidR="002F22A7" w:rsidRPr="00A853EB" w:rsidRDefault="002F22A7"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proofErr w:type="spellStart"/>
      <w:r w:rsidR="00AC382B" w:rsidRPr="00A853EB">
        <w:rPr>
          <w:rFonts w:ascii="Garamond" w:hAnsi="Garamond"/>
        </w:rPr>
        <w:t>Nambi</w:t>
      </w:r>
      <w:proofErr w:type="spellEnd"/>
      <w:r w:rsidR="00AC382B" w:rsidRPr="00A853EB">
        <w:rPr>
          <w:rFonts w:ascii="Garamond" w:hAnsi="Garamond"/>
        </w:rPr>
        <w:t xml:space="preserve"> </w:t>
      </w:r>
      <w:proofErr w:type="spellStart"/>
      <w:r w:rsidR="00AC382B" w:rsidRPr="00A853EB">
        <w:rPr>
          <w:rFonts w:ascii="Garamond" w:hAnsi="Garamond"/>
        </w:rPr>
        <w:t>Ndugga</w:t>
      </w:r>
      <w:proofErr w:type="spellEnd"/>
      <w:r w:rsidR="00AC382B" w:rsidRPr="00A853EB">
        <w:rPr>
          <w:rFonts w:ascii="Garamond" w:hAnsi="Garamond"/>
        </w:rPr>
        <w:t xml:space="preserve"> and Samantha </w:t>
      </w:r>
      <w:proofErr w:type="spellStart"/>
      <w:r w:rsidR="00AC382B" w:rsidRPr="00A853EB">
        <w:rPr>
          <w:rFonts w:ascii="Garamond" w:hAnsi="Garamond"/>
        </w:rPr>
        <w:t>Artiga</w:t>
      </w:r>
      <w:proofErr w:type="spellEnd"/>
      <w:r w:rsidR="00AC382B" w:rsidRPr="00A853EB">
        <w:rPr>
          <w:rFonts w:ascii="Garamond" w:hAnsi="Garamond"/>
        </w:rPr>
        <w:t xml:space="preserve">, </w:t>
      </w:r>
      <w:r w:rsidR="00AC382B" w:rsidRPr="00A853EB">
        <w:rPr>
          <w:rFonts w:ascii="Garamond" w:hAnsi="Garamond"/>
          <w:i/>
          <w:iCs/>
        </w:rPr>
        <w:t>Extreme Heat and Racial Health Equity</w:t>
      </w:r>
      <w:r w:rsidR="00AC382B" w:rsidRPr="00A853EB">
        <w:rPr>
          <w:rFonts w:ascii="Garamond" w:hAnsi="Garamond"/>
        </w:rPr>
        <w:t xml:space="preserve">, Kaiser Family Foundation (Sept. 8, 2021), </w:t>
      </w:r>
      <w:hyperlink r:id="rId105" w:history="1">
        <w:r w:rsidR="00AC382B" w:rsidRPr="00A853EB">
          <w:rPr>
            <w:rStyle w:val="Hyperlink"/>
            <w:rFonts w:ascii="Garamond" w:hAnsi="Garamond"/>
          </w:rPr>
          <w:t>https://www.kff.org/policy-watch/extreme-heat-racial-health-equity/</w:t>
        </w:r>
      </w:hyperlink>
      <w:r w:rsidR="00AC382B" w:rsidRPr="00A853EB">
        <w:rPr>
          <w:rFonts w:ascii="Garamond" w:hAnsi="Garamond"/>
        </w:rPr>
        <w:t xml:space="preserve">. </w:t>
      </w:r>
    </w:p>
  </w:footnote>
  <w:footnote w:id="149">
    <w:p w14:paraId="67143A11" w14:textId="2CE9CCBA" w:rsidR="002F22A7" w:rsidRPr="00A853EB" w:rsidRDefault="002F22A7"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00727420" w:rsidRPr="00A853EB">
        <w:rPr>
          <w:rFonts w:ascii="Garamond" w:hAnsi="Garamond"/>
        </w:rPr>
        <w:t xml:space="preserve">United Nations Declaration on the Rights of Peasants and Other People Working in Rural Areas (UNDROP), </w:t>
      </w:r>
      <w:hyperlink r:id="rId106" w:history="1">
        <w:r w:rsidR="00727420" w:rsidRPr="00A853EB">
          <w:rPr>
            <w:rStyle w:val="Hyperlink"/>
            <w:rFonts w:ascii="Garamond" w:hAnsi="Garamond"/>
          </w:rPr>
          <w:t>file:///Users/lauraleira/Desktop/A_HRC_RES_39_12-EN.pdf</w:t>
        </w:r>
      </w:hyperlink>
      <w:r w:rsidR="003C108E">
        <w:rPr>
          <w:rStyle w:val="Hyperlink"/>
          <w:rFonts w:ascii="Garamond" w:hAnsi="Garamond"/>
          <w:color w:val="000000" w:themeColor="text1"/>
          <w:u w:val="none"/>
        </w:rPr>
        <w:t>.</w:t>
      </w:r>
      <w:r w:rsidR="00727420" w:rsidRPr="00A853EB">
        <w:rPr>
          <w:rFonts w:ascii="Garamond" w:hAnsi="Garamond"/>
        </w:rPr>
        <w:t xml:space="preserve"> </w:t>
      </w:r>
    </w:p>
  </w:footnote>
  <w:footnote w:id="150">
    <w:p w14:paraId="0E049491" w14:textId="3D5F7FB1" w:rsidR="002F22A7" w:rsidRPr="00A853EB" w:rsidRDefault="002F22A7"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00A42FC2" w:rsidRPr="00A853EB">
        <w:rPr>
          <w:rFonts w:ascii="Garamond" w:hAnsi="Garamond"/>
          <w:i/>
          <w:iCs/>
        </w:rPr>
        <w:t>House, Senate Democrats Introduce Heat Stress Legislation to Protect Farm Workers</w:t>
      </w:r>
      <w:r w:rsidR="00A42FC2" w:rsidRPr="00A853EB">
        <w:rPr>
          <w:rFonts w:ascii="Garamond" w:hAnsi="Garamond"/>
        </w:rPr>
        <w:t xml:space="preserve">, Election &amp; Labor Committee (Mar.26, 2021), </w:t>
      </w:r>
      <w:hyperlink r:id="rId107" w:history="1">
        <w:r w:rsidR="00A42FC2" w:rsidRPr="00A853EB">
          <w:rPr>
            <w:rStyle w:val="Hyperlink"/>
            <w:rFonts w:ascii="Garamond" w:hAnsi="Garamond"/>
          </w:rPr>
          <w:t>https://edlabor.house.gov/media/press-releases/house-senate-leaders-introduce-heat-stress-legislation-to-protect-farm-workers</w:t>
        </w:r>
      </w:hyperlink>
      <w:r w:rsidR="00A42FC2" w:rsidRPr="00A853EB">
        <w:rPr>
          <w:rFonts w:ascii="Garamond" w:hAnsi="Garamond"/>
        </w:rPr>
        <w:t xml:space="preserve"> </w:t>
      </w:r>
    </w:p>
  </w:footnote>
  <w:footnote w:id="151">
    <w:p w14:paraId="4C63CCAF" w14:textId="77777777" w:rsidR="00CC1978" w:rsidRPr="00A853EB" w:rsidRDefault="00CC1978"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Terry Gross, A 'Forgotten History' Of How </w:t>
      </w:r>
      <w:proofErr w:type="gramStart"/>
      <w:r w:rsidRPr="00A853EB">
        <w:rPr>
          <w:rFonts w:ascii="Garamond" w:hAnsi="Garamond"/>
        </w:rPr>
        <w:t>The</w:t>
      </w:r>
      <w:proofErr w:type="gramEnd"/>
      <w:r w:rsidRPr="00A853EB">
        <w:rPr>
          <w:rFonts w:ascii="Garamond" w:hAnsi="Garamond"/>
        </w:rPr>
        <w:t xml:space="preserve"> U.S. Government Segregated America, NPR (May 3, 2017), https://www.npr.org/2017/05/03/526655831/a-forgotten-history-of-how-the-u-s-government-segregated-america.</w:t>
      </w:r>
    </w:p>
  </w:footnote>
  <w:footnote w:id="152">
    <w:p w14:paraId="2BB02526" w14:textId="77777777" w:rsidR="00CC1978" w:rsidRPr="00A853EB" w:rsidRDefault="00CC197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lang w:val="en-US"/>
        </w:rPr>
        <w:t xml:space="preserve"> Fred de Sam Lazaro and Simeon Lancaster, </w:t>
      </w:r>
      <w:r w:rsidRPr="00A853EB">
        <w:rPr>
          <w:rFonts w:ascii="Garamond" w:hAnsi="Garamond"/>
          <w:i/>
          <w:iCs/>
          <w:lang w:val="en-US"/>
        </w:rPr>
        <w:t>“Historically denied ‘pivotal’ loans, Black farmers still struggle to get support</w:t>
      </w:r>
      <w:r w:rsidRPr="00A853EB">
        <w:rPr>
          <w:rFonts w:ascii="Garamond" w:hAnsi="Garamond"/>
          <w:lang w:val="en-US"/>
        </w:rPr>
        <w:t>, PBS (Dec. 7, 2021), https://www.pbs.org/newshour/show/historically-denied-pivotal-loans-black-farmers-still-struggle-to-get-support.</w:t>
      </w:r>
    </w:p>
  </w:footnote>
  <w:footnote w:id="153">
    <w:p w14:paraId="1F8DF8E6" w14:textId="77777777" w:rsidR="00CC1978" w:rsidRPr="00A853EB" w:rsidRDefault="00CC1978"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Karen Robinson-Jacobs, </w:t>
      </w:r>
      <w:r w:rsidRPr="00A853EB">
        <w:rPr>
          <w:rFonts w:ascii="Garamond" w:hAnsi="Garamond"/>
          <w:i/>
          <w:iCs/>
        </w:rPr>
        <w:t>Pandemic Prompts More Black Americans to Take Up Urban Gardening to End “Food Apartheid</w:t>
      </w:r>
      <w:r w:rsidRPr="00A853EB">
        <w:rPr>
          <w:rFonts w:ascii="Garamond" w:hAnsi="Garamond"/>
        </w:rPr>
        <w:t xml:space="preserve">,” Mother Jones (Nov. 19, 2021), </w:t>
      </w:r>
      <w:hyperlink r:id="rId108" w:history="1">
        <w:r w:rsidRPr="00A853EB">
          <w:rPr>
            <w:rStyle w:val="Hyperlink"/>
            <w:rFonts w:ascii="Garamond" w:hAnsi="Garamond"/>
          </w:rPr>
          <w:t>https://www.motherjones.com/food/2021/11/food-apartheid-insecurity-gardening-black-agency-pandemic-community</w:t>
        </w:r>
      </w:hyperlink>
      <w:r w:rsidRPr="00A853EB">
        <w:rPr>
          <w:rFonts w:ascii="Garamond" w:hAnsi="Garamond"/>
        </w:rPr>
        <w:t xml:space="preserve">. </w:t>
      </w:r>
    </w:p>
  </w:footnote>
  <w:footnote w:id="154">
    <w:p w14:paraId="01CFF165" w14:textId="5D58A61F" w:rsidR="00F87746" w:rsidRPr="00A853EB" w:rsidRDefault="00F87746"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Tracy Jan, </w:t>
      </w:r>
      <w:r w:rsidRPr="00A853EB">
        <w:rPr>
          <w:rFonts w:ascii="Garamond" w:hAnsi="Garamond"/>
          <w:i/>
          <w:iCs/>
          <w:lang w:val="en-US"/>
        </w:rPr>
        <w:t>Redlining was banned 50 years ago. It’s still hurting minorities today</w:t>
      </w:r>
      <w:r w:rsidRPr="00A853EB">
        <w:rPr>
          <w:rFonts w:ascii="Garamond" w:hAnsi="Garamond"/>
          <w:lang w:val="en-US"/>
        </w:rPr>
        <w:t xml:space="preserve">, Washington Post (Mar. 28, 2018), </w:t>
      </w:r>
      <w:hyperlink r:id="rId109" w:history="1">
        <w:r w:rsidRPr="00A853EB">
          <w:rPr>
            <w:rStyle w:val="Hyperlink"/>
            <w:rFonts w:ascii="Garamond" w:hAnsi="Garamond"/>
            <w:lang w:val="en-US"/>
          </w:rPr>
          <w:t>https://www.washingtonpost.com/news/wonk/wp/2018/03/28/redlining-was-banned-50-years-ago-its-still-hurting-minorities-today/</w:t>
        </w:r>
      </w:hyperlink>
      <w:r w:rsidR="003C108E">
        <w:rPr>
          <w:rStyle w:val="Hyperlink"/>
          <w:rFonts w:ascii="Garamond" w:hAnsi="Garamond"/>
          <w:color w:val="000000" w:themeColor="text1"/>
          <w:u w:val="none"/>
          <w:lang w:val="en-US"/>
        </w:rPr>
        <w:t>.</w:t>
      </w:r>
      <w:r w:rsidRPr="00A853EB">
        <w:rPr>
          <w:rFonts w:ascii="Garamond" w:hAnsi="Garamond"/>
          <w:lang w:val="en-US"/>
        </w:rPr>
        <w:t xml:space="preserve"> </w:t>
      </w:r>
    </w:p>
  </w:footnote>
  <w:footnote w:id="155">
    <w:p w14:paraId="68AC9B38" w14:textId="21D4A74D" w:rsidR="00F223B5" w:rsidRPr="00A853EB" w:rsidRDefault="00F223B5"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Cecilia Rouse, Jared Bernstein, Helen Knudsen, and Jeffery Zhang, </w:t>
      </w:r>
      <w:r w:rsidRPr="00A853EB">
        <w:rPr>
          <w:rFonts w:ascii="Garamond" w:hAnsi="Garamond"/>
          <w:i/>
          <w:iCs/>
        </w:rPr>
        <w:t>Exclusionary Zoning: Its Effect on Racial Discrimination in the Housing Market</w:t>
      </w:r>
      <w:r w:rsidRPr="00A853EB">
        <w:rPr>
          <w:rFonts w:ascii="Garamond" w:hAnsi="Garamond"/>
        </w:rPr>
        <w:t xml:space="preserve">, The White House (June 17, 2021),  </w:t>
      </w:r>
      <w:hyperlink r:id="rId110" w:history="1">
        <w:r w:rsidRPr="00A853EB">
          <w:rPr>
            <w:rStyle w:val="Hyperlink"/>
            <w:rFonts w:ascii="Garamond" w:hAnsi="Garamond"/>
          </w:rPr>
          <w:t>https://www.whitehouse.gov/cea/written-materials/2021/06/17/exclusionary-zoning-its-effect-on-racial-discrimination-in-the-housing-market/</w:t>
        </w:r>
      </w:hyperlink>
      <w:r w:rsidRPr="00A853EB">
        <w:rPr>
          <w:rFonts w:ascii="Garamond" w:hAnsi="Garamond"/>
        </w:rPr>
        <w:t xml:space="preserve">.   </w:t>
      </w:r>
    </w:p>
  </w:footnote>
  <w:footnote w:id="156">
    <w:p w14:paraId="0BA320F4" w14:textId="7095F735" w:rsidR="007E6E07" w:rsidRPr="00A853EB" w:rsidRDefault="007E6E07" w:rsidP="00474744">
      <w:pPr>
        <w:rPr>
          <w:rFonts w:ascii="Garamond" w:hAnsi="Garamond"/>
          <w:sz w:val="20"/>
          <w:szCs w:val="20"/>
        </w:rPr>
      </w:pPr>
      <w:r w:rsidRPr="00A853EB">
        <w:rPr>
          <w:rStyle w:val="FootnoteReference"/>
          <w:rFonts w:ascii="Garamond" w:eastAsia="Arial" w:hAnsi="Garamond"/>
          <w:sz w:val="20"/>
          <w:szCs w:val="20"/>
        </w:rPr>
        <w:footnoteRef/>
      </w:r>
      <w:r w:rsidRPr="00A853EB">
        <w:rPr>
          <w:rFonts w:ascii="Garamond" w:hAnsi="Garamond"/>
          <w:sz w:val="20"/>
          <w:szCs w:val="20"/>
        </w:rPr>
        <w:t xml:space="preserve"> </w:t>
      </w:r>
      <w:r w:rsidR="00F87746" w:rsidRPr="00A853EB">
        <w:rPr>
          <w:rFonts w:ascii="Garamond" w:hAnsi="Garamond"/>
          <w:sz w:val="20"/>
          <w:szCs w:val="20"/>
        </w:rPr>
        <w:t xml:space="preserve">Karen Robinson-Jacobs, </w:t>
      </w:r>
      <w:r w:rsidR="00F87746" w:rsidRPr="00A853EB">
        <w:rPr>
          <w:rFonts w:ascii="Garamond" w:hAnsi="Garamond"/>
          <w:i/>
          <w:iCs/>
          <w:sz w:val="20"/>
          <w:szCs w:val="20"/>
        </w:rPr>
        <w:t>Pandemic Prompts More Black Americans to Take Up Urban Gardening to End “Food Apartheid</w:t>
      </w:r>
      <w:r w:rsidR="00F87746" w:rsidRPr="00A853EB">
        <w:rPr>
          <w:rFonts w:ascii="Garamond" w:hAnsi="Garamond"/>
          <w:sz w:val="20"/>
          <w:szCs w:val="20"/>
        </w:rPr>
        <w:t xml:space="preserve">,” Mother  Jones (Nov. 19, 2021), </w:t>
      </w:r>
      <w:hyperlink r:id="rId111" w:history="1">
        <w:r w:rsidR="00F87746" w:rsidRPr="00A853EB">
          <w:rPr>
            <w:rStyle w:val="Hyperlink"/>
            <w:rFonts w:ascii="Garamond" w:hAnsi="Garamond"/>
            <w:sz w:val="20"/>
            <w:szCs w:val="20"/>
          </w:rPr>
          <w:t>https://www.motherjones.com/food/2021/11/food-apartheid-insecurity-gardening-black-agency-pandemic-community</w:t>
        </w:r>
      </w:hyperlink>
      <w:r w:rsidR="00F87746" w:rsidRPr="00A853EB">
        <w:rPr>
          <w:rFonts w:ascii="Garamond" w:hAnsi="Garamond"/>
          <w:sz w:val="20"/>
          <w:szCs w:val="20"/>
        </w:rPr>
        <w:t xml:space="preserve">. </w:t>
      </w:r>
    </w:p>
  </w:footnote>
  <w:footnote w:id="157">
    <w:p w14:paraId="0C33EE33" w14:textId="0EB0101F" w:rsidR="007E6E07" w:rsidRPr="00A853EB" w:rsidRDefault="007E6E07" w:rsidP="00474744">
      <w:pPr>
        <w:rPr>
          <w:rFonts w:ascii="Garamond" w:hAnsi="Garamond"/>
          <w:sz w:val="20"/>
          <w:szCs w:val="20"/>
        </w:rPr>
      </w:pPr>
      <w:r w:rsidRPr="00A853EB">
        <w:rPr>
          <w:rStyle w:val="FootnoteReference"/>
          <w:rFonts w:ascii="Garamond" w:eastAsia="Arial" w:hAnsi="Garamond"/>
          <w:sz w:val="20"/>
          <w:szCs w:val="20"/>
        </w:rPr>
        <w:footnoteRef/>
      </w:r>
      <w:r w:rsidRPr="00A853EB">
        <w:rPr>
          <w:rFonts w:ascii="Garamond" w:hAnsi="Garamond"/>
          <w:sz w:val="20"/>
          <w:szCs w:val="20"/>
        </w:rPr>
        <w:t xml:space="preserve"> </w:t>
      </w:r>
      <w:r w:rsidR="00776083" w:rsidRPr="00A853EB">
        <w:rPr>
          <w:rFonts w:ascii="Garamond" w:hAnsi="Garamond"/>
          <w:sz w:val="20"/>
          <w:szCs w:val="20"/>
        </w:rPr>
        <w:t xml:space="preserve">Clare Salerno, </w:t>
      </w:r>
      <w:r w:rsidR="00776083" w:rsidRPr="00A853EB">
        <w:rPr>
          <w:rFonts w:ascii="Garamond" w:hAnsi="Garamond"/>
          <w:i/>
          <w:iCs/>
          <w:sz w:val="20"/>
          <w:szCs w:val="20"/>
        </w:rPr>
        <w:t>Food Sovereignty Can Advance Racial Equity and Climate Resilience,</w:t>
      </w:r>
      <w:r w:rsidR="00776083" w:rsidRPr="00A853EB">
        <w:rPr>
          <w:rFonts w:ascii="Garamond" w:hAnsi="Garamond"/>
          <w:sz w:val="20"/>
          <w:szCs w:val="20"/>
        </w:rPr>
        <w:t xml:space="preserve"> Urban Wire (July 9, 2021), </w:t>
      </w:r>
      <w:hyperlink r:id="rId112" w:history="1">
        <w:r w:rsidR="00776083" w:rsidRPr="00A853EB">
          <w:rPr>
            <w:rStyle w:val="Hyperlink"/>
            <w:rFonts w:ascii="Garamond" w:hAnsi="Garamond"/>
            <w:sz w:val="20"/>
            <w:szCs w:val="20"/>
          </w:rPr>
          <w:t>https://www.urban.org/urban-wire/food-sovereignty-can-advance-racial-equity-and-climate-resilience</w:t>
        </w:r>
      </w:hyperlink>
      <w:r w:rsidR="00776083" w:rsidRPr="00A853EB">
        <w:rPr>
          <w:rFonts w:ascii="Garamond" w:hAnsi="Garamond"/>
          <w:sz w:val="20"/>
          <w:szCs w:val="20"/>
        </w:rPr>
        <w:t xml:space="preserve">. </w:t>
      </w:r>
    </w:p>
  </w:footnote>
  <w:footnote w:id="158">
    <w:p w14:paraId="0ED3CCB4" w14:textId="5EB53565" w:rsidR="00F223B5" w:rsidRPr="00A853EB" w:rsidRDefault="00F223B5" w:rsidP="00474744">
      <w:pPr>
        <w:pStyle w:val="FootnoteText"/>
        <w:ind w:left="0" w:firstLine="0"/>
        <w:rPr>
          <w:rFonts w:ascii="Garamond" w:hAnsi="Garamond" w:cstheme="minorHAnsi"/>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Agroecology Knowledge Hub</w:t>
      </w:r>
      <w:r w:rsidRPr="00A853EB">
        <w:rPr>
          <w:rFonts w:ascii="Garamond" w:hAnsi="Garamond"/>
        </w:rPr>
        <w:t xml:space="preserve">, Food and Agriculture Organization of the United Nations (accessed May 2022), </w:t>
      </w:r>
      <w:hyperlink r:id="rId113" w:history="1">
        <w:r w:rsidRPr="00A853EB">
          <w:rPr>
            <w:rStyle w:val="Hyperlink"/>
            <w:rFonts w:ascii="Garamond" w:hAnsi="Garamond" w:cstheme="minorHAnsi"/>
          </w:rPr>
          <w:t>https://www.fao.org/agroecology/overview/en/</w:t>
        </w:r>
      </w:hyperlink>
      <w:r w:rsidRPr="00A853EB">
        <w:rPr>
          <w:rFonts w:ascii="Garamond" w:hAnsi="Garamond" w:cstheme="minorHAnsi"/>
        </w:rPr>
        <w:t xml:space="preserve">. </w:t>
      </w:r>
    </w:p>
  </w:footnote>
  <w:footnote w:id="159">
    <w:p w14:paraId="7D10BF28" w14:textId="779BE4A7" w:rsidR="0082666D" w:rsidRPr="00A853EB" w:rsidRDefault="0082666D" w:rsidP="00474744">
      <w:pPr>
        <w:rPr>
          <w:rFonts w:ascii="Garamond" w:eastAsia="Times New Roman" w:hAnsi="Garamond" w:cstheme="minorHAnsi"/>
          <w:sz w:val="20"/>
          <w:szCs w:val="20"/>
        </w:rPr>
      </w:pPr>
      <w:r w:rsidRPr="00A853EB">
        <w:rPr>
          <w:rStyle w:val="FootnoteReference"/>
          <w:rFonts w:ascii="Garamond" w:hAnsi="Garamond" w:cstheme="minorHAnsi"/>
          <w:sz w:val="20"/>
          <w:szCs w:val="20"/>
        </w:rPr>
        <w:footnoteRef/>
      </w:r>
      <w:r w:rsidRPr="00A853EB">
        <w:rPr>
          <w:rFonts w:ascii="Garamond" w:hAnsi="Garamond" w:cstheme="minorHAnsi"/>
          <w:sz w:val="20"/>
          <w:szCs w:val="20"/>
        </w:rPr>
        <w:t xml:space="preserve"> </w:t>
      </w:r>
      <w:r w:rsidRPr="00A853EB">
        <w:rPr>
          <w:rFonts w:ascii="Garamond" w:eastAsia="Times New Roman" w:hAnsi="Garamond" w:cstheme="minorHAnsi"/>
          <w:i/>
          <w:iCs/>
          <w:sz w:val="20"/>
          <w:szCs w:val="20"/>
        </w:rPr>
        <w:t>The benefits of green infrastructure for heat mitigation and emissions reductions in cities</w:t>
      </w:r>
      <w:r w:rsidRPr="00A853EB">
        <w:rPr>
          <w:rFonts w:ascii="Garamond" w:eastAsia="Times New Roman" w:hAnsi="Garamond" w:cstheme="minorHAnsi"/>
          <w:sz w:val="20"/>
          <w:szCs w:val="20"/>
        </w:rPr>
        <w:t xml:space="preserve">, The Trust for Public Lands (2016), </w:t>
      </w:r>
      <w:hyperlink r:id="rId114" w:history="1">
        <w:r w:rsidRPr="00A853EB">
          <w:rPr>
            <w:rStyle w:val="Hyperlink"/>
            <w:rFonts w:ascii="Garamond" w:eastAsia="Times New Roman" w:hAnsi="Garamond" w:cstheme="minorHAnsi"/>
            <w:sz w:val="20"/>
            <w:szCs w:val="20"/>
          </w:rPr>
          <w:t>https://www.tpl.org/sites/default/files/Benefits%20of%20GI%20for%20heat%20mitigation%20and%20emissions%20reductions%20in%20cities.pdf</w:t>
        </w:r>
      </w:hyperlink>
      <w:r w:rsidRPr="00A853EB">
        <w:rPr>
          <w:rFonts w:ascii="Garamond" w:eastAsia="Times New Roman" w:hAnsi="Garamond" w:cstheme="minorHAnsi"/>
          <w:sz w:val="20"/>
          <w:szCs w:val="20"/>
        </w:rPr>
        <w:t xml:space="preserve">. </w:t>
      </w:r>
    </w:p>
  </w:footnote>
  <w:footnote w:id="160">
    <w:p w14:paraId="78FCE407" w14:textId="5ECA9A52" w:rsidR="007E6E07" w:rsidRPr="00A853EB" w:rsidRDefault="007E6E07"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00776083" w:rsidRPr="00A853EB">
        <w:rPr>
          <w:rFonts w:ascii="Garamond" w:hAnsi="Garamond"/>
          <w:i/>
          <w:iCs/>
        </w:rPr>
        <w:t>What Does a Legacy of Colonization and Enslavement Mean for Today’s Food and Farm Systems?</w:t>
      </w:r>
      <w:r w:rsidR="00776083" w:rsidRPr="00A853EB">
        <w:rPr>
          <w:rFonts w:ascii="Garamond" w:hAnsi="Garamond"/>
        </w:rPr>
        <w:t xml:space="preserve">, Heal Food Alliance (Sept. 25, 2020), </w:t>
      </w:r>
      <w:hyperlink r:id="rId115" w:history="1">
        <w:r w:rsidR="00776083" w:rsidRPr="00A853EB">
          <w:rPr>
            <w:rStyle w:val="Hyperlink"/>
            <w:rFonts w:ascii="Garamond" w:hAnsi="Garamond"/>
          </w:rPr>
          <w:t>https://healfoodalliance.org/what-does-a-legacy-of-colonization-and-enslavement-mean-for-todays-food-and-farm-systems/</w:t>
        </w:r>
      </w:hyperlink>
      <w:r w:rsidR="00776083" w:rsidRPr="00A853EB">
        <w:rPr>
          <w:rFonts w:ascii="Garamond" w:hAnsi="Garamond"/>
        </w:rPr>
        <w:t xml:space="preserve">. </w:t>
      </w:r>
    </w:p>
  </w:footnote>
  <w:footnote w:id="161">
    <w:p w14:paraId="6DF50DF4" w14:textId="290BFAA2" w:rsidR="007E6E07" w:rsidRPr="00A853EB" w:rsidRDefault="007E6E07"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005B76BF" w:rsidRPr="00A853EB">
        <w:rPr>
          <w:rFonts w:ascii="Garamond" w:hAnsi="Garamond"/>
          <w:i/>
          <w:iCs/>
        </w:rPr>
        <w:t>Seeds, right to life and farmers’ rights (A/HRC/49/43</w:t>
      </w:r>
      <w:r w:rsidR="005B76BF" w:rsidRPr="00A853EB">
        <w:rPr>
          <w:rFonts w:ascii="Garamond" w:hAnsi="Garamond"/>
        </w:rPr>
        <w:t xml:space="preserve">), </w:t>
      </w:r>
      <w:hyperlink r:id="rId116" w:history="1">
        <w:r w:rsidR="005B76BF" w:rsidRPr="00A853EB">
          <w:rPr>
            <w:rStyle w:val="Hyperlink"/>
            <w:rFonts w:ascii="Garamond" w:hAnsi="Garamond"/>
          </w:rPr>
          <w:t>https://documents-dds-ny.un.org/doc/UNDOC/GEN/G21/397/86/PDF/G2139786.pdf?OpenElement/</w:t>
        </w:r>
      </w:hyperlink>
      <w:r w:rsidR="005B76BF" w:rsidRPr="00A853EB">
        <w:rPr>
          <w:rFonts w:ascii="Garamond" w:hAnsi="Garamond"/>
        </w:rPr>
        <w:t>.</w:t>
      </w:r>
    </w:p>
  </w:footnote>
  <w:footnote w:id="162">
    <w:p w14:paraId="15A8BF9A" w14:textId="5CB8AFA7" w:rsidR="0090230A" w:rsidRPr="00A853EB" w:rsidRDefault="0090230A"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Environmental Racism “refers to the institutional rules, regulations, policies or government and/or corporate decisions that deliberately target certain communities for locally undesirable land uses and lax enforcement of zoning and environmental laws, resulting in communities being disproportionately exposed to toxic and hazardous waste based upon race</w:t>
      </w:r>
      <w:r w:rsidR="003C108E">
        <w:rPr>
          <w:rFonts w:ascii="Garamond" w:hAnsi="Garamond"/>
        </w:rPr>
        <w:t>,</w:t>
      </w:r>
      <w:r w:rsidRPr="00A853EB">
        <w:rPr>
          <w:rFonts w:ascii="Garamond" w:hAnsi="Garamond"/>
        </w:rPr>
        <w:t>”</w:t>
      </w:r>
      <w:hyperlink r:id="rId117" w:anchor=":~:text=Environmental%20racism%20refers%20to%20the,being%20disproportionately%20exposed%20to%20toxic" w:history="1">
        <w:r w:rsidR="003C108E" w:rsidRPr="00A21CFC">
          <w:rPr>
            <w:rStyle w:val="Hyperlink"/>
            <w:rFonts w:ascii="Garamond" w:hAnsi="Garamond"/>
          </w:rPr>
          <w:t>https://greenaction.org/what-is-environmental-justice/#:~:text=Environmental%20racism%20refers%20to%20the,being%20disproportionately%20exposed%20to%20toxic</w:t>
        </w:r>
      </w:hyperlink>
      <w:r w:rsidR="003C108E">
        <w:rPr>
          <w:rFonts w:ascii="Garamond" w:hAnsi="Garamond"/>
        </w:rPr>
        <w:t>.</w:t>
      </w:r>
    </w:p>
  </w:footnote>
  <w:footnote w:id="163">
    <w:p w14:paraId="3FE8FA62" w14:textId="7F679BA4" w:rsidR="00C5102E" w:rsidRPr="00A853EB" w:rsidRDefault="00C5102E"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Environmental Racism</w:t>
      </w:r>
      <w:r w:rsidRPr="00A853EB">
        <w:rPr>
          <w:rFonts w:ascii="Garamond" w:hAnsi="Garamond"/>
        </w:rPr>
        <w:t xml:space="preserve">, Food Empowerment Project (accessed on May 7, 2022), </w:t>
      </w:r>
      <w:hyperlink r:id="rId118" w:history="1">
        <w:r w:rsidRPr="00A853EB">
          <w:rPr>
            <w:rStyle w:val="Hyperlink"/>
            <w:rFonts w:ascii="Garamond" w:hAnsi="Garamond"/>
          </w:rPr>
          <w:t>https://foodispower.org/environmental-and-global/environmental-racism/</w:t>
        </w:r>
      </w:hyperlink>
      <w:r w:rsidRPr="00A853EB">
        <w:rPr>
          <w:rFonts w:ascii="Garamond" w:hAnsi="Garamond"/>
          <w:color w:val="000000" w:themeColor="text1"/>
        </w:rPr>
        <w:t>.</w:t>
      </w:r>
    </w:p>
  </w:footnote>
  <w:footnote w:id="164">
    <w:p w14:paraId="614C74EE" w14:textId="2C8966F7" w:rsidR="0090230A" w:rsidRPr="00A853EB" w:rsidRDefault="0090230A" w:rsidP="00474744">
      <w:pPr>
        <w:rPr>
          <w:rFonts w:ascii="Garamond" w:hAnsi="Garamond"/>
          <w:sz w:val="20"/>
          <w:szCs w:val="20"/>
        </w:rPr>
      </w:pPr>
      <w:r w:rsidRPr="00A853EB">
        <w:rPr>
          <w:rStyle w:val="FootnoteReference"/>
          <w:rFonts w:ascii="Garamond" w:eastAsia="Arial" w:hAnsi="Garamond"/>
          <w:sz w:val="20"/>
          <w:szCs w:val="20"/>
        </w:rPr>
        <w:footnoteRef/>
      </w:r>
      <w:r w:rsidR="00C5102E" w:rsidRPr="00A853EB">
        <w:rPr>
          <w:rFonts w:ascii="Garamond" w:hAnsi="Garamond"/>
          <w:sz w:val="20"/>
          <w:szCs w:val="20"/>
        </w:rPr>
        <w:t xml:space="preserve"> </w:t>
      </w:r>
      <w:r w:rsidR="00C5102E" w:rsidRPr="00A853EB">
        <w:rPr>
          <w:rFonts w:ascii="Garamond" w:hAnsi="Garamond"/>
          <w:i/>
          <w:iCs/>
          <w:sz w:val="20"/>
          <w:szCs w:val="20"/>
        </w:rPr>
        <w:t>Id.</w:t>
      </w:r>
    </w:p>
  </w:footnote>
  <w:footnote w:id="165">
    <w:p w14:paraId="4D2EAFA4" w14:textId="77777777" w:rsidR="0090230A" w:rsidRPr="00A853EB" w:rsidRDefault="0090230A"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RNA Lab, </w:t>
      </w:r>
      <w:r w:rsidRPr="00A853EB">
        <w:rPr>
          <w:rFonts w:ascii="Garamond" w:hAnsi="Garamond"/>
          <w:smallCaps/>
          <w:lang w:val="en-US"/>
        </w:rPr>
        <w:t xml:space="preserve">race, neighborhoods, and </w:t>
      </w:r>
      <w:proofErr w:type="spellStart"/>
      <w:proofErr w:type="gramStart"/>
      <w:r w:rsidRPr="00A853EB">
        <w:rPr>
          <w:rFonts w:ascii="Garamond" w:hAnsi="Garamond"/>
          <w:smallCaps/>
          <w:lang w:val="en-US"/>
        </w:rPr>
        <w:t>african-american</w:t>
      </w:r>
      <w:proofErr w:type="spellEnd"/>
      <w:proofErr w:type="gramEnd"/>
      <w:r w:rsidRPr="00A853EB">
        <w:rPr>
          <w:rFonts w:ascii="Garamond" w:hAnsi="Garamond"/>
          <w:smallCaps/>
          <w:lang w:val="en-US"/>
        </w:rPr>
        <w:t xml:space="preserve"> HEALTH (</w:t>
      </w:r>
      <w:r w:rsidRPr="00A853EB">
        <w:rPr>
          <w:rFonts w:ascii="Garamond" w:hAnsi="Garamond"/>
          <w:lang w:val="en-US"/>
        </w:rPr>
        <w:t xml:space="preserve">accessed on May 7, 2022) </w:t>
      </w:r>
      <w:r w:rsidRPr="00A853EB">
        <w:rPr>
          <w:rFonts w:ascii="Garamond" w:hAnsi="Garamond"/>
        </w:rPr>
        <w:t xml:space="preserve"> </w:t>
      </w:r>
    </w:p>
    <w:p w14:paraId="131516F9" w14:textId="77777777" w:rsidR="0090230A" w:rsidRPr="00A853EB" w:rsidRDefault="000F34B4" w:rsidP="00474744">
      <w:pPr>
        <w:pStyle w:val="FootnoteText"/>
        <w:ind w:left="0" w:firstLine="0"/>
        <w:rPr>
          <w:rFonts w:ascii="Garamond" w:hAnsi="Garamond"/>
          <w:lang w:val="en-US"/>
        </w:rPr>
      </w:pPr>
      <w:hyperlink r:id="rId119" w:history="1">
        <w:r w:rsidR="0090230A" w:rsidRPr="00A853EB">
          <w:rPr>
            <w:rStyle w:val="Hyperlink"/>
            <w:rFonts w:ascii="Garamond" w:hAnsi="Garamond"/>
          </w:rPr>
          <w:t>http://rna-lab.com/publishedpapers</w:t>
        </w:r>
      </w:hyperlink>
      <w:r w:rsidR="0090230A" w:rsidRPr="00A853EB">
        <w:rPr>
          <w:rFonts w:ascii="Garamond" w:hAnsi="Garamond"/>
        </w:rPr>
        <w:t xml:space="preserve">. </w:t>
      </w:r>
    </w:p>
  </w:footnote>
  <w:footnote w:id="166">
    <w:p w14:paraId="7734CD75" w14:textId="77777777" w:rsidR="0090230A" w:rsidRPr="00A853EB" w:rsidRDefault="0090230A" w:rsidP="00474744">
      <w:pPr>
        <w:rPr>
          <w:rFonts w:ascii="Garamond" w:hAnsi="Garamond"/>
          <w:sz w:val="20"/>
          <w:szCs w:val="20"/>
        </w:rPr>
      </w:pPr>
      <w:r w:rsidRPr="00A853EB">
        <w:rPr>
          <w:rStyle w:val="FootnoteReference"/>
          <w:rFonts w:ascii="Garamond" w:eastAsia="Arial" w:hAnsi="Garamond"/>
          <w:sz w:val="20"/>
          <w:szCs w:val="20"/>
        </w:rPr>
        <w:footnoteRef/>
      </w:r>
      <w:r w:rsidRPr="00A853EB">
        <w:rPr>
          <w:rFonts w:ascii="Garamond" w:hAnsi="Garamond"/>
          <w:sz w:val="20"/>
          <w:szCs w:val="20"/>
        </w:rPr>
        <w:t xml:space="preserve"> </w:t>
      </w:r>
      <w:r w:rsidRPr="00A853EB">
        <w:rPr>
          <w:rFonts w:ascii="Garamond" w:hAnsi="Garamond"/>
          <w:i/>
          <w:iCs/>
          <w:sz w:val="20"/>
          <w:szCs w:val="20"/>
        </w:rPr>
        <w:t>Id</w:t>
      </w:r>
      <w:r w:rsidRPr="00A853EB">
        <w:rPr>
          <w:rFonts w:ascii="Garamond" w:hAnsi="Garamond"/>
          <w:sz w:val="20"/>
          <w:szCs w:val="20"/>
        </w:rPr>
        <w:t>.</w:t>
      </w:r>
    </w:p>
  </w:footnote>
  <w:footnote w:id="167">
    <w:p w14:paraId="3FBAFEDC" w14:textId="77777777" w:rsidR="0090230A" w:rsidRPr="00A853EB" w:rsidRDefault="0090230A" w:rsidP="00474744">
      <w:pPr>
        <w:pStyle w:val="FootnoteText"/>
        <w:ind w:left="0" w:firstLine="0"/>
        <w:rPr>
          <w:rFonts w:ascii="Garamond" w:hAnsi="Garamond"/>
          <w:i/>
          <w:iCs/>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 xml:space="preserve">Id. </w:t>
      </w:r>
    </w:p>
  </w:footnote>
  <w:footnote w:id="168">
    <w:p w14:paraId="48FC997F" w14:textId="77777777" w:rsidR="0090230A" w:rsidRPr="00A853EB" w:rsidRDefault="0090230A" w:rsidP="00474744">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Rebecca </w:t>
      </w:r>
      <w:proofErr w:type="spellStart"/>
      <w:r w:rsidRPr="00A853EB">
        <w:rPr>
          <w:rFonts w:ascii="Garamond" w:hAnsi="Garamond"/>
        </w:rPr>
        <w:t>Hersher</w:t>
      </w:r>
      <w:proofErr w:type="spellEnd"/>
      <w:r w:rsidRPr="00A853EB">
        <w:rPr>
          <w:rFonts w:ascii="Garamond" w:hAnsi="Garamond"/>
        </w:rPr>
        <w:t xml:space="preserve">, </w:t>
      </w:r>
      <w:r w:rsidRPr="00A853EB">
        <w:rPr>
          <w:rFonts w:ascii="Garamond" w:hAnsi="Garamond"/>
          <w:i/>
          <w:iCs/>
        </w:rPr>
        <w:t>Hope and Skepticism as Biden Promises to Address Environmental Racism</w:t>
      </w:r>
      <w:r w:rsidRPr="00A853EB">
        <w:rPr>
          <w:rFonts w:ascii="Garamond" w:hAnsi="Garamond"/>
        </w:rPr>
        <w:t xml:space="preserve">, </w:t>
      </w:r>
      <w:r w:rsidRPr="00A853EB">
        <w:rPr>
          <w:rFonts w:ascii="Garamond" w:hAnsi="Garamond"/>
          <w:smallCaps/>
        </w:rPr>
        <w:t>National Public Radio</w:t>
      </w:r>
      <w:r w:rsidRPr="00A853EB">
        <w:rPr>
          <w:rFonts w:ascii="Garamond" w:hAnsi="Garamond"/>
        </w:rPr>
        <w:t xml:space="preserve"> (Jan. 29, 2021)  </w:t>
      </w:r>
      <w:hyperlink r:id="rId120" w:history="1">
        <w:r w:rsidRPr="00A853EB">
          <w:rPr>
            <w:rStyle w:val="Hyperlink"/>
            <w:rFonts w:ascii="Garamond" w:hAnsi="Garamond"/>
          </w:rPr>
          <w:t>https://www.npr.org/2021/01/29/956012329/hope-and-skepticism-as-biden-promises-to-address-environmental-racism</w:t>
        </w:r>
      </w:hyperlink>
      <w:r w:rsidRPr="00A853EB">
        <w:rPr>
          <w:rStyle w:val="Hyperlink"/>
          <w:rFonts w:ascii="Garamond" w:hAnsi="Garamond"/>
        </w:rPr>
        <w:t xml:space="preserve">. </w:t>
      </w:r>
    </w:p>
  </w:footnote>
  <w:footnote w:id="169">
    <w:p w14:paraId="07A38705" w14:textId="02CA523A"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Maris Feeley, Ending Hunger is a Gender Equity Issue, Food Research and Action Center (accessed May 8, 2022)</w:t>
      </w:r>
      <w:r w:rsidRPr="00A853EB">
        <w:rPr>
          <w:rFonts w:ascii="Garamond" w:hAnsi="Garamond"/>
        </w:rPr>
        <w:t xml:space="preserve"> </w:t>
      </w:r>
      <w:hyperlink r:id="rId121" w:anchor=":~:text=According%20to%20USDA's%20most%20recent,reduce%20food%20insecurity%20among%20women" w:history="1">
        <w:r w:rsidR="003C108E" w:rsidRPr="00A21CFC">
          <w:rPr>
            <w:rStyle w:val="Hyperlink"/>
            <w:rFonts w:ascii="Garamond" w:hAnsi="Garamond"/>
            <w:lang w:val="en-US"/>
          </w:rPr>
          <w:t>https://frac.org/blog/ending-hunger-gender-equity-issue#:~:text=According%20to%20USDA's%20most%20recent,reduce%20food%20insecurity%20among%20women</w:t>
        </w:r>
      </w:hyperlink>
      <w:r w:rsidRPr="00A853EB">
        <w:rPr>
          <w:rFonts w:ascii="Garamond" w:hAnsi="Garamond"/>
          <w:lang w:val="en-US"/>
        </w:rPr>
        <w:t>.</w:t>
      </w:r>
      <w:r w:rsidR="003C108E">
        <w:rPr>
          <w:rFonts w:ascii="Garamond" w:hAnsi="Garamond"/>
          <w:lang w:val="en-US"/>
        </w:rPr>
        <w:t xml:space="preserve"> </w:t>
      </w:r>
    </w:p>
  </w:footnote>
  <w:footnote w:id="170">
    <w:p w14:paraId="277F7873"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Hunger and Poverty in Female-Headed Households</w:t>
      </w:r>
      <w:r w:rsidRPr="00A853EB">
        <w:rPr>
          <w:rFonts w:ascii="Garamond" w:hAnsi="Garamond"/>
          <w:lang w:val="en-US"/>
        </w:rPr>
        <w:t xml:space="preserve">, </w:t>
      </w:r>
      <w:r w:rsidRPr="00A853EB">
        <w:rPr>
          <w:rFonts w:ascii="Garamond" w:hAnsi="Garamond"/>
          <w:smallCaps/>
          <w:lang w:val="en-US"/>
        </w:rPr>
        <w:t xml:space="preserve">Bread for the World </w:t>
      </w:r>
      <w:r w:rsidRPr="00A853EB">
        <w:rPr>
          <w:rFonts w:ascii="Garamond" w:hAnsi="Garamond"/>
          <w:lang w:val="en-US"/>
        </w:rPr>
        <w:t xml:space="preserve">(May 2019) </w:t>
      </w:r>
      <w:hyperlink r:id="rId122" w:history="1">
        <w:r w:rsidRPr="00A853EB">
          <w:rPr>
            <w:rStyle w:val="Hyperlink"/>
            <w:rFonts w:ascii="Garamond" w:hAnsi="Garamond"/>
            <w:lang w:val="en-US"/>
          </w:rPr>
          <w:t>https://www.bread.org/sites/default/files/downloads/hunger-poverty-female-headed-households-may-2019.pdf</w:t>
        </w:r>
      </w:hyperlink>
      <w:r w:rsidRPr="00A853EB">
        <w:rPr>
          <w:rFonts w:ascii="Garamond" w:hAnsi="Garamond"/>
          <w:lang w:val="en-US"/>
        </w:rPr>
        <w:t xml:space="preserve">. </w:t>
      </w:r>
    </w:p>
  </w:footnote>
  <w:footnote w:id="171">
    <w:p w14:paraId="603C9F01"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 xml:space="preserve">Id. </w:t>
      </w:r>
    </w:p>
  </w:footnote>
  <w:footnote w:id="172">
    <w:p w14:paraId="10ACD14B"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Poonam Gupta, Dulce Gonzalez, &amp; Elaine Waxman, </w:t>
      </w:r>
      <w:r w:rsidRPr="00A853EB">
        <w:rPr>
          <w:rFonts w:ascii="Garamond" w:hAnsi="Garamond"/>
          <w:i/>
          <w:iCs/>
        </w:rPr>
        <w:t xml:space="preserve">Forty Percent of Black and Hispanic Parents of School-Age Children Are Food Insecure </w:t>
      </w:r>
      <w:r w:rsidRPr="00A853EB">
        <w:rPr>
          <w:rFonts w:ascii="Garamond" w:hAnsi="Garamond"/>
        </w:rPr>
        <w:t xml:space="preserve">(Dec. 8, 2020) </w:t>
      </w:r>
      <w:hyperlink r:id="rId123" w:history="1">
        <w:r w:rsidRPr="00A853EB">
          <w:rPr>
            <w:rStyle w:val="Hyperlink"/>
            <w:rFonts w:ascii="Garamond" w:hAnsi="Garamond"/>
          </w:rPr>
          <w:t>https://www.urban.org/research/publication/forty-percent-black-and-hispanic-parents-school-age-children-are-food-insecure</w:t>
        </w:r>
      </w:hyperlink>
      <w:r w:rsidRPr="00A853EB">
        <w:rPr>
          <w:rFonts w:ascii="Garamond" w:hAnsi="Garamond"/>
        </w:rPr>
        <w:t xml:space="preserve">.  </w:t>
      </w:r>
    </w:p>
  </w:footnote>
  <w:footnote w:id="173">
    <w:p w14:paraId="50E5DB40"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Id.</w:t>
      </w:r>
      <w:r w:rsidRPr="00A853EB">
        <w:rPr>
          <w:rFonts w:ascii="Garamond" w:hAnsi="Garamond"/>
          <w:lang w:val="en-US"/>
        </w:rPr>
        <w:t xml:space="preserve"> </w:t>
      </w:r>
    </w:p>
  </w:footnote>
  <w:footnote w:id="174">
    <w:p w14:paraId="1D18F826"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Compromises and coping strategies, Feeding America (accessed May 7, 2022) </w:t>
      </w:r>
      <w:hyperlink r:id="rId124" w:anchor=":~:text=Hunger%20and%20child%20development&amp;text=Research%20shows%20an%20association%20between,aggression%20in%20school%2Dage%20children" w:history="1">
        <w:r w:rsidRPr="00A853EB">
          <w:rPr>
            <w:rStyle w:val="Hyperlink"/>
            <w:rFonts w:ascii="Garamond" w:hAnsi="Garamond"/>
            <w:lang w:val="en-US"/>
          </w:rPr>
          <w:t>https://www.feedingamerica.org/hunger-in-america/impact-of-hunger#:~:text=Hunger%20and%20child%20development&amp;text=Research%20shows%20an%20association%20between,aggression%20in%20school%2Dage%20children</w:t>
        </w:r>
      </w:hyperlink>
      <w:r w:rsidRPr="00A853EB">
        <w:rPr>
          <w:rFonts w:ascii="Garamond" w:hAnsi="Garamond"/>
          <w:lang w:val="en-US"/>
        </w:rPr>
        <w:t xml:space="preserve">. </w:t>
      </w:r>
    </w:p>
  </w:footnote>
  <w:footnote w:id="175">
    <w:p w14:paraId="61F491BC"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 xml:space="preserve">Id. </w:t>
      </w:r>
    </w:p>
  </w:footnote>
  <w:footnote w:id="176">
    <w:p w14:paraId="7E87C185"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CRC art 29, opened for signature Nov. 20, 1989, 1577 U.N.T.S. 3 (entered into force Sept. 2, 1990).</w:t>
      </w:r>
    </w:p>
  </w:footnote>
  <w:footnote w:id="177">
    <w:p w14:paraId="3917FE8F"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see UNHR factsheet </w:t>
      </w:r>
    </w:p>
  </w:footnote>
  <w:footnote w:id="178">
    <w:p w14:paraId="688D7582"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Katherine Jones et. al., </w:t>
      </w:r>
      <w:r w:rsidRPr="00A853EB">
        <w:rPr>
          <w:rFonts w:ascii="Garamond" w:hAnsi="Garamond"/>
          <w:lang w:val="en-US"/>
        </w:rPr>
        <w:t xml:space="preserve">Racial and Ethnic Disparities in Breastfeeding, National Library of Medicine (May 1, 2015) </w:t>
      </w:r>
      <w:hyperlink r:id="rId125" w:history="1">
        <w:r w:rsidRPr="00A853EB">
          <w:rPr>
            <w:rStyle w:val="Hyperlink"/>
            <w:rFonts w:ascii="Garamond" w:hAnsi="Garamond"/>
            <w:lang w:val="en-US"/>
          </w:rPr>
          <w:t>https://www.ncbi.nlm.nih.gov/pmc/articles/PMC4410446/</w:t>
        </w:r>
      </w:hyperlink>
      <w:r w:rsidRPr="00A853EB">
        <w:rPr>
          <w:rFonts w:ascii="Garamond" w:hAnsi="Garamond"/>
          <w:lang w:val="en-US"/>
        </w:rPr>
        <w:t xml:space="preserve">. </w:t>
      </w:r>
    </w:p>
  </w:footnote>
  <w:footnote w:id="179">
    <w:p w14:paraId="15E1F9F6"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Amani Echols, </w:t>
      </w:r>
      <w:r w:rsidRPr="00A853EB">
        <w:rPr>
          <w:rFonts w:ascii="Garamond" w:hAnsi="Garamond"/>
          <w:i/>
          <w:iCs/>
          <w:lang w:val="en-US"/>
        </w:rPr>
        <w:t>The Challenges of Breastfeeding as a Black Person</w:t>
      </w:r>
      <w:r w:rsidRPr="00A853EB">
        <w:rPr>
          <w:rFonts w:ascii="Garamond" w:hAnsi="Garamond"/>
          <w:lang w:val="en-US"/>
        </w:rPr>
        <w:t xml:space="preserve">, </w:t>
      </w:r>
      <w:r w:rsidRPr="00A853EB">
        <w:rPr>
          <w:rFonts w:ascii="Garamond" w:hAnsi="Garamond"/>
          <w:smallCaps/>
          <w:lang w:val="en-US"/>
        </w:rPr>
        <w:t>American Civil Liberties Union</w:t>
      </w:r>
      <w:r w:rsidRPr="00A853EB">
        <w:rPr>
          <w:rFonts w:ascii="Garamond" w:hAnsi="Garamond"/>
          <w:lang w:val="en-US"/>
        </w:rPr>
        <w:t xml:space="preserve"> (Aug. 15, 2019) </w:t>
      </w:r>
      <w:hyperlink r:id="rId126" w:history="1">
        <w:r w:rsidRPr="00A853EB">
          <w:rPr>
            <w:rStyle w:val="Hyperlink"/>
            <w:rFonts w:ascii="Garamond" w:hAnsi="Garamond"/>
            <w:lang w:val="en-US"/>
          </w:rPr>
          <w:t>https://www.aclu.org/blog/womens-rights/pregnancy-and-parenting-discrimination/challenges-breastfeeding-black-person</w:t>
        </w:r>
      </w:hyperlink>
      <w:r w:rsidRPr="00A853EB">
        <w:rPr>
          <w:rFonts w:ascii="Garamond" w:hAnsi="Garamond"/>
          <w:lang w:val="en-US"/>
        </w:rPr>
        <w:t xml:space="preserve">. </w:t>
      </w:r>
    </w:p>
  </w:footnote>
  <w:footnote w:id="180">
    <w:p w14:paraId="193EFDE7"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i/>
          <w:iCs/>
        </w:rPr>
        <w:t xml:space="preserve"> </w:t>
      </w:r>
      <w:r w:rsidRPr="00A853EB">
        <w:rPr>
          <w:rFonts w:ascii="Garamond" w:hAnsi="Garamond"/>
          <w:i/>
          <w:iCs/>
          <w:lang w:val="en-US"/>
        </w:rPr>
        <w:t xml:space="preserve">Id. </w:t>
      </w:r>
    </w:p>
  </w:footnote>
  <w:footnote w:id="181">
    <w:p w14:paraId="209F4EDA"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lang w:val="en-US"/>
        </w:rPr>
        <w:t xml:space="preserve">Laura Santhanam, </w:t>
      </w:r>
      <w:r w:rsidRPr="00A853EB">
        <w:rPr>
          <w:rFonts w:ascii="Garamond" w:hAnsi="Garamond"/>
          <w:i/>
          <w:iCs/>
          <w:lang w:val="en-US"/>
        </w:rPr>
        <w:t>Racial disparities persist for breastfeeding moms. Here’s why</w:t>
      </w:r>
      <w:r w:rsidRPr="00A853EB">
        <w:rPr>
          <w:rFonts w:ascii="Garamond" w:hAnsi="Garamond"/>
          <w:lang w:val="en-US"/>
        </w:rPr>
        <w:t xml:space="preserve">, </w:t>
      </w:r>
      <w:r w:rsidRPr="00A853EB">
        <w:rPr>
          <w:rFonts w:ascii="Garamond" w:hAnsi="Garamond"/>
          <w:smallCaps/>
          <w:lang w:val="en-US"/>
        </w:rPr>
        <w:t>Public Broadcasting Service</w:t>
      </w:r>
      <w:r w:rsidRPr="00A853EB">
        <w:rPr>
          <w:rFonts w:ascii="Garamond" w:hAnsi="Garamond"/>
          <w:lang w:val="en-US"/>
        </w:rPr>
        <w:t xml:space="preserve"> (Aug. 29, 2019) </w:t>
      </w:r>
      <w:hyperlink r:id="rId127" w:history="1">
        <w:r w:rsidRPr="00A853EB">
          <w:rPr>
            <w:rStyle w:val="Hyperlink"/>
            <w:rFonts w:ascii="Garamond" w:hAnsi="Garamond"/>
            <w:lang w:val="en-US"/>
          </w:rPr>
          <w:t>https://www.pbs.org/newshour/health/racial-disparities-persist-for-breastfeeding-moms-heres-why</w:t>
        </w:r>
      </w:hyperlink>
      <w:r w:rsidRPr="00A853EB">
        <w:rPr>
          <w:rFonts w:ascii="Garamond" w:hAnsi="Garamond"/>
          <w:lang w:val="en-US"/>
        </w:rPr>
        <w:t xml:space="preserve">. </w:t>
      </w:r>
    </w:p>
  </w:footnote>
  <w:footnote w:id="182">
    <w:p w14:paraId="1AA0C30F"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Id.</w:t>
      </w:r>
      <w:r w:rsidRPr="00A853EB">
        <w:rPr>
          <w:rFonts w:ascii="Garamond" w:hAnsi="Garamond"/>
          <w:lang w:val="en-US"/>
        </w:rPr>
        <w:t xml:space="preserve"> </w:t>
      </w:r>
    </w:p>
  </w:footnote>
  <w:footnote w:id="183">
    <w:p w14:paraId="2467E354" w14:textId="37ED3E94" w:rsidR="00516208" w:rsidRPr="003C108E" w:rsidRDefault="00516208" w:rsidP="00474744">
      <w:pPr>
        <w:pStyle w:val="FootnoteText"/>
        <w:ind w:left="0" w:firstLine="0"/>
        <w:rPr>
          <w:rFonts w:ascii="Garamond" w:hAnsi="Garamond"/>
          <w:color w:val="000000" w:themeColor="text1"/>
          <w:lang w:val="en-US"/>
        </w:rPr>
      </w:pPr>
      <w:r w:rsidRPr="00A853EB">
        <w:rPr>
          <w:rStyle w:val="FootnoteReference"/>
          <w:rFonts w:ascii="Garamond" w:hAnsi="Garamond"/>
        </w:rPr>
        <w:footnoteRef/>
      </w:r>
      <w:r w:rsidRPr="00A853EB">
        <w:rPr>
          <w:rFonts w:ascii="Garamond" w:hAnsi="Garamond"/>
        </w:rPr>
        <w:t xml:space="preserve">Cory Turner, </w:t>
      </w:r>
      <w:r w:rsidRPr="00A853EB">
        <w:rPr>
          <w:rFonts w:ascii="Garamond" w:hAnsi="Garamond"/>
          <w:i/>
          <w:iCs/>
        </w:rPr>
        <w:t>Children are Going Hungry: Why Schools are Struggling to Feed Students</w:t>
      </w:r>
      <w:r w:rsidRPr="00A853EB">
        <w:rPr>
          <w:rFonts w:ascii="Garamond" w:hAnsi="Garamond"/>
        </w:rPr>
        <w:t xml:space="preserve">, </w:t>
      </w:r>
      <w:r w:rsidRPr="00A853EB">
        <w:rPr>
          <w:rFonts w:ascii="Garamond" w:hAnsi="Garamond"/>
          <w:smallCaps/>
        </w:rPr>
        <w:t>National Public Radio</w:t>
      </w:r>
      <w:r w:rsidRPr="00A853EB">
        <w:rPr>
          <w:rFonts w:ascii="Garamond" w:hAnsi="Garamond"/>
        </w:rPr>
        <w:t xml:space="preserve"> (Sep. 8, 2020) </w:t>
      </w:r>
      <w:hyperlink r:id="rId128" w:history="1">
        <w:r w:rsidRPr="00A853EB">
          <w:rPr>
            <w:rStyle w:val="Hyperlink"/>
            <w:rFonts w:ascii="Garamond" w:hAnsi="Garamond"/>
          </w:rPr>
          <w:t>https://www.npr.org/2020/09/08/908442609/children-are-going-hungry-why-schools-are-struggling-to-feed-students</w:t>
        </w:r>
      </w:hyperlink>
      <w:r w:rsidR="003C108E">
        <w:rPr>
          <w:rStyle w:val="Hyperlink"/>
          <w:rFonts w:ascii="Garamond" w:hAnsi="Garamond"/>
          <w:color w:val="000000" w:themeColor="text1"/>
          <w:u w:val="none"/>
        </w:rPr>
        <w:t>.</w:t>
      </w:r>
    </w:p>
  </w:footnote>
  <w:footnote w:id="184">
    <w:p w14:paraId="4088CEEE" w14:textId="17E0E5C2"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Lisa Held, </w:t>
      </w:r>
      <w:r w:rsidRPr="00A853EB">
        <w:rPr>
          <w:rFonts w:ascii="Garamond" w:hAnsi="Garamond"/>
          <w:i/>
          <w:iCs/>
        </w:rPr>
        <w:t>The Pandemic Reveals Racial Gaps in School Meal Access</w:t>
      </w:r>
      <w:r w:rsidRPr="00A853EB">
        <w:rPr>
          <w:rFonts w:ascii="Garamond" w:hAnsi="Garamond"/>
        </w:rPr>
        <w:t xml:space="preserve">, </w:t>
      </w:r>
      <w:r w:rsidRPr="00A853EB">
        <w:rPr>
          <w:rFonts w:ascii="Garamond" w:hAnsi="Garamond"/>
          <w:smallCaps/>
        </w:rPr>
        <w:t>Civil Eats</w:t>
      </w:r>
      <w:r w:rsidRPr="00A853EB">
        <w:rPr>
          <w:rFonts w:ascii="Garamond" w:hAnsi="Garamond"/>
        </w:rPr>
        <w:t xml:space="preserve"> (Jan. 26, 2021) </w:t>
      </w:r>
      <w:hyperlink r:id="rId129" w:history="1">
        <w:r w:rsidRPr="00A853EB">
          <w:rPr>
            <w:rStyle w:val="Hyperlink"/>
            <w:rFonts w:ascii="Garamond" w:hAnsi="Garamond"/>
          </w:rPr>
          <w:t>https://civileats.com/2021/01/26/did-pandemic-disruptions-to-school-meal-programs-leave-out-students-of-color/</w:t>
        </w:r>
      </w:hyperlink>
      <w:r w:rsidR="003C108E">
        <w:rPr>
          <w:rStyle w:val="Hyperlink"/>
          <w:rFonts w:ascii="Garamond" w:hAnsi="Garamond"/>
          <w:color w:val="000000" w:themeColor="text1"/>
          <w:u w:val="none"/>
        </w:rPr>
        <w:t>.</w:t>
      </w:r>
      <w:r w:rsidRPr="00A853EB">
        <w:rPr>
          <w:rFonts w:ascii="Garamond" w:hAnsi="Garamond"/>
        </w:rPr>
        <w:t xml:space="preserve"> </w:t>
      </w:r>
    </w:p>
  </w:footnote>
  <w:footnote w:id="185">
    <w:p w14:paraId="5B7749E4" w14:textId="435C0779" w:rsidR="00516208" w:rsidRPr="003C108E" w:rsidRDefault="00516208" w:rsidP="00474744">
      <w:pPr>
        <w:pStyle w:val="FootnoteText"/>
        <w:ind w:left="0" w:firstLine="0"/>
        <w:rPr>
          <w:rFonts w:ascii="Garamond" w:hAnsi="Garamond"/>
          <w:color w:val="000000" w:themeColor="text1"/>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rPr>
        <w:t>Black, Hispanic Americans are Overrepresented in Essential Jobs</w:t>
      </w:r>
      <w:r w:rsidRPr="00A853EB">
        <w:rPr>
          <w:rFonts w:ascii="Garamond" w:hAnsi="Garamond"/>
        </w:rPr>
        <w:t xml:space="preserve">, University of Illinois Chicago (Feb. 2, 2021) </w:t>
      </w:r>
      <w:hyperlink r:id="rId130" w:anchor=":~:text=The%20CDC%20notes%20that%20essential,Numerous%20studies%20confirm%20these%20findings%2C" w:history="1">
        <w:r w:rsidRPr="00A853EB">
          <w:rPr>
            <w:rStyle w:val="Hyperlink"/>
            <w:rFonts w:ascii="Garamond" w:hAnsi="Garamond"/>
          </w:rPr>
          <w:t>https://publichealth.uic.edu/news-stories/black-hispanic-americans-are-overrepresented-in-essential-jobs/#:~:text=The%20CDC%20notes%20that%20essential,Numerous%20studies%20confirm%20these%20findings%2C</w:t>
        </w:r>
      </w:hyperlink>
      <w:r w:rsidR="003C108E">
        <w:rPr>
          <w:rStyle w:val="Hyperlink"/>
          <w:rFonts w:ascii="Garamond" w:hAnsi="Garamond"/>
          <w:color w:val="000000" w:themeColor="text1"/>
          <w:u w:val="none"/>
        </w:rPr>
        <w:t>.</w:t>
      </w:r>
    </w:p>
  </w:footnote>
  <w:footnote w:id="186">
    <w:p w14:paraId="0A5A89F8" w14:textId="0EDDE0D3"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U.S. </w:t>
      </w:r>
      <w:proofErr w:type="spellStart"/>
      <w:r w:rsidRPr="00A853EB">
        <w:rPr>
          <w:rFonts w:ascii="Garamond" w:hAnsi="Garamond"/>
        </w:rPr>
        <w:t>Dep’t</w:t>
      </w:r>
      <w:proofErr w:type="spellEnd"/>
      <w:r w:rsidRPr="00A853EB">
        <w:rPr>
          <w:rFonts w:ascii="Garamond" w:hAnsi="Garamond"/>
        </w:rPr>
        <w:t xml:space="preserve"> of Agriculture ERS Economic Research Service, National School Lunch Program  </w:t>
      </w:r>
      <w:hyperlink r:id="rId131" w:history="1">
        <w:r w:rsidRPr="00A853EB">
          <w:rPr>
            <w:rStyle w:val="Hyperlink"/>
            <w:rFonts w:ascii="Garamond" w:hAnsi="Garamond"/>
          </w:rPr>
          <w:t>https://www.ers.usda.gov/topics/food-nutrition-assistance/child-nutrition-programs/national-school-lunch-program/</w:t>
        </w:r>
      </w:hyperlink>
      <w:r w:rsidR="003C108E">
        <w:rPr>
          <w:rStyle w:val="Hyperlink"/>
          <w:rFonts w:ascii="Garamond" w:hAnsi="Garamond"/>
          <w:color w:val="000000" w:themeColor="text1"/>
          <w:u w:val="none"/>
        </w:rPr>
        <w:t>.</w:t>
      </w:r>
      <w:r w:rsidRPr="00A853EB">
        <w:rPr>
          <w:rFonts w:ascii="Garamond" w:hAnsi="Garamond"/>
        </w:rPr>
        <w:t xml:space="preserve"> </w:t>
      </w:r>
    </w:p>
  </w:footnote>
  <w:footnote w:id="187">
    <w:p w14:paraId="4E6BB646"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Marlene Schwartz, </w:t>
      </w:r>
      <w:r w:rsidRPr="00A853EB">
        <w:rPr>
          <w:rFonts w:ascii="Garamond" w:hAnsi="Garamond"/>
          <w:i/>
          <w:iCs/>
        </w:rPr>
        <w:t>Schools will stop serving free lunch to all students- a pandemic solution left out of a new federal spending package</w:t>
      </w:r>
      <w:r w:rsidRPr="00A853EB">
        <w:rPr>
          <w:rFonts w:ascii="Garamond" w:hAnsi="Garamond"/>
        </w:rPr>
        <w:t xml:space="preserve">, </w:t>
      </w:r>
      <w:r w:rsidRPr="00A853EB">
        <w:rPr>
          <w:rFonts w:ascii="Garamond" w:hAnsi="Garamond"/>
          <w:smallCaps/>
        </w:rPr>
        <w:t>The Conversation</w:t>
      </w:r>
      <w:r w:rsidRPr="00A853EB">
        <w:rPr>
          <w:rFonts w:ascii="Garamond" w:hAnsi="Garamond"/>
        </w:rPr>
        <w:t xml:space="preserve"> (Mar. 14, 2022) </w:t>
      </w:r>
      <w:hyperlink r:id="rId132" w:history="1">
        <w:r w:rsidRPr="00A853EB">
          <w:rPr>
            <w:rStyle w:val="Hyperlink"/>
            <w:rFonts w:ascii="Garamond" w:hAnsi="Garamond"/>
          </w:rPr>
          <w:t>https://theconversation.com/schools-will-stop-serving-free-lunch-to-all-students-a-pandemic-solution-left-out-of-a-new-federal-spending-package-179058</w:t>
        </w:r>
      </w:hyperlink>
      <w:r w:rsidRPr="00A853EB">
        <w:rPr>
          <w:rFonts w:ascii="Garamond" w:hAnsi="Garamond"/>
        </w:rPr>
        <w:t xml:space="preserve">.  </w:t>
      </w:r>
    </w:p>
  </w:footnote>
  <w:footnote w:id="188">
    <w:p w14:paraId="153C8AB3"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Id.</w:t>
      </w:r>
      <w:r w:rsidRPr="00A853EB">
        <w:rPr>
          <w:rFonts w:ascii="Garamond" w:hAnsi="Garamond"/>
          <w:lang w:val="en-US"/>
        </w:rPr>
        <w:t xml:space="preserve"> </w:t>
      </w:r>
    </w:p>
  </w:footnote>
  <w:footnote w:id="189">
    <w:p w14:paraId="4EA1C4C0" w14:textId="77777777" w:rsidR="00516208" w:rsidRPr="00A853EB" w:rsidRDefault="00516208" w:rsidP="00474744">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w:t>
      </w:r>
      <w:r w:rsidRPr="00A853EB">
        <w:rPr>
          <w:rFonts w:ascii="Garamond" w:hAnsi="Garamond"/>
          <w:i/>
          <w:iCs/>
          <w:lang w:val="en-US"/>
        </w:rPr>
        <w:t>Id.</w:t>
      </w:r>
      <w:r w:rsidRPr="00A853EB">
        <w:rPr>
          <w:rFonts w:ascii="Garamond" w:hAnsi="Garamond"/>
          <w:lang w:val="en-US"/>
        </w:rPr>
        <w:t xml:space="preserve"> States like California and Maine will continue to provide universal school lunches after federal waiver ends. </w:t>
      </w:r>
    </w:p>
  </w:footnote>
  <w:footnote w:id="190">
    <w:p w14:paraId="2F05DDC8" w14:textId="77777777" w:rsidR="00516208" w:rsidRPr="00A853EB" w:rsidRDefault="00516208" w:rsidP="00474744">
      <w:pPr>
        <w:pStyle w:val="FootnoteText"/>
        <w:ind w:left="0" w:firstLine="0"/>
        <w:rPr>
          <w:rFonts w:ascii="Garamond" w:hAnsi="Garamond"/>
          <w:color w:val="000000" w:themeColor="text1"/>
          <w:lang w:val="en-US"/>
        </w:rPr>
      </w:pPr>
      <w:r w:rsidRPr="00A853EB">
        <w:rPr>
          <w:rStyle w:val="FootnoteReference"/>
          <w:rFonts w:ascii="Garamond" w:hAnsi="Garamond"/>
        </w:rPr>
        <w:footnoteRef/>
      </w:r>
      <w:r w:rsidRPr="00A853EB">
        <w:rPr>
          <w:rFonts w:ascii="Garamond" w:hAnsi="Garamond"/>
        </w:rPr>
        <w:t xml:space="preserve"> Amy Brown &amp; Janna </w:t>
      </w:r>
      <w:proofErr w:type="spellStart"/>
      <w:r w:rsidRPr="00A853EB">
        <w:rPr>
          <w:rFonts w:ascii="Garamond" w:hAnsi="Garamond"/>
        </w:rPr>
        <w:t>Bilski</w:t>
      </w:r>
      <w:proofErr w:type="spellEnd"/>
      <w:r w:rsidRPr="00A853EB">
        <w:rPr>
          <w:rFonts w:ascii="Garamond" w:hAnsi="Garamond"/>
        </w:rPr>
        <w:t xml:space="preserve">, </w:t>
      </w:r>
      <w:r w:rsidRPr="00A853EB">
        <w:rPr>
          <w:rFonts w:ascii="Garamond" w:hAnsi="Garamond"/>
          <w:i/>
          <w:iCs/>
        </w:rPr>
        <w:t>Fighting the stigma of free lunch: Why universal free school lunch is good for students, schools, and families</w:t>
      </w:r>
      <w:r w:rsidRPr="00A853EB">
        <w:rPr>
          <w:rFonts w:ascii="Garamond" w:hAnsi="Garamond"/>
        </w:rPr>
        <w:t xml:space="preserve">, </w:t>
      </w:r>
      <w:r w:rsidRPr="00A853EB">
        <w:rPr>
          <w:rFonts w:ascii="Garamond" w:hAnsi="Garamond"/>
          <w:smallCaps/>
        </w:rPr>
        <w:t>Ford Foundation</w:t>
      </w:r>
      <w:r w:rsidRPr="00A853EB">
        <w:rPr>
          <w:rFonts w:ascii="Garamond" w:hAnsi="Garamond"/>
        </w:rPr>
        <w:t xml:space="preserve"> (Sep. 29, 2017) </w:t>
      </w:r>
      <w:hyperlink r:id="rId133" w:history="1">
        <w:r w:rsidRPr="00A853EB">
          <w:rPr>
            <w:rStyle w:val="Hyperlink"/>
            <w:rFonts w:ascii="Garamond" w:hAnsi="Garamond"/>
          </w:rPr>
          <w:t>https://www.fordfoundation.org/news-and-stories/stories/posts/fighting-the-stigma-of-free-lunch-why-universal-free-school-lunch-is-good-for-students-schools-and-families/</w:t>
        </w:r>
      </w:hyperlink>
      <w:r w:rsidRPr="00A853EB">
        <w:rPr>
          <w:rStyle w:val="Hyperlink"/>
          <w:rFonts w:ascii="Garamond" w:hAnsi="Garamond"/>
          <w:color w:val="000000" w:themeColor="text1"/>
          <w:u w:val="non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56C6"/>
    <w:multiLevelType w:val="hybridMultilevel"/>
    <w:tmpl w:val="EEA822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8A3DA1"/>
    <w:multiLevelType w:val="hybridMultilevel"/>
    <w:tmpl w:val="004836D4"/>
    <w:lvl w:ilvl="0" w:tplc="FFFFFFFF">
      <w:start w:val="28"/>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DD14F3E"/>
    <w:multiLevelType w:val="hybridMultilevel"/>
    <w:tmpl w:val="CE96E7D8"/>
    <w:lvl w:ilvl="0" w:tplc="3AF67F3E">
      <w:start w:val="1"/>
      <w:numFmt w:val="decimal"/>
      <w:lvlText w:val="%1."/>
      <w:lvlJc w:val="left"/>
      <w:pPr>
        <w:ind w:left="720" w:hanging="360"/>
      </w:pPr>
      <w:rPr>
        <w:b w:val="0"/>
        <w:bCs/>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E55EDE"/>
    <w:multiLevelType w:val="hybridMultilevel"/>
    <w:tmpl w:val="8FB6DFF2"/>
    <w:lvl w:ilvl="0" w:tplc="713C648C">
      <w:start w:val="18"/>
      <w:numFmt w:val="decimal"/>
      <w:lvlText w:val="%1."/>
      <w:lvlJc w:val="left"/>
      <w:pPr>
        <w:ind w:left="1080" w:hanging="360"/>
      </w:pPr>
      <w:rPr>
        <w:rFonts w:hint="default"/>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068618E"/>
    <w:multiLevelType w:val="hybridMultilevel"/>
    <w:tmpl w:val="D6180B42"/>
    <w:lvl w:ilvl="0" w:tplc="F9282250">
      <w:start w:val="3"/>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BC7F74"/>
    <w:multiLevelType w:val="hybridMultilevel"/>
    <w:tmpl w:val="4D0049B0"/>
    <w:lvl w:ilvl="0" w:tplc="AC9A14FC">
      <w:start w:val="1"/>
      <w:numFmt w:val="upperLetter"/>
      <w:lvlText w:val="%1."/>
      <w:lvlJc w:val="left"/>
      <w:pPr>
        <w:ind w:left="108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2A66F09"/>
    <w:multiLevelType w:val="hybridMultilevel"/>
    <w:tmpl w:val="054A5498"/>
    <w:lvl w:ilvl="0" w:tplc="DB4ECFDA">
      <w:start w:val="8"/>
      <w:numFmt w:val="decimal"/>
      <w:lvlText w:val="%1."/>
      <w:lvlJc w:val="left"/>
      <w:pPr>
        <w:ind w:left="144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27680672"/>
    <w:multiLevelType w:val="hybridMultilevel"/>
    <w:tmpl w:val="B6905DD0"/>
    <w:lvl w:ilvl="0" w:tplc="713C648C">
      <w:start w:val="18"/>
      <w:numFmt w:val="decimal"/>
      <w:lvlText w:val="%1."/>
      <w:lvlJc w:val="left"/>
      <w:pPr>
        <w:ind w:left="720" w:hanging="360"/>
      </w:pPr>
      <w:rPr>
        <w:rFonts w:hint="default"/>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7E654F5"/>
    <w:multiLevelType w:val="hybridMultilevel"/>
    <w:tmpl w:val="E8300810"/>
    <w:lvl w:ilvl="0" w:tplc="270EBB46">
      <w:start w:val="3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C60FFD"/>
    <w:multiLevelType w:val="multilevel"/>
    <w:tmpl w:val="1ECAB70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826B6B"/>
    <w:multiLevelType w:val="hybridMultilevel"/>
    <w:tmpl w:val="092C55AE"/>
    <w:lvl w:ilvl="0" w:tplc="8E863142">
      <w:start w:val="50"/>
      <w:numFmt w:val="decimal"/>
      <w:lvlText w:val="%1."/>
      <w:lvlJc w:val="left"/>
      <w:pPr>
        <w:ind w:left="1080" w:hanging="360"/>
      </w:pPr>
      <w:rPr>
        <w:rFonts w:hint="default"/>
        <w:b w:val="0"/>
        <w:bCs/>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6C42FE6"/>
    <w:multiLevelType w:val="hybridMultilevel"/>
    <w:tmpl w:val="9E3E4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AB5626F"/>
    <w:multiLevelType w:val="hybridMultilevel"/>
    <w:tmpl w:val="20CC786A"/>
    <w:lvl w:ilvl="0" w:tplc="FB02447E">
      <w:start w:val="1"/>
      <w:numFmt w:val="decimal"/>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0BA4697"/>
    <w:multiLevelType w:val="hybridMultilevel"/>
    <w:tmpl w:val="0D643442"/>
    <w:lvl w:ilvl="0" w:tplc="E5BAC812">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D71642"/>
    <w:multiLevelType w:val="hybridMultilevel"/>
    <w:tmpl w:val="1890BB4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086E5C"/>
    <w:multiLevelType w:val="hybridMultilevel"/>
    <w:tmpl w:val="63841C18"/>
    <w:lvl w:ilvl="0" w:tplc="958A3EC4">
      <w:start w:val="43"/>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93123A"/>
    <w:multiLevelType w:val="hybridMultilevel"/>
    <w:tmpl w:val="2F88DF88"/>
    <w:lvl w:ilvl="0" w:tplc="04090013">
      <w:start w:val="1"/>
      <w:numFmt w:val="upperRoman"/>
      <w:lvlText w:val="%1."/>
      <w:lvlJc w:val="right"/>
      <w:pPr>
        <w:ind w:left="360" w:hanging="360"/>
      </w:pPr>
    </w:lvl>
    <w:lvl w:ilvl="1" w:tplc="1CE866AC">
      <w:start w:val="29"/>
      <w:numFmt w:val="decimal"/>
      <w:lvlText w:val="%2."/>
      <w:lvlJc w:val="left"/>
      <w:pPr>
        <w:ind w:left="1080" w:hanging="360"/>
      </w:pPr>
      <w:rPr>
        <w:rFonts w:hint="default"/>
        <w:b w:val="0"/>
        <w:bCs/>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AD43DA1"/>
    <w:multiLevelType w:val="hybridMultilevel"/>
    <w:tmpl w:val="A2A41ACC"/>
    <w:lvl w:ilvl="0" w:tplc="963C10E6">
      <w:start w:val="47"/>
      <w:numFmt w:val="decimal"/>
      <w:lvlText w:val="%1."/>
      <w:lvlJc w:val="left"/>
      <w:pPr>
        <w:ind w:left="72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E134D5A"/>
    <w:multiLevelType w:val="hybridMultilevel"/>
    <w:tmpl w:val="7F06B094"/>
    <w:lvl w:ilvl="0" w:tplc="04090001">
      <w:start w:val="1"/>
      <w:numFmt w:val="bullet"/>
      <w:lvlText w:val=""/>
      <w:lvlJc w:val="left"/>
      <w:pPr>
        <w:ind w:left="1080" w:hanging="360"/>
      </w:pPr>
      <w:rPr>
        <w:rFonts w:ascii="Symbol" w:hAnsi="Symbol"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AF650C"/>
    <w:multiLevelType w:val="multilevel"/>
    <w:tmpl w:val="8F4E338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6F02D8"/>
    <w:multiLevelType w:val="multilevel"/>
    <w:tmpl w:val="75BE6C0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EC2721"/>
    <w:multiLevelType w:val="multilevel"/>
    <w:tmpl w:val="AE265B4C"/>
    <w:lvl w:ilvl="0">
      <w:start w:val="2"/>
      <w:numFmt w:val="upperRoman"/>
      <w:lvlText w:val="%1."/>
      <w:lvlJc w:val="right"/>
      <w:pPr>
        <w:ind w:left="720" w:hanging="360"/>
      </w:pPr>
      <w:rPr>
        <w:rFonts w:hint="default"/>
        <w:b/>
        <w:bCs/>
        <w:u w:val="none"/>
      </w:rPr>
    </w:lvl>
    <w:lvl w:ilvl="1">
      <w:start w:val="1"/>
      <w:numFmt w:val="upperRoman"/>
      <w:lvlText w:val="%2."/>
      <w:lvlJc w:val="right"/>
      <w:pPr>
        <w:ind w:left="1440" w:hanging="360"/>
      </w:p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43D444B"/>
    <w:multiLevelType w:val="hybridMultilevel"/>
    <w:tmpl w:val="CE96E7D8"/>
    <w:lvl w:ilvl="0" w:tplc="FFFFFFFF">
      <w:start w:val="1"/>
      <w:numFmt w:val="decimal"/>
      <w:lvlText w:val="%1."/>
      <w:lvlJc w:val="left"/>
      <w:pPr>
        <w:ind w:left="1080" w:hanging="360"/>
      </w:pPr>
      <w:rPr>
        <w:b w:val="0"/>
        <w:bCs/>
        <w:color w:val="000000" w:themeColor="text1"/>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64571B32"/>
    <w:multiLevelType w:val="hybridMultilevel"/>
    <w:tmpl w:val="649412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7DE01BB"/>
    <w:multiLevelType w:val="hybridMultilevel"/>
    <w:tmpl w:val="5DFE632A"/>
    <w:lvl w:ilvl="0" w:tplc="9012A0E0">
      <w:start w:val="40"/>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82D4FC1"/>
    <w:multiLevelType w:val="hybridMultilevel"/>
    <w:tmpl w:val="2DC2B8C6"/>
    <w:lvl w:ilvl="0" w:tplc="1ECE3142">
      <w:start w:val="22"/>
      <w:numFmt w:val="decimal"/>
      <w:lvlText w:val="%1."/>
      <w:lvlJc w:val="left"/>
      <w:pPr>
        <w:ind w:left="720" w:hanging="360"/>
      </w:pPr>
      <w:rPr>
        <w:rFonts w:hint="default"/>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193C9C"/>
    <w:multiLevelType w:val="hybridMultilevel"/>
    <w:tmpl w:val="B1B868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2B0F6D"/>
    <w:multiLevelType w:val="hybridMultilevel"/>
    <w:tmpl w:val="5232CBD4"/>
    <w:lvl w:ilvl="0" w:tplc="FB02447E">
      <w:start w:val="1"/>
      <w:numFmt w:val="decimal"/>
      <w:lvlText w:val="%1."/>
      <w:lvlJc w:val="left"/>
      <w:pPr>
        <w:ind w:left="1440" w:hanging="360"/>
      </w:pPr>
      <w:rPr>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CC51B61"/>
    <w:multiLevelType w:val="hybridMultilevel"/>
    <w:tmpl w:val="FDA65CAA"/>
    <w:lvl w:ilvl="0" w:tplc="7D5EF824">
      <w:start w:val="36"/>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1D55A8C"/>
    <w:multiLevelType w:val="multilevel"/>
    <w:tmpl w:val="05A046AA"/>
    <w:lvl w:ilvl="0">
      <w:start w:val="1"/>
      <w:numFmt w:val="upperRoman"/>
      <w:lvlText w:val="%1."/>
      <w:lvlJc w:val="right"/>
      <w:pPr>
        <w:ind w:left="720" w:hanging="360"/>
      </w:pPr>
      <w:rPr>
        <w:b/>
        <w:bCs/>
        <w:u w:val="none"/>
      </w:rPr>
    </w:lvl>
    <w:lvl w:ilvl="1">
      <w:start w:val="12"/>
      <w:numFmt w:val="decimal"/>
      <w:lvlText w:val="%2."/>
      <w:lvlJc w:val="right"/>
      <w:pPr>
        <w:ind w:left="1530" w:hanging="360"/>
      </w:pPr>
      <w:rPr>
        <w:rFonts w:hint="default"/>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72A857EB"/>
    <w:multiLevelType w:val="hybridMultilevel"/>
    <w:tmpl w:val="7816817E"/>
    <w:lvl w:ilvl="0" w:tplc="0CD2544A">
      <w:start w:val="12"/>
      <w:numFmt w:val="decimal"/>
      <w:lvlText w:val="%1."/>
      <w:lvlJc w:val="left"/>
      <w:pPr>
        <w:ind w:left="1080" w:hanging="360"/>
      </w:pPr>
      <w:rPr>
        <w:rFonts w:hint="default"/>
        <w:b w:val="0"/>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3B11444"/>
    <w:multiLevelType w:val="hybridMultilevel"/>
    <w:tmpl w:val="5E1A801E"/>
    <w:lvl w:ilvl="0" w:tplc="FB02447E">
      <w:start w:val="1"/>
      <w:numFmt w:val="decimal"/>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0C26D0"/>
    <w:multiLevelType w:val="multilevel"/>
    <w:tmpl w:val="6C58DA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005547230">
    <w:abstractNumId w:val="16"/>
  </w:num>
  <w:num w:numId="2" w16cid:durableId="413627215">
    <w:abstractNumId w:val="4"/>
  </w:num>
  <w:num w:numId="3" w16cid:durableId="1078987448">
    <w:abstractNumId w:val="2"/>
  </w:num>
  <w:num w:numId="4" w16cid:durableId="788816597">
    <w:abstractNumId w:val="12"/>
  </w:num>
  <w:num w:numId="5" w16cid:durableId="738138408">
    <w:abstractNumId w:val="22"/>
  </w:num>
  <w:num w:numId="6" w16cid:durableId="766536627">
    <w:abstractNumId w:val="21"/>
  </w:num>
  <w:num w:numId="7" w16cid:durableId="1082751176">
    <w:abstractNumId w:val="6"/>
  </w:num>
  <w:num w:numId="8" w16cid:durableId="1139423840">
    <w:abstractNumId w:val="29"/>
  </w:num>
  <w:num w:numId="9" w16cid:durableId="1173374405">
    <w:abstractNumId w:val="30"/>
  </w:num>
  <w:num w:numId="10" w16cid:durableId="834564870">
    <w:abstractNumId w:val="7"/>
  </w:num>
  <w:num w:numId="11" w16cid:durableId="1473868401">
    <w:abstractNumId w:val="3"/>
  </w:num>
  <w:num w:numId="12" w16cid:durableId="542712225">
    <w:abstractNumId w:val="25"/>
  </w:num>
  <w:num w:numId="13" w16cid:durableId="826898501">
    <w:abstractNumId w:val="26"/>
  </w:num>
  <w:num w:numId="14" w16cid:durableId="1524711100">
    <w:abstractNumId w:val="0"/>
  </w:num>
  <w:num w:numId="15" w16cid:durableId="1277954854">
    <w:abstractNumId w:val="31"/>
  </w:num>
  <w:num w:numId="16" w16cid:durableId="110056186">
    <w:abstractNumId w:val="28"/>
  </w:num>
  <w:num w:numId="17" w16cid:durableId="1951426553">
    <w:abstractNumId w:val="1"/>
  </w:num>
  <w:num w:numId="18" w16cid:durableId="1367483745">
    <w:abstractNumId w:val="8"/>
  </w:num>
  <w:num w:numId="19" w16cid:durableId="107354501">
    <w:abstractNumId w:val="23"/>
  </w:num>
  <w:num w:numId="20" w16cid:durableId="759528124">
    <w:abstractNumId w:val="24"/>
  </w:num>
  <w:num w:numId="21" w16cid:durableId="109982085">
    <w:abstractNumId w:val="15"/>
  </w:num>
  <w:num w:numId="22" w16cid:durableId="2015256345">
    <w:abstractNumId w:val="5"/>
  </w:num>
  <w:num w:numId="23" w16cid:durableId="176385588">
    <w:abstractNumId w:val="27"/>
  </w:num>
  <w:num w:numId="24" w16cid:durableId="624427351">
    <w:abstractNumId w:val="17"/>
  </w:num>
  <w:num w:numId="25" w16cid:durableId="108622598">
    <w:abstractNumId w:val="10"/>
  </w:num>
  <w:num w:numId="26" w16cid:durableId="658118647">
    <w:abstractNumId w:val="14"/>
  </w:num>
  <w:num w:numId="27" w16cid:durableId="932668461">
    <w:abstractNumId w:val="18"/>
  </w:num>
  <w:num w:numId="28" w16cid:durableId="1395393702">
    <w:abstractNumId w:val="11"/>
  </w:num>
  <w:num w:numId="29" w16cid:durableId="1870295126">
    <w:abstractNumId w:val="13"/>
  </w:num>
  <w:num w:numId="30" w16cid:durableId="866530075">
    <w:abstractNumId w:val="20"/>
  </w:num>
  <w:num w:numId="31" w16cid:durableId="249242525">
    <w:abstractNumId w:val="19"/>
  </w:num>
  <w:num w:numId="32" w16cid:durableId="1902859938">
    <w:abstractNumId w:val="32"/>
  </w:num>
  <w:num w:numId="33" w16cid:durableId="5562865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9A1"/>
    <w:rsid w:val="000261B1"/>
    <w:rsid w:val="00040D08"/>
    <w:rsid w:val="00085DC4"/>
    <w:rsid w:val="000C3B01"/>
    <w:rsid w:val="000D0EEF"/>
    <w:rsid w:val="000E4CA8"/>
    <w:rsid w:val="000F34B4"/>
    <w:rsid w:val="00102829"/>
    <w:rsid w:val="00111462"/>
    <w:rsid w:val="00136F1F"/>
    <w:rsid w:val="00177D54"/>
    <w:rsid w:val="001D24ED"/>
    <w:rsid w:val="001F78F9"/>
    <w:rsid w:val="00200DC5"/>
    <w:rsid w:val="0020558C"/>
    <w:rsid w:val="002134AA"/>
    <w:rsid w:val="002204E9"/>
    <w:rsid w:val="00233D5C"/>
    <w:rsid w:val="0023756C"/>
    <w:rsid w:val="002439F0"/>
    <w:rsid w:val="00255F84"/>
    <w:rsid w:val="00291DB3"/>
    <w:rsid w:val="002A18BE"/>
    <w:rsid w:val="002F22A7"/>
    <w:rsid w:val="002F2FCC"/>
    <w:rsid w:val="002F52F1"/>
    <w:rsid w:val="002F7D73"/>
    <w:rsid w:val="003432E6"/>
    <w:rsid w:val="003724BC"/>
    <w:rsid w:val="00372E64"/>
    <w:rsid w:val="003C108E"/>
    <w:rsid w:val="003C5051"/>
    <w:rsid w:val="003F6853"/>
    <w:rsid w:val="0040347E"/>
    <w:rsid w:val="00407A05"/>
    <w:rsid w:val="0041551D"/>
    <w:rsid w:val="00451D31"/>
    <w:rsid w:val="00456B46"/>
    <w:rsid w:val="004627CF"/>
    <w:rsid w:val="00474744"/>
    <w:rsid w:val="00476CE6"/>
    <w:rsid w:val="004C50DC"/>
    <w:rsid w:val="004F1C19"/>
    <w:rsid w:val="00504C37"/>
    <w:rsid w:val="00516208"/>
    <w:rsid w:val="00516A0D"/>
    <w:rsid w:val="005510D7"/>
    <w:rsid w:val="00553647"/>
    <w:rsid w:val="005B3C36"/>
    <w:rsid w:val="005B76BF"/>
    <w:rsid w:val="005E45C1"/>
    <w:rsid w:val="005E4A2E"/>
    <w:rsid w:val="006055B0"/>
    <w:rsid w:val="006176F7"/>
    <w:rsid w:val="00620770"/>
    <w:rsid w:val="00637F92"/>
    <w:rsid w:val="006A0EF3"/>
    <w:rsid w:val="006C4244"/>
    <w:rsid w:val="006C5965"/>
    <w:rsid w:val="006D1417"/>
    <w:rsid w:val="00721827"/>
    <w:rsid w:val="00724E4C"/>
    <w:rsid w:val="00727420"/>
    <w:rsid w:val="00776083"/>
    <w:rsid w:val="00781601"/>
    <w:rsid w:val="00781FE3"/>
    <w:rsid w:val="007B5E7A"/>
    <w:rsid w:val="007D51DE"/>
    <w:rsid w:val="007E6E07"/>
    <w:rsid w:val="007F1E6E"/>
    <w:rsid w:val="00807192"/>
    <w:rsid w:val="0082666D"/>
    <w:rsid w:val="008401D2"/>
    <w:rsid w:val="008432DE"/>
    <w:rsid w:val="008B301E"/>
    <w:rsid w:val="008C6CDA"/>
    <w:rsid w:val="008C7D12"/>
    <w:rsid w:val="008E444C"/>
    <w:rsid w:val="0090230A"/>
    <w:rsid w:val="0091746B"/>
    <w:rsid w:val="00917A73"/>
    <w:rsid w:val="009327ED"/>
    <w:rsid w:val="00966FCB"/>
    <w:rsid w:val="0098192E"/>
    <w:rsid w:val="009966C9"/>
    <w:rsid w:val="00A10CB8"/>
    <w:rsid w:val="00A34015"/>
    <w:rsid w:val="00A42FC2"/>
    <w:rsid w:val="00A71CD8"/>
    <w:rsid w:val="00A7610A"/>
    <w:rsid w:val="00A853EB"/>
    <w:rsid w:val="00A86B8B"/>
    <w:rsid w:val="00AC382B"/>
    <w:rsid w:val="00AE368F"/>
    <w:rsid w:val="00B50DB0"/>
    <w:rsid w:val="00B67A7F"/>
    <w:rsid w:val="00B74B6A"/>
    <w:rsid w:val="00B80FC7"/>
    <w:rsid w:val="00B83D95"/>
    <w:rsid w:val="00B85D81"/>
    <w:rsid w:val="00B95219"/>
    <w:rsid w:val="00C333C7"/>
    <w:rsid w:val="00C5102E"/>
    <w:rsid w:val="00C67988"/>
    <w:rsid w:val="00C714DD"/>
    <w:rsid w:val="00CC1978"/>
    <w:rsid w:val="00CC4ABF"/>
    <w:rsid w:val="00CE546F"/>
    <w:rsid w:val="00CF01A5"/>
    <w:rsid w:val="00CF3A53"/>
    <w:rsid w:val="00D07F59"/>
    <w:rsid w:val="00D23B36"/>
    <w:rsid w:val="00D36D32"/>
    <w:rsid w:val="00D50697"/>
    <w:rsid w:val="00D6192C"/>
    <w:rsid w:val="00D62725"/>
    <w:rsid w:val="00D94886"/>
    <w:rsid w:val="00DA09C3"/>
    <w:rsid w:val="00DC55DD"/>
    <w:rsid w:val="00DF2793"/>
    <w:rsid w:val="00E21BF5"/>
    <w:rsid w:val="00E32615"/>
    <w:rsid w:val="00E846E8"/>
    <w:rsid w:val="00ED12F3"/>
    <w:rsid w:val="00F040DB"/>
    <w:rsid w:val="00F15C33"/>
    <w:rsid w:val="00F223B5"/>
    <w:rsid w:val="00F252A7"/>
    <w:rsid w:val="00F305A1"/>
    <w:rsid w:val="00F659E3"/>
    <w:rsid w:val="00F87746"/>
    <w:rsid w:val="00F959A1"/>
    <w:rsid w:val="00F97B23"/>
    <w:rsid w:val="00FC590D"/>
    <w:rsid w:val="00FD10C1"/>
    <w:rsid w:val="00FD1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EBF5"/>
  <w15:chartTrackingRefBased/>
  <w15:docId w15:val="{CB8BDB3B-03FC-E64C-B3A3-78C8CE01F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9A1"/>
    <w:pPr>
      <w:ind w:left="720"/>
      <w:contextualSpacing/>
    </w:pPr>
  </w:style>
  <w:style w:type="character" w:styleId="FootnoteReference">
    <w:name w:val="footnote reference"/>
    <w:aliases w:val="ftref,4_G,Footnotes refss,Footnote Refernece,callout,Footnote Reference Superscript,Footnote Reference Number,BVI fnr,Footnote number,Car Char Car Char Car Char Char Char Char Char Char Char Char,Footnote Refernece Char Char1,4_GR"/>
    <w:basedOn w:val="DefaultParagraphFont"/>
    <w:uiPriority w:val="99"/>
    <w:unhideWhenUsed/>
    <w:qFormat/>
    <w:rsid w:val="00F959A1"/>
    <w:rPr>
      <w:vertAlign w:val="superscript"/>
    </w:rPr>
  </w:style>
  <w:style w:type="paragraph" w:styleId="FootnoteText">
    <w:name w:val="footnote text"/>
    <w:basedOn w:val="Normal"/>
    <w:link w:val="FootnoteTextChar"/>
    <w:uiPriority w:val="99"/>
    <w:unhideWhenUsed/>
    <w:rsid w:val="00F959A1"/>
    <w:pPr>
      <w:ind w:left="720" w:hanging="360"/>
    </w:pPr>
    <w:rPr>
      <w:rFonts w:ascii="EB Garamond" w:eastAsia="EB Garamond" w:hAnsi="EB Garamond" w:cs="EB Garamond"/>
      <w:sz w:val="20"/>
      <w:szCs w:val="20"/>
      <w:lang w:val="en"/>
    </w:rPr>
  </w:style>
  <w:style w:type="character" w:customStyle="1" w:styleId="FootnoteTextChar">
    <w:name w:val="Footnote Text Char"/>
    <w:basedOn w:val="DefaultParagraphFont"/>
    <w:link w:val="FootnoteText"/>
    <w:uiPriority w:val="99"/>
    <w:rsid w:val="00F959A1"/>
    <w:rPr>
      <w:rFonts w:ascii="EB Garamond" w:eastAsia="EB Garamond" w:hAnsi="EB Garamond" w:cs="EB Garamond"/>
      <w:sz w:val="20"/>
      <w:szCs w:val="20"/>
      <w:lang w:val="en"/>
    </w:rPr>
  </w:style>
  <w:style w:type="character" w:styleId="Hyperlink">
    <w:name w:val="Hyperlink"/>
    <w:basedOn w:val="DefaultParagraphFont"/>
    <w:uiPriority w:val="99"/>
    <w:unhideWhenUsed/>
    <w:rsid w:val="00F959A1"/>
    <w:rPr>
      <w:color w:val="0563C1" w:themeColor="hyperlink"/>
      <w:u w:val="single"/>
    </w:rPr>
  </w:style>
  <w:style w:type="character" w:styleId="CommentReference">
    <w:name w:val="annotation reference"/>
    <w:basedOn w:val="DefaultParagraphFont"/>
    <w:uiPriority w:val="99"/>
    <w:semiHidden/>
    <w:unhideWhenUsed/>
    <w:rsid w:val="004C50DC"/>
    <w:rPr>
      <w:sz w:val="16"/>
      <w:szCs w:val="16"/>
    </w:rPr>
  </w:style>
  <w:style w:type="paragraph" w:styleId="CommentText">
    <w:name w:val="annotation text"/>
    <w:basedOn w:val="Normal"/>
    <w:link w:val="CommentTextChar"/>
    <w:uiPriority w:val="99"/>
    <w:semiHidden/>
    <w:unhideWhenUsed/>
    <w:rsid w:val="004C50DC"/>
    <w:pPr>
      <w:spacing w:before="120"/>
      <w:ind w:left="720" w:hanging="360"/>
    </w:pPr>
    <w:rPr>
      <w:rFonts w:ascii="EB Garamond" w:eastAsia="EB Garamond" w:hAnsi="EB Garamond" w:cs="EB Garamond"/>
      <w:sz w:val="20"/>
      <w:szCs w:val="20"/>
      <w:lang w:val="en"/>
    </w:rPr>
  </w:style>
  <w:style w:type="character" w:customStyle="1" w:styleId="CommentTextChar">
    <w:name w:val="Comment Text Char"/>
    <w:basedOn w:val="DefaultParagraphFont"/>
    <w:link w:val="CommentText"/>
    <w:uiPriority w:val="99"/>
    <w:semiHidden/>
    <w:rsid w:val="004C50DC"/>
    <w:rPr>
      <w:rFonts w:ascii="EB Garamond" w:eastAsia="EB Garamond" w:hAnsi="EB Garamond" w:cs="EB Garamond"/>
      <w:sz w:val="20"/>
      <w:szCs w:val="20"/>
      <w:lang w:val="en"/>
    </w:rPr>
  </w:style>
  <w:style w:type="character" w:styleId="FollowedHyperlink">
    <w:name w:val="FollowedHyperlink"/>
    <w:basedOn w:val="DefaultParagraphFont"/>
    <w:uiPriority w:val="99"/>
    <w:semiHidden/>
    <w:unhideWhenUsed/>
    <w:rsid w:val="004C50DC"/>
    <w:rPr>
      <w:color w:val="954F72" w:themeColor="followedHyperlink"/>
      <w:u w:val="single"/>
    </w:rPr>
  </w:style>
  <w:style w:type="character" w:styleId="UnresolvedMention">
    <w:name w:val="Unresolved Mention"/>
    <w:basedOn w:val="DefaultParagraphFont"/>
    <w:uiPriority w:val="99"/>
    <w:semiHidden/>
    <w:unhideWhenUsed/>
    <w:rsid w:val="00A71CD8"/>
    <w:rPr>
      <w:color w:val="605E5C"/>
      <w:shd w:val="clear" w:color="auto" w:fill="E1DFDD"/>
    </w:rPr>
  </w:style>
  <w:style w:type="paragraph" w:styleId="Header">
    <w:name w:val="header"/>
    <w:basedOn w:val="Normal"/>
    <w:link w:val="HeaderChar"/>
    <w:uiPriority w:val="99"/>
    <w:unhideWhenUsed/>
    <w:rsid w:val="00085DC4"/>
    <w:pPr>
      <w:tabs>
        <w:tab w:val="center" w:pos="4680"/>
        <w:tab w:val="right" w:pos="9360"/>
      </w:tabs>
    </w:pPr>
  </w:style>
  <w:style w:type="character" w:customStyle="1" w:styleId="HeaderChar">
    <w:name w:val="Header Char"/>
    <w:basedOn w:val="DefaultParagraphFont"/>
    <w:link w:val="Header"/>
    <w:uiPriority w:val="99"/>
    <w:rsid w:val="00085DC4"/>
  </w:style>
  <w:style w:type="paragraph" w:styleId="Footer">
    <w:name w:val="footer"/>
    <w:basedOn w:val="Normal"/>
    <w:link w:val="FooterChar"/>
    <w:uiPriority w:val="99"/>
    <w:unhideWhenUsed/>
    <w:rsid w:val="00085DC4"/>
    <w:pPr>
      <w:tabs>
        <w:tab w:val="center" w:pos="4680"/>
        <w:tab w:val="right" w:pos="9360"/>
      </w:tabs>
    </w:pPr>
  </w:style>
  <w:style w:type="character" w:customStyle="1" w:styleId="FooterChar">
    <w:name w:val="Footer Char"/>
    <w:basedOn w:val="DefaultParagraphFont"/>
    <w:link w:val="Footer"/>
    <w:uiPriority w:val="99"/>
    <w:rsid w:val="00085DC4"/>
  </w:style>
  <w:style w:type="character" w:styleId="PageNumber">
    <w:name w:val="page number"/>
    <w:basedOn w:val="DefaultParagraphFont"/>
    <w:uiPriority w:val="99"/>
    <w:semiHidden/>
    <w:unhideWhenUsed/>
    <w:rsid w:val="00085DC4"/>
  </w:style>
  <w:style w:type="paragraph" w:styleId="CommentSubject">
    <w:name w:val="annotation subject"/>
    <w:basedOn w:val="CommentText"/>
    <w:next w:val="CommentText"/>
    <w:link w:val="CommentSubjectChar"/>
    <w:uiPriority w:val="99"/>
    <w:semiHidden/>
    <w:unhideWhenUsed/>
    <w:rsid w:val="00B74B6A"/>
    <w:pPr>
      <w:spacing w:before="0"/>
      <w:ind w:left="0" w:firstLine="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B74B6A"/>
    <w:rPr>
      <w:rFonts w:ascii="EB Garamond" w:eastAsia="EB Garamond" w:hAnsi="EB Garamond" w:cs="EB Garamond"/>
      <w:b/>
      <w:bCs/>
      <w:sz w:val="20"/>
      <w:szCs w:val="20"/>
      <w:lang w:val="en"/>
    </w:rPr>
  </w:style>
  <w:style w:type="paragraph" w:styleId="Revision">
    <w:name w:val="Revision"/>
    <w:hidden/>
    <w:uiPriority w:val="99"/>
    <w:semiHidden/>
    <w:rsid w:val="00D36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3045">
      <w:bodyDiv w:val="1"/>
      <w:marLeft w:val="0"/>
      <w:marRight w:val="0"/>
      <w:marTop w:val="0"/>
      <w:marBottom w:val="0"/>
      <w:divBdr>
        <w:top w:val="none" w:sz="0" w:space="0" w:color="auto"/>
        <w:left w:val="none" w:sz="0" w:space="0" w:color="auto"/>
        <w:bottom w:val="none" w:sz="0" w:space="0" w:color="auto"/>
        <w:right w:val="none" w:sz="0" w:space="0" w:color="auto"/>
      </w:divBdr>
    </w:div>
    <w:div w:id="65078271">
      <w:bodyDiv w:val="1"/>
      <w:marLeft w:val="0"/>
      <w:marRight w:val="0"/>
      <w:marTop w:val="0"/>
      <w:marBottom w:val="0"/>
      <w:divBdr>
        <w:top w:val="none" w:sz="0" w:space="0" w:color="auto"/>
        <w:left w:val="none" w:sz="0" w:space="0" w:color="auto"/>
        <w:bottom w:val="none" w:sz="0" w:space="0" w:color="auto"/>
        <w:right w:val="none" w:sz="0" w:space="0" w:color="auto"/>
      </w:divBdr>
    </w:div>
    <w:div w:id="136919905">
      <w:bodyDiv w:val="1"/>
      <w:marLeft w:val="0"/>
      <w:marRight w:val="0"/>
      <w:marTop w:val="0"/>
      <w:marBottom w:val="0"/>
      <w:divBdr>
        <w:top w:val="none" w:sz="0" w:space="0" w:color="auto"/>
        <w:left w:val="none" w:sz="0" w:space="0" w:color="auto"/>
        <w:bottom w:val="none" w:sz="0" w:space="0" w:color="auto"/>
        <w:right w:val="none" w:sz="0" w:space="0" w:color="auto"/>
      </w:divBdr>
    </w:div>
    <w:div w:id="159740868">
      <w:bodyDiv w:val="1"/>
      <w:marLeft w:val="0"/>
      <w:marRight w:val="0"/>
      <w:marTop w:val="0"/>
      <w:marBottom w:val="0"/>
      <w:divBdr>
        <w:top w:val="none" w:sz="0" w:space="0" w:color="auto"/>
        <w:left w:val="none" w:sz="0" w:space="0" w:color="auto"/>
        <w:bottom w:val="none" w:sz="0" w:space="0" w:color="auto"/>
        <w:right w:val="none" w:sz="0" w:space="0" w:color="auto"/>
      </w:divBdr>
    </w:div>
    <w:div w:id="162085406">
      <w:bodyDiv w:val="1"/>
      <w:marLeft w:val="0"/>
      <w:marRight w:val="0"/>
      <w:marTop w:val="0"/>
      <w:marBottom w:val="0"/>
      <w:divBdr>
        <w:top w:val="none" w:sz="0" w:space="0" w:color="auto"/>
        <w:left w:val="none" w:sz="0" w:space="0" w:color="auto"/>
        <w:bottom w:val="none" w:sz="0" w:space="0" w:color="auto"/>
        <w:right w:val="none" w:sz="0" w:space="0" w:color="auto"/>
      </w:divBdr>
    </w:div>
    <w:div w:id="204954656">
      <w:bodyDiv w:val="1"/>
      <w:marLeft w:val="0"/>
      <w:marRight w:val="0"/>
      <w:marTop w:val="0"/>
      <w:marBottom w:val="0"/>
      <w:divBdr>
        <w:top w:val="none" w:sz="0" w:space="0" w:color="auto"/>
        <w:left w:val="none" w:sz="0" w:space="0" w:color="auto"/>
        <w:bottom w:val="none" w:sz="0" w:space="0" w:color="auto"/>
        <w:right w:val="none" w:sz="0" w:space="0" w:color="auto"/>
      </w:divBdr>
    </w:div>
    <w:div w:id="290672232">
      <w:bodyDiv w:val="1"/>
      <w:marLeft w:val="0"/>
      <w:marRight w:val="0"/>
      <w:marTop w:val="0"/>
      <w:marBottom w:val="0"/>
      <w:divBdr>
        <w:top w:val="none" w:sz="0" w:space="0" w:color="auto"/>
        <w:left w:val="none" w:sz="0" w:space="0" w:color="auto"/>
        <w:bottom w:val="none" w:sz="0" w:space="0" w:color="auto"/>
        <w:right w:val="none" w:sz="0" w:space="0" w:color="auto"/>
      </w:divBdr>
    </w:div>
    <w:div w:id="364137133">
      <w:bodyDiv w:val="1"/>
      <w:marLeft w:val="0"/>
      <w:marRight w:val="0"/>
      <w:marTop w:val="0"/>
      <w:marBottom w:val="0"/>
      <w:divBdr>
        <w:top w:val="none" w:sz="0" w:space="0" w:color="auto"/>
        <w:left w:val="none" w:sz="0" w:space="0" w:color="auto"/>
        <w:bottom w:val="none" w:sz="0" w:space="0" w:color="auto"/>
        <w:right w:val="none" w:sz="0" w:space="0" w:color="auto"/>
      </w:divBdr>
    </w:div>
    <w:div w:id="389621189">
      <w:bodyDiv w:val="1"/>
      <w:marLeft w:val="0"/>
      <w:marRight w:val="0"/>
      <w:marTop w:val="0"/>
      <w:marBottom w:val="0"/>
      <w:divBdr>
        <w:top w:val="none" w:sz="0" w:space="0" w:color="auto"/>
        <w:left w:val="none" w:sz="0" w:space="0" w:color="auto"/>
        <w:bottom w:val="none" w:sz="0" w:space="0" w:color="auto"/>
        <w:right w:val="none" w:sz="0" w:space="0" w:color="auto"/>
      </w:divBdr>
    </w:div>
    <w:div w:id="529488220">
      <w:bodyDiv w:val="1"/>
      <w:marLeft w:val="0"/>
      <w:marRight w:val="0"/>
      <w:marTop w:val="0"/>
      <w:marBottom w:val="0"/>
      <w:divBdr>
        <w:top w:val="none" w:sz="0" w:space="0" w:color="auto"/>
        <w:left w:val="none" w:sz="0" w:space="0" w:color="auto"/>
        <w:bottom w:val="none" w:sz="0" w:space="0" w:color="auto"/>
        <w:right w:val="none" w:sz="0" w:space="0" w:color="auto"/>
      </w:divBdr>
      <w:divsChild>
        <w:div w:id="290521252">
          <w:marLeft w:val="0"/>
          <w:marRight w:val="0"/>
          <w:marTop w:val="0"/>
          <w:marBottom w:val="0"/>
          <w:divBdr>
            <w:top w:val="single" w:sz="12" w:space="0" w:color="000000"/>
            <w:left w:val="single" w:sz="12" w:space="0" w:color="000000"/>
            <w:bottom w:val="single" w:sz="12" w:space="0" w:color="000000"/>
            <w:right w:val="single" w:sz="12" w:space="0" w:color="000000"/>
          </w:divBdr>
        </w:div>
      </w:divsChild>
    </w:div>
    <w:div w:id="675152586">
      <w:bodyDiv w:val="1"/>
      <w:marLeft w:val="0"/>
      <w:marRight w:val="0"/>
      <w:marTop w:val="0"/>
      <w:marBottom w:val="0"/>
      <w:divBdr>
        <w:top w:val="none" w:sz="0" w:space="0" w:color="auto"/>
        <w:left w:val="none" w:sz="0" w:space="0" w:color="auto"/>
        <w:bottom w:val="none" w:sz="0" w:space="0" w:color="auto"/>
        <w:right w:val="none" w:sz="0" w:space="0" w:color="auto"/>
      </w:divBdr>
    </w:div>
    <w:div w:id="810827974">
      <w:bodyDiv w:val="1"/>
      <w:marLeft w:val="0"/>
      <w:marRight w:val="0"/>
      <w:marTop w:val="0"/>
      <w:marBottom w:val="0"/>
      <w:divBdr>
        <w:top w:val="none" w:sz="0" w:space="0" w:color="auto"/>
        <w:left w:val="none" w:sz="0" w:space="0" w:color="auto"/>
        <w:bottom w:val="none" w:sz="0" w:space="0" w:color="auto"/>
        <w:right w:val="none" w:sz="0" w:space="0" w:color="auto"/>
      </w:divBdr>
    </w:div>
    <w:div w:id="843008204">
      <w:bodyDiv w:val="1"/>
      <w:marLeft w:val="0"/>
      <w:marRight w:val="0"/>
      <w:marTop w:val="0"/>
      <w:marBottom w:val="0"/>
      <w:divBdr>
        <w:top w:val="none" w:sz="0" w:space="0" w:color="auto"/>
        <w:left w:val="none" w:sz="0" w:space="0" w:color="auto"/>
        <w:bottom w:val="none" w:sz="0" w:space="0" w:color="auto"/>
        <w:right w:val="none" w:sz="0" w:space="0" w:color="auto"/>
      </w:divBdr>
    </w:div>
    <w:div w:id="895049613">
      <w:bodyDiv w:val="1"/>
      <w:marLeft w:val="0"/>
      <w:marRight w:val="0"/>
      <w:marTop w:val="0"/>
      <w:marBottom w:val="0"/>
      <w:divBdr>
        <w:top w:val="none" w:sz="0" w:space="0" w:color="auto"/>
        <w:left w:val="none" w:sz="0" w:space="0" w:color="auto"/>
        <w:bottom w:val="none" w:sz="0" w:space="0" w:color="auto"/>
        <w:right w:val="none" w:sz="0" w:space="0" w:color="auto"/>
      </w:divBdr>
    </w:div>
    <w:div w:id="946814558">
      <w:bodyDiv w:val="1"/>
      <w:marLeft w:val="0"/>
      <w:marRight w:val="0"/>
      <w:marTop w:val="0"/>
      <w:marBottom w:val="0"/>
      <w:divBdr>
        <w:top w:val="none" w:sz="0" w:space="0" w:color="auto"/>
        <w:left w:val="none" w:sz="0" w:space="0" w:color="auto"/>
        <w:bottom w:val="none" w:sz="0" w:space="0" w:color="auto"/>
        <w:right w:val="none" w:sz="0" w:space="0" w:color="auto"/>
      </w:divBdr>
    </w:div>
    <w:div w:id="990334510">
      <w:bodyDiv w:val="1"/>
      <w:marLeft w:val="0"/>
      <w:marRight w:val="0"/>
      <w:marTop w:val="0"/>
      <w:marBottom w:val="0"/>
      <w:divBdr>
        <w:top w:val="none" w:sz="0" w:space="0" w:color="auto"/>
        <w:left w:val="none" w:sz="0" w:space="0" w:color="auto"/>
        <w:bottom w:val="none" w:sz="0" w:space="0" w:color="auto"/>
        <w:right w:val="none" w:sz="0" w:space="0" w:color="auto"/>
      </w:divBdr>
    </w:div>
    <w:div w:id="993800953">
      <w:bodyDiv w:val="1"/>
      <w:marLeft w:val="0"/>
      <w:marRight w:val="0"/>
      <w:marTop w:val="0"/>
      <w:marBottom w:val="0"/>
      <w:divBdr>
        <w:top w:val="none" w:sz="0" w:space="0" w:color="auto"/>
        <w:left w:val="none" w:sz="0" w:space="0" w:color="auto"/>
        <w:bottom w:val="none" w:sz="0" w:space="0" w:color="auto"/>
        <w:right w:val="none" w:sz="0" w:space="0" w:color="auto"/>
      </w:divBdr>
    </w:div>
    <w:div w:id="1055007655">
      <w:bodyDiv w:val="1"/>
      <w:marLeft w:val="0"/>
      <w:marRight w:val="0"/>
      <w:marTop w:val="0"/>
      <w:marBottom w:val="0"/>
      <w:divBdr>
        <w:top w:val="none" w:sz="0" w:space="0" w:color="auto"/>
        <w:left w:val="none" w:sz="0" w:space="0" w:color="auto"/>
        <w:bottom w:val="none" w:sz="0" w:space="0" w:color="auto"/>
        <w:right w:val="none" w:sz="0" w:space="0" w:color="auto"/>
      </w:divBdr>
    </w:div>
    <w:div w:id="1121193332">
      <w:bodyDiv w:val="1"/>
      <w:marLeft w:val="0"/>
      <w:marRight w:val="0"/>
      <w:marTop w:val="0"/>
      <w:marBottom w:val="0"/>
      <w:divBdr>
        <w:top w:val="none" w:sz="0" w:space="0" w:color="auto"/>
        <w:left w:val="none" w:sz="0" w:space="0" w:color="auto"/>
        <w:bottom w:val="none" w:sz="0" w:space="0" w:color="auto"/>
        <w:right w:val="none" w:sz="0" w:space="0" w:color="auto"/>
      </w:divBdr>
    </w:div>
    <w:div w:id="1190337122">
      <w:bodyDiv w:val="1"/>
      <w:marLeft w:val="0"/>
      <w:marRight w:val="0"/>
      <w:marTop w:val="0"/>
      <w:marBottom w:val="0"/>
      <w:divBdr>
        <w:top w:val="none" w:sz="0" w:space="0" w:color="auto"/>
        <w:left w:val="none" w:sz="0" w:space="0" w:color="auto"/>
        <w:bottom w:val="none" w:sz="0" w:space="0" w:color="auto"/>
        <w:right w:val="none" w:sz="0" w:space="0" w:color="auto"/>
      </w:divBdr>
    </w:div>
    <w:div w:id="1205363449">
      <w:bodyDiv w:val="1"/>
      <w:marLeft w:val="0"/>
      <w:marRight w:val="0"/>
      <w:marTop w:val="0"/>
      <w:marBottom w:val="0"/>
      <w:divBdr>
        <w:top w:val="none" w:sz="0" w:space="0" w:color="auto"/>
        <w:left w:val="none" w:sz="0" w:space="0" w:color="auto"/>
        <w:bottom w:val="none" w:sz="0" w:space="0" w:color="auto"/>
        <w:right w:val="none" w:sz="0" w:space="0" w:color="auto"/>
      </w:divBdr>
    </w:div>
    <w:div w:id="1225725763">
      <w:bodyDiv w:val="1"/>
      <w:marLeft w:val="0"/>
      <w:marRight w:val="0"/>
      <w:marTop w:val="0"/>
      <w:marBottom w:val="0"/>
      <w:divBdr>
        <w:top w:val="none" w:sz="0" w:space="0" w:color="auto"/>
        <w:left w:val="none" w:sz="0" w:space="0" w:color="auto"/>
        <w:bottom w:val="none" w:sz="0" w:space="0" w:color="auto"/>
        <w:right w:val="none" w:sz="0" w:space="0" w:color="auto"/>
      </w:divBdr>
    </w:div>
    <w:div w:id="1252198879">
      <w:bodyDiv w:val="1"/>
      <w:marLeft w:val="0"/>
      <w:marRight w:val="0"/>
      <w:marTop w:val="0"/>
      <w:marBottom w:val="0"/>
      <w:divBdr>
        <w:top w:val="none" w:sz="0" w:space="0" w:color="auto"/>
        <w:left w:val="none" w:sz="0" w:space="0" w:color="auto"/>
        <w:bottom w:val="none" w:sz="0" w:space="0" w:color="auto"/>
        <w:right w:val="none" w:sz="0" w:space="0" w:color="auto"/>
      </w:divBdr>
    </w:div>
    <w:div w:id="1341590886">
      <w:bodyDiv w:val="1"/>
      <w:marLeft w:val="0"/>
      <w:marRight w:val="0"/>
      <w:marTop w:val="0"/>
      <w:marBottom w:val="0"/>
      <w:divBdr>
        <w:top w:val="none" w:sz="0" w:space="0" w:color="auto"/>
        <w:left w:val="none" w:sz="0" w:space="0" w:color="auto"/>
        <w:bottom w:val="none" w:sz="0" w:space="0" w:color="auto"/>
        <w:right w:val="none" w:sz="0" w:space="0" w:color="auto"/>
      </w:divBdr>
    </w:div>
    <w:div w:id="1432966065">
      <w:bodyDiv w:val="1"/>
      <w:marLeft w:val="0"/>
      <w:marRight w:val="0"/>
      <w:marTop w:val="0"/>
      <w:marBottom w:val="0"/>
      <w:divBdr>
        <w:top w:val="none" w:sz="0" w:space="0" w:color="auto"/>
        <w:left w:val="none" w:sz="0" w:space="0" w:color="auto"/>
        <w:bottom w:val="none" w:sz="0" w:space="0" w:color="auto"/>
        <w:right w:val="none" w:sz="0" w:space="0" w:color="auto"/>
      </w:divBdr>
    </w:div>
    <w:div w:id="1484080945">
      <w:bodyDiv w:val="1"/>
      <w:marLeft w:val="0"/>
      <w:marRight w:val="0"/>
      <w:marTop w:val="0"/>
      <w:marBottom w:val="0"/>
      <w:divBdr>
        <w:top w:val="none" w:sz="0" w:space="0" w:color="auto"/>
        <w:left w:val="none" w:sz="0" w:space="0" w:color="auto"/>
        <w:bottom w:val="none" w:sz="0" w:space="0" w:color="auto"/>
        <w:right w:val="none" w:sz="0" w:space="0" w:color="auto"/>
      </w:divBdr>
    </w:div>
    <w:div w:id="1495298471">
      <w:bodyDiv w:val="1"/>
      <w:marLeft w:val="0"/>
      <w:marRight w:val="0"/>
      <w:marTop w:val="0"/>
      <w:marBottom w:val="0"/>
      <w:divBdr>
        <w:top w:val="none" w:sz="0" w:space="0" w:color="auto"/>
        <w:left w:val="none" w:sz="0" w:space="0" w:color="auto"/>
        <w:bottom w:val="none" w:sz="0" w:space="0" w:color="auto"/>
        <w:right w:val="none" w:sz="0" w:space="0" w:color="auto"/>
      </w:divBdr>
    </w:div>
    <w:div w:id="1512986892">
      <w:bodyDiv w:val="1"/>
      <w:marLeft w:val="0"/>
      <w:marRight w:val="0"/>
      <w:marTop w:val="0"/>
      <w:marBottom w:val="0"/>
      <w:divBdr>
        <w:top w:val="none" w:sz="0" w:space="0" w:color="auto"/>
        <w:left w:val="none" w:sz="0" w:space="0" w:color="auto"/>
        <w:bottom w:val="none" w:sz="0" w:space="0" w:color="auto"/>
        <w:right w:val="none" w:sz="0" w:space="0" w:color="auto"/>
      </w:divBdr>
    </w:div>
    <w:div w:id="1524175220">
      <w:bodyDiv w:val="1"/>
      <w:marLeft w:val="0"/>
      <w:marRight w:val="0"/>
      <w:marTop w:val="0"/>
      <w:marBottom w:val="0"/>
      <w:divBdr>
        <w:top w:val="none" w:sz="0" w:space="0" w:color="auto"/>
        <w:left w:val="none" w:sz="0" w:space="0" w:color="auto"/>
        <w:bottom w:val="none" w:sz="0" w:space="0" w:color="auto"/>
        <w:right w:val="none" w:sz="0" w:space="0" w:color="auto"/>
      </w:divBdr>
    </w:div>
    <w:div w:id="1560165060">
      <w:bodyDiv w:val="1"/>
      <w:marLeft w:val="0"/>
      <w:marRight w:val="0"/>
      <w:marTop w:val="0"/>
      <w:marBottom w:val="0"/>
      <w:divBdr>
        <w:top w:val="none" w:sz="0" w:space="0" w:color="auto"/>
        <w:left w:val="none" w:sz="0" w:space="0" w:color="auto"/>
        <w:bottom w:val="none" w:sz="0" w:space="0" w:color="auto"/>
        <w:right w:val="none" w:sz="0" w:space="0" w:color="auto"/>
      </w:divBdr>
    </w:div>
    <w:div w:id="1581057872">
      <w:bodyDiv w:val="1"/>
      <w:marLeft w:val="0"/>
      <w:marRight w:val="0"/>
      <w:marTop w:val="0"/>
      <w:marBottom w:val="0"/>
      <w:divBdr>
        <w:top w:val="none" w:sz="0" w:space="0" w:color="auto"/>
        <w:left w:val="none" w:sz="0" w:space="0" w:color="auto"/>
        <w:bottom w:val="none" w:sz="0" w:space="0" w:color="auto"/>
        <w:right w:val="none" w:sz="0" w:space="0" w:color="auto"/>
      </w:divBdr>
    </w:div>
    <w:div w:id="1581255320">
      <w:bodyDiv w:val="1"/>
      <w:marLeft w:val="0"/>
      <w:marRight w:val="0"/>
      <w:marTop w:val="0"/>
      <w:marBottom w:val="0"/>
      <w:divBdr>
        <w:top w:val="none" w:sz="0" w:space="0" w:color="auto"/>
        <w:left w:val="none" w:sz="0" w:space="0" w:color="auto"/>
        <w:bottom w:val="none" w:sz="0" w:space="0" w:color="auto"/>
        <w:right w:val="none" w:sz="0" w:space="0" w:color="auto"/>
      </w:divBdr>
    </w:div>
    <w:div w:id="1581674235">
      <w:bodyDiv w:val="1"/>
      <w:marLeft w:val="0"/>
      <w:marRight w:val="0"/>
      <w:marTop w:val="0"/>
      <w:marBottom w:val="0"/>
      <w:divBdr>
        <w:top w:val="none" w:sz="0" w:space="0" w:color="auto"/>
        <w:left w:val="none" w:sz="0" w:space="0" w:color="auto"/>
        <w:bottom w:val="none" w:sz="0" w:space="0" w:color="auto"/>
        <w:right w:val="none" w:sz="0" w:space="0" w:color="auto"/>
      </w:divBdr>
    </w:div>
    <w:div w:id="1606187071">
      <w:bodyDiv w:val="1"/>
      <w:marLeft w:val="0"/>
      <w:marRight w:val="0"/>
      <w:marTop w:val="0"/>
      <w:marBottom w:val="0"/>
      <w:divBdr>
        <w:top w:val="none" w:sz="0" w:space="0" w:color="auto"/>
        <w:left w:val="none" w:sz="0" w:space="0" w:color="auto"/>
        <w:bottom w:val="none" w:sz="0" w:space="0" w:color="auto"/>
        <w:right w:val="none" w:sz="0" w:space="0" w:color="auto"/>
      </w:divBdr>
    </w:div>
    <w:div w:id="1649355871">
      <w:bodyDiv w:val="1"/>
      <w:marLeft w:val="0"/>
      <w:marRight w:val="0"/>
      <w:marTop w:val="0"/>
      <w:marBottom w:val="0"/>
      <w:divBdr>
        <w:top w:val="none" w:sz="0" w:space="0" w:color="auto"/>
        <w:left w:val="none" w:sz="0" w:space="0" w:color="auto"/>
        <w:bottom w:val="none" w:sz="0" w:space="0" w:color="auto"/>
        <w:right w:val="none" w:sz="0" w:space="0" w:color="auto"/>
      </w:divBdr>
    </w:div>
    <w:div w:id="1752586125">
      <w:bodyDiv w:val="1"/>
      <w:marLeft w:val="0"/>
      <w:marRight w:val="0"/>
      <w:marTop w:val="0"/>
      <w:marBottom w:val="0"/>
      <w:divBdr>
        <w:top w:val="none" w:sz="0" w:space="0" w:color="auto"/>
        <w:left w:val="none" w:sz="0" w:space="0" w:color="auto"/>
        <w:bottom w:val="none" w:sz="0" w:space="0" w:color="auto"/>
        <w:right w:val="none" w:sz="0" w:space="0" w:color="auto"/>
      </w:divBdr>
    </w:div>
    <w:div w:id="1784688892">
      <w:bodyDiv w:val="1"/>
      <w:marLeft w:val="0"/>
      <w:marRight w:val="0"/>
      <w:marTop w:val="0"/>
      <w:marBottom w:val="0"/>
      <w:divBdr>
        <w:top w:val="none" w:sz="0" w:space="0" w:color="auto"/>
        <w:left w:val="none" w:sz="0" w:space="0" w:color="auto"/>
        <w:bottom w:val="none" w:sz="0" w:space="0" w:color="auto"/>
        <w:right w:val="none" w:sz="0" w:space="0" w:color="auto"/>
      </w:divBdr>
    </w:div>
    <w:div w:id="1814447478">
      <w:bodyDiv w:val="1"/>
      <w:marLeft w:val="0"/>
      <w:marRight w:val="0"/>
      <w:marTop w:val="0"/>
      <w:marBottom w:val="0"/>
      <w:divBdr>
        <w:top w:val="none" w:sz="0" w:space="0" w:color="auto"/>
        <w:left w:val="none" w:sz="0" w:space="0" w:color="auto"/>
        <w:bottom w:val="none" w:sz="0" w:space="0" w:color="auto"/>
        <w:right w:val="none" w:sz="0" w:space="0" w:color="auto"/>
      </w:divBdr>
    </w:div>
    <w:div w:id="1851793349">
      <w:bodyDiv w:val="1"/>
      <w:marLeft w:val="0"/>
      <w:marRight w:val="0"/>
      <w:marTop w:val="0"/>
      <w:marBottom w:val="0"/>
      <w:divBdr>
        <w:top w:val="none" w:sz="0" w:space="0" w:color="auto"/>
        <w:left w:val="none" w:sz="0" w:space="0" w:color="auto"/>
        <w:bottom w:val="none" w:sz="0" w:space="0" w:color="auto"/>
        <w:right w:val="none" w:sz="0" w:space="0" w:color="auto"/>
      </w:divBdr>
    </w:div>
    <w:div w:id="1861621000">
      <w:bodyDiv w:val="1"/>
      <w:marLeft w:val="0"/>
      <w:marRight w:val="0"/>
      <w:marTop w:val="0"/>
      <w:marBottom w:val="0"/>
      <w:divBdr>
        <w:top w:val="none" w:sz="0" w:space="0" w:color="auto"/>
        <w:left w:val="none" w:sz="0" w:space="0" w:color="auto"/>
        <w:bottom w:val="none" w:sz="0" w:space="0" w:color="auto"/>
        <w:right w:val="none" w:sz="0" w:space="0" w:color="auto"/>
      </w:divBdr>
      <w:divsChild>
        <w:div w:id="325015427">
          <w:marLeft w:val="0"/>
          <w:marRight w:val="0"/>
          <w:marTop w:val="0"/>
          <w:marBottom w:val="0"/>
          <w:divBdr>
            <w:top w:val="none" w:sz="0" w:space="0" w:color="auto"/>
            <w:left w:val="none" w:sz="0" w:space="0" w:color="auto"/>
            <w:bottom w:val="none" w:sz="0" w:space="0" w:color="auto"/>
            <w:right w:val="none" w:sz="0" w:space="0" w:color="auto"/>
          </w:divBdr>
          <w:divsChild>
            <w:div w:id="815486172">
              <w:marLeft w:val="0"/>
              <w:marRight w:val="0"/>
              <w:marTop w:val="0"/>
              <w:marBottom w:val="0"/>
              <w:divBdr>
                <w:top w:val="none" w:sz="0" w:space="0" w:color="auto"/>
                <w:left w:val="none" w:sz="0" w:space="0" w:color="auto"/>
                <w:bottom w:val="none" w:sz="0" w:space="0" w:color="auto"/>
                <w:right w:val="none" w:sz="0" w:space="0" w:color="auto"/>
              </w:divBdr>
              <w:divsChild>
                <w:div w:id="1703700458">
                  <w:marLeft w:val="0"/>
                  <w:marRight w:val="0"/>
                  <w:marTop w:val="0"/>
                  <w:marBottom w:val="0"/>
                  <w:divBdr>
                    <w:top w:val="none" w:sz="0" w:space="0" w:color="auto"/>
                    <w:left w:val="none" w:sz="0" w:space="0" w:color="auto"/>
                    <w:bottom w:val="none" w:sz="0" w:space="0" w:color="auto"/>
                    <w:right w:val="none" w:sz="0" w:space="0" w:color="auto"/>
                  </w:divBdr>
                  <w:divsChild>
                    <w:div w:id="88960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805945">
      <w:bodyDiv w:val="1"/>
      <w:marLeft w:val="0"/>
      <w:marRight w:val="0"/>
      <w:marTop w:val="0"/>
      <w:marBottom w:val="0"/>
      <w:divBdr>
        <w:top w:val="none" w:sz="0" w:space="0" w:color="auto"/>
        <w:left w:val="none" w:sz="0" w:space="0" w:color="auto"/>
        <w:bottom w:val="none" w:sz="0" w:space="0" w:color="auto"/>
        <w:right w:val="none" w:sz="0" w:space="0" w:color="auto"/>
      </w:divBdr>
    </w:div>
    <w:div w:id="1937520150">
      <w:bodyDiv w:val="1"/>
      <w:marLeft w:val="0"/>
      <w:marRight w:val="0"/>
      <w:marTop w:val="0"/>
      <w:marBottom w:val="0"/>
      <w:divBdr>
        <w:top w:val="none" w:sz="0" w:space="0" w:color="auto"/>
        <w:left w:val="none" w:sz="0" w:space="0" w:color="auto"/>
        <w:bottom w:val="none" w:sz="0" w:space="0" w:color="auto"/>
        <w:right w:val="none" w:sz="0" w:space="0" w:color="auto"/>
      </w:divBdr>
    </w:div>
    <w:div w:id="1966813698">
      <w:bodyDiv w:val="1"/>
      <w:marLeft w:val="0"/>
      <w:marRight w:val="0"/>
      <w:marTop w:val="0"/>
      <w:marBottom w:val="0"/>
      <w:divBdr>
        <w:top w:val="none" w:sz="0" w:space="0" w:color="auto"/>
        <w:left w:val="none" w:sz="0" w:space="0" w:color="auto"/>
        <w:bottom w:val="none" w:sz="0" w:space="0" w:color="auto"/>
        <w:right w:val="none" w:sz="0" w:space="0" w:color="auto"/>
      </w:divBdr>
    </w:div>
    <w:div w:id="2023697163">
      <w:bodyDiv w:val="1"/>
      <w:marLeft w:val="0"/>
      <w:marRight w:val="0"/>
      <w:marTop w:val="0"/>
      <w:marBottom w:val="0"/>
      <w:divBdr>
        <w:top w:val="none" w:sz="0" w:space="0" w:color="auto"/>
        <w:left w:val="none" w:sz="0" w:space="0" w:color="auto"/>
        <w:bottom w:val="none" w:sz="0" w:space="0" w:color="auto"/>
        <w:right w:val="none" w:sz="0" w:space="0" w:color="auto"/>
      </w:divBdr>
    </w:div>
    <w:div w:id="2041470051">
      <w:bodyDiv w:val="1"/>
      <w:marLeft w:val="0"/>
      <w:marRight w:val="0"/>
      <w:marTop w:val="0"/>
      <w:marBottom w:val="0"/>
      <w:divBdr>
        <w:top w:val="none" w:sz="0" w:space="0" w:color="auto"/>
        <w:left w:val="none" w:sz="0" w:space="0" w:color="auto"/>
        <w:bottom w:val="none" w:sz="0" w:space="0" w:color="auto"/>
        <w:right w:val="none" w:sz="0" w:space="0" w:color="auto"/>
      </w:divBdr>
    </w:div>
    <w:div w:id="2045053701">
      <w:bodyDiv w:val="1"/>
      <w:marLeft w:val="0"/>
      <w:marRight w:val="0"/>
      <w:marTop w:val="0"/>
      <w:marBottom w:val="0"/>
      <w:divBdr>
        <w:top w:val="none" w:sz="0" w:space="0" w:color="auto"/>
        <w:left w:val="none" w:sz="0" w:space="0" w:color="auto"/>
        <w:bottom w:val="none" w:sz="0" w:space="0" w:color="auto"/>
        <w:right w:val="none" w:sz="0" w:space="0" w:color="auto"/>
      </w:divBdr>
    </w:div>
    <w:div w:id="210915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hyperlink" Target="mailto:dordova@law.miami.edu"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www.law.miami.edu/hrc"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wemjournal.org/article/S1080-6032(18)30166-2/fulltex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17" Type="http://schemas.openxmlformats.org/officeDocument/2006/relationships/hyperlink" Target="https://greenaction.org/what-is-environmental-justice/" TargetMode="External"/><Relationship Id="rId21" Type="http://schemas.openxmlformats.org/officeDocument/2006/relationships/hyperlink" Target="https://www.cbpp.org/research/poverty-and-inequality/tracking-the-covid-19-economys-effects-on-food-housing-and" TargetMode="External"/><Relationship Id="rId42" Type="http://schemas.openxmlformats.org/officeDocument/2006/relationships/hyperlink" Target="https://thecounter.org/this-under-the-radar-supply-chain-routes-food-from-prisons-to-hospitals-food-banks-and-even-schools/" TargetMode="External"/><Relationship Id="rId63" Type="http://schemas.openxmlformats.org/officeDocument/2006/relationships/hyperlink" Target="https://www.epi.org/press/union-workers-are-paid-11-2-more-and-have-greater-access-to-health-insurance-and-paid-sick-days-than-their-nonunion-counterparts-policymakers-must-strengthen-workers-ability-to-form-unions/" TargetMode="External"/><Relationship Id="rId84" Type="http://schemas.openxmlformats.org/officeDocument/2006/relationships/hyperlink" Target="https://blogs.scientificamerican.com/voices/native-americans-fighting-fossil-fuels/" TargetMode="External"/><Relationship Id="rId16" Type="http://schemas.openxmlformats.org/officeDocument/2006/relationships/hyperlink" Target="https://www.savethechildren.org/us/charity-stories/child-hunger-in-america" TargetMode="External"/><Relationship Id="rId107" Type="http://schemas.openxmlformats.org/officeDocument/2006/relationships/hyperlink" Target="https://edlabor.house.gov/media/press-releases/house-senate-leaders-introduce-heat-stress-legislation-to-protect-farm-workers" TargetMode="External"/><Relationship Id="rId11" Type="http://schemas.openxmlformats.org/officeDocument/2006/relationships/hyperlink" Target="https://www.americanbar.org/groups/crsj/publications/human_rights_magazine_home/black-to-the-future-part-ii/the-united-states--hollow-commitment-to-eradicating-global-racia/" TargetMode="External"/><Relationship Id="rId32" Type="http://schemas.openxmlformats.org/officeDocument/2006/relationships/hyperlink" Target="https://www.ipr.northwestern.edu/news/2020/food-insecurity-by-race-ethnicity.html" TargetMode="External"/><Relationship Id="rId37" Type="http://schemas.openxmlformats.org/officeDocument/2006/relationships/hyperlink" Target="https://docstore.ohchr.org/SelfServices/FilesHandler.ashx?enc=6QkG1d%2fPPRiCAqhKb7yhssyNNtgI51ma08CMa6o7BglRUxSxOzNFe0nIlIF2oNHnUe%2baDGj4EdVWqeovFV%2bCvEZ1Yr0uSpC1bzs88koNz86mNkGpXFAwo0gCiIJCPYlp" TargetMode="External"/><Relationship Id="rId53" Type="http://schemas.openxmlformats.org/officeDocument/2006/relationships/hyperlink" Target="https://thehill.com/opinion/immigration/3467527-immigration-reform-can-ease-farm-labor-shortages/" TargetMode="External"/><Relationship Id="rId58" Type="http://schemas.openxmlformats.org/officeDocument/2006/relationships/hyperlink" Target="https://www.myfloridahouse.gov/Sections/Bills/billsdetail.aspx?BillId=75727&amp;" TargetMode="External"/><Relationship Id="rId74" Type="http://schemas.openxmlformats.org/officeDocument/2006/relationships/hyperlink" Target="https://moveforhunger.org/one-in-4-native-americans-is-food%20insecure" TargetMode="External"/><Relationship Id="rId79" Type="http://schemas.openxmlformats.org/officeDocument/2006/relationships/hyperlink" Target="https://insideclimatenews.org/news/26122021/ponca-city-oklahoma-fossil-fuels/" TargetMode="External"/><Relationship Id="rId102" Type="http://schemas.openxmlformats.org/officeDocument/2006/relationships/hyperlink" Target="https://www.nass.usda.gov/Publications/Highlights/2019/2017Census_Black_Producers.pdf" TargetMode="External"/><Relationship Id="rId123" Type="http://schemas.openxmlformats.org/officeDocument/2006/relationships/hyperlink" Target="https://www.urban.org/research/publication/forty-percent-black-and-hispanic-parents-school-age-children-are-food-insecure" TargetMode="External"/><Relationship Id="rId128" Type="http://schemas.openxmlformats.org/officeDocument/2006/relationships/hyperlink" Target="https://www.npr.org/2020/09/08/908442609/children-are-going-hungry-why-schools-are-struggling-to-feed-students" TargetMode="External"/><Relationship Id="rId5" Type="http://schemas.openxmlformats.org/officeDocument/2006/relationships/hyperlink" Target="https://whyhunger.org/category/blog/freedom-from-want-advocating-for-the-right-to-food-in-the-united-states/" TargetMode="External"/><Relationship Id="rId90" Type="http://schemas.openxmlformats.org/officeDocument/2006/relationships/hyperlink" Target="https://foodprint.org/issues/how-industrial-agriculture-affects-our-soil/" TargetMode="External"/><Relationship Id="rId95" Type="http://schemas.openxmlformats.org/officeDocument/2006/relationships/hyperlink" Target="https://www.un.org/development/desa/indigenouspeoples/climate-change.html" TargetMode="External"/><Relationship Id="rId22" Type="http://schemas.openxmlformats.org/officeDocument/2006/relationships/hyperlink" Target="https://www.self.com/story/nonprofit-mrelief-improving-snap" TargetMode="External"/><Relationship Id="rId27" Type="http://schemas.openxmlformats.org/officeDocument/2006/relationships/hyperlink" Target="https://www.cbpp.org/research/food-assistance/usda-announces-important-snap-benefit-modernization" TargetMode="External"/><Relationship Id="rId43" Type="http://schemas.openxmlformats.org/officeDocument/2006/relationships/hyperlink" Target="https://www.prisonpro.com/content/western-kentucky-correctional-complex" TargetMode="External"/><Relationship Id="rId48" Type="http://schemas.openxmlformats.org/officeDocument/2006/relationships/hyperlink" Target="https://datausa.io/profile/soc/food-processing-workers-all-other" TargetMode="External"/><Relationship Id="rId64" Type="http://schemas.openxmlformats.org/officeDocument/2006/relationships/hyperlink" Target="https://www.epi.org/publication/black-workers-in-right-to-work-rtw-states-tend-to-have-lower-wages-than-in-missouri-and-other-non-rtw-states/" TargetMode="External"/><Relationship Id="rId69" Type="http://schemas.openxmlformats.org/officeDocument/2006/relationships/hyperlink" Target="https://ciw-online.org/fair-food-program/" TargetMode="External"/><Relationship Id="rId113" Type="http://schemas.openxmlformats.org/officeDocument/2006/relationships/hyperlink" Target="https://www.fao.org/agroecology/overview/en/" TargetMode="External"/><Relationship Id="rId118" Type="http://schemas.openxmlformats.org/officeDocument/2006/relationships/hyperlink" Target="https://foodispower.org/environmental-and-global/environmental-racism/" TargetMode="External"/><Relationship Id="rId80" Type="http://schemas.openxmlformats.org/officeDocument/2006/relationships/hyperlink" Target="https://theconversation.com/ending-food-insecurity-in-native-communities-means-restoring-land-rights-handing-back-control-158858" TargetMode="External"/><Relationship Id="rId85" Type="http://schemas.openxmlformats.org/officeDocument/2006/relationships/hyperlink" Target="https://theconversation.com/the-global-land-grab-as-modern-day-corporate-colonialism-25844" TargetMode="External"/><Relationship Id="rId12" Type="http://schemas.openxmlformats.org/officeDocument/2006/relationships/hyperlink" Target="https://www.cartercenter.org/news/documents/doc1369.html" TargetMode="External"/><Relationship Id="rId17" Type="http://schemas.openxmlformats.org/officeDocument/2006/relationships/hyperlink" Target="https://www.childrensdefense.org/wp-content/uploads/2021/04/The-State-of-Americas-Children-2021.pdf" TargetMode="External"/><Relationship Id="rId33" Type="http://schemas.openxmlformats.org/officeDocument/2006/relationships/hyperlink" Target="https://www.mckinsey.com/industries/agriculture/our-insights/black-farmers-in-the-us-the-opportunity-for-addressing-racial-disparities-in-farming" TargetMode="External"/><Relationship Id="rId38" Type="http://schemas.openxmlformats.org/officeDocument/2006/relationships/hyperlink" Target="https://blogs.loc.gov/inside_adams/2021/06/convict-leasing-system/" TargetMode="External"/><Relationship Id="rId59" Type="http://schemas.openxmlformats.org/officeDocument/2006/relationships/hyperlink" Target="https://www.flsenate.gov/Session/Bill/2021/1294" TargetMode="External"/><Relationship Id="rId103" Type="http://schemas.openxmlformats.org/officeDocument/2006/relationships/hyperlink" Target="https://www.texastribune.org/2021/10/07/texas-climate-change-heat-water/" TargetMode="External"/><Relationship Id="rId108" Type="http://schemas.openxmlformats.org/officeDocument/2006/relationships/hyperlink" Target="https://www.motherjones.com/food/2021/11/food-apartheid-insecurity-gardening-black-agency-pandemic-community" TargetMode="External"/><Relationship Id="rId124" Type="http://schemas.openxmlformats.org/officeDocument/2006/relationships/hyperlink" Target="https://www.feedingamerica.org/hunger-in-america/impact-of-hunger" TargetMode="External"/><Relationship Id="rId129" Type="http://schemas.openxmlformats.org/officeDocument/2006/relationships/hyperlink" Target="https://civileats.com/2021/01/26/did-pandemic-disruptions-to-school-meal-programs-leave-out-students-of-color/" TargetMode="External"/><Relationship Id="rId54" Type="http://schemas.openxmlformats.org/officeDocument/2006/relationships/hyperlink" Target="https://www.farmworkerjustice.org/wages-map/" TargetMode="External"/><Relationship Id="rId70" Type="http://schemas.openxmlformats.org/officeDocument/2006/relationships/hyperlink" Target="https://fairfoodprogram.org/partners/" TargetMode="External"/><Relationship Id="rId75" Type="http://schemas.openxmlformats.org/officeDocument/2006/relationships/hyperlink" Target="https://www.feedingamerica.org/sites/default/files/2020-10/Brief_Local%20Impact_10.2020_0.pdf?s_src=W21BREFER&amp;s_referrer=https%3A%2F%2Fmap.feedingamerica.org%2F&amp;s_channel=https%3A%2F%2Fmap.feedingamerica.org%2F&amp;s_subsrc=https%3A%2F%2Fwww.feedingamerica.org%2F%3F_ga%3D2.233500119.812905744.1636213716-510719850.1635443892" TargetMode="External"/><Relationship Id="rId91" Type="http://schemas.openxmlformats.org/officeDocument/2006/relationships/hyperlink" Target="https://www.un.org/development/desa/indigenouspeoples/climate-change.html" TargetMode="External"/><Relationship Id="rId96" Type="http://schemas.openxmlformats.org/officeDocument/2006/relationships/hyperlink" Target="https://www.usda.gov/media/blog/2011/05/03/interactive-web-tool-maps-food-deserts-provides-key-data" TargetMode="External"/><Relationship Id="rId1" Type="http://schemas.openxmlformats.org/officeDocument/2006/relationships/hyperlink" Target="https://miami.app.box.com/s/7h36kcni5mez2iixf06l5iflz66fachj" TargetMode="External"/><Relationship Id="rId6" Type="http://schemas.openxmlformats.org/officeDocument/2006/relationships/hyperlink" Target="https://www.fns.usda.gov/news-item/usda-0062.22" TargetMode="External"/><Relationship Id="rId23" Type="http://schemas.openxmlformats.org/officeDocument/2006/relationships/hyperlink" Target="https://www.jandonline.org/article/S0002-8223(11)00698-5/fulltext" TargetMode="External"/><Relationship Id="rId28" Type="http://schemas.openxmlformats.org/officeDocument/2006/relationships/hyperlink" Target="https://www.epi.org/blog/racism-and-the-economy-fed/" TargetMode="External"/><Relationship Id="rId49" Type="http://schemas.openxmlformats.org/officeDocument/2006/relationships/hyperlink" Target="https://www.ers.usda.gov/topics/farm-economy/farm-labor/" TargetMode="External"/><Relationship Id="rId114" Type="http://schemas.openxmlformats.org/officeDocument/2006/relationships/hyperlink" Target="https://www.tpl.org/sites/default/files/Benefits%20of%20GI%20for%20heat%20mitigation%20and%20emissions%20reductions%20in%20cities.pdf" TargetMode="External"/><Relationship Id="rId119" Type="http://schemas.openxmlformats.org/officeDocument/2006/relationships/hyperlink" Target="http://rna-lab.com/publishedpapers" TargetMode="External"/><Relationship Id="rId44" Type="http://schemas.openxmlformats.org/officeDocument/2006/relationships/hyperlink" Target="https://thecounter.org/how-corporations-buy-and-sell-food-made-with-prison-labor/" TargetMode="External"/><Relationship Id="rId60" Type="http://schemas.openxmlformats.org/officeDocument/2006/relationships/hyperlink" Target="https://digitallibrary.un.org/record/1650694?ln=en" TargetMode="External"/><Relationship Id="rId65" Type="http://schemas.openxmlformats.org/officeDocument/2006/relationships/hyperlink" Target="https://www.epi.org/publication/so-called-right-to-work-is-wrong-for-montana/" TargetMode="External"/><Relationship Id="rId81" Type="http://schemas.openxmlformats.org/officeDocument/2006/relationships/hyperlink" Target="https://www7.nau.edu/itep/main/tcc/Basic/TDK_FirstFoods" TargetMode="External"/><Relationship Id="rId86" Type="http://schemas.openxmlformats.org/officeDocument/2006/relationships/hyperlink" Target="http://www.imf.org/external/pubs/ft/wp/2011/wp11251.pdf" TargetMode="External"/><Relationship Id="rId130" Type="http://schemas.openxmlformats.org/officeDocument/2006/relationships/hyperlink" Target="https://publichealth.uic.edu/news-stories/black-hispanic-americans-are-overrepresented-in-essential-jobs/" TargetMode="External"/><Relationship Id="rId13" Type="http://schemas.openxmlformats.org/officeDocument/2006/relationships/hyperlink" Target="https://www.ohchr.org/en/instruments-mechanisms/instruments/international-covenant-civil-and-political-rights" TargetMode="External"/><Relationship Id="rId18" Type="http://schemas.openxmlformats.org/officeDocument/2006/relationships/hyperlink" Target="https://www.cbpp.org/research/poverty-and-inequality/tracking-the-covid-19-economys-effects-on-food-housing-and" TargetMode="External"/><Relationship Id="rId39" Type="http://schemas.openxmlformats.org/officeDocument/2006/relationships/hyperlink" Target="https://www.nycfoodpolicy.org/prison-labor-is-remarkably-common-within-the-food-system/" TargetMode="External"/><Relationship Id="rId109" Type="http://schemas.openxmlformats.org/officeDocument/2006/relationships/hyperlink" Target="https://www.washingtonpost.com/news/wonk/wp/2018/03/28/redlining-was-banned-50-years-ago-its-still-hurting-minorities-today/" TargetMode="External"/><Relationship Id="rId34" Type="http://schemas.openxmlformats.org/officeDocument/2006/relationships/hyperlink" Target="https://www.history.com/topics/black-history/slavery" TargetMode="External"/><Relationship Id="rId50" Type="http://schemas.openxmlformats.org/officeDocument/2006/relationships/hyperlink" Target="https://www.fwd.us/news/immigrant-farmworkers-and-americas-food-production-5-things-to-know/" TargetMode="External"/><Relationship Id="rId55" Type="http://schemas.openxmlformats.org/officeDocument/2006/relationships/hyperlink" Target="https://www.farmworkerjustice.org/workers-compensation-map/" TargetMode="External"/><Relationship Id="rId76" Type="http://schemas.openxmlformats.org/officeDocument/2006/relationships/hyperlink" Target="https://ajph.aphapublications.org/doi/10.2105/AJPH.2016.303605" TargetMode="External"/><Relationship Id="rId97" Type="http://schemas.openxmlformats.org/officeDocument/2006/relationships/hyperlink" Target="https://www.theguardian.com/society/2018/may/15/food-apartheid-food-deserts-racism-inequality-america-karen-washington-interview" TargetMode="External"/><Relationship Id="rId104" Type="http://schemas.openxmlformats.org/officeDocument/2006/relationships/hyperlink" Target="https://www.sciencedirect.com/science/article/pii/S2352771421000483" TargetMode="External"/><Relationship Id="rId120" Type="http://schemas.openxmlformats.org/officeDocument/2006/relationships/hyperlink" Target="https://www.npr.org/2021/01/29/956012329/hope-and-skepticism-as-biden-promises-to-address-environmental-racism" TargetMode="External"/><Relationship Id="rId125" Type="http://schemas.openxmlformats.org/officeDocument/2006/relationships/hyperlink" Target="https://www.ncbi.nlm.nih.gov/pmc/articles/PMC4410446/" TargetMode="External"/><Relationship Id="rId7" Type="http://schemas.openxmlformats.org/officeDocument/2006/relationships/hyperlink" Target="https://frac.org/hunger-poverty-america" TargetMode="External"/><Relationship Id="rId71" Type="http://schemas.openxmlformats.org/officeDocument/2006/relationships/hyperlink" Target="https://ciw-online.org/wendys/" TargetMode="External"/><Relationship Id="rId92" Type="http://schemas.openxmlformats.org/officeDocument/2006/relationships/hyperlink" Target="https://now.tufts.edu/2022/01/27/where-food-climate-and-racial-equity-meet" TargetMode="External"/><Relationship Id="rId2" Type="http://schemas.openxmlformats.org/officeDocument/2006/relationships/hyperlink" Target="https://miami.app.box.com/s/silo21828h40lu1div7zrq8pqc8n0xkh" TargetMode="External"/><Relationship Id="rId29" Type="http://schemas.openxmlformats.org/officeDocument/2006/relationships/hyperlink" Target="https://www.forbes.com/sites/palashghosh/2021/06/18/blacks-earn-30-less-than-whites-while-black-households-have-just-one-eighth-of-wealth-of-white-households/?sh=76625bc2550c" TargetMode="External"/><Relationship Id="rId24" Type="http://schemas.openxmlformats.org/officeDocument/2006/relationships/hyperlink" Target="https://www.hcn.org/articles/indigenous-affairs-food-the-first-answer-for-food-insecurity-data-sovereignty" TargetMode="External"/><Relationship Id="rId40" Type="http://schemas.openxmlformats.org/officeDocument/2006/relationships/hyperlink" Target="https://theconversation.com/convicts-are-returning-to-farming-anti-immigrant-policies-are-the-reason-117152" TargetMode="External"/><Relationship Id="rId45" Type="http://schemas.openxmlformats.org/officeDocument/2006/relationships/hyperlink" Target="https://onlinedegrees.kent.edu/sociology/criminal-justice/community/how-much-do-prisoners-make-in-each-state" TargetMode="External"/><Relationship Id="rId66" Type="http://schemas.openxmlformats.org/officeDocument/2006/relationships/hyperlink" Target="https://www.bls.gov/news.release/pdf/union2.pdf" TargetMode="External"/><Relationship Id="rId87" Type="http://schemas.openxmlformats.org/officeDocument/2006/relationships/hyperlink" Target="https://www.tni.org/files/publication-downloads/web_eng.pdf" TargetMode="External"/><Relationship Id="rId110" Type="http://schemas.openxmlformats.org/officeDocument/2006/relationships/hyperlink" Target="https://www.whitehouse.gov/cea/written-materials/2021/06/17/exclusionary-zoning-its-effect-on-racial-discrimination-in-the-housing-market/" TargetMode="External"/><Relationship Id="rId115" Type="http://schemas.openxmlformats.org/officeDocument/2006/relationships/hyperlink" Target="https://healfoodalliance.org/what-does-a-legacy-of-colonization-and-enslavement-mean-for-todays-food-and-farm-systems/" TargetMode="External"/><Relationship Id="rId131" Type="http://schemas.openxmlformats.org/officeDocument/2006/relationships/hyperlink" Target="https://www.ers.usda.gov/topics/food-nutrition-assistance/child-nutrition-programs/national-school-lunch-program/" TargetMode="External"/><Relationship Id="rId61" Type="http://schemas.openxmlformats.org/officeDocument/2006/relationships/hyperlink" Target="https://www.businessinsider.com/pitchfork-economics-right-to-work-legislation-terrible-for-workers-2021-9" TargetMode="External"/><Relationship Id="rId82" Type="http://schemas.openxmlformats.org/officeDocument/2006/relationships/hyperlink" Target="https://www.brookings.edu/blog/up-front/2020/08/07/uncommon-ground-the-impact-of-natural-resource-corruption-on-indigenous-peoples/" TargetMode="External"/><Relationship Id="rId19" Type="http://schemas.openxmlformats.org/officeDocument/2006/relationships/hyperlink" Target="https://frac.org/blog/new-usda-report-provides-picture-of-who-participates-in-snap" TargetMode="External"/><Relationship Id="rId14" Type="http://schemas.openxmlformats.org/officeDocument/2006/relationships/hyperlink" Target="http://www.fao.org/policy-support/policy-themes/right-to-food/en/" TargetMode="External"/><Relationship Id="rId30" Type="http://schemas.openxmlformats.org/officeDocument/2006/relationships/hyperlink" Target="https://www.census.gov/library/publications/2021/demo/p60-273.html" TargetMode="External"/><Relationship Id="rId35" Type="http://schemas.openxmlformats.org/officeDocument/2006/relationships/hyperlink" Target="https://constitution.congress.gov/constitution/amendment-13/" TargetMode="External"/><Relationship Id="rId56" Type="http://schemas.openxmlformats.org/officeDocument/2006/relationships/hyperlink" Target="https://www.dol.gov/agencies/whd/laws-and-regulations/laws/mspa" TargetMode="External"/><Relationship Id="rId77" Type="http://schemas.openxmlformats.org/officeDocument/2006/relationships/hyperlink" Target="https://worldpopulationreview.com/state-rankings/native-american-population" TargetMode="External"/><Relationship Id="rId100" Type="http://schemas.openxmlformats.org/officeDocument/2006/relationships/hyperlink" Target="https://www.cdc.gov/niosh/topics/heatstress/default.html" TargetMode="External"/><Relationship Id="rId105" Type="http://schemas.openxmlformats.org/officeDocument/2006/relationships/hyperlink" Target="https://www.kff.org/policy-watch/extreme-heat-racial-health-equity/" TargetMode="External"/><Relationship Id="rId126" Type="http://schemas.openxmlformats.org/officeDocument/2006/relationships/hyperlink" Target="https://www.aclu.org/blog/womens-rights/pregnancy-and-parenting-discrimination/challenges-breastfeeding-black-person" TargetMode="External"/><Relationship Id="rId8" Type="http://schemas.openxmlformats.org/officeDocument/2006/relationships/hyperlink" Target="https://www.un.org/en/udhrbook/pdf/udhr_booklet_en_web.pdf" TargetMode="External"/><Relationship Id="rId51" Type="http://schemas.openxmlformats.org/officeDocument/2006/relationships/hyperlink" Target="https://legalaidatwork.org/factsheet/undocumented-workers-employment-rights/" TargetMode="External"/><Relationship Id="rId72" Type="http://schemas.openxmlformats.org/officeDocument/2006/relationships/hyperlink" Target="https://www.feedingamerica.org/sites/default/files/2021-03/National%20Projections%20Brief_3.9.2021_0.pdf" TargetMode="External"/><Relationship Id="rId93" Type="http://schemas.openxmlformats.org/officeDocument/2006/relationships/hyperlink" Target="https://www.un.org/development/desa/indigenouspeoples/climate-change.html" TargetMode="External"/><Relationship Id="rId98" Type="http://schemas.openxmlformats.org/officeDocument/2006/relationships/hyperlink" Target="https://foodprint.org/issues/how-our-food-system-affects-public-health/" TargetMode="External"/><Relationship Id="rId121" Type="http://schemas.openxmlformats.org/officeDocument/2006/relationships/hyperlink" Target="https://frac.org/blog/ending-hunger-gender-equity-issue" TargetMode="External"/><Relationship Id="rId3" Type="http://schemas.openxmlformats.org/officeDocument/2006/relationships/hyperlink" Target="https://www.americanprogress.org/article/new-poverty-food-insecurity-data-illustrate-persistent-racial-inequities/" TargetMode="External"/><Relationship Id="rId25" Type="http://schemas.openxmlformats.org/officeDocument/2006/relationships/hyperlink" Target="https://www.fns.usda.gov/fdpir/food-distribution-program-indian-reservations" TargetMode="External"/><Relationship Id="rId46" Type="http://schemas.openxmlformats.org/officeDocument/2006/relationships/hyperlink" Target="https://www.clasp.org/publications/report/brief/no-more-double-punishments/" TargetMode="External"/><Relationship Id="rId67" Type="http://schemas.openxmlformats.org/officeDocument/2006/relationships/hyperlink" Target="https://www.epi.org/blog/who-are-essential-workers-a-comprehensive-look-at-their-wages-demographics-and-unionization-rates/" TargetMode="External"/><Relationship Id="rId116" Type="http://schemas.openxmlformats.org/officeDocument/2006/relationships/hyperlink" Target="https://documents-dds-ny.un.org/doc/UNDOC/GEN/G21/397/86/PDF/G2139786.pdf?OpenElement/" TargetMode="External"/><Relationship Id="rId20" Type="http://schemas.openxmlformats.org/officeDocument/2006/relationships/hyperlink" Target="https://www.fns.usda.gov/snap/thriftyfoodplan" TargetMode="External"/><Relationship Id="rId41" Type="http://schemas.openxmlformats.org/officeDocument/2006/relationships/hyperlink" Target="https://boisehighlights.com/2135/front-page-stories/prison-potatoes-idahos-famous-food/" TargetMode="External"/><Relationship Id="rId62" Type="http://schemas.openxmlformats.org/officeDocument/2006/relationships/hyperlink" Target="https://www.epi.org/publication/so-called-right-to-work-is-wrong-for-montana/" TargetMode="External"/><Relationship Id="rId83" Type="http://schemas.openxmlformats.org/officeDocument/2006/relationships/hyperlink" Target="https://inthesetimes.com/features/native-land-plunder-bureau-of-indian-affairs.html" TargetMode="External"/><Relationship Id="rId88" Type="http://schemas.openxmlformats.org/officeDocument/2006/relationships/hyperlink" Target="https://www.slowfood.com/land-grabbing-urgent-issue-indigenous-peoples-around-world/" TargetMode="External"/><Relationship Id="rId111" Type="http://schemas.openxmlformats.org/officeDocument/2006/relationships/hyperlink" Target="https://www.motherjones.com/food/2021/11/food-apartheid-insecurity-gardening-black-agency-pandemic-community" TargetMode="External"/><Relationship Id="rId132" Type="http://schemas.openxmlformats.org/officeDocument/2006/relationships/hyperlink" Target="https://theconversation.com/schools-will-stop-serving-free-lunch-to-all-students-a-pandemic-solution-left-out-of-a-new-federal-spending-package-179058" TargetMode="External"/><Relationship Id="rId15" Type="http://schemas.openxmlformats.org/officeDocument/2006/relationships/hyperlink" Target="https://technologytimes.pk/2021/08/31/united-nations-to-follow-seven-steps-on-better-food-system/" TargetMode="External"/><Relationship Id="rId36" Type="http://schemas.openxmlformats.org/officeDocument/2006/relationships/hyperlink" Target="https://eji.org/news/history-racial-injustice-convict-leasing/" TargetMode="External"/><Relationship Id="rId57" Type="http://schemas.openxmlformats.org/officeDocument/2006/relationships/hyperlink" Target="https://constitution.congress.gov/constitution/article-6/" TargetMode="External"/><Relationship Id="rId106" Type="http://schemas.openxmlformats.org/officeDocument/2006/relationships/hyperlink" Target="file:///Users/lauraleira/Desktop/A_HRC_RES_39_12-EN.pdf" TargetMode="External"/><Relationship Id="rId127" Type="http://schemas.openxmlformats.org/officeDocument/2006/relationships/hyperlink" Target="https://www.pbs.org/newshour/health/racial-disparities-persist-for-breastfeeding-moms-heres-why" TargetMode="External"/><Relationship Id="rId10" Type="http://schemas.openxmlformats.org/officeDocument/2006/relationships/hyperlink" Target="https://ballotpedia.org/Right-to-work_laws" TargetMode="External"/><Relationship Id="rId31" Type="http://schemas.openxmlformats.org/officeDocument/2006/relationships/hyperlink" Target="https://www.mckinsey.com/featured-insights/coronavirus-leading-through-the-crisis/charting-the-path-to-the-next-normal/too-many-black-americans-live-in-food-deserts" TargetMode="External"/><Relationship Id="rId52" Type="http://schemas.openxmlformats.org/officeDocument/2006/relationships/hyperlink" Target="https://www.nlrb.gov/guidance/key-reference-materials/national-labor-relations-act" TargetMode="External"/><Relationship Id="rId73" Type="http://schemas.openxmlformats.org/officeDocument/2006/relationships/hyperlink" Target="https://moveforhunger.org/one-in-4-native-americans-is-food%20insecure" TargetMode="External"/><Relationship Id="rId78" Type="http://schemas.openxmlformats.org/officeDocument/2006/relationships/hyperlink" Target="https://www.eia.gov/petroleum/drilling/" TargetMode="External"/><Relationship Id="rId94" Type="http://schemas.openxmlformats.org/officeDocument/2006/relationships/hyperlink" Target="https://www.firstnations.org/native-foods-resources/" TargetMode="External"/><Relationship Id="rId99" Type="http://schemas.openxmlformats.org/officeDocument/2006/relationships/hyperlink" Target="https://www.ucsusa.org/sites/default/files/2020-06/leveling-the-fields.pdf" TargetMode="External"/><Relationship Id="rId101" Type="http://schemas.openxmlformats.org/officeDocument/2006/relationships/hyperlink" Target="https://www.nass.usda.gov/Publications/Highlights/2019/2017Census_Black_Producers.pdf" TargetMode="External"/><Relationship Id="rId122" Type="http://schemas.openxmlformats.org/officeDocument/2006/relationships/hyperlink" Target="https://www.bread.org/sites/default/files/downloads/hunger-poverty-female-headed-households-may-2019.pdf" TargetMode="External"/><Relationship Id="rId4" Type="http://schemas.openxmlformats.org/officeDocument/2006/relationships/hyperlink" Target="https://www.nytimes.com/2020/04/02/us/coronavirus-undocumented-immigrant-farmworkers-agriculture.html" TargetMode="External"/><Relationship Id="rId9" Type="http://schemas.openxmlformats.org/officeDocument/2006/relationships/hyperlink" Target="http://docstore.ohchr.org/SelfServices/FilesHandler.ashx?enc=4slQ6QSmlBEDzFEovLCuW1a0Szab0oXTdImnsJZZVQfUKxXVisd7Dae%2FCu%2B13J25Nha7l9NlwYZ%2FTmK57O%2FSr7TB2hbCAidyVu5x7XcqjNXn44LZ52C%2BIkX8AGQrVyIc" TargetMode="External"/><Relationship Id="rId26" Type="http://schemas.openxmlformats.org/officeDocument/2006/relationships/hyperlink" Target="https://nativeamericanagriculturefund.org/wp-content/uploads/2018/04/Reimagining-Hunger-Responses-in-Times-of-Crisis.pdf" TargetMode="External"/><Relationship Id="rId47" Type="http://schemas.openxmlformats.org/officeDocument/2006/relationships/hyperlink" Target="https://thecounter.org/how-corporations-buy-and-sell-food-made-with-prison-labor/" TargetMode="External"/><Relationship Id="rId68" Type="http://schemas.openxmlformats.org/officeDocument/2006/relationships/hyperlink" Target="https://fairfoodprogram.org/about/" TargetMode="External"/><Relationship Id="rId89" Type="http://schemas.openxmlformats.org/officeDocument/2006/relationships/hyperlink" Target="https://grist.org/article/biden-proposes-20-year-drilling-ban-near-sacred-indigenous-site/" TargetMode="External"/><Relationship Id="rId112" Type="http://schemas.openxmlformats.org/officeDocument/2006/relationships/hyperlink" Target="https://www.urban.org/urban-wire/food-sovereignty-can-advance-racial-equity-and-climate-resilience" TargetMode="External"/><Relationship Id="rId133" Type="http://schemas.openxmlformats.org/officeDocument/2006/relationships/hyperlink" Target="https://www.fordfoundation.org/news-and-stories/stories/posts/fighting-the-stigma-of-free-lunch-why-universal-free-school-lunch-is-good-for-students-schools-and-famil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1B5AB6-A457-D44F-BEAD-2F1521463D9C}">
  <ds:schemaRefs>
    <ds:schemaRef ds:uri="http://schemas.openxmlformats.org/officeDocument/2006/bibliography"/>
  </ds:schemaRefs>
</ds:datastoreItem>
</file>

<file path=customXml/itemProps2.xml><?xml version="1.0" encoding="utf-8"?>
<ds:datastoreItem xmlns:ds="http://schemas.openxmlformats.org/officeDocument/2006/customXml" ds:itemID="{5950360D-6C8A-4838-84AF-A5A2A5EB756E}"/>
</file>

<file path=customXml/itemProps3.xml><?xml version="1.0" encoding="utf-8"?>
<ds:datastoreItem xmlns:ds="http://schemas.openxmlformats.org/officeDocument/2006/customXml" ds:itemID="{5A17C144-2D48-419D-BF7D-97A4B0F4E781}"/>
</file>

<file path=customXml/itemProps4.xml><?xml version="1.0" encoding="utf-8"?>
<ds:datastoreItem xmlns:ds="http://schemas.openxmlformats.org/officeDocument/2006/customXml" ds:itemID="{5FFDCC09-E9B0-4810-A374-755BD644CF4A}"/>
</file>

<file path=docProps/app.xml><?xml version="1.0" encoding="utf-8"?>
<Properties xmlns="http://schemas.openxmlformats.org/officeDocument/2006/extended-properties" xmlns:vt="http://schemas.openxmlformats.org/officeDocument/2006/docPropsVTypes">
  <Template>Normal.dotm</Template>
  <TotalTime>18</TotalTime>
  <Pages>21</Pages>
  <Words>8188</Words>
  <Characters>46672</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dc:creator>
  <cp:keywords/>
  <dc:description/>
  <cp:lastModifiedBy>Cordova Montes, R. Denisse</cp:lastModifiedBy>
  <cp:revision>5</cp:revision>
  <dcterms:created xsi:type="dcterms:W3CDTF">2022-05-18T13:39:00Z</dcterms:created>
  <dcterms:modified xsi:type="dcterms:W3CDTF">2022-05-18T14:06:00Z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