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5A93B" w14:textId="77777777" w:rsidR="002277AC" w:rsidRDefault="002277AC" w:rsidP="007451A5">
      <w:pPr>
        <w:jc w:val="center"/>
        <w:rPr>
          <w:rFonts w:ascii="Cambria" w:hAnsi="Cambria"/>
          <w:b/>
          <w:bCs/>
          <w:sz w:val="30"/>
          <w:szCs w:val="30"/>
          <w:lang w:val="es-419"/>
        </w:rPr>
      </w:pPr>
    </w:p>
    <w:p w14:paraId="44F95E51" w14:textId="416EB643" w:rsidR="007451A5" w:rsidRPr="007451A5" w:rsidRDefault="007451A5" w:rsidP="007451A5">
      <w:pPr>
        <w:jc w:val="center"/>
        <w:rPr>
          <w:rFonts w:ascii="Cambria" w:hAnsi="Cambria"/>
          <w:b/>
          <w:bCs/>
          <w:sz w:val="30"/>
          <w:szCs w:val="30"/>
          <w:lang w:val="es-419"/>
        </w:rPr>
      </w:pPr>
      <w:r w:rsidRPr="5E5B83D7">
        <w:rPr>
          <w:rFonts w:ascii="Cambria" w:hAnsi="Cambria"/>
          <w:b/>
          <w:bCs/>
          <w:sz w:val="30"/>
          <w:szCs w:val="30"/>
          <w:lang w:val="es-419"/>
        </w:rPr>
        <w:t>Insumos de la Comisión Interamericana de Derechos Humanos al Comité de Protección de los Derechos de Todos los Trabajadores Migratorios y de sus Familiares en el marco del</w:t>
      </w:r>
      <w:r w:rsidR="4D0A4C07" w:rsidRPr="5E5B83D7">
        <w:rPr>
          <w:rFonts w:ascii="Cambria" w:hAnsi="Cambria"/>
          <w:b/>
          <w:bCs/>
          <w:sz w:val="30"/>
          <w:szCs w:val="30"/>
          <w:lang w:val="es-419"/>
        </w:rPr>
        <w:t xml:space="preserve"> </w:t>
      </w:r>
      <w:r w:rsidR="1B7D49AE" w:rsidRPr="5E5B83D7">
        <w:rPr>
          <w:rFonts w:ascii="Cambria" w:hAnsi="Cambria"/>
          <w:b/>
          <w:bCs/>
          <w:sz w:val="30"/>
          <w:szCs w:val="30"/>
          <w:lang w:val="es-419"/>
        </w:rPr>
        <w:t>segundo informe periódico de Honduras</w:t>
      </w:r>
    </w:p>
    <w:p w14:paraId="6FAC9748" w14:textId="77777777" w:rsidR="007451A5" w:rsidRPr="007451A5" w:rsidRDefault="007451A5" w:rsidP="007451A5">
      <w:pPr>
        <w:spacing w:afterLines="120" w:after="288" w:line="240" w:lineRule="auto"/>
        <w:jc w:val="both"/>
        <w:rPr>
          <w:rFonts w:ascii="Cambria" w:hAnsi="Cambria"/>
          <w:sz w:val="20"/>
          <w:szCs w:val="20"/>
          <w:lang w:val="es-419"/>
        </w:rPr>
      </w:pPr>
    </w:p>
    <w:p w14:paraId="4B3491E0" w14:textId="77777777" w:rsidR="007451A5" w:rsidRPr="007451A5" w:rsidRDefault="007451A5" w:rsidP="007451A5">
      <w:pPr>
        <w:spacing w:afterLines="120" w:after="288" w:line="240" w:lineRule="auto"/>
        <w:jc w:val="both"/>
        <w:rPr>
          <w:rFonts w:ascii="Cambria" w:hAnsi="Cambria"/>
          <w:b/>
          <w:bCs/>
          <w:sz w:val="20"/>
          <w:szCs w:val="20"/>
          <w:lang w:val="es-419"/>
        </w:rPr>
      </w:pPr>
      <w:r w:rsidRPr="007451A5">
        <w:rPr>
          <w:rFonts w:ascii="Cambria" w:hAnsi="Cambria"/>
          <w:b/>
          <w:bCs/>
          <w:sz w:val="20"/>
          <w:szCs w:val="20"/>
          <w:lang w:val="es-419"/>
        </w:rPr>
        <w:t>Antecedentes</w:t>
      </w:r>
    </w:p>
    <w:p w14:paraId="6C62A267" w14:textId="68192C6F" w:rsidR="007451A5" w:rsidRPr="007451A5" w:rsidRDefault="08770722" w:rsidP="007451A5">
      <w:pPr>
        <w:pStyle w:val="ListParagraph"/>
        <w:numPr>
          <w:ilvl w:val="0"/>
          <w:numId w:val="5"/>
        </w:numPr>
        <w:spacing w:afterLines="120" w:after="288"/>
        <w:jc w:val="both"/>
        <w:rPr>
          <w:rFonts w:ascii="Cambria" w:hAnsi="Cambria"/>
          <w:sz w:val="20"/>
          <w:szCs w:val="20"/>
          <w:lang w:val="es-419"/>
        </w:rPr>
      </w:pPr>
      <w:r w:rsidRPr="6F17F680">
        <w:rPr>
          <w:rFonts w:ascii="Cambria" w:hAnsi="Cambria"/>
          <w:sz w:val="20"/>
          <w:szCs w:val="20"/>
          <w:lang w:val="es-419"/>
        </w:rPr>
        <w:t xml:space="preserve">La </w:t>
      </w:r>
      <w:r w:rsidR="007451A5" w:rsidRPr="007451A5">
        <w:rPr>
          <w:rFonts w:ascii="Cambria" w:hAnsi="Cambria"/>
          <w:sz w:val="20"/>
          <w:szCs w:val="20"/>
          <w:lang w:val="es-419"/>
        </w:rPr>
        <w:t xml:space="preserve">Comisión Interamericana de Derechos Humanos (en adelante CIDH o Comisión) ha recibido información sobre las múltiples causas que conllevan a la movilidad de personas hondureñas, tanto a nivel interno como internacional. En </w:t>
      </w:r>
      <w:r w:rsidR="007451A5" w:rsidRPr="007451A5">
        <w:rPr>
          <w:rStyle w:val="FootnoteReference"/>
          <w:rFonts w:ascii="Cambria" w:hAnsi="Cambria"/>
          <w:sz w:val="20"/>
          <w:szCs w:val="20"/>
          <w:lang w:val="es-419"/>
        </w:rPr>
        <w:footnoteReference w:id="2"/>
      </w:r>
      <w:r w:rsidR="007451A5" w:rsidRPr="007451A5">
        <w:rPr>
          <w:rFonts w:ascii="Cambria" w:hAnsi="Cambria"/>
          <w:sz w:val="20"/>
          <w:szCs w:val="20"/>
          <w:lang w:val="es-419"/>
        </w:rPr>
        <w:t>, la CIDH notó que entre los factores de expulsión de personas migrantes hondureñas se encontraban los altos índices de desigualdad, pobreza, violencia, falta de oportunidades y el alto impacto que han tenido los desastres naturales. A la vez, destacó que la multicausalidad de la migración desde Honduras explica por qué ésta provoca movimientos migratorios de carácter mixto. Asimismo, observó con preocupación información sobre las diversas formas de violencia que enfrentaban las personas hondureñas a lo largo del ciclo migratorio; particularmente, en cuanto a su desaparición</w:t>
      </w:r>
      <w:r w:rsidR="007451A5" w:rsidRPr="6F17F680">
        <w:rPr>
          <w:rStyle w:val="FootnoteReference"/>
          <w:rFonts w:ascii="Cambria" w:hAnsi="Cambria"/>
          <w:sz w:val="20"/>
          <w:szCs w:val="20"/>
          <w:lang w:val="es-419"/>
        </w:rPr>
        <w:footnoteReference w:id="3"/>
      </w:r>
      <w:r w:rsidR="007451A5" w:rsidRPr="6F17F680">
        <w:rPr>
          <w:rFonts w:ascii="Cambria" w:hAnsi="Cambria"/>
          <w:sz w:val="20"/>
          <w:szCs w:val="20"/>
          <w:lang w:val="es-419"/>
        </w:rPr>
        <w:t>.</w:t>
      </w:r>
    </w:p>
    <w:p w14:paraId="1EFD4B92"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t>A pesar de ser un importante país de origen de personas en contexto de movilidad humana, la Comisión nota con preocupación la ausencia de cifras del Estado que permitan dimensionar el número de personas hondureñas que, de manera voluntaria o forzada, estarían saliendo del país. Entre otras, en búsqueda de mejores oportunidades, reunificación familiar o de algún tipo de protección internacional</w:t>
      </w:r>
      <w:r w:rsidRPr="007451A5">
        <w:rPr>
          <w:rStyle w:val="FootnoteReference"/>
          <w:rFonts w:ascii="Cambria" w:hAnsi="Cambria"/>
          <w:sz w:val="20"/>
          <w:szCs w:val="20"/>
          <w:lang w:val="es-419"/>
        </w:rPr>
        <w:footnoteReference w:id="4"/>
      </w:r>
      <w:r w:rsidRPr="007451A5">
        <w:rPr>
          <w:rFonts w:ascii="Cambria" w:hAnsi="Cambria"/>
          <w:sz w:val="20"/>
          <w:szCs w:val="20"/>
          <w:lang w:val="es-419"/>
        </w:rPr>
        <w:t>.</w:t>
      </w:r>
    </w:p>
    <w:p w14:paraId="7648E725"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t>En 2019, la Comisión otra vez resaltó que Honduras se ha caracterizado por ser un país de origen de personas migrantes y refugiadas, y cada vez con mayor intensidad, de retorno de personas hondureñas que han sido deportadas de otros países. De manera específica, la CIDH reiteró la multicausalidad de los desplazamientos forzados de personas hondureñas, así como las violaciones a sus derechos humanos en el viaje hacia el país de destino. También continuó observando el aumento significativo de personas hondureñas deportadas debido, principalmente, al endurecimiento de políticas migratorias en Estados Unidos y en México</w:t>
      </w:r>
      <w:r w:rsidRPr="007451A5">
        <w:rPr>
          <w:rStyle w:val="FootnoteReference"/>
          <w:rFonts w:ascii="Cambria" w:hAnsi="Cambria"/>
          <w:sz w:val="20"/>
          <w:szCs w:val="20"/>
          <w:lang w:val="es-419"/>
        </w:rPr>
        <w:footnoteReference w:id="5"/>
      </w:r>
      <w:r w:rsidRPr="007451A5">
        <w:rPr>
          <w:rFonts w:ascii="Cambria" w:hAnsi="Cambria"/>
          <w:sz w:val="20"/>
          <w:szCs w:val="20"/>
          <w:lang w:val="es-419"/>
        </w:rPr>
        <w:t>.</w:t>
      </w:r>
    </w:p>
    <w:p w14:paraId="65D85EBD"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t>En su informe de país de 2024, la Comisión saludó el cambio de paradigma en la política migratoria en Honduras, pasando de un enfoque de seguridad y de contención de los movimientos migratorios a una visión de protección y reconocimiento de derechos de las personas en contextos de movilidad humana. A su vez, observa que aún persisten causas estructurales que contribuyen al desplazamiento interno de personas en Honduras, así como otros desafíos que afectan a las personas en situación de movilidad humana</w:t>
      </w:r>
      <w:r w:rsidRPr="007451A5">
        <w:rPr>
          <w:rStyle w:val="FootnoteReference"/>
          <w:rFonts w:ascii="Cambria" w:hAnsi="Cambria"/>
          <w:sz w:val="20"/>
          <w:szCs w:val="20"/>
          <w:lang w:val="es-419"/>
        </w:rPr>
        <w:footnoteReference w:id="6"/>
      </w:r>
      <w:r w:rsidRPr="007451A5">
        <w:rPr>
          <w:rFonts w:ascii="Cambria" w:hAnsi="Cambria"/>
          <w:sz w:val="20"/>
          <w:szCs w:val="20"/>
          <w:lang w:val="es-419"/>
        </w:rPr>
        <w:t>.</w:t>
      </w:r>
    </w:p>
    <w:p w14:paraId="4EFA0C0B" w14:textId="7955304B" w:rsidR="007451A5" w:rsidRPr="007451A5" w:rsidRDefault="007451A5" w:rsidP="007451A5">
      <w:pPr>
        <w:spacing w:afterLines="120" w:after="288"/>
        <w:jc w:val="both"/>
        <w:rPr>
          <w:rFonts w:ascii="Cambria" w:hAnsi="Cambria"/>
          <w:b/>
          <w:bCs/>
          <w:sz w:val="20"/>
          <w:szCs w:val="20"/>
          <w:lang w:val="es-419"/>
        </w:rPr>
      </w:pPr>
      <w:r w:rsidRPr="007451A5">
        <w:rPr>
          <w:rFonts w:ascii="Cambria" w:hAnsi="Cambria"/>
          <w:b/>
          <w:bCs/>
          <w:sz w:val="20"/>
          <w:szCs w:val="20"/>
          <w:lang w:val="es-419"/>
        </w:rPr>
        <w:t>Tránsito por Honduras</w:t>
      </w:r>
    </w:p>
    <w:p w14:paraId="38B772DE"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lastRenderedPageBreak/>
        <w:t>En los últimos años, la Comisión ha notado que Honduras ha recibido un aumento exponencial en el número de personas en movilidad humana que transitan por su territorio, quienes buscarían llegar, en su mayoría, a México y Estados Unidos</w:t>
      </w:r>
      <w:r w:rsidRPr="007451A5">
        <w:rPr>
          <w:rStyle w:val="FootnoteReference"/>
          <w:rFonts w:ascii="Cambria" w:hAnsi="Cambria"/>
          <w:sz w:val="20"/>
          <w:szCs w:val="20"/>
          <w:lang w:val="es-419"/>
        </w:rPr>
        <w:footnoteReference w:id="7"/>
      </w:r>
      <w:r w:rsidRPr="007451A5">
        <w:rPr>
          <w:rFonts w:ascii="Cambria" w:hAnsi="Cambria"/>
          <w:sz w:val="20"/>
          <w:szCs w:val="20"/>
          <w:lang w:val="es-419"/>
        </w:rPr>
        <w:t xml:space="preserve">. La CIDH ha notado que los movimientos de personas que transitan por el país hondureño incluyen a personas en movilidad humana </w:t>
      </w:r>
      <w:proofErr w:type="spellStart"/>
      <w:r w:rsidRPr="007451A5">
        <w:rPr>
          <w:rFonts w:ascii="Cambria" w:hAnsi="Cambria"/>
          <w:sz w:val="20"/>
          <w:szCs w:val="20"/>
          <w:lang w:val="es-419"/>
        </w:rPr>
        <w:t>extraregionales</w:t>
      </w:r>
      <w:proofErr w:type="spellEnd"/>
      <w:r w:rsidRPr="007451A5">
        <w:rPr>
          <w:rFonts w:ascii="Cambria" w:hAnsi="Cambria"/>
          <w:sz w:val="20"/>
          <w:szCs w:val="20"/>
          <w:lang w:val="es-419"/>
        </w:rPr>
        <w:t xml:space="preserve"> y extracontinentales, y destaca el tránsito de niños y niñas, familias con niños menores de cinco años y una alta presencia de mujeres lactantes y mujeres embarazadas</w:t>
      </w:r>
      <w:r w:rsidRPr="007451A5">
        <w:rPr>
          <w:rStyle w:val="FootnoteReference"/>
          <w:rFonts w:ascii="Cambria" w:hAnsi="Cambria"/>
          <w:sz w:val="20"/>
          <w:szCs w:val="20"/>
          <w:lang w:val="es-419"/>
        </w:rPr>
        <w:footnoteReference w:id="8"/>
      </w:r>
      <w:r w:rsidRPr="007451A5">
        <w:rPr>
          <w:rFonts w:ascii="Cambria" w:hAnsi="Cambria"/>
          <w:sz w:val="20"/>
          <w:szCs w:val="20"/>
          <w:lang w:val="es-419"/>
        </w:rPr>
        <w:t>. Al respecto, información oficial señala que las principales nacionalidades de personas que han ingresado al país durante 2023 son Venezuela, Cuba, Ecuador, Haití, Colombia, India, China, Uzbekistán, Brasil y Angola, entre otras</w:t>
      </w:r>
      <w:r w:rsidRPr="007451A5">
        <w:rPr>
          <w:rStyle w:val="FootnoteReference"/>
          <w:rFonts w:ascii="Cambria" w:hAnsi="Cambria"/>
          <w:sz w:val="20"/>
          <w:szCs w:val="20"/>
          <w:lang w:val="es-419"/>
        </w:rPr>
        <w:footnoteReference w:id="9"/>
      </w:r>
      <w:r w:rsidRPr="007451A5">
        <w:rPr>
          <w:rFonts w:ascii="Cambria" w:hAnsi="Cambria"/>
          <w:sz w:val="20"/>
          <w:szCs w:val="20"/>
          <w:lang w:val="es-419"/>
        </w:rPr>
        <w:t>. Si bien el Estado indicó que la toma de datos biométricos es obligatoria, se registrarían ingresos por fuera de los canales regulares de los cuales no se tienen cifras oficiales</w:t>
      </w:r>
      <w:r w:rsidRPr="007451A5">
        <w:rPr>
          <w:rStyle w:val="FootnoteReference"/>
          <w:rFonts w:ascii="Cambria" w:hAnsi="Cambria"/>
          <w:sz w:val="20"/>
          <w:szCs w:val="20"/>
          <w:lang w:val="es-419"/>
        </w:rPr>
        <w:footnoteReference w:id="10"/>
      </w:r>
      <w:r w:rsidRPr="007451A5">
        <w:rPr>
          <w:rFonts w:ascii="Cambria" w:hAnsi="Cambria"/>
          <w:sz w:val="20"/>
          <w:szCs w:val="20"/>
          <w:lang w:val="es-419"/>
        </w:rPr>
        <w:t>.</w:t>
      </w:r>
    </w:p>
    <w:p w14:paraId="70BE924D"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t xml:space="preserve">En relación con la protección de los derechos humanos de las personas migrantes en tránsito, un informe de la organización Washington Office </w:t>
      </w:r>
      <w:proofErr w:type="spellStart"/>
      <w:r w:rsidRPr="007451A5">
        <w:rPr>
          <w:rFonts w:ascii="Cambria" w:hAnsi="Cambria"/>
          <w:sz w:val="20"/>
          <w:szCs w:val="20"/>
          <w:lang w:val="es-419"/>
        </w:rPr>
        <w:t>on</w:t>
      </w:r>
      <w:proofErr w:type="spellEnd"/>
      <w:r w:rsidRPr="007451A5">
        <w:rPr>
          <w:rFonts w:ascii="Cambria" w:hAnsi="Cambria"/>
          <w:sz w:val="20"/>
          <w:szCs w:val="20"/>
          <w:lang w:val="es-419"/>
        </w:rPr>
        <w:t xml:space="preserve"> </w:t>
      </w:r>
      <w:proofErr w:type="spellStart"/>
      <w:r w:rsidRPr="007451A5">
        <w:rPr>
          <w:rFonts w:ascii="Cambria" w:hAnsi="Cambria"/>
          <w:sz w:val="20"/>
          <w:szCs w:val="20"/>
          <w:lang w:val="es-419"/>
        </w:rPr>
        <w:t>Latin</w:t>
      </w:r>
      <w:proofErr w:type="spellEnd"/>
      <w:r w:rsidRPr="007451A5">
        <w:rPr>
          <w:rFonts w:ascii="Cambria" w:hAnsi="Cambria"/>
          <w:sz w:val="20"/>
          <w:szCs w:val="20"/>
          <w:lang w:val="es-419"/>
        </w:rPr>
        <w:t xml:space="preserve"> </w:t>
      </w:r>
      <w:proofErr w:type="spellStart"/>
      <w:r w:rsidRPr="007451A5">
        <w:rPr>
          <w:rFonts w:ascii="Cambria" w:hAnsi="Cambria"/>
          <w:sz w:val="20"/>
          <w:szCs w:val="20"/>
          <w:lang w:val="es-419"/>
        </w:rPr>
        <w:t>America</w:t>
      </w:r>
      <w:proofErr w:type="spellEnd"/>
      <w:r w:rsidRPr="007451A5">
        <w:rPr>
          <w:rFonts w:ascii="Cambria" w:hAnsi="Cambria"/>
          <w:sz w:val="20"/>
          <w:szCs w:val="20"/>
          <w:lang w:val="es-419"/>
        </w:rPr>
        <w:t xml:space="preserve"> (WOLA) señala que el tránsito por Honduras representaría un alivio para las personas en el contexto de la movilidad humana. Ello, debido a que no se está deportando ni deteniendo a estas personas, y no se cobra multa por no contar con los documentos de viaje requeridos para viajar en autobús. La mayoría de las personas se registran con el gobierno y, según lo expresado, las oportunidades para el crimen organizado se habrían visto reducidas. A criterio de WOLA, esto hace que el tránsito por el país sea más tolerable y les daría más visibilidad</w:t>
      </w:r>
      <w:r w:rsidRPr="007451A5">
        <w:rPr>
          <w:rStyle w:val="FootnoteReference"/>
          <w:rFonts w:ascii="Cambria" w:hAnsi="Cambria"/>
          <w:sz w:val="20"/>
          <w:szCs w:val="20"/>
          <w:lang w:val="es-419"/>
        </w:rPr>
        <w:footnoteReference w:id="11"/>
      </w:r>
      <w:r w:rsidRPr="007451A5">
        <w:rPr>
          <w:rFonts w:ascii="Cambria" w:hAnsi="Cambria"/>
          <w:sz w:val="20"/>
          <w:szCs w:val="20"/>
          <w:lang w:val="es-419"/>
        </w:rPr>
        <w:t>.</w:t>
      </w:r>
    </w:p>
    <w:p w14:paraId="59FF8424" w14:textId="77777777" w:rsidR="007451A5" w:rsidRPr="007451A5" w:rsidRDefault="007451A5" w:rsidP="007451A5">
      <w:pPr>
        <w:pStyle w:val="ListParagraph"/>
        <w:numPr>
          <w:ilvl w:val="0"/>
          <w:numId w:val="5"/>
        </w:numPr>
        <w:spacing w:afterLines="120" w:after="288"/>
        <w:jc w:val="both"/>
        <w:rPr>
          <w:rFonts w:ascii="Cambria" w:hAnsi="Cambria"/>
          <w:sz w:val="20"/>
          <w:szCs w:val="20"/>
          <w:lang w:val="es-419"/>
        </w:rPr>
      </w:pPr>
      <w:r w:rsidRPr="007451A5">
        <w:rPr>
          <w:rFonts w:ascii="Cambria" w:hAnsi="Cambria"/>
          <w:sz w:val="20"/>
          <w:szCs w:val="20"/>
          <w:lang w:val="es-419"/>
        </w:rPr>
        <w:t>A pesar de lo anterior, durante su visita, la Comisión recibió información que muestra que estas personas serían víctimas de extorsión, riesgos de violencia sexual, robo, desnutrición, deshidratación, entre muchos riesgos relacionados a la salud física y la salud emocional</w:t>
      </w:r>
      <w:r w:rsidRPr="007451A5">
        <w:rPr>
          <w:rStyle w:val="FootnoteReference"/>
          <w:rFonts w:ascii="Cambria" w:hAnsi="Cambria"/>
          <w:sz w:val="20"/>
          <w:szCs w:val="20"/>
          <w:lang w:val="es-419"/>
        </w:rPr>
        <w:footnoteReference w:id="12"/>
      </w:r>
      <w:r w:rsidRPr="007451A5">
        <w:rPr>
          <w:rFonts w:ascii="Cambria" w:hAnsi="Cambria"/>
          <w:sz w:val="20"/>
          <w:szCs w:val="20"/>
          <w:lang w:val="es-419"/>
        </w:rPr>
        <w:t>. Los riesgos descritos, sumados al aumento en el tránsito por el país, suponen retos para garantizar la protección de personas en el contexto de la movilidad humana. Según información recibida, el Estado estaría enfrentando retos para atender de modo adecuado a los diversos grupos de personas en movilidad humana que atraviesan el país; particularmente, en cuanto a la asignación de personal, así como el traslado de estas personas para asegurar su atención en lugares en donde hay mayores recursos económicos</w:t>
      </w:r>
      <w:r w:rsidRPr="007451A5">
        <w:rPr>
          <w:rStyle w:val="FootnoteReference"/>
          <w:rFonts w:ascii="Cambria" w:hAnsi="Cambria"/>
          <w:sz w:val="20"/>
          <w:szCs w:val="20"/>
          <w:lang w:val="es-419"/>
        </w:rPr>
        <w:footnoteReference w:id="13"/>
      </w:r>
      <w:r w:rsidRPr="007451A5">
        <w:rPr>
          <w:rFonts w:ascii="Cambria" w:hAnsi="Cambria"/>
          <w:sz w:val="20"/>
          <w:szCs w:val="20"/>
          <w:lang w:val="es-419"/>
        </w:rPr>
        <w:t>.</w:t>
      </w:r>
    </w:p>
    <w:p w14:paraId="3A7D2FC5" w14:textId="42F5E6F6" w:rsidR="007451A5" w:rsidRPr="007451A5" w:rsidRDefault="007451A5" w:rsidP="007451A5">
      <w:pPr>
        <w:pStyle w:val="ListParagraph"/>
        <w:numPr>
          <w:ilvl w:val="0"/>
          <w:numId w:val="5"/>
        </w:numPr>
        <w:spacing w:afterLines="120" w:after="288"/>
        <w:contextualSpacing/>
        <w:jc w:val="both"/>
        <w:rPr>
          <w:rFonts w:ascii="Cambria" w:hAnsi="Cambria"/>
          <w:sz w:val="20"/>
          <w:szCs w:val="20"/>
          <w:lang w:val="es-419"/>
        </w:rPr>
      </w:pPr>
      <w:r w:rsidRPr="6F17F680">
        <w:rPr>
          <w:rFonts w:ascii="Cambria" w:hAnsi="Cambria"/>
          <w:sz w:val="20"/>
          <w:szCs w:val="20"/>
          <w:lang w:val="es-419"/>
        </w:rPr>
        <w:t xml:space="preserve">En este escenario, </w:t>
      </w:r>
      <w:r w:rsidR="2ED50DAD" w:rsidRPr="6F17F680">
        <w:rPr>
          <w:rFonts w:ascii="Cambria" w:hAnsi="Cambria"/>
          <w:sz w:val="20"/>
          <w:szCs w:val="20"/>
          <w:lang w:val="es-419"/>
        </w:rPr>
        <w:t>e</w:t>
      </w:r>
      <w:r w:rsidRPr="6F17F680">
        <w:rPr>
          <w:rFonts w:ascii="Cambria" w:hAnsi="Cambria"/>
          <w:sz w:val="20"/>
          <w:szCs w:val="20"/>
          <w:lang w:val="es-419"/>
        </w:rPr>
        <w:t>l Comité podría felicitar al Estado parte por lo siguiente:</w:t>
      </w:r>
    </w:p>
    <w:p w14:paraId="6F9E7879" w14:textId="53442EBE" w:rsidR="007451A5" w:rsidRPr="007451A5" w:rsidRDefault="007451A5" w:rsidP="007451A5">
      <w:pPr>
        <w:pStyle w:val="ListParagraph"/>
        <w:numPr>
          <w:ilvl w:val="1"/>
          <w:numId w:val="5"/>
        </w:numPr>
        <w:spacing w:afterLines="120" w:after="288"/>
        <w:jc w:val="both"/>
        <w:rPr>
          <w:rFonts w:ascii="Cambria" w:hAnsi="Cambria"/>
          <w:sz w:val="20"/>
          <w:szCs w:val="20"/>
          <w:lang w:val="es-419"/>
        </w:rPr>
      </w:pPr>
      <w:r w:rsidRPr="007451A5">
        <w:rPr>
          <w:rFonts w:ascii="Cambria" w:hAnsi="Cambria"/>
          <w:sz w:val="20"/>
          <w:szCs w:val="20"/>
          <w:lang w:val="es-419"/>
        </w:rPr>
        <w:t>La publicación del Decreto Legislativo No. 42-2022, que contiene una amnistía migratoria consistente en la suspensión de la sanción administrativa por ingreso por puntos fronterizos no autorizados</w:t>
      </w:r>
      <w:r w:rsidRPr="007451A5">
        <w:rPr>
          <w:rStyle w:val="FootnoteReference"/>
          <w:rFonts w:ascii="Cambria" w:hAnsi="Cambria"/>
          <w:sz w:val="20"/>
          <w:szCs w:val="20"/>
          <w:lang w:val="es-419"/>
        </w:rPr>
        <w:footnoteReference w:id="14"/>
      </w:r>
      <w:r w:rsidRPr="007451A5">
        <w:rPr>
          <w:rFonts w:ascii="Cambria" w:hAnsi="Cambria"/>
          <w:sz w:val="20"/>
          <w:szCs w:val="20"/>
          <w:lang w:val="es-419"/>
        </w:rPr>
        <w:t>, de acuerdo con lo establecido en el artículo 101 de la Ley de Migración y Extranjería, Decreto No. 208-2003</w:t>
      </w:r>
      <w:r w:rsidRPr="007451A5">
        <w:rPr>
          <w:rStyle w:val="FootnoteReference"/>
          <w:rFonts w:ascii="Cambria" w:hAnsi="Cambria"/>
          <w:sz w:val="20"/>
          <w:szCs w:val="20"/>
          <w:lang w:val="es-419"/>
        </w:rPr>
        <w:footnoteReference w:id="15"/>
      </w:r>
      <w:r w:rsidRPr="007451A5">
        <w:rPr>
          <w:rFonts w:ascii="Cambria" w:hAnsi="Cambria"/>
          <w:sz w:val="20"/>
          <w:szCs w:val="20"/>
          <w:lang w:val="es-419"/>
        </w:rPr>
        <w:t>. Según información recibida por la CIDH, dicha amnistía entró en vigencia el 4 de agosto de 2022, inicialmente por un plazo de seis meses, el cual se ha ampliado</w:t>
      </w:r>
      <w:r w:rsidRPr="007451A5">
        <w:rPr>
          <w:rStyle w:val="FootnoteReference"/>
          <w:rFonts w:ascii="Cambria" w:hAnsi="Cambria"/>
          <w:sz w:val="20"/>
          <w:szCs w:val="20"/>
          <w:lang w:val="es-419"/>
        </w:rPr>
        <w:footnoteReference w:id="16"/>
      </w:r>
      <w:r w:rsidRPr="007451A5">
        <w:rPr>
          <w:rFonts w:ascii="Cambria" w:hAnsi="Cambria"/>
          <w:sz w:val="20"/>
          <w:szCs w:val="20"/>
          <w:lang w:val="es-419"/>
        </w:rPr>
        <w:t xml:space="preserve">. En sus informes anuales, la Comisión ha apuntado las prórrogas que suspenden la sanción administrativa por ingreso por puntos fronterizos no </w:t>
      </w:r>
      <w:r w:rsidRPr="6F17F680">
        <w:rPr>
          <w:rFonts w:ascii="Cambria" w:hAnsi="Cambria"/>
          <w:sz w:val="20"/>
          <w:szCs w:val="20"/>
          <w:lang w:val="es-419"/>
        </w:rPr>
        <w:t>autorizados</w:t>
      </w:r>
      <w:r w:rsidRPr="007451A5">
        <w:rPr>
          <w:rFonts w:ascii="Cambria" w:hAnsi="Cambria"/>
          <w:sz w:val="20"/>
          <w:szCs w:val="20"/>
          <w:lang w:val="es-419"/>
        </w:rPr>
        <w:t>, medida originalmente adoptada mediante el Decreto Legislativo 42-2022</w:t>
      </w:r>
      <w:r w:rsidRPr="007451A5">
        <w:rPr>
          <w:rStyle w:val="FootnoteReference"/>
          <w:rFonts w:ascii="Cambria" w:hAnsi="Cambria"/>
          <w:sz w:val="20"/>
          <w:szCs w:val="20"/>
          <w:lang w:val="es-419"/>
        </w:rPr>
        <w:footnoteReference w:id="17"/>
      </w:r>
      <w:r w:rsidRPr="007451A5">
        <w:rPr>
          <w:rFonts w:ascii="Cambria" w:hAnsi="Cambria"/>
          <w:sz w:val="20"/>
          <w:szCs w:val="20"/>
          <w:lang w:val="es-419"/>
        </w:rPr>
        <w:t>.</w:t>
      </w:r>
    </w:p>
    <w:p w14:paraId="2D80A6FB" w14:textId="10EBCB49" w:rsidR="007451A5" w:rsidRPr="007451A5" w:rsidRDefault="09ED22FF" w:rsidP="007451A5">
      <w:pPr>
        <w:pStyle w:val="ListParagraph"/>
        <w:numPr>
          <w:ilvl w:val="0"/>
          <w:numId w:val="5"/>
        </w:numPr>
        <w:spacing w:afterLines="120" w:after="288"/>
        <w:contextualSpacing/>
        <w:jc w:val="both"/>
        <w:rPr>
          <w:rFonts w:ascii="Cambria" w:hAnsi="Cambria"/>
          <w:sz w:val="20"/>
          <w:szCs w:val="20"/>
          <w:lang w:val="es-419"/>
        </w:rPr>
      </w:pPr>
      <w:r w:rsidRPr="6F17F680">
        <w:rPr>
          <w:rFonts w:ascii="Cambria" w:hAnsi="Cambria"/>
          <w:sz w:val="20"/>
          <w:szCs w:val="20"/>
          <w:lang w:val="es-419"/>
        </w:rPr>
        <w:t>Aunque la Comisión saluda la adopción de dicha amnistía migratoria, recuerda que este es un mecanismo de regularización extraordinario, de carácter temporal y que requiere la prórroga por parte del Estado. Por ello, el Comité podría estudiar la posibilidad de</w:t>
      </w:r>
      <w:r w:rsidR="007451A5" w:rsidRPr="6F17F680">
        <w:rPr>
          <w:rFonts w:ascii="Cambria" w:hAnsi="Cambria"/>
          <w:sz w:val="20"/>
          <w:szCs w:val="20"/>
          <w:lang w:val="es-419"/>
        </w:rPr>
        <w:t xml:space="preserve"> formular las siguientes recomendaciones al Estado parte:</w:t>
      </w:r>
    </w:p>
    <w:p w14:paraId="0D8AB223" w14:textId="5F5985AD" w:rsidR="007451A5" w:rsidRPr="007451A5" w:rsidRDefault="007451A5" w:rsidP="1BFEBC6F">
      <w:pPr>
        <w:pStyle w:val="ListParagraph"/>
        <w:numPr>
          <w:ilvl w:val="1"/>
          <w:numId w:val="5"/>
        </w:numPr>
        <w:spacing w:afterLines="120" w:after="288"/>
        <w:contextualSpacing/>
        <w:jc w:val="both"/>
        <w:rPr>
          <w:rFonts w:ascii="Cambria" w:hAnsi="Cambria"/>
          <w:sz w:val="20"/>
          <w:szCs w:val="20"/>
          <w:lang w:val="es-419"/>
        </w:rPr>
      </w:pPr>
      <w:r w:rsidRPr="007451A5">
        <w:rPr>
          <w:rFonts w:ascii="Cambria" w:hAnsi="Cambria"/>
          <w:sz w:val="20"/>
          <w:szCs w:val="20"/>
          <w:lang w:val="es-419"/>
        </w:rPr>
        <w:t>Revisar el contenido de la Ley de Migración y Extranjería, respecto a la regulación de los siguientes temas, que afectan a personas en contexto de movilidad humana que transitan por Honduras: a) No criminalización de la migración irregular. b) No detención de personas en movilidad humana. c) Acceso a alojamiento adecuado, higiene, alimentación, servicios de salud y servicios legales</w:t>
      </w:r>
      <w:r w:rsidR="00B24E17">
        <w:rPr>
          <w:rStyle w:val="FootnoteReference"/>
          <w:rFonts w:ascii="Cambria" w:hAnsi="Cambria"/>
          <w:sz w:val="20"/>
          <w:szCs w:val="20"/>
          <w:lang w:val="es-419"/>
        </w:rPr>
        <w:footnoteReference w:id="18"/>
      </w:r>
      <w:r w:rsidRPr="007451A5">
        <w:rPr>
          <w:rFonts w:ascii="Cambria" w:hAnsi="Cambria"/>
          <w:sz w:val="20"/>
          <w:szCs w:val="20"/>
          <w:lang w:val="es-419"/>
        </w:rPr>
        <w:t>.</w:t>
      </w:r>
      <w:permStart w:id="2117754735" w:edGrp="everyone"/>
      <w:permEnd w:id="2117754735"/>
    </w:p>
    <w:sectPr w:rsidR="007451A5" w:rsidRPr="007451A5" w:rsidSect="007E4ED5">
      <w:headerReference w:type="default" r:id="rId12"/>
      <w:footerReference w:type="default" r:id="rId13"/>
      <w:headerReference w:type="first" r:id="rId14"/>
      <w:foot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6DA14" w14:textId="77777777" w:rsidR="00837005" w:rsidRDefault="00837005" w:rsidP="00A343FF">
      <w:pPr>
        <w:spacing w:after="0" w:line="240" w:lineRule="auto"/>
      </w:pPr>
      <w:r>
        <w:separator/>
      </w:r>
    </w:p>
  </w:endnote>
  <w:endnote w:type="continuationSeparator" w:id="0">
    <w:p w14:paraId="18D0E3C8" w14:textId="77777777" w:rsidR="00837005" w:rsidRDefault="00837005" w:rsidP="00A343FF">
      <w:pPr>
        <w:spacing w:after="0" w:line="240" w:lineRule="auto"/>
      </w:pPr>
      <w:r>
        <w:continuationSeparator/>
      </w:r>
    </w:p>
  </w:endnote>
  <w:endnote w:type="continuationNotice" w:id="1">
    <w:p w14:paraId="626861DB" w14:textId="77777777" w:rsidR="00837005" w:rsidRDefault="008370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C428A" w14:textId="77777777" w:rsidR="00A72869" w:rsidRPr="00A72869" w:rsidRDefault="00A72869">
    <w:pPr>
      <w:pStyle w:val="Footer"/>
      <w:jc w:val="center"/>
      <w:rPr>
        <w:color w:val="7F7F7F"/>
        <w:sz w:val="16"/>
      </w:rPr>
    </w:pPr>
    <w:r w:rsidRPr="00A72869">
      <w:rPr>
        <w:color w:val="7F7F7F"/>
        <w:sz w:val="16"/>
      </w:rPr>
      <w:fldChar w:fldCharType="begin"/>
    </w:r>
    <w:r w:rsidRPr="00A72869">
      <w:rPr>
        <w:color w:val="7F7F7F"/>
        <w:sz w:val="16"/>
      </w:rPr>
      <w:instrText xml:space="preserve"> PAGE   \* MERGEFORMAT </w:instrText>
    </w:r>
    <w:r w:rsidRPr="00A72869">
      <w:rPr>
        <w:color w:val="7F7F7F"/>
        <w:sz w:val="16"/>
      </w:rPr>
      <w:fldChar w:fldCharType="separate"/>
    </w:r>
    <w:r w:rsidR="00EF4FE8">
      <w:rPr>
        <w:noProof/>
        <w:color w:val="7F7F7F"/>
        <w:sz w:val="16"/>
      </w:rPr>
      <w:t>7</w:t>
    </w:r>
    <w:r w:rsidRPr="00A72869">
      <w:rPr>
        <w:noProof/>
        <w:color w:val="7F7F7F"/>
        <w:sz w:val="16"/>
      </w:rPr>
      <w:fldChar w:fldCharType="end"/>
    </w:r>
  </w:p>
  <w:p w14:paraId="2946DB82" w14:textId="77777777" w:rsidR="00A72869" w:rsidRDefault="00A728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9945" w14:textId="77777777" w:rsidR="00D222B7" w:rsidRDefault="00AD5BD7" w:rsidP="00D222B7">
    <w:pPr>
      <w:pStyle w:val="Footer"/>
      <w:spacing w:line="360" w:lineRule="auto"/>
    </w:pPr>
    <w:r>
      <w:rPr>
        <w:noProof/>
      </w:rPr>
      <w:pict w14:anchorId="45769BE2">
        <v:rect id="_x0000_i1026" alt="" style="width:468pt;height:.05pt;mso-width-percent:0;mso-height-percent:0;mso-width-percent:0;mso-height-percent:0" o:hralign="center" o:hrstd="t" o:hr="t" fillcolor="#a0a0a0" stroked="f"/>
      </w:pict>
    </w:r>
  </w:p>
  <w:p w14:paraId="132506A1" w14:textId="77777777" w:rsidR="00F5597C" w:rsidRDefault="007428BE" w:rsidP="00604F1C">
    <w:pPr>
      <w:pStyle w:val="Footer"/>
      <w:jc w:val="center"/>
      <w:rPr>
        <w:b/>
        <w:color w:val="0070C0"/>
        <w:sz w:val="16"/>
        <w:szCs w:val="16"/>
      </w:rPr>
    </w:pPr>
    <w:r w:rsidRPr="00F5597C">
      <w:rPr>
        <w:sz w:val="16"/>
        <w:szCs w:val="16"/>
      </w:rPr>
      <w:t>1889 F Street NW, Washington, DC</w:t>
    </w:r>
    <w:r w:rsidR="004A291F" w:rsidRPr="00F5597C">
      <w:rPr>
        <w:sz w:val="16"/>
        <w:szCs w:val="16"/>
      </w:rPr>
      <w:t>, United States, 20006 | Tel +1 (202) 370-9000 | Fax +1 (202) 458-3650</w:t>
    </w:r>
    <w:r w:rsidR="00F5597C">
      <w:rPr>
        <w:sz w:val="16"/>
        <w:szCs w:val="16"/>
      </w:rPr>
      <w:t xml:space="preserve"> </w:t>
    </w:r>
    <w:r w:rsidR="00F5597C" w:rsidRPr="00F5597C">
      <w:rPr>
        <w:sz w:val="16"/>
        <w:szCs w:val="16"/>
      </w:rPr>
      <w:t>|</w:t>
    </w:r>
    <w:r w:rsidR="00F5597C">
      <w:rPr>
        <w:sz w:val="16"/>
        <w:szCs w:val="16"/>
      </w:rPr>
      <w:t xml:space="preserve"> </w:t>
    </w:r>
    <w:r w:rsidR="00F5597C" w:rsidRPr="00F5597C">
      <w:rPr>
        <w:sz w:val="16"/>
        <w:szCs w:val="16"/>
      </w:rPr>
      <w:t>cidhoea@oas.org</w:t>
    </w:r>
  </w:p>
  <w:p w14:paraId="7C9159FB" w14:textId="77777777" w:rsidR="00D13990" w:rsidRPr="00F5597C" w:rsidRDefault="004A291F" w:rsidP="00604F1C">
    <w:pPr>
      <w:pStyle w:val="Footer"/>
      <w:jc w:val="center"/>
      <w:rPr>
        <w:b/>
        <w:color w:val="0070C0"/>
        <w:sz w:val="18"/>
        <w:szCs w:val="16"/>
      </w:rPr>
    </w:pPr>
    <w:r w:rsidRPr="00F5597C">
      <w:rPr>
        <w:b/>
        <w:color w:val="0070C0"/>
        <w:sz w:val="18"/>
        <w:szCs w:val="16"/>
      </w:rPr>
      <w:t>www.cidh.org</w:t>
    </w:r>
    <w:r w:rsidR="007428BE" w:rsidRPr="00F5597C">
      <w:rPr>
        <w:b/>
        <w:color w:val="0070C0"/>
        <w:sz w:val="18"/>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799E6" w14:textId="77777777" w:rsidR="00837005" w:rsidRDefault="00837005" w:rsidP="00A343FF">
      <w:pPr>
        <w:spacing w:after="0" w:line="240" w:lineRule="auto"/>
      </w:pPr>
      <w:r>
        <w:separator/>
      </w:r>
    </w:p>
  </w:footnote>
  <w:footnote w:type="continuationSeparator" w:id="0">
    <w:p w14:paraId="5DF7CE30" w14:textId="77777777" w:rsidR="00837005" w:rsidRDefault="00837005" w:rsidP="00A343FF">
      <w:pPr>
        <w:spacing w:after="0" w:line="240" w:lineRule="auto"/>
      </w:pPr>
      <w:r>
        <w:continuationSeparator/>
      </w:r>
    </w:p>
  </w:footnote>
  <w:footnote w:type="continuationNotice" w:id="1">
    <w:p w14:paraId="5C179F61" w14:textId="77777777" w:rsidR="00837005" w:rsidRDefault="00837005">
      <w:pPr>
        <w:spacing w:after="0" w:line="240" w:lineRule="auto"/>
      </w:pPr>
    </w:p>
  </w:footnote>
  <w:footnote w:id="2">
    <w:p w14:paraId="1A4ED80B" w14:textId="618131BA" w:rsidR="001E0DF1" w:rsidRDefault="001E0DF1"/>
  </w:footnote>
  <w:footnote w:id="3">
    <w:p w14:paraId="0486F7EE"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CIDH, </w:t>
      </w:r>
      <w:hyperlink r:id="rId1" w:history="1">
        <w:r w:rsidRPr="005662E8">
          <w:rPr>
            <w:rStyle w:val="Hyperlink"/>
            <w:rFonts w:ascii="Cambria" w:hAnsi="Cambria"/>
            <w:sz w:val="16"/>
            <w:szCs w:val="16"/>
          </w:rPr>
          <w:t>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 xml:space="preserve">/V/II., Doc. 42/15, 31 de diciembre de 2015, </w:t>
      </w:r>
      <w:proofErr w:type="spellStart"/>
      <w:r w:rsidRPr="005662E8">
        <w:rPr>
          <w:rFonts w:ascii="Cambria" w:hAnsi="Cambria"/>
          <w:sz w:val="16"/>
          <w:szCs w:val="16"/>
        </w:rPr>
        <w:t>párrs</w:t>
      </w:r>
      <w:proofErr w:type="spellEnd"/>
      <w:r w:rsidRPr="005662E8">
        <w:rPr>
          <w:rFonts w:ascii="Cambria" w:hAnsi="Cambria"/>
          <w:sz w:val="16"/>
          <w:szCs w:val="16"/>
        </w:rPr>
        <w:t>. 142, 143 y 146.</w:t>
      </w:r>
    </w:p>
  </w:footnote>
  <w:footnote w:id="4">
    <w:p w14:paraId="48E21C62"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w:t>
      </w:r>
      <w:bookmarkStart w:id="0" w:name="_Hlk213322384"/>
      <w:r w:rsidRPr="005662E8">
        <w:rPr>
          <w:rFonts w:ascii="Cambria" w:hAnsi="Cambria"/>
          <w:sz w:val="16"/>
          <w:szCs w:val="16"/>
        </w:rPr>
        <w:t xml:space="preserve">CIDH, </w:t>
      </w:r>
      <w:hyperlink r:id="rId2"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/V/II, Doc.9/24, 24 de marzo de 2024, párr. 486.</w:t>
      </w:r>
      <w:bookmarkEnd w:id="0"/>
    </w:p>
  </w:footnote>
  <w:footnote w:id="5">
    <w:p w14:paraId="2567BAEA"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CIDH, </w:t>
      </w:r>
      <w:hyperlink r:id="rId3" w:history="1">
        <w:r w:rsidRPr="005662E8">
          <w:rPr>
            <w:rStyle w:val="Hyperlink"/>
            <w:rFonts w:ascii="Cambria" w:hAnsi="Cambria"/>
            <w:sz w:val="16"/>
            <w:szCs w:val="16"/>
          </w:rPr>
          <w:t>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 xml:space="preserve">/V/II., Doc. 146, 27 de agosto de 2019, </w:t>
      </w:r>
      <w:proofErr w:type="spellStart"/>
      <w:r w:rsidRPr="005662E8">
        <w:rPr>
          <w:rFonts w:ascii="Cambria" w:hAnsi="Cambria"/>
          <w:sz w:val="16"/>
          <w:szCs w:val="16"/>
        </w:rPr>
        <w:t>párrs</w:t>
      </w:r>
      <w:proofErr w:type="spellEnd"/>
      <w:r w:rsidRPr="005662E8">
        <w:rPr>
          <w:rFonts w:ascii="Cambria" w:hAnsi="Cambria"/>
          <w:sz w:val="16"/>
          <w:szCs w:val="16"/>
        </w:rPr>
        <w:t>. 314, 315, 317 y 324.</w:t>
      </w:r>
    </w:p>
  </w:footnote>
  <w:footnote w:id="6">
    <w:p w14:paraId="177A5849"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CIDH, </w:t>
      </w:r>
      <w:hyperlink r:id="rId4"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/V/II, Doc.9/24, 24 de marzo de 2024, párr. 478.</w:t>
      </w:r>
    </w:p>
  </w:footnote>
  <w:footnote w:id="7">
    <w:p w14:paraId="4B99A19D"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CIDH, </w:t>
      </w:r>
      <w:hyperlink r:id="rId5" w:history="1">
        <w:r w:rsidRPr="005662E8">
          <w:rPr>
            <w:rStyle w:val="Hyperlink"/>
            <w:rFonts w:ascii="Cambria" w:hAnsi="Cambria"/>
            <w:sz w:val="16"/>
            <w:szCs w:val="16"/>
          </w:rPr>
          <w:t>Informe Anual 2021, Capítulo IV.A, Desarrollo de los derechos humanos en la región</w:t>
        </w:r>
      </w:hyperlink>
      <w:r w:rsidRPr="005662E8">
        <w:rPr>
          <w:rFonts w:ascii="Cambria" w:hAnsi="Cambria"/>
          <w:sz w:val="16"/>
          <w:szCs w:val="16"/>
        </w:rPr>
        <w:t xml:space="preserve">, 1, 26 de mayo de 2022, </w:t>
      </w:r>
      <w:proofErr w:type="spellStart"/>
      <w:r w:rsidRPr="005662E8">
        <w:rPr>
          <w:rFonts w:ascii="Cambria" w:hAnsi="Cambria"/>
          <w:sz w:val="16"/>
          <w:szCs w:val="16"/>
        </w:rPr>
        <w:t>párrs</w:t>
      </w:r>
      <w:proofErr w:type="spellEnd"/>
      <w:r w:rsidRPr="005662E8">
        <w:rPr>
          <w:rFonts w:ascii="Cambria" w:hAnsi="Cambria"/>
          <w:sz w:val="16"/>
          <w:szCs w:val="16"/>
        </w:rPr>
        <w:t>. 518 y 519</w:t>
      </w:r>
      <w:r>
        <w:rPr>
          <w:rFonts w:ascii="Cambria" w:hAnsi="Cambria"/>
          <w:sz w:val="16"/>
          <w:szCs w:val="16"/>
        </w:rPr>
        <w:t xml:space="preserve">; </w:t>
      </w:r>
      <w:r w:rsidRPr="005662E8">
        <w:rPr>
          <w:rFonts w:ascii="Cambria" w:hAnsi="Cambria"/>
          <w:sz w:val="16"/>
          <w:szCs w:val="16"/>
        </w:rPr>
        <w:t xml:space="preserve">CIDH, </w:t>
      </w:r>
      <w:hyperlink r:id="rId6"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/V/II, Doc.9/24, 24 de marzo de 2024, párr. 490.</w:t>
      </w:r>
    </w:p>
  </w:footnote>
  <w:footnote w:id="8">
    <w:p w14:paraId="5FD9ED9C"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Información proporcionada a la CIDH por UNICEF mediante comunicación electrónica, 27 de abril de 898 2023 (en archivo de la CIDH)</w:t>
      </w:r>
      <w:r>
        <w:rPr>
          <w:rFonts w:ascii="Cambria" w:hAnsi="Cambria"/>
          <w:sz w:val="16"/>
          <w:szCs w:val="16"/>
        </w:rPr>
        <w:t>; v</w:t>
      </w:r>
      <w:r w:rsidRPr="005662E8">
        <w:rPr>
          <w:rFonts w:ascii="Cambria" w:hAnsi="Cambria"/>
          <w:sz w:val="16"/>
          <w:szCs w:val="16"/>
        </w:rPr>
        <w:t xml:space="preserve">er también: OACNUDH, </w:t>
      </w:r>
      <w:hyperlink r:id="rId7" w:history="1">
        <w:r w:rsidRPr="005662E8">
          <w:rPr>
            <w:rStyle w:val="Hyperlink"/>
            <w:rFonts w:ascii="Cambria" w:hAnsi="Cambria"/>
            <w:sz w:val="16"/>
            <w:szCs w:val="16"/>
          </w:rPr>
          <w:t>Informe sobre la situación de derechos humanos en Honduras 2022</w:t>
        </w:r>
      </w:hyperlink>
      <w:r w:rsidRPr="005662E8">
        <w:rPr>
          <w:rFonts w:ascii="Cambria" w:hAnsi="Cambria"/>
          <w:sz w:val="16"/>
          <w:szCs w:val="16"/>
        </w:rPr>
        <w:t>, A/HRC/52/24, 1 de marzo de 2023, párr. 90</w:t>
      </w:r>
      <w:r>
        <w:rPr>
          <w:rFonts w:ascii="Cambria" w:hAnsi="Cambria"/>
          <w:sz w:val="16"/>
          <w:szCs w:val="16"/>
        </w:rPr>
        <w:t>;</w:t>
      </w:r>
      <w:r w:rsidRPr="005662E8">
        <w:rPr>
          <w:rFonts w:ascii="Cambria" w:hAnsi="Cambria"/>
          <w:sz w:val="16"/>
          <w:szCs w:val="16"/>
        </w:rPr>
        <w:t xml:space="preserve"> CIDH, </w:t>
      </w:r>
      <w:hyperlink r:id="rId8"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/V/II, Doc.9/24, 24 de marzo de 2024, párr.</w:t>
      </w:r>
      <w:r>
        <w:rPr>
          <w:rFonts w:ascii="Cambria" w:hAnsi="Cambria"/>
          <w:sz w:val="16"/>
          <w:szCs w:val="16"/>
        </w:rPr>
        <w:t xml:space="preserve"> </w:t>
      </w:r>
      <w:r w:rsidRPr="005662E8">
        <w:rPr>
          <w:rFonts w:ascii="Cambria" w:hAnsi="Cambria"/>
          <w:sz w:val="16"/>
          <w:szCs w:val="16"/>
        </w:rPr>
        <w:t>491</w:t>
      </w:r>
      <w:r>
        <w:rPr>
          <w:rFonts w:ascii="Cambria" w:hAnsi="Cambria"/>
          <w:sz w:val="16"/>
          <w:szCs w:val="16"/>
        </w:rPr>
        <w:t>.</w:t>
      </w:r>
    </w:p>
  </w:footnote>
  <w:footnote w:id="9">
    <w:p w14:paraId="467D50E3"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INM, </w:t>
      </w:r>
      <w:hyperlink r:id="rId9" w:history="1">
        <w:r w:rsidRPr="005662E8">
          <w:rPr>
            <w:rStyle w:val="Hyperlink"/>
            <w:rFonts w:ascii="Cambria" w:hAnsi="Cambria"/>
            <w:sz w:val="16"/>
            <w:szCs w:val="16"/>
          </w:rPr>
          <w:t>Flujo Migratorio Irregular</w:t>
        </w:r>
      </w:hyperlink>
      <w:r w:rsidRPr="005662E8">
        <w:rPr>
          <w:rFonts w:ascii="Cambria" w:hAnsi="Cambria"/>
          <w:sz w:val="16"/>
          <w:szCs w:val="16"/>
        </w:rPr>
        <w:t>, s.f. Fecha de consulta: 30 de mayo de 2023.</w:t>
      </w:r>
    </w:p>
  </w:footnote>
  <w:footnote w:id="10">
    <w:p w14:paraId="5094FECA"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Reunión con el Instituto Nacional de Migración (INM) en el marco de la visita in loco de la CIDH, 27 de abril de 2023</w:t>
      </w:r>
      <w:r>
        <w:rPr>
          <w:rFonts w:ascii="Cambria" w:hAnsi="Cambria"/>
          <w:sz w:val="16"/>
          <w:szCs w:val="16"/>
        </w:rPr>
        <w:t>;</w:t>
      </w:r>
      <w:r w:rsidRPr="005662E8">
        <w:rPr>
          <w:rFonts w:ascii="Cambria" w:hAnsi="Cambria"/>
          <w:sz w:val="16"/>
          <w:szCs w:val="16"/>
        </w:rPr>
        <w:t xml:space="preserve"> CIDH, </w:t>
      </w:r>
      <w:hyperlink r:id="rId10"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/V/II, Doc.9/24, 24 de marzo de 2024, párr. 491.</w:t>
      </w:r>
    </w:p>
  </w:footnote>
  <w:footnote w:id="11">
    <w:p w14:paraId="7EFF5B8D"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WOLA, </w:t>
      </w:r>
      <w:hyperlink r:id="rId11" w:history="1">
        <w:r w:rsidRPr="005662E8">
          <w:rPr>
            <w:rStyle w:val="Hyperlink"/>
            <w:rFonts w:ascii="Cambria" w:hAnsi="Cambria"/>
            <w:sz w:val="16"/>
            <w:szCs w:val="16"/>
          </w:rPr>
          <w:t>A medio camino hacia Estados Unidos: un informe desde Honduras sobre Migración</w:t>
        </w:r>
      </w:hyperlink>
      <w:r w:rsidRPr="005662E8">
        <w:rPr>
          <w:rFonts w:ascii="Cambria" w:hAnsi="Cambria"/>
          <w:sz w:val="16"/>
          <w:szCs w:val="16"/>
        </w:rPr>
        <w:t>, 2 de junio de 2023.</w:t>
      </w:r>
    </w:p>
  </w:footnote>
  <w:footnote w:id="12">
    <w:p w14:paraId="25683E10"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Información proporcionada a la CIDH por UNICEF mediante comunicación electrónica, 27 de abril de 2023 (en archivo de la CIDH).</w:t>
      </w:r>
    </w:p>
  </w:footnote>
  <w:footnote w:id="13">
    <w:p w14:paraId="2B21BFCF"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Reunión con el Instituto Nacional de Migración (INM) en el marco de la visita in loco de la CIDH, 27 de abril de 2023.</w:t>
      </w:r>
    </w:p>
  </w:footnote>
  <w:footnote w:id="14">
    <w:p w14:paraId="48C8336D" w14:textId="77777777" w:rsidR="007451A5" w:rsidRPr="007B6B8C"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Congreso Nacional de Honduras [@Congres_HND]: “Aprobación en el Congreso Nacional de la Amnistía Migratoria”, 3 de agosto de 2022. </w:t>
      </w:r>
      <w:r w:rsidRPr="007B6B8C">
        <w:rPr>
          <w:rFonts w:ascii="Cambria" w:hAnsi="Cambria"/>
          <w:sz w:val="16"/>
          <w:szCs w:val="16"/>
        </w:rPr>
        <w:t xml:space="preserve">Disponible en: </w:t>
      </w:r>
      <w:hyperlink r:id="rId12" w:history="1">
        <w:r w:rsidRPr="007B11D9">
          <w:rPr>
            <w:rStyle w:val="Hyperlink"/>
            <w:rFonts w:ascii="Cambria" w:hAnsi="Cambria"/>
            <w:sz w:val="16"/>
            <w:szCs w:val="16"/>
          </w:rPr>
          <w:t>https://x.com/ONUHonduras/status/1862242635085135957</w:t>
        </w:r>
      </w:hyperlink>
      <w:r w:rsidRPr="007B6B8C">
        <w:rPr>
          <w:rFonts w:ascii="Cambria" w:hAnsi="Cambria"/>
          <w:sz w:val="16"/>
          <w:szCs w:val="16"/>
        </w:rPr>
        <w:t>.</w:t>
      </w:r>
    </w:p>
  </w:footnote>
  <w:footnote w:id="15">
    <w:p w14:paraId="4369C486"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Congreso Nacional de Honduras, Decreto No. 208-2003, Ley de Migración y Extranjería, 3 de marzo de 2004.</w:t>
      </w:r>
    </w:p>
  </w:footnote>
  <w:footnote w:id="16">
    <w:p w14:paraId="4BA5200C"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Congreso Nacional de Honduras [@Congres_HND]: “En dispensa de dos debates, el #CongresoDelPueblo aprueba una ampliación de amnistía migratoria”, 1 de junio de 2023. Disponible en: </w:t>
      </w:r>
      <w:hyperlink r:id="rId13" w:history="1">
        <w:r w:rsidRPr="007B11D9">
          <w:rPr>
            <w:rStyle w:val="Hyperlink"/>
            <w:rFonts w:ascii="Cambria" w:hAnsi="Cambria"/>
            <w:sz w:val="16"/>
            <w:szCs w:val="16"/>
          </w:rPr>
          <w:t>https://x.com/Congreso_HND/status/1664437467758338050</w:t>
        </w:r>
      </w:hyperlink>
      <w:r w:rsidRPr="005662E8">
        <w:rPr>
          <w:rFonts w:ascii="Cambria" w:hAnsi="Cambria"/>
          <w:sz w:val="16"/>
          <w:szCs w:val="16"/>
        </w:rPr>
        <w:t>.</w:t>
      </w:r>
    </w:p>
  </w:footnote>
  <w:footnote w:id="17">
    <w:p w14:paraId="18CB3E42" w14:textId="77777777" w:rsidR="007451A5" w:rsidRPr="005662E8" w:rsidRDefault="007451A5" w:rsidP="007451A5">
      <w:pPr>
        <w:pStyle w:val="FootnoteText"/>
        <w:ind w:firstLine="706"/>
        <w:contextualSpacing/>
        <w:jc w:val="both"/>
        <w:rPr>
          <w:rFonts w:ascii="Cambria" w:hAnsi="Cambria"/>
          <w:sz w:val="16"/>
          <w:szCs w:val="16"/>
        </w:rPr>
      </w:pPr>
      <w:r w:rsidRPr="005662E8">
        <w:rPr>
          <w:rStyle w:val="FootnoteReference"/>
          <w:rFonts w:ascii="Cambria" w:hAnsi="Cambria"/>
          <w:sz w:val="16"/>
          <w:szCs w:val="16"/>
        </w:rPr>
        <w:footnoteRef/>
      </w:r>
      <w:r w:rsidRPr="005662E8">
        <w:rPr>
          <w:rFonts w:ascii="Cambria" w:hAnsi="Cambria"/>
          <w:sz w:val="16"/>
          <w:szCs w:val="16"/>
        </w:rPr>
        <w:t xml:space="preserve"> CIDH, </w:t>
      </w:r>
      <w:hyperlink r:id="rId14" w:history="1">
        <w:r w:rsidRPr="005662E8">
          <w:rPr>
            <w:rStyle w:val="Hyperlink"/>
            <w:rFonts w:ascii="Cambria" w:hAnsi="Cambria"/>
            <w:sz w:val="16"/>
            <w:szCs w:val="16"/>
          </w:rPr>
          <w:t>Informe Anual 2024, Capítulo IV.A. Desarrollo de los derechos humanos en la región</w:t>
        </w:r>
      </w:hyperlink>
      <w:r w:rsidRPr="005662E8">
        <w:rPr>
          <w:rFonts w:ascii="Cambria" w:hAnsi="Cambria"/>
          <w:sz w:val="16"/>
          <w:szCs w:val="16"/>
        </w:rPr>
        <w:t xml:space="preserve">, 8 de mayo de 2025, párr. 566. CIDH, </w:t>
      </w:r>
      <w:hyperlink r:id="rId15" w:history="1">
        <w:r w:rsidRPr="005662E8">
          <w:rPr>
            <w:rStyle w:val="Hyperlink"/>
            <w:rFonts w:ascii="Cambria" w:hAnsi="Cambria"/>
            <w:sz w:val="16"/>
            <w:szCs w:val="16"/>
          </w:rPr>
          <w:t>Informe Anual 2023, Capítulo IV.A. Desarrollo de los derechos humanos en la región</w:t>
        </w:r>
      </w:hyperlink>
      <w:r w:rsidRPr="005662E8">
        <w:rPr>
          <w:rFonts w:ascii="Cambria" w:hAnsi="Cambria"/>
          <w:sz w:val="16"/>
          <w:szCs w:val="16"/>
        </w:rPr>
        <w:t>, 8 de mayo de 2025, párr. 498.</w:t>
      </w:r>
    </w:p>
  </w:footnote>
  <w:footnote w:id="18">
    <w:p w14:paraId="086A14C5" w14:textId="3DDCD105" w:rsidR="00B24E17" w:rsidRDefault="00B24E17" w:rsidP="00B24E17">
      <w:pPr>
        <w:pStyle w:val="FootnoteText"/>
        <w:ind w:firstLine="706"/>
      </w:pPr>
      <w:r>
        <w:rPr>
          <w:rStyle w:val="FootnoteReference"/>
        </w:rPr>
        <w:footnoteRef/>
      </w:r>
      <w:r>
        <w:t xml:space="preserve"> </w:t>
      </w:r>
      <w:r w:rsidRPr="005662E8">
        <w:rPr>
          <w:rFonts w:ascii="Cambria" w:hAnsi="Cambria"/>
          <w:sz w:val="16"/>
          <w:szCs w:val="16"/>
        </w:rPr>
        <w:t xml:space="preserve">CIDH, </w:t>
      </w:r>
      <w:hyperlink r:id="rId16" w:history="1">
        <w:r w:rsidRPr="005662E8">
          <w:rPr>
            <w:rStyle w:val="Hyperlink"/>
            <w:rFonts w:ascii="Cambria" w:hAnsi="Cambria"/>
            <w:sz w:val="16"/>
            <w:szCs w:val="16"/>
          </w:rPr>
          <w:t>Informe Situación de Derechos Humanos en Honduras</w:t>
        </w:r>
      </w:hyperlink>
      <w:r w:rsidRPr="005662E8">
        <w:rPr>
          <w:rFonts w:ascii="Cambria" w:hAnsi="Cambria"/>
          <w:sz w:val="16"/>
          <w:szCs w:val="16"/>
        </w:rPr>
        <w:t>, OEA/</w:t>
      </w:r>
      <w:proofErr w:type="spellStart"/>
      <w:r w:rsidRPr="005662E8">
        <w:rPr>
          <w:rFonts w:ascii="Cambria" w:hAnsi="Cambria"/>
          <w:sz w:val="16"/>
          <w:szCs w:val="16"/>
        </w:rPr>
        <w:t>Ser.L</w:t>
      </w:r>
      <w:proofErr w:type="spellEnd"/>
      <w:r w:rsidRPr="005662E8">
        <w:rPr>
          <w:rFonts w:ascii="Cambria" w:hAnsi="Cambria"/>
          <w:sz w:val="16"/>
          <w:szCs w:val="16"/>
        </w:rPr>
        <w:t xml:space="preserve">/V/II, Doc.9/24, 24 de marzo de 2024, </w:t>
      </w:r>
      <w:r>
        <w:rPr>
          <w:rFonts w:ascii="Cambria" w:hAnsi="Cambria"/>
          <w:sz w:val="16"/>
          <w:szCs w:val="16"/>
        </w:rPr>
        <w:t>pág. 343</w:t>
      </w:r>
      <w:r w:rsidRPr="005662E8">
        <w:rPr>
          <w:rFonts w:ascii="Cambria" w:hAnsi="Cambri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9379" w14:textId="77777777" w:rsidR="00A343FF" w:rsidRPr="0058688A" w:rsidRDefault="001363F5" w:rsidP="00ED4C58">
    <w:pPr>
      <w:pStyle w:val="Header"/>
      <w:jc w:val="center"/>
      <w:rPr>
        <w:lang w:val="es-ES_tradnl"/>
      </w:rPr>
    </w:pPr>
    <w:r>
      <w:rPr>
        <w:noProof/>
        <w:lang w:val="es-ES_tradnl"/>
      </w:rPr>
      <w:drawing>
        <wp:inline distT="0" distB="0" distL="0" distR="0" wp14:anchorId="79CD0105" wp14:editId="07777777">
          <wp:extent cx="2286000" cy="123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23825"/>
                  </a:xfrm>
                  <a:prstGeom prst="rect">
                    <a:avLst/>
                  </a:prstGeom>
                  <a:noFill/>
                  <a:ln>
                    <a:noFill/>
                  </a:ln>
                </pic:spPr>
              </pic:pic>
            </a:graphicData>
          </a:graphic>
        </wp:inline>
      </w:drawing>
    </w:r>
  </w:p>
  <w:p w14:paraId="3FE9F23F" w14:textId="77777777" w:rsidR="00A343FF" w:rsidRDefault="00AD5BD7">
    <w:pPr>
      <w:pStyle w:val="Header"/>
    </w:pPr>
    <w:r>
      <w:rPr>
        <w:noProof/>
      </w:rPr>
      <w:pict w14:anchorId="45C4935D">
        <v:rect id="_x0000_i1025" alt="" style="width:.45pt;height:.05pt;mso-width-percent:0;mso-height-percent:0;mso-width-percent:0;mso-height-percent:0" o:hrpct="1"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8E3A5" w14:textId="77777777" w:rsidR="003F108F" w:rsidRDefault="003F108F" w:rsidP="003F108F">
    <w:pPr>
      <w:pStyle w:val="Header"/>
    </w:pPr>
    <w:r>
      <w:rPr>
        <w:noProof/>
      </w:rPr>
      <w:drawing>
        <wp:anchor distT="0" distB="0" distL="114300" distR="114300" simplePos="0" relativeHeight="251658241" behindDoc="0" locked="0" layoutInCell="1" allowOverlap="1" wp14:anchorId="44F1E29E" wp14:editId="0E8FB1A6">
          <wp:simplePos x="0" y="0"/>
          <wp:positionH relativeFrom="column">
            <wp:posOffset>-73025</wp:posOffset>
          </wp:positionH>
          <wp:positionV relativeFrom="paragraph">
            <wp:posOffset>118745</wp:posOffset>
          </wp:positionV>
          <wp:extent cx="1975104" cy="338328"/>
          <wp:effectExtent l="0" t="0" r="6350" b="5080"/>
          <wp:wrapNone/>
          <wp:docPr id="1720995423" name="Picture 1" descr="A green and blue letter 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95423" name="Picture 1" descr="A green and blue letter h&#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75104" cy="33832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99EF683" wp14:editId="2263C4D3">
          <wp:simplePos x="0" y="0"/>
          <wp:positionH relativeFrom="column">
            <wp:posOffset>3981450</wp:posOffset>
          </wp:positionH>
          <wp:positionV relativeFrom="paragraph">
            <wp:posOffset>28575</wp:posOffset>
          </wp:positionV>
          <wp:extent cx="1943100" cy="495300"/>
          <wp:effectExtent l="0" t="0" r="0" b="0"/>
          <wp:wrapThrough wrapText="bothSides">
            <wp:wrapPolygon edited="0">
              <wp:start x="1059" y="0"/>
              <wp:lineTo x="0" y="4154"/>
              <wp:lineTo x="0" y="16615"/>
              <wp:lineTo x="1059" y="20769"/>
              <wp:lineTo x="4235" y="20769"/>
              <wp:lineTo x="21388" y="18277"/>
              <wp:lineTo x="21388" y="3323"/>
              <wp:lineTo x="4235" y="0"/>
              <wp:lineTo x="1059"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6D98A12B" w14:textId="18A5598B" w:rsidR="00D13990" w:rsidRPr="003F108F" w:rsidRDefault="00D13990" w:rsidP="003F10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17CF"/>
    <w:multiLevelType w:val="hybridMultilevel"/>
    <w:tmpl w:val="E46A598E"/>
    <w:lvl w:ilvl="0" w:tplc="D2B2A08E">
      <w:start w:val="1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235B15"/>
    <w:multiLevelType w:val="hybridMultilevel"/>
    <w:tmpl w:val="79C29E8E"/>
    <w:lvl w:ilvl="0" w:tplc="59522FEE">
      <w:start w:val="1"/>
      <w:numFmt w:val="upperRoman"/>
      <w:lvlText w:val="%1."/>
      <w:lvlJc w:val="left"/>
      <w:pPr>
        <w:ind w:left="1080" w:hanging="72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9134755"/>
    <w:multiLevelType w:val="hybridMultilevel"/>
    <w:tmpl w:val="7AA44BF0"/>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52776546"/>
    <w:multiLevelType w:val="hybridMultilevel"/>
    <w:tmpl w:val="05A036C8"/>
    <w:lvl w:ilvl="0" w:tplc="E8B63A10">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21F013F"/>
    <w:multiLevelType w:val="hybridMultilevel"/>
    <w:tmpl w:val="11DA2F28"/>
    <w:lvl w:ilvl="0" w:tplc="0409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281840532">
    <w:abstractNumId w:val="4"/>
  </w:num>
  <w:num w:numId="2" w16cid:durableId="1336806808">
    <w:abstractNumId w:val="1"/>
  </w:num>
  <w:num w:numId="3" w16cid:durableId="1049961301">
    <w:abstractNumId w:val="0"/>
  </w:num>
  <w:num w:numId="4" w16cid:durableId="677585549">
    <w:abstractNumId w:val="3"/>
  </w:num>
  <w:num w:numId="5" w16cid:durableId="2035837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attachedTemplate r:id="rId1"/>
  <w:documentProtection w:edit="readOnly" w:formatting="1" w:enforcement="1" w:cryptProviderType="rsaAES" w:cryptAlgorithmClass="hash" w:cryptAlgorithmType="typeAny" w:cryptAlgorithmSid="14" w:cryptSpinCount="100000" w:hash="pzxDlyfhbT2yKnwe5BP+ePgx12k3d4wDoObs2kDrenezLVLbxjEXYF9+wUdwMYc198j5qNAXkEK2PgXeD+PInw==" w:salt="f28Ai5LOIJdHTqSE3K5oHw=="/>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0F"/>
    <w:rsid w:val="0001720F"/>
    <w:rsid w:val="00042671"/>
    <w:rsid w:val="0005228B"/>
    <w:rsid w:val="0006625E"/>
    <w:rsid w:val="00092D75"/>
    <w:rsid w:val="000C52CF"/>
    <w:rsid w:val="00121F15"/>
    <w:rsid w:val="00127AD5"/>
    <w:rsid w:val="001363F5"/>
    <w:rsid w:val="00166CD5"/>
    <w:rsid w:val="001C0A6D"/>
    <w:rsid w:val="001E0DF1"/>
    <w:rsid w:val="001F495A"/>
    <w:rsid w:val="00203B2D"/>
    <w:rsid w:val="0021669C"/>
    <w:rsid w:val="00217A39"/>
    <w:rsid w:val="002277AC"/>
    <w:rsid w:val="00242ECB"/>
    <w:rsid w:val="00244DCA"/>
    <w:rsid w:val="00250058"/>
    <w:rsid w:val="002A39B2"/>
    <w:rsid w:val="002A6EEA"/>
    <w:rsid w:val="002B0B2A"/>
    <w:rsid w:val="00324A8D"/>
    <w:rsid w:val="00372C1D"/>
    <w:rsid w:val="00393310"/>
    <w:rsid w:val="003E3690"/>
    <w:rsid w:val="003E3859"/>
    <w:rsid w:val="003F108F"/>
    <w:rsid w:val="003F2198"/>
    <w:rsid w:val="004014C1"/>
    <w:rsid w:val="004102C8"/>
    <w:rsid w:val="004561B1"/>
    <w:rsid w:val="00491E92"/>
    <w:rsid w:val="004A15BA"/>
    <w:rsid w:val="004A291F"/>
    <w:rsid w:val="004D7999"/>
    <w:rsid w:val="0056597F"/>
    <w:rsid w:val="0058688A"/>
    <w:rsid w:val="00590BCD"/>
    <w:rsid w:val="005B23B6"/>
    <w:rsid w:val="005B6B27"/>
    <w:rsid w:val="005C5563"/>
    <w:rsid w:val="005F4AAA"/>
    <w:rsid w:val="00604132"/>
    <w:rsid w:val="00604F1C"/>
    <w:rsid w:val="006964C0"/>
    <w:rsid w:val="006E0193"/>
    <w:rsid w:val="006F0429"/>
    <w:rsid w:val="006F3E57"/>
    <w:rsid w:val="006F77D5"/>
    <w:rsid w:val="007428BE"/>
    <w:rsid w:val="007451A5"/>
    <w:rsid w:val="007B1DE5"/>
    <w:rsid w:val="007C2CC3"/>
    <w:rsid w:val="007C351D"/>
    <w:rsid w:val="007D543E"/>
    <w:rsid w:val="007E3EAB"/>
    <w:rsid w:val="007E4ED5"/>
    <w:rsid w:val="007F5F4E"/>
    <w:rsid w:val="0080495A"/>
    <w:rsid w:val="00807BAA"/>
    <w:rsid w:val="008107BF"/>
    <w:rsid w:val="00837005"/>
    <w:rsid w:val="008550EF"/>
    <w:rsid w:val="009331A5"/>
    <w:rsid w:val="0094374C"/>
    <w:rsid w:val="009C4D87"/>
    <w:rsid w:val="00A07226"/>
    <w:rsid w:val="00A25CA7"/>
    <w:rsid w:val="00A2627C"/>
    <w:rsid w:val="00A343FF"/>
    <w:rsid w:val="00A43180"/>
    <w:rsid w:val="00A72869"/>
    <w:rsid w:val="00AA1E82"/>
    <w:rsid w:val="00AD5BD7"/>
    <w:rsid w:val="00AE1B0F"/>
    <w:rsid w:val="00B056D9"/>
    <w:rsid w:val="00B2161A"/>
    <w:rsid w:val="00B24E17"/>
    <w:rsid w:val="00B806AC"/>
    <w:rsid w:val="00B93993"/>
    <w:rsid w:val="00BF6BEE"/>
    <w:rsid w:val="00C04C07"/>
    <w:rsid w:val="00C14FB2"/>
    <w:rsid w:val="00CA2777"/>
    <w:rsid w:val="00CC4274"/>
    <w:rsid w:val="00D05BCC"/>
    <w:rsid w:val="00D13990"/>
    <w:rsid w:val="00D222B7"/>
    <w:rsid w:val="00D5166A"/>
    <w:rsid w:val="00D82E91"/>
    <w:rsid w:val="00D90AC5"/>
    <w:rsid w:val="00DF0FE5"/>
    <w:rsid w:val="00E04605"/>
    <w:rsid w:val="00E24DFC"/>
    <w:rsid w:val="00E3040C"/>
    <w:rsid w:val="00E507C8"/>
    <w:rsid w:val="00E53575"/>
    <w:rsid w:val="00E702D9"/>
    <w:rsid w:val="00ED4C58"/>
    <w:rsid w:val="00EF1BD7"/>
    <w:rsid w:val="00EF4FE8"/>
    <w:rsid w:val="00F06E69"/>
    <w:rsid w:val="00F25689"/>
    <w:rsid w:val="00F52F31"/>
    <w:rsid w:val="00F54F60"/>
    <w:rsid w:val="00F5597C"/>
    <w:rsid w:val="00F66FEE"/>
    <w:rsid w:val="00F946D2"/>
    <w:rsid w:val="00FC66C2"/>
    <w:rsid w:val="08770722"/>
    <w:rsid w:val="09ED22FF"/>
    <w:rsid w:val="0E8BEC99"/>
    <w:rsid w:val="15472048"/>
    <w:rsid w:val="1B7D49AE"/>
    <w:rsid w:val="1BFEBC6F"/>
    <w:rsid w:val="2503206E"/>
    <w:rsid w:val="2ED50DAD"/>
    <w:rsid w:val="389D9358"/>
    <w:rsid w:val="3F97E9CC"/>
    <w:rsid w:val="421D82F5"/>
    <w:rsid w:val="456FA82A"/>
    <w:rsid w:val="4D0A4C07"/>
    <w:rsid w:val="5DF310B0"/>
    <w:rsid w:val="5E5B83D7"/>
    <w:rsid w:val="659B6574"/>
    <w:rsid w:val="6D182C45"/>
    <w:rsid w:val="6F17F680"/>
    <w:rsid w:val="703B05D7"/>
    <w:rsid w:val="78AA3F41"/>
    <w:rsid w:val="79C7B4AA"/>
    <w:rsid w:val="79E9CA51"/>
    <w:rsid w:val="7CA508CA"/>
    <w:rsid w:val="7F8CE2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B1F13"/>
  <w15:chartTrackingRefBased/>
  <w15:docId w15:val="{C0E859B8-9485-4EB1-A627-23141F78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3FF"/>
    <w:pPr>
      <w:tabs>
        <w:tab w:val="center" w:pos="4680"/>
        <w:tab w:val="right" w:pos="9360"/>
      </w:tabs>
      <w:spacing w:after="0" w:line="240" w:lineRule="auto"/>
    </w:pPr>
  </w:style>
  <w:style w:type="character" w:customStyle="1" w:styleId="HeaderChar">
    <w:name w:val="Header Char"/>
    <w:link w:val="Header"/>
    <w:uiPriority w:val="99"/>
    <w:rsid w:val="00A343FF"/>
    <w:rPr>
      <w:sz w:val="22"/>
      <w:szCs w:val="22"/>
    </w:rPr>
  </w:style>
  <w:style w:type="paragraph" w:styleId="Footer">
    <w:name w:val="footer"/>
    <w:basedOn w:val="Normal"/>
    <w:link w:val="FooterChar"/>
    <w:uiPriority w:val="99"/>
    <w:unhideWhenUsed/>
    <w:rsid w:val="00A343FF"/>
    <w:pPr>
      <w:tabs>
        <w:tab w:val="center" w:pos="4680"/>
        <w:tab w:val="right" w:pos="9360"/>
      </w:tabs>
      <w:spacing w:after="0" w:line="240" w:lineRule="auto"/>
    </w:pPr>
  </w:style>
  <w:style w:type="character" w:customStyle="1" w:styleId="FooterChar">
    <w:name w:val="Footer Char"/>
    <w:link w:val="Footer"/>
    <w:uiPriority w:val="99"/>
    <w:rsid w:val="00A343FF"/>
    <w:rPr>
      <w:sz w:val="22"/>
      <w:szCs w:val="22"/>
    </w:rPr>
  </w:style>
  <w:style w:type="paragraph" w:styleId="BalloonText">
    <w:name w:val="Balloon Text"/>
    <w:basedOn w:val="Normal"/>
    <w:link w:val="BalloonTextChar"/>
    <w:uiPriority w:val="99"/>
    <w:semiHidden/>
    <w:unhideWhenUsed/>
    <w:rsid w:val="00A343F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343FF"/>
    <w:rPr>
      <w:rFonts w:ascii="Tahoma" w:hAnsi="Tahoma" w:cs="Tahoma"/>
      <w:sz w:val="16"/>
      <w:szCs w:val="16"/>
    </w:rPr>
  </w:style>
  <w:style w:type="paragraph" w:styleId="NoSpacing">
    <w:name w:val="No Spacing"/>
    <w:link w:val="NoSpacingChar"/>
    <w:uiPriority w:val="1"/>
    <w:qFormat/>
    <w:rsid w:val="00F52F31"/>
    <w:rPr>
      <w:rFonts w:eastAsia="MS Mincho" w:cs="Arial"/>
      <w:sz w:val="22"/>
      <w:szCs w:val="22"/>
    </w:rPr>
  </w:style>
  <w:style w:type="character" w:customStyle="1" w:styleId="NoSpacingChar">
    <w:name w:val="No Spacing Char"/>
    <w:link w:val="NoSpacing"/>
    <w:uiPriority w:val="1"/>
    <w:rsid w:val="00F52F31"/>
    <w:rPr>
      <w:rFonts w:eastAsia="MS Mincho" w:cs="Arial"/>
      <w:sz w:val="22"/>
      <w:szCs w:val="22"/>
      <w:lang w:eastAsia="ja-JP"/>
    </w:rPr>
  </w:style>
  <w:style w:type="paragraph" w:styleId="NormalWeb">
    <w:name w:val="Normal (Web)"/>
    <w:basedOn w:val="Normal"/>
    <w:uiPriority w:val="99"/>
    <w:semiHidden/>
    <w:unhideWhenUsed/>
    <w:rsid w:val="0001720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4A291F"/>
    <w:rPr>
      <w:color w:val="0000FF"/>
      <w:u w:val="single"/>
    </w:rPr>
  </w:style>
  <w:style w:type="paragraph" w:styleId="ListParagraph">
    <w:name w:val="List Paragraph"/>
    <w:basedOn w:val="Normal"/>
    <w:uiPriority w:val="34"/>
    <w:qFormat/>
    <w:rsid w:val="00A07226"/>
    <w:pPr>
      <w:spacing w:after="0" w:line="240" w:lineRule="auto"/>
      <w:ind w:left="720"/>
    </w:pPr>
    <w:rPr>
      <w:lang w:val="es-ES" w:eastAsia="es-ES"/>
    </w:rPr>
  </w:style>
  <w:style w:type="character" w:styleId="FootnoteReference">
    <w:name w:val="footnote reference"/>
    <w:aliases w:val="Footnotes refss,Texto de nota al pie,Appel note de bas de page,f,Ref,de nota al pie,normal,Footnote number,referencia nota al pie,BVI fnr,4_G,16 Point,Superscript 6 Point,Ref. de nota al pie.,Footnote symbol,Footnote,BVI fnr Car Car"/>
    <w:link w:val="Char2"/>
    <w:uiPriority w:val="99"/>
    <w:qFormat/>
    <w:rsid w:val="00372C1D"/>
    <w:rPr>
      <w:vertAlign w:val="superscript"/>
    </w:rPr>
  </w:style>
  <w:style w:type="paragraph" w:customStyle="1" w:styleId="Char2">
    <w:name w:val="Char2"/>
    <w:basedOn w:val="Normal"/>
    <w:link w:val="FootnoteReference"/>
    <w:uiPriority w:val="99"/>
    <w:rsid w:val="00372C1D"/>
    <w:pPr>
      <w:spacing w:after="160" w:line="240" w:lineRule="exact"/>
    </w:pPr>
    <w:rPr>
      <w:sz w:val="20"/>
      <w:szCs w:val="20"/>
      <w:vertAlign w:val="superscript"/>
      <w:lang w:val="es-ES" w:eastAsia="es-ES"/>
    </w:rPr>
  </w:style>
  <w:style w:type="paragraph" w:customStyle="1" w:styleId="Sinespaciado1">
    <w:name w:val="Sin espaciado1"/>
    <w:uiPriority w:val="1"/>
    <w:qFormat/>
    <w:rsid w:val="00372C1D"/>
    <w:rPr>
      <w:sz w:val="22"/>
      <w:szCs w:val="22"/>
      <w:lang w:eastAsia="en-US"/>
    </w:rPr>
  </w:style>
  <w:style w:type="character" w:customStyle="1" w:styleId="EmailStyle29">
    <w:name w:val="EmailStyle29"/>
    <w:semiHidden/>
    <w:rsid w:val="00242ECB"/>
    <w:rPr>
      <w:rFonts w:ascii="Arial" w:hAnsi="Arial" w:cs="Arial"/>
      <w:color w:val="000080"/>
      <w:sz w:val="20"/>
      <w:szCs w:val="20"/>
    </w:rPr>
  </w:style>
  <w:style w:type="paragraph" w:styleId="FootnoteText">
    <w:name w:val="footnote text"/>
    <w:basedOn w:val="Normal"/>
    <w:link w:val="FootnoteTextChar"/>
    <w:uiPriority w:val="99"/>
    <w:semiHidden/>
    <w:unhideWhenUsed/>
    <w:rsid w:val="007451A5"/>
    <w:pPr>
      <w:spacing w:after="0" w:line="240" w:lineRule="auto"/>
    </w:pPr>
    <w:rPr>
      <w:rFonts w:asciiTheme="minorHAnsi" w:eastAsiaTheme="minorHAnsi" w:hAnsiTheme="minorHAnsi" w:cstheme="minorBidi"/>
      <w:kern w:val="2"/>
      <w:sz w:val="20"/>
      <w:szCs w:val="20"/>
      <w:lang w:val="es-GT"/>
      <w14:ligatures w14:val="standardContextual"/>
    </w:rPr>
  </w:style>
  <w:style w:type="character" w:customStyle="1" w:styleId="FootnoteTextChar">
    <w:name w:val="Footnote Text Char"/>
    <w:basedOn w:val="DefaultParagraphFont"/>
    <w:link w:val="FootnoteText"/>
    <w:uiPriority w:val="99"/>
    <w:semiHidden/>
    <w:rsid w:val="007451A5"/>
    <w:rPr>
      <w:rFonts w:asciiTheme="minorHAnsi" w:eastAsiaTheme="minorHAnsi" w:hAnsiTheme="minorHAnsi" w:cstheme="minorBidi"/>
      <w:kern w:val="2"/>
      <w:lang w:val="es-GT" w:eastAsia="en-US"/>
      <w14:ligatures w14:val="standardContextual"/>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eastAsia="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30854">
      <w:bodyDiv w:val="1"/>
      <w:marLeft w:val="0"/>
      <w:marRight w:val="0"/>
      <w:marTop w:val="0"/>
      <w:marBottom w:val="0"/>
      <w:divBdr>
        <w:top w:val="none" w:sz="0" w:space="0" w:color="auto"/>
        <w:left w:val="none" w:sz="0" w:space="0" w:color="auto"/>
        <w:bottom w:val="none" w:sz="0" w:space="0" w:color="auto"/>
        <w:right w:val="none" w:sz="0" w:space="0" w:color="auto"/>
      </w:divBdr>
    </w:div>
    <w:div w:id="1063601096">
      <w:bodyDiv w:val="1"/>
      <w:marLeft w:val="0"/>
      <w:marRight w:val="0"/>
      <w:marTop w:val="0"/>
      <w:marBottom w:val="0"/>
      <w:divBdr>
        <w:top w:val="none" w:sz="0" w:space="0" w:color="auto"/>
        <w:left w:val="none" w:sz="0" w:space="0" w:color="auto"/>
        <w:bottom w:val="none" w:sz="0" w:space="0" w:color="auto"/>
        <w:right w:val="none" w:sz="0" w:space="0" w:color="auto"/>
      </w:divBdr>
    </w:div>
    <w:div w:id="1529560861">
      <w:bodyDiv w:val="1"/>
      <w:marLeft w:val="0"/>
      <w:marRight w:val="0"/>
      <w:marTop w:val="0"/>
      <w:marBottom w:val="0"/>
      <w:divBdr>
        <w:top w:val="none" w:sz="0" w:space="0" w:color="auto"/>
        <w:left w:val="none" w:sz="0" w:space="0" w:color="auto"/>
        <w:bottom w:val="none" w:sz="0" w:space="0" w:color="auto"/>
        <w:right w:val="none" w:sz="0" w:space="0" w:color="auto"/>
      </w:divBdr>
    </w:div>
    <w:div w:id="1668746198">
      <w:bodyDiv w:val="1"/>
      <w:marLeft w:val="0"/>
      <w:marRight w:val="0"/>
      <w:marTop w:val="0"/>
      <w:marBottom w:val="0"/>
      <w:divBdr>
        <w:top w:val="none" w:sz="0" w:space="0" w:color="auto"/>
        <w:left w:val="none" w:sz="0" w:space="0" w:color="auto"/>
        <w:bottom w:val="none" w:sz="0" w:space="0" w:color="auto"/>
        <w:right w:val="none" w:sz="0" w:space="0" w:color="auto"/>
      </w:divBdr>
    </w:div>
    <w:div w:id="20054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oas.org/es/cidh/informes/pdfs/2024/informe-honduras.pdf" TargetMode="External"/><Relationship Id="rId13" Type="http://schemas.openxmlformats.org/officeDocument/2006/relationships/hyperlink" Target="https://x.com/Congreso_HND/status/1664437467758338050" TargetMode="External"/><Relationship Id="rId3" Type="http://schemas.openxmlformats.org/officeDocument/2006/relationships/hyperlink" Target="https://www.oas.org/es/cidh/informes/pdfs/Honduras2019.pdf" TargetMode="External"/><Relationship Id="rId7" Type="http://schemas.openxmlformats.org/officeDocument/2006/relationships/hyperlink" Target="https://view.officeapps.live.com/op/view.aspx?src=https://www.ohchr.org/sites/default/files/documents/hrbodies/hrcouncil/sessions-regular/session52/advance-version/A_HRC_52_24_AdvanceUneditedVersion.docx&amp;wdOrigin=BROWSELINK" TargetMode="External"/><Relationship Id="rId12" Type="http://schemas.openxmlformats.org/officeDocument/2006/relationships/hyperlink" Target="https://x.com/ONUHonduras/status/1862242635085135957" TargetMode="External"/><Relationship Id="rId2" Type="http://schemas.openxmlformats.org/officeDocument/2006/relationships/hyperlink" Target="https://www.oas.org/es/cidh/informes/pdfs/2024/informe-honduras.pdf" TargetMode="External"/><Relationship Id="rId16" Type="http://schemas.openxmlformats.org/officeDocument/2006/relationships/hyperlink" Target="https://www.oas.org/es/cidh/informes/pdfs/2024/informe-honduras.pdf" TargetMode="External"/><Relationship Id="rId1" Type="http://schemas.openxmlformats.org/officeDocument/2006/relationships/hyperlink" Target="https://www.oas.org/es/cidh/informes/pdfs/Honduras-es-2015.pdf" TargetMode="External"/><Relationship Id="rId6" Type="http://schemas.openxmlformats.org/officeDocument/2006/relationships/hyperlink" Target="https://www.oas.org/es/cidh/informes/pdfs/2024/informe-honduras.pdf" TargetMode="External"/><Relationship Id="rId11" Type="http://schemas.openxmlformats.org/officeDocument/2006/relationships/hyperlink" Target="https://www.wola.org/es/analisis/medio-camino-estados-unidos-informe-honduras-migracion/" TargetMode="External"/><Relationship Id="rId5" Type="http://schemas.openxmlformats.org/officeDocument/2006/relationships/hyperlink" Target="https://www.oas.org/es/cidh/docs/anual/2021/capitulos/IA2021cap4A-es.pdf" TargetMode="External"/><Relationship Id="rId15" Type="http://schemas.openxmlformats.org/officeDocument/2006/relationships/hyperlink" Target="https://www.oas.org/es/cidh/docs/anual/2023/capitulos/IA2023_Cap_4A_SPA.PDF" TargetMode="External"/><Relationship Id="rId10" Type="http://schemas.openxmlformats.org/officeDocument/2006/relationships/hyperlink" Target="https://www.oas.org/es/cidh/informes/pdfs/2024/informe-honduras.pdf" TargetMode="External"/><Relationship Id="rId4" Type="http://schemas.openxmlformats.org/officeDocument/2006/relationships/hyperlink" Target="https://www.oas.org/es/cidh/informes/pdfs/2024/informe-honduras.pdf" TargetMode="External"/><Relationship Id="rId9" Type="http://schemas.openxmlformats.org/officeDocument/2006/relationships/hyperlink" Target="https://inm.gob.hn/estadisticas.html" TargetMode="External"/><Relationship Id="rId14" Type="http://schemas.openxmlformats.org/officeDocument/2006/relationships/hyperlink" Target="https://www.oas.org/es/cidh/docs/anual/2024/capitulos/IA2024_4A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fontana\Documents\Eva%20Fontana\GRAFICA%20CIDH\cartas\pruebas\Cartas-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ed2cdb-1da6-4e77-9691-93a0805b4a49">
      <Terms xmlns="http://schemas.microsoft.com/office/infopath/2007/PartnerControls"/>
    </lcf76f155ced4ddcb4097134ff3c332f>
    <TaxCatchAll xmlns="985ec44e-1bab-4c0b-9df0-6ba128686fc9" xsi:nil="true"/>
    <SharedWithUsers xmlns="11a6fe0c-d8de-4390-afb3-d9c7c54181f0">
      <UserInfo>
        <DisplayName>Morris, Jean-marc</DisplayName>
        <AccountId>168</AccountId>
        <AccountType/>
      </UserInfo>
    </SharedWithUsers>
    <Document_x0020_Date xmlns="985ec44e-1bab-4c0b-9df0-6ba128686fc9">2025-11-10T10:46:10+00:00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7A75A37-6D5C-45A3-9D7F-C8AB08D8C26A}">
  <ds:schemaRefs>
    <ds:schemaRef ds:uri="http://schemas.microsoft.com/office/2006/metadata/properties"/>
    <ds:schemaRef ds:uri="http://schemas.microsoft.com/office/infopath/2007/PartnerControls"/>
    <ds:schemaRef ds:uri="1c1cd70d-670c-436a-92c3-8ff9adc7eaab"/>
    <ds:schemaRef ds:uri="05bff542-d332-425c-8dfd-ceb417fe7363"/>
    <ds:schemaRef ds:uri="7bed2cdb-1da6-4e77-9691-93a0805b4a49"/>
    <ds:schemaRef ds:uri="985ec44e-1bab-4c0b-9df0-6ba128686fc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7955AB8B-35AC-44E9-A788-F4B40C97D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5B8F7A-FBFD-4AE0-98F1-5BAEDAD21D78}">
  <ds:schemaRefs>
    <ds:schemaRef ds:uri="http://schemas.microsoft.com/sharepoint/v3/contenttype/forms"/>
  </ds:schemaRefs>
</ds:datastoreItem>
</file>

<file path=customXml/itemProps4.xml><?xml version="1.0" encoding="utf-8"?>
<ds:datastoreItem xmlns:ds="http://schemas.openxmlformats.org/officeDocument/2006/customXml" ds:itemID="{124011E3-E102-47F5-9753-DA5AEBA8A1AC}">
  <ds:schemaRefs>
    <ds:schemaRef ds:uri="http://schemas.openxmlformats.org/officeDocument/2006/bibliography"/>
  </ds:schemaRefs>
</ds:datastoreItem>
</file>

<file path=customXml/itemProps5.xml><?xml version="1.0" encoding="utf-8"?>
<ds:datastoreItem xmlns:ds="http://schemas.openxmlformats.org/officeDocument/2006/customXml" ds:itemID="{E641AE81-5446-49AF-B91B-B9761970975E}">
  <ds:schemaRefs>
    <ds:schemaRef ds:uri="http://schemas.microsoft.com/office/2006/metadata/longPropertie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Cartas-es</Template>
  <TotalTime>2</TotalTime>
  <Pages>3</Pages>
  <Words>974</Words>
  <Characters>5558</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cp:lastModifiedBy>Isabelle Fleche</cp:lastModifiedBy>
  <cp:revision>46</cp:revision>
  <cp:lastPrinted>2014-04-10T22:21:00Z</cp:lastPrinted>
  <dcterms:created xsi:type="dcterms:W3CDTF">2024-02-21T17:07:00Z</dcterms:created>
  <dcterms:modified xsi:type="dcterms:W3CDTF">2025-11-10T10:50:00Z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Tavares, Marta</vt:lpwstr>
  </property>
  <property fmtid="{D5CDD505-2E9C-101B-9397-08002B2CF9AE}" pid="3" name="Order">
    <vt:lpwstr>6464000.00000000</vt:lpwstr>
  </property>
  <property fmtid="{D5CDD505-2E9C-101B-9397-08002B2CF9AE}" pid="4" name="display_urn:schemas-microsoft-com:office:office#Author">
    <vt:lpwstr>Tavares, Marta</vt:lpwstr>
  </property>
  <property fmtid="{D5CDD505-2E9C-101B-9397-08002B2CF9AE}" pid="5" name="ContentTypeId">
    <vt:lpwstr>0x010100FB4CCA895A17B843B34B7F2324FFA44A</vt:lpwstr>
  </property>
  <property fmtid="{D5CDD505-2E9C-101B-9397-08002B2CF9AE}" pid="6" name="MediaServiceImageTags">
    <vt:lpwstr/>
  </property>
</Properties>
</file>