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151D67" w:rsidRDefault="002D5AAC" w:rsidP="007744C2">
            <w:pPr>
              <w:kinsoku w:val="0"/>
              <w:overflowPunct w:val="0"/>
              <w:autoSpaceDE w:val="0"/>
              <w:autoSpaceDN w:val="0"/>
              <w:adjustRightInd w:val="0"/>
              <w:snapToGrid w:val="0"/>
              <w:rPr>
                <w:rStyle w:val="Emphasis"/>
                <w:i w:val="0"/>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C572A" w:rsidP="007744C2">
            <w:pPr>
              <w:jc w:val="right"/>
            </w:pPr>
            <w:r w:rsidRPr="00DC572A">
              <w:rPr>
                <w:sz w:val="40"/>
              </w:rPr>
              <w:t>CAT</w:t>
            </w:r>
            <w:r>
              <w:t>/C/60/3</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val="en-GB" w:eastAsia="en-GB"/>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7744C2" w:rsidP="00462E81">
            <w:pPr>
              <w:spacing w:before="240"/>
            </w:pPr>
            <w:r>
              <w:t>Distr. general</w:t>
            </w:r>
          </w:p>
          <w:p w:rsidR="007744C2" w:rsidRDefault="007744C2" w:rsidP="007744C2">
            <w:pPr>
              <w:spacing w:line="240" w:lineRule="exact"/>
            </w:pPr>
            <w:r>
              <w:t>3 de abril de 2017</w:t>
            </w:r>
          </w:p>
          <w:p w:rsidR="007744C2" w:rsidRDefault="007744C2" w:rsidP="007744C2">
            <w:pPr>
              <w:spacing w:line="240" w:lineRule="exact"/>
            </w:pPr>
            <w:r>
              <w:t>Español</w:t>
            </w:r>
          </w:p>
          <w:p w:rsidR="007744C2" w:rsidRDefault="007744C2" w:rsidP="007744C2">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7744C2" w:rsidRPr="00D31D71" w:rsidRDefault="007744C2" w:rsidP="007744C2">
      <w:pPr>
        <w:rPr>
          <w:b/>
          <w:bCs/>
        </w:rPr>
      </w:pPr>
      <w:r w:rsidRPr="00D31D71">
        <w:rPr>
          <w:b/>
        </w:rPr>
        <w:t>60º período de sesiones</w:t>
      </w:r>
    </w:p>
    <w:p w:rsidR="007744C2" w:rsidRPr="00D31D71" w:rsidRDefault="007744C2" w:rsidP="007744C2">
      <w:r w:rsidRPr="00D31D71">
        <w:t>18 de abril a 12 de mayo de 2017</w:t>
      </w:r>
    </w:p>
    <w:p w:rsidR="007744C2" w:rsidRPr="00D31D71" w:rsidRDefault="007744C2" w:rsidP="007744C2">
      <w:r w:rsidRPr="00D31D71">
        <w:t>Tema 2 del programa provisional</w:t>
      </w:r>
    </w:p>
    <w:p w:rsidR="007744C2" w:rsidRPr="00D31D71" w:rsidRDefault="007744C2" w:rsidP="007744C2">
      <w:pPr>
        <w:rPr>
          <w:b/>
        </w:rPr>
      </w:pPr>
      <w:r w:rsidRPr="00D31D71">
        <w:rPr>
          <w:b/>
        </w:rPr>
        <w:t>Cuestiones de organización y otros asuntos</w:t>
      </w:r>
    </w:p>
    <w:p w:rsidR="00505971" w:rsidRDefault="007744C2" w:rsidP="007744C2">
      <w:pPr>
        <w:pStyle w:val="HChG"/>
      </w:pPr>
      <w:r>
        <w:tab/>
      </w:r>
      <w:r>
        <w:tab/>
      </w:r>
      <w:r w:rsidRPr="00D31D71">
        <w:t>Décimo informe anual del Subcomité para la Prevención</w:t>
      </w:r>
      <w:r>
        <w:br/>
      </w:r>
      <w:r w:rsidRPr="00D31D71">
        <w:t xml:space="preserve">de la Tortura y Otros Tratos o Penas Crueles, Inhumanos </w:t>
      </w:r>
      <w:r>
        <w:br/>
      </w:r>
      <w:r w:rsidRPr="00D31D71">
        <w:t>o Degradantes</w:t>
      </w:r>
      <w:r w:rsidR="00E47C5B" w:rsidRPr="00E47C5B">
        <w:rPr>
          <w:rStyle w:val="FootnoteReference"/>
          <w:b w:val="0"/>
          <w:sz w:val="20"/>
          <w:vertAlign w:val="baseline"/>
        </w:rPr>
        <w:footnoteReference w:customMarkFollows="1" w:id="1"/>
        <w:t>*</w:t>
      </w:r>
    </w:p>
    <w:tbl>
      <w:tblPr>
        <w:tblStyle w:val="TableGrid"/>
        <w:tblW w:w="0" w:type="auto"/>
        <w:jc w:val="center"/>
        <w:tblCellMar>
          <w:left w:w="0" w:type="dxa"/>
          <w:right w:w="0" w:type="dxa"/>
        </w:tblCellMar>
        <w:tblLook w:val="05E0" w:firstRow="1" w:lastRow="1" w:firstColumn="1" w:lastColumn="1" w:noHBand="0" w:noVBand="1"/>
      </w:tblPr>
      <w:tblGrid>
        <w:gridCol w:w="9637"/>
      </w:tblGrid>
      <w:tr w:rsidR="007744C2" w:rsidTr="00850215">
        <w:trPr>
          <w:jc w:val="center"/>
        </w:trPr>
        <w:tc>
          <w:tcPr>
            <w:tcW w:w="9637" w:type="dxa"/>
            <w:tcBorders>
              <w:bottom w:val="nil"/>
            </w:tcBorders>
          </w:tcPr>
          <w:p w:rsidR="007744C2" w:rsidRPr="008B65CD" w:rsidRDefault="007744C2" w:rsidP="00850215">
            <w:pPr>
              <w:tabs>
                <w:tab w:val="left" w:pos="255"/>
              </w:tabs>
              <w:spacing w:before="240" w:after="120"/>
              <w:rPr>
                <w:sz w:val="24"/>
              </w:rPr>
            </w:pPr>
            <w:r>
              <w:tab/>
            </w:r>
            <w:r>
              <w:rPr>
                <w:i/>
                <w:sz w:val="24"/>
              </w:rPr>
              <w:t>Resumen</w:t>
            </w:r>
          </w:p>
        </w:tc>
      </w:tr>
      <w:tr w:rsidR="007744C2" w:rsidTr="00850215">
        <w:trPr>
          <w:jc w:val="center"/>
        </w:trPr>
        <w:tc>
          <w:tcPr>
            <w:tcW w:w="9637" w:type="dxa"/>
            <w:tcBorders>
              <w:top w:val="nil"/>
              <w:bottom w:val="nil"/>
            </w:tcBorders>
            <w:shd w:val="clear" w:color="auto" w:fill="auto"/>
          </w:tcPr>
          <w:p w:rsidR="007744C2" w:rsidRPr="00D31D71" w:rsidRDefault="007744C2" w:rsidP="00507B95">
            <w:pPr>
              <w:pStyle w:val="SingleTxtG"/>
            </w:pPr>
            <w:r w:rsidRPr="00D31D71">
              <w:tab/>
              <w:t>En el décimo informe anual del Subcomité para la Prevención de la Tortura y Otros Tratos o Penas Crueles, Inhumanos o Degradantes se analiza la labor realizada por el Subcomité durante 2016.</w:t>
            </w:r>
          </w:p>
        </w:tc>
      </w:tr>
      <w:tr w:rsidR="007744C2" w:rsidTr="00850215">
        <w:trPr>
          <w:jc w:val="center"/>
        </w:trPr>
        <w:tc>
          <w:tcPr>
            <w:tcW w:w="9637" w:type="dxa"/>
            <w:tcBorders>
              <w:top w:val="nil"/>
              <w:bottom w:val="nil"/>
            </w:tcBorders>
            <w:shd w:val="clear" w:color="auto" w:fill="auto"/>
          </w:tcPr>
          <w:p w:rsidR="007744C2" w:rsidRPr="00D31D71" w:rsidRDefault="007744C2" w:rsidP="00507B95">
            <w:pPr>
              <w:pStyle w:val="SingleTxtG"/>
            </w:pPr>
            <w:r w:rsidRPr="00D31D71">
              <w:tab/>
              <w:t>Tras una breve introducción, en la sección II el Subcomité ofrece información actualizada sobre las novedades relacionadas con el sistema del Protocolo Facultativo de la Convención contra la Tortura, lo que incluye las visitas, el aumento del número de Estados partes y de mecanismos nacionales de prevención designados, y detalles sobre el funcionamiento del Fondo Especial establecido por el Protocolo Facultativo.</w:t>
            </w:r>
          </w:p>
        </w:tc>
      </w:tr>
      <w:tr w:rsidR="007744C2" w:rsidTr="00850215">
        <w:trPr>
          <w:jc w:val="center"/>
        </w:trPr>
        <w:tc>
          <w:tcPr>
            <w:tcW w:w="9637" w:type="dxa"/>
            <w:tcBorders>
              <w:top w:val="nil"/>
              <w:bottom w:val="nil"/>
            </w:tcBorders>
            <w:shd w:val="clear" w:color="auto" w:fill="auto"/>
          </w:tcPr>
          <w:p w:rsidR="007744C2" w:rsidRPr="00D31D71" w:rsidRDefault="007744C2" w:rsidP="00507B95">
            <w:pPr>
              <w:pStyle w:val="SingleTxtG"/>
            </w:pPr>
            <w:r w:rsidRPr="00D31D71">
              <w:tab/>
              <w:t>En la sección III se ponen de relieve las esferas de cooperación entre el Subcomité y otros órganos internacionales y regionales y la sociedad civil, y se resume la labor que han realizado conjuntamente.</w:t>
            </w:r>
          </w:p>
        </w:tc>
      </w:tr>
      <w:tr w:rsidR="007744C2" w:rsidTr="007744C2">
        <w:trPr>
          <w:jc w:val="center"/>
        </w:trPr>
        <w:tc>
          <w:tcPr>
            <w:tcW w:w="9637" w:type="dxa"/>
            <w:tcBorders>
              <w:top w:val="nil"/>
              <w:bottom w:val="nil"/>
            </w:tcBorders>
            <w:shd w:val="clear" w:color="auto" w:fill="auto"/>
          </w:tcPr>
          <w:p w:rsidR="007744C2" w:rsidRPr="00D31D71" w:rsidRDefault="007744C2" w:rsidP="00507B95">
            <w:pPr>
              <w:pStyle w:val="SingleTxtG"/>
            </w:pPr>
            <w:r w:rsidRPr="00D31D71">
              <w:tab/>
              <w:t>En la sección IV el Subcomité presenta información sustantiva sobre las novedades relacionadas con sus métodos de trabajo, incluidas algunas ideas preliminares sobre varias cuestiones sustantivas y de procedimiento.</w:t>
            </w:r>
          </w:p>
        </w:tc>
      </w:tr>
      <w:tr w:rsidR="007744C2" w:rsidTr="007744C2">
        <w:trPr>
          <w:jc w:val="center"/>
        </w:trPr>
        <w:tc>
          <w:tcPr>
            <w:tcW w:w="9637" w:type="dxa"/>
            <w:tcBorders>
              <w:top w:val="nil"/>
              <w:bottom w:val="single" w:sz="4" w:space="0" w:color="auto"/>
            </w:tcBorders>
            <w:shd w:val="clear" w:color="auto" w:fill="auto"/>
          </w:tcPr>
          <w:p w:rsidR="007744C2" w:rsidRPr="00D31D71" w:rsidRDefault="007744C2" w:rsidP="00507B95">
            <w:pPr>
              <w:pStyle w:val="SingleTxtG"/>
              <w:spacing w:after="240"/>
            </w:pPr>
            <w:r w:rsidRPr="00D31D71">
              <w:tab/>
              <w:t>En la sección V el Subcomité hace una serie de reflexiones sobre el año que se examina, sobre el cumplimiento por los Estados partes de las obligaciones contraídas en virtud del artículo 17 del Protocolo Facultativo y sobre su plan de trabajo.</w:t>
            </w:r>
          </w:p>
        </w:tc>
      </w:tr>
    </w:tbl>
    <w:p w:rsidR="007744C2" w:rsidRDefault="007744C2" w:rsidP="00BC6C8F"/>
    <w:p w:rsidR="00AC611E" w:rsidRDefault="007744C2" w:rsidP="007744C2">
      <w:pPr>
        <w:spacing w:after="120"/>
        <w:rPr>
          <w:sz w:val="28"/>
        </w:rPr>
      </w:pPr>
      <w:r>
        <w:br w:type="page"/>
      </w:r>
      <w:r>
        <w:rPr>
          <w:sz w:val="28"/>
        </w:rPr>
        <w:lastRenderedPageBreak/>
        <w:t>Índice</w:t>
      </w:r>
    </w:p>
    <w:p w:rsidR="007744C2" w:rsidRDefault="007744C2" w:rsidP="007744C2">
      <w:pPr>
        <w:tabs>
          <w:tab w:val="right" w:pos="9638"/>
        </w:tabs>
        <w:spacing w:after="120"/>
        <w:ind w:left="283"/>
        <w:rPr>
          <w:sz w:val="18"/>
        </w:rPr>
      </w:pPr>
      <w:r>
        <w:rPr>
          <w:i/>
          <w:sz w:val="18"/>
        </w:rPr>
        <w:tab/>
        <w:t>Página</w:t>
      </w:r>
    </w:p>
    <w:p w:rsidR="007744C2" w:rsidRDefault="00AD5495" w:rsidP="007744C2">
      <w:pPr>
        <w:tabs>
          <w:tab w:val="right" w:pos="850"/>
          <w:tab w:val="left" w:pos="1134"/>
          <w:tab w:val="left" w:pos="1559"/>
          <w:tab w:val="left" w:pos="1984"/>
          <w:tab w:val="left" w:leader="dot" w:pos="8787"/>
          <w:tab w:val="right" w:pos="9638"/>
        </w:tabs>
        <w:spacing w:after="120"/>
      </w:pPr>
      <w:r>
        <w:tab/>
      </w:r>
      <w:r w:rsidRPr="007744C2">
        <w:t>I.</w:t>
      </w:r>
      <w:r w:rsidRPr="007744C2">
        <w:tab/>
        <w:t>Introducción</w:t>
      </w:r>
      <w:r>
        <w:tab/>
      </w:r>
      <w:r>
        <w:tab/>
        <w:t>3</w:t>
      </w:r>
    </w:p>
    <w:p w:rsidR="00AD5495" w:rsidRDefault="00AD5495" w:rsidP="007744C2">
      <w:pPr>
        <w:tabs>
          <w:tab w:val="right" w:pos="850"/>
          <w:tab w:val="left" w:pos="1134"/>
          <w:tab w:val="left" w:pos="1559"/>
          <w:tab w:val="left" w:pos="1984"/>
          <w:tab w:val="left" w:leader="dot" w:pos="8787"/>
          <w:tab w:val="right" w:pos="9638"/>
        </w:tabs>
        <w:spacing w:after="120"/>
      </w:pPr>
      <w:r>
        <w:tab/>
      </w:r>
      <w:r w:rsidRPr="007744C2">
        <w:t>II.</w:t>
      </w:r>
      <w:r w:rsidRPr="007744C2">
        <w:tab/>
        <w:t>El año objeto de examen</w:t>
      </w:r>
      <w:r>
        <w:tab/>
      </w:r>
      <w:r>
        <w:tab/>
        <w:t>3</w:t>
      </w:r>
    </w:p>
    <w:p w:rsidR="00AD5495" w:rsidRDefault="00AD5495" w:rsidP="007744C2">
      <w:pPr>
        <w:tabs>
          <w:tab w:val="right" w:pos="850"/>
          <w:tab w:val="left" w:pos="1134"/>
          <w:tab w:val="left" w:pos="1559"/>
          <w:tab w:val="left" w:pos="1984"/>
          <w:tab w:val="left" w:leader="dot" w:pos="8787"/>
          <w:tab w:val="right" w:pos="9638"/>
        </w:tabs>
        <w:spacing w:after="120"/>
      </w:pPr>
      <w:r>
        <w:tab/>
      </w:r>
      <w:r>
        <w:tab/>
      </w:r>
      <w:r w:rsidRPr="007744C2">
        <w:t>A.</w:t>
      </w:r>
      <w:r w:rsidRPr="007744C2">
        <w:tab/>
        <w:t>Participación en el sistema del Protocolo Facultativo</w:t>
      </w:r>
      <w:r>
        <w:tab/>
      </w:r>
      <w:r>
        <w:tab/>
        <w:t>3</w:t>
      </w:r>
    </w:p>
    <w:p w:rsidR="00AD5495" w:rsidRDefault="00AD5495" w:rsidP="007744C2">
      <w:pPr>
        <w:tabs>
          <w:tab w:val="right" w:pos="850"/>
          <w:tab w:val="left" w:pos="1134"/>
          <w:tab w:val="left" w:pos="1559"/>
          <w:tab w:val="left" w:pos="1984"/>
          <w:tab w:val="left" w:leader="dot" w:pos="8787"/>
          <w:tab w:val="right" w:pos="9638"/>
        </w:tabs>
        <w:spacing w:after="120"/>
      </w:pPr>
      <w:r>
        <w:tab/>
      </w:r>
      <w:r>
        <w:tab/>
      </w:r>
      <w:r w:rsidRPr="007744C2">
        <w:t>B.</w:t>
      </w:r>
      <w:r w:rsidRPr="007744C2">
        <w:tab/>
        <w:t>Cuestiones de organización y de composición</w:t>
      </w:r>
      <w:r>
        <w:tab/>
      </w:r>
      <w:r>
        <w:tab/>
        <w:t>3</w:t>
      </w:r>
    </w:p>
    <w:p w:rsidR="00AD5495" w:rsidRDefault="00AD5495" w:rsidP="007744C2">
      <w:pPr>
        <w:tabs>
          <w:tab w:val="right" w:pos="850"/>
          <w:tab w:val="left" w:pos="1134"/>
          <w:tab w:val="left" w:pos="1559"/>
          <w:tab w:val="left" w:pos="1984"/>
          <w:tab w:val="left" w:leader="dot" w:pos="8787"/>
          <w:tab w:val="right" w:pos="9638"/>
        </w:tabs>
        <w:spacing w:after="120"/>
      </w:pPr>
      <w:r>
        <w:tab/>
      </w:r>
      <w:r>
        <w:tab/>
      </w:r>
      <w:r w:rsidRPr="007744C2">
        <w:t>C.</w:t>
      </w:r>
      <w:r w:rsidRPr="007744C2">
        <w:tab/>
        <w:t>Visitas realizadas durante el período que se examina</w:t>
      </w:r>
      <w:r>
        <w:tab/>
      </w:r>
      <w:r>
        <w:tab/>
        <w:t>4</w:t>
      </w:r>
    </w:p>
    <w:p w:rsidR="00AD5495" w:rsidRDefault="00AD5495" w:rsidP="007744C2">
      <w:pPr>
        <w:tabs>
          <w:tab w:val="right" w:pos="850"/>
          <w:tab w:val="left" w:pos="1134"/>
          <w:tab w:val="left" w:pos="1559"/>
          <w:tab w:val="left" w:pos="1984"/>
          <w:tab w:val="left" w:leader="dot" w:pos="8787"/>
          <w:tab w:val="right" w:pos="9638"/>
        </w:tabs>
        <w:spacing w:after="120"/>
      </w:pPr>
      <w:r>
        <w:tab/>
      </w:r>
      <w:r>
        <w:tab/>
      </w:r>
      <w:r w:rsidRPr="007744C2">
        <w:t>D.</w:t>
      </w:r>
      <w:r w:rsidRPr="007744C2">
        <w:tab/>
        <w:t>Diálogo resultante de las visitas, incluida la publicación de los informes del Subcomité</w:t>
      </w:r>
      <w:r>
        <w:br/>
      </w:r>
      <w:r>
        <w:tab/>
      </w:r>
      <w:r>
        <w:tab/>
      </w:r>
      <w:r>
        <w:tab/>
      </w:r>
      <w:r w:rsidRPr="007744C2">
        <w:t>por los Estados partes y los mecanismos nacionales de prevención</w:t>
      </w:r>
      <w:r>
        <w:tab/>
      </w:r>
      <w:r>
        <w:tab/>
        <w:t>5</w:t>
      </w:r>
    </w:p>
    <w:p w:rsidR="00AD5495" w:rsidRDefault="00AD5495" w:rsidP="00AD5495">
      <w:pPr>
        <w:tabs>
          <w:tab w:val="right" w:pos="850"/>
          <w:tab w:val="left" w:pos="1134"/>
          <w:tab w:val="left" w:pos="1559"/>
          <w:tab w:val="left" w:pos="1984"/>
          <w:tab w:val="left" w:leader="dot" w:pos="8787"/>
          <w:tab w:val="right" w:pos="9638"/>
        </w:tabs>
        <w:spacing w:after="120"/>
      </w:pPr>
      <w:r>
        <w:tab/>
      </w:r>
      <w:r>
        <w:tab/>
      </w:r>
      <w:r w:rsidRPr="00AD5495">
        <w:t>E.</w:t>
      </w:r>
      <w:r w:rsidRPr="00AD5495">
        <w:tab/>
        <w:t>Novedades con respecto a los mecanismos nacionales de prevención</w:t>
      </w:r>
      <w:r>
        <w:tab/>
      </w:r>
      <w:r>
        <w:tab/>
        <w:t>6</w:t>
      </w:r>
    </w:p>
    <w:p w:rsidR="00AD5495" w:rsidRDefault="00AD5495" w:rsidP="00AD5495">
      <w:pPr>
        <w:tabs>
          <w:tab w:val="right" w:pos="850"/>
          <w:tab w:val="left" w:pos="1134"/>
          <w:tab w:val="left" w:pos="1559"/>
          <w:tab w:val="left" w:pos="1984"/>
          <w:tab w:val="left" w:leader="dot" w:pos="8787"/>
          <w:tab w:val="right" w:pos="9638"/>
        </w:tabs>
        <w:spacing w:after="120"/>
      </w:pPr>
      <w:r>
        <w:tab/>
      </w:r>
      <w:r>
        <w:tab/>
      </w:r>
      <w:r w:rsidRPr="007744C2">
        <w:t>F.</w:t>
      </w:r>
      <w:r w:rsidRPr="007744C2">
        <w:tab/>
        <w:t>Fondo Especial establecido en virtud del Protocolo Facultativo</w:t>
      </w:r>
      <w:r>
        <w:tab/>
      </w:r>
      <w:r>
        <w:tab/>
        <w:t>7</w:t>
      </w:r>
    </w:p>
    <w:p w:rsidR="00AD5495" w:rsidRDefault="00AD5495" w:rsidP="00AD5495">
      <w:pPr>
        <w:tabs>
          <w:tab w:val="right" w:pos="850"/>
          <w:tab w:val="left" w:pos="1134"/>
          <w:tab w:val="left" w:pos="1559"/>
          <w:tab w:val="left" w:pos="1984"/>
          <w:tab w:val="left" w:leader="dot" w:pos="8787"/>
          <w:tab w:val="right" w:pos="9638"/>
        </w:tabs>
        <w:spacing w:after="120"/>
      </w:pPr>
      <w:r>
        <w:tab/>
      </w:r>
      <w:r w:rsidRPr="007744C2">
        <w:t>III.</w:t>
      </w:r>
      <w:r w:rsidRPr="007744C2">
        <w:tab/>
        <w:t>Cooperación con otros órganos en materia de prevención</w:t>
      </w:r>
      <w:r>
        <w:t xml:space="preserve"> </w:t>
      </w:r>
      <w:r w:rsidRPr="007744C2">
        <w:t>de la tortura</w:t>
      </w:r>
      <w:r>
        <w:tab/>
      </w:r>
      <w:r>
        <w:tab/>
        <w:t>7</w:t>
      </w:r>
    </w:p>
    <w:p w:rsidR="00AD5495" w:rsidRDefault="00AD5495" w:rsidP="00AD5495">
      <w:pPr>
        <w:tabs>
          <w:tab w:val="right" w:pos="850"/>
          <w:tab w:val="left" w:pos="1134"/>
          <w:tab w:val="left" w:pos="1559"/>
          <w:tab w:val="left" w:pos="1984"/>
          <w:tab w:val="left" w:leader="dot" w:pos="8787"/>
          <w:tab w:val="right" w:pos="9638"/>
        </w:tabs>
        <w:spacing w:after="120"/>
      </w:pPr>
      <w:r>
        <w:tab/>
      </w:r>
      <w:r>
        <w:tab/>
      </w:r>
      <w:r w:rsidRPr="007744C2">
        <w:t>A.</w:t>
      </w:r>
      <w:r w:rsidRPr="007744C2">
        <w:tab/>
        <w:t>Cooperación internacional</w:t>
      </w:r>
      <w:r>
        <w:tab/>
      </w:r>
      <w:r>
        <w:tab/>
        <w:t>7</w:t>
      </w:r>
    </w:p>
    <w:p w:rsidR="00AD5495" w:rsidRDefault="00AD5495" w:rsidP="00AD5495">
      <w:pPr>
        <w:tabs>
          <w:tab w:val="right" w:pos="850"/>
          <w:tab w:val="left" w:pos="1134"/>
          <w:tab w:val="left" w:pos="1559"/>
          <w:tab w:val="left" w:pos="1984"/>
          <w:tab w:val="left" w:leader="dot" w:pos="8787"/>
          <w:tab w:val="right" w:pos="9638"/>
        </w:tabs>
        <w:spacing w:after="120"/>
      </w:pPr>
      <w:r>
        <w:tab/>
      </w:r>
      <w:r>
        <w:tab/>
      </w:r>
      <w:r w:rsidRPr="007744C2">
        <w:t>B.</w:t>
      </w:r>
      <w:r w:rsidRPr="007744C2">
        <w:tab/>
        <w:t>Cooperación regional</w:t>
      </w:r>
      <w:r>
        <w:tab/>
      </w:r>
      <w:r>
        <w:tab/>
        <w:t>8</w:t>
      </w:r>
    </w:p>
    <w:p w:rsidR="00AD5495" w:rsidRDefault="00AD5495" w:rsidP="00AD5495">
      <w:pPr>
        <w:tabs>
          <w:tab w:val="right" w:pos="850"/>
          <w:tab w:val="left" w:pos="1134"/>
          <w:tab w:val="left" w:pos="1559"/>
          <w:tab w:val="left" w:pos="1984"/>
          <w:tab w:val="left" w:leader="dot" w:pos="8787"/>
          <w:tab w:val="right" w:pos="9638"/>
        </w:tabs>
        <w:spacing w:after="120"/>
      </w:pPr>
      <w:r>
        <w:tab/>
      </w:r>
      <w:r>
        <w:tab/>
      </w:r>
      <w:r w:rsidRPr="007744C2">
        <w:t>C.</w:t>
      </w:r>
      <w:r w:rsidRPr="007744C2">
        <w:tab/>
        <w:t>Sociedad civil</w:t>
      </w:r>
      <w:r>
        <w:tab/>
      </w:r>
      <w:r>
        <w:tab/>
        <w:t>8</w:t>
      </w:r>
    </w:p>
    <w:p w:rsidR="00AD5495" w:rsidRDefault="00AD5495" w:rsidP="00E47C5B">
      <w:pPr>
        <w:tabs>
          <w:tab w:val="right" w:pos="850"/>
          <w:tab w:val="left" w:pos="1134"/>
          <w:tab w:val="left" w:pos="1559"/>
          <w:tab w:val="left" w:leader="dot" w:pos="8787"/>
          <w:tab w:val="right" w:pos="9638"/>
        </w:tabs>
        <w:spacing w:after="120"/>
      </w:pPr>
      <w:r>
        <w:tab/>
      </w:r>
      <w:r w:rsidRPr="007744C2">
        <w:t>IV.</w:t>
      </w:r>
      <w:r w:rsidRPr="007744C2">
        <w:tab/>
        <w:t>Cuestiones de interés en relación con la labor del</w:t>
      </w:r>
      <w:r>
        <w:t xml:space="preserve"> </w:t>
      </w:r>
      <w:r w:rsidRPr="007744C2">
        <w:t>Subcomité durante el período que se</w:t>
      </w:r>
      <w:r>
        <w:br/>
      </w:r>
      <w:r>
        <w:tab/>
      </w:r>
      <w:r>
        <w:tab/>
      </w:r>
      <w:r w:rsidRPr="007744C2">
        <w:t>examina</w:t>
      </w:r>
      <w:r>
        <w:tab/>
      </w:r>
      <w:r>
        <w:tab/>
        <w:t>8</w:t>
      </w:r>
    </w:p>
    <w:p w:rsidR="00AD5495" w:rsidRDefault="00AD5495" w:rsidP="00AD5495">
      <w:pPr>
        <w:tabs>
          <w:tab w:val="right" w:pos="850"/>
          <w:tab w:val="left" w:pos="1134"/>
          <w:tab w:val="left" w:pos="1559"/>
          <w:tab w:val="left" w:pos="1984"/>
          <w:tab w:val="left" w:leader="dot" w:pos="8787"/>
          <w:tab w:val="right" w:pos="9638"/>
        </w:tabs>
        <w:spacing w:after="120"/>
      </w:pPr>
      <w:r>
        <w:tab/>
      </w:r>
      <w:r>
        <w:tab/>
      </w:r>
      <w:r w:rsidRPr="007744C2">
        <w:t>A.</w:t>
      </w:r>
      <w:r w:rsidRPr="007744C2">
        <w:tab/>
        <w:t>Elecciones</w:t>
      </w:r>
      <w:r>
        <w:tab/>
      </w:r>
      <w:r>
        <w:tab/>
        <w:t>8</w:t>
      </w:r>
    </w:p>
    <w:p w:rsidR="00AD5495" w:rsidRDefault="00AD5495" w:rsidP="00AD5495">
      <w:pPr>
        <w:tabs>
          <w:tab w:val="right" w:pos="850"/>
          <w:tab w:val="left" w:pos="1134"/>
          <w:tab w:val="left" w:pos="1559"/>
          <w:tab w:val="left" w:pos="1984"/>
          <w:tab w:val="left" w:leader="dot" w:pos="8787"/>
          <w:tab w:val="right" w:pos="9638"/>
        </w:tabs>
        <w:spacing w:after="120"/>
      </w:pPr>
      <w:r>
        <w:tab/>
      </w:r>
      <w:r>
        <w:tab/>
      </w:r>
      <w:r w:rsidRPr="007744C2">
        <w:t>B.</w:t>
      </w:r>
      <w:r w:rsidRPr="007744C2">
        <w:tab/>
        <w:t>Perfeccionamiento de los métodos de trabajo</w:t>
      </w:r>
      <w:r>
        <w:tab/>
      </w:r>
      <w:r>
        <w:tab/>
        <w:t>9</w:t>
      </w:r>
    </w:p>
    <w:p w:rsidR="00AD5495" w:rsidRDefault="00AD5495" w:rsidP="00AD5495">
      <w:pPr>
        <w:tabs>
          <w:tab w:val="right" w:pos="850"/>
          <w:tab w:val="left" w:pos="1134"/>
          <w:tab w:val="left" w:pos="1559"/>
          <w:tab w:val="left" w:pos="1984"/>
          <w:tab w:val="left" w:leader="dot" w:pos="8787"/>
          <w:tab w:val="right" w:pos="9638"/>
        </w:tabs>
        <w:spacing w:after="120"/>
      </w:pPr>
      <w:r>
        <w:tab/>
      </w:r>
      <w:r w:rsidRPr="007744C2">
        <w:t>V.</w:t>
      </w:r>
      <w:r w:rsidRPr="007744C2">
        <w:tab/>
        <w:t>Reflexiones sobre el año examinado</w:t>
      </w:r>
      <w:r>
        <w:tab/>
      </w:r>
      <w:r>
        <w:tab/>
        <w:t>10</w:t>
      </w:r>
    </w:p>
    <w:p w:rsidR="00AD5495" w:rsidRDefault="00AD5495" w:rsidP="00AD5495">
      <w:pPr>
        <w:tabs>
          <w:tab w:val="right" w:pos="850"/>
          <w:tab w:val="left" w:pos="1134"/>
          <w:tab w:val="left" w:pos="1559"/>
          <w:tab w:val="left" w:pos="1984"/>
          <w:tab w:val="left" w:leader="dot" w:pos="8787"/>
          <w:tab w:val="right" w:pos="9638"/>
        </w:tabs>
        <w:spacing w:after="120"/>
      </w:pPr>
      <w:r>
        <w:tab/>
      </w:r>
      <w:r>
        <w:tab/>
      </w:r>
      <w:r w:rsidRPr="007744C2">
        <w:t>A.</w:t>
      </w:r>
      <w:r w:rsidRPr="007744C2">
        <w:tab/>
        <w:t>Décimo aniversario del Protocolo Facultativo</w:t>
      </w:r>
      <w:r>
        <w:tab/>
      </w:r>
      <w:r>
        <w:tab/>
        <w:t>10</w:t>
      </w:r>
    </w:p>
    <w:p w:rsidR="00AD5495" w:rsidRDefault="006D69BE" w:rsidP="006D69BE">
      <w:pPr>
        <w:tabs>
          <w:tab w:val="right" w:pos="850"/>
          <w:tab w:val="left" w:pos="1134"/>
          <w:tab w:val="left" w:pos="1559"/>
          <w:tab w:val="left" w:pos="1984"/>
          <w:tab w:val="left" w:leader="dot" w:pos="8787"/>
          <w:tab w:val="right" w:pos="9638"/>
        </w:tabs>
        <w:spacing w:after="120"/>
      </w:pPr>
      <w:r>
        <w:tab/>
      </w:r>
      <w:r>
        <w:tab/>
      </w:r>
      <w:r w:rsidRPr="007744C2">
        <w:t>B.</w:t>
      </w:r>
      <w:r w:rsidRPr="007744C2">
        <w:tab/>
        <w:t>Preocupaciones acerca de la cooperación</w:t>
      </w:r>
      <w:r>
        <w:tab/>
      </w:r>
      <w:r>
        <w:tab/>
        <w:t>11</w:t>
      </w:r>
    </w:p>
    <w:p w:rsidR="006D69BE" w:rsidRDefault="006D69BE" w:rsidP="006D69BE">
      <w:pPr>
        <w:tabs>
          <w:tab w:val="right" w:pos="850"/>
          <w:tab w:val="left" w:pos="1134"/>
          <w:tab w:val="left" w:pos="1559"/>
          <w:tab w:val="left" w:pos="1984"/>
          <w:tab w:val="left" w:leader="dot" w:pos="8787"/>
          <w:tab w:val="right" w:pos="9638"/>
        </w:tabs>
        <w:spacing w:after="120"/>
      </w:pPr>
      <w:r>
        <w:tab/>
      </w:r>
      <w:r>
        <w:tab/>
      </w:r>
      <w:r w:rsidRPr="007744C2">
        <w:t>C.</w:t>
      </w:r>
      <w:r w:rsidRPr="007744C2">
        <w:tab/>
        <w:t>Cumplimiento del artículo 17 del Protocolo Facultativo</w:t>
      </w:r>
      <w:r>
        <w:tab/>
      </w:r>
      <w:r>
        <w:tab/>
        <w:t>11</w:t>
      </w:r>
    </w:p>
    <w:p w:rsidR="006D69BE" w:rsidRDefault="006D69BE" w:rsidP="006D69BE">
      <w:pPr>
        <w:tabs>
          <w:tab w:val="right" w:pos="850"/>
          <w:tab w:val="left" w:pos="1134"/>
          <w:tab w:val="left" w:pos="1559"/>
          <w:tab w:val="left" w:pos="1984"/>
          <w:tab w:val="left" w:leader="dot" w:pos="8787"/>
          <w:tab w:val="right" w:pos="9638"/>
        </w:tabs>
        <w:spacing w:after="120"/>
      </w:pPr>
      <w:r>
        <w:tab/>
      </w:r>
      <w:r>
        <w:tab/>
      </w:r>
      <w:r w:rsidRPr="007744C2">
        <w:t>D.</w:t>
      </w:r>
      <w:r w:rsidRPr="007744C2">
        <w:tab/>
        <w:t>Perspectivas de futuro</w:t>
      </w:r>
      <w:r>
        <w:tab/>
      </w:r>
      <w:r>
        <w:tab/>
        <w:t>12</w:t>
      </w:r>
    </w:p>
    <w:p w:rsidR="006D69BE" w:rsidRDefault="006D69BE" w:rsidP="006D69BE">
      <w:pPr>
        <w:tabs>
          <w:tab w:val="right" w:pos="850"/>
          <w:tab w:val="left" w:pos="1134"/>
          <w:tab w:val="left" w:pos="1559"/>
          <w:tab w:val="left" w:pos="1984"/>
          <w:tab w:val="left" w:leader="dot" w:pos="8787"/>
          <w:tab w:val="right" w:pos="9638"/>
        </w:tabs>
        <w:spacing w:after="120"/>
      </w:pPr>
      <w:r>
        <w:tab/>
      </w:r>
      <w:r>
        <w:tab/>
      </w:r>
      <w:r w:rsidRPr="007744C2">
        <w:t>E.</w:t>
      </w:r>
      <w:r w:rsidRPr="007744C2">
        <w:tab/>
        <w:t>Plan de trabajo</w:t>
      </w:r>
      <w:r>
        <w:tab/>
      </w:r>
      <w:r>
        <w:tab/>
        <w:t>12</w:t>
      </w:r>
    </w:p>
    <w:p w:rsidR="006D69BE" w:rsidRPr="00AD5495" w:rsidRDefault="006D69BE" w:rsidP="006D69BE">
      <w:pPr>
        <w:tabs>
          <w:tab w:val="right" w:pos="850"/>
          <w:tab w:val="left" w:pos="1134"/>
          <w:tab w:val="left" w:pos="1559"/>
          <w:tab w:val="left" w:pos="1984"/>
          <w:tab w:val="left" w:leader="dot" w:pos="8787"/>
          <w:tab w:val="right" w:pos="9638"/>
        </w:tabs>
        <w:spacing w:after="120"/>
      </w:pPr>
    </w:p>
    <w:p w:rsidR="00AD5495" w:rsidRDefault="006D69BE" w:rsidP="007744C2">
      <w:pPr>
        <w:tabs>
          <w:tab w:val="right" w:pos="850"/>
          <w:tab w:val="left" w:pos="1134"/>
          <w:tab w:val="left" w:pos="1559"/>
          <w:tab w:val="left" w:pos="1984"/>
          <w:tab w:val="left" w:leader="dot" w:pos="8787"/>
          <w:tab w:val="right" w:pos="9638"/>
        </w:tabs>
        <w:spacing w:after="120"/>
      </w:pPr>
      <w:r>
        <w:tab/>
      </w:r>
      <w:r w:rsidR="00AD5495">
        <w:tab/>
      </w:r>
      <w:r w:rsidR="00AD5495">
        <w:tab/>
      </w:r>
    </w:p>
    <w:p w:rsidR="007744C2" w:rsidRPr="007744C2" w:rsidRDefault="007744C2" w:rsidP="007744C2">
      <w:pPr>
        <w:pStyle w:val="HChG"/>
      </w:pPr>
      <w:r>
        <w:br w:type="page"/>
      </w:r>
      <w:r>
        <w:lastRenderedPageBreak/>
        <w:tab/>
      </w:r>
      <w:r w:rsidRPr="007744C2">
        <w:t>I.</w:t>
      </w:r>
      <w:r w:rsidRPr="007744C2">
        <w:tab/>
        <w:t>Introducción</w:t>
      </w:r>
    </w:p>
    <w:p w:rsidR="007744C2" w:rsidRPr="007744C2" w:rsidRDefault="007744C2" w:rsidP="007744C2">
      <w:pPr>
        <w:pStyle w:val="SingleTxtG"/>
      </w:pPr>
      <w:r w:rsidRPr="007744C2">
        <w:t>1.</w:t>
      </w:r>
      <w:r w:rsidRPr="007744C2">
        <w:tab/>
        <w:t>El artículo 16, párrafo 3, del Protocolo Facultativo de la Convención contra la Tortura y Otros Tratos o Penas Crueles, Inhumanos o Degradantes dispone que el Subcomité para la Prevención de la Tortura y Otros Tratos o Penas Crueles, Inhumanos o Degradantes presentará un informe público anual sobre sus actividades al Comité contra la Tortura. En cumplimiento de esta disposición, el décimo informe anual, que abarca las actividades del Subcomité durante el período comprendido entre el 1 de enero y el 31 de diciembre de 2016, fue examinado y apr</w:t>
      </w:r>
      <w:r w:rsidR="006D69BE">
        <w:t>obado por el Subcomité en su 31</w:t>
      </w:r>
      <w:r w:rsidR="006D69BE" w:rsidRPr="006D69BE">
        <w:rPr>
          <w:vertAlign w:val="superscript"/>
        </w:rPr>
        <w:t>er</w:t>
      </w:r>
      <w:r w:rsidRPr="007744C2">
        <w:t xml:space="preserve"> período de sesiones y se presenta al Comité contra la Tortura en su 60º período de sesiones.</w:t>
      </w:r>
    </w:p>
    <w:p w:rsidR="007744C2" w:rsidRPr="007744C2" w:rsidRDefault="007744C2" w:rsidP="007744C2">
      <w:pPr>
        <w:pStyle w:val="HChG"/>
      </w:pPr>
      <w:r w:rsidRPr="007744C2">
        <w:tab/>
        <w:t>II.</w:t>
      </w:r>
      <w:r w:rsidRPr="007744C2">
        <w:tab/>
        <w:t>El año objeto de examen</w:t>
      </w:r>
    </w:p>
    <w:p w:rsidR="007744C2" w:rsidRPr="007744C2" w:rsidRDefault="007744C2" w:rsidP="007744C2">
      <w:pPr>
        <w:pStyle w:val="H1G"/>
      </w:pPr>
      <w:r w:rsidRPr="007744C2">
        <w:tab/>
        <w:t>A.</w:t>
      </w:r>
      <w:r w:rsidRPr="007744C2">
        <w:tab/>
        <w:t>Participación en el sistema del Protocolo Facultativo</w:t>
      </w:r>
    </w:p>
    <w:p w:rsidR="007744C2" w:rsidRPr="007744C2" w:rsidRDefault="007744C2" w:rsidP="007744C2">
      <w:pPr>
        <w:pStyle w:val="SingleTxtG"/>
      </w:pPr>
      <w:r w:rsidRPr="007744C2">
        <w:t>2.</w:t>
      </w:r>
      <w:r w:rsidRPr="007744C2">
        <w:tab/>
        <w:t xml:space="preserve">Al 31 de diciembre de 2016 había 83 Estados partes en el Protocolo Facultativo. En 2016 ratificaron el instrumento o se adhirieron a él tres Estados: Cabo Verde (1 de abril), Ghana (23 de septiembre) y República Centroafricana (11 de octubre). </w:t>
      </w:r>
    </w:p>
    <w:p w:rsidR="007744C2" w:rsidRPr="007744C2" w:rsidRDefault="007744C2" w:rsidP="007744C2">
      <w:pPr>
        <w:pStyle w:val="SingleTxtG"/>
      </w:pPr>
      <w:r w:rsidRPr="007744C2">
        <w:t>3.</w:t>
      </w:r>
      <w:r w:rsidRPr="007744C2">
        <w:tab/>
        <w:t>El esquema de la participación regional quedó como sigue:</w:t>
      </w:r>
    </w:p>
    <w:p w:rsidR="007744C2" w:rsidRPr="007744C2" w:rsidRDefault="007744C2" w:rsidP="007744C2">
      <w:pPr>
        <w:pStyle w:val="SingleTxtG"/>
        <w:tabs>
          <w:tab w:val="left" w:pos="5558"/>
        </w:tabs>
        <w:ind w:left="1701"/>
      </w:pPr>
      <w:r w:rsidRPr="007744C2">
        <w:t>Estados de África</w:t>
      </w:r>
      <w:r w:rsidRPr="007744C2">
        <w:tab/>
        <w:t>21</w:t>
      </w:r>
    </w:p>
    <w:p w:rsidR="007744C2" w:rsidRPr="007744C2" w:rsidRDefault="007744C2" w:rsidP="007744C2">
      <w:pPr>
        <w:pStyle w:val="SingleTxtG"/>
        <w:tabs>
          <w:tab w:val="left" w:pos="5558"/>
        </w:tabs>
        <w:ind w:left="1701"/>
      </w:pPr>
      <w:r w:rsidRPr="007744C2">
        <w:t>Estados de Asia y el Pacífico</w:t>
      </w:r>
      <w:r w:rsidRPr="007744C2">
        <w:tab/>
      </w:r>
      <w:r w:rsidR="006D69BE">
        <w:tab/>
      </w:r>
      <w:r w:rsidRPr="007744C2">
        <w:t>9</w:t>
      </w:r>
    </w:p>
    <w:p w:rsidR="007744C2" w:rsidRPr="007744C2" w:rsidRDefault="007744C2" w:rsidP="007744C2">
      <w:pPr>
        <w:pStyle w:val="SingleTxtG"/>
        <w:tabs>
          <w:tab w:val="left" w:pos="5558"/>
        </w:tabs>
        <w:ind w:left="1701"/>
      </w:pPr>
      <w:r w:rsidRPr="007744C2">
        <w:t>Estados de Europa Oriental</w:t>
      </w:r>
      <w:r w:rsidRPr="007744C2">
        <w:tab/>
        <w:t>19</w:t>
      </w:r>
    </w:p>
    <w:p w:rsidR="007744C2" w:rsidRPr="007744C2" w:rsidRDefault="007744C2" w:rsidP="007744C2">
      <w:pPr>
        <w:pStyle w:val="SingleTxtG"/>
        <w:tabs>
          <w:tab w:val="left" w:pos="5558"/>
        </w:tabs>
        <w:ind w:left="1701"/>
      </w:pPr>
      <w:r w:rsidRPr="007744C2">
        <w:t>Estados de América Latina y el Caribe</w:t>
      </w:r>
      <w:r w:rsidRPr="007744C2">
        <w:tab/>
        <w:t>15</w:t>
      </w:r>
    </w:p>
    <w:p w:rsidR="007744C2" w:rsidRPr="007744C2" w:rsidRDefault="007744C2" w:rsidP="007744C2">
      <w:pPr>
        <w:pStyle w:val="SingleTxtG"/>
        <w:tabs>
          <w:tab w:val="left" w:pos="4886"/>
          <w:tab w:val="left" w:pos="5558"/>
        </w:tabs>
        <w:ind w:left="1701"/>
      </w:pPr>
      <w:r w:rsidRPr="007744C2">
        <w:t>Estados de Europa Occidental y otros Estados</w:t>
      </w:r>
      <w:r>
        <w:tab/>
      </w:r>
      <w:r w:rsidRPr="007744C2">
        <w:t>19</w:t>
      </w:r>
    </w:p>
    <w:p w:rsidR="007744C2" w:rsidRPr="007744C2" w:rsidRDefault="007744C2" w:rsidP="007744C2">
      <w:pPr>
        <w:pStyle w:val="SingleTxtG"/>
      </w:pPr>
      <w:r w:rsidRPr="007744C2">
        <w:t>4.</w:t>
      </w:r>
      <w:r w:rsidRPr="007744C2">
        <w:tab/>
        <w:t>La distribución por regiones de los 16 Estados signatarios es la siguiente:</w:t>
      </w:r>
    </w:p>
    <w:p w:rsidR="007744C2" w:rsidRPr="007744C2" w:rsidRDefault="007744C2" w:rsidP="007744C2">
      <w:pPr>
        <w:pStyle w:val="SingleTxtG"/>
        <w:tabs>
          <w:tab w:val="left" w:pos="5558"/>
        </w:tabs>
        <w:ind w:left="1701"/>
      </w:pPr>
      <w:r w:rsidRPr="007744C2">
        <w:t>Estados de África</w:t>
      </w:r>
      <w:r w:rsidRPr="007744C2">
        <w:tab/>
        <w:t>10</w:t>
      </w:r>
    </w:p>
    <w:p w:rsidR="007744C2" w:rsidRPr="007744C2" w:rsidRDefault="007744C2" w:rsidP="007744C2">
      <w:pPr>
        <w:pStyle w:val="SingleTxtG"/>
        <w:tabs>
          <w:tab w:val="left" w:pos="5558"/>
        </w:tabs>
        <w:ind w:left="1701"/>
      </w:pPr>
      <w:r w:rsidRPr="007744C2">
        <w:t>Estados de Asia y el Pacífico</w:t>
      </w:r>
      <w:r w:rsidRPr="007744C2">
        <w:tab/>
      </w:r>
      <w:r w:rsidR="006D69BE">
        <w:tab/>
      </w:r>
      <w:r w:rsidRPr="007744C2">
        <w:t>1</w:t>
      </w:r>
    </w:p>
    <w:p w:rsidR="007744C2" w:rsidRPr="007744C2" w:rsidRDefault="007744C2" w:rsidP="007744C2">
      <w:pPr>
        <w:pStyle w:val="SingleTxtG"/>
        <w:ind w:left="1701"/>
      </w:pPr>
      <w:r w:rsidRPr="007744C2">
        <w:t>Estados de Europa Oriental</w:t>
      </w:r>
      <w:r w:rsidRPr="007744C2">
        <w:tab/>
      </w:r>
      <w:r w:rsidR="006D69BE">
        <w:tab/>
      </w:r>
      <w:r w:rsidR="006D69BE">
        <w:tab/>
      </w:r>
      <w:r w:rsidR="006D69BE">
        <w:tab/>
      </w:r>
      <w:r w:rsidRPr="007744C2">
        <w:t>0</w:t>
      </w:r>
    </w:p>
    <w:p w:rsidR="007744C2" w:rsidRPr="007744C2" w:rsidRDefault="007744C2" w:rsidP="007744C2">
      <w:pPr>
        <w:pStyle w:val="SingleTxtG"/>
        <w:tabs>
          <w:tab w:val="left" w:pos="5558"/>
        </w:tabs>
        <w:ind w:left="1701"/>
      </w:pPr>
      <w:r w:rsidRPr="007744C2">
        <w:t>Estados de América Latina y el Caribe</w:t>
      </w:r>
      <w:r w:rsidRPr="007744C2">
        <w:tab/>
      </w:r>
      <w:r w:rsidR="006D69BE">
        <w:tab/>
      </w:r>
      <w:r w:rsidRPr="007744C2">
        <w:t>1</w:t>
      </w:r>
    </w:p>
    <w:p w:rsidR="007744C2" w:rsidRPr="007744C2" w:rsidRDefault="007744C2" w:rsidP="007744C2">
      <w:pPr>
        <w:pStyle w:val="SingleTxtG"/>
        <w:tabs>
          <w:tab w:val="left" w:pos="5558"/>
        </w:tabs>
        <w:ind w:left="1701"/>
      </w:pPr>
      <w:r w:rsidRPr="007744C2">
        <w:t>Estados de Europa Occidental y otros Estados</w:t>
      </w:r>
      <w:r w:rsidR="006D69BE">
        <w:tab/>
      </w:r>
      <w:r w:rsidRPr="007744C2">
        <w:tab/>
        <w:t>4</w:t>
      </w:r>
    </w:p>
    <w:p w:rsidR="007744C2" w:rsidRPr="007744C2" w:rsidRDefault="007744C2" w:rsidP="007744C2">
      <w:pPr>
        <w:pStyle w:val="H1G"/>
      </w:pPr>
      <w:r w:rsidRPr="007744C2">
        <w:tab/>
        <w:t>B.</w:t>
      </w:r>
      <w:r w:rsidRPr="007744C2">
        <w:tab/>
        <w:t>Cuestiones de organización y de composición</w:t>
      </w:r>
    </w:p>
    <w:p w:rsidR="007744C2" w:rsidRPr="007744C2" w:rsidRDefault="007744C2" w:rsidP="007744C2">
      <w:pPr>
        <w:pStyle w:val="SingleTxtG"/>
      </w:pPr>
      <w:r w:rsidRPr="007744C2">
        <w:t>5.</w:t>
      </w:r>
      <w:r w:rsidRPr="007744C2">
        <w:tab/>
        <w:t>Durante el período que abarca el informe, el Subcomité celebró tres períodos de sesiones de una semana de duración en Ginebra: el 28º período de sesiones (15 a 19 de febrero), el 29º período de sesiones (13 a 17 de junio) y el 30º período de sesiones (14 a 18 de noviembre).</w:t>
      </w:r>
    </w:p>
    <w:p w:rsidR="007744C2" w:rsidRPr="007744C2" w:rsidRDefault="007744C2" w:rsidP="007744C2">
      <w:pPr>
        <w:pStyle w:val="SingleTxtG"/>
      </w:pPr>
      <w:r w:rsidRPr="007744C2">
        <w:t>6.</w:t>
      </w:r>
      <w:r w:rsidRPr="007744C2">
        <w:tab/>
        <w:t xml:space="preserve">En la sexta Reunión de los Estados Partes en el Protocolo Facultativo, celebrada el 27 de octubre de 2016, fueron elegidos 12 miembros para sustituir a aquellos cuyo mandato finalizaba el 31 de diciembre de ese año. El mandato de los miembros de nueva elección comenzó el 1 de enero de 2017 y expirará el 31 de diciembre de 2020. </w:t>
      </w:r>
    </w:p>
    <w:p w:rsidR="007744C2" w:rsidRPr="007744C2" w:rsidRDefault="007744C2" w:rsidP="007744C2">
      <w:pPr>
        <w:pStyle w:val="SingleTxtG"/>
      </w:pPr>
      <w:r w:rsidRPr="007744C2">
        <w:t>7.</w:t>
      </w:r>
      <w:r w:rsidRPr="007744C2">
        <w:tab/>
        <w:t>La composición del Subcomité no sufrió modificaciones a lo largo del año. Todos los miembros asistieron a todos los períodos de sesiones, con excepción de Dame Lowell Goddard y Aneta Stanchevska que, por motivos personales, no asistieron al 30º período de sesiones.</w:t>
      </w:r>
    </w:p>
    <w:p w:rsidR="007744C2" w:rsidRPr="007744C2" w:rsidRDefault="007744C2" w:rsidP="007744C2">
      <w:pPr>
        <w:pStyle w:val="SingleTxtG"/>
      </w:pPr>
      <w:r w:rsidRPr="007744C2">
        <w:t>8.</w:t>
      </w:r>
      <w:r w:rsidRPr="007744C2">
        <w:tab/>
        <w:t>La Mesa del Subcomité, cuyo mandato dura hasta el 31</w:t>
      </w:r>
      <w:r w:rsidRPr="007744C2">
        <w:rPr>
          <w:vertAlign w:val="superscript"/>
        </w:rPr>
        <w:t>er</w:t>
      </w:r>
      <w:r w:rsidRPr="007744C2">
        <w:t xml:space="preserve"> período de sesiones (febrero de 2017), no experimentó cambios. El Presidente fue Sir Malcolm Evans. Los Vicepresidentes fueron: Enrique Andrés Font, Visitas; Suzanne Jabbour, Relaciones </w:t>
      </w:r>
      <w:r w:rsidRPr="007744C2">
        <w:lastRenderedPageBreak/>
        <w:t>Exteriores; Paul Lam Shang Leen, Mecanismos Nacionales de Prevención, y Aisha Shujune Muhammad, Jurisprudencia y Relatora del Subcomité.</w:t>
      </w:r>
    </w:p>
    <w:p w:rsidR="007744C2" w:rsidRPr="007744C2" w:rsidRDefault="007744C2" w:rsidP="007744C2">
      <w:pPr>
        <w:pStyle w:val="SingleTxtG"/>
      </w:pPr>
      <w:r w:rsidRPr="007744C2">
        <w:t>9.</w:t>
      </w:r>
      <w:r w:rsidRPr="007744C2">
        <w:tab/>
        <w:t xml:space="preserve">Los jefes de los equipos regionales se mantuvieron sin cambios: África, Hans-Jörg Bannwart; Asia y el Pacífico, Dame Lowell Goddard (en el 30º período de sesiones, June Caridad Pagaduan Lopez actuó como jefa interina); Europa, Mari Amos, y América Latina, Felipe Villavicencio Terreros. Los equipos regionales se ocupan de examinar la aplicación del Protocolo Facultativo en su región, presentando sus informes al pleno del Subcomité con las recomendaciones oportunas. </w:t>
      </w:r>
    </w:p>
    <w:p w:rsidR="007744C2" w:rsidRPr="007744C2" w:rsidRDefault="007744C2" w:rsidP="007744C2">
      <w:pPr>
        <w:pStyle w:val="SingleTxtG"/>
      </w:pPr>
      <w:r w:rsidRPr="007744C2">
        <w:t>10.</w:t>
      </w:r>
      <w:r w:rsidRPr="007744C2">
        <w:tab/>
        <w:t>Los grupos de trabajo permanentes y especiales del Subcomité celebraron reuniones en cada uno de los períodos de sesiones de 2016. En la sección IV del presente informe se facilita más información sobre esas reuniones. Las reuniones en subgrupos y grupos de trabajo permiten debatir sobre cuestiones muy diversas de manera específica y participativa.</w:t>
      </w:r>
    </w:p>
    <w:p w:rsidR="007744C2" w:rsidRPr="007744C2" w:rsidRDefault="007744C2" w:rsidP="007744C2">
      <w:pPr>
        <w:pStyle w:val="SingleTxtG"/>
      </w:pPr>
      <w:r w:rsidRPr="007744C2">
        <w:t>11.</w:t>
      </w:r>
      <w:r w:rsidRPr="007744C2">
        <w:tab/>
        <w:t>En su 28º período de sesiones el Subcomité se reunió con representantes de la Iniciativa sobre la Convención contra la Tortura, fue informado por la Omega Research Foundation sobre la importancia de documentar el equipo utilizado en los lugares de detención, y se reunió con representantes de Defensa de Niñas y Niños Internacional, que le presentaron su guía práctica para el control de los lugares donde hay niños privados de libertad.</w:t>
      </w:r>
    </w:p>
    <w:p w:rsidR="007744C2" w:rsidRPr="007744C2" w:rsidRDefault="007744C2" w:rsidP="007744C2">
      <w:pPr>
        <w:pStyle w:val="SingleTxtG"/>
      </w:pPr>
      <w:r w:rsidRPr="007744C2">
        <w:t>12.</w:t>
      </w:r>
      <w:r w:rsidRPr="007744C2">
        <w:tab/>
        <w:t xml:space="preserve">En el 29º período de sesiones el Subcomité celebró una reunión oficiosa con los Estados partes y signatarios del Protocolo Facultativo. Asistieron a la reunión 27 Estados: Argentina, Bélgica, Brasil, Burkina Faso, Chequia, Chile, Costa Rica, Dinamarca, Ecuador, Estonia, Filipinas, Francia, Ghana, Guatemala, Honduras, Lituania, Maldivas, Marruecos, México, Nicaragua, Nueva Zelandia, Panamá, Perú, Polonia, Reino Unido de Gran Bretaña e Irlanda del Norte, República de Moldova y Suiza. El Subcomité fue informado en sesión plenaria sobre los objetivos y las perspectivas de una propuesta de iniciativa denominada </w:t>
      </w:r>
      <w:r>
        <w:t>“</w:t>
      </w:r>
      <w:r w:rsidRPr="007744C2">
        <w:t>proyecto de Grenoble</w:t>
      </w:r>
      <w:r>
        <w:t>”</w:t>
      </w:r>
      <w:r w:rsidRPr="007744C2">
        <w:t>.</w:t>
      </w:r>
    </w:p>
    <w:p w:rsidR="007744C2" w:rsidRPr="007744C2" w:rsidRDefault="007744C2" w:rsidP="007744C2">
      <w:pPr>
        <w:pStyle w:val="SingleTxtG"/>
      </w:pPr>
      <w:r w:rsidRPr="007744C2">
        <w:t>13.</w:t>
      </w:r>
      <w:r w:rsidRPr="007744C2">
        <w:tab/>
        <w:t>En el 30º período de sesiones el Subcomité celebró una reunión conjunta en sesión plenaria con el Comité contra la Tortura a fin de debatir las Reglas Mínimas de las Naciones Unidas para el Tratamiento de los Reclusos (Reglas Nelson Mandela), junto con Penal Reform International y la Asociación para la Prevención de la Tortura.</w:t>
      </w:r>
    </w:p>
    <w:p w:rsidR="007744C2" w:rsidRPr="007744C2" w:rsidRDefault="007744C2" w:rsidP="007744C2">
      <w:pPr>
        <w:pStyle w:val="SingleTxtG"/>
      </w:pPr>
      <w:r w:rsidRPr="007744C2">
        <w:t xml:space="preserve">14. </w:t>
      </w:r>
      <w:r w:rsidRPr="007744C2">
        <w:tab/>
        <w:t>Durante su 30º período de sesiones, el 17 de noviembre, el Subcomité celebró una conferencia para conmemorar el décimo aniversario de la entrada en vigor del Protocolo Facultativo. El acto reunió a muy diversas partes interesadas, incluidos Estados partes y otros Estados Miembros de las Naciones Unidas, mecanismos nacionales de prevención, mecanismos de las Naciones Unidas y otros órganos intergubernamentales, organizaciones no gubernamentales, antiguos miembros del Subcomité, estudiosos y otros interesados en el Protocolo Facultativo y en la prevención de la tortura y los malos tratos (véase el párr. 53).</w:t>
      </w:r>
    </w:p>
    <w:p w:rsidR="007744C2" w:rsidRPr="007744C2" w:rsidRDefault="007744C2" w:rsidP="007744C2">
      <w:pPr>
        <w:pStyle w:val="H1G"/>
      </w:pPr>
      <w:r w:rsidRPr="007744C2">
        <w:tab/>
        <w:t>C.</w:t>
      </w:r>
      <w:r w:rsidRPr="007744C2">
        <w:tab/>
        <w:t>Visitas realizadas durante el período que se examina</w:t>
      </w:r>
    </w:p>
    <w:p w:rsidR="007744C2" w:rsidRPr="007744C2" w:rsidRDefault="007744C2" w:rsidP="007744C2">
      <w:pPr>
        <w:pStyle w:val="SingleTxtG"/>
      </w:pPr>
      <w:r w:rsidRPr="007744C2">
        <w:t>15.</w:t>
      </w:r>
      <w:r w:rsidRPr="007744C2">
        <w:tab/>
        <w:t xml:space="preserve">En su 29º período de sesiones, el Subcomité confirmó el nuevo enfoque respecto de las visitas aprobado en su 26º período de sesiones, con arreglo al cual, con el fin de incrementar al máximo su potencial de prevención, las visitas no se limitarían a un único aspecto de la prevención, sino que abarcarían todas aquellas cuestiones que el Subcomité juzgara oportuno abordar. No obstante, se mantendría la práctica de destacar determinados objetivos para cada visita a fin de reflejar aquello que se considerase más apropiado según las circunstancias particulares de cada una. En los períodos de sesiones 29º y 30º el Subcomité realizó su planificación estratégica aplicando ese enfoque. </w:t>
      </w:r>
    </w:p>
    <w:p w:rsidR="007744C2" w:rsidRPr="007744C2" w:rsidRDefault="007744C2" w:rsidP="007744C2">
      <w:pPr>
        <w:pStyle w:val="SingleTxtG"/>
      </w:pPr>
      <w:r w:rsidRPr="007744C2">
        <w:t>16.</w:t>
      </w:r>
      <w:r w:rsidRPr="007744C2">
        <w:tab/>
        <w:t xml:space="preserve">En 2016 el Subcomité realizó diez visitas oficiales de conformidad con el mandato que le confieren los artículos 11, 12 y 13 del Protocolo Facultativo: Benin (11 a 15 de enero), Chipre (25 a 29 de enero), Chile (4 a 13 de abril), Túnez (12 a 14 de abril), Rumania (3 a 12 de mayo), Ucrania (19 a 26 de mayo, aunque se suspendió el 25 de mayo y se reanudó del 5 al 9 de septiembre), Mozambique (5 a 9 de septiembre), Kazajstán (20 a 29 de septiembre), Mauritania (24 a 28 de octubre) y México (12 a 21 de diciembre). </w:t>
      </w:r>
    </w:p>
    <w:p w:rsidR="007744C2" w:rsidRPr="007744C2" w:rsidRDefault="007744C2" w:rsidP="007744C2">
      <w:pPr>
        <w:pStyle w:val="SingleTxtG"/>
      </w:pPr>
      <w:r w:rsidRPr="007744C2">
        <w:lastRenderedPageBreak/>
        <w:t>17.</w:t>
      </w:r>
      <w:r w:rsidRPr="007744C2">
        <w:tab/>
        <w:t xml:space="preserve">El Subcomité suspendió su visita a Ucrania el 25 de mayo después de que se le denegara el acceso a los lugares de detención de varias partes del país en los que sospechaba que había personas privadas de libertad por el Servicio de Seguridad y a pesar de sus repetidos intentos de acceder a ellos. Ante la gravedad de esa violación del Protocolo Facultativo, la delegación consideró, en consulta con la Mesa del Subcomité y de conformidad con la práctica establecida, que la integridad de su visita se veía amenazada hasta tal punto que era preciso suspenderla. </w:t>
      </w:r>
    </w:p>
    <w:p w:rsidR="007744C2" w:rsidRPr="007744C2" w:rsidRDefault="007744C2" w:rsidP="007744C2">
      <w:pPr>
        <w:pStyle w:val="SingleTxtG"/>
      </w:pPr>
      <w:r w:rsidRPr="007744C2">
        <w:t>18.</w:t>
      </w:r>
      <w:r w:rsidRPr="007744C2">
        <w:tab/>
        <w:t xml:space="preserve">La visita se reanudó y concluyó después de que el Subcomité recibiera suficientes garantías oficiales del Estado parte como para permitirle entender que la delegación tendría acceso a todos los lugares en los que pudiera haber personas privadas de libertad, conforme a su mandato en virtud del artículo 11 a) del Protocolo Facultativo; en ello se refleja su práctica establecida de acuerdo con el párrafo 3 de la declaración sobre las obligaciones de los Estados partes de facilitar las visitas del Subcomité (CAT/OP/24/1). </w:t>
      </w:r>
    </w:p>
    <w:p w:rsidR="007744C2" w:rsidRPr="007744C2" w:rsidRDefault="007744C2" w:rsidP="007744C2">
      <w:pPr>
        <w:pStyle w:val="SingleTxtG"/>
      </w:pPr>
      <w:r w:rsidRPr="007744C2">
        <w:t>19.</w:t>
      </w:r>
      <w:r w:rsidRPr="007744C2">
        <w:tab/>
        <w:t>Se puede consultar información adicional sobre esas visitas en los comunicados de prensa publicados tras cada una de ellas.</w:t>
      </w:r>
    </w:p>
    <w:p w:rsidR="007744C2" w:rsidRPr="007744C2" w:rsidRDefault="007744C2" w:rsidP="007744C2">
      <w:pPr>
        <w:pStyle w:val="H1G"/>
      </w:pPr>
      <w:r w:rsidRPr="007744C2">
        <w:tab/>
        <w:t>D.</w:t>
      </w:r>
      <w:r w:rsidRPr="007744C2">
        <w:tab/>
        <w:t xml:space="preserve">Diálogo resultante de las visitas, incluida la publicación de los </w:t>
      </w:r>
      <w:r>
        <w:br/>
      </w:r>
      <w:r w:rsidRPr="007744C2">
        <w:t>informes del Subcomité por los Estados partes y los mecanismos nacionales de prevención</w:t>
      </w:r>
    </w:p>
    <w:p w:rsidR="007744C2" w:rsidRPr="007744C2" w:rsidRDefault="007744C2" w:rsidP="007744C2">
      <w:pPr>
        <w:pStyle w:val="SingleTxtG"/>
      </w:pPr>
      <w:r w:rsidRPr="007744C2">
        <w:t>20.</w:t>
      </w:r>
      <w:r w:rsidRPr="007744C2">
        <w:tab/>
        <w:t xml:space="preserve">Los aspectos sustantivos del diálogo resultante de las visitas son confidenciales. Los informes solo se hacen públicos con el consentimiento del receptor. Al final de 2016, el Subcomité había transmitido un total de 51 informes sobre visitas a Estados partes y mecanismos nacionales de prevención, incluidos 12 sobre visitas realizadas durante el período que se examina: Azerbaiyán, Benin, Brasil, Chile, Filipinas, Guatemala, Italia, Nicaragua, Países Bajos (Estado parte y mecanismo nacional de prevención) y Turquía (Estado parte y mecanismo nacional de prevención). Se han hecho públicos un total de 24 informes de visitas, a raíz de las solicitudes de los Estados </w:t>
      </w:r>
      <w:r w:rsidR="006D69BE" w:rsidRPr="007744C2">
        <w:t xml:space="preserve">partes </w:t>
      </w:r>
      <w:r w:rsidRPr="007744C2">
        <w:t>o los mecanismos nacionales de prevención de conformidad con el artículo 16, párrafo 2, del Protocolo Facultativo, entre ellas dos en 2016, a saber, los informes dirigidos al Estado parte sobre la visita a los Países Bajos y sobre la visita a Italia. Aunque respeta plenamente el principio y el derecho de confidencialidad previstos en el Protocolo Facultativo, el Subcomité opina que la publicación de los informes sobre sus visitas refleja el espíritu de transparencia en el que se basan las visitas preventivas y favorece una mejor aplicación de las recomendaciones respectivas; por lo tanto, alienta a los receptores de los informes a que autoricen su publicación.</w:t>
      </w:r>
    </w:p>
    <w:p w:rsidR="007744C2" w:rsidRPr="007744C2" w:rsidRDefault="007744C2" w:rsidP="007744C2">
      <w:pPr>
        <w:pStyle w:val="SingleTxtG"/>
      </w:pPr>
      <w:r w:rsidRPr="007744C2">
        <w:t>21.</w:t>
      </w:r>
      <w:r w:rsidRPr="007744C2">
        <w:tab/>
        <w:t xml:space="preserve">De conformidad con la práctica establecida, se pide a los receptores de los informes que, en el plazo de seis meses desde su transmisión, faciliten por escrito una respuesta en la que expliquen detalladamente las medidas adoptadas para aplicar las recomendaciones que figuren en ellos. Durante el período que se examina, el Subcomité recibió respuestas a sus informes de Chile, Filipinas, Kirguistán, Italia y Nicaragua. El Subcomité considera que se ha producido un retraso en la respuesta de los siguientes Estados partes: Camboya (dos informes), Ecuador, Honduras, Liberia, Maldivas (dos informes), Malí, Nauru, Nigeria, Perú, República de Moldova, Senegal y Togo. Además, considera que se han retrasado las respuestas de los mecanismos nacionales de prevención de los siguientes Estados partes: Honduras, Países Bajos y República de Moldova. </w:t>
      </w:r>
    </w:p>
    <w:p w:rsidR="007744C2" w:rsidRPr="007744C2" w:rsidRDefault="007744C2" w:rsidP="007744C2">
      <w:pPr>
        <w:pStyle w:val="SingleTxtG"/>
      </w:pPr>
      <w:r w:rsidRPr="007744C2">
        <w:t>22.</w:t>
      </w:r>
      <w:r w:rsidRPr="007744C2">
        <w:tab/>
        <w:t xml:space="preserve">Durante el período sobre el que se informa el Subcomité celebró por adelantado reuniones preparatorias con todos los Estados partes a los que se habían programado visitas y, de acuerdo con la práctica establecida, invitó a reunirse con él en el siguiente período de sesiones a todos los Estados partes que había visitado a fin de examinar la mejor forma de promover el diálogo resultante. </w:t>
      </w:r>
    </w:p>
    <w:p w:rsidR="007744C2" w:rsidRPr="007744C2" w:rsidRDefault="007744C2" w:rsidP="007744C2">
      <w:pPr>
        <w:pStyle w:val="H1G"/>
      </w:pPr>
      <w:r w:rsidRPr="007744C2">
        <w:lastRenderedPageBreak/>
        <w:tab/>
        <w:t>E.</w:t>
      </w:r>
      <w:r w:rsidRPr="007744C2">
        <w:tab/>
        <w:t>Novedades con respecto a los mecanismos nacionales de prevención</w:t>
      </w:r>
    </w:p>
    <w:p w:rsidR="007744C2" w:rsidRPr="007744C2" w:rsidRDefault="007744C2" w:rsidP="007744C2">
      <w:pPr>
        <w:pStyle w:val="SingleTxtG"/>
      </w:pPr>
      <w:r w:rsidRPr="007744C2">
        <w:t>23.</w:t>
      </w:r>
      <w:r w:rsidRPr="007744C2">
        <w:tab/>
        <w:t>De los 83 Estados partes en el Protocolo Facultativo, 57 han notificado oficialmente al Subcomité la designación de sus mecanismos nacionales de prevención; en el sitio web del Subcomité figura la información al respecto.</w:t>
      </w:r>
    </w:p>
    <w:p w:rsidR="007744C2" w:rsidRPr="007744C2" w:rsidRDefault="007744C2" w:rsidP="007744C2">
      <w:pPr>
        <w:pStyle w:val="SingleTxtG"/>
      </w:pPr>
      <w:r w:rsidRPr="007744C2">
        <w:t>24.</w:t>
      </w:r>
      <w:r w:rsidRPr="007744C2">
        <w:tab/>
        <w:t xml:space="preserve">En 2016 el Subcomité no recibió ninguna nueva notificación oficial sobre la designación de mecanismos nacionales de prevención. A finales de 2016, el plazo de un año para la designación de un mecanismo nacional de prevención que establece el artículo 17 del Protocolo Facultativo no había expirado aún en el caso de tres Estados partes: Cabo Verde, Ghana y República Centroafricana. </w:t>
      </w:r>
    </w:p>
    <w:p w:rsidR="007744C2" w:rsidRPr="007744C2" w:rsidRDefault="007744C2" w:rsidP="007744C2">
      <w:pPr>
        <w:pStyle w:val="SingleTxtG"/>
      </w:pPr>
      <w:r w:rsidRPr="007744C2">
        <w:t>25.</w:t>
      </w:r>
      <w:r w:rsidRPr="007744C2">
        <w:tab/>
        <w:t xml:space="preserve">Al 31 de diciembre de 2016, 23 Estados partes no habían cumplido sus obligaciones dimanantes del artículo 17 del Protocolo Facultativo. Se trata de un motivo de grave preocupación para el Subcomité, especialmente porque sigue pareciendo que algunos Estados partes avanzan poco en el cumplimiento de sus obligaciones. En cada uno de los períodos de sesiones del Subcomité, los equipos regionales evalúan en qué medida ha progresado cada Estado parte en el cumplimiento de sus obligaciones y formulan al pleno las recomendaciones pertinentes sobre el modo en que el Subcomité puede aconsejar y asesorar mejor a los Estados partes interesados, de conformidad con el mandato que le confiere el artículo 11 b) i) del Protocolo Facultativo. </w:t>
      </w:r>
    </w:p>
    <w:p w:rsidR="007744C2" w:rsidRPr="007744C2" w:rsidRDefault="007744C2" w:rsidP="007744C2">
      <w:pPr>
        <w:pStyle w:val="SingleTxtG"/>
      </w:pPr>
      <w:r w:rsidRPr="007744C2">
        <w:t>26.</w:t>
      </w:r>
      <w:r w:rsidRPr="007744C2">
        <w:tab/>
        <w:t>En su 27º período de sesiones, el Subcomité decidió identificar a los Estados partes que parecían estar haciendo escasos progresos reales en el establecimiento de sus mecanismos nacionales de prevención. En su 28º período de sesiones, con miras a hacer públicas sus preocupaciones, el SPT recabó información de los siguientes Estados partes sobre las medidas que estaban adoptando para establecer sus respectivos mecanismos nacionales de prevención: Argentina, Benin, Bosnia y Herzegovina, Burkina Faso, Camboya, Chile, Gabón, Líbano, Liberia, Nigeria, Panamá y República Democrática del Congo.</w:t>
      </w:r>
    </w:p>
    <w:p w:rsidR="007744C2" w:rsidRPr="007744C2" w:rsidRDefault="007744C2" w:rsidP="007744C2">
      <w:pPr>
        <w:pStyle w:val="SingleTxtG"/>
      </w:pPr>
      <w:r w:rsidRPr="007744C2">
        <w:t>27.</w:t>
      </w:r>
      <w:r w:rsidRPr="007744C2">
        <w:tab/>
        <w:t>En su 29º período de sesiones, y después de analizar las respuestas recibidas, el Subcomité determinó que los siguientes Estados partes presentaban un retraso de más de tres años en la designación de un mecanismo nacional de prevención: Argentina, Benin, Burkina Faso, Camboya, Chile, Gabón, Líbano, Liberia, Nigeria, Panamá y República Democrática del Congo. Decidió hacer pública esa decisión (CAT/OP/29/1) y publicar la lista en su sitio web</w:t>
      </w:r>
      <w:r w:rsidRPr="007744C2">
        <w:rPr>
          <w:vertAlign w:val="superscript"/>
        </w:rPr>
        <w:footnoteReference w:id="2"/>
      </w:r>
      <w:r w:rsidR="006D69BE">
        <w:t>.</w:t>
      </w:r>
      <w:r w:rsidRPr="007744C2">
        <w:t xml:space="preserve"> En su 30º período de sesiones y tras haber solicitado la información pertinente, el Subcomité añadió Nauru a la lista de esos Estados partes. Esa lista seguirá revisándose en cada período de sesiones del Subcomité. Los Estados que figuren en la lista por no haber cumplido sus obligaciones dimanantes del artículo 17 podrán ser retirados de ella una vez se haya recibido y comprobado la información relativa a la designación oficial de su mecanismo nacional de prevención.</w:t>
      </w:r>
    </w:p>
    <w:p w:rsidR="007744C2" w:rsidRPr="007744C2" w:rsidRDefault="007744C2" w:rsidP="007744C2">
      <w:pPr>
        <w:pStyle w:val="SingleTxtG"/>
      </w:pPr>
      <w:r w:rsidRPr="007744C2">
        <w:t>28.</w:t>
      </w:r>
      <w:r w:rsidRPr="007744C2">
        <w:tab/>
        <w:t>El Subcomité siguió dialogando con los Estados partes y signatarios durante sus períodos de sesiones acerca de la designación o el funcionamiento de los mecanismos nacionales de prevención. En sus períodos de sesiones 28º, 29º y 30º celebró reuniones con las Misiones Permanentes de Bolivia (Estado Plurinacional de), Bosnia y Herzegovina, Chile, Ghana, Nicaragua y la República de Moldova. Entre períodos de sesiones, la secretaría también se reunió con representantes de Nauru.</w:t>
      </w:r>
    </w:p>
    <w:p w:rsidR="007744C2" w:rsidRPr="007744C2" w:rsidRDefault="007744C2" w:rsidP="007744C2">
      <w:pPr>
        <w:pStyle w:val="SingleTxtG"/>
      </w:pPr>
      <w:r w:rsidRPr="007744C2">
        <w:t>29.</w:t>
      </w:r>
      <w:r w:rsidRPr="007744C2">
        <w:tab/>
        <w:t>En su 29º período de sesiones, el Subcomité celebró una reunión oficiosa con Estados partes y signatarios del Protocolo Facultativo, en la que los Estados partes recibieron información actualizada sobre las actividades recientes del Subcomité, debatieron sobre los métodos de trabajo del Subcomité, los recursos de este y el Fondo Especial establecido en virtud del Protocolo Facultativo, y examinaron la orientación futura de la labor del Subcomité.</w:t>
      </w:r>
    </w:p>
    <w:p w:rsidR="007744C2" w:rsidRPr="007744C2" w:rsidRDefault="007744C2" w:rsidP="007744C2">
      <w:pPr>
        <w:pStyle w:val="SingleTxtG"/>
      </w:pPr>
      <w:r w:rsidRPr="007744C2">
        <w:t>30.</w:t>
      </w:r>
      <w:r w:rsidRPr="007744C2">
        <w:tab/>
        <w:t>El Subcomité estableció y mantuvo contactos directos con los propios mecanismos nacionales de prevención, en cumplimiento del mandato e</w:t>
      </w:r>
      <w:r>
        <w:t>ncomendado en el artículo 11 b) </w:t>
      </w:r>
      <w:r w:rsidRPr="007744C2">
        <w:t xml:space="preserve">ii) del Protocolo Facultativo. Durante sus períodos de sesiones de 2016, el Subcomité se </w:t>
      </w:r>
      <w:r w:rsidRPr="007744C2">
        <w:lastRenderedPageBreak/>
        <w:t xml:space="preserve">reunió o mantuvo videoconferencias con los mecanismos nacionales de prevención del Ecuador, España, Grecia, Luxemburgo, Portugal, Rumania, Suiza y Ucrania. También se reunió con representantes de la Comisión de Derechos Humanos de Australia. </w:t>
      </w:r>
    </w:p>
    <w:p w:rsidR="007744C2" w:rsidRPr="007744C2" w:rsidRDefault="007744C2" w:rsidP="007744C2">
      <w:pPr>
        <w:pStyle w:val="SingleTxtG"/>
      </w:pPr>
      <w:r w:rsidRPr="007744C2">
        <w:t>31.</w:t>
      </w:r>
      <w:r w:rsidRPr="007744C2">
        <w:tab/>
        <w:t>El Subcomité y sus miembros han seguido recibiendo invitaciones para asistir a numerosas reuniones de ámbito nacional, regional e internacional relacionadas con la designación, el establecimiento y el desarrollo de mecanismos nacionales de prevención en particular y con el Protocolo Facultativo en general. El Subcomité expresa su agradecimiento a los organizadores de los eventos mencionados y de todos los demás a los que ha sido invitado. Lamenta que su participación dependa del apoyo financiero de terceros, ya que no dispone de una asignación presupuestaria con la que sufragar la asistencia de sus miembros.</w:t>
      </w:r>
    </w:p>
    <w:p w:rsidR="007744C2" w:rsidRPr="007744C2" w:rsidRDefault="007744C2" w:rsidP="007744C2">
      <w:pPr>
        <w:pStyle w:val="H1G"/>
      </w:pPr>
      <w:r w:rsidRPr="007744C2">
        <w:tab/>
        <w:t>F.</w:t>
      </w:r>
      <w:r w:rsidRPr="007744C2">
        <w:tab/>
        <w:t xml:space="preserve">Fondo Especial establecido en virtud del Protocolo Facultativo </w:t>
      </w:r>
    </w:p>
    <w:p w:rsidR="007744C2" w:rsidRPr="007744C2" w:rsidRDefault="007744C2" w:rsidP="007744C2">
      <w:pPr>
        <w:pStyle w:val="SingleTxtG"/>
      </w:pPr>
      <w:r w:rsidRPr="007744C2">
        <w:t>32.</w:t>
      </w:r>
      <w:r w:rsidRPr="007744C2">
        <w:tab/>
        <w:t>El apoyo prestado por conducto del Fondo Especial est</w:t>
      </w:r>
      <w:r>
        <w:t>ablecido en virtud del artículo </w:t>
      </w:r>
      <w:r w:rsidRPr="007744C2">
        <w:t xml:space="preserve">26, párrafo 1, del Protocolo Facultativo se destina a proyectos cuyo propósito es la creación o el fortalecimiento de los mecanismos nacionales de prevención, contribuyendo así a la aplicación de las recomendaciones pertinentes del Subcomité después de una visita a un Estado parte. En 2016 se concedieron subvenciones por valor de 240.000 dólares con cargo al Fondo para apoyar proyectos de prevención de la tortura en siete Estados partes. La convocatoria para la presentación de solicitudes para 2017 se cerró el 1 de marzo de 2017. En junio de 2017, el Subcomité ofrecerá asesoramiento estratégico al Alto Comisionado de las Naciones Unidas para los Derechos Humanos acerca de la selección de los nuevos proyectos a los que se concederán subvenciones. </w:t>
      </w:r>
    </w:p>
    <w:p w:rsidR="007744C2" w:rsidRPr="007744C2" w:rsidRDefault="007744C2" w:rsidP="007744C2">
      <w:pPr>
        <w:pStyle w:val="SingleTxtG"/>
      </w:pPr>
      <w:r w:rsidRPr="007744C2">
        <w:t>33.</w:t>
      </w:r>
      <w:r w:rsidRPr="007744C2">
        <w:tab/>
        <w:t>Preocupa al Subcomité la significativa escasez de recursos del Fondo. Celebra que a finales de 2016 se habían recibido contribuciones de</w:t>
      </w:r>
      <w:r w:rsidR="006D69BE">
        <w:t xml:space="preserve"> Alemania (220.000 dólares),</w:t>
      </w:r>
      <w:r w:rsidRPr="007744C2">
        <w:t xml:space="preserve"> la Argentina (10.000 dólares), Chequia (8.000 dólares), y España (39.000 dólares), lo que permite al Fondo seguir apoyando proyectos en materia de prevención de la tortura durante el ciclo de subvenciones de 2017-2018. Se requieren más contribuciones que permitan financiar la labor del Fondo Especial más allá de 2018. El Subcomité considera que el Fondo representa un instrumento esencial para aplicar sus recomendaciones sobre el terreno y con ello prevenir la tortura y los malos tratos, e insta a los Estados a que sigan prestando apoyo financiero al Fondo.</w:t>
      </w:r>
    </w:p>
    <w:p w:rsidR="007744C2" w:rsidRPr="007744C2" w:rsidRDefault="007744C2" w:rsidP="007744C2">
      <w:pPr>
        <w:pStyle w:val="HChG"/>
      </w:pPr>
      <w:r w:rsidRPr="007744C2">
        <w:tab/>
        <w:t>III.</w:t>
      </w:r>
      <w:r w:rsidRPr="007744C2">
        <w:tab/>
        <w:t>Cooperación con otros órganos en materia de prevención</w:t>
      </w:r>
      <w:r>
        <w:br/>
      </w:r>
      <w:r w:rsidRPr="007744C2">
        <w:t>de la tortura</w:t>
      </w:r>
    </w:p>
    <w:p w:rsidR="007744C2" w:rsidRPr="007744C2" w:rsidRDefault="007744C2" w:rsidP="007744C2">
      <w:pPr>
        <w:pStyle w:val="H1G"/>
      </w:pPr>
      <w:r w:rsidRPr="007744C2">
        <w:tab/>
        <w:t>A.</w:t>
      </w:r>
      <w:r w:rsidRPr="007744C2">
        <w:tab/>
        <w:t>Cooperación internacional</w:t>
      </w:r>
    </w:p>
    <w:p w:rsidR="007744C2" w:rsidRPr="007744C2" w:rsidRDefault="007744C2" w:rsidP="007744C2">
      <w:pPr>
        <w:pStyle w:val="H23G"/>
      </w:pPr>
      <w:r w:rsidRPr="007744C2">
        <w:tab/>
        <w:t>1.</w:t>
      </w:r>
      <w:r w:rsidRPr="007744C2">
        <w:tab/>
        <w:t>Cooperación con otros órganos de las Naciones Unidas</w:t>
      </w:r>
    </w:p>
    <w:p w:rsidR="007744C2" w:rsidRPr="007744C2" w:rsidRDefault="007744C2" w:rsidP="007744C2">
      <w:pPr>
        <w:pStyle w:val="SingleTxtG"/>
      </w:pPr>
      <w:r w:rsidRPr="007744C2">
        <w:t>34.</w:t>
      </w:r>
      <w:r w:rsidRPr="007744C2">
        <w:tab/>
        <w:t>El Presidente del Subcomité presentó el noveno informe anual de</w:t>
      </w:r>
      <w:r w:rsidR="006E5A45">
        <w:t>l Subcomité (CAT/C/57/4 y Corr.</w:t>
      </w:r>
      <w:r w:rsidRPr="007744C2">
        <w:t>1) en la sesión plenaria del Comité contra la Tortura celebrada el 28 de abril de 2016. El Subcomité y el Comité se reunieron en Ginebra el 16 de noviembre de 2016 para examinar conjuntamente cuestiones relativas a las Reglas Nelson Mandela, como se ha señalado en el párrafo 13.</w:t>
      </w:r>
    </w:p>
    <w:p w:rsidR="007744C2" w:rsidRPr="007744C2" w:rsidRDefault="007744C2" w:rsidP="007744C2">
      <w:pPr>
        <w:pStyle w:val="SingleTxtG"/>
      </w:pPr>
      <w:r w:rsidRPr="007744C2">
        <w:t>35.</w:t>
      </w:r>
      <w:r w:rsidRPr="007744C2">
        <w:tab/>
        <w:t xml:space="preserve">De conformidad con la resolución 70/146 de la Asamblea General y junto con el Presidente del Comité contra la Tortura y el Relator Especial sobre la tortura y otros tratos o penas crueles, inhumanos o degradantes, quienes presentaron sus respectivos informes, el Presidente del Subcomité presentó el noveno informe anual del Subcomité ante la Asamblea General en su septuagésimo período de sesiones, el 18 de octubre de 2016. </w:t>
      </w:r>
    </w:p>
    <w:p w:rsidR="007744C2" w:rsidRPr="007744C2" w:rsidRDefault="007744C2" w:rsidP="007744C2">
      <w:pPr>
        <w:pStyle w:val="SingleTxtG"/>
      </w:pPr>
      <w:r w:rsidRPr="007744C2">
        <w:t>36.</w:t>
      </w:r>
      <w:r w:rsidRPr="007744C2">
        <w:tab/>
        <w:t xml:space="preserve">Como continuación de la participación del Subcomité en las reuniones anuales de los presidentes de los órganos creados en virtud de tratados de derechos humanos, el Presidente del Subcomité participó en la 28ª reunión de los Presidentes, celebrada en Nueva York del 30 de mayo al 3 de junio de 2016. </w:t>
      </w:r>
    </w:p>
    <w:p w:rsidR="007744C2" w:rsidRPr="007744C2" w:rsidRDefault="007744C2" w:rsidP="007744C2">
      <w:pPr>
        <w:pStyle w:val="SingleTxtG"/>
      </w:pPr>
      <w:r w:rsidRPr="007744C2">
        <w:lastRenderedPageBreak/>
        <w:t>37.</w:t>
      </w:r>
      <w:r w:rsidRPr="007744C2">
        <w:tab/>
        <w:t>El Subcomité se sumó al Comité contra la Tortura, el Relator Especial sobre la tortura y la Junta de Síndicos del Fondo de Contribuciones Voluntarias de las Naciones Unidas para las Víctimas de la Tortura en una declaración formulada con ocasión del Día Internacional en Apoyo de las Víctimas de la Tortura (26 de junio). Asimismo, siguió cooperando sistemáticamente con otros mecanismos, en particular sometiendo a la consideración del Comité contra la Tortura sugerencias en relación con los Estados partes en el Protocolo Facultativo cuyos informes deben ser examinados en los próximos períodos de sesiones del Comité.</w:t>
      </w:r>
    </w:p>
    <w:p w:rsidR="007744C2" w:rsidRPr="007744C2" w:rsidRDefault="007744C2" w:rsidP="007744C2">
      <w:pPr>
        <w:pStyle w:val="SingleTxtG"/>
      </w:pPr>
      <w:r w:rsidRPr="007744C2">
        <w:t>38.</w:t>
      </w:r>
      <w:r w:rsidRPr="007744C2">
        <w:tab/>
        <w:t>El Subcomité siguió cooperando con la Oficina del Alto Comisionado de las Naciones Unidas para los Refugiados, especialmente en el contexto de sus visitas sobre el terreno.</w:t>
      </w:r>
    </w:p>
    <w:p w:rsidR="007744C2" w:rsidRPr="007744C2" w:rsidRDefault="007744C2" w:rsidP="007744C2">
      <w:pPr>
        <w:pStyle w:val="H23G"/>
      </w:pPr>
      <w:r w:rsidRPr="007744C2">
        <w:tab/>
        <w:t>2.</w:t>
      </w:r>
      <w:r w:rsidRPr="007744C2">
        <w:tab/>
        <w:t>Cooperación con otras organizaciones internacionales pertinentes</w:t>
      </w:r>
    </w:p>
    <w:p w:rsidR="007744C2" w:rsidRPr="007744C2" w:rsidRDefault="007744C2" w:rsidP="007744C2">
      <w:pPr>
        <w:pStyle w:val="SingleTxtG"/>
      </w:pPr>
      <w:r w:rsidRPr="007744C2">
        <w:t>39.</w:t>
      </w:r>
      <w:r w:rsidRPr="007744C2">
        <w:tab/>
        <w:t>El Subcomité siguió cooperando con el Comité Internacional de la Cruz Roja, especialmente en el contexto de sus visitas sobre el terreno.</w:t>
      </w:r>
    </w:p>
    <w:p w:rsidR="007744C2" w:rsidRPr="007744C2" w:rsidRDefault="007744C2" w:rsidP="007744C2">
      <w:pPr>
        <w:pStyle w:val="H1G"/>
      </w:pPr>
      <w:r w:rsidRPr="007744C2">
        <w:tab/>
        <w:t>B.</w:t>
      </w:r>
      <w:r w:rsidRPr="007744C2">
        <w:tab/>
        <w:t>Cooperación regional</w:t>
      </w:r>
    </w:p>
    <w:p w:rsidR="007744C2" w:rsidRPr="007744C2" w:rsidRDefault="007744C2" w:rsidP="007744C2">
      <w:pPr>
        <w:pStyle w:val="SingleTxtG"/>
      </w:pPr>
      <w:r w:rsidRPr="007744C2">
        <w:t>40.</w:t>
      </w:r>
      <w:r w:rsidRPr="007744C2">
        <w:tab/>
        <w:t xml:space="preserve">El Subcomité mantuvo su cooperación con las organizaciones regionales, como el Comité Europeo para la Prevención de la Tortura y de las Penas o Tratos Inhumanos o Degradantes; la primera declaración conjunta de los Presidentes de ambos órganos se publicó en junio y puede consultarse en el sitio web del Subcomité. El Subcomité también siguió cooperando con asociados regionales, como el Comité Europeo, la Comisión Interamericana de Derechos Humanos, el Consejo de Europa y la Comisión Europea, por conducto de los directores de sus equipos regionales. </w:t>
      </w:r>
    </w:p>
    <w:p w:rsidR="007744C2" w:rsidRPr="007744C2" w:rsidRDefault="007744C2" w:rsidP="007744C2">
      <w:pPr>
        <w:pStyle w:val="SingleTxtG"/>
      </w:pPr>
      <w:r w:rsidRPr="007744C2">
        <w:t>41.</w:t>
      </w:r>
      <w:r w:rsidRPr="007744C2">
        <w:tab/>
        <w:t>En ese contexto, el 5 de septiembre los miembros del Subcomité se reunieron con la Comisión Africana de Derechos Humanos y de los Pueblos en el Centro de la Universidad de Bristol para la Aplicación de los Derechos Humanos en la Práctica, con el fin de examinar estrategias comunes.</w:t>
      </w:r>
    </w:p>
    <w:p w:rsidR="007744C2" w:rsidRPr="007744C2" w:rsidRDefault="007744C2" w:rsidP="007744C2">
      <w:pPr>
        <w:pStyle w:val="H1G"/>
      </w:pPr>
      <w:r w:rsidRPr="007744C2">
        <w:tab/>
        <w:t>C.</w:t>
      </w:r>
      <w:r w:rsidRPr="007744C2">
        <w:tab/>
        <w:t>Sociedad civil</w:t>
      </w:r>
    </w:p>
    <w:p w:rsidR="007744C2" w:rsidRPr="007744C2" w:rsidRDefault="007744C2" w:rsidP="007744C2">
      <w:pPr>
        <w:pStyle w:val="SingleTxtG"/>
      </w:pPr>
      <w:r w:rsidRPr="007744C2">
        <w:t>42.</w:t>
      </w:r>
      <w:r w:rsidRPr="007744C2">
        <w:tab/>
        <w:t>El Subcomité siguió recibiendo apoyo de la sociedad civil, en particular de la Asociación para la Prevención de la Tortura y de varias instituciones académicas. También se benefició de los contactos con organizaciones de la sociedad civil durante sus visitas y agradece a todas ellas su labor de promoción del Protocolo Facultativo y el apoyo que le brindan. El Subcomité agradece en particular a Penal Reform International y a la Asociación para la Prevención de la Tortura que facilitaran la reunión conjunta con el Comité contra la Tortura sobre las Reglas Nelson Mandela. Quiere agradecer también de manera especial a la Asociación para la Prevención de la Tortura su inestimable apoyo al Protocolo Facultativo y al Subcomité.</w:t>
      </w:r>
    </w:p>
    <w:p w:rsidR="007744C2" w:rsidRPr="007744C2" w:rsidRDefault="007744C2" w:rsidP="007744C2">
      <w:pPr>
        <w:pStyle w:val="HChG"/>
      </w:pPr>
      <w:r w:rsidRPr="007744C2">
        <w:tab/>
        <w:t>IV.</w:t>
      </w:r>
      <w:r w:rsidRPr="007744C2">
        <w:tab/>
        <w:t>Cuestiones de interés en relación con la labor del</w:t>
      </w:r>
      <w:r>
        <w:br/>
      </w:r>
      <w:r w:rsidRPr="007744C2">
        <w:t>Subcomité durante el período que se examina</w:t>
      </w:r>
    </w:p>
    <w:p w:rsidR="007744C2" w:rsidRPr="007744C2" w:rsidRDefault="007744C2" w:rsidP="007744C2">
      <w:pPr>
        <w:pStyle w:val="H1G"/>
      </w:pPr>
      <w:r w:rsidRPr="007744C2">
        <w:tab/>
        <w:t>A.</w:t>
      </w:r>
      <w:r w:rsidRPr="007744C2">
        <w:tab/>
        <w:t>Elecciones</w:t>
      </w:r>
    </w:p>
    <w:p w:rsidR="007744C2" w:rsidRPr="007744C2" w:rsidRDefault="007744C2" w:rsidP="007744C2">
      <w:pPr>
        <w:pStyle w:val="SingleTxtG"/>
      </w:pPr>
      <w:r w:rsidRPr="007744C2">
        <w:t>43.</w:t>
      </w:r>
      <w:r w:rsidRPr="007744C2">
        <w:tab/>
        <w:t xml:space="preserve">El Subcomité da la bienvenida a sus 12 miembros de reciente elección y felicita tanto a los nuevos miembros como a los que regresan por haber sido elegidos. Asimismo, expresa su gratitud a los miembros salientes: Enrique Andrés Font, Dame Lowell Goddard, Suzanne Jabbour, Miloš Janković, Paul Lam Shang Leen, Víctor Madrigal-Borloz y Maria Margarida Pressburger. El Subcomité, si bien se beneficia en gran medida de la frescura de las perspectivas que aportan sus nuevos miembros, también es consciente de la importante pérdida de experiencia que supone la rotación y señala las repercusiones que ello tendrá en un diálogo que se basa en que las visitas se mantengan a lo largo del tiempo. El Subcomité </w:t>
      </w:r>
      <w:r w:rsidRPr="007744C2">
        <w:lastRenderedPageBreak/>
        <w:t>está revisando su enfoque respecto del diálogo posterior a las visitas con el fin de mantener un diálogo más ágil e intenso en unos plazos más reducidos para aprovechar al máximo la experiencia de los miembros que participan en cada una de las visitas a los países.</w:t>
      </w:r>
    </w:p>
    <w:p w:rsidR="007744C2" w:rsidRPr="007744C2" w:rsidRDefault="007744C2" w:rsidP="007744C2">
      <w:pPr>
        <w:pStyle w:val="H1G"/>
      </w:pPr>
      <w:r w:rsidRPr="007744C2">
        <w:tab/>
        <w:t>B.</w:t>
      </w:r>
      <w:r w:rsidRPr="007744C2">
        <w:tab/>
        <w:t>Perfeccionamiento de los métodos de trabajo</w:t>
      </w:r>
    </w:p>
    <w:p w:rsidR="007744C2" w:rsidRPr="007744C2" w:rsidRDefault="007744C2" w:rsidP="007744C2">
      <w:pPr>
        <w:pStyle w:val="H23G"/>
      </w:pPr>
      <w:r w:rsidRPr="007744C2">
        <w:tab/>
        <w:t>1.</w:t>
      </w:r>
      <w:r w:rsidRPr="007744C2">
        <w:tab/>
        <w:t>Visitas</w:t>
      </w:r>
    </w:p>
    <w:p w:rsidR="007744C2" w:rsidRPr="007744C2" w:rsidRDefault="007744C2" w:rsidP="007744C2">
      <w:pPr>
        <w:pStyle w:val="SingleTxtG"/>
      </w:pPr>
      <w:r w:rsidRPr="007744C2">
        <w:t>44.</w:t>
      </w:r>
      <w:r w:rsidRPr="007744C2">
        <w:tab/>
        <w:t xml:space="preserve">Las visitas son una de las funciones fundamentales del Subcomité. A pesar de las limitaciones financieras y de recursos humanos de la Oficina del Alto Comisionado de las Naciones Unidas para los Derechos Humanos, el Subcomité y su secretaría han podido aumentar el número de visitas cada año desde 2011, desde tres visitas en 2011 hasta ocho en 2015. En 2016, el Subcomité amplió nuevamente su programa y realizó </w:t>
      </w:r>
      <w:r w:rsidR="006D69BE">
        <w:t>diez</w:t>
      </w:r>
      <w:r w:rsidRPr="007744C2">
        <w:t xml:space="preserve"> visitas, de las cuales la visita a Ucrania tuvo lugar en dos partes. En vista de los actuales niveles de recursos, el Subcomité no cree que sea posible seguir ampliando su programa de visitas y considera que los futuros ámbitos de crecimiento relacionados con ese programa deben centrarse en enriquecer y agilizar el diálogo posterior a las visitas.</w:t>
      </w:r>
    </w:p>
    <w:p w:rsidR="007744C2" w:rsidRPr="007744C2" w:rsidRDefault="007744C2" w:rsidP="007744C2">
      <w:pPr>
        <w:pStyle w:val="SingleTxtG"/>
      </w:pPr>
      <w:r w:rsidRPr="007744C2">
        <w:t>45.</w:t>
      </w:r>
      <w:r w:rsidRPr="007744C2">
        <w:tab/>
        <w:t>En 2015 el Subcomité decidió dejar de establecer categorías específicas de visitas. Así pues, en 2016 en cada visita se abordaron todos los aspectos del mandato de prevención del Subcomité, y en particular sus dos responsabilidades primordiales consistentes en visitar los lugares de privación de libertad y asesorar sobre el desarrollo y el funcionamiento de los mecanismos nacionales de prevención, dirigiendo sus informes al Gobierno o al mecanismo nacional de prevención, según proceda. A lo largo de 2016 esta nueva metodología ha tenido efectos notables en los resultados prácticos de las visitas, lo que ha permitido al Subcomité cumplir mejor el mandato que le confiere el artículo 11, párrafo 1 b), del Protocolo Facultativo.</w:t>
      </w:r>
    </w:p>
    <w:p w:rsidR="007744C2" w:rsidRPr="007744C2" w:rsidRDefault="007744C2" w:rsidP="007744C2">
      <w:pPr>
        <w:pStyle w:val="H23G"/>
      </w:pPr>
      <w:r w:rsidRPr="007744C2">
        <w:tab/>
        <w:t>2.</w:t>
      </w:r>
      <w:r w:rsidRPr="007744C2">
        <w:tab/>
        <w:t>Grupos de trabajo</w:t>
      </w:r>
    </w:p>
    <w:p w:rsidR="007744C2" w:rsidRPr="007744C2" w:rsidRDefault="007744C2" w:rsidP="007744C2">
      <w:pPr>
        <w:pStyle w:val="SingleTxtG"/>
      </w:pPr>
      <w:r w:rsidRPr="007744C2">
        <w:t>46.</w:t>
      </w:r>
      <w:r w:rsidRPr="007744C2">
        <w:tab/>
        <w:t xml:space="preserve">El </w:t>
      </w:r>
      <w:r w:rsidR="00E5002D" w:rsidRPr="007744C2">
        <w:t xml:space="preserve">Grupo </w:t>
      </w:r>
      <w:r w:rsidR="00E5002D">
        <w:t>d</w:t>
      </w:r>
      <w:r w:rsidR="00E5002D" w:rsidRPr="007744C2">
        <w:t>e Trabajo</w:t>
      </w:r>
      <w:r w:rsidRPr="007744C2">
        <w:t xml:space="preserve"> sobre cuestiones médicas prosiguió su labor relativa a un instrumento de referencia sobre asistencia sanitaria, que adopta la forma de recopilación de las recomendaciones sobre asistencia sanitaria que se formulan en los informes sobre las visitas del Subcomité. Celebró reuniones con la Relatora Especial sobre los derechos de las personas con discapacidad, con la Asociación para la Prevención de la Tortura y con Harm Reduction International sobre cuestiones de interés común. También comenzó a cooperar con otros mecanismos de las Naciones Unidas, en particular en relación con el Manual para la investigación y documentación eficaces de la tortura y otros tratos o penas crueles, inhumanos o degradantes (Protocolo de Estambul) y las Reglas Nelson Mandela.</w:t>
      </w:r>
    </w:p>
    <w:p w:rsidR="007744C2" w:rsidRPr="007744C2" w:rsidRDefault="007744C2" w:rsidP="007744C2">
      <w:pPr>
        <w:pStyle w:val="SingleTxtG"/>
      </w:pPr>
      <w:r w:rsidRPr="007744C2">
        <w:t>47.</w:t>
      </w:r>
      <w:r w:rsidRPr="007744C2">
        <w:tab/>
        <w:t xml:space="preserve">El </w:t>
      </w:r>
      <w:r w:rsidR="00E5002D" w:rsidRPr="007744C2">
        <w:t xml:space="preserve">Grupo </w:t>
      </w:r>
      <w:r w:rsidR="00E5002D">
        <w:t>d</w:t>
      </w:r>
      <w:r w:rsidR="00E5002D" w:rsidRPr="007744C2">
        <w:t>e Trabajo</w:t>
      </w:r>
      <w:r w:rsidRPr="007744C2">
        <w:t xml:space="preserve"> sobre las cuestiones de procedimiento siguió respondiendo a las solicitudes de orientación formuladas por los mecanismos nacionales de prevención. El Subcomité alienta esas solicitudes y confía en que la publicación en su sitio web de una recopilación de los documentos de posición resultantes sea de interés general. El </w:t>
      </w:r>
      <w:r w:rsidR="00E5002D" w:rsidRPr="007744C2">
        <w:t xml:space="preserve">Grupo </w:t>
      </w:r>
      <w:r w:rsidR="00E5002D">
        <w:t>d</w:t>
      </w:r>
      <w:r w:rsidR="00E5002D" w:rsidRPr="007744C2">
        <w:t>e Trabajo</w:t>
      </w:r>
      <w:r w:rsidRPr="007744C2">
        <w:t xml:space="preserve"> colaboró en la preparación del documento de posición del Subcomité sobre los Estados que presentaban un retraso sustancial en el cumplimiento de sus obligaciones en virtud del artículo 17 del Protocolo Facultativo. También revisó la política del Subcomité sobre las represalias (CAT/OP/6/Rev.1) a la luz de las Directrices contra la Intimidación o las Represalias (Directrices de San José) y empezó a trabajar en la revisión de los métodos de trabajo de Subcomité.</w:t>
      </w:r>
    </w:p>
    <w:p w:rsidR="007744C2" w:rsidRPr="007744C2" w:rsidRDefault="007744C2" w:rsidP="007744C2">
      <w:pPr>
        <w:pStyle w:val="SingleTxtG"/>
      </w:pPr>
      <w:r w:rsidRPr="007744C2">
        <w:t>48.</w:t>
      </w:r>
      <w:r w:rsidRPr="007744C2">
        <w:tab/>
        <w:t xml:space="preserve">El </w:t>
      </w:r>
      <w:r w:rsidR="00E5002D" w:rsidRPr="007744C2">
        <w:t xml:space="preserve">Grupo </w:t>
      </w:r>
      <w:r w:rsidR="00E5002D">
        <w:t>d</w:t>
      </w:r>
      <w:r w:rsidR="00E5002D" w:rsidRPr="007744C2">
        <w:t>e Trabajo</w:t>
      </w:r>
      <w:r w:rsidRPr="007744C2">
        <w:t xml:space="preserve"> sobre jurisprudencia y cuestiones temáticas concluyó su labor acerca de los documentos internos del Subcomité relativos a la prevención de la tortura en el traslado de personas privadas de libertad y la prevención de la tortura en los centros de detención de inmigrantes. El Subcomité puede revisar esos documentos a la luz de su experiencia con miras a publicarlos. El </w:t>
      </w:r>
      <w:r w:rsidR="00E5002D" w:rsidRPr="007744C2">
        <w:t xml:space="preserve">Grupo </w:t>
      </w:r>
      <w:r w:rsidR="00E5002D">
        <w:t>d</w:t>
      </w:r>
      <w:r w:rsidR="00E5002D" w:rsidRPr="007744C2">
        <w:t>e Trabajo</w:t>
      </w:r>
      <w:r w:rsidRPr="007744C2">
        <w:t xml:space="preserve"> también inició el examen de un nuevo documento (véase el párr. 51). </w:t>
      </w:r>
    </w:p>
    <w:p w:rsidR="007744C2" w:rsidRPr="007744C2" w:rsidRDefault="007744C2" w:rsidP="007744C2">
      <w:pPr>
        <w:pStyle w:val="SingleTxtG"/>
      </w:pPr>
      <w:r w:rsidRPr="007744C2">
        <w:t>49.</w:t>
      </w:r>
      <w:r w:rsidRPr="007744C2">
        <w:tab/>
        <w:t xml:space="preserve">En su 28º período de sesiones el Subcomité decidió crear un grupo de trabajo sobre el Fondo Especial establecido en virtud del artículo 26 del Protocolo Facultativo con el fin </w:t>
      </w:r>
      <w:r w:rsidRPr="007744C2">
        <w:lastRenderedPageBreak/>
        <w:t xml:space="preserve">de fortalecer y facilitar el funcionamiento de dicho Fondo (CAT/OP/28/2). El mandato inicial del Grupo de Trabajo figura en la decisión del Subcomité </w:t>
      </w:r>
      <w:r w:rsidRPr="006D69BE">
        <w:rPr>
          <w:i/>
        </w:rPr>
        <w:t>(</w:t>
      </w:r>
      <w:r w:rsidRPr="006D69BE">
        <w:rPr>
          <w:i/>
          <w:iCs/>
        </w:rPr>
        <w:t>ibid</w:t>
      </w:r>
      <w:r w:rsidR="006D69BE">
        <w:rPr>
          <w:i/>
          <w:iCs/>
        </w:rPr>
        <w:t>.</w:t>
      </w:r>
      <w:r w:rsidRPr="006D69BE">
        <w:rPr>
          <w:i/>
        </w:rPr>
        <w:t>)</w:t>
      </w:r>
      <w:r w:rsidR="006D69BE">
        <w:rPr>
          <w:i/>
        </w:rPr>
        <w:t>.</w:t>
      </w:r>
    </w:p>
    <w:p w:rsidR="007744C2" w:rsidRPr="007744C2" w:rsidRDefault="007744C2" w:rsidP="007744C2">
      <w:pPr>
        <w:pStyle w:val="H23G"/>
      </w:pPr>
      <w:r w:rsidRPr="007744C2">
        <w:tab/>
        <w:t>3.</w:t>
      </w:r>
      <w:r w:rsidRPr="007744C2">
        <w:tab/>
        <w:t xml:space="preserve">Equipos regionales </w:t>
      </w:r>
    </w:p>
    <w:p w:rsidR="007744C2" w:rsidRPr="007744C2" w:rsidRDefault="007744C2" w:rsidP="007744C2">
      <w:pPr>
        <w:pStyle w:val="SingleTxtG"/>
      </w:pPr>
      <w:r w:rsidRPr="007744C2">
        <w:t>50.</w:t>
      </w:r>
      <w:r w:rsidRPr="007744C2">
        <w:tab/>
        <w:t xml:space="preserve">Los equipos regionales y los relatores para los países han seguido manteniendo un diálogo y una comunicación frecuentes con los mecanismos nacionales de prevención, lo que ha facilitado el intercambio de información y el asesoramiento. Debido a las diferencias en el tamaño y los niveles de participación de los diferentes equipos regionales, cada uno ha adoptado la metodología de trabajo que mejor se adapta a sus necesidades, incrementando, por ejemplo, el empleo de las videoconferencias para lograr un mayor impacto de sus actividades de divulgación y aumentar su eficacia. </w:t>
      </w:r>
    </w:p>
    <w:p w:rsidR="007744C2" w:rsidRPr="007744C2" w:rsidRDefault="007744C2" w:rsidP="007744C2">
      <w:pPr>
        <w:pStyle w:val="H23G"/>
      </w:pPr>
      <w:r w:rsidRPr="007744C2">
        <w:tab/>
        <w:t>4.</w:t>
      </w:r>
      <w:r w:rsidRPr="007744C2">
        <w:tab/>
        <w:t xml:space="preserve">Elaboración de documentos de posición del Subcomité </w:t>
      </w:r>
    </w:p>
    <w:p w:rsidR="007744C2" w:rsidRPr="007744C2" w:rsidRDefault="007744C2" w:rsidP="007744C2">
      <w:pPr>
        <w:pStyle w:val="SingleTxtG"/>
      </w:pPr>
      <w:r w:rsidRPr="007744C2">
        <w:t>51.</w:t>
      </w:r>
      <w:r w:rsidRPr="007744C2">
        <w:tab/>
        <w:t xml:space="preserve">El Grupo de Trabajo sobre jurisprudencia y cuestiones temáticas aprobó dos documentos de posición durante el período objeto de examen (véase el párr. 48 </w:t>
      </w:r>
      <w:r w:rsidRPr="007744C2">
        <w:rPr>
          <w:i/>
          <w:iCs/>
        </w:rPr>
        <w:t>supra</w:t>
      </w:r>
      <w:r w:rsidRPr="007744C2">
        <w:t>). Actualmente está elaborando un documento de posición sobre la independencia de los mecanismos nacionales de prevención, especialmente aquellos que se incluyen en las defensorías del pueblo y las instituciones nacionales de derechos humanos. Como en años anteriores, el Subcomité acogerá favorablemente todas las observaciones y aportaciones que puedan contribuir a la preparación del documento de posición.</w:t>
      </w:r>
    </w:p>
    <w:p w:rsidR="007744C2" w:rsidRPr="007744C2" w:rsidRDefault="007744C2" w:rsidP="007744C2">
      <w:pPr>
        <w:pStyle w:val="H23G"/>
      </w:pPr>
      <w:r w:rsidRPr="007744C2">
        <w:tab/>
        <w:t>5.</w:t>
      </w:r>
      <w:r w:rsidRPr="007744C2">
        <w:tab/>
        <w:t>Tiempo adicional para las reuniones</w:t>
      </w:r>
    </w:p>
    <w:p w:rsidR="007744C2" w:rsidRPr="007744C2" w:rsidRDefault="007744C2" w:rsidP="007744C2">
      <w:pPr>
        <w:pStyle w:val="SingleTxtG"/>
      </w:pPr>
      <w:r w:rsidRPr="007744C2">
        <w:t>52.</w:t>
      </w:r>
      <w:r w:rsidRPr="007744C2">
        <w:tab/>
        <w:t xml:space="preserve">El Subcomité ha celebrado tres sesiones plenarias de una semana de duración cada año desde que inició su labor en febrero de 2007. Inicialmente contaba con 10 miembros, y 34 Estados eran partes en el Protocolo Facultativo. En la actualidad hay 25 miembros y 83 Estados partes. Como ya se ha dicho, mientras que en sus primeros años el Subcomité realizaba tres visitas al año, ahora realiza unas diez por año. Además, el Subcomité mantiene contactos sobre el seguimiento de las visitas y sobre la labor de los mecanismos nacionales de prevención en un número de Estados partes que crece cada año. Como resultado de ello, el volumen de trabajo de los períodos de sesiones se ha vuelto insostenible. Así, en su 28º período de sesiones, el Subcomité decidió pedir al Secretario General que, si procedía, incluyera en su informe de 2016 sobre la aplicación de la resolución 68/268 de la Asamblea General una referencia a la necesidad de que el Subcomité tuviera al año, en principio, un mínimo de una semana adicional para reuniones, además del personal de apoyo y los recursos necesarios (CAT/OP/28/1). </w:t>
      </w:r>
    </w:p>
    <w:p w:rsidR="007744C2" w:rsidRPr="007744C2" w:rsidRDefault="007744C2" w:rsidP="007744C2">
      <w:pPr>
        <w:pStyle w:val="HChG"/>
      </w:pPr>
      <w:r w:rsidRPr="007744C2">
        <w:tab/>
        <w:t>V.</w:t>
      </w:r>
      <w:r w:rsidRPr="007744C2">
        <w:tab/>
        <w:t>Reflexiones sobre el año examinado</w:t>
      </w:r>
    </w:p>
    <w:p w:rsidR="007744C2" w:rsidRPr="007744C2" w:rsidRDefault="007744C2" w:rsidP="007744C2">
      <w:pPr>
        <w:pStyle w:val="H1G"/>
      </w:pPr>
      <w:r w:rsidRPr="007744C2">
        <w:tab/>
        <w:t>A.</w:t>
      </w:r>
      <w:r w:rsidRPr="007744C2">
        <w:tab/>
        <w:t xml:space="preserve">Décimo aniversario del Protocolo Facultativo </w:t>
      </w:r>
    </w:p>
    <w:p w:rsidR="007744C2" w:rsidRPr="007744C2" w:rsidRDefault="007744C2" w:rsidP="007744C2">
      <w:pPr>
        <w:pStyle w:val="SingleTxtG"/>
      </w:pPr>
      <w:r w:rsidRPr="007744C2">
        <w:t>53.</w:t>
      </w:r>
      <w:r w:rsidRPr="007744C2">
        <w:tab/>
        <w:t xml:space="preserve">Como ya se ha señalado, para conmemorar el décimo aniversario del sistema del Protocolo Facultativo se organizó una conferencia en Ginebra el 17 de noviembre de 2016, durante el 30º período de sesiones del Subcomité. En la apertura de la reunión, el Director General de la Oficina de las Naciones Unidas en Ginebra presentó un mensaje del Secretario General, y el Alto Comisionado de las Naciones Unidas para los Derechos Humanos hizo una declaración introductoria; seguidamente, el Vicepresidente del Comité Internacional de la Cruz Roja formuló una declaración. Los grupos de debate estuvieron integrados por representantes de diversas partes interesadas, incluidos Estados partes (Senegal y Túnez), mecanismos nacionales de prevención (Georgia, Kirguistán y Noruega), ONG (Asociación para la Prevención de la Tortura), organizaciones regionales (Comité Europeo para la Prevención de la Tortura y de las Penas o Tratos Inhumanos o Degradantes) y otros mecanismos y titulares de mandatos de las Naciones Unidas (Comité contra la Tortura, Relator Especial sobre la tortura, Fondo de Contribuciones Voluntarias de las Naciones Unidas para las Víctimas de la Tortura). Asistieron a la Conferencia unos 150 participantes, entre ellos representantes de 52 Estados Miembros de las Naciones Unidas, 11 mecanismos nacionales de prevención y 16 ONG. El Subcomité manifiesta su </w:t>
      </w:r>
      <w:r w:rsidRPr="007744C2">
        <w:lastRenderedPageBreak/>
        <w:t>agradecimiento a todos los participantes. Asimismo, da las gracias a los organizadores de los numerosos actos nacionales, iniciados principalmente por los mecanismos nacionales de prevención, que se celebraron para conmemorar el décimo aniversario del Protocolo Facultativo en todo el mundo. Para más información sobre el programa y las ponencias presentadas en la Conferencia puede consultarse el sitio web del Subcomité</w:t>
      </w:r>
      <w:r w:rsidRPr="007744C2">
        <w:rPr>
          <w:vertAlign w:val="superscript"/>
        </w:rPr>
        <w:footnoteReference w:id="3"/>
      </w:r>
      <w:r w:rsidR="006D69BE">
        <w:t>.</w:t>
      </w:r>
      <w:r w:rsidRPr="007744C2">
        <w:t xml:space="preserve"> </w:t>
      </w:r>
    </w:p>
    <w:p w:rsidR="007744C2" w:rsidRPr="007744C2" w:rsidRDefault="007744C2" w:rsidP="007744C2">
      <w:pPr>
        <w:pStyle w:val="SingleTxtG"/>
      </w:pPr>
      <w:r w:rsidRPr="007744C2">
        <w:t>54.</w:t>
      </w:r>
      <w:r w:rsidRPr="007744C2">
        <w:tab/>
        <w:t xml:space="preserve">La conferencia constó de dos debates de mesa redonda. En el primero, expertos internacionales de alto nivel presentaron ponencias sobre los últimos diez años de la aplicación del Protocolo Facultativo y sobre la forma en que ha prevenido la tortura, definiendo su valor añadido y detallando las enseñanzas extraídas. El segundo se centró en la relación triangular de cooperación entre los Estados partes, los mecanismos nacionales de prevención y el Subcomité y la importancia de esa relación en la prevención de la tortura, así como en los logros, las mejores prácticas y los retos a que se enfrenta el sistema del Protocolo Facultativo y en posibles formas de avanzar. </w:t>
      </w:r>
    </w:p>
    <w:p w:rsidR="007744C2" w:rsidRPr="007744C2" w:rsidRDefault="007744C2" w:rsidP="007744C2">
      <w:pPr>
        <w:pStyle w:val="SingleTxtG"/>
      </w:pPr>
      <w:r w:rsidRPr="007744C2">
        <w:t>55.</w:t>
      </w:r>
      <w:r w:rsidRPr="007744C2">
        <w:tab/>
        <w:t>La importancia del enfoque de asociación se destacó en las numerosas celebraciones del décimo aniversario del Protocolo Facultativo que organizaron en todo el mundo los Estados partes, los mecanismos nacionales de prevención y otros. El Subcomité no solo consideró sumamente alentadora la información recibida sobre esos actos, sino que espera que sirvan de base para la celebración de eventos similares en el futuro que promuevan el mejor conocimiento del Protocolo Facultativo y ofrezcan una oportunidad práctica de examinar el funcionamiento del sistema de prevención del Protocolo Facultativo en los países interesados. Ello se convertiría en un importante y duradero legado de este aniversario.</w:t>
      </w:r>
    </w:p>
    <w:p w:rsidR="007744C2" w:rsidRPr="007744C2" w:rsidRDefault="007744C2" w:rsidP="007744C2">
      <w:pPr>
        <w:pStyle w:val="H1G"/>
      </w:pPr>
      <w:r w:rsidRPr="007744C2">
        <w:tab/>
        <w:t>B.</w:t>
      </w:r>
      <w:r w:rsidRPr="007744C2">
        <w:tab/>
        <w:t xml:space="preserve">Preocupaciones acerca de la cooperación </w:t>
      </w:r>
    </w:p>
    <w:p w:rsidR="007744C2" w:rsidRPr="007744C2" w:rsidRDefault="007744C2" w:rsidP="007744C2">
      <w:pPr>
        <w:pStyle w:val="SingleTxtG"/>
      </w:pPr>
      <w:r w:rsidRPr="007744C2">
        <w:t>56.</w:t>
      </w:r>
      <w:r w:rsidRPr="007744C2">
        <w:tab/>
        <w:t xml:space="preserve">A pesar de los hitos alcanzados en su labor, el Subcomité ha observado que existe cierta tendencia en la que algunos Estados partes ponen en cuestión el alcance de su mandato. Como se destacaba en la declaración formulada por el Presidente del Subcomité en el septuagésimo primer período de sesiones de la Asamblea General en octubre de 2016, una vez que el Subcomité ha decidido cuál ha de ser su programa de visitas, los Estados no pueden proponer que una visita se cancele o posponga. Lo cierto es que el Protocolo Facultativo impone a los Estados la obligación jurídica de facilitar las visitas del Subcomité en el momento que este elija. Además, se desprende claramente del texto del artículo 4 del Protocolo Facultativo que, como el </w:t>
      </w:r>
      <w:r w:rsidR="006E5A45" w:rsidRPr="007744C2">
        <w:t>Subcomité</w:t>
      </w:r>
      <w:r w:rsidRPr="007744C2">
        <w:t xml:space="preserve"> también ha explicado recientemente en su asesoramiento a los mecanismos nacionales de prevención (véase CAT/OP/57/4 y Corr.1, anexo), el Subcomité y los mecanismos nacionales de prevención deben tener la posibilidad de visitar cualquier lugar en el que haya personas privadas de libertad, en el sentido de que no son libres para salir de él, o cuando el Subcomité considere que una persona puede o podría ser privada de su libertad, siempre que tal privación de libertad esté relacionada con una situación en la que el Estado ejerza, o pudiera esperarse que ejerce, una función reguladora. Ello incluye los lugares que operan bajo la autoridad o la supervisión reguladora del Estado, en los que pueda haber personas detenidas de facto por terceros. Debe destacarse que esos lugares están comprendidos en los mandatos de los mecanismos nacionales de prevención, tanto como en el del Subcomité, lo cual reviste particular importancia porque el Subcomité ha observado, en el último decenio, un aumento del número de incidentes de tortura y malos tratos que está claramente correlacionado con la protección de la seguridad nacional y las fronteras nacionales.</w:t>
      </w:r>
    </w:p>
    <w:p w:rsidR="007744C2" w:rsidRPr="007744C2" w:rsidRDefault="007744C2" w:rsidP="007744C2">
      <w:pPr>
        <w:pStyle w:val="H1G"/>
      </w:pPr>
      <w:r w:rsidRPr="007744C2">
        <w:tab/>
        <w:t>C.</w:t>
      </w:r>
      <w:r w:rsidRPr="007744C2">
        <w:tab/>
        <w:t>Cumplimiento del artículo 17 del Protocolo Facultativo</w:t>
      </w:r>
    </w:p>
    <w:p w:rsidR="007744C2" w:rsidRPr="007744C2" w:rsidRDefault="007744C2" w:rsidP="007744C2">
      <w:pPr>
        <w:pStyle w:val="SingleTxtG"/>
      </w:pPr>
      <w:r w:rsidRPr="007744C2">
        <w:t>57.</w:t>
      </w:r>
      <w:r w:rsidRPr="007744C2">
        <w:tab/>
        <w:t xml:space="preserve">Otro motivo de preocupación respecto de la cooperación en el marco del Protocolo Facultativo está relacionado con las obligaciones de los Estados partes que se enuncian en su artículo 17. Un número considerable de Estados partes todavía no han cumplido su obligación de mantener, designar o crear, a más tardar un año después de la ratificación del Protocolo Facultativo, uno o varios mecanismos nacionales de prevención independientes. </w:t>
      </w:r>
      <w:r w:rsidRPr="007744C2">
        <w:lastRenderedPageBreak/>
        <w:t xml:space="preserve">Así pues, se enviaron comunicaciones a todos los Estados partes cuyo cumplimiento de las obligaciones previstas en el artículo 17 del Protocolo Facultativo presentaba un retraso de más de tres años, invitándolos a facilitar por escrito al Subcomité información sobre las medidas adoptadas para cumplir con esas obligaciones e indicando que se publicaría una lista de los que no cumplieran sus obligaciones en virtud del artículo 17. </w:t>
      </w:r>
    </w:p>
    <w:p w:rsidR="007744C2" w:rsidRPr="007744C2" w:rsidRDefault="007744C2" w:rsidP="007744C2">
      <w:pPr>
        <w:pStyle w:val="SingleTxtG"/>
      </w:pPr>
      <w:r w:rsidRPr="007744C2">
        <w:t>58.</w:t>
      </w:r>
      <w:r w:rsidRPr="007744C2">
        <w:tab/>
        <w:t xml:space="preserve">La lista ya está publicada en el </w:t>
      </w:r>
      <w:r w:rsidR="006D69BE">
        <w:t>sitio web público del Subcomité</w:t>
      </w:r>
      <w:r w:rsidRPr="007744C2">
        <w:rPr>
          <w:vertAlign w:val="superscript"/>
        </w:rPr>
        <w:footnoteReference w:id="4"/>
      </w:r>
      <w:r w:rsidR="006D69BE">
        <w:t>.</w:t>
      </w:r>
      <w:r w:rsidRPr="007744C2">
        <w:t xml:space="preserve"> La lista será examinada en cada período de sesiones del Subcomité y se le harán los ajustes que sean necesarios. Los Estados dejarán de figurar en la lista una vez cumplan lo dispuesto en el artículo 17 de Protocolo Facultativo. El Subcomité espera que este recordatorio de obligaciones sea de utilidad para los Estados partes y observa que ya ha dado lugar a la adopción de medidas positivas. Habida cuenta de que contar con unos mecanismos nacionales de prevención eficaces es una de las piedras angulares del sistema del Protocolo Facultativo, el Subcomité sigue empeñado en colaborar con los Estados partes proporcionándoles asesoramiento y asistencia respecto del establecimiento de esos mecanismos, con arreglo al mandato establecido en el artículo 11 del Protocolo Facultativo, y espera seguir desarrollando nuevas formas de promover, apoyar y mejorar el cumplimiento y el seguimiento. </w:t>
      </w:r>
    </w:p>
    <w:p w:rsidR="007744C2" w:rsidRPr="007744C2" w:rsidRDefault="007744C2" w:rsidP="007744C2">
      <w:pPr>
        <w:pStyle w:val="H1G"/>
      </w:pPr>
      <w:r w:rsidRPr="007744C2">
        <w:tab/>
        <w:t>D.</w:t>
      </w:r>
      <w:r w:rsidRPr="007744C2">
        <w:tab/>
        <w:t>Perspectivas de futuro</w:t>
      </w:r>
    </w:p>
    <w:p w:rsidR="007744C2" w:rsidRPr="007744C2" w:rsidRDefault="007744C2" w:rsidP="007744C2">
      <w:pPr>
        <w:pStyle w:val="SingleTxtG"/>
      </w:pPr>
      <w:r w:rsidRPr="007744C2">
        <w:t>59.</w:t>
      </w:r>
      <w:r w:rsidRPr="007744C2">
        <w:tab/>
        <w:t xml:space="preserve">Gracias a que sigue desarrollándose el conjunto de instrumentos a disposición del Subcomité, este está en mejores condiciones que nunca para ayudar a los Estados a designar y establecer mecanismos nacionales de prevención independientes y para ayudar a esos mecanismos a cumplir su mandato de prevención. Al mismo tiempo, sigue habiendo margen para mejorar la eficacia de la colaboración y aún es necesario promover las sinergias entre los distintos órganos y mecanismos de prevención de la tortura. Hasta la fecha, esto se ha visto obstaculizado por la falta de recursos humanos y financieros suficientes. </w:t>
      </w:r>
    </w:p>
    <w:p w:rsidR="007744C2" w:rsidRPr="007744C2" w:rsidRDefault="007744C2" w:rsidP="007744C2">
      <w:pPr>
        <w:pStyle w:val="SingleTxtG"/>
      </w:pPr>
      <w:r w:rsidRPr="007744C2">
        <w:t>60.</w:t>
      </w:r>
      <w:r w:rsidRPr="007744C2">
        <w:tab/>
        <w:t xml:space="preserve">Como ya se ha señalado, el Fondo Especial establecido en virtud del Protocolo Facultativo es un instrumento esencial para apoyar la aplicación de las recomendaciones del Subcomité y la labor de los mecanismos nacionales de prevención. Es crucial que el Fondo siga siendo operativo y disponga de recursos suficientes. Aunque se registraron algunas novedades positivas hacia el final del período que se examina, la situación general del Fondo sigue siendo grave, a pesar de que el Subcomité y la Oficina del Alto Comisionado de las Naciones Unidas para los Derechos Humanos se han esforzado por promover la concienciación y alentar las contribuciones. </w:t>
      </w:r>
    </w:p>
    <w:p w:rsidR="007744C2" w:rsidRPr="007744C2" w:rsidRDefault="007744C2" w:rsidP="007744C2">
      <w:pPr>
        <w:pStyle w:val="SingleTxtG"/>
      </w:pPr>
      <w:r w:rsidRPr="007744C2">
        <w:t>61.</w:t>
      </w:r>
      <w:r w:rsidRPr="007744C2">
        <w:tab/>
        <w:t>El Subcomité espera que el Fondo, el único de esa índole establecido en el marco de una convención de derechos humanos, reciba el apoyo necesario, como reflejo del compromiso de los Estados partes y otros agentes a favor de la prevención de la tortura.</w:t>
      </w:r>
    </w:p>
    <w:p w:rsidR="007744C2" w:rsidRPr="007744C2" w:rsidRDefault="007744C2" w:rsidP="007744C2">
      <w:pPr>
        <w:pStyle w:val="SingleTxtG"/>
      </w:pPr>
      <w:r w:rsidRPr="007744C2">
        <w:t>62.</w:t>
      </w:r>
      <w:r w:rsidRPr="007744C2">
        <w:tab/>
        <w:t xml:space="preserve">Con la experiencia adquirida hasta la fecha y el impulso renovado que supone el cambio de los miembros que lo integran, el Subcomité espera seguir desarrollando y racionalizando sus métodos de trabajo en 2017. El próximo año ha previsto dedicar más tiempo a sistematizar plenamente sus prácticas y métodos de trabajo con el fin de centrarse en mayor medida en abordar las cuestiones temáticas y de procedimiento que le remitan los mecanismos nacionales de prevención y otras partes interesadas. Asimismo, pondrá todo su empeño en desarrollar nuevos enfoques respecto del diálogo con los Estados partes que se deriva de las visitas que realiza. </w:t>
      </w:r>
    </w:p>
    <w:p w:rsidR="007744C2" w:rsidRPr="007744C2" w:rsidRDefault="007744C2" w:rsidP="007744C2">
      <w:pPr>
        <w:pStyle w:val="H1G"/>
      </w:pPr>
      <w:r w:rsidRPr="007744C2">
        <w:tab/>
        <w:t>E.</w:t>
      </w:r>
      <w:r w:rsidRPr="007744C2">
        <w:tab/>
        <w:t>Plan de trabajo</w:t>
      </w:r>
    </w:p>
    <w:p w:rsidR="007744C2" w:rsidRPr="007744C2" w:rsidRDefault="007744C2" w:rsidP="007744C2">
      <w:pPr>
        <w:pStyle w:val="SingleTxtG"/>
      </w:pPr>
      <w:r w:rsidRPr="007744C2">
        <w:t>63.</w:t>
      </w:r>
      <w:r w:rsidRPr="007744C2">
        <w:tab/>
        <w:t xml:space="preserve">Para concluir, conviene destacar el programa de futuras visitas anunciado por el Subcomité en sus períodos de sesiones 29º y 30º. Como en otras ocasiones, para identificar los países que va a visitar, el Subcomité sigue un proceso razonado en el que tiene en cuenta toda una serie de factores, como aprovechar en la mayor medida posible la </w:t>
      </w:r>
      <w:r w:rsidRPr="007744C2">
        <w:lastRenderedPageBreak/>
        <w:t>información que recibe de los Estados partes y los mecanismos nacionales de prevención, entre otros, y utilizar de la manera más eficaz y eficiente los recursos disponibles, así como garantizar una colaboración adecuada con todos los Estados partes en el Protocolo Facultativo. Además, el Subcomité sigue teniendo debidamente en cuenta las fechas de ratificación o adhesión, la situación en relación con los mecanismos nacionales de prevención, los factores geográficos y el tamaño y la complejidad práctica de los Estados que se han de visitar, los mecanismos de supervisión de la prevención pertinentes a nivel regional y otras cuestiones específicas o urgentes. El objetivo prioritario es maximizar la eficacia de su labor en general.</w:t>
      </w:r>
    </w:p>
    <w:p w:rsidR="007744C2" w:rsidRPr="007744C2" w:rsidRDefault="007744C2" w:rsidP="007744C2">
      <w:pPr>
        <w:pStyle w:val="SingleTxtG"/>
      </w:pPr>
      <w:r w:rsidRPr="007744C2">
        <w:t>64.</w:t>
      </w:r>
      <w:r w:rsidRPr="007744C2">
        <w:tab/>
        <w:t>Por otra parte, el Subcomité ha decidido dejar de producir programas de visitas anuales. En su lugar, anunciará periódicamente el siguiente grupo de países que vaya a incluir en su programa de visitas. A tal fin, ya ha anunciado que, a su debido tiempo, se realizarán visitas a Bolivia (Estado Plurinacional de), España, la ex República Yugoslava de Macedonia, Hungría, Mongolia, Panamá y Rwanda. El siguiente grupo de visitas se anunciará al final de su 31º período de sesiones.</w:t>
      </w:r>
    </w:p>
    <w:p w:rsidR="007744C2" w:rsidRDefault="007744C2" w:rsidP="007744C2">
      <w:pPr>
        <w:pStyle w:val="SingleTxtG"/>
      </w:pPr>
      <w:r w:rsidRPr="007744C2">
        <w:t>65.</w:t>
      </w:r>
      <w:r w:rsidRPr="007744C2">
        <w:tab/>
        <w:t>Por último, el Subcomité debe reiterar la solicitud de que se asigne más tiempo para las reuniones plenarias, como ya se ha mencionado anteriormente. Después de diez años de trabajo, las necesidades de tiempo del Subcomité son mayores que nunca y es probable que sigan aumentando a medida que se intensifique su labor con los mecanismos nacionales de prevención y durante los diálogos posteriores a las visitas. La labor de organización que el Subcomité debe llevar a cabo y el número de reuniones que celebra con Estados partes y otros interesados durante las sesiones plenarias continúa aumentando exponencialmente, al igual que el deseo de las organizaciones internacionales e intergubernamentales de reunirse y colaborar con él. Siguen intensificándose las relaciones de trabajo con el Comité contra la Tortura, el Relator Especial sobre la tortura y el Fondo de Contribuciones Voluntarias de las Naciones Unidas para las Víctimas de la Tortura, de lo que cabe congratularse. Sin embargo, cada vez resulta más difícil, si no imposible, mantener esa trayectoria positiva sin disponer de más tiempo de reuniones y de capacidad de apoyo adicional. Ha llegado el momento de tomar medidas en apoyo del Subcomité y de su labor de prevención de la tortura.</w:t>
      </w:r>
    </w:p>
    <w:p w:rsidR="007744C2" w:rsidRPr="007744C2" w:rsidRDefault="007744C2" w:rsidP="007744C2">
      <w:pPr>
        <w:pStyle w:val="SingleTxtG"/>
        <w:suppressAutoHyphens/>
        <w:spacing w:before="240" w:after="0"/>
        <w:jc w:val="center"/>
        <w:rPr>
          <w:u w:val="single"/>
        </w:rPr>
      </w:pPr>
      <w:r>
        <w:rPr>
          <w:u w:val="single"/>
        </w:rPr>
        <w:tab/>
      </w:r>
      <w:r>
        <w:rPr>
          <w:u w:val="single"/>
        </w:rPr>
        <w:tab/>
      </w:r>
      <w:r>
        <w:rPr>
          <w:u w:val="single"/>
        </w:rPr>
        <w:tab/>
      </w:r>
    </w:p>
    <w:sectPr w:rsidR="007744C2" w:rsidRPr="007744C2" w:rsidSect="007744C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83A" w:rsidRPr="00A312BC" w:rsidRDefault="00E4583A" w:rsidP="00A312BC">
      <w:pPr>
        <w:pStyle w:val="Footer"/>
      </w:pPr>
    </w:p>
  </w:endnote>
  <w:endnote w:type="continuationSeparator" w:id="0">
    <w:p w:rsidR="00E4583A" w:rsidRPr="00A312BC" w:rsidRDefault="00E4583A"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4C2" w:rsidRPr="007744C2" w:rsidRDefault="007744C2" w:rsidP="007744C2">
    <w:pPr>
      <w:pStyle w:val="Footer"/>
      <w:tabs>
        <w:tab w:val="right" w:pos="9638"/>
      </w:tabs>
    </w:pPr>
    <w:r w:rsidRPr="007744C2">
      <w:rPr>
        <w:b/>
        <w:sz w:val="18"/>
      </w:rPr>
      <w:fldChar w:fldCharType="begin"/>
    </w:r>
    <w:r w:rsidRPr="007744C2">
      <w:rPr>
        <w:b/>
        <w:sz w:val="18"/>
      </w:rPr>
      <w:instrText xml:space="preserve"> PAGE  \* MERGEFORMAT </w:instrText>
    </w:r>
    <w:r w:rsidRPr="007744C2">
      <w:rPr>
        <w:b/>
        <w:sz w:val="18"/>
      </w:rPr>
      <w:fldChar w:fldCharType="separate"/>
    </w:r>
    <w:r w:rsidR="00E26FD5">
      <w:rPr>
        <w:b/>
        <w:noProof/>
        <w:sz w:val="18"/>
      </w:rPr>
      <w:t>12</w:t>
    </w:r>
    <w:r w:rsidRPr="007744C2">
      <w:rPr>
        <w:b/>
        <w:sz w:val="18"/>
      </w:rPr>
      <w:fldChar w:fldCharType="end"/>
    </w:r>
    <w:r>
      <w:rPr>
        <w:b/>
        <w:sz w:val="18"/>
      </w:rPr>
      <w:tab/>
    </w:r>
    <w:r>
      <w:t>GE.17-05269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4C2" w:rsidRPr="007744C2" w:rsidRDefault="007744C2" w:rsidP="007744C2">
    <w:pPr>
      <w:pStyle w:val="Footer"/>
      <w:tabs>
        <w:tab w:val="right" w:pos="9638"/>
      </w:tabs>
      <w:rPr>
        <w:b/>
        <w:sz w:val="18"/>
      </w:rPr>
    </w:pPr>
    <w:r>
      <w:t>GE.17-05269</w:t>
    </w:r>
    <w:r>
      <w:tab/>
    </w:r>
    <w:r w:rsidRPr="007744C2">
      <w:rPr>
        <w:b/>
        <w:sz w:val="18"/>
      </w:rPr>
      <w:fldChar w:fldCharType="begin"/>
    </w:r>
    <w:r w:rsidRPr="007744C2">
      <w:rPr>
        <w:b/>
        <w:sz w:val="18"/>
      </w:rPr>
      <w:instrText xml:space="preserve"> PAGE  \* MERGEFORMAT </w:instrText>
    </w:r>
    <w:r w:rsidRPr="007744C2">
      <w:rPr>
        <w:b/>
        <w:sz w:val="18"/>
      </w:rPr>
      <w:fldChar w:fldCharType="separate"/>
    </w:r>
    <w:r w:rsidR="00E26FD5">
      <w:rPr>
        <w:b/>
        <w:noProof/>
        <w:sz w:val="18"/>
      </w:rPr>
      <w:t>13</w:t>
    </w:r>
    <w:r w:rsidRPr="007744C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7744C2" w:rsidRDefault="007744C2" w:rsidP="007744C2">
    <w:pPr>
      <w:pStyle w:val="Footer"/>
      <w:spacing w:before="120" w:line="240" w:lineRule="auto"/>
      <w:rPr>
        <w:sz w:val="20"/>
      </w:rPr>
    </w:pPr>
    <w:r>
      <w:rPr>
        <w:sz w:val="20"/>
      </w:rPr>
      <w:t>GE.</w:t>
    </w:r>
    <w:r w:rsidR="00FD6905">
      <w:rPr>
        <w:noProof/>
        <w:lang w:val="en-GB" w:eastAsia="en-GB"/>
      </w:rPr>
      <w:drawing>
        <wp:anchor distT="0" distB="0" distL="114300" distR="114300" simplePos="0" relativeHeight="25165772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17-05269  (S)    </w:t>
    </w:r>
    <w:r w:rsidR="00E47C5B">
      <w:rPr>
        <w:sz w:val="20"/>
      </w:rPr>
      <w:t>2</w:t>
    </w:r>
    <w:r>
      <w:rPr>
        <w:sz w:val="20"/>
      </w:rPr>
      <w:t xml:space="preserve">70417    </w:t>
    </w:r>
    <w:r w:rsidR="00E47C5B">
      <w:rPr>
        <w:sz w:val="20"/>
      </w:rPr>
      <w:t>28</w:t>
    </w:r>
    <w:r>
      <w:rPr>
        <w:sz w:val="20"/>
      </w:rPr>
      <w:t>0417</w:t>
    </w:r>
    <w:r>
      <w:rPr>
        <w:sz w:val="20"/>
      </w:rPr>
      <w:br/>
    </w:r>
    <w:r w:rsidRPr="007744C2">
      <w:rPr>
        <w:rFonts w:ascii="C39T30Lfz" w:hAnsi="C39T30Lfz"/>
        <w:sz w:val="56"/>
      </w:rPr>
      <w:t></w:t>
    </w:r>
    <w:r w:rsidRPr="007744C2">
      <w:rPr>
        <w:rFonts w:ascii="C39T30Lfz" w:hAnsi="C39T30Lfz"/>
        <w:sz w:val="56"/>
      </w:rPr>
      <w:t></w:t>
    </w:r>
    <w:r w:rsidRPr="007744C2">
      <w:rPr>
        <w:rFonts w:ascii="C39T30Lfz" w:hAnsi="C39T30Lfz"/>
        <w:sz w:val="56"/>
      </w:rPr>
      <w:t></w:t>
    </w:r>
    <w:r w:rsidRPr="007744C2">
      <w:rPr>
        <w:rFonts w:ascii="C39T30Lfz" w:hAnsi="C39T30Lfz"/>
        <w:sz w:val="56"/>
      </w:rPr>
      <w:t></w:t>
    </w:r>
    <w:r w:rsidRPr="007744C2">
      <w:rPr>
        <w:rFonts w:ascii="C39T30Lfz" w:hAnsi="C39T30Lfz"/>
        <w:sz w:val="56"/>
      </w:rPr>
      <w:t></w:t>
    </w:r>
    <w:r w:rsidRPr="007744C2">
      <w:rPr>
        <w:rFonts w:ascii="C39T30Lfz" w:hAnsi="C39T30Lfz"/>
        <w:sz w:val="56"/>
      </w:rPr>
      <w:t></w:t>
    </w:r>
    <w:r w:rsidRPr="007744C2">
      <w:rPr>
        <w:rFonts w:ascii="C39T30Lfz" w:hAnsi="C39T30Lfz"/>
        <w:sz w:val="56"/>
      </w:rPr>
      <w:t></w:t>
    </w:r>
    <w:r w:rsidRPr="007744C2">
      <w:rPr>
        <w:rFonts w:ascii="C39T30Lfz" w:hAnsi="C39T30Lfz"/>
        <w:sz w:val="56"/>
      </w:rPr>
      <w:t></w:t>
    </w:r>
    <w:r w:rsidRPr="007744C2">
      <w:rPr>
        <w:rFonts w:ascii="C39T30Lfz" w:hAnsi="C39T30Lfz"/>
        <w:sz w:val="56"/>
      </w:rPr>
      <w:t></w:t>
    </w:r>
    <w:r w:rsidR="00E86BEC">
      <w:rPr>
        <w:noProof/>
        <w:sz w:val="20"/>
        <w:lang w:val="en-GB" w:eastAsia="en-GB"/>
      </w:rPr>
      <w:drawing>
        <wp:anchor distT="0" distB="0" distL="114300" distR="114300" simplePos="0" relativeHeight="251658752" behindDoc="0" locked="0" layoutInCell="1" allowOverlap="1">
          <wp:simplePos x="0" y="0"/>
          <wp:positionH relativeFrom="margin">
            <wp:posOffset>5489575</wp:posOffset>
          </wp:positionH>
          <wp:positionV relativeFrom="margin">
            <wp:posOffset>8854440</wp:posOffset>
          </wp:positionV>
          <wp:extent cx="638175" cy="638175"/>
          <wp:effectExtent l="0" t="0" r="9525" b="9525"/>
          <wp:wrapNone/>
          <wp:docPr id="4" name="Imagen 1" descr="https://undocs.org/m2/QRCode.ashx?DS=CAT/C/60/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0/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83A" w:rsidRPr="001075E9" w:rsidRDefault="00E4583A" w:rsidP="001075E9">
      <w:pPr>
        <w:tabs>
          <w:tab w:val="right" w:pos="2155"/>
        </w:tabs>
        <w:spacing w:after="80" w:line="240" w:lineRule="auto"/>
        <w:ind w:left="680"/>
        <w:rPr>
          <w:u w:val="single"/>
        </w:rPr>
      </w:pPr>
      <w:r>
        <w:rPr>
          <w:u w:val="single"/>
        </w:rPr>
        <w:tab/>
      </w:r>
    </w:p>
  </w:footnote>
  <w:footnote w:type="continuationSeparator" w:id="0">
    <w:p w:rsidR="00E4583A" w:rsidRDefault="00E4583A" w:rsidP="00407B78">
      <w:pPr>
        <w:tabs>
          <w:tab w:val="right" w:pos="2155"/>
        </w:tabs>
        <w:spacing w:after="80"/>
        <w:ind w:left="680"/>
        <w:rPr>
          <w:u w:val="single"/>
        </w:rPr>
      </w:pPr>
      <w:r>
        <w:rPr>
          <w:u w:val="single"/>
        </w:rPr>
        <w:tab/>
      </w:r>
    </w:p>
  </w:footnote>
  <w:footnote w:id="1">
    <w:p w:rsidR="00E47C5B" w:rsidRPr="00E47C5B" w:rsidRDefault="00E47C5B">
      <w:pPr>
        <w:pStyle w:val="FootnoteText"/>
        <w:rPr>
          <w:sz w:val="20"/>
        </w:rPr>
      </w:pPr>
      <w:r>
        <w:tab/>
      </w:r>
      <w:r w:rsidRPr="00E47C5B">
        <w:rPr>
          <w:rStyle w:val="FootnoteReference"/>
          <w:sz w:val="20"/>
          <w:vertAlign w:val="baseline"/>
        </w:rPr>
        <w:t>*</w:t>
      </w:r>
      <w:r w:rsidRPr="00E47C5B">
        <w:rPr>
          <w:rStyle w:val="FootnoteReference"/>
          <w:vertAlign w:val="baseline"/>
        </w:rPr>
        <w:tab/>
      </w:r>
      <w:r>
        <w:t>Publicado nuevamente por razones técnicas el 27 de abril de 2017; publicado anteriormente con la signatura CAT/60/3.</w:t>
      </w:r>
    </w:p>
  </w:footnote>
  <w:footnote w:id="2">
    <w:p w:rsidR="007744C2" w:rsidRPr="00D31D71" w:rsidRDefault="007744C2" w:rsidP="007744C2">
      <w:pPr>
        <w:pStyle w:val="FootnoteText"/>
        <w:rPr>
          <w:lang w:val="fr-CH"/>
        </w:rPr>
      </w:pPr>
      <w:r w:rsidRPr="00D31D71">
        <w:tab/>
      </w:r>
      <w:r w:rsidRPr="007744C2">
        <w:rPr>
          <w:rStyle w:val="FootnoteReference"/>
        </w:rPr>
        <w:footnoteRef/>
      </w:r>
      <w:r w:rsidRPr="00D31D71">
        <w:rPr>
          <w:lang w:val="fr-CH"/>
        </w:rPr>
        <w:tab/>
        <w:t>Véase www.ohchr.org/EN/HRBodies/OPCAT/Pages/Article17.aspx.</w:t>
      </w:r>
    </w:p>
  </w:footnote>
  <w:footnote w:id="3">
    <w:p w:rsidR="007744C2" w:rsidRPr="00D31D71" w:rsidRDefault="007744C2" w:rsidP="007744C2">
      <w:pPr>
        <w:pStyle w:val="FootnoteText"/>
        <w:rPr>
          <w:lang w:val="fr-CH"/>
        </w:rPr>
      </w:pPr>
      <w:r w:rsidRPr="00D31D71">
        <w:rPr>
          <w:lang w:val="fr-CH"/>
        </w:rPr>
        <w:tab/>
      </w:r>
      <w:r w:rsidRPr="007744C2">
        <w:rPr>
          <w:rStyle w:val="FootnoteReference"/>
        </w:rPr>
        <w:footnoteRef/>
      </w:r>
      <w:r w:rsidRPr="00D31D71">
        <w:rPr>
          <w:lang w:val="fr-CH"/>
        </w:rPr>
        <w:tab/>
        <w:t>Véase www.ohchr.org/EN/HRBodies/OPCAT/Pages/OPCAT10.aspx.</w:t>
      </w:r>
    </w:p>
  </w:footnote>
  <w:footnote w:id="4">
    <w:p w:rsidR="007744C2" w:rsidRPr="00D31D71" w:rsidRDefault="007744C2" w:rsidP="007744C2">
      <w:pPr>
        <w:pStyle w:val="FootnoteText"/>
        <w:rPr>
          <w:lang w:val="fr-CH"/>
        </w:rPr>
      </w:pPr>
      <w:r w:rsidRPr="00D31D71">
        <w:rPr>
          <w:lang w:val="fr-CH"/>
        </w:rPr>
        <w:tab/>
      </w:r>
      <w:r w:rsidRPr="007744C2">
        <w:rPr>
          <w:rStyle w:val="FootnoteReference"/>
        </w:rPr>
        <w:footnoteRef/>
      </w:r>
      <w:r w:rsidRPr="00D31D71">
        <w:rPr>
          <w:lang w:val="fr-CH"/>
        </w:rPr>
        <w:tab/>
        <w:t>Véase www.ohchr.org/EN/HRBodies/OPCAT/Pages/Article17.aspx.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4C2" w:rsidRPr="007744C2" w:rsidRDefault="00182D01">
    <w:pPr>
      <w:pStyle w:val="Header"/>
    </w:pPr>
    <w:fldSimple w:instr=" TITLE  \* MERGEFORMAT ">
      <w:r>
        <w:t>CAT/C/60/3</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4C2" w:rsidRPr="007744C2" w:rsidRDefault="00182D01" w:rsidP="007744C2">
    <w:pPr>
      <w:pStyle w:val="Header"/>
      <w:jc w:val="right"/>
    </w:pPr>
    <w:fldSimple w:instr=" TITLE  \* MERGEFORMAT ">
      <w:r>
        <w:t>CAT/C/60/3</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83A"/>
    <w:rsid w:val="00004304"/>
    <w:rsid w:val="00033EE1"/>
    <w:rsid w:val="00042B72"/>
    <w:rsid w:val="000558BD"/>
    <w:rsid w:val="000B57E7"/>
    <w:rsid w:val="000B6373"/>
    <w:rsid w:val="000F09DF"/>
    <w:rsid w:val="000F61B2"/>
    <w:rsid w:val="001075E9"/>
    <w:rsid w:val="00151D67"/>
    <w:rsid w:val="00180183"/>
    <w:rsid w:val="0018024D"/>
    <w:rsid w:val="00182D01"/>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57F77"/>
    <w:rsid w:val="00381C24"/>
    <w:rsid w:val="003958D0"/>
    <w:rsid w:val="003B00E5"/>
    <w:rsid w:val="00407B78"/>
    <w:rsid w:val="00424203"/>
    <w:rsid w:val="00452493"/>
    <w:rsid w:val="00454E07"/>
    <w:rsid w:val="00455731"/>
    <w:rsid w:val="00462E81"/>
    <w:rsid w:val="004E1965"/>
    <w:rsid w:val="0050108D"/>
    <w:rsid w:val="00505971"/>
    <w:rsid w:val="00507B95"/>
    <w:rsid w:val="00513081"/>
    <w:rsid w:val="00517901"/>
    <w:rsid w:val="00526683"/>
    <w:rsid w:val="005709E0"/>
    <w:rsid w:val="00572E19"/>
    <w:rsid w:val="005961C8"/>
    <w:rsid w:val="005D7914"/>
    <w:rsid w:val="005F0B42"/>
    <w:rsid w:val="00625C72"/>
    <w:rsid w:val="00681A10"/>
    <w:rsid w:val="006C2031"/>
    <w:rsid w:val="006D461A"/>
    <w:rsid w:val="006D69BE"/>
    <w:rsid w:val="006E5A45"/>
    <w:rsid w:val="006E7495"/>
    <w:rsid w:val="006F35EE"/>
    <w:rsid w:val="007021FF"/>
    <w:rsid w:val="00712895"/>
    <w:rsid w:val="00740428"/>
    <w:rsid w:val="00757357"/>
    <w:rsid w:val="007744C2"/>
    <w:rsid w:val="00825F8D"/>
    <w:rsid w:val="00834B71"/>
    <w:rsid w:val="00844557"/>
    <w:rsid w:val="0086445C"/>
    <w:rsid w:val="00894693"/>
    <w:rsid w:val="008A08D7"/>
    <w:rsid w:val="008B6909"/>
    <w:rsid w:val="0090597A"/>
    <w:rsid w:val="00906890"/>
    <w:rsid w:val="00911BE4"/>
    <w:rsid w:val="00951972"/>
    <w:rsid w:val="009608F3"/>
    <w:rsid w:val="00A27F24"/>
    <w:rsid w:val="00A312BC"/>
    <w:rsid w:val="00A84021"/>
    <w:rsid w:val="00A917B3"/>
    <w:rsid w:val="00AB4B51"/>
    <w:rsid w:val="00AC611E"/>
    <w:rsid w:val="00AD5495"/>
    <w:rsid w:val="00B10CC7"/>
    <w:rsid w:val="00B4174A"/>
    <w:rsid w:val="00B539E7"/>
    <w:rsid w:val="00B62458"/>
    <w:rsid w:val="00BC6C8F"/>
    <w:rsid w:val="00BD33EE"/>
    <w:rsid w:val="00BF6356"/>
    <w:rsid w:val="00C106D6"/>
    <w:rsid w:val="00C60F0C"/>
    <w:rsid w:val="00C805C9"/>
    <w:rsid w:val="00C92939"/>
    <w:rsid w:val="00CA1679"/>
    <w:rsid w:val="00CB151C"/>
    <w:rsid w:val="00CE5A1A"/>
    <w:rsid w:val="00CF55F6"/>
    <w:rsid w:val="00D33D63"/>
    <w:rsid w:val="00D834BB"/>
    <w:rsid w:val="00D8412A"/>
    <w:rsid w:val="00D90138"/>
    <w:rsid w:val="00DC572A"/>
    <w:rsid w:val="00E26386"/>
    <w:rsid w:val="00E26FD5"/>
    <w:rsid w:val="00E4583A"/>
    <w:rsid w:val="00E47C5B"/>
    <w:rsid w:val="00E5002D"/>
    <w:rsid w:val="00E73F76"/>
    <w:rsid w:val="00E86BEC"/>
    <w:rsid w:val="00EA2C9F"/>
    <w:rsid w:val="00ED0BDA"/>
    <w:rsid w:val="00EE7EDE"/>
    <w:rsid w:val="00EF1360"/>
    <w:rsid w:val="00EF3220"/>
    <w:rsid w:val="00F350B1"/>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F4145E"/>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844557"/>
    <w:rPr>
      <w:color w:val="0000FF"/>
      <w:u w:val="none"/>
    </w:rPr>
  </w:style>
  <w:style w:type="character" w:styleId="FollowedHyperlink">
    <w:name w:val="FollowedHyperlink"/>
    <w:basedOn w:val="DefaultParagraphFont"/>
    <w:rsid w:val="00844557"/>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D6905"/>
    <w:rPr>
      <w:rFonts w:ascii="Tahoma" w:hAnsi="Tahoma" w:cs="Tahoma"/>
      <w:sz w:val="16"/>
      <w:szCs w:val="16"/>
      <w:lang w:val="es-ES" w:eastAsia="es-ES"/>
    </w:rPr>
  </w:style>
  <w:style w:type="character" w:customStyle="1" w:styleId="SingleTxtGChar">
    <w:name w:val="_ Single Txt_G Char"/>
    <w:link w:val="SingleTxtG"/>
    <w:rsid w:val="007744C2"/>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F4145E"/>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844557"/>
    <w:rPr>
      <w:color w:val="0000FF"/>
      <w:u w:val="none"/>
    </w:rPr>
  </w:style>
  <w:style w:type="character" w:styleId="FollowedHyperlink">
    <w:name w:val="FollowedHyperlink"/>
    <w:basedOn w:val="DefaultParagraphFont"/>
    <w:rsid w:val="00844557"/>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D6905"/>
    <w:rPr>
      <w:rFonts w:ascii="Tahoma" w:hAnsi="Tahoma" w:cs="Tahoma"/>
      <w:sz w:val="16"/>
      <w:szCs w:val="16"/>
      <w:lang w:val="es-ES" w:eastAsia="es-ES"/>
    </w:rPr>
  </w:style>
  <w:style w:type="character" w:customStyle="1" w:styleId="SingleTxtGChar">
    <w:name w:val="_ Single Txt_G Char"/>
    <w:link w:val="SingleTxtG"/>
    <w:rsid w:val="007744C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8A74B612F7D54380227E913AF157E1" ma:contentTypeVersion="0" ma:contentTypeDescription="Create a new document." ma:contentTypeScope="" ma:versionID="62e6e2e33f5da486226f289a87f0a436">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D0B3CA-E1C6-4436-B3C1-B633C1520C6D}"/>
</file>

<file path=customXml/itemProps2.xml><?xml version="1.0" encoding="utf-8"?>
<ds:datastoreItem xmlns:ds="http://schemas.openxmlformats.org/officeDocument/2006/customXml" ds:itemID="{780A8962-AF43-48F1-A1AC-8E59623BAFC1}"/>
</file>

<file path=customXml/itemProps3.xml><?xml version="1.0" encoding="utf-8"?>
<ds:datastoreItem xmlns:ds="http://schemas.openxmlformats.org/officeDocument/2006/customXml" ds:itemID="{43FB2F62-7D96-44F9-B666-7E327D6C6ACE}"/>
</file>

<file path=docProps/app.xml><?xml version="1.0" encoding="utf-8"?>
<Properties xmlns="http://schemas.openxmlformats.org/officeDocument/2006/extended-properties" xmlns:vt="http://schemas.openxmlformats.org/officeDocument/2006/docPropsVTypes">
  <Template>CAT.dotm</Template>
  <TotalTime>1</TotalTime>
  <Pages>13</Pages>
  <Words>6580</Words>
  <Characters>37508</Characters>
  <Application>Microsoft Office Word</Application>
  <DocSecurity>0</DocSecurity>
  <Lines>312</Lines>
  <Paragraphs>87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CAT/C/60/3</vt:lpstr>
      <vt:lpstr>CAT/C/60/3</vt:lpstr>
    </vt:vector>
  </TitlesOfParts>
  <Company>OHCHR</Company>
  <LinksUpToDate>false</LinksUpToDate>
  <CharactersWithSpaces>44001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CAT/C/60/3</dc:title>
  <dc:creator>Mabel PARADA</dc:creator>
  <cp:lastModifiedBy>Hélène Orrü</cp:lastModifiedBy>
  <cp:revision>2</cp:revision>
  <cp:lastPrinted>2017-04-28T11:55:00Z</cp:lastPrinted>
  <dcterms:created xsi:type="dcterms:W3CDTF">2017-05-05T15:20:00Z</dcterms:created>
  <dcterms:modified xsi:type="dcterms:W3CDTF">2017-05-05T15:20:00Z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0x0101008C8A74B612F7D54380227E913AF157E1</vt:lpwstr>
  </property>
</Properties>
</file>