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37CB" w14:textId="5D8417A9" w:rsidR="00173D9E" w:rsidRDefault="00B55DE3">
      <w:pPr>
        <w:pStyle w:val="LO-normal"/>
        <w:spacing w:before="170" w:after="170"/>
        <w:jc w:val="center"/>
        <w:rPr>
          <w:rFonts w:ascii="Times New Roman" w:hAnsi="Times New Roman" w:cs="Times New Roman"/>
          <w:b/>
          <w:lang w:val="en-US"/>
        </w:rPr>
      </w:pPr>
      <w:r w:rsidRPr="009A7553">
        <w:rPr>
          <w:rFonts w:ascii="Times New Roman" w:hAnsi="Times New Roman" w:cs="Times New Roman"/>
          <w:noProof/>
          <w:lang w:val="en-US"/>
        </w:rPr>
        <w:drawing>
          <wp:anchor distT="0" distB="0" distL="114300" distR="114300" simplePos="0" relativeHeight="251661312" behindDoc="1" locked="0" layoutInCell="1" allowOverlap="1" wp14:anchorId="54C6809E" wp14:editId="0C84D263">
            <wp:simplePos x="0" y="0"/>
            <wp:positionH relativeFrom="column">
              <wp:posOffset>3724712</wp:posOffset>
            </wp:positionH>
            <wp:positionV relativeFrom="paragraph">
              <wp:posOffset>-640080</wp:posOffset>
            </wp:positionV>
            <wp:extent cx="3105260" cy="11096148"/>
            <wp:effectExtent l="0" t="0" r="6350" b="381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173D9E">
        <w:rPr>
          <w:rFonts w:ascii="Times New Roman" w:hAnsi="Times New Roman" w:cs="Times New Roman"/>
          <w:b/>
          <w:noProof/>
          <w:lang w:val="en-US"/>
        </w:rPr>
        <w:drawing>
          <wp:anchor distT="0" distB="0" distL="114300" distR="114300" simplePos="0" relativeHeight="251659264" behindDoc="1" locked="0" layoutInCell="1" allowOverlap="1" wp14:anchorId="185A1670" wp14:editId="15A5614B">
            <wp:simplePos x="0" y="0"/>
            <wp:positionH relativeFrom="column">
              <wp:posOffset>2853437</wp:posOffset>
            </wp:positionH>
            <wp:positionV relativeFrom="paragraph">
              <wp:posOffset>-767387</wp:posOffset>
            </wp:positionV>
            <wp:extent cx="3309403" cy="1985711"/>
            <wp:effectExtent l="0" t="0" r="571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4464" cy="1994748"/>
                    </a:xfrm>
                    <a:prstGeom prst="rect">
                      <a:avLst/>
                    </a:prstGeom>
                  </pic:spPr>
                </pic:pic>
              </a:graphicData>
            </a:graphic>
            <wp14:sizeRelH relativeFrom="page">
              <wp14:pctWidth>0</wp14:pctWidth>
            </wp14:sizeRelH>
            <wp14:sizeRelV relativeFrom="page">
              <wp14:pctHeight>0</wp14:pctHeight>
            </wp14:sizeRelV>
          </wp:anchor>
        </w:drawing>
      </w:r>
      <w:r w:rsidR="00173D9E">
        <w:rPr>
          <w:noProof/>
        </w:rPr>
        <w:drawing>
          <wp:anchor distT="0" distB="0" distL="114300" distR="114300" simplePos="0" relativeHeight="251658240" behindDoc="1" locked="0" layoutInCell="1" allowOverlap="1" wp14:anchorId="20574D04" wp14:editId="096CB891">
            <wp:simplePos x="0" y="0"/>
            <wp:positionH relativeFrom="column">
              <wp:posOffset>326290</wp:posOffset>
            </wp:positionH>
            <wp:positionV relativeFrom="paragraph">
              <wp:posOffset>-33889</wp:posOffset>
            </wp:positionV>
            <wp:extent cx="1890395" cy="758754"/>
            <wp:effectExtent l="0" t="0" r="1905" b="381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890395" cy="758754"/>
                    </a:xfrm>
                    <a:prstGeom prst="rect">
                      <a:avLst/>
                    </a:prstGeom>
                  </pic:spPr>
                </pic:pic>
              </a:graphicData>
            </a:graphic>
            <wp14:sizeRelH relativeFrom="page">
              <wp14:pctWidth>0</wp14:pctWidth>
            </wp14:sizeRelH>
            <wp14:sizeRelV relativeFrom="page">
              <wp14:pctHeight>0</wp14:pctHeight>
            </wp14:sizeRelV>
          </wp:anchor>
        </w:drawing>
      </w:r>
    </w:p>
    <w:p w14:paraId="5460AA32" w14:textId="5224839E" w:rsidR="00173D9E" w:rsidRDefault="00173D9E">
      <w:pPr>
        <w:pStyle w:val="LO-normal"/>
        <w:spacing w:before="170" w:after="170"/>
        <w:jc w:val="center"/>
        <w:rPr>
          <w:rFonts w:ascii="Times New Roman" w:hAnsi="Times New Roman" w:cs="Times New Roman"/>
          <w:b/>
          <w:lang w:val="en-US"/>
        </w:rPr>
      </w:pPr>
    </w:p>
    <w:p w14:paraId="69C30BB7" w14:textId="4922F7AA" w:rsidR="00173D9E" w:rsidRDefault="00173D9E">
      <w:pPr>
        <w:pStyle w:val="LO-normal"/>
        <w:spacing w:before="170" w:after="170"/>
        <w:jc w:val="center"/>
        <w:rPr>
          <w:rFonts w:ascii="Times New Roman" w:hAnsi="Times New Roman" w:cs="Times New Roman"/>
          <w:b/>
          <w:lang w:val="en-US"/>
        </w:rPr>
      </w:pPr>
    </w:p>
    <w:p w14:paraId="339772FC" w14:textId="540BDC5C" w:rsidR="00173D9E" w:rsidRDefault="00173D9E">
      <w:pPr>
        <w:pStyle w:val="LO-normal"/>
        <w:spacing w:before="170" w:after="170"/>
        <w:jc w:val="center"/>
        <w:rPr>
          <w:rFonts w:ascii="Times New Roman" w:hAnsi="Times New Roman" w:cs="Times New Roman"/>
          <w:b/>
          <w:lang w:val="en-US"/>
        </w:rPr>
      </w:pPr>
    </w:p>
    <w:p w14:paraId="5DE23E04" w14:textId="77777777" w:rsidR="00173D9E" w:rsidRDefault="00173D9E">
      <w:pPr>
        <w:pStyle w:val="LO-normal"/>
        <w:spacing w:before="170" w:after="170"/>
        <w:jc w:val="center"/>
        <w:rPr>
          <w:rFonts w:ascii="Times New Roman" w:hAnsi="Times New Roman" w:cs="Times New Roman"/>
          <w:b/>
          <w:lang w:val="en-US"/>
        </w:rPr>
      </w:pPr>
    </w:p>
    <w:p w14:paraId="70FF26B0" w14:textId="4487959C" w:rsidR="00173D9E" w:rsidRDefault="00173D9E">
      <w:pPr>
        <w:pStyle w:val="LO-normal"/>
        <w:spacing w:before="170" w:after="170"/>
        <w:jc w:val="center"/>
        <w:rPr>
          <w:rFonts w:ascii="Times New Roman" w:hAnsi="Times New Roman" w:cs="Times New Roman"/>
          <w:b/>
        </w:rPr>
      </w:pPr>
    </w:p>
    <w:p w14:paraId="0E2F52A8" w14:textId="77777777" w:rsidR="00B55DE3" w:rsidRPr="00B55DE3" w:rsidRDefault="00B55DE3">
      <w:pPr>
        <w:pStyle w:val="LO-normal"/>
        <w:spacing w:before="170" w:after="170"/>
        <w:jc w:val="center"/>
        <w:rPr>
          <w:rFonts w:ascii="Times New Roman" w:hAnsi="Times New Roman" w:cs="Times New Roman"/>
          <w:b/>
        </w:rPr>
      </w:pPr>
    </w:p>
    <w:p w14:paraId="00000001" w14:textId="373985CE" w:rsidR="00DC2930" w:rsidRPr="00B55DE3" w:rsidRDefault="00000000">
      <w:pPr>
        <w:pStyle w:val="LO-normal"/>
        <w:spacing w:before="170" w:after="170"/>
        <w:jc w:val="center"/>
        <w:rPr>
          <w:rFonts w:ascii="Times New Roman" w:hAnsi="Times New Roman" w:cs="Times New Roman"/>
          <w:sz w:val="26"/>
          <w:szCs w:val="26"/>
          <w:lang w:val="en-US"/>
        </w:rPr>
      </w:pPr>
      <w:r w:rsidRPr="00B55DE3">
        <w:rPr>
          <w:rFonts w:ascii="Times New Roman" w:hAnsi="Times New Roman" w:cs="Times New Roman"/>
          <w:b/>
          <w:sz w:val="26"/>
          <w:szCs w:val="26"/>
          <w:lang w:val="en-US"/>
        </w:rPr>
        <w:t>Submission to the UN Human Rights Committee in Advance of its Adoption of the List of Issues for Moldova’s Next Reporting Cycle</w:t>
      </w:r>
    </w:p>
    <w:p w14:paraId="08FCEBB2" w14:textId="41EF0D58" w:rsidR="00173D9E" w:rsidRDefault="00173D9E">
      <w:pPr>
        <w:pStyle w:val="LO-normal"/>
        <w:spacing w:before="170" w:after="170"/>
        <w:jc w:val="center"/>
        <w:rPr>
          <w:rFonts w:ascii="Times New Roman" w:hAnsi="Times New Roman" w:cs="Times New Roman"/>
          <w:lang w:val="en-US"/>
        </w:rPr>
      </w:pPr>
    </w:p>
    <w:p w14:paraId="6D1B409A" w14:textId="20F95D94" w:rsidR="00173D9E" w:rsidRDefault="00173D9E">
      <w:pPr>
        <w:pStyle w:val="LO-normal"/>
        <w:spacing w:before="170" w:after="170"/>
        <w:jc w:val="center"/>
        <w:rPr>
          <w:rFonts w:ascii="Times New Roman" w:hAnsi="Times New Roman" w:cs="Times New Roman"/>
          <w:lang w:val="en-US"/>
        </w:rPr>
      </w:pPr>
    </w:p>
    <w:p w14:paraId="58F67C8E" w14:textId="168F2DB5" w:rsidR="00173D9E" w:rsidRDefault="00173D9E">
      <w:pPr>
        <w:pStyle w:val="LO-normal"/>
        <w:spacing w:before="170" w:after="170"/>
        <w:jc w:val="center"/>
        <w:rPr>
          <w:rFonts w:ascii="Times New Roman" w:hAnsi="Times New Roman" w:cs="Times New Roman"/>
          <w:lang w:val="en-US"/>
        </w:rPr>
      </w:pPr>
    </w:p>
    <w:p w14:paraId="61597F4A" w14:textId="52C16E23" w:rsidR="00173D9E" w:rsidRDefault="00173D9E">
      <w:pPr>
        <w:pStyle w:val="LO-normal"/>
        <w:spacing w:before="170" w:after="170"/>
        <w:jc w:val="center"/>
        <w:rPr>
          <w:rFonts w:ascii="Times New Roman" w:hAnsi="Times New Roman" w:cs="Times New Roman"/>
          <w:lang w:val="en-US"/>
        </w:rPr>
      </w:pPr>
    </w:p>
    <w:p w14:paraId="46EF4170" w14:textId="77777777" w:rsidR="00173D9E" w:rsidRDefault="00173D9E">
      <w:pPr>
        <w:pStyle w:val="LO-normal"/>
        <w:spacing w:before="170" w:after="170"/>
        <w:jc w:val="center"/>
        <w:rPr>
          <w:rFonts w:ascii="Times New Roman" w:hAnsi="Times New Roman" w:cs="Times New Roman"/>
          <w:lang w:val="en-US"/>
        </w:rPr>
      </w:pPr>
    </w:p>
    <w:p w14:paraId="2EB6B07E" w14:textId="62AEE690" w:rsidR="00173D9E" w:rsidRDefault="00173D9E">
      <w:pPr>
        <w:pStyle w:val="LO-normal"/>
        <w:spacing w:before="170" w:after="170"/>
        <w:jc w:val="center"/>
        <w:rPr>
          <w:rFonts w:ascii="Times New Roman" w:hAnsi="Times New Roman" w:cs="Times New Roman"/>
          <w:lang w:val="en-US"/>
        </w:rPr>
      </w:pPr>
    </w:p>
    <w:p w14:paraId="06B11006" w14:textId="69C6C455" w:rsidR="00173D9E" w:rsidRDefault="00173D9E">
      <w:pPr>
        <w:pStyle w:val="LO-normal"/>
        <w:spacing w:before="170" w:after="170"/>
        <w:jc w:val="center"/>
        <w:rPr>
          <w:rFonts w:ascii="Times New Roman" w:hAnsi="Times New Roman" w:cs="Times New Roman"/>
          <w:lang w:val="en-US"/>
        </w:rPr>
      </w:pPr>
    </w:p>
    <w:p w14:paraId="5EB0578B" w14:textId="77777777" w:rsidR="00173D9E" w:rsidRDefault="00173D9E">
      <w:pPr>
        <w:pStyle w:val="LO-normal"/>
        <w:spacing w:before="170" w:after="170"/>
        <w:jc w:val="center"/>
        <w:rPr>
          <w:rFonts w:ascii="Times New Roman" w:hAnsi="Times New Roman" w:cs="Times New Roman"/>
          <w:lang w:val="en-US"/>
        </w:rPr>
      </w:pPr>
    </w:p>
    <w:p w14:paraId="6CF7FEF0" w14:textId="77777777" w:rsidR="00173D9E" w:rsidRDefault="00173D9E">
      <w:pPr>
        <w:pStyle w:val="LO-normal"/>
        <w:spacing w:before="170" w:after="170"/>
        <w:jc w:val="center"/>
        <w:rPr>
          <w:rFonts w:ascii="Times New Roman" w:hAnsi="Times New Roman" w:cs="Times New Roman"/>
          <w:lang w:val="en-US"/>
        </w:rPr>
      </w:pPr>
    </w:p>
    <w:p w14:paraId="67D1B6D0" w14:textId="77777777" w:rsidR="00173D9E" w:rsidRDefault="00173D9E">
      <w:pPr>
        <w:pStyle w:val="LO-normal"/>
        <w:spacing w:before="170" w:after="170"/>
        <w:jc w:val="center"/>
        <w:rPr>
          <w:rFonts w:ascii="Times New Roman" w:hAnsi="Times New Roman" w:cs="Times New Roman"/>
          <w:lang w:val="en-US"/>
        </w:rPr>
      </w:pPr>
    </w:p>
    <w:p w14:paraId="295BA451" w14:textId="77777777" w:rsidR="00173D9E" w:rsidRDefault="00173D9E">
      <w:pPr>
        <w:pStyle w:val="LO-normal"/>
        <w:spacing w:before="170" w:after="170"/>
        <w:jc w:val="center"/>
        <w:rPr>
          <w:rFonts w:ascii="Times New Roman" w:hAnsi="Times New Roman" w:cs="Times New Roman"/>
          <w:lang w:val="en-US"/>
        </w:rPr>
      </w:pPr>
    </w:p>
    <w:p w14:paraId="2170E10A" w14:textId="77777777" w:rsidR="00173D9E" w:rsidRDefault="00173D9E">
      <w:pPr>
        <w:pStyle w:val="LO-normal"/>
        <w:spacing w:before="170" w:after="170"/>
        <w:jc w:val="center"/>
        <w:rPr>
          <w:rFonts w:ascii="Times New Roman" w:hAnsi="Times New Roman" w:cs="Times New Roman"/>
          <w:lang w:val="en-US"/>
        </w:rPr>
      </w:pPr>
    </w:p>
    <w:p w14:paraId="02E7E412" w14:textId="77777777" w:rsidR="00173D9E" w:rsidRDefault="00173D9E">
      <w:pPr>
        <w:pStyle w:val="LO-normal"/>
        <w:spacing w:before="170" w:after="170"/>
        <w:jc w:val="center"/>
        <w:rPr>
          <w:rFonts w:ascii="Times New Roman" w:hAnsi="Times New Roman" w:cs="Times New Roman"/>
          <w:lang w:val="en-US"/>
        </w:rPr>
      </w:pPr>
    </w:p>
    <w:p w14:paraId="4F831BE2" w14:textId="77777777" w:rsidR="00173D9E" w:rsidRDefault="00173D9E">
      <w:pPr>
        <w:pStyle w:val="LO-normal"/>
        <w:spacing w:before="170" w:after="170"/>
        <w:jc w:val="center"/>
        <w:rPr>
          <w:rFonts w:ascii="Times New Roman" w:hAnsi="Times New Roman" w:cs="Times New Roman"/>
          <w:lang w:val="en-US"/>
        </w:rPr>
      </w:pPr>
    </w:p>
    <w:p w14:paraId="4830754D" w14:textId="77777777" w:rsidR="00173D9E" w:rsidRDefault="00173D9E">
      <w:pPr>
        <w:pStyle w:val="LO-normal"/>
        <w:spacing w:before="170" w:after="170"/>
        <w:jc w:val="center"/>
        <w:rPr>
          <w:rFonts w:ascii="Times New Roman" w:hAnsi="Times New Roman" w:cs="Times New Roman"/>
          <w:lang w:val="en-US"/>
        </w:rPr>
      </w:pPr>
    </w:p>
    <w:p w14:paraId="51494FAF" w14:textId="77777777" w:rsidR="00173D9E" w:rsidRDefault="00173D9E">
      <w:pPr>
        <w:pStyle w:val="LO-normal"/>
        <w:spacing w:before="170" w:after="170"/>
        <w:jc w:val="center"/>
        <w:rPr>
          <w:rFonts w:ascii="Times New Roman" w:hAnsi="Times New Roman" w:cs="Times New Roman"/>
          <w:lang w:val="en-US"/>
        </w:rPr>
      </w:pPr>
    </w:p>
    <w:p w14:paraId="2647F619" w14:textId="77777777" w:rsidR="00173D9E" w:rsidRDefault="00173D9E">
      <w:pPr>
        <w:pStyle w:val="LO-normal"/>
        <w:spacing w:before="170" w:after="170"/>
        <w:jc w:val="center"/>
        <w:rPr>
          <w:rFonts w:ascii="Times New Roman" w:hAnsi="Times New Roman" w:cs="Times New Roman"/>
          <w:lang w:val="en-US"/>
        </w:rPr>
      </w:pPr>
    </w:p>
    <w:p w14:paraId="1D33AC72" w14:textId="77777777" w:rsidR="00173D9E" w:rsidRDefault="00173D9E">
      <w:pPr>
        <w:pStyle w:val="LO-normal"/>
        <w:spacing w:before="170" w:after="170"/>
        <w:jc w:val="center"/>
        <w:rPr>
          <w:rFonts w:ascii="Times New Roman" w:hAnsi="Times New Roman" w:cs="Times New Roman"/>
          <w:lang w:val="en-US"/>
        </w:rPr>
      </w:pPr>
    </w:p>
    <w:p w14:paraId="4CAB3D8C" w14:textId="77777777" w:rsidR="00173D9E" w:rsidRDefault="00173D9E">
      <w:pPr>
        <w:pStyle w:val="LO-normal"/>
        <w:spacing w:before="170" w:after="170"/>
        <w:jc w:val="center"/>
        <w:rPr>
          <w:rFonts w:ascii="Times New Roman" w:hAnsi="Times New Roman" w:cs="Times New Roman"/>
          <w:lang w:val="en-US"/>
        </w:rPr>
      </w:pPr>
    </w:p>
    <w:p w14:paraId="1B7723F2" w14:textId="77777777" w:rsidR="00173D9E" w:rsidRDefault="00173D9E">
      <w:pPr>
        <w:pStyle w:val="LO-normal"/>
        <w:spacing w:before="170" w:after="170"/>
        <w:jc w:val="center"/>
        <w:rPr>
          <w:rFonts w:ascii="Times New Roman" w:hAnsi="Times New Roman" w:cs="Times New Roman"/>
          <w:lang w:val="en-US"/>
        </w:rPr>
      </w:pPr>
    </w:p>
    <w:p w14:paraId="659D2538" w14:textId="77777777" w:rsidR="00173D9E" w:rsidRDefault="00173D9E">
      <w:pPr>
        <w:pStyle w:val="LO-normal"/>
        <w:spacing w:before="170" w:after="170"/>
        <w:jc w:val="center"/>
        <w:rPr>
          <w:rFonts w:ascii="Times New Roman" w:hAnsi="Times New Roman" w:cs="Times New Roman"/>
          <w:lang w:val="en-US"/>
        </w:rPr>
      </w:pPr>
    </w:p>
    <w:p w14:paraId="00000002" w14:textId="63DF2428" w:rsidR="00DC2930" w:rsidRPr="007762B5" w:rsidRDefault="00173D9E">
      <w:pPr>
        <w:pStyle w:val="LO-normal"/>
        <w:spacing w:before="170" w:after="170"/>
        <w:jc w:val="center"/>
        <w:rPr>
          <w:rFonts w:ascii="Times New Roman" w:hAnsi="Times New Roman" w:cs="Times New Roman"/>
          <w:lang w:val="en-US"/>
        </w:rPr>
      </w:pPr>
      <w:r>
        <w:rPr>
          <w:rFonts w:ascii="Times New Roman" w:hAnsi="Times New Roman" w:cs="Times New Roman"/>
          <w:lang w:val="en-US"/>
        </w:rPr>
        <w:t>May</w:t>
      </w:r>
      <w:r w:rsidR="00000000" w:rsidRPr="007762B5">
        <w:rPr>
          <w:rFonts w:ascii="Times New Roman" w:hAnsi="Times New Roman" w:cs="Times New Roman"/>
          <w:lang w:val="en-US"/>
        </w:rPr>
        <w:t xml:space="preserve"> 2023</w:t>
      </w:r>
    </w:p>
    <w:p w14:paraId="00000003" w14:textId="77777777" w:rsidR="00DC2930" w:rsidRPr="007762B5" w:rsidRDefault="00DC2930">
      <w:pPr>
        <w:pStyle w:val="LO-normal"/>
        <w:spacing w:before="170" w:after="170"/>
        <w:jc w:val="center"/>
        <w:rPr>
          <w:rFonts w:ascii="Times New Roman" w:hAnsi="Times New Roman" w:cs="Times New Roman"/>
          <w:lang w:val="en-US"/>
        </w:rPr>
      </w:pPr>
    </w:p>
    <w:p w14:paraId="00000004" w14:textId="57C8D711" w:rsidR="00DC2930" w:rsidRPr="007762B5" w:rsidRDefault="00B55DE3">
      <w:pPr>
        <w:pStyle w:val="LO-normal"/>
        <w:spacing w:before="170" w:after="170"/>
        <w:ind w:firstLine="567"/>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63360" behindDoc="1" locked="0" layoutInCell="1" allowOverlap="1" wp14:anchorId="21AA5520" wp14:editId="5A8A509D">
            <wp:simplePos x="0" y="0"/>
            <wp:positionH relativeFrom="column">
              <wp:posOffset>3673366</wp:posOffset>
            </wp:positionH>
            <wp:positionV relativeFrom="paragraph">
              <wp:posOffset>-678552</wp:posOffset>
            </wp:positionV>
            <wp:extent cx="3105260" cy="11096148"/>
            <wp:effectExtent l="0" t="0" r="6350" b="381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b/>
          <w:lang w:val="en-US"/>
        </w:rPr>
        <w:t>Introduction</w:t>
      </w:r>
    </w:p>
    <w:p w14:paraId="00000005"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ECOM and </w:t>
      </w:r>
      <w:r w:rsidRPr="007762B5">
        <w:rPr>
          <w:rFonts w:ascii="Times New Roman" w:hAnsi="Times New Roman" w:cs="Times New Roman"/>
          <w:color w:val="000000"/>
          <w:lang w:val="en-US"/>
        </w:rPr>
        <w:t xml:space="preserve">GENDERDOC-M </w:t>
      </w:r>
      <w:r w:rsidRPr="007762B5">
        <w:rPr>
          <w:rFonts w:ascii="Times New Roman" w:hAnsi="Times New Roman" w:cs="Times New Roman"/>
          <w:lang w:val="en-US"/>
        </w:rPr>
        <w:t xml:space="preserve">provide the following submission in advance of the 138 Session of the Human Rights Committee (the Committee or the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taking place between 26 June - 28 July 2023, for consideration of the List of Issues Prior to Reporting for Moldova. We hope that it will inform the Committee’s review of the Moldovan government’s (“the Government’s”) compliance with its obligations under the International Covenant on Civil and Political Rights (“the Covenant'') and be helpful as the Committee draws up the “List of Issues” to seek further clarity from the Government on outstanding issues regarding its adherence to the Covenant.</w:t>
      </w:r>
    </w:p>
    <w:p w14:paraId="00000006"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concerns described below derive from our ongoing research in Moldova since the last periodic review in 2016. They raise several issues which are worth being included in the LOIPR.</w:t>
      </w:r>
    </w:p>
    <w:p w14:paraId="00000007"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Before providing our alternative commentary report on the above-mentioned issues, we, ECOM and GENDERDOC-M, would like to underline that we understand the difficulties that Moldova faces on its path to becoming a free, democratic, progressive, legal, and social state. We also express our understanding of the broad spectrum of areas the Government requires to improve based on the Committee’s previous List of Issues. Therefore, we are well aware that it is challenging for the Government to observe all human rights areas in its country because of the financial, human, and mental resources that have to be dedicated to fulfilling the Committee’s inquiries and recommendations.</w:t>
      </w:r>
    </w:p>
    <w:p w14:paraId="00000008" w14:textId="408F81B0"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Information about the authors of the submission </w:t>
      </w:r>
    </w:p>
    <w:p w14:paraId="00000009" w14:textId="77777777" w:rsidR="00DC2930" w:rsidRPr="007762B5" w:rsidRDefault="00000000">
      <w:pPr>
        <w:pStyle w:val="LO-normal"/>
        <w:spacing w:before="170" w:after="170"/>
        <w:ind w:left="754"/>
        <w:jc w:val="both"/>
        <w:rPr>
          <w:rFonts w:ascii="Times New Roman" w:eastAsia="Arial" w:hAnsi="Times New Roman" w:cs="Times New Roman"/>
          <w:lang w:val="en-US"/>
        </w:rPr>
      </w:pPr>
      <w:r w:rsidRPr="007762B5">
        <w:rPr>
          <w:rFonts w:ascii="Times New Roman" w:eastAsia="Arial" w:hAnsi="Times New Roman" w:cs="Times New Roman"/>
          <w:b/>
          <w:lang w:val="en-US"/>
        </w:rPr>
        <w:t>The “GENDERDOC-M” Information Centre</w:t>
      </w:r>
      <w:r w:rsidRPr="007762B5">
        <w:rPr>
          <w:rFonts w:ascii="Times New Roman" w:eastAsia="Arial" w:hAnsi="Times New Roman" w:cs="Times New Roman"/>
          <w:lang w:val="en-US"/>
        </w:rPr>
        <w:t xml:space="preserve"> was established on 8 May 1998 and is one of the oldest NGOs actively promoting LGBT (lesbians, gay, bisexual, and transgender people) community rights in Moldova. The organizational mission is to create a legislative, legal, and social framework for lesbians, gay, bisexual, and transgender people in society by developing the LGBT community, informing, promoting rights and providing services, and expanding organizational capacities.</w:t>
      </w:r>
    </w:p>
    <w:p w14:paraId="0000000A" w14:textId="77777777" w:rsidR="00DC2930" w:rsidRPr="007762B5" w:rsidRDefault="00000000">
      <w:pPr>
        <w:pStyle w:val="LO-normal"/>
        <w:spacing w:before="170" w:after="170"/>
        <w:ind w:left="754"/>
        <w:jc w:val="both"/>
        <w:rPr>
          <w:rFonts w:ascii="Times New Roman" w:eastAsia="Arial" w:hAnsi="Times New Roman" w:cs="Times New Roman"/>
          <w:lang w:val="en-US"/>
        </w:rPr>
      </w:pPr>
      <w:r w:rsidRPr="007762B5">
        <w:rPr>
          <w:rFonts w:ascii="Times New Roman" w:eastAsia="Arial" w:hAnsi="Times New Roman" w:cs="Times New Roman"/>
          <w:b/>
          <w:lang w:val="en-US"/>
        </w:rPr>
        <w:t>Eurasian Coalition on Health, Rights, Gender, and Sexual Diversity (ECOM)</w:t>
      </w:r>
      <w:r w:rsidRPr="007762B5">
        <w:rPr>
          <w:rFonts w:ascii="Times New Roman" w:eastAsia="Arial" w:hAnsi="Times New Roman" w:cs="Times New Roman"/>
          <w:lang w:val="en-US"/>
        </w:rPr>
        <w:t xml:space="preserve"> is an international non-governmental organization based in Tallinn, Estonia. We are a membership organization open to non-profit organizations and activists working in HIV prevention, treatment, care, and support for men who have sex with men and transgender people in Eastern Europe and Central Asia (EECA) region. The network currently has 76 members from 19 countries, including Moldova.</w:t>
      </w:r>
    </w:p>
    <w:p w14:paraId="0000000B"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following commentary is provided in the hope of participating in alleviating the burden that befalls LGBT in the country due to the lack of understanding of and sporadic enmity towards this marginalized group by the general public. Together, we forward it in the hope of participating in tackling the ongoing stigmatization and discrimination of the LGBT that happens routinely still, despite the newly adopted legislative protections. Further work must establish effective administration and enforcement of the mentioned guarantees.</w:t>
      </w:r>
    </w:p>
    <w:p w14:paraId="0000000C"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Background information</w:t>
      </w:r>
    </w:p>
    <w:p w14:paraId="0000000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Moldova acceded to the ICCPR on 26 January 1993. In its Concluding observations dated 4 November 2009 (CCPR/C/MDA/CO/2), the UN Human Rights Committee noted with concern that the State party has not adopted comprehensive anti-discrimination legislation (para. 7). The State party was encouraged to adopt comprehensive non-discrimination legislation that expressly outlaws all the grounds of discrimination set out in the Covenant, as well as provisions on adequate sanctions and compensation (para. 17).</w:t>
      </w:r>
    </w:p>
    <w:p w14:paraId="0000000E" w14:textId="3AB75655" w:rsidR="00DC2930" w:rsidRPr="007762B5" w:rsidRDefault="00B55DE3">
      <w:pPr>
        <w:pStyle w:val="LO-normal"/>
        <w:numPr>
          <w:ilvl w:val="0"/>
          <w:numId w:val="1"/>
        </w:numPr>
        <w:spacing w:before="170" w:after="170"/>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65408" behindDoc="1" locked="0" layoutInCell="1" allowOverlap="1" wp14:anchorId="689B5F15" wp14:editId="10A48238">
            <wp:simplePos x="0" y="0"/>
            <wp:positionH relativeFrom="column">
              <wp:posOffset>3657600</wp:posOffset>
            </wp:positionH>
            <wp:positionV relativeFrom="paragraph">
              <wp:posOffset>-655430</wp:posOffset>
            </wp:positionV>
            <wp:extent cx="3105260" cy="11096148"/>
            <wp:effectExtent l="0" t="0" r="6350" b="381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 xml:space="preserve">On 18 November 2016 (Concluding observations on the third periodic report of the Republic of Moldova, CCPR/C/MDA/CO/3), the </w:t>
      </w:r>
      <w:proofErr w:type="spellStart"/>
      <w:r w:rsidR="00000000" w:rsidRPr="007762B5">
        <w:rPr>
          <w:rFonts w:ascii="Times New Roman" w:hAnsi="Times New Roman" w:cs="Times New Roman"/>
          <w:lang w:val="en-US"/>
        </w:rPr>
        <w:t>HRCtte</w:t>
      </w:r>
      <w:proofErr w:type="spellEnd"/>
      <w:r w:rsidR="00000000" w:rsidRPr="007762B5">
        <w:rPr>
          <w:rFonts w:ascii="Times New Roman" w:hAnsi="Times New Roman" w:cs="Times New Roman"/>
          <w:lang w:val="en-US"/>
        </w:rPr>
        <w:t xml:space="preserve"> welcomed the adoption by the State party of the  Law no. 121 on ensuring equality; meanwhile, the Committee remained concerned about reports that individuals belonging to certain groups continue to face de facto discrimination, including lesbian, gay, bisexual and transgender persons (para. 11). The State party was urged to ensure that the rights of lesbian, gay, bisexual and transgender persons are effectively protected under Law no. 121, and to combat stereotypes and prejudice against such persons through awareness-raising campaigns (para. 12).</w:t>
      </w:r>
    </w:p>
    <w:p w14:paraId="0000000F"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The progress made by the State and the prevailing problems</w:t>
      </w:r>
    </w:p>
    <w:p w14:paraId="00000010"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We respectfully welcome Moldova’s steps towards enhancing the protection of the human rights of LGBT individuals. In particular, we commend Moldova on several immense achievements it made within its legislation. There is now a separate law defining and prohibiting discrimination, including on the grounds of sexual orientation, gender identity (SOGI). </w:t>
      </w:r>
    </w:p>
    <w:p w14:paraId="00000011"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Of the positive changes, it is also worth noting that on 21 April 2022, the Parliament of the Republic of Moldova voted for amendments to the Criminal Code for crimes based on prejudice and inciting criminal liability and incitement to violent actions based on prejudice. Sexual orientation and gender identity are included in the list of protected grounds.</w:t>
      </w:r>
    </w:p>
    <w:p w14:paraId="00000012"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significant change that can note is the amendment of the so-called «Media Law,» which entered into force on 1 January 2019 and prohibited the media from discriminating against people based on sexual orientation. Article 11 of the law states that «audiovisual programs are prohibited: ... from promoting incitement, propaganda, or the justification of racial hatred, xenophobia, anti-Semitism or other forms of hatred based on intolerance or discrimination based on sex, race, nationality, religion, disability or sexual orientation»</w:t>
      </w:r>
      <w:r w:rsidRPr="007762B5">
        <w:rPr>
          <w:rFonts w:ascii="Times New Roman" w:hAnsi="Times New Roman" w:cs="Times New Roman"/>
          <w:vertAlign w:val="superscript"/>
          <w:lang w:val="en-US"/>
        </w:rPr>
        <w:footnoteReference w:id="1"/>
      </w:r>
      <w:r w:rsidRPr="007762B5">
        <w:rPr>
          <w:rFonts w:ascii="Times New Roman" w:hAnsi="Times New Roman" w:cs="Times New Roman"/>
          <w:lang w:val="en-US"/>
        </w:rPr>
        <w:t xml:space="preserve">. Besides, the amendments to the Education Code introduced the term “bullying” and ways to prevent and sanction it (however, the law hasn’t still entered into force). On 6 October 2022, changes to the criminal code were voted, equating the penalty for same-sex rape with opposite-sex rape. </w:t>
      </w:r>
    </w:p>
    <w:p w14:paraId="00000013" w14:textId="5C6F24B6"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Meanwhile, despite the mentioned legislative achievements, the actual picture is less colorful:  there is still a range of challenges jeopardizing the fulfillment of the rights of LGBT individuals in Moldova. The main drawbacks are as follows: weak protection in cases of hate crimes, hate speech, and domestic and sexual violence; gender identity and civil partnership issues; education and bullying issues; lack of comprehensive data collection.</w:t>
      </w:r>
    </w:p>
    <w:p w14:paraId="00000014"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Despite the rights guaranteed by domestic law and international instruments, the LGBT community remains one of the country's most vulnerable groups. The given report is meant to serve as additional information regarding the broader non-discrimination of the LGBT people in Moldova and as an instrument to advance further and speed up positive changes. </w:t>
      </w:r>
    </w:p>
    <w:p w14:paraId="00000015"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This document identifies at least several issues that require clarification from the Moldovan authorities. In addition to recommendations, we formulate the questions that it would be desirable to put to the State at the forthcoming session. The given report is meant to serve as an instrument to advance positive changes and to amend the current underwhelming position in which the mentioned minority group tends to find itself.</w:t>
      </w:r>
    </w:p>
    <w:p w14:paraId="00000016"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Non-discrimination, gender equality, and prohibition of advocacy of hatred (arts. 2, 3, 20, and 26)</w:t>
      </w:r>
    </w:p>
    <w:p w14:paraId="00000017"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i/>
          <w:lang w:val="en-US"/>
        </w:rPr>
        <w:t>Anti-discrimination legislation</w:t>
      </w:r>
    </w:p>
    <w:p w14:paraId="00000018" w14:textId="72EBD2C2" w:rsidR="00DC2930" w:rsidRPr="007762B5" w:rsidRDefault="00B55DE3">
      <w:pPr>
        <w:pStyle w:val="LO-normal"/>
        <w:numPr>
          <w:ilvl w:val="0"/>
          <w:numId w:val="1"/>
        </w:numPr>
        <w:spacing w:before="170" w:after="170"/>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67456" behindDoc="1" locked="0" layoutInCell="1" allowOverlap="1" wp14:anchorId="5FBDB647" wp14:editId="7520CED3">
            <wp:simplePos x="0" y="0"/>
            <wp:positionH relativeFrom="column">
              <wp:posOffset>3641834</wp:posOffset>
            </wp:positionH>
            <wp:positionV relativeFrom="paragraph">
              <wp:posOffset>-627577</wp:posOffset>
            </wp:positionV>
            <wp:extent cx="3105260" cy="11096148"/>
            <wp:effectExtent l="0" t="0" r="6350" b="381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The Constitution of the Republic of Moldova contains a closed list of characteristics based on which equality is guaranteed (without any mention of SOGI) and recognizes the family only as a union between a man and a woman</w:t>
      </w:r>
      <w:r w:rsidR="00000000" w:rsidRPr="007762B5">
        <w:rPr>
          <w:rFonts w:ascii="Times New Roman" w:hAnsi="Times New Roman" w:cs="Times New Roman"/>
          <w:vertAlign w:val="superscript"/>
          <w:lang w:val="en-US"/>
        </w:rPr>
        <w:footnoteReference w:id="2"/>
      </w:r>
      <w:r w:rsidR="00000000" w:rsidRPr="007762B5">
        <w:rPr>
          <w:rFonts w:ascii="Times New Roman" w:hAnsi="Times New Roman" w:cs="Times New Roman"/>
          <w:lang w:val="en-US"/>
        </w:rPr>
        <w:t>.</w:t>
      </w:r>
    </w:p>
    <w:p w14:paraId="0000001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Moldova was the first country in the region to adopt a separate Law «on ensuring equality» in 2013 to implement the requirements of Directives 2000/43/EC of 29 June 2000 and 2000/78/EC of 27 November 2000 in national legislation. The law established a special Council for the Prevention and Elimination of Discrimination and Ensuring Equality, whose powers included reviewing complaints of discrimination and making appropriate decisions.</w:t>
      </w:r>
    </w:p>
    <w:p w14:paraId="0000001A"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In the Concluding observations on the third periodic report of the Republic of Moldova (31 October 2016), the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xml:space="preserve"> remained concerned about reports that individuals belonging to certain groups continue to face de facto discrimination, including lesbian, gay, bisexual, and transgender persons (para. 11).  Equally, in its Concluding observations (6 October 2017), the Committee on Economic, Social and Cultural Rights was concerned that anti-discrimination provisions, including law No. 121 on ensuring equality, did not provide for the prohibition of discrimination on all grounds, including health status, wealth, social origin, sexual orientation and gender identity (para. 19).</w:t>
      </w:r>
    </w:p>
    <w:p w14:paraId="0000001B"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Last year things finally changed. On 5 October 2022, the Parliament of Moldova voted for changes to the Law. These changes introduce sexual orientation and gender identity as protected grounds in all cases of discrimination</w:t>
      </w:r>
      <w:r w:rsidRPr="007762B5">
        <w:rPr>
          <w:rFonts w:ascii="Times New Roman" w:hAnsi="Times New Roman" w:cs="Times New Roman"/>
          <w:vertAlign w:val="superscript"/>
          <w:lang w:val="en-US"/>
        </w:rPr>
        <w:footnoteReference w:id="3"/>
      </w:r>
      <w:r w:rsidRPr="007762B5">
        <w:rPr>
          <w:rFonts w:ascii="Times New Roman" w:hAnsi="Times New Roman" w:cs="Times New Roman"/>
          <w:lang w:val="en-US"/>
        </w:rPr>
        <w:t>. The amendments also provide for some changes in the work of the Council turned into the "Council for Equality." Among the most important amendments, there are the empowerment of the Council to conduct fact-finding visits to document acts of discrimination; the empowerment of the Council to impose fines for failure to comply with the recommendations and prescriptions issued. The amended Law was officially published on 9 February 2023</w:t>
      </w:r>
      <w:r w:rsidRPr="007762B5">
        <w:rPr>
          <w:rFonts w:ascii="Times New Roman" w:hAnsi="Times New Roman" w:cs="Times New Roman"/>
          <w:vertAlign w:val="superscript"/>
          <w:lang w:val="en-US"/>
        </w:rPr>
        <w:footnoteReference w:id="4"/>
      </w:r>
      <w:r w:rsidRPr="007762B5">
        <w:rPr>
          <w:rFonts w:ascii="Times New Roman" w:hAnsi="Times New Roman" w:cs="Times New Roman"/>
          <w:lang w:val="en-US"/>
        </w:rPr>
        <w:t>.</w:t>
      </w:r>
    </w:p>
    <w:p w14:paraId="0000001C"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Analysis of the work of the Council and jurisprudence in cases of discrimination showed several problems in the entire system of protection against discrimination in the Republic of Moldova. The  Council did not recognize the ban on blood donation for gays as discrimination; did not consider the case of calls for discrimination after changes in the Criminal Code, but referred the complaint to the police.</w:t>
      </w:r>
    </w:p>
    <w:p w14:paraId="0000001D"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i/>
          <w:lang w:val="en-US"/>
        </w:rPr>
        <w:t>Hate crimes and violence</w:t>
      </w:r>
    </w:p>
    <w:p w14:paraId="0000001E"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Despite the law on equality in the country, there is still a relatively high level of discrimination in Moldova and frequent complaints of discrimination from LGBT people</w:t>
      </w:r>
      <w:r w:rsidRPr="007762B5">
        <w:rPr>
          <w:rFonts w:ascii="Times New Roman" w:hAnsi="Times New Roman" w:cs="Times New Roman"/>
          <w:vertAlign w:val="superscript"/>
          <w:lang w:val="en-US"/>
        </w:rPr>
        <w:footnoteReference w:id="5"/>
      </w:r>
      <w:r w:rsidRPr="007762B5">
        <w:rPr>
          <w:rFonts w:ascii="Times New Roman" w:hAnsi="Times New Roman" w:cs="Times New Roman"/>
          <w:lang w:val="en-US"/>
        </w:rPr>
        <w:t xml:space="preserve">. Problems with the investigation of hate crimes committed against LGBT people, alas, remain relevant. </w:t>
      </w:r>
    </w:p>
    <w:p w14:paraId="0000001F" w14:textId="2D0AB57E"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The hate crime statistics, especially regarding crimes committed on the grounds of SOGI, do not represent the actuality of the situation with the actual hate crimes committed, number of </w:t>
      </w:r>
      <w:r w:rsidR="00B55DE3" w:rsidRPr="009A7553">
        <w:rPr>
          <w:rFonts w:ascii="Times New Roman" w:hAnsi="Times New Roman" w:cs="Times New Roman"/>
          <w:noProof/>
          <w:lang w:val="en-US"/>
        </w:rPr>
        <w:lastRenderedPageBreak/>
        <w:drawing>
          <wp:anchor distT="0" distB="0" distL="114300" distR="114300" simplePos="0" relativeHeight="251669504" behindDoc="1" locked="0" layoutInCell="1" allowOverlap="1" wp14:anchorId="39142A91" wp14:editId="622AC64F">
            <wp:simplePos x="0" y="0"/>
            <wp:positionH relativeFrom="column">
              <wp:posOffset>3626069</wp:posOffset>
            </wp:positionH>
            <wp:positionV relativeFrom="paragraph">
              <wp:posOffset>-681442</wp:posOffset>
            </wp:positionV>
            <wp:extent cx="3105260" cy="11096148"/>
            <wp:effectExtent l="0" t="0" r="6350" b="381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victims, and commenced proceedings. The absence of a unified statistical methodology on hate crimes, with clear segregation by each protected attribute independently, concludes an essential barrier to combating hate crimes. Even when the victim has contacted the authorities, and a formal investigation has begun, the fact that, in most cases, presenting evidence is controversial, giving rise to a fear of retaliation, and that there is a lack of trust in law enforcement bodies, witnesses, and victims fear testifying.  Nevertheless, we have recently had positive changes in the work of the police in the capital. There are still these difficulties outside Chisinau.</w:t>
      </w:r>
      <w:r w:rsidR="00B55DE3" w:rsidRPr="00B55DE3">
        <w:rPr>
          <w:rFonts w:ascii="Times New Roman" w:hAnsi="Times New Roman" w:cs="Times New Roman"/>
          <w:noProof/>
          <w:lang w:val="en-US"/>
        </w:rPr>
        <w:t xml:space="preserve"> </w:t>
      </w:r>
    </w:p>
    <w:p w14:paraId="00000020"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Investigating promptly has remained problematic. Investigation often starts late, and investigative actions are conducted in unreasonably long intervals. The immediate appeal of the victim to law enforcement agencies plays a crucial role in identifying and catching criminals. It is also necessary to highlight the problem of the adequacy and proportionality of punishments, and there are examples of when attackers get off with a small fine. Another guarantee for the victim's reparation is rehabilitation and compensation for unlawful actions of investigative bodies.</w:t>
      </w:r>
    </w:p>
    <w:p w14:paraId="00000021" w14:textId="2EE049E9"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On 14 December 2021, the ECHR adopted the judgment in the case </w:t>
      </w:r>
      <w:proofErr w:type="spellStart"/>
      <w:r w:rsidRPr="007762B5">
        <w:rPr>
          <w:rFonts w:ascii="Times New Roman" w:hAnsi="Times New Roman" w:cs="Times New Roman"/>
          <w:i/>
          <w:lang w:val="en-US"/>
        </w:rPr>
        <w:t>Genderdoc</w:t>
      </w:r>
      <w:proofErr w:type="spellEnd"/>
      <w:r w:rsidRPr="007762B5">
        <w:rPr>
          <w:rFonts w:ascii="Times New Roman" w:hAnsi="Times New Roman" w:cs="Times New Roman"/>
          <w:i/>
          <w:lang w:val="en-US"/>
        </w:rPr>
        <w:t>-M and M.D. v. the Republic of Moldova</w:t>
      </w:r>
      <w:r w:rsidRPr="007762B5">
        <w:rPr>
          <w:rFonts w:ascii="Times New Roman" w:hAnsi="Times New Roman" w:cs="Times New Roman"/>
          <w:lang w:val="en-US"/>
        </w:rPr>
        <w:t xml:space="preserve"> (no. 23914/15),  which became final on 14 March 2022. The case concerns the lack of effective investigation into whether the assault on the LGBT individual was a hate criminal offense motivated by homophobia (a violation of Article 3 taken in conjunction with Article 14 of the Convention).  The Court criticized the domestic courts’ reasoning and the authorities’ failure to initiate a formal criminal investigation into the applicant’s allegations. The absence of such a meaningful investigation undermined public confidence in the State’s anti-discrimination policy. </w:t>
      </w:r>
    </w:p>
    <w:p w14:paraId="00000022"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conclusions set out by the Court oblige the Moldovan authorities to take general measures to change the legislation and law enforcement practices related to investigating hate crimes. Implementing such requirements is monitored by the Committee of Ministers of the Council of Europe, where on 24 February 2023, the authorities submitted their Action Plan</w:t>
      </w:r>
      <w:r w:rsidRPr="007762B5">
        <w:rPr>
          <w:rFonts w:ascii="Times New Roman" w:hAnsi="Times New Roman" w:cs="Times New Roman"/>
          <w:vertAlign w:val="superscript"/>
          <w:lang w:val="en-US"/>
        </w:rPr>
        <w:footnoteReference w:id="6"/>
      </w:r>
      <w:r w:rsidRPr="007762B5">
        <w:rPr>
          <w:rFonts w:ascii="Times New Roman" w:hAnsi="Times New Roman" w:cs="Times New Roman"/>
          <w:lang w:val="en-US"/>
        </w:rPr>
        <w:t>.</w:t>
      </w:r>
    </w:p>
    <w:p w14:paraId="00000023"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As the Government indicates, in order to have a clear, complete, and unambiguous definition to criminalize all illegal acts motivated by prejudice, contempt, or hatred, the Parliament of the Republic of Moldova introduced a series of amendments to the Criminal and  Administrative Codes by its Law no. 111 of 21 April 2022. By these amendments, the definition of prejudice was introduced to the  criminal legislation, in order to enlarge the scope of acts committed for reasons of prejudice, contempt or hatred, so it would also cover issues such as discrimination or  hostility, in line with the legislation of other European states. At the same time,  throughout the Criminal Code and Contravention Code, the phrase "social, national,  ethnic or religious hatred" has been amended with an updated definition according to the new concept, i.e., “prejudice, contempt or hatred.” Account has been taken, first of all, of offenses and/or contraventions whose primary object is physical and/or mental integrity. However, at the same time, other offenses and contraventions which may be motivated by prejudice, contempt, or hatred have also been taken into account, for example, illegal acts whose primary object is property or other patrimonial rights. The amendments also added to the Contravention Code a new chapter (Chapter V), similar to the Criminal Code, which aims to define specific terms or expressions within the meaning of the said Code.</w:t>
      </w:r>
    </w:p>
    <w:p w14:paraId="00000024" w14:textId="322C0545"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Besides, the amendments to the Contravention Code introduced the notion of harassment, i.e., the manifestation of physical, verbal, or non-verbal behavior or other actions that lead to the creation of an intimidating, hostile, degrading, humiliating, or offensive environment, with </w:t>
      </w:r>
      <w:r w:rsidR="00B55DE3" w:rsidRPr="009A7553">
        <w:rPr>
          <w:rFonts w:ascii="Times New Roman" w:hAnsi="Times New Roman" w:cs="Times New Roman"/>
          <w:noProof/>
          <w:lang w:val="en-US"/>
        </w:rPr>
        <w:lastRenderedPageBreak/>
        <w:drawing>
          <wp:anchor distT="0" distB="0" distL="114300" distR="114300" simplePos="0" relativeHeight="251671552" behindDoc="1" locked="0" layoutInCell="1" allowOverlap="1" wp14:anchorId="7959FD04" wp14:editId="240F4BF5">
            <wp:simplePos x="0" y="0"/>
            <wp:positionH relativeFrom="column">
              <wp:posOffset>3673190</wp:posOffset>
            </wp:positionH>
            <wp:positionV relativeFrom="paragraph">
              <wp:posOffset>-723002</wp:posOffset>
            </wp:positionV>
            <wp:extent cx="3105260" cy="11096148"/>
            <wp:effectExtent l="0" t="0" r="6350" b="381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the aim or effect of harming the dignity of a person based on the criteria of race, color, national origin, ethnic and social status, citizenship, language, religion or belief, age, sex, gender identity, marital status, sexual orientation, disability, health status, HIV status, opinion, political affiliation, wealth, birth or any other criterion.</w:t>
      </w:r>
    </w:p>
    <w:p w14:paraId="00000025" w14:textId="47083204"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Accordingly, the Government has concluded: «The general measures described in the Action Plan are sufficient to conclude that the Republic of Moldova has complied with its obligations under Article 46 § 1 of the Convention» (para. 18). </w:t>
      </w:r>
    </w:p>
    <w:p w14:paraId="00000026" w14:textId="27C39C7B"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We cannot agree with such conclusions and insist that the Committee of Ministers should continue to monitor the implementation of this judgment of the ECHR. We believe that time is needed to demonstrate that the measures proposed by the authorities are workable and feasible. The authorities and NGOs should continue their monitoring of this problem and, after some time, verify their relevant observations on the platform of the Council of Europe or the UN bodies. In this regard, it does not hurt to operate with certain statistics or the results of social research.</w:t>
      </w:r>
    </w:p>
    <w:p w14:paraId="00000027" w14:textId="5669C15E" w:rsidR="00DC2930" w:rsidRPr="007762B5" w:rsidRDefault="00DC2930">
      <w:pPr>
        <w:pStyle w:val="LO-normal"/>
        <w:spacing w:before="170" w:after="170"/>
        <w:ind w:firstLine="567"/>
        <w:jc w:val="both"/>
        <w:rPr>
          <w:rFonts w:ascii="Times New Roman" w:hAnsi="Times New Roman" w:cs="Times New Roman"/>
          <w:i/>
          <w:lang w:val="en-US"/>
        </w:rPr>
      </w:pPr>
    </w:p>
    <w:p w14:paraId="00000028"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i/>
          <w:lang w:val="en-US"/>
        </w:rPr>
        <w:t>Hate Speech</w:t>
      </w:r>
    </w:p>
    <w:p w14:paraId="0000002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While the LGBT community reported an improvement in respect for their rights during the year, cases of verbal harassment and discrimination by public officials and religious leaders continued. Religious leaders continued to make homophobic statements against the LGBT community. As in previous years, police were reluctant to open investigations against perpetrators of abuse</w:t>
      </w:r>
      <w:r w:rsidRPr="007762B5">
        <w:rPr>
          <w:rFonts w:ascii="Times New Roman" w:hAnsi="Times New Roman" w:cs="Times New Roman"/>
          <w:vertAlign w:val="superscript"/>
          <w:lang w:val="en-US"/>
        </w:rPr>
        <w:footnoteReference w:id="7"/>
      </w:r>
      <w:r w:rsidRPr="007762B5">
        <w:rPr>
          <w:rFonts w:ascii="Times New Roman" w:hAnsi="Times New Roman" w:cs="Times New Roman"/>
          <w:lang w:val="en-US"/>
        </w:rPr>
        <w:t>.</w:t>
      </w:r>
    </w:p>
    <w:p w14:paraId="0000002A" w14:textId="6D8049C8"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Above, we have already mentioned legislative changes that improve the situation in the regulatory framework for combating hate crimes and hate speech. Yet, cases of hate speech are still not effectively sanctioned. This is particularly visible in the case of hate speech against LGBT people. In the case of speech on social media, the police do not act. Politicians and journalists are favored on the grounds of “freedom of opinion”, but hate speech actually provides the elements on which it can be proved. Politicians, including MPs, continue to incite hatred. This has recently been done even from the rostrum of Parliament</w:t>
      </w:r>
      <w:r w:rsidRPr="007762B5">
        <w:rPr>
          <w:rFonts w:ascii="Times New Roman" w:hAnsi="Times New Roman" w:cs="Times New Roman"/>
          <w:vertAlign w:val="superscript"/>
          <w:lang w:val="en-US"/>
        </w:rPr>
        <w:footnoteReference w:id="8"/>
      </w:r>
      <w:r w:rsidRPr="007762B5">
        <w:rPr>
          <w:rFonts w:ascii="Times New Roman" w:hAnsi="Times New Roman" w:cs="Times New Roman"/>
          <w:lang w:val="en-US"/>
        </w:rPr>
        <w:t>. GENDERDOC-M had collected many examples when significant persons in the state allowed words of hatred towards LGBT+ people</w:t>
      </w:r>
      <w:r w:rsidRPr="007762B5">
        <w:rPr>
          <w:rFonts w:ascii="Times New Roman" w:hAnsi="Times New Roman" w:cs="Times New Roman"/>
          <w:vertAlign w:val="superscript"/>
          <w:lang w:val="en-US"/>
        </w:rPr>
        <w:footnoteReference w:id="9"/>
      </w:r>
      <w:r w:rsidRPr="007762B5">
        <w:rPr>
          <w:rFonts w:ascii="Times New Roman" w:hAnsi="Times New Roman" w:cs="Times New Roman"/>
          <w:lang w:val="en-US"/>
        </w:rPr>
        <w:t>.</w:t>
      </w:r>
    </w:p>
    <w:p w14:paraId="0000002B"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Suggested Questions for State Party’s List of Issues Prior to Reporting:</w:t>
      </w:r>
    </w:p>
    <w:p w14:paraId="0000002C"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Please provide examples of cases in which courts, tribunals, or other bodies have applied or reflected the Covenant in their decisions. </w:t>
      </w:r>
    </w:p>
    <w:p w14:paraId="0000002D"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provide information on further legislative and judicial initiatives that would permit to restore the rights of lesbian, gay, bisexual, and transgender individuals who have been subjected to discriminatory practices.</w:t>
      </w:r>
    </w:p>
    <w:p w14:paraId="0000002E"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indicate what activities Moldova has concluded to develop comprehensive, diversified, publicly available statistics regarding hate crimes based on SOGI.</w:t>
      </w:r>
    </w:p>
    <w:p w14:paraId="0000002F" w14:textId="2092E984"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Please provide information on cases where victims of discrimination or violence based on sexual orientation and gender identity have been provided for access to effective and appropriate </w:t>
      </w:r>
      <w:r w:rsidR="00B55DE3" w:rsidRPr="009A7553">
        <w:rPr>
          <w:rFonts w:ascii="Times New Roman" w:hAnsi="Times New Roman" w:cs="Times New Roman"/>
          <w:noProof/>
          <w:lang w:val="en-US"/>
        </w:rPr>
        <w:lastRenderedPageBreak/>
        <w:drawing>
          <wp:anchor distT="0" distB="0" distL="114300" distR="114300" simplePos="0" relativeHeight="251673600" behindDoc="1" locked="0" layoutInCell="1" allowOverlap="1" wp14:anchorId="668507EC" wp14:editId="7EA5A990">
            <wp:simplePos x="0" y="0"/>
            <wp:positionH relativeFrom="column">
              <wp:posOffset>3689131</wp:posOffset>
            </wp:positionH>
            <wp:positionV relativeFrom="paragraph">
              <wp:posOffset>-661517</wp:posOffset>
            </wp:positionV>
            <wp:extent cx="3105260" cy="11096148"/>
            <wp:effectExtent l="0" t="0" r="6350" b="381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remedies and to properly investigate and prosecute perpetrators of discrimination or violence against persons based on sexual orientation or gender identity.</w:t>
      </w:r>
    </w:p>
    <w:p w14:paraId="00000030" w14:textId="3908C5A4"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r w:rsidR="00B55DE3" w:rsidRPr="00B55DE3">
        <w:rPr>
          <w:rFonts w:ascii="Times New Roman" w:hAnsi="Times New Roman" w:cs="Times New Roman"/>
          <w:noProof/>
          <w:lang w:val="en-US"/>
        </w:rPr>
        <w:t xml:space="preserve"> </w:t>
      </w:r>
    </w:p>
    <w:p w14:paraId="00000031"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take measures to raise awareness of the Covenant and the anti-discrimination legislation among the judiciary, lawyers, law enforcement officials, and among the population.</w:t>
      </w:r>
    </w:p>
    <w:p w14:paraId="00000032"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collect, analyze and publish information on evaluations of the impact of human rights training programs for law enforcement officials.</w:t>
      </w:r>
    </w:p>
    <w:p w14:paraId="00000033"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make more efforts to provide opportunities for the effective participation of civil society in the legislative process.</w:t>
      </w:r>
    </w:p>
    <w:p w14:paraId="00000034"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collect and publish up-to-date disaggregated statistical data on the number of complaints received alleging hate-motivated violence, including incidents of ill-treatment by law enforcement officials, the number of complaints investigated, and any prosecutions brought.</w:t>
      </w:r>
    </w:p>
    <w:p w14:paraId="00000035"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establish a dedicated hate crime investigation unit at the law enforcement level to strengthen the investigation and prosecution of hate-motivated crimes based on SOGI.</w:t>
      </w:r>
    </w:p>
    <w:p w14:paraId="00000036"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analyze hate crime statistics to identify the root causes of such crimes and the obstacles hindering their proper identification.</w:t>
      </w:r>
    </w:p>
    <w:p w14:paraId="00000037"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Condemn all propaganda and organizations based on ideas or theories of superiority of a group of persons of ethnic origin or which attempt to justify or promote hatred and discrimination based on sexual orientation and gender identity.</w:t>
      </w:r>
    </w:p>
    <w:p w14:paraId="00000038" w14:textId="6D9B6B33"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Take measures to prevent and combat hate speech, including in the media and on other public platforms such as the Internet, and by politicians and public figures in their discourse, in particular against LGBT people, women, and migrants, in close cooperation with Internet service providers, social networking platforms and the groups most affected by hate speech.</w:t>
      </w:r>
    </w:p>
    <w:p w14:paraId="00000039"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 xml:space="preserve">Violence against women, including domestic and sexual violence (arts. 2, 3, 6, 7 and 26) </w:t>
      </w:r>
    </w:p>
    <w:p w14:paraId="0000003A"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level of domestic violence against LGBT people is also high</w:t>
      </w:r>
      <w:r w:rsidRPr="007762B5">
        <w:rPr>
          <w:rFonts w:ascii="Times New Roman" w:hAnsi="Times New Roman" w:cs="Times New Roman"/>
          <w:vertAlign w:val="superscript"/>
          <w:lang w:val="en-US"/>
        </w:rPr>
        <w:footnoteReference w:id="10"/>
      </w:r>
      <w:r w:rsidRPr="007762B5">
        <w:rPr>
          <w:rFonts w:ascii="Times New Roman" w:hAnsi="Times New Roman" w:cs="Times New Roman"/>
          <w:lang w:val="en-US"/>
        </w:rPr>
        <w:t>. According to GENDERDOC-M, most often the aggression is shown by relatives</w:t>
      </w:r>
      <w:r w:rsidRPr="007762B5">
        <w:rPr>
          <w:rFonts w:ascii="Times New Roman" w:hAnsi="Times New Roman" w:cs="Times New Roman"/>
          <w:vertAlign w:val="superscript"/>
          <w:lang w:val="en-US"/>
        </w:rPr>
        <w:footnoteReference w:id="11"/>
      </w:r>
      <w:r w:rsidRPr="007762B5">
        <w:rPr>
          <w:rFonts w:ascii="Times New Roman" w:hAnsi="Times New Roman" w:cs="Times New Roman"/>
          <w:lang w:val="en-US"/>
        </w:rPr>
        <w:t>. When the state speaks of domestic violence, it does not mention that LBT women can be subjected to violence. Cases of violence in same-sex couples are not regarded as domestic violence cases. The victims, especially male victims, could not benefit from the same state protection mechanisms as heterosexual couples</w:t>
      </w:r>
      <w:r w:rsidRPr="007762B5">
        <w:rPr>
          <w:rFonts w:ascii="Times New Roman" w:hAnsi="Times New Roman" w:cs="Times New Roman"/>
          <w:vertAlign w:val="superscript"/>
          <w:lang w:val="en-US"/>
        </w:rPr>
        <w:footnoteReference w:id="12"/>
      </w:r>
      <w:r w:rsidRPr="007762B5">
        <w:rPr>
          <w:rFonts w:ascii="Times New Roman" w:hAnsi="Times New Roman" w:cs="Times New Roman"/>
          <w:lang w:val="en-US"/>
        </w:rPr>
        <w:t>.  In terms of transgender persons and their access to the protective mechanisms, the legal framework defining “victim” as “a woman or other family member” precludes trans women from access to the national mechanisms on violence against women.</w:t>
      </w:r>
    </w:p>
    <w:p w14:paraId="0000003B"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Victims of LGBT domestic violence, both in situations where the abuser is the partner and in situations where the abuser is the parent or both parents, are not sufficiently protected by the state; there are no specialized programs with specific approaches. LGBT children, adolescents, and young people who are financially and morally dependent on their parents and are subject to domestic violence suffer the most</w:t>
      </w:r>
      <w:r w:rsidRPr="007762B5">
        <w:rPr>
          <w:rFonts w:ascii="Times New Roman" w:hAnsi="Times New Roman" w:cs="Times New Roman"/>
          <w:vertAlign w:val="superscript"/>
          <w:lang w:val="en-US"/>
        </w:rPr>
        <w:footnoteReference w:id="13"/>
      </w:r>
      <w:r w:rsidRPr="007762B5">
        <w:rPr>
          <w:rFonts w:ascii="Times New Roman" w:hAnsi="Times New Roman" w:cs="Times New Roman"/>
          <w:lang w:val="en-US"/>
        </w:rPr>
        <w:t>.</w:t>
      </w:r>
    </w:p>
    <w:p w14:paraId="0000003C" w14:textId="76128228" w:rsidR="00DC2930" w:rsidRPr="007762B5" w:rsidRDefault="00B55DE3">
      <w:pPr>
        <w:pStyle w:val="LO-normal"/>
        <w:numPr>
          <w:ilvl w:val="0"/>
          <w:numId w:val="1"/>
        </w:numPr>
        <w:spacing w:before="170" w:after="170"/>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75648" behindDoc="1" locked="0" layoutInCell="1" allowOverlap="1" wp14:anchorId="292AE664" wp14:editId="1FD6A272">
            <wp:simplePos x="0" y="0"/>
            <wp:positionH relativeFrom="column">
              <wp:posOffset>3657600</wp:posOffset>
            </wp:positionH>
            <wp:positionV relativeFrom="paragraph">
              <wp:posOffset>-630467</wp:posOffset>
            </wp:positionV>
            <wp:extent cx="3105260" cy="11096148"/>
            <wp:effectExtent l="0" t="0" r="6350" b="381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 xml:space="preserve">In April 2022, Felis, a trans teenager, committed suicide after being systematically bullied by classmates, and numerous appeals to school authorities gave no results. This tragic case showed the urgency of change in the education system. After the protest organized by GENDERDOC-M on 15 April 2022 in front of the Ministry of Education, the Ministry published a message about the inadmissibility of discrimination against transgender people in schools and contacted GDM employees to propose collaboration in preventing such situations in the future. As a </w:t>
      </w:r>
      <w:hyperlink r:id="rId12">
        <w:r w:rsidR="00000000" w:rsidRPr="007762B5">
          <w:rPr>
            <w:rFonts w:ascii="Times New Roman" w:hAnsi="Times New Roman" w:cs="Times New Roman"/>
            <w:color w:val="000080"/>
            <w:u w:val="single"/>
            <w:lang w:val="en-US"/>
          </w:rPr>
          <w:t>result</w:t>
        </w:r>
      </w:hyperlink>
      <w:r w:rsidR="00000000" w:rsidRPr="007762B5">
        <w:rPr>
          <w:rFonts w:ascii="Times New Roman" w:hAnsi="Times New Roman" w:cs="Times New Roman"/>
          <w:lang w:val="en-US"/>
        </w:rPr>
        <w:t>, two trainings were organized for 39 representatives of the Republican Centre for Psycho-pedagogical Assistance from 28 districts of the Republic of Moldova. The Ministry of Education considered these two trainings enough and, in March 2023, refused to cooperate with us in training 60 school psychologists.</w:t>
      </w:r>
      <w:r w:rsidRPr="00B55DE3">
        <w:rPr>
          <w:rFonts w:ascii="Times New Roman" w:hAnsi="Times New Roman" w:cs="Times New Roman"/>
          <w:noProof/>
          <w:lang w:val="en-US"/>
        </w:rPr>
        <w:t xml:space="preserve"> </w:t>
      </w:r>
    </w:p>
    <w:p w14:paraId="0000003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Domestic violence is particularly dangerous to the victims, as it deprives them of a sense of security and is repetitive. Women belonging to minorities, migrant women, who are victims of violence, including sexual violence, may require legal and psychological assistance or, in some cases, temporary shelter and help with employment. Counseling and other types of engagement with the perpetrators may be necessary to prevent further episodes of violence. Insufficient awareness of the forms of domestic violence and the obligations of responsible authorities affect the correct identification, qualification, and punishment of domestic violence cases. Prevention of and quick response to domestic violence is one of the most critical aspects of the regulatory framework. More resources are needed to ensure that protection is effective in practice. </w:t>
      </w:r>
    </w:p>
    <w:p w14:paraId="0000003E"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On 18 November 2016 (Concluding observations on the third periodic report of the Republic of Moldova, CCPR/C/MDA/CO/3), the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xml:space="preserve"> expressed its concerns about reports of an increasing number of cases of domestic violence in the State party and the lack of prompt and effective investigation and prosecution of such cases (para. 15). The State party was encouraged to adopt and implement a comprehensive strategy to prevent and suppress domestic violence against women, including by ensuring that all allegations of domestic violence are promptly, thoroughly and effectively investigated, that the perpetrators are prosecuted and, if convicted, punished with commensurate sanctions and that the victims have access to effective remedies and means of protection (para. 16).</w:t>
      </w:r>
    </w:p>
    <w:p w14:paraId="0000003F"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UN Committee on Economic, Social and Cultural Rights, in its Concluding observations on the third periodic report of the Republic of Moldova (E/C.12/MDA/CO/3, 19 October 2017), remained concerned that violence against women, including domestic violence, is still pervasive in the State party and that the prosecution of perpetrators and the protection of victims remain challenging (para. 44). It recommended that all reported cases of violence against women, including domestic violence, are promptly and thoroughly investigated and that the perpetrators are punished with penalties commensurate with the gravity of the offenses (para. 45). The UN CESCR also urged Moldova to provide adequate support to victims by increasing the number of shelters and allocating sufficient funding for legal aid and physical and psychological treatment (ibid.).</w:t>
      </w:r>
    </w:p>
    <w:p w14:paraId="00000040"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UN Committee on the Elimination of Discrimination against Women, in its Concluding observations on the sixth periodic report of the Republic of Moldova (CEDAW/C/MDA/CO/6, 10 March 2020), recommended that the State party should raise awareness among women, including lesbian, bisexual and transgender women, about their rights and the legal remedies available to them to claim those rights (para. 13).</w:t>
      </w:r>
    </w:p>
    <w:p w14:paraId="00000041"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Suggested Questions for State Party’s List of Issues Prior to Reporting:</w:t>
      </w:r>
    </w:p>
    <w:p w14:paraId="00000042"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Please report on measures taken and progress achieved concerning effectively tackling the prevalence of violence against women, particularly domestic violence and rape. </w:t>
      </w:r>
    </w:p>
    <w:p w14:paraId="00000043" w14:textId="7F1AEE58" w:rsidR="00DC2930" w:rsidRPr="007762B5" w:rsidRDefault="00B55DE3">
      <w:pPr>
        <w:pStyle w:val="LO-normal"/>
        <w:spacing w:before="170" w:after="170"/>
        <w:ind w:firstLine="567"/>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77696" behindDoc="1" locked="0" layoutInCell="1" allowOverlap="1" wp14:anchorId="1E25E2FB" wp14:editId="3655B6A1">
            <wp:simplePos x="0" y="0"/>
            <wp:positionH relativeFrom="column">
              <wp:posOffset>3673366</wp:posOffset>
            </wp:positionH>
            <wp:positionV relativeFrom="paragraph">
              <wp:posOffset>-645182</wp:posOffset>
            </wp:positionV>
            <wp:extent cx="3105260" cy="11096148"/>
            <wp:effectExtent l="0" t="0" r="6350" b="381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 Please provide information on the steps taken to provide adequate victim support services, including shelters and support centers for sexual assault.</w:t>
      </w:r>
      <w:r w:rsidRPr="00B55DE3">
        <w:rPr>
          <w:rFonts w:ascii="Times New Roman" w:hAnsi="Times New Roman" w:cs="Times New Roman"/>
          <w:noProof/>
          <w:lang w:val="en-US"/>
        </w:rPr>
        <w:t xml:space="preserve"> </w:t>
      </w:r>
    </w:p>
    <w:p w14:paraId="00000044"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45"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encourage reporting all forms of gender-based violence against LBT women and girls, including domestic and sexual violence, and ensure that all such cases are effectively investigated and that perpetrators are prosecuted and punished with appropriate sanctions; give priority to criminal proceedings over reconciliation.</w:t>
      </w:r>
    </w:p>
    <w:p w14:paraId="00000046"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relax the burden of proof on complainants, ensure affordable access to forensic evidence (including DNA expertise/test), and continue to build the capacity of judges, prosecutors, the police, and other law enforcement officers regarding gender-sensitive investigation and interrogation methods.</w:t>
      </w:r>
    </w:p>
    <w:p w14:paraId="00000047"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strengthen victim support services and protection, including 24/7 hotlines, adequate specialized, inclusive, accessible shelters, medical treatment, psycho-social counseling, post-rape care kits, and economic support.</w:t>
      </w:r>
    </w:p>
    <w:p w14:paraId="00000048"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To guarantee the resources necessary so that public healthcare institutions are able to adequately and appropriately provide services. </w:t>
      </w:r>
    </w:p>
    <w:p w14:paraId="00000049"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increase the number of psychologists working with victims of violence throughout the country and provide them with relevant training.</w:t>
      </w:r>
    </w:p>
    <w:p w14:paraId="0000004A"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improve the collection of data on cases of all forms of violence against LBT women and girls by the authorities.</w:t>
      </w:r>
    </w:p>
    <w:p w14:paraId="0000004B" w14:textId="21828BA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develop re-</w:t>
      </w:r>
      <w:r w:rsidR="007762B5" w:rsidRPr="007762B5">
        <w:rPr>
          <w:rFonts w:ascii="Times New Roman" w:hAnsi="Times New Roman" w:cs="Times New Roman"/>
          <w:lang w:val="en-US"/>
        </w:rPr>
        <w:t>socialization</w:t>
      </w:r>
      <w:r w:rsidRPr="007762B5">
        <w:rPr>
          <w:rFonts w:ascii="Times New Roman" w:hAnsi="Times New Roman" w:cs="Times New Roman"/>
          <w:lang w:val="en-US"/>
        </w:rPr>
        <w:t xml:space="preserve"> programs for domestic violence perpetrators including those based on homophobia and transphobia on the part of parents of LGBT people.</w:t>
      </w:r>
    </w:p>
    <w:p w14:paraId="0000004C"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 xml:space="preserve">Discrimination against non-citizens, including migrants, refugees, and asylum seekers </w:t>
      </w:r>
    </w:p>
    <w:p w14:paraId="0000004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LGBT migrants who have come to Moldova are particularly sensitive to discrimination. Applicants' vulnerabilities or special needs are not always taken into account, and no safe spaces for them are automatically provided. Sometimes, refugees and asylum seekers find themselves in precarious working conditions, as during the integration process, they are not well acquainted with their rights in employment. The issue of financial support provided to refugees during the integration period, as well as the social welfare system, become crucial. Asylum seekers may experience hard living conditions and complicated relations with officers. They face obstacles in their access to education and health services. One should also mention the negative impact of the coronavirus disease (COVID-19) pandemic on migrants.</w:t>
      </w:r>
    </w:p>
    <w:p w14:paraId="0000004E"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Suggested Questions for State Party’s List of Issues Prior to Reporting:</w:t>
      </w:r>
    </w:p>
    <w:p w14:paraId="0000004F"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provide information on (a) the number of applications lodged by LGBT asylum seekers before the Moldovan migration services; (b) the number of cases where the temporary asylum or refugee status was granted to LGBT applicants.</w:t>
      </w:r>
    </w:p>
    <w:p w14:paraId="00000050"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51"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take measures to ensure access to a fair, transparent and efficient asylum procedure, to legal representation for migrants in domestic proceedings, particularly with regard to proceedings that have serious consequences for their security and stability, such as deportation or expulsion, ensuring that public legal aid systems are adequately funded and supervised.</w:t>
      </w:r>
    </w:p>
    <w:p w14:paraId="00000052" w14:textId="180AE6D0" w:rsidR="00DC2930" w:rsidRPr="007762B5" w:rsidRDefault="00B55DE3">
      <w:pPr>
        <w:pStyle w:val="LO-normal"/>
        <w:spacing w:before="170" w:after="170"/>
        <w:ind w:firstLine="567"/>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79744" behindDoc="1" locked="0" layoutInCell="1" allowOverlap="1" wp14:anchorId="158383E4" wp14:editId="793B449B">
            <wp:simplePos x="0" y="0"/>
            <wp:positionH relativeFrom="column">
              <wp:posOffset>3657600</wp:posOffset>
            </wp:positionH>
            <wp:positionV relativeFrom="paragraph">
              <wp:posOffset>-659678</wp:posOffset>
            </wp:positionV>
            <wp:extent cx="3105260" cy="11096148"/>
            <wp:effectExtent l="0" t="0" r="6350" b="381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 To strengthen financial support schemes to asylum seekers, develop community-based accommodation for them, provide access to the full extent of medical assistance along with other citizens.</w:t>
      </w:r>
    </w:p>
    <w:p w14:paraId="00000053" w14:textId="045A5210" w:rsidR="00DC2930" w:rsidRPr="007762B5" w:rsidRDefault="00DC2930">
      <w:pPr>
        <w:pStyle w:val="LO-normal"/>
        <w:spacing w:before="170" w:after="170"/>
        <w:ind w:firstLine="567"/>
        <w:jc w:val="both"/>
        <w:rPr>
          <w:rFonts w:ascii="Times New Roman" w:hAnsi="Times New Roman" w:cs="Times New Roman"/>
          <w:b/>
          <w:lang w:val="en-US"/>
        </w:rPr>
      </w:pPr>
    </w:p>
    <w:p w14:paraId="00000054"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Gender identity issues</w:t>
      </w:r>
    </w:p>
    <w:p w14:paraId="00000055" w14:textId="616A77DA"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Overall, trans persons in Moldova, like in other Eastern European and Central Asian countries, continue to be the most vulnerable group. The right of trans persons to legal gender </w:t>
      </w:r>
      <w:r w:rsidR="007762B5" w:rsidRPr="007762B5">
        <w:rPr>
          <w:rFonts w:ascii="Times New Roman" w:hAnsi="Times New Roman" w:cs="Times New Roman"/>
          <w:lang w:val="en-US"/>
        </w:rPr>
        <w:t>recognition</w:t>
      </w:r>
      <w:r w:rsidRPr="007762B5">
        <w:rPr>
          <w:rFonts w:ascii="Times New Roman" w:hAnsi="Times New Roman" w:cs="Times New Roman"/>
          <w:lang w:val="en-US"/>
        </w:rPr>
        <w:t>, regulation of, and access to gender-affirming treatment, for the most part, remains unaddressed in the legal and policy framework. There is no adopted medical protocol for trans people according to ICD-11.</w:t>
      </w:r>
    </w:p>
    <w:p w14:paraId="00000056"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only normative act that regulates the issues of legal gender recognition is Order No. 1268 of 17 December 2012, «On the establishment of a commission for the determination of gender dysphoria». The lack of written clear, transparent, and accessible procedures leads to unjustified difficulties for trans people and their ability to access medical care and change documents</w:t>
      </w:r>
      <w:r w:rsidRPr="007762B5">
        <w:rPr>
          <w:rFonts w:ascii="Times New Roman" w:hAnsi="Times New Roman" w:cs="Times New Roman"/>
          <w:vertAlign w:val="superscript"/>
          <w:lang w:val="en-US"/>
        </w:rPr>
        <w:footnoteReference w:id="14"/>
      </w:r>
      <w:r w:rsidRPr="007762B5">
        <w:rPr>
          <w:rFonts w:ascii="Times New Roman" w:hAnsi="Times New Roman" w:cs="Times New Roman"/>
          <w:lang w:val="en-US"/>
        </w:rPr>
        <w:t>.</w:t>
      </w:r>
    </w:p>
    <w:p w14:paraId="00000057"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only document that trans people can receive in order to begin the process of transition is a diagnosis, which is established by the commission. This diagnosis serves as the basis for the initiation of hormone therapy and surgical interventions.</w:t>
      </w:r>
    </w:p>
    <w:p w14:paraId="00000058"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Moldovan legislation mentions the possibility of amending civil status records, provided that «the applicant has submitted an official document regarding change of sex»</w:t>
      </w:r>
      <w:r w:rsidRPr="007762B5">
        <w:rPr>
          <w:rFonts w:ascii="Times New Roman" w:hAnsi="Times New Roman" w:cs="Times New Roman"/>
          <w:vertAlign w:val="superscript"/>
          <w:lang w:val="en-US"/>
        </w:rPr>
        <w:footnoteReference w:id="15"/>
      </w:r>
      <w:r w:rsidRPr="007762B5">
        <w:rPr>
          <w:rFonts w:ascii="Times New Roman" w:hAnsi="Times New Roman" w:cs="Times New Roman"/>
          <w:lang w:val="en-US"/>
        </w:rPr>
        <w:t xml:space="preserve">. According to the procedure, a transgender person can apply with a corresponding application to the civil registry office, which considers this application and makes a refusal decision. Trans people are appealing the body's decision in court. Documents are changed only after a favorable judicial decision. </w:t>
      </w:r>
    </w:p>
    <w:p w14:paraId="0000005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vagueness of this procedure and the fact that the civil registry office can take refusal decisions means that trans people only receive permission to change their gender marker through the courts legally. Sometimes the court may also refuse applicants. Thus, despite the absence of a prohibition on married people undergoing gender confirmation, the court, in one case, declined to change the documents of a trans woman</w:t>
      </w:r>
      <w:r w:rsidRPr="007762B5">
        <w:rPr>
          <w:rFonts w:ascii="Times New Roman" w:hAnsi="Times New Roman" w:cs="Times New Roman"/>
          <w:vertAlign w:val="superscript"/>
          <w:lang w:val="en-US"/>
        </w:rPr>
        <w:footnoteReference w:id="16"/>
      </w:r>
      <w:r w:rsidRPr="007762B5">
        <w:rPr>
          <w:rFonts w:ascii="Times New Roman" w:hAnsi="Times New Roman" w:cs="Times New Roman"/>
          <w:lang w:val="en-US"/>
        </w:rPr>
        <w:t>. Generally, obtaining such court orders remained time intensive</w:t>
      </w:r>
      <w:r w:rsidRPr="007762B5">
        <w:rPr>
          <w:rFonts w:ascii="Times New Roman" w:hAnsi="Times New Roman" w:cs="Times New Roman"/>
          <w:vertAlign w:val="superscript"/>
          <w:lang w:val="en-US"/>
        </w:rPr>
        <w:footnoteReference w:id="17"/>
      </w:r>
      <w:r w:rsidRPr="007762B5">
        <w:rPr>
          <w:rFonts w:ascii="Times New Roman" w:hAnsi="Times New Roman" w:cs="Times New Roman"/>
          <w:lang w:val="en-US"/>
        </w:rPr>
        <w:t xml:space="preserve"> and requirements were case-by-case</w:t>
      </w:r>
      <w:r w:rsidRPr="007762B5">
        <w:rPr>
          <w:rFonts w:ascii="Times New Roman" w:hAnsi="Times New Roman" w:cs="Times New Roman"/>
          <w:vertAlign w:val="superscript"/>
          <w:lang w:val="en-US"/>
        </w:rPr>
        <w:footnoteReference w:id="18"/>
      </w:r>
      <w:r w:rsidRPr="007762B5">
        <w:rPr>
          <w:rFonts w:ascii="Times New Roman" w:hAnsi="Times New Roman" w:cs="Times New Roman"/>
          <w:lang w:val="en-US"/>
        </w:rPr>
        <w:t>, often requiring applicants to get a psychiatric diagnosis of “transsexualism” or “gender identity disorder.”</w:t>
      </w:r>
    </w:p>
    <w:p w14:paraId="0000005A" w14:textId="2DDAD4AB"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Since the Ministry of Health of Moldova bases its activity on the internationally </w:t>
      </w:r>
      <w:r w:rsidR="007762B5" w:rsidRPr="007762B5">
        <w:rPr>
          <w:rFonts w:ascii="Times New Roman" w:hAnsi="Times New Roman" w:cs="Times New Roman"/>
          <w:lang w:val="en-US"/>
        </w:rPr>
        <w:t>recognized</w:t>
      </w:r>
      <w:r w:rsidRPr="007762B5">
        <w:rPr>
          <w:rFonts w:ascii="Times New Roman" w:hAnsi="Times New Roman" w:cs="Times New Roman"/>
          <w:lang w:val="en-US"/>
        </w:rPr>
        <w:t xml:space="preserve"> World Health </w:t>
      </w:r>
      <w:r w:rsidR="007762B5" w:rsidRPr="007762B5">
        <w:rPr>
          <w:rFonts w:ascii="Times New Roman" w:hAnsi="Times New Roman" w:cs="Times New Roman"/>
          <w:lang w:val="en-US"/>
        </w:rPr>
        <w:t>Organization</w:t>
      </w:r>
      <w:r w:rsidRPr="007762B5">
        <w:rPr>
          <w:rFonts w:ascii="Times New Roman" w:hAnsi="Times New Roman" w:cs="Times New Roman"/>
          <w:lang w:val="en-US"/>
        </w:rPr>
        <w:t xml:space="preserve"> standards, namely on the 10th revision of the International Classification of Diseases, it treats transgender identities as a pathology and thus has established the Gender Dysphoria Commission whose principal activity is to psychiatrically examine transgender individuals, who seek legal gender recognition and issue them state-authorized medical certificates confirming ‘transsexualism’ diagnosis with the recommendation to have their civil status documents changed from one gender to another (male to female or female to male). The Gender Dysphoria Commission was established as an inter-ministerial working group between the Ministry of Health and the Ministry of Justice </w:t>
      </w:r>
      <w:r w:rsidR="00B55DE3" w:rsidRPr="009A7553">
        <w:rPr>
          <w:rFonts w:ascii="Times New Roman" w:hAnsi="Times New Roman" w:cs="Times New Roman"/>
          <w:noProof/>
          <w:lang w:val="en-US"/>
        </w:rPr>
        <w:lastRenderedPageBreak/>
        <w:drawing>
          <wp:anchor distT="0" distB="0" distL="114300" distR="114300" simplePos="0" relativeHeight="251681792" behindDoc="1" locked="0" layoutInCell="1" allowOverlap="1" wp14:anchorId="055214D7" wp14:editId="6C410189">
            <wp:simplePos x="0" y="0"/>
            <wp:positionH relativeFrom="column">
              <wp:posOffset>3641835</wp:posOffset>
            </wp:positionH>
            <wp:positionV relativeFrom="paragraph">
              <wp:posOffset>-645182</wp:posOffset>
            </wp:positionV>
            <wp:extent cx="3105260" cy="11096148"/>
            <wp:effectExtent l="0" t="0" r="6350" b="381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 xml:space="preserve">to elaborate a mutually </w:t>
      </w:r>
      <w:r w:rsidR="007762B5" w:rsidRPr="007762B5">
        <w:rPr>
          <w:rFonts w:ascii="Times New Roman" w:hAnsi="Times New Roman" w:cs="Times New Roman"/>
          <w:lang w:val="en-US"/>
        </w:rPr>
        <w:t>recognized</w:t>
      </w:r>
      <w:r w:rsidRPr="007762B5">
        <w:rPr>
          <w:rFonts w:ascii="Times New Roman" w:hAnsi="Times New Roman" w:cs="Times New Roman"/>
          <w:lang w:val="en-US"/>
        </w:rPr>
        <w:t xml:space="preserve"> legal gender recognition mechanism; however, shortly, the Ministry of Justice opted out from participating in it. During the last six months, even this process has been suspended (due to waiting for changes according to the new classification of the 11th revision), and trans people have no opportunity at all to start changing documents. </w:t>
      </w:r>
    </w:p>
    <w:p w14:paraId="0000005B"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Even though in November 2012, the Supreme Court of Justice of Moldova issued non-binding recommendations to lower court instances to fully satisfy claims submitted by trans people who seek legal gender recognition, other Moldovan authorities, such as the Ministry of Justice, continue demonstrating the lack of understating of the human-rights-based approach to transgender issues and lack of political will to propose adoption of a legal gender recognition mechanism that would be transparent, accessible and quick for transgender individuals. </w:t>
      </w:r>
    </w:p>
    <w:p w14:paraId="0000005C"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In </w:t>
      </w:r>
      <w:r w:rsidRPr="007762B5">
        <w:rPr>
          <w:rFonts w:ascii="Times New Roman" w:hAnsi="Times New Roman" w:cs="Times New Roman"/>
          <w:i/>
          <w:lang w:val="en-US"/>
        </w:rPr>
        <w:t xml:space="preserve">A.R. </w:t>
      </w:r>
      <w:proofErr w:type="spellStart"/>
      <w:r w:rsidRPr="007762B5">
        <w:rPr>
          <w:rFonts w:ascii="Times New Roman" w:hAnsi="Times New Roman" w:cs="Times New Roman"/>
          <w:i/>
          <w:lang w:val="en-US"/>
        </w:rPr>
        <w:t>Coeriel</w:t>
      </w:r>
      <w:proofErr w:type="spellEnd"/>
      <w:r w:rsidRPr="007762B5">
        <w:rPr>
          <w:rFonts w:ascii="Times New Roman" w:hAnsi="Times New Roman" w:cs="Times New Roman"/>
          <w:i/>
          <w:lang w:val="en-US"/>
        </w:rPr>
        <w:t xml:space="preserve"> and M.A.R. </w:t>
      </w:r>
      <w:proofErr w:type="spellStart"/>
      <w:r w:rsidRPr="007762B5">
        <w:rPr>
          <w:rFonts w:ascii="Times New Roman" w:hAnsi="Times New Roman" w:cs="Times New Roman"/>
          <w:i/>
          <w:lang w:val="en-US"/>
        </w:rPr>
        <w:t>Aurik</w:t>
      </w:r>
      <w:proofErr w:type="spellEnd"/>
      <w:r w:rsidRPr="007762B5">
        <w:rPr>
          <w:rFonts w:ascii="Times New Roman" w:hAnsi="Times New Roman" w:cs="Times New Roman"/>
          <w:i/>
          <w:lang w:val="en-US"/>
        </w:rPr>
        <w:t xml:space="preserve"> v. The Netherlands</w:t>
      </w:r>
      <w:r w:rsidRPr="007762B5">
        <w:rPr>
          <w:rFonts w:ascii="Times New Roman" w:hAnsi="Times New Roman" w:cs="Times New Roman"/>
          <w:lang w:val="en-US"/>
        </w:rPr>
        <w:t xml:space="preserve">, the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xml:space="preserve"> observed</w:t>
      </w:r>
      <w:r w:rsidRPr="007762B5">
        <w:rPr>
          <w:rFonts w:ascii="Times New Roman" w:hAnsi="Times New Roman" w:cs="Times New Roman"/>
          <w:vertAlign w:val="superscript"/>
          <w:lang w:val="en-US"/>
        </w:rPr>
        <w:footnoteReference w:id="19"/>
      </w:r>
      <w:r w:rsidRPr="007762B5">
        <w:rPr>
          <w:rFonts w:ascii="Times New Roman" w:hAnsi="Times New Roman" w:cs="Times New Roman"/>
          <w:lang w:val="en-US"/>
        </w:rPr>
        <w:t xml:space="preserve"> that, </w:t>
      </w:r>
      <w:r w:rsidRPr="007762B5">
        <w:rPr>
          <w:rFonts w:ascii="Times New Roman" w:hAnsi="Times New Roman" w:cs="Times New Roman"/>
          <w:i/>
          <w:lang w:val="en-US"/>
        </w:rPr>
        <w:t>inter alia</w:t>
      </w:r>
      <w:r w:rsidRPr="007762B5">
        <w:rPr>
          <w:rFonts w:ascii="Times New Roman" w:hAnsi="Times New Roman" w:cs="Times New Roman"/>
          <w:lang w:val="en-US"/>
        </w:rPr>
        <w:t>, article 17 of the [International] Covenant [on Civil and Political Rights] includes “the notion of privacy [that] refers to the sphere of a person’s life in which he or she can freely express his or her identity, be it by entering into relationships with others or alone.”</w:t>
      </w:r>
      <w:r w:rsidRPr="007762B5">
        <w:rPr>
          <w:rFonts w:ascii="Times New Roman" w:hAnsi="Times New Roman" w:cs="Times New Roman"/>
          <w:vertAlign w:val="superscript"/>
          <w:lang w:val="en-US"/>
        </w:rPr>
        <w:t xml:space="preserve"> </w:t>
      </w:r>
      <w:r w:rsidRPr="007762B5">
        <w:rPr>
          <w:rFonts w:ascii="Times New Roman" w:hAnsi="Times New Roman" w:cs="Times New Roman"/>
          <w:lang w:val="en-US"/>
        </w:rPr>
        <w:t xml:space="preserve">The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xml:space="preserv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w:t>
      </w:r>
    </w:p>
    <w:p w14:paraId="0000005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According to the latest version of the International Classification of Diseases and Related Health Problems (ICD-11), published by the WHO, “gender identity disorders” have been reclassified as “gender incongruity”. Gender incongruence is now included in the chapter on sexual health instead of 'mental disorder' as in the previous classification. The WHO excluded gender dysphoria from the list of its mental and behavioral disorders; the Global Manual of Diagnoses does not include such a term anymore</w:t>
      </w:r>
      <w:r w:rsidRPr="007762B5">
        <w:rPr>
          <w:rFonts w:ascii="Times New Roman" w:hAnsi="Times New Roman" w:cs="Times New Roman"/>
          <w:vertAlign w:val="superscript"/>
          <w:lang w:val="en-US"/>
        </w:rPr>
        <w:footnoteReference w:id="20"/>
      </w:r>
      <w:r w:rsidRPr="007762B5">
        <w:rPr>
          <w:rFonts w:ascii="Times New Roman" w:hAnsi="Times New Roman" w:cs="Times New Roman"/>
          <w:lang w:val="en-US"/>
        </w:rPr>
        <w:t>.</w:t>
      </w:r>
    </w:p>
    <w:p w14:paraId="0000005E"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The gender recognition system that allows trans persons to change their name and gender markers on identity documents should be a simple administrative process based on the self-determination of the applicant, and it should be accessible and, to the extent possible, free of charge. The respective government institutions should know how to act tolerantly and correctly at every step of a person’s journey of gender transition. </w:t>
      </w:r>
    </w:p>
    <w:p w14:paraId="0000005F"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Suggested Questions for State Party’s List of Issues Prior to Reporting:</w:t>
      </w:r>
    </w:p>
    <w:p w14:paraId="00000060"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comment on the steps taken by the authorities to adopt a progressive, evidence-based legislative framework for legal gender recognition and change of gender markers for trans people at large, making gender recognition akin to a regular administrative process, as well as eliminating the need to undergo sex reassignment surgery as the only valid reason for changing one’s gender.</w:t>
      </w:r>
    </w:p>
    <w:p w14:paraId="00000061"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indicate whether it is possible in theory and practice to change name/surname and gender marker in the relevant act records. Please provide examples of the named procedure and relevant statistics.</w:t>
      </w:r>
    </w:p>
    <w:p w14:paraId="00000062"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63" w14:textId="195769B3"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To develop quick, transparent, and accessible procedures, based on self-determination, for changing the legal gender of trans people on birth certificates, identity cards, passports, educational </w:t>
      </w:r>
      <w:r w:rsidR="00B55DE3" w:rsidRPr="009A7553">
        <w:rPr>
          <w:rFonts w:ascii="Times New Roman" w:hAnsi="Times New Roman" w:cs="Times New Roman"/>
          <w:noProof/>
          <w:lang w:val="en-US"/>
        </w:rPr>
        <w:lastRenderedPageBreak/>
        <w:drawing>
          <wp:anchor distT="0" distB="0" distL="114300" distR="114300" simplePos="0" relativeHeight="251683840" behindDoc="1" locked="0" layoutInCell="1" allowOverlap="1" wp14:anchorId="67D82AA9" wp14:editId="14681DA2">
            <wp:simplePos x="0" y="0"/>
            <wp:positionH relativeFrom="column">
              <wp:posOffset>3657600</wp:posOffset>
            </wp:positionH>
            <wp:positionV relativeFrom="paragraph">
              <wp:posOffset>-676013</wp:posOffset>
            </wp:positionV>
            <wp:extent cx="3105260" cy="11096148"/>
            <wp:effectExtent l="0" t="0" r="6350" b="381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certificates, and other similar documents; make these procedures available for all people who seek to use them, irrespective of age, medical status, financial situation or police record.</w:t>
      </w:r>
    </w:p>
    <w:p w14:paraId="00000064" w14:textId="095EC006"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train medical and social service providers/individuals to develop trans-specific protocols and guidelines.</w:t>
      </w:r>
    </w:p>
    <w:p w14:paraId="00000065" w14:textId="65556D85"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Civil partnership issues</w:t>
      </w:r>
    </w:p>
    <w:p w14:paraId="00000066"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LGBT people cannot register their relationship in any form or share custody of children. In addition, Moldova does not yet recognize same-sex marriages concluded in other countries</w:t>
      </w:r>
      <w:r w:rsidRPr="007762B5">
        <w:rPr>
          <w:rFonts w:ascii="Times New Roman" w:hAnsi="Times New Roman" w:cs="Times New Roman"/>
          <w:vertAlign w:val="superscript"/>
          <w:lang w:val="en-US"/>
        </w:rPr>
        <w:footnoteReference w:id="21"/>
      </w:r>
      <w:r w:rsidRPr="007762B5">
        <w:rPr>
          <w:rFonts w:ascii="Times New Roman" w:hAnsi="Times New Roman" w:cs="Times New Roman"/>
          <w:lang w:val="en-US"/>
        </w:rPr>
        <w:t>.</w:t>
      </w:r>
    </w:p>
    <w:p w14:paraId="00000067"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The Annual UNHCHR Report A/HRC/29/23 indicates that while international law does not oblige States to recognize same-sex marriage, UN Treaty Bodies call upon the recognition of same-sex couples (para 67). If the word “marriage” is of painful topic of discussion and has cultural coding that is intrinsic to a local culture (often times it is the wording that, for some reason, raises prejudice and aggression), states grant the LGBT the right to form civil unions, which provide legal recognition of their relationship and provide them with the civil, social, and other entitlements that marriage usually entails. The Annual UNHCHR Report A/HRC/29/23 also states that the “lack of official recognition of same-sex relationships and absence of a legal prohibition on discrimination can result in same-sex partners being treated unfairly by private actors, including healthcare providers and insurance companies. The United Nations Children’s Fund (UNICEF), the Committee on the Rights of the Child, and the Inter-American Court of Human Rights have expressed concern about discrimination against and the lack of legal protection for children of same-sex couples (para 68). The LGBT have the same fundamental human rights and freedoms as any other person, so denying them the right of legal recognition of their relationship is discriminatory. </w:t>
      </w:r>
    </w:p>
    <w:p w14:paraId="00000068"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The judgment </w:t>
      </w:r>
      <w:proofErr w:type="spellStart"/>
      <w:r w:rsidRPr="007762B5">
        <w:rPr>
          <w:rFonts w:ascii="Times New Roman" w:hAnsi="Times New Roman" w:cs="Times New Roman"/>
          <w:i/>
          <w:lang w:val="en-US"/>
        </w:rPr>
        <w:t>Fedotova</w:t>
      </w:r>
      <w:proofErr w:type="spellEnd"/>
      <w:r w:rsidRPr="007762B5">
        <w:rPr>
          <w:rFonts w:ascii="Times New Roman" w:hAnsi="Times New Roman" w:cs="Times New Roman"/>
          <w:i/>
          <w:lang w:val="en-US"/>
        </w:rPr>
        <w:t xml:space="preserve"> and Others v. Russia</w:t>
      </w:r>
      <w:r w:rsidRPr="007762B5">
        <w:rPr>
          <w:rFonts w:ascii="Times New Roman" w:hAnsi="Times New Roman" w:cs="Times New Roman"/>
          <w:i/>
          <w:vertAlign w:val="superscript"/>
          <w:lang w:val="en-US"/>
        </w:rPr>
        <w:footnoteReference w:id="22"/>
      </w:r>
      <w:r w:rsidRPr="007762B5">
        <w:rPr>
          <w:rFonts w:ascii="Times New Roman" w:hAnsi="Times New Roman" w:cs="Times New Roman"/>
          <w:lang w:val="en-US"/>
        </w:rPr>
        <w:t>, adopted by the Grand Chamber of the European Court of Human Rights on 17 January 2023, obliges all states in the Council of Europe to establish a legal form of protection for same-sex couples. In particular, the Parties to the European Convention on Human Rights must establish a legal form of recognition for same-sex families and adopt a legal framework that protects the cohabitation of these couples.</w:t>
      </w:r>
    </w:p>
    <w:p w14:paraId="0000006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After this ECHR judgment, several Moldova couples submitted documents to the Public Services Agency for marriage registration</w:t>
      </w:r>
      <w:r w:rsidRPr="007762B5">
        <w:rPr>
          <w:rFonts w:ascii="Times New Roman" w:hAnsi="Times New Roman" w:cs="Times New Roman"/>
          <w:vertAlign w:val="superscript"/>
          <w:lang w:val="en-US"/>
        </w:rPr>
        <w:footnoteReference w:id="23"/>
      </w:r>
      <w:r w:rsidRPr="007762B5">
        <w:rPr>
          <w:rFonts w:ascii="Times New Roman" w:hAnsi="Times New Roman" w:cs="Times New Roman"/>
          <w:lang w:val="en-US"/>
        </w:rPr>
        <w:t xml:space="preserve">. One of the applicants, A. </w:t>
      </w:r>
      <w:proofErr w:type="spellStart"/>
      <w:r w:rsidRPr="007762B5">
        <w:rPr>
          <w:rFonts w:ascii="Times New Roman" w:hAnsi="Times New Roman" w:cs="Times New Roman"/>
          <w:lang w:val="en-US"/>
        </w:rPr>
        <w:t>Frolova</w:t>
      </w:r>
      <w:proofErr w:type="spellEnd"/>
      <w:r w:rsidRPr="007762B5">
        <w:rPr>
          <w:rFonts w:ascii="Times New Roman" w:hAnsi="Times New Roman" w:cs="Times New Roman"/>
          <w:lang w:val="en-US"/>
        </w:rPr>
        <w:t>, program coordinator of the GENDERDOC-M, said that the staff was initially surprised by such an application, but then they nevertheless accepted the documents</w:t>
      </w:r>
      <w:r w:rsidRPr="007762B5">
        <w:rPr>
          <w:rFonts w:ascii="Times New Roman" w:hAnsi="Times New Roman" w:cs="Times New Roman"/>
          <w:vertAlign w:val="superscript"/>
          <w:lang w:val="en-US"/>
        </w:rPr>
        <w:footnoteReference w:id="24"/>
      </w:r>
      <w:r w:rsidRPr="007762B5">
        <w:rPr>
          <w:rFonts w:ascii="Times New Roman" w:hAnsi="Times New Roman" w:cs="Times New Roman"/>
          <w:lang w:val="en-US"/>
        </w:rPr>
        <w:t>. The activist was informed that an official refusal would be issued. In addition, three couples have already received such a refusal. In that case, the couple intends to challenge the refusal to the domestic courts.</w:t>
      </w:r>
    </w:p>
    <w:p w14:paraId="0000006A"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fact that same-sex couples are not recognized in the Republic of Moldova creates several barriers, such as you cannot ask for state involvement in case of divorce; you cannot inherit or leave an inheritance to your partner (especially in the case of real estate), you cannot take out joint mortgages, you cannot make decisions after your partner's death regarding burial, you cannot inflict your partner's child. Citizenship of the country in which your partner lives can only be obtained by marriage. Many couples with different nationalities who face the problem that their partner cannot stay in the country for more than three months.</w:t>
      </w:r>
      <w:r w:rsidRPr="007762B5">
        <w:rPr>
          <w:rFonts w:ascii="Times New Roman" w:hAnsi="Times New Roman" w:cs="Times New Roman"/>
          <w:vertAlign w:val="superscript"/>
          <w:lang w:val="en-US"/>
        </w:rPr>
        <w:footnoteReference w:id="25"/>
      </w:r>
      <w:r w:rsidRPr="007762B5">
        <w:rPr>
          <w:rFonts w:ascii="Times New Roman" w:hAnsi="Times New Roman" w:cs="Times New Roman"/>
          <w:vertAlign w:val="superscript"/>
          <w:lang w:val="en-US"/>
        </w:rPr>
        <w:t xml:space="preserve">   </w:t>
      </w:r>
    </w:p>
    <w:p w14:paraId="0000006B" w14:textId="2CBFA097" w:rsidR="00DC2930" w:rsidRPr="007762B5" w:rsidRDefault="00B55DE3">
      <w:pPr>
        <w:pStyle w:val="LO-normal"/>
        <w:numPr>
          <w:ilvl w:val="0"/>
          <w:numId w:val="1"/>
        </w:numPr>
        <w:spacing w:before="170" w:after="170"/>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85888" behindDoc="1" locked="0" layoutInCell="1" allowOverlap="1" wp14:anchorId="1E5D84D1" wp14:editId="5AB95753">
            <wp:simplePos x="0" y="0"/>
            <wp:positionH relativeFrom="column">
              <wp:posOffset>3626069</wp:posOffset>
            </wp:positionH>
            <wp:positionV relativeFrom="paragraph">
              <wp:posOffset>-693048</wp:posOffset>
            </wp:positionV>
            <wp:extent cx="3105260" cy="11096148"/>
            <wp:effectExtent l="0" t="0" r="6350" b="381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i/>
          <w:lang w:val="en-US"/>
        </w:rPr>
        <w:t>Suggested Questions for State Party’s List of Issues Prior to Reporting:</w:t>
      </w:r>
    </w:p>
    <w:p w14:paraId="0000006C" w14:textId="07965175"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xml:space="preserve">- Please explain measures envisaged by the State party to implement the ECHR judgment </w:t>
      </w:r>
      <w:proofErr w:type="spellStart"/>
      <w:r w:rsidRPr="007762B5">
        <w:rPr>
          <w:rFonts w:ascii="Times New Roman" w:hAnsi="Times New Roman" w:cs="Times New Roman"/>
          <w:lang w:val="en-US"/>
        </w:rPr>
        <w:t>Fedotova</w:t>
      </w:r>
      <w:proofErr w:type="spellEnd"/>
      <w:r w:rsidRPr="007762B5">
        <w:rPr>
          <w:rFonts w:ascii="Times New Roman" w:hAnsi="Times New Roman" w:cs="Times New Roman"/>
          <w:lang w:val="en-US"/>
        </w:rPr>
        <w:t xml:space="preserve"> and Others v. Russia effectively.</w:t>
      </w:r>
      <w:r w:rsidR="00B55DE3" w:rsidRPr="00B55DE3">
        <w:rPr>
          <w:rFonts w:ascii="Times New Roman" w:hAnsi="Times New Roman" w:cs="Times New Roman"/>
          <w:noProof/>
          <w:lang w:val="en-US"/>
        </w:rPr>
        <w:t xml:space="preserve"> </w:t>
      </w:r>
    </w:p>
    <w:p w14:paraId="0000006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6E"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provide legal recognition (such as civil unions or registered partnerships) for same sex couples.</w:t>
      </w:r>
    </w:p>
    <w:p w14:paraId="0000006F"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Education issues</w:t>
      </w:r>
    </w:p>
    <w:p w14:paraId="00000070"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In the List of issues about the combined fourth and fifth periodic reports of the Republic of Moldova (CRC/C/MDA/Q/4-5, 28 February 2017), the UN Committee on the Rights of the Child asked the Government to provide information on measures taken to respect the identity of lesbian, gay, bisexual, transgender and intersex children and to protect such children from violence and discrimination (para. 3). Moldova was also to provide information on specific measures taken to guarantee the rights of the child to be heard and to have his or her best interests concerning informed consent and privacy in health service delivery, including in the areas of sexual and reproductive health (para. 4). However, the Replies of the Republic of Moldova dated 24 July 2017 contained no information on these topics.</w:t>
      </w:r>
    </w:p>
    <w:p w14:paraId="00000071"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Thereafter, in the Concluding observations (CRC/C/MDA/CO/4-5, 20 October 2017) the UN Committee on the Rights of the Child recommended that the State party intensify efforts to ensure the effective elimination of any form of discrimination against children, in particular lesbian, gay, bisexual, transgender and intersex children and other groups of children in vulnerable situations (para. 15). It also urged Moldova to conduct a holistic review of the school curricula at all levels in order to offer a quality curriculum that meets the needs and interests of the child, including by integrating cultural diversity, and adapting the school environment to promote inclusiveness of ethnic minorities in the classroom and regarding extracurricular activities (para. 36).</w:t>
      </w:r>
    </w:p>
    <w:p w14:paraId="00000072"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Besides, the UN Committee on Economic, Social and Cultural Rights in its Concluding observations on the third periodic report of the Republic of Moldova (E/C.12/MDA/CO/3, 19 October 2017), remained concerned at the lack of compulsory sexuality education in schools (para. 62). It urged the State to carry out comprehensive and age-appropriate sexual and reproductive education in all educational institutions, as provided in the law on sexual and reproductive health (para. 63).</w:t>
      </w:r>
    </w:p>
    <w:p w14:paraId="00000073"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In its turn, the UN Committee on the Elimination of Discrimination against Women, in its Concluding observations on the sixth periodic report of the Republic of Moldova (CEDAW/C/MDA/CO/6, 10 March 2020) recommended that the State party should introduce age-appropriate comprehensive education on sexual and reproductive health and rights for girls and boys in school curricula at all levels, including on responsible sexual behavior and family planning (para. 35).</w:t>
      </w:r>
    </w:p>
    <w:p w14:paraId="00000074" w14:textId="58783161"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Despite parliamentary approval in February 2023 of amendments to the Education Code to introduce the term “bullying” and ways to prevent and sanction it, school bullying of students in the LGBT community remained pervasive. In April 2022, representatives of the LGBT community protested in front of the government’s headquarters, requesting more measures from the Ministry of Education to counter homophobia, transphobia, and bullying in schools following the suicide of a transgender teenager who was subject to continuous pressure and </w:t>
      </w:r>
      <w:r w:rsidR="00B55DE3" w:rsidRPr="009A7553">
        <w:rPr>
          <w:rFonts w:ascii="Times New Roman" w:hAnsi="Times New Roman" w:cs="Times New Roman"/>
          <w:noProof/>
          <w:lang w:val="en-US"/>
        </w:rPr>
        <w:lastRenderedPageBreak/>
        <w:drawing>
          <wp:anchor distT="0" distB="0" distL="114300" distR="114300" simplePos="0" relativeHeight="251687936" behindDoc="1" locked="0" layoutInCell="1" allowOverlap="1" wp14:anchorId="33883532" wp14:editId="55F411E7">
            <wp:simplePos x="0" y="0"/>
            <wp:positionH relativeFrom="column">
              <wp:posOffset>3657600</wp:posOffset>
            </wp:positionH>
            <wp:positionV relativeFrom="paragraph">
              <wp:posOffset>-699617</wp:posOffset>
            </wp:positionV>
            <wp:extent cx="3105260" cy="11096148"/>
            <wp:effectExtent l="0" t="0" r="6350" b="381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Pr="007762B5">
        <w:rPr>
          <w:rFonts w:ascii="Times New Roman" w:hAnsi="Times New Roman" w:cs="Times New Roman"/>
          <w:lang w:val="en-US"/>
        </w:rPr>
        <w:t>humiliation in school. Earlier, the LGBT community alerted authorities regarding the case, but the school administration took no action</w:t>
      </w:r>
      <w:r w:rsidRPr="007762B5">
        <w:rPr>
          <w:rFonts w:ascii="Times New Roman" w:hAnsi="Times New Roman" w:cs="Times New Roman"/>
          <w:vertAlign w:val="superscript"/>
          <w:lang w:val="en-US"/>
        </w:rPr>
        <w:footnoteReference w:id="26"/>
      </w:r>
      <w:r w:rsidRPr="007762B5">
        <w:rPr>
          <w:rFonts w:ascii="Times New Roman" w:hAnsi="Times New Roman" w:cs="Times New Roman"/>
          <w:lang w:val="en-US"/>
        </w:rPr>
        <w:t>.</w:t>
      </w:r>
    </w:p>
    <w:p w14:paraId="00000075" w14:textId="6549BA2D"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concept of "bullying" is to be regulated by the Education Code. The corresponding bill was adopted by Parliament in the second reading in mid-February 2023. However, the law has not yet been finally adopted to enter into force. Besides, after that, it will be necessary to test in practice the methodological recommendations for the prevention of bullying and after some time it would be fruitful to conduct appropriate research on how much the situation had changed since the new law.</w:t>
      </w:r>
      <w:r w:rsidR="00B55DE3" w:rsidRPr="00B55DE3">
        <w:rPr>
          <w:rFonts w:ascii="Times New Roman" w:hAnsi="Times New Roman" w:cs="Times New Roman"/>
          <w:noProof/>
          <w:lang w:val="en-US"/>
        </w:rPr>
        <w:t xml:space="preserve"> </w:t>
      </w:r>
    </w:p>
    <w:p w14:paraId="00000076"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A study conducted by S.C. Magenta Consulting S.R.L. for Terre des hommes Moldova and GENDERDOC-M in 2021 and released during the year showed that most LGBT students aged 15 to 19 said sexual orientation and gender identity were discussed in school to a limited extent. Most teachers had or voiced negative opinions regarding the LGBT community. The study also showed that in schools, many individuals thought that the LGBT community was made of “perverse, sick, or dangerous” persons</w:t>
      </w:r>
      <w:r w:rsidRPr="007762B5">
        <w:rPr>
          <w:rFonts w:ascii="Times New Roman" w:hAnsi="Times New Roman" w:cs="Times New Roman"/>
          <w:vertAlign w:val="superscript"/>
          <w:lang w:val="en-US"/>
        </w:rPr>
        <w:footnoteReference w:id="27"/>
      </w:r>
      <w:r w:rsidRPr="007762B5">
        <w:rPr>
          <w:rFonts w:ascii="Times New Roman" w:hAnsi="Times New Roman" w:cs="Times New Roman"/>
          <w:lang w:val="en-US"/>
        </w:rPr>
        <w:t>. As usual, “traditional values” and “morality” are taken up against the LGBT and sex education.</w:t>
      </w:r>
    </w:p>
    <w:p w14:paraId="00000077"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There is a lack of information about sexual orientation and gender identity in schools. Moreover, most school and university teachers have prejudices against LGBT people and other groups, and these attitudes are promoted during the lessons. These attitudes cause multiple cases of bullying and violence among students</w:t>
      </w:r>
      <w:r w:rsidRPr="007762B5">
        <w:rPr>
          <w:rFonts w:ascii="Times New Roman" w:hAnsi="Times New Roman" w:cs="Times New Roman"/>
          <w:vertAlign w:val="superscript"/>
          <w:lang w:val="en-US"/>
        </w:rPr>
        <w:footnoteReference w:id="28"/>
      </w:r>
      <w:r w:rsidRPr="007762B5">
        <w:rPr>
          <w:rFonts w:ascii="Times New Roman" w:hAnsi="Times New Roman" w:cs="Times New Roman"/>
          <w:lang w:val="en-US"/>
        </w:rPr>
        <w:t>.</w:t>
      </w:r>
    </w:p>
    <w:p w14:paraId="00000078"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Moldova needs to develop contemporary educational programs for secondary and higher education students, as well as for the general public, on matters of sex and reproductive health, including SOGI issues. This has to be an awareness-raising and positively educational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sex-health related issues.</w:t>
      </w:r>
    </w:p>
    <w:p w14:paraId="0000007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 State shall undertake to adopt immediate and effective measures, particularly in the fields of teaching, education, culture, and information, with a view to combating prejudices which lead to discrimination based on sexual orientation, gender expression, and gender identity and to promoting understanding, tolerance and friendship among nations and racial or ethnic groups, as well as to propagating the purposes and principles of the Charter of the United Nations, the Universal Declaration of Human Rights, the United Nations Declaration on the Elimination of All Forms of Racial Discrimination, and the Convention.</w:t>
      </w:r>
    </w:p>
    <w:p w14:paraId="0000007A"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Suggested Questions for State Party’s List of Issues Prior to Reporting:</w:t>
      </w:r>
    </w:p>
    <w:p w14:paraId="0000007B"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clarify the State party’s further initiatives and steps to implement in practice the relevant amendments to the Education Code that prohibit bullying.</w:t>
      </w:r>
    </w:p>
    <w:p w14:paraId="0000007C"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Please provide information on measures taken to ensure that gender-sensitive, age-appropriate, and inclusive education on sexual and reproductive health and rights is included in curricula at all levels of education.</w:t>
      </w:r>
    </w:p>
    <w:p w14:paraId="0000007D"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7E" w14:textId="068D838F" w:rsidR="00DC2930" w:rsidRPr="007762B5" w:rsidRDefault="00B55DE3">
      <w:pPr>
        <w:pStyle w:val="LO-normal"/>
        <w:spacing w:before="170" w:after="170"/>
        <w:ind w:firstLine="567"/>
        <w:jc w:val="both"/>
        <w:rPr>
          <w:rFonts w:ascii="Times New Roman" w:hAnsi="Times New Roman" w:cs="Times New Roman"/>
          <w:lang w:val="en-US"/>
        </w:rPr>
      </w:pPr>
      <w:r w:rsidRPr="009A7553">
        <w:rPr>
          <w:rFonts w:ascii="Times New Roman" w:hAnsi="Times New Roman" w:cs="Times New Roman"/>
          <w:noProof/>
          <w:lang w:val="en-US"/>
        </w:rPr>
        <w:lastRenderedPageBreak/>
        <w:drawing>
          <wp:anchor distT="0" distB="0" distL="114300" distR="114300" simplePos="0" relativeHeight="251689984" behindDoc="1" locked="0" layoutInCell="1" allowOverlap="1" wp14:anchorId="478AD211" wp14:editId="6D05B9F3">
            <wp:simplePos x="0" y="0"/>
            <wp:positionH relativeFrom="column">
              <wp:posOffset>3641835</wp:posOffset>
            </wp:positionH>
            <wp:positionV relativeFrom="paragraph">
              <wp:posOffset>-716521</wp:posOffset>
            </wp:positionV>
            <wp:extent cx="3105260" cy="11096148"/>
            <wp:effectExtent l="0" t="0" r="6350" b="381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260" cy="11096148"/>
                    </a:xfrm>
                    <a:prstGeom prst="rect">
                      <a:avLst/>
                    </a:prstGeom>
                  </pic:spPr>
                </pic:pic>
              </a:graphicData>
            </a:graphic>
            <wp14:sizeRelH relativeFrom="page">
              <wp14:pctWidth>0</wp14:pctWidth>
            </wp14:sizeRelH>
            <wp14:sizeRelV relativeFrom="page">
              <wp14:pctHeight>0</wp14:pctHeight>
            </wp14:sizeRelV>
          </wp:anchor>
        </w:drawing>
      </w:r>
      <w:r w:rsidR="00000000" w:rsidRPr="007762B5">
        <w:rPr>
          <w:rFonts w:ascii="Times New Roman" w:hAnsi="Times New Roman" w:cs="Times New Roman"/>
          <w:lang w:val="en-US"/>
        </w:rPr>
        <w:t>- To ensure that a zero-tolerance policy on gender-based violence and harassment is effectively implemented in all schools, including counseling services, awareness-raising efforts, and effective reporting mechanisms.</w:t>
      </w:r>
    </w:p>
    <w:p w14:paraId="0000007F" w14:textId="16EF0790"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mainstream gender equality issues in education, adopt specific policies or programs to promote tolerance towards diverse sexual orientations or gender identities in educational settings, and regulatory documents with regard to bullying based on these grounds.</w:t>
      </w:r>
    </w:p>
    <w:p w14:paraId="00000080" w14:textId="30A0A56E"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adopt specific policies or programs to promote tolerance towards diverse sexual orientations or gender identities in educational settings, and regulatory documents with regard to bullying based on these grounds.</w:t>
      </w:r>
    </w:p>
    <w:p w14:paraId="00000081" w14:textId="66D4A36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 xml:space="preserve">Human rights defenders </w:t>
      </w:r>
    </w:p>
    <w:p w14:paraId="00000082"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Civil society plays an important role in the promotion and protection of human rights and freedoms. It is important to lift the obstacles for the normal work of the CSOs, to ensure a safe and favorable environment which supports work to promote and protect economic, social and cultural rights. The authorities are invited to consult and start a dialogue with organizations working in the area of human rights protection, in particular those working to combat SOGI discrimination, involving their representatives in the preparation of the next periodic report.</w:t>
      </w:r>
    </w:p>
    <w:p w14:paraId="00000083"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i/>
          <w:lang w:val="en-US"/>
        </w:rPr>
        <w:t>Recommendations:</w:t>
      </w:r>
    </w:p>
    <w:p w14:paraId="00000084"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promulgate specific legislation to protect human rights defenders, provide them additional funding.</w:t>
      </w:r>
    </w:p>
    <w:p w14:paraId="00000085"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lang w:val="en-US"/>
        </w:rPr>
        <w:t>- To increase its efforts to involve non-governmental organizations and civil society in the processes of its next periodic report and its review.</w:t>
      </w:r>
    </w:p>
    <w:p w14:paraId="00000086" w14:textId="77777777" w:rsidR="00DC2930" w:rsidRPr="007762B5" w:rsidRDefault="00000000">
      <w:pPr>
        <w:pStyle w:val="LO-normal"/>
        <w:spacing w:before="170" w:after="170"/>
        <w:ind w:firstLine="567"/>
        <w:jc w:val="both"/>
        <w:rPr>
          <w:rFonts w:ascii="Times New Roman" w:hAnsi="Times New Roman" w:cs="Times New Roman"/>
          <w:lang w:val="en-US"/>
        </w:rPr>
      </w:pPr>
      <w:r w:rsidRPr="007762B5">
        <w:rPr>
          <w:rFonts w:ascii="Times New Roman" w:hAnsi="Times New Roman" w:cs="Times New Roman"/>
          <w:b/>
          <w:lang w:val="en-US"/>
        </w:rPr>
        <w:t>Concluding Note</w:t>
      </w:r>
    </w:p>
    <w:p w14:paraId="00000087" w14:textId="17F432BC"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Despite the positive changes in the Moldovan anti-discrimination legislation, in practice, the LGBT individuals still do not enjoy the same entitlements in terms of their fundamental rights and freedoms like the heteronormative majority does. They lack understanding from the political and cleric elite, law-enforcement officers, medical and educational workers, and the general public. Although adopting prohibition based on SOGI on a national level was a huge step forward, additional sensitization, education, and awareness-raising of the said categories of people is needed as soon as possible. We file this report in hopes that the Moldovan government will direct more attention at and invest more effort in LGBT as a diverse range of key population groups that have distinct civil, social, and political needs that require specialized regulations to decrease discrimination and stigma that currently impale their ability to lead healthy and fulfilling lives.</w:t>
      </w:r>
    </w:p>
    <w:p w14:paraId="00000088"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 xml:space="preserve">The next periodic report, which will be submitted to the UN </w:t>
      </w:r>
      <w:proofErr w:type="spellStart"/>
      <w:r w:rsidRPr="007762B5">
        <w:rPr>
          <w:rFonts w:ascii="Times New Roman" w:hAnsi="Times New Roman" w:cs="Times New Roman"/>
          <w:lang w:val="en-US"/>
        </w:rPr>
        <w:t>HRCtte</w:t>
      </w:r>
      <w:proofErr w:type="spellEnd"/>
      <w:r w:rsidRPr="007762B5">
        <w:rPr>
          <w:rFonts w:ascii="Times New Roman" w:hAnsi="Times New Roman" w:cs="Times New Roman"/>
          <w:lang w:val="en-US"/>
        </w:rPr>
        <w:t>, should be fully comprehensive and thus include precise and detailed information on the provision of fundamental human rights protected by the Covenant.</w:t>
      </w:r>
    </w:p>
    <w:p w14:paraId="00000089" w14:textId="77777777" w:rsidR="00DC2930" w:rsidRPr="007762B5" w:rsidRDefault="00000000">
      <w:pPr>
        <w:pStyle w:val="LO-normal"/>
        <w:numPr>
          <w:ilvl w:val="0"/>
          <w:numId w:val="1"/>
        </w:numPr>
        <w:spacing w:before="170" w:after="170"/>
        <w:jc w:val="both"/>
        <w:rPr>
          <w:rFonts w:ascii="Times New Roman" w:hAnsi="Times New Roman" w:cs="Times New Roman"/>
          <w:lang w:val="en-US"/>
        </w:rPr>
      </w:pPr>
      <w:r w:rsidRPr="007762B5">
        <w:rPr>
          <w:rFonts w:ascii="Times New Roman" w:hAnsi="Times New Roman" w:cs="Times New Roman"/>
          <w:lang w:val="en-US"/>
        </w:rPr>
        <w:t>There are still gaps and shortcomings in the legislative and policy frameworks which have to be adequately addressed. In order to enhance the protection of vulnerable groups in Moldovan society and to combat discrimination, we suggested several recommendations listed above. We would appreciate the Committee’s attention to these topics in its future List of Issues.</w:t>
      </w:r>
    </w:p>
    <w:sectPr w:rsidR="00DC2930" w:rsidRPr="007762B5">
      <w:pgSz w:w="11906" w:h="16838"/>
      <w:pgMar w:top="1134" w:right="1134" w:bottom="1134"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52C69" w14:textId="77777777" w:rsidR="00543794" w:rsidRDefault="00543794">
      <w:r>
        <w:separator/>
      </w:r>
    </w:p>
  </w:endnote>
  <w:endnote w:type="continuationSeparator" w:id="0">
    <w:p w14:paraId="47F4486D" w14:textId="77777777" w:rsidR="00543794" w:rsidRDefault="00543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0"/>
    <w:family w:val="auto"/>
    <w:pitch w:val="default"/>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4DB99" w14:textId="77777777" w:rsidR="00543794" w:rsidRDefault="00543794">
      <w:r>
        <w:separator/>
      </w:r>
    </w:p>
  </w:footnote>
  <w:footnote w:type="continuationSeparator" w:id="0">
    <w:p w14:paraId="20D3D42D" w14:textId="77777777" w:rsidR="00543794" w:rsidRDefault="00543794">
      <w:r>
        <w:continuationSeparator/>
      </w:r>
    </w:p>
  </w:footnote>
  <w:footnote w:id="1">
    <w:p w14:paraId="0000008A"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More at: </w:t>
      </w:r>
      <w:hyperlink r:id="rId1">
        <w:r w:rsidRPr="007B64B7">
          <w:rPr>
            <w:color w:val="000080"/>
            <w:sz w:val="20"/>
            <w:szCs w:val="20"/>
            <w:u w:val="single"/>
            <w:lang w:val="en-US"/>
          </w:rPr>
          <w:t>https://www.rferl.org/a/moldova-parliament-speaker-approves-russia-media-law/28966975.html</w:t>
        </w:r>
      </w:hyperlink>
    </w:p>
  </w:footnote>
  <w:footnote w:id="2">
    <w:p w14:paraId="0000008B"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Article 16. Equality: «(1) The respect and protection of the individual shall constitute the foremost duty of the State. (2) All citizens of the Republic of Moldova are equal before the law and public authorities, regardless of the race, nationality, ethnic origin, language, religion, sex, opinion, political affiliation, property or social origin». Article 48. Family: «The family shall be founded on a freely consented marriage between man and woman, on their equality of rights and on the right and obligation of parents to ensure the upbringing and education of their children». Full text of the Constitution of the Republic of Moldova at: </w:t>
      </w:r>
      <w:hyperlink r:id="rId2" w:anchor="2">
        <w:r w:rsidRPr="007B64B7">
          <w:rPr>
            <w:color w:val="000080"/>
            <w:sz w:val="20"/>
            <w:szCs w:val="20"/>
            <w:u w:val="single"/>
            <w:lang w:val="en-US"/>
          </w:rPr>
          <w:t>https://www.presedinte.md/titlul2#2</w:t>
        </w:r>
      </w:hyperlink>
      <w:r w:rsidRPr="007B64B7">
        <w:rPr>
          <w:color w:val="000000"/>
          <w:sz w:val="20"/>
          <w:szCs w:val="20"/>
          <w:lang w:val="en-US"/>
        </w:rPr>
        <w:t>.</w:t>
      </w:r>
    </w:p>
  </w:footnote>
  <w:footnote w:id="3">
    <w:p w14:paraId="0000008C"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The relevant content of the Art. 1 is now the following: “The purpose of this law is to prevent and combat discrimination, as well as to ensure the equality of all persons under the jurisdiction of the Republic of Moldova in the political, economic, social, cultural and other spheres of life, regardless of race, color, national or ethnic origin and social status, citizenship, language, religion or belief, age, sex, gender identity, marital status, sexual orientation, disability, health status, HIV status, opinion, political affiliation, wealth, birth or any other criterion.“</w:t>
      </w:r>
    </w:p>
  </w:footnote>
  <w:footnote w:id="4">
    <w:p w14:paraId="0000008D" w14:textId="77777777" w:rsidR="00DC2930" w:rsidRPr="007B64B7" w:rsidRDefault="00000000">
      <w:pPr>
        <w:pStyle w:val="LO-normal"/>
        <w:ind w:left="340" w:hanging="340"/>
        <w:jc w:val="both"/>
        <w:rPr>
          <w:color w:val="000000"/>
          <w:sz w:val="20"/>
          <w:szCs w:val="20"/>
          <w:lang w:val="en-US"/>
        </w:rPr>
      </w:pPr>
      <w:r>
        <w:rPr>
          <w:vertAlign w:val="superscript"/>
        </w:rPr>
        <w:footnoteRef/>
      </w:r>
      <w:hyperlink r:id="rId3">
        <w:r w:rsidRPr="007B64B7">
          <w:rPr>
            <w:color w:val="000080"/>
            <w:sz w:val="20"/>
            <w:szCs w:val="20"/>
            <w:u w:val="single"/>
            <w:lang w:val="en-US"/>
          </w:rPr>
          <w:tab/>
          <w:t>https://www.parlament.md/ProcesulLegislativ/Proiectedeactelegislative/tabid/61/LegislativId/6132/language/ro-RO/Default.aspx</w:t>
        </w:r>
      </w:hyperlink>
    </w:p>
  </w:footnote>
  <w:footnote w:id="5">
    <w:p w14:paraId="0000008E" w14:textId="77777777" w:rsidR="00DC2930" w:rsidRPr="007B64B7" w:rsidRDefault="00000000">
      <w:pPr>
        <w:pStyle w:val="LO-normal"/>
        <w:ind w:left="340" w:hanging="340"/>
        <w:rPr>
          <w:color w:val="000000"/>
          <w:sz w:val="20"/>
          <w:szCs w:val="20"/>
          <w:lang w:val="en-US"/>
        </w:rPr>
      </w:pPr>
      <w:r>
        <w:rPr>
          <w:vertAlign w:val="superscript"/>
        </w:rPr>
        <w:footnoteRef/>
      </w:r>
      <w:hyperlink r:id="rId4">
        <w:r w:rsidRPr="007B64B7">
          <w:rPr>
            <w:color w:val="000080"/>
            <w:sz w:val="20"/>
            <w:szCs w:val="20"/>
            <w:u w:val="single"/>
            <w:lang w:val="en-US"/>
          </w:rPr>
          <w:tab/>
          <w:t>Legislative analysis</w:t>
        </w:r>
      </w:hyperlink>
      <w:r w:rsidRPr="007B64B7">
        <w:rPr>
          <w:color w:val="000000"/>
          <w:sz w:val="20"/>
          <w:szCs w:val="20"/>
          <w:lang w:val="en-US"/>
        </w:rPr>
        <w:t xml:space="preserve"> related to SOGI and HIV in Moldova / ECOM. Tallinn, 2022. Page 6.</w:t>
      </w:r>
    </w:p>
  </w:footnote>
  <w:footnote w:id="6">
    <w:p w14:paraId="0000008F"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Moldova’s </w:t>
      </w:r>
      <w:hyperlink r:id="rId5">
        <w:r w:rsidRPr="007B64B7">
          <w:rPr>
            <w:color w:val="000080"/>
            <w:sz w:val="20"/>
            <w:szCs w:val="20"/>
            <w:u w:val="single"/>
            <w:lang w:val="en-US"/>
          </w:rPr>
          <w:t>Action Plan</w:t>
        </w:r>
      </w:hyperlink>
      <w:r w:rsidRPr="007B64B7">
        <w:rPr>
          <w:color w:val="000000"/>
          <w:sz w:val="20"/>
          <w:szCs w:val="20"/>
          <w:lang w:val="en-US"/>
        </w:rPr>
        <w:t xml:space="preserve"> for the </w:t>
      </w:r>
      <w:r w:rsidRPr="007B64B7">
        <w:rPr>
          <w:sz w:val="20"/>
          <w:szCs w:val="20"/>
          <w:lang w:val="en-US"/>
        </w:rPr>
        <w:t>Execution</w:t>
      </w:r>
      <w:r w:rsidRPr="007B64B7">
        <w:rPr>
          <w:color w:val="000000"/>
          <w:sz w:val="20"/>
          <w:szCs w:val="20"/>
          <w:lang w:val="en-US"/>
        </w:rPr>
        <w:t xml:space="preserve"> of the European Court of Human Rights </w:t>
      </w:r>
      <w:r w:rsidRPr="007B64B7">
        <w:rPr>
          <w:sz w:val="20"/>
          <w:szCs w:val="20"/>
          <w:lang w:val="en-US"/>
        </w:rPr>
        <w:t>Judgment</w:t>
      </w:r>
      <w:r w:rsidRPr="007B64B7">
        <w:rPr>
          <w:color w:val="000000"/>
          <w:sz w:val="20"/>
          <w:szCs w:val="20"/>
          <w:lang w:val="en-US"/>
        </w:rPr>
        <w:t xml:space="preserve"> in the </w:t>
      </w:r>
      <w:r w:rsidRPr="007B64B7">
        <w:rPr>
          <w:sz w:val="20"/>
          <w:szCs w:val="20"/>
          <w:lang w:val="en-US"/>
        </w:rPr>
        <w:t>Case</w:t>
      </w:r>
      <w:r w:rsidRPr="007B64B7">
        <w:rPr>
          <w:color w:val="000000"/>
          <w:sz w:val="20"/>
          <w:szCs w:val="20"/>
          <w:lang w:val="en-US"/>
        </w:rPr>
        <w:t xml:space="preserve"> of </w:t>
      </w:r>
      <w:proofErr w:type="spellStart"/>
      <w:r w:rsidRPr="007B64B7">
        <w:rPr>
          <w:color w:val="000000"/>
          <w:sz w:val="20"/>
          <w:szCs w:val="20"/>
          <w:lang w:val="en-US"/>
        </w:rPr>
        <w:t>Genderdoc</w:t>
      </w:r>
      <w:proofErr w:type="spellEnd"/>
      <w:r w:rsidRPr="007B64B7">
        <w:rPr>
          <w:color w:val="000000"/>
          <w:sz w:val="20"/>
          <w:szCs w:val="20"/>
          <w:lang w:val="en-US"/>
        </w:rPr>
        <w:t>-M and M.D. v. the Republic of Moldova, 24 February 2023.</w:t>
      </w:r>
    </w:p>
  </w:footnote>
  <w:footnote w:id="7">
    <w:p w14:paraId="00000090"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U.S. Department of State. Annual Country Reports on Human Rights Practices – the Human Rights Report. </w:t>
      </w:r>
      <w:hyperlink r:id="rId6">
        <w:r w:rsidRPr="007B64B7">
          <w:rPr>
            <w:color w:val="000080"/>
            <w:sz w:val="20"/>
            <w:szCs w:val="20"/>
            <w:u w:val="single"/>
            <w:lang w:val="en-US"/>
          </w:rPr>
          <w:t>Moldova 2022 Report</w:t>
        </w:r>
      </w:hyperlink>
      <w:r w:rsidRPr="007B64B7">
        <w:rPr>
          <w:color w:val="000000"/>
          <w:sz w:val="20"/>
          <w:szCs w:val="20"/>
          <w:lang w:val="en-US"/>
        </w:rPr>
        <w:t>. Page 42.</w:t>
      </w:r>
    </w:p>
  </w:footnote>
  <w:footnote w:id="8">
    <w:p w14:paraId="00000091" w14:textId="77777777" w:rsidR="00DC2930" w:rsidRPr="007B64B7" w:rsidRDefault="00000000">
      <w:pPr>
        <w:pStyle w:val="LO-normal"/>
        <w:ind w:left="340" w:hanging="340"/>
        <w:jc w:val="both"/>
        <w:rPr>
          <w:sz w:val="20"/>
          <w:szCs w:val="20"/>
          <w:lang w:val="en-US"/>
        </w:rPr>
      </w:pPr>
      <w:r>
        <w:rPr>
          <w:vertAlign w:val="superscript"/>
        </w:rPr>
        <w:footnoteRef/>
      </w:r>
      <w:r w:rsidRPr="007B64B7">
        <w:rPr>
          <w:sz w:val="20"/>
          <w:szCs w:val="20"/>
          <w:lang w:val="en-US"/>
        </w:rPr>
        <w:tab/>
        <w:t xml:space="preserve">GENDERDOC-M Information Centre. </w:t>
      </w:r>
      <w:hyperlink r:id="rId7">
        <w:r w:rsidRPr="007B64B7">
          <w:rPr>
            <w:color w:val="000080"/>
            <w:sz w:val="20"/>
            <w:szCs w:val="20"/>
            <w:u w:val="single"/>
            <w:lang w:val="en-US"/>
          </w:rPr>
          <w:t>Report on the situation of the rights of LGBT+ persons in the Republic of Moldova</w:t>
        </w:r>
      </w:hyperlink>
      <w:r w:rsidRPr="007B64B7">
        <w:rPr>
          <w:sz w:val="20"/>
          <w:szCs w:val="20"/>
          <w:lang w:val="en-US"/>
        </w:rPr>
        <w:t>, 2022. Page 6.</w:t>
      </w:r>
    </w:p>
  </w:footnote>
  <w:footnote w:id="9">
    <w:p w14:paraId="00000092"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Ibid. Pages 6-18.</w:t>
      </w:r>
    </w:p>
  </w:footnote>
  <w:footnote w:id="10">
    <w:p w14:paraId="00000093" w14:textId="77777777" w:rsidR="00DC2930" w:rsidRPr="007B64B7" w:rsidRDefault="00000000">
      <w:pPr>
        <w:pStyle w:val="LO-normal"/>
        <w:ind w:left="340" w:hanging="340"/>
        <w:rPr>
          <w:color w:val="000000"/>
          <w:sz w:val="20"/>
          <w:szCs w:val="20"/>
          <w:lang w:val="en-US"/>
        </w:rPr>
      </w:pPr>
      <w:r>
        <w:rPr>
          <w:vertAlign w:val="superscript"/>
        </w:rPr>
        <w:footnoteRef/>
      </w:r>
      <w:hyperlink r:id="rId8">
        <w:r w:rsidRPr="007B64B7">
          <w:rPr>
            <w:color w:val="000080"/>
            <w:sz w:val="20"/>
            <w:szCs w:val="20"/>
            <w:u w:val="single"/>
            <w:lang w:val="en-US"/>
          </w:rPr>
          <w:tab/>
          <w:t>Legislative analysis</w:t>
        </w:r>
      </w:hyperlink>
      <w:r w:rsidRPr="007B64B7">
        <w:rPr>
          <w:color w:val="000000"/>
          <w:sz w:val="20"/>
          <w:szCs w:val="20"/>
          <w:lang w:val="en-US"/>
        </w:rPr>
        <w:t xml:space="preserve"> related to SOGI and HIV in Moldova / ECOM. Tallinn, 2022. Page 6.</w:t>
      </w:r>
    </w:p>
  </w:footnote>
  <w:footnote w:id="11">
    <w:p w14:paraId="00000094"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cases (in Romanian): </w:t>
      </w:r>
      <w:hyperlink r:id="rId9">
        <w:r w:rsidRPr="007B64B7">
          <w:rPr>
            <w:color w:val="000000"/>
            <w:sz w:val="20"/>
            <w:szCs w:val="20"/>
            <w:lang w:val="en-US"/>
          </w:rPr>
          <w:t>http://gdm.md/files/untitled%20folder/Raport-GENDERDOC-M-2019_romana.pdf?fbclid=IwAR2WYz_Nj1DNdOVneMkEI1vjLn-Cqqtd-JM1iSB8qkuayHlyj5bL4JD_kH5Q</w:t>
        </w:r>
      </w:hyperlink>
    </w:p>
  </w:footnote>
  <w:footnote w:id="12">
    <w:p w14:paraId="00000095"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U.S. Department of State. Annual Country Reports on Human Rights Practices – the Human Rights Report. </w:t>
      </w:r>
      <w:hyperlink r:id="rId10">
        <w:r w:rsidRPr="007B64B7">
          <w:rPr>
            <w:color w:val="000080"/>
            <w:sz w:val="20"/>
            <w:szCs w:val="20"/>
            <w:u w:val="single"/>
            <w:lang w:val="en-US"/>
          </w:rPr>
          <w:t>Moldova 2022 Report</w:t>
        </w:r>
      </w:hyperlink>
      <w:r w:rsidRPr="007B64B7">
        <w:rPr>
          <w:color w:val="000000"/>
          <w:sz w:val="20"/>
          <w:szCs w:val="20"/>
          <w:lang w:val="en-US"/>
        </w:rPr>
        <w:t>. Page 43.</w:t>
      </w:r>
    </w:p>
  </w:footnote>
  <w:footnote w:id="13">
    <w:p w14:paraId="00000096"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GENDERDOC-M Information Centre. </w:t>
      </w:r>
      <w:hyperlink r:id="rId11">
        <w:r w:rsidRPr="007B64B7">
          <w:rPr>
            <w:color w:val="000000"/>
            <w:sz w:val="20"/>
            <w:szCs w:val="20"/>
            <w:lang w:val="en-US"/>
          </w:rPr>
          <w:t>Report on the situation of the rights of LGBT+ persons in the Republic of Moldova</w:t>
        </w:r>
      </w:hyperlink>
      <w:r w:rsidRPr="007B64B7">
        <w:rPr>
          <w:color w:val="000000"/>
          <w:sz w:val="20"/>
          <w:szCs w:val="20"/>
          <w:lang w:val="en-US"/>
        </w:rPr>
        <w:t>, 2022. Page 3.</w:t>
      </w:r>
    </w:p>
  </w:footnote>
  <w:footnote w:id="14">
    <w:p w14:paraId="00000097" w14:textId="77777777" w:rsidR="00DC2930" w:rsidRPr="007B64B7" w:rsidRDefault="00000000">
      <w:pPr>
        <w:pStyle w:val="LO-normal"/>
        <w:ind w:left="340" w:hanging="340"/>
        <w:rPr>
          <w:color w:val="000000"/>
          <w:sz w:val="20"/>
          <w:szCs w:val="20"/>
          <w:lang w:val="en-US"/>
        </w:rPr>
      </w:pPr>
      <w:r>
        <w:rPr>
          <w:vertAlign w:val="superscript"/>
        </w:rPr>
        <w:footnoteRef/>
      </w:r>
      <w:hyperlink r:id="rId12">
        <w:r w:rsidRPr="007B64B7">
          <w:rPr>
            <w:color w:val="000080"/>
            <w:sz w:val="20"/>
            <w:szCs w:val="20"/>
            <w:u w:val="single"/>
            <w:lang w:val="en-US"/>
          </w:rPr>
          <w:tab/>
          <w:t>Legislative analysis</w:t>
        </w:r>
      </w:hyperlink>
      <w:r w:rsidRPr="007B64B7">
        <w:rPr>
          <w:color w:val="000000"/>
          <w:sz w:val="20"/>
          <w:szCs w:val="20"/>
          <w:lang w:val="en-US"/>
        </w:rPr>
        <w:t xml:space="preserve"> related to SOGI and HIV in Moldova / ECOM. Tallinn, 2022. Page 11.</w:t>
      </w:r>
    </w:p>
  </w:footnote>
  <w:footnote w:id="15">
    <w:p w14:paraId="00000098"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Law «On acts of civil status», Article 66(2)(c) </w:t>
      </w:r>
    </w:p>
    <w:p w14:paraId="00000099" w14:textId="77777777" w:rsidR="00DC2930" w:rsidRPr="007B64B7" w:rsidRDefault="00000000">
      <w:pPr>
        <w:pStyle w:val="LO-normal"/>
        <w:ind w:left="340" w:hanging="340"/>
        <w:jc w:val="both"/>
        <w:rPr>
          <w:color w:val="000000"/>
          <w:sz w:val="20"/>
          <w:szCs w:val="20"/>
          <w:lang w:val="en-US"/>
        </w:rPr>
      </w:pPr>
      <w:hyperlink r:id="rId13">
        <w:r w:rsidRPr="007B64B7">
          <w:rPr>
            <w:color w:val="000080"/>
            <w:sz w:val="20"/>
            <w:szCs w:val="20"/>
            <w:u w:val="single"/>
            <w:lang w:val="en-US"/>
          </w:rPr>
          <w:t>http://lex.justice.md/viewdoc.php?action=view&amp;view=doc&amp;id=312727&amp;lang=2</w:t>
        </w:r>
      </w:hyperlink>
    </w:p>
  </w:footnote>
  <w:footnote w:id="16">
    <w:p w14:paraId="0000009A" w14:textId="77777777" w:rsidR="00DC2930" w:rsidRPr="007B64B7" w:rsidRDefault="00000000">
      <w:pPr>
        <w:pStyle w:val="LO-normal"/>
        <w:ind w:left="340" w:hanging="340"/>
        <w:rPr>
          <w:color w:val="000000"/>
          <w:sz w:val="20"/>
          <w:szCs w:val="20"/>
          <w:lang w:val="en-US"/>
        </w:rPr>
      </w:pPr>
      <w:r>
        <w:rPr>
          <w:vertAlign w:val="superscript"/>
        </w:rPr>
        <w:footnoteRef/>
      </w:r>
      <w:hyperlink r:id="rId14">
        <w:r w:rsidRPr="007B64B7">
          <w:rPr>
            <w:color w:val="000080"/>
            <w:sz w:val="20"/>
            <w:szCs w:val="20"/>
            <w:u w:val="single"/>
            <w:lang w:val="en-US"/>
          </w:rPr>
          <w:tab/>
          <w:t>Legislative analysis</w:t>
        </w:r>
      </w:hyperlink>
      <w:r w:rsidRPr="007B64B7">
        <w:rPr>
          <w:color w:val="000000"/>
          <w:sz w:val="20"/>
          <w:szCs w:val="20"/>
          <w:lang w:val="en-US"/>
        </w:rPr>
        <w:t xml:space="preserve"> related to SOGI and HIV in Moldova / ECOM. Tallinn, 2022. Page 12.</w:t>
      </w:r>
    </w:p>
  </w:footnote>
  <w:footnote w:id="17">
    <w:p w14:paraId="0000009B"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That process takes around 6-12 months.</w:t>
      </w:r>
    </w:p>
  </w:footnote>
  <w:footnote w:id="18">
    <w:p w14:paraId="0000009C"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U.S. Department of State. Annual Country Reports on Human Rights Practices – the Human Rights Report. </w:t>
      </w:r>
      <w:hyperlink r:id="rId15">
        <w:r w:rsidRPr="007B64B7">
          <w:rPr>
            <w:color w:val="000080"/>
            <w:sz w:val="20"/>
            <w:szCs w:val="20"/>
            <w:u w:val="single"/>
            <w:lang w:val="en-US"/>
          </w:rPr>
          <w:t>Moldova 2022 Report</w:t>
        </w:r>
      </w:hyperlink>
      <w:r w:rsidRPr="007B64B7">
        <w:rPr>
          <w:color w:val="000000"/>
          <w:sz w:val="20"/>
          <w:szCs w:val="20"/>
          <w:lang w:val="en-US"/>
        </w:rPr>
        <w:t>. Page 44.</w:t>
      </w:r>
    </w:p>
  </w:footnote>
  <w:footnote w:id="19">
    <w:p w14:paraId="0000009D"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 OHCHR Selected Decisions of the </w:t>
      </w:r>
      <w:proofErr w:type="spellStart"/>
      <w:r w:rsidRPr="007B64B7">
        <w:rPr>
          <w:color w:val="000000"/>
          <w:sz w:val="20"/>
          <w:szCs w:val="20"/>
          <w:lang w:val="en-US"/>
        </w:rPr>
        <w:t>HRCtee</w:t>
      </w:r>
      <w:proofErr w:type="spellEnd"/>
      <w:r w:rsidRPr="007B64B7">
        <w:rPr>
          <w:color w:val="000000"/>
          <w:sz w:val="20"/>
          <w:szCs w:val="20"/>
          <w:lang w:val="en-US"/>
        </w:rPr>
        <w:t xml:space="preserve"> Under the Optional Protocol, vol. 5, </w:t>
      </w:r>
      <w:hyperlink r:id="rId16">
        <w:r w:rsidRPr="007B64B7">
          <w:rPr>
            <w:color w:val="000000"/>
            <w:sz w:val="20"/>
            <w:szCs w:val="20"/>
            <w:lang w:val="en-US"/>
          </w:rPr>
          <w:t>https://www.ohchr.org/Documents/Publications/SDecisionsVol5en.pdf</w:t>
        </w:r>
      </w:hyperlink>
      <w:r w:rsidRPr="007B64B7">
        <w:rPr>
          <w:color w:val="000000"/>
          <w:sz w:val="20"/>
          <w:szCs w:val="20"/>
          <w:lang w:val="en-US"/>
        </w:rPr>
        <w:t>, p. 75.</w:t>
      </w:r>
    </w:p>
  </w:footnote>
  <w:footnote w:id="20">
    <w:p w14:paraId="0000009E"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“Transgender No Longer </w:t>
      </w:r>
      <w:proofErr w:type="spellStart"/>
      <w:r w:rsidRPr="007B64B7">
        <w:rPr>
          <w:color w:val="000000"/>
          <w:sz w:val="20"/>
          <w:szCs w:val="20"/>
          <w:lang w:val="en-US"/>
        </w:rPr>
        <w:t>Recognised</w:t>
      </w:r>
      <w:proofErr w:type="spellEnd"/>
      <w:r w:rsidRPr="007B64B7">
        <w:rPr>
          <w:color w:val="000000"/>
          <w:sz w:val="20"/>
          <w:szCs w:val="20"/>
          <w:lang w:val="en-US"/>
        </w:rPr>
        <w:t xml:space="preserve"> as ‘Disorder’ by WHO”, BBC, </w:t>
      </w:r>
      <w:hyperlink r:id="rId17">
        <w:r w:rsidRPr="007B64B7">
          <w:rPr>
            <w:color w:val="000080"/>
            <w:sz w:val="20"/>
            <w:szCs w:val="20"/>
            <w:u w:val="single"/>
            <w:lang w:val="en-US"/>
          </w:rPr>
          <w:t>https://www.bbc.com/news/health-48448804</w:t>
        </w:r>
      </w:hyperlink>
      <w:r w:rsidRPr="007B64B7">
        <w:rPr>
          <w:color w:val="000000"/>
          <w:sz w:val="20"/>
          <w:szCs w:val="20"/>
          <w:lang w:val="en-US"/>
        </w:rPr>
        <w:t xml:space="preserve">; ICD-11, WHO, </w:t>
      </w:r>
      <w:hyperlink r:id="rId18" w:anchor="/http://id.who.int/icd/entity/411470068">
        <w:r w:rsidRPr="007B64B7">
          <w:rPr>
            <w:color w:val="000080"/>
            <w:sz w:val="20"/>
            <w:szCs w:val="20"/>
            <w:u w:val="single"/>
            <w:lang w:val="en-US"/>
          </w:rPr>
          <w:t>https://icd.who.int/browse11/l-m/en#/http://id.who.int/icd/entity/411470068</w:t>
        </w:r>
      </w:hyperlink>
    </w:p>
  </w:footnote>
  <w:footnote w:id="21">
    <w:p w14:paraId="0000009F" w14:textId="77777777" w:rsidR="00DC2930" w:rsidRPr="007B64B7" w:rsidRDefault="00000000">
      <w:pPr>
        <w:pStyle w:val="LO-normal"/>
        <w:ind w:left="340" w:hanging="340"/>
        <w:rPr>
          <w:color w:val="000000"/>
          <w:sz w:val="20"/>
          <w:szCs w:val="20"/>
          <w:lang w:val="en-US"/>
        </w:rPr>
      </w:pPr>
      <w:r>
        <w:rPr>
          <w:vertAlign w:val="superscript"/>
        </w:rPr>
        <w:footnoteRef/>
      </w:r>
      <w:hyperlink r:id="rId19">
        <w:r w:rsidRPr="007B64B7">
          <w:rPr>
            <w:color w:val="000080"/>
            <w:sz w:val="20"/>
            <w:szCs w:val="20"/>
            <w:u w:val="single"/>
            <w:lang w:val="en-US"/>
          </w:rPr>
          <w:tab/>
          <w:t>Legislative analysis</w:t>
        </w:r>
      </w:hyperlink>
      <w:r w:rsidRPr="007B64B7">
        <w:rPr>
          <w:color w:val="000000"/>
          <w:sz w:val="20"/>
          <w:szCs w:val="20"/>
          <w:lang w:val="en-US"/>
        </w:rPr>
        <w:t xml:space="preserve"> related to SOGI and HIV in Moldova / ECOM. Tallinn, 2022. Page 10.</w:t>
      </w:r>
    </w:p>
  </w:footnote>
  <w:footnote w:id="22">
    <w:p w14:paraId="000000A0" w14:textId="77777777" w:rsidR="00DC2930" w:rsidRPr="007B64B7" w:rsidRDefault="00000000">
      <w:pPr>
        <w:pStyle w:val="LO-normal"/>
        <w:ind w:left="340" w:hanging="340"/>
        <w:rPr>
          <w:color w:val="000000"/>
          <w:sz w:val="20"/>
          <w:szCs w:val="20"/>
          <w:lang w:val="en-US"/>
        </w:rPr>
      </w:pPr>
      <w:r>
        <w:rPr>
          <w:vertAlign w:val="superscript"/>
        </w:rPr>
        <w:footnoteRef/>
      </w:r>
      <w:hyperlink r:id="rId20">
        <w:r w:rsidRPr="007B64B7">
          <w:rPr>
            <w:color w:val="000080"/>
            <w:sz w:val="20"/>
            <w:szCs w:val="20"/>
            <w:u w:val="single"/>
            <w:lang w:val="en-US"/>
          </w:rPr>
          <w:tab/>
          <w:t>https://hudoc.echr.coe.int/eng?i=001-222750</w:t>
        </w:r>
      </w:hyperlink>
    </w:p>
  </w:footnote>
  <w:footnote w:id="23">
    <w:p w14:paraId="000000A1"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See more details (in Russian): </w:t>
      </w:r>
      <w:hyperlink r:id="rId21">
        <w:r w:rsidRPr="007B64B7">
          <w:rPr>
            <w:color w:val="000080"/>
            <w:sz w:val="20"/>
            <w:szCs w:val="20"/>
            <w:u w:val="single"/>
            <w:lang w:val="en-US"/>
          </w:rPr>
          <w:t>https://gdm.md/2023/03/26/</w:t>
        </w:r>
        <w:r>
          <w:rPr>
            <w:color w:val="000080"/>
            <w:sz w:val="20"/>
            <w:szCs w:val="20"/>
            <w:u w:val="single"/>
          </w:rPr>
          <w:t>третья</w:t>
        </w:r>
        <w:r w:rsidRPr="007B64B7">
          <w:rPr>
            <w:color w:val="000080"/>
            <w:sz w:val="20"/>
            <w:szCs w:val="20"/>
            <w:u w:val="single"/>
            <w:lang w:val="en-US"/>
          </w:rPr>
          <w:t>-</w:t>
        </w:r>
        <w:proofErr w:type="spellStart"/>
        <w:r>
          <w:rPr>
            <w:color w:val="000080"/>
            <w:sz w:val="20"/>
            <w:szCs w:val="20"/>
            <w:u w:val="single"/>
          </w:rPr>
          <w:t>лгбт</w:t>
        </w:r>
        <w:proofErr w:type="spellEnd"/>
        <w:r w:rsidRPr="007B64B7">
          <w:rPr>
            <w:color w:val="000080"/>
            <w:sz w:val="20"/>
            <w:szCs w:val="20"/>
            <w:u w:val="single"/>
            <w:lang w:val="en-US"/>
          </w:rPr>
          <w:t>-</w:t>
        </w:r>
        <w:r>
          <w:rPr>
            <w:color w:val="000080"/>
            <w:sz w:val="20"/>
            <w:szCs w:val="20"/>
            <w:u w:val="single"/>
          </w:rPr>
          <w:t>пара</w:t>
        </w:r>
        <w:r w:rsidRPr="007B64B7">
          <w:rPr>
            <w:color w:val="000080"/>
            <w:sz w:val="20"/>
            <w:szCs w:val="20"/>
            <w:u w:val="single"/>
            <w:lang w:val="en-US"/>
          </w:rPr>
          <w:t>-</w:t>
        </w:r>
        <w:r>
          <w:rPr>
            <w:color w:val="000080"/>
            <w:sz w:val="20"/>
            <w:szCs w:val="20"/>
            <w:u w:val="single"/>
          </w:rPr>
          <w:t>в</w:t>
        </w:r>
        <w:r w:rsidRPr="007B64B7">
          <w:rPr>
            <w:color w:val="000080"/>
            <w:sz w:val="20"/>
            <w:szCs w:val="20"/>
            <w:u w:val="single"/>
            <w:lang w:val="en-US"/>
          </w:rPr>
          <w:t>-</w:t>
        </w:r>
        <w:proofErr w:type="spellStart"/>
        <w:r>
          <w:rPr>
            <w:color w:val="000080"/>
            <w:sz w:val="20"/>
            <w:szCs w:val="20"/>
            <w:u w:val="single"/>
          </w:rPr>
          <w:t>молдове</w:t>
        </w:r>
        <w:proofErr w:type="spellEnd"/>
        <w:r w:rsidRPr="007B64B7">
          <w:rPr>
            <w:color w:val="000080"/>
            <w:sz w:val="20"/>
            <w:szCs w:val="20"/>
            <w:u w:val="single"/>
            <w:lang w:val="en-US"/>
          </w:rPr>
          <w:t>-</w:t>
        </w:r>
        <w:r>
          <w:rPr>
            <w:color w:val="000080"/>
            <w:sz w:val="20"/>
            <w:szCs w:val="20"/>
            <w:u w:val="single"/>
          </w:rPr>
          <w:t>попыталась</w:t>
        </w:r>
        <w:r w:rsidRPr="007B64B7">
          <w:rPr>
            <w:color w:val="000080"/>
            <w:sz w:val="20"/>
            <w:szCs w:val="20"/>
            <w:u w:val="single"/>
            <w:lang w:val="en-US"/>
          </w:rPr>
          <w:t>/</w:t>
        </w:r>
      </w:hyperlink>
    </w:p>
  </w:footnote>
  <w:footnote w:id="24">
    <w:p w14:paraId="000000A2" w14:textId="77777777" w:rsidR="00DC2930" w:rsidRPr="007B64B7" w:rsidRDefault="00000000">
      <w:pPr>
        <w:pStyle w:val="LO-normal"/>
        <w:ind w:left="340" w:hanging="340"/>
        <w:rPr>
          <w:color w:val="000000"/>
          <w:sz w:val="20"/>
          <w:szCs w:val="20"/>
          <w:lang w:val="en-US"/>
        </w:rPr>
      </w:pPr>
      <w:r>
        <w:rPr>
          <w:vertAlign w:val="superscript"/>
        </w:rPr>
        <w:footnoteRef/>
      </w:r>
      <w:r w:rsidRPr="007B64B7">
        <w:rPr>
          <w:color w:val="000000"/>
          <w:sz w:val="20"/>
          <w:szCs w:val="20"/>
          <w:lang w:val="en-US"/>
        </w:rPr>
        <w:tab/>
        <w:t xml:space="preserve">See more details (in Russian): </w:t>
      </w:r>
      <w:hyperlink r:id="rId22">
        <w:r w:rsidRPr="007B64B7">
          <w:rPr>
            <w:color w:val="000080"/>
            <w:sz w:val="20"/>
            <w:szCs w:val="20"/>
            <w:u w:val="single"/>
            <w:lang w:val="en-US"/>
          </w:rPr>
          <w:t>https://gdm.md/2023/03/02/</w:t>
        </w:r>
        <w:r>
          <w:rPr>
            <w:color w:val="000080"/>
            <w:sz w:val="20"/>
            <w:szCs w:val="20"/>
            <w:u w:val="single"/>
          </w:rPr>
          <w:t>в</w:t>
        </w:r>
        <w:r w:rsidRPr="007B64B7">
          <w:rPr>
            <w:color w:val="000080"/>
            <w:sz w:val="20"/>
            <w:szCs w:val="20"/>
            <w:u w:val="single"/>
            <w:lang w:val="en-US"/>
          </w:rPr>
          <w:t>-</w:t>
        </w:r>
        <w:proofErr w:type="spellStart"/>
        <w:r>
          <w:rPr>
            <w:color w:val="000080"/>
            <w:sz w:val="20"/>
            <w:szCs w:val="20"/>
            <w:u w:val="single"/>
          </w:rPr>
          <w:t>молдове</w:t>
        </w:r>
        <w:proofErr w:type="spellEnd"/>
        <w:r w:rsidRPr="007B64B7">
          <w:rPr>
            <w:color w:val="000080"/>
            <w:sz w:val="20"/>
            <w:szCs w:val="20"/>
            <w:u w:val="single"/>
            <w:lang w:val="en-US"/>
          </w:rPr>
          <w:t>-</w:t>
        </w:r>
        <w:r>
          <w:rPr>
            <w:color w:val="000080"/>
            <w:sz w:val="20"/>
            <w:szCs w:val="20"/>
            <w:u w:val="single"/>
          </w:rPr>
          <w:t>первая</w:t>
        </w:r>
        <w:r w:rsidRPr="007B64B7">
          <w:rPr>
            <w:color w:val="000080"/>
            <w:sz w:val="20"/>
            <w:szCs w:val="20"/>
            <w:u w:val="single"/>
            <w:lang w:val="en-US"/>
          </w:rPr>
          <w:t>-</w:t>
        </w:r>
        <w:proofErr w:type="spellStart"/>
        <w:r>
          <w:rPr>
            <w:color w:val="000080"/>
            <w:sz w:val="20"/>
            <w:szCs w:val="20"/>
            <w:u w:val="single"/>
          </w:rPr>
          <w:t>лгбт</w:t>
        </w:r>
        <w:proofErr w:type="spellEnd"/>
        <w:r w:rsidRPr="007B64B7">
          <w:rPr>
            <w:color w:val="000080"/>
            <w:sz w:val="20"/>
            <w:szCs w:val="20"/>
            <w:u w:val="single"/>
            <w:lang w:val="en-US"/>
          </w:rPr>
          <w:t>-</w:t>
        </w:r>
        <w:r>
          <w:rPr>
            <w:color w:val="000080"/>
            <w:sz w:val="20"/>
            <w:szCs w:val="20"/>
            <w:u w:val="single"/>
          </w:rPr>
          <w:t>пара</w:t>
        </w:r>
        <w:r w:rsidRPr="007B64B7">
          <w:rPr>
            <w:color w:val="000080"/>
            <w:sz w:val="20"/>
            <w:szCs w:val="20"/>
            <w:u w:val="single"/>
            <w:lang w:val="en-US"/>
          </w:rPr>
          <w:t>-</w:t>
        </w:r>
        <w:r>
          <w:rPr>
            <w:color w:val="000080"/>
            <w:sz w:val="20"/>
            <w:szCs w:val="20"/>
            <w:u w:val="single"/>
          </w:rPr>
          <w:t>подала</w:t>
        </w:r>
        <w:r w:rsidRPr="007B64B7">
          <w:rPr>
            <w:color w:val="000080"/>
            <w:sz w:val="20"/>
            <w:szCs w:val="20"/>
            <w:u w:val="single"/>
            <w:lang w:val="en-US"/>
          </w:rPr>
          <w:t>-</w:t>
        </w:r>
        <w:r>
          <w:rPr>
            <w:color w:val="000080"/>
            <w:sz w:val="20"/>
            <w:szCs w:val="20"/>
            <w:u w:val="single"/>
          </w:rPr>
          <w:t>доку</w:t>
        </w:r>
        <w:r w:rsidRPr="007B64B7">
          <w:rPr>
            <w:color w:val="000080"/>
            <w:sz w:val="20"/>
            <w:szCs w:val="20"/>
            <w:u w:val="single"/>
            <w:lang w:val="en-US"/>
          </w:rPr>
          <w:t>-2/</w:t>
        </w:r>
      </w:hyperlink>
    </w:p>
  </w:footnote>
  <w:footnote w:id="25">
    <w:p w14:paraId="000000A3"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GENDERDOC-M Information Centre. </w:t>
      </w:r>
      <w:hyperlink r:id="rId23">
        <w:r w:rsidRPr="007B64B7">
          <w:rPr>
            <w:color w:val="000000"/>
            <w:sz w:val="20"/>
            <w:szCs w:val="20"/>
            <w:lang w:val="en-US"/>
          </w:rPr>
          <w:t>Report on the situation of the rights of LGBT+ persons in the Republic of Moldova</w:t>
        </w:r>
      </w:hyperlink>
      <w:r w:rsidRPr="007B64B7">
        <w:rPr>
          <w:color w:val="000000"/>
          <w:sz w:val="20"/>
          <w:szCs w:val="20"/>
          <w:lang w:val="en-US"/>
        </w:rPr>
        <w:t>, 2022. Page 3.</w:t>
      </w:r>
    </w:p>
  </w:footnote>
  <w:footnote w:id="26">
    <w:p w14:paraId="000000A4"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U.S. Department of State. Annual Country Reports on Human Rights Practices – the Human Rights Report. </w:t>
      </w:r>
      <w:hyperlink r:id="rId24">
        <w:r w:rsidRPr="007B64B7">
          <w:rPr>
            <w:color w:val="000080"/>
            <w:sz w:val="20"/>
            <w:szCs w:val="20"/>
            <w:u w:val="single"/>
            <w:lang w:val="en-US"/>
          </w:rPr>
          <w:t>Moldova 2022 Report</w:t>
        </w:r>
      </w:hyperlink>
      <w:r w:rsidRPr="007B64B7">
        <w:rPr>
          <w:color w:val="000000"/>
          <w:sz w:val="20"/>
          <w:szCs w:val="20"/>
          <w:lang w:val="en-US"/>
        </w:rPr>
        <w:t>. Page 44.</w:t>
      </w:r>
    </w:p>
  </w:footnote>
  <w:footnote w:id="27">
    <w:p w14:paraId="000000A5" w14:textId="77777777" w:rsidR="00DC2930" w:rsidRPr="007B64B7" w:rsidRDefault="00000000">
      <w:pPr>
        <w:pStyle w:val="LO-normal"/>
        <w:ind w:left="340" w:hanging="340"/>
        <w:jc w:val="both"/>
        <w:rPr>
          <w:color w:val="000000"/>
          <w:sz w:val="20"/>
          <w:szCs w:val="20"/>
          <w:lang w:val="en-US"/>
        </w:rPr>
      </w:pPr>
      <w:r>
        <w:rPr>
          <w:vertAlign w:val="superscript"/>
        </w:rPr>
        <w:footnoteRef/>
      </w:r>
      <w:r w:rsidRPr="007B64B7">
        <w:rPr>
          <w:color w:val="000000"/>
          <w:sz w:val="20"/>
          <w:szCs w:val="20"/>
          <w:lang w:val="en-US"/>
        </w:rPr>
        <w:tab/>
        <w:t xml:space="preserve">The U.S. Department of State. Annual Country Reports on Human Rights Practices – the Human Rights Report. </w:t>
      </w:r>
      <w:hyperlink r:id="rId25">
        <w:r w:rsidRPr="007B64B7">
          <w:rPr>
            <w:color w:val="000080"/>
            <w:sz w:val="20"/>
            <w:szCs w:val="20"/>
            <w:u w:val="single"/>
            <w:lang w:val="en-US"/>
          </w:rPr>
          <w:t>Moldova 2022 Report</w:t>
        </w:r>
      </w:hyperlink>
      <w:r w:rsidRPr="007B64B7">
        <w:rPr>
          <w:color w:val="000000"/>
          <w:sz w:val="20"/>
          <w:szCs w:val="20"/>
          <w:lang w:val="en-US"/>
        </w:rPr>
        <w:t>. Page 44.</w:t>
      </w:r>
    </w:p>
  </w:footnote>
  <w:footnote w:id="28">
    <w:p w14:paraId="000000A6" w14:textId="77777777" w:rsidR="00DC2930" w:rsidRDefault="00000000">
      <w:pPr>
        <w:pStyle w:val="LO-normal"/>
        <w:ind w:left="340" w:hanging="340"/>
        <w:jc w:val="both"/>
        <w:rPr>
          <w:color w:val="000000"/>
          <w:sz w:val="20"/>
          <w:szCs w:val="20"/>
        </w:rPr>
      </w:pPr>
      <w:r>
        <w:rPr>
          <w:vertAlign w:val="superscript"/>
        </w:rPr>
        <w:footnoteRef/>
      </w:r>
      <w:r w:rsidRPr="007B64B7">
        <w:rPr>
          <w:color w:val="000000"/>
          <w:sz w:val="20"/>
          <w:szCs w:val="20"/>
          <w:lang w:val="en-US"/>
        </w:rPr>
        <w:tab/>
        <w:t xml:space="preserve">GENDERDOC-M Information Centre. </w:t>
      </w:r>
      <w:hyperlink r:id="rId26">
        <w:r w:rsidRPr="007B64B7">
          <w:rPr>
            <w:color w:val="000000"/>
            <w:sz w:val="20"/>
            <w:szCs w:val="20"/>
            <w:lang w:val="en-US"/>
          </w:rPr>
          <w:t>Report on the situation of the rights of LGBT+ persons in the Republic of Moldova</w:t>
        </w:r>
      </w:hyperlink>
      <w:r w:rsidRPr="007B64B7">
        <w:rPr>
          <w:color w:val="000000"/>
          <w:sz w:val="20"/>
          <w:szCs w:val="20"/>
          <w:lang w:val="en-US"/>
        </w:rPr>
        <w:t xml:space="preserve">, 2022. </w:t>
      </w:r>
      <w:r>
        <w:rPr>
          <w:color w:val="000000"/>
          <w:sz w:val="20"/>
          <w:szCs w:val="20"/>
        </w:rPr>
        <w:t>Page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C3DC2"/>
    <w:multiLevelType w:val="multilevel"/>
    <w:tmpl w:val="1CF68ECE"/>
    <w:lvl w:ilvl="0">
      <w:start w:val="1"/>
      <w:numFmt w:val="decimal"/>
      <w:lvlText w:val="%1."/>
      <w:lvlJc w:val="left"/>
      <w:pPr>
        <w:ind w:left="754" w:hanging="397"/>
      </w:pPr>
      <w:rPr>
        <w:shd w:val="clear" w:color="auto" w:fill="auto"/>
      </w:rPr>
    </w:lvl>
    <w:lvl w:ilvl="1">
      <w:start w:val="1"/>
      <w:numFmt w:val="decimal"/>
      <w:lvlText w:val="%2."/>
      <w:lvlJc w:val="left"/>
      <w:pPr>
        <w:ind w:left="1151" w:hanging="397"/>
      </w:pPr>
    </w:lvl>
    <w:lvl w:ilvl="2">
      <w:start w:val="1"/>
      <w:numFmt w:val="decimal"/>
      <w:lvlText w:val="%3."/>
      <w:lvlJc w:val="left"/>
      <w:pPr>
        <w:ind w:left="1548" w:hanging="397"/>
      </w:pPr>
    </w:lvl>
    <w:lvl w:ilvl="3">
      <w:start w:val="1"/>
      <w:numFmt w:val="decimal"/>
      <w:lvlText w:val="%4."/>
      <w:lvlJc w:val="left"/>
      <w:pPr>
        <w:ind w:left="1945" w:hanging="397"/>
      </w:pPr>
    </w:lvl>
    <w:lvl w:ilvl="4">
      <w:start w:val="1"/>
      <w:numFmt w:val="decimal"/>
      <w:lvlText w:val="%5."/>
      <w:lvlJc w:val="left"/>
      <w:pPr>
        <w:ind w:left="2342" w:hanging="397"/>
      </w:pPr>
    </w:lvl>
    <w:lvl w:ilvl="5">
      <w:start w:val="1"/>
      <w:numFmt w:val="decimal"/>
      <w:lvlText w:val="%6."/>
      <w:lvlJc w:val="left"/>
      <w:pPr>
        <w:ind w:left="2738" w:hanging="397"/>
      </w:pPr>
    </w:lvl>
    <w:lvl w:ilvl="6">
      <w:start w:val="1"/>
      <w:numFmt w:val="decimal"/>
      <w:lvlText w:val="%7."/>
      <w:lvlJc w:val="left"/>
      <w:pPr>
        <w:ind w:left="3135" w:hanging="397"/>
      </w:pPr>
    </w:lvl>
    <w:lvl w:ilvl="7">
      <w:start w:val="1"/>
      <w:numFmt w:val="decimal"/>
      <w:lvlText w:val="%8."/>
      <w:lvlJc w:val="left"/>
      <w:pPr>
        <w:ind w:left="3532" w:hanging="397"/>
      </w:pPr>
    </w:lvl>
    <w:lvl w:ilvl="8">
      <w:start w:val="1"/>
      <w:numFmt w:val="decimal"/>
      <w:lvlText w:val="%9."/>
      <w:lvlJc w:val="left"/>
      <w:pPr>
        <w:ind w:left="3929" w:hanging="397"/>
      </w:pPr>
    </w:lvl>
  </w:abstractNum>
  <w:num w:numId="1" w16cid:durableId="1929463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930"/>
    <w:rsid w:val="00173D9E"/>
    <w:rsid w:val="00543794"/>
    <w:rsid w:val="007762B5"/>
    <w:rsid w:val="007B64B7"/>
    <w:rsid w:val="00B55DE3"/>
    <w:rsid w:val="00DC2930"/>
    <w:rsid w:val="00E95776"/>
    <w:rsid w:val="00F06739"/>
  </w:rsids>
  <m:mathPr>
    <m:mathFont m:val="Cambria Math"/>
    <m:brkBin m:val="before"/>
    <m:brkBinSub m:val="--"/>
    <m:smallFrac m:val="0"/>
    <m:dispDef/>
    <m:lMargin m:val="0"/>
    <m:rMargin m:val="0"/>
    <m:defJc m:val="centerGroup"/>
    <m:wrapIndent m:val="1440"/>
    <m:intLim m:val="subSup"/>
    <m:naryLim m:val="undOvr"/>
  </m:mathPr>
  <w:themeFontLang w:val="ru-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55758"/>
  <w15:docId w15:val="{E4BF8AA1-8052-0143-B711-6015C8B6E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lang w:eastAsia="zh-CN" w:bidi="hi-IN"/>
    </w:rPr>
  </w:style>
  <w:style w:type="paragraph" w:styleId="1">
    <w:name w:val="heading 1"/>
    <w:basedOn w:val="LO-normal"/>
    <w:next w:val="LO-normal"/>
    <w:uiPriority w:val="9"/>
    <w:qFormat/>
    <w:pPr>
      <w:keepNext/>
      <w:keepLines/>
      <w:spacing w:before="480" w:after="120"/>
      <w:outlineLvl w:val="0"/>
    </w:pPr>
    <w:rPr>
      <w:b/>
      <w:sz w:val="48"/>
      <w:szCs w:val="48"/>
    </w:rPr>
  </w:style>
  <w:style w:type="paragraph" w:styleId="2">
    <w:name w:val="heading 2"/>
    <w:basedOn w:val="LO-normal"/>
    <w:next w:val="LO-normal"/>
    <w:uiPriority w:val="9"/>
    <w:semiHidden/>
    <w:unhideWhenUsed/>
    <w:qFormat/>
    <w:pPr>
      <w:keepNext/>
      <w:keepLines/>
      <w:spacing w:before="360" w:after="80"/>
      <w:outlineLvl w:val="1"/>
    </w:pPr>
    <w:rPr>
      <w:b/>
      <w:sz w:val="36"/>
      <w:szCs w:val="36"/>
    </w:rPr>
  </w:style>
  <w:style w:type="paragraph" w:styleId="3">
    <w:name w:val="heading 3"/>
    <w:basedOn w:val="LO-normal"/>
    <w:next w:val="LO-normal"/>
    <w:uiPriority w:val="9"/>
    <w:semiHidden/>
    <w:unhideWhenUsed/>
    <w:qFormat/>
    <w:pPr>
      <w:keepNext/>
      <w:keepLines/>
      <w:spacing w:before="280" w:after="80"/>
      <w:outlineLvl w:val="2"/>
    </w:pPr>
    <w:rPr>
      <w:b/>
      <w:sz w:val="28"/>
      <w:szCs w:val="28"/>
    </w:rPr>
  </w:style>
  <w:style w:type="paragraph" w:styleId="4">
    <w:name w:val="heading 4"/>
    <w:basedOn w:val="LO-normal"/>
    <w:next w:val="LO-normal"/>
    <w:uiPriority w:val="9"/>
    <w:semiHidden/>
    <w:unhideWhenUsed/>
    <w:qFormat/>
    <w:pPr>
      <w:keepNext/>
      <w:keepLines/>
      <w:spacing w:before="240" w:after="40"/>
      <w:outlineLvl w:val="3"/>
    </w:pPr>
    <w:rPr>
      <w:b/>
    </w:rPr>
  </w:style>
  <w:style w:type="paragraph" w:styleId="5">
    <w:name w:val="heading 5"/>
    <w:basedOn w:val="LO-normal"/>
    <w:next w:val="LO-normal"/>
    <w:uiPriority w:val="9"/>
    <w:semiHidden/>
    <w:unhideWhenUsed/>
    <w:qFormat/>
    <w:pPr>
      <w:keepNext/>
      <w:keepLines/>
      <w:spacing w:before="220" w:after="40"/>
      <w:outlineLvl w:val="4"/>
    </w:pPr>
    <w:rPr>
      <w:b/>
      <w:sz w:val="22"/>
      <w:szCs w:val="22"/>
    </w:rPr>
  </w:style>
  <w:style w:type="paragraph" w:styleId="6">
    <w:name w:val="heading 6"/>
    <w:basedOn w:val="LO-normal"/>
    <w:next w:val="LO-normal"/>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LO-normal"/>
    <w:next w:val="a4"/>
    <w:uiPriority w:val="10"/>
    <w:qFormat/>
    <w:pPr>
      <w:keepNext/>
      <w:keepLines/>
      <w:spacing w:before="480" w:after="120"/>
    </w:pPr>
    <w:rPr>
      <w:b/>
      <w:sz w:val="72"/>
      <w:szCs w:val="72"/>
    </w:rPr>
  </w:style>
  <w:style w:type="character" w:styleId="a5">
    <w:name w:val="Hyperlink"/>
    <w:rPr>
      <w:color w:val="000080"/>
      <w:u w:val="single"/>
    </w:rPr>
  </w:style>
  <w:style w:type="character" w:customStyle="1" w:styleId="a6">
    <w:name w:val="Символ сноски"/>
    <w:qFormat/>
    <w:rPr>
      <w:vertAlign w:val="superscript"/>
    </w:rPr>
  </w:style>
  <w:style w:type="character" w:styleId="a7">
    <w:name w:val="footnote reference"/>
    <w:rPr>
      <w:vertAlign w:val="superscript"/>
    </w:rPr>
  </w:style>
  <w:style w:type="character" w:customStyle="1" w:styleId="a8">
    <w:name w:val="Символ концевой сноски"/>
    <w:qFormat/>
    <w:rPr>
      <w:vertAlign w:val="superscript"/>
    </w:rPr>
  </w:style>
  <w:style w:type="character" w:styleId="a9">
    <w:name w:val="endnote reference"/>
    <w:rPr>
      <w:vertAlign w:val="superscript"/>
    </w:rPr>
  </w:style>
  <w:style w:type="character" w:styleId="aa">
    <w:name w:val="FollowedHyperlink"/>
    <w:rPr>
      <w:color w:val="800000"/>
      <w:u w:val="single"/>
    </w:rPr>
  </w:style>
  <w:style w:type="character" w:customStyle="1" w:styleId="ab">
    <w:name w:val="Символ нумерации"/>
    <w:qFormat/>
  </w:style>
  <w:style w:type="paragraph" w:styleId="a4">
    <w:name w:val="Body Text"/>
    <w:basedOn w:val="a"/>
    <w:pPr>
      <w:spacing w:after="140" w:line="276" w:lineRule="auto"/>
    </w:pPr>
  </w:style>
  <w:style w:type="paragraph" w:styleId="ac">
    <w:name w:val="List"/>
    <w:basedOn w:val="a4"/>
    <w:rPr>
      <w:rFonts w:cs="Lucida Sans"/>
    </w:rPr>
  </w:style>
  <w:style w:type="paragraph" w:styleId="ad">
    <w:name w:val="caption"/>
    <w:basedOn w:val="a"/>
    <w:qFormat/>
    <w:pPr>
      <w:suppressLineNumbers/>
      <w:spacing w:before="120" w:after="120"/>
    </w:pPr>
    <w:rPr>
      <w:rFonts w:cs="Lucida Sans"/>
      <w:i/>
      <w:iCs/>
    </w:rPr>
  </w:style>
  <w:style w:type="paragraph" w:styleId="ae">
    <w:name w:val="index heading"/>
    <w:basedOn w:val="a"/>
    <w:qFormat/>
    <w:pPr>
      <w:suppressLineNumbers/>
    </w:pPr>
    <w:rPr>
      <w:rFonts w:cs="Lucida Sans"/>
    </w:rPr>
  </w:style>
  <w:style w:type="paragraph" w:customStyle="1" w:styleId="LO-normal">
    <w:name w:val="LO-normal"/>
    <w:qFormat/>
    <w:pPr>
      <w:suppressAutoHyphens/>
    </w:pPr>
    <w:rPr>
      <w:lang w:eastAsia="zh-CN" w:bidi="hi-IN"/>
    </w:r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f0">
    <w:name w:val="footnote text"/>
    <w:basedOn w:val="a"/>
  </w:style>
  <w:style w:type="numbering" w:customStyle="1" w:styleId="123">
    <w:name w:val="Нумерованный 123"/>
    <w:qFormat/>
  </w:style>
  <w:style w:type="table" w:customStyle="1" w:styleId="TableNormal0">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c.gov.md/ro/content/mesajul-ministerului-educatiei-si-cercetarii-legatura-cu-protestul-impotriva-discriminari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om.ngo/resource/files/2022/12/ecom_analysis_mol_en_22.pdf" TargetMode="External"/><Relationship Id="rId13" Type="http://schemas.openxmlformats.org/officeDocument/2006/relationships/hyperlink" Target="http://lex.justice.md/viewdoc.php?action=view&amp;view=doc&amp;id=312727&amp;lang=2" TargetMode="External"/><Relationship Id="rId18" Type="http://schemas.openxmlformats.org/officeDocument/2006/relationships/hyperlink" Target="https://icd.who.int/browse11/l-m/en" TargetMode="External"/><Relationship Id="rId26" Type="http://schemas.openxmlformats.org/officeDocument/2006/relationships/hyperlink" Target="https://gdm.md/wp-content/uploads/2023/04/Report-GENDERDOC-M-2022-English.pdf" TargetMode="External"/><Relationship Id="rId3" Type="http://schemas.openxmlformats.org/officeDocument/2006/relationships/hyperlink" Target="https://www.parlament.md/ProcesulLegislativ/Proiectedeactelegislative/tabid/61/LegislativId/6132/language/ro-RO/Default.aspx" TargetMode="External"/><Relationship Id="rId21" Type="http://schemas.openxmlformats.org/officeDocument/2006/relationships/hyperlink" Target="https://gdm.md/2023/03/26/%D1%82%D1%80%D0%B5%D1%82%D1%8C%D1%8F-%D0%BB%D0%B3%D0%B1%D1%82-%D0%BF%D0%B0%D1%80%D0%B0-%D0%B2-%D0%BC%D0%BE%D0%BB%D0%B4%D0%BE%D0%B2%D0%B5-%D0%BF%D0%BE%D0%BF%D1%8B%D1%82%D0%B0%D0%BB%D0%B0%D1%81%D1%8C/" TargetMode="External"/><Relationship Id="rId7" Type="http://schemas.openxmlformats.org/officeDocument/2006/relationships/hyperlink" Target="https://gdm.md/wp-content/uploads/2023/04/Report-GENDERDOC-M-2022-English.pdf" TargetMode="External"/><Relationship Id="rId12" Type="http://schemas.openxmlformats.org/officeDocument/2006/relationships/hyperlink" Target="https://ecom.ngo/resource/files/2022/12/ecom_analysis_mol_en_22.pdf" TargetMode="External"/><Relationship Id="rId17" Type="http://schemas.openxmlformats.org/officeDocument/2006/relationships/hyperlink" Target="https://www.bbc.com/news/health-48448804" TargetMode="External"/><Relationship Id="rId25" Type="http://schemas.openxmlformats.org/officeDocument/2006/relationships/hyperlink" Target="https://www.state.gov/wp-content/uploads/2023/02/415610_MOLDOVA-2022-HUMAN-RIGHTS-REPORT.pdf" TargetMode="External"/><Relationship Id="rId2" Type="http://schemas.openxmlformats.org/officeDocument/2006/relationships/hyperlink" Target="https://www.presedinte.md/titlul2" TargetMode="External"/><Relationship Id="rId16" Type="http://schemas.openxmlformats.org/officeDocument/2006/relationships/hyperlink" Target="https://www.ohchr.org/Documents/Publications/SDecisionsVol5en.pdf" TargetMode="External"/><Relationship Id="rId20" Type="http://schemas.openxmlformats.org/officeDocument/2006/relationships/hyperlink" Target="https://hudoc.echr.coe.int/eng?i=001-222750" TargetMode="External"/><Relationship Id="rId1" Type="http://schemas.openxmlformats.org/officeDocument/2006/relationships/hyperlink" Target="https://www.rferl.org/a/moldova-parliament-speaker-approves-russia-media-law/28966975.html" TargetMode="External"/><Relationship Id="rId6" Type="http://schemas.openxmlformats.org/officeDocument/2006/relationships/hyperlink" Target="https://www.state.gov/wp-content/uploads/2023/02/415610_MOLDOVA-2022-HUMAN-RIGHTS-REPORT.pdf" TargetMode="External"/><Relationship Id="rId11" Type="http://schemas.openxmlformats.org/officeDocument/2006/relationships/hyperlink" Target="https://gdm.md/wp-content/uploads/2023/04/Report-GENDERDOC-M-2022-English.pdf" TargetMode="External"/><Relationship Id="rId24" Type="http://schemas.openxmlformats.org/officeDocument/2006/relationships/hyperlink" Target="https://www.state.gov/wp-content/uploads/2023/02/415610_MOLDOVA-2022-HUMAN-RIGHTS-REPORT.pdf" TargetMode="External"/><Relationship Id="rId5" Type="http://schemas.openxmlformats.org/officeDocument/2006/relationships/hyperlink" Target="https://hudoc.exec.coe.int/eng?i=DH-DD(2023)250E" TargetMode="External"/><Relationship Id="rId15" Type="http://schemas.openxmlformats.org/officeDocument/2006/relationships/hyperlink" Target="https://www.state.gov/wp-content/uploads/2023/02/415610_MOLDOVA-2022-HUMAN-RIGHTS-REPORT.pdf" TargetMode="External"/><Relationship Id="rId23" Type="http://schemas.openxmlformats.org/officeDocument/2006/relationships/hyperlink" Target="https://gdm.md/wp-content/uploads/2023/04/Report-GENDERDOC-M-2022-English.pdf" TargetMode="External"/><Relationship Id="rId10" Type="http://schemas.openxmlformats.org/officeDocument/2006/relationships/hyperlink" Target="https://www.state.gov/wp-content/uploads/2023/02/415610_MOLDOVA-2022-HUMAN-RIGHTS-REPORT.pdf" TargetMode="External"/><Relationship Id="rId19" Type="http://schemas.openxmlformats.org/officeDocument/2006/relationships/hyperlink" Target="https://ecom.ngo/resource/files/2022/12/ecom_analysis_mol_en_22.pdf" TargetMode="External"/><Relationship Id="rId4" Type="http://schemas.openxmlformats.org/officeDocument/2006/relationships/hyperlink" Target="https://ecom.ngo/resource/files/2022/12/ecom_analysis_mol_en_22.pdf" TargetMode="External"/><Relationship Id="rId9" Type="http://schemas.openxmlformats.org/officeDocument/2006/relationships/hyperlink" Target="http://gdm.md/files/untitled%20folder/Raport-GENDERDOC-M-2019_romana.pdf?fbclid=IwAR2WYz_Nj1DNdOVneMkEI1vjLn-Cqqtd-JM1iSB8qkuayHlyj5bL4JD_kH5Q" TargetMode="External"/><Relationship Id="rId14" Type="http://schemas.openxmlformats.org/officeDocument/2006/relationships/hyperlink" Target="https://ecom.ngo/resource/files/2022/12/ecom_analysis_mol_en_22.pdf" TargetMode="External"/><Relationship Id="rId22" Type="http://schemas.openxmlformats.org/officeDocument/2006/relationships/hyperlink" Target="https://gdm.md/2023/03/02/%D0%B2-%D0%BC%D0%BE%D0%BB%D0%B4%D0%BE%D0%B2%D0%B5-%D0%BF%D0%B5%D1%80%D0%B2%D0%B0%D1%8F-%D0%BB%D0%B3%D0%B1%D1%82-%D0%BF%D0%B0%D1%80%D0%B0-%D0%BF%D0%BE%D0%B4%D0%B0%D0%BB%D0%B0-%D0%B4%D0%BE%D0%BA%D1%8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Ul/cFYw4Cb/JBcUS9fb4LGT7/vQ==">AMUW2mXt87P2D51JG12eecbjr9GAVbjdyiFXtNsWwjbdsMcBFdadRKUuWXo1R1tzcKZR/f0w/Z+aRcsMAPPlhtZQu/1X4iffsgkazHB9oSbaHrKmQMJ7i/c=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7143</Words>
  <Characters>40359</Characters>
  <Application>Microsoft Office Word</Application>
  <DocSecurity>0</DocSecurity>
  <Lines>620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2023-05-01T16:10:00Z</dcterms:created>
  <dcterms:modified xsi:type="dcterms:W3CDTF">2023-05-01T16:32:00Z</dcterms:modified>
</cp:coreProperties>
</file>