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380C8" w14:textId="77777777" w:rsidR="00FD5A80" w:rsidRDefault="00FD5A80" w:rsidP="00CD2C28">
      <w:pPr>
        <w:spacing w:line="360" w:lineRule="auto"/>
        <w:jc w:val="both"/>
        <w:rPr>
          <w:b/>
        </w:rPr>
      </w:pPr>
    </w:p>
    <w:p w14:paraId="52706334" w14:textId="77777777" w:rsidR="00FD5A80" w:rsidRPr="00FD5A80" w:rsidRDefault="00FD5A80" w:rsidP="00FD5A80">
      <w:pPr>
        <w:spacing w:line="360" w:lineRule="auto"/>
        <w:jc w:val="center"/>
        <w:rPr>
          <w:b/>
          <w:sz w:val="24"/>
          <w:szCs w:val="24"/>
        </w:rPr>
      </w:pPr>
      <w:r w:rsidRPr="00FD5A80">
        <w:rPr>
          <w:b/>
          <w:sz w:val="24"/>
          <w:szCs w:val="24"/>
        </w:rPr>
        <w:t>VII INFORME PERIÓDICO DE ESPAÑA PARA EL PACTO DE DERECHOS ECONÓMICOS SOCIALES Y CULTURALES</w:t>
      </w:r>
    </w:p>
    <w:p w14:paraId="3C9AA6F8" w14:textId="77777777" w:rsidR="0095035F" w:rsidRDefault="0095035F" w:rsidP="0095035F">
      <w:pPr>
        <w:spacing w:line="360" w:lineRule="auto"/>
        <w:jc w:val="both"/>
        <w:rPr>
          <w:rFonts w:cstheme="minorHAnsi"/>
        </w:rPr>
      </w:pPr>
    </w:p>
    <w:p w14:paraId="14045336" w14:textId="77777777" w:rsidR="00FD5A80" w:rsidRPr="00854A59" w:rsidRDefault="0095035F" w:rsidP="00CD2C28">
      <w:pPr>
        <w:spacing w:line="360" w:lineRule="auto"/>
        <w:jc w:val="both"/>
        <w:rPr>
          <w:rFonts w:cstheme="minorHAnsi"/>
        </w:rPr>
      </w:pPr>
      <w:r w:rsidRPr="0095035F">
        <w:rPr>
          <w:rFonts w:cstheme="minorHAnsi"/>
        </w:rPr>
        <w:t xml:space="preserve">Habiendo presentado España el último informe ante el Comité de Derechos Económicos, Sociales y Culturales </w:t>
      </w:r>
      <w:r w:rsidR="00854A59">
        <w:rPr>
          <w:rFonts w:cstheme="minorHAnsi"/>
        </w:rPr>
        <w:t xml:space="preserve">en septiembre de 2017 </w:t>
      </w:r>
      <w:r w:rsidRPr="0095035F">
        <w:rPr>
          <w:rFonts w:cstheme="minorHAnsi"/>
        </w:rPr>
        <w:t xml:space="preserve">y habiendo procedido a su examen oral los días </w:t>
      </w:r>
      <w:r w:rsidR="00854A59">
        <w:rPr>
          <w:rFonts w:cstheme="minorHAnsi"/>
        </w:rPr>
        <w:t>21 y 22 de marzo de 2018</w:t>
      </w:r>
      <w:r w:rsidRPr="0095035F">
        <w:rPr>
          <w:rFonts w:cstheme="minorHAnsi"/>
        </w:rPr>
        <w:t xml:space="preserve"> en </w:t>
      </w:r>
      <w:r w:rsidR="00854A59">
        <w:rPr>
          <w:rFonts w:cstheme="minorHAnsi"/>
        </w:rPr>
        <w:t>su 63</w:t>
      </w:r>
      <w:r w:rsidRPr="0095035F">
        <w:rPr>
          <w:rFonts w:cstheme="minorHAnsi"/>
        </w:rPr>
        <w:t>ª sesión</w:t>
      </w:r>
      <w:r w:rsidR="00854A59">
        <w:rPr>
          <w:rFonts w:cstheme="minorHAnsi"/>
        </w:rPr>
        <w:t xml:space="preserve"> en Ginebra</w:t>
      </w:r>
      <w:r w:rsidRPr="0095035F">
        <w:rPr>
          <w:rFonts w:cstheme="minorHAnsi"/>
        </w:rPr>
        <w:t>, en el presente informe (V</w:t>
      </w:r>
      <w:r w:rsidR="00854A59">
        <w:rPr>
          <w:rFonts w:cstheme="minorHAnsi"/>
        </w:rPr>
        <w:t>II)</w:t>
      </w:r>
      <w:r w:rsidRPr="0095035F">
        <w:rPr>
          <w:rFonts w:cstheme="minorHAnsi"/>
        </w:rPr>
        <w:t xml:space="preserve"> se trata de presentar, lo más exhaustivamente posible, las novedades legislativas, judiciales, administrativas o de otr</w:t>
      </w:r>
      <w:r w:rsidR="00854A59">
        <w:rPr>
          <w:rFonts w:cstheme="minorHAnsi"/>
        </w:rPr>
        <w:t>a índole adoptadas desde el 2017 al 2025</w:t>
      </w:r>
      <w:r w:rsidRPr="0095035F">
        <w:rPr>
          <w:rFonts w:cstheme="minorHAnsi"/>
        </w:rPr>
        <w:t xml:space="preserve"> con el objeto de hacer efectivas las disposiciones del Pacto Internacional de Derechos Económicos, Sociales y Culturales de Naciones Unidas ratificado por España el 27 de abril de 1977.</w:t>
      </w:r>
      <w:r w:rsidR="00854A59">
        <w:rPr>
          <w:rFonts w:cstheme="minorHAnsi"/>
        </w:rPr>
        <w:t xml:space="preserve"> </w:t>
      </w:r>
    </w:p>
    <w:p w14:paraId="15FDD276" w14:textId="14BFCDE3" w:rsidR="00474C54" w:rsidRDefault="00F4557B" w:rsidP="00474C54">
      <w:pPr>
        <w:spacing w:line="360" w:lineRule="auto"/>
        <w:jc w:val="both"/>
        <w:rPr>
          <w:rFonts w:cstheme="minorHAnsi"/>
        </w:rPr>
      </w:pPr>
      <w:r>
        <w:rPr>
          <w:rFonts w:cstheme="minorHAnsi"/>
        </w:rPr>
        <w:t>La Ley 15/2022, de 12 de julio,</w:t>
      </w:r>
      <w:r w:rsidR="00474C54" w:rsidRPr="00474C54">
        <w:rPr>
          <w:rFonts w:cstheme="minorHAnsi"/>
        </w:rPr>
        <w:t xml:space="preserve"> de Igualda</w:t>
      </w:r>
      <w:r>
        <w:rPr>
          <w:rFonts w:cstheme="minorHAnsi"/>
        </w:rPr>
        <w:t xml:space="preserve">d de Trato y no Discriminación </w:t>
      </w:r>
      <w:r w:rsidR="00474C54" w:rsidRPr="00474C54">
        <w:rPr>
          <w:rFonts w:cstheme="minorHAnsi"/>
        </w:rPr>
        <w:t xml:space="preserve">promueve la igualdad en ámbitos como </w:t>
      </w:r>
      <w:r w:rsidR="00474C54">
        <w:rPr>
          <w:rFonts w:cstheme="minorHAnsi"/>
        </w:rPr>
        <w:t xml:space="preserve">el </w:t>
      </w:r>
      <w:r w:rsidR="00474C54" w:rsidRPr="00474C54">
        <w:rPr>
          <w:rFonts w:cstheme="minorHAnsi"/>
        </w:rPr>
        <w:t xml:space="preserve">empleo, </w:t>
      </w:r>
      <w:r>
        <w:rPr>
          <w:rFonts w:cstheme="minorHAnsi"/>
        </w:rPr>
        <w:t xml:space="preserve">la </w:t>
      </w:r>
      <w:r w:rsidR="00474C54" w:rsidRPr="00474C54">
        <w:rPr>
          <w:rFonts w:cstheme="minorHAnsi"/>
        </w:rPr>
        <w:t xml:space="preserve">educación, </w:t>
      </w:r>
      <w:r>
        <w:rPr>
          <w:rFonts w:cstheme="minorHAnsi"/>
        </w:rPr>
        <w:t xml:space="preserve">la </w:t>
      </w:r>
      <w:r w:rsidR="00474C54" w:rsidRPr="00474C54">
        <w:rPr>
          <w:rFonts w:cstheme="minorHAnsi"/>
        </w:rPr>
        <w:t xml:space="preserve">sanidad y </w:t>
      </w:r>
      <w:r>
        <w:rPr>
          <w:rFonts w:cstheme="minorHAnsi"/>
        </w:rPr>
        <w:t xml:space="preserve">el </w:t>
      </w:r>
      <w:r w:rsidR="00474C54" w:rsidRPr="00474C54">
        <w:rPr>
          <w:rFonts w:cstheme="minorHAnsi"/>
        </w:rPr>
        <w:t xml:space="preserve">acceso a </w:t>
      </w:r>
      <w:r w:rsidR="00474C54">
        <w:rPr>
          <w:rFonts w:cstheme="minorHAnsi"/>
        </w:rPr>
        <w:t xml:space="preserve">los </w:t>
      </w:r>
      <w:r w:rsidR="00474C54" w:rsidRPr="00474C54">
        <w:rPr>
          <w:rFonts w:cstheme="minorHAnsi"/>
        </w:rPr>
        <w:t xml:space="preserve">servicios. </w:t>
      </w:r>
      <w:r w:rsidR="00474C54" w:rsidRPr="00AE2A09">
        <w:rPr>
          <w:rFonts w:cstheme="minorHAnsi"/>
        </w:rPr>
        <w:t>Establece que las Fuerzas y Cuerpos de Seguridad del Estado (FCSE) evitarán la utilización de perfiles discriminatorios sin una justificación objetiva.</w:t>
      </w:r>
      <w:r w:rsidR="00474C54" w:rsidRPr="00474C54">
        <w:rPr>
          <w:rFonts w:cstheme="minorHAnsi"/>
        </w:rPr>
        <w:t xml:space="preserve"> </w:t>
      </w:r>
      <w:r w:rsidR="00854501">
        <w:rPr>
          <w:rFonts w:cstheme="minorHAnsi"/>
        </w:rPr>
        <w:t>Asimismo</w:t>
      </w:r>
      <w:r w:rsidR="00474C54" w:rsidRPr="00474C54">
        <w:rPr>
          <w:rFonts w:cstheme="minorHAnsi"/>
        </w:rPr>
        <w:t xml:space="preserve">, </w:t>
      </w:r>
      <w:r w:rsidR="009371DE">
        <w:rPr>
          <w:rFonts w:cstheme="minorHAnsi"/>
        </w:rPr>
        <w:t>crea la figura</w:t>
      </w:r>
      <w:r w:rsidR="00474C54" w:rsidRPr="00474C54">
        <w:rPr>
          <w:rFonts w:cstheme="minorHAnsi"/>
        </w:rPr>
        <w:t xml:space="preserve"> de la Autoridad Independiente para la </w:t>
      </w:r>
      <w:r>
        <w:rPr>
          <w:rFonts w:cstheme="minorHAnsi"/>
        </w:rPr>
        <w:t>Igualdad de Trato y No D</w:t>
      </w:r>
      <w:r w:rsidR="00474C54" w:rsidRPr="00474C54">
        <w:rPr>
          <w:rFonts w:cstheme="minorHAnsi"/>
        </w:rPr>
        <w:t xml:space="preserve">iscriminación, cuya puesta en marcha se </w:t>
      </w:r>
      <w:r w:rsidR="009371DE">
        <w:rPr>
          <w:rFonts w:cstheme="minorHAnsi"/>
        </w:rPr>
        <w:t>inició en mayo de 2025 con el nombramiento de su P</w:t>
      </w:r>
      <w:r w:rsidR="00474C54" w:rsidRPr="00474C54">
        <w:rPr>
          <w:rFonts w:cstheme="minorHAnsi"/>
        </w:rPr>
        <w:t>residenta. Actualmente se está trabajando en la elaboración del Estatuto de</w:t>
      </w:r>
      <w:r w:rsidR="006002C7">
        <w:rPr>
          <w:rFonts w:cstheme="minorHAnsi"/>
        </w:rPr>
        <w:t xml:space="preserve"> esta institución,</w:t>
      </w:r>
      <w:r w:rsidR="00474C54">
        <w:rPr>
          <w:rFonts w:cstheme="minorHAnsi"/>
        </w:rPr>
        <w:t xml:space="preserve"> así como </w:t>
      </w:r>
      <w:r w:rsidR="00474C54" w:rsidRPr="00474C54">
        <w:rPr>
          <w:rFonts w:cstheme="minorHAnsi"/>
        </w:rPr>
        <w:t xml:space="preserve">en la </w:t>
      </w:r>
      <w:r w:rsidR="009371DE">
        <w:rPr>
          <w:rFonts w:cstheme="minorHAnsi"/>
        </w:rPr>
        <w:t>redacción</w:t>
      </w:r>
      <w:r w:rsidR="00474C54" w:rsidRPr="00474C54">
        <w:rPr>
          <w:rFonts w:cstheme="minorHAnsi"/>
        </w:rPr>
        <w:t xml:space="preserve"> de la “Estrategia Estatal para la igualdad de trato y la No Discriminación”.</w:t>
      </w:r>
    </w:p>
    <w:p w14:paraId="0CF699FB" w14:textId="4CAF992A" w:rsidR="009A7FAA" w:rsidRPr="009A7FAA" w:rsidRDefault="009A7FAA" w:rsidP="009A7FAA">
      <w:pPr>
        <w:spacing w:line="360" w:lineRule="auto"/>
        <w:jc w:val="both"/>
        <w:rPr>
          <w:rFonts w:cstheme="minorHAnsi"/>
          <w:lang w:val="es-ES_tradnl"/>
        </w:rPr>
      </w:pPr>
      <w:r w:rsidRPr="009A7FAA">
        <w:rPr>
          <w:rFonts w:cstheme="minorHAnsi"/>
          <w:lang w:val="es-ES_tradnl"/>
        </w:rPr>
        <w:t>Asimismo, cabe destacar la aprobación de la Ley 4/2</w:t>
      </w:r>
      <w:r>
        <w:rPr>
          <w:rFonts w:cstheme="minorHAnsi"/>
          <w:lang w:val="es-ES_tradnl"/>
        </w:rPr>
        <w:t>023, de 28 de febrero, para la Igualdad Real y Efectiva de las Personas Trans y para la Garantía de los Derechos de las P</w:t>
      </w:r>
      <w:r w:rsidRPr="009A7FAA">
        <w:rPr>
          <w:rFonts w:cstheme="minorHAnsi"/>
          <w:lang w:val="es-ES_tradnl"/>
        </w:rPr>
        <w:t>ersonas LGTBI, que refuerza de manera sustantiva la protección frente a la discriminación por razón de orientación sexual, identidad o expresión de género y características sexuales, y configura un sistema integral de garantías en ámbitos como el educativo, laboral, sanitario y social.</w:t>
      </w:r>
      <w:r>
        <w:rPr>
          <w:rFonts w:cstheme="minorHAnsi"/>
          <w:lang w:val="es-ES_tradnl"/>
        </w:rPr>
        <w:t xml:space="preserve"> La citada l</w:t>
      </w:r>
      <w:r w:rsidRPr="009A7FAA">
        <w:rPr>
          <w:rFonts w:cstheme="minorHAnsi"/>
          <w:lang w:val="es-ES_tradnl"/>
        </w:rPr>
        <w:t>ey reconoce el derecho a la autodeterminación de la identidad de género, estableciendo un modelo despatologizado de rectificación registral de la mención relativa al sexo y adecuación documental, basado en la libre manifestación de la persona y en el ejercicio progresivo de derechos en condiciones de igualdad y no discriminación.</w:t>
      </w:r>
    </w:p>
    <w:p w14:paraId="588FAE2D" w14:textId="0D43895B" w:rsidR="009A7FAA" w:rsidRPr="009A7FAA" w:rsidRDefault="00D2174A" w:rsidP="009A7FAA">
      <w:pPr>
        <w:spacing w:line="360" w:lineRule="auto"/>
        <w:jc w:val="both"/>
        <w:rPr>
          <w:rFonts w:cstheme="minorHAnsi"/>
          <w:lang w:val="es-ES_tradnl"/>
        </w:rPr>
      </w:pPr>
      <w:r>
        <w:rPr>
          <w:rFonts w:cstheme="minorHAnsi"/>
          <w:lang w:val="es-ES_tradnl"/>
        </w:rPr>
        <w:t>Por otra parte</w:t>
      </w:r>
      <w:r w:rsidR="009A7FAA" w:rsidRPr="009A7FAA">
        <w:rPr>
          <w:rFonts w:cstheme="minorHAnsi"/>
          <w:lang w:val="es-ES_tradnl"/>
        </w:rPr>
        <w:t>, la Ley 4/2023 incorpora la prohibición expresa de las denominadas terapias de conversión, reforzando la protección frente a prácticas que atenten contra la dignidad, la integridad física o moral y los derechos fundamentales de las personas LGTBI.</w:t>
      </w:r>
      <w:r w:rsidR="009A7FAA">
        <w:rPr>
          <w:rFonts w:cstheme="minorHAnsi"/>
          <w:lang w:val="es-ES_tradnl"/>
        </w:rPr>
        <w:t xml:space="preserve"> </w:t>
      </w:r>
      <w:r w:rsidR="009A7FAA" w:rsidRPr="009A7FAA">
        <w:rPr>
          <w:rFonts w:cstheme="minorHAnsi"/>
          <w:lang w:val="es-ES_tradnl"/>
        </w:rPr>
        <w:t xml:space="preserve">Este marco normativo se articula desde un enfoque integral y preventivo, sustentado en la combinación de </w:t>
      </w:r>
      <w:r w:rsidR="009A7FAA" w:rsidRPr="009A7FAA">
        <w:rPr>
          <w:rFonts w:cstheme="minorHAnsi"/>
          <w:lang w:val="es-ES_tradnl"/>
        </w:rPr>
        <w:lastRenderedPageBreak/>
        <w:t>medidas legislativas, políticas públicas, instrumentos institucionales y mecanismos de participación, orientado a la promoción efectiva de la igualdad real y a la erradicación de todas las formas de discriminación.</w:t>
      </w:r>
    </w:p>
    <w:p w14:paraId="1B19DEF9" w14:textId="65094EBD" w:rsidR="009A7FAA" w:rsidRPr="009A7FAA" w:rsidRDefault="009A7FAA" w:rsidP="009A7FAA">
      <w:pPr>
        <w:spacing w:line="360" w:lineRule="auto"/>
        <w:jc w:val="both"/>
        <w:rPr>
          <w:rFonts w:cstheme="minorHAnsi"/>
          <w:lang w:val="es-ES_tradnl"/>
        </w:rPr>
      </w:pPr>
      <w:r w:rsidRPr="009A7FAA">
        <w:rPr>
          <w:rFonts w:cstheme="minorHAnsi"/>
          <w:lang w:val="es-ES_tradnl"/>
        </w:rPr>
        <w:t xml:space="preserve">En desarrollo de este marco, el Consejo de </w:t>
      </w:r>
      <w:r>
        <w:rPr>
          <w:rFonts w:cstheme="minorHAnsi"/>
          <w:lang w:val="es-ES_tradnl"/>
        </w:rPr>
        <w:t>M</w:t>
      </w:r>
      <w:r w:rsidRPr="009A7FAA">
        <w:rPr>
          <w:rFonts w:cstheme="minorHAnsi"/>
          <w:lang w:val="es-ES_tradnl"/>
        </w:rPr>
        <w:t>inistros aprobó en julio de 2025</w:t>
      </w:r>
      <w:r>
        <w:rPr>
          <w:rFonts w:cstheme="minorHAnsi"/>
          <w:lang w:val="es-ES_tradnl"/>
        </w:rPr>
        <w:t xml:space="preserve"> la Estrategia estatal para la Igualdad de Trato y N</w:t>
      </w:r>
      <w:r w:rsidRPr="009A7FAA">
        <w:rPr>
          <w:rFonts w:cstheme="minorHAnsi"/>
          <w:lang w:val="es-ES_tradnl"/>
        </w:rPr>
        <w:t>o discriminación de las personas LGTBI y la Estrategia estatal para la inclusión social de las personas trans, como instrumentos de planificación y coordinación de las políticas públicas dirigidas a garantizar la igualdad efectiva y la inclusión social de estos colectivos.</w:t>
      </w:r>
    </w:p>
    <w:p w14:paraId="1D4A36DD" w14:textId="56685F48" w:rsidR="009A7FAA" w:rsidRPr="009A7FAA" w:rsidRDefault="009A7FAA" w:rsidP="00474C54">
      <w:pPr>
        <w:spacing w:line="360" w:lineRule="auto"/>
        <w:jc w:val="both"/>
        <w:rPr>
          <w:rFonts w:cstheme="minorHAnsi"/>
          <w:lang w:val="es-ES_tradnl"/>
        </w:rPr>
      </w:pPr>
      <w:r w:rsidRPr="009A7FAA">
        <w:rPr>
          <w:rFonts w:cstheme="minorHAnsi"/>
          <w:lang w:val="es-ES_tradnl"/>
        </w:rPr>
        <w:t xml:space="preserve">De forma complementaria, se ha reforzado la dimensión institucional y participativa mediante la creación del Consejo de Participación de las Personas LGTBI, como espacio estable de diálogo entre administraciones públicas y sociedad civil, así como mediante el impulso de campañas institucionales de sensibilización, orientadas a prevenir la </w:t>
      </w:r>
      <w:proofErr w:type="spellStart"/>
      <w:r w:rsidRPr="009A7FAA">
        <w:rPr>
          <w:rFonts w:cstheme="minorHAnsi"/>
          <w:lang w:val="es-ES_tradnl"/>
        </w:rPr>
        <w:t>LGTBIfobia</w:t>
      </w:r>
      <w:proofErr w:type="spellEnd"/>
      <w:r w:rsidRPr="009A7FAA">
        <w:rPr>
          <w:rFonts w:cstheme="minorHAnsi"/>
          <w:lang w:val="es-ES_tradnl"/>
        </w:rPr>
        <w:t>, combatir el estigma y promover el respeto a la diversidad sexual y de género, entre las que destaca, en el periodo más reciente, la campaña conmemorativa del 20º aniversario de la aprobación del matrimonio igualitario en España.</w:t>
      </w:r>
      <w:r>
        <w:rPr>
          <w:rFonts w:cstheme="minorHAnsi"/>
          <w:lang w:val="es-ES_tradnl"/>
        </w:rPr>
        <w:t xml:space="preserve"> </w:t>
      </w:r>
      <w:r w:rsidRPr="009A7FAA">
        <w:rPr>
          <w:rFonts w:cstheme="minorHAnsi"/>
          <w:lang w:val="es-ES_tradnl"/>
        </w:rPr>
        <w:t xml:space="preserve">Asimismo, se ha puesto en marcha el Servicio 028 LGTBI, como servicio público estatal de información, orientación y atención integral frente a la discriminación y los delitos de odio por </w:t>
      </w:r>
      <w:proofErr w:type="spellStart"/>
      <w:r w:rsidRPr="009A7FAA">
        <w:rPr>
          <w:rFonts w:cstheme="minorHAnsi"/>
          <w:lang w:val="es-ES_tradnl"/>
        </w:rPr>
        <w:t>LGTBIfobia</w:t>
      </w:r>
      <w:proofErr w:type="spellEnd"/>
      <w:r w:rsidRPr="009A7FAA">
        <w:rPr>
          <w:rFonts w:cstheme="minorHAnsi"/>
          <w:lang w:val="es-ES_tradnl"/>
        </w:rPr>
        <w:t>.</w:t>
      </w:r>
      <w:r>
        <w:rPr>
          <w:rFonts w:cstheme="minorHAnsi"/>
          <w:lang w:val="es-ES_tradnl"/>
        </w:rPr>
        <w:t xml:space="preserve"> </w:t>
      </w:r>
      <w:r w:rsidRPr="009A7FAA">
        <w:rPr>
          <w:rFonts w:cstheme="minorHAnsi"/>
          <w:lang w:val="es-ES_tradnl"/>
        </w:rPr>
        <w:t>Todo ello se complementa con la elaboración de estudios e informes que permiten un mejor conocimiento de las realidades de las personas LGTBI y orientan el diseño y evaluación de las políticas públicas desde un enfoque basado en derechos humanos.</w:t>
      </w:r>
    </w:p>
    <w:p w14:paraId="457FABF8" w14:textId="5B65D803" w:rsidR="00474C54" w:rsidRDefault="00474C54" w:rsidP="00474C54">
      <w:pPr>
        <w:spacing w:line="360" w:lineRule="auto"/>
        <w:jc w:val="both"/>
        <w:rPr>
          <w:rFonts w:cstheme="minorHAnsi"/>
        </w:rPr>
      </w:pPr>
      <w:r>
        <w:rPr>
          <w:rFonts w:cstheme="minorHAnsi"/>
        </w:rPr>
        <w:t>Por otro lado, e</w:t>
      </w:r>
      <w:r w:rsidRPr="00474C54">
        <w:rPr>
          <w:rFonts w:cstheme="minorHAnsi"/>
        </w:rPr>
        <w:t>n el año 2022 se incluyó el término de a</w:t>
      </w:r>
      <w:r w:rsidR="00854501">
        <w:rPr>
          <w:rFonts w:cstheme="minorHAnsi"/>
        </w:rPr>
        <w:t>ntigitanismo en el Código Penal</w:t>
      </w:r>
      <w:r w:rsidRPr="00474C54">
        <w:rPr>
          <w:rFonts w:cstheme="minorHAnsi"/>
        </w:rPr>
        <w:t>, protegiendo así a este colectivo frente a los delitos de odio</w:t>
      </w:r>
      <w:r w:rsidR="00C565D1">
        <w:rPr>
          <w:rFonts w:cstheme="minorHAnsi"/>
        </w:rPr>
        <w:t>.</w:t>
      </w:r>
      <w:r>
        <w:rPr>
          <w:rFonts w:cstheme="minorHAnsi"/>
        </w:rPr>
        <w:t xml:space="preserve"> </w:t>
      </w:r>
      <w:r w:rsidR="00C565D1">
        <w:rPr>
          <w:rFonts w:cstheme="minorHAnsi"/>
        </w:rPr>
        <w:t>Asimismo, e</w:t>
      </w:r>
      <w:r w:rsidR="00C565D1" w:rsidRPr="00C565D1">
        <w:rPr>
          <w:rFonts w:cstheme="minorHAnsi"/>
        </w:rPr>
        <w:t>n la edi</w:t>
      </w:r>
      <w:r w:rsidR="00C565D1">
        <w:rPr>
          <w:rFonts w:cstheme="minorHAnsi"/>
        </w:rPr>
        <w:t>ción de 2026 de la Encuesta de Características Esenciales de la Población y las Viviendas</w:t>
      </w:r>
      <w:r w:rsidR="00C565D1" w:rsidRPr="00C565D1">
        <w:rPr>
          <w:rFonts w:cstheme="minorHAnsi"/>
        </w:rPr>
        <w:t xml:space="preserve"> se ha incluido una pregunta sobre el origen étnico de las personas, en colaboración con el Ministerio de Igualdad y la Agencia Europea de</w:t>
      </w:r>
      <w:r w:rsidR="00C565D1">
        <w:rPr>
          <w:rFonts w:cstheme="minorHAnsi"/>
        </w:rPr>
        <w:t xml:space="preserve"> Derechos Fundamentales (FRA)".</w:t>
      </w:r>
    </w:p>
    <w:p w14:paraId="6D1CD87C" w14:textId="297146BF" w:rsidR="00E14783" w:rsidRDefault="00E14783" w:rsidP="00474C54">
      <w:pPr>
        <w:spacing w:line="360" w:lineRule="auto"/>
        <w:jc w:val="both"/>
        <w:rPr>
          <w:rFonts w:cstheme="minorHAnsi"/>
        </w:rPr>
      </w:pPr>
      <w:r>
        <w:rPr>
          <w:rFonts w:cstheme="minorHAnsi"/>
        </w:rPr>
        <w:t xml:space="preserve">En otro orden de cosas, en </w:t>
      </w:r>
      <w:r w:rsidRPr="007D0151">
        <w:rPr>
          <w:rFonts w:ascii="Calibri" w:hAnsi="Calibri" w:cs="Calibri"/>
        </w:rPr>
        <w:t xml:space="preserve">coordinación con programas autonómicos y municipales de alfabetización digital, </w:t>
      </w:r>
      <w:r>
        <w:rPr>
          <w:rFonts w:ascii="Calibri" w:hAnsi="Calibri" w:cs="Calibri"/>
        </w:rPr>
        <w:t>se ha ofrecido</w:t>
      </w:r>
      <w:r w:rsidRPr="007D0151">
        <w:rPr>
          <w:rFonts w:ascii="Calibri" w:hAnsi="Calibri" w:cs="Calibri"/>
        </w:rPr>
        <w:t xml:space="preserve"> formación específica para </w:t>
      </w:r>
      <w:r w:rsidRPr="00E14783">
        <w:rPr>
          <w:rStyle w:val="Strong"/>
          <w:rFonts w:ascii="Calibri" w:hAnsi="Calibri" w:cs="Calibri"/>
          <w:b w:val="0"/>
        </w:rPr>
        <w:t>mujeres mayores</w:t>
      </w:r>
      <w:r>
        <w:rPr>
          <w:rFonts w:ascii="Calibri" w:hAnsi="Calibri" w:cs="Calibri"/>
        </w:rPr>
        <w:t xml:space="preserve"> y otros colectivos susceptibles de sufrir</w:t>
      </w:r>
      <w:r w:rsidRPr="007D0151">
        <w:rPr>
          <w:rFonts w:ascii="Calibri" w:hAnsi="Calibri" w:cs="Calibri"/>
        </w:rPr>
        <w:t xml:space="preserve"> brecha digital de género y edad. Estas medidas de coordinación se inscriben en el marco de la Estrategia España Digital 2025.</w:t>
      </w:r>
    </w:p>
    <w:p w14:paraId="4DF51E49" w14:textId="7731C9E9" w:rsidR="00474C54" w:rsidRPr="00F2181A" w:rsidRDefault="00474C54" w:rsidP="00474C54">
      <w:pPr>
        <w:spacing w:line="360" w:lineRule="auto"/>
        <w:jc w:val="both"/>
        <w:rPr>
          <w:rFonts w:cstheme="minorHAnsi"/>
          <w:color w:val="EE0000"/>
          <w:lang w:val="es-ES_tradnl"/>
        </w:rPr>
      </w:pPr>
      <w:r>
        <w:rPr>
          <w:rFonts w:cstheme="minorHAnsi"/>
        </w:rPr>
        <w:t>Además, en</w:t>
      </w:r>
      <w:r w:rsidRPr="00474C54">
        <w:rPr>
          <w:rFonts w:cstheme="minorHAnsi"/>
        </w:rPr>
        <w:t xml:space="preserve"> el Consejo para la Eliminación de la Discriminación Racial o Étnica (CEDRE) se han consolidado medidas de refuerzo y recursos adicionales, que implican la ampliación del número de oficinas de Servicio para la Asistencia y Orientación a Víctimas de discriminación racial (23), la extensión de los horarios y días de atención telefónica, y la mayor dotación de personal para </w:t>
      </w:r>
      <w:r w:rsidRPr="00474C54">
        <w:rPr>
          <w:rFonts w:cstheme="minorHAnsi"/>
        </w:rPr>
        <w:lastRenderedPageBreak/>
        <w:t xml:space="preserve">las oficinas. Se ha observado un aumento significativo del número de denuncias y consultas recibidas por </w:t>
      </w:r>
      <w:r w:rsidR="009371DE">
        <w:rPr>
          <w:rFonts w:cstheme="minorHAnsi"/>
        </w:rPr>
        <w:t>este servicio.</w:t>
      </w:r>
      <w:r w:rsidRPr="00474C54">
        <w:rPr>
          <w:rFonts w:cstheme="minorHAnsi"/>
        </w:rPr>
        <w:t xml:space="preserve"> </w:t>
      </w:r>
      <w:r w:rsidR="00F2181A" w:rsidRPr="00F2181A">
        <w:rPr>
          <w:rFonts w:cstheme="minorHAnsi"/>
          <w:lang w:val="es-ES_tradnl"/>
        </w:rPr>
        <w:t xml:space="preserve">En este sentido, se han realizado estudios, </w:t>
      </w:r>
      <w:r w:rsidR="00F2181A">
        <w:rPr>
          <w:rFonts w:cstheme="minorHAnsi"/>
          <w:lang w:val="es-ES_tradnl"/>
        </w:rPr>
        <w:t>el más reciente</w:t>
      </w:r>
      <w:r w:rsidR="00F2181A" w:rsidRPr="00F2181A">
        <w:rPr>
          <w:rFonts w:cstheme="minorHAnsi"/>
          <w:lang w:val="es-ES_tradnl"/>
        </w:rPr>
        <w:t xml:space="preserve"> de 2024, que constatan la percepción de discriminación por parte de las potenciales víctimas en todos los ámbitos y grupos étnicos analizados, así como la aún existente </w:t>
      </w:r>
      <w:proofErr w:type="spellStart"/>
      <w:r w:rsidR="00F2181A" w:rsidRPr="00F2181A">
        <w:rPr>
          <w:rFonts w:cstheme="minorHAnsi"/>
          <w:lang w:val="es-ES_tradnl"/>
        </w:rPr>
        <w:t>infradenuncia</w:t>
      </w:r>
      <w:proofErr w:type="spellEnd"/>
      <w:r w:rsidR="00F2181A" w:rsidRPr="00F2181A">
        <w:rPr>
          <w:rFonts w:cstheme="minorHAnsi"/>
          <w:lang w:val="es-ES_tradnl"/>
        </w:rPr>
        <w:t>. Por ello, se siguen diseñando y difundiendo campañas institucionales de sensibilización sobre la discriminación racial o étnica, que, además, visibilizan el servicio de atención a víctimas del CEDRE.</w:t>
      </w:r>
    </w:p>
    <w:p w14:paraId="4F97C483" w14:textId="30BE3607" w:rsidR="005E644C" w:rsidRPr="003D7D6B" w:rsidRDefault="00F503FC" w:rsidP="005E644C">
      <w:pPr>
        <w:spacing w:line="360" w:lineRule="auto"/>
        <w:jc w:val="both"/>
        <w:rPr>
          <w:rFonts w:cstheme="minorHAnsi"/>
        </w:rPr>
      </w:pPr>
      <w:r>
        <w:rPr>
          <w:rFonts w:cstheme="minorHAnsi"/>
        </w:rPr>
        <w:t>Asimismo</w:t>
      </w:r>
      <w:r w:rsidR="00854501">
        <w:rPr>
          <w:rFonts w:cstheme="minorHAnsi"/>
        </w:rPr>
        <w:t>, en</w:t>
      </w:r>
      <w:r w:rsidR="00C31C3C">
        <w:rPr>
          <w:rFonts w:cstheme="minorHAnsi"/>
        </w:rPr>
        <w:t xml:space="preserve"> </w:t>
      </w:r>
      <w:r w:rsidR="009371DE">
        <w:rPr>
          <w:rFonts w:cstheme="minorHAnsi"/>
        </w:rPr>
        <w:t xml:space="preserve">la Ley 15/2022 ya mencionada, se </w:t>
      </w:r>
      <w:r w:rsidR="00D32909">
        <w:rPr>
          <w:rFonts w:cstheme="minorHAnsi"/>
        </w:rPr>
        <w:t>incluye</w:t>
      </w:r>
      <w:r w:rsidR="005E644C" w:rsidRPr="003D7D6B">
        <w:rPr>
          <w:rFonts w:cstheme="minorHAnsi"/>
        </w:rPr>
        <w:t xml:space="preserve"> una disposición f</w:t>
      </w:r>
      <w:r w:rsidR="00D32909">
        <w:rPr>
          <w:rFonts w:cstheme="minorHAnsi"/>
        </w:rPr>
        <w:t>inal quinta que modifica el artículo</w:t>
      </w:r>
      <w:r w:rsidR="005E644C" w:rsidRPr="003D7D6B">
        <w:rPr>
          <w:rFonts w:cstheme="minorHAnsi"/>
        </w:rPr>
        <w:t xml:space="preserve"> 20 del Estatuto Orgánico del Ministerio Fiscal (EOMF) </w:t>
      </w:r>
      <w:r w:rsidR="00D32909">
        <w:rPr>
          <w:rFonts w:cstheme="minorHAnsi"/>
        </w:rPr>
        <w:t>para establecer</w:t>
      </w:r>
      <w:r w:rsidR="005E644C">
        <w:rPr>
          <w:rFonts w:cstheme="minorHAnsi"/>
        </w:rPr>
        <w:t xml:space="preserve"> que “e</w:t>
      </w:r>
      <w:r w:rsidR="005E644C" w:rsidRPr="003D7D6B">
        <w:rPr>
          <w:rFonts w:cstheme="minorHAnsi"/>
        </w:rPr>
        <w:t>n la Fiscalía General del Estado existirá un Fiscal contra los delitos de odio y discriminación, con categoría d</w:t>
      </w:r>
      <w:r w:rsidR="005E644C">
        <w:rPr>
          <w:rFonts w:cstheme="minorHAnsi"/>
        </w:rPr>
        <w:t>e Fiscal de Sala</w:t>
      </w:r>
      <w:r w:rsidR="00D32909">
        <w:rPr>
          <w:rFonts w:cstheme="minorHAnsi"/>
        </w:rPr>
        <w:t xml:space="preserve">”. </w:t>
      </w:r>
    </w:p>
    <w:p w14:paraId="0C5AC84F" w14:textId="7D5EF785" w:rsidR="0000370B" w:rsidRDefault="00D2174A" w:rsidP="00D32909">
      <w:pPr>
        <w:spacing w:line="360" w:lineRule="auto"/>
        <w:jc w:val="both"/>
        <w:rPr>
          <w:rFonts w:cstheme="minorHAnsi"/>
        </w:rPr>
      </w:pPr>
      <w:r>
        <w:rPr>
          <w:rFonts w:cstheme="minorHAnsi"/>
        </w:rPr>
        <w:t>Adicionalmente</w:t>
      </w:r>
      <w:r w:rsidR="00D32909" w:rsidRPr="00D32909">
        <w:rPr>
          <w:rFonts w:cstheme="minorHAnsi"/>
        </w:rPr>
        <w:t>, a través de la ONDOD</w:t>
      </w:r>
      <w:r w:rsidR="00D32909">
        <w:rPr>
          <w:rFonts w:cstheme="minorHAnsi"/>
        </w:rPr>
        <w:t xml:space="preserve"> (Oficina Nacional de Lucha contra los Delitos de Odio) del Ministerio del Interior, </w:t>
      </w:r>
      <w:r w:rsidR="00474C54">
        <w:rPr>
          <w:rFonts w:cstheme="minorHAnsi"/>
        </w:rPr>
        <w:t xml:space="preserve">se </w:t>
      </w:r>
      <w:r w:rsidR="00D32909">
        <w:rPr>
          <w:rFonts w:cstheme="minorHAnsi"/>
        </w:rPr>
        <w:t>elaboró</w:t>
      </w:r>
      <w:r w:rsidR="00D32909" w:rsidRPr="00D32909">
        <w:rPr>
          <w:rFonts w:cstheme="minorHAnsi"/>
        </w:rPr>
        <w:t xml:space="preserve"> el III Plan de Acción de Lucha contra los Delitos de Odio (2025-2028), cuyo objetivo es consolidar una sociedad inclusiva, diversa y libre de toda forma de discriminación. Entre sus medidas prioritarias destacan las relativas a la prevención de la comisión de delitos y discursos de odio y al fortalecimiento de la sensibilización social frente a la intolerancia y la exclusión (Línea 2, objetivo 4, medida 4.3). </w:t>
      </w:r>
      <w:bookmarkStart w:id="0" w:name="_Hlk213398865"/>
      <w:r w:rsidR="00D32909" w:rsidRPr="00D32909">
        <w:rPr>
          <w:rFonts w:cstheme="minorHAnsi"/>
        </w:rPr>
        <w:t>El Plan también prevé med</w:t>
      </w:r>
      <w:r w:rsidR="00D32909">
        <w:rPr>
          <w:rFonts w:cstheme="minorHAnsi"/>
        </w:rPr>
        <w:t xml:space="preserve">idas de sensibilización, derivación a recursos </w:t>
      </w:r>
      <w:r w:rsidR="00D32909" w:rsidRPr="00D32909">
        <w:rPr>
          <w:rFonts w:cstheme="minorHAnsi"/>
        </w:rPr>
        <w:t xml:space="preserve">y programas de apoyo comunitario para mejorar la atención a víctimas, especialmente en contextos donde convergen factores de vulnerabilidad social o administrativa. </w:t>
      </w:r>
    </w:p>
    <w:p w14:paraId="11C335B3" w14:textId="76D4E572" w:rsidR="00D32909" w:rsidRPr="00D32909" w:rsidRDefault="00D32909" w:rsidP="00D32909">
      <w:pPr>
        <w:spacing w:line="360" w:lineRule="auto"/>
        <w:jc w:val="both"/>
        <w:rPr>
          <w:rFonts w:cstheme="minorHAnsi"/>
        </w:rPr>
      </w:pPr>
      <w:r w:rsidRPr="00D32909">
        <w:rPr>
          <w:rFonts w:cstheme="minorHAnsi"/>
        </w:rPr>
        <w:t>En relación con los menores extranjeros no acompañados (</w:t>
      </w:r>
      <w:proofErr w:type="spellStart"/>
      <w:r w:rsidRPr="00D32909">
        <w:rPr>
          <w:rFonts w:cstheme="minorHAnsi"/>
        </w:rPr>
        <w:t>MENAs</w:t>
      </w:r>
      <w:proofErr w:type="spellEnd"/>
      <w:r w:rsidRPr="00D32909">
        <w:rPr>
          <w:rFonts w:cstheme="minorHAnsi"/>
        </w:rPr>
        <w:t>), aunque no se establecen medidas específicas, se reconoce en la práctica la necesidad de coordinación entre servicios sociales,</w:t>
      </w:r>
      <w:r w:rsidR="001C1F81">
        <w:rPr>
          <w:rFonts w:cstheme="minorHAnsi"/>
        </w:rPr>
        <w:t xml:space="preserve"> administraciones públicas implicadas,</w:t>
      </w:r>
      <w:r w:rsidRPr="00D32909">
        <w:rPr>
          <w:rFonts w:cstheme="minorHAnsi"/>
        </w:rPr>
        <w:t xml:space="preserve"> cuerpos policiales y entidades especializadas, de acuerdo con los principios de protección infantil y no discriminación.</w:t>
      </w:r>
      <w:bookmarkEnd w:id="0"/>
    </w:p>
    <w:p w14:paraId="08EFD3F2" w14:textId="77777777" w:rsidR="009371DE" w:rsidRDefault="00C63219" w:rsidP="00DC26BB">
      <w:pPr>
        <w:spacing w:line="360" w:lineRule="auto"/>
        <w:jc w:val="both"/>
        <w:rPr>
          <w:rFonts w:cstheme="minorHAnsi"/>
        </w:rPr>
      </w:pPr>
      <w:r>
        <w:rPr>
          <w:rFonts w:cstheme="minorHAnsi"/>
        </w:rPr>
        <w:t>La</w:t>
      </w:r>
      <w:r w:rsidR="00D32909" w:rsidRPr="00D32909">
        <w:rPr>
          <w:rFonts w:cstheme="minorHAnsi"/>
        </w:rPr>
        <w:t xml:space="preserve"> ONDOD cuenta </w:t>
      </w:r>
      <w:r w:rsidR="009371DE">
        <w:rPr>
          <w:rFonts w:cstheme="minorHAnsi"/>
        </w:rPr>
        <w:t xml:space="preserve">también </w:t>
      </w:r>
      <w:r w:rsidR="00D32909" w:rsidRPr="00D32909">
        <w:rPr>
          <w:rFonts w:cstheme="minorHAnsi"/>
        </w:rPr>
        <w:t xml:space="preserve">con un correo de asistencia (asistencia.ondod@interior.es) al que los ciudadanos pueden acudir con sus dudas, atendido diariamente por el personal de la Oficina. </w:t>
      </w:r>
      <w:r w:rsidR="00474C54">
        <w:rPr>
          <w:rFonts w:cstheme="minorHAnsi"/>
        </w:rPr>
        <w:t>Dicho servicio ha constatado</w:t>
      </w:r>
      <w:r w:rsidR="00D32909" w:rsidRPr="00D32909">
        <w:rPr>
          <w:rFonts w:cstheme="minorHAnsi"/>
        </w:rPr>
        <w:t xml:space="preserve"> que los delitos motivados por racismo o xenofobia continúan siendo los más frecuentes en España (Informe de Evol</w:t>
      </w:r>
      <w:r w:rsidR="00E070BE">
        <w:rPr>
          <w:rFonts w:cstheme="minorHAnsi"/>
        </w:rPr>
        <w:t>ución de los Delitos de Odio, 20</w:t>
      </w:r>
      <w:r w:rsidR="00D32909" w:rsidRPr="00D32909">
        <w:rPr>
          <w:rFonts w:cstheme="minorHAnsi"/>
        </w:rPr>
        <w:t xml:space="preserve">24), lo que exige reforzar la detección temprana y la colaboración con el tercer sector. A raíz de la celebración de la Comisión extraordinaria de este </w:t>
      </w:r>
      <w:r w:rsidR="00E070BE">
        <w:rPr>
          <w:rFonts w:cstheme="minorHAnsi"/>
        </w:rPr>
        <w:t>Plan (julio 2025), se desarrolla</w:t>
      </w:r>
      <w:r w:rsidR="00D32909" w:rsidRPr="00D32909">
        <w:rPr>
          <w:rFonts w:cstheme="minorHAnsi"/>
        </w:rPr>
        <w:t xml:space="preserve"> </w:t>
      </w:r>
      <w:r w:rsidR="009371DE">
        <w:rPr>
          <w:rFonts w:cstheme="minorHAnsi"/>
        </w:rPr>
        <w:t xml:space="preserve">actualmente </w:t>
      </w:r>
      <w:r w:rsidR="00D32909" w:rsidRPr="00D32909">
        <w:rPr>
          <w:rFonts w:cstheme="minorHAnsi"/>
        </w:rPr>
        <w:t>un s</w:t>
      </w:r>
      <w:r w:rsidR="00E070BE">
        <w:rPr>
          <w:rFonts w:cstheme="minorHAnsi"/>
        </w:rPr>
        <w:t>eguimiento especial y se elabora</w:t>
      </w:r>
      <w:r w:rsidR="00D32909" w:rsidRPr="00D32909">
        <w:rPr>
          <w:rFonts w:cstheme="minorHAnsi"/>
        </w:rPr>
        <w:t xml:space="preserve"> un informe quincenal en colaboración con otras unidades de la Secretaría de Estado de Seguridad abordando no solo el aspecto de los delitos de odio, sino también su relación transversal con la desinforma</w:t>
      </w:r>
      <w:r w:rsidR="00E070BE">
        <w:rPr>
          <w:rFonts w:cstheme="minorHAnsi"/>
        </w:rPr>
        <w:t xml:space="preserve">ción y otras amenazas híbridas. </w:t>
      </w:r>
    </w:p>
    <w:p w14:paraId="73A29C10" w14:textId="22984258" w:rsidR="00C63219" w:rsidRDefault="00D32909" w:rsidP="00DC26BB">
      <w:pPr>
        <w:spacing w:line="360" w:lineRule="auto"/>
        <w:jc w:val="both"/>
        <w:rPr>
          <w:rFonts w:cstheme="minorHAnsi"/>
        </w:rPr>
      </w:pPr>
      <w:r w:rsidRPr="00D32909">
        <w:rPr>
          <w:rFonts w:cstheme="minorHAnsi"/>
        </w:rPr>
        <w:lastRenderedPageBreak/>
        <w:t>El Plan prevé</w:t>
      </w:r>
      <w:r w:rsidR="00E070BE">
        <w:rPr>
          <w:rFonts w:cstheme="minorHAnsi"/>
        </w:rPr>
        <w:t>, además,</w:t>
      </w:r>
      <w:r w:rsidRPr="00D32909">
        <w:rPr>
          <w:rFonts w:cstheme="minorHAnsi"/>
        </w:rPr>
        <w:t xml:space="preserve"> la implementación de campañas públicas de divulgación sobre delitos y discursos de odio y su prevención, la conmemoración del Día Europeo de las Víctimas de Crímenes de Odio (22 de julio) y la difusión en redes so</w:t>
      </w:r>
      <w:r w:rsidR="00E070BE">
        <w:rPr>
          <w:rFonts w:cstheme="minorHAnsi"/>
        </w:rPr>
        <w:t>ciales y medios de comunicación. T</w:t>
      </w:r>
      <w:r w:rsidRPr="00D32909">
        <w:rPr>
          <w:rFonts w:cstheme="minorHAnsi"/>
        </w:rPr>
        <w:t>ambién incorpora medidas para explorar tecnologí</w:t>
      </w:r>
      <w:r w:rsidR="00E070BE">
        <w:rPr>
          <w:rFonts w:cstheme="minorHAnsi"/>
        </w:rPr>
        <w:t>as emergentes en Inteligencia A</w:t>
      </w:r>
      <w:r w:rsidRPr="00D32909">
        <w:rPr>
          <w:rFonts w:cstheme="minorHAnsi"/>
        </w:rPr>
        <w:t>rtificial, así como la colaboración con la Comisión Nacional de los Mercados y la Competencia (CNMC) en el marco del Reglamento Europeo de Servicios Dig</w:t>
      </w:r>
      <w:r w:rsidR="00E070BE">
        <w:rPr>
          <w:rFonts w:cstheme="minorHAnsi"/>
        </w:rPr>
        <w:t xml:space="preserve">itales (Digital </w:t>
      </w:r>
      <w:proofErr w:type="spellStart"/>
      <w:r w:rsidR="00E070BE">
        <w:rPr>
          <w:rFonts w:cstheme="minorHAnsi"/>
        </w:rPr>
        <w:t>Services</w:t>
      </w:r>
      <w:proofErr w:type="spellEnd"/>
      <w:r w:rsidR="00E070BE">
        <w:rPr>
          <w:rFonts w:cstheme="minorHAnsi"/>
        </w:rPr>
        <w:t xml:space="preserve"> </w:t>
      </w:r>
      <w:proofErr w:type="spellStart"/>
      <w:r w:rsidR="00E070BE">
        <w:rPr>
          <w:rFonts w:cstheme="minorHAnsi"/>
        </w:rPr>
        <w:t>Act</w:t>
      </w:r>
      <w:proofErr w:type="spellEnd"/>
      <w:r w:rsidR="00E070BE">
        <w:rPr>
          <w:rFonts w:cstheme="minorHAnsi"/>
        </w:rPr>
        <w:t xml:space="preserve">) </w:t>
      </w:r>
      <w:r w:rsidRPr="00D32909">
        <w:rPr>
          <w:rFonts w:cstheme="minorHAnsi"/>
        </w:rPr>
        <w:t>para reforzar la supervisión de conteni</w:t>
      </w:r>
      <w:r w:rsidR="00E070BE">
        <w:rPr>
          <w:rFonts w:cstheme="minorHAnsi"/>
        </w:rPr>
        <w:t xml:space="preserve">dos ilícitos y discriminatorios. </w:t>
      </w:r>
    </w:p>
    <w:p w14:paraId="4635FC9D" w14:textId="14A4154A" w:rsidR="004B5306" w:rsidRPr="00C63219" w:rsidRDefault="004B5306" w:rsidP="00DC26BB">
      <w:pPr>
        <w:spacing w:line="360" w:lineRule="auto"/>
        <w:jc w:val="both"/>
        <w:rPr>
          <w:rFonts w:cstheme="minorHAnsi"/>
        </w:rPr>
      </w:pPr>
      <w:r>
        <w:rPr>
          <w:rFonts w:cstheme="minorHAnsi"/>
        </w:rPr>
        <w:t xml:space="preserve">Por último, es necesario </w:t>
      </w:r>
      <w:r>
        <w:rPr>
          <w:rFonts w:ascii="Calibri" w:hAnsi="Calibri" w:cs="Calibri"/>
          <w:bCs/>
        </w:rPr>
        <w:t>mencionar</w:t>
      </w:r>
      <w:r w:rsidR="00D2174A">
        <w:rPr>
          <w:rFonts w:ascii="Calibri" w:hAnsi="Calibri" w:cs="Calibri"/>
          <w:bCs/>
        </w:rPr>
        <w:t xml:space="preserve"> que</w:t>
      </w:r>
      <w:r>
        <w:rPr>
          <w:rFonts w:ascii="Calibri" w:hAnsi="Calibri" w:cs="Calibri"/>
          <w:bCs/>
        </w:rPr>
        <w:t xml:space="preserve"> la </w:t>
      </w:r>
      <w:r w:rsidR="00D2174A">
        <w:rPr>
          <w:rFonts w:ascii="Calibri" w:hAnsi="Calibri" w:cs="Calibri"/>
          <w:bCs/>
        </w:rPr>
        <w:t xml:space="preserve">anteriormente </w:t>
      </w:r>
      <w:r>
        <w:rPr>
          <w:rFonts w:ascii="Calibri" w:hAnsi="Calibri" w:cs="Calibri"/>
          <w:bCs/>
        </w:rPr>
        <w:t xml:space="preserve">citada Ley de 15/2022 </w:t>
      </w:r>
      <w:r w:rsidRPr="003852B4">
        <w:rPr>
          <w:rFonts w:ascii="Calibri" w:hAnsi="Calibri" w:cs="Calibri"/>
          <w:bCs/>
        </w:rPr>
        <w:t xml:space="preserve">reconoce expresamente </w:t>
      </w:r>
      <w:r w:rsidRPr="004B5306">
        <w:rPr>
          <w:rFonts w:ascii="Calibri" w:hAnsi="Calibri" w:cs="Calibri"/>
          <w:bCs/>
        </w:rPr>
        <w:t xml:space="preserve">la igualdad de trato y la no discriminación por </w:t>
      </w:r>
      <w:r w:rsidR="00D2174A">
        <w:rPr>
          <w:rFonts w:ascii="Calibri" w:hAnsi="Calibri" w:cs="Calibri"/>
          <w:bCs/>
        </w:rPr>
        <w:t xml:space="preserve">razón de </w:t>
      </w:r>
      <w:r w:rsidRPr="004B5306">
        <w:rPr>
          <w:rFonts w:ascii="Calibri" w:hAnsi="Calibri" w:cs="Calibri"/>
          <w:bCs/>
        </w:rPr>
        <w:t>edad</w:t>
      </w:r>
      <w:r w:rsidRPr="003852B4">
        <w:rPr>
          <w:rFonts w:ascii="Calibri" w:hAnsi="Calibri" w:cs="Calibri"/>
          <w:bCs/>
        </w:rPr>
        <w:t xml:space="preserve"> (incluye tanto menores como mayores)</w:t>
      </w:r>
      <w:r>
        <w:rPr>
          <w:rFonts w:ascii="Calibri" w:hAnsi="Calibri" w:cs="Calibri"/>
          <w:bCs/>
        </w:rPr>
        <w:t>.</w:t>
      </w:r>
    </w:p>
    <w:p w14:paraId="404A1802" w14:textId="45048277" w:rsidR="00C63219" w:rsidRDefault="00DC26BB" w:rsidP="00DC26BB">
      <w:pPr>
        <w:spacing w:line="360" w:lineRule="auto"/>
        <w:jc w:val="both"/>
        <w:rPr>
          <w:rFonts w:cstheme="minorHAnsi"/>
          <w:b/>
          <w:i/>
        </w:rPr>
      </w:pPr>
      <w:r w:rsidRPr="0019381C">
        <w:rPr>
          <w:rFonts w:cstheme="minorHAnsi"/>
          <w:b/>
          <w:i/>
        </w:rPr>
        <w:t>Personas con discapacidad</w:t>
      </w:r>
    </w:p>
    <w:p w14:paraId="7587EADA" w14:textId="77777777" w:rsidR="00DC26BB" w:rsidRPr="00C63219" w:rsidRDefault="00DC26BB" w:rsidP="00DC26BB">
      <w:pPr>
        <w:spacing w:line="360" w:lineRule="auto"/>
        <w:jc w:val="both"/>
        <w:rPr>
          <w:rFonts w:cstheme="minorHAnsi"/>
          <w:b/>
          <w:i/>
        </w:rPr>
      </w:pPr>
      <w:r w:rsidRPr="00CD2C28">
        <w:rPr>
          <w:rFonts w:cstheme="minorHAnsi"/>
        </w:rPr>
        <w:t>La Estrategia Española sobre Discapacidad 2022-2030 aprobada por Con</w:t>
      </w:r>
      <w:r w:rsidR="002B6ACC">
        <w:rPr>
          <w:rFonts w:cstheme="minorHAnsi"/>
        </w:rPr>
        <w:t>sejo de Ministros en mayo de 20</w:t>
      </w:r>
      <w:r w:rsidRPr="00CD2C28">
        <w:rPr>
          <w:rFonts w:cstheme="minorHAnsi"/>
        </w:rPr>
        <w:t>2</w:t>
      </w:r>
      <w:r w:rsidRPr="00CD2C28">
        <w:rPr>
          <w:rFonts w:cstheme="minorHAnsi"/>
        </w:rPr>
        <w:footnoteReference w:id="1"/>
      </w:r>
      <w:r w:rsidRPr="00CD2C28">
        <w:rPr>
          <w:rFonts w:cstheme="minorHAnsi"/>
        </w:rPr>
        <w:t>, contempla las siguientes medidas:</w:t>
      </w:r>
    </w:p>
    <w:p w14:paraId="7A499D23" w14:textId="77777777" w:rsidR="00DC26BB" w:rsidRPr="00230F91" w:rsidRDefault="00DC26BB" w:rsidP="00230F91">
      <w:pPr>
        <w:pStyle w:val="ListParagraph"/>
        <w:numPr>
          <w:ilvl w:val="0"/>
          <w:numId w:val="20"/>
        </w:numPr>
        <w:spacing w:line="360" w:lineRule="auto"/>
        <w:jc w:val="both"/>
        <w:rPr>
          <w:rFonts w:cstheme="minorHAnsi"/>
        </w:rPr>
      </w:pPr>
      <w:r w:rsidRPr="00230F91">
        <w:rPr>
          <w:rFonts w:cstheme="minorHAnsi"/>
        </w:rPr>
        <w:t>Reforma del Art. 49 de la</w:t>
      </w:r>
      <w:r w:rsidR="002B6ACC">
        <w:rPr>
          <w:rFonts w:cstheme="minorHAnsi"/>
        </w:rPr>
        <w:t xml:space="preserve"> Constitución española</w:t>
      </w:r>
      <w:r w:rsidRPr="00230F91">
        <w:rPr>
          <w:rFonts w:cstheme="minorHAnsi"/>
        </w:rPr>
        <w:t>, consagrando la expresi</w:t>
      </w:r>
      <w:r w:rsidR="00C81875">
        <w:rPr>
          <w:rFonts w:cstheme="minorHAnsi"/>
        </w:rPr>
        <w:t xml:space="preserve">ón “personas con discapacidad” y </w:t>
      </w:r>
      <w:r w:rsidRPr="00230F91">
        <w:rPr>
          <w:rFonts w:cstheme="minorHAnsi"/>
        </w:rPr>
        <w:t>prohibiendo cualquier tipo de discriminación, recogiendo la obligación de los poderes públicos de realizar las políticas necesarias para garantizar su autonomía personal y su inclusión social</w:t>
      </w:r>
      <w:r w:rsidR="00C81875">
        <w:rPr>
          <w:rFonts w:cstheme="minorHAnsi"/>
        </w:rPr>
        <w:t>.</w:t>
      </w:r>
    </w:p>
    <w:p w14:paraId="751E2FF0" w14:textId="77777777" w:rsidR="00DC26BB" w:rsidRPr="00230F91" w:rsidRDefault="002B6ACC" w:rsidP="00230F91">
      <w:pPr>
        <w:pStyle w:val="ListParagraph"/>
        <w:numPr>
          <w:ilvl w:val="0"/>
          <w:numId w:val="20"/>
        </w:numPr>
        <w:spacing w:line="360" w:lineRule="auto"/>
        <w:jc w:val="both"/>
        <w:rPr>
          <w:rFonts w:cstheme="minorHAnsi"/>
        </w:rPr>
      </w:pPr>
      <w:r>
        <w:rPr>
          <w:rFonts w:cstheme="minorHAnsi"/>
        </w:rPr>
        <w:t>Reforma de la Ley de D</w:t>
      </w:r>
      <w:r w:rsidR="00DC26BB" w:rsidRPr="00230F91">
        <w:rPr>
          <w:rFonts w:cstheme="minorHAnsi"/>
        </w:rPr>
        <w:t xml:space="preserve">iscapacidad para prohibir los espectáculos denigrantes. </w:t>
      </w:r>
    </w:p>
    <w:p w14:paraId="2221FD81" w14:textId="77777777" w:rsidR="00DC26BB" w:rsidRPr="00230F91" w:rsidRDefault="00DC26BB" w:rsidP="00230F91">
      <w:pPr>
        <w:pStyle w:val="ListParagraph"/>
        <w:numPr>
          <w:ilvl w:val="0"/>
          <w:numId w:val="20"/>
        </w:numPr>
        <w:spacing w:line="360" w:lineRule="auto"/>
        <w:jc w:val="both"/>
        <w:rPr>
          <w:rFonts w:cstheme="minorHAnsi"/>
        </w:rPr>
      </w:pPr>
      <w:r w:rsidRPr="00230F91">
        <w:rPr>
          <w:rFonts w:cstheme="minorHAnsi"/>
        </w:rPr>
        <w:t>Promover actuaciones de toma de conciencia dirigidas a visibilizar a las personas como ciudadanas activas y de pleno derecho.</w:t>
      </w:r>
    </w:p>
    <w:p w14:paraId="0D070653" w14:textId="77777777" w:rsidR="00DC26BB" w:rsidRPr="00230F91" w:rsidRDefault="00DC26BB" w:rsidP="00230F91">
      <w:pPr>
        <w:pStyle w:val="ListParagraph"/>
        <w:numPr>
          <w:ilvl w:val="0"/>
          <w:numId w:val="20"/>
        </w:numPr>
        <w:spacing w:line="360" w:lineRule="auto"/>
        <w:jc w:val="both"/>
        <w:rPr>
          <w:rFonts w:cstheme="minorHAnsi"/>
        </w:rPr>
      </w:pPr>
      <w:r w:rsidRPr="00230F91">
        <w:rPr>
          <w:rFonts w:cstheme="minorHAnsi"/>
        </w:rPr>
        <w:t>Desarrollo de mecanismos de control, seguimiento y del cumplimiento efectivo. En particular</w:t>
      </w:r>
      <w:r w:rsidR="00C81875">
        <w:rPr>
          <w:rFonts w:cstheme="minorHAnsi"/>
        </w:rPr>
        <w:t>,</w:t>
      </w:r>
      <w:r w:rsidRPr="00230F91">
        <w:rPr>
          <w:rFonts w:cstheme="minorHAnsi"/>
        </w:rPr>
        <w:t xml:space="preserve"> desarrollar una legislación antidiscriminatoria mediante la aplicación de las infracciones y sanciones en materia de igualdad de oportunidades, no discriminación y accesibilidad universal.</w:t>
      </w:r>
    </w:p>
    <w:p w14:paraId="618A4410" w14:textId="36783755" w:rsidR="00DC26BB" w:rsidRDefault="00DC26BB" w:rsidP="00230F91">
      <w:pPr>
        <w:pStyle w:val="ListParagraph"/>
        <w:numPr>
          <w:ilvl w:val="0"/>
          <w:numId w:val="20"/>
        </w:numPr>
        <w:spacing w:line="360" w:lineRule="auto"/>
        <w:jc w:val="both"/>
        <w:rPr>
          <w:rFonts w:cstheme="minorHAnsi"/>
        </w:rPr>
      </w:pPr>
      <w:r w:rsidRPr="00230F91">
        <w:rPr>
          <w:rFonts w:cstheme="minorHAnsi"/>
        </w:rPr>
        <w:t>Desarrollo normativo del concepto de “ajustes razonables” con criterios objetivos para su aplicación unificada.</w:t>
      </w:r>
    </w:p>
    <w:p w14:paraId="3CEF8D13" w14:textId="75F876FE" w:rsidR="00F503FC" w:rsidRPr="00230F91" w:rsidRDefault="00F503FC" w:rsidP="00230F91">
      <w:pPr>
        <w:pStyle w:val="ListParagraph"/>
        <w:numPr>
          <w:ilvl w:val="0"/>
          <w:numId w:val="20"/>
        </w:numPr>
        <w:spacing w:line="360" w:lineRule="auto"/>
        <w:jc w:val="both"/>
        <w:rPr>
          <w:rFonts w:cstheme="minorHAnsi"/>
        </w:rPr>
      </w:pPr>
      <w:r>
        <w:rPr>
          <w:rFonts w:cstheme="minorHAnsi"/>
        </w:rPr>
        <w:t>Desarrollo de la Ley educativa para transitar a un modelo de educación inclusiva.</w:t>
      </w:r>
    </w:p>
    <w:p w14:paraId="10621692" w14:textId="77777777" w:rsidR="00DC26BB" w:rsidRPr="00230F91" w:rsidRDefault="00DC26BB" w:rsidP="00230F91">
      <w:pPr>
        <w:pStyle w:val="ListParagraph"/>
        <w:numPr>
          <w:ilvl w:val="0"/>
          <w:numId w:val="20"/>
        </w:numPr>
        <w:spacing w:line="360" w:lineRule="auto"/>
        <w:jc w:val="both"/>
        <w:rPr>
          <w:rFonts w:cstheme="minorHAnsi"/>
        </w:rPr>
      </w:pPr>
      <w:r w:rsidRPr="00230F91">
        <w:rPr>
          <w:rFonts w:cstheme="minorHAnsi"/>
        </w:rPr>
        <w:t xml:space="preserve">Mejora de la información a las trabajadoras y trabajadores con discapacidad sobre los canales para denunciar y poner en conocimiento </w:t>
      </w:r>
      <w:r w:rsidR="002B6ACC">
        <w:rPr>
          <w:rFonts w:cstheme="minorHAnsi"/>
        </w:rPr>
        <w:t>de la administración competente</w:t>
      </w:r>
      <w:r w:rsidRPr="00230F91">
        <w:rPr>
          <w:rFonts w:cstheme="minorHAnsi"/>
        </w:rPr>
        <w:t xml:space="preserve"> situaciones de discriminación, tanto en el acceso al empleo como en sus condiciones laborales</w:t>
      </w:r>
      <w:r w:rsidR="00C81875">
        <w:rPr>
          <w:rFonts w:cstheme="minorHAnsi"/>
        </w:rPr>
        <w:t>.</w:t>
      </w:r>
    </w:p>
    <w:p w14:paraId="1E08A314" w14:textId="77777777" w:rsidR="00DC26BB" w:rsidRPr="00230F91" w:rsidRDefault="00DC26BB" w:rsidP="00230F91">
      <w:pPr>
        <w:pStyle w:val="ListParagraph"/>
        <w:numPr>
          <w:ilvl w:val="0"/>
          <w:numId w:val="20"/>
        </w:numPr>
        <w:spacing w:line="360" w:lineRule="auto"/>
        <w:jc w:val="both"/>
        <w:rPr>
          <w:rFonts w:cstheme="minorHAnsi"/>
        </w:rPr>
      </w:pPr>
      <w:r w:rsidRPr="00230F91">
        <w:rPr>
          <w:rFonts w:cstheme="minorHAnsi"/>
        </w:rPr>
        <w:lastRenderedPageBreak/>
        <w:t xml:space="preserve">Impulso de medidas eficaces para identificar, prevenir y ofrecer protección de la discriminación múltiple </w:t>
      </w:r>
      <w:r w:rsidR="00C81875">
        <w:rPr>
          <w:rFonts w:cstheme="minorHAnsi"/>
        </w:rPr>
        <w:t>contra las mujeres y niñas con d</w:t>
      </w:r>
      <w:r w:rsidRPr="00230F91">
        <w:rPr>
          <w:rFonts w:cstheme="minorHAnsi"/>
        </w:rPr>
        <w:t>iscapacidad, y en particular</w:t>
      </w:r>
      <w:r w:rsidR="002B6ACC">
        <w:rPr>
          <w:rFonts w:cstheme="minorHAnsi"/>
        </w:rPr>
        <w:t xml:space="preserve"> contra</w:t>
      </w:r>
      <w:r w:rsidRPr="00230F91">
        <w:rPr>
          <w:rFonts w:cstheme="minorHAnsi"/>
        </w:rPr>
        <w:t xml:space="preserve"> las mujeres y niñas con discapacidad intelectual o psicosocial.</w:t>
      </w:r>
    </w:p>
    <w:p w14:paraId="4C64E70B" w14:textId="77777777" w:rsidR="00DC26BB" w:rsidRPr="00230F91" w:rsidRDefault="00DC26BB" w:rsidP="00230F91">
      <w:pPr>
        <w:pStyle w:val="ListParagraph"/>
        <w:numPr>
          <w:ilvl w:val="0"/>
          <w:numId w:val="20"/>
        </w:numPr>
        <w:spacing w:line="360" w:lineRule="auto"/>
        <w:jc w:val="both"/>
        <w:rPr>
          <w:rFonts w:cstheme="minorHAnsi"/>
        </w:rPr>
      </w:pPr>
      <w:r w:rsidRPr="00230F91">
        <w:rPr>
          <w:rFonts w:cstheme="minorHAnsi"/>
        </w:rPr>
        <w:t>Inclusión explícita de las personas con discapacidad en las regulaciones y políticas orientadas al desarrollo rural</w:t>
      </w:r>
      <w:r w:rsidR="00C81875">
        <w:rPr>
          <w:rFonts w:cstheme="minorHAnsi"/>
        </w:rPr>
        <w:t>.</w:t>
      </w:r>
    </w:p>
    <w:p w14:paraId="5F0C2162" w14:textId="2E72C9DB" w:rsidR="007F3BDA" w:rsidRPr="007F3BDA" w:rsidRDefault="00DC26BB" w:rsidP="007F3BDA">
      <w:pPr>
        <w:pStyle w:val="ListParagraph"/>
        <w:numPr>
          <w:ilvl w:val="0"/>
          <w:numId w:val="20"/>
        </w:numPr>
        <w:spacing w:line="360" w:lineRule="auto"/>
        <w:jc w:val="both"/>
        <w:rPr>
          <w:rFonts w:cstheme="minorHAnsi"/>
        </w:rPr>
      </w:pPr>
      <w:r w:rsidRPr="00230F91">
        <w:rPr>
          <w:rFonts w:cstheme="minorHAnsi"/>
        </w:rPr>
        <w:t>Promoción de la incorporación</w:t>
      </w:r>
      <w:r w:rsidR="00C81875">
        <w:rPr>
          <w:rFonts w:cstheme="minorHAnsi"/>
        </w:rPr>
        <w:t xml:space="preserve"> de</w:t>
      </w:r>
      <w:r w:rsidRPr="00230F91">
        <w:rPr>
          <w:rFonts w:cstheme="minorHAnsi"/>
        </w:rPr>
        <w:t xml:space="preserve"> la discapacidad en las políticas de género de ámbito estatal</w:t>
      </w:r>
      <w:r w:rsidR="00C81875">
        <w:rPr>
          <w:rFonts w:cstheme="minorHAnsi"/>
        </w:rPr>
        <w:t>.</w:t>
      </w:r>
    </w:p>
    <w:p w14:paraId="738BB811" w14:textId="55AD647B" w:rsidR="007F3BDA" w:rsidRPr="00E14783" w:rsidRDefault="007F3BDA" w:rsidP="00E14783">
      <w:pPr>
        <w:spacing w:line="360" w:lineRule="auto"/>
        <w:jc w:val="both"/>
        <w:rPr>
          <w:rFonts w:cstheme="minorHAnsi"/>
        </w:rPr>
      </w:pPr>
      <w:r w:rsidRPr="007F3BDA">
        <w:rPr>
          <w:rFonts w:cstheme="minorHAnsi"/>
        </w:rPr>
        <w:t>En este sentido, cabe señalar que el Ministerio de Igualdad ha desarrollado el estudio “La situación de las personas LGTBI+ con discapacidad en España” (2025), elaborado en colaboración con el Ministerio de Derechos Sociales, Consumo y Agenda 2030, que aporta por primera vez evidencia específica sobre las situaciones de discriminación y vulnerabilidad que afectan a este colectivo en ámbitos como la educación, la salud, el empleo y la vida social, y orienta el diseño de políticas públicas basadas en derechos.</w:t>
      </w:r>
    </w:p>
    <w:p w14:paraId="43A0F503" w14:textId="36B6D976" w:rsidR="00AB3934" w:rsidRPr="00AB3934" w:rsidRDefault="00AB3934" w:rsidP="007B2EA6">
      <w:pPr>
        <w:spacing w:line="360" w:lineRule="auto"/>
        <w:jc w:val="both"/>
        <w:rPr>
          <w:rFonts w:cstheme="minorHAnsi"/>
        </w:rPr>
      </w:pPr>
      <w:r>
        <w:rPr>
          <w:rFonts w:cstheme="minorHAnsi"/>
        </w:rPr>
        <w:t xml:space="preserve">En España </w:t>
      </w:r>
      <w:r w:rsidRPr="004A2B89">
        <w:rPr>
          <w:rFonts w:cstheme="minorHAnsi"/>
        </w:rPr>
        <w:t xml:space="preserve">se han reforzado los programas de formación </w:t>
      </w:r>
      <w:proofErr w:type="spellStart"/>
      <w:r w:rsidRPr="004A2B89">
        <w:rPr>
          <w:rFonts w:cstheme="minorHAnsi"/>
        </w:rPr>
        <w:t>pre</w:t>
      </w:r>
      <w:r w:rsidR="0092526C">
        <w:rPr>
          <w:rFonts w:cstheme="minorHAnsi"/>
        </w:rPr>
        <w:t>-</w:t>
      </w:r>
      <w:r w:rsidRPr="004A2B89">
        <w:rPr>
          <w:rFonts w:cstheme="minorHAnsi"/>
        </w:rPr>
        <w:t>laboral</w:t>
      </w:r>
      <w:proofErr w:type="spellEnd"/>
      <w:r w:rsidRPr="004A2B89">
        <w:rPr>
          <w:rFonts w:cstheme="minorHAnsi"/>
        </w:rPr>
        <w:t xml:space="preserve">, aprendizaje del idioma y orientación al </w:t>
      </w:r>
      <w:r>
        <w:rPr>
          <w:rFonts w:cstheme="minorHAnsi"/>
        </w:rPr>
        <w:t>empleo, dentro en el Sistema de Acogida de Protección Internacional y en el Programa de Atención H</w:t>
      </w:r>
      <w:r w:rsidRPr="004A2B89">
        <w:rPr>
          <w:rFonts w:cstheme="minorHAnsi"/>
        </w:rPr>
        <w:t>umanitaria. También se han impulsado convenios con empresas para la contratación de personas solicitantes y beneficiarias de protección internacional.</w:t>
      </w:r>
      <w:r>
        <w:rPr>
          <w:rFonts w:cstheme="minorHAnsi"/>
        </w:rPr>
        <w:t xml:space="preserve"> </w:t>
      </w:r>
    </w:p>
    <w:p w14:paraId="10E44B89" w14:textId="77777777" w:rsidR="00AB3934" w:rsidRPr="00AB3934" w:rsidRDefault="00AB3934" w:rsidP="00AB3934">
      <w:pPr>
        <w:spacing w:line="360" w:lineRule="auto"/>
        <w:jc w:val="both"/>
        <w:rPr>
          <w:rFonts w:cstheme="minorHAnsi"/>
        </w:rPr>
      </w:pPr>
      <w:r w:rsidRPr="00AB3934">
        <w:rPr>
          <w:rFonts w:cstheme="minorHAnsi"/>
        </w:rPr>
        <w:t>A partir del 27 de marzo de 2025 y mediante la Instrucción de la Secretaría de Estado de Seguridad y de la Subsecretaría sobre el Procedimiento de Protección Internacional, se incorporó el Número de Identificación de Extranjero (NIE) provisional a la manifestación de voluntad de presentar solicitud de protección internacional, si bien no implica una asignación de NIE en los términos del artículo 206 del Reglamento de desarrollo de la Ley Orgánica 4/2000, aprobado por Real Decreto 557/2011, de 20 de abril.</w:t>
      </w:r>
    </w:p>
    <w:p w14:paraId="21327946" w14:textId="77777777" w:rsidR="00AB3934" w:rsidRDefault="00AB3934" w:rsidP="00AB3934">
      <w:pPr>
        <w:spacing w:line="360" w:lineRule="auto"/>
        <w:jc w:val="both"/>
        <w:rPr>
          <w:rFonts w:cstheme="minorHAnsi"/>
        </w:rPr>
      </w:pPr>
      <w:r>
        <w:rPr>
          <w:rFonts w:cstheme="minorHAnsi"/>
        </w:rPr>
        <w:t xml:space="preserve">Por otro lado, es necesario reseñar que </w:t>
      </w:r>
      <w:r w:rsidRPr="00AB3934">
        <w:rPr>
          <w:rFonts w:cstheme="minorHAnsi"/>
        </w:rPr>
        <w:t>una mujer víctima de violencia de género no puede ser desahuciada sin antes garantizar su protección y alternativa habitacional</w:t>
      </w:r>
      <w:r>
        <w:rPr>
          <w:rFonts w:cstheme="minorHAnsi"/>
        </w:rPr>
        <w:t>,</w:t>
      </w:r>
      <w:r w:rsidRPr="00AB3934">
        <w:rPr>
          <w:rFonts w:cstheme="minorHAnsi"/>
        </w:rPr>
        <w:t xml:space="preserve"> teniendo prioridad en vivienda social.</w:t>
      </w:r>
      <w:r>
        <w:rPr>
          <w:rFonts w:cstheme="minorHAnsi"/>
        </w:rPr>
        <w:t xml:space="preserve"> Además, </w:t>
      </w:r>
      <w:r w:rsidRPr="00AB3934">
        <w:rPr>
          <w:rFonts w:cstheme="minorHAnsi"/>
        </w:rPr>
        <w:t>en el caso de violencia de género contra una mujer inmigrante en situación irregular, tendrá derecho a atención médica gratuita en cual</w:t>
      </w:r>
      <w:r>
        <w:rPr>
          <w:rFonts w:cstheme="minorHAnsi"/>
        </w:rPr>
        <w:t xml:space="preserve">quier centro sanitario público y, </w:t>
      </w:r>
      <w:r w:rsidRPr="00AB3934">
        <w:rPr>
          <w:rFonts w:cstheme="minorHAnsi"/>
        </w:rPr>
        <w:t>en muchos casos, se les otorga</w:t>
      </w:r>
      <w:r>
        <w:rPr>
          <w:rFonts w:cstheme="minorHAnsi"/>
        </w:rPr>
        <w:t>rá</w:t>
      </w:r>
      <w:r w:rsidRPr="00AB3934">
        <w:rPr>
          <w:rFonts w:cstheme="minorHAnsi"/>
        </w:rPr>
        <w:t xml:space="preserve"> autorización de residencia y trabajo por circunstancias excepcionales.</w:t>
      </w:r>
    </w:p>
    <w:p w14:paraId="2863363E" w14:textId="77777777" w:rsidR="007B2EA6" w:rsidRPr="007B2EA6" w:rsidRDefault="007B2EA6" w:rsidP="00AB3934">
      <w:pPr>
        <w:spacing w:line="360" w:lineRule="auto"/>
        <w:jc w:val="both"/>
        <w:rPr>
          <w:rFonts w:cstheme="minorHAnsi"/>
          <w:b/>
          <w:i/>
        </w:rPr>
      </w:pPr>
      <w:r w:rsidRPr="007B2EA6">
        <w:rPr>
          <w:rFonts w:cstheme="minorHAnsi"/>
          <w:b/>
          <w:i/>
        </w:rPr>
        <w:t>Centros de Atención Temporal de Extranjeros</w:t>
      </w:r>
      <w:r w:rsidR="00BE7277">
        <w:rPr>
          <w:rFonts w:cstheme="minorHAnsi"/>
          <w:b/>
          <w:i/>
        </w:rPr>
        <w:t xml:space="preserve"> (CATE)</w:t>
      </w:r>
    </w:p>
    <w:p w14:paraId="0124AAC4" w14:textId="77777777" w:rsidR="00AB3934" w:rsidRPr="00AB3934" w:rsidRDefault="00AB3934" w:rsidP="00AB3934">
      <w:pPr>
        <w:spacing w:line="360" w:lineRule="auto"/>
        <w:jc w:val="both"/>
        <w:rPr>
          <w:rFonts w:cstheme="minorHAnsi"/>
        </w:rPr>
      </w:pPr>
      <w:r w:rsidRPr="00AB3934">
        <w:rPr>
          <w:rFonts w:cstheme="minorHAnsi"/>
        </w:rPr>
        <w:t xml:space="preserve">Se trata de centros de detención con un período máximo de estancia de 72 horas, </w:t>
      </w:r>
      <w:r w:rsidR="007B2EA6">
        <w:rPr>
          <w:rFonts w:cstheme="minorHAnsi"/>
        </w:rPr>
        <w:t xml:space="preserve">en los </w:t>
      </w:r>
      <w:r w:rsidRPr="00AB3934">
        <w:rPr>
          <w:rFonts w:cstheme="minorHAnsi"/>
        </w:rPr>
        <w:t xml:space="preserve">que las personas migrantes tienen los mismos derechos que la Ley de Enjuiciamiento Criminal </w:t>
      </w:r>
      <w:r w:rsidRPr="00AB3934">
        <w:rPr>
          <w:rFonts w:cstheme="minorHAnsi"/>
        </w:rPr>
        <w:lastRenderedPageBreak/>
        <w:t>contempla para el resto de personas privadas de libertad:</w:t>
      </w:r>
      <w:r w:rsidR="007B2EA6">
        <w:rPr>
          <w:rFonts w:cstheme="minorHAnsi"/>
        </w:rPr>
        <w:t xml:space="preserve"> asistencia sanitaria, comida, duchas, libertad de movimientos dentro de las instalaciones, asistencia letrada, intérprete etc. </w:t>
      </w:r>
    </w:p>
    <w:p w14:paraId="76B7C431" w14:textId="77777777" w:rsidR="00AB3934" w:rsidRDefault="00AB3934" w:rsidP="00AB3934">
      <w:pPr>
        <w:spacing w:line="360" w:lineRule="auto"/>
        <w:jc w:val="both"/>
        <w:rPr>
          <w:rFonts w:cstheme="minorHAnsi"/>
        </w:rPr>
      </w:pPr>
      <w:r w:rsidRPr="00AB3934">
        <w:rPr>
          <w:rFonts w:cstheme="minorHAnsi"/>
        </w:rPr>
        <w:t xml:space="preserve">En </w:t>
      </w:r>
      <w:r>
        <w:rPr>
          <w:rFonts w:cstheme="minorHAnsi"/>
        </w:rPr>
        <w:t>España actualmente hay 12 CATE</w:t>
      </w:r>
      <w:r w:rsidRPr="00AB3934">
        <w:rPr>
          <w:rFonts w:cstheme="minorHAnsi"/>
        </w:rPr>
        <w:t>: Palma de Mallorca, Alicante, Cartagena, Almería, Motril, Mál</w:t>
      </w:r>
      <w:r w:rsidR="003306DC">
        <w:rPr>
          <w:rFonts w:cstheme="minorHAnsi"/>
        </w:rPr>
        <w:t>aga, Algeciras, Las Palmas de Gran Canarias</w:t>
      </w:r>
      <w:r w:rsidRPr="00AB3934">
        <w:rPr>
          <w:rFonts w:cstheme="minorHAnsi"/>
        </w:rPr>
        <w:t xml:space="preserve">, Lanzarote, Tenerife, Fuerteventura y El Hierro. Está prevista una actuación, de carácter prioritario, para la construcción de un CATE en Ibiza debido al notorio incremento de llegadas de personas migrantes a la isla en los últimos tiempos. </w:t>
      </w:r>
    </w:p>
    <w:p w14:paraId="02EE8557" w14:textId="77777777" w:rsidR="007B2EA6" w:rsidRPr="007B2EA6" w:rsidRDefault="007B2EA6" w:rsidP="00AB3934">
      <w:pPr>
        <w:spacing w:line="360" w:lineRule="auto"/>
        <w:jc w:val="both"/>
        <w:rPr>
          <w:rFonts w:cstheme="minorHAnsi"/>
          <w:b/>
          <w:i/>
        </w:rPr>
      </w:pPr>
      <w:r w:rsidRPr="007B2EA6">
        <w:rPr>
          <w:rFonts w:cstheme="minorHAnsi"/>
          <w:b/>
          <w:i/>
        </w:rPr>
        <w:t>Centros de Internamiento de Extranjeros (</w:t>
      </w:r>
      <w:proofErr w:type="spellStart"/>
      <w:r w:rsidRPr="007B2EA6">
        <w:rPr>
          <w:rFonts w:cstheme="minorHAnsi"/>
          <w:b/>
          <w:i/>
        </w:rPr>
        <w:t>CIEs</w:t>
      </w:r>
      <w:proofErr w:type="spellEnd"/>
      <w:r w:rsidRPr="007B2EA6">
        <w:rPr>
          <w:rFonts w:cstheme="minorHAnsi"/>
          <w:b/>
          <w:i/>
        </w:rPr>
        <w:t>)</w:t>
      </w:r>
    </w:p>
    <w:p w14:paraId="137E0B16" w14:textId="77777777" w:rsidR="00BD5CEE" w:rsidRDefault="007B2EA6" w:rsidP="00AB3934">
      <w:pPr>
        <w:spacing w:line="360" w:lineRule="auto"/>
        <w:jc w:val="both"/>
        <w:rPr>
          <w:rFonts w:cstheme="minorHAnsi"/>
        </w:rPr>
      </w:pPr>
      <w:r>
        <w:rPr>
          <w:rFonts w:cstheme="minorHAnsi"/>
        </w:rPr>
        <w:t>Son</w:t>
      </w:r>
      <w:r w:rsidR="00AB3934" w:rsidRPr="00AB3934">
        <w:rPr>
          <w:rFonts w:cstheme="minorHAnsi"/>
        </w:rPr>
        <w:t xml:space="preserve"> centros públicos administrativos destinados a la custodia de los inmigrantes irregulares cuando se ha decretado administrativamente su retorno. Durante su internamiento, no se e</w:t>
      </w:r>
      <w:r w:rsidR="00950DAF">
        <w:rPr>
          <w:rFonts w:cstheme="minorHAnsi"/>
        </w:rPr>
        <w:t xml:space="preserve">ncuentran privados de libertad sino </w:t>
      </w:r>
      <w:r w:rsidR="00AB3934" w:rsidRPr="00AB3934">
        <w:rPr>
          <w:rFonts w:cstheme="minorHAnsi"/>
        </w:rPr>
        <w:t xml:space="preserve">únicamente del derecho ambulatorio. </w:t>
      </w:r>
      <w:r w:rsidR="00BD5CEE">
        <w:rPr>
          <w:rFonts w:cstheme="minorHAnsi"/>
        </w:rPr>
        <w:t>E</w:t>
      </w:r>
      <w:r w:rsidR="00AB3934" w:rsidRPr="00AB3934">
        <w:rPr>
          <w:rFonts w:cstheme="minorHAnsi"/>
        </w:rPr>
        <w:t>stán dotados de servicios sociales, jur</w:t>
      </w:r>
      <w:r w:rsidR="00BD5CEE">
        <w:rPr>
          <w:rFonts w:cstheme="minorHAnsi"/>
        </w:rPr>
        <w:t>ídicos, culturales y sanitarios</w:t>
      </w:r>
      <w:r w:rsidR="00AB3934">
        <w:rPr>
          <w:rFonts w:cstheme="minorHAnsi"/>
        </w:rPr>
        <w:t xml:space="preserve">. </w:t>
      </w:r>
      <w:r w:rsidR="00AB3934" w:rsidRPr="00AB3934">
        <w:rPr>
          <w:rFonts w:cstheme="minorHAnsi"/>
        </w:rPr>
        <w:t xml:space="preserve">Las garantías jurídicas de los internos </w:t>
      </w:r>
      <w:r w:rsidR="00950DAF">
        <w:rPr>
          <w:rFonts w:cstheme="minorHAnsi"/>
        </w:rPr>
        <w:t>son</w:t>
      </w:r>
      <w:r w:rsidR="00AB3934" w:rsidRPr="00AB3934">
        <w:rPr>
          <w:rFonts w:cstheme="minorHAnsi"/>
        </w:rPr>
        <w:t xml:space="preserve"> estrictamente controladas por el Juez de Control de Estancia, el Ministerio Fiscal, el Defensor del Pueblo, el Mecanismo Nacional de Prevención de la Tortura y las </w:t>
      </w:r>
      <w:proofErr w:type="spellStart"/>
      <w:r w:rsidR="00AB3934" w:rsidRPr="00AB3934">
        <w:rPr>
          <w:rFonts w:cstheme="minorHAnsi"/>
        </w:rPr>
        <w:t>ONGs</w:t>
      </w:r>
      <w:proofErr w:type="spellEnd"/>
      <w:r w:rsidR="00AB3934" w:rsidRPr="00AB3934">
        <w:rPr>
          <w:rFonts w:cstheme="minorHAnsi"/>
        </w:rPr>
        <w:t xml:space="preserve"> que prestan asistencia en los Centros. Existe la posibilidad de que las organizaciones para la defensa de los inmigrantes, ya sean nacionales o internacionales, realicen visitas a </w:t>
      </w:r>
      <w:r w:rsidR="00950DAF">
        <w:rPr>
          <w:rFonts w:cstheme="minorHAnsi"/>
        </w:rPr>
        <w:t>sus instalaciones</w:t>
      </w:r>
      <w:r w:rsidR="00AB3934" w:rsidRPr="00AB3934">
        <w:rPr>
          <w:rFonts w:cstheme="minorHAnsi"/>
        </w:rPr>
        <w:t>. Durante su estancia en un CIE, el interno puede soli</w:t>
      </w:r>
      <w:r w:rsidR="00AB3934">
        <w:rPr>
          <w:rFonts w:cstheme="minorHAnsi"/>
        </w:rPr>
        <w:t xml:space="preserve">citar protección internacional. </w:t>
      </w:r>
    </w:p>
    <w:p w14:paraId="657C1279" w14:textId="4792F326" w:rsidR="00BD5CEE" w:rsidRDefault="00AB3934" w:rsidP="00AB3934">
      <w:pPr>
        <w:spacing w:line="360" w:lineRule="auto"/>
        <w:jc w:val="both"/>
        <w:rPr>
          <w:rFonts w:cstheme="minorHAnsi"/>
        </w:rPr>
      </w:pPr>
      <w:r w:rsidRPr="00AB3934">
        <w:rPr>
          <w:rFonts w:cstheme="minorHAnsi"/>
        </w:rPr>
        <w:t>La medida cautelar de privación de libertad por internamiento en un CIE tiene un carácter excepcional, dentro de unos supuestos tasados por la norma. La decisión del internamiento siempre es a</w:t>
      </w:r>
      <w:r>
        <w:rPr>
          <w:rFonts w:cstheme="minorHAnsi"/>
        </w:rPr>
        <w:t xml:space="preserve">cordada por el juez competente. </w:t>
      </w:r>
      <w:r w:rsidRPr="00AB3934">
        <w:rPr>
          <w:rFonts w:cstheme="minorHAnsi"/>
        </w:rPr>
        <w:t xml:space="preserve">El internamiento en un CIE se produce exclusivamente cuando existe una perspectiva de que va a ser retornado. El internamiento se mantiene por el tiempo estrictamente imprescindible para los fines del expediente, no pudiendo exceder, en ningún caso, de </w:t>
      </w:r>
      <w:r w:rsidR="007422A9">
        <w:rPr>
          <w:rFonts w:cstheme="minorHAnsi"/>
        </w:rPr>
        <w:t>6</w:t>
      </w:r>
      <w:r w:rsidR="0017614D">
        <w:rPr>
          <w:rFonts w:cstheme="minorHAnsi"/>
        </w:rPr>
        <w:t>0</w:t>
      </w:r>
      <w:r w:rsidRPr="00AB3934">
        <w:rPr>
          <w:rFonts w:cstheme="minorHAnsi"/>
        </w:rPr>
        <w:t xml:space="preserve"> días. </w:t>
      </w:r>
    </w:p>
    <w:p w14:paraId="63DDA7BD" w14:textId="77777777" w:rsidR="00AB3934" w:rsidRPr="00AB3934" w:rsidRDefault="00AB3934" w:rsidP="00AB3934">
      <w:pPr>
        <w:spacing w:line="360" w:lineRule="auto"/>
        <w:jc w:val="both"/>
        <w:rPr>
          <w:rFonts w:cstheme="minorHAnsi"/>
        </w:rPr>
      </w:pPr>
      <w:r w:rsidRPr="00AB3934">
        <w:rPr>
          <w:rFonts w:cstheme="minorHAnsi"/>
        </w:rPr>
        <w:t>De esta forma, España se sitúa entre los Estados miembros con plazos de internamiento más reducidos de la Unión Europea.</w:t>
      </w:r>
      <w:r>
        <w:rPr>
          <w:rFonts w:cstheme="minorHAnsi"/>
        </w:rPr>
        <w:t xml:space="preserve"> </w:t>
      </w:r>
      <w:r w:rsidR="0020040A">
        <w:rPr>
          <w:rFonts w:cstheme="minorHAnsi"/>
        </w:rPr>
        <w:t>Cabe destacar</w:t>
      </w:r>
      <w:r w:rsidR="00BD5CEE">
        <w:rPr>
          <w:rFonts w:cstheme="minorHAnsi"/>
        </w:rPr>
        <w:t xml:space="preserve"> que</w:t>
      </w:r>
      <w:r w:rsidRPr="00AB3934">
        <w:rPr>
          <w:rFonts w:cstheme="minorHAnsi"/>
        </w:rPr>
        <w:t xml:space="preserve"> el Reglamento de funcionamiento y régimen interior de los </w:t>
      </w:r>
      <w:proofErr w:type="spellStart"/>
      <w:r w:rsidRPr="00AB3934">
        <w:rPr>
          <w:rFonts w:cstheme="minorHAnsi"/>
        </w:rPr>
        <w:t>CIEs</w:t>
      </w:r>
      <w:proofErr w:type="spellEnd"/>
      <w:r w:rsidRPr="00AB3934">
        <w:rPr>
          <w:rFonts w:cstheme="minorHAnsi"/>
        </w:rPr>
        <w:t xml:space="preserve"> recoge en su artículo 1.4. que la gestión de los centros estará orientada, entre otros, por el principio de atención especializada a personas vulnerables, que en su segundo párrafo concreta en los siguientes colectivos</w:t>
      </w:r>
      <w:r w:rsidR="0020040A">
        <w:rPr>
          <w:rFonts w:cstheme="minorHAnsi"/>
        </w:rPr>
        <w:t>:</w:t>
      </w:r>
      <w:r w:rsidRPr="00AB3934">
        <w:rPr>
          <w:rFonts w:cstheme="minorHAnsi"/>
        </w:rPr>
        <w:t xml:space="preserve"> “menores, personas discapacitadas, ancianos, mujeres embarazadas, padres solos con hijos menores y personas que hayan padecido tortura, violación u otras formas graves de violencia psicológica, física o sexual”.</w:t>
      </w:r>
    </w:p>
    <w:p w14:paraId="4978DA32" w14:textId="77777777" w:rsidR="00C56A85" w:rsidRPr="00AB3934" w:rsidRDefault="00C56A85" w:rsidP="00CD2C28">
      <w:pPr>
        <w:spacing w:line="360" w:lineRule="auto"/>
        <w:jc w:val="both"/>
        <w:rPr>
          <w:rFonts w:cstheme="minorHAnsi"/>
        </w:rPr>
      </w:pPr>
    </w:p>
    <w:p w14:paraId="4320B866" w14:textId="04AF4D8B" w:rsidR="00A9357C" w:rsidRPr="005C08A6" w:rsidRDefault="00A9357C" w:rsidP="00823FC0">
      <w:pPr>
        <w:spacing w:line="360" w:lineRule="auto"/>
        <w:jc w:val="both"/>
        <w:rPr>
          <w:rFonts w:cstheme="minorHAnsi"/>
          <w:b/>
        </w:rPr>
      </w:pPr>
      <w:r w:rsidRPr="00A9357C">
        <w:rPr>
          <w:rFonts w:cstheme="minorHAnsi"/>
          <w:b/>
          <w:i/>
        </w:rPr>
        <w:t>Lucha contra la violencia de género</w:t>
      </w:r>
    </w:p>
    <w:p w14:paraId="594F077B" w14:textId="77777777" w:rsidR="00823FC0" w:rsidRPr="00863E2D" w:rsidRDefault="00823FC0" w:rsidP="00823FC0">
      <w:pPr>
        <w:spacing w:line="360" w:lineRule="auto"/>
        <w:jc w:val="both"/>
        <w:rPr>
          <w:rFonts w:cstheme="minorHAnsi"/>
        </w:rPr>
      </w:pPr>
      <w:r>
        <w:rPr>
          <w:rFonts w:cstheme="minorHAnsi"/>
        </w:rPr>
        <w:lastRenderedPageBreak/>
        <w:t>En el ámbito de la seguridad, se han adoptado numerosas medidas de p</w:t>
      </w:r>
      <w:r w:rsidRPr="00863E2D">
        <w:rPr>
          <w:rFonts w:cstheme="minorHAnsi"/>
        </w:rPr>
        <w:t>rotecc</w:t>
      </w:r>
      <w:r>
        <w:rPr>
          <w:rFonts w:cstheme="minorHAnsi"/>
        </w:rPr>
        <w:t xml:space="preserve">ión </w:t>
      </w:r>
      <w:r w:rsidR="009D5C73">
        <w:rPr>
          <w:rFonts w:cstheme="minorHAnsi"/>
        </w:rPr>
        <w:t xml:space="preserve">a favor </w:t>
      </w:r>
      <w:r>
        <w:rPr>
          <w:rFonts w:cstheme="minorHAnsi"/>
        </w:rPr>
        <w:t xml:space="preserve">de la mujer y los niños, </w:t>
      </w:r>
      <w:r w:rsidRPr="00863E2D">
        <w:rPr>
          <w:rFonts w:cstheme="minorHAnsi"/>
        </w:rPr>
        <w:t xml:space="preserve">contra </w:t>
      </w:r>
      <w:r>
        <w:rPr>
          <w:rFonts w:cstheme="minorHAnsi"/>
        </w:rPr>
        <w:t xml:space="preserve">los </w:t>
      </w:r>
      <w:r w:rsidRPr="00863E2D">
        <w:rPr>
          <w:rFonts w:cstheme="minorHAnsi"/>
        </w:rPr>
        <w:t>matrimonios forzados y</w:t>
      </w:r>
      <w:r>
        <w:rPr>
          <w:rFonts w:cstheme="minorHAnsi"/>
        </w:rPr>
        <w:t xml:space="preserve"> en la lucha contra</w:t>
      </w:r>
      <w:r w:rsidRPr="00863E2D">
        <w:rPr>
          <w:rFonts w:cstheme="minorHAnsi"/>
        </w:rPr>
        <w:t xml:space="preserve"> </w:t>
      </w:r>
      <w:r>
        <w:rPr>
          <w:rFonts w:cstheme="minorHAnsi"/>
        </w:rPr>
        <w:t xml:space="preserve">la </w:t>
      </w:r>
      <w:r w:rsidRPr="00863E2D">
        <w:rPr>
          <w:rFonts w:cstheme="minorHAnsi"/>
        </w:rPr>
        <w:t>mutilación genital femenina</w:t>
      </w:r>
      <w:r w:rsidR="009D5C73">
        <w:rPr>
          <w:rFonts w:cstheme="minorHAnsi"/>
        </w:rPr>
        <w:t xml:space="preserve"> (MGF)</w:t>
      </w:r>
      <w:r w:rsidRPr="00863E2D">
        <w:rPr>
          <w:rFonts w:cstheme="minorHAnsi"/>
        </w:rPr>
        <w:t xml:space="preserve">. En </w:t>
      </w:r>
      <w:r>
        <w:rPr>
          <w:rFonts w:cstheme="minorHAnsi"/>
        </w:rPr>
        <w:t xml:space="preserve">la </w:t>
      </w:r>
      <w:r w:rsidRPr="00863E2D">
        <w:rPr>
          <w:rFonts w:cstheme="minorHAnsi"/>
        </w:rPr>
        <w:t>Policía Nacional existen 173 Uni</w:t>
      </w:r>
      <w:r>
        <w:rPr>
          <w:rFonts w:cstheme="minorHAnsi"/>
        </w:rPr>
        <w:t>dades de Familia y Mujer (UFAM)</w:t>
      </w:r>
      <w:r w:rsidRPr="00863E2D">
        <w:rPr>
          <w:rFonts w:cstheme="minorHAnsi"/>
        </w:rPr>
        <w:t xml:space="preserve"> especializadas en violencia de género, doméstica y sexual. Además, se ha incorporado contenido específico sobre MGF y matrimonios forzosos en la formación del personal de UFAM</w:t>
      </w:r>
      <w:r>
        <w:rPr>
          <w:rFonts w:cstheme="minorHAnsi"/>
        </w:rPr>
        <w:t>, cuya</w:t>
      </w:r>
      <w:r w:rsidRPr="00863E2D">
        <w:rPr>
          <w:rFonts w:cstheme="minorHAnsi"/>
        </w:rPr>
        <w:t xml:space="preserve"> Unidad Central ha desarrollado y promovido diversas actuaciones en este ám</w:t>
      </w:r>
      <w:r>
        <w:rPr>
          <w:rFonts w:cstheme="minorHAnsi"/>
        </w:rPr>
        <w:t xml:space="preserve">bito. Entre ellas </w:t>
      </w:r>
      <w:r w:rsidRPr="00863E2D">
        <w:rPr>
          <w:rFonts w:cstheme="minorHAnsi"/>
        </w:rPr>
        <w:t>destacan las acciones formativas dirigidas a la capacitación específica</w:t>
      </w:r>
      <w:r>
        <w:rPr>
          <w:rFonts w:cstheme="minorHAnsi"/>
        </w:rPr>
        <w:t xml:space="preserve"> del</w:t>
      </w:r>
      <w:r w:rsidRPr="00863E2D">
        <w:rPr>
          <w:rFonts w:cstheme="minorHAnsi"/>
        </w:rPr>
        <w:t xml:space="preserve"> personal policial</w:t>
      </w:r>
      <w:r>
        <w:rPr>
          <w:rFonts w:cstheme="minorHAnsi"/>
        </w:rPr>
        <w:t>,</w:t>
      </w:r>
      <w:r w:rsidRPr="00863E2D">
        <w:rPr>
          <w:rFonts w:cstheme="minorHAnsi"/>
        </w:rPr>
        <w:t xml:space="preserve"> así como las iniciativas de coordinación con asociaciones del Tercer Sector para mejorar la respuesta institucional ante este tipo de violencias y su detección. Asimismo, se está trabajando en la elaboración de un Protocolo General de Actuación frente a casos de mutilación genital femenina y matrimonios forzados.</w:t>
      </w:r>
    </w:p>
    <w:p w14:paraId="47DEDF23" w14:textId="77777777" w:rsidR="00823FC0" w:rsidRPr="00863E2D" w:rsidRDefault="00823FC0" w:rsidP="00823FC0">
      <w:pPr>
        <w:spacing w:line="360" w:lineRule="auto"/>
        <w:jc w:val="both"/>
        <w:rPr>
          <w:rFonts w:cstheme="minorHAnsi"/>
        </w:rPr>
      </w:pPr>
      <w:r w:rsidRPr="00863E2D">
        <w:rPr>
          <w:rFonts w:cstheme="minorHAnsi"/>
        </w:rPr>
        <w:t xml:space="preserve">En </w:t>
      </w:r>
      <w:r>
        <w:rPr>
          <w:rFonts w:cstheme="minorHAnsi"/>
        </w:rPr>
        <w:t xml:space="preserve">la </w:t>
      </w:r>
      <w:r w:rsidRPr="00863E2D">
        <w:rPr>
          <w:rFonts w:cstheme="minorHAnsi"/>
        </w:rPr>
        <w:t>Guardia Civil</w:t>
      </w:r>
      <w:r>
        <w:rPr>
          <w:rFonts w:cstheme="minorHAnsi"/>
        </w:rPr>
        <w:t>, por otra parte,</w:t>
      </w:r>
      <w:r w:rsidRPr="00863E2D">
        <w:rPr>
          <w:rFonts w:cstheme="minorHAnsi"/>
        </w:rPr>
        <w:t xml:space="preserve"> existen 269 Puntos de Atención Especializada (PAE), integrados en las unidades de Policía Judicial, con 728 especialistas EMUME (Mujer-Menor), agentes especializados en atención y protección a menores, a víctimas de violencia de género o de violencia sexual, y en general, a las víctimas vulnerables.</w:t>
      </w:r>
      <w:r>
        <w:rPr>
          <w:rFonts w:cstheme="minorHAnsi"/>
        </w:rPr>
        <w:t xml:space="preserve"> </w:t>
      </w:r>
      <w:r w:rsidRPr="00863E2D">
        <w:rPr>
          <w:rFonts w:cstheme="minorHAnsi"/>
        </w:rPr>
        <w:t>El Plan de Acción de la Guardia Civil contra la Violencia sobre la Mujer, aprobado en noviembre de 2020, está alineado con compromisos nacionales e internacionales adquiridos por España, y contempla medidas de impulso institucional contra violencia de género, trata de seres humanos con fines de explotación sexual y agresiones sexuales, matrimonios forzados, abortos forzados o mutilación genital femenina (MGF).</w:t>
      </w:r>
    </w:p>
    <w:p w14:paraId="4C23194E" w14:textId="77777777" w:rsidR="00823FC0" w:rsidRPr="00863E2D" w:rsidRDefault="00823FC0" w:rsidP="00823FC0">
      <w:pPr>
        <w:spacing w:line="360" w:lineRule="auto"/>
        <w:jc w:val="both"/>
        <w:rPr>
          <w:rFonts w:cstheme="minorHAnsi"/>
        </w:rPr>
      </w:pPr>
      <w:r w:rsidRPr="00863E2D">
        <w:rPr>
          <w:rFonts w:cstheme="minorHAnsi"/>
        </w:rPr>
        <w:t>Estas actuaciones de las Fuerzas y Cuerpos de Seguridad se desarrollan en cumplimiento de los convenios y tratados internacionales ratificados por España, que establecen la prohibición y erradicación de la mutilación genital femenina y los matrimonios forzados y de las recientes reformas legislativas nacionales.</w:t>
      </w:r>
      <w:r>
        <w:rPr>
          <w:rFonts w:cstheme="minorHAnsi"/>
        </w:rPr>
        <w:t xml:space="preserve"> </w:t>
      </w:r>
      <w:r w:rsidRPr="00863E2D">
        <w:rPr>
          <w:rFonts w:cstheme="minorHAnsi"/>
        </w:rPr>
        <w:t xml:space="preserve">En este sentido la Ley Orgánica 10/2022, </w:t>
      </w:r>
      <w:r w:rsidR="0098343A">
        <w:rPr>
          <w:rFonts w:cstheme="minorHAnsi"/>
        </w:rPr>
        <w:t>de 6 de septiembre, de Garantía Integral de la Libertad S</w:t>
      </w:r>
      <w:r w:rsidRPr="00863E2D">
        <w:rPr>
          <w:rFonts w:cstheme="minorHAnsi"/>
        </w:rPr>
        <w:t>exual, garantiza una actuación integral ante este tipo de supuestos. Igualmente, modifica el Código Penal introduciendo nuevos tipos, reforzando su finalidad de protección y garantía de los derechos ante vulneraciones contra la libertad sexual.</w:t>
      </w:r>
      <w:r>
        <w:rPr>
          <w:rFonts w:cstheme="minorHAnsi"/>
        </w:rPr>
        <w:t xml:space="preserve"> </w:t>
      </w:r>
      <w:r w:rsidRPr="00863E2D">
        <w:rPr>
          <w:rFonts w:cstheme="minorHAnsi"/>
        </w:rPr>
        <w:t xml:space="preserve">Por su parte, el Sistema </w:t>
      </w:r>
      <w:proofErr w:type="spellStart"/>
      <w:r w:rsidRPr="00863E2D">
        <w:rPr>
          <w:rFonts w:cstheme="minorHAnsi"/>
        </w:rPr>
        <w:t>VioGén</w:t>
      </w:r>
      <w:proofErr w:type="spellEnd"/>
      <w:r w:rsidRPr="00863E2D">
        <w:rPr>
          <w:rFonts w:cstheme="minorHAnsi"/>
        </w:rPr>
        <w:t xml:space="preserve">, en funcionamiento desde 2007, es una herramienta clave creada para el seguimiento de las mujeres víctimas de violencia de género, cuyo objetivo principal es proteger a las víctimas. A lo largo de los años, la experiencia acumulada ha permitido mejorar las herramientas </w:t>
      </w:r>
      <w:r>
        <w:rPr>
          <w:rFonts w:cstheme="minorHAnsi"/>
        </w:rPr>
        <w:t>para la evaluación del riesgo. E</w:t>
      </w:r>
      <w:r w:rsidRPr="00863E2D">
        <w:rPr>
          <w:rFonts w:cstheme="minorHAnsi"/>
        </w:rPr>
        <w:t>stas mejoras han hecho posible una actuación policial más eficaz, especialmente ante variables de alto riesgo que requieren una evaluación precisa para garantizar la protección de las víctimas.</w:t>
      </w:r>
      <w:r>
        <w:rPr>
          <w:rFonts w:cstheme="minorHAnsi"/>
        </w:rPr>
        <w:t xml:space="preserve"> </w:t>
      </w:r>
      <w:r w:rsidRPr="00863E2D">
        <w:rPr>
          <w:rFonts w:cstheme="minorHAnsi"/>
        </w:rPr>
        <w:t xml:space="preserve">En el marco de esa necesidad de mejora, </w:t>
      </w:r>
      <w:r>
        <w:rPr>
          <w:rFonts w:cstheme="minorHAnsi"/>
        </w:rPr>
        <w:t xml:space="preserve">se ha actualizado </w:t>
      </w:r>
      <w:r w:rsidRPr="00863E2D">
        <w:rPr>
          <w:rFonts w:cstheme="minorHAnsi"/>
        </w:rPr>
        <w:t xml:space="preserve">la plataforma del Sistema </w:t>
      </w:r>
      <w:proofErr w:type="spellStart"/>
      <w:r w:rsidRPr="00863E2D">
        <w:rPr>
          <w:rFonts w:cstheme="minorHAnsi"/>
        </w:rPr>
        <w:t>VioGén</w:t>
      </w:r>
      <w:proofErr w:type="spellEnd"/>
      <w:r w:rsidRPr="00863E2D">
        <w:rPr>
          <w:rFonts w:cstheme="minorHAnsi"/>
        </w:rPr>
        <w:t xml:space="preserve">, dando cumplimiento al doble </w:t>
      </w:r>
      <w:r w:rsidRPr="00863E2D">
        <w:rPr>
          <w:rFonts w:cstheme="minorHAnsi"/>
        </w:rPr>
        <w:lastRenderedPageBreak/>
        <w:t>objetivo de aprovechar los recursos tecnológicos disponibles y optimizar las acciones de prevención de la violencia mejorando la atención a la víctima.</w:t>
      </w:r>
      <w:r>
        <w:rPr>
          <w:rFonts w:cstheme="minorHAnsi"/>
        </w:rPr>
        <w:t xml:space="preserve"> Por otra parte, la</w:t>
      </w:r>
      <w:r w:rsidRPr="00863E2D">
        <w:rPr>
          <w:rFonts w:cstheme="minorHAnsi"/>
        </w:rPr>
        <w:t xml:space="preserve"> Oficina Nacional contra las Violencias Sexuales (ONVIOS), creada por la Instrucción 5/2023 de la Secretaría de Estado de Seguridad, es el órgano técnico, estratégico y de coordinación del Ministerio del Interior en materia de prevención, investigación y atención a las violencias sexuales. Actúa como punto de contacto nacional e internacional y es la responsable del despliegue y seguimiento del I Plan Estratégico para la Prevención de las Violencias Sexuales (2023-2027), que articula las políticas públicas del Ministerio en torno a seis ejes: coordinación institucional, prevención, detección, atención a víctimas, investigación y formación.</w:t>
      </w:r>
    </w:p>
    <w:p w14:paraId="798EAC22" w14:textId="77777777" w:rsidR="00A9357C" w:rsidRPr="00A9357C" w:rsidRDefault="00A9357C" w:rsidP="008A5267">
      <w:pPr>
        <w:spacing w:line="360" w:lineRule="auto"/>
        <w:jc w:val="both"/>
        <w:rPr>
          <w:rFonts w:cstheme="minorHAnsi"/>
          <w:b/>
          <w:i/>
        </w:rPr>
      </w:pPr>
      <w:r w:rsidRPr="00A9357C">
        <w:rPr>
          <w:rFonts w:cstheme="minorHAnsi"/>
          <w:b/>
          <w:i/>
        </w:rPr>
        <w:t>Género y política económica</w:t>
      </w:r>
    </w:p>
    <w:p w14:paraId="716E9CA5" w14:textId="77777777" w:rsidR="008A5267" w:rsidRPr="008A5267" w:rsidRDefault="008A5267" w:rsidP="008A5267">
      <w:pPr>
        <w:spacing w:line="360" w:lineRule="auto"/>
        <w:jc w:val="both"/>
        <w:rPr>
          <w:rFonts w:cstheme="minorHAnsi"/>
        </w:rPr>
      </w:pPr>
      <w:r w:rsidRPr="008A5267">
        <w:rPr>
          <w:rFonts w:cstheme="minorHAnsi"/>
        </w:rPr>
        <w:t xml:space="preserve">En materia </w:t>
      </w:r>
      <w:r w:rsidR="00E95E78">
        <w:rPr>
          <w:rFonts w:cstheme="minorHAnsi"/>
        </w:rPr>
        <w:t>económica</w:t>
      </w:r>
      <w:r w:rsidRPr="008A5267">
        <w:rPr>
          <w:rFonts w:cstheme="minorHAnsi"/>
        </w:rPr>
        <w:t xml:space="preserve">, se han desarrollado varias medidas en </w:t>
      </w:r>
      <w:r w:rsidR="0098343A">
        <w:rPr>
          <w:rFonts w:cstheme="minorHAnsi"/>
        </w:rPr>
        <w:t>este ámbito</w:t>
      </w:r>
      <w:r w:rsidRPr="008A5267">
        <w:rPr>
          <w:rFonts w:cstheme="minorHAnsi"/>
        </w:rPr>
        <w:t xml:space="preserve">. Por ejemplo, dos ediciones del programa “Desafía Mujeres” para impulsar y visibilizar el liderazgo femenino de startups y </w:t>
      </w:r>
      <w:proofErr w:type="spellStart"/>
      <w:r w:rsidRPr="008A5267">
        <w:rPr>
          <w:rFonts w:cstheme="minorHAnsi"/>
        </w:rPr>
        <w:t>scaleups</w:t>
      </w:r>
      <w:proofErr w:type="spellEnd"/>
      <w:r w:rsidRPr="008A5267">
        <w:rPr>
          <w:rFonts w:cstheme="minorHAnsi"/>
        </w:rPr>
        <w:t xml:space="preserve"> y animar a una mayor participación de mujeres directivas en otro tipo de eventos, o “Programa Mujer e Internacionalización de ICEX”, con líneas de trabajo en torno a la generación de datos sobre la situación de las mujeres en las empresas exportadoras, visibilidad y liderazgo a través de contenidos propios, generación de más de 40 informes específicos sobre retos para las mujeres en determinados países, formación específica sobre acceso a mercados, cláusulas con perspectiva de género en la contratación y acceso a ayudas, y seguimiento de todos estos indicadores.</w:t>
      </w:r>
    </w:p>
    <w:p w14:paraId="2AFD9281" w14:textId="1B7FF408" w:rsidR="00A9357C" w:rsidRDefault="00A9357C" w:rsidP="008A5267">
      <w:pPr>
        <w:spacing w:line="360" w:lineRule="auto"/>
        <w:jc w:val="both"/>
        <w:rPr>
          <w:rFonts w:cstheme="minorHAnsi"/>
        </w:rPr>
      </w:pPr>
      <w:r>
        <w:rPr>
          <w:rFonts w:cstheme="minorHAnsi"/>
        </w:rPr>
        <w:t xml:space="preserve">Por otra parte, en </w:t>
      </w:r>
      <w:r w:rsidR="008A5267" w:rsidRPr="008A5267">
        <w:rPr>
          <w:rFonts w:cstheme="minorHAnsi"/>
        </w:rPr>
        <w:t>2016 se creó el Programa Regional para América Latina y el Caribe de la OCDE para apoyar a los países latinoamericanos en el avance de sus ambiciosas agendas de reformas orientadas al crecimiento económico sostenible. España ha respaldado este Programa a través de la financiación de</w:t>
      </w:r>
      <w:r w:rsidR="00323330">
        <w:rPr>
          <w:rFonts w:cstheme="minorHAnsi"/>
        </w:rPr>
        <w:t xml:space="preserve"> un </w:t>
      </w:r>
      <w:r w:rsidR="008A5267" w:rsidRPr="008A5267">
        <w:rPr>
          <w:rFonts w:cstheme="minorHAnsi"/>
        </w:rPr>
        <w:t>Estudio sobre Comercio y Género en América Latina, que analiza el papel de las mujeres en el comercio desde tres dimensiones clave: como trabajadoras, como líderes empresariales y como consumidoras. El informe resultante propone un conjunto de recomendaciones orientadas a garantizar que las políticas comerciales y nacionales respalden plenamente el empoderamiento económico de las mujeres a través del comercio.</w:t>
      </w:r>
      <w:r>
        <w:rPr>
          <w:rFonts w:cstheme="minorHAnsi"/>
        </w:rPr>
        <w:t xml:space="preserve"> </w:t>
      </w:r>
    </w:p>
    <w:p w14:paraId="5CEA3208" w14:textId="77777777" w:rsidR="00A9357C" w:rsidRPr="00A9357C" w:rsidRDefault="00A9357C" w:rsidP="008A5267">
      <w:pPr>
        <w:spacing w:line="360" w:lineRule="auto"/>
        <w:jc w:val="both"/>
        <w:rPr>
          <w:rFonts w:cstheme="minorHAnsi"/>
          <w:b/>
          <w:i/>
        </w:rPr>
      </w:pPr>
      <w:r w:rsidRPr="00A9357C">
        <w:rPr>
          <w:rFonts w:cstheme="minorHAnsi"/>
          <w:b/>
          <w:i/>
        </w:rPr>
        <w:t>Datos estadísticos</w:t>
      </w:r>
    </w:p>
    <w:p w14:paraId="1F8E4E93" w14:textId="77777777" w:rsidR="00A9357C" w:rsidRDefault="008A5267" w:rsidP="008A5267">
      <w:pPr>
        <w:spacing w:line="360" w:lineRule="auto"/>
        <w:jc w:val="both"/>
        <w:rPr>
          <w:rFonts w:cstheme="minorHAnsi"/>
        </w:rPr>
      </w:pPr>
      <w:r w:rsidRPr="008A5267">
        <w:rPr>
          <w:rFonts w:cstheme="minorHAnsi"/>
        </w:rPr>
        <w:t xml:space="preserve">Por otro lado, el INE realiza varias estadísticas específicas en materia de igualdad y violencia de género, tal como recoge el Real Decreto 72/2025, de 4 de febrero, por el que se aprueba el Programa anual 2025 del Plan Estadístico Nacional </w:t>
      </w:r>
      <w:r w:rsidR="00A9357C">
        <w:rPr>
          <w:rFonts w:cstheme="minorHAnsi"/>
        </w:rPr>
        <w:t>(</w:t>
      </w:r>
      <w:r w:rsidRPr="008A5267">
        <w:rPr>
          <w:rFonts w:cstheme="minorHAnsi"/>
        </w:rPr>
        <w:t>2025-2028</w:t>
      </w:r>
      <w:r w:rsidR="00A9357C">
        <w:rPr>
          <w:rFonts w:cstheme="minorHAnsi"/>
        </w:rPr>
        <w:t>)</w:t>
      </w:r>
      <w:r w:rsidRPr="008A5267">
        <w:rPr>
          <w:rFonts w:cstheme="minorHAnsi"/>
        </w:rPr>
        <w:t xml:space="preserve">. </w:t>
      </w:r>
      <w:r w:rsidR="00A9357C">
        <w:rPr>
          <w:rFonts w:cstheme="minorHAnsi"/>
        </w:rPr>
        <w:t>En concreto</w:t>
      </w:r>
      <w:r w:rsidRPr="008A5267">
        <w:rPr>
          <w:rFonts w:cstheme="minorHAnsi"/>
        </w:rPr>
        <w:t xml:space="preserve">, </w:t>
      </w:r>
      <w:r w:rsidR="00A9357C">
        <w:rPr>
          <w:rFonts w:cstheme="minorHAnsi"/>
        </w:rPr>
        <w:t xml:space="preserve">y </w:t>
      </w:r>
      <w:r w:rsidRPr="008A5267">
        <w:rPr>
          <w:rFonts w:cstheme="minorHAnsi"/>
        </w:rPr>
        <w:t xml:space="preserve">en colaboración con el Instituto de las Mujeres, realiza la publicación “Mujeres y Hombres en España”, cuya finalidad es reflejar, a través de una selección de indicadores, la situación </w:t>
      </w:r>
      <w:r w:rsidR="00A9357C">
        <w:rPr>
          <w:rFonts w:cstheme="minorHAnsi"/>
        </w:rPr>
        <w:t>de ambos géneros</w:t>
      </w:r>
      <w:r w:rsidRPr="008A5267">
        <w:rPr>
          <w:rFonts w:cstheme="minorHAnsi"/>
        </w:rPr>
        <w:t xml:space="preserve"> en </w:t>
      </w:r>
      <w:r w:rsidRPr="008A5267">
        <w:rPr>
          <w:rFonts w:cstheme="minorHAnsi"/>
        </w:rPr>
        <w:lastRenderedPageBreak/>
        <w:t xml:space="preserve">todas las áreas sociales y políticas, analizando sus interrelaciones, sus diferencias en el acceso y uso de los recursos, sus actividades y sus reacciones a cambios, intervenciones y políticas, en determinadas áreas sociales y económicas como educación, empleo, salarios e inclusión social, salud, ciencia y tecnología, etc. </w:t>
      </w:r>
    </w:p>
    <w:p w14:paraId="316925EF" w14:textId="77777777" w:rsidR="008A5267" w:rsidRPr="008A5267" w:rsidRDefault="008A5267" w:rsidP="008A5267">
      <w:pPr>
        <w:spacing w:line="360" w:lineRule="auto"/>
        <w:jc w:val="both"/>
        <w:rPr>
          <w:rFonts w:cstheme="minorHAnsi"/>
        </w:rPr>
      </w:pPr>
      <w:r w:rsidRPr="008A5267">
        <w:rPr>
          <w:rFonts w:cstheme="minorHAnsi"/>
        </w:rPr>
        <w:t>La publicación se ha organizado en ocho grandes temas que contienen fichas asociadas a diferentes indicadores No se realiza una actualización de la publicación en su conjunto en una fecha determinada, sino que se procede a la actualización individualizada de cada uno d</w:t>
      </w:r>
      <w:r w:rsidR="00F46F8A">
        <w:rPr>
          <w:rFonts w:cstheme="minorHAnsi"/>
        </w:rPr>
        <w:t xml:space="preserve">e los capítulos a medida que se </w:t>
      </w:r>
      <w:r w:rsidRPr="008A5267">
        <w:rPr>
          <w:rFonts w:cstheme="minorHAnsi"/>
        </w:rPr>
        <w:t>disponga de la publicación de las correspondientes fuentes de información.</w:t>
      </w:r>
    </w:p>
    <w:p w14:paraId="29E11512" w14:textId="13AEB74D" w:rsidR="008A5267" w:rsidRDefault="008A5267" w:rsidP="008A5267">
      <w:pPr>
        <w:spacing w:line="360" w:lineRule="auto"/>
        <w:jc w:val="both"/>
        <w:rPr>
          <w:rFonts w:cstheme="minorHAnsi"/>
        </w:rPr>
      </w:pPr>
      <w:r w:rsidRPr="008A5267">
        <w:rPr>
          <w:rFonts w:cstheme="minorHAnsi"/>
        </w:rPr>
        <w:t>Además, los indicadores de la Agenda 2030 (incluido el Objetivo 5, Lograr la igualdad de género y empoderar a todas las mujeres y las niñas) constituye una operación estadística recogida también en el Programa anual vigente del INE y se incluirá también en el de 2026.</w:t>
      </w:r>
    </w:p>
    <w:p w14:paraId="3AF225D0" w14:textId="77777777" w:rsidR="00652127" w:rsidRDefault="00652127" w:rsidP="00CD2C28">
      <w:pPr>
        <w:spacing w:line="360" w:lineRule="auto"/>
        <w:jc w:val="both"/>
        <w:rPr>
          <w:b/>
        </w:rPr>
      </w:pPr>
    </w:p>
    <w:p w14:paraId="56334204" w14:textId="7A223030" w:rsidR="00C146B7" w:rsidRPr="005C08A6" w:rsidRDefault="00C146B7" w:rsidP="00C146B7">
      <w:pPr>
        <w:spacing w:line="360" w:lineRule="auto"/>
        <w:jc w:val="both"/>
        <w:rPr>
          <w:b/>
        </w:rPr>
      </w:pPr>
      <w:r w:rsidRPr="00C146B7">
        <w:rPr>
          <w:rFonts w:cstheme="minorHAnsi"/>
        </w:rPr>
        <w:t xml:space="preserve">La Constitución Española recoge en su preámbulo la voluntad de la nación española de proteger a todos </w:t>
      </w:r>
      <w:r w:rsidR="00456753">
        <w:rPr>
          <w:rFonts w:cstheme="minorHAnsi"/>
        </w:rPr>
        <w:t>sus ciudadanos</w:t>
      </w:r>
      <w:r w:rsidRPr="00C146B7">
        <w:rPr>
          <w:rFonts w:cstheme="minorHAnsi"/>
        </w:rPr>
        <w:t xml:space="preserve"> y pueblos de España en el ejercicio de los derechos humanos, sus culturas y tradiciones, lenguas e instituciones, y de promover el progreso de la cultura y de la</w:t>
      </w:r>
      <w:r w:rsidR="00456753">
        <w:rPr>
          <w:rFonts w:cstheme="minorHAnsi"/>
        </w:rPr>
        <w:t xml:space="preserve"> economía para asegurar </w:t>
      </w:r>
      <w:r w:rsidRPr="00C146B7">
        <w:rPr>
          <w:rFonts w:cstheme="minorHAnsi"/>
        </w:rPr>
        <w:t>una calidad de vida</w:t>
      </w:r>
      <w:r w:rsidR="00456753">
        <w:rPr>
          <w:rFonts w:cstheme="minorHAnsi"/>
        </w:rPr>
        <w:t xml:space="preserve"> digna para todos</w:t>
      </w:r>
      <w:r w:rsidRPr="00C146B7">
        <w:rPr>
          <w:rFonts w:cstheme="minorHAnsi"/>
        </w:rPr>
        <w:t xml:space="preserve">. Los principios rectores de la política social y económica están recogidos </w:t>
      </w:r>
      <w:r w:rsidR="00DE3B36">
        <w:rPr>
          <w:rFonts w:cstheme="minorHAnsi"/>
        </w:rPr>
        <w:t>en el Capítulo III del T</w:t>
      </w:r>
      <w:r w:rsidRPr="00C146B7">
        <w:rPr>
          <w:rFonts w:cstheme="minorHAnsi"/>
        </w:rPr>
        <w:t xml:space="preserve">ítulo I y son de </w:t>
      </w:r>
      <w:r w:rsidR="00055C41">
        <w:rPr>
          <w:rFonts w:cstheme="minorHAnsi"/>
        </w:rPr>
        <w:t xml:space="preserve">distinta y variada naturaleza (derecho a la vivienda, a un trabajo digno, a la Seguridad Social y a la salud, entre otros). </w:t>
      </w:r>
    </w:p>
    <w:p w14:paraId="077869A0" w14:textId="77777777" w:rsidR="00146015" w:rsidRDefault="00146015" w:rsidP="00CD2C28">
      <w:pPr>
        <w:spacing w:line="360" w:lineRule="auto"/>
        <w:jc w:val="both"/>
        <w:rPr>
          <w:b/>
        </w:rPr>
      </w:pPr>
    </w:p>
    <w:p w14:paraId="3FB57CDA" w14:textId="77777777" w:rsidR="00F46F8A" w:rsidRDefault="00C146B7" w:rsidP="00CD2C28">
      <w:pPr>
        <w:spacing w:line="360" w:lineRule="auto"/>
        <w:jc w:val="both"/>
        <w:rPr>
          <w:rFonts w:cstheme="minorHAnsi"/>
        </w:rPr>
      </w:pPr>
      <w:r w:rsidRPr="00C146B7">
        <w:rPr>
          <w:rFonts w:cstheme="minorHAnsi"/>
        </w:rPr>
        <w:t>El Tribunal Constitucional ha señalado (STC 19/1982, de 5 de mayo) sobre el conjunto de los principios rectores de la política social y económica del Capítulo III del Título I</w:t>
      </w:r>
      <w:r w:rsidR="001C7A57">
        <w:rPr>
          <w:rFonts w:cstheme="minorHAnsi"/>
        </w:rPr>
        <w:t xml:space="preserve"> antes mencionados</w:t>
      </w:r>
      <w:r w:rsidR="00DE3B36">
        <w:rPr>
          <w:rFonts w:cstheme="minorHAnsi"/>
        </w:rPr>
        <w:t>, que su “</w:t>
      </w:r>
      <w:r w:rsidRPr="00C146B7">
        <w:rPr>
          <w:rFonts w:cstheme="minorHAnsi"/>
        </w:rPr>
        <w:t>recon</w:t>
      </w:r>
      <w:r w:rsidR="00DE3B36">
        <w:rPr>
          <w:rFonts w:cstheme="minorHAnsi"/>
        </w:rPr>
        <w:t xml:space="preserve">ocimiento, respeto y protección informarán </w:t>
      </w:r>
      <w:r w:rsidRPr="00C146B7">
        <w:rPr>
          <w:rFonts w:cstheme="minorHAnsi"/>
        </w:rPr>
        <w:t>la legislación positiva, la práctica judicial y la ac</w:t>
      </w:r>
      <w:r w:rsidR="00DE3B36">
        <w:rPr>
          <w:rFonts w:cstheme="minorHAnsi"/>
        </w:rPr>
        <w:t>tuación de los poderes públicos</w:t>
      </w:r>
      <w:r w:rsidRPr="00C146B7">
        <w:rPr>
          <w:rFonts w:cstheme="minorHAnsi"/>
        </w:rPr>
        <w:t>, según dice el art. 53.3 de la Constitución, lo que impide considerar a tales principios como normas sin contenido y obliga a tenerlos presentes en la interpretación tanto de las restantes normas constitucionales como de las leyes”.</w:t>
      </w:r>
    </w:p>
    <w:p w14:paraId="30838004" w14:textId="77777777" w:rsidR="004641C3" w:rsidRPr="00C146B7" w:rsidRDefault="004641C3" w:rsidP="00CD2C28">
      <w:pPr>
        <w:spacing w:line="360" w:lineRule="auto"/>
        <w:jc w:val="both"/>
        <w:rPr>
          <w:rFonts w:cstheme="minorHAnsi"/>
        </w:rPr>
      </w:pPr>
    </w:p>
    <w:p w14:paraId="220A0904" w14:textId="77777777" w:rsidR="0000370B" w:rsidRPr="0000370B" w:rsidRDefault="0000370B" w:rsidP="0079164D">
      <w:pPr>
        <w:spacing w:before="240" w:after="240" w:line="360" w:lineRule="auto"/>
        <w:jc w:val="both"/>
        <w:rPr>
          <w:b/>
          <w:i/>
        </w:rPr>
      </w:pPr>
      <w:r>
        <w:rPr>
          <w:b/>
          <w:i/>
        </w:rPr>
        <w:t>Lucha contra la temporalidad</w:t>
      </w:r>
    </w:p>
    <w:p w14:paraId="7608A449" w14:textId="77777777" w:rsidR="0079164D" w:rsidRDefault="00866686" w:rsidP="0079164D">
      <w:pPr>
        <w:spacing w:before="240" w:after="240" w:line="360" w:lineRule="auto"/>
        <w:jc w:val="both"/>
      </w:pPr>
      <w:r>
        <w:lastRenderedPageBreak/>
        <w:t>La</w:t>
      </w:r>
      <w:r w:rsidR="00B752EC" w:rsidRPr="00B752EC">
        <w:t xml:space="preserve"> reforma laboral implantada </w:t>
      </w:r>
      <w:r>
        <w:t>por</w:t>
      </w:r>
      <w:r w:rsidR="00B752EC" w:rsidRPr="00B752EC">
        <w:t xml:space="preserve"> del Real Decreto-ley 32/2021</w:t>
      </w:r>
      <w:r w:rsidR="00B752EC" w:rsidRPr="007053E8">
        <w:rPr>
          <w:vertAlign w:val="superscript"/>
        </w:rPr>
        <w:footnoteReference w:id="2"/>
      </w:r>
      <w:r w:rsidR="003C5C53">
        <w:t xml:space="preserve"> busca</w:t>
      </w:r>
      <w:r>
        <w:t xml:space="preserve"> </w:t>
      </w:r>
      <w:r w:rsidR="00B752EC" w:rsidRPr="00B752EC">
        <w:t>promover la estabilidad en el empleo y gestionar el</w:t>
      </w:r>
      <w:r>
        <w:t xml:space="preserve"> exceso de contratación temporal y</w:t>
      </w:r>
      <w:r w:rsidR="00B752EC" w:rsidRPr="00B752EC">
        <w:t xml:space="preserve"> ha logrado cambios fundamentales. Gracias a este nuevo marco normativo, fruto del diálogo social, en España se ha recuperado la contratación indefinida como regla general, admitiendo únicamente excepciones muy limitadas. En 2023 se alcanzó la cifra de 15 millones de asalariados con contrato indefinido, la más alta de la historia, y la tasa de temporalidad en el sector privado se redujo al valor más bajo de la serie. Otro efecto positivo registrado es que se ha logrado disminuir la rotación labor</w:t>
      </w:r>
      <w:r w:rsidR="0079164D">
        <w:t xml:space="preserve">al, que antes era muy elevada. </w:t>
      </w:r>
    </w:p>
    <w:p w14:paraId="44936973" w14:textId="77777777" w:rsidR="003C5C53" w:rsidRDefault="0000370B" w:rsidP="0079164D">
      <w:pPr>
        <w:spacing w:before="240" w:after="240" w:line="360" w:lineRule="auto"/>
        <w:jc w:val="both"/>
        <w:rPr>
          <w:b/>
          <w:i/>
        </w:rPr>
      </w:pPr>
      <w:r w:rsidRPr="0000370B">
        <w:rPr>
          <w:b/>
          <w:i/>
        </w:rPr>
        <w:t>Colectivos vulnerables</w:t>
      </w:r>
    </w:p>
    <w:p w14:paraId="66412E07" w14:textId="77777777" w:rsidR="00B752EC" w:rsidRPr="0000370B" w:rsidRDefault="00B752EC" w:rsidP="0079164D">
      <w:pPr>
        <w:spacing w:before="240" w:after="240" w:line="360" w:lineRule="auto"/>
        <w:jc w:val="both"/>
        <w:rPr>
          <w:b/>
          <w:i/>
        </w:rPr>
      </w:pPr>
      <w:r w:rsidRPr="00B752EC">
        <w:t xml:space="preserve">Desde el Sistema Nacional de Empleo </w:t>
      </w:r>
      <w:r w:rsidR="0000370B">
        <w:t xml:space="preserve">(SNE) </w:t>
      </w:r>
      <w:r w:rsidRPr="00B752EC">
        <w:t xml:space="preserve">se proporcionan servicios </w:t>
      </w:r>
      <w:r w:rsidR="00866686">
        <w:t>específicamente enfocados a personas con discapacidad, personas migrantes, jóvenes, mujeres (y</w:t>
      </w:r>
      <w:r w:rsidRPr="00B752EC">
        <w:t xml:space="preserve"> mujeres víctima</w:t>
      </w:r>
      <w:r w:rsidR="00866686">
        <w:t>s de violencia de género), personas mayores de 45, desempleada</w:t>
      </w:r>
      <w:r w:rsidRPr="00B752EC">
        <w:t xml:space="preserve">s de larga duración y a aquellas en riesgo de exclusión social. De la evaluación intermedia de la Estrategia Española de Apoyo Activo al Empleo (2021-2024) se desprende que el éxito de los distintos servicios ofertados varía según </w:t>
      </w:r>
      <w:r w:rsidR="007053E8">
        <w:t>el</w:t>
      </w:r>
      <w:r w:rsidRPr="00B752EC">
        <w:t xml:space="preserve"> colectivo, siendo la combinación de tutoría</w:t>
      </w:r>
      <w:r w:rsidR="00866686">
        <w:t>s</w:t>
      </w:r>
      <w:r w:rsidRPr="00B752EC">
        <w:t>, formación e itinerario la que</w:t>
      </w:r>
      <w:r w:rsidR="007053E8">
        <w:t xml:space="preserve"> ha</w:t>
      </w:r>
      <w:r w:rsidRPr="00B752EC">
        <w:t xml:space="preserve"> logrado el mayor impacto en la inserción </w:t>
      </w:r>
      <w:r w:rsidR="007053E8">
        <w:t>laboral.</w:t>
      </w:r>
    </w:p>
    <w:p w14:paraId="6D8FA6CB" w14:textId="77777777" w:rsidR="00B752EC" w:rsidRPr="00B752EC" w:rsidRDefault="00B752EC" w:rsidP="0079164D">
      <w:pPr>
        <w:spacing w:line="360" w:lineRule="auto"/>
        <w:ind w:right="-1"/>
        <w:jc w:val="both"/>
      </w:pPr>
      <w:r w:rsidRPr="00B752EC">
        <w:t xml:space="preserve">Dentro del ámbito de la discapacidad, </w:t>
      </w:r>
      <w:r w:rsidR="007053E8">
        <w:t>en 2023 se incrementó</w:t>
      </w:r>
      <w:r w:rsidRPr="00B752EC">
        <w:t xml:space="preserve"> la cuota de reserva para </w:t>
      </w:r>
      <w:r w:rsidR="00866686">
        <w:t xml:space="preserve">este colectivo </w:t>
      </w:r>
      <w:r w:rsidRPr="00B752EC">
        <w:t xml:space="preserve">en las ofertas de empleo público hasta la consecución de </w:t>
      </w:r>
      <w:r w:rsidR="0079164D">
        <w:t>su</w:t>
      </w:r>
      <w:r w:rsidRPr="00B752EC">
        <w:t xml:space="preserve"> presencia </w:t>
      </w:r>
      <w:r w:rsidR="007053E8">
        <w:t>en las Administraciones P</w:t>
      </w:r>
      <w:r w:rsidRPr="00B752EC">
        <w:t>úblicas proporcional al porcentaje de población con discapacidad activa mediante el Real Decreto-ley 6/2023, de 19 de diciembre</w:t>
      </w:r>
      <w:r w:rsidR="0079164D">
        <w:t xml:space="preserve">. </w:t>
      </w:r>
      <w:r w:rsidRPr="00B752EC">
        <w:t>Por últ</w:t>
      </w:r>
      <w:r w:rsidR="00FA35E4">
        <w:t>imo, en mayo de este año entró</w:t>
      </w:r>
      <w:r w:rsidRPr="00B752EC">
        <w:t xml:space="preserve"> en vigor la Ley 2/2025, de 29 d</w:t>
      </w:r>
      <w:r w:rsidR="0079164D">
        <w:t>e abril, por la que se modifican</w:t>
      </w:r>
      <w:r w:rsidRPr="00B752EC">
        <w:t xml:space="preserve"> el texto refundido de la Ley del Estatuto de los Trabajadores, aprobado por el Real Decreto Legislativo 2/2015, de 23 de octubre, en materia de extinción del contrato de trabajo por incapacidad permanente de las personas trabajadoras, y el texto refundido de la Ley General de la Seguridad Social, aprobado por el Real Decreto Legislativo 8/2015, de 30 de octubre, en materia de incapacidad permanente</w:t>
      </w:r>
      <w:r w:rsidR="0079164D">
        <w:t xml:space="preserve">. </w:t>
      </w:r>
    </w:p>
    <w:p w14:paraId="3AFEBB4C" w14:textId="00A38F83" w:rsidR="00CD2C28" w:rsidRDefault="00B752EC" w:rsidP="00F5009C">
      <w:pPr>
        <w:autoSpaceDE w:val="0"/>
        <w:autoSpaceDN w:val="0"/>
        <w:adjustRightInd w:val="0"/>
        <w:spacing w:after="240" w:line="360" w:lineRule="auto"/>
        <w:jc w:val="both"/>
      </w:pPr>
      <w:r w:rsidRPr="00B752EC">
        <w:t>Así</w:t>
      </w:r>
      <w:r w:rsidR="00866686">
        <w:t>,</w:t>
      </w:r>
      <w:r w:rsidRPr="00B752EC">
        <w:t xml:space="preserve"> en la norma básica rectora de las relaciones laborales </w:t>
      </w:r>
      <w:r w:rsidR="00A13BE0">
        <w:t xml:space="preserve">se introduce un </w:t>
      </w:r>
      <w:r w:rsidRPr="00B752EC">
        <w:t>nuevo precepto</w:t>
      </w:r>
      <w:r w:rsidR="00866686">
        <w:t>, que</w:t>
      </w:r>
      <w:r w:rsidRPr="00B752EC">
        <w:t xml:space="preserve"> prevé la extinción del contrato por declaración de gran incapacidad, incapacidad permanente absoluta o total de la persona trabajadora “cuando no sea posible realizar los ajustes razonables por constituir una carga excesiva para la empresa, cuando no exista un puesto de trabajo vacante y disponible, acorde con el perfil profesional y compatible con la nueva situación de la </w:t>
      </w:r>
      <w:r w:rsidRPr="00B752EC">
        <w:lastRenderedPageBreak/>
        <w:t>persona trabajadora, o cuando existiendo dicha posibilidad, la persona trabajadora rechace el cambio de puesto de trabajo adecuadamente propuesto”.</w:t>
      </w:r>
    </w:p>
    <w:p w14:paraId="1DC54EE3" w14:textId="526379A2" w:rsidR="004436C1" w:rsidRDefault="004436C1" w:rsidP="00F5009C">
      <w:pPr>
        <w:autoSpaceDE w:val="0"/>
        <w:autoSpaceDN w:val="0"/>
        <w:adjustRightInd w:val="0"/>
        <w:spacing w:after="240" w:line="360" w:lineRule="auto"/>
        <w:jc w:val="both"/>
      </w:pPr>
      <w:r>
        <w:t>C</w:t>
      </w:r>
      <w:r w:rsidRPr="006E5ADE">
        <w:t>abe mencionar las</w:t>
      </w:r>
      <w:r>
        <w:t xml:space="preserve"> medidas de formación digital incluidas en la Estrategia España Digital 2025, que buscan la </w:t>
      </w:r>
      <w:r w:rsidRPr="006E5ADE">
        <w:t xml:space="preserve">reducción de la brecha digital </w:t>
      </w:r>
      <w:r>
        <w:t>en beneficio de las</w:t>
      </w:r>
      <w:r w:rsidRPr="006E5ADE">
        <w:t xml:space="preserve"> personas mayores, entre otros colectivos vulnerables. Una de esas medidas </w:t>
      </w:r>
      <w:r w:rsidR="0023165A">
        <w:t>quiere también</w:t>
      </w:r>
      <w:r w:rsidRPr="006E5ADE">
        <w:t xml:space="preserve"> reforzar las competencias digitales de los trabajadores y</w:t>
      </w:r>
      <w:r w:rsidR="0023165A">
        <w:t xml:space="preserve"> del conjunto de la ciudadanía, concretamente en su </w:t>
      </w:r>
      <w:r w:rsidRPr="006E5ADE">
        <w:t xml:space="preserve">meta 2025: 80% de personas con competencias digitales básicas, </w:t>
      </w:r>
      <w:r w:rsidR="0023165A">
        <w:t>de las que el 50% serán mujeres</w:t>
      </w:r>
      <w:r w:rsidRPr="006E5ADE">
        <w:t>.</w:t>
      </w:r>
    </w:p>
    <w:p w14:paraId="789CA4CC" w14:textId="467E76DC" w:rsidR="000E0E19" w:rsidRPr="00BB0816" w:rsidRDefault="000E0E19" w:rsidP="000E0E19">
      <w:pPr>
        <w:spacing w:line="360" w:lineRule="auto"/>
        <w:jc w:val="both"/>
      </w:pPr>
      <w:r w:rsidRPr="000E0E19">
        <w:t xml:space="preserve">En este ámbito, la Ley 4/2023, de 28 de febrero, </w:t>
      </w:r>
      <w:r>
        <w:t>para la Igualdad Real y Efectiva de las Personas Trans y para la Garantía de los Derechos de las P</w:t>
      </w:r>
      <w:r w:rsidRPr="000E0E19">
        <w:t>ersonas LGTBI</w:t>
      </w:r>
      <w:r>
        <w:t xml:space="preserve"> </w:t>
      </w:r>
      <w:r w:rsidRPr="000E0E19">
        <w:t xml:space="preserve">refuerza la protección del derecho al trabajo y a la igualdad de trato </w:t>
      </w:r>
      <w:r>
        <w:t>de estos colectivos</w:t>
      </w:r>
      <w:r w:rsidRPr="000E0E19">
        <w:t>, incorporando medidas orientadas a prevenir la discriminación en el acceso al empleo, en las condiciones de trabajo y en la permanencia en el mismo, con atención específica a la situación de las personas trans.</w:t>
      </w:r>
      <w:r>
        <w:t xml:space="preserve"> </w:t>
      </w:r>
      <w:r w:rsidRPr="000E0E19">
        <w:t>Estas medidas se orientan igualmente a promover entornos laborales seguros y respetuosos, así como a prevenir situaciones de acoso, exclusión o trato desfavorable en el empleo. Este marco se desarrolla, entre otros instrumentos, a través del Real Decreto 1026/2024, de 8 de octubre, por el que se establecen medidas para la igualdad y la no discriminación de las perso</w:t>
      </w:r>
      <w:r w:rsidR="00BB0816">
        <w:t>nas LGTBI en el ámbito laboral.</w:t>
      </w:r>
    </w:p>
    <w:p w14:paraId="73604591" w14:textId="77777777" w:rsidR="00991FD9" w:rsidRPr="00991FD9" w:rsidRDefault="00991FD9" w:rsidP="00F5009C">
      <w:pPr>
        <w:spacing w:line="360" w:lineRule="auto"/>
        <w:ind w:right="-1"/>
        <w:jc w:val="both"/>
        <w:rPr>
          <w:rFonts w:cstheme="minorHAnsi"/>
          <w:b/>
          <w:i/>
          <w:iCs/>
        </w:rPr>
      </w:pPr>
      <w:r w:rsidRPr="00991FD9">
        <w:rPr>
          <w:rFonts w:cstheme="minorHAnsi"/>
          <w:b/>
          <w:i/>
          <w:iCs/>
        </w:rPr>
        <w:t>Empleabilidad de colectivos vulnerables</w:t>
      </w:r>
    </w:p>
    <w:p w14:paraId="4F59C2E3" w14:textId="77777777" w:rsidR="00B752EC" w:rsidRDefault="00B752EC" w:rsidP="00CD221F">
      <w:pPr>
        <w:pStyle w:val="ListParagraph"/>
        <w:numPr>
          <w:ilvl w:val="0"/>
          <w:numId w:val="4"/>
        </w:numPr>
        <w:spacing w:line="360" w:lineRule="auto"/>
        <w:jc w:val="both"/>
        <w:rPr>
          <w:rFonts w:cstheme="minorHAnsi"/>
        </w:rPr>
      </w:pPr>
      <w:r w:rsidRPr="000012D6">
        <w:rPr>
          <w:rFonts w:cstheme="minorHAnsi"/>
          <w:b/>
          <w:bCs/>
        </w:rPr>
        <w:t>Estrategia Nacional para la Lucha contra el Sinhogarismo 2023-2030</w:t>
      </w:r>
      <w:r w:rsidR="00991FD9">
        <w:rPr>
          <w:rFonts w:cstheme="minorHAnsi"/>
        </w:rPr>
        <w:t>,</w:t>
      </w:r>
      <w:r w:rsidRPr="000012D6">
        <w:rPr>
          <w:rFonts w:cstheme="minorHAnsi"/>
        </w:rPr>
        <w:t xml:space="preserve"> aprobada por el Consejo de Ministros el 11 de juli</w:t>
      </w:r>
      <w:r w:rsidR="000012D6">
        <w:rPr>
          <w:rFonts w:cstheme="minorHAnsi"/>
        </w:rPr>
        <w:t xml:space="preserve">o de 2023. </w:t>
      </w:r>
      <w:r w:rsidR="00991FD9">
        <w:rPr>
          <w:rFonts w:cstheme="minorHAnsi"/>
        </w:rPr>
        <w:t>Dentro</w:t>
      </w:r>
      <w:r w:rsidR="000012D6">
        <w:rPr>
          <w:rFonts w:cstheme="minorHAnsi"/>
        </w:rPr>
        <w:t xml:space="preserve"> de su </w:t>
      </w:r>
      <w:r w:rsidRPr="000012D6">
        <w:rPr>
          <w:rFonts w:cstheme="minorHAnsi"/>
        </w:rPr>
        <w:t>segundo eje, que enmarca las actuaciones rela</w:t>
      </w:r>
      <w:r w:rsidR="000012D6">
        <w:rPr>
          <w:rFonts w:cstheme="minorHAnsi"/>
        </w:rPr>
        <w:t xml:space="preserve">cionadas con formación y empleo, incluye </w:t>
      </w:r>
      <w:r w:rsidRPr="000012D6">
        <w:rPr>
          <w:rFonts w:cstheme="minorHAnsi"/>
        </w:rPr>
        <w:t xml:space="preserve">las siguientes medidas: </w:t>
      </w:r>
      <w:r w:rsidR="00991FD9">
        <w:rPr>
          <w:rFonts w:cstheme="minorHAnsi"/>
        </w:rPr>
        <w:t>D</w:t>
      </w:r>
      <w:r w:rsidRPr="000012D6">
        <w:rPr>
          <w:rFonts w:cstheme="minorHAnsi"/>
        </w:rPr>
        <w:t>esarrollo de itinerarios o programas de acceso al empleo personal</w:t>
      </w:r>
      <w:r w:rsidR="000012D6">
        <w:rPr>
          <w:rFonts w:cstheme="minorHAnsi"/>
        </w:rPr>
        <w:t>izado con acompañamiento social; r</w:t>
      </w:r>
      <w:r w:rsidRPr="000012D6">
        <w:rPr>
          <w:rFonts w:cstheme="minorHAnsi"/>
        </w:rPr>
        <w:t>educción de las barreras de acceso a los recursos, programas, servicios y prestaciones en ma</w:t>
      </w:r>
      <w:r w:rsidR="009517EA">
        <w:rPr>
          <w:rFonts w:cstheme="minorHAnsi"/>
        </w:rPr>
        <w:t xml:space="preserve">teria de servicios sociales, </w:t>
      </w:r>
      <w:r w:rsidRPr="000012D6">
        <w:rPr>
          <w:rFonts w:cstheme="minorHAnsi"/>
        </w:rPr>
        <w:t>ingresos mínimos, seguridad social, servicios de empl</w:t>
      </w:r>
      <w:r w:rsidR="00866686">
        <w:rPr>
          <w:rFonts w:cstheme="minorHAnsi"/>
        </w:rPr>
        <w:t xml:space="preserve">eo, itinerarios sociolaborales y </w:t>
      </w:r>
      <w:r w:rsidR="000012D6">
        <w:rPr>
          <w:rFonts w:cstheme="minorHAnsi"/>
        </w:rPr>
        <w:t>activación laboral</w:t>
      </w:r>
      <w:r w:rsidR="00866686">
        <w:rPr>
          <w:rFonts w:cstheme="minorHAnsi"/>
        </w:rPr>
        <w:t>; e</w:t>
      </w:r>
      <w:r w:rsidR="000012D6">
        <w:rPr>
          <w:rFonts w:cstheme="minorHAnsi"/>
        </w:rPr>
        <w:t xml:space="preserve"> i</w:t>
      </w:r>
      <w:r w:rsidRPr="000012D6">
        <w:rPr>
          <w:rFonts w:cstheme="minorHAnsi"/>
        </w:rPr>
        <w:t>mpulso del empleo protegido para las personas en situaciones de calle.</w:t>
      </w:r>
    </w:p>
    <w:p w14:paraId="41965801" w14:textId="77777777" w:rsidR="00866686" w:rsidRDefault="000012D6" w:rsidP="00E56E60">
      <w:pPr>
        <w:pStyle w:val="ListParagraph"/>
        <w:numPr>
          <w:ilvl w:val="0"/>
          <w:numId w:val="4"/>
        </w:numPr>
        <w:spacing w:line="360" w:lineRule="auto"/>
        <w:jc w:val="both"/>
        <w:rPr>
          <w:rFonts w:cstheme="minorHAnsi"/>
        </w:rPr>
      </w:pPr>
      <w:r w:rsidRPr="00866686">
        <w:rPr>
          <w:rFonts w:cstheme="minorHAnsi"/>
          <w:b/>
        </w:rPr>
        <w:t xml:space="preserve">Estrategia </w:t>
      </w:r>
      <w:r w:rsidR="00B752EC" w:rsidRPr="00866686">
        <w:rPr>
          <w:rFonts w:cstheme="minorHAnsi"/>
          <w:b/>
        </w:rPr>
        <w:t xml:space="preserve">Nacional para la Inclusión, Igualdad y Participación del Pueblo Gitano </w:t>
      </w:r>
      <w:r w:rsidR="003C5C53">
        <w:rPr>
          <w:rFonts w:cstheme="minorHAnsi"/>
          <w:b/>
        </w:rPr>
        <w:t>(</w:t>
      </w:r>
      <w:r w:rsidR="00B752EC" w:rsidRPr="00866686">
        <w:rPr>
          <w:rFonts w:cstheme="minorHAnsi"/>
          <w:b/>
        </w:rPr>
        <w:t>2021-2030</w:t>
      </w:r>
      <w:r w:rsidR="003C5C53">
        <w:rPr>
          <w:rFonts w:cstheme="minorHAnsi"/>
          <w:b/>
        </w:rPr>
        <w:t>)</w:t>
      </w:r>
      <w:r w:rsidR="00866686" w:rsidRPr="00866686">
        <w:rPr>
          <w:rFonts w:cstheme="minorHAnsi"/>
        </w:rPr>
        <w:t>. P</w:t>
      </w:r>
      <w:r w:rsidR="00B752EC" w:rsidRPr="00866686">
        <w:rPr>
          <w:rFonts w:cstheme="minorHAnsi"/>
        </w:rPr>
        <w:t xml:space="preserve">resta especial atención a las personas en situación de pobreza o exclusión social, como es en este caso un porcentaje muy alto de la población gitana, y además consolida las acciones que se venían realizando en los ámbitos de educación, empleo, salud y vivienda. </w:t>
      </w:r>
    </w:p>
    <w:p w14:paraId="3FBAFA87" w14:textId="77777777" w:rsidR="00B04DFA" w:rsidRPr="00866686" w:rsidRDefault="00866686" w:rsidP="00E56E60">
      <w:pPr>
        <w:pStyle w:val="ListParagraph"/>
        <w:numPr>
          <w:ilvl w:val="0"/>
          <w:numId w:val="4"/>
        </w:numPr>
        <w:spacing w:line="360" w:lineRule="auto"/>
        <w:jc w:val="both"/>
        <w:rPr>
          <w:rFonts w:cstheme="minorHAnsi"/>
        </w:rPr>
      </w:pPr>
      <w:r w:rsidRPr="003C5C53">
        <w:rPr>
          <w:rFonts w:cstheme="minorHAnsi"/>
          <w:b/>
        </w:rPr>
        <w:t>P</w:t>
      </w:r>
      <w:r w:rsidR="00CE3F1C" w:rsidRPr="00866686">
        <w:rPr>
          <w:rFonts w:cstheme="minorHAnsi"/>
          <w:b/>
          <w:bCs/>
        </w:rPr>
        <w:t>rimer Plan Operativo E</w:t>
      </w:r>
      <w:r w:rsidR="00B752EC" w:rsidRPr="00866686">
        <w:rPr>
          <w:rFonts w:cstheme="minorHAnsi"/>
          <w:b/>
          <w:bCs/>
        </w:rPr>
        <w:t xml:space="preserve">statal </w:t>
      </w:r>
      <w:r w:rsidR="003C5C53">
        <w:rPr>
          <w:rFonts w:cstheme="minorHAnsi"/>
          <w:b/>
          <w:bCs/>
        </w:rPr>
        <w:t>(</w:t>
      </w:r>
      <w:r w:rsidR="00B752EC" w:rsidRPr="00866686">
        <w:rPr>
          <w:rFonts w:cstheme="minorHAnsi"/>
          <w:b/>
          <w:bCs/>
        </w:rPr>
        <w:t>2023-2026</w:t>
      </w:r>
      <w:r w:rsidR="003C5C53">
        <w:rPr>
          <w:rFonts w:cstheme="minorHAnsi"/>
          <w:b/>
          <w:bCs/>
        </w:rPr>
        <w:t>)</w:t>
      </w:r>
      <w:r w:rsidR="00B752EC" w:rsidRPr="00866686">
        <w:rPr>
          <w:rFonts w:cstheme="minorHAnsi"/>
        </w:rPr>
        <w:t xml:space="preserve"> para incrementar la tasa de empleo, reducir la precariedad y discriminación en el entorno laboral, reducir la tasa de jóvenes que ni </w:t>
      </w:r>
      <w:r w:rsidR="00B752EC" w:rsidRPr="00866686">
        <w:rPr>
          <w:rFonts w:cstheme="minorHAnsi"/>
        </w:rPr>
        <w:lastRenderedPageBreak/>
        <w:t>estudian, ni trabajan ni se forman, incrementar la activación de la mujer gitana y cualificar al comercio ambulante</w:t>
      </w:r>
      <w:r w:rsidR="00CE3F1C" w:rsidRPr="00866686">
        <w:rPr>
          <w:rFonts w:cstheme="minorHAnsi"/>
        </w:rPr>
        <w:t xml:space="preserve">. </w:t>
      </w:r>
    </w:p>
    <w:p w14:paraId="0329D08F" w14:textId="66D0133E" w:rsidR="00B752EC" w:rsidRDefault="00B752EC" w:rsidP="00B752EC">
      <w:pPr>
        <w:pStyle w:val="ListParagraph"/>
        <w:numPr>
          <w:ilvl w:val="0"/>
          <w:numId w:val="4"/>
        </w:numPr>
        <w:spacing w:line="360" w:lineRule="auto"/>
        <w:jc w:val="both"/>
        <w:rPr>
          <w:rFonts w:cstheme="minorHAnsi"/>
        </w:rPr>
      </w:pPr>
      <w:r w:rsidRPr="00DC0239">
        <w:rPr>
          <w:rFonts w:cstheme="minorHAnsi"/>
          <w:b/>
        </w:rPr>
        <w:t xml:space="preserve">Estrategia Nacional de Prevención y Lucha contra la Pobreza y la Exclusión social </w:t>
      </w:r>
      <w:r w:rsidR="003C5C53">
        <w:rPr>
          <w:rFonts w:cstheme="minorHAnsi"/>
          <w:b/>
        </w:rPr>
        <w:t>(</w:t>
      </w:r>
      <w:r w:rsidRPr="00DC0239">
        <w:rPr>
          <w:rFonts w:cstheme="minorHAnsi"/>
          <w:b/>
        </w:rPr>
        <w:t>2019-2023</w:t>
      </w:r>
      <w:r w:rsidR="003C5C53">
        <w:rPr>
          <w:rFonts w:cstheme="minorHAnsi"/>
          <w:b/>
        </w:rPr>
        <w:t>)</w:t>
      </w:r>
      <w:r w:rsidRPr="00DC0239">
        <w:rPr>
          <w:rFonts w:cstheme="minorHAnsi"/>
        </w:rPr>
        <w:t xml:space="preserve"> fue aprobada el 22 de marzo de 2019, con el fin de combatir la pobreza, especialmente la infantil, y reducir la desigualdad y la disparidad de los niveles de rentas. En materia de formación y empleo, esta estrategia reservaba una de las 4 metas estratégicas que la</w:t>
      </w:r>
      <w:r w:rsidR="00DC0239">
        <w:rPr>
          <w:rFonts w:cstheme="minorHAnsi"/>
        </w:rPr>
        <w:t xml:space="preserve"> articulaban específicamente a “i</w:t>
      </w:r>
      <w:r w:rsidRPr="00DC0239">
        <w:rPr>
          <w:rFonts w:cstheme="minorHAnsi"/>
        </w:rPr>
        <w:t>nvertir en las personas, ayudarlas a desarrollar todo su potencial y favorecer la igualdad de oportunidades</w:t>
      </w:r>
      <w:r w:rsidR="00DC0239">
        <w:rPr>
          <w:rFonts w:cstheme="minorHAnsi"/>
        </w:rPr>
        <w:t>”</w:t>
      </w:r>
      <w:r w:rsidRPr="00DC0239">
        <w:rPr>
          <w:rFonts w:cstheme="minorHAnsi"/>
        </w:rPr>
        <w:t>.</w:t>
      </w:r>
      <w:r w:rsidR="00DC0239">
        <w:rPr>
          <w:rFonts w:cstheme="minorHAnsi"/>
        </w:rPr>
        <w:t xml:space="preserve"> </w:t>
      </w:r>
    </w:p>
    <w:p w14:paraId="577F298F" w14:textId="4CA23CF8" w:rsidR="00C3064D" w:rsidRPr="00B8632C" w:rsidRDefault="00C3064D" w:rsidP="00B8632C">
      <w:pPr>
        <w:pStyle w:val="ListParagraph"/>
        <w:numPr>
          <w:ilvl w:val="0"/>
          <w:numId w:val="4"/>
        </w:numPr>
        <w:spacing w:line="360" w:lineRule="auto"/>
        <w:jc w:val="both"/>
        <w:rPr>
          <w:rFonts w:cstheme="minorHAnsi"/>
          <w:b/>
          <w:bCs/>
        </w:rPr>
      </w:pPr>
      <w:r>
        <w:rPr>
          <w:rFonts w:cstheme="minorHAnsi"/>
          <w:b/>
        </w:rPr>
        <w:t>Estrategia estatal para la Igualdad de Trato y No Discriminación de las Personas LGTBI y Estrategia Estatal para la Inclusión Social de las Personas T</w:t>
      </w:r>
      <w:r w:rsidRPr="00C3064D">
        <w:rPr>
          <w:rFonts w:cstheme="minorHAnsi"/>
          <w:b/>
        </w:rPr>
        <w:t>rans</w:t>
      </w:r>
      <w:r w:rsidRPr="00C3064D">
        <w:rPr>
          <w:rFonts w:cstheme="minorHAnsi"/>
        </w:rPr>
        <w:t>, aprobadas por el Consejo de Ministros en julio de 2025, que incorporan medidas orientadas a promover la empleabilidad, la inclusión social y la igualdad de oportunidades de las personas LGTBI, y en particular de las personas trans, con especial atención a las situaciones de discriminación y vulnerabilidad en el ámbito laboral</w:t>
      </w:r>
      <w:r w:rsidRPr="00C3064D">
        <w:rPr>
          <w:rFonts w:cstheme="minorHAnsi"/>
          <w:b/>
          <w:bCs/>
        </w:rPr>
        <w:t>.</w:t>
      </w:r>
    </w:p>
    <w:p w14:paraId="7632A44F" w14:textId="77777777" w:rsidR="00B752EC" w:rsidRPr="00B4017F" w:rsidRDefault="00B752EC" w:rsidP="00866686">
      <w:pPr>
        <w:spacing w:line="360" w:lineRule="auto"/>
        <w:jc w:val="both"/>
        <w:rPr>
          <w:rFonts w:cstheme="minorHAnsi"/>
        </w:rPr>
      </w:pPr>
      <w:r w:rsidRPr="00B752EC">
        <w:rPr>
          <w:rFonts w:cstheme="minorHAnsi"/>
        </w:rPr>
        <w:t xml:space="preserve">Dando continuidad a esta estrategia, el Consejo de Ministros aprobó el 23 de diciembre de 2024 la </w:t>
      </w:r>
      <w:r w:rsidRPr="00B752EC">
        <w:rPr>
          <w:rFonts w:cstheme="minorHAnsi"/>
          <w:b/>
        </w:rPr>
        <w:t xml:space="preserve">Estrategia Nacional de Prevención y Lucha contra la Pobreza y la Exclusión Social </w:t>
      </w:r>
      <w:r w:rsidR="003C5C53">
        <w:rPr>
          <w:rFonts w:cstheme="minorHAnsi"/>
          <w:b/>
        </w:rPr>
        <w:t>(</w:t>
      </w:r>
      <w:r w:rsidRPr="00B752EC">
        <w:rPr>
          <w:rFonts w:cstheme="minorHAnsi"/>
          <w:b/>
        </w:rPr>
        <w:t>2024</w:t>
      </w:r>
      <w:r w:rsidR="00DC0239">
        <w:rPr>
          <w:rFonts w:cstheme="minorHAnsi"/>
          <w:b/>
        </w:rPr>
        <w:t>-2030</w:t>
      </w:r>
      <w:r w:rsidR="003C5C53">
        <w:rPr>
          <w:rFonts w:cstheme="minorHAnsi"/>
          <w:b/>
        </w:rPr>
        <w:t>)</w:t>
      </w:r>
      <w:r w:rsidR="00DC0239" w:rsidRPr="00DC0239">
        <w:rPr>
          <w:rFonts w:cstheme="minorHAnsi"/>
        </w:rPr>
        <w:t>, que</w:t>
      </w:r>
      <w:r w:rsidR="00DC0239">
        <w:rPr>
          <w:rFonts w:cstheme="minorHAnsi"/>
        </w:rPr>
        <w:t xml:space="preserve"> </w:t>
      </w:r>
      <w:r w:rsidRPr="00B752EC">
        <w:rPr>
          <w:rFonts w:cstheme="minorHAnsi"/>
        </w:rPr>
        <w:t xml:space="preserve">reserva uno de sus cuatro ejes a la </w:t>
      </w:r>
      <w:r w:rsidR="00DC0239">
        <w:rPr>
          <w:rFonts w:cstheme="minorHAnsi"/>
        </w:rPr>
        <w:t>“</w:t>
      </w:r>
      <w:r w:rsidRPr="00DC0239">
        <w:rPr>
          <w:rFonts w:cstheme="minorHAnsi"/>
        </w:rPr>
        <w:t>Inversión Social en las personas</w:t>
      </w:r>
      <w:r w:rsidR="00DC0239">
        <w:rPr>
          <w:rFonts w:cstheme="minorHAnsi"/>
        </w:rPr>
        <w:t>”</w:t>
      </w:r>
      <w:r w:rsidRPr="00B752EC">
        <w:rPr>
          <w:rFonts w:cstheme="minorHAnsi"/>
        </w:rPr>
        <w:t xml:space="preserve"> a través de la educación equitativa e inclusiva que garantice la igualdad de oportunidades para toda la población y del empleo de calidad en todos los sectores de actividad y desarrollo de competencias a lo largo de la vida laboral.</w:t>
      </w:r>
    </w:p>
    <w:p w14:paraId="0FD66AE8" w14:textId="77777777" w:rsidR="00BD3358" w:rsidRPr="009517EA" w:rsidRDefault="00BD3358" w:rsidP="00462598">
      <w:pPr>
        <w:spacing w:line="360" w:lineRule="auto"/>
        <w:jc w:val="both"/>
        <w:rPr>
          <w:rFonts w:cstheme="minorHAnsi"/>
          <w:b/>
          <w:i/>
        </w:rPr>
      </w:pPr>
      <w:r w:rsidRPr="009517EA">
        <w:rPr>
          <w:rFonts w:cstheme="minorHAnsi"/>
          <w:b/>
          <w:i/>
        </w:rPr>
        <w:t>Situación del empleo juvenil</w:t>
      </w:r>
      <w:r w:rsidR="00DB10D1">
        <w:rPr>
          <w:rFonts w:cstheme="minorHAnsi"/>
          <w:b/>
          <w:i/>
        </w:rPr>
        <w:t xml:space="preserve"> y </w:t>
      </w:r>
      <w:proofErr w:type="spellStart"/>
      <w:r w:rsidR="00DB10D1">
        <w:rPr>
          <w:rFonts w:cstheme="minorHAnsi"/>
          <w:b/>
          <w:i/>
        </w:rPr>
        <w:t>extutelados</w:t>
      </w:r>
      <w:proofErr w:type="spellEnd"/>
    </w:p>
    <w:p w14:paraId="2FD00898" w14:textId="77777777" w:rsidR="00462598" w:rsidRPr="00462598" w:rsidRDefault="008F2072" w:rsidP="00462598">
      <w:pPr>
        <w:spacing w:line="360" w:lineRule="auto"/>
        <w:jc w:val="both"/>
        <w:rPr>
          <w:rFonts w:cstheme="minorHAnsi"/>
        </w:rPr>
      </w:pPr>
      <w:r>
        <w:rPr>
          <w:rFonts w:cstheme="minorHAnsi"/>
        </w:rPr>
        <w:t>Se</w:t>
      </w:r>
      <w:r w:rsidR="00462598" w:rsidRPr="00462598">
        <w:rPr>
          <w:rFonts w:cstheme="minorHAnsi"/>
        </w:rPr>
        <w:t xml:space="preserve"> observa una disminución en la tasa de jóvenes que no estudian ni trabajan del 5,78%. </w:t>
      </w:r>
      <w:r w:rsidR="00BD3358">
        <w:rPr>
          <w:rFonts w:cstheme="minorHAnsi"/>
        </w:rPr>
        <w:t>En concreto, esta tasa ha</w:t>
      </w:r>
      <w:r w:rsidR="00462598" w:rsidRPr="00462598">
        <w:rPr>
          <w:rFonts w:cstheme="minorHAnsi"/>
        </w:rPr>
        <w:t xml:space="preserve"> pasado del 15,95% en 2020 a un 10,17% en 2024, que se traduce en una aproximación de 200.000 jóvenes menos.</w:t>
      </w:r>
    </w:p>
    <w:p w14:paraId="5AE67F8A" w14:textId="77777777" w:rsidR="00462598" w:rsidRPr="00462598" w:rsidRDefault="00462598" w:rsidP="00462598">
      <w:pPr>
        <w:spacing w:line="360" w:lineRule="auto"/>
        <w:jc w:val="both"/>
        <w:rPr>
          <w:rFonts w:cstheme="minorHAnsi"/>
        </w:rPr>
      </w:pPr>
      <w:r w:rsidRPr="00462598">
        <w:rPr>
          <w:rFonts w:cstheme="minorHAnsi"/>
        </w:rPr>
        <w:t xml:space="preserve">En relación con aquellos adolescentes y jóvenes que se encuentran en una situación de vulnerabilidad mayor, como es el caso de los </w:t>
      </w:r>
      <w:proofErr w:type="spellStart"/>
      <w:r w:rsidR="003C5C53">
        <w:rPr>
          <w:rFonts w:cstheme="minorHAnsi"/>
        </w:rPr>
        <w:t>ex</w:t>
      </w:r>
      <w:r w:rsidRPr="00462598">
        <w:rPr>
          <w:rFonts w:cstheme="minorHAnsi"/>
        </w:rPr>
        <w:t>tutelados</w:t>
      </w:r>
      <w:proofErr w:type="spellEnd"/>
      <w:r w:rsidRPr="00462598">
        <w:rPr>
          <w:rFonts w:cstheme="minorHAnsi"/>
        </w:rPr>
        <w:t xml:space="preserve"> (incluyendo a un gran número de adolescentes y jóvenes que migraron solos), y con el objetivo de mejorar su inserción socio</w:t>
      </w:r>
      <w:r w:rsidR="003C5C53">
        <w:rPr>
          <w:rFonts w:cstheme="minorHAnsi"/>
        </w:rPr>
        <w:t>-</w:t>
      </w:r>
      <w:r w:rsidRPr="00462598">
        <w:rPr>
          <w:rFonts w:cstheme="minorHAnsi"/>
        </w:rPr>
        <w:t>laboral y su transición a la vida adulta, se han desarrollado programas de innovación social</w:t>
      </w:r>
      <w:r w:rsidRPr="00BD3358">
        <w:rPr>
          <w:rFonts w:cstheme="minorHAnsi"/>
          <w:vertAlign w:val="superscript"/>
        </w:rPr>
        <w:footnoteReference w:id="3"/>
      </w:r>
      <w:r w:rsidRPr="00462598">
        <w:rPr>
          <w:rFonts w:cstheme="minorHAnsi"/>
        </w:rPr>
        <w:t xml:space="preserve"> de tres años de duración (entre 2022 y 2024) financiados con los Fondos Europeos de Recuperación </w:t>
      </w:r>
      <w:r w:rsidRPr="00462598">
        <w:rPr>
          <w:rFonts w:cstheme="minorHAnsi"/>
        </w:rPr>
        <w:lastRenderedPageBreak/>
        <w:t xml:space="preserve">Next </w:t>
      </w:r>
      <w:proofErr w:type="spellStart"/>
      <w:r w:rsidRPr="00462598">
        <w:rPr>
          <w:rFonts w:cstheme="minorHAnsi"/>
        </w:rPr>
        <w:t>Generation</w:t>
      </w:r>
      <w:proofErr w:type="spellEnd"/>
      <w:r w:rsidRPr="00462598">
        <w:rPr>
          <w:rFonts w:cstheme="minorHAnsi"/>
        </w:rPr>
        <w:t xml:space="preserve"> EU. </w:t>
      </w:r>
      <w:bookmarkStart w:id="1" w:name="_Hlk213234829"/>
      <w:r w:rsidR="008F2072">
        <w:rPr>
          <w:rFonts w:cstheme="minorHAnsi"/>
        </w:rPr>
        <w:t>Asi</w:t>
      </w:r>
      <w:r w:rsidRPr="00462598">
        <w:rPr>
          <w:rFonts w:cstheme="minorHAnsi"/>
        </w:rPr>
        <w:t>mismo, se han financiado otros programas</w:t>
      </w:r>
      <w:r w:rsidRPr="00BD3358">
        <w:rPr>
          <w:rFonts w:cstheme="minorHAnsi"/>
          <w:vertAlign w:val="superscript"/>
        </w:rPr>
        <w:footnoteReference w:id="4"/>
      </w:r>
      <w:r w:rsidRPr="00462598">
        <w:rPr>
          <w:rFonts w:cstheme="minorHAnsi"/>
        </w:rPr>
        <w:t xml:space="preserve"> con la misma finalidad mediante las convocatorias de subvenciones para la realización de actividades de interés general consideradas de interés social (Subvenciones 0,7) en los años 2022, 2023 y 2024</w:t>
      </w:r>
      <w:bookmarkEnd w:id="1"/>
      <w:r w:rsidRPr="00462598">
        <w:rPr>
          <w:rFonts w:cstheme="minorHAnsi"/>
        </w:rPr>
        <w:t>.</w:t>
      </w:r>
    </w:p>
    <w:p w14:paraId="57B7C68B" w14:textId="77777777" w:rsidR="00BD3358" w:rsidRDefault="00462598" w:rsidP="008A5267">
      <w:pPr>
        <w:spacing w:line="360" w:lineRule="auto"/>
        <w:jc w:val="both"/>
        <w:rPr>
          <w:rFonts w:cstheme="minorHAnsi"/>
        </w:rPr>
      </w:pPr>
      <w:r w:rsidRPr="00462598">
        <w:rPr>
          <w:rFonts w:cstheme="minorHAnsi"/>
        </w:rPr>
        <w:t xml:space="preserve">Cabe subrayar </w:t>
      </w:r>
      <w:r w:rsidR="00BD3358">
        <w:rPr>
          <w:rFonts w:cstheme="minorHAnsi"/>
        </w:rPr>
        <w:t>que el</w:t>
      </w:r>
      <w:r w:rsidRPr="00462598">
        <w:rPr>
          <w:rFonts w:cstheme="minorHAnsi"/>
        </w:rPr>
        <w:t xml:space="preserve"> anteproyecto de Ley de Juventu</w:t>
      </w:r>
      <w:r w:rsidR="00BD3358">
        <w:rPr>
          <w:rFonts w:cstheme="minorHAnsi"/>
        </w:rPr>
        <w:t xml:space="preserve">d y Justicia Intergeneracional </w:t>
      </w:r>
      <w:r w:rsidRPr="00462598">
        <w:rPr>
          <w:rFonts w:cstheme="minorHAnsi"/>
        </w:rPr>
        <w:t xml:space="preserve">pretende, en el ámbito de las competencias de la Administración General del Estado, desarrollar el artículo 48 de la Constitución Española, que mandata a los poderes públicos </w:t>
      </w:r>
      <w:r w:rsidR="00BD3358">
        <w:rPr>
          <w:rFonts w:cstheme="minorHAnsi"/>
        </w:rPr>
        <w:t>a</w:t>
      </w:r>
      <w:r w:rsidRPr="00462598">
        <w:rPr>
          <w:rFonts w:cstheme="minorHAnsi"/>
        </w:rPr>
        <w:t xml:space="preserve"> que promuevan las condiciones para la participación libre y eficaz de la juventud en el desarrollo político, social, económico y cultural del país. Ergo, presta atención a la situación de precariedad laboral de los jóvenes y hace un reconocimi</w:t>
      </w:r>
      <w:r w:rsidR="00BD3358">
        <w:rPr>
          <w:rFonts w:cstheme="minorHAnsi"/>
        </w:rPr>
        <w:t>ento explícito al empleo digno.</w:t>
      </w:r>
    </w:p>
    <w:p w14:paraId="4048B48A" w14:textId="77777777" w:rsidR="008A5267" w:rsidRPr="00DB10D1" w:rsidRDefault="00BD3358" w:rsidP="00DB10D1">
      <w:pPr>
        <w:spacing w:line="360" w:lineRule="auto"/>
        <w:jc w:val="both"/>
        <w:rPr>
          <w:rFonts w:cstheme="minorHAnsi"/>
        </w:rPr>
      </w:pPr>
      <w:r>
        <w:rPr>
          <w:rFonts w:cstheme="minorHAnsi"/>
        </w:rPr>
        <w:t>Además,</w:t>
      </w:r>
      <w:r w:rsidR="008A5267">
        <w:rPr>
          <w:rFonts w:cstheme="minorHAnsi"/>
        </w:rPr>
        <w:t xml:space="preserve"> d</w:t>
      </w:r>
      <w:r w:rsidR="008A5267" w:rsidRPr="008A5267">
        <w:rPr>
          <w:rFonts w:cstheme="minorHAnsi"/>
        </w:rPr>
        <w:t xml:space="preserve">esde hace varios años se otorgan </w:t>
      </w:r>
      <w:r>
        <w:rPr>
          <w:rFonts w:cstheme="minorHAnsi"/>
        </w:rPr>
        <w:t xml:space="preserve">las </w:t>
      </w:r>
      <w:r w:rsidR="008A5267" w:rsidRPr="008A5267">
        <w:rPr>
          <w:rFonts w:cstheme="minorHAnsi"/>
        </w:rPr>
        <w:t>Becas ICEX y se realiza el programa Jóvenes Vives, para impulsar la empleabilidad de universitarios y graduados de Formación Profesional en el ámbito de la internacionalización con formación de calidad y prácticas en empresas e instituciones. Cabe destacar la existencia de una reserva de 2% de las plazas del programa de Becas para personas con discapacidad a partir de la convocatoria 2025.</w:t>
      </w:r>
    </w:p>
    <w:p w14:paraId="4042D724" w14:textId="77777777" w:rsidR="00BD3358" w:rsidRDefault="00BD3358" w:rsidP="003B688B">
      <w:pPr>
        <w:rPr>
          <w:b/>
        </w:rPr>
      </w:pPr>
    </w:p>
    <w:p w14:paraId="75324717" w14:textId="77777777" w:rsidR="00DB10D1" w:rsidRPr="00DB10D1" w:rsidRDefault="00DB10D1" w:rsidP="00C946CF">
      <w:pPr>
        <w:spacing w:line="360" w:lineRule="auto"/>
        <w:jc w:val="both"/>
        <w:rPr>
          <w:rFonts w:cstheme="minorHAnsi"/>
          <w:b/>
          <w:i/>
        </w:rPr>
      </w:pPr>
      <w:r w:rsidRPr="00DB10D1">
        <w:rPr>
          <w:rFonts w:cstheme="minorHAnsi"/>
          <w:b/>
          <w:i/>
        </w:rPr>
        <w:t>Transparencia salarial</w:t>
      </w:r>
    </w:p>
    <w:p w14:paraId="24DE4367" w14:textId="77777777" w:rsidR="00E44B25" w:rsidRPr="00E44B25" w:rsidRDefault="00E44B25" w:rsidP="00C946CF">
      <w:pPr>
        <w:spacing w:line="360" w:lineRule="auto"/>
        <w:jc w:val="both"/>
        <w:rPr>
          <w:rFonts w:cstheme="minorHAnsi"/>
        </w:rPr>
      </w:pPr>
      <w:r w:rsidRPr="00E44B25">
        <w:rPr>
          <w:rFonts w:cstheme="minorHAnsi"/>
        </w:rPr>
        <w:t xml:space="preserve">Lograr implantar la transparencia salarial es fundamental para detectar posibles desigualdades en la remuneración y garantizar que las personas que desempeñan trabajos de igual valor reciban </w:t>
      </w:r>
      <w:r w:rsidR="00151190">
        <w:rPr>
          <w:rFonts w:cstheme="minorHAnsi"/>
        </w:rPr>
        <w:t xml:space="preserve">el mismo </w:t>
      </w:r>
      <w:r w:rsidRPr="00E44B25">
        <w:rPr>
          <w:rFonts w:cstheme="minorHAnsi"/>
        </w:rPr>
        <w:t>salario, independientemen</w:t>
      </w:r>
      <w:r w:rsidR="00447BAB">
        <w:rPr>
          <w:rFonts w:cstheme="minorHAnsi"/>
        </w:rPr>
        <w:t>te de su</w:t>
      </w:r>
      <w:r w:rsidRPr="00E44B25">
        <w:rPr>
          <w:rFonts w:cstheme="minorHAnsi"/>
        </w:rPr>
        <w:t xml:space="preserve"> sexo. </w:t>
      </w:r>
      <w:r w:rsidR="00447BAB">
        <w:rPr>
          <w:rFonts w:cstheme="minorHAnsi"/>
        </w:rPr>
        <w:t>N</w:t>
      </w:r>
      <w:r w:rsidRPr="00E44B25">
        <w:rPr>
          <w:rFonts w:cstheme="minorHAnsi"/>
        </w:rPr>
        <w:t xml:space="preserve">uestro país ha </w:t>
      </w:r>
      <w:r w:rsidR="00447BAB">
        <w:rPr>
          <w:rFonts w:cstheme="minorHAnsi"/>
        </w:rPr>
        <w:t>adoptado recientemente</w:t>
      </w:r>
      <w:r w:rsidRPr="00E44B25">
        <w:rPr>
          <w:rFonts w:cstheme="minorHAnsi"/>
        </w:rPr>
        <w:t xml:space="preserve"> la siguiente regulación específica:</w:t>
      </w:r>
    </w:p>
    <w:p w14:paraId="7DCC9E9B" w14:textId="77777777" w:rsidR="00E44B25" w:rsidRPr="00C946CF" w:rsidRDefault="00E44B25" w:rsidP="00CD221F">
      <w:pPr>
        <w:numPr>
          <w:ilvl w:val="0"/>
          <w:numId w:val="1"/>
        </w:numPr>
        <w:spacing w:after="0" w:line="360" w:lineRule="auto"/>
        <w:jc w:val="both"/>
        <w:rPr>
          <w:rFonts w:cstheme="minorHAnsi"/>
        </w:rPr>
      </w:pPr>
      <w:r w:rsidRPr="00E44B25">
        <w:rPr>
          <w:rFonts w:cstheme="minorHAnsi"/>
        </w:rPr>
        <w:t>El Real Decreto-ley 6/2019, de 1 de marzo, de medidas urgentes para garantía de la igualdad de trato y oportunidades entre mujeres y hombres en el empleo y la ocupación, que por un lado extendió la</w:t>
      </w:r>
      <w:r w:rsidR="00447BAB">
        <w:rPr>
          <w:rFonts w:cstheme="minorHAnsi"/>
        </w:rPr>
        <w:t xml:space="preserve"> necesidad</w:t>
      </w:r>
      <w:r w:rsidRPr="00E44B25">
        <w:rPr>
          <w:rFonts w:cstheme="minorHAnsi"/>
        </w:rPr>
        <w:t xml:space="preserve"> de contar con un plan de igualdad a las empresas de 50 o más trabajadores. Y, por otra parte, supuso la equiparación de la duración de los permisos por nacimiento para ambos progenitores.</w:t>
      </w:r>
    </w:p>
    <w:p w14:paraId="2DED987F" w14:textId="77777777" w:rsidR="00E44B25" w:rsidRPr="00C946CF" w:rsidRDefault="00E44B25" w:rsidP="00CD221F">
      <w:pPr>
        <w:numPr>
          <w:ilvl w:val="0"/>
          <w:numId w:val="1"/>
        </w:numPr>
        <w:spacing w:after="0" w:line="360" w:lineRule="auto"/>
        <w:jc w:val="both"/>
        <w:rPr>
          <w:rFonts w:cstheme="minorHAnsi"/>
        </w:rPr>
      </w:pPr>
      <w:r w:rsidRPr="00E44B25">
        <w:rPr>
          <w:rFonts w:cstheme="minorHAnsi"/>
        </w:rPr>
        <w:t>El Real Decreto 901/2020, de 13 de octubre, por el que se regulan los planes de igualdad y su registro</w:t>
      </w:r>
      <w:r w:rsidR="00447BAB">
        <w:rPr>
          <w:rFonts w:cstheme="minorHAnsi"/>
        </w:rPr>
        <w:t>.</w:t>
      </w:r>
    </w:p>
    <w:p w14:paraId="0F00011A" w14:textId="77777777" w:rsidR="00E44B25" w:rsidRPr="00A31E86" w:rsidRDefault="00E44B25" w:rsidP="00E55F00">
      <w:pPr>
        <w:spacing w:line="360" w:lineRule="auto"/>
        <w:jc w:val="both"/>
        <w:rPr>
          <w:rFonts w:cstheme="minorHAnsi"/>
        </w:rPr>
      </w:pPr>
      <w:r w:rsidRPr="00E44B25">
        <w:rPr>
          <w:rFonts w:cstheme="minorHAnsi"/>
        </w:rPr>
        <w:t>El Real Decreto 902/2020, de 13 de octubre, de igualdad retri</w:t>
      </w:r>
      <w:r w:rsidR="004C1BDF">
        <w:rPr>
          <w:rFonts w:cstheme="minorHAnsi"/>
        </w:rPr>
        <w:t>butiva entre mujeres y hombres</w:t>
      </w:r>
      <w:r w:rsidRPr="00E44B25">
        <w:rPr>
          <w:rFonts w:cstheme="minorHAnsi"/>
        </w:rPr>
        <w:t xml:space="preserve">. Destaca la obligación para todas las empresas de llevar un registro retributivo que recoja la </w:t>
      </w:r>
      <w:r w:rsidRPr="00E44B25">
        <w:rPr>
          <w:rFonts w:cstheme="minorHAnsi"/>
        </w:rPr>
        <w:lastRenderedPageBreak/>
        <w:t>media y la mediana de los salarios desglosados por sexo, incluyendo complementos salariales y percepciones extra</w:t>
      </w:r>
      <w:r w:rsidR="00026E87">
        <w:rPr>
          <w:rFonts w:cstheme="minorHAnsi"/>
        </w:rPr>
        <w:t xml:space="preserve"> </w:t>
      </w:r>
      <w:r w:rsidRPr="00E44B25">
        <w:rPr>
          <w:rFonts w:cstheme="minorHAnsi"/>
        </w:rPr>
        <w:t xml:space="preserve">salariales. </w:t>
      </w:r>
    </w:p>
    <w:p w14:paraId="0F8F0A2B" w14:textId="77777777" w:rsidR="008F5FAB" w:rsidRPr="008F5FAB" w:rsidRDefault="008F5FAB" w:rsidP="00C946CF">
      <w:pPr>
        <w:spacing w:line="360" w:lineRule="auto"/>
        <w:jc w:val="both"/>
        <w:rPr>
          <w:rFonts w:cstheme="minorHAnsi"/>
          <w:b/>
          <w:i/>
        </w:rPr>
      </w:pPr>
      <w:r>
        <w:rPr>
          <w:rFonts w:cstheme="minorHAnsi"/>
          <w:b/>
          <w:i/>
        </w:rPr>
        <w:t xml:space="preserve">No discriminación laboral </w:t>
      </w:r>
      <w:r w:rsidRPr="008F5FAB">
        <w:rPr>
          <w:rFonts w:cstheme="minorHAnsi"/>
          <w:b/>
          <w:i/>
        </w:rPr>
        <w:t>por razón de género</w:t>
      </w:r>
    </w:p>
    <w:p w14:paraId="7D85CB4A" w14:textId="77777777" w:rsidR="00447BAB" w:rsidRDefault="004F2E46" w:rsidP="00C946CF">
      <w:pPr>
        <w:spacing w:line="360" w:lineRule="auto"/>
        <w:jc w:val="both"/>
        <w:rPr>
          <w:rFonts w:cstheme="minorHAnsi"/>
        </w:rPr>
      </w:pPr>
      <w:r>
        <w:rPr>
          <w:rFonts w:cstheme="minorHAnsi"/>
        </w:rPr>
        <w:t>En la</w:t>
      </w:r>
      <w:r w:rsidR="00E44B25" w:rsidRPr="00E44B25">
        <w:rPr>
          <w:rFonts w:cstheme="minorHAnsi"/>
        </w:rPr>
        <w:t xml:space="preserve"> Inspección de Trabajo y Seguridad Social </w:t>
      </w:r>
      <w:r w:rsidR="00447BAB">
        <w:rPr>
          <w:rFonts w:cstheme="minorHAnsi"/>
        </w:rPr>
        <w:t>(ITSS)</w:t>
      </w:r>
      <w:r>
        <w:rPr>
          <w:rFonts w:cstheme="minorHAnsi"/>
        </w:rPr>
        <w:t>,</w:t>
      </w:r>
      <w:r w:rsidR="00447BAB">
        <w:rPr>
          <w:rFonts w:cstheme="minorHAnsi"/>
        </w:rPr>
        <w:t xml:space="preserve"> </w:t>
      </w:r>
      <w:r w:rsidR="00E44B25" w:rsidRPr="00E44B25">
        <w:rPr>
          <w:rFonts w:cstheme="minorHAnsi"/>
        </w:rPr>
        <w:t>en el área de igualdad y no discriminación por razón de género</w:t>
      </w:r>
      <w:r>
        <w:rPr>
          <w:rFonts w:cstheme="minorHAnsi"/>
        </w:rPr>
        <w:t>,</w:t>
      </w:r>
      <w:r w:rsidR="00E44B25" w:rsidRPr="00E44B25">
        <w:rPr>
          <w:rFonts w:cstheme="minorHAnsi"/>
        </w:rPr>
        <w:t xml:space="preserve"> se </w:t>
      </w:r>
      <w:r>
        <w:rPr>
          <w:rFonts w:cstheme="minorHAnsi"/>
        </w:rPr>
        <w:t xml:space="preserve">realizan </w:t>
      </w:r>
      <w:r w:rsidR="00E44B25" w:rsidRPr="00E44B25">
        <w:rPr>
          <w:rFonts w:cstheme="minorHAnsi"/>
        </w:rPr>
        <w:t>importantes esfuerzos al respecto</w:t>
      </w:r>
      <w:r>
        <w:rPr>
          <w:rFonts w:cstheme="minorHAnsi"/>
        </w:rPr>
        <w:t>, con</w:t>
      </w:r>
      <w:r w:rsidR="00E44B25" w:rsidRPr="00E44B25">
        <w:rPr>
          <w:rFonts w:cstheme="minorHAnsi"/>
        </w:rPr>
        <w:t xml:space="preserve"> los siguientes objetivos:</w:t>
      </w:r>
    </w:p>
    <w:p w14:paraId="10D4D484" w14:textId="77777777" w:rsidR="00447BAB" w:rsidRPr="00447BAB" w:rsidRDefault="00447BAB" w:rsidP="00CD221F">
      <w:pPr>
        <w:pStyle w:val="ListParagraph"/>
        <w:numPr>
          <w:ilvl w:val="0"/>
          <w:numId w:val="7"/>
        </w:numPr>
        <w:spacing w:line="360" w:lineRule="auto"/>
        <w:jc w:val="both"/>
        <w:rPr>
          <w:rFonts w:cstheme="minorHAnsi"/>
        </w:rPr>
      </w:pPr>
      <w:r w:rsidRPr="00447BAB">
        <w:rPr>
          <w:rFonts w:cstheme="minorHAnsi"/>
        </w:rPr>
        <w:t>L</w:t>
      </w:r>
      <w:r w:rsidR="00E44B25" w:rsidRPr="00447BAB">
        <w:rPr>
          <w:rFonts w:cstheme="minorHAnsi"/>
        </w:rPr>
        <w:t>ucha contra la discriminación por razón de sexo tanto en la relación labora</w:t>
      </w:r>
      <w:r w:rsidRPr="00447BAB">
        <w:rPr>
          <w:rFonts w:cstheme="minorHAnsi"/>
        </w:rPr>
        <w:t>l como en el acceso al empleo.</w:t>
      </w:r>
    </w:p>
    <w:p w14:paraId="4FE97E87" w14:textId="77777777" w:rsidR="00447BAB" w:rsidRPr="00447BAB" w:rsidRDefault="00447BAB" w:rsidP="00CD221F">
      <w:pPr>
        <w:pStyle w:val="ListParagraph"/>
        <w:numPr>
          <w:ilvl w:val="0"/>
          <w:numId w:val="7"/>
        </w:numPr>
        <w:spacing w:line="360" w:lineRule="auto"/>
        <w:jc w:val="both"/>
        <w:rPr>
          <w:rFonts w:cstheme="minorHAnsi"/>
        </w:rPr>
      </w:pPr>
      <w:r w:rsidRPr="00447BAB">
        <w:rPr>
          <w:rFonts w:cstheme="minorHAnsi"/>
        </w:rPr>
        <w:t>L</w:t>
      </w:r>
      <w:r w:rsidR="00E44B25" w:rsidRPr="00447BAB">
        <w:rPr>
          <w:rFonts w:cstheme="minorHAnsi"/>
        </w:rPr>
        <w:t>ucha contra el acoso sexual y el acos</w:t>
      </w:r>
      <w:r w:rsidRPr="00447BAB">
        <w:rPr>
          <w:rFonts w:cstheme="minorHAnsi"/>
        </w:rPr>
        <w:t>o discriminatorio en el trabajo.</w:t>
      </w:r>
    </w:p>
    <w:p w14:paraId="4BA7F22F" w14:textId="77777777" w:rsidR="00447BAB" w:rsidRPr="00447BAB" w:rsidRDefault="00447BAB" w:rsidP="00CD221F">
      <w:pPr>
        <w:pStyle w:val="ListParagraph"/>
        <w:numPr>
          <w:ilvl w:val="0"/>
          <w:numId w:val="7"/>
        </w:numPr>
        <w:spacing w:line="360" w:lineRule="auto"/>
        <w:jc w:val="both"/>
        <w:rPr>
          <w:rFonts w:cstheme="minorHAnsi"/>
        </w:rPr>
      </w:pPr>
      <w:r w:rsidRPr="00447BAB">
        <w:rPr>
          <w:rFonts w:cstheme="minorHAnsi"/>
        </w:rPr>
        <w:t>I</w:t>
      </w:r>
      <w:r w:rsidR="00E44B25" w:rsidRPr="00447BAB">
        <w:rPr>
          <w:rFonts w:cstheme="minorHAnsi"/>
        </w:rPr>
        <w:t>mplantación de los planes de igualdad</w:t>
      </w:r>
      <w:r w:rsidRPr="00447BAB">
        <w:rPr>
          <w:rFonts w:cstheme="minorHAnsi"/>
        </w:rPr>
        <w:t>.</w:t>
      </w:r>
    </w:p>
    <w:p w14:paraId="0502D98F" w14:textId="77777777" w:rsidR="00447BAB" w:rsidRPr="00447BAB" w:rsidRDefault="00447BAB" w:rsidP="00CD221F">
      <w:pPr>
        <w:pStyle w:val="ListParagraph"/>
        <w:numPr>
          <w:ilvl w:val="0"/>
          <w:numId w:val="7"/>
        </w:numPr>
        <w:spacing w:line="360" w:lineRule="auto"/>
        <w:jc w:val="both"/>
        <w:rPr>
          <w:rFonts w:cstheme="minorHAnsi"/>
        </w:rPr>
      </w:pPr>
      <w:r w:rsidRPr="00447BAB">
        <w:rPr>
          <w:rFonts w:cstheme="minorHAnsi"/>
        </w:rPr>
        <w:t>P</w:t>
      </w:r>
      <w:r w:rsidR="00E44B25" w:rsidRPr="00447BAB">
        <w:rPr>
          <w:rFonts w:cstheme="minorHAnsi"/>
        </w:rPr>
        <w:t xml:space="preserve">rotección de la maternidad en materia de seguridad y salud laboral. </w:t>
      </w:r>
    </w:p>
    <w:p w14:paraId="5960E650" w14:textId="77777777" w:rsidR="00E44B25" w:rsidRDefault="00E44B25" w:rsidP="00C946CF">
      <w:pPr>
        <w:spacing w:line="360" w:lineRule="auto"/>
        <w:jc w:val="both"/>
        <w:rPr>
          <w:rFonts w:cstheme="minorHAnsi"/>
        </w:rPr>
      </w:pPr>
      <w:r w:rsidRPr="00E44B25">
        <w:rPr>
          <w:rFonts w:cstheme="minorHAnsi"/>
        </w:rPr>
        <w:t xml:space="preserve">Además, existen campañas específicas dirigidas a comprobar la existencia de discriminación salarial, directa o indirecta, en determinados sectores. </w:t>
      </w:r>
    </w:p>
    <w:p w14:paraId="75708112" w14:textId="77777777" w:rsidR="008F221F" w:rsidRPr="008F221F" w:rsidRDefault="008F221F" w:rsidP="00C946CF">
      <w:pPr>
        <w:spacing w:line="360" w:lineRule="auto"/>
        <w:jc w:val="both"/>
        <w:rPr>
          <w:rFonts w:cstheme="minorHAnsi"/>
          <w:b/>
          <w:i/>
        </w:rPr>
      </w:pPr>
      <w:r w:rsidRPr="008F221F">
        <w:rPr>
          <w:rFonts w:cstheme="minorHAnsi"/>
          <w:b/>
          <w:i/>
        </w:rPr>
        <w:t>Seguridad laboral</w:t>
      </w:r>
    </w:p>
    <w:p w14:paraId="781492F6" w14:textId="77777777" w:rsidR="00E44B25" w:rsidRPr="00E44B25" w:rsidRDefault="00E44B25" w:rsidP="00C946CF">
      <w:pPr>
        <w:spacing w:line="360" w:lineRule="auto"/>
        <w:jc w:val="both"/>
        <w:rPr>
          <w:rFonts w:cstheme="minorHAnsi"/>
        </w:rPr>
      </w:pPr>
      <w:r w:rsidRPr="00E44B25">
        <w:rPr>
          <w:rFonts w:cstheme="minorHAnsi"/>
        </w:rPr>
        <w:t xml:space="preserve">En cuanto a la seguridad laboral, mencionar que para garantizar unas condiciones de seguridad e higiene adecuadas </w:t>
      </w:r>
      <w:r w:rsidR="00E56E60">
        <w:rPr>
          <w:rFonts w:cstheme="minorHAnsi"/>
        </w:rPr>
        <w:t>para las personas trabajadoras a</w:t>
      </w:r>
      <w:r w:rsidRPr="00E44B25">
        <w:rPr>
          <w:rFonts w:cstheme="minorHAnsi"/>
        </w:rPr>
        <w:t>l servicio del hogar</w:t>
      </w:r>
      <w:r w:rsidR="00D745C2">
        <w:rPr>
          <w:rFonts w:cstheme="minorHAnsi"/>
        </w:rPr>
        <w:t>, mayoritariamente mujeres,</w:t>
      </w:r>
      <w:r w:rsidRPr="00E44B25">
        <w:rPr>
          <w:rFonts w:cstheme="minorHAnsi"/>
        </w:rPr>
        <w:t xml:space="preserve"> se han aprobado recientemente nuevos textos legislativos enfocados a la mejora de sus condiciones: el Real Decreto-ley 16/2022</w:t>
      </w:r>
      <w:r w:rsidRPr="00C946CF">
        <w:footnoteReference w:id="5"/>
      </w:r>
      <w:r w:rsidRPr="00E44B25">
        <w:rPr>
          <w:rFonts w:cstheme="minorHAnsi"/>
        </w:rPr>
        <w:t xml:space="preserve"> y el Real Decreto 893/2024</w:t>
      </w:r>
      <w:r w:rsidRPr="00C946CF">
        <w:footnoteReference w:id="6"/>
      </w:r>
      <w:r w:rsidR="00E56E60">
        <w:rPr>
          <w:rFonts w:cstheme="minorHAnsi"/>
        </w:rPr>
        <w:t xml:space="preserve">. </w:t>
      </w:r>
      <w:r w:rsidR="00D745C2">
        <w:rPr>
          <w:rFonts w:cstheme="minorHAnsi"/>
        </w:rPr>
        <w:t>Su elemento más destacable</w:t>
      </w:r>
      <w:r w:rsidRPr="00E44B25">
        <w:rPr>
          <w:rFonts w:cstheme="minorHAnsi"/>
        </w:rPr>
        <w:t xml:space="preserve"> </w:t>
      </w:r>
      <w:r w:rsidR="00D745C2">
        <w:rPr>
          <w:rFonts w:cstheme="minorHAnsi"/>
        </w:rPr>
        <w:t xml:space="preserve">es la completa equiparación </w:t>
      </w:r>
      <w:r w:rsidRPr="00E44B25">
        <w:rPr>
          <w:rFonts w:cstheme="minorHAnsi"/>
        </w:rPr>
        <w:t xml:space="preserve">tanto </w:t>
      </w:r>
      <w:r w:rsidR="00D745C2">
        <w:rPr>
          <w:rFonts w:cstheme="minorHAnsi"/>
        </w:rPr>
        <w:t xml:space="preserve">del despido como </w:t>
      </w:r>
      <w:r w:rsidRPr="00E44B25">
        <w:rPr>
          <w:rFonts w:cstheme="minorHAnsi"/>
        </w:rPr>
        <w:t xml:space="preserve">de la protección social de estas personas, incorporándolas de manera expresa y permanente </w:t>
      </w:r>
      <w:r w:rsidR="006E2000">
        <w:rPr>
          <w:rFonts w:cstheme="minorHAnsi"/>
        </w:rPr>
        <w:t xml:space="preserve">a la protección por desempleo. </w:t>
      </w:r>
    </w:p>
    <w:p w14:paraId="4856D849" w14:textId="77777777" w:rsidR="00DE1D8C" w:rsidRDefault="00DE1D8C" w:rsidP="00C946CF">
      <w:pPr>
        <w:spacing w:line="360" w:lineRule="auto"/>
        <w:jc w:val="both"/>
        <w:rPr>
          <w:b/>
        </w:rPr>
      </w:pPr>
    </w:p>
    <w:p w14:paraId="743F159F" w14:textId="77777777" w:rsidR="00DE1D8C" w:rsidRPr="00DE1D8C" w:rsidRDefault="00DE1D8C" w:rsidP="00055E40">
      <w:pPr>
        <w:spacing w:line="360" w:lineRule="auto"/>
        <w:jc w:val="both"/>
        <w:rPr>
          <w:rFonts w:cstheme="minorHAnsi"/>
          <w:b/>
          <w:i/>
        </w:rPr>
      </w:pPr>
      <w:r w:rsidRPr="00DE1D8C">
        <w:rPr>
          <w:rFonts w:cstheme="minorHAnsi"/>
          <w:b/>
          <w:i/>
        </w:rPr>
        <w:t>Derecho a huelga</w:t>
      </w:r>
    </w:p>
    <w:p w14:paraId="332D68E7" w14:textId="77777777" w:rsidR="00055E40" w:rsidRDefault="00997CAE" w:rsidP="00055E40">
      <w:pPr>
        <w:spacing w:line="360" w:lineRule="auto"/>
        <w:jc w:val="both"/>
        <w:rPr>
          <w:rFonts w:cstheme="minorHAnsi"/>
        </w:rPr>
      </w:pPr>
      <w:r>
        <w:rPr>
          <w:rFonts w:cstheme="minorHAnsi"/>
        </w:rPr>
        <w:t>T</w:t>
      </w:r>
      <w:r w:rsidR="00055E40" w:rsidRPr="00055E40">
        <w:rPr>
          <w:rFonts w:cstheme="minorHAnsi"/>
        </w:rPr>
        <w:t>al y como se instaba en las recomendaciones al VI informe, se derogó el apartado 3 del artículo 315 del Código Penal mediante la Ley Orgánica</w:t>
      </w:r>
      <w:r w:rsidR="000013F9">
        <w:rPr>
          <w:rFonts w:cstheme="minorHAnsi"/>
        </w:rPr>
        <w:t xml:space="preserve"> 5/2021, de 22 de abril:</w:t>
      </w:r>
      <w:r w:rsidR="00055E40" w:rsidRPr="00055E40">
        <w:rPr>
          <w:rFonts w:cstheme="minorHAnsi"/>
        </w:rPr>
        <w:t xml:space="preserve"> </w:t>
      </w:r>
      <w:r w:rsidR="000013F9">
        <w:rPr>
          <w:rFonts w:cstheme="minorHAnsi"/>
        </w:rPr>
        <w:t>“</w:t>
      </w:r>
      <w:r w:rsidR="00055E40" w:rsidRPr="00055E40">
        <w:rPr>
          <w:rFonts w:cstheme="minorHAnsi"/>
        </w:rPr>
        <w:t>Quienes actuando en grupo o individualmente, pero de acuerdo con otros, coaccionen a otras personas a iniciar o continuar una huelga, serán castigados con la pena de prisión de un año y nueve meses hasta tres años o con la pena de multa de diecio</w:t>
      </w:r>
      <w:r w:rsidR="000013F9">
        <w:rPr>
          <w:rFonts w:cstheme="minorHAnsi"/>
        </w:rPr>
        <w:t>cho meses a veinticuatro meses”.</w:t>
      </w:r>
    </w:p>
    <w:p w14:paraId="701E2E5F" w14:textId="77777777" w:rsidR="00472C89" w:rsidRPr="00472C89" w:rsidRDefault="00472C89" w:rsidP="00055E40">
      <w:pPr>
        <w:spacing w:line="360" w:lineRule="auto"/>
        <w:jc w:val="both"/>
        <w:rPr>
          <w:rFonts w:cstheme="minorHAnsi"/>
          <w:b/>
          <w:i/>
        </w:rPr>
      </w:pPr>
      <w:r w:rsidRPr="00472C89">
        <w:rPr>
          <w:rFonts w:cstheme="minorHAnsi"/>
          <w:b/>
          <w:i/>
        </w:rPr>
        <w:t>Derecho de reunión</w:t>
      </w:r>
    </w:p>
    <w:p w14:paraId="50E5E527" w14:textId="77777777" w:rsidR="00C40F69" w:rsidRPr="00C40F69" w:rsidRDefault="00997CAE" w:rsidP="00C40F69">
      <w:pPr>
        <w:spacing w:line="360" w:lineRule="auto"/>
        <w:jc w:val="both"/>
        <w:rPr>
          <w:rFonts w:cstheme="minorHAnsi"/>
        </w:rPr>
      </w:pPr>
      <w:r>
        <w:rPr>
          <w:rFonts w:cstheme="minorHAnsi"/>
        </w:rPr>
        <w:lastRenderedPageBreak/>
        <w:t>La</w:t>
      </w:r>
      <w:r w:rsidR="00C40F69" w:rsidRPr="00C40F69">
        <w:rPr>
          <w:rFonts w:cstheme="minorHAnsi"/>
        </w:rPr>
        <w:t xml:space="preserve"> Ley Orgánica 4/2015 de 30 de marzo de Protección de</w:t>
      </w:r>
      <w:r>
        <w:rPr>
          <w:rFonts w:cstheme="minorHAnsi"/>
        </w:rPr>
        <w:t xml:space="preserve"> la Seguridad Ciudadana (LOPSC)</w:t>
      </w:r>
      <w:r w:rsidR="00C40F69" w:rsidRPr="00C40F69">
        <w:rPr>
          <w:rFonts w:cstheme="minorHAnsi"/>
        </w:rPr>
        <w:t xml:space="preserve"> </w:t>
      </w:r>
      <w:r w:rsidR="000013F9">
        <w:rPr>
          <w:rFonts w:cstheme="minorHAnsi"/>
        </w:rPr>
        <w:t>tiene, entre sus objetivos prioritarios,</w:t>
      </w:r>
      <w:r w:rsidR="00C40F69" w:rsidRPr="00C40F69">
        <w:rPr>
          <w:rFonts w:cstheme="minorHAnsi"/>
        </w:rPr>
        <w:t xml:space="preserve"> garantizar la protección de personas y bienes y el mantenimie</w:t>
      </w:r>
      <w:r>
        <w:rPr>
          <w:rFonts w:cstheme="minorHAnsi"/>
        </w:rPr>
        <w:t xml:space="preserve">nto de la seguridad ciudadana, tipificando </w:t>
      </w:r>
      <w:r w:rsidR="00C40F69" w:rsidRPr="00C40F69">
        <w:rPr>
          <w:rFonts w:cstheme="minorHAnsi"/>
        </w:rPr>
        <w:t xml:space="preserve">infracciones como: piquetes informativos, ocupaciones simbólicas o acciones de protesta laboral. </w:t>
      </w:r>
      <w:r>
        <w:rPr>
          <w:rFonts w:cstheme="minorHAnsi"/>
        </w:rPr>
        <w:t>En caso de producirse</w:t>
      </w:r>
      <w:r w:rsidR="00C40F69" w:rsidRPr="00C40F69">
        <w:rPr>
          <w:rFonts w:cstheme="minorHAnsi"/>
        </w:rPr>
        <w:t xml:space="preserve"> situaciones de aglomeración de un elevado número de personas en actitud de protesta, en algunas ocasiones estas derivan en actos que perturban o pueden poner en </w:t>
      </w:r>
      <w:r w:rsidR="000013F9">
        <w:rPr>
          <w:rFonts w:cstheme="minorHAnsi"/>
        </w:rPr>
        <w:t xml:space="preserve">riesgo la seguridad ciudadana. </w:t>
      </w:r>
      <w:r>
        <w:rPr>
          <w:rFonts w:cstheme="minorHAnsi"/>
        </w:rPr>
        <w:t>Para ello, la</w:t>
      </w:r>
      <w:r w:rsidR="00C40F69" w:rsidRPr="00C40F69">
        <w:rPr>
          <w:rFonts w:cstheme="minorHAnsi"/>
        </w:rPr>
        <w:t xml:space="preserve"> LOPSC </w:t>
      </w:r>
      <w:r>
        <w:rPr>
          <w:rFonts w:cstheme="minorHAnsi"/>
        </w:rPr>
        <w:t>clasifica</w:t>
      </w:r>
      <w:r w:rsidR="00C40F69" w:rsidRPr="00C40F69">
        <w:rPr>
          <w:rFonts w:cstheme="minorHAnsi"/>
        </w:rPr>
        <w:t xml:space="preserve"> las infracciones en tres categorías (muy graves, graves y leves), atendiendo al grado de afectación al orden públi</w:t>
      </w:r>
      <w:r w:rsidR="000013F9">
        <w:rPr>
          <w:rFonts w:cstheme="minorHAnsi"/>
        </w:rPr>
        <w:t xml:space="preserve">co y a la seguridad ciudadana. </w:t>
      </w:r>
      <w:r w:rsidR="00C40F69" w:rsidRPr="00C40F69">
        <w:rPr>
          <w:rFonts w:cstheme="minorHAnsi"/>
        </w:rPr>
        <w:t>La aplicación de esta norma busca el equilibrio entre el ejercicio el legítimo</w:t>
      </w:r>
      <w:r>
        <w:rPr>
          <w:rFonts w:cstheme="minorHAnsi"/>
        </w:rPr>
        <w:t xml:space="preserve"> de</w:t>
      </w:r>
      <w:r w:rsidR="00C40F69" w:rsidRPr="00C40F69">
        <w:rPr>
          <w:rFonts w:cstheme="minorHAnsi"/>
        </w:rPr>
        <w:t xml:space="preserve"> derechos y libertades </w:t>
      </w:r>
      <w:r>
        <w:rPr>
          <w:rFonts w:cstheme="minorHAnsi"/>
        </w:rPr>
        <w:t xml:space="preserve">constitucionales </w:t>
      </w:r>
      <w:r w:rsidR="00C40F69" w:rsidRPr="00C40F69">
        <w:rPr>
          <w:rFonts w:cstheme="minorHAnsi"/>
        </w:rPr>
        <w:t xml:space="preserve">y la garantía de la seguridad de la ciudadanía, conjugando una triple dimensión: </w:t>
      </w:r>
    </w:p>
    <w:p w14:paraId="1E94DFB6" w14:textId="77777777" w:rsidR="00C40F69" w:rsidRPr="000013F9" w:rsidRDefault="00C40F69" w:rsidP="00CD221F">
      <w:pPr>
        <w:pStyle w:val="ListParagraph"/>
        <w:numPr>
          <w:ilvl w:val="0"/>
          <w:numId w:val="8"/>
        </w:numPr>
        <w:spacing w:line="360" w:lineRule="auto"/>
        <w:jc w:val="both"/>
        <w:rPr>
          <w:rFonts w:cstheme="minorHAnsi"/>
        </w:rPr>
      </w:pPr>
      <w:r w:rsidRPr="000013F9">
        <w:rPr>
          <w:rFonts w:cstheme="minorHAnsi"/>
        </w:rPr>
        <w:t>Un juicio de idoneidad de la limitación.</w:t>
      </w:r>
    </w:p>
    <w:p w14:paraId="50571B17" w14:textId="77777777" w:rsidR="00C40F69" w:rsidRPr="000013F9" w:rsidRDefault="00C40F69" w:rsidP="00CD221F">
      <w:pPr>
        <w:pStyle w:val="ListParagraph"/>
        <w:numPr>
          <w:ilvl w:val="0"/>
          <w:numId w:val="8"/>
        </w:numPr>
        <w:spacing w:line="360" w:lineRule="auto"/>
        <w:jc w:val="both"/>
        <w:rPr>
          <w:rFonts w:cstheme="minorHAnsi"/>
        </w:rPr>
      </w:pPr>
      <w:r w:rsidRPr="000013F9">
        <w:rPr>
          <w:rFonts w:cstheme="minorHAnsi"/>
        </w:rPr>
        <w:t xml:space="preserve">Un juicio de necesidad de la misma, entendido como inexistencia de otra medida menos </w:t>
      </w:r>
      <w:r w:rsidR="00997CAE">
        <w:rPr>
          <w:rFonts w:cstheme="minorHAnsi"/>
        </w:rPr>
        <w:t>gravosa</w:t>
      </w:r>
      <w:r w:rsidRPr="000013F9">
        <w:rPr>
          <w:rFonts w:cstheme="minorHAnsi"/>
        </w:rPr>
        <w:t>.</w:t>
      </w:r>
    </w:p>
    <w:p w14:paraId="38B71041" w14:textId="77777777" w:rsidR="00C40F69" w:rsidRPr="000013F9" w:rsidRDefault="00C40F69" w:rsidP="00CD221F">
      <w:pPr>
        <w:pStyle w:val="ListParagraph"/>
        <w:numPr>
          <w:ilvl w:val="0"/>
          <w:numId w:val="8"/>
        </w:numPr>
        <w:spacing w:line="360" w:lineRule="auto"/>
        <w:jc w:val="both"/>
        <w:rPr>
          <w:rFonts w:cstheme="minorHAnsi"/>
        </w:rPr>
      </w:pPr>
      <w:r w:rsidRPr="000013F9">
        <w:rPr>
          <w:rFonts w:cstheme="minorHAnsi"/>
        </w:rPr>
        <w:t>Un juicio de proporcionalidad</w:t>
      </w:r>
      <w:r w:rsidR="00997CAE">
        <w:rPr>
          <w:rFonts w:cstheme="minorHAnsi"/>
        </w:rPr>
        <w:t>.</w:t>
      </w:r>
      <w:r w:rsidRPr="000013F9">
        <w:rPr>
          <w:rFonts w:cstheme="minorHAnsi"/>
        </w:rPr>
        <w:t xml:space="preserve"> </w:t>
      </w:r>
    </w:p>
    <w:p w14:paraId="61F771B7" w14:textId="77777777" w:rsidR="00E421D5" w:rsidRPr="00E421D5" w:rsidRDefault="00C40F69" w:rsidP="00E421D5">
      <w:pPr>
        <w:spacing w:line="360" w:lineRule="auto"/>
        <w:jc w:val="both"/>
        <w:rPr>
          <w:rFonts w:cstheme="minorHAnsi"/>
        </w:rPr>
      </w:pPr>
      <w:r w:rsidRPr="00C40F69">
        <w:rPr>
          <w:rFonts w:cstheme="minorHAnsi"/>
        </w:rPr>
        <w:t xml:space="preserve">Estos mismos criterios son los que guían el uso de la fuerza en la función policial, siendo este un último recurso que además va precedido por advertencias </w:t>
      </w:r>
      <w:r w:rsidR="00997CAE">
        <w:rPr>
          <w:rFonts w:cstheme="minorHAnsi"/>
        </w:rPr>
        <w:t xml:space="preserve">verbales para agotar otras vías. </w:t>
      </w:r>
      <w:r w:rsidR="00E421D5" w:rsidRPr="00E421D5">
        <w:rPr>
          <w:rFonts w:cstheme="minorHAnsi"/>
        </w:rPr>
        <w:t>La intervención deberá realizarse de forma gradual, proporcional y con el menor perjuicio posible, advirtiendo previamente a los afectados sobre las medidas que se adoptarán, salvo que la urgencia de la situación impida dicha advertencia, en cuyo caso podrá real</w:t>
      </w:r>
      <w:r w:rsidR="000013F9">
        <w:rPr>
          <w:rFonts w:cstheme="minorHAnsi"/>
        </w:rPr>
        <w:t xml:space="preserve">izarse incluso de forma verbal. </w:t>
      </w:r>
      <w:r w:rsidR="00E421D5" w:rsidRPr="00E421D5">
        <w:rPr>
          <w:rFonts w:cstheme="minorHAnsi"/>
        </w:rPr>
        <w:t>En situaciones en las que la alteración del orden público implique el uso de armas, explosivos, objetos contundentes u otros elementos de similar peligrosidad, las Fuerzas y Cuerpos de Seguridad estarán facultadas para disolver la reunión o manifestación, o retirar vehículos y obstáculos,</w:t>
      </w:r>
      <w:r w:rsidR="000013F9">
        <w:rPr>
          <w:rFonts w:cstheme="minorHAnsi"/>
        </w:rPr>
        <w:t xml:space="preserve"> sin necesidad de previo aviso. </w:t>
      </w:r>
      <w:r w:rsidR="00E421D5" w:rsidRPr="00E421D5">
        <w:rPr>
          <w:rFonts w:cstheme="minorHAnsi"/>
        </w:rPr>
        <w:t>En cuanto al nivel de fuerza a emplear, se aplicará un uso escalonado y proporcional, atendiendo a los siguientes criterios:</w:t>
      </w:r>
    </w:p>
    <w:p w14:paraId="6CD26D18" w14:textId="77777777" w:rsidR="00E421D5" w:rsidRPr="000013F9" w:rsidRDefault="00E421D5" w:rsidP="00CD221F">
      <w:pPr>
        <w:pStyle w:val="ListParagraph"/>
        <w:numPr>
          <w:ilvl w:val="0"/>
          <w:numId w:val="9"/>
        </w:numPr>
        <w:spacing w:line="360" w:lineRule="auto"/>
        <w:jc w:val="both"/>
        <w:rPr>
          <w:rFonts w:cstheme="minorHAnsi"/>
        </w:rPr>
      </w:pPr>
      <w:r w:rsidRPr="000013F9">
        <w:rPr>
          <w:rFonts w:cstheme="minorHAnsi"/>
        </w:rPr>
        <w:t>Intervención necesaria: Solo en casos extremos, debidamente justificados y previa autorización de la autoridad gubernativa.</w:t>
      </w:r>
    </w:p>
    <w:p w14:paraId="5FB015F9" w14:textId="77777777" w:rsidR="00E421D5" w:rsidRDefault="00E421D5" w:rsidP="00CD221F">
      <w:pPr>
        <w:pStyle w:val="ListParagraph"/>
        <w:numPr>
          <w:ilvl w:val="0"/>
          <w:numId w:val="9"/>
        </w:numPr>
        <w:spacing w:line="360" w:lineRule="auto"/>
        <w:jc w:val="both"/>
        <w:rPr>
          <w:rFonts w:cstheme="minorHAnsi"/>
        </w:rPr>
      </w:pPr>
      <w:r w:rsidRPr="000013F9">
        <w:rPr>
          <w:rFonts w:cstheme="minorHAnsi"/>
        </w:rPr>
        <w:t>Medios disuasorios: Su utilización se limitará a los casos en que resulte absolutamente imprescindible, cumpliendo con las formalidades legales exigidas. Su empleo será progresivo y proporcionado a la gravedad de la incidencia, evitando que un uso excesivo genere efectos contraproducentes.</w:t>
      </w:r>
    </w:p>
    <w:p w14:paraId="0147CCCC" w14:textId="77777777" w:rsidR="000013F9" w:rsidRPr="000013F9" w:rsidRDefault="000013F9" w:rsidP="000013F9">
      <w:pPr>
        <w:pStyle w:val="ListParagraph"/>
        <w:spacing w:line="360" w:lineRule="auto"/>
        <w:jc w:val="both"/>
        <w:rPr>
          <w:rFonts w:cstheme="minorHAnsi"/>
        </w:rPr>
      </w:pPr>
    </w:p>
    <w:p w14:paraId="5501E39A" w14:textId="77777777" w:rsidR="00472C89" w:rsidRPr="00472C89" w:rsidRDefault="00472C89" w:rsidP="00BB56A3">
      <w:pPr>
        <w:spacing w:line="360" w:lineRule="auto"/>
        <w:jc w:val="both"/>
        <w:rPr>
          <w:rFonts w:cstheme="minorHAnsi"/>
          <w:b/>
          <w:i/>
        </w:rPr>
      </w:pPr>
      <w:r w:rsidRPr="00472C89">
        <w:rPr>
          <w:rFonts w:cstheme="minorHAnsi"/>
          <w:b/>
          <w:i/>
        </w:rPr>
        <w:t>Cuidadores informales</w:t>
      </w:r>
    </w:p>
    <w:p w14:paraId="44857B56" w14:textId="77777777" w:rsidR="00B0771A" w:rsidRDefault="000067D1" w:rsidP="00BB56A3">
      <w:pPr>
        <w:spacing w:line="360" w:lineRule="auto"/>
        <w:jc w:val="both"/>
        <w:rPr>
          <w:rFonts w:cstheme="minorHAnsi"/>
        </w:rPr>
      </w:pPr>
      <w:r>
        <w:rPr>
          <w:rFonts w:cstheme="minorHAnsi"/>
        </w:rPr>
        <w:lastRenderedPageBreak/>
        <w:t>El derecho a la Seguridad Social aparece recogido en la Constitución</w:t>
      </w:r>
      <w:r w:rsidR="00B0771A">
        <w:rPr>
          <w:rFonts w:cstheme="minorHAnsi"/>
        </w:rPr>
        <w:t xml:space="preserve"> Española en su artículo </w:t>
      </w:r>
      <w:r w:rsidR="00030BBE">
        <w:rPr>
          <w:rFonts w:cstheme="minorHAnsi"/>
        </w:rPr>
        <w:t>4</w:t>
      </w:r>
      <w:r w:rsidR="00B0771A">
        <w:rPr>
          <w:rFonts w:cstheme="minorHAnsi"/>
        </w:rPr>
        <w:t>1</w:t>
      </w:r>
      <w:r>
        <w:rPr>
          <w:rFonts w:cstheme="minorHAnsi"/>
        </w:rPr>
        <w:t xml:space="preserve"> como uno de los principios rectores que deben informar a todos los poderes públicos.</w:t>
      </w:r>
      <w:r w:rsidR="005B799C">
        <w:rPr>
          <w:rFonts w:cstheme="minorHAnsi"/>
        </w:rPr>
        <w:t xml:space="preserve"> Su cobertura l</w:t>
      </w:r>
      <w:r w:rsidR="00B0771A">
        <w:rPr>
          <w:rFonts w:cstheme="minorHAnsi"/>
        </w:rPr>
        <w:t>egal está recogida en el Real Decreto Legislativo 8/2015, de 30 de octubre por el que se aprueba el texto refundido de la Ley General de la Seguridad Social</w:t>
      </w:r>
      <w:r w:rsidR="002A1E30">
        <w:rPr>
          <w:rFonts w:cstheme="minorHAnsi"/>
        </w:rPr>
        <w:t xml:space="preserve"> (</w:t>
      </w:r>
      <w:r w:rsidR="002A1E30" w:rsidRPr="00715E1F">
        <w:rPr>
          <w:rFonts w:cstheme="minorHAnsi"/>
        </w:rPr>
        <w:t>TRLGSS</w:t>
      </w:r>
      <w:r w:rsidR="002A1E30">
        <w:rPr>
          <w:rFonts w:cstheme="minorHAnsi"/>
        </w:rPr>
        <w:t>)</w:t>
      </w:r>
      <w:r w:rsidR="005B799C">
        <w:rPr>
          <w:rFonts w:cstheme="minorHAnsi"/>
        </w:rPr>
        <w:t>.</w:t>
      </w:r>
      <w:r>
        <w:rPr>
          <w:rFonts w:cstheme="minorHAnsi"/>
        </w:rPr>
        <w:t xml:space="preserve"> </w:t>
      </w:r>
    </w:p>
    <w:p w14:paraId="4FD97DC3" w14:textId="77777777" w:rsidR="00BB56A3" w:rsidRDefault="00BE0FA9" w:rsidP="00BB56A3">
      <w:pPr>
        <w:spacing w:line="360" w:lineRule="auto"/>
        <w:jc w:val="both"/>
        <w:rPr>
          <w:rFonts w:cstheme="minorHAnsi"/>
        </w:rPr>
      </w:pPr>
      <w:r>
        <w:rPr>
          <w:rFonts w:cstheme="minorHAnsi"/>
        </w:rPr>
        <w:t>Recientemente</w:t>
      </w:r>
      <w:r w:rsidR="005B799C">
        <w:rPr>
          <w:rFonts w:cstheme="minorHAnsi"/>
        </w:rPr>
        <w:t>, como novedad,</w:t>
      </w:r>
      <w:r>
        <w:rPr>
          <w:rFonts w:cstheme="minorHAnsi"/>
        </w:rPr>
        <w:t xml:space="preserve"> </w:t>
      </w:r>
      <w:r w:rsidR="0052438B">
        <w:rPr>
          <w:rFonts w:cstheme="minorHAnsi"/>
        </w:rPr>
        <w:t>el Real Decreto 615/2007, de 11 de Mayo,</w:t>
      </w:r>
      <w:r>
        <w:rPr>
          <w:rFonts w:cstheme="minorHAnsi"/>
        </w:rPr>
        <w:t xml:space="preserve"> ha legislado que el</w:t>
      </w:r>
      <w:r w:rsidR="00BB56A3" w:rsidRPr="00BB56A3">
        <w:rPr>
          <w:rFonts w:cstheme="minorHAnsi"/>
        </w:rPr>
        <w:t xml:space="preserve"> I</w:t>
      </w:r>
      <w:r w:rsidR="000067D1">
        <w:rPr>
          <w:rFonts w:cstheme="minorHAnsi"/>
        </w:rPr>
        <w:t>MSERSO</w:t>
      </w:r>
      <w:r w:rsidR="005B799C">
        <w:rPr>
          <w:rFonts w:cstheme="minorHAnsi"/>
        </w:rPr>
        <w:t xml:space="preserve"> se convierta en</w:t>
      </w:r>
      <w:r w:rsidR="00BB56A3" w:rsidRPr="00BB56A3">
        <w:rPr>
          <w:rFonts w:cstheme="minorHAnsi"/>
        </w:rPr>
        <w:t xml:space="preserve"> el pagador de la Seguridad Social para aquellos cuidadores informales </w:t>
      </w:r>
      <w:r>
        <w:rPr>
          <w:rFonts w:cstheme="minorHAnsi"/>
        </w:rPr>
        <w:t xml:space="preserve">de personas con un grado de dependencia </w:t>
      </w:r>
      <w:r w:rsidR="005B799C">
        <w:rPr>
          <w:rFonts w:cstheme="minorHAnsi"/>
        </w:rPr>
        <w:t>reconocido</w:t>
      </w:r>
      <w:r>
        <w:rPr>
          <w:rFonts w:cstheme="minorHAnsi"/>
        </w:rPr>
        <w:t xml:space="preserve"> oficialmente</w:t>
      </w:r>
      <w:r w:rsidR="00BB56A3" w:rsidRPr="00BB56A3">
        <w:rPr>
          <w:rFonts w:cstheme="minorHAnsi"/>
        </w:rPr>
        <w:t xml:space="preserve">. Se les ofrece </w:t>
      </w:r>
      <w:r w:rsidR="005B799C">
        <w:rPr>
          <w:rFonts w:cstheme="minorHAnsi"/>
        </w:rPr>
        <w:t xml:space="preserve">así </w:t>
      </w:r>
      <w:r w:rsidR="00BB56A3" w:rsidRPr="00BB56A3">
        <w:rPr>
          <w:rFonts w:cstheme="minorHAnsi"/>
        </w:rPr>
        <w:t>la posibilidad de cotizar por su trabajo de cuidados</w:t>
      </w:r>
      <w:r w:rsidR="005B799C">
        <w:rPr>
          <w:rFonts w:cstheme="minorHAnsi"/>
        </w:rPr>
        <w:t xml:space="preserve"> </w:t>
      </w:r>
      <w:r w:rsidR="00BB56A3" w:rsidRPr="00BB56A3">
        <w:rPr>
          <w:rFonts w:cstheme="minorHAnsi"/>
        </w:rPr>
        <w:t>para as</w:t>
      </w:r>
      <w:r>
        <w:rPr>
          <w:rFonts w:cstheme="minorHAnsi"/>
        </w:rPr>
        <w:t>egurar</w:t>
      </w:r>
      <w:r w:rsidR="005B799C">
        <w:rPr>
          <w:rFonts w:cstheme="minorHAnsi"/>
        </w:rPr>
        <w:t>se</w:t>
      </w:r>
      <w:r>
        <w:rPr>
          <w:rFonts w:cstheme="minorHAnsi"/>
        </w:rPr>
        <w:t xml:space="preserve"> una pensión en el futuro a través del</w:t>
      </w:r>
      <w:r w:rsidR="00BB56A3" w:rsidRPr="00BB56A3">
        <w:rPr>
          <w:rFonts w:cstheme="minorHAnsi"/>
        </w:rPr>
        <w:t xml:space="preserve"> </w:t>
      </w:r>
      <w:r>
        <w:rPr>
          <w:rFonts w:cstheme="minorHAnsi"/>
        </w:rPr>
        <w:t>Convenio Especial de Cuidadores No Profesionales de Personas en S</w:t>
      </w:r>
      <w:r w:rsidRPr="00BB56A3">
        <w:rPr>
          <w:rFonts w:cstheme="minorHAnsi"/>
        </w:rPr>
        <w:t>ituación</w:t>
      </w:r>
      <w:r>
        <w:rPr>
          <w:rFonts w:cstheme="minorHAnsi"/>
        </w:rPr>
        <w:t xml:space="preserve"> de D</w:t>
      </w:r>
      <w:r w:rsidRPr="00BB56A3">
        <w:rPr>
          <w:rFonts w:cstheme="minorHAnsi"/>
        </w:rPr>
        <w:t>ependencia</w:t>
      </w:r>
      <w:r w:rsidR="005B799C">
        <w:rPr>
          <w:rFonts w:cstheme="minorHAnsi"/>
        </w:rPr>
        <w:t>. Hasta el mes de</w:t>
      </w:r>
      <w:r w:rsidR="00BB56A3" w:rsidRPr="00BB56A3">
        <w:rPr>
          <w:rFonts w:cstheme="minorHAnsi"/>
        </w:rPr>
        <w:t xml:space="preserve"> septiembre de 2025 </w:t>
      </w:r>
      <w:r>
        <w:rPr>
          <w:rFonts w:cstheme="minorHAnsi"/>
        </w:rPr>
        <w:t>se han acogido a</w:t>
      </w:r>
      <w:r w:rsidR="00BB56A3" w:rsidRPr="00BB56A3">
        <w:rPr>
          <w:rFonts w:cstheme="minorHAnsi"/>
        </w:rPr>
        <w:t xml:space="preserve"> este Convenio 95.372 pers</w:t>
      </w:r>
      <w:r w:rsidR="000067D1">
        <w:rPr>
          <w:rFonts w:cstheme="minorHAnsi"/>
        </w:rPr>
        <w:t>onas en todo el estado español.</w:t>
      </w:r>
    </w:p>
    <w:p w14:paraId="65BA94C7" w14:textId="77777777" w:rsidR="00472C89" w:rsidRPr="00472C89" w:rsidRDefault="00472C89" w:rsidP="00BB56A3">
      <w:pPr>
        <w:spacing w:line="360" w:lineRule="auto"/>
        <w:jc w:val="both"/>
        <w:rPr>
          <w:rFonts w:cstheme="minorHAnsi"/>
          <w:b/>
          <w:i/>
        </w:rPr>
      </w:pPr>
      <w:r w:rsidRPr="00472C89">
        <w:rPr>
          <w:rFonts w:cstheme="minorHAnsi"/>
          <w:b/>
          <w:i/>
        </w:rPr>
        <w:t>Sistema de Información de Usuarios de Servicios Sociales</w:t>
      </w:r>
    </w:p>
    <w:p w14:paraId="41EA888F" w14:textId="77777777" w:rsidR="00BB56A3" w:rsidRPr="00E73121" w:rsidRDefault="00BB56A3" w:rsidP="00BB56A3">
      <w:pPr>
        <w:spacing w:line="360" w:lineRule="auto"/>
        <w:jc w:val="both"/>
        <w:rPr>
          <w:rFonts w:cstheme="minorHAnsi"/>
        </w:rPr>
      </w:pPr>
      <w:r w:rsidRPr="00E73121">
        <w:rPr>
          <w:rFonts w:cstheme="minorHAnsi"/>
        </w:rPr>
        <w:t>Con el objetivo</w:t>
      </w:r>
      <w:r>
        <w:rPr>
          <w:rFonts w:cstheme="minorHAnsi"/>
        </w:rPr>
        <w:t xml:space="preserve"> de sustituir el antiguo SIUSS, </w:t>
      </w:r>
      <w:r w:rsidRPr="00E73121">
        <w:rPr>
          <w:rFonts w:cstheme="minorHAnsi"/>
        </w:rPr>
        <w:t>sistema encargado de recopilar y analizar la información básica sobre los usu</w:t>
      </w:r>
      <w:r>
        <w:rPr>
          <w:rFonts w:cstheme="minorHAnsi"/>
        </w:rPr>
        <w:t>arios de los servicios sociales</w:t>
      </w:r>
      <w:r w:rsidRPr="00E73121">
        <w:rPr>
          <w:rFonts w:cstheme="minorHAnsi"/>
        </w:rPr>
        <w:t xml:space="preserve">, se han desarrollado nuevas herramientas tecnológicas orientadas a mejorar los sistemas de información y gestión. Estas herramientas, denominadas </w:t>
      </w:r>
      <w:r w:rsidRPr="00BB56A3">
        <w:rPr>
          <w:rFonts w:cstheme="minorHAnsi"/>
        </w:rPr>
        <w:t>SEGISS</w:t>
      </w:r>
      <w:r w:rsidRPr="00E73121">
        <w:rPr>
          <w:rFonts w:cstheme="minorHAnsi"/>
        </w:rPr>
        <w:t xml:space="preserve"> (Sistema Estatal de Gestión de la Información de Servicios Sociales) y </w:t>
      </w:r>
      <w:r w:rsidRPr="00BB56A3">
        <w:rPr>
          <w:rFonts w:cstheme="minorHAnsi"/>
        </w:rPr>
        <w:t xml:space="preserve">SIESS </w:t>
      </w:r>
      <w:r w:rsidRPr="00E73121">
        <w:rPr>
          <w:rFonts w:cstheme="minorHAnsi"/>
        </w:rPr>
        <w:t xml:space="preserve">(Sistema de Información Estatal de los Servicios Sociales), buscan modernizar y unificar la información existente, así como abordar las nuevas tipologías de demandas y necesidades y la creciente complejidad de los servicios sociales. </w:t>
      </w:r>
    </w:p>
    <w:p w14:paraId="5D85AFDD" w14:textId="77777777" w:rsidR="00BB56A3" w:rsidRPr="00E73121" w:rsidRDefault="00F71546" w:rsidP="00BB56A3">
      <w:pPr>
        <w:spacing w:line="360" w:lineRule="auto"/>
        <w:jc w:val="both"/>
        <w:rPr>
          <w:rFonts w:cstheme="minorHAnsi"/>
        </w:rPr>
      </w:pPr>
      <w:r>
        <w:rPr>
          <w:rFonts w:cstheme="minorHAnsi"/>
        </w:rPr>
        <w:t>Se han desarrollado en</w:t>
      </w:r>
      <w:r w:rsidR="00BB56A3" w:rsidRPr="00E73121">
        <w:rPr>
          <w:rFonts w:cstheme="minorHAnsi"/>
        </w:rPr>
        <w:t xml:space="preserve"> colaboración con las Comunidades Autónomas, las Ciudades Autónomas de Ceuta y Melilla, y profesionales de las Entidades Locales gestoras de servicios sociales</w:t>
      </w:r>
      <w:r w:rsidR="00BB56A3">
        <w:rPr>
          <w:rFonts w:cstheme="minorHAnsi"/>
        </w:rPr>
        <w:t>,</w:t>
      </w:r>
      <w:r w:rsidR="00BB56A3" w:rsidRPr="00E73121">
        <w:rPr>
          <w:rFonts w:cstheme="minorHAnsi"/>
        </w:rPr>
        <w:t xml:space="preserve"> </w:t>
      </w:r>
      <w:r>
        <w:rPr>
          <w:rFonts w:cstheme="minorHAnsi"/>
        </w:rPr>
        <w:t>junto a la elaboración de otros</w:t>
      </w:r>
      <w:r w:rsidR="00BB56A3" w:rsidRPr="00E73121">
        <w:rPr>
          <w:rFonts w:cstheme="minorHAnsi"/>
        </w:rPr>
        <w:t xml:space="preserve"> documentos:</w:t>
      </w:r>
    </w:p>
    <w:p w14:paraId="6CB889EC" w14:textId="77777777" w:rsidR="00BB56A3" w:rsidRPr="00B0771A" w:rsidRDefault="00BB56A3" w:rsidP="00B0771A">
      <w:pPr>
        <w:pStyle w:val="ListParagraph"/>
        <w:numPr>
          <w:ilvl w:val="0"/>
          <w:numId w:val="10"/>
        </w:numPr>
        <w:spacing w:line="360" w:lineRule="auto"/>
        <w:jc w:val="both"/>
        <w:rPr>
          <w:rFonts w:cstheme="minorHAnsi"/>
        </w:rPr>
      </w:pPr>
      <w:r w:rsidRPr="00B0771A">
        <w:rPr>
          <w:rFonts w:cstheme="minorHAnsi"/>
        </w:rPr>
        <w:t>El Catálogo de Entidades Locales Gest</w:t>
      </w:r>
      <w:r w:rsidR="00B0771A" w:rsidRPr="00B0771A">
        <w:rPr>
          <w:rFonts w:cstheme="minorHAnsi"/>
        </w:rPr>
        <w:t>oras de Servicios Sociales</w:t>
      </w:r>
      <w:r w:rsidR="00F71546">
        <w:rPr>
          <w:rFonts w:cstheme="minorHAnsi"/>
        </w:rPr>
        <w:t>.</w:t>
      </w:r>
    </w:p>
    <w:p w14:paraId="7E901E5D" w14:textId="77777777" w:rsidR="00BB56A3" w:rsidRPr="00B0771A" w:rsidRDefault="00BB56A3" w:rsidP="00B0771A">
      <w:pPr>
        <w:pStyle w:val="ListParagraph"/>
        <w:numPr>
          <w:ilvl w:val="0"/>
          <w:numId w:val="10"/>
        </w:numPr>
        <w:spacing w:line="360" w:lineRule="auto"/>
        <w:jc w:val="both"/>
        <w:rPr>
          <w:rFonts w:cstheme="minorHAnsi"/>
        </w:rPr>
      </w:pPr>
      <w:r w:rsidRPr="00B0771A">
        <w:rPr>
          <w:rFonts w:cstheme="minorHAnsi"/>
        </w:rPr>
        <w:t>La Tabla de equivalencias de prestaciones económicas y de servicios, cuyo objetivo es identificar los recursos comunes que se ofrecen en todo el territorio nacional.</w:t>
      </w:r>
    </w:p>
    <w:p w14:paraId="79E9CAE5" w14:textId="77777777" w:rsidR="00715E1F" w:rsidRPr="00B0771A" w:rsidRDefault="00BB56A3" w:rsidP="00B0771A">
      <w:pPr>
        <w:pStyle w:val="ListParagraph"/>
        <w:numPr>
          <w:ilvl w:val="0"/>
          <w:numId w:val="10"/>
        </w:numPr>
        <w:spacing w:line="360" w:lineRule="auto"/>
        <w:jc w:val="both"/>
        <w:rPr>
          <w:rFonts w:cstheme="minorHAnsi"/>
        </w:rPr>
      </w:pPr>
      <w:r w:rsidRPr="00B0771A">
        <w:rPr>
          <w:rFonts w:cstheme="minorHAnsi"/>
        </w:rPr>
        <w:t>El Catálogo mínimo común de prestaciones.</w:t>
      </w:r>
    </w:p>
    <w:p w14:paraId="1919AFCD" w14:textId="77777777" w:rsidR="007F5D6E" w:rsidRPr="007F5D6E" w:rsidRDefault="007F5D6E" w:rsidP="00715E1F">
      <w:pPr>
        <w:spacing w:line="360" w:lineRule="auto"/>
        <w:jc w:val="both"/>
        <w:rPr>
          <w:rFonts w:cstheme="minorHAnsi"/>
          <w:b/>
          <w:i/>
        </w:rPr>
      </w:pPr>
      <w:r>
        <w:rPr>
          <w:rFonts w:cstheme="minorHAnsi"/>
          <w:b/>
          <w:i/>
        </w:rPr>
        <w:t>Sostenibilidad del sistema de pensiones</w:t>
      </w:r>
    </w:p>
    <w:p w14:paraId="097A01A6" w14:textId="77777777" w:rsidR="00715E1F" w:rsidRPr="00715E1F" w:rsidRDefault="00F71546" w:rsidP="00715E1F">
      <w:pPr>
        <w:spacing w:line="360" w:lineRule="auto"/>
        <w:jc w:val="both"/>
        <w:rPr>
          <w:rFonts w:cstheme="minorHAnsi"/>
        </w:rPr>
      </w:pPr>
      <w:r>
        <w:rPr>
          <w:rFonts w:cstheme="minorHAnsi"/>
        </w:rPr>
        <w:t>Las</w:t>
      </w:r>
      <w:r w:rsidR="00715E1F" w:rsidRPr="00715E1F">
        <w:rPr>
          <w:rFonts w:cstheme="minorHAnsi"/>
        </w:rPr>
        <w:t xml:space="preserve"> reformas del sistema de pensiones aprobadas en los últimos </w:t>
      </w:r>
      <w:r>
        <w:rPr>
          <w:rFonts w:cstheme="minorHAnsi"/>
        </w:rPr>
        <w:t>años</w:t>
      </w:r>
      <w:r w:rsidR="00715E1F" w:rsidRPr="00715E1F">
        <w:rPr>
          <w:rFonts w:cstheme="minorHAnsi"/>
        </w:rPr>
        <w:t xml:space="preserve"> tienen como objetivo garantiz</w:t>
      </w:r>
      <w:r>
        <w:rPr>
          <w:rFonts w:cstheme="minorHAnsi"/>
        </w:rPr>
        <w:t>ar su</w:t>
      </w:r>
      <w:r w:rsidR="00715E1F" w:rsidRPr="00715E1F">
        <w:rPr>
          <w:rFonts w:cstheme="minorHAnsi"/>
        </w:rPr>
        <w:t xml:space="preserve"> sostenibilidad, a partir del consenso establecido en el marco del Pacto de Toledo</w:t>
      </w:r>
      <w:r w:rsidR="00855360">
        <w:rPr>
          <w:rFonts w:cstheme="minorHAnsi"/>
        </w:rPr>
        <w:t xml:space="preserve"> y a través del diálogo social. </w:t>
      </w:r>
      <w:r w:rsidR="00715E1F" w:rsidRPr="00715E1F">
        <w:rPr>
          <w:rFonts w:cstheme="minorHAnsi"/>
        </w:rPr>
        <w:t>Cronológicamente, la primera de estas reformas, aprobada por la Ley 2</w:t>
      </w:r>
      <w:r w:rsidR="00592CDB">
        <w:rPr>
          <w:rFonts w:cstheme="minorHAnsi"/>
        </w:rPr>
        <w:t>1/2021, de 28 de diciembre, de Garantía del Poder Adquisitivo de las P</w:t>
      </w:r>
      <w:r w:rsidR="00715E1F" w:rsidRPr="00715E1F">
        <w:rPr>
          <w:rFonts w:cstheme="minorHAnsi"/>
        </w:rPr>
        <w:t>ensiones y de otras medidas de refuerzo de la sostenibilidad financiera y social del sistema público de pen</w:t>
      </w:r>
      <w:r w:rsidR="00855360">
        <w:rPr>
          <w:rFonts w:cstheme="minorHAnsi"/>
        </w:rPr>
        <w:t xml:space="preserve">siones, </w:t>
      </w:r>
      <w:r w:rsidR="00855360">
        <w:rPr>
          <w:rFonts w:cstheme="minorHAnsi"/>
        </w:rPr>
        <w:lastRenderedPageBreak/>
        <w:t>recuperó el derecho a su</w:t>
      </w:r>
      <w:r w:rsidR="00715E1F" w:rsidRPr="00715E1F">
        <w:rPr>
          <w:rFonts w:cstheme="minorHAnsi"/>
        </w:rPr>
        <w:t xml:space="preserve"> revalorización con el fin de garantizar el mantenimiento del poder adquisitivo, al tiempo que estableció incentivos y medidas para favorecer la prolongación de la vida laboral.</w:t>
      </w:r>
    </w:p>
    <w:p w14:paraId="289DFD4C" w14:textId="77777777" w:rsidR="00715E1F" w:rsidRPr="00715E1F" w:rsidRDefault="00715E1F" w:rsidP="00715E1F">
      <w:pPr>
        <w:spacing w:line="360" w:lineRule="auto"/>
        <w:jc w:val="both"/>
        <w:rPr>
          <w:rFonts w:cstheme="minorHAnsi"/>
        </w:rPr>
      </w:pPr>
      <w:r w:rsidRPr="00715E1F">
        <w:rPr>
          <w:rFonts w:cstheme="minorHAnsi"/>
        </w:rPr>
        <w:t>En términos de limitación del gasto y de búsqueda del acercamiento entre la edad ordinaria de jubilación y la edad</w:t>
      </w:r>
      <w:r w:rsidR="00592CDB">
        <w:rPr>
          <w:rFonts w:cstheme="minorHAnsi"/>
        </w:rPr>
        <w:t xml:space="preserve"> efectiva de jubilación, la misma Ley ya citada </w:t>
      </w:r>
      <w:r w:rsidRPr="00715E1F">
        <w:rPr>
          <w:rFonts w:cstheme="minorHAnsi"/>
        </w:rPr>
        <w:t>modifica los coeficientes reductores de la pensión inicial de los artículos 207 y 208 del texto refundido de la Ley General de la Seguridad Social, incrementando la penalización cuanto mayor sea el anticipo, a la par que se suaviza cuanto menor sea el anticipo acreditado por el beneficiario, con el fin de desincentivar el acceso a las modalidades anticipadas.</w:t>
      </w:r>
    </w:p>
    <w:p w14:paraId="51C155A5" w14:textId="77777777" w:rsidR="00715E1F" w:rsidRPr="00715E1F" w:rsidRDefault="00715E1F" w:rsidP="00715E1F">
      <w:pPr>
        <w:spacing w:line="360" w:lineRule="auto"/>
        <w:jc w:val="both"/>
        <w:rPr>
          <w:rFonts w:cstheme="minorHAnsi"/>
        </w:rPr>
      </w:pPr>
      <w:r w:rsidRPr="00715E1F">
        <w:rPr>
          <w:rFonts w:cstheme="minorHAnsi"/>
        </w:rPr>
        <w:t>El Real Decreto-</w:t>
      </w:r>
      <w:r w:rsidR="00B07867">
        <w:rPr>
          <w:rFonts w:cstheme="minorHAnsi"/>
        </w:rPr>
        <w:t>ley 2/2023, de 16 de marzo, de Medidas Urgentes para la Ampliación de Derechos de los P</w:t>
      </w:r>
      <w:r w:rsidRPr="00715E1F">
        <w:rPr>
          <w:rFonts w:cstheme="minorHAnsi"/>
        </w:rPr>
        <w:t>ensionistas, la reducción de la brecha de género y el establecimiento de un nuevo marco de sostenibilidad del sistema público de pensiones</w:t>
      </w:r>
      <w:r w:rsidR="00855360">
        <w:rPr>
          <w:rFonts w:cstheme="minorHAnsi"/>
        </w:rPr>
        <w:t>,</w:t>
      </w:r>
      <w:r w:rsidRPr="00715E1F">
        <w:rPr>
          <w:rFonts w:cstheme="minorHAnsi"/>
        </w:rPr>
        <w:t xml:space="preserve"> persigue un refuerzo de la capacidad financiera del sistema con el fin de establecer las bases que garanticen la sostenibilidad del sistema en los próximos treinta años. En primer lugar, el incremento gradual de la base máxima que permite homologar su nivel a los estándares europeos, al tiempo que amplía la masa salarial sujeta a cotización. Naturalmente, esta subida dentro de un sistema contributivo lleva aparejada una subida de la pensión máxim</w:t>
      </w:r>
      <w:r w:rsidR="00B07867">
        <w:rPr>
          <w:rFonts w:cstheme="minorHAnsi"/>
        </w:rPr>
        <w:t>a sujeta a un decalaj</w:t>
      </w:r>
      <w:r w:rsidRPr="00715E1F">
        <w:rPr>
          <w:rFonts w:cstheme="minorHAnsi"/>
        </w:rPr>
        <w:t>e temporal que hace posible maximizar el refuerzo de ingresos en el momento en el que las tensiones para el sistema serán más fuertes por el aumento del número de pensionistas asociado al “baby boom”.</w:t>
      </w:r>
    </w:p>
    <w:p w14:paraId="00FF815F" w14:textId="77777777" w:rsidR="00715E1F" w:rsidRPr="00715E1F" w:rsidRDefault="00715E1F" w:rsidP="00715E1F">
      <w:pPr>
        <w:spacing w:line="360" w:lineRule="auto"/>
        <w:jc w:val="both"/>
        <w:rPr>
          <w:rFonts w:cstheme="minorHAnsi"/>
        </w:rPr>
      </w:pPr>
      <w:r w:rsidRPr="00715E1F">
        <w:rPr>
          <w:rFonts w:cstheme="minorHAnsi"/>
        </w:rPr>
        <w:t>Además, esta ley introduce una cotización de solidaridad que grava, también de forma gradual y moderada, la masa salarial que supera la base máxima de cotización, cuya entrada en vigor se produjo el 1 de enero de 2025.</w:t>
      </w:r>
    </w:p>
    <w:p w14:paraId="6512D899" w14:textId="77777777" w:rsidR="00715E1F" w:rsidRPr="00715E1F" w:rsidRDefault="00715E1F" w:rsidP="00715E1F">
      <w:pPr>
        <w:spacing w:line="360" w:lineRule="auto"/>
        <w:jc w:val="both"/>
        <w:rPr>
          <w:rFonts w:cstheme="minorHAnsi"/>
        </w:rPr>
      </w:pPr>
      <w:r w:rsidRPr="00715E1F">
        <w:rPr>
          <w:rFonts w:cstheme="minorHAnsi"/>
        </w:rPr>
        <w:t>Otro de los instrumentos más relevantes es el del Mecanismo de Equidad Intergeneracional que, si bien data de la Ley 21/2021, de 28 de diciembre, ha sido modificado para reforzar su capacidad como instrumento de estabilización financiera del sistema, por lo que se establece una cotización adicional de 0,6 puntos porcentuales (2023), que aumenta progresivamente hasta alcanzar 1,2 puntos porcentuales en 2029, que nutre los recursos del Fondo de Reserva con el objetivo de preservar el equilibrio entre generaciones y fortalecer la sostenibilidad del sistema de la Seguridad Social a largo plazo.</w:t>
      </w:r>
    </w:p>
    <w:p w14:paraId="39537109" w14:textId="77777777" w:rsidR="00CF7FD3" w:rsidRPr="00CF7FD3" w:rsidRDefault="00CF7FD3" w:rsidP="00715E1F">
      <w:pPr>
        <w:spacing w:line="360" w:lineRule="auto"/>
        <w:jc w:val="both"/>
        <w:rPr>
          <w:rFonts w:cstheme="minorHAnsi"/>
          <w:b/>
          <w:i/>
        </w:rPr>
      </w:pPr>
      <w:r w:rsidRPr="00CF7FD3">
        <w:rPr>
          <w:rFonts w:cstheme="minorHAnsi"/>
          <w:b/>
          <w:i/>
        </w:rPr>
        <w:t>Revisión de las pensiones</w:t>
      </w:r>
    </w:p>
    <w:p w14:paraId="5124402F" w14:textId="77777777" w:rsidR="00715E1F" w:rsidRPr="00715E1F" w:rsidRDefault="00715E1F" w:rsidP="00715E1F">
      <w:pPr>
        <w:spacing w:line="360" w:lineRule="auto"/>
        <w:jc w:val="both"/>
        <w:rPr>
          <w:rFonts w:cstheme="minorHAnsi"/>
        </w:rPr>
      </w:pPr>
      <w:r w:rsidRPr="00715E1F">
        <w:rPr>
          <w:rFonts w:cstheme="minorHAnsi"/>
        </w:rPr>
        <w:t xml:space="preserve">En cuanto a la revisión periódica de las pensiones, de acuerdo con la disposición adicional quincuagésima tercera del TRLGSS añadida por el Real Decreto-ley 2/2023, de 16 de marzo, en </w:t>
      </w:r>
      <w:r w:rsidRPr="00715E1F">
        <w:rPr>
          <w:rFonts w:cstheme="minorHAnsi"/>
        </w:rPr>
        <w:lastRenderedPageBreak/>
        <w:t>cumplimiento de la recomendación 15 del Pacto de Toledo de 2020, se fija de forma estructural un indicador objetivo de referencia para marcar la evolución futura de las cuantías de las diversas modalidades con complemento de mínimos a fin de preservar el objetivo de suficiencia y de reducción de la pobreza. El apartado 7 d</w:t>
      </w:r>
      <w:r w:rsidR="00B53E1A">
        <w:rPr>
          <w:rFonts w:cstheme="minorHAnsi"/>
        </w:rPr>
        <w:t>e este artículo establece que “e</w:t>
      </w:r>
      <w:r w:rsidRPr="00715E1F">
        <w:rPr>
          <w:rFonts w:cstheme="minorHAnsi"/>
        </w:rPr>
        <w:t>l Gobierno realizará un seguimiento continuo de la evolución de las pensiones mínimas y de las pensiones no contributivas. A partir de este análisis, y con periodicidad anual, elevará un informe a la citada Comisión del Pacto de Toledo en el que evaluará el impacto de estas prestaciones en la reducción de la pobreza, con particular atención a la dimensión de género, y propondrá en su caso la revisión de los parámetros que inciden en la capacidad de estas prestaciones de eliminar la pobreza y dignificar el nivel de vida de sus perceptores”</w:t>
      </w:r>
      <w:r w:rsidR="00B53E1A">
        <w:rPr>
          <w:rFonts w:cstheme="minorHAnsi"/>
        </w:rPr>
        <w:t>.</w:t>
      </w:r>
    </w:p>
    <w:p w14:paraId="2071B5D3" w14:textId="77777777" w:rsidR="0086446C" w:rsidRDefault="0086446C" w:rsidP="00715E1F">
      <w:pPr>
        <w:spacing w:line="360" w:lineRule="auto"/>
        <w:jc w:val="both"/>
        <w:rPr>
          <w:rFonts w:cstheme="minorHAnsi"/>
          <w:b/>
          <w:i/>
        </w:rPr>
      </w:pPr>
    </w:p>
    <w:p w14:paraId="76BF23B6" w14:textId="53668E66" w:rsidR="00CF7FD3" w:rsidRPr="00CF7FD3" w:rsidRDefault="00CF7FD3" w:rsidP="00715E1F">
      <w:pPr>
        <w:spacing w:line="360" w:lineRule="auto"/>
        <w:jc w:val="both"/>
        <w:rPr>
          <w:rFonts w:cstheme="minorHAnsi"/>
          <w:b/>
          <w:i/>
        </w:rPr>
      </w:pPr>
      <w:r w:rsidRPr="00CF7FD3">
        <w:rPr>
          <w:rFonts w:cstheme="minorHAnsi"/>
          <w:b/>
          <w:i/>
        </w:rPr>
        <w:t>Igualdad de género</w:t>
      </w:r>
    </w:p>
    <w:p w14:paraId="1DC9F8C0" w14:textId="77777777" w:rsidR="00715E1F" w:rsidRPr="00715E1F" w:rsidRDefault="00855360" w:rsidP="00715E1F">
      <w:pPr>
        <w:spacing w:line="360" w:lineRule="auto"/>
        <w:jc w:val="both"/>
        <w:rPr>
          <w:rFonts w:cstheme="minorHAnsi"/>
        </w:rPr>
      </w:pPr>
      <w:r>
        <w:rPr>
          <w:rFonts w:cstheme="minorHAnsi"/>
        </w:rPr>
        <w:t>El</w:t>
      </w:r>
      <w:r w:rsidR="00715E1F" w:rsidRPr="00715E1F">
        <w:rPr>
          <w:rFonts w:cstheme="minorHAnsi"/>
        </w:rPr>
        <w:t xml:space="preserve"> Real Decreto-ley 2/2023, de 16 de marzo, </w:t>
      </w:r>
      <w:r w:rsidR="00D05222">
        <w:rPr>
          <w:rFonts w:cstheme="minorHAnsi"/>
        </w:rPr>
        <w:t xml:space="preserve">mencionado en el apartado anterior, </w:t>
      </w:r>
      <w:r w:rsidR="00715E1F" w:rsidRPr="00715E1F">
        <w:rPr>
          <w:rFonts w:cstheme="minorHAnsi"/>
        </w:rPr>
        <w:t>con el objetivo de reducir la brecha de género, y con vistas al fomento de la natalidad, modifica el artículo 237 del TRLGSS, para considerar como efectivamente cotizados los tres primeros años del período de excedencia que los trabajadores disfruten, de acuerdo con el artículo 46.3 del texto refundido de la Ley del Estatuto de los Trabajadores, aprobado por el Real Decreto Legislativo 2/2015, de 23 de octubre (en adelante, TRLET), en razón del cuidado de hijos y familiares hasta determinado grado; así como el período de reducción de la jornada de trabajo por cuidado de menor previsto en el primer párrafo del artículo 37.6 del mismo texto legal, en el que se incrementan las cotizaciones hasta el 100 por ciento de la cuantía</w:t>
      </w:r>
      <w:r>
        <w:rPr>
          <w:rFonts w:cstheme="minorHAnsi"/>
        </w:rPr>
        <w:t xml:space="preserve">. </w:t>
      </w:r>
      <w:r w:rsidR="00715E1F" w:rsidRPr="00715E1F">
        <w:rPr>
          <w:rFonts w:cstheme="minorHAnsi"/>
        </w:rPr>
        <w:t>Con ese mismo objetivo se introduce una nueva disposición transitoria cuadragésima primera en el TRLGSS, que establece para el cálculo de la pensión de jubilación de las mujeres una mejora en la integración de períodos sin obligación de cotizar, en tanto no se reduzca la brecha de género, respecto de determinados períodos.</w:t>
      </w:r>
    </w:p>
    <w:p w14:paraId="6858AC7F" w14:textId="77777777" w:rsidR="00855360" w:rsidRDefault="00B313BB" w:rsidP="00715E1F">
      <w:pPr>
        <w:spacing w:line="360" w:lineRule="auto"/>
        <w:jc w:val="both"/>
        <w:rPr>
          <w:rFonts w:cstheme="minorHAnsi"/>
        </w:rPr>
      </w:pPr>
      <w:r>
        <w:rPr>
          <w:rFonts w:cstheme="minorHAnsi"/>
        </w:rPr>
        <w:t>Se</w:t>
      </w:r>
      <w:r w:rsidR="00715E1F" w:rsidRPr="00715E1F">
        <w:rPr>
          <w:rFonts w:cstheme="minorHAnsi"/>
        </w:rPr>
        <w:t xml:space="preserve"> considera de especial relevancia el Real Decreto-ley 6/2019, de 1 de marzo, de medidas urgentes para garantía de la igualdad de trato y de oportunidades entre mujeres y hombres en el empleo y la ocupación</w:t>
      </w:r>
      <w:r w:rsidR="00855360">
        <w:rPr>
          <w:rFonts w:cstheme="minorHAnsi"/>
        </w:rPr>
        <w:t>,</w:t>
      </w:r>
      <w:r w:rsidR="00715E1F" w:rsidRPr="00715E1F">
        <w:rPr>
          <w:rFonts w:cstheme="minorHAnsi"/>
        </w:rPr>
        <w:t xml:space="preserve"> equiparando, en sus respectivos ámbitos de aplicación, la duración de los permisos por nacimiento de hijo o hija de ambos progenitores. </w:t>
      </w:r>
    </w:p>
    <w:p w14:paraId="2CDE80AB" w14:textId="77777777" w:rsidR="00AE17CE" w:rsidRPr="00AE17CE" w:rsidRDefault="00AE17CE" w:rsidP="00715E1F">
      <w:pPr>
        <w:spacing w:line="360" w:lineRule="auto"/>
        <w:jc w:val="both"/>
        <w:rPr>
          <w:rFonts w:cstheme="minorHAnsi"/>
          <w:b/>
          <w:i/>
        </w:rPr>
      </w:pPr>
      <w:r w:rsidRPr="00AE17CE">
        <w:rPr>
          <w:rFonts w:cstheme="minorHAnsi"/>
          <w:b/>
          <w:i/>
        </w:rPr>
        <w:t>Trabajadores de la economía informal</w:t>
      </w:r>
    </w:p>
    <w:p w14:paraId="6EFAF59D" w14:textId="77777777" w:rsidR="00B4017F" w:rsidRPr="00855360" w:rsidRDefault="00855360" w:rsidP="00715E1F">
      <w:pPr>
        <w:spacing w:line="360" w:lineRule="auto"/>
        <w:jc w:val="both"/>
        <w:rPr>
          <w:rFonts w:cstheme="minorHAnsi"/>
        </w:rPr>
      </w:pPr>
      <w:r>
        <w:rPr>
          <w:rFonts w:cstheme="minorHAnsi"/>
        </w:rPr>
        <w:t>Los</w:t>
      </w:r>
      <w:r w:rsidR="00715E1F" w:rsidRPr="00715E1F">
        <w:rPr>
          <w:rFonts w:cstheme="minorHAnsi"/>
        </w:rPr>
        <w:t xml:space="preserve"> trabajadores comprendidos en el campo de aplicación del Régimen General de la Seguridad Social se considerarán de pleno derecho afiliados y en alta, a efectos de las prestaciones </w:t>
      </w:r>
      <w:r w:rsidR="00715E1F" w:rsidRPr="00715E1F">
        <w:rPr>
          <w:rFonts w:cstheme="minorHAnsi"/>
        </w:rPr>
        <w:lastRenderedPageBreak/>
        <w:t xml:space="preserve">derivadas de accidentes de trabajo y enfermedades profesionales, desempleo y asistencia sanitaria por enfermedad común, maternidad, riesgo durante el embarazo y accidente no laboral, operando un principio de automaticidad en las prestaciones, sin perjuicio de la existencia </w:t>
      </w:r>
      <w:r>
        <w:rPr>
          <w:rFonts w:cstheme="minorHAnsi"/>
        </w:rPr>
        <w:t xml:space="preserve">de responsabilidad empresarial. </w:t>
      </w:r>
      <w:r w:rsidR="00715E1F" w:rsidRPr="00715E1F">
        <w:rPr>
          <w:rFonts w:cstheme="minorHAnsi"/>
        </w:rPr>
        <w:t>Esto se extiende tanto a los ciudadanos españoles como a los extranjeros con autorización para trabajar. En cambio, los ciudadanos extranjeros sin autorización para trabajar, nacionales de países firmantes del Convenio 19 de la Organización Internacional del Trabajo, se considerarán incluidos en el sistema español de Seguridad Social a los solos efectos de la protección frente a las contingencias de accidente de trabaj</w:t>
      </w:r>
      <w:r>
        <w:rPr>
          <w:rFonts w:cstheme="minorHAnsi"/>
        </w:rPr>
        <w:t>o y enfermedades profesionales.</w:t>
      </w:r>
    </w:p>
    <w:p w14:paraId="04AC3710" w14:textId="77777777" w:rsidR="0086446C" w:rsidRDefault="0086446C" w:rsidP="00715E1F">
      <w:pPr>
        <w:spacing w:line="360" w:lineRule="auto"/>
        <w:jc w:val="both"/>
        <w:rPr>
          <w:rFonts w:cstheme="minorHAnsi"/>
          <w:b/>
          <w:i/>
        </w:rPr>
      </w:pPr>
    </w:p>
    <w:p w14:paraId="0288A525" w14:textId="77777777" w:rsidR="0086446C" w:rsidRDefault="0086446C" w:rsidP="00715E1F">
      <w:pPr>
        <w:spacing w:line="360" w:lineRule="auto"/>
        <w:jc w:val="both"/>
        <w:rPr>
          <w:rFonts w:cstheme="minorHAnsi"/>
          <w:b/>
          <w:i/>
        </w:rPr>
      </w:pPr>
    </w:p>
    <w:p w14:paraId="2CAD6B8B" w14:textId="22A0812F" w:rsidR="00AE17CE" w:rsidRPr="00AE17CE" w:rsidRDefault="00AE17CE" w:rsidP="00715E1F">
      <w:pPr>
        <w:spacing w:line="360" w:lineRule="auto"/>
        <w:jc w:val="both"/>
        <w:rPr>
          <w:rFonts w:cstheme="minorHAnsi"/>
          <w:b/>
          <w:i/>
        </w:rPr>
      </w:pPr>
      <w:r w:rsidRPr="00AE17CE">
        <w:rPr>
          <w:rFonts w:cstheme="minorHAnsi"/>
          <w:b/>
          <w:i/>
        </w:rPr>
        <w:t>Seguridad Social para los no nacionales</w:t>
      </w:r>
    </w:p>
    <w:p w14:paraId="14036F5E" w14:textId="77777777" w:rsidR="00715E1F" w:rsidRPr="00715E1F" w:rsidRDefault="00F470B3" w:rsidP="00715E1F">
      <w:pPr>
        <w:spacing w:line="360" w:lineRule="auto"/>
        <w:jc w:val="both"/>
        <w:rPr>
          <w:rFonts w:cstheme="minorHAnsi"/>
        </w:rPr>
      </w:pPr>
      <w:r>
        <w:rPr>
          <w:rFonts w:cstheme="minorHAnsi"/>
        </w:rPr>
        <w:t>A</w:t>
      </w:r>
      <w:r w:rsidR="00715E1F" w:rsidRPr="00715E1F">
        <w:rPr>
          <w:rFonts w:cstheme="minorHAnsi"/>
        </w:rPr>
        <w:t xml:space="preserve"> efectos de las prestaciones contributivas, están comprendidos en el sistema de la Seguridad Social, cualquiera que sea su sexo, estado civil y profesión, los españoles que residan en España y los extranjeros que residan o se encuentren legalmente en España, siempre y cuando, en ambos supuestos, realicen su actividad en territorio nacional y estén incluidos en algunos de los apartados que se enumeran en el artículo 7.1 del TRLGSS (trabajadores por cuenta ajena; trabajadores por cuenta propia o autónomos; socios trabajadores de trabajo asociado; estudiantes ; y funcionarios públicos civiles y militares).</w:t>
      </w:r>
    </w:p>
    <w:p w14:paraId="62D421A4" w14:textId="77777777" w:rsidR="00715E1F" w:rsidRPr="00715E1F" w:rsidRDefault="00715E1F" w:rsidP="00715E1F">
      <w:pPr>
        <w:spacing w:line="360" w:lineRule="auto"/>
        <w:jc w:val="both"/>
        <w:rPr>
          <w:rFonts w:cstheme="minorHAnsi"/>
        </w:rPr>
      </w:pPr>
      <w:r w:rsidRPr="00715E1F">
        <w:rPr>
          <w:rFonts w:cstheme="minorHAnsi"/>
        </w:rPr>
        <w:t>A efectos de las prestaciones no contributivas, están incluidos todos los españoles residentes en territorio nacional, así como los extranjeros que residan legalmente en territorio español, en los términos previstos en la Ley Orgánica 4/2000, de 11 de enero, sobre derechos y libertades de los extranjeros en España y su integración social y, en su caso, en los tratados, convenios, acuerdos o instrumentos internacionales aprobados, suscritos o ratificados al efecto.</w:t>
      </w:r>
    </w:p>
    <w:p w14:paraId="7F1B8F21" w14:textId="77777777" w:rsidR="00F470B3" w:rsidRPr="00F470B3" w:rsidRDefault="00715E1F" w:rsidP="00715E1F">
      <w:pPr>
        <w:spacing w:line="360" w:lineRule="auto"/>
        <w:jc w:val="both"/>
        <w:rPr>
          <w:rFonts w:cstheme="minorHAnsi"/>
        </w:rPr>
      </w:pPr>
      <w:r w:rsidRPr="00715E1F">
        <w:rPr>
          <w:rFonts w:cstheme="minorHAnsi"/>
        </w:rPr>
        <w:t>En consecuencia, procede señalar que los extranjeros que residan legalmente y trabajen en nuestro país, exista o no convenio bilateral de Seguridad Social con su país de origen, tienen asegurado un alto nivel de protección social, exigiéndoseles para ello los mismos requis</w:t>
      </w:r>
      <w:r w:rsidR="00F470B3">
        <w:rPr>
          <w:rFonts w:cstheme="minorHAnsi"/>
        </w:rPr>
        <w:t>itos que a nuestros nacionales.</w:t>
      </w:r>
    </w:p>
    <w:p w14:paraId="5F4EDD2C" w14:textId="77777777" w:rsidR="00AE17CE" w:rsidRPr="00AE17CE" w:rsidRDefault="00AE17CE" w:rsidP="00715E1F">
      <w:pPr>
        <w:spacing w:line="360" w:lineRule="auto"/>
        <w:jc w:val="both"/>
        <w:rPr>
          <w:rFonts w:cstheme="minorHAnsi"/>
          <w:b/>
          <w:i/>
        </w:rPr>
      </w:pPr>
      <w:r w:rsidRPr="00AE17CE">
        <w:rPr>
          <w:rFonts w:cstheme="minorHAnsi"/>
          <w:b/>
          <w:i/>
        </w:rPr>
        <w:t>Incentivos de permanencia en el mercado laboral</w:t>
      </w:r>
    </w:p>
    <w:p w14:paraId="6F87C84F" w14:textId="77777777" w:rsidR="00715E1F" w:rsidRPr="00715E1F" w:rsidRDefault="00BE1BD4" w:rsidP="00715E1F">
      <w:pPr>
        <w:spacing w:line="360" w:lineRule="auto"/>
        <w:jc w:val="both"/>
        <w:rPr>
          <w:rFonts w:cstheme="minorHAnsi"/>
        </w:rPr>
      </w:pPr>
      <w:r>
        <w:rPr>
          <w:rFonts w:cstheme="minorHAnsi"/>
        </w:rPr>
        <w:t>El</w:t>
      </w:r>
      <w:r w:rsidR="00715E1F" w:rsidRPr="00715E1F">
        <w:rPr>
          <w:rFonts w:cstheme="minorHAnsi"/>
        </w:rPr>
        <w:t xml:space="preserve"> TRLGSS prevé diversos mecanismos que tienen la finalidad de incentivar la permanencia en el mercado de trabajo de las personas de mayor edad, tales como: </w:t>
      </w:r>
    </w:p>
    <w:p w14:paraId="471C6B0C" w14:textId="77777777" w:rsidR="00715E1F" w:rsidRPr="00715E1F" w:rsidRDefault="00715E1F" w:rsidP="00715E1F">
      <w:pPr>
        <w:spacing w:line="360" w:lineRule="auto"/>
        <w:jc w:val="both"/>
        <w:rPr>
          <w:rFonts w:cstheme="minorHAnsi"/>
        </w:rPr>
      </w:pPr>
      <w:r w:rsidRPr="00715E1F">
        <w:rPr>
          <w:rFonts w:cstheme="minorHAnsi"/>
        </w:rPr>
        <w:lastRenderedPageBreak/>
        <w:t>a)</w:t>
      </w:r>
      <w:r w:rsidRPr="00715E1F">
        <w:rPr>
          <w:rFonts w:cstheme="minorHAnsi"/>
        </w:rPr>
        <w:tab/>
        <w:t>La pensión de jubilación activa, regulada en el artículo 214 del TRLGSS, que permite la compatibilización de la pensión de jubilación con la percepción del trabajo por cuenta ajena, a tiempo completo o a tiempo parcial. Recientemente, a través del Real Decreto-ley 11/2024, de 23 de diciembre, con entrada en vigor el 1 de abril de 2025, se extendió el campo de aplicación de la citada pensión, eliminando el requisito de que el porcentaje aplicable a la base reguladora debiera alcanzar el 100</w:t>
      </w:r>
      <w:r w:rsidR="00BE1BD4">
        <w:rPr>
          <w:rFonts w:cstheme="minorHAnsi"/>
        </w:rPr>
        <w:t>%</w:t>
      </w:r>
      <w:r w:rsidRPr="00715E1F">
        <w:rPr>
          <w:rFonts w:cstheme="minorHAnsi"/>
        </w:rPr>
        <w:t>.</w:t>
      </w:r>
    </w:p>
    <w:p w14:paraId="28437803" w14:textId="77777777" w:rsidR="00715E1F" w:rsidRPr="00715E1F" w:rsidRDefault="00715E1F" w:rsidP="00715E1F">
      <w:pPr>
        <w:spacing w:line="360" w:lineRule="auto"/>
        <w:jc w:val="both"/>
        <w:rPr>
          <w:rFonts w:cstheme="minorHAnsi"/>
        </w:rPr>
      </w:pPr>
      <w:r w:rsidRPr="00715E1F">
        <w:rPr>
          <w:rFonts w:cstheme="minorHAnsi"/>
        </w:rPr>
        <w:t>b)</w:t>
      </w:r>
      <w:r w:rsidRPr="00715E1F">
        <w:rPr>
          <w:rFonts w:cstheme="minorHAnsi"/>
        </w:rPr>
        <w:tab/>
        <w:t>El complemento económico de demora por cada año completo cotizado que transcurra desde que la persona reunió los requisitos para acceder a la pensión ordinaria de jubilación (conocido como jubilación demorada, regulada en el artículo 210.2 del TRLGSS). Este complemento también fue afectado por el Real Decreto-ley 11/2024, de 23 de diciembre, permitiendo su compatibilidad con el acceso a la jubilación activa, así como un complemento adicional para los periodos parciales, superiores a seis meses, en los supuestos en que se haya demorado en dos o más años completos el acceso a la pensión de jubilación después de cumplir la edad ordinaria.</w:t>
      </w:r>
    </w:p>
    <w:p w14:paraId="3F5FDDF6" w14:textId="77777777" w:rsidR="00715E1F" w:rsidRPr="00715E1F" w:rsidRDefault="00715E1F" w:rsidP="00715E1F">
      <w:pPr>
        <w:spacing w:line="360" w:lineRule="auto"/>
        <w:jc w:val="both"/>
        <w:rPr>
          <w:rFonts w:cstheme="minorHAnsi"/>
        </w:rPr>
      </w:pPr>
      <w:r w:rsidRPr="00715E1F">
        <w:rPr>
          <w:rFonts w:cstheme="minorHAnsi"/>
        </w:rPr>
        <w:t>c)</w:t>
      </w:r>
      <w:r w:rsidRPr="00715E1F">
        <w:rPr>
          <w:rFonts w:cstheme="minorHAnsi"/>
        </w:rPr>
        <w:tab/>
        <w:t xml:space="preserve">La pensión de jubilación parcial, regulada en el artículo 215 del TRLGSS, tanto para las personas trabajadoras que hayan cumplido con la edad ordinaria de jubilación como con carácter anticipado y, en este último caso, previa celebración simultánea de un contrato de relevo. El Real Decreto-ley 11/2024, de 23 de diciembre, amplía el porcentaje máximo de la reducción de jornada aplicable del 50 al 75 por ciento. </w:t>
      </w:r>
    </w:p>
    <w:p w14:paraId="5BD2FC29" w14:textId="77777777" w:rsidR="00AE17CE" w:rsidRDefault="00715E1F" w:rsidP="00715E1F">
      <w:pPr>
        <w:spacing w:line="360" w:lineRule="auto"/>
        <w:jc w:val="both"/>
        <w:rPr>
          <w:rFonts w:cstheme="minorHAnsi"/>
        </w:rPr>
      </w:pPr>
      <w:r w:rsidRPr="00715E1F">
        <w:rPr>
          <w:rFonts w:cstheme="minorHAnsi"/>
        </w:rPr>
        <w:t>d)</w:t>
      </w:r>
      <w:r w:rsidRPr="00715E1F">
        <w:rPr>
          <w:rFonts w:cstheme="minorHAnsi"/>
        </w:rPr>
        <w:tab/>
        <w:t xml:space="preserve">También se está trabajando actualmente en la reforma de la modalidad de jubilación flexible regulada en el Decreto 1132/2002, de 31 de octubre, con el objeto de incentivar el regreso al mercado laboral de </w:t>
      </w:r>
      <w:r w:rsidR="00B4017F">
        <w:rPr>
          <w:rFonts w:cstheme="minorHAnsi"/>
        </w:rPr>
        <w:t>más pensionistas de jubilación.</w:t>
      </w:r>
    </w:p>
    <w:p w14:paraId="482089E9" w14:textId="77777777" w:rsidR="00AE17CE" w:rsidRPr="00AE17CE" w:rsidRDefault="0094402C" w:rsidP="00715E1F">
      <w:pPr>
        <w:spacing w:line="360" w:lineRule="auto"/>
        <w:jc w:val="both"/>
        <w:rPr>
          <w:rFonts w:cstheme="minorHAnsi"/>
          <w:b/>
          <w:i/>
        </w:rPr>
      </w:pPr>
      <w:r>
        <w:rPr>
          <w:rFonts w:cstheme="minorHAnsi"/>
          <w:b/>
          <w:i/>
        </w:rPr>
        <w:t>Prestaciones no c</w:t>
      </w:r>
      <w:r w:rsidR="00AE17CE" w:rsidRPr="00AE17CE">
        <w:rPr>
          <w:rFonts w:cstheme="minorHAnsi"/>
          <w:b/>
          <w:i/>
        </w:rPr>
        <w:t>ontributivas</w:t>
      </w:r>
    </w:p>
    <w:p w14:paraId="23578165" w14:textId="77777777" w:rsidR="00715E1F" w:rsidRPr="00715E1F" w:rsidRDefault="00715E1F" w:rsidP="00715E1F">
      <w:pPr>
        <w:spacing w:line="360" w:lineRule="auto"/>
        <w:jc w:val="both"/>
        <w:rPr>
          <w:rFonts w:cstheme="minorHAnsi"/>
        </w:rPr>
      </w:pPr>
      <w:r w:rsidRPr="00715E1F">
        <w:rPr>
          <w:rFonts w:cstheme="minorHAnsi"/>
        </w:rPr>
        <w:t>Además, la Constitución Española impone a los poderes públicos el deber de garantizar, mediante pensiones adecuadas y periódicamente actualizadas, la suficiencia económica a los ciudadanos durante la tercera edad. En 2025, en cumplimiento de este principio rector, las prestaciones no contributivas han experimentado una revalorización del 9%.</w:t>
      </w:r>
    </w:p>
    <w:p w14:paraId="6F0BB9AF" w14:textId="77777777" w:rsidR="00715E1F" w:rsidRPr="00715E1F" w:rsidRDefault="00715E1F" w:rsidP="00715E1F">
      <w:pPr>
        <w:spacing w:line="360" w:lineRule="auto"/>
        <w:jc w:val="both"/>
        <w:rPr>
          <w:rFonts w:cstheme="minorHAnsi"/>
        </w:rPr>
      </w:pPr>
      <w:r w:rsidRPr="00715E1F">
        <w:rPr>
          <w:rFonts w:cstheme="minorHAnsi"/>
        </w:rPr>
        <w:t>Las prestaciones de jubilación no contributivas son un mecanismo para garantizar un nivel de rentas a quienes superen los 65 años y no hayan generado derecho a una prestación contributiva. En 2024 un total de 457.400 personas fueron beneficiarias de pensiones no contributivas de Jubilación e invalidez a nivel nacional (169.775 de invalidez y 287.625 de jubilación).</w:t>
      </w:r>
    </w:p>
    <w:p w14:paraId="7045A738" w14:textId="2ED57349" w:rsidR="00BB0816" w:rsidRPr="006E5ADE" w:rsidRDefault="00BB0816" w:rsidP="00BB0816">
      <w:pPr>
        <w:spacing w:line="360" w:lineRule="auto"/>
        <w:jc w:val="both"/>
        <w:rPr>
          <w:rFonts w:cstheme="minorHAnsi"/>
        </w:rPr>
      </w:pPr>
      <w:r>
        <w:rPr>
          <w:rFonts w:cstheme="minorHAnsi"/>
        </w:rPr>
        <w:lastRenderedPageBreak/>
        <w:t xml:space="preserve">Es necesario mencionar también el importante incremento </w:t>
      </w:r>
      <w:r w:rsidRPr="006E5ADE">
        <w:rPr>
          <w:rFonts w:cstheme="minorHAnsi"/>
        </w:rPr>
        <w:t xml:space="preserve">de </w:t>
      </w:r>
      <w:r>
        <w:rPr>
          <w:rFonts w:cstheme="minorHAnsi"/>
        </w:rPr>
        <w:t xml:space="preserve">las </w:t>
      </w:r>
      <w:r w:rsidRPr="006E5ADE">
        <w:rPr>
          <w:rFonts w:cstheme="minorHAnsi"/>
        </w:rPr>
        <w:t xml:space="preserve">pensiones no contributivas.  En 2017 las cuantías rondaban aproximadamente 5.400 a 5.800 € anuales para la pensión completa en 14 pagas (dependiendo de si era </w:t>
      </w:r>
      <w:r>
        <w:rPr>
          <w:rFonts w:cstheme="minorHAnsi"/>
        </w:rPr>
        <w:t xml:space="preserve">de </w:t>
      </w:r>
      <w:r w:rsidRPr="006E5ADE">
        <w:rPr>
          <w:rFonts w:cstheme="minorHAnsi"/>
        </w:rPr>
        <w:t xml:space="preserve">invalidez o jubilación). </w:t>
      </w:r>
    </w:p>
    <w:p w14:paraId="4DB47A82" w14:textId="77777777" w:rsidR="001C1F81" w:rsidRPr="006E5ADE" w:rsidRDefault="001C1F81" w:rsidP="001C1F81">
      <w:pPr>
        <w:spacing w:line="360" w:lineRule="auto"/>
        <w:jc w:val="both"/>
        <w:rPr>
          <w:rFonts w:cstheme="minorHAnsi"/>
        </w:rPr>
      </w:pPr>
      <w:r>
        <w:rPr>
          <w:rFonts w:cstheme="minorHAnsi"/>
        </w:rPr>
        <w:t xml:space="preserve">Desde entonces </w:t>
      </w:r>
      <w:r w:rsidRPr="006E5ADE">
        <w:rPr>
          <w:rFonts w:cstheme="minorHAnsi"/>
        </w:rPr>
        <w:t>las cuantías</w:t>
      </w:r>
      <w:r>
        <w:rPr>
          <w:rFonts w:cstheme="minorHAnsi"/>
        </w:rPr>
        <w:t xml:space="preserve"> han aumentado </w:t>
      </w:r>
      <w:r w:rsidRPr="006E5ADE">
        <w:rPr>
          <w:rFonts w:cstheme="minorHAnsi"/>
        </w:rPr>
        <w:t>con los ajustes propios para compensar el coste de la vida</w:t>
      </w:r>
      <w:r>
        <w:rPr>
          <w:rFonts w:cstheme="minorHAnsi"/>
        </w:rPr>
        <w:t>, elevándose a</w:t>
      </w:r>
      <w:r w:rsidRPr="006E5ADE">
        <w:rPr>
          <w:rFonts w:cstheme="minorHAnsi"/>
        </w:rPr>
        <w:t xml:space="preserve"> unos 6600 €–7000 € anuales en 14 pagas</w:t>
      </w:r>
      <w:r>
        <w:rPr>
          <w:rFonts w:cstheme="minorHAnsi"/>
        </w:rPr>
        <w:t xml:space="preserve"> en 2023 y 2024, variando</w:t>
      </w:r>
      <w:r w:rsidRPr="006E5ADE">
        <w:rPr>
          <w:rFonts w:cstheme="minorHAnsi"/>
        </w:rPr>
        <w:t xml:space="preserve"> en función de la situación personal del beneficiario y de las normas concretas aprobadas en cada Ley de Presupuestos Generales del Estado (PGE).</w:t>
      </w:r>
    </w:p>
    <w:p w14:paraId="6FE7AC32" w14:textId="407BB8DB" w:rsidR="00BB0816" w:rsidRPr="006E5ADE" w:rsidRDefault="00BB0816" w:rsidP="00BB0816">
      <w:pPr>
        <w:spacing w:line="360" w:lineRule="auto"/>
        <w:jc w:val="both"/>
        <w:rPr>
          <w:rFonts w:cstheme="minorHAnsi"/>
        </w:rPr>
      </w:pPr>
      <w:r>
        <w:rPr>
          <w:rFonts w:cstheme="minorHAnsi"/>
        </w:rPr>
        <w:t>El hecho es que las</w:t>
      </w:r>
      <w:r w:rsidRPr="006E5ADE">
        <w:rPr>
          <w:rFonts w:cstheme="minorHAnsi"/>
        </w:rPr>
        <w:t xml:space="preserve"> PNC se actualizan cada año en la Ley de Presupuestos Generales del Estado, tomando como referencia especialmente:</w:t>
      </w:r>
    </w:p>
    <w:p w14:paraId="678E8F56" w14:textId="77777777" w:rsidR="00BB0816" w:rsidRDefault="00BB0816" w:rsidP="00BB0816">
      <w:pPr>
        <w:spacing w:line="360" w:lineRule="auto"/>
        <w:jc w:val="both"/>
        <w:rPr>
          <w:rFonts w:cstheme="minorHAnsi"/>
        </w:rPr>
      </w:pPr>
      <w:r w:rsidRPr="006E5ADE">
        <w:rPr>
          <w:rFonts w:cstheme="minorHAnsi"/>
        </w:rPr>
        <w:t>•</w:t>
      </w:r>
      <w:r w:rsidRPr="006E5ADE">
        <w:rPr>
          <w:rFonts w:cstheme="minorHAnsi"/>
        </w:rPr>
        <w:tab/>
        <w:t>La evolución del Índice de Precios al Consumo (IPC).</w:t>
      </w:r>
      <w:r w:rsidRPr="00BB0816">
        <w:rPr>
          <w:rFonts w:cstheme="minorHAnsi"/>
        </w:rPr>
        <w:t xml:space="preserve"> </w:t>
      </w:r>
    </w:p>
    <w:p w14:paraId="4C88E407" w14:textId="7B571963" w:rsidR="00BB0816" w:rsidRPr="006E5ADE" w:rsidRDefault="00BB0816" w:rsidP="00BB0816">
      <w:pPr>
        <w:spacing w:line="360" w:lineRule="auto"/>
        <w:jc w:val="both"/>
        <w:rPr>
          <w:rFonts w:cstheme="minorHAnsi"/>
        </w:rPr>
      </w:pPr>
      <w:r w:rsidRPr="006E5ADE">
        <w:rPr>
          <w:rFonts w:cstheme="minorHAnsi"/>
        </w:rPr>
        <w:t>•</w:t>
      </w:r>
      <w:r w:rsidRPr="006E5ADE">
        <w:rPr>
          <w:rFonts w:cstheme="minorHAnsi"/>
        </w:rPr>
        <w:tab/>
        <w:t>Las decisiones para proteger los ingresos de las personas con menores recursos.</w:t>
      </w:r>
    </w:p>
    <w:p w14:paraId="188AD772" w14:textId="56A40E16" w:rsidR="00BB0816" w:rsidRPr="006E5ADE" w:rsidRDefault="00BB0816" w:rsidP="00BB0816">
      <w:pPr>
        <w:spacing w:line="360" w:lineRule="auto"/>
        <w:jc w:val="both"/>
        <w:rPr>
          <w:rFonts w:cstheme="minorHAnsi"/>
        </w:rPr>
      </w:pPr>
      <w:r w:rsidRPr="006E5ADE">
        <w:rPr>
          <w:rFonts w:cstheme="minorHAnsi"/>
        </w:rPr>
        <w:t>•</w:t>
      </w:r>
      <w:r w:rsidRPr="006E5ADE">
        <w:rPr>
          <w:rFonts w:cstheme="minorHAnsi"/>
        </w:rPr>
        <w:tab/>
        <w:t>El aumento del IPREM, que sirve de referencia para varios umbrales y límites.</w:t>
      </w:r>
    </w:p>
    <w:p w14:paraId="2177DDAC" w14:textId="77777777" w:rsidR="00BB0816" w:rsidRPr="006E5ADE" w:rsidRDefault="00BB0816" w:rsidP="00BB0816">
      <w:pPr>
        <w:spacing w:line="360" w:lineRule="auto"/>
        <w:jc w:val="both"/>
        <w:rPr>
          <w:rFonts w:cstheme="minorHAnsi"/>
        </w:rPr>
      </w:pPr>
      <w:r w:rsidRPr="006E5ADE">
        <w:rPr>
          <w:rFonts w:cstheme="minorHAnsi"/>
        </w:rPr>
        <w:t>En 2025, la cuantía anual íntegra de la PNC es de 7.905,80 euros, distribuida en 12 mensualidades más dos pagas extraordinarias. El importe mensual medio asciende a 566,21 euros en el caso de jubilación y a 623,31 euros para la modalidad de incapacidad, debido en parte a que más de 37.800 personas reciben el complemento del 50% por necesidad de tercera persona.</w:t>
      </w:r>
    </w:p>
    <w:p w14:paraId="1ABCCE3A" w14:textId="6F72BF3A" w:rsidR="00BB0816" w:rsidRPr="006E5ADE" w:rsidRDefault="00BB0816" w:rsidP="00BB0816">
      <w:pPr>
        <w:spacing w:line="360" w:lineRule="auto"/>
        <w:jc w:val="both"/>
        <w:rPr>
          <w:rFonts w:cstheme="minorHAnsi"/>
        </w:rPr>
      </w:pPr>
      <w:r w:rsidRPr="006E5ADE">
        <w:rPr>
          <w:rFonts w:cstheme="minorHAnsi"/>
        </w:rPr>
        <w:t xml:space="preserve">Las personas con familiares en situación de dependencia a veces deben reducir su jornada o abandonar su puesto de trabajo para dedicarse a los cuidados de un familiar. Por ello, desde el </w:t>
      </w:r>
      <w:proofErr w:type="spellStart"/>
      <w:r w:rsidRPr="006E5ADE">
        <w:rPr>
          <w:rFonts w:cstheme="minorHAnsi"/>
        </w:rPr>
        <w:t>Imserso</w:t>
      </w:r>
      <w:proofErr w:type="spellEnd"/>
      <w:r w:rsidRPr="006E5ADE">
        <w:rPr>
          <w:rFonts w:cstheme="minorHAnsi"/>
        </w:rPr>
        <w:t xml:space="preserve"> se conceden ayudas por cuidado de familiar, que forman parte del Catálogo estatal de la dependencia en España. </w:t>
      </w:r>
    </w:p>
    <w:p w14:paraId="74A69D11" w14:textId="7A9FB180" w:rsidR="00BB0816" w:rsidRPr="006E5ADE" w:rsidRDefault="00BB0816" w:rsidP="00BB0816">
      <w:pPr>
        <w:spacing w:line="360" w:lineRule="auto"/>
        <w:jc w:val="both"/>
        <w:rPr>
          <w:rFonts w:cstheme="minorHAnsi"/>
        </w:rPr>
      </w:pPr>
      <w:r w:rsidRPr="006E5ADE">
        <w:rPr>
          <w:rFonts w:cstheme="minorHAnsi"/>
        </w:rPr>
        <w:t>Mediant</w:t>
      </w:r>
      <w:r>
        <w:rPr>
          <w:rFonts w:cstheme="minorHAnsi"/>
        </w:rPr>
        <w:t>e acuerdos entre Gobierno y Comunidades Autónomas</w:t>
      </w:r>
      <w:r w:rsidRPr="006E5ADE">
        <w:rPr>
          <w:rFonts w:cstheme="minorHAnsi"/>
        </w:rPr>
        <w:t>, el Consejo Territorial de Servicios Sociales decidió establecer niveles iguales para todos los territorios y fija</w:t>
      </w:r>
      <w:r>
        <w:rPr>
          <w:rFonts w:cstheme="minorHAnsi"/>
        </w:rPr>
        <w:t>r</w:t>
      </w:r>
      <w:r w:rsidRPr="006E5ADE">
        <w:rPr>
          <w:rFonts w:cstheme="minorHAnsi"/>
        </w:rPr>
        <w:t xml:space="preserve"> cuantías. Por un lado, establ</w:t>
      </w:r>
      <w:r>
        <w:rPr>
          <w:rFonts w:cstheme="minorHAnsi"/>
        </w:rPr>
        <w:t>ece una cuantía mínima mensual</w:t>
      </w:r>
      <w:r w:rsidRPr="006E5ADE">
        <w:rPr>
          <w:rFonts w:cstheme="minorHAnsi"/>
        </w:rPr>
        <w:t xml:space="preserve"> por primera vez en toda España,</w:t>
      </w:r>
      <w:r>
        <w:rPr>
          <w:rFonts w:cstheme="minorHAnsi"/>
        </w:rPr>
        <w:t xml:space="preserve"> según el grado de dependencia (</w:t>
      </w:r>
      <w:r w:rsidRPr="006E5ADE">
        <w:rPr>
          <w:rFonts w:cstheme="minorHAnsi"/>
        </w:rPr>
        <w:t>Grado I: 100 €</w:t>
      </w:r>
      <w:r>
        <w:rPr>
          <w:rFonts w:cstheme="minorHAnsi"/>
        </w:rPr>
        <w:t xml:space="preserve">, </w:t>
      </w:r>
      <w:r w:rsidRPr="006E5ADE">
        <w:rPr>
          <w:rFonts w:cstheme="minorHAnsi"/>
        </w:rPr>
        <w:t>Grado II: 150 €</w:t>
      </w:r>
      <w:r>
        <w:rPr>
          <w:rFonts w:cstheme="minorHAnsi"/>
        </w:rPr>
        <w:t xml:space="preserve">, </w:t>
      </w:r>
      <w:r w:rsidRPr="006E5ADE">
        <w:rPr>
          <w:rFonts w:cstheme="minorHAnsi"/>
        </w:rPr>
        <w:t>Grado III: 200 €</w:t>
      </w:r>
      <w:r>
        <w:rPr>
          <w:rFonts w:cstheme="minorHAnsi"/>
        </w:rPr>
        <w:t xml:space="preserve">). </w:t>
      </w:r>
      <w:r w:rsidRPr="006E5ADE">
        <w:rPr>
          <w:rFonts w:cstheme="minorHAnsi"/>
        </w:rPr>
        <w:t xml:space="preserve">Y </w:t>
      </w:r>
      <w:r>
        <w:rPr>
          <w:rFonts w:cstheme="minorHAnsi"/>
        </w:rPr>
        <w:t xml:space="preserve">unas </w:t>
      </w:r>
      <w:r w:rsidRPr="006E5ADE">
        <w:rPr>
          <w:rFonts w:cstheme="minorHAnsi"/>
        </w:rPr>
        <w:t>cuantías máximas para cuidados familiares (antes 153, 268,79 y 387,64 €)</w:t>
      </w:r>
      <w:r>
        <w:rPr>
          <w:rFonts w:cstheme="minorHAnsi"/>
        </w:rPr>
        <w:t>, que</w:t>
      </w:r>
      <w:r w:rsidRPr="006E5ADE">
        <w:rPr>
          <w:rFonts w:cstheme="minorHAnsi"/>
        </w:rPr>
        <w:t xml:space="preserve"> se in</w:t>
      </w:r>
      <w:r>
        <w:rPr>
          <w:rFonts w:cstheme="minorHAnsi"/>
        </w:rPr>
        <w:t xml:space="preserve">crementaron un 17,65 %, quedando en </w:t>
      </w:r>
      <w:r w:rsidRPr="006E5ADE">
        <w:rPr>
          <w:rFonts w:cstheme="minorHAnsi"/>
        </w:rPr>
        <w:t>Grado I: 180 €</w:t>
      </w:r>
      <w:r>
        <w:rPr>
          <w:rFonts w:cstheme="minorHAnsi"/>
        </w:rPr>
        <w:t xml:space="preserve">, </w:t>
      </w:r>
      <w:r w:rsidRPr="006E5ADE">
        <w:rPr>
          <w:rFonts w:cstheme="minorHAnsi"/>
        </w:rPr>
        <w:t>Grado II: 315,90 €</w:t>
      </w:r>
      <w:r>
        <w:rPr>
          <w:rFonts w:cstheme="minorHAnsi"/>
        </w:rPr>
        <w:t xml:space="preserve"> y </w:t>
      </w:r>
      <w:r w:rsidRPr="006E5ADE">
        <w:rPr>
          <w:rFonts w:cstheme="minorHAnsi"/>
        </w:rPr>
        <w:t>Grado III: 455,40 €.</w:t>
      </w:r>
    </w:p>
    <w:p w14:paraId="2FDF5F0B" w14:textId="64D80464" w:rsidR="00715E1F" w:rsidRPr="00BB56A3" w:rsidRDefault="00715E1F" w:rsidP="00C946CF">
      <w:pPr>
        <w:spacing w:line="360" w:lineRule="auto"/>
        <w:jc w:val="both"/>
        <w:rPr>
          <w:rFonts w:cstheme="minorHAnsi"/>
        </w:rPr>
      </w:pPr>
    </w:p>
    <w:p w14:paraId="43B0960A" w14:textId="77777777" w:rsidR="00705C20" w:rsidRPr="00AE17CE" w:rsidRDefault="00705C20" w:rsidP="00705C20">
      <w:pPr>
        <w:spacing w:line="360" w:lineRule="auto"/>
        <w:jc w:val="both"/>
        <w:rPr>
          <w:rFonts w:cstheme="minorHAnsi"/>
          <w:b/>
          <w:i/>
        </w:rPr>
      </w:pPr>
      <w:r w:rsidRPr="00AE17CE">
        <w:rPr>
          <w:rFonts w:cstheme="minorHAnsi"/>
          <w:b/>
          <w:i/>
        </w:rPr>
        <w:t>Protección a la maternidad</w:t>
      </w:r>
    </w:p>
    <w:p w14:paraId="6878E33C" w14:textId="77777777" w:rsidR="00705C20" w:rsidRPr="00715E1F" w:rsidRDefault="00705C20" w:rsidP="00705C20">
      <w:pPr>
        <w:spacing w:line="360" w:lineRule="auto"/>
        <w:jc w:val="both"/>
        <w:rPr>
          <w:rFonts w:cstheme="minorHAnsi"/>
        </w:rPr>
      </w:pPr>
      <w:r>
        <w:rPr>
          <w:rFonts w:cstheme="minorHAnsi"/>
        </w:rPr>
        <w:lastRenderedPageBreak/>
        <w:t>De</w:t>
      </w:r>
      <w:r w:rsidRPr="00715E1F">
        <w:rPr>
          <w:rFonts w:cstheme="minorHAnsi"/>
        </w:rPr>
        <w:t xml:space="preserve"> acuerdo con lo establecido en el artículo 48.4 del texto refundido de la Ley del Estatuto de los Trabajadores </w:t>
      </w:r>
      <w:r>
        <w:rPr>
          <w:rFonts w:cstheme="minorHAnsi"/>
        </w:rPr>
        <w:t xml:space="preserve">citado en el artículo anterior, </w:t>
      </w:r>
      <w:r w:rsidRPr="00715E1F">
        <w:rPr>
          <w:rFonts w:cstheme="minorHAnsi"/>
        </w:rPr>
        <w:t>“la madre biológica podrá anticipar su ejercicio hasta cuatro semanas antes de la fecha previsible del parto”, estando este permiso cubierto por la prestación de nacimiento y cuidado del menor, de acuerdo con lo previsto en el artículo 177 del TRLGSS.</w:t>
      </w:r>
    </w:p>
    <w:p w14:paraId="00B25A54" w14:textId="77777777" w:rsidR="00705C20" w:rsidRPr="00715E1F" w:rsidRDefault="00705C20" w:rsidP="00705C20">
      <w:pPr>
        <w:spacing w:line="360" w:lineRule="auto"/>
        <w:jc w:val="both"/>
        <w:rPr>
          <w:rFonts w:cstheme="minorHAnsi"/>
        </w:rPr>
      </w:pPr>
      <w:r w:rsidRPr="00715E1F">
        <w:rPr>
          <w:rFonts w:cstheme="minorHAnsi"/>
        </w:rPr>
        <w:t xml:space="preserve">Además, la Ley Orgánica 1/2023, de 28 de febrero, por la que se modifica la Ley Orgánica 2/2010, de 3 de marzo, de salud sexual y reproductiva y de la interrupción voluntaria del embarazo, modificó los artículos 144.4 y 169.1 del TRLGSS reconociendo, expresamente, que tendrá la consideración de situación especial de incapacidad temporal por contingencias comunes aquella baja laboral en que pueda encontrarse la mujer desde el día primero de la semana trigésima novena de embarazo. </w:t>
      </w:r>
    </w:p>
    <w:p w14:paraId="5B23A49A" w14:textId="288452DE" w:rsidR="0086446C" w:rsidRPr="00A63DF0" w:rsidRDefault="00705C20" w:rsidP="008027F1">
      <w:pPr>
        <w:spacing w:line="360" w:lineRule="auto"/>
        <w:jc w:val="both"/>
        <w:rPr>
          <w:rFonts w:cstheme="minorHAnsi"/>
        </w:rPr>
      </w:pPr>
      <w:r w:rsidRPr="00715E1F">
        <w:rPr>
          <w:rFonts w:cstheme="minorHAnsi"/>
        </w:rPr>
        <w:t>Por último, cabe hacer referencia al Real Decreto-ley 9/2025, de 29 de julio, por el que se amplía el permiso de nacimiento y cuidado</w:t>
      </w:r>
      <w:r w:rsidR="00DD06DF">
        <w:rPr>
          <w:rFonts w:cstheme="minorHAnsi"/>
        </w:rPr>
        <w:t xml:space="preserve"> (</w:t>
      </w:r>
      <w:r w:rsidR="00DD06DF">
        <w:t>pasa de 16 a 19 semanas, 2 de las cuales pueden disfrutarse de forma flexible hasta que el menor cumpla 8 años)</w:t>
      </w:r>
      <w:r w:rsidRPr="00715E1F">
        <w:rPr>
          <w:rFonts w:cstheme="minorHAnsi"/>
        </w:rPr>
        <w:t>, modifica</w:t>
      </w:r>
      <w:r w:rsidR="00DD06DF">
        <w:rPr>
          <w:rFonts w:cstheme="minorHAnsi"/>
        </w:rPr>
        <w:t>ndo además</w:t>
      </w:r>
      <w:r w:rsidRPr="00715E1F">
        <w:rPr>
          <w:rFonts w:cstheme="minorHAnsi"/>
        </w:rPr>
        <w:t xml:space="preserve"> el artículo 48 del TRLGSS con el fin de equiparar las prestaciones por nacimiento y cuidado del menor entre familias monoparentales y biparentales, en línea con la correlativa ampliación del permiso laboral, en cuanto a las semanas de disfrute interrumpido, de acuerdo con la jurisprudencia del Tribunal Constitucional y las recomendaciones del Defensor del Pueblo, ampliándose la duración de estas prestaciones para las unidades familiares monoparentales a 32 semanas</w:t>
      </w:r>
      <w:r w:rsidR="00DD06DF">
        <w:rPr>
          <w:rFonts w:cstheme="minorHAnsi"/>
        </w:rPr>
        <w:t xml:space="preserve">, </w:t>
      </w:r>
      <w:r w:rsidR="00DD06DF">
        <w:t>de las que 4 son de uso flexible hasta el cumplimiento de los 8 años por parte del menor</w:t>
      </w:r>
      <w:r w:rsidRPr="00715E1F">
        <w:rPr>
          <w:rFonts w:cstheme="minorHAnsi"/>
        </w:rPr>
        <w:t>.</w:t>
      </w:r>
    </w:p>
    <w:p w14:paraId="136828CD" w14:textId="39E9D881" w:rsidR="00176F90" w:rsidRPr="00176F90" w:rsidRDefault="00176F90" w:rsidP="008027F1">
      <w:pPr>
        <w:spacing w:line="360" w:lineRule="auto"/>
        <w:jc w:val="both"/>
        <w:rPr>
          <w:rFonts w:cstheme="minorHAnsi"/>
          <w:b/>
          <w:i/>
        </w:rPr>
      </w:pPr>
      <w:r w:rsidRPr="00176F90">
        <w:rPr>
          <w:rFonts w:cstheme="minorHAnsi"/>
          <w:b/>
          <w:i/>
        </w:rPr>
        <w:t>Trabajo infantil</w:t>
      </w:r>
    </w:p>
    <w:p w14:paraId="1DF207E2" w14:textId="77777777" w:rsidR="005B45E0" w:rsidRPr="005B45E0" w:rsidRDefault="005B45E0" w:rsidP="008027F1">
      <w:pPr>
        <w:spacing w:line="360" w:lineRule="auto"/>
        <w:jc w:val="both"/>
        <w:rPr>
          <w:rFonts w:cstheme="minorHAnsi"/>
        </w:rPr>
      </w:pPr>
      <w:r w:rsidRPr="005B45E0">
        <w:rPr>
          <w:rFonts w:cstheme="minorHAnsi"/>
        </w:rPr>
        <w:t xml:space="preserve">El Estatuto de los Trabajadores prohíbe la admisión al trabajo de los menores de 16 años. Tampoco podrán ejecutar ningún trabajo autónomo ni actividad profesional, ni siquiera para sus familiares, salvo aquellos trabajos autorizados expresamente en espectáculos públicos, siempre y cuando dicha participación no suponga peligro para su salud física ni para su formación tanto profesional como humana. Por otra parte, está prohibido que los menores de 18 años realicen determinadas actividades laborales consideradas peligrosas para su seguridad y salud, así como todas aquellas para las que la Ley 31/1995, de 8 de noviembre, de prevención de riesgos laborales establece restricciones a menores. Además, para los menores por debajo de 18 años están prohibidos los trabajos nocturnos, la realización de horas extraordinarias, así como realizar más de ocho horas diarias de trabajo efectivo. </w:t>
      </w:r>
    </w:p>
    <w:p w14:paraId="505E8495" w14:textId="09A442FB" w:rsidR="005C6C58" w:rsidRPr="005C6C58" w:rsidRDefault="005C6C58" w:rsidP="008027F1">
      <w:pPr>
        <w:spacing w:line="360" w:lineRule="auto"/>
        <w:jc w:val="both"/>
        <w:rPr>
          <w:rFonts w:cstheme="minorHAnsi"/>
          <w:b/>
          <w:i/>
        </w:rPr>
      </w:pPr>
      <w:r w:rsidRPr="005C6C58">
        <w:rPr>
          <w:rFonts w:cstheme="minorHAnsi"/>
          <w:b/>
          <w:i/>
        </w:rPr>
        <w:t xml:space="preserve">Colectivos </w:t>
      </w:r>
      <w:r w:rsidR="00362435">
        <w:rPr>
          <w:rFonts w:cstheme="minorHAnsi"/>
          <w:b/>
          <w:i/>
        </w:rPr>
        <w:t xml:space="preserve">migrantes </w:t>
      </w:r>
      <w:r w:rsidR="003D60BB">
        <w:rPr>
          <w:rFonts w:cstheme="minorHAnsi"/>
          <w:b/>
          <w:i/>
        </w:rPr>
        <w:t xml:space="preserve">y </w:t>
      </w:r>
      <w:r w:rsidRPr="005C6C58">
        <w:rPr>
          <w:rFonts w:cstheme="minorHAnsi"/>
          <w:b/>
          <w:i/>
        </w:rPr>
        <w:t>vulnerables</w:t>
      </w:r>
    </w:p>
    <w:p w14:paraId="55112D48" w14:textId="6FE82032" w:rsidR="00126EE2" w:rsidRDefault="00362435" w:rsidP="008027F1">
      <w:pPr>
        <w:spacing w:line="360" w:lineRule="auto"/>
        <w:jc w:val="both"/>
        <w:rPr>
          <w:rFonts w:cstheme="minorHAnsi"/>
        </w:rPr>
      </w:pPr>
      <w:r>
        <w:rPr>
          <w:rFonts w:cstheme="minorHAnsi"/>
        </w:rPr>
        <w:lastRenderedPageBreak/>
        <w:t>Se</w:t>
      </w:r>
      <w:r w:rsidR="00126EE2" w:rsidRPr="00126EE2">
        <w:rPr>
          <w:rFonts w:cstheme="minorHAnsi"/>
        </w:rPr>
        <w:t xml:space="preserve"> ha impulsado un enfoque de atención diferencial, dentro de del sistema de acogida de protección internacional y del pr</w:t>
      </w:r>
      <w:r w:rsidR="005C6C58">
        <w:rPr>
          <w:rFonts w:cstheme="minorHAnsi"/>
        </w:rPr>
        <w:t>ograma de atención humanitaria</w:t>
      </w:r>
      <w:r w:rsidR="00F8066F">
        <w:rPr>
          <w:rFonts w:cstheme="minorHAnsi"/>
        </w:rPr>
        <w:t>,</w:t>
      </w:r>
      <w:r w:rsidR="005C6C58">
        <w:rPr>
          <w:rFonts w:cstheme="minorHAnsi"/>
        </w:rPr>
        <w:t xml:space="preserve"> para </w:t>
      </w:r>
      <w:r w:rsidR="00F8066F">
        <w:rPr>
          <w:rFonts w:cstheme="minorHAnsi"/>
        </w:rPr>
        <w:t xml:space="preserve">diferentes colectivos como </w:t>
      </w:r>
      <w:r w:rsidR="00126EE2" w:rsidRPr="00126EE2">
        <w:rPr>
          <w:rFonts w:cstheme="minorHAnsi"/>
        </w:rPr>
        <w:t>mujeres</w:t>
      </w:r>
      <w:r w:rsidR="005C6C58">
        <w:rPr>
          <w:rFonts w:cstheme="minorHAnsi"/>
        </w:rPr>
        <w:t>,</w:t>
      </w:r>
      <w:r w:rsidR="00126EE2" w:rsidRPr="00126EE2">
        <w:rPr>
          <w:rFonts w:cstheme="minorHAnsi"/>
        </w:rPr>
        <w:t xml:space="preserve"> infancia</w:t>
      </w:r>
      <w:r w:rsidR="005C6C58">
        <w:rPr>
          <w:rFonts w:cstheme="minorHAnsi"/>
        </w:rPr>
        <w:t>, discapacidad etc.</w:t>
      </w:r>
      <w:r>
        <w:rPr>
          <w:rFonts w:cstheme="minorHAnsi"/>
        </w:rPr>
        <w:t xml:space="preserve"> </w:t>
      </w:r>
      <w:r w:rsidR="00126EE2" w:rsidRPr="00126EE2">
        <w:rPr>
          <w:rFonts w:cstheme="minorHAnsi"/>
        </w:rPr>
        <w:t>También se han creado dispositivos específicos para mujeres y familias vulnerables con atención y acompañamiento especializado, protocolos de prevención y actuación frente a la violencia de género o al acoso sexual y a la trata, y se ha reforzado la atención psicológica y el acompañamiento a la unidad familiar dentro del sistema de acogida de protección internacional y del programa de atención humanitaria.</w:t>
      </w:r>
    </w:p>
    <w:p w14:paraId="1BD1706F" w14:textId="541AC49C" w:rsidR="0086446C" w:rsidRPr="00A63DF0" w:rsidRDefault="003D60BB" w:rsidP="00D15D0E">
      <w:pPr>
        <w:spacing w:line="360" w:lineRule="auto"/>
        <w:jc w:val="both"/>
        <w:rPr>
          <w:bCs/>
        </w:rPr>
      </w:pPr>
      <w:r w:rsidRPr="003D60BB">
        <w:rPr>
          <w:bCs/>
        </w:rPr>
        <w:t>Por otro lado, la Ley 4/2</w:t>
      </w:r>
      <w:r>
        <w:rPr>
          <w:bCs/>
        </w:rPr>
        <w:t>023, de 28 de febrero, para la Igualdad Real y Efectiva de las Personas Trans y para la Garantía de los D</w:t>
      </w:r>
      <w:r w:rsidRPr="003D60BB">
        <w:rPr>
          <w:bCs/>
        </w:rPr>
        <w:t xml:space="preserve">erechos de las </w:t>
      </w:r>
      <w:r>
        <w:rPr>
          <w:bCs/>
        </w:rPr>
        <w:t>P</w:t>
      </w:r>
      <w:r w:rsidRPr="003D60BB">
        <w:rPr>
          <w:bCs/>
        </w:rPr>
        <w:t>ersonas LGTBI, refuerza la protección integral de los niños, niñas y adolescentes frente a cualquier forma de discriminación, incluida la basada en la orientación sexual, la identidad o expresión de género y las características sexuales, en coherencia con el interés superior del menor</w:t>
      </w:r>
    </w:p>
    <w:p w14:paraId="0F03053E" w14:textId="2434E211" w:rsidR="005C6C58" w:rsidRPr="005C6C58" w:rsidRDefault="005C6C58" w:rsidP="00D15D0E">
      <w:pPr>
        <w:spacing w:line="360" w:lineRule="auto"/>
        <w:jc w:val="both"/>
        <w:rPr>
          <w:rFonts w:cstheme="minorHAnsi"/>
          <w:b/>
          <w:i/>
        </w:rPr>
      </w:pPr>
      <w:r w:rsidRPr="005C6C58">
        <w:rPr>
          <w:rFonts w:cstheme="minorHAnsi"/>
          <w:b/>
          <w:i/>
        </w:rPr>
        <w:t>Menores en entornos digitales</w:t>
      </w:r>
    </w:p>
    <w:p w14:paraId="01ECC616" w14:textId="77777777" w:rsidR="008027F1" w:rsidRPr="00D15D0E" w:rsidRDefault="00362435" w:rsidP="00D15D0E">
      <w:pPr>
        <w:spacing w:line="360" w:lineRule="auto"/>
        <w:jc w:val="both"/>
        <w:rPr>
          <w:rFonts w:cstheme="minorHAnsi"/>
        </w:rPr>
      </w:pPr>
      <w:r>
        <w:rPr>
          <w:rFonts w:cstheme="minorHAnsi"/>
        </w:rPr>
        <w:t>El Congreso</w:t>
      </w:r>
      <w:r w:rsidR="008027F1" w:rsidRPr="00D15D0E">
        <w:rPr>
          <w:rFonts w:cstheme="minorHAnsi"/>
        </w:rPr>
        <w:t xml:space="preserve"> de los Diputados aprobó el miércoles 10 de septiembre de 2025 la tramitación del proyecto de Ley Orgánica para la Protección de las Personas Menores de Edad en lo</w:t>
      </w:r>
      <w:r w:rsidR="00465F52">
        <w:rPr>
          <w:rFonts w:cstheme="minorHAnsi"/>
        </w:rPr>
        <w:t>s Entornos Digitales.</w:t>
      </w:r>
      <w:r>
        <w:rPr>
          <w:rFonts w:cstheme="minorHAnsi"/>
        </w:rPr>
        <w:t xml:space="preserve"> </w:t>
      </w:r>
      <w:r w:rsidR="008027F1" w:rsidRPr="00D15D0E">
        <w:rPr>
          <w:rFonts w:cstheme="minorHAnsi"/>
        </w:rPr>
        <w:t>La futura ley establece que, en el ámbito digital, los menores tienen derecho a ser eficazmente protegidos, a la información veraz y al acceso equitativo y efectivo a dispositivos y conexiones digitales. La norma busca tutelar los derechos a la intimidad, al honor y a la propia imagen y favorecer un uso responsable de las tecnologías a través del fomento de las competencias digitales. Esta norma eleva la edad mínima de registro en redes sociales a los 16 años (ahora mismo está</w:t>
      </w:r>
      <w:r>
        <w:rPr>
          <w:rFonts w:cstheme="minorHAnsi"/>
        </w:rPr>
        <w:t xml:space="preserve"> en los 14 años). </w:t>
      </w:r>
      <w:r w:rsidR="00465F52">
        <w:rPr>
          <w:rFonts w:cstheme="minorHAnsi"/>
        </w:rPr>
        <w:t>Por otra parte, l</w:t>
      </w:r>
      <w:r w:rsidR="005C6C58">
        <w:rPr>
          <w:rFonts w:cstheme="minorHAnsi"/>
        </w:rPr>
        <w:t>a</w:t>
      </w:r>
      <w:r w:rsidR="008027F1" w:rsidRPr="00D15D0E">
        <w:rPr>
          <w:rFonts w:cstheme="minorHAnsi"/>
        </w:rPr>
        <w:t xml:space="preserve"> futura ley protege de manera muy especial a los menores de la violencia de género y de la sexual. Las víctimas contarán con acceso pleno a servicios de información, orientación y acompañamiento psicológico, social e incluso jurídico.</w:t>
      </w:r>
    </w:p>
    <w:p w14:paraId="7377F40F" w14:textId="77777777" w:rsidR="008027F1" w:rsidRPr="00D15D0E" w:rsidRDefault="005C6C58" w:rsidP="00D15D0E">
      <w:pPr>
        <w:spacing w:line="360" w:lineRule="auto"/>
        <w:jc w:val="both"/>
        <w:rPr>
          <w:rFonts w:cstheme="minorHAnsi"/>
        </w:rPr>
      </w:pPr>
      <w:r>
        <w:rPr>
          <w:rFonts w:cstheme="minorHAnsi"/>
        </w:rPr>
        <w:t>Asimismo, se</w:t>
      </w:r>
      <w:r w:rsidR="008027F1" w:rsidRPr="00D15D0E">
        <w:rPr>
          <w:rFonts w:cstheme="minorHAnsi"/>
        </w:rPr>
        <w:t xml:space="preserve"> modifica la legislación para permitir la intervención judicial a la hora de ejecutar una medida de interrupción temporal de un servicio digital que esté ofreciendo contenido inadecuado a los menores, </w:t>
      </w:r>
      <w:r>
        <w:rPr>
          <w:rFonts w:cstheme="minorHAnsi"/>
        </w:rPr>
        <w:t xml:space="preserve">o la retirada de ese contenido. </w:t>
      </w:r>
    </w:p>
    <w:p w14:paraId="5BDADAE3" w14:textId="77777777" w:rsidR="008027F1" w:rsidRPr="000A0A65" w:rsidRDefault="000A0A65" w:rsidP="00D15D0E">
      <w:pPr>
        <w:spacing w:line="360" w:lineRule="auto"/>
        <w:jc w:val="both"/>
        <w:rPr>
          <w:rFonts w:cstheme="minorHAnsi"/>
          <w:b/>
          <w:i/>
        </w:rPr>
      </w:pPr>
      <w:r w:rsidRPr="000A0A65">
        <w:rPr>
          <w:rFonts w:cstheme="minorHAnsi"/>
          <w:b/>
          <w:i/>
        </w:rPr>
        <w:t>Trata de personas</w:t>
      </w:r>
    </w:p>
    <w:p w14:paraId="760C158C" w14:textId="77777777" w:rsidR="007B6C57" w:rsidRPr="00D15D0E" w:rsidRDefault="008027F1" w:rsidP="007B6C57">
      <w:pPr>
        <w:spacing w:line="360" w:lineRule="auto"/>
        <w:jc w:val="both"/>
        <w:rPr>
          <w:rFonts w:cstheme="minorHAnsi"/>
        </w:rPr>
      </w:pPr>
      <w:r w:rsidRPr="00D15D0E">
        <w:rPr>
          <w:rFonts w:cstheme="minorHAnsi"/>
        </w:rPr>
        <w:t>España dispone de diversos procedimientos y medidas que tienen en cuenta las necesidades específicas de las víctimas vulnerables, en particular, de las víctimas de trata de sere</w:t>
      </w:r>
      <w:r w:rsidR="00C53A4F">
        <w:rPr>
          <w:rFonts w:cstheme="minorHAnsi"/>
        </w:rPr>
        <w:t xml:space="preserve">s humanos, en el proceso penal. </w:t>
      </w:r>
      <w:r w:rsidRPr="00D15D0E">
        <w:rPr>
          <w:rFonts w:cstheme="minorHAnsi"/>
        </w:rPr>
        <w:t xml:space="preserve">En primer lugar, </w:t>
      </w:r>
      <w:bookmarkStart w:id="2" w:name="_Hlk209169132"/>
      <w:r w:rsidRPr="00D15D0E">
        <w:rPr>
          <w:rFonts w:cstheme="minorHAnsi"/>
        </w:rPr>
        <w:t>la Ley 4/2015, de 27 de abril</w:t>
      </w:r>
      <w:bookmarkEnd w:id="2"/>
      <w:r w:rsidR="0008202A">
        <w:rPr>
          <w:rFonts w:cstheme="minorHAnsi"/>
        </w:rPr>
        <w:t>, del Estatuto de la Víctima del D</w:t>
      </w:r>
      <w:r w:rsidRPr="00D15D0E">
        <w:rPr>
          <w:rFonts w:cstheme="minorHAnsi"/>
        </w:rPr>
        <w:t xml:space="preserve">elito, acomete la transposición de disposiciones contenidas en la Directiva 2012/29/UE del </w:t>
      </w:r>
      <w:r w:rsidRPr="00D15D0E">
        <w:rPr>
          <w:rFonts w:cstheme="minorHAnsi"/>
        </w:rPr>
        <w:lastRenderedPageBreak/>
        <w:t xml:space="preserve">Parlamento Europeo y del Consejo, de 25 de octubre de 2012, por la que se establecen normas mínimas sobre los derechos, el apoyo y la protección de las víctimas de delitos, de modo que constituye el catálogo general de los derechos, procesales y extraprocesales, de todas las víctimas de delitos (entre ellos, el derecho a la información, el derecho a la traducción e interpretación, el derecho de acceso a los servicios de asistencia y apoyo, el derecho a la indemnización). </w:t>
      </w:r>
    </w:p>
    <w:p w14:paraId="48A388F4" w14:textId="77777777" w:rsidR="008027F1" w:rsidRPr="00D15D0E" w:rsidRDefault="008027F1" w:rsidP="00D15D0E">
      <w:pPr>
        <w:spacing w:line="360" w:lineRule="auto"/>
        <w:jc w:val="both"/>
        <w:rPr>
          <w:rFonts w:cstheme="minorHAnsi"/>
        </w:rPr>
      </w:pPr>
      <w:r w:rsidRPr="00D15D0E">
        <w:rPr>
          <w:rFonts w:cstheme="minorHAnsi"/>
        </w:rPr>
        <w:t xml:space="preserve">La Ley Orgánica 10/2022, de 6 de septiembre, modifica </w:t>
      </w:r>
      <w:bookmarkStart w:id="3" w:name="_Hlk209172463"/>
      <w:r w:rsidRPr="00D15D0E">
        <w:rPr>
          <w:rFonts w:cstheme="minorHAnsi"/>
        </w:rPr>
        <w:t>la Ley 1/1996, de 10 de enero</w:t>
      </w:r>
      <w:bookmarkEnd w:id="3"/>
      <w:r w:rsidR="0008202A">
        <w:rPr>
          <w:rFonts w:cstheme="minorHAnsi"/>
        </w:rPr>
        <w:t>, de Asistencia Jurídica G</w:t>
      </w:r>
      <w:r w:rsidRPr="00D15D0E">
        <w:rPr>
          <w:rFonts w:cstheme="minorHAnsi"/>
        </w:rPr>
        <w:t xml:space="preserve">ratuita, en concreto, para ampliar los colectivos de personas a quienes reconoce este derecho con independencia de que tengan recursos para litigar, entre ellas, a las víctimas de trata. También se reconoce este derecho, con independencia de la existencia de recursos para litigar, a las mujeres y personas menores de edad que sean víctimas de los delitos contra la libertad sexual previstos en el título VIII del libro II del Código Penal, los delitos de mutilación genital femenina, matrimonio forzado </w:t>
      </w:r>
      <w:r w:rsidR="00362435">
        <w:rPr>
          <w:rFonts w:cstheme="minorHAnsi"/>
        </w:rPr>
        <w:t>y acoso con connotación sexual</w:t>
      </w:r>
      <w:r w:rsidRPr="00D15D0E">
        <w:rPr>
          <w:rFonts w:cstheme="minorHAnsi"/>
        </w:rPr>
        <w:t>.</w:t>
      </w:r>
    </w:p>
    <w:p w14:paraId="44C9E476" w14:textId="77777777" w:rsidR="00362435" w:rsidRDefault="008027F1" w:rsidP="00D15D0E">
      <w:pPr>
        <w:spacing w:line="360" w:lineRule="auto"/>
        <w:jc w:val="both"/>
        <w:rPr>
          <w:rFonts w:cstheme="minorHAnsi"/>
        </w:rPr>
      </w:pPr>
      <w:r w:rsidRPr="00D15D0E">
        <w:rPr>
          <w:rFonts w:cstheme="minorHAnsi"/>
        </w:rPr>
        <w:t xml:space="preserve">Además, </w:t>
      </w:r>
      <w:r w:rsidR="00362435">
        <w:rPr>
          <w:rFonts w:cstheme="minorHAnsi"/>
        </w:rPr>
        <w:t>se</w:t>
      </w:r>
      <w:r w:rsidRPr="00D15D0E">
        <w:rPr>
          <w:rFonts w:cstheme="minorHAnsi"/>
        </w:rPr>
        <w:t xml:space="preserve"> refuerza la presencia telemática en el proceso penal de las víctimas de trata, que podrán intervenir en este desde los lugares donde se encuentren recibiendo oficialmente asistencia, atención, asesoramiento o protección, para dar continuidad a la previsión del Real Decreto-ley 6/2023, de 19 de dic</w:t>
      </w:r>
      <w:r w:rsidR="0008202A">
        <w:rPr>
          <w:rFonts w:cstheme="minorHAnsi"/>
        </w:rPr>
        <w:t>iembre, por el que se aprueban Medidas U</w:t>
      </w:r>
      <w:r w:rsidRPr="00D15D0E">
        <w:rPr>
          <w:rFonts w:cstheme="minorHAnsi"/>
        </w:rPr>
        <w:t>rgentes para la ejecución del Plan de Recuperación, Transformación y Resiliencia en materia de servicio público de justicia, función pública, régimen local y mecenazgo</w:t>
      </w:r>
      <w:r w:rsidR="00362435">
        <w:rPr>
          <w:rFonts w:cstheme="minorHAnsi"/>
        </w:rPr>
        <w:t xml:space="preserve">. </w:t>
      </w:r>
    </w:p>
    <w:p w14:paraId="104E6B52" w14:textId="77777777" w:rsidR="007B6C57" w:rsidRDefault="007B6C57" w:rsidP="00D15D0E">
      <w:pPr>
        <w:spacing w:line="360" w:lineRule="auto"/>
        <w:jc w:val="both"/>
        <w:rPr>
          <w:rFonts w:cstheme="minorHAnsi"/>
        </w:rPr>
      </w:pPr>
      <w:r w:rsidRPr="00D15D0E">
        <w:rPr>
          <w:rFonts w:cstheme="minorHAnsi"/>
        </w:rPr>
        <w:t xml:space="preserve">En el ámbito de la ejecución de las penas impuestas por el delito de trata de seres humanos, la reforma del Código Penal realizada por la mencionada Ley Orgánica 10/2022 ha modificado el artículo 83 con el fin de establecer, para los supuestos de libertad por suspensión condicional de la ejecución de la pena de prisión a delincuentes primarios con penas no superiores a dos años de prisión, la aplicación de las mismas condiciones que para los delitos de violencia de género en pareja o ex pareja: prohibiciones de aproximarse, residir, contactar, obligaciones de comparecer o de participar en programas formativos. </w:t>
      </w:r>
    </w:p>
    <w:p w14:paraId="2B77E435" w14:textId="77777777" w:rsidR="00F42C39" w:rsidRPr="00D15D0E" w:rsidRDefault="00F42C39" w:rsidP="00F42C39">
      <w:pPr>
        <w:spacing w:line="360" w:lineRule="auto"/>
        <w:rPr>
          <w:rFonts w:cstheme="minorHAnsi"/>
        </w:rPr>
      </w:pPr>
      <w:r w:rsidRPr="00D15D0E">
        <w:rPr>
          <w:rFonts w:cstheme="minorHAnsi"/>
        </w:rPr>
        <w:t>Actualmente se está tramitando el Anteproyecto de L</w:t>
      </w:r>
      <w:r w:rsidR="0008202A">
        <w:rPr>
          <w:rFonts w:cstheme="minorHAnsi"/>
        </w:rPr>
        <w:t>ey Orgánica integral contra la Trata y la Explotación de Seres H</w:t>
      </w:r>
      <w:r w:rsidRPr="00D15D0E">
        <w:rPr>
          <w:rFonts w:cstheme="minorHAnsi"/>
        </w:rPr>
        <w:t xml:space="preserve">umanos, que contempla específicamente el reconocimiento de derechos, mecanismos de asistencia y protección a todas las víctimas de trata o de explotación de seres humanos, con independencia de su nacionalidad y de su situación administrativa o cualquier otra circunstancia personal o social. </w:t>
      </w:r>
    </w:p>
    <w:p w14:paraId="317AA0AB" w14:textId="77777777" w:rsidR="00F42C39" w:rsidRDefault="00F42C39" w:rsidP="00F42C39">
      <w:pPr>
        <w:spacing w:line="360" w:lineRule="auto"/>
        <w:jc w:val="both"/>
        <w:rPr>
          <w:rFonts w:cstheme="minorHAnsi"/>
        </w:rPr>
      </w:pPr>
      <w:r w:rsidRPr="00D15D0E">
        <w:rPr>
          <w:rFonts w:cstheme="minorHAnsi"/>
        </w:rPr>
        <w:t xml:space="preserve">El Real Decreto 311/2023, de 25 de abril, por el que se modifica y amplía la plantilla orgánica del Ministerio Fiscal para adecuarla a las necesidades existentes, cambió la denominación de la </w:t>
      </w:r>
      <w:r w:rsidRPr="00D15D0E">
        <w:rPr>
          <w:rFonts w:cstheme="minorHAnsi"/>
        </w:rPr>
        <w:lastRenderedPageBreak/>
        <w:t>Unidad de Extranjería de la Fiscalía General del Estado (FGE) pasando a llamarse Unidad de Trata de Personas y Extranjería, con el fin de destacar la función de seguimiento y coordinación de todas las causas tramitadas en el territorio nac</w:t>
      </w:r>
      <w:r>
        <w:rPr>
          <w:rFonts w:cstheme="minorHAnsi"/>
        </w:rPr>
        <w:t xml:space="preserve">ional por el delito de trata.  </w:t>
      </w:r>
      <w:r w:rsidRPr="00D15D0E">
        <w:rPr>
          <w:rFonts w:cstheme="minorHAnsi"/>
        </w:rPr>
        <w:t>La Unidad de Trata de Personas y Extranjería de la Fiscalía General del Estado hace un de seguimiento y coordinación de todas las causas tramitadas en el territorio nacional por el delito de trata.  Desde enero de 2024, cuenta con una aplicación informática para el registro de los datos sobre las víctimas de trata de seres humanos y las victimas de prostitución coactiva que aparecen identificadas en los procedimientos judiciales incoados en todo el territorio nacional, disociados por sexo, edad, nacionalidad, medio de captación, modalidad de trata y demás categorías de interés, así como datos de las personas investigadas.</w:t>
      </w:r>
    </w:p>
    <w:p w14:paraId="48728AAD" w14:textId="77777777" w:rsidR="008027F1" w:rsidRPr="00D15D0E" w:rsidRDefault="000606C4" w:rsidP="00362435">
      <w:pPr>
        <w:spacing w:line="360" w:lineRule="auto"/>
        <w:jc w:val="both"/>
        <w:rPr>
          <w:rFonts w:cstheme="minorHAnsi"/>
        </w:rPr>
      </w:pPr>
      <w:r w:rsidRPr="000606C4">
        <w:rPr>
          <w:rFonts w:cstheme="minorHAnsi"/>
        </w:rPr>
        <w:t>Además,</w:t>
      </w:r>
      <w:r>
        <w:rPr>
          <w:rFonts w:cstheme="minorHAnsi"/>
          <w:b/>
          <w:i/>
        </w:rPr>
        <w:t xml:space="preserve"> </w:t>
      </w:r>
      <w:r>
        <w:rPr>
          <w:rFonts w:cstheme="minorHAnsi"/>
        </w:rPr>
        <w:t>l</w:t>
      </w:r>
      <w:r w:rsidR="008027F1" w:rsidRPr="00D15D0E">
        <w:rPr>
          <w:rFonts w:cstheme="minorHAnsi"/>
        </w:rPr>
        <w:t>a Ley de Enjuiciamiento Criminal garantiza la práctica de la prueba preconstituida como medio para minimizar la victimización secundaria de menores de edad y personas con discapacidad que deban intervenir como testigos en el proceso penal</w:t>
      </w:r>
      <w:r>
        <w:rPr>
          <w:rFonts w:cstheme="minorHAnsi"/>
        </w:rPr>
        <w:t>,</w:t>
      </w:r>
      <w:r w:rsidR="008027F1" w:rsidRPr="00D15D0E">
        <w:rPr>
          <w:rFonts w:cstheme="minorHAnsi"/>
        </w:rPr>
        <w:t xml:space="preserve"> cuyo objeto sea la instrucción del delito de trata de seres humanos. </w:t>
      </w:r>
    </w:p>
    <w:p w14:paraId="6D3EDE6B" w14:textId="77777777" w:rsidR="008027F1" w:rsidRPr="00F42C39" w:rsidRDefault="00F42C39" w:rsidP="00D15D0E">
      <w:pPr>
        <w:spacing w:line="360" w:lineRule="auto"/>
        <w:jc w:val="both"/>
        <w:rPr>
          <w:rFonts w:cstheme="minorHAnsi"/>
          <w:b/>
          <w:i/>
        </w:rPr>
      </w:pPr>
      <w:r w:rsidRPr="00F42C39">
        <w:rPr>
          <w:rFonts w:cstheme="minorHAnsi"/>
          <w:b/>
          <w:i/>
        </w:rPr>
        <w:t>Violencia de gén</w:t>
      </w:r>
      <w:r w:rsidR="00FE0C4D">
        <w:rPr>
          <w:rFonts w:cstheme="minorHAnsi"/>
          <w:b/>
          <w:i/>
        </w:rPr>
        <w:t xml:space="preserve">ero o doméstica contra los menores </w:t>
      </w:r>
    </w:p>
    <w:p w14:paraId="1FE7AB54" w14:textId="77777777" w:rsidR="00AB25E8" w:rsidRPr="00AB25E8" w:rsidRDefault="003B2EC4" w:rsidP="00D15D0E">
      <w:pPr>
        <w:spacing w:line="360" w:lineRule="auto"/>
        <w:jc w:val="both"/>
        <w:rPr>
          <w:rFonts w:cstheme="minorHAnsi"/>
        </w:rPr>
      </w:pPr>
      <w:r>
        <w:rPr>
          <w:rFonts w:cstheme="minorHAnsi"/>
        </w:rPr>
        <w:t>En 2021 se aprobó</w:t>
      </w:r>
      <w:r w:rsidR="00AB25E8" w:rsidRPr="00AB25E8">
        <w:rPr>
          <w:rFonts w:cstheme="minorHAnsi"/>
        </w:rPr>
        <w:t xml:space="preserve"> la </w:t>
      </w:r>
      <w:hyperlink r:id="rId10" w:history="1">
        <w:r w:rsidR="00AB25E8" w:rsidRPr="00AB25E8">
          <w:rPr>
            <w:rFonts w:cstheme="minorHAnsi"/>
          </w:rPr>
          <w:t>Ley Orgá</w:t>
        </w:r>
        <w:r w:rsidR="000606C4">
          <w:rPr>
            <w:rFonts w:cstheme="minorHAnsi"/>
          </w:rPr>
          <w:t>nica 8/2021, de 4 de junio, de Protección Integral a la Infancia y la Adolescencia frente a la V</w:t>
        </w:r>
        <w:r w:rsidR="00AB25E8" w:rsidRPr="00AB25E8">
          <w:rPr>
            <w:rFonts w:cstheme="minorHAnsi"/>
          </w:rPr>
          <w:t>iolencia</w:t>
        </w:r>
      </w:hyperlink>
      <w:r w:rsidR="00AB25E8" w:rsidRPr="00AB25E8">
        <w:rPr>
          <w:rFonts w:cstheme="minorHAnsi"/>
        </w:rPr>
        <w:t xml:space="preserve"> (LOPIVI)</w:t>
      </w:r>
      <w:r w:rsidR="00534DAD">
        <w:rPr>
          <w:rFonts w:cstheme="minorHAnsi"/>
        </w:rPr>
        <w:t>,</w:t>
      </w:r>
      <w:r w:rsidR="00AB25E8" w:rsidRPr="00AB25E8">
        <w:rPr>
          <w:rFonts w:cstheme="minorHAnsi"/>
        </w:rPr>
        <w:t xml:space="preserve"> cuyo objetivo fundamental es garantizar los derechos de los niños, niñas y adolescentes consagrados en la Convención sobre los Derechos del Niño para asegurar y promover el respeto de su dignidad humana e integridad física y psicológica, mediante la prevención de toda forma de violencia. </w:t>
      </w:r>
      <w:r>
        <w:rPr>
          <w:rFonts w:cstheme="minorHAnsi"/>
        </w:rPr>
        <w:t>La</w:t>
      </w:r>
      <w:r w:rsidR="00AB25E8" w:rsidRPr="00AB25E8">
        <w:rPr>
          <w:rFonts w:cstheme="minorHAnsi"/>
        </w:rPr>
        <w:t xml:space="preserve"> LOPIVI dedica una especial atención a la protección del interés superior de la persona menor de edad en los casos de ruptura familiar y de violencia de género en el ámbito familiar. Cabe añadir que esta norma modifica, a través de su disposición final décima, el artículo 1 de la Ley Orgánica 1/2004, de 28 de diciembre, de Medidas de Protección Integral contra la Violencia de Género, para hacer constar que la violencia de género a que se refiere dicha ley también comprende la violencia que con el objetivo de causar perjuicio o daño a las mujeres se ejerza sobre sus familiares o allegados menores de edad. </w:t>
      </w:r>
    </w:p>
    <w:p w14:paraId="15A4841E" w14:textId="77777777" w:rsidR="00AB25E8" w:rsidRPr="00AB25E8" w:rsidRDefault="00AB25E8" w:rsidP="00D15D0E">
      <w:pPr>
        <w:spacing w:line="360" w:lineRule="auto"/>
        <w:jc w:val="both"/>
        <w:rPr>
          <w:rFonts w:cstheme="minorHAnsi"/>
        </w:rPr>
      </w:pPr>
      <w:r w:rsidRPr="00AB25E8">
        <w:rPr>
          <w:rFonts w:cstheme="minorHAnsi"/>
        </w:rPr>
        <w:t>Actualmente se está trabajando en una reforma de la LOPIVI precisamente para mejorar, entre otros aspectos, los señalados por el Defensor del Pueblo en su informe monográfico sobre violencia vicaria. En este sentido, se refuerzan las garantías de protección teniendo como elemento central la escucha de los niños niñas y adolescentes, sin importar su edad, en los procesos judiciales de familia y su derecho a relacion</w:t>
      </w:r>
      <w:r w:rsidR="00534DAD">
        <w:rPr>
          <w:rFonts w:cstheme="minorHAnsi"/>
        </w:rPr>
        <w:t>arse o no con sus progenitores.</w:t>
      </w:r>
    </w:p>
    <w:p w14:paraId="636D3B21" w14:textId="77777777" w:rsidR="003B2EC4" w:rsidRDefault="00AB25E8" w:rsidP="00D15D0E">
      <w:pPr>
        <w:spacing w:line="360" w:lineRule="auto"/>
        <w:jc w:val="both"/>
        <w:rPr>
          <w:rFonts w:cstheme="minorHAnsi"/>
        </w:rPr>
      </w:pPr>
      <w:r w:rsidRPr="00AB25E8">
        <w:rPr>
          <w:rFonts w:cstheme="minorHAnsi"/>
        </w:rPr>
        <w:lastRenderedPageBreak/>
        <w:t xml:space="preserve">En línea con las previsiones del nuevo Pacto de Estado contra la Violencia de Género aprobado en enero de 2025, se incorporan modificaciones para vincular la protección y atención de las personas menores de edad a la de la mujer de la que están a cargo o con la que tienen una relación de especial apego víctima de violencia de género. En concreto se pretende acreditar la condición de víctima de las personas menores de edad </w:t>
      </w:r>
      <w:r w:rsidR="003B2EC4">
        <w:rPr>
          <w:rFonts w:cstheme="minorHAnsi"/>
        </w:rPr>
        <w:t xml:space="preserve">mediante procedimientos ágiles. </w:t>
      </w:r>
      <w:r w:rsidRPr="00AB25E8">
        <w:rPr>
          <w:rFonts w:cstheme="minorHAnsi"/>
        </w:rPr>
        <w:t xml:space="preserve">De este modo, las niñas, niños y adolescentes a cargo de la mujer víctima de violencia de género deben recibir las mismas medidas de protección que las concedidas a ésta. </w:t>
      </w:r>
    </w:p>
    <w:p w14:paraId="70823EB9" w14:textId="77777777" w:rsidR="00AB25E8" w:rsidRPr="00AB25E8" w:rsidRDefault="00AB25E8" w:rsidP="00D15D0E">
      <w:pPr>
        <w:spacing w:line="360" w:lineRule="auto"/>
        <w:jc w:val="both"/>
        <w:rPr>
          <w:rFonts w:cstheme="minorHAnsi"/>
        </w:rPr>
      </w:pPr>
      <w:r w:rsidRPr="00AB25E8">
        <w:rPr>
          <w:rFonts w:cstheme="minorHAnsi"/>
        </w:rPr>
        <w:t>Por último, se recoge</w:t>
      </w:r>
      <w:r w:rsidR="00BC7845">
        <w:rPr>
          <w:rFonts w:cstheme="minorHAnsi"/>
        </w:rPr>
        <w:t>,</w:t>
      </w:r>
      <w:r w:rsidRPr="00AB25E8">
        <w:rPr>
          <w:rFonts w:cstheme="minorHAnsi"/>
        </w:rPr>
        <w:t xml:space="preserve"> por primera vez a nivel estatal</w:t>
      </w:r>
      <w:r w:rsidR="00BC7845">
        <w:rPr>
          <w:rFonts w:cstheme="minorHAnsi"/>
        </w:rPr>
        <w:t>,</w:t>
      </w:r>
      <w:r w:rsidRPr="00AB25E8">
        <w:rPr>
          <w:rFonts w:cstheme="minorHAnsi"/>
        </w:rPr>
        <w:t xml:space="preserve"> una definición de violencia institucional, así como las consecuencias de su uso, prohibiendo de manera expresa el uso de planteamientos teóricos o criterios sin aval científico que presuman interferencia o manipu</w:t>
      </w:r>
      <w:r w:rsidR="00BC7845">
        <w:rPr>
          <w:rFonts w:cstheme="minorHAnsi"/>
        </w:rPr>
        <w:t>lación adulta, como el llamado Síndrome de Alienación P</w:t>
      </w:r>
      <w:r w:rsidRPr="00AB25E8">
        <w:rPr>
          <w:rFonts w:cstheme="minorHAnsi"/>
        </w:rPr>
        <w:t>arental</w:t>
      </w:r>
      <w:r w:rsidR="00BC7845">
        <w:rPr>
          <w:rFonts w:cstheme="minorHAnsi"/>
        </w:rPr>
        <w:t xml:space="preserve"> (SAP)</w:t>
      </w:r>
      <w:r w:rsidRPr="00AB25E8">
        <w:rPr>
          <w:rFonts w:cstheme="minorHAnsi"/>
        </w:rPr>
        <w:t>, o cualquiera de sus reformulaciones. Igualmente, se establece que en ningún caso podrá identificarse el interés superior del menor con mantener el contacto con ambos progenitores cuando uno de ellos sea un maltratador o presunto maltratador. La sentencia condenatoria por violencia de género, incluida la violencia vicaria, acordará la privación temporal de la patria potestad, salvo que la condena sea por delito grave, en la que se establecerá la privación permanente</w:t>
      </w:r>
      <w:r w:rsidR="003B2EC4">
        <w:rPr>
          <w:rFonts w:cstheme="minorHAnsi"/>
        </w:rPr>
        <w:t>.</w:t>
      </w:r>
    </w:p>
    <w:p w14:paraId="4FAD21F6" w14:textId="5D0EDFB6" w:rsidR="00AB25E8" w:rsidRPr="00AB25E8" w:rsidRDefault="00AB25E8" w:rsidP="00D15D0E">
      <w:pPr>
        <w:spacing w:line="360" w:lineRule="auto"/>
        <w:jc w:val="both"/>
        <w:rPr>
          <w:rFonts w:cstheme="minorHAnsi"/>
        </w:rPr>
      </w:pPr>
      <w:r w:rsidRPr="00AB25E8">
        <w:rPr>
          <w:rFonts w:cstheme="minorHAnsi"/>
        </w:rPr>
        <w:t xml:space="preserve">En cuanto a la necesidad y la importancia de disponer de datos sobre violencia contra niños y niñas, la LOPIVI prevé en su articulado la puesta en marcha de dos nuevos registros: el Registro Unificado de Servicios Sociales sobre Violencia contra la Infancia y el Registro Central de información sobre la violencia contra </w:t>
      </w:r>
      <w:r w:rsidR="00534DAD">
        <w:rPr>
          <w:rFonts w:cstheme="minorHAnsi"/>
        </w:rPr>
        <w:t xml:space="preserve">la infancia y la adolescencia. </w:t>
      </w:r>
      <w:r w:rsidR="007829C9">
        <w:rPr>
          <w:rFonts w:cstheme="minorHAnsi"/>
        </w:rPr>
        <w:t>Respecto del primero, s</w:t>
      </w:r>
      <w:r w:rsidRPr="00AB25E8">
        <w:rPr>
          <w:rFonts w:cstheme="minorHAnsi"/>
        </w:rPr>
        <w:t>e han llevado a cabo dos pilotajes, en 2024 y 2025, y está pendiente la aprobació</w:t>
      </w:r>
      <w:r w:rsidR="00BC7845">
        <w:rPr>
          <w:rFonts w:cstheme="minorHAnsi"/>
        </w:rPr>
        <w:t>n para su uso en las distintas Comunidades A</w:t>
      </w:r>
      <w:r w:rsidRPr="00AB25E8">
        <w:rPr>
          <w:rFonts w:cstheme="minorHAnsi"/>
        </w:rPr>
        <w:t>utónomas y entidades locales.</w:t>
      </w:r>
    </w:p>
    <w:p w14:paraId="3FFCC3CB" w14:textId="77777777" w:rsidR="00AB25E8" w:rsidRPr="00AB25E8" w:rsidRDefault="00AB25E8" w:rsidP="00D15D0E">
      <w:pPr>
        <w:spacing w:line="360" w:lineRule="auto"/>
        <w:jc w:val="both"/>
        <w:rPr>
          <w:rFonts w:cstheme="minorHAnsi"/>
        </w:rPr>
      </w:pPr>
      <w:r w:rsidRPr="00AB25E8">
        <w:rPr>
          <w:rFonts w:cstheme="minorHAnsi"/>
        </w:rPr>
        <w:t xml:space="preserve">Cabe señalar que la </w:t>
      </w:r>
      <w:hyperlink r:id="rId11" w:history="1">
        <w:r w:rsidRPr="00AB25E8">
          <w:rPr>
            <w:rFonts w:cstheme="minorHAnsi"/>
          </w:rPr>
          <w:t>Estrategia Estatal de Derechos de la Infancia y de la Adolescencia (2023-2030)</w:t>
        </w:r>
      </w:hyperlink>
      <w:r w:rsidRPr="00AB25E8">
        <w:rPr>
          <w:rFonts w:cstheme="minorHAnsi"/>
        </w:rPr>
        <w:t>, aprobada el 15 de noviembre de 2022</w:t>
      </w:r>
      <w:r w:rsidR="003B2EC4">
        <w:rPr>
          <w:rFonts w:cstheme="minorHAnsi"/>
        </w:rPr>
        <w:t xml:space="preserve">, </w:t>
      </w:r>
      <w:r w:rsidRPr="00AB25E8">
        <w:rPr>
          <w:rFonts w:cstheme="minorHAnsi"/>
        </w:rPr>
        <w:t xml:space="preserve">prevé medidas como la realización de macroencuestas periódicas. En este marco, se ha llevado a cabo el estudio </w:t>
      </w:r>
      <w:r w:rsidR="003B2EC4">
        <w:rPr>
          <w:rFonts w:cstheme="minorHAnsi"/>
        </w:rPr>
        <w:t>“</w:t>
      </w:r>
      <w:hyperlink r:id="rId12" w:history="1">
        <w:r w:rsidRPr="00AB25E8">
          <w:rPr>
            <w:rFonts w:cstheme="minorHAnsi"/>
          </w:rPr>
          <w:t>Prevalencia de la violencia contra la infancia y la adolescencia en España</w:t>
        </w:r>
      </w:hyperlink>
      <w:r w:rsidR="003B2EC4">
        <w:rPr>
          <w:rFonts w:cstheme="minorHAnsi"/>
        </w:rPr>
        <w:t>”,</w:t>
      </w:r>
      <w:r w:rsidRPr="00AB25E8">
        <w:rPr>
          <w:rFonts w:cstheme="minorHAnsi"/>
        </w:rPr>
        <w:t xml:space="preserve"> presentado </w:t>
      </w:r>
      <w:r w:rsidR="003B2EC4">
        <w:rPr>
          <w:rFonts w:cstheme="minorHAnsi"/>
        </w:rPr>
        <w:t>el pasado 9 de octubre de 2025, que</w:t>
      </w:r>
      <w:r w:rsidRPr="00AB25E8">
        <w:rPr>
          <w:rFonts w:cstheme="minorHAnsi"/>
        </w:rPr>
        <w:t xml:space="preserve"> ha permitido obtener estimaciones acerca de seis formas de violencia sufridas durante la infancia y/o adolescencia: psicológica, física, sexual, en el ámbito de la pareja, por negligencia y digital. </w:t>
      </w:r>
    </w:p>
    <w:p w14:paraId="5EF00C06" w14:textId="77777777" w:rsidR="00AB25E8" w:rsidRPr="00534DAD" w:rsidRDefault="00AB25E8" w:rsidP="00D15D0E">
      <w:pPr>
        <w:spacing w:line="360" w:lineRule="auto"/>
        <w:jc w:val="both"/>
        <w:rPr>
          <w:rFonts w:cstheme="minorHAnsi"/>
          <w:b/>
          <w:i/>
        </w:rPr>
      </w:pPr>
      <w:r w:rsidRPr="00534DAD">
        <w:rPr>
          <w:rFonts w:cstheme="minorHAnsi"/>
          <w:b/>
          <w:i/>
        </w:rPr>
        <w:t xml:space="preserve">Matrimonios forzados </w:t>
      </w:r>
    </w:p>
    <w:p w14:paraId="3A0A34BF" w14:textId="77777777" w:rsidR="00AB25E8" w:rsidRPr="00AB25E8" w:rsidRDefault="00AB25E8" w:rsidP="00D15D0E">
      <w:pPr>
        <w:spacing w:line="360" w:lineRule="auto"/>
        <w:jc w:val="both"/>
        <w:rPr>
          <w:rFonts w:cstheme="minorHAnsi"/>
        </w:rPr>
      </w:pPr>
      <w:r w:rsidRPr="00AB25E8">
        <w:rPr>
          <w:rFonts w:cstheme="minorHAnsi"/>
        </w:rPr>
        <w:t xml:space="preserve">La </w:t>
      </w:r>
      <w:r w:rsidR="00D25F87" w:rsidRPr="00AB25E8">
        <w:rPr>
          <w:rFonts w:cstheme="minorHAnsi"/>
        </w:rPr>
        <w:t xml:space="preserve">LOPIVI </w:t>
      </w:r>
      <w:r w:rsidRPr="00AB25E8">
        <w:rPr>
          <w:rFonts w:cstheme="minorHAnsi"/>
        </w:rPr>
        <w:t xml:space="preserve">recoge el matrimonio forzado como forma de violencia contra menores de edad, estableciendo medidas dirigidas a prevenir esta práctica y ampliando el artículo 172 bis del </w:t>
      </w:r>
      <w:r w:rsidRPr="00AB25E8">
        <w:rPr>
          <w:rFonts w:cstheme="minorHAnsi"/>
        </w:rPr>
        <w:lastRenderedPageBreak/>
        <w:t>Código Penal con penas de cinco a ocho años, además de desarrollar más las formas de ejercicio de la coa</w:t>
      </w:r>
      <w:r w:rsidR="00A425BC">
        <w:rPr>
          <w:rFonts w:cstheme="minorHAnsi"/>
        </w:rPr>
        <w:t>cción e incluir consentimiento.</w:t>
      </w:r>
    </w:p>
    <w:p w14:paraId="349652D0" w14:textId="77777777" w:rsidR="00AB25E8" w:rsidRPr="00AB25E8" w:rsidRDefault="00F00E4F" w:rsidP="00D15D0E">
      <w:pPr>
        <w:spacing w:line="360" w:lineRule="auto"/>
        <w:jc w:val="both"/>
        <w:rPr>
          <w:rFonts w:cstheme="minorHAnsi"/>
        </w:rPr>
      </w:pPr>
      <w:r>
        <w:rPr>
          <w:rFonts w:cstheme="minorHAnsi"/>
        </w:rPr>
        <w:t>Además</w:t>
      </w:r>
      <w:r w:rsidR="00AB25E8" w:rsidRPr="00AB25E8">
        <w:rPr>
          <w:rFonts w:cstheme="minorHAnsi"/>
        </w:rPr>
        <w:t>, la Ley Orgánica 10/2022, de 6 de septiembre, de garantía integral de la libertad sexual, reconoce como violencia sexual el matrimonio infantil, precoz y forzado y establece el mandato legal a los poderes públicos para detectar estas prácticas y asistir a las víctimas</w:t>
      </w:r>
      <w:r w:rsidR="00A425BC">
        <w:rPr>
          <w:rFonts w:cstheme="minorHAnsi"/>
        </w:rPr>
        <w:t xml:space="preserve">. </w:t>
      </w:r>
      <w:r w:rsidR="00946ECF">
        <w:rPr>
          <w:rFonts w:cstheme="minorHAnsi"/>
        </w:rPr>
        <w:t>Por otro lado,</w:t>
      </w:r>
      <w:r w:rsidR="00AB25E8" w:rsidRPr="00AB25E8">
        <w:rPr>
          <w:rFonts w:cstheme="minorHAnsi"/>
        </w:rPr>
        <w:t xml:space="preserve"> la Estrategia Estatal de Derechos de la Infanci</w:t>
      </w:r>
      <w:r w:rsidR="00946ECF">
        <w:rPr>
          <w:rFonts w:cstheme="minorHAnsi"/>
        </w:rPr>
        <w:t>a y la Adolescencia (2023-2030)</w:t>
      </w:r>
      <w:r w:rsidR="00AB25E8" w:rsidRPr="00AB25E8">
        <w:rPr>
          <w:rFonts w:cstheme="minorHAnsi"/>
        </w:rPr>
        <w:t xml:space="preserve"> coinciden en defin</w:t>
      </w:r>
      <w:r>
        <w:rPr>
          <w:rFonts w:cstheme="minorHAnsi"/>
        </w:rPr>
        <w:t>ir el matrimonio infantil como un</w:t>
      </w:r>
      <w:r w:rsidR="00AB25E8" w:rsidRPr="00AB25E8">
        <w:rPr>
          <w:rFonts w:cstheme="minorHAnsi"/>
        </w:rPr>
        <w:t xml:space="preserve"> tipo de violencia contra la infancia, para cuya erradicación se requiere de la movilización y sensibilización de la sociedad.</w:t>
      </w:r>
    </w:p>
    <w:p w14:paraId="05F3BDB9" w14:textId="77777777" w:rsidR="00AB25E8" w:rsidRPr="00AB25E8" w:rsidRDefault="00AB25E8" w:rsidP="00D15D0E">
      <w:pPr>
        <w:spacing w:line="360" w:lineRule="auto"/>
        <w:jc w:val="both"/>
        <w:rPr>
          <w:rFonts w:cstheme="minorHAnsi"/>
        </w:rPr>
      </w:pPr>
    </w:p>
    <w:p w14:paraId="40EF6793" w14:textId="01DA4B81" w:rsidR="00DA36B9" w:rsidRPr="00DA36B9" w:rsidRDefault="00C300B9" w:rsidP="004C422A">
      <w:pPr>
        <w:spacing w:line="360" w:lineRule="auto"/>
        <w:jc w:val="both"/>
        <w:rPr>
          <w:rFonts w:cstheme="minorHAnsi"/>
          <w:b/>
          <w:i/>
        </w:rPr>
      </w:pPr>
      <w:r>
        <w:rPr>
          <w:rFonts w:cstheme="minorHAnsi"/>
          <w:b/>
          <w:i/>
        </w:rPr>
        <w:t>Des</w:t>
      </w:r>
      <w:r w:rsidR="00DA36B9" w:rsidRPr="00DA36B9">
        <w:rPr>
          <w:rFonts w:cstheme="minorHAnsi"/>
          <w:b/>
          <w:i/>
        </w:rPr>
        <w:t>a</w:t>
      </w:r>
      <w:r>
        <w:rPr>
          <w:rFonts w:cstheme="minorHAnsi"/>
          <w:b/>
          <w:i/>
        </w:rPr>
        <w:t>h</w:t>
      </w:r>
      <w:r w:rsidR="00DA36B9" w:rsidRPr="00DA36B9">
        <w:rPr>
          <w:rFonts w:cstheme="minorHAnsi"/>
          <w:b/>
          <w:i/>
        </w:rPr>
        <w:t>ucios</w:t>
      </w:r>
    </w:p>
    <w:p w14:paraId="3B655755" w14:textId="70064F4F" w:rsidR="004C422A" w:rsidRPr="004C422A" w:rsidRDefault="00DA36B9" w:rsidP="004C422A">
      <w:pPr>
        <w:spacing w:line="360" w:lineRule="auto"/>
        <w:jc w:val="both"/>
        <w:rPr>
          <w:rFonts w:cstheme="minorHAnsi"/>
        </w:rPr>
      </w:pPr>
      <w:r>
        <w:rPr>
          <w:rFonts w:cstheme="minorHAnsi"/>
        </w:rPr>
        <w:t>El</w:t>
      </w:r>
      <w:r w:rsidR="004C422A" w:rsidRPr="004C422A">
        <w:rPr>
          <w:rFonts w:cstheme="minorHAnsi"/>
        </w:rPr>
        <w:t xml:space="preserve"> Real Decreto-ley 30</w:t>
      </w:r>
      <w:r w:rsidR="00B47E7F">
        <w:rPr>
          <w:rFonts w:cstheme="minorHAnsi"/>
        </w:rPr>
        <w:t>/2020, de 29 de septiembre, de Medidas Sociales en Defensa del E</w:t>
      </w:r>
      <w:r w:rsidR="004C422A" w:rsidRPr="004C422A">
        <w:rPr>
          <w:rFonts w:cstheme="minorHAnsi"/>
        </w:rPr>
        <w:t>mpleo modificó, a través de su disposición adicional cuarta, el Real Decreto-ley 11/2020, de 31 de marzo, por el que se adopta medidas urgentes complementarias en el ámbito social y económico para hacer frente al COVID-19, a fin de ampliar hasta el 31 de enero de 2021 el plazo máximo de suspensión del procedimiento de desahucio y de los lanzamientos para hogares vulnerables sin alternativa habitacional.</w:t>
      </w:r>
    </w:p>
    <w:p w14:paraId="39D4250E" w14:textId="77777777" w:rsidR="004C422A" w:rsidRPr="004C422A" w:rsidRDefault="004C422A" w:rsidP="004C422A">
      <w:pPr>
        <w:spacing w:line="360" w:lineRule="auto"/>
        <w:jc w:val="both"/>
        <w:rPr>
          <w:rFonts w:cstheme="minorHAnsi"/>
        </w:rPr>
      </w:pPr>
      <w:r w:rsidRPr="004C422A">
        <w:rPr>
          <w:rFonts w:cstheme="minorHAnsi"/>
        </w:rPr>
        <w:t xml:space="preserve">Desde entonces, y a través de sucesivos Reales Decretos-leyes, esa prórroga en los procedimientos de desahucio se ha ido ampliando siendo la última prórroga la recogida en el Real Decreto-ley 1/2025, de 28 de enero, por el que se aprueban medidas urgentes en materia económica, de transporte, de Seguridad Social, y para hacer frente a situaciones de vulnerabilidad que, en el capítulo I del título IV, establece la suspensión hasta el 31 de diciembre de 2025 de los procedimientos de desahucio y lanzamientos en los supuestos y de acuerdo con los trámites ya establecidos. </w:t>
      </w:r>
    </w:p>
    <w:p w14:paraId="1A9E6760" w14:textId="7EE63877" w:rsidR="00CD2C28" w:rsidRDefault="004C422A" w:rsidP="004C422A">
      <w:pPr>
        <w:spacing w:line="360" w:lineRule="auto"/>
        <w:jc w:val="both"/>
        <w:rPr>
          <w:rFonts w:cstheme="minorHAnsi"/>
        </w:rPr>
      </w:pPr>
      <w:r w:rsidRPr="004C422A">
        <w:rPr>
          <w:rFonts w:cstheme="minorHAnsi"/>
        </w:rPr>
        <w:t>La disposición final quinta de la Ley 12/2023, de 24 de mayo, por el derecho a la vivienda, introduce importantes mejoras en la regulación del procedimiento de desahucio en situaciones de vulnerabilidad, a través de una modificación de la Ley 1/2000, de 7 de enero, de Enjuiciamiento Civil. Entre otros aspectos, se puede destacar la eliminación de la necesidad de consentimiento del interesado en el traslado a las Administraciones públicas competentes para comprobar su situación de vulnerabilidad, se amplía el ámbito de protección cuando se identifiquen</w:t>
      </w:r>
      <w:r w:rsidR="00C300B9">
        <w:rPr>
          <w:rFonts w:cstheme="minorHAnsi"/>
        </w:rPr>
        <w:t xml:space="preserve"> situaciones de vulnerabilidad </w:t>
      </w:r>
      <w:r w:rsidRPr="004C422A">
        <w:rPr>
          <w:rFonts w:cstheme="minorHAnsi"/>
        </w:rPr>
        <w:t xml:space="preserve">y, de acuerdo con los estándares jurisprudenciales e internacionales, no se establece un sistema de suspensión automática por el Letrado de la Administración de Justicia si se acredita vulnerabilidad, sino un sistema de decisión por el </w:t>
      </w:r>
      <w:r w:rsidRPr="004C422A">
        <w:rPr>
          <w:rFonts w:cstheme="minorHAnsi"/>
        </w:rPr>
        <w:lastRenderedPageBreak/>
        <w:t>tribunal previa valoración ponderada y proporcional del caso concreto, fijando un plazo de suspensión en dos meses para las personas físicas y cuatro meses para las personas jurídicas, incrementando los actuales plazos de uno y tres meses, respectivamente.</w:t>
      </w:r>
    </w:p>
    <w:p w14:paraId="61112557" w14:textId="5EDC2FB3" w:rsidR="008357BE" w:rsidRPr="004C422A" w:rsidRDefault="008357BE" w:rsidP="004C422A">
      <w:pPr>
        <w:spacing w:line="360" w:lineRule="auto"/>
        <w:jc w:val="both"/>
        <w:rPr>
          <w:rFonts w:cstheme="minorHAnsi"/>
        </w:rPr>
      </w:pPr>
      <w:r>
        <w:rPr>
          <w:rFonts w:cstheme="minorHAnsi"/>
        </w:rPr>
        <w:t xml:space="preserve">Por otra parte, </w:t>
      </w:r>
      <w:r w:rsidRPr="008357BE">
        <w:rPr>
          <w:rFonts w:cstheme="minorHAnsi"/>
        </w:rPr>
        <w:t>el Real Decreto-ley 7/2019, de 1 de marzo, de medidas urgentes en materia de vivienda y alquiler, introduce en el procedimiento de desahucio mecanismos que sirvan para responder a la grave situación que viven los hogares más vulnerables, estableciendo plazos y garantías en el proceso. En este sentido, modifica la Ley de Enjuiciamiento Civil estableciendo que, en los casos de demandas que versen sobre reclamación de cantidades por impago de rentas y cantidades debidas y las que, igualmente, con fundamento en el impago de la renta o cantidades debidas por el arrendatario, o en la expiración del plazo fijado contractual o legalmente, pretendan que el dueño, usufructuario o cualquier otra persona con derecho a poseer una finca rústica o urbana dada en arrendamiento, ordinario o financiero o en aparcería, recuperen la posesión de dicha finca.</w:t>
      </w:r>
    </w:p>
    <w:p w14:paraId="49F086D2" w14:textId="77777777" w:rsidR="00910094" w:rsidRPr="00910094" w:rsidRDefault="00910094" w:rsidP="00CD2C28">
      <w:pPr>
        <w:spacing w:line="360" w:lineRule="auto"/>
        <w:jc w:val="both"/>
        <w:rPr>
          <w:rFonts w:cstheme="minorHAnsi"/>
          <w:b/>
          <w:i/>
        </w:rPr>
      </w:pPr>
      <w:r w:rsidRPr="00910094">
        <w:rPr>
          <w:rFonts w:cstheme="minorHAnsi"/>
          <w:b/>
          <w:i/>
        </w:rPr>
        <w:t>Lucha contra la pobreza y exclusión social</w:t>
      </w:r>
    </w:p>
    <w:p w14:paraId="2B7101EE" w14:textId="77777777" w:rsidR="00CD2C28" w:rsidRPr="00CD2C28" w:rsidRDefault="00CD2C28" w:rsidP="004457E3">
      <w:pPr>
        <w:spacing w:line="360" w:lineRule="auto"/>
        <w:jc w:val="both"/>
        <w:rPr>
          <w:rFonts w:cstheme="minorHAnsi"/>
        </w:rPr>
      </w:pPr>
      <w:r w:rsidRPr="00CD2C28">
        <w:rPr>
          <w:rFonts w:cstheme="minorHAnsi"/>
        </w:rPr>
        <w:t xml:space="preserve">En España, en el año 2024, la tasa de pobreza y exclusión social es de un 25,8%, la menor en el periodo analizado (2019-2024). Las mujeres se encuentran en una situación de mayor vulnerabilidad, con una tasa AROPE </w:t>
      </w:r>
      <w:r w:rsidR="004457E3">
        <w:rPr>
          <w:rFonts w:cstheme="minorHAnsi"/>
        </w:rPr>
        <w:t xml:space="preserve">(porcentaje de la población en riesgo de pobreza) </w:t>
      </w:r>
      <w:r w:rsidR="007A50D2">
        <w:rPr>
          <w:rFonts w:cstheme="minorHAnsi"/>
        </w:rPr>
        <w:t>del 26,8%, y</w:t>
      </w:r>
      <w:r w:rsidRPr="00CD2C28">
        <w:rPr>
          <w:rFonts w:cstheme="minorHAnsi"/>
        </w:rPr>
        <w:t xml:space="preserve"> aún más los menores de 16 años, que llegan al 34,7%, </w:t>
      </w:r>
      <w:hyperlink r:id="rId13" w:anchor="_tabs-tabla" w:history="1">
        <w:r w:rsidRPr="00CD2C28">
          <w:rPr>
            <w:rFonts w:cstheme="minorHAnsi"/>
          </w:rPr>
          <w:t>según datos del INE</w:t>
        </w:r>
        <w:r w:rsidR="004457E3">
          <w:rPr>
            <w:rFonts w:cstheme="minorHAnsi"/>
          </w:rPr>
          <w:t xml:space="preserve"> (Instituto Nacional de Estadística)</w:t>
        </w:r>
        <w:r w:rsidRPr="00CD2C28">
          <w:rPr>
            <w:rFonts w:cstheme="minorHAnsi"/>
          </w:rPr>
          <w:t>.</w:t>
        </w:r>
      </w:hyperlink>
      <w:r w:rsidR="004457E3">
        <w:rPr>
          <w:rFonts w:cstheme="minorHAnsi"/>
        </w:rPr>
        <w:t xml:space="preserve"> </w:t>
      </w:r>
      <w:r w:rsidRPr="00CD2C28">
        <w:rPr>
          <w:rFonts w:cstheme="minorHAnsi"/>
        </w:rPr>
        <w:t>La tasa de pobreza en hogares con un adulto con uno o más niños dependientes se dispara hasta el 50,3%.</w:t>
      </w:r>
      <w:r>
        <w:rPr>
          <w:rFonts w:cstheme="minorHAnsi"/>
        </w:rPr>
        <w:t xml:space="preserve"> </w:t>
      </w:r>
    </w:p>
    <w:p w14:paraId="2963C08F" w14:textId="77777777" w:rsidR="00CD2C28" w:rsidRDefault="004457E3" w:rsidP="004457E3">
      <w:pPr>
        <w:spacing w:after="0" w:line="360" w:lineRule="auto"/>
        <w:jc w:val="both"/>
        <w:rPr>
          <w:rFonts w:cstheme="minorHAnsi"/>
        </w:rPr>
      </w:pPr>
      <w:r>
        <w:rPr>
          <w:rFonts w:cstheme="minorHAnsi"/>
        </w:rPr>
        <w:t>El</w:t>
      </w:r>
      <w:r w:rsidR="00CD2C28" w:rsidRPr="004457E3">
        <w:rPr>
          <w:rFonts w:cstheme="minorHAnsi"/>
        </w:rPr>
        <w:t xml:space="preserve"> Consejo de Ministros aprobó el 23 de diciembre de 2024 la Estrategia Nacional de Prevención y Lucha contra la Pobreza y la Exclusión Social </w:t>
      </w:r>
      <w:r>
        <w:rPr>
          <w:rFonts w:cstheme="minorHAnsi"/>
        </w:rPr>
        <w:t>(</w:t>
      </w:r>
      <w:r w:rsidR="00CD2C28" w:rsidRPr="004457E3">
        <w:rPr>
          <w:rFonts w:cstheme="minorHAnsi"/>
        </w:rPr>
        <w:t>2024-2030</w:t>
      </w:r>
      <w:r>
        <w:rPr>
          <w:rFonts w:cstheme="minorHAnsi"/>
        </w:rPr>
        <w:t xml:space="preserve">), que </w:t>
      </w:r>
      <w:r w:rsidR="00CD2C28" w:rsidRPr="004457E3">
        <w:rPr>
          <w:rFonts w:cstheme="minorHAnsi"/>
        </w:rPr>
        <w:t xml:space="preserve">tiene como objetivo establecer un marco estratégico y de actuación dirigido a prevenir, por un lado, las situaciones de pobreza y exclusión social y por otro, dar cobertura a las necesidades de la población. </w:t>
      </w:r>
      <w:r w:rsidR="007A50D2">
        <w:rPr>
          <w:rFonts w:cstheme="minorHAnsi"/>
        </w:rPr>
        <w:t>No</w:t>
      </w:r>
      <w:r w:rsidR="00CD2C28" w:rsidRPr="004457E3">
        <w:rPr>
          <w:rFonts w:cstheme="minorHAnsi"/>
        </w:rPr>
        <w:t xml:space="preserve"> contiene estimación presupuestaria ni implica compromiso de gasto. La correspondiente estimación presupuestaria se definirá en las medidas normativas posteriores y se recogerá en los Planes Operativos de Ejecución y Seguimiento anuales</w:t>
      </w:r>
      <w:r>
        <w:rPr>
          <w:rFonts w:cstheme="minorHAnsi"/>
        </w:rPr>
        <w:t>.</w:t>
      </w:r>
      <w:r w:rsidR="00CD2C28" w:rsidRPr="004457E3">
        <w:rPr>
          <w:rFonts w:cstheme="minorHAnsi"/>
        </w:rPr>
        <w:t xml:space="preserve"> La estrategia se vertebra en los siguientes retos:</w:t>
      </w:r>
    </w:p>
    <w:p w14:paraId="72DEF128" w14:textId="77777777" w:rsidR="007A50D2" w:rsidRPr="004457E3" w:rsidRDefault="007A50D2" w:rsidP="004457E3">
      <w:pPr>
        <w:spacing w:after="0" w:line="360" w:lineRule="auto"/>
        <w:jc w:val="both"/>
        <w:rPr>
          <w:rFonts w:cstheme="minorHAnsi"/>
        </w:rPr>
      </w:pPr>
    </w:p>
    <w:p w14:paraId="6DD6891C" w14:textId="77777777" w:rsidR="00CD2C28" w:rsidRPr="00CD2C28" w:rsidRDefault="00CD2C28" w:rsidP="00CD221F">
      <w:pPr>
        <w:numPr>
          <w:ilvl w:val="0"/>
          <w:numId w:val="1"/>
        </w:numPr>
        <w:spacing w:after="0" w:line="360" w:lineRule="auto"/>
        <w:jc w:val="both"/>
        <w:rPr>
          <w:rFonts w:cstheme="minorHAnsi"/>
        </w:rPr>
      </w:pPr>
      <w:r>
        <w:rPr>
          <w:rFonts w:cstheme="minorHAnsi"/>
        </w:rPr>
        <w:t>G</w:t>
      </w:r>
      <w:r w:rsidRPr="00CD2C28">
        <w:rPr>
          <w:rFonts w:cstheme="minorHAnsi"/>
        </w:rPr>
        <w:t>arantizar recursos</w:t>
      </w:r>
      <w:r w:rsidR="002172DE">
        <w:rPr>
          <w:rFonts w:cstheme="minorHAnsi"/>
        </w:rPr>
        <w:t>.</w:t>
      </w:r>
    </w:p>
    <w:p w14:paraId="5A56E17E" w14:textId="77777777" w:rsidR="00CD2C28" w:rsidRPr="00CD2C28" w:rsidRDefault="00CD2C28" w:rsidP="00CD221F">
      <w:pPr>
        <w:numPr>
          <w:ilvl w:val="0"/>
          <w:numId w:val="1"/>
        </w:numPr>
        <w:spacing w:after="0" w:line="360" w:lineRule="auto"/>
        <w:jc w:val="both"/>
        <w:rPr>
          <w:rFonts w:cstheme="minorHAnsi"/>
        </w:rPr>
      </w:pPr>
      <w:r>
        <w:rPr>
          <w:rFonts w:cstheme="minorHAnsi"/>
        </w:rPr>
        <w:t>I</w:t>
      </w:r>
      <w:r w:rsidRPr="00CD2C28">
        <w:rPr>
          <w:rFonts w:cstheme="minorHAnsi"/>
        </w:rPr>
        <w:t>nversión social en las personas</w:t>
      </w:r>
      <w:r w:rsidR="002172DE">
        <w:rPr>
          <w:rFonts w:cstheme="minorHAnsi"/>
        </w:rPr>
        <w:t>.</w:t>
      </w:r>
    </w:p>
    <w:p w14:paraId="52159562" w14:textId="77777777" w:rsidR="00CD2C28" w:rsidRPr="00CD2C28" w:rsidRDefault="00CD2C28" w:rsidP="00CD221F">
      <w:pPr>
        <w:numPr>
          <w:ilvl w:val="0"/>
          <w:numId w:val="1"/>
        </w:numPr>
        <w:spacing w:after="0" w:line="360" w:lineRule="auto"/>
        <w:jc w:val="both"/>
        <w:rPr>
          <w:rFonts w:cstheme="minorHAnsi"/>
        </w:rPr>
      </w:pPr>
      <w:r>
        <w:rPr>
          <w:rFonts w:cstheme="minorHAnsi"/>
        </w:rPr>
        <w:t>P</w:t>
      </w:r>
      <w:r w:rsidRPr="00CD2C28">
        <w:rPr>
          <w:rFonts w:cstheme="minorHAnsi"/>
        </w:rPr>
        <w:t>rotección social y garantía del estado de bienestar</w:t>
      </w:r>
      <w:r w:rsidR="002172DE">
        <w:rPr>
          <w:rFonts w:cstheme="minorHAnsi"/>
        </w:rPr>
        <w:t>.</w:t>
      </w:r>
    </w:p>
    <w:p w14:paraId="2110BF0C" w14:textId="77777777" w:rsidR="00CD2C28" w:rsidRDefault="00CD2C28" w:rsidP="00CD221F">
      <w:pPr>
        <w:numPr>
          <w:ilvl w:val="0"/>
          <w:numId w:val="1"/>
        </w:numPr>
        <w:spacing w:after="0" w:line="360" w:lineRule="auto"/>
        <w:jc w:val="both"/>
        <w:rPr>
          <w:rFonts w:cstheme="minorHAnsi"/>
        </w:rPr>
      </w:pPr>
      <w:r>
        <w:rPr>
          <w:rFonts w:cstheme="minorHAnsi"/>
        </w:rPr>
        <w:t>D</w:t>
      </w:r>
      <w:r w:rsidRPr="00CD2C28">
        <w:rPr>
          <w:rFonts w:cstheme="minorHAnsi"/>
        </w:rPr>
        <w:t>esarrollo de alianzas y trabajo en red</w:t>
      </w:r>
      <w:r w:rsidR="002172DE">
        <w:rPr>
          <w:rFonts w:cstheme="minorHAnsi"/>
        </w:rPr>
        <w:t>.</w:t>
      </w:r>
    </w:p>
    <w:p w14:paraId="1A7DFF29" w14:textId="77777777" w:rsidR="007A50D2" w:rsidRPr="00CD2C28" w:rsidRDefault="007A50D2" w:rsidP="007A50D2">
      <w:pPr>
        <w:spacing w:after="0" w:line="360" w:lineRule="auto"/>
        <w:ind w:left="780"/>
        <w:jc w:val="both"/>
        <w:rPr>
          <w:rFonts w:cstheme="minorHAnsi"/>
        </w:rPr>
      </w:pPr>
    </w:p>
    <w:p w14:paraId="6EB28C87" w14:textId="77777777" w:rsidR="00CD2C28" w:rsidRPr="00CD2C28" w:rsidRDefault="00CD2C28" w:rsidP="00CD2C28">
      <w:pPr>
        <w:spacing w:line="360" w:lineRule="auto"/>
        <w:jc w:val="both"/>
        <w:rPr>
          <w:rFonts w:cstheme="minorHAnsi"/>
        </w:rPr>
      </w:pPr>
      <w:r w:rsidRPr="00CD2C28">
        <w:rPr>
          <w:rFonts w:cstheme="minorHAnsi"/>
        </w:rPr>
        <w:lastRenderedPageBreak/>
        <w:t>Dentro del 3º reto se encuentra el objetivo estratégico “Apoyo a menores y familias”</w:t>
      </w:r>
      <w:r>
        <w:rPr>
          <w:rFonts w:cstheme="minorHAnsi"/>
        </w:rPr>
        <w:t>,</w:t>
      </w:r>
      <w:r w:rsidRPr="00CD2C28">
        <w:rPr>
          <w:rFonts w:cstheme="minorHAnsi"/>
        </w:rPr>
        <w:t xml:space="preserve"> que busca apoyar a </w:t>
      </w:r>
      <w:r w:rsidR="002172DE">
        <w:rPr>
          <w:rFonts w:cstheme="minorHAnsi"/>
        </w:rPr>
        <w:t>los núcleos familiares más</w:t>
      </w:r>
      <w:r w:rsidRPr="00CD2C28">
        <w:rPr>
          <w:rFonts w:cstheme="minorHAnsi"/>
        </w:rPr>
        <w:t xml:space="preserve"> </w:t>
      </w:r>
      <w:r w:rsidR="002172DE">
        <w:rPr>
          <w:rFonts w:cstheme="minorHAnsi"/>
        </w:rPr>
        <w:t xml:space="preserve">vulnerables y en especial a aquellos </w:t>
      </w:r>
      <w:r w:rsidRPr="00CD2C28">
        <w:rPr>
          <w:rFonts w:cstheme="minorHAnsi"/>
        </w:rPr>
        <w:t xml:space="preserve">que tienen niños, niñas y adolescentes a cargo. Entre las líneas de actuación vinculadas a este objetivo podemos encontrar:  </w:t>
      </w:r>
    </w:p>
    <w:p w14:paraId="52C5FF91" w14:textId="77777777" w:rsidR="00CD2C28" w:rsidRPr="009E25A1" w:rsidRDefault="00CD2C28" w:rsidP="009E25A1">
      <w:pPr>
        <w:pStyle w:val="ListParagraph"/>
        <w:numPr>
          <w:ilvl w:val="0"/>
          <w:numId w:val="11"/>
        </w:numPr>
        <w:spacing w:line="360" w:lineRule="auto"/>
        <w:jc w:val="both"/>
        <w:rPr>
          <w:rFonts w:cstheme="minorHAnsi"/>
        </w:rPr>
      </w:pPr>
      <w:r w:rsidRPr="009E25A1">
        <w:rPr>
          <w:rFonts w:cstheme="minorHAnsi"/>
        </w:rPr>
        <w:t>Apoyo a la conciliación de la vida laboral y familiar.</w:t>
      </w:r>
    </w:p>
    <w:p w14:paraId="10EA4681" w14:textId="77777777" w:rsidR="00CD2C28" w:rsidRPr="009E25A1" w:rsidRDefault="00CD2C28" w:rsidP="009E25A1">
      <w:pPr>
        <w:pStyle w:val="ListParagraph"/>
        <w:numPr>
          <w:ilvl w:val="0"/>
          <w:numId w:val="11"/>
        </w:numPr>
        <w:spacing w:line="360" w:lineRule="auto"/>
        <w:jc w:val="both"/>
        <w:rPr>
          <w:rFonts w:cstheme="minorHAnsi"/>
        </w:rPr>
      </w:pPr>
      <w:r w:rsidRPr="009E25A1">
        <w:rPr>
          <w:rFonts w:cstheme="minorHAnsi"/>
        </w:rPr>
        <w:t>Refuerzo de la atención a las personas y familias en situación de vulnerabilidad.</w:t>
      </w:r>
    </w:p>
    <w:p w14:paraId="069F7AC3" w14:textId="77777777" w:rsidR="00CD2C28" w:rsidRPr="009E25A1" w:rsidRDefault="00CD2C28" w:rsidP="009E25A1">
      <w:pPr>
        <w:pStyle w:val="ListParagraph"/>
        <w:numPr>
          <w:ilvl w:val="0"/>
          <w:numId w:val="11"/>
        </w:numPr>
        <w:spacing w:line="360" w:lineRule="auto"/>
        <w:jc w:val="both"/>
        <w:rPr>
          <w:rFonts w:cstheme="minorHAnsi"/>
        </w:rPr>
      </w:pPr>
      <w:r w:rsidRPr="009E25A1">
        <w:rPr>
          <w:rFonts w:cstheme="minorHAnsi"/>
        </w:rPr>
        <w:t>Apoyo a las familias con niños, niñas, adolescentes y personas con discapacidad a cargo en situación de pobreza</w:t>
      </w:r>
      <w:r w:rsidR="002172DE">
        <w:rPr>
          <w:rFonts w:cstheme="minorHAnsi"/>
        </w:rPr>
        <w:t>,</w:t>
      </w:r>
      <w:r w:rsidRPr="009E25A1">
        <w:rPr>
          <w:rFonts w:cstheme="minorHAnsi"/>
        </w:rPr>
        <w:t xml:space="preserve"> a través de asistencia material básica, como la alimentación y la higiene y medidas de acompañamiento social</w:t>
      </w:r>
      <w:r w:rsidR="009E25A1">
        <w:rPr>
          <w:rFonts w:cstheme="minorHAnsi"/>
        </w:rPr>
        <w:t>.</w:t>
      </w:r>
    </w:p>
    <w:p w14:paraId="2F3551A6" w14:textId="77777777" w:rsidR="009E25A1" w:rsidRPr="009E25A1" w:rsidRDefault="009E25A1" w:rsidP="00CD2C28">
      <w:pPr>
        <w:spacing w:line="360" w:lineRule="auto"/>
        <w:jc w:val="both"/>
        <w:rPr>
          <w:rFonts w:cstheme="minorHAnsi"/>
          <w:b/>
          <w:i/>
        </w:rPr>
      </w:pPr>
      <w:r w:rsidRPr="009E25A1">
        <w:rPr>
          <w:rFonts w:cstheme="minorHAnsi"/>
          <w:b/>
          <w:i/>
        </w:rPr>
        <w:t>Lucha contra el Sinhogarismo</w:t>
      </w:r>
    </w:p>
    <w:p w14:paraId="2B8A19BC" w14:textId="77777777" w:rsidR="00CD2C28" w:rsidRPr="00CD2C28" w:rsidRDefault="00CD2C28" w:rsidP="00CD2C28">
      <w:pPr>
        <w:spacing w:line="360" w:lineRule="auto"/>
        <w:jc w:val="both"/>
        <w:rPr>
          <w:rFonts w:cstheme="minorHAnsi"/>
        </w:rPr>
      </w:pPr>
      <w:r w:rsidRPr="00CD2C28">
        <w:rPr>
          <w:rFonts w:cstheme="minorHAnsi"/>
        </w:rPr>
        <w:t xml:space="preserve">La Estrategia Nacional para la Lucha contra el Sinhogarismo </w:t>
      </w:r>
      <w:r w:rsidR="0044413A">
        <w:rPr>
          <w:rFonts w:cstheme="minorHAnsi"/>
        </w:rPr>
        <w:t>(</w:t>
      </w:r>
      <w:r w:rsidRPr="00CD2C28">
        <w:rPr>
          <w:rFonts w:cstheme="minorHAnsi"/>
        </w:rPr>
        <w:t>2023-2030</w:t>
      </w:r>
      <w:r w:rsidR="0044413A">
        <w:rPr>
          <w:rFonts w:cstheme="minorHAnsi"/>
        </w:rPr>
        <w:t>)</w:t>
      </w:r>
      <w:r w:rsidRPr="00CD2C28">
        <w:rPr>
          <w:rFonts w:cstheme="minorHAnsi"/>
        </w:rPr>
        <w:t xml:space="preserve">, aprobada por el Consejo de Ministros el 11 de julio de 2023, establece un marco de actuación para abordar la situación de más de 28.500 personas en España. Su objetivo es reducir en un 95% el número de personas en situación de calle involuntaria en los próximos siete años. </w:t>
      </w:r>
      <w:r w:rsidR="0083499E">
        <w:rPr>
          <w:rFonts w:cstheme="minorHAnsi"/>
        </w:rPr>
        <w:t>Se</w:t>
      </w:r>
      <w:r w:rsidRPr="00CD2C28">
        <w:rPr>
          <w:rFonts w:cstheme="minorHAnsi"/>
        </w:rPr>
        <w:t xml:space="preserve"> estructura a partir de dos objetivos generales: erradicar el sinhogarismo de calle y prevenirlo. </w:t>
      </w:r>
    </w:p>
    <w:p w14:paraId="6C09FF43" w14:textId="77777777" w:rsidR="00CD2C28" w:rsidRPr="00CD2C28" w:rsidRDefault="00CD2C28" w:rsidP="00CD2C28">
      <w:pPr>
        <w:spacing w:line="360" w:lineRule="auto"/>
        <w:jc w:val="both"/>
        <w:rPr>
          <w:rFonts w:cstheme="minorHAnsi"/>
        </w:rPr>
      </w:pPr>
      <w:r w:rsidRPr="00CD2C28">
        <w:rPr>
          <w:rFonts w:cstheme="minorHAnsi"/>
        </w:rPr>
        <w:t xml:space="preserve">En </w:t>
      </w:r>
      <w:r w:rsidR="00C6422F">
        <w:rPr>
          <w:rFonts w:cstheme="minorHAnsi"/>
        </w:rPr>
        <w:t>este contexto</w:t>
      </w:r>
      <w:r w:rsidRPr="00CD2C28">
        <w:rPr>
          <w:rFonts w:cstheme="minorHAnsi"/>
        </w:rPr>
        <w:t>, se ha llevado a cabo el Proyecto Piloto de Recuentos Nocturnos de Personas sin Hogar en España 2023. El objetivo final es que este proyecto se ejecute cada 2 años y que con él se pueda cuantificar y caracterizar a las personas sin hogar aplicando una metodología común y estandarizada en todo el territorio español.</w:t>
      </w:r>
    </w:p>
    <w:p w14:paraId="56928F7F" w14:textId="77777777" w:rsidR="00C6422F" w:rsidRPr="00C6422F" w:rsidRDefault="00C6422F" w:rsidP="00CD2C28">
      <w:pPr>
        <w:spacing w:line="360" w:lineRule="auto"/>
        <w:jc w:val="both"/>
        <w:rPr>
          <w:rFonts w:cstheme="minorHAnsi"/>
          <w:b/>
          <w:i/>
        </w:rPr>
      </w:pPr>
      <w:r w:rsidRPr="00C6422F">
        <w:rPr>
          <w:rFonts w:cstheme="minorHAnsi"/>
          <w:b/>
          <w:i/>
        </w:rPr>
        <w:t>Pobreza infantil</w:t>
      </w:r>
    </w:p>
    <w:p w14:paraId="4F97D32D" w14:textId="5B13EE3B" w:rsidR="0019381C" w:rsidRDefault="00C6422F" w:rsidP="00CD2C28">
      <w:pPr>
        <w:spacing w:line="360" w:lineRule="auto"/>
        <w:jc w:val="both"/>
        <w:rPr>
          <w:rFonts w:cstheme="minorHAnsi"/>
        </w:rPr>
      </w:pPr>
      <w:r>
        <w:rPr>
          <w:rFonts w:cstheme="minorHAnsi"/>
        </w:rPr>
        <w:t xml:space="preserve">El </w:t>
      </w:r>
      <w:r w:rsidR="00CD2C28" w:rsidRPr="00CD2C28">
        <w:rPr>
          <w:rFonts w:cstheme="minorHAnsi"/>
        </w:rPr>
        <w:t>Programa de Protección a la familia y a</w:t>
      </w:r>
      <w:r>
        <w:rPr>
          <w:rFonts w:cstheme="minorHAnsi"/>
        </w:rPr>
        <w:t xml:space="preserve">tención a la pobreza infantil </w:t>
      </w:r>
      <w:r w:rsidR="00A96CF4">
        <w:rPr>
          <w:rFonts w:cstheme="minorHAnsi"/>
        </w:rPr>
        <w:t>y el de Prestaciones B</w:t>
      </w:r>
      <w:r w:rsidR="00CD2C28" w:rsidRPr="00CD2C28">
        <w:rPr>
          <w:rFonts w:cstheme="minorHAnsi"/>
        </w:rPr>
        <w:t>ásicas d</w:t>
      </w:r>
      <w:r>
        <w:rPr>
          <w:rFonts w:cstheme="minorHAnsi"/>
        </w:rPr>
        <w:t>e Servicios Sociales</w:t>
      </w:r>
      <w:r w:rsidR="00A96CF4">
        <w:rPr>
          <w:rFonts w:cstheme="minorHAnsi"/>
        </w:rPr>
        <w:t xml:space="preserve"> contaron</w:t>
      </w:r>
      <w:r w:rsidR="00CD2C28" w:rsidRPr="00CD2C28">
        <w:rPr>
          <w:rFonts w:cstheme="minorHAnsi"/>
        </w:rPr>
        <w:t xml:space="preserve"> con una financiación en 2025 de 198.704.000€. </w:t>
      </w:r>
      <w:r w:rsidR="00A96CF4">
        <w:rPr>
          <w:rFonts w:cstheme="minorHAnsi"/>
        </w:rPr>
        <w:t>Garantizan</w:t>
      </w:r>
      <w:r w:rsidR="00CD2C28" w:rsidRPr="00CD2C28">
        <w:rPr>
          <w:rFonts w:cstheme="minorHAnsi"/>
        </w:rPr>
        <w:t xml:space="preserve"> el mantenimiento de los servicios sociales de atención primaria. Además, incluye</w:t>
      </w:r>
      <w:r w:rsidR="00A96CF4">
        <w:rPr>
          <w:rFonts w:cstheme="minorHAnsi"/>
        </w:rPr>
        <w:t>n</w:t>
      </w:r>
      <w:r w:rsidR="00CD2C28" w:rsidRPr="00CD2C28">
        <w:rPr>
          <w:rFonts w:cstheme="minorHAnsi"/>
        </w:rPr>
        <w:t xml:space="preserve"> el Programa VECA, </w:t>
      </w:r>
      <w:r w:rsidR="00A96CF4">
        <w:rPr>
          <w:rFonts w:cstheme="minorHAnsi"/>
        </w:rPr>
        <w:t xml:space="preserve">dotado con 15 millones de euros, </w:t>
      </w:r>
      <w:r w:rsidR="00CD2C28" w:rsidRPr="00CD2C28">
        <w:rPr>
          <w:rFonts w:cstheme="minorHAnsi"/>
        </w:rPr>
        <w:t>que tiene por objeto</w:t>
      </w:r>
      <w:r w:rsidR="002B2F8B">
        <w:rPr>
          <w:rFonts w:cstheme="minorHAnsi"/>
        </w:rPr>
        <w:t xml:space="preserve"> garantizar el derecho básico a la</w:t>
      </w:r>
      <w:r w:rsidR="00CD2C28" w:rsidRPr="00CD2C28">
        <w:rPr>
          <w:rFonts w:cstheme="minorHAnsi"/>
        </w:rPr>
        <w:t xml:space="preserve"> alimentación, ocio y cultura de los menores durante las vacaciones escolares /o no lectivos y la conciliación de la vida familiar y laboral, y también el Programa para el refuerzo de equipos de atención a la infancia y la familia en los servicios sociales de atención primaria, en ejecución de lo previsto en la </w:t>
      </w:r>
      <w:r w:rsidR="00174B03">
        <w:rPr>
          <w:rFonts w:cstheme="minorHAnsi"/>
        </w:rPr>
        <w:t>LOPIVI</w:t>
      </w:r>
      <w:r w:rsidR="00CD2C28" w:rsidRPr="00CD2C28">
        <w:rPr>
          <w:rFonts w:cstheme="minorHAnsi"/>
        </w:rPr>
        <w:t xml:space="preserve"> por un importe de 25.000.000 </w:t>
      </w:r>
      <w:r w:rsidR="00174B03">
        <w:rPr>
          <w:rFonts w:cstheme="minorHAnsi"/>
        </w:rPr>
        <w:t>Euros.</w:t>
      </w:r>
    </w:p>
    <w:p w14:paraId="0E8D4F99" w14:textId="5240F144" w:rsidR="0019381C" w:rsidRPr="00CD2C28" w:rsidRDefault="00A96CF4" w:rsidP="0019381C">
      <w:pPr>
        <w:spacing w:line="360" w:lineRule="auto"/>
        <w:jc w:val="both"/>
        <w:rPr>
          <w:rFonts w:cstheme="minorHAnsi"/>
        </w:rPr>
      </w:pPr>
      <w:r w:rsidRPr="007F3966">
        <w:rPr>
          <w:rFonts w:cstheme="minorHAnsi"/>
        </w:rPr>
        <w:t>El Programa de Protección a la familia y atención a la pobreza infantil</w:t>
      </w:r>
      <w:r>
        <w:rPr>
          <w:rFonts w:cstheme="minorHAnsi"/>
        </w:rPr>
        <w:t xml:space="preserve"> </w:t>
      </w:r>
      <w:r w:rsidR="0019381C" w:rsidRPr="00CD2C28">
        <w:rPr>
          <w:rFonts w:cstheme="minorHAnsi"/>
        </w:rPr>
        <w:t xml:space="preserve">viene desarrollándose desde el año 2015, y se integra en un concepto presupuestario más amplio que engloba también el programa de Prestaciones Básicas de Servicios Sociales (PBSS-plan concertado). Para el </w:t>
      </w:r>
      <w:r w:rsidR="0019381C" w:rsidRPr="00CD2C28">
        <w:rPr>
          <w:rFonts w:cstheme="minorHAnsi"/>
        </w:rPr>
        <w:lastRenderedPageBreak/>
        <w:t>ejercicio 2025, teniendo en cuenta que la situación actual de prórroga presupuestaria, se mantiene la dotación conjunta global de 198,70 millones de euros.</w:t>
      </w:r>
    </w:p>
    <w:p w14:paraId="5E3369C9" w14:textId="1FEBB2E1" w:rsidR="0019381C" w:rsidRPr="00CD2C28" w:rsidRDefault="0019381C" w:rsidP="0019381C">
      <w:pPr>
        <w:spacing w:line="360" w:lineRule="auto"/>
        <w:jc w:val="both"/>
        <w:rPr>
          <w:rFonts w:cstheme="minorHAnsi"/>
        </w:rPr>
      </w:pPr>
      <w:r w:rsidRPr="00CD2C28">
        <w:rPr>
          <w:rFonts w:cstheme="minorHAnsi"/>
        </w:rPr>
        <w:t>Este importe global se distribuye entre los distintos programas a razón de 65 millones de euros para los de protección a la familia y pobreza infantil</w:t>
      </w:r>
      <w:r w:rsidR="00A96CF4">
        <w:rPr>
          <w:rFonts w:cstheme="minorHAnsi"/>
        </w:rPr>
        <w:t xml:space="preserve"> (incluyendo los 15 millones de euros del programa VECA)</w:t>
      </w:r>
      <w:r w:rsidRPr="00CD2C28">
        <w:rPr>
          <w:rFonts w:cstheme="minorHAnsi"/>
        </w:rPr>
        <w:t>, 25 millones de euros para ampliar los equipos de atención a la infancia y la familia en los servicios</w:t>
      </w:r>
      <w:r w:rsidR="00174B03">
        <w:rPr>
          <w:rFonts w:cstheme="minorHAnsi"/>
        </w:rPr>
        <w:t xml:space="preserve"> sociales de atención primaria </w:t>
      </w:r>
      <w:r w:rsidRPr="00CD2C28">
        <w:rPr>
          <w:rFonts w:cstheme="minorHAnsi"/>
        </w:rPr>
        <w:t xml:space="preserve">y 108,70 millones para las </w:t>
      </w:r>
      <w:r w:rsidR="00A96CF4" w:rsidRPr="007F3966">
        <w:rPr>
          <w:rFonts w:cstheme="minorHAnsi"/>
        </w:rPr>
        <w:t>Prestaciones Básicas de Servicios Sociales</w:t>
      </w:r>
      <w:r w:rsidR="00A96CF4" w:rsidRPr="00CD2C28">
        <w:rPr>
          <w:rFonts w:cstheme="minorHAnsi"/>
        </w:rPr>
        <w:t>.</w:t>
      </w:r>
    </w:p>
    <w:p w14:paraId="11743FC0" w14:textId="5A489278" w:rsidR="00A96CF4" w:rsidRPr="00CD2C28" w:rsidRDefault="0019381C" w:rsidP="00A96CF4">
      <w:pPr>
        <w:spacing w:line="360" w:lineRule="auto"/>
        <w:jc w:val="both"/>
        <w:rPr>
          <w:rFonts w:cstheme="minorHAnsi"/>
        </w:rPr>
      </w:pPr>
      <w:r w:rsidRPr="00CD2C28">
        <w:rPr>
          <w:rFonts w:cstheme="minorHAnsi"/>
        </w:rPr>
        <w:t xml:space="preserve">La evolución de la dotación, familias y personas beneficiarias durante el periodo 2018-2024 </w:t>
      </w:r>
      <w:r w:rsidR="00A96CF4" w:rsidRPr="007F3966">
        <w:rPr>
          <w:rFonts w:cstheme="minorHAnsi"/>
        </w:rPr>
        <w:t>del Programa de Protección a la familia y atención a la pobreza infantil</w:t>
      </w:r>
      <w:r w:rsidR="00A96CF4" w:rsidRPr="00CD2C28">
        <w:rPr>
          <w:rFonts w:cstheme="minorHAnsi"/>
        </w:rPr>
        <w:t xml:space="preserve"> ha </w:t>
      </w:r>
      <w:r w:rsidR="00A96CF4">
        <w:rPr>
          <w:rFonts w:cstheme="minorHAnsi"/>
        </w:rPr>
        <w:t>sido la siguiente</w:t>
      </w:r>
      <w:r w:rsidR="00A96CF4" w:rsidRPr="00CD2C28">
        <w:rPr>
          <w:rFonts w:cstheme="minorHAnsi"/>
        </w:rPr>
        <w:t>:</w:t>
      </w:r>
    </w:p>
    <w:p w14:paraId="756E2F9D" w14:textId="670AA3A0" w:rsidR="0019381C" w:rsidRPr="00CD2C28" w:rsidRDefault="0019381C" w:rsidP="0019381C">
      <w:pPr>
        <w:spacing w:line="360" w:lineRule="auto"/>
        <w:jc w:val="both"/>
        <w:rPr>
          <w:rFonts w:cstheme="minorHAnsi"/>
        </w:rPr>
      </w:pPr>
    </w:p>
    <w:tbl>
      <w:tblPr>
        <w:tblStyle w:val="TableGrid"/>
        <w:tblW w:w="0" w:type="auto"/>
        <w:jc w:val="center"/>
        <w:tblLook w:val="04A0" w:firstRow="1" w:lastRow="0" w:firstColumn="1" w:lastColumn="0" w:noHBand="0" w:noVBand="1"/>
      </w:tblPr>
      <w:tblGrid>
        <w:gridCol w:w="932"/>
        <w:gridCol w:w="2465"/>
        <w:gridCol w:w="2127"/>
        <w:gridCol w:w="2693"/>
      </w:tblGrid>
      <w:tr w:rsidR="0019381C" w:rsidRPr="00CD2C28" w14:paraId="23C12A73" w14:textId="77777777" w:rsidTr="005A5592">
        <w:trPr>
          <w:jc w:val="center"/>
        </w:trPr>
        <w:tc>
          <w:tcPr>
            <w:tcW w:w="932" w:type="dxa"/>
          </w:tcPr>
          <w:p w14:paraId="1F2593F2" w14:textId="77777777" w:rsidR="0019381C" w:rsidRPr="00CD2C28" w:rsidRDefault="0019381C" w:rsidP="005A5592">
            <w:pPr>
              <w:spacing w:after="160" w:line="360" w:lineRule="auto"/>
              <w:rPr>
                <w:rFonts w:cstheme="minorHAnsi"/>
              </w:rPr>
            </w:pPr>
            <w:r w:rsidRPr="00CD2C28">
              <w:rPr>
                <w:rFonts w:cstheme="minorHAnsi"/>
              </w:rPr>
              <w:t>Año</w:t>
            </w:r>
          </w:p>
        </w:tc>
        <w:tc>
          <w:tcPr>
            <w:tcW w:w="2465" w:type="dxa"/>
          </w:tcPr>
          <w:p w14:paraId="7FA972C4" w14:textId="77777777" w:rsidR="0019381C" w:rsidRPr="00CD2C28" w:rsidRDefault="0019381C" w:rsidP="005A5592">
            <w:pPr>
              <w:spacing w:after="160" w:line="360" w:lineRule="auto"/>
              <w:rPr>
                <w:rFonts w:cstheme="minorHAnsi"/>
              </w:rPr>
            </w:pPr>
            <w:r w:rsidRPr="00CD2C28">
              <w:rPr>
                <w:rFonts w:cstheme="minorHAnsi"/>
              </w:rPr>
              <w:t>Dotación (en euros)</w:t>
            </w:r>
          </w:p>
        </w:tc>
        <w:tc>
          <w:tcPr>
            <w:tcW w:w="2127" w:type="dxa"/>
          </w:tcPr>
          <w:p w14:paraId="22A4D0D3" w14:textId="77777777" w:rsidR="0019381C" w:rsidRPr="00CD2C28" w:rsidRDefault="0019381C" w:rsidP="005A5592">
            <w:pPr>
              <w:spacing w:after="160" w:line="360" w:lineRule="auto"/>
              <w:rPr>
                <w:rFonts w:cstheme="minorHAnsi"/>
              </w:rPr>
            </w:pPr>
            <w:proofErr w:type="spellStart"/>
            <w:r w:rsidRPr="00CD2C28">
              <w:rPr>
                <w:rFonts w:cstheme="minorHAnsi"/>
              </w:rPr>
              <w:t>Nº</w:t>
            </w:r>
            <w:proofErr w:type="spellEnd"/>
            <w:r w:rsidRPr="00CD2C28">
              <w:rPr>
                <w:rFonts w:cstheme="minorHAnsi"/>
              </w:rPr>
              <w:t xml:space="preserve"> familias</w:t>
            </w:r>
          </w:p>
        </w:tc>
        <w:tc>
          <w:tcPr>
            <w:tcW w:w="2693" w:type="dxa"/>
          </w:tcPr>
          <w:p w14:paraId="27EBFFCD" w14:textId="77777777" w:rsidR="0019381C" w:rsidRPr="00CD2C28" w:rsidRDefault="0019381C" w:rsidP="005A5592">
            <w:pPr>
              <w:spacing w:after="160" w:line="360" w:lineRule="auto"/>
              <w:rPr>
                <w:rFonts w:cstheme="minorHAnsi"/>
              </w:rPr>
            </w:pPr>
            <w:proofErr w:type="spellStart"/>
            <w:r w:rsidRPr="00CD2C28">
              <w:rPr>
                <w:rFonts w:cstheme="minorHAnsi"/>
              </w:rPr>
              <w:t>Nº</w:t>
            </w:r>
            <w:proofErr w:type="spellEnd"/>
            <w:r w:rsidRPr="00CD2C28">
              <w:rPr>
                <w:rFonts w:cstheme="minorHAnsi"/>
              </w:rPr>
              <w:t xml:space="preserve"> personas beneficiarias</w:t>
            </w:r>
          </w:p>
        </w:tc>
      </w:tr>
      <w:tr w:rsidR="0019381C" w:rsidRPr="00CD2C28" w14:paraId="64D80A81" w14:textId="77777777" w:rsidTr="005A5592">
        <w:trPr>
          <w:jc w:val="center"/>
        </w:trPr>
        <w:tc>
          <w:tcPr>
            <w:tcW w:w="932" w:type="dxa"/>
          </w:tcPr>
          <w:p w14:paraId="4486427D" w14:textId="77777777" w:rsidR="0019381C" w:rsidRPr="00CD2C28" w:rsidRDefault="0019381C" w:rsidP="005A5592">
            <w:pPr>
              <w:spacing w:after="160" w:line="360" w:lineRule="auto"/>
              <w:rPr>
                <w:rFonts w:cstheme="minorHAnsi"/>
              </w:rPr>
            </w:pPr>
            <w:r w:rsidRPr="00CD2C28">
              <w:rPr>
                <w:rFonts w:cstheme="minorHAnsi"/>
              </w:rPr>
              <w:t>2018</w:t>
            </w:r>
          </w:p>
        </w:tc>
        <w:tc>
          <w:tcPr>
            <w:tcW w:w="2465" w:type="dxa"/>
          </w:tcPr>
          <w:p w14:paraId="6DB17E8A" w14:textId="77777777" w:rsidR="0019381C" w:rsidRPr="00CD2C28" w:rsidRDefault="0019381C" w:rsidP="005A5592">
            <w:pPr>
              <w:spacing w:after="160" w:line="360" w:lineRule="auto"/>
              <w:rPr>
                <w:rFonts w:cstheme="minorHAnsi"/>
              </w:rPr>
            </w:pPr>
            <w:r w:rsidRPr="00CD2C28">
              <w:rPr>
                <w:rFonts w:cstheme="minorHAnsi"/>
              </w:rPr>
              <w:t>65.200.000</w:t>
            </w:r>
          </w:p>
        </w:tc>
        <w:tc>
          <w:tcPr>
            <w:tcW w:w="2127" w:type="dxa"/>
          </w:tcPr>
          <w:p w14:paraId="4D5058C3" w14:textId="77777777" w:rsidR="0019381C" w:rsidRPr="00CD2C28" w:rsidRDefault="0019381C" w:rsidP="005A5592">
            <w:pPr>
              <w:spacing w:after="160" w:line="360" w:lineRule="auto"/>
              <w:rPr>
                <w:rFonts w:cstheme="minorHAnsi"/>
              </w:rPr>
            </w:pPr>
            <w:r w:rsidRPr="00CD2C28">
              <w:rPr>
                <w:rFonts w:cstheme="minorHAnsi"/>
              </w:rPr>
              <w:t>153.261</w:t>
            </w:r>
          </w:p>
        </w:tc>
        <w:tc>
          <w:tcPr>
            <w:tcW w:w="2693" w:type="dxa"/>
          </w:tcPr>
          <w:p w14:paraId="1E6A0895" w14:textId="77777777" w:rsidR="0019381C" w:rsidRPr="00CD2C28" w:rsidRDefault="0019381C" w:rsidP="005A5592">
            <w:pPr>
              <w:spacing w:after="160" w:line="360" w:lineRule="auto"/>
              <w:rPr>
                <w:rFonts w:cstheme="minorHAnsi"/>
              </w:rPr>
            </w:pPr>
            <w:r w:rsidRPr="00CD2C28">
              <w:rPr>
                <w:rFonts w:cstheme="minorHAnsi"/>
              </w:rPr>
              <w:t>391.349</w:t>
            </w:r>
          </w:p>
        </w:tc>
      </w:tr>
      <w:tr w:rsidR="0019381C" w:rsidRPr="00CD2C28" w14:paraId="0AFC6EEB" w14:textId="77777777" w:rsidTr="005A5592">
        <w:trPr>
          <w:jc w:val="center"/>
        </w:trPr>
        <w:tc>
          <w:tcPr>
            <w:tcW w:w="932" w:type="dxa"/>
          </w:tcPr>
          <w:p w14:paraId="4F17D08D" w14:textId="77777777" w:rsidR="0019381C" w:rsidRPr="00CD2C28" w:rsidRDefault="0019381C" w:rsidP="005A5592">
            <w:pPr>
              <w:spacing w:after="160" w:line="360" w:lineRule="auto"/>
              <w:rPr>
                <w:rFonts w:cstheme="minorHAnsi"/>
              </w:rPr>
            </w:pPr>
            <w:r w:rsidRPr="00CD2C28">
              <w:rPr>
                <w:rFonts w:cstheme="minorHAnsi"/>
              </w:rPr>
              <w:t>2019</w:t>
            </w:r>
          </w:p>
        </w:tc>
        <w:tc>
          <w:tcPr>
            <w:tcW w:w="2465" w:type="dxa"/>
          </w:tcPr>
          <w:p w14:paraId="5FA89B52" w14:textId="77777777" w:rsidR="0019381C" w:rsidRPr="00CD2C28" w:rsidRDefault="0019381C" w:rsidP="005A5592">
            <w:pPr>
              <w:spacing w:after="160" w:line="360" w:lineRule="auto"/>
              <w:rPr>
                <w:rFonts w:cstheme="minorHAnsi"/>
              </w:rPr>
            </w:pPr>
            <w:r w:rsidRPr="00CD2C28">
              <w:rPr>
                <w:rFonts w:cstheme="minorHAnsi"/>
              </w:rPr>
              <w:t>60.000.000</w:t>
            </w:r>
          </w:p>
        </w:tc>
        <w:tc>
          <w:tcPr>
            <w:tcW w:w="2127" w:type="dxa"/>
          </w:tcPr>
          <w:p w14:paraId="625B7A6B" w14:textId="77777777" w:rsidR="0019381C" w:rsidRPr="00CD2C28" w:rsidRDefault="0019381C" w:rsidP="005A5592">
            <w:pPr>
              <w:spacing w:after="160" w:line="360" w:lineRule="auto"/>
              <w:rPr>
                <w:rFonts w:cstheme="minorHAnsi"/>
              </w:rPr>
            </w:pPr>
            <w:r w:rsidRPr="00CD2C28">
              <w:rPr>
                <w:rFonts w:cstheme="minorHAnsi"/>
              </w:rPr>
              <w:t>206.173</w:t>
            </w:r>
          </w:p>
        </w:tc>
        <w:tc>
          <w:tcPr>
            <w:tcW w:w="2693" w:type="dxa"/>
          </w:tcPr>
          <w:p w14:paraId="6A744EB5" w14:textId="77777777" w:rsidR="0019381C" w:rsidRPr="00CD2C28" w:rsidRDefault="0019381C" w:rsidP="005A5592">
            <w:pPr>
              <w:spacing w:after="160" w:line="360" w:lineRule="auto"/>
              <w:rPr>
                <w:rFonts w:cstheme="minorHAnsi"/>
              </w:rPr>
            </w:pPr>
            <w:r w:rsidRPr="00CD2C28">
              <w:rPr>
                <w:rFonts w:cstheme="minorHAnsi"/>
              </w:rPr>
              <w:t>391.151</w:t>
            </w:r>
          </w:p>
        </w:tc>
      </w:tr>
      <w:tr w:rsidR="0019381C" w:rsidRPr="00CD2C28" w14:paraId="3BAE839E" w14:textId="77777777" w:rsidTr="005A5592">
        <w:trPr>
          <w:jc w:val="center"/>
        </w:trPr>
        <w:tc>
          <w:tcPr>
            <w:tcW w:w="932" w:type="dxa"/>
          </w:tcPr>
          <w:p w14:paraId="1137D5D6" w14:textId="77777777" w:rsidR="0019381C" w:rsidRPr="00CD2C28" w:rsidRDefault="0019381C" w:rsidP="005A5592">
            <w:pPr>
              <w:spacing w:after="160" w:line="360" w:lineRule="auto"/>
              <w:rPr>
                <w:rFonts w:cstheme="minorHAnsi"/>
              </w:rPr>
            </w:pPr>
            <w:r w:rsidRPr="00CD2C28">
              <w:rPr>
                <w:rFonts w:cstheme="minorHAnsi"/>
              </w:rPr>
              <w:t>2020</w:t>
            </w:r>
          </w:p>
        </w:tc>
        <w:tc>
          <w:tcPr>
            <w:tcW w:w="2465" w:type="dxa"/>
          </w:tcPr>
          <w:p w14:paraId="26132984" w14:textId="77777777" w:rsidR="0019381C" w:rsidRPr="00CD2C28" w:rsidRDefault="0019381C" w:rsidP="005A5592">
            <w:pPr>
              <w:spacing w:after="160" w:line="360" w:lineRule="auto"/>
              <w:rPr>
                <w:rFonts w:cstheme="minorHAnsi"/>
              </w:rPr>
            </w:pPr>
            <w:r w:rsidRPr="00CD2C28">
              <w:rPr>
                <w:rFonts w:cstheme="minorHAnsi"/>
              </w:rPr>
              <w:t>60.000.000</w:t>
            </w:r>
          </w:p>
        </w:tc>
        <w:tc>
          <w:tcPr>
            <w:tcW w:w="2127" w:type="dxa"/>
          </w:tcPr>
          <w:p w14:paraId="482C7E53" w14:textId="77777777" w:rsidR="0019381C" w:rsidRPr="00CD2C28" w:rsidRDefault="0019381C" w:rsidP="005A5592">
            <w:pPr>
              <w:spacing w:after="160" w:line="360" w:lineRule="auto"/>
              <w:rPr>
                <w:rFonts w:cstheme="minorHAnsi"/>
              </w:rPr>
            </w:pPr>
            <w:r w:rsidRPr="00CD2C28">
              <w:rPr>
                <w:rFonts w:cstheme="minorHAnsi"/>
              </w:rPr>
              <w:t>180.037</w:t>
            </w:r>
          </w:p>
        </w:tc>
        <w:tc>
          <w:tcPr>
            <w:tcW w:w="2693" w:type="dxa"/>
          </w:tcPr>
          <w:p w14:paraId="6DF71A07" w14:textId="77777777" w:rsidR="0019381C" w:rsidRPr="00CD2C28" w:rsidRDefault="0019381C" w:rsidP="005A5592">
            <w:pPr>
              <w:spacing w:after="160" w:line="360" w:lineRule="auto"/>
              <w:rPr>
                <w:rFonts w:cstheme="minorHAnsi"/>
              </w:rPr>
            </w:pPr>
            <w:r w:rsidRPr="00CD2C28">
              <w:rPr>
                <w:rFonts w:cstheme="minorHAnsi"/>
              </w:rPr>
              <w:t>408.901</w:t>
            </w:r>
          </w:p>
        </w:tc>
      </w:tr>
      <w:tr w:rsidR="0019381C" w:rsidRPr="00CD2C28" w14:paraId="49C48CBF" w14:textId="77777777" w:rsidTr="005A5592">
        <w:trPr>
          <w:jc w:val="center"/>
        </w:trPr>
        <w:tc>
          <w:tcPr>
            <w:tcW w:w="932" w:type="dxa"/>
          </w:tcPr>
          <w:p w14:paraId="30FC0EA7" w14:textId="77777777" w:rsidR="0019381C" w:rsidRPr="00CD2C28" w:rsidRDefault="0019381C" w:rsidP="005A5592">
            <w:pPr>
              <w:spacing w:after="160" w:line="360" w:lineRule="auto"/>
              <w:rPr>
                <w:rFonts w:cstheme="minorHAnsi"/>
              </w:rPr>
            </w:pPr>
            <w:r w:rsidRPr="00CD2C28">
              <w:rPr>
                <w:rFonts w:cstheme="minorHAnsi"/>
              </w:rPr>
              <w:t>2021</w:t>
            </w:r>
          </w:p>
        </w:tc>
        <w:tc>
          <w:tcPr>
            <w:tcW w:w="2465" w:type="dxa"/>
          </w:tcPr>
          <w:p w14:paraId="50CAF6BB" w14:textId="77777777" w:rsidR="0019381C" w:rsidRPr="00CD2C28" w:rsidRDefault="0019381C" w:rsidP="005A5592">
            <w:pPr>
              <w:spacing w:after="160" w:line="360" w:lineRule="auto"/>
              <w:rPr>
                <w:rFonts w:cstheme="minorHAnsi"/>
              </w:rPr>
            </w:pPr>
            <w:r w:rsidRPr="00CD2C28">
              <w:rPr>
                <w:rFonts w:cstheme="minorHAnsi"/>
              </w:rPr>
              <w:t>60.000.000</w:t>
            </w:r>
          </w:p>
        </w:tc>
        <w:tc>
          <w:tcPr>
            <w:tcW w:w="2127" w:type="dxa"/>
          </w:tcPr>
          <w:p w14:paraId="15684A83" w14:textId="77777777" w:rsidR="0019381C" w:rsidRPr="00CD2C28" w:rsidRDefault="0019381C" w:rsidP="005A5592">
            <w:pPr>
              <w:spacing w:after="160" w:line="360" w:lineRule="auto"/>
              <w:rPr>
                <w:rFonts w:cstheme="minorHAnsi"/>
              </w:rPr>
            </w:pPr>
            <w:r w:rsidRPr="00CD2C28">
              <w:rPr>
                <w:rFonts w:cstheme="minorHAnsi"/>
              </w:rPr>
              <w:t>173.659</w:t>
            </w:r>
          </w:p>
        </w:tc>
        <w:tc>
          <w:tcPr>
            <w:tcW w:w="2693" w:type="dxa"/>
          </w:tcPr>
          <w:p w14:paraId="5CFF509D" w14:textId="77777777" w:rsidR="0019381C" w:rsidRPr="00CD2C28" w:rsidRDefault="0019381C" w:rsidP="005A5592">
            <w:pPr>
              <w:spacing w:after="160" w:line="360" w:lineRule="auto"/>
              <w:rPr>
                <w:rFonts w:cstheme="minorHAnsi"/>
              </w:rPr>
            </w:pPr>
            <w:r w:rsidRPr="00CD2C28">
              <w:rPr>
                <w:rFonts w:cstheme="minorHAnsi"/>
              </w:rPr>
              <w:t>424.950</w:t>
            </w:r>
          </w:p>
        </w:tc>
      </w:tr>
      <w:tr w:rsidR="0019381C" w:rsidRPr="00CD2C28" w14:paraId="37F62D94" w14:textId="77777777" w:rsidTr="005A5592">
        <w:trPr>
          <w:jc w:val="center"/>
        </w:trPr>
        <w:tc>
          <w:tcPr>
            <w:tcW w:w="932" w:type="dxa"/>
          </w:tcPr>
          <w:p w14:paraId="145862F1" w14:textId="77777777" w:rsidR="0019381C" w:rsidRPr="00CD2C28" w:rsidRDefault="0019381C" w:rsidP="005A5592">
            <w:pPr>
              <w:spacing w:after="160" w:line="360" w:lineRule="auto"/>
              <w:rPr>
                <w:rFonts w:cstheme="minorHAnsi"/>
              </w:rPr>
            </w:pPr>
            <w:r w:rsidRPr="00CD2C28">
              <w:rPr>
                <w:rFonts w:cstheme="minorHAnsi"/>
              </w:rPr>
              <w:t>2022</w:t>
            </w:r>
          </w:p>
        </w:tc>
        <w:tc>
          <w:tcPr>
            <w:tcW w:w="2465" w:type="dxa"/>
          </w:tcPr>
          <w:p w14:paraId="1DD86C14" w14:textId="77777777" w:rsidR="0019381C" w:rsidRPr="00CD2C28" w:rsidRDefault="0019381C" w:rsidP="005A5592">
            <w:pPr>
              <w:spacing w:after="160" w:line="360" w:lineRule="auto"/>
              <w:rPr>
                <w:rFonts w:cstheme="minorHAnsi"/>
              </w:rPr>
            </w:pPr>
            <w:r w:rsidRPr="00CD2C28">
              <w:rPr>
                <w:rFonts w:cstheme="minorHAnsi"/>
              </w:rPr>
              <w:t>65.000.000</w:t>
            </w:r>
          </w:p>
        </w:tc>
        <w:tc>
          <w:tcPr>
            <w:tcW w:w="2127" w:type="dxa"/>
          </w:tcPr>
          <w:p w14:paraId="12B6FB68" w14:textId="77777777" w:rsidR="0019381C" w:rsidRPr="00CD2C28" w:rsidRDefault="0019381C" w:rsidP="005A5592">
            <w:pPr>
              <w:spacing w:after="160" w:line="360" w:lineRule="auto"/>
              <w:rPr>
                <w:rFonts w:cstheme="minorHAnsi"/>
              </w:rPr>
            </w:pPr>
            <w:r w:rsidRPr="00CD2C28">
              <w:rPr>
                <w:rFonts w:cstheme="minorHAnsi"/>
              </w:rPr>
              <w:t>212.710</w:t>
            </w:r>
          </w:p>
        </w:tc>
        <w:tc>
          <w:tcPr>
            <w:tcW w:w="2693" w:type="dxa"/>
          </w:tcPr>
          <w:p w14:paraId="10D78AD8" w14:textId="77777777" w:rsidR="0019381C" w:rsidRPr="00CD2C28" w:rsidRDefault="0019381C" w:rsidP="005A5592">
            <w:pPr>
              <w:spacing w:after="160" w:line="360" w:lineRule="auto"/>
              <w:rPr>
                <w:rFonts w:cstheme="minorHAnsi"/>
              </w:rPr>
            </w:pPr>
            <w:r w:rsidRPr="00CD2C28">
              <w:rPr>
                <w:rFonts w:cstheme="minorHAnsi"/>
              </w:rPr>
              <w:t>546.351</w:t>
            </w:r>
          </w:p>
        </w:tc>
      </w:tr>
      <w:tr w:rsidR="0019381C" w:rsidRPr="00CD2C28" w14:paraId="30F78CFF" w14:textId="77777777" w:rsidTr="005A5592">
        <w:trPr>
          <w:jc w:val="center"/>
        </w:trPr>
        <w:tc>
          <w:tcPr>
            <w:tcW w:w="932" w:type="dxa"/>
          </w:tcPr>
          <w:p w14:paraId="7A3F4793" w14:textId="77777777" w:rsidR="0019381C" w:rsidRPr="00CD2C28" w:rsidRDefault="0019381C" w:rsidP="005A5592">
            <w:pPr>
              <w:spacing w:after="160" w:line="360" w:lineRule="auto"/>
              <w:rPr>
                <w:rFonts w:cstheme="minorHAnsi"/>
              </w:rPr>
            </w:pPr>
            <w:r w:rsidRPr="00CD2C28">
              <w:rPr>
                <w:rFonts w:cstheme="minorHAnsi"/>
              </w:rPr>
              <w:t>2023</w:t>
            </w:r>
          </w:p>
        </w:tc>
        <w:tc>
          <w:tcPr>
            <w:tcW w:w="2465" w:type="dxa"/>
          </w:tcPr>
          <w:p w14:paraId="68A9D72C" w14:textId="77777777" w:rsidR="0019381C" w:rsidRPr="00CD2C28" w:rsidRDefault="0019381C" w:rsidP="005A5592">
            <w:pPr>
              <w:spacing w:after="160" w:line="360" w:lineRule="auto"/>
              <w:rPr>
                <w:rFonts w:cstheme="minorHAnsi"/>
              </w:rPr>
            </w:pPr>
            <w:r w:rsidRPr="00CD2C28">
              <w:rPr>
                <w:rFonts w:cstheme="minorHAnsi"/>
              </w:rPr>
              <w:t>65.000.000</w:t>
            </w:r>
          </w:p>
        </w:tc>
        <w:tc>
          <w:tcPr>
            <w:tcW w:w="2127" w:type="dxa"/>
          </w:tcPr>
          <w:p w14:paraId="56B0AE17" w14:textId="77777777" w:rsidR="0019381C" w:rsidRPr="00CD2C28" w:rsidRDefault="0019381C" w:rsidP="005A5592">
            <w:pPr>
              <w:spacing w:after="160" w:line="360" w:lineRule="auto"/>
              <w:rPr>
                <w:rFonts w:cstheme="minorHAnsi"/>
              </w:rPr>
            </w:pPr>
            <w:r w:rsidRPr="00CD2C28">
              <w:rPr>
                <w:rFonts w:cstheme="minorHAnsi"/>
              </w:rPr>
              <w:t>194.105</w:t>
            </w:r>
          </w:p>
        </w:tc>
        <w:tc>
          <w:tcPr>
            <w:tcW w:w="2693" w:type="dxa"/>
          </w:tcPr>
          <w:p w14:paraId="531392E7" w14:textId="77777777" w:rsidR="0019381C" w:rsidRPr="00CD2C28" w:rsidRDefault="0019381C" w:rsidP="005A5592">
            <w:pPr>
              <w:spacing w:after="160" w:line="360" w:lineRule="auto"/>
              <w:rPr>
                <w:rFonts w:cstheme="minorHAnsi"/>
              </w:rPr>
            </w:pPr>
            <w:r w:rsidRPr="00CD2C28">
              <w:rPr>
                <w:rFonts w:cstheme="minorHAnsi"/>
              </w:rPr>
              <w:t>511.332</w:t>
            </w:r>
          </w:p>
        </w:tc>
      </w:tr>
      <w:tr w:rsidR="0019381C" w:rsidRPr="00CD2C28" w14:paraId="5590C192" w14:textId="77777777" w:rsidTr="005A5592">
        <w:trPr>
          <w:jc w:val="center"/>
        </w:trPr>
        <w:tc>
          <w:tcPr>
            <w:tcW w:w="932" w:type="dxa"/>
          </w:tcPr>
          <w:p w14:paraId="23E8EDC0" w14:textId="77777777" w:rsidR="0019381C" w:rsidRPr="00CD2C28" w:rsidRDefault="0019381C" w:rsidP="005A5592">
            <w:pPr>
              <w:spacing w:after="160" w:line="360" w:lineRule="auto"/>
              <w:rPr>
                <w:rFonts w:cstheme="minorHAnsi"/>
              </w:rPr>
            </w:pPr>
            <w:r w:rsidRPr="00CD2C28">
              <w:rPr>
                <w:rFonts w:cstheme="minorHAnsi"/>
              </w:rPr>
              <w:t>2024</w:t>
            </w:r>
          </w:p>
        </w:tc>
        <w:tc>
          <w:tcPr>
            <w:tcW w:w="2465" w:type="dxa"/>
          </w:tcPr>
          <w:p w14:paraId="39F5B3CB" w14:textId="77777777" w:rsidR="0019381C" w:rsidRPr="00CD2C28" w:rsidRDefault="0019381C" w:rsidP="005A5592">
            <w:pPr>
              <w:spacing w:after="160" w:line="360" w:lineRule="auto"/>
              <w:rPr>
                <w:rFonts w:cstheme="minorHAnsi"/>
              </w:rPr>
            </w:pPr>
            <w:r w:rsidRPr="00CD2C28">
              <w:rPr>
                <w:rFonts w:cstheme="minorHAnsi"/>
              </w:rPr>
              <w:t>65.000.000</w:t>
            </w:r>
          </w:p>
        </w:tc>
        <w:tc>
          <w:tcPr>
            <w:tcW w:w="2127" w:type="dxa"/>
          </w:tcPr>
          <w:p w14:paraId="21FF52CE" w14:textId="77777777" w:rsidR="0019381C" w:rsidRPr="00CD2C28" w:rsidRDefault="0019381C" w:rsidP="005A5592">
            <w:pPr>
              <w:spacing w:after="160" w:line="360" w:lineRule="auto"/>
              <w:rPr>
                <w:rFonts w:cstheme="minorHAnsi"/>
              </w:rPr>
            </w:pPr>
            <w:r w:rsidRPr="00CD2C28">
              <w:rPr>
                <w:rFonts w:cstheme="minorHAnsi"/>
              </w:rPr>
              <w:t>214.243</w:t>
            </w:r>
          </w:p>
        </w:tc>
        <w:tc>
          <w:tcPr>
            <w:tcW w:w="2693" w:type="dxa"/>
          </w:tcPr>
          <w:p w14:paraId="5B187D6E" w14:textId="77777777" w:rsidR="0019381C" w:rsidRPr="00CD2C28" w:rsidRDefault="0019381C" w:rsidP="005A5592">
            <w:pPr>
              <w:spacing w:after="160" w:line="360" w:lineRule="auto"/>
              <w:rPr>
                <w:rFonts w:cstheme="minorHAnsi"/>
              </w:rPr>
            </w:pPr>
            <w:r w:rsidRPr="00CD2C28">
              <w:rPr>
                <w:rFonts w:cstheme="minorHAnsi"/>
              </w:rPr>
              <w:t>571.244</w:t>
            </w:r>
          </w:p>
        </w:tc>
      </w:tr>
      <w:tr w:rsidR="0019381C" w:rsidRPr="00CD2C28" w14:paraId="1398D055" w14:textId="77777777" w:rsidTr="005A5592">
        <w:trPr>
          <w:jc w:val="center"/>
        </w:trPr>
        <w:tc>
          <w:tcPr>
            <w:tcW w:w="932" w:type="dxa"/>
          </w:tcPr>
          <w:p w14:paraId="2D5EEB5C" w14:textId="77777777" w:rsidR="0019381C" w:rsidRPr="00CD2C28" w:rsidRDefault="0019381C" w:rsidP="005A5592">
            <w:pPr>
              <w:spacing w:after="160" w:line="360" w:lineRule="auto"/>
              <w:rPr>
                <w:rFonts w:cstheme="minorHAnsi"/>
              </w:rPr>
            </w:pPr>
            <w:r w:rsidRPr="00CD2C28">
              <w:rPr>
                <w:rFonts w:cstheme="minorHAnsi"/>
              </w:rPr>
              <w:t xml:space="preserve">Total </w:t>
            </w:r>
          </w:p>
        </w:tc>
        <w:tc>
          <w:tcPr>
            <w:tcW w:w="2465" w:type="dxa"/>
          </w:tcPr>
          <w:p w14:paraId="2D7802C9" w14:textId="77777777" w:rsidR="0019381C" w:rsidRPr="00CD2C28" w:rsidRDefault="0019381C" w:rsidP="005A5592">
            <w:pPr>
              <w:spacing w:after="160" w:line="360" w:lineRule="auto"/>
              <w:rPr>
                <w:rFonts w:cstheme="minorHAnsi"/>
              </w:rPr>
            </w:pPr>
            <w:r w:rsidRPr="00CD2C28">
              <w:rPr>
                <w:rFonts w:cstheme="minorHAnsi"/>
              </w:rPr>
              <w:t>440.200.000</w:t>
            </w:r>
          </w:p>
        </w:tc>
        <w:tc>
          <w:tcPr>
            <w:tcW w:w="2127" w:type="dxa"/>
          </w:tcPr>
          <w:p w14:paraId="700FB51B" w14:textId="77777777" w:rsidR="0019381C" w:rsidRPr="00CD2C28" w:rsidRDefault="0019381C" w:rsidP="005A5592">
            <w:pPr>
              <w:spacing w:after="160" w:line="360" w:lineRule="auto"/>
              <w:rPr>
                <w:rFonts w:cstheme="minorHAnsi"/>
              </w:rPr>
            </w:pPr>
            <w:r w:rsidRPr="00CD2C28">
              <w:rPr>
                <w:rFonts w:cstheme="minorHAnsi"/>
              </w:rPr>
              <w:t>1.334.188</w:t>
            </w:r>
          </w:p>
        </w:tc>
        <w:tc>
          <w:tcPr>
            <w:tcW w:w="2693" w:type="dxa"/>
          </w:tcPr>
          <w:p w14:paraId="25A3AFB7" w14:textId="77777777" w:rsidR="0019381C" w:rsidRPr="00CD2C28" w:rsidRDefault="0019381C" w:rsidP="005A5592">
            <w:pPr>
              <w:spacing w:after="160" w:line="360" w:lineRule="auto"/>
              <w:rPr>
                <w:rFonts w:cstheme="minorHAnsi"/>
              </w:rPr>
            </w:pPr>
            <w:r w:rsidRPr="00CD2C28">
              <w:rPr>
                <w:rFonts w:cstheme="minorHAnsi"/>
              </w:rPr>
              <w:t>3.250.278</w:t>
            </w:r>
          </w:p>
        </w:tc>
      </w:tr>
    </w:tbl>
    <w:p w14:paraId="1E751561" w14:textId="3D7B0434" w:rsidR="002B2F8B" w:rsidRDefault="002B2F8B" w:rsidP="00CD2C28">
      <w:pPr>
        <w:spacing w:line="360" w:lineRule="auto"/>
        <w:jc w:val="both"/>
        <w:rPr>
          <w:rFonts w:cstheme="minorHAnsi"/>
          <w:b/>
          <w:i/>
        </w:rPr>
      </w:pPr>
    </w:p>
    <w:p w14:paraId="0CC1F1E0" w14:textId="77777777" w:rsidR="00CD2C28" w:rsidRPr="009D2D22" w:rsidRDefault="009D2D22" w:rsidP="00CD2C28">
      <w:pPr>
        <w:spacing w:line="360" w:lineRule="auto"/>
        <w:jc w:val="both"/>
        <w:rPr>
          <w:rFonts w:cstheme="minorHAnsi"/>
          <w:b/>
          <w:i/>
        </w:rPr>
      </w:pPr>
      <w:r w:rsidRPr="009D2D22">
        <w:rPr>
          <w:rFonts w:cstheme="minorHAnsi"/>
          <w:b/>
          <w:i/>
        </w:rPr>
        <w:t>Prestación de alimentos y asistencia básica</w:t>
      </w:r>
    </w:p>
    <w:p w14:paraId="0768C45E" w14:textId="77777777" w:rsidR="00CD2C28" w:rsidRPr="00CD2C28" w:rsidRDefault="00CD2C28" w:rsidP="00CD2C28">
      <w:pPr>
        <w:spacing w:line="360" w:lineRule="auto"/>
        <w:jc w:val="both"/>
        <w:rPr>
          <w:rFonts w:cstheme="minorHAnsi"/>
        </w:rPr>
      </w:pPr>
      <w:r w:rsidRPr="00CD2C28">
        <w:rPr>
          <w:rFonts w:cstheme="minorHAnsi"/>
        </w:rPr>
        <w:t xml:space="preserve">El Programa FSE+ de Asistencia Material Básica </w:t>
      </w:r>
      <w:r w:rsidR="002B2F8B">
        <w:rPr>
          <w:rFonts w:cstheme="minorHAnsi"/>
        </w:rPr>
        <w:t>(</w:t>
      </w:r>
      <w:r w:rsidRPr="00CD2C28">
        <w:rPr>
          <w:rFonts w:cstheme="minorHAnsi"/>
        </w:rPr>
        <w:t>2021-2027</w:t>
      </w:r>
      <w:r w:rsidR="002B2F8B">
        <w:rPr>
          <w:rFonts w:cstheme="minorHAnsi"/>
        </w:rPr>
        <w:t>)</w:t>
      </w:r>
      <w:r w:rsidRPr="00CD2C28">
        <w:rPr>
          <w:rFonts w:cstheme="minorHAnsi"/>
        </w:rPr>
        <w:t xml:space="preserve"> (Programa BÁSICO) para España, es un Programa únic</w:t>
      </w:r>
      <w:r w:rsidR="002B2F8B">
        <w:rPr>
          <w:rFonts w:cstheme="minorHAnsi"/>
        </w:rPr>
        <w:t xml:space="preserve">o a nivel estatal, con las Comunidades Autónomas </w:t>
      </w:r>
      <w:r w:rsidRPr="00CD2C28">
        <w:rPr>
          <w:rFonts w:cstheme="minorHAnsi"/>
        </w:rPr>
        <w:t xml:space="preserve">y ciudades de Ceuta y Melilla como organismos gestores, al ser la atención directa a la ciudadanía en materia de servicios sociales competencia exclusiva de las mismas, con el objetivo específico de hacer frente a la privación material mediante alimentos y/o prestación de asistencia material </w:t>
      </w:r>
      <w:r w:rsidR="002B2F8B">
        <w:rPr>
          <w:rFonts w:cstheme="minorHAnsi"/>
        </w:rPr>
        <w:t>esencial</w:t>
      </w:r>
      <w:r w:rsidRPr="00CD2C28">
        <w:rPr>
          <w:rFonts w:cstheme="minorHAnsi"/>
        </w:rPr>
        <w:t>.</w:t>
      </w:r>
    </w:p>
    <w:p w14:paraId="59420125" w14:textId="77777777" w:rsidR="00CD2C28" w:rsidRPr="00CD2C28" w:rsidRDefault="00CD2C28" w:rsidP="00CD2C28">
      <w:pPr>
        <w:spacing w:line="360" w:lineRule="auto"/>
        <w:jc w:val="both"/>
        <w:rPr>
          <w:rFonts w:cstheme="minorHAnsi"/>
        </w:rPr>
      </w:pPr>
      <w:r w:rsidRPr="00CD2C28">
        <w:rPr>
          <w:rFonts w:cstheme="minorHAnsi"/>
        </w:rPr>
        <w:t>La</w:t>
      </w:r>
      <w:r w:rsidR="009D2D22">
        <w:rPr>
          <w:rFonts w:cstheme="minorHAnsi"/>
        </w:rPr>
        <w:t xml:space="preserve"> provisión de ayuda se realiza</w:t>
      </w:r>
      <w:r w:rsidRPr="00CD2C28">
        <w:rPr>
          <w:rFonts w:cstheme="minorHAnsi"/>
        </w:rPr>
        <w:t xml:space="preserve"> de forma indirecta mediante un sistema común de tarjetas y/o de vales canjeables por productos de alimentación y por otra “asistencia material básica”, en concreto artículos de higiene tales como jabón, champú y pasta de dientes, así como</w:t>
      </w:r>
      <w:r w:rsidR="00174B03">
        <w:rPr>
          <w:rFonts w:cstheme="minorHAnsi"/>
        </w:rPr>
        <w:t xml:space="preserve"> de higiene </w:t>
      </w:r>
      <w:r w:rsidR="00174B03">
        <w:rPr>
          <w:rFonts w:cstheme="minorHAnsi"/>
        </w:rPr>
        <w:lastRenderedPageBreak/>
        <w:t xml:space="preserve">femenina menstrual </w:t>
      </w:r>
      <w:r w:rsidRPr="00CD2C28">
        <w:rPr>
          <w:rFonts w:cstheme="minorHAnsi"/>
        </w:rPr>
        <w:t>y paña</w:t>
      </w:r>
      <w:r w:rsidR="001F37DC">
        <w:rPr>
          <w:rFonts w:cstheme="minorHAnsi"/>
        </w:rPr>
        <w:t>les infantiles. De esta manera, l</w:t>
      </w:r>
      <w:r w:rsidRPr="00CD2C28">
        <w:rPr>
          <w:rFonts w:cstheme="minorHAnsi"/>
        </w:rPr>
        <w:t>a modalidad de reparto de alimentos se reorienta hacia modelos de acompañamiento integral que promuevan la normalización, la autodeterminación de las personas, la garantía del cumplimiento de sus derechos y su dignidad. Dejarán por tanto de entregarse directamente alimentos en las llamadas “colas del hambre” y se pasará a comprar directamente en establecimientos de alimentación.</w:t>
      </w:r>
    </w:p>
    <w:p w14:paraId="5432CEB8" w14:textId="77777777" w:rsidR="00CD2C28" w:rsidRPr="00CD2C28" w:rsidRDefault="00CD2C28" w:rsidP="00CD2C28">
      <w:pPr>
        <w:spacing w:line="360" w:lineRule="auto"/>
        <w:jc w:val="both"/>
        <w:rPr>
          <w:rFonts w:cstheme="minorHAnsi"/>
        </w:rPr>
      </w:pPr>
      <w:r w:rsidRPr="00CD2C28">
        <w:rPr>
          <w:rFonts w:cstheme="minorHAnsi"/>
        </w:rPr>
        <w:t>Serán destinatarias de la ayuda las familias con menores a cargo que se encuentren por debajo del umbral de pobreza severa. E</w:t>
      </w:r>
      <w:r w:rsidR="002B2F8B">
        <w:rPr>
          <w:rFonts w:cstheme="minorHAnsi"/>
        </w:rPr>
        <w:t>sto es inferiores al 40% de la Renta Mediana N</w:t>
      </w:r>
      <w:r w:rsidRPr="00CD2C28">
        <w:rPr>
          <w:rFonts w:cstheme="minorHAnsi"/>
        </w:rPr>
        <w:t>acional (con posibles adaptaciones por C</w:t>
      </w:r>
      <w:r w:rsidR="002B2F8B">
        <w:rPr>
          <w:rFonts w:cstheme="minorHAnsi"/>
        </w:rPr>
        <w:t>omunidades Autónomas</w:t>
      </w:r>
      <w:r w:rsidRPr="00CD2C28">
        <w:rPr>
          <w:rFonts w:cstheme="minorHAnsi"/>
        </w:rPr>
        <w:t>).   Las Comunidades y Ciudades Autónomas determinan quiénes son los beneficiarios en sus territorios. Establecerán los criterios para e</w:t>
      </w:r>
      <w:r w:rsidR="00174B03">
        <w:rPr>
          <w:rFonts w:cstheme="minorHAnsi"/>
        </w:rPr>
        <w:t>l cálculo del umbral de renta y</w:t>
      </w:r>
      <w:r w:rsidRPr="00CD2C28">
        <w:rPr>
          <w:rFonts w:cstheme="minorHAnsi"/>
        </w:rPr>
        <w:t xml:space="preserve"> qué entienden por unidad familiar, el tipo de ingresos a tener en cuenta, así como la documentación acreditativa de los requisitos</w:t>
      </w:r>
    </w:p>
    <w:p w14:paraId="3C31405C" w14:textId="77777777" w:rsidR="00CD2C28" w:rsidRPr="00CD2C28" w:rsidRDefault="00CD2C28" w:rsidP="00CD2C28">
      <w:pPr>
        <w:spacing w:line="360" w:lineRule="auto"/>
        <w:jc w:val="both"/>
        <w:rPr>
          <w:rFonts w:cstheme="minorHAnsi"/>
        </w:rPr>
      </w:pPr>
      <w:r w:rsidRPr="00CD2C28">
        <w:rPr>
          <w:rFonts w:cstheme="minorHAnsi"/>
        </w:rPr>
        <w:t>Cuantía: 2 miembros de la unidad familiar (una persona adulta y un menor) importe mensual de 130 euros (1.560 euros al año), 3 miembros de la unidad familiar</w:t>
      </w:r>
      <w:r w:rsidR="00174B03">
        <w:rPr>
          <w:rFonts w:cstheme="minorHAnsi"/>
        </w:rPr>
        <w:t>,</w:t>
      </w:r>
      <w:r w:rsidRPr="00CD2C28">
        <w:rPr>
          <w:rFonts w:cstheme="minorHAnsi"/>
        </w:rPr>
        <w:t xml:space="preserve"> 160 euros (1.920 euros al año), 4 miembros de la unidad familiar</w:t>
      </w:r>
      <w:r w:rsidR="00174B03">
        <w:rPr>
          <w:rFonts w:cstheme="minorHAnsi"/>
        </w:rPr>
        <w:t>,</w:t>
      </w:r>
      <w:r w:rsidRPr="00CD2C28">
        <w:rPr>
          <w:rFonts w:cstheme="minorHAnsi"/>
        </w:rPr>
        <w:t xml:space="preserve"> 190 euros (2.280 al año) y 5 o más miembros de la unidad familiar</w:t>
      </w:r>
      <w:r w:rsidR="00174B03">
        <w:rPr>
          <w:rFonts w:cstheme="minorHAnsi"/>
        </w:rPr>
        <w:t>,</w:t>
      </w:r>
      <w:r w:rsidRPr="00CD2C28">
        <w:rPr>
          <w:rFonts w:cstheme="minorHAnsi"/>
        </w:rPr>
        <w:t xml:space="preserve"> 2</w:t>
      </w:r>
      <w:r w:rsidR="0019381C">
        <w:rPr>
          <w:rFonts w:cstheme="minorHAnsi"/>
        </w:rPr>
        <w:t>20 euros al mes (2.640 al año).</w:t>
      </w:r>
    </w:p>
    <w:p w14:paraId="47C748AA" w14:textId="6A552A7F" w:rsidR="002B2F8B" w:rsidRPr="00681195" w:rsidRDefault="00CD2C28" w:rsidP="00FA604C">
      <w:pPr>
        <w:spacing w:line="360" w:lineRule="auto"/>
        <w:jc w:val="both"/>
        <w:rPr>
          <w:rFonts w:cstheme="minorHAnsi"/>
        </w:rPr>
      </w:pPr>
      <w:r w:rsidRPr="00CD2C28">
        <w:rPr>
          <w:rFonts w:cstheme="minorHAnsi"/>
        </w:rPr>
        <w:t>De manera transitoria y exclusivamente durante el año 2024 el Ministerio de Derechos Sociales, Consumo y Agenda 2030 ha sido el encargado de la provisión de tarjetas, a través de la entidad Cruz Roja Española (Real Decreto 93/2024, de 23 de enero, por el que se regula la concesión directa de una subvención a la entidad social Cruz Roja Española para la puesta en marcha durante el año 2024 del programa del Fondo Social Europeo Plus de Asistencia mate</w:t>
      </w:r>
      <w:r w:rsidR="0019381C">
        <w:rPr>
          <w:rFonts w:cstheme="minorHAnsi"/>
        </w:rPr>
        <w:t xml:space="preserve">rial Básica –Programa BÁSICO-). </w:t>
      </w:r>
      <w:r w:rsidRPr="00CD2C28">
        <w:rPr>
          <w:rFonts w:cstheme="minorHAnsi"/>
        </w:rPr>
        <w:t>A partir del 2025 y para el resto del periodo serán las Comunidades Autónomas las encargadas de implementar completamente dicho Programa</w:t>
      </w:r>
      <w:r w:rsidR="00174B03">
        <w:rPr>
          <w:rFonts w:cstheme="minorHAnsi"/>
        </w:rPr>
        <w:t>.</w:t>
      </w:r>
      <w:bookmarkStart w:id="4" w:name="_Hlk193454543"/>
      <w:r w:rsidR="00681195">
        <w:rPr>
          <w:rFonts w:cstheme="minorHAnsi"/>
        </w:rPr>
        <w:t xml:space="preserve"> </w:t>
      </w:r>
    </w:p>
    <w:p w14:paraId="433B8ABC" w14:textId="77777777" w:rsidR="002C5B0A" w:rsidRPr="002C5B0A" w:rsidRDefault="002C5B0A" w:rsidP="00FA604C">
      <w:pPr>
        <w:spacing w:line="360" w:lineRule="auto"/>
        <w:jc w:val="both"/>
        <w:rPr>
          <w:rFonts w:cstheme="minorHAnsi"/>
          <w:b/>
          <w:i/>
        </w:rPr>
      </w:pPr>
      <w:r w:rsidRPr="002C5B0A">
        <w:rPr>
          <w:rFonts w:cstheme="minorHAnsi"/>
          <w:b/>
          <w:i/>
        </w:rPr>
        <w:t>Fondo de Impacto Social (FIS)</w:t>
      </w:r>
      <w:r>
        <w:rPr>
          <w:rFonts w:cstheme="minorHAnsi"/>
          <w:b/>
          <w:i/>
        </w:rPr>
        <w:t>: acceso a la vivienda</w:t>
      </w:r>
    </w:p>
    <w:p w14:paraId="5E461421" w14:textId="77777777" w:rsidR="00FA604C" w:rsidRPr="00FA604C" w:rsidRDefault="002C5B0A" w:rsidP="00FA604C">
      <w:pPr>
        <w:spacing w:line="360" w:lineRule="auto"/>
        <w:jc w:val="both"/>
        <w:rPr>
          <w:rFonts w:cstheme="minorHAnsi"/>
        </w:rPr>
      </w:pPr>
      <w:r>
        <w:rPr>
          <w:rFonts w:cstheme="minorHAnsi"/>
        </w:rPr>
        <w:t>Como</w:t>
      </w:r>
      <w:r w:rsidR="00FA604C" w:rsidRPr="00FA604C">
        <w:rPr>
          <w:rFonts w:cstheme="minorHAnsi"/>
        </w:rPr>
        <w:t xml:space="preserve"> las necesidades de inversión social son cuantiosas y diversas, </w:t>
      </w:r>
      <w:r>
        <w:rPr>
          <w:rFonts w:cstheme="minorHAnsi"/>
        </w:rPr>
        <w:t xml:space="preserve">se </w:t>
      </w:r>
      <w:r w:rsidR="00FA604C" w:rsidRPr="00FA604C">
        <w:rPr>
          <w:rFonts w:cstheme="minorHAnsi"/>
        </w:rPr>
        <w:t>hace preciso buscar la colaboración del sector privado en el desarrollo de planes, medidas y proyectos destinados a impulsar la inclusión social.</w:t>
      </w:r>
      <w:r>
        <w:rPr>
          <w:rFonts w:cstheme="minorHAnsi"/>
        </w:rPr>
        <w:t xml:space="preserve"> </w:t>
      </w:r>
      <w:r w:rsidR="00FA604C" w:rsidRPr="00FA604C">
        <w:rPr>
          <w:rFonts w:cstheme="minorHAnsi"/>
        </w:rPr>
        <w:t xml:space="preserve">Con esta idea, en 2024 se creó el Fondo de Impacto Social (FIS) en el marco de los fondos </w:t>
      </w:r>
      <w:proofErr w:type="spellStart"/>
      <w:r w:rsidR="00FA604C" w:rsidRPr="00FA604C">
        <w:rPr>
          <w:rFonts w:cstheme="minorHAnsi"/>
        </w:rPr>
        <w:t>NextGeneration</w:t>
      </w:r>
      <w:proofErr w:type="spellEnd"/>
      <w:r w:rsidR="00FA604C" w:rsidRPr="00FA604C">
        <w:rPr>
          <w:rFonts w:cstheme="minorHAnsi"/>
        </w:rPr>
        <w:t xml:space="preserve"> </w:t>
      </w:r>
      <w:r w:rsidR="00174B03">
        <w:rPr>
          <w:rFonts w:cstheme="minorHAnsi"/>
        </w:rPr>
        <w:t>UE, dotado con 400 millones de euros</w:t>
      </w:r>
      <w:r w:rsidR="00FA604C" w:rsidRPr="00FA604C">
        <w:rPr>
          <w:rFonts w:cstheme="minorHAnsi"/>
        </w:rPr>
        <w:t xml:space="preserve">, un instrumento financiero público cuyo principal objetivo es apoyar la inversión de impacto en España y reforzar el ecosistema de emprendimiento social. </w:t>
      </w:r>
    </w:p>
    <w:p w14:paraId="417F1AEB" w14:textId="77777777" w:rsidR="00FA604C" w:rsidRPr="00FA604C" w:rsidRDefault="00FA604C" w:rsidP="00FA604C">
      <w:pPr>
        <w:spacing w:line="360" w:lineRule="auto"/>
        <w:jc w:val="both"/>
        <w:rPr>
          <w:rFonts w:cstheme="minorHAnsi"/>
        </w:rPr>
      </w:pPr>
      <w:r w:rsidRPr="00FA604C">
        <w:rPr>
          <w:rFonts w:cstheme="minorHAnsi"/>
        </w:rPr>
        <w:t xml:space="preserve">En el primer año de funcionamiento </w:t>
      </w:r>
      <w:r w:rsidR="00174B03">
        <w:rPr>
          <w:rFonts w:cstheme="minorHAnsi"/>
        </w:rPr>
        <w:t>del FIS (junio 2024-junio 2025)</w:t>
      </w:r>
      <w:r w:rsidRPr="00FA604C">
        <w:rPr>
          <w:rFonts w:cstheme="minorHAnsi"/>
        </w:rPr>
        <w:t xml:space="preserve"> se han aprobado 13 operaciones por valor de 155 </w:t>
      </w:r>
      <w:r w:rsidR="00174B03">
        <w:rPr>
          <w:rFonts w:cstheme="minorHAnsi"/>
        </w:rPr>
        <w:t>millones</w:t>
      </w:r>
      <w:r w:rsidRPr="00FA604C">
        <w:rPr>
          <w:rFonts w:cstheme="minorHAnsi"/>
        </w:rPr>
        <w:t xml:space="preserve"> (el 40% del valor del Fondo) y se espera terminar el</w:t>
      </w:r>
      <w:r w:rsidR="00174B03">
        <w:rPr>
          <w:rFonts w:cstheme="minorHAnsi"/>
        </w:rPr>
        <w:t xml:space="preserve"> año con una inversión de 255. De este importe, hasta 40 millones</w:t>
      </w:r>
      <w:r w:rsidRPr="00FA604C">
        <w:rPr>
          <w:rFonts w:cstheme="minorHAnsi"/>
        </w:rPr>
        <w:t xml:space="preserve"> formarán parte de la línea de </w:t>
      </w:r>
      <w:r w:rsidRPr="00FA604C">
        <w:rPr>
          <w:rFonts w:cstheme="minorHAnsi"/>
        </w:rPr>
        <w:lastRenderedPageBreak/>
        <w:t xml:space="preserve">vivienda destinada a proyectos que faciliten el acceso residencial a personas en situación de exclusión, principalmente a personas en situación de sinhogarismo, población migrante o residentes en zonas rurales afectadas por despoblación. </w:t>
      </w:r>
    </w:p>
    <w:p w14:paraId="4438768C" w14:textId="77777777" w:rsidR="00FA604C" w:rsidRPr="00FA604C" w:rsidRDefault="00FA604C" w:rsidP="00FA604C">
      <w:pPr>
        <w:spacing w:line="360" w:lineRule="auto"/>
        <w:jc w:val="both"/>
        <w:rPr>
          <w:rFonts w:cstheme="minorHAnsi"/>
        </w:rPr>
      </w:pPr>
      <w:r w:rsidRPr="00FA604C">
        <w:rPr>
          <w:rFonts w:cstheme="minorHAnsi"/>
        </w:rPr>
        <w:t>La primera operación de esta línea se firmó a f</w:t>
      </w:r>
      <w:r w:rsidR="00174B03">
        <w:rPr>
          <w:rFonts w:cstheme="minorHAnsi"/>
        </w:rPr>
        <w:t xml:space="preserve">inales de mayo con </w:t>
      </w:r>
      <w:proofErr w:type="spellStart"/>
      <w:r w:rsidR="00174B03">
        <w:rPr>
          <w:rFonts w:cstheme="minorHAnsi"/>
        </w:rPr>
        <w:t>TuTecho</w:t>
      </w:r>
      <w:proofErr w:type="spellEnd"/>
      <w:r w:rsidR="00174B03">
        <w:rPr>
          <w:rFonts w:cstheme="minorHAnsi"/>
        </w:rPr>
        <w:t xml:space="preserve"> (5 millones</w:t>
      </w:r>
      <w:r w:rsidRPr="00FA604C">
        <w:rPr>
          <w:rFonts w:cstheme="minorHAnsi"/>
        </w:rPr>
        <w:t xml:space="preserve">) y se dedicará a la compra y rehabilitación de inmuebles en zonas tensionadas por las situaciones de pobreza que se pondrán a disposición de las entidades sociales para que las ofrezcan a los usuarios en condiciones de alquiler social (hasta un 30% menos del precio del mercado). </w:t>
      </w:r>
    </w:p>
    <w:p w14:paraId="4528B625" w14:textId="77777777" w:rsidR="00894A91" w:rsidRPr="00894A91" w:rsidRDefault="00894A91" w:rsidP="00822810">
      <w:pPr>
        <w:spacing w:line="360" w:lineRule="auto"/>
        <w:jc w:val="both"/>
        <w:rPr>
          <w:rFonts w:cstheme="minorHAnsi"/>
          <w:b/>
          <w:i/>
        </w:rPr>
      </w:pPr>
      <w:r w:rsidRPr="00894A91">
        <w:rPr>
          <w:rFonts w:cstheme="minorHAnsi"/>
          <w:b/>
          <w:i/>
        </w:rPr>
        <w:t>El Plan de Acción Estatal para la Implementación de la Garantía Infantil Europea (PAEGIE)</w:t>
      </w:r>
    </w:p>
    <w:p w14:paraId="45E088C0" w14:textId="77777777" w:rsidR="00822810" w:rsidRPr="00822810" w:rsidRDefault="00822810" w:rsidP="00822810">
      <w:pPr>
        <w:spacing w:line="360" w:lineRule="auto"/>
        <w:jc w:val="both"/>
        <w:rPr>
          <w:rFonts w:cstheme="minorHAnsi"/>
        </w:rPr>
      </w:pPr>
      <w:r w:rsidRPr="00822810">
        <w:rPr>
          <w:rFonts w:cstheme="minorHAnsi"/>
        </w:rPr>
        <w:t>El PAEGIE</w:t>
      </w:r>
      <w:r w:rsidR="00894A91">
        <w:rPr>
          <w:rFonts w:cstheme="minorHAnsi"/>
        </w:rPr>
        <w:t xml:space="preserve"> </w:t>
      </w:r>
      <w:r w:rsidR="004943C8">
        <w:rPr>
          <w:rFonts w:cstheme="minorHAnsi"/>
        </w:rPr>
        <w:t>(</w:t>
      </w:r>
      <w:r w:rsidR="00894A91">
        <w:rPr>
          <w:rFonts w:cstheme="minorHAnsi"/>
        </w:rPr>
        <w:t>2022-2030</w:t>
      </w:r>
      <w:r w:rsidR="004943C8">
        <w:rPr>
          <w:rFonts w:cstheme="minorHAnsi"/>
        </w:rPr>
        <w:t>)</w:t>
      </w:r>
      <w:r w:rsidRPr="00822810">
        <w:rPr>
          <w:rFonts w:cstheme="minorHAnsi"/>
        </w:rPr>
        <w:t xml:space="preserve">, </w:t>
      </w:r>
      <w:r w:rsidR="00894A91" w:rsidRPr="00822810">
        <w:rPr>
          <w:rFonts w:cstheme="minorHAnsi"/>
        </w:rPr>
        <w:t>aprobado por Consejo de M</w:t>
      </w:r>
      <w:r w:rsidR="00894A91">
        <w:rPr>
          <w:rFonts w:cstheme="minorHAnsi"/>
        </w:rPr>
        <w:t xml:space="preserve">inistros el 5 de julio de 2022, y </w:t>
      </w:r>
      <w:r w:rsidRPr="00822810">
        <w:rPr>
          <w:rFonts w:cstheme="minorHAnsi"/>
        </w:rPr>
        <w:t>enmarcado en el Plan de Acción del Pilar Europeo de Derechos Sociales, propone como objetivo garantizar el disfrute en igualdad de los derechos de niños, niñas y adolescentes, prevenir y combatir la pobreza infantil y la exclusión social, asegurar la igualdad de oportunidades y evitar la discriminación. Entre otras metas, el Plan prevé que para el año 2030 se haya reducido la tasa AROPE infantil 8,6 puntos porcentuales respecto al dato de 2019 (30,3%), logrando sacar del riesgo de pobreza y exclusión a, al menos, 730.000 niños, niñas y adolescentes. Para ello, se estructura en tres ejes estratégicos con un total de 88 medidas y hace hincapié en cinco pilares básicos: primera infancia y atención temprana; educación y actividades extraescolares; alimentación saludable; asistencia sanitaria; y vivienda.</w:t>
      </w:r>
    </w:p>
    <w:p w14:paraId="51EB0963" w14:textId="77777777" w:rsidR="00822810" w:rsidRPr="00822810" w:rsidRDefault="00822810" w:rsidP="00822810">
      <w:pPr>
        <w:spacing w:line="360" w:lineRule="auto"/>
        <w:jc w:val="both"/>
        <w:rPr>
          <w:rFonts w:cstheme="minorHAnsi"/>
        </w:rPr>
      </w:pPr>
      <w:r w:rsidRPr="00822810">
        <w:rPr>
          <w:rFonts w:cstheme="minorHAnsi"/>
        </w:rPr>
        <w:t>Asimismo, la Estrategia Estatal de Derechos de la Infancia y de la Adolescencia (2023-2030), establece objetivos concretos para el año 2030: reducir hasta un 60% la infravivienda, reducir a la mitad la inaccesibilidad médica y dental, reducir la tasa de abandono escolar temprano…</w:t>
      </w:r>
    </w:p>
    <w:p w14:paraId="40D3FA6C" w14:textId="358AA74D" w:rsidR="00822810" w:rsidRPr="00822810" w:rsidRDefault="00822810" w:rsidP="00822810">
      <w:pPr>
        <w:spacing w:line="360" w:lineRule="auto"/>
        <w:jc w:val="both"/>
        <w:rPr>
          <w:rFonts w:cstheme="minorHAnsi"/>
        </w:rPr>
      </w:pPr>
      <w:r w:rsidRPr="00822810">
        <w:rPr>
          <w:rFonts w:cstheme="minorHAnsi"/>
        </w:rPr>
        <w:t>Además, cabe destacar que la Comisión Europea establece que España debe invertir al menos el 5% de los recursos del Fondo Social Europeo+ (FSE+) en actuaciones dirigidas a luchar contra la pobreza infantil y a lograr los objetivos de la Garantía Infantil Europea. Gracias al nivel de compromiso de todas las administraciones, en España se ha doblado el presupuesto mínimo exigido por la Unión Europea, llegando al 11,28%.</w:t>
      </w:r>
      <w:r w:rsidR="00894A91">
        <w:rPr>
          <w:rFonts w:cstheme="minorHAnsi"/>
        </w:rPr>
        <w:t xml:space="preserve"> En esta línea, España </w:t>
      </w:r>
      <w:r w:rsidRPr="00822810">
        <w:rPr>
          <w:rFonts w:cstheme="minorHAnsi"/>
        </w:rPr>
        <w:t>está impulsando un Pacto de Estado contra la pobreza infantil</w:t>
      </w:r>
      <w:r w:rsidR="00323330">
        <w:rPr>
          <w:rFonts w:cstheme="minorHAnsi"/>
        </w:rPr>
        <w:t>.</w:t>
      </w:r>
    </w:p>
    <w:p w14:paraId="1F3AEAD0" w14:textId="77777777" w:rsidR="00822810" w:rsidRPr="00822810" w:rsidRDefault="004943C8" w:rsidP="00822810">
      <w:pPr>
        <w:spacing w:line="360" w:lineRule="auto"/>
        <w:jc w:val="both"/>
        <w:rPr>
          <w:rFonts w:cstheme="minorHAnsi"/>
        </w:rPr>
      </w:pPr>
      <w:r>
        <w:rPr>
          <w:rFonts w:cstheme="minorHAnsi"/>
        </w:rPr>
        <w:t>El</w:t>
      </w:r>
      <w:r w:rsidR="00822810" w:rsidRPr="00822810">
        <w:rPr>
          <w:rFonts w:cstheme="minorHAnsi"/>
        </w:rPr>
        <w:t xml:space="preserve"> </w:t>
      </w:r>
      <w:hyperlink r:id="rId14" w:history="1">
        <w:r w:rsidR="00822810" w:rsidRPr="00822810">
          <w:rPr>
            <w:rFonts w:cstheme="minorHAnsi"/>
          </w:rPr>
          <w:t>Primer Informe bienal de progreso de la implementación de la Garantía Infantil Europea</w:t>
        </w:r>
      </w:hyperlink>
      <w:r w:rsidR="00822810" w:rsidRPr="00822810">
        <w:rPr>
          <w:rFonts w:cstheme="minorHAnsi"/>
        </w:rPr>
        <w:t xml:space="preserve"> recoge algunas de las actuaciones desarrolladas a nivel estatal en la primera fase del plan</w:t>
      </w:r>
      <w:r w:rsidR="00894A91">
        <w:rPr>
          <w:rFonts w:cstheme="minorHAnsi"/>
        </w:rPr>
        <w:t>.</w:t>
      </w:r>
    </w:p>
    <w:p w14:paraId="324EDE6B" w14:textId="77777777" w:rsidR="00822810" w:rsidRPr="00894A91" w:rsidRDefault="00822810" w:rsidP="00822810">
      <w:pPr>
        <w:pStyle w:val="ListParagraph"/>
        <w:numPr>
          <w:ilvl w:val="0"/>
          <w:numId w:val="12"/>
        </w:numPr>
        <w:spacing w:line="360" w:lineRule="auto"/>
        <w:jc w:val="both"/>
        <w:rPr>
          <w:rFonts w:cstheme="minorHAnsi"/>
        </w:rPr>
      </w:pPr>
      <w:r w:rsidRPr="00894A91">
        <w:rPr>
          <w:rFonts w:cstheme="minorHAnsi"/>
        </w:rPr>
        <w:t xml:space="preserve">Medida 61. Mejora de la implementación del Programa Escolar de consumo de frutas, hortalizas y leche </w:t>
      </w:r>
      <w:r w:rsidRPr="00822810">
        <w:sym w:font="Wingdings" w:char="F0E0"/>
      </w:r>
      <w:r w:rsidRPr="00894A91">
        <w:rPr>
          <w:rFonts w:cstheme="minorHAnsi"/>
        </w:rPr>
        <w:t xml:space="preserve"> </w:t>
      </w:r>
      <w:r w:rsidR="004943C8">
        <w:rPr>
          <w:rFonts w:cstheme="minorHAnsi"/>
        </w:rPr>
        <w:t>E</w:t>
      </w:r>
      <w:r w:rsidRPr="00894A91">
        <w:rPr>
          <w:rFonts w:cstheme="minorHAnsi"/>
        </w:rPr>
        <w:t xml:space="preserve">n el curso 2022-2023 participaron 1.985.686 niños y niñas, y el importe total de las ayudas concedidas fue de 14.677.249€. </w:t>
      </w:r>
    </w:p>
    <w:p w14:paraId="16B772D5" w14:textId="77777777" w:rsidR="00822810" w:rsidRPr="00894A91" w:rsidRDefault="00822810" w:rsidP="00822810">
      <w:pPr>
        <w:pStyle w:val="ListParagraph"/>
        <w:numPr>
          <w:ilvl w:val="0"/>
          <w:numId w:val="12"/>
        </w:numPr>
        <w:spacing w:line="360" w:lineRule="auto"/>
        <w:jc w:val="both"/>
        <w:rPr>
          <w:rFonts w:cstheme="minorHAnsi"/>
        </w:rPr>
      </w:pPr>
      <w:r w:rsidRPr="00894A91">
        <w:rPr>
          <w:rFonts w:cstheme="minorHAnsi"/>
        </w:rPr>
        <w:lastRenderedPageBreak/>
        <w:t>Medida 64. Medidas de sensibilización y divulgación s</w:t>
      </w:r>
      <w:r w:rsidR="004943C8">
        <w:rPr>
          <w:rFonts w:cstheme="minorHAnsi"/>
        </w:rPr>
        <w:t>obre estilos de vida saludables.</w:t>
      </w:r>
    </w:p>
    <w:p w14:paraId="16BD258E" w14:textId="77777777" w:rsidR="00822810" w:rsidRPr="00894A91" w:rsidRDefault="00822810" w:rsidP="00822810">
      <w:pPr>
        <w:pStyle w:val="ListParagraph"/>
        <w:numPr>
          <w:ilvl w:val="0"/>
          <w:numId w:val="12"/>
        </w:numPr>
        <w:spacing w:line="360" w:lineRule="auto"/>
        <w:jc w:val="both"/>
        <w:rPr>
          <w:rFonts w:cstheme="minorHAnsi"/>
        </w:rPr>
      </w:pPr>
      <w:r w:rsidRPr="00894A91">
        <w:rPr>
          <w:rFonts w:cstheme="minorHAnsi"/>
        </w:rPr>
        <w:t xml:space="preserve">Medida 62. Programas de acceso a una alimentación saludable a las familias en situación de vulnerabilidad </w:t>
      </w:r>
      <w:r w:rsidRPr="00822810">
        <w:sym w:font="Wingdings" w:char="F0E0"/>
      </w:r>
      <w:r w:rsidR="00894A91">
        <w:rPr>
          <w:rFonts w:cstheme="minorHAnsi"/>
        </w:rPr>
        <w:t xml:space="preserve"> </w:t>
      </w:r>
      <w:r w:rsidR="004943C8">
        <w:rPr>
          <w:rFonts w:cstheme="minorHAnsi"/>
        </w:rPr>
        <w:t>Las</w:t>
      </w:r>
      <w:r w:rsidRPr="00894A91">
        <w:rPr>
          <w:rFonts w:cstheme="minorHAnsi"/>
        </w:rPr>
        <w:t xml:space="preserve"> tarjetas monedero </w:t>
      </w:r>
      <w:r w:rsidR="004943C8">
        <w:rPr>
          <w:rFonts w:cstheme="minorHAnsi"/>
        </w:rPr>
        <w:t>ya mencionadas</w:t>
      </w:r>
      <w:r w:rsidRPr="00894A91">
        <w:rPr>
          <w:rFonts w:cstheme="minorHAnsi"/>
        </w:rPr>
        <w:t>. El presupuesto asignado en 2024 ascendió a 95.463.403,3€.</w:t>
      </w:r>
    </w:p>
    <w:p w14:paraId="715679B2" w14:textId="77777777" w:rsidR="00894A91" w:rsidRPr="00894A91" w:rsidRDefault="00894A91" w:rsidP="00822810">
      <w:pPr>
        <w:spacing w:line="360" w:lineRule="auto"/>
        <w:jc w:val="both"/>
        <w:rPr>
          <w:rFonts w:cstheme="minorHAnsi"/>
          <w:b/>
          <w:i/>
        </w:rPr>
      </w:pPr>
      <w:r w:rsidRPr="00894A91">
        <w:rPr>
          <w:rFonts w:cstheme="minorHAnsi"/>
          <w:b/>
          <w:i/>
        </w:rPr>
        <w:t>Acogimiento</w:t>
      </w:r>
    </w:p>
    <w:p w14:paraId="1D879BF3" w14:textId="77777777" w:rsidR="00822810" w:rsidRPr="00822810" w:rsidRDefault="00822810" w:rsidP="00822810">
      <w:pPr>
        <w:spacing w:line="360" w:lineRule="auto"/>
        <w:jc w:val="both"/>
        <w:rPr>
          <w:rFonts w:cstheme="minorHAnsi"/>
        </w:rPr>
      </w:pPr>
      <w:r w:rsidRPr="00822810">
        <w:rPr>
          <w:rFonts w:cstheme="minorHAnsi"/>
        </w:rPr>
        <w:t xml:space="preserve">En el ámbito del acogimiento, cabe destacar la nueva redacción del artículo 20 de la </w:t>
      </w:r>
      <w:hyperlink r:id="rId15" w:history="1">
        <w:r w:rsidRPr="00822810">
          <w:rPr>
            <w:rFonts w:cstheme="minorHAnsi"/>
          </w:rPr>
          <w:t>Ley Orgánica 1/1996, de 15 de enero, de Protección Jurídica del Menor, de modificación parcial del código Civil y de la Ley de Enjuiciamiento Civil</w:t>
        </w:r>
      </w:hyperlink>
      <w:r w:rsidRPr="00822810">
        <w:rPr>
          <w:rFonts w:cstheme="minorHAnsi"/>
        </w:rPr>
        <w:t xml:space="preserve"> (modificación operada por la LOPIVI), donde se recoge la figura del acogimiento especializado, entendiendo por tal el que se desarrolla en una familia en la que alguna o algunas de  las personas que integran la unidad familiar dispone de cualificación, experiencia o formación específica </w:t>
      </w:r>
      <w:r w:rsidR="00350524">
        <w:rPr>
          <w:rFonts w:cstheme="minorHAnsi"/>
        </w:rPr>
        <w:t xml:space="preserve">respecto de </w:t>
      </w:r>
      <w:r w:rsidRPr="00822810">
        <w:rPr>
          <w:rFonts w:cstheme="minorHAnsi"/>
        </w:rPr>
        <w:t>menores de edad con necesidades o circunstancias especiales, pudiendo perc</w:t>
      </w:r>
      <w:r w:rsidR="00980D7C">
        <w:rPr>
          <w:rFonts w:cstheme="minorHAnsi"/>
        </w:rPr>
        <w:t xml:space="preserve">ibir por ello una compensación. </w:t>
      </w:r>
      <w:r w:rsidRPr="00822810">
        <w:rPr>
          <w:rFonts w:cstheme="minorHAnsi"/>
        </w:rPr>
        <w:t xml:space="preserve">Se establece, además, que este podrá ser de dedicación exclusiva cuando así se determine por la Entidad Pública por razón de las necesidades y circunstancias especiales del niño, niña o adolescente en situación de ser acogido, percibiendo en tal caso una compensación en atención a dicha dedicación. </w:t>
      </w:r>
    </w:p>
    <w:p w14:paraId="76767D89" w14:textId="77777777" w:rsidR="002B2F8B" w:rsidRDefault="00822810" w:rsidP="00822810">
      <w:pPr>
        <w:spacing w:line="360" w:lineRule="auto"/>
        <w:jc w:val="both"/>
        <w:rPr>
          <w:rFonts w:cstheme="minorHAnsi"/>
        </w:rPr>
      </w:pPr>
      <w:r w:rsidRPr="00822810">
        <w:rPr>
          <w:rFonts w:cstheme="minorHAnsi"/>
        </w:rPr>
        <w:t xml:space="preserve">En cuanto al acogimiento residencial, en octubre de 2019 la Comisión Delegada de Servicios Sociales aprobó el documento </w:t>
      </w:r>
      <w:r w:rsidR="00350524">
        <w:rPr>
          <w:rFonts w:cstheme="minorHAnsi"/>
        </w:rPr>
        <w:t>“</w:t>
      </w:r>
      <w:hyperlink r:id="rId16" w:history="1">
        <w:r w:rsidRPr="00822810">
          <w:rPr>
            <w:rFonts w:cstheme="minorHAnsi"/>
          </w:rPr>
          <w:t>Criterios de cobertura, calidad y accesibilidad en acogimiento residencial</w:t>
        </w:r>
      </w:hyperlink>
      <w:r w:rsidR="00350524">
        <w:rPr>
          <w:rFonts w:cstheme="minorHAnsi"/>
        </w:rPr>
        <w:t>”</w:t>
      </w:r>
      <w:r w:rsidRPr="00822810">
        <w:rPr>
          <w:rFonts w:cstheme="minorHAnsi"/>
        </w:rPr>
        <w:t>,</w:t>
      </w:r>
      <w:r w:rsidR="00350524">
        <w:rPr>
          <w:rFonts w:cstheme="minorHAnsi"/>
        </w:rPr>
        <w:t xml:space="preserve"> que está siendo revisado</w:t>
      </w:r>
      <w:r w:rsidRPr="00822810">
        <w:rPr>
          <w:rFonts w:cstheme="minorHAnsi"/>
        </w:rPr>
        <w:t xml:space="preserve"> en </w:t>
      </w:r>
      <w:r w:rsidR="00350524">
        <w:rPr>
          <w:rFonts w:cstheme="minorHAnsi"/>
        </w:rPr>
        <w:t>el proyecto de Real Decreto de D</w:t>
      </w:r>
      <w:r w:rsidRPr="00822810">
        <w:rPr>
          <w:rFonts w:cstheme="minorHAnsi"/>
        </w:rPr>
        <w:t>eterminación de estándares en el sistema de acogimiento residencial de niños, niñas y adolescentes. Este fue sometido a consulta pública a finales de 2024 y c</w:t>
      </w:r>
      <w:r w:rsidR="00980D7C">
        <w:rPr>
          <w:rFonts w:cstheme="minorHAnsi"/>
        </w:rPr>
        <w:t xml:space="preserve">ontinúa en fase de elaboración. </w:t>
      </w:r>
    </w:p>
    <w:p w14:paraId="3ABADCD1" w14:textId="77777777" w:rsidR="00822810" w:rsidRPr="00822810" w:rsidRDefault="00822810" w:rsidP="00822810">
      <w:pPr>
        <w:spacing w:line="360" w:lineRule="auto"/>
        <w:jc w:val="both"/>
        <w:rPr>
          <w:rFonts w:cstheme="minorHAnsi"/>
        </w:rPr>
      </w:pPr>
      <w:r w:rsidRPr="00822810">
        <w:rPr>
          <w:rFonts w:cstheme="minorHAnsi"/>
        </w:rPr>
        <w:t>Posteriormente, el Plan de acción contra la explotación sexual de niños, niñas y adolescentes del sistema de protección a la infancia incluye compromisos reforzados en el ámbito del acogimiento familiar y la desinstitucionalización de la infancia. Entre otras cuestiones, recoge el compromiso compartido por todas las instituciones para que, antes de 2026, ningún niño o niña menor de 6 años en situación de guarda o tutela por las Entidades Públicas de Protección a la Infancia viva en un recurso residencial, y que, antes de 2031, ningún niño o niña menor de 10 años viva en un centro residenci</w:t>
      </w:r>
      <w:r w:rsidR="00980D7C">
        <w:rPr>
          <w:rFonts w:cstheme="minorHAnsi"/>
        </w:rPr>
        <w:t>al.</w:t>
      </w:r>
      <w:r w:rsidR="00350524">
        <w:rPr>
          <w:rFonts w:cstheme="minorHAnsi"/>
        </w:rPr>
        <w:t xml:space="preserve"> </w:t>
      </w:r>
      <w:r w:rsidRPr="00822810">
        <w:rPr>
          <w:rFonts w:cstheme="minorHAnsi"/>
        </w:rPr>
        <w:t>En 2023 había 18.177 niños y niñas en acogimiento familiar, 907 de los cuales eran niños y niñas con discapacidad.</w:t>
      </w:r>
    </w:p>
    <w:p w14:paraId="2DB61512" w14:textId="77777777" w:rsidR="00822810" w:rsidRPr="00980D7C" w:rsidRDefault="00980D7C" w:rsidP="00822810">
      <w:pPr>
        <w:spacing w:line="360" w:lineRule="auto"/>
        <w:jc w:val="both"/>
        <w:rPr>
          <w:rFonts w:cstheme="minorHAnsi"/>
          <w:b/>
          <w:i/>
        </w:rPr>
      </w:pPr>
      <w:r w:rsidRPr="00980D7C">
        <w:rPr>
          <w:rFonts w:cstheme="minorHAnsi"/>
          <w:b/>
          <w:i/>
        </w:rPr>
        <w:t>Infancia y adolescencia no acompañada</w:t>
      </w:r>
    </w:p>
    <w:p w14:paraId="3D531088" w14:textId="77777777" w:rsidR="00822810" w:rsidRPr="00822810" w:rsidRDefault="00822810" w:rsidP="00822810">
      <w:pPr>
        <w:spacing w:line="360" w:lineRule="auto"/>
        <w:jc w:val="both"/>
        <w:rPr>
          <w:rFonts w:cstheme="minorHAnsi"/>
        </w:rPr>
      </w:pPr>
      <w:r w:rsidRPr="00822810">
        <w:rPr>
          <w:rFonts w:cstheme="minorHAnsi"/>
        </w:rPr>
        <w:t xml:space="preserve">Hasta la fecha se han aprobado unos 1.097 traslados de personas menores de edad con un presupuesto anual de 35 millones de euros (en 2022, 2023 y 2024). En esta misma línea, se ha aprobado el Real Decreto-ley 2/2025, de 18 de marzo, por </w:t>
      </w:r>
      <w:r w:rsidR="002B2F8B">
        <w:rPr>
          <w:rFonts w:cstheme="minorHAnsi"/>
        </w:rPr>
        <w:t xml:space="preserve">el que se aprueban Medidas Urgentes </w:t>
      </w:r>
      <w:r w:rsidR="002B2F8B">
        <w:rPr>
          <w:rFonts w:cstheme="minorHAnsi"/>
        </w:rPr>
        <w:lastRenderedPageBreak/>
        <w:t>para la Garantía del Interés Superior de la Infancia y la A</w:t>
      </w:r>
      <w:r w:rsidRPr="00822810">
        <w:rPr>
          <w:rFonts w:cstheme="minorHAnsi"/>
        </w:rPr>
        <w:t>dolescencia ante situaciones de contingencias migratorias extraordinarias, y sus normas de desarrollo, con las que se pretende garantizar una atención de calidad</w:t>
      </w:r>
      <w:r w:rsidR="00EE145B">
        <w:rPr>
          <w:rFonts w:cstheme="minorHAnsi"/>
        </w:rPr>
        <w:t xml:space="preserve"> y la corresponsabilidad entre Comunidades A</w:t>
      </w:r>
      <w:r w:rsidRPr="00822810">
        <w:rPr>
          <w:rFonts w:cstheme="minorHAnsi"/>
        </w:rPr>
        <w:t xml:space="preserve">utónomas, evitando el excesivo tensionamiento </w:t>
      </w:r>
      <w:r w:rsidR="00217AF8">
        <w:rPr>
          <w:rFonts w:cstheme="minorHAnsi"/>
        </w:rPr>
        <w:t xml:space="preserve">de algunos recursos de acogida. </w:t>
      </w:r>
      <w:r w:rsidRPr="00822810">
        <w:rPr>
          <w:rFonts w:cstheme="minorHAnsi"/>
        </w:rPr>
        <w:t xml:space="preserve">En junio de 2024 se aprobó la primera </w:t>
      </w:r>
      <w:hyperlink r:id="rId17" w:history="1">
        <w:r w:rsidRPr="00822810">
          <w:rPr>
            <w:rFonts w:cstheme="minorHAnsi"/>
          </w:rPr>
          <w:t xml:space="preserve">Estrategia estatal para un nuevo modelo de cuidados </w:t>
        </w:r>
      </w:hyperlink>
      <w:r w:rsidRPr="00822810">
        <w:rPr>
          <w:rFonts w:cstheme="minorHAnsi"/>
        </w:rPr>
        <w:t>, que será la hoja de ruta de las administraciones para mejorar el sistema de protección, especial</w:t>
      </w:r>
      <w:r w:rsidR="00217AF8">
        <w:rPr>
          <w:rFonts w:cstheme="minorHAnsi"/>
        </w:rPr>
        <w:t xml:space="preserve">mente en centros residenciales. </w:t>
      </w:r>
      <w:r w:rsidRPr="00822810">
        <w:rPr>
          <w:rFonts w:cstheme="minorHAnsi"/>
        </w:rPr>
        <w:t>Se han financiado otros programas</w:t>
      </w:r>
      <w:r w:rsidRPr="00217AF8">
        <w:rPr>
          <w:rFonts w:cstheme="minorHAnsi"/>
          <w:vertAlign w:val="superscript"/>
        </w:rPr>
        <w:footnoteReference w:id="7"/>
      </w:r>
      <w:r w:rsidRPr="00822810">
        <w:rPr>
          <w:rFonts w:cstheme="minorHAnsi"/>
        </w:rPr>
        <w:t xml:space="preserve"> mediante las convocatorias de subvenciones para la realización de actividades consideradas de interés social (Subvenciones 0,7)</w:t>
      </w:r>
      <w:r w:rsidR="00217AF8">
        <w:rPr>
          <w:rFonts w:cstheme="minorHAnsi"/>
        </w:rPr>
        <w:t xml:space="preserve"> en los años 2022, 2023 y 2024.</w:t>
      </w:r>
    </w:p>
    <w:p w14:paraId="36AE05B4" w14:textId="77777777" w:rsidR="00217AF8" w:rsidRPr="00217AF8" w:rsidRDefault="00217AF8" w:rsidP="000F0AF1">
      <w:pPr>
        <w:spacing w:line="360" w:lineRule="auto"/>
        <w:jc w:val="both"/>
        <w:rPr>
          <w:rFonts w:cstheme="minorHAnsi"/>
          <w:b/>
          <w:i/>
        </w:rPr>
      </w:pPr>
      <w:r w:rsidRPr="00217AF8">
        <w:rPr>
          <w:rFonts w:cstheme="minorHAnsi"/>
          <w:b/>
          <w:i/>
        </w:rPr>
        <w:t>Reestructuración de las deudas hipotecarias</w:t>
      </w:r>
    </w:p>
    <w:p w14:paraId="70E2B6B6" w14:textId="4A873294" w:rsidR="00355873" w:rsidRPr="00355873" w:rsidRDefault="00355873" w:rsidP="00355873">
      <w:pPr>
        <w:spacing w:line="360" w:lineRule="auto"/>
        <w:jc w:val="both"/>
        <w:rPr>
          <w:rFonts w:cstheme="minorHAnsi"/>
        </w:rPr>
      </w:pPr>
      <w:r>
        <w:rPr>
          <w:rFonts w:cstheme="minorHAnsi"/>
        </w:rPr>
        <w:t>Por un lado, e</w:t>
      </w:r>
      <w:r w:rsidR="00EE145B">
        <w:rPr>
          <w:rFonts w:cstheme="minorHAnsi"/>
        </w:rPr>
        <w:t>l</w:t>
      </w:r>
      <w:r w:rsidR="000F0AF1" w:rsidRPr="000F0AF1">
        <w:rPr>
          <w:rFonts w:cstheme="minorHAnsi"/>
        </w:rPr>
        <w:t xml:space="preserve"> Real Decreto-ley 6/2012 creó el Código de Buenas Prácticas para la reestructuración viable de las deudas con garantía hipotecaria so</w:t>
      </w:r>
      <w:r w:rsidR="00DC009D">
        <w:rPr>
          <w:rFonts w:cstheme="minorHAnsi"/>
        </w:rPr>
        <w:t>bre la vivienda habitual (CBP)</w:t>
      </w:r>
      <w:r>
        <w:rPr>
          <w:rFonts w:cstheme="minorHAnsi"/>
        </w:rPr>
        <w:t>.</w:t>
      </w:r>
      <w:r w:rsidRPr="00355873">
        <w:rPr>
          <w:rFonts w:cstheme="minorHAnsi"/>
        </w:rPr>
        <w:t xml:space="preserve"> Estos deudores en dificultades pueden acudir a su entidad, si está adherida al Código, y, si cumplen determinadas condiciones de vulnerabilidad, instar una reestructuración viable de su deuda. De no ser posible, pueden plantear una quita, extinguir su deuda mediante la dación en pago e incluso acceder al alquiler social en la misma vivienda.</w:t>
      </w:r>
    </w:p>
    <w:p w14:paraId="4D1D8B21" w14:textId="0895D9A6" w:rsidR="000F0AF1" w:rsidRPr="000F0AF1" w:rsidRDefault="00355873" w:rsidP="00355873">
      <w:pPr>
        <w:spacing w:line="360" w:lineRule="auto"/>
        <w:jc w:val="both"/>
        <w:rPr>
          <w:rFonts w:cstheme="minorHAnsi"/>
        </w:rPr>
      </w:pPr>
      <w:r w:rsidRPr="00355873">
        <w:rPr>
          <w:rFonts w:cstheme="minorHAnsi"/>
        </w:rPr>
        <w:t>El CBP amplió su cobertura con</w:t>
      </w:r>
      <w:r w:rsidR="000F0AF1" w:rsidRPr="000F0AF1">
        <w:rPr>
          <w:rFonts w:cstheme="minorHAnsi"/>
        </w:rPr>
        <w:t xml:space="preserve"> el Real Decreto-ley 19/2022, de 2</w:t>
      </w:r>
      <w:r w:rsidR="00EE145B">
        <w:rPr>
          <w:rFonts w:cstheme="minorHAnsi"/>
        </w:rPr>
        <w:t>2 de noviembre</w:t>
      </w:r>
      <w:r w:rsidR="001D6C7A">
        <w:rPr>
          <w:rFonts w:cstheme="minorHAnsi"/>
        </w:rPr>
        <w:t xml:space="preserve">. </w:t>
      </w:r>
      <w:r w:rsidR="000F0AF1" w:rsidRPr="000F0AF1">
        <w:rPr>
          <w:rFonts w:cstheme="minorHAnsi"/>
        </w:rPr>
        <w:t xml:space="preserve">La ampliación venía a cubrir a deudores vulnerables afectados por subidas </w:t>
      </w:r>
      <w:r w:rsidR="008A384E">
        <w:rPr>
          <w:rFonts w:cstheme="minorHAnsi"/>
        </w:rPr>
        <w:t xml:space="preserve">de tipos de interés que </w:t>
      </w:r>
      <w:r w:rsidR="001D6C7A">
        <w:rPr>
          <w:rFonts w:cstheme="minorHAnsi"/>
        </w:rPr>
        <w:t>alcanzaran</w:t>
      </w:r>
      <w:r w:rsidR="000F0AF1" w:rsidRPr="000F0AF1">
        <w:rPr>
          <w:rFonts w:cstheme="minorHAnsi"/>
        </w:rPr>
        <w:t xml:space="preserve"> niveles de esfuerzo hipotecario</w:t>
      </w:r>
      <w:r w:rsidR="008A384E">
        <w:rPr>
          <w:rFonts w:cstheme="minorHAnsi"/>
        </w:rPr>
        <w:t xml:space="preserve"> excesivos. También se incorporó</w:t>
      </w:r>
      <w:r w:rsidR="000F0AF1" w:rsidRPr="000F0AF1">
        <w:rPr>
          <w:rFonts w:cstheme="minorHAnsi"/>
        </w:rPr>
        <w:t xml:space="preserve"> como nueva obligación para las entidades adheridas la de garantizar la salvaguarda de los derechos de los deudores en el caso de cesión de créditos a terceros para evitar la desprotecci</w:t>
      </w:r>
      <w:r w:rsidR="008A384E">
        <w:rPr>
          <w:rFonts w:cstheme="minorHAnsi"/>
        </w:rPr>
        <w:t>ón de las familias vulnerables, y</w:t>
      </w:r>
      <w:r w:rsidR="000F0AF1" w:rsidRPr="000F0AF1">
        <w:rPr>
          <w:rFonts w:cstheme="minorHAnsi"/>
        </w:rPr>
        <w:t xml:space="preserve"> se </w:t>
      </w:r>
      <w:r w:rsidR="008A384E">
        <w:rPr>
          <w:rFonts w:cstheme="minorHAnsi"/>
        </w:rPr>
        <w:t>establecieron</w:t>
      </w:r>
      <w:r w:rsidR="000F0AF1" w:rsidRPr="000F0AF1">
        <w:rPr>
          <w:rFonts w:cstheme="minorHAnsi"/>
        </w:rPr>
        <w:t xml:space="preserve"> mejoras en el procedimiento como la posibilidad de solicitar por los deudores la dación en pago durante veinticuatro meses</w:t>
      </w:r>
      <w:r w:rsidR="008F1EEE">
        <w:rPr>
          <w:rFonts w:cstheme="minorHAnsi"/>
        </w:rPr>
        <w:t xml:space="preserve"> (anteriormente</w:t>
      </w:r>
      <w:r w:rsidR="000F0AF1" w:rsidRPr="000F0AF1">
        <w:rPr>
          <w:rFonts w:cstheme="minorHAnsi"/>
        </w:rPr>
        <w:t xml:space="preserve"> el </w:t>
      </w:r>
      <w:r w:rsidR="00E97D82">
        <w:rPr>
          <w:rFonts w:cstheme="minorHAnsi"/>
        </w:rPr>
        <w:t xml:space="preserve">plazo </w:t>
      </w:r>
      <w:r w:rsidR="008F1EEE">
        <w:rPr>
          <w:rFonts w:cstheme="minorHAnsi"/>
        </w:rPr>
        <w:t>era de</w:t>
      </w:r>
      <w:r w:rsidR="00E97D82">
        <w:rPr>
          <w:rFonts w:cstheme="minorHAnsi"/>
        </w:rPr>
        <w:t xml:space="preserve"> 12 meses</w:t>
      </w:r>
      <w:r w:rsidR="008F1EEE">
        <w:rPr>
          <w:rFonts w:cstheme="minorHAnsi"/>
        </w:rPr>
        <w:t>)</w:t>
      </w:r>
      <w:r w:rsidR="00E97D82">
        <w:rPr>
          <w:rFonts w:cstheme="minorHAnsi"/>
        </w:rPr>
        <w:t>.</w:t>
      </w:r>
    </w:p>
    <w:p w14:paraId="36BFC9AA" w14:textId="395E2AED" w:rsidR="005873AC" w:rsidRPr="005873AC" w:rsidRDefault="005873AC" w:rsidP="005873AC">
      <w:pPr>
        <w:spacing w:line="360" w:lineRule="auto"/>
        <w:jc w:val="both"/>
        <w:rPr>
          <w:rFonts w:cstheme="minorHAnsi"/>
        </w:rPr>
      </w:pPr>
      <w:bookmarkStart w:id="5" w:name="_Hlk217294326"/>
      <w:r w:rsidRPr="005873AC">
        <w:rPr>
          <w:rFonts w:cstheme="minorHAnsi"/>
        </w:rPr>
        <w:t>Además, el precitado Real Decreto-ley 19/2022 creó un nuevo Código de Buenas Prácticas para aliviar la subida de los tipos de interés en préstamos hipotecarios sobre vivienda habitual a deudores en riesgo de vulnerabilidad (NCBP), de naturaleza transitoria con una duración inicial de dos años</w:t>
      </w:r>
      <w:r w:rsidR="001D6C7A">
        <w:rPr>
          <w:rFonts w:cstheme="minorHAnsi"/>
        </w:rPr>
        <w:t xml:space="preserve">, cuya vigencia se amplió un año más. </w:t>
      </w:r>
    </w:p>
    <w:bookmarkEnd w:id="5"/>
    <w:p w14:paraId="4FD394D4" w14:textId="33C07E0D" w:rsidR="000F0AF1" w:rsidRPr="000F0AF1" w:rsidRDefault="005873AC" w:rsidP="005873AC">
      <w:pPr>
        <w:spacing w:line="360" w:lineRule="auto"/>
        <w:jc w:val="both"/>
        <w:rPr>
          <w:rFonts w:cstheme="minorHAnsi"/>
        </w:rPr>
      </w:pPr>
      <w:r w:rsidRPr="005873AC">
        <w:rPr>
          <w:rFonts w:cstheme="minorHAnsi"/>
        </w:rPr>
        <w:lastRenderedPageBreak/>
        <w:t>Tanto el CBP como el NCBP han resultado eficaces a la hora de proteger a los deudores hipotecarios.</w:t>
      </w:r>
      <w:r>
        <w:rPr>
          <w:rFonts w:cstheme="minorHAnsi"/>
        </w:rPr>
        <w:t xml:space="preserve"> </w:t>
      </w:r>
      <w:r w:rsidR="000F0AF1" w:rsidRPr="000F0AF1">
        <w:rPr>
          <w:rFonts w:cstheme="minorHAnsi"/>
        </w:rPr>
        <w:t>En particular, los datos acumulados hasta 31/12/2024 muestran que, con base en el CBP aprobado en 2012, se han realizado un total de 72.102 operaciones, de las cuales 63.705 reestructuraciones de la deuda pendiente, 20 quitas y 8.377 daciones en pago, mientras que, con base en el NCBP aprobado en 2022, se han realizado un total de 7.006 operaciones, en 5.214 de las cuales se aplicó una ampliación total del plazo y en 1.792 se acordó la conve</w:t>
      </w:r>
      <w:r w:rsidR="00197A65">
        <w:rPr>
          <w:rFonts w:cstheme="minorHAnsi"/>
        </w:rPr>
        <w:t>rsión del préstamo a tipo fijo.</w:t>
      </w:r>
    </w:p>
    <w:p w14:paraId="030156C2" w14:textId="5D3E6530" w:rsidR="000F0AF1" w:rsidRPr="000F0AF1" w:rsidRDefault="000F0AF1" w:rsidP="00197A65">
      <w:pPr>
        <w:spacing w:line="360" w:lineRule="auto"/>
        <w:jc w:val="both"/>
        <w:rPr>
          <w:rFonts w:cstheme="minorHAnsi"/>
        </w:rPr>
      </w:pPr>
      <w:r w:rsidRPr="000F0AF1">
        <w:rPr>
          <w:rFonts w:cstheme="minorHAnsi"/>
        </w:rPr>
        <w:t>Adicionalmente, también se ha mantenido el Fondo Social de Vivienda, constituido en 2013 y que contribuye particularmente a proporcionar viviendas asequibles en régimen de arrendamiento a aquellas personas que pierden su vivienda habitual, y en cuya gestión colaboran las administraciones</w:t>
      </w:r>
      <w:r w:rsidR="00197A65">
        <w:rPr>
          <w:rFonts w:cstheme="minorHAnsi"/>
        </w:rPr>
        <w:t xml:space="preserve">, entidades financieras y </w:t>
      </w:r>
      <w:proofErr w:type="spellStart"/>
      <w:r w:rsidR="00197A65">
        <w:rPr>
          <w:rFonts w:cstheme="minorHAnsi"/>
        </w:rPr>
        <w:t>ONGs</w:t>
      </w:r>
      <w:proofErr w:type="spellEnd"/>
      <w:r w:rsidR="00197A65">
        <w:rPr>
          <w:rFonts w:cstheme="minorHAnsi"/>
        </w:rPr>
        <w:t>.</w:t>
      </w:r>
    </w:p>
    <w:p w14:paraId="00194D6F" w14:textId="6D8487F5" w:rsidR="0086446C" w:rsidRPr="00A63DF0" w:rsidRDefault="000F0AF1" w:rsidP="00C946CF">
      <w:pPr>
        <w:spacing w:line="360" w:lineRule="auto"/>
        <w:jc w:val="both"/>
        <w:rPr>
          <w:rFonts w:cstheme="minorHAnsi"/>
        </w:rPr>
      </w:pPr>
      <w:r w:rsidRPr="000F0AF1">
        <w:rPr>
          <w:rFonts w:cstheme="minorHAnsi"/>
        </w:rPr>
        <w:t xml:space="preserve">A junio de 2025 el Fondo está dotado con 7.126 viviendas que se asignan a las familias que hayan sido desalojadas de su vivienda habitual como consecuencia del impago de una deuda hipotecaria o como resultado de una dación en pago, y que se encuentren en una situación de especial vulnerabilidad social, constando como adjudicadas con contrato en vigor 6.776 viviendas. </w:t>
      </w:r>
      <w:bookmarkEnd w:id="4"/>
    </w:p>
    <w:p w14:paraId="5CC37CFB" w14:textId="680417FE" w:rsidR="00FC2C75" w:rsidRPr="009F429A" w:rsidRDefault="00FC2C75" w:rsidP="00C946CF">
      <w:pPr>
        <w:spacing w:line="360" w:lineRule="auto"/>
        <w:jc w:val="both"/>
        <w:rPr>
          <w:rFonts w:cstheme="minorHAnsi"/>
          <w:b/>
          <w:i/>
        </w:rPr>
      </w:pPr>
      <w:r w:rsidRPr="009F429A">
        <w:rPr>
          <w:rFonts w:cstheme="minorHAnsi"/>
          <w:b/>
          <w:i/>
        </w:rPr>
        <w:t>Colectivos vulnerables y servicios financieros</w:t>
      </w:r>
    </w:p>
    <w:p w14:paraId="642E1932" w14:textId="07B943F5" w:rsidR="00FC2C75" w:rsidRPr="00FC2C75" w:rsidRDefault="00FC2C75" w:rsidP="00FC2C75">
      <w:pPr>
        <w:spacing w:line="360" w:lineRule="auto"/>
        <w:jc w:val="both"/>
        <w:rPr>
          <w:rFonts w:cstheme="minorHAnsi"/>
        </w:rPr>
      </w:pPr>
      <w:r>
        <w:rPr>
          <w:rFonts w:cstheme="minorHAnsi"/>
        </w:rPr>
        <w:t>En los últimos años, España</w:t>
      </w:r>
      <w:r w:rsidRPr="00FC2C75">
        <w:rPr>
          <w:rFonts w:cstheme="minorHAnsi"/>
        </w:rPr>
        <w:t xml:space="preserve"> ha promovido un enfoque basado en la colaboración público-privada y </w:t>
      </w:r>
      <w:r>
        <w:rPr>
          <w:rFonts w:cstheme="minorHAnsi"/>
        </w:rPr>
        <w:t>en</w:t>
      </w:r>
      <w:r w:rsidRPr="00FC2C75">
        <w:rPr>
          <w:rFonts w:cstheme="minorHAnsi"/>
        </w:rPr>
        <w:t xml:space="preserve"> la adhesión a protocolos de autorregulación para asegurar que toda la población </w:t>
      </w:r>
      <w:r>
        <w:rPr>
          <w:rFonts w:cstheme="minorHAnsi"/>
        </w:rPr>
        <w:t>tenga acceso</w:t>
      </w:r>
      <w:r w:rsidRPr="00FC2C75">
        <w:rPr>
          <w:rFonts w:cstheme="minorHAnsi"/>
        </w:rPr>
        <w:t xml:space="preserve"> a servicios financieros básicos presencialmente. Fruto de las negociaciones se acordó el “Protocolo Estratégico para Reforzar el Compromiso Social y Sostenible de la Banca” en 2021, actualizado a través del Protocolo de mayores de febrero de 2022, y la Hoja de ruta sobre inclusión en el mundo rural, en 2022. </w:t>
      </w:r>
    </w:p>
    <w:p w14:paraId="0195D0C9" w14:textId="77777777" w:rsidR="004C3AC6" w:rsidRDefault="00FC2C75" w:rsidP="00FC2C75">
      <w:pPr>
        <w:spacing w:line="360" w:lineRule="auto"/>
        <w:jc w:val="both"/>
        <w:rPr>
          <w:rFonts w:cstheme="minorHAnsi"/>
        </w:rPr>
      </w:pPr>
      <w:r w:rsidRPr="00FC2C75">
        <w:rPr>
          <w:rFonts w:cstheme="minorHAnsi"/>
        </w:rPr>
        <w:t xml:space="preserve">Sobre el Protocolo de mayores, los resultados son positivos al beneficiarse millones de clientes mayores de medidas como el mantenimiento de las cartillas de ahorro, el incremento de la atención telefónica personal y del número de oficinas con horario presencial ampliado, así como la adaptación de cajeros y canales digitales. </w:t>
      </w:r>
    </w:p>
    <w:p w14:paraId="505AF7B0" w14:textId="0E26CD11" w:rsidR="00FC2C75" w:rsidRPr="00FC2C75" w:rsidRDefault="00FC2C75" w:rsidP="00FC2C75">
      <w:pPr>
        <w:spacing w:line="360" w:lineRule="auto"/>
        <w:jc w:val="both"/>
        <w:rPr>
          <w:rFonts w:cstheme="minorHAnsi"/>
        </w:rPr>
      </w:pPr>
      <w:r w:rsidRPr="00FC2C75">
        <w:rPr>
          <w:rFonts w:cstheme="minorHAnsi"/>
        </w:rPr>
        <w:t xml:space="preserve">Asimismo, se ha facilitado el uso, ingreso y retirada de efectivo, eliminando la comisión por retirada en ventanilla para mayores y personas con discapacidad. Ello se reforzará con la futura Ley de Creación de la Autoridad Independiente del Cliente Financiero, que asimilará los Protocolos a normas de conducta a efectos de la Autoridad e incluirá el principio de prestación personalizada en toda la normativa financiera sectorial. Ello implica que se tendrá en </w:t>
      </w:r>
      <w:r w:rsidRPr="00FC2C75">
        <w:rPr>
          <w:rFonts w:cstheme="minorHAnsi"/>
        </w:rPr>
        <w:lastRenderedPageBreak/>
        <w:t>consideración la edad, la discapacidad, la condición de persona extranjera, la situación administrativa, las dificultades derivadas del desconocimiento del idioma o de los procedimientos administrativos del cliente financiero, las características de la zona geográfica en la que reside la persona en términos de población y el nivel de competencias digitales de dicha persona.</w:t>
      </w:r>
    </w:p>
    <w:p w14:paraId="53458C5C" w14:textId="50D8DF9D" w:rsidR="00FC2C75" w:rsidRPr="00FC2C75" w:rsidRDefault="00FC2C75" w:rsidP="00FC2C75">
      <w:pPr>
        <w:spacing w:line="360" w:lineRule="auto"/>
        <w:jc w:val="both"/>
        <w:rPr>
          <w:rFonts w:cstheme="minorHAnsi"/>
        </w:rPr>
      </w:pPr>
      <w:r w:rsidRPr="00FC2C75">
        <w:rPr>
          <w:rFonts w:cstheme="minorHAnsi"/>
        </w:rPr>
        <w:t>Respecto a la Hoja de ruta para la inclusión financiera en el ámbito rural, los avances han sido muy significativos, al lograr que el 99,3% de la población disponga de al menos un punto de acceso a servicios financieros. En pequeños municipios se han propuesto alternativas como Correos Cash para retirar o ingresar efectivo en oficinas de Correos o directamente en el domicilio, garantizando así el acceso a servicios financieros en todo el territorio.</w:t>
      </w:r>
    </w:p>
    <w:p w14:paraId="2E2697D7" w14:textId="5FE7B9D6" w:rsidR="00FC2C75" w:rsidRPr="00FC2C75" w:rsidRDefault="00FC2C75" w:rsidP="00FC2C75">
      <w:pPr>
        <w:spacing w:line="360" w:lineRule="auto"/>
        <w:jc w:val="both"/>
        <w:rPr>
          <w:rFonts w:cstheme="minorHAnsi"/>
        </w:rPr>
      </w:pPr>
      <w:r w:rsidRPr="00FC2C75">
        <w:rPr>
          <w:rFonts w:cstheme="minorHAnsi"/>
        </w:rPr>
        <w:t xml:space="preserve">El seguimiento de las medidas de inclusión se realiza de forma </w:t>
      </w:r>
      <w:r w:rsidR="004C3AC6">
        <w:rPr>
          <w:rFonts w:cstheme="minorHAnsi"/>
        </w:rPr>
        <w:t>periódica a través del Foro de Inclusión F</w:t>
      </w:r>
      <w:r w:rsidRPr="00FC2C75">
        <w:rPr>
          <w:rFonts w:cstheme="minorHAnsi"/>
        </w:rPr>
        <w:t xml:space="preserve">inanciera, que cuenta con la presencia de las asociaciones de usuarios, de las </w:t>
      </w:r>
      <w:r w:rsidR="004C3AC6">
        <w:rPr>
          <w:rFonts w:cstheme="minorHAnsi"/>
        </w:rPr>
        <w:t>entidades financieras, del Banco de España y d</w:t>
      </w:r>
      <w:r w:rsidRPr="00FC2C75">
        <w:rPr>
          <w:rFonts w:cstheme="minorHAnsi"/>
        </w:rPr>
        <w:t>el Defensor del Pueb</w:t>
      </w:r>
      <w:r w:rsidR="004C3AC6">
        <w:rPr>
          <w:rFonts w:cstheme="minorHAnsi"/>
        </w:rPr>
        <w:t>lo. A</w:t>
      </w:r>
      <w:r w:rsidRPr="00FC2C75">
        <w:rPr>
          <w:rFonts w:cstheme="minorHAnsi"/>
        </w:rPr>
        <w:t xml:space="preserve">dicionalmente, se constata la opinión de los usuarios a través estadísticas específicas. Así, en el Programa anual 2026 del Plan Estadístico Nacional </w:t>
      </w:r>
      <w:r w:rsidR="004C3AC6">
        <w:rPr>
          <w:rFonts w:cstheme="minorHAnsi"/>
        </w:rPr>
        <w:t>(</w:t>
      </w:r>
      <w:r w:rsidRPr="00FC2C75">
        <w:rPr>
          <w:rFonts w:cstheme="minorHAnsi"/>
        </w:rPr>
        <w:t>2025-2028</w:t>
      </w:r>
      <w:r w:rsidR="004C3AC6">
        <w:rPr>
          <w:rFonts w:cstheme="minorHAnsi"/>
        </w:rPr>
        <w:t>)</w:t>
      </w:r>
      <w:r w:rsidRPr="00FC2C75">
        <w:rPr>
          <w:rFonts w:cstheme="minorHAnsi"/>
        </w:rPr>
        <w:t>, que está actualmente en tramitación, se prevé una nueva operación estadística (9943 “Encuesta de Inclusión Finan</w:t>
      </w:r>
      <w:r w:rsidR="004C3AC6">
        <w:rPr>
          <w:rFonts w:cstheme="minorHAnsi"/>
        </w:rPr>
        <w:t>ciera”), cuya finalidad consistirá</w:t>
      </w:r>
      <w:r w:rsidRPr="00FC2C75">
        <w:rPr>
          <w:rFonts w:cstheme="minorHAnsi"/>
        </w:rPr>
        <w:t xml:space="preserve"> en obtener información sobre inclusión financiera, hábitos y preferencias de los ciudadanos en su relación con las entidades financieras, así como acceso a otros servicios básicos.</w:t>
      </w:r>
    </w:p>
    <w:p w14:paraId="237C7C75" w14:textId="07E96E8E" w:rsidR="00681195" w:rsidRPr="009F429A" w:rsidRDefault="00681195" w:rsidP="00681195">
      <w:pPr>
        <w:spacing w:line="360" w:lineRule="auto"/>
        <w:jc w:val="both"/>
        <w:rPr>
          <w:rFonts w:cstheme="minorHAnsi"/>
          <w:i/>
        </w:rPr>
      </w:pPr>
      <w:r w:rsidRPr="009F429A">
        <w:rPr>
          <w:rFonts w:cstheme="minorHAnsi"/>
          <w:b/>
          <w:i/>
          <w:iCs/>
        </w:rPr>
        <w:t>Acceso a vivienda para personas mayores</w:t>
      </w:r>
      <w:r w:rsidRPr="009F429A">
        <w:rPr>
          <w:rFonts w:cstheme="minorHAnsi"/>
          <w:i/>
        </w:rPr>
        <w:t xml:space="preserve"> </w:t>
      </w:r>
    </w:p>
    <w:p w14:paraId="3A8F75FA" w14:textId="5BE48A4C" w:rsidR="00681195" w:rsidRPr="006E5ADE" w:rsidRDefault="00681195" w:rsidP="00681195">
      <w:pPr>
        <w:spacing w:line="360" w:lineRule="auto"/>
        <w:jc w:val="both"/>
        <w:rPr>
          <w:rFonts w:cstheme="minorHAnsi"/>
        </w:rPr>
      </w:pPr>
      <w:r w:rsidRPr="006E5ADE">
        <w:rPr>
          <w:rFonts w:cstheme="minorHAnsi"/>
        </w:rPr>
        <w:t xml:space="preserve">El Plan Estatal de vivienda </w:t>
      </w:r>
      <w:r w:rsidR="007F3561">
        <w:rPr>
          <w:rFonts w:cstheme="minorHAnsi"/>
        </w:rPr>
        <w:t>(</w:t>
      </w:r>
      <w:r w:rsidRPr="006E5ADE">
        <w:rPr>
          <w:rFonts w:cstheme="minorHAnsi"/>
        </w:rPr>
        <w:t>2022-2025</w:t>
      </w:r>
      <w:r w:rsidR="007F3561">
        <w:rPr>
          <w:rFonts w:cstheme="minorHAnsi"/>
        </w:rPr>
        <w:t>)</w:t>
      </w:r>
      <w:r w:rsidRPr="006E5ADE">
        <w:rPr>
          <w:rFonts w:cstheme="minorHAnsi"/>
        </w:rPr>
        <w:t xml:space="preserve"> incluye varios programas que refuerzan y mejoran el acceso a </w:t>
      </w:r>
      <w:r w:rsidR="007F3561">
        <w:rPr>
          <w:rFonts w:cstheme="minorHAnsi"/>
        </w:rPr>
        <w:t xml:space="preserve">una </w:t>
      </w:r>
      <w:r w:rsidRPr="006E5ADE">
        <w:rPr>
          <w:rFonts w:cstheme="minorHAnsi"/>
        </w:rPr>
        <w:t xml:space="preserve">vivienda digna </w:t>
      </w:r>
      <w:r w:rsidR="007F3561">
        <w:rPr>
          <w:rFonts w:cstheme="minorHAnsi"/>
        </w:rPr>
        <w:t>para</w:t>
      </w:r>
      <w:r w:rsidRPr="006E5ADE">
        <w:rPr>
          <w:rFonts w:cstheme="minorHAnsi"/>
        </w:rPr>
        <w:t xml:space="preserve"> las personas mayores.</w:t>
      </w:r>
      <w:r w:rsidR="007F3561">
        <w:rPr>
          <w:rFonts w:cstheme="minorHAnsi"/>
        </w:rPr>
        <w:t xml:space="preserve"> Concretamente, el</w:t>
      </w:r>
      <w:r w:rsidRPr="006E5ADE">
        <w:rPr>
          <w:rFonts w:cstheme="minorHAnsi"/>
        </w:rPr>
        <w:t xml:space="preserve"> programa 7 </w:t>
      </w:r>
      <w:r w:rsidR="007F3561">
        <w:rPr>
          <w:rFonts w:cstheme="minorHAnsi"/>
        </w:rPr>
        <w:t>está dirigido a este colectivo o a</w:t>
      </w:r>
      <w:r w:rsidRPr="006E5ADE">
        <w:rPr>
          <w:rFonts w:cstheme="minorHAnsi"/>
        </w:rPr>
        <w:t xml:space="preserve"> </w:t>
      </w:r>
      <w:r w:rsidR="007F3561">
        <w:rPr>
          <w:rFonts w:cstheme="minorHAnsi"/>
        </w:rPr>
        <w:t>personas</w:t>
      </w:r>
      <w:r w:rsidRPr="006E5ADE">
        <w:rPr>
          <w:rFonts w:cstheme="minorHAnsi"/>
        </w:rPr>
        <w:t xml:space="preserve"> con discapacidad </w:t>
      </w:r>
      <w:r w:rsidR="007F3561">
        <w:rPr>
          <w:rFonts w:cstheme="minorHAnsi"/>
        </w:rPr>
        <w:t xml:space="preserve">y engloba </w:t>
      </w:r>
      <w:r w:rsidRPr="006E5ADE">
        <w:rPr>
          <w:rFonts w:cstheme="minorHAnsi"/>
        </w:rPr>
        <w:t>la promoción o rehabilitación de viviendas para alquiler o cesión de uso, con un plazo mínimo de 20 a 40 años</w:t>
      </w:r>
      <w:r w:rsidR="007F3561">
        <w:rPr>
          <w:rFonts w:cstheme="minorHAnsi"/>
        </w:rPr>
        <w:t>. Los requisitos son: tener má</w:t>
      </w:r>
      <w:r w:rsidRPr="006E5ADE">
        <w:rPr>
          <w:rFonts w:cstheme="minorHAnsi"/>
        </w:rPr>
        <w:t xml:space="preserve">s de 65 años o una discapacidad, no poseer vivienda en propiedad, </w:t>
      </w:r>
      <w:r w:rsidR="007F3561">
        <w:rPr>
          <w:rFonts w:cstheme="minorHAnsi"/>
        </w:rPr>
        <w:t>acreditar</w:t>
      </w:r>
      <w:r w:rsidRPr="006E5ADE">
        <w:rPr>
          <w:rFonts w:cstheme="minorHAnsi"/>
        </w:rPr>
        <w:t xml:space="preserve"> ingresos inferiores a 5 veces el IPREM y con un patrimonio inferior a 200.000 €.</w:t>
      </w:r>
    </w:p>
    <w:p w14:paraId="2CADC8AB" w14:textId="47E5355C" w:rsidR="00681195" w:rsidRPr="006E5ADE" w:rsidRDefault="007F3561" w:rsidP="00681195">
      <w:pPr>
        <w:spacing w:line="360" w:lineRule="auto"/>
        <w:jc w:val="both"/>
        <w:rPr>
          <w:rFonts w:cstheme="minorHAnsi"/>
        </w:rPr>
      </w:pPr>
      <w:r>
        <w:rPr>
          <w:rFonts w:cstheme="minorHAnsi"/>
        </w:rPr>
        <w:t>El programa</w:t>
      </w:r>
      <w:r w:rsidR="00681195" w:rsidRPr="006E5ADE">
        <w:rPr>
          <w:rFonts w:cstheme="minorHAnsi"/>
        </w:rPr>
        <w:t xml:space="preserve"> 11</w:t>
      </w:r>
      <w:r>
        <w:rPr>
          <w:rFonts w:cstheme="minorHAnsi"/>
        </w:rPr>
        <w:t>, por su parte,</w:t>
      </w:r>
      <w:r w:rsidR="00681195" w:rsidRPr="006E5ADE">
        <w:rPr>
          <w:rFonts w:cstheme="minorHAnsi"/>
        </w:rPr>
        <w:t xml:space="preserve"> permite subvencionar adaptaciones de viviendas existentes para mejorar </w:t>
      </w:r>
      <w:r>
        <w:rPr>
          <w:rFonts w:cstheme="minorHAnsi"/>
        </w:rPr>
        <w:t>la accesibilidad de</w:t>
      </w:r>
      <w:r w:rsidR="00681195" w:rsidRPr="006E5ADE">
        <w:rPr>
          <w:rFonts w:cstheme="minorHAnsi"/>
        </w:rPr>
        <w:t xml:space="preserve"> personas mayores o con discapacidad. Las medidas se dirigen a </w:t>
      </w:r>
      <w:r>
        <w:rPr>
          <w:rFonts w:cstheme="minorHAnsi"/>
        </w:rPr>
        <w:t xml:space="preserve">la </w:t>
      </w:r>
      <w:r w:rsidR="00681195" w:rsidRPr="006E5ADE">
        <w:rPr>
          <w:rFonts w:cstheme="minorHAnsi"/>
        </w:rPr>
        <w:t xml:space="preserve">eliminación de barreras, adaptación de baños y accesos, </w:t>
      </w:r>
      <w:r>
        <w:rPr>
          <w:rFonts w:cstheme="minorHAnsi"/>
        </w:rPr>
        <w:t xml:space="preserve">e </w:t>
      </w:r>
      <w:r w:rsidR="00681195" w:rsidRPr="006E5ADE">
        <w:rPr>
          <w:rFonts w:cstheme="minorHAnsi"/>
        </w:rPr>
        <w:t>instalación de ascensores o rampas.</w:t>
      </w:r>
    </w:p>
    <w:p w14:paraId="66A6C53C" w14:textId="77777777" w:rsidR="009F6AEF" w:rsidRDefault="00681195" w:rsidP="007F3561">
      <w:pPr>
        <w:spacing w:line="360" w:lineRule="auto"/>
        <w:jc w:val="both"/>
        <w:rPr>
          <w:rFonts w:cstheme="minorHAnsi"/>
        </w:rPr>
      </w:pPr>
      <w:r w:rsidRPr="006E5ADE">
        <w:rPr>
          <w:rFonts w:cstheme="minorHAnsi"/>
        </w:rPr>
        <w:t xml:space="preserve">Por último, este Plan estatal de vivienda ofrece subvenciones del 50 % del alquiler mensual para </w:t>
      </w:r>
      <w:r w:rsidR="007F3561">
        <w:rPr>
          <w:rFonts w:cstheme="minorHAnsi"/>
        </w:rPr>
        <w:t>grupos</w:t>
      </w:r>
      <w:r w:rsidRPr="006E5ADE">
        <w:rPr>
          <w:rFonts w:cstheme="minorHAnsi"/>
        </w:rPr>
        <w:t xml:space="preserve"> vulnerables, incluyendo a personas mayores de 65 años. Otra ayuda para personas </w:t>
      </w:r>
      <w:r w:rsidRPr="006E5ADE">
        <w:rPr>
          <w:rFonts w:cstheme="minorHAnsi"/>
        </w:rPr>
        <w:lastRenderedPageBreak/>
        <w:t xml:space="preserve">mayores sin vivienda en propiedad y con pensión no contributiva </w:t>
      </w:r>
      <w:r w:rsidR="007F3561">
        <w:rPr>
          <w:rFonts w:cstheme="minorHAnsi"/>
        </w:rPr>
        <w:t>es la posibilidad de</w:t>
      </w:r>
      <w:r w:rsidRPr="006E5ADE">
        <w:rPr>
          <w:rFonts w:cstheme="minorHAnsi"/>
        </w:rPr>
        <w:t xml:space="preserve"> recibir un complemento anual de 525 €, destinado a ayudar en el pago del alquiler. </w:t>
      </w:r>
    </w:p>
    <w:p w14:paraId="7A728F78" w14:textId="0C1D433C" w:rsidR="009F6AEF" w:rsidRPr="006E5ADE" w:rsidRDefault="009F6AEF" w:rsidP="009F6AEF">
      <w:pPr>
        <w:spacing w:line="360" w:lineRule="auto"/>
        <w:jc w:val="both"/>
        <w:rPr>
          <w:rFonts w:cstheme="minorHAnsi"/>
        </w:rPr>
      </w:pPr>
      <w:r w:rsidRPr="006E5ADE">
        <w:rPr>
          <w:rFonts w:cstheme="minorHAnsi"/>
        </w:rPr>
        <w:t xml:space="preserve">Cabe añadir que tanto </w:t>
      </w:r>
      <w:r>
        <w:rPr>
          <w:rFonts w:cstheme="minorHAnsi"/>
        </w:rPr>
        <w:t>las Comunidades A</w:t>
      </w:r>
      <w:r w:rsidRPr="006E5ADE">
        <w:rPr>
          <w:rFonts w:cstheme="minorHAnsi"/>
        </w:rPr>
        <w:t>utónomas como entidades privadas (bancos, ONG</w:t>
      </w:r>
      <w:r>
        <w:rPr>
          <w:rFonts w:cstheme="minorHAnsi"/>
        </w:rPr>
        <w:t>…</w:t>
      </w:r>
      <w:r w:rsidRPr="006E5ADE">
        <w:rPr>
          <w:rFonts w:cstheme="minorHAnsi"/>
        </w:rPr>
        <w:t>) ofrecen pisos sociales o asequ</w:t>
      </w:r>
      <w:r>
        <w:rPr>
          <w:rFonts w:cstheme="minorHAnsi"/>
        </w:rPr>
        <w:t>ibles dirigidos a mayores de 65</w:t>
      </w:r>
      <w:r w:rsidRPr="006E5ADE">
        <w:rPr>
          <w:rFonts w:cstheme="minorHAnsi"/>
        </w:rPr>
        <w:t xml:space="preserve"> fuera del circuito es</w:t>
      </w:r>
      <w:r>
        <w:rPr>
          <w:rFonts w:cstheme="minorHAnsi"/>
        </w:rPr>
        <w:t>tatal, pero complementarios al P</w:t>
      </w:r>
      <w:r w:rsidRPr="006E5ADE">
        <w:rPr>
          <w:rFonts w:cstheme="minorHAnsi"/>
        </w:rPr>
        <w:t>lan.</w:t>
      </w:r>
    </w:p>
    <w:p w14:paraId="17F6DC24" w14:textId="2CD4A39B" w:rsidR="009F6AEF" w:rsidRDefault="009F6AEF" w:rsidP="009F6AEF">
      <w:pPr>
        <w:spacing w:line="360" w:lineRule="auto"/>
        <w:jc w:val="both"/>
        <w:rPr>
          <w:rFonts w:cstheme="minorHAnsi"/>
        </w:rPr>
      </w:pPr>
      <w:r w:rsidRPr="006E5ADE">
        <w:rPr>
          <w:rFonts w:cstheme="minorHAnsi"/>
        </w:rPr>
        <w:t>También s</w:t>
      </w:r>
      <w:r>
        <w:rPr>
          <w:rFonts w:cstheme="minorHAnsi"/>
        </w:rPr>
        <w:t>e debe mencionar la Estrategia E</w:t>
      </w:r>
      <w:r w:rsidRPr="006E5ADE">
        <w:rPr>
          <w:rFonts w:cstheme="minorHAnsi"/>
        </w:rPr>
        <w:t>statal “Hacia un nuevo modelo de cuidados en la comunidad: un proceso de desins</w:t>
      </w:r>
      <w:r>
        <w:rPr>
          <w:rFonts w:cstheme="minorHAnsi"/>
        </w:rPr>
        <w:t xml:space="preserve">titucionalización” (2024–2030), </w:t>
      </w:r>
      <w:r w:rsidRPr="006E5ADE">
        <w:rPr>
          <w:rFonts w:cstheme="minorHAnsi"/>
        </w:rPr>
        <w:t xml:space="preserve">que sitúa la vivienda y el domicilio como eje de la transformación del modelo de cuidados: impulsa reforzar la atención domiciliaria, desarrollar viviendas que permitan recibir cuidados en el entorno, promover recursos comunitarios y reducir la institucionalización en grandes residencias. </w:t>
      </w:r>
    </w:p>
    <w:p w14:paraId="41A86CFB" w14:textId="24620D12" w:rsidR="009F429A" w:rsidRPr="009F429A" w:rsidRDefault="009F429A" w:rsidP="009F6AEF">
      <w:pPr>
        <w:spacing w:line="360" w:lineRule="auto"/>
        <w:jc w:val="both"/>
        <w:rPr>
          <w:rFonts w:cstheme="minorHAnsi"/>
          <w:b/>
          <w:i/>
        </w:rPr>
      </w:pPr>
      <w:r w:rsidRPr="009F429A">
        <w:rPr>
          <w:rFonts w:cstheme="minorHAnsi"/>
          <w:b/>
          <w:i/>
        </w:rPr>
        <w:t>Ingreso Mínimo Vital</w:t>
      </w:r>
    </w:p>
    <w:p w14:paraId="0598DF18" w14:textId="113508C4" w:rsidR="009F429A" w:rsidRPr="009F429A" w:rsidRDefault="009F429A" w:rsidP="009F429A">
      <w:pPr>
        <w:spacing w:line="360" w:lineRule="auto"/>
        <w:jc w:val="both"/>
        <w:rPr>
          <w:rFonts w:cstheme="minorHAnsi"/>
        </w:rPr>
      </w:pPr>
      <w:r w:rsidRPr="009F429A">
        <w:rPr>
          <w:rFonts w:cstheme="minorHAnsi"/>
        </w:rPr>
        <w:t xml:space="preserve">En el marco del reconocimiento de toda persona a disfrutar de un nivel de vida digno para sí y su familia, en mayo de 2020 se puso en marcha el Ingreso Mínimo Vital (IMV). Esta prestación no contributiva de la Seguridad Social, regulada por la Ley 19/2021, de 20 de diciembre, tiene como objetivo principal combatir la pobreza y la exclusión social, garantizando una renta mínima a los hogares en situación de vulnerabilidad económica.  </w:t>
      </w:r>
    </w:p>
    <w:p w14:paraId="54B350B1" w14:textId="77777777" w:rsidR="009F429A" w:rsidRPr="009F429A" w:rsidRDefault="009F429A" w:rsidP="009F429A">
      <w:pPr>
        <w:spacing w:line="360" w:lineRule="auto"/>
        <w:jc w:val="both"/>
        <w:rPr>
          <w:rFonts w:cstheme="minorHAnsi"/>
        </w:rPr>
      </w:pPr>
      <w:r w:rsidRPr="009F429A">
        <w:rPr>
          <w:rFonts w:cstheme="minorHAnsi"/>
        </w:rPr>
        <w:t xml:space="preserve">Desde su creación, el IMV ha supuesto una verdadera innovación y fortalecimiento de la política de rentas mínimas, accediendo a un mayor número de familias y hogares, proporcionando un apoyo crucial a los más vulnerables. </w:t>
      </w:r>
    </w:p>
    <w:p w14:paraId="7E2B803F" w14:textId="77777777" w:rsidR="009F429A" w:rsidRPr="009F429A" w:rsidRDefault="009F429A" w:rsidP="009F429A">
      <w:pPr>
        <w:spacing w:line="360" w:lineRule="auto"/>
        <w:jc w:val="both"/>
        <w:rPr>
          <w:rFonts w:cstheme="minorHAnsi"/>
        </w:rPr>
      </w:pPr>
      <w:r w:rsidRPr="009F429A">
        <w:rPr>
          <w:rFonts w:cstheme="minorHAnsi"/>
        </w:rPr>
        <w:t>Así, desde su implantación, casi 3.330.000 personas y más de un millón de hogares se han visto beneficiados por la prestación, de los cuales más del 43% son menores. Gracias a esta medida, se han mejorado significativamente las condiciones de vida de numerosas personas que anteriormente carecían de ingresos suficientes para cubrir sus necesidades básicas.</w:t>
      </w:r>
    </w:p>
    <w:p w14:paraId="65E3EAF1" w14:textId="77777777" w:rsidR="009F429A" w:rsidRPr="009F429A" w:rsidRDefault="009F429A" w:rsidP="009F429A">
      <w:pPr>
        <w:spacing w:line="360" w:lineRule="auto"/>
        <w:jc w:val="both"/>
        <w:rPr>
          <w:rFonts w:cstheme="minorHAnsi"/>
        </w:rPr>
      </w:pPr>
      <w:r w:rsidRPr="009F429A">
        <w:rPr>
          <w:rFonts w:cstheme="minorHAnsi"/>
        </w:rPr>
        <w:t>Por otra parte, el IMV se ha conformado como una prestación que no sólo permite la lucha contra la pobreza, sino que ha sido una herramienta clave en la reacción frente a los procesos críticos ocurridos en los últimos años, como la crisis del COVID, la crisis energética debida a la guerra de Ucrania o la DANA. También es una herramienta transversal, adaptada para poder ser utilizada en casos de pobreza sobrevenida.</w:t>
      </w:r>
    </w:p>
    <w:p w14:paraId="73B91BB4" w14:textId="1BB95EFA" w:rsidR="009F429A" w:rsidRPr="009F429A" w:rsidRDefault="009F429A" w:rsidP="009F429A">
      <w:pPr>
        <w:spacing w:line="360" w:lineRule="auto"/>
        <w:jc w:val="both"/>
        <w:rPr>
          <w:rFonts w:cstheme="minorHAnsi"/>
        </w:rPr>
      </w:pPr>
      <w:r w:rsidRPr="009F429A">
        <w:rPr>
          <w:rFonts w:cstheme="minorHAnsi"/>
        </w:rPr>
        <w:t xml:space="preserve">Asimismo, se trata de una política pública adaptable a las necesidades del contexto, sometida a mejoras continuas. Entre ellas, ha sido aprobada una revalorización del 9% en las cuantías para 2025 y, desde su creación, el IMV se ha revalorizado en un 43%. De la misma forma, desde </w:t>
      </w:r>
      <w:r w:rsidRPr="009F429A">
        <w:rPr>
          <w:rFonts w:cstheme="minorHAnsi"/>
        </w:rPr>
        <w:lastRenderedPageBreak/>
        <w:t>entonces, han sido varias las reformas orientadas a la simplificación de trámites para acceder a la ayuda y reducción de las cargas burocráticas. Entre ellas, la creación del teléfono corto 020 “Línea de Apoyo en la tramitación del IMV”, la remodelación de la página web o la simplificación del lenguaje y los formularios de solicitud de la prestación. Todo ello inmerso en el seno del Plan Integral de Acces</w:t>
      </w:r>
      <w:r>
        <w:rPr>
          <w:rFonts w:cstheme="minorHAnsi"/>
        </w:rPr>
        <w:t>ibilidad al IMV</w:t>
      </w:r>
      <w:r w:rsidRPr="009F429A">
        <w:rPr>
          <w:rFonts w:cstheme="minorHAnsi"/>
        </w:rPr>
        <w:t>.</w:t>
      </w:r>
    </w:p>
    <w:p w14:paraId="1F68C7C5" w14:textId="77777777" w:rsidR="009F429A" w:rsidRPr="009F429A" w:rsidRDefault="009F429A" w:rsidP="009F429A">
      <w:pPr>
        <w:spacing w:line="360" w:lineRule="auto"/>
        <w:jc w:val="both"/>
        <w:rPr>
          <w:rFonts w:cstheme="minorHAnsi"/>
        </w:rPr>
      </w:pPr>
      <w:r w:rsidRPr="009F429A">
        <w:rPr>
          <w:rFonts w:cstheme="minorHAnsi"/>
        </w:rPr>
        <w:t>Todas estas medidas contribuyen a la disminución de la tasa de non-</w:t>
      </w:r>
      <w:proofErr w:type="spellStart"/>
      <w:r w:rsidRPr="009F429A">
        <w:rPr>
          <w:rFonts w:cstheme="minorHAnsi"/>
        </w:rPr>
        <w:t>take</w:t>
      </w:r>
      <w:proofErr w:type="spellEnd"/>
      <w:r w:rsidRPr="009F429A">
        <w:rPr>
          <w:rFonts w:cstheme="minorHAnsi"/>
        </w:rPr>
        <w:t xml:space="preserve">-up del Ingreso Mínimo Vital. Con este mismo objetivo, se han puesto en marcha campañas informativas y de difusión, como la campaña “Es lo Mínimo”, con carácter generalista para dar a conocer la prestación o la campaña “Llegar”; así como el autobús del IMV, con </w:t>
      </w:r>
      <w:proofErr w:type="spellStart"/>
      <w:r w:rsidRPr="009F429A">
        <w:rPr>
          <w:rFonts w:cstheme="minorHAnsi"/>
        </w:rPr>
        <w:t>el</w:t>
      </w:r>
      <w:proofErr w:type="spellEnd"/>
      <w:r w:rsidRPr="009F429A">
        <w:rPr>
          <w:rFonts w:cstheme="minorHAnsi"/>
        </w:rPr>
        <w:t xml:space="preserve"> se recorrieron 44 municipios de toda España, en los que las tasas de pobreza y exclusión propiciaban porcentajes mayores de potenciales beneficiarios.</w:t>
      </w:r>
    </w:p>
    <w:p w14:paraId="11C4A251" w14:textId="77777777" w:rsidR="009F429A" w:rsidRPr="009F429A" w:rsidRDefault="009F429A" w:rsidP="009F429A">
      <w:pPr>
        <w:spacing w:line="360" w:lineRule="auto"/>
        <w:jc w:val="both"/>
        <w:rPr>
          <w:rFonts w:cstheme="minorHAnsi"/>
        </w:rPr>
      </w:pPr>
      <w:r w:rsidRPr="009F429A">
        <w:rPr>
          <w:rFonts w:cstheme="minorHAnsi"/>
        </w:rPr>
        <w:t>En el marco del IMV, uno de los avances más importantes en la lucha contra la pobreza llevado a cabo ha sido la creación del complemento de ayuda para la infancia (CAPI) en febrero de 2022. Es una prestación económica que se otorga a familias en las que convivan menores de edad. Puede ir vinculada o no al IMV, puesto que las condiciones para el acceso son más flexibles, incluye cuantías más generosas que la anterior prestación por hijo a cargo y constituye en sí misma, un elemento clave en la lucha contra la pobreza infantil.</w:t>
      </w:r>
    </w:p>
    <w:p w14:paraId="3F93B76C" w14:textId="77777777" w:rsidR="009F429A" w:rsidRPr="009F429A" w:rsidRDefault="009F429A" w:rsidP="009F429A">
      <w:pPr>
        <w:spacing w:line="360" w:lineRule="auto"/>
        <w:jc w:val="both"/>
        <w:rPr>
          <w:rFonts w:cstheme="minorHAnsi"/>
        </w:rPr>
      </w:pPr>
      <w:r w:rsidRPr="009F429A">
        <w:rPr>
          <w:rFonts w:cstheme="minorHAnsi"/>
        </w:rPr>
        <w:t>Adicionalmente, el IMV tiene otras medidas que pueden beneficiar a las familias con menores. Por ejemplo, se reconoce un complemento del 22% de la prestación para familias monoparentales.</w:t>
      </w:r>
    </w:p>
    <w:p w14:paraId="20F07457" w14:textId="6DF56B0A" w:rsidR="009F429A" w:rsidRPr="009F429A" w:rsidRDefault="009F429A" w:rsidP="009F429A">
      <w:pPr>
        <w:spacing w:line="360" w:lineRule="auto"/>
        <w:jc w:val="both"/>
        <w:rPr>
          <w:rFonts w:cstheme="minorHAnsi"/>
        </w:rPr>
      </w:pPr>
      <w:r w:rsidRPr="009F429A">
        <w:rPr>
          <w:rFonts w:cstheme="minorHAnsi"/>
        </w:rPr>
        <w:t xml:space="preserve">Pero el IMV es más que una transferencia monetaria. Desde su propia constitución, se entendió como una política de garantía de rentas que debía ir acompañada de estrategias de inclusión y políticas de acompañamiento personalizadas y que presten soluciones individualizadas. Con esta premisa, y en el contexto de aprobación de los Fondos </w:t>
      </w:r>
      <w:proofErr w:type="spellStart"/>
      <w:r w:rsidRPr="009F429A">
        <w:rPr>
          <w:rFonts w:cstheme="minorHAnsi"/>
        </w:rPr>
        <w:t>NextGeneration</w:t>
      </w:r>
      <w:proofErr w:type="spellEnd"/>
      <w:r w:rsidRPr="009F429A">
        <w:rPr>
          <w:rFonts w:cstheme="minorHAnsi"/>
        </w:rPr>
        <w:t xml:space="preserve"> de la UE y el Plan de Recuperación, Transformación y Resi</w:t>
      </w:r>
      <w:r>
        <w:rPr>
          <w:rFonts w:cstheme="minorHAnsi"/>
        </w:rPr>
        <w:t>liencia el Gobierno de España, se</w:t>
      </w:r>
      <w:r w:rsidRPr="009F429A">
        <w:rPr>
          <w:rFonts w:cstheme="minorHAnsi"/>
        </w:rPr>
        <w:t xml:space="preserve"> puso en marcha el Laboratorio de Políticas de Inclusión (LAPI), dotado con más de 200 M€. Una política pionera y absolutamente innovadora con la que se realizaron más de 30 proyectos piloto</w:t>
      </w:r>
      <w:r>
        <w:rPr>
          <w:rFonts w:cstheme="minorHAnsi"/>
        </w:rPr>
        <w:t xml:space="preserve"> de inclusión, en todo el Estado</w:t>
      </w:r>
      <w:r w:rsidRPr="009F429A">
        <w:rPr>
          <w:rFonts w:cstheme="minorHAnsi"/>
        </w:rPr>
        <w:t xml:space="preserve">, dirigidos a beneficiarios del IMV y personas en situación de vulnerabilidad social o económica. </w:t>
      </w:r>
    </w:p>
    <w:p w14:paraId="43ABF9BC" w14:textId="77777777" w:rsidR="009F429A" w:rsidRPr="009F429A" w:rsidRDefault="009F429A" w:rsidP="009F429A">
      <w:pPr>
        <w:spacing w:line="360" w:lineRule="auto"/>
        <w:jc w:val="both"/>
        <w:rPr>
          <w:rFonts w:cstheme="minorHAnsi"/>
        </w:rPr>
      </w:pPr>
      <w:r w:rsidRPr="009F429A">
        <w:rPr>
          <w:rFonts w:cstheme="minorHAnsi"/>
        </w:rPr>
        <w:t xml:space="preserve">Hasta 180.000 personas participaron en los itinerarios, que se realizaron junto a comunidades autónomas, entidades locales y entidades del Tercer Sector, contando además con la colaboración de investigadores y académicos de gran prestigio internacional como el premio </w:t>
      </w:r>
      <w:r w:rsidRPr="009F429A">
        <w:rPr>
          <w:rFonts w:cstheme="minorHAnsi"/>
        </w:rPr>
        <w:lastRenderedPageBreak/>
        <w:t xml:space="preserve">Nobel de economía </w:t>
      </w:r>
      <w:proofErr w:type="spellStart"/>
      <w:r w:rsidRPr="009F429A">
        <w:rPr>
          <w:rFonts w:cstheme="minorHAnsi"/>
        </w:rPr>
        <w:t>Abhijit</w:t>
      </w:r>
      <w:proofErr w:type="spellEnd"/>
      <w:r w:rsidRPr="009F429A">
        <w:rPr>
          <w:rFonts w:cstheme="minorHAnsi"/>
        </w:rPr>
        <w:t xml:space="preserve"> </w:t>
      </w:r>
      <w:proofErr w:type="spellStart"/>
      <w:r w:rsidRPr="009F429A">
        <w:rPr>
          <w:rFonts w:cstheme="minorHAnsi"/>
        </w:rPr>
        <w:t>Banerjee</w:t>
      </w:r>
      <w:proofErr w:type="spellEnd"/>
      <w:r w:rsidRPr="009F429A">
        <w:rPr>
          <w:rFonts w:cstheme="minorHAnsi"/>
        </w:rPr>
        <w:t xml:space="preserve">, del Abdul </w:t>
      </w:r>
      <w:proofErr w:type="spellStart"/>
      <w:r w:rsidRPr="009F429A">
        <w:rPr>
          <w:rFonts w:cstheme="minorHAnsi"/>
        </w:rPr>
        <w:t>Latif</w:t>
      </w:r>
      <w:proofErr w:type="spellEnd"/>
      <w:r w:rsidRPr="009F429A">
        <w:rPr>
          <w:rFonts w:cstheme="minorHAnsi"/>
        </w:rPr>
        <w:t xml:space="preserve"> </w:t>
      </w:r>
      <w:proofErr w:type="spellStart"/>
      <w:r w:rsidRPr="009F429A">
        <w:rPr>
          <w:rFonts w:cstheme="minorHAnsi"/>
        </w:rPr>
        <w:t>Jameel</w:t>
      </w:r>
      <w:proofErr w:type="spellEnd"/>
      <w:r w:rsidRPr="009F429A">
        <w:rPr>
          <w:rFonts w:cstheme="minorHAnsi"/>
        </w:rPr>
        <w:t xml:space="preserve"> Poverty </w:t>
      </w:r>
      <w:proofErr w:type="spellStart"/>
      <w:r w:rsidRPr="009F429A">
        <w:rPr>
          <w:rFonts w:cstheme="minorHAnsi"/>
        </w:rPr>
        <w:t>Action</w:t>
      </w:r>
      <w:proofErr w:type="spellEnd"/>
      <w:r w:rsidRPr="009F429A">
        <w:rPr>
          <w:rFonts w:cstheme="minorHAnsi"/>
        </w:rPr>
        <w:t xml:space="preserve"> </w:t>
      </w:r>
      <w:proofErr w:type="spellStart"/>
      <w:r w:rsidRPr="009F429A">
        <w:rPr>
          <w:rFonts w:cstheme="minorHAnsi"/>
        </w:rPr>
        <w:t>Lab</w:t>
      </w:r>
      <w:proofErr w:type="spellEnd"/>
      <w:r w:rsidRPr="009F429A">
        <w:rPr>
          <w:rFonts w:cstheme="minorHAnsi"/>
        </w:rPr>
        <w:t xml:space="preserve"> (J-PAL) o el Centro de Estudios Monetarios y Financieros (CEMFI) del Banco de España. </w:t>
      </w:r>
    </w:p>
    <w:p w14:paraId="07C5FACD" w14:textId="644B9162" w:rsidR="00FC2C75" w:rsidRDefault="00FC2C75" w:rsidP="00C946CF">
      <w:pPr>
        <w:spacing w:line="360" w:lineRule="auto"/>
        <w:jc w:val="both"/>
        <w:rPr>
          <w:rFonts w:cstheme="minorHAnsi"/>
        </w:rPr>
      </w:pPr>
    </w:p>
    <w:p w14:paraId="04B4A91D" w14:textId="77777777" w:rsidR="00B71260" w:rsidRPr="00335312" w:rsidRDefault="00B71260" w:rsidP="006B5F5F">
      <w:pPr>
        <w:spacing w:line="360" w:lineRule="auto"/>
        <w:jc w:val="both"/>
        <w:rPr>
          <w:rFonts w:cstheme="minorHAnsi"/>
          <w:b/>
          <w:i/>
        </w:rPr>
      </w:pPr>
      <w:r w:rsidRPr="00335312">
        <w:rPr>
          <w:rFonts w:cstheme="minorHAnsi"/>
          <w:b/>
          <w:i/>
        </w:rPr>
        <w:t xml:space="preserve">Medidas para garantizar </w:t>
      </w:r>
      <w:r w:rsidR="00335312" w:rsidRPr="00335312">
        <w:rPr>
          <w:rFonts w:cstheme="minorHAnsi"/>
          <w:b/>
          <w:i/>
        </w:rPr>
        <w:t>la accesibilidad para todos</w:t>
      </w:r>
    </w:p>
    <w:p w14:paraId="21C8737C" w14:textId="77777777" w:rsidR="00B71260" w:rsidRPr="00B71260" w:rsidRDefault="00335312" w:rsidP="006B5F5F">
      <w:pPr>
        <w:spacing w:line="360" w:lineRule="auto"/>
        <w:jc w:val="both"/>
        <w:rPr>
          <w:rFonts w:cstheme="minorHAnsi"/>
        </w:rPr>
      </w:pPr>
      <w:r>
        <w:rPr>
          <w:rFonts w:cstheme="minorHAnsi"/>
        </w:rPr>
        <w:t>España</w:t>
      </w:r>
      <w:r w:rsidR="00B71260" w:rsidRPr="00B71260">
        <w:rPr>
          <w:rFonts w:cstheme="minorHAnsi"/>
        </w:rPr>
        <w:t xml:space="preserve"> dispone de un Fondo de Cohesión Sanitaria para garantizar la igualdad de acceso a los servicios sanitarios en todo el territorio español, de manera que cualquier ciuda</w:t>
      </w:r>
      <w:r w:rsidR="002B2F8B">
        <w:rPr>
          <w:rFonts w:cstheme="minorHAnsi"/>
        </w:rPr>
        <w:t>dano, independientemente de la Comunidad A</w:t>
      </w:r>
      <w:r w:rsidR="00B71260" w:rsidRPr="00B71260">
        <w:rPr>
          <w:rFonts w:cstheme="minorHAnsi"/>
        </w:rPr>
        <w:t>utónoma en la que resida, pueda recibir atención sanitaria especializada en cualquier otra comunidad si así lo requiere su situación clínica</w:t>
      </w:r>
      <w:r w:rsidR="006B5F5F">
        <w:rPr>
          <w:rFonts w:cstheme="minorHAnsi"/>
        </w:rPr>
        <w:t xml:space="preserve">. </w:t>
      </w:r>
      <w:r w:rsidR="00B71260" w:rsidRPr="00B71260">
        <w:rPr>
          <w:rFonts w:cstheme="minorHAnsi"/>
        </w:rPr>
        <w:t>Además</w:t>
      </w:r>
      <w:r w:rsidR="00B71260">
        <w:rPr>
          <w:rFonts w:cstheme="minorHAnsi"/>
        </w:rPr>
        <w:t>,</w:t>
      </w:r>
      <w:r w:rsidR="00B71260" w:rsidRPr="00B71260">
        <w:rPr>
          <w:rFonts w:cstheme="minorHAnsi"/>
        </w:rPr>
        <w:t xml:space="preserve"> continua en vigor el Real Decreto Legislativo 1/2015 por el que se aprueba el texto refundido de la Ley de Garantías y Uso Racional de Medicamentos y Productos Sanitarios, que establece que la inclusión de medicamentos y productos sanitarios en la financiación del SNS debe ser selectiva y no indiscriminada teniendo en cuenta una serie de criterios generales, objetivos y publicados. </w:t>
      </w:r>
    </w:p>
    <w:p w14:paraId="22032D7F" w14:textId="77777777" w:rsidR="00B71260" w:rsidRPr="00B71260" w:rsidRDefault="00B71260" w:rsidP="006B5F5F">
      <w:pPr>
        <w:spacing w:line="360" w:lineRule="auto"/>
        <w:jc w:val="both"/>
        <w:rPr>
          <w:rFonts w:cstheme="minorHAnsi"/>
        </w:rPr>
      </w:pPr>
      <w:r w:rsidRPr="00B71260">
        <w:rPr>
          <w:rFonts w:cstheme="minorHAnsi"/>
        </w:rPr>
        <w:t xml:space="preserve">En 2025 se ha aprobado un nuevo anteproyecto de Ley de los Medicamentos y Productos Sanitarios para reformar la política farmacéutica, teniendo en cuenta la evolución en los últimos años en este terreno y la existencia de importantes reformas a nivel europeo. Este anteproyecto, a nivel de accesibilidad y asequibilidad, se apoya en dos textos que desarrollan de manera más pormenorizada las medidas: el Real Decreto de Evaluación de Tecnologías Sanitarias y el Real Decreto por el que se regulan los procedimientos de financiación y precio de los medicamentos, ambos pendientes de aprobación. </w:t>
      </w:r>
    </w:p>
    <w:p w14:paraId="6EF5259E" w14:textId="77777777" w:rsidR="00B71260" w:rsidRPr="00335312" w:rsidRDefault="00335312" w:rsidP="006B5F5F">
      <w:pPr>
        <w:spacing w:line="360" w:lineRule="auto"/>
        <w:jc w:val="both"/>
        <w:rPr>
          <w:rFonts w:cstheme="minorHAnsi"/>
          <w:b/>
          <w:i/>
        </w:rPr>
      </w:pPr>
      <w:r w:rsidRPr="00335312">
        <w:rPr>
          <w:rFonts w:cstheme="minorHAnsi"/>
          <w:b/>
          <w:i/>
        </w:rPr>
        <w:t>No discriminación</w:t>
      </w:r>
    </w:p>
    <w:p w14:paraId="4DB11F59" w14:textId="3F2B625D" w:rsidR="00B71260" w:rsidRDefault="00B71260" w:rsidP="00335312">
      <w:pPr>
        <w:spacing w:line="360" w:lineRule="auto"/>
        <w:jc w:val="both"/>
        <w:rPr>
          <w:rFonts w:cstheme="minorHAnsi"/>
        </w:rPr>
      </w:pPr>
      <w:r w:rsidRPr="00B71260">
        <w:rPr>
          <w:rFonts w:cstheme="minorHAnsi"/>
        </w:rPr>
        <w:t xml:space="preserve">El SNS español </w:t>
      </w:r>
      <w:r w:rsidR="00335312">
        <w:rPr>
          <w:rFonts w:cstheme="minorHAnsi"/>
        </w:rPr>
        <w:t>busca</w:t>
      </w:r>
      <w:r w:rsidRPr="00B71260">
        <w:rPr>
          <w:rFonts w:cstheme="minorHAnsi"/>
        </w:rPr>
        <w:t xml:space="preserve"> garantizar la asistencia sanitaria universal y de calidad. </w:t>
      </w:r>
      <w:r w:rsidR="00335312">
        <w:rPr>
          <w:rFonts w:cstheme="minorHAnsi"/>
        </w:rPr>
        <w:t>El</w:t>
      </w:r>
      <w:r w:rsidRPr="00B71260">
        <w:rPr>
          <w:rFonts w:cstheme="minorHAnsi"/>
        </w:rPr>
        <w:t> </w:t>
      </w:r>
      <w:hyperlink r:id="rId18" w:history="1">
        <w:r w:rsidRPr="00335312">
          <w:rPr>
            <w:rFonts w:cstheme="minorHAnsi"/>
          </w:rPr>
          <w:t>Real Decreto-ley 7/2018</w:t>
        </w:r>
      </w:hyperlink>
      <w:r w:rsidR="00335312">
        <w:rPr>
          <w:rFonts w:cstheme="minorHAnsi"/>
        </w:rPr>
        <w:t xml:space="preserve"> tiene como objetivo </w:t>
      </w:r>
      <w:r w:rsidRPr="00335312">
        <w:rPr>
          <w:rFonts w:cstheme="minorHAnsi"/>
        </w:rPr>
        <w:t>la universalidad de la asistencia, es decir, garantizar el derecho a la protección de la salud y a la atención sanitaria, en las mismas condiciones, a todas las personas que se encuentren en el Estado Español. A</w:t>
      </w:r>
      <w:r w:rsidR="00335312">
        <w:rPr>
          <w:rFonts w:cstheme="minorHAnsi"/>
        </w:rPr>
        <w:t>sí, el RD-Ley 7/2018 reconoce este</w:t>
      </w:r>
      <w:r w:rsidRPr="00335312">
        <w:rPr>
          <w:rFonts w:cstheme="minorHAnsi"/>
        </w:rPr>
        <w:t xml:space="preserve"> </w:t>
      </w:r>
      <w:r w:rsidR="00540A7C">
        <w:rPr>
          <w:rFonts w:cstheme="minorHAnsi"/>
        </w:rPr>
        <w:t xml:space="preserve">derecho </w:t>
      </w:r>
      <w:r w:rsidRPr="00335312">
        <w:rPr>
          <w:rFonts w:cstheme="minorHAnsi"/>
        </w:rPr>
        <w:t xml:space="preserve">a las personas no registradas ni autorizadas como residentes en España en las mismas condiciones que las personas con </w:t>
      </w:r>
      <w:r w:rsidR="006B5F5F" w:rsidRPr="00335312">
        <w:rPr>
          <w:rFonts w:cstheme="minorHAnsi"/>
        </w:rPr>
        <w:t xml:space="preserve">nacionalidad española. </w:t>
      </w:r>
      <w:r w:rsidRPr="00335312">
        <w:rPr>
          <w:rFonts w:cstheme="minorHAnsi"/>
        </w:rPr>
        <w:t>Esta norma</w:t>
      </w:r>
      <w:r w:rsidR="00335312">
        <w:rPr>
          <w:rFonts w:cstheme="minorHAnsi"/>
        </w:rPr>
        <w:t xml:space="preserve"> recoge también la habilitación</w:t>
      </w:r>
      <w:r w:rsidRPr="00335312">
        <w:rPr>
          <w:rFonts w:cstheme="minorHAnsi"/>
        </w:rPr>
        <w:t xml:space="preserve"> para que el Ministerio de Sanidad desarrolle reglamentariamente el reconocimiento y control del derecho a la protección de la salud y a la atención sanitaria con cargo a fondos públicos. Así, actualmente se está trabajando en un Proyecto de Real Decreto </w:t>
      </w:r>
      <w:r w:rsidR="00335312">
        <w:rPr>
          <w:rFonts w:cstheme="minorHAnsi"/>
        </w:rPr>
        <w:t>que quiere establecer</w:t>
      </w:r>
      <w:r w:rsidRPr="00335312">
        <w:rPr>
          <w:rFonts w:cstheme="minorHAnsi"/>
        </w:rPr>
        <w:t xml:space="preserve"> los criterios para el reconocimiento del derecho a la atención sanitaria con cargo a fondos públicos</w:t>
      </w:r>
      <w:r w:rsidR="006B5F5F" w:rsidRPr="00335312">
        <w:rPr>
          <w:rFonts w:cstheme="minorHAnsi"/>
        </w:rPr>
        <w:t>; r</w:t>
      </w:r>
      <w:r w:rsidRPr="00335312">
        <w:rPr>
          <w:rFonts w:cstheme="minorHAnsi"/>
        </w:rPr>
        <w:t xml:space="preserve">eforzar la equidad territorial y elimina barreras administrativas, especialmente para personas migrantes </w:t>
      </w:r>
      <w:r w:rsidRPr="00335312">
        <w:rPr>
          <w:rFonts w:cstheme="minorHAnsi"/>
        </w:rPr>
        <w:lastRenderedPageBreak/>
        <w:t>en situación irregular</w:t>
      </w:r>
      <w:r w:rsidR="006B5F5F" w:rsidRPr="00335312">
        <w:rPr>
          <w:rFonts w:cstheme="minorHAnsi"/>
        </w:rPr>
        <w:t>; y e</w:t>
      </w:r>
      <w:r w:rsidRPr="00335312">
        <w:rPr>
          <w:rFonts w:cstheme="minorHAnsi"/>
        </w:rPr>
        <w:t>xtender la cobertura a españoles de origen residentes en el exterior durante estancias temporales</w:t>
      </w:r>
      <w:r w:rsidR="006B5F5F" w:rsidRPr="00335312">
        <w:rPr>
          <w:rFonts w:cstheme="minorHAnsi"/>
        </w:rPr>
        <w:t>.</w:t>
      </w:r>
    </w:p>
    <w:p w14:paraId="7E69718F" w14:textId="4F656AC6" w:rsidR="0022217C" w:rsidRPr="0022217C" w:rsidRDefault="0022217C" w:rsidP="00335312">
      <w:pPr>
        <w:spacing w:line="360" w:lineRule="auto"/>
        <w:jc w:val="both"/>
        <w:rPr>
          <w:rFonts w:cstheme="minorHAnsi"/>
        </w:rPr>
      </w:pPr>
      <w:r w:rsidRPr="0022217C">
        <w:rPr>
          <w:rFonts w:cstheme="minorHAnsi"/>
        </w:rPr>
        <w:t>Por otra parte, la Ley 4/2023, de 28 de febrero, para la Igualdad Real y Efectiva de las Personas Trans y para la Garantía de los Derechos de las Personas LGTBI, refuerza el principio de no discriminación en el acceso y la atención sanitaria, garantizando una atención integral en condiciones de igualdad, basada en el respeto a la orientación sexual, la identidad o expresión de género y las características sexuales, con especial atención a las necesidades específicas de las personas trans. Asimismo, la citada ley incorpora de manera expresa la protección de las personas intersex frente a cualquier trato discriminatorio basado en sus características sexuales y promueve una atención sanitaria respetuosa con los derechos humanos, la dignidad y la integridad personal, reforzando de manera específica la protección de las personas menores intersex, mediante la limitación de intervenciones médicas irreversibles que no respondan a una necesidad clínica y garantizando que cualquier actuación se rija por el interés superior del menor y los estándares internacionales de derechos humanos.</w:t>
      </w:r>
    </w:p>
    <w:p w14:paraId="1F0C8A67" w14:textId="77777777" w:rsidR="005D272B" w:rsidRPr="005D272B" w:rsidRDefault="005D272B" w:rsidP="006B5F5F">
      <w:pPr>
        <w:spacing w:line="360" w:lineRule="auto"/>
        <w:jc w:val="both"/>
        <w:rPr>
          <w:rFonts w:cstheme="minorHAnsi"/>
          <w:b/>
          <w:i/>
        </w:rPr>
      </w:pPr>
      <w:r w:rsidRPr="005D272B">
        <w:rPr>
          <w:rFonts w:cstheme="minorHAnsi"/>
          <w:b/>
          <w:i/>
        </w:rPr>
        <w:t>Salud mental</w:t>
      </w:r>
    </w:p>
    <w:p w14:paraId="128DF2A9" w14:textId="491E87C8" w:rsidR="00666F55" w:rsidRPr="00666F55" w:rsidRDefault="00666F55" w:rsidP="00666F55">
      <w:pPr>
        <w:spacing w:line="360" w:lineRule="auto"/>
        <w:jc w:val="both"/>
        <w:rPr>
          <w:rFonts w:cstheme="minorHAnsi"/>
        </w:rPr>
      </w:pPr>
      <w:r w:rsidRPr="00666F55">
        <w:rPr>
          <w:rFonts w:cstheme="minorHAnsi"/>
        </w:rPr>
        <w:t>En los últimos años se ha desarrollado la Estrategia de Salud Mental del Sistema Nacional de Salud, con la aprobación en 2025 del Plan de Acción de Salud Mental (2025-2027) y del Plan de Acción de Prevención del Suicidio (2025-2027). Como muestra del compr</w:t>
      </w:r>
      <w:r>
        <w:rPr>
          <w:rFonts w:cstheme="minorHAnsi"/>
        </w:rPr>
        <w:t>omiso de España, en 2024 se creó</w:t>
      </w:r>
      <w:r w:rsidRPr="00666F55">
        <w:rPr>
          <w:rFonts w:cstheme="minorHAnsi"/>
        </w:rPr>
        <w:t xml:space="preserve"> el Comisionado de Salud Mental, encargado de coordinar las </w:t>
      </w:r>
      <w:r>
        <w:rPr>
          <w:rFonts w:cstheme="minorHAnsi"/>
        </w:rPr>
        <w:t>políticas públicas relacionadas</w:t>
      </w:r>
      <w:r w:rsidRPr="00666F55">
        <w:rPr>
          <w:rFonts w:cstheme="minorHAnsi"/>
        </w:rPr>
        <w:t xml:space="preserve"> con un enfoque comunitario, centrado en los derechos humanos y los determinantes sociales de la salud. En concreto, se está trabajando en la incorporación de personas expertas por experiencia en políticas públicas, y en la regulación de las medidas involuntarias en salud mental, en consonancia con la Convención sobre los Derechos de las personas con discapacidad.</w:t>
      </w:r>
    </w:p>
    <w:p w14:paraId="3ABAB087" w14:textId="77777777" w:rsidR="005D272B" w:rsidRPr="005D272B" w:rsidRDefault="005D272B" w:rsidP="006B5F5F">
      <w:pPr>
        <w:spacing w:line="360" w:lineRule="auto"/>
        <w:jc w:val="both"/>
        <w:rPr>
          <w:rFonts w:cstheme="minorHAnsi"/>
          <w:b/>
          <w:i/>
        </w:rPr>
      </w:pPr>
      <w:r w:rsidRPr="005D272B">
        <w:rPr>
          <w:rFonts w:cstheme="minorHAnsi"/>
          <w:b/>
          <w:i/>
        </w:rPr>
        <w:t>Lucha contra la Hepatitis C</w:t>
      </w:r>
    </w:p>
    <w:p w14:paraId="2712FA52" w14:textId="77777777" w:rsidR="00B71260" w:rsidRPr="00B71260" w:rsidRDefault="00B71260" w:rsidP="005D272B">
      <w:pPr>
        <w:spacing w:line="360" w:lineRule="auto"/>
        <w:jc w:val="both"/>
        <w:rPr>
          <w:rFonts w:cstheme="minorHAnsi"/>
        </w:rPr>
      </w:pPr>
      <w:r w:rsidRPr="00B71260">
        <w:rPr>
          <w:rFonts w:cstheme="minorHAnsi"/>
        </w:rPr>
        <w:t xml:space="preserve">Como un ejemplo del éxito de nuestro Sistema Nacional de Salud, </w:t>
      </w:r>
      <w:r w:rsidR="000B30A6">
        <w:rPr>
          <w:rFonts w:cstheme="minorHAnsi"/>
        </w:rPr>
        <w:t>cabe destacar</w:t>
      </w:r>
      <w:r w:rsidRPr="00B71260">
        <w:rPr>
          <w:rFonts w:cstheme="minorHAnsi"/>
        </w:rPr>
        <w:t xml:space="preserve"> el Plan Estratégico para el Abordaje de la Hepatitis C, que cumple diez años y ha logrado reducir la prevalencia de la infección activa del 1,2 % en 2014 al 0,12 % en 2022. </w:t>
      </w:r>
    </w:p>
    <w:p w14:paraId="1E19D603" w14:textId="77777777" w:rsidR="00B71260" w:rsidRPr="00F541A6" w:rsidRDefault="00B71260" w:rsidP="005D272B">
      <w:pPr>
        <w:spacing w:line="360" w:lineRule="auto"/>
        <w:jc w:val="both"/>
        <w:rPr>
          <w:rFonts w:cstheme="minorHAnsi"/>
          <w:b/>
          <w:i/>
        </w:rPr>
      </w:pPr>
      <w:r w:rsidRPr="00F541A6">
        <w:rPr>
          <w:rFonts w:cstheme="minorHAnsi"/>
          <w:b/>
          <w:i/>
        </w:rPr>
        <w:t>Medida</w:t>
      </w:r>
      <w:r w:rsidR="00F541A6" w:rsidRPr="00F541A6">
        <w:rPr>
          <w:rFonts w:cstheme="minorHAnsi"/>
          <w:b/>
          <w:i/>
        </w:rPr>
        <w:t>s contra la mortalidad infantil</w:t>
      </w:r>
      <w:r w:rsidRPr="00F541A6">
        <w:rPr>
          <w:rFonts w:cstheme="minorHAnsi"/>
          <w:b/>
          <w:i/>
        </w:rPr>
        <w:t xml:space="preserve"> </w:t>
      </w:r>
    </w:p>
    <w:p w14:paraId="6033E9BC" w14:textId="77777777" w:rsidR="00B71260" w:rsidRPr="00B71260" w:rsidRDefault="00B71260" w:rsidP="00026000">
      <w:pPr>
        <w:spacing w:line="360" w:lineRule="auto"/>
        <w:jc w:val="both"/>
        <w:rPr>
          <w:rFonts w:cstheme="minorHAnsi"/>
        </w:rPr>
      </w:pPr>
      <w:r w:rsidRPr="00B71260">
        <w:rPr>
          <w:rFonts w:cstheme="minorHAnsi"/>
        </w:rPr>
        <w:t xml:space="preserve">La violencia sufrida en la infancia y adolescencia afecta a la salud y el bienestar a lo largo de toda la vida. El estrés que conlleva afecta al desarrollo cerebral sobre todo durante los primeros años de vida, así como también durante la adolescencia, perjudicando el rendimiento académico y </w:t>
      </w:r>
      <w:r w:rsidRPr="00B71260">
        <w:rPr>
          <w:rFonts w:cstheme="minorHAnsi"/>
        </w:rPr>
        <w:lastRenderedPageBreak/>
        <w:t xml:space="preserve">profesional. Además, </w:t>
      </w:r>
      <w:r w:rsidR="00A64587">
        <w:rPr>
          <w:rFonts w:cstheme="minorHAnsi"/>
        </w:rPr>
        <w:t>perjudica</w:t>
      </w:r>
      <w:r w:rsidRPr="00B71260">
        <w:rPr>
          <w:rFonts w:cstheme="minorHAnsi"/>
        </w:rPr>
        <w:t xml:space="preserve"> a otros sistemas como el endocrino, circulatorio, osteomuscular, reproductivo, respiratorio e inmunológico y sus consecuencias pueden durar toda la vida. Las personas menores de edad expuestas a la violencia tienen muchas más probabilidades de desarrollar comportamientos de riesgo y de presentar tasas más altas de ansiedad, depresión, otros problemas de salud mental y suicidio.</w:t>
      </w:r>
    </w:p>
    <w:p w14:paraId="429AB76D" w14:textId="77777777" w:rsidR="00B71260" w:rsidRPr="00B71260" w:rsidRDefault="00F541A6" w:rsidP="00F541A6">
      <w:pPr>
        <w:spacing w:line="360" w:lineRule="auto"/>
        <w:jc w:val="both"/>
        <w:rPr>
          <w:rFonts w:cstheme="minorHAnsi"/>
        </w:rPr>
      </w:pPr>
      <w:r>
        <w:rPr>
          <w:rFonts w:cstheme="minorHAnsi"/>
        </w:rPr>
        <w:t>En el marco de</w:t>
      </w:r>
      <w:r w:rsidR="00B71260" w:rsidRPr="00B71260">
        <w:rPr>
          <w:rFonts w:cstheme="minorHAnsi"/>
        </w:rPr>
        <w:t xml:space="preserve"> la </w:t>
      </w:r>
      <w:r w:rsidR="00CC2A66">
        <w:rPr>
          <w:rFonts w:cstheme="minorHAnsi"/>
        </w:rPr>
        <w:t>LOPIVI</w:t>
      </w:r>
      <w:r w:rsidR="00B71260" w:rsidRPr="00B71260">
        <w:rPr>
          <w:rFonts w:cstheme="minorHAnsi"/>
        </w:rPr>
        <w:t xml:space="preserve"> </w:t>
      </w:r>
      <w:r>
        <w:rPr>
          <w:rFonts w:cstheme="minorHAnsi"/>
        </w:rPr>
        <w:t>se estableció</w:t>
      </w:r>
      <w:r w:rsidR="00B71260" w:rsidRPr="00B71260">
        <w:rPr>
          <w:rFonts w:cstheme="minorHAnsi"/>
        </w:rPr>
        <w:t xml:space="preserve"> la </w:t>
      </w:r>
      <w:r w:rsidR="00CC2A66">
        <w:rPr>
          <w:rFonts w:cstheme="minorHAnsi"/>
        </w:rPr>
        <w:t>formación</w:t>
      </w:r>
      <w:r w:rsidR="00B71260" w:rsidRPr="00B71260">
        <w:rPr>
          <w:rFonts w:cstheme="minorHAnsi"/>
        </w:rPr>
        <w:t xml:space="preserve"> de la Comisión frente a la violencia en los niños, niñas y adolescentes del Consejo Interterritorial del Sistema Nacional de Salud (CISNS), creada el 6 de abril, y constituida en mayo de</w:t>
      </w:r>
      <w:r w:rsidR="00CC2A66">
        <w:rPr>
          <w:rFonts w:cstheme="minorHAnsi"/>
        </w:rPr>
        <w:t xml:space="preserve"> 2022. Dicha Comisión</w:t>
      </w:r>
      <w:r w:rsidR="00B71260" w:rsidRPr="00B71260">
        <w:rPr>
          <w:rFonts w:cstheme="minorHAnsi"/>
        </w:rPr>
        <w:t xml:space="preserve"> elaboró el Protocolo Común de Actuación Sanitaria frente a la Violencia en la Infancia y Adolescencia, dirigido a profesionales del sistema sanitario y a todas aquellas personas con responsabilidad en la gestión y planificación de po</w:t>
      </w:r>
      <w:r>
        <w:rPr>
          <w:rFonts w:cstheme="minorHAnsi"/>
        </w:rPr>
        <w:t>líticas y recursos sanitarios. </w:t>
      </w:r>
      <w:r w:rsidR="00B71260" w:rsidRPr="00B71260">
        <w:rPr>
          <w:rFonts w:cstheme="minorHAnsi"/>
        </w:rPr>
        <w:t>Además, anualmente se publica un informe que incluye los datos disponibles sobre la atención sanitaria de las personas menores de edad víctimas de violencia, desagregados por sexo y edad</w:t>
      </w:r>
      <w:r w:rsidR="00CC2A66">
        <w:rPr>
          <w:rFonts w:cstheme="minorHAnsi"/>
        </w:rPr>
        <w:t>.</w:t>
      </w:r>
    </w:p>
    <w:p w14:paraId="447B9A2D" w14:textId="77777777" w:rsidR="00B71260" w:rsidRPr="00F541A6" w:rsidRDefault="00B71260" w:rsidP="00F541A6">
      <w:pPr>
        <w:spacing w:line="360" w:lineRule="auto"/>
        <w:jc w:val="both"/>
        <w:rPr>
          <w:rFonts w:cstheme="minorHAnsi"/>
          <w:b/>
          <w:i/>
        </w:rPr>
      </w:pPr>
      <w:r w:rsidRPr="00F541A6">
        <w:rPr>
          <w:rFonts w:cstheme="minorHAnsi"/>
          <w:b/>
          <w:i/>
        </w:rPr>
        <w:t>Sa</w:t>
      </w:r>
      <w:r w:rsidR="00F541A6" w:rsidRPr="00F541A6">
        <w:rPr>
          <w:rFonts w:cstheme="minorHAnsi"/>
          <w:b/>
          <w:i/>
        </w:rPr>
        <w:t>lud reproductiva de las mujeres</w:t>
      </w:r>
    </w:p>
    <w:p w14:paraId="54D6986C" w14:textId="77777777" w:rsidR="00B71260" w:rsidRPr="00B71260" w:rsidRDefault="00CC2A66" w:rsidP="00065DB2">
      <w:pPr>
        <w:spacing w:line="360" w:lineRule="auto"/>
        <w:jc w:val="both"/>
        <w:rPr>
          <w:rFonts w:cstheme="minorHAnsi"/>
        </w:rPr>
      </w:pPr>
      <w:r>
        <w:rPr>
          <w:rFonts w:cstheme="minorHAnsi"/>
        </w:rPr>
        <w:t>La</w:t>
      </w:r>
      <w:r w:rsidR="00B71260" w:rsidRPr="00B71260">
        <w:rPr>
          <w:rFonts w:cstheme="minorHAnsi"/>
        </w:rPr>
        <w:t xml:space="preserve"> Ley Org</w:t>
      </w:r>
      <w:r w:rsidR="00B71260" w:rsidRPr="00B71260">
        <w:rPr>
          <w:rFonts w:cstheme="minorHAnsi" w:hint="eastAsia"/>
        </w:rPr>
        <w:t>á</w:t>
      </w:r>
      <w:r w:rsidR="00A64587">
        <w:rPr>
          <w:rFonts w:cstheme="minorHAnsi"/>
        </w:rPr>
        <w:t>nica 2/2010, de 3 de marzo, de Salud Sexual y Reproductiva y de la I</w:t>
      </w:r>
      <w:r w:rsidR="00B71260" w:rsidRPr="00B71260">
        <w:rPr>
          <w:rFonts w:cstheme="minorHAnsi"/>
        </w:rPr>
        <w:t>nterrupci</w:t>
      </w:r>
      <w:r w:rsidR="00B71260" w:rsidRPr="00B71260">
        <w:rPr>
          <w:rFonts w:cstheme="minorHAnsi" w:hint="eastAsia"/>
        </w:rPr>
        <w:t>ó</w:t>
      </w:r>
      <w:r w:rsidR="00A64587">
        <w:rPr>
          <w:rFonts w:cstheme="minorHAnsi"/>
        </w:rPr>
        <w:t>n Voluntaria del E</w:t>
      </w:r>
      <w:r w:rsidR="00B71260" w:rsidRPr="00B71260">
        <w:rPr>
          <w:rFonts w:cstheme="minorHAnsi"/>
        </w:rPr>
        <w:t xml:space="preserve">mbarazo, </w:t>
      </w:r>
      <w:r>
        <w:rPr>
          <w:rFonts w:cstheme="minorHAnsi"/>
        </w:rPr>
        <w:t xml:space="preserve">fue </w:t>
      </w:r>
      <w:r w:rsidR="00B71260" w:rsidRPr="00B71260">
        <w:rPr>
          <w:rFonts w:cstheme="minorHAnsi"/>
        </w:rPr>
        <w:t>modificada por última vez por la Ley Org</w:t>
      </w:r>
      <w:r w:rsidR="00B71260" w:rsidRPr="00B71260">
        <w:rPr>
          <w:rFonts w:cstheme="minorHAnsi" w:hint="eastAsia"/>
        </w:rPr>
        <w:t>á</w:t>
      </w:r>
      <w:r>
        <w:rPr>
          <w:rFonts w:cstheme="minorHAnsi"/>
        </w:rPr>
        <w:t>nica 1/2023, de 28 de febrero que, e</w:t>
      </w:r>
      <w:r w:rsidR="00B71260" w:rsidRPr="00B71260">
        <w:rPr>
          <w:rFonts w:cstheme="minorHAnsi"/>
        </w:rPr>
        <w:t>n materia de interrupción voluntaria del embarazo (IVE</w:t>
      </w:r>
      <w:r>
        <w:rPr>
          <w:rFonts w:cstheme="minorHAnsi"/>
        </w:rPr>
        <w:t>),</w:t>
      </w:r>
      <w:r w:rsidR="00B71260" w:rsidRPr="00B71260">
        <w:rPr>
          <w:rFonts w:cstheme="minorHAnsi"/>
        </w:rPr>
        <w:t xml:space="preserve"> devolvió la autonomía a las mujeres de 16 y 17 años para poder decidir sin necesidad de autorización parental, se eliminó el periodo obligatorio de reflexión y se incorporó una visión transversal del derecho al aborto desde la perspectiva de los derechos humanos.</w:t>
      </w:r>
    </w:p>
    <w:p w14:paraId="47A24C8A" w14:textId="77777777" w:rsidR="00B71260" w:rsidRPr="00B71260" w:rsidRDefault="00B71260" w:rsidP="00065DB2">
      <w:pPr>
        <w:spacing w:line="360" w:lineRule="auto"/>
        <w:jc w:val="both"/>
        <w:rPr>
          <w:rFonts w:cstheme="minorHAnsi"/>
        </w:rPr>
      </w:pPr>
      <w:r w:rsidRPr="00B71260">
        <w:rPr>
          <w:rFonts w:cstheme="minorHAnsi"/>
        </w:rPr>
        <w:t xml:space="preserve">El CISNS ha aprobado el protocolo que ha de regir la creación de los registros de objetores de conciencia para la prestación de la IVE, que han de ser desarrollados por las Comunidades Autónomas, y la Guía Común del Sistema Nacional de Salud sobre Interrupción Voluntaria del Embarazo (IVE), como pauta de actuación normalizada y homogénea para el SNS en la atención a la IVE mediante los métodos farmacológico, instrumental y quirúrgico.  Asimismo, el Ministerio de Sanidad y el Ministerio de Igualdad están dando apoyo a diversas acciones para facilitar la accesibilidad a la </w:t>
      </w:r>
      <w:r w:rsidR="001F3D9C">
        <w:rPr>
          <w:rFonts w:cstheme="minorHAnsi"/>
        </w:rPr>
        <w:t>IVE</w:t>
      </w:r>
      <w:r w:rsidRPr="00B71260">
        <w:rPr>
          <w:rFonts w:cstheme="minorHAnsi"/>
        </w:rPr>
        <w:t>, como la web inform</w:t>
      </w:r>
      <w:r w:rsidR="001F3D9C">
        <w:rPr>
          <w:rFonts w:cstheme="minorHAnsi"/>
        </w:rPr>
        <w:t>ativa https://quieroabortar.org</w:t>
      </w:r>
      <w:r w:rsidRPr="00B71260">
        <w:rPr>
          <w:rFonts w:cstheme="minorHAnsi"/>
        </w:rPr>
        <w:t>.</w:t>
      </w:r>
    </w:p>
    <w:p w14:paraId="3286F510" w14:textId="77777777" w:rsidR="00B71260" w:rsidRPr="00065DB2" w:rsidRDefault="00B71260" w:rsidP="00065DB2">
      <w:pPr>
        <w:spacing w:line="360" w:lineRule="auto"/>
        <w:jc w:val="both"/>
        <w:rPr>
          <w:rFonts w:cstheme="minorHAnsi"/>
          <w:b/>
          <w:i/>
        </w:rPr>
      </w:pPr>
      <w:r w:rsidRPr="00065DB2">
        <w:rPr>
          <w:rFonts w:cstheme="minorHAnsi"/>
          <w:b/>
          <w:i/>
        </w:rPr>
        <w:t>Prev</w:t>
      </w:r>
      <w:r w:rsidR="00065DB2">
        <w:rPr>
          <w:rFonts w:cstheme="minorHAnsi"/>
          <w:b/>
          <w:i/>
        </w:rPr>
        <w:t>ención de pandemias y epidemias</w:t>
      </w:r>
    </w:p>
    <w:p w14:paraId="7E7447FE" w14:textId="77777777" w:rsidR="00B71260" w:rsidRPr="00B71260" w:rsidRDefault="00B71260" w:rsidP="00065DB2">
      <w:pPr>
        <w:spacing w:line="360" w:lineRule="auto"/>
        <w:jc w:val="both"/>
        <w:rPr>
          <w:rFonts w:cstheme="minorHAnsi"/>
        </w:rPr>
      </w:pPr>
      <w:r w:rsidRPr="00B71260">
        <w:rPr>
          <w:rFonts w:cstheme="minorHAnsi"/>
        </w:rPr>
        <w:t>En junio de 2022 se publicó la Estrategia de Vigilancia en Salud P</w:t>
      </w:r>
      <w:r w:rsidRPr="00B71260">
        <w:rPr>
          <w:rFonts w:cstheme="minorHAnsi" w:hint="eastAsia"/>
        </w:rPr>
        <w:t>ú</w:t>
      </w:r>
      <w:r w:rsidRPr="00B71260">
        <w:rPr>
          <w:rFonts w:cstheme="minorHAnsi"/>
        </w:rPr>
        <w:t xml:space="preserve">blica del Sistema Nacional de Salud, con </w:t>
      </w:r>
      <w:r w:rsidR="008E6B87">
        <w:rPr>
          <w:rFonts w:cstheme="minorHAnsi"/>
        </w:rPr>
        <w:t>el objetivo de desarrollar una Vigilancia de la Salud P</w:t>
      </w:r>
      <w:r w:rsidRPr="00B71260">
        <w:rPr>
          <w:rFonts w:cstheme="minorHAnsi" w:hint="eastAsia"/>
        </w:rPr>
        <w:t>ú</w:t>
      </w:r>
      <w:r w:rsidRPr="00B71260">
        <w:rPr>
          <w:rFonts w:cstheme="minorHAnsi"/>
        </w:rPr>
        <w:t xml:space="preserve">blica (VSP) moderna, cohesionada y armonizada en el </w:t>
      </w:r>
      <w:r w:rsidR="004A212F">
        <w:rPr>
          <w:rFonts w:cstheme="minorHAnsi"/>
        </w:rPr>
        <w:t>SNS</w:t>
      </w:r>
      <w:r w:rsidRPr="00B71260">
        <w:rPr>
          <w:rFonts w:cstheme="minorHAnsi"/>
        </w:rPr>
        <w:t>, construyendo una Red Estatal de Vigilancia en Salud P</w:t>
      </w:r>
      <w:r w:rsidRPr="00B71260">
        <w:rPr>
          <w:rFonts w:cstheme="minorHAnsi" w:hint="eastAsia"/>
        </w:rPr>
        <w:t>ú</w:t>
      </w:r>
      <w:r w:rsidRPr="00B71260">
        <w:rPr>
          <w:rFonts w:cstheme="minorHAnsi"/>
        </w:rPr>
        <w:t xml:space="preserve">blica (más allá del ámbito de la actual Red Nacional de Vigilancia Epidemiológica centrada en </w:t>
      </w:r>
      <w:r w:rsidRPr="00B71260">
        <w:rPr>
          <w:rFonts w:cstheme="minorHAnsi"/>
        </w:rPr>
        <w:lastRenderedPageBreak/>
        <w:t>enfermedades transmisibles con la que España cuenta desde 1995) e incluyendo los t</w:t>
      </w:r>
      <w:r w:rsidRPr="00B71260">
        <w:rPr>
          <w:rFonts w:cstheme="minorHAnsi" w:hint="eastAsia"/>
        </w:rPr>
        <w:t>é</w:t>
      </w:r>
      <w:r w:rsidRPr="00B71260">
        <w:rPr>
          <w:rFonts w:cstheme="minorHAnsi"/>
        </w:rPr>
        <w:t xml:space="preserve">rminos de bienestar, morbilidad y mortalidad y los riesgos, determinantes, inequidades y factores que condicionan la salud. Cabe destacar la línea estratégica 6, que desarrolla las pautas </w:t>
      </w:r>
      <w:r w:rsidRPr="00B71260">
        <w:rPr>
          <w:rFonts w:cstheme="minorHAnsi" w:hint="eastAsia"/>
        </w:rPr>
        <w:t>é</w:t>
      </w:r>
      <w:r w:rsidRPr="00B71260">
        <w:rPr>
          <w:rFonts w:cstheme="minorHAnsi"/>
        </w:rPr>
        <w:t>ticas y derechos, deberes y obligaciones en la vigilancia en salud p</w:t>
      </w:r>
      <w:r w:rsidRPr="00B71260">
        <w:rPr>
          <w:rFonts w:cstheme="minorHAnsi" w:hint="eastAsia"/>
        </w:rPr>
        <w:t>ú</w:t>
      </w:r>
      <w:r w:rsidRPr="00B71260">
        <w:rPr>
          <w:rFonts w:cstheme="minorHAnsi"/>
        </w:rPr>
        <w:t xml:space="preserve">blica. </w:t>
      </w:r>
    </w:p>
    <w:p w14:paraId="4DFACBAA" w14:textId="77777777" w:rsidR="00B71260" w:rsidRPr="00B71260" w:rsidRDefault="00B71260" w:rsidP="00B71260">
      <w:pPr>
        <w:spacing w:line="360" w:lineRule="auto"/>
        <w:jc w:val="both"/>
        <w:rPr>
          <w:rFonts w:cstheme="minorHAnsi"/>
        </w:rPr>
      </w:pPr>
      <w:r w:rsidRPr="00B71260">
        <w:rPr>
          <w:rFonts w:cstheme="minorHAnsi"/>
        </w:rPr>
        <w:t>Como resultado tangible, se publicó el Real Decreto 568/2024, por el que se crea la mencionada Red Estatal de Vigilancia en Salud P</w:t>
      </w:r>
      <w:r w:rsidRPr="00B71260">
        <w:rPr>
          <w:rFonts w:cstheme="minorHAnsi" w:hint="eastAsia"/>
        </w:rPr>
        <w:t>ú</w:t>
      </w:r>
      <w:r w:rsidRPr="00B71260">
        <w:rPr>
          <w:rFonts w:cstheme="minorHAnsi"/>
        </w:rPr>
        <w:t>blica, el cual incluye entre sus principios generales la universalidad de la vigilancia, de cara a que la labor de esta red considere la realidad de toda la ciudadan</w:t>
      </w:r>
      <w:r w:rsidRPr="00B71260">
        <w:rPr>
          <w:rFonts w:cstheme="minorHAnsi" w:hint="eastAsia"/>
        </w:rPr>
        <w:t>í</w:t>
      </w:r>
      <w:r w:rsidRPr="00B71260">
        <w:rPr>
          <w:rFonts w:cstheme="minorHAnsi"/>
        </w:rPr>
        <w:t xml:space="preserve">a sin </w:t>
      </w:r>
      <w:r w:rsidR="00E97D82">
        <w:rPr>
          <w:rFonts w:cstheme="minorHAnsi"/>
        </w:rPr>
        <w:t>excepciones.</w:t>
      </w:r>
    </w:p>
    <w:p w14:paraId="29642448" w14:textId="7D60AD89" w:rsidR="00B71260" w:rsidRPr="00B71260" w:rsidRDefault="00B71260" w:rsidP="00B71260">
      <w:pPr>
        <w:spacing w:line="360" w:lineRule="auto"/>
        <w:jc w:val="both"/>
        <w:rPr>
          <w:rFonts w:cstheme="minorHAnsi"/>
        </w:rPr>
      </w:pPr>
      <w:r w:rsidRPr="00B71260">
        <w:rPr>
          <w:rFonts w:cstheme="minorHAnsi"/>
        </w:rPr>
        <w:t xml:space="preserve">Asimismo, </w:t>
      </w:r>
      <w:r w:rsidR="004A212F">
        <w:rPr>
          <w:rFonts w:cstheme="minorHAnsi"/>
        </w:rPr>
        <w:t xml:space="preserve">en </w:t>
      </w:r>
      <w:r w:rsidRPr="00B71260">
        <w:rPr>
          <w:rFonts w:cstheme="minorHAnsi"/>
        </w:rPr>
        <w:t>julio de 2025</w:t>
      </w:r>
      <w:r w:rsidR="004A212F">
        <w:rPr>
          <w:rFonts w:cstheme="minorHAnsi"/>
        </w:rPr>
        <w:t xml:space="preserve"> se aprobó</w:t>
      </w:r>
      <w:r w:rsidRPr="00B71260">
        <w:rPr>
          <w:rFonts w:cstheme="minorHAnsi"/>
        </w:rPr>
        <w:t xml:space="preserve"> la Ley 7/2025 por la que se crea la Agencia Estatal de Salud P</w:t>
      </w:r>
      <w:r w:rsidRPr="00B71260">
        <w:rPr>
          <w:rFonts w:cstheme="minorHAnsi" w:hint="eastAsia"/>
        </w:rPr>
        <w:t>ú</w:t>
      </w:r>
      <w:r w:rsidRPr="00B71260">
        <w:rPr>
          <w:rFonts w:cstheme="minorHAnsi"/>
        </w:rPr>
        <w:t>blica y se modifica la Ley 33/2011 General de Salud P</w:t>
      </w:r>
      <w:r w:rsidRPr="00B71260">
        <w:rPr>
          <w:rFonts w:cstheme="minorHAnsi" w:hint="eastAsia"/>
        </w:rPr>
        <w:t>ú</w:t>
      </w:r>
      <w:r w:rsidRPr="00B71260">
        <w:rPr>
          <w:rFonts w:cstheme="minorHAnsi"/>
        </w:rPr>
        <w:t>blica. Actualmente se están elaborando los estatutos fundacionales de la Agencia, que tiene como objetivo reforzar las capacidades del Estado para mejorar la salud de la poblaci</w:t>
      </w:r>
      <w:r w:rsidRPr="00B71260">
        <w:rPr>
          <w:rFonts w:cstheme="minorHAnsi" w:hint="eastAsia"/>
        </w:rPr>
        <w:t>ó</w:t>
      </w:r>
      <w:r w:rsidRPr="00B71260">
        <w:rPr>
          <w:rFonts w:cstheme="minorHAnsi"/>
        </w:rPr>
        <w:t>n, la equidad en salud y su bienestar y proteger a la poblaci</w:t>
      </w:r>
      <w:r w:rsidRPr="00B71260">
        <w:rPr>
          <w:rFonts w:cstheme="minorHAnsi" w:hint="eastAsia"/>
        </w:rPr>
        <w:t>ó</w:t>
      </w:r>
      <w:r w:rsidRPr="00B71260">
        <w:rPr>
          <w:rFonts w:cstheme="minorHAnsi"/>
        </w:rPr>
        <w:t xml:space="preserve">n frente a riesgos y amenazas sanitarias, </w:t>
      </w:r>
      <w:r w:rsidR="003D64D6">
        <w:rPr>
          <w:rFonts w:cstheme="minorHAnsi"/>
        </w:rPr>
        <w:t>promoviendo la salud y potenciando</w:t>
      </w:r>
      <w:r w:rsidR="003D64D6" w:rsidRPr="00B71260">
        <w:rPr>
          <w:rFonts w:cstheme="minorHAnsi"/>
        </w:rPr>
        <w:t xml:space="preserve"> las capacidades y el empoderamiento de </w:t>
      </w:r>
      <w:r w:rsidR="003D64D6">
        <w:rPr>
          <w:rFonts w:cstheme="minorHAnsi"/>
        </w:rPr>
        <w:t>las personas y las comunidades.</w:t>
      </w:r>
    </w:p>
    <w:p w14:paraId="01D0AABD" w14:textId="3DBCC5A5" w:rsidR="00B71260" w:rsidRPr="00B71260" w:rsidRDefault="00B71260" w:rsidP="00B71260">
      <w:pPr>
        <w:spacing w:line="360" w:lineRule="auto"/>
        <w:jc w:val="both"/>
        <w:rPr>
          <w:rFonts w:cstheme="minorHAnsi"/>
        </w:rPr>
      </w:pPr>
      <w:r w:rsidRPr="00B71260">
        <w:rPr>
          <w:rFonts w:cstheme="minorHAnsi"/>
        </w:rPr>
        <w:t>Por último, la Estrategia de Salud P</w:t>
      </w:r>
      <w:r w:rsidRPr="00B71260">
        <w:rPr>
          <w:rFonts w:cstheme="minorHAnsi" w:hint="eastAsia"/>
        </w:rPr>
        <w:t>ú</w:t>
      </w:r>
      <w:r w:rsidRPr="00B71260">
        <w:rPr>
          <w:rFonts w:cstheme="minorHAnsi"/>
        </w:rPr>
        <w:t>blica de España de 2022 incluye como l</w:t>
      </w:r>
      <w:r w:rsidRPr="00B71260">
        <w:rPr>
          <w:rFonts w:cstheme="minorHAnsi" w:hint="eastAsia"/>
        </w:rPr>
        <w:t>í</w:t>
      </w:r>
      <w:r w:rsidRPr="00B71260">
        <w:rPr>
          <w:rFonts w:cstheme="minorHAnsi"/>
        </w:rPr>
        <w:t>nea estrat</w:t>
      </w:r>
      <w:r w:rsidRPr="00B71260">
        <w:rPr>
          <w:rFonts w:cstheme="minorHAnsi" w:hint="eastAsia"/>
        </w:rPr>
        <w:t>é</w:t>
      </w:r>
      <w:r w:rsidRPr="00B71260">
        <w:rPr>
          <w:rFonts w:cstheme="minorHAnsi"/>
        </w:rPr>
        <w:t>gica la elaboraci</w:t>
      </w:r>
      <w:r w:rsidRPr="00B71260">
        <w:rPr>
          <w:rFonts w:cstheme="minorHAnsi" w:hint="eastAsia"/>
        </w:rPr>
        <w:t>ó</w:t>
      </w:r>
      <w:r w:rsidRPr="00B71260">
        <w:rPr>
          <w:rFonts w:cstheme="minorHAnsi"/>
        </w:rPr>
        <w:t>n y difusi</w:t>
      </w:r>
      <w:r w:rsidRPr="00B71260">
        <w:rPr>
          <w:rFonts w:cstheme="minorHAnsi" w:hint="eastAsia"/>
        </w:rPr>
        <w:t>ó</w:t>
      </w:r>
      <w:r w:rsidRPr="00B71260">
        <w:rPr>
          <w:rFonts w:cstheme="minorHAnsi"/>
        </w:rPr>
        <w:t>n de un Plan de Preparaci</w:t>
      </w:r>
      <w:r w:rsidRPr="00B71260">
        <w:rPr>
          <w:rFonts w:cstheme="minorHAnsi" w:hint="eastAsia"/>
        </w:rPr>
        <w:t>ó</w:t>
      </w:r>
      <w:r w:rsidRPr="00B71260">
        <w:rPr>
          <w:rFonts w:cstheme="minorHAnsi"/>
        </w:rPr>
        <w:t xml:space="preserve">n y Respuesta ante emergencias sanitarias con un enfoque de equidad y considerando aspectos relacionados con las ciencias del comportamiento social. </w:t>
      </w:r>
    </w:p>
    <w:p w14:paraId="3D32BA33" w14:textId="77777777" w:rsidR="00B71260" w:rsidRPr="0012244E" w:rsidRDefault="0012244E" w:rsidP="0012244E">
      <w:pPr>
        <w:spacing w:line="360" w:lineRule="auto"/>
        <w:jc w:val="both"/>
        <w:rPr>
          <w:rFonts w:cstheme="minorHAnsi"/>
          <w:b/>
          <w:i/>
        </w:rPr>
      </w:pPr>
      <w:r w:rsidRPr="0012244E">
        <w:rPr>
          <w:rFonts w:cstheme="minorHAnsi"/>
          <w:b/>
          <w:i/>
        </w:rPr>
        <w:t>Lucha contra el VIH</w:t>
      </w:r>
    </w:p>
    <w:p w14:paraId="5E1E1071" w14:textId="0D839D92" w:rsidR="00B71260" w:rsidRPr="00B71260" w:rsidRDefault="00C42569" w:rsidP="0012244E">
      <w:pPr>
        <w:spacing w:line="360" w:lineRule="auto"/>
        <w:jc w:val="both"/>
        <w:rPr>
          <w:rFonts w:cstheme="minorHAnsi"/>
        </w:rPr>
      </w:pPr>
      <w:r>
        <w:rPr>
          <w:rFonts w:cstheme="minorHAnsi"/>
        </w:rPr>
        <w:t>El</w:t>
      </w:r>
      <w:r w:rsidR="00B71260" w:rsidRPr="00B71260">
        <w:rPr>
          <w:rFonts w:cstheme="minorHAnsi"/>
        </w:rPr>
        <w:t xml:space="preserve"> Plan Estrat</w:t>
      </w:r>
      <w:r w:rsidR="00B71260" w:rsidRPr="00B71260">
        <w:rPr>
          <w:rFonts w:cstheme="minorHAnsi" w:hint="eastAsia"/>
        </w:rPr>
        <w:t>é</w:t>
      </w:r>
      <w:r w:rsidR="00B71260" w:rsidRPr="00B71260">
        <w:rPr>
          <w:rFonts w:cstheme="minorHAnsi"/>
        </w:rPr>
        <w:t>gico para la Prevenci</w:t>
      </w:r>
      <w:r w:rsidR="00B71260" w:rsidRPr="00B71260">
        <w:rPr>
          <w:rFonts w:cstheme="minorHAnsi" w:hint="eastAsia"/>
        </w:rPr>
        <w:t>ó</w:t>
      </w:r>
      <w:r w:rsidR="00B71260" w:rsidRPr="00B71260">
        <w:rPr>
          <w:rFonts w:cstheme="minorHAnsi"/>
        </w:rPr>
        <w:t>n y Control de la Infecci</w:t>
      </w:r>
      <w:r w:rsidR="00B71260" w:rsidRPr="00B71260">
        <w:rPr>
          <w:rFonts w:cstheme="minorHAnsi" w:hint="eastAsia"/>
        </w:rPr>
        <w:t>ó</w:t>
      </w:r>
      <w:r w:rsidR="00B71260" w:rsidRPr="00B71260">
        <w:rPr>
          <w:rFonts w:cstheme="minorHAnsi"/>
        </w:rPr>
        <w:t xml:space="preserve">n por VIH y otras ITS </w:t>
      </w:r>
      <w:r>
        <w:rPr>
          <w:rFonts w:cstheme="minorHAnsi"/>
        </w:rPr>
        <w:t>(2021-</w:t>
      </w:r>
      <w:r w:rsidR="00B71260" w:rsidRPr="00B71260">
        <w:rPr>
          <w:rFonts w:cstheme="minorHAnsi"/>
        </w:rPr>
        <w:t xml:space="preserve"> 2030</w:t>
      </w:r>
      <w:r>
        <w:rPr>
          <w:rFonts w:cstheme="minorHAnsi"/>
        </w:rPr>
        <w:t>) busca</w:t>
      </w:r>
      <w:r w:rsidR="00B71260" w:rsidRPr="00B71260">
        <w:rPr>
          <w:rFonts w:cstheme="minorHAnsi"/>
        </w:rPr>
        <w:t xml:space="preserve"> impulsar y coordinar las acciones para la eliminaci</w:t>
      </w:r>
      <w:r w:rsidR="00B71260" w:rsidRPr="00B71260">
        <w:rPr>
          <w:rFonts w:cstheme="minorHAnsi" w:hint="eastAsia"/>
        </w:rPr>
        <w:t>ó</w:t>
      </w:r>
      <w:r w:rsidR="00B71260" w:rsidRPr="00B71260">
        <w:rPr>
          <w:rFonts w:cstheme="minorHAnsi"/>
        </w:rPr>
        <w:t>n del VIH y las ITS como problema de salud p</w:t>
      </w:r>
      <w:r w:rsidR="00B71260" w:rsidRPr="00B71260">
        <w:rPr>
          <w:rFonts w:cstheme="minorHAnsi" w:hint="eastAsia"/>
        </w:rPr>
        <w:t>ú</w:t>
      </w:r>
      <w:r>
        <w:rPr>
          <w:rFonts w:cstheme="minorHAnsi"/>
        </w:rPr>
        <w:t xml:space="preserve">blica en 2030 </w:t>
      </w:r>
      <w:r w:rsidR="00B71260" w:rsidRPr="00B71260">
        <w:rPr>
          <w:rFonts w:cstheme="minorHAnsi"/>
        </w:rPr>
        <w:t>a trav</w:t>
      </w:r>
      <w:r w:rsidR="00B71260" w:rsidRPr="00B71260">
        <w:rPr>
          <w:rFonts w:cstheme="minorHAnsi" w:hint="eastAsia"/>
        </w:rPr>
        <w:t>é</w:t>
      </w:r>
      <w:r w:rsidR="00B71260" w:rsidRPr="00B71260">
        <w:rPr>
          <w:rFonts w:cstheme="minorHAnsi"/>
        </w:rPr>
        <w:t>s de la prevenci</w:t>
      </w:r>
      <w:r w:rsidR="00B71260" w:rsidRPr="00B71260">
        <w:rPr>
          <w:rFonts w:cstheme="minorHAnsi" w:hint="eastAsia"/>
        </w:rPr>
        <w:t>ó</w:t>
      </w:r>
      <w:r w:rsidR="00B71260" w:rsidRPr="00B71260">
        <w:rPr>
          <w:rFonts w:cstheme="minorHAnsi"/>
        </w:rPr>
        <w:t>n, el diagn</w:t>
      </w:r>
      <w:r w:rsidR="00B71260" w:rsidRPr="00B71260">
        <w:rPr>
          <w:rFonts w:cstheme="minorHAnsi" w:hint="eastAsia"/>
        </w:rPr>
        <w:t>ó</w:t>
      </w:r>
      <w:r w:rsidR="00B71260" w:rsidRPr="00B71260">
        <w:rPr>
          <w:rFonts w:cstheme="minorHAnsi"/>
        </w:rPr>
        <w:t>stico precoz y el tratamiento de las infecciones, la atenci</w:t>
      </w:r>
      <w:r w:rsidR="00B71260" w:rsidRPr="00B71260">
        <w:rPr>
          <w:rFonts w:cstheme="minorHAnsi" w:hint="eastAsia"/>
        </w:rPr>
        <w:t>ó</w:t>
      </w:r>
      <w:r w:rsidR="00B71260" w:rsidRPr="00B71260">
        <w:rPr>
          <w:rFonts w:cstheme="minorHAnsi"/>
        </w:rPr>
        <w:t>n a la cronicidad y la mejora de la calidad de vida, as</w:t>
      </w:r>
      <w:r w:rsidR="00B71260" w:rsidRPr="00B71260">
        <w:rPr>
          <w:rFonts w:cstheme="minorHAnsi" w:hint="eastAsia"/>
        </w:rPr>
        <w:t>í</w:t>
      </w:r>
      <w:r w:rsidR="00B71260" w:rsidRPr="00B71260">
        <w:rPr>
          <w:rFonts w:cstheme="minorHAnsi"/>
        </w:rPr>
        <w:t xml:space="preserve"> como el abordaje del estigma y la discriminaci</w:t>
      </w:r>
      <w:r w:rsidR="00B71260" w:rsidRPr="00B71260">
        <w:rPr>
          <w:rFonts w:cstheme="minorHAnsi" w:hint="eastAsia"/>
        </w:rPr>
        <w:t>ó</w:t>
      </w:r>
      <w:r w:rsidR="00B71260" w:rsidRPr="00B71260">
        <w:rPr>
          <w:rFonts w:cstheme="minorHAnsi"/>
        </w:rPr>
        <w:t>n asociada al VIH y a otras ITS en Espa</w:t>
      </w:r>
      <w:r w:rsidR="00B71260" w:rsidRPr="00B71260">
        <w:rPr>
          <w:rFonts w:cstheme="minorHAnsi" w:hint="eastAsia"/>
        </w:rPr>
        <w:t>ñ</w:t>
      </w:r>
      <w:r>
        <w:rPr>
          <w:rFonts w:cstheme="minorHAnsi"/>
        </w:rPr>
        <w:t xml:space="preserve">a. </w:t>
      </w:r>
      <w:r w:rsidR="00B71260" w:rsidRPr="00B71260">
        <w:rPr>
          <w:rFonts w:cstheme="minorHAnsi"/>
        </w:rPr>
        <w:t>Incluye la cobertura universal de la salud, la equidad, la apropiación y coordinación y la complementariedad, como principios rectores. Además, incorpora como enfoques transversales</w:t>
      </w:r>
      <w:r>
        <w:rPr>
          <w:rFonts w:cstheme="minorHAnsi"/>
        </w:rPr>
        <w:t xml:space="preserve"> el</w:t>
      </w:r>
      <w:r w:rsidR="00B71260" w:rsidRPr="00B71260">
        <w:rPr>
          <w:rFonts w:cstheme="minorHAnsi"/>
        </w:rPr>
        <w:t xml:space="preserve"> género, situación migratoria y diversidad sexual, </w:t>
      </w:r>
      <w:r w:rsidR="001C14A1">
        <w:rPr>
          <w:rFonts w:cstheme="minorHAnsi"/>
        </w:rPr>
        <w:t xml:space="preserve">siempre </w:t>
      </w:r>
      <w:r w:rsidR="001C14A1" w:rsidRPr="001C14A1">
        <w:rPr>
          <w:rFonts w:cstheme="minorHAnsi"/>
        </w:rPr>
        <w:t xml:space="preserve">desde una perspectiva centrada en la igualdad y </w:t>
      </w:r>
      <w:r w:rsidR="001C14A1">
        <w:rPr>
          <w:rFonts w:cstheme="minorHAnsi"/>
        </w:rPr>
        <w:t xml:space="preserve">la </w:t>
      </w:r>
      <w:r w:rsidR="001C14A1" w:rsidRPr="001C14A1">
        <w:rPr>
          <w:rFonts w:cstheme="minorHAnsi"/>
        </w:rPr>
        <w:t>no discriminación</w:t>
      </w:r>
      <w:r>
        <w:rPr>
          <w:rFonts w:cstheme="minorHAnsi"/>
        </w:rPr>
        <w:t>.</w:t>
      </w:r>
      <w:r w:rsidR="00B71260" w:rsidRPr="00B71260">
        <w:rPr>
          <w:rFonts w:cstheme="minorHAnsi"/>
        </w:rPr>
        <w:t xml:space="preserve"> </w:t>
      </w:r>
    </w:p>
    <w:p w14:paraId="6B5FAEDD" w14:textId="77777777" w:rsidR="00B71260" w:rsidRPr="00B71260" w:rsidRDefault="00C42569" w:rsidP="0012244E">
      <w:pPr>
        <w:spacing w:line="360" w:lineRule="auto"/>
        <w:jc w:val="both"/>
        <w:rPr>
          <w:rFonts w:cstheme="minorHAnsi"/>
        </w:rPr>
      </w:pPr>
      <w:r>
        <w:rPr>
          <w:rFonts w:cstheme="minorHAnsi"/>
        </w:rPr>
        <w:t>Además, e</w:t>
      </w:r>
      <w:r w:rsidR="00B71260" w:rsidRPr="00B71260">
        <w:rPr>
          <w:rFonts w:cstheme="minorHAnsi"/>
        </w:rPr>
        <w:t xml:space="preserve">l Pacto Social por la No Discriminación y la Igualdad de Trato asociada al VIH </w:t>
      </w:r>
      <w:r>
        <w:rPr>
          <w:rFonts w:cstheme="minorHAnsi"/>
        </w:rPr>
        <w:t>h</w:t>
      </w:r>
      <w:r w:rsidR="00B71260" w:rsidRPr="00B71260">
        <w:rPr>
          <w:rFonts w:cstheme="minorHAnsi"/>
        </w:rPr>
        <w:t xml:space="preserve">a logrado avances significativos como, por ejemplo: </w:t>
      </w:r>
    </w:p>
    <w:p w14:paraId="50C44A12" w14:textId="77777777" w:rsidR="00B71260" w:rsidRPr="00C42569" w:rsidRDefault="00B71260" w:rsidP="00C42569">
      <w:pPr>
        <w:pStyle w:val="ListParagraph"/>
        <w:numPr>
          <w:ilvl w:val="0"/>
          <w:numId w:val="21"/>
        </w:numPr>
        <w:spacing w:line="360" w:lineRule="auto"/>
        <w:jc w:val="both"/>
        <w:rPr>
          <w:rFonts w:cstheme="minorHAnsi"/>
        </w:rPr>
      </w:pPr>
      <w:r w:rsidRPr="00C42569">
        <w:rPr>
          <w:rFonts w:cstheme="minorHAnsi"/>
        </w:rPr>
        <w:lastRenderedPageBreak/>
        <w:t>Acuerdo del Consejo de Ministros de 30 de noviembre de 2018 por el que se aprueban instrucciones para eliminar ciertas causas médicas de exclusión en el acceso al empleo público, incluyendo el VIH</w:t>
      </w:r>
      <w:r w:rsidR="00C42569" w:rsidRPr="00C42569">
        <w:rPr>
          <w:rFonts w:cstheme="minorHAnsi"/>
        </w:rPr>
        <w:t>.</w:t>
      </w:r>
    </w:p>
    <w:p w14:paraId="155A8310" w14:textId="77777777" w:rsidR="00B71260" w:rsidRPr="00C42569" w:rsidRDefault="00B71260" w:rsidP="00C42569">
      <w:pPr>
        <w:pStyle w:val="ListParagraph"/>
        <w:numPr>
          <w:ilvl w:val="0"/>
          <w:numId w:val="21"/>
        </w:numPr>
        <w:spacing w:line="360" w:lineRule="auto"/>
        <w:jc w:val="both"/>
        <w:rPr>
          <w:rFonts w:cstheme="minorHAnsi"/>
        </w:rPr>
      </w:pPr>
      <w:r w:rsidRPr="00C42569">
        <w:rPr>
          <w:rFonts w:cstheme="minorHAnsi"/>
        </w:rPr>
        <w:t>Ley 15/2022 Integral para la Igualdad de Trato y la No Discriminación que incluye, por primera vez a nivel nacional, el estado serológico como una de las razones por las que no se puede dispensar un trato diferenciado a una persona</w:t>
      </w:r>
    </w:p>
    <w:p w14:paraId="4C62AD37" w14:textId="77777777" w:rsidR="00C42569" w:rsidRPr="00C42569" w:rsidRDefault="00B71260" w:rsidP="00C42569">
      <w:pPr>
        <w:pStyle w:val="ListParagraph"/>
        <w:numPr>
          <w:ilvl w:val="0"/>
          <w:numId w:val="21"/>
        </w:numPr>
        <w:spacing w:line="360" w:lineRule="auto"/>
        <w:jc w:val="both"/>
        <w:rPr>
          <w:rFonts w:cstheme="minorHAnsi"/>
        </w:rPr>
      </w:pPr>
      <w:r w:rsidRPr="00C42569">
        <w:rPr>
          <w:rFonts w:cstheme="minorHAnsi"/>
        </w:rPr>
        <w:t xml:space="preserve">Ley 39/2022 del Deporte, que introduce medidas a favor de la igualdad y contra cualquier tipo de discriminación, haciendo referencia a la discriminación por el VIH, garantizando el acceso </w:t>
      </w:r>
      <w:r w:rsidR="00335682" w:rsidRPr="00C42569">
        <w:rPr>
          <w:rFonts w:cstheme="minorHAnsi"/>
        </w:rPr>
        <w:t xml:space="preserve">al deporte de cualquier persona. </w:t>
      </w:r>
    </w:p>
    <w:p w14:paraId="009BFDDC" w14:textId="13D278B4" w:rsidR="00B71260" w:rsidRDefault="00B71260" w:rsidP="00C42569">
      <w:pPr>
        <w:pStyle w:val="ListParagraph"/>
        <w:numPr>
          <w:ilvl w:val="0"/>
          <w:numId w:val="21"/>
        </w:numPr>
        <w:spacing w:line="360" w:lineRule="auto"/>
        <w:jc w:val="both"/>
        <w:rPr>
          <w:rFonts w:cstheme="minorHAnsi"/>
        </w:rPr>
      </w:pPr>
      <w:r w:rsidRPr="00C42569">
        <w:rPr>
          <w:rFonts w:cstheme="minorHAnsi"/>
        </w:rPr>
        <w:t>La modificación del Real Decreto 2487/1998, de 20 de noviembre, con la que desaparece el impedimento para que las personas VIH+ ejerzan funciones de seguridad privada armada</w:t>
      </w:r>
      <w:r w:rsidR="00C42569" w:rsidRPr="00C42569">
        <w:rPr>
          <w:rFonts w:cstheme="minorHAnsi"/>
        </w:rPr>
        <w:t>.</w:t>
      </w:r>
    </w:p>
    <w:p w14:paraId="7B66A374" w14:textId="0A3FEE7D" w:rsidR="00183405" w:rsidRPr="002E30F3" w:rsidRDefault="002E30F3" w:rsidP="00335682">
      <w:pPr>
        <w:pStyle w:val="ListParagraph"/>
        <w:numPr>
          <w:ilvl w:val="0"/>
          <w:numId w:val="21"/>
        </w:numPr>
        <w:spacing w:line="360" w:lineRule="auto"/>
        <w:jc w:val="both"/>
        <w:rPr>
          <w:rFonts w:cstheme="minorHAnsi"/>
        </w:rPr>
      </w:pPr>
      <w:r w:rsidRPr="002E30F3">
        <w:rPr>
          <w:rFonts w:cstheme="minorHAnsi"/>
        </w:rPr>
        <w:t xml:space="preserve">La </w:t>
      </w:r>
      <w:r w:rsidR="00B71260" w:rsidRPr="002E30F3">
        <w:rPr>
          <w:rFonts w:cstheme="minorHAnsi"/>
        </w:rPr>
        <w:t>Orden SND/697/2025 que deroga la normativa de 1987 que impedía a las personas con el VIH donar órganos a personas con la misma infección.</w:t>
      </w:r>
    </w:p>
    <w:p w14:paraId="2B99A4BC" w14:textId="77777777" w:rsidR="00335682" w:rsidRPr="00335682" w:rsidRDefault="00335682" w:rsidP="00335682">
      <w:pPr>
        <w:spacing w:line="360" w:lineRule="auto"/>
        <w:jc w:val="both"/>
        <w:rPr>
          <w:rFonts w:cstheme="minorHAnsi"/>
          <w:b/>
          <w:i/>
        </w:rPr>
      </w:pPr>
      <w:r w:rsidRPr="00335682">
        <w:rPr>
          <w:rFonts w:cstheme="minorHAnsi"/>
          <w:b/>
          <w:i/>
        </w:rPr>
        <w:t>Población gitana</w:t>
      </w:r>
    </w:p>
    <w:p w14:paraId="40518E99" w14:textId="77777777" w:rsidR="004E7E4A" w:rsidRPr="004E7E4A" w:rsidRDefault="004E7E4A" w:rsidP="00335682">
      <w:pPr>
        <w:spacing w:line="360" w:lineRule="auto"/>
        <w:jc w:val="both"/>
        <w:rPr>
          <w:rFonts w:cstheme="minorHAnsi"/>
        </w:rPr>
      </w:pPr>
      <w:r w:rsidRPr="004E7E4A">
        <w:rPr>
          <w:rFonts w:cstheme="minorHAnsi"/>
        </w:rPr>
        <w:t xml:space="preserve">Desde el primer plan operativo estatal </w:t>
      </w:r>
      <w:r w:rsidR="00AF06F4">
        <w:rPr>
          <w:rFonts w:cstheme="minorHAnsi"/>
        </w:rPr>
        <w:t>(</w:t>
      </w:r>
      <w:r w:rsidRPr="004E7E4A">
        <w:rPr>
          <w:rFonts w:cstheme="minorHAnsi"/>
        </w:rPr>
        <w:t>2023-2026</w:t>
      </w:r>
      <w:r w:rsidR="00AF06F4">
        <w:rPr>
          <w:rFonts w:cstheme="minorHAnsi"/>
        </w:rPr>
        <w:t>)</w:t>
      </w:r>
      <w:r w:rsidRPr="004E7E4A">
        <w:rPr>
          <w:rFonts w:cstheme="minorHAnsi"/>
        </w:rPr>
        <w:t xml:space="preserve"> de la Estrategia Nacional para la Inclusión, Igualdad y Participaci</w:t>
      </w:r>
      <w:r w:rsidR="00AF06F4">
        <w:rPr>
          <w:rFonts w:cstheme="minorHAnsi"/>
        </w:rPr>
        <w:t xml:space="preserve">ón del Pueblo Gitano (2021-2030) </w:t>
      </w:r>
      <w:r w:rsidRPr="004E7E4A">
        <w:rPr>
          <w:rFonts w:cstheme="minorHAnsi"/>
        </w:rPr>
        <w:t>se proponen una serie de medidas para mejorar el estado de salud y reducir las desigua</w:t>
      </w:r>
      <w:r w:rsidR="005B12E8">
        <w:rPr>
          <w:rFonts w:cstheme="minorHAnsi"/>
        </w:rPr>
        <w:t xml:space="preserve">ldades sociales en salud en la </w:t>
      </w:r>
      <w:r w:rsidRPr="004E7E4A">
        <w:rPr>
          <w:rFonts w:cstheme="minorHAnsi"/>
        </w:rPr>
        <w:t xml:space="preserve">población gitana, a lo largo de todo el ciclo vital, con especial hincapié en población infantil gitana y población mayor gitana, y reducir la discriminación en el ámbito sanitario. </w:t>
      </w:r>
    </w:p>
    <w:p w14:paraId="13D8564E" w14:textId="77777777" w:rsidR="004E7E4A" w:rsidRDefault="004E7E4A" w:rsidP="00335682">
      <w:pPr>
        <w:spacing w:line="360" w:lineRule="auto"/>
        <w:jc w:val="both"/>
        <w:rPr>
          <w:rFonts w:cstheme="minorHAnsi"/>
        </w:rPr>
      </w:pPr>
      <w:r w:rsidRPr="004E7E4A">
        <w:rPr>
          <w:rFonts w:cstheme="minorHAnsi"/>
        </w:rPr>
        <w:t>Cabe destacar el desarrollo y difusión de la Encuesta Nacional de</w:t>
      </w:r>
      <w:r w:rsidR="00B4351F">
        <w:rPr>
          <w:rFonts w:cstheme="minorHAnsi"/>
        </w:rPr>
        <w:t xml:space="preserve"> Salud a Población Gitana 2023,</w:t>
      </w:r>
      <w:r w:rsidRPr="004E7E4A">
        <w:rPr>
          <w:rFonts w:cstheme="minorHAnsi"/>
        </w:rPr>
        <w:t xml:space="preserve"> en cuya acción ha jugado un papel fundamental el Grupo de Trabajo de Salud del Co</w:t>
      </w:r>
      <w:r w:rsidR="00B4351F">
        <w:rPr>
          <w:rFonts w:cstheme="minorHAnsi"/>
        </w:rPr>
        <w:t>nsejo Estatal del Pueblo Gitano.</w:t>
      </w:r>
    </w:p>
    <w:p w14:paraId="6D73B631" w14:textId="77777777" w:rsidR="00335682" w:rsidRPr="00335682" w:rsidRDefault="00335682" w:rsidP="00335682">
      <w:pPr>
        <w:spacing w:line="360" w:lineRule="auto"/>
        <w:jc w:val="both"/>
        <w:rPr>
          <w:rFonts w:cstheme="minorHAnsi"/>
          <w:b/>
          <w:i/>
        </w:rPr>
      </w:pPr>
      <w:r w:rsidRPr="00335682">
        <w:rPr>
          <w:rFonts w:cstheme="minorHAnsi"/>
          <w:b/>
          <w:i/>
        </w:rPr>
        <w:t>Alcohol y tabaco en menores</w:t>
      </w:r>
    </w:p>
    <w:p w14:paraId="0B215710" w14:textId="6B56CE2E" w:rsidR="00CD4545" w:rsidRPr="00CD4545" w:rsidRDefault="00B4351F" w:rsidP="00CD4545">
      <w:pPr>
        <w:spacing w:line="360" w:lineRule="auto"/>
        <w:jc w:val="both"/>
      </w:pPr>
      <w:r>
        <w:t>El</w:t>
      </w:r>
      <w:r w:rsidR="00CD4545" w:rsidRPr="00CD4545">
        <w:t xml:space="preserve"> informe de resultados de 2023 de las Encuesta sobre el uso de drogas en Enseñanzas Secundarias en España </w:t>
      </w:r>
      <w:r w:rsidR="008B2AAA">
        <w:t xml:space="preserve">(ESTUDES) </w:t>
      </w:r>
      <w:r w:rsidR="00CD4545" w:rsidRPr="00CD4545">
        <w:t>reveló que el consumo</w:t>
      </w:r>
      <w:r w:rsidR="008B2AAA">
        <w:t xml:space="preserve"> de alcohol y tabaco se ha incrementado</w:t>
      </w:r>
      <w:r w:rsidR="00CD4545" w:rsidRPr="00CD4545">
        <w:t xml:space="preserve"> entre menores de </w:t>
      </w:r>
      <w:r w:rsidR="008B2AAA">
        <w:t>14 a 17 años</w:t>
      </w:r>
      <w:r w:rsidR="00CD4545" w:rsidRPr="00CD4545">
        <w:t xml:space="preserve">, </w:t>
      </w:r>
      <w:r w:rsidR="008B2AAA" w:rsidRPr="008B2AAA">
        <w:t>así como la prevalencia de</w:t>
      </w:r>
      <w:r w:rsidR="008B2AAA">
        <w:t>l</w:t>
      </w:r>
      <w:r w:rsidR="008B2AAA" w:rsidRPr="008B2AAA">
        <w:t xml:space="preserve"> consum</w:t>
      </w:r>
      <w:r w:rsidR="008B2AAA">
        <w:t xml:space="preserve">o de cigarrillos electrónicos, </w:t>
      </w:r>
      <w:r w:rsidR="008B2AAA" w:rsidRPr="008B2AAA">
        <w:t>de bebidas energéticas y de bebidas energéticas mezcla</w:t>
      </w:r>
      <w:r w:rsidR="008B2AAA">
        <w:t>das con alcohol, mientras que se constató</w:t>
      </w:r>
      <w:r w:rsidR="008B2AAA" w:rsidRPr="008B2AAA">
        <w:t xml:space="preserve"> una caída en la prevalencia de consumo de tabaco y cannabis.</w:t>
      </w:r>
    </w:p>
    <w:p w14:paraId="762E2DB4" w14:textId="7C7335BF" w:rsidR="008B2AAA" w:rsidRPr="008B2AAA" w:rsidRDefault="008B2AAA" w:rsidP="008B2AAA">
      <w:pPr>
        <w:spacing w:line="360" w:lineRule="auto"/>
        <w:jc w:val="both"/>
        <w:rPr>
          <w:rFonts w:cstheme="minorHAnsi"/>
        </w:rPr>
      </w:pPr>
      <w:r>
        <w:rPr>
          <w:rFonts w:cstheme="minorHAnsi"/>
        </w:rPr>
        <w:t>Para combatir este problema, en 2024 se inició </w:t>
      </w:r>
      <w:r w:rsidRPr="008B2AAA">
        <w:rPr>
          <w:rFonts w:cstheme="minorHAnsi"/>
        </w:rPr>
        <w:t>el desarrollo del Anteproyecto de Ley de prevención del consumo de alcohol y sus efectos en las personas menores de edad, que ha sido aprobado por el Consejo de Ministros en marzo de 2025, iniciando su fase final de aprobación.</w:t>
      </w:r>
    </w:p>
    <w:p w14:paraId="6F64DB8E" w14:textId="2C034616" w:rsidR="00E97D82" w:rsidRPr="008B2AAA" w:rsidRDefault="008B2AAA" w:rsidP="008B2AAA">
      <w:pPr>
        <w:spacing w:line="360" w:lineRule="auto"/>
        <w:jc w:val="both"/>
        <w:rPr>
          <w:rFonts w:cstheme="minorHAnsi"/>
        </w:rPr>
      </w:pPr>
      <w:r w:rsidRPr="008B2AAA">
        <w:rPr>
          <w:rFonts w:cstheme="minorHAnsi"/>
        </w:rPr>
        <w:lastRenderedPageBreak/>
        <w:t>El objetivo de esta ley es retrasar la edad de inicio de consumo de alcohol, así como reducirlo, a partir del desarrollo de iniciativas pública</w:t>
      </w:r>
      <w:r>
        <w:rPr>
          <w:rFonts w:cstheme="minorHAnsi"/>
        </w:rPr>
        <w:t>s de prevención e información. Por ejemplo, i</w:t>
      </w:r>
      <w:r w:rsidRPr="008B2AAA">
        <w:rPr>
          <w:rFonts w:cstheme="minorHAnsi"/>
        </w:rPr>
        <w:t>ntroduce específicamente la regulación de las comunicaciones comerciales encaminadas a prevenir los efectos negativos de las bebidas alcohólicas</w:t>
      </w:r>
    </w:p>
    <w:p w14:paraId="40681AD1" w14:textId="77777777" w:rsidR="008B2AAA" w:rsidRDefault="008B2AAA" w:rsidP="00C946CF">
      <w:pPr>
        <w:spacing w:line="360" w:lineRule="auto"/>
        <w:jc w:val="both"/>
        <w:rPr>
          <w:b/>
        </w:rPr>
      </w:pPr>
    </w:p>
    <w:p w14:paraId="1DE429B7" w14:textId="77777777" w:rsidR="00544839" w:rsidRPr="00544839" w:rsidRDefault="00544839" w:rsidP="007E6562">
      <w:pPr>
        <w:spacing w:line="360" w:lineRule="auto"/>
        <w:jc w:val="both"/>
        <w:rPr>
          <w:b/>
          <w:i/>
        </w:rPr>
      </w:pPr>
      <w:r w:rsidRPr="00544839">
        <w:rPr>
          <w:b/>
          <w:i/>
        </w:rPr>
        <w:t>Educación universal gratuita</w:t>
      </w:r>
    </w:p>
    <w:p w14:paraId="55210315" w14:textId="77777777" w:rsidR="007E6562" w:rsidRPr="007E6562" w:rsidRDefault="007E6562" w:rsidP="007E6562">
      <w:pPr>
        <w:spacing w:line="360" w:lineRule="auto"/>
        <w:jc w:val="both"/>
      </w:pPr>
      <w:r w:rsidRPr="007E6562">
        <w:t>En España se garantiza la educación universal gratuita para los niños de 3 a 6 años, así como la educación primaria y secundaria obligatorias. Además, para los extranjeros residentes en España, la normativa de educación (Ley orgánica 8/1985</w:t>
      </w:r>
      <w:r w:rsidR="00544839">
        <w:t>, de 3 de julio) establece que e</w:t>
      </w:r>
      <w:r w:rsidRPr="007E6562">
        <w:t>stos tendrán también derecho a recibir la educación básica, obligatoria y gratuita, y a acceder a niveles superiores de educación sin que el ejercicio de este derecho esté sujeto a discriminación alguna.</w:t>
      </w:r>
    </w:p>
    <w:p w14:paraId="6E801FE8" w14:textId="2AED784C" w:rsidR="007E6562" w:rsidRPr="007E6562" w:rsidRDefault="00531EE7" w:rsidP="00531EE7">
      <w:pPr>
        <w:spacing w:line="360" w:lineRule="auto"/>
        <w:jc w:val="both"/>
      </w:pPr>
      <w:r>
        <w:t>La</w:t>
      </w:r>
      <w:r w:rsidR="007E6562" w:rsidRPr="007E6562">
        <w:t xml:space="preserve"> aprobación de la nueva ley de Educación (Ley Orgánica 3/2020, de 29 de diciembre, por la que se modifica la Ley Orgánica 2/2006, de 3 de mayo, de Educación (LOMLOE)) y del nuevo currículo educativo basado en competencias en 2022, así como de la nueva Ley de Formación Profesional (Ley Orgánica 3/2022, de 31 de marzo, de ordenación e integración de la Formación Profesional</w:t>
      </w:r>
      <w:r>
        <w:t>),</w:t>
      </w:r>
      <w:r w:rsidR="007E6562" w:rsidRPr="007E6562">
        <w:t xml:space="preserve"> </w:t>
      </w:r>
      <w:r>
        <w:t>persiguen</w:t>
      </w:r>
      <w:r w:rsidR="007E6562" w:rsidRPr="007E6562">
        <w:t xml:space="preserve"> aumenta</w:t>
      </w:r>
      <w:r>
        <w:t>r</w:t>
      </w:r>
      <w:r w:rsidR="007E6562" w:rsidRPr="007E6562">
        <w:t xml:space="preserve"> las oportunidades educativas y </w:t>
      </w:r>
      <w:r>
        <w:t xml:space="preserve">formativas de toda la población, </w:t>
      </w:r>
      <w:r w:rsidR="007E6562" w:rsidRPr="007E6562">
        <w:t xml:space="preserve">mejorar los resultados del alumnado y reducir el abandono escolar temprano y el fracaso escolar. </w:t>
      </w:r>
      <w:r w:rsidR="00D71B9C">
        <w:t>Además, el e</w:t>
      </w:r>
      <w:r w:rsidR="00D71B9C" w:rsidRPr="008F61AF">
        <w:t xml:space="preserve">stado ha impulsado y financiado programas de cooperación territorial con las Administraciones educativas para reforzar estas políticas, combatir la segregación escolar y priorizar al alumnado más vulnerable.  </w:t>
      </w:r>
      <w:r>
        <w:t>Según</w:t>
      </w:r>
      <w:r w:rsidR="007E6562" w:rsidRPr="007E6562">
        <w:t xml:space="preserve"> el último informe </w:t>
      </w:r>
      <w:proofErr w:type="spellStart"/>
      <w:r w:rsidR="007E6562" w:rsidRPr="007E6562">
        <w:t>Eurydice</w:t>
      </w:r>
      <w:proofErr w:type="spellEnd"/>
      <w:r w:rsidR="007E6562" w:rsidRPr="007E6562">
        <w:t xml:space="preserve"> sobre diversidad e inclusión (2023), España destaca por su marco legal y sus políticas orientadas a promover la diversidad y la inclusión educativa.</w:t>
      </w:r>
    </w:p>
    <w:p w14:paraId="4454FAF8" w14:textId="77777777" w:rsidR="00531EE7" w:rsidRPr="00531EE7" w:rsidRDefault="00531EE7" w:rsidP="007E6562">
      <w:pPr>
        <w:spacing w:line="360" w:lineRule="auto"/>
        <w:jc w:val="both"/>
        <w:rPr>
          <w:b/>
          <w:i/>
        </w:rPr>
      </w:pPr>
      <w:r w:rsidRPr="00531EE7">
        <w:rPr>
          <w:b/>
          <w:i/>
        </w:rPr>
        <w:t>Formación Profesional</w:t>
      </w:r>
    </w:p>
    <w:p w14:paraId="0B2CE752" w14:textId="77777777" w:rsidR="007E6562" w:rsidRPr="007E6562" w:rsidRDefault="007E6562" w:rsidP="007E6562">
      <w:pPr>
        <w:spacing w:line="360" w:lineRule="auto"/>
        <w:jc w:val="both"/>
      </w:pPr>
      <w:r w:rsidRPr="007E6562">
        <w:t>E</w:t>
      </w:r>
      <w:r w:rsidR="00531EE7">
        <w:t xml:space="preserve">n este ámbito, </w:t>
      </w:r>
      <w:r w:rsidRPr="007E6562">
        <w:t xml:space="preserve">se </w:t>
      </w:r>
      <w:r w:rsidR="00531EE7">
        <w:t xml:space="preserve">fortalecido el sistema, </w:t>
      </w:r>
      <w:r w:rsidRPr="007E6562">
        <w:t xml:space="preserve">adaptándolo a las necesidades del mercado del trabajo. La Ley Orgánica 3/2022, de 31 de marzo de 2022, de Ordenación e Integración de la Formación Profesional tiene por objeto la constitución y ordenación </w:t>
      </w:r>
      <w:r w:rsidR="00531EE7">
        <w:t xml:space="preserve">de un sistema único e integrado, </w:t>
      </w:r>
      <w:r w:rsidRPr="007E6562">
        <w:t>capaz de responder con flexibilidad a los intereses, las expectativas y las aspiraciones de cualificación profesional de las personas a lo largo de su vida y a las competencias demandadas por las nuevas necesidades productivas y sectoriales</w:t>
      </w:r>
      <w:r w:rsidR="00531EE7">
        <w:t>.</w:t>
      </w:r>
    </w:p>
    <w:p w14:paraId="54B2E57E" w14:textId="77777777" w:rsidR="007E6562" w:rsidRPr="007E6562" w:rsidRDefault="007E6562" w:rsidP="007E6562">
      <w:pPr>
        <w:spacing w:line="360" w:lineRule="auto"/>
        <w:jc w:val="both"/>
      </w:pPr>
      <w:r w:rsidRPr="007E6562">
        <w:t xml:space="preserve">El Real Decreto 659/2023, de 18 de julio, desarrolla la ordenación del Sistema de Formación Profesional, y articula aún más el nuevo sistema al hacer que responda de manera flexible a las </w:t>
      </w:r>
      <w:r w:rsidRPr="007E6562">
        <w:lastRenderedPageBreak/>
        <w:t>necesidades de cualificación y recualificación pro</w:t>
      </w:r>
      <w:r w:rsidR="00531EE7">
        <w:t xml:space="preserve">fesional y del mercado laboral. </w:t>
      </w:r>
      <w:r w:rsidR="00544839">
        <w:t>Además, el</w:t>
      </w:r>
      <w:r w:rsidRPr="007E6562">
        <w:t xml:space="preserve"> Real </w:t>
      </w:r>
      <w:r w:rsidR="00544839">
        <w:t>Decreto 62/2022, de 25 de enero</w:t>
      </w:r>
      <w:r w:rsidRPr="007E6562">
        <w:t xml:space="preserve"> tiene por objeto flexibilizar los requisitos para impartir ofertas conducentes a la obtención de títulos de formación profesional, certificados de profesionalidad y otras ofertas formativas vinculadas al Catálogo Nacional de Cualificaciones Profesionales.</w:t>
      </w:r>
    </w:p>
    <w:p w14:paraId="6E1AEF28" w14:textId="77777777" w:rsidR="007E6562" w:rsidRPr="007E6562" w:rsidRDefault="007E6562" w:rsidP="007E6562">
      <w:pPr>
        <w:spacing w:line="360" w:lineRule="auto"/>
        <w:jc w:val="both"/>
      </w:pPr>
      <w:r w:rsidRPr="007E6562">
        <w:t>Contribuyendo a la accesibilidad de la enseñanza para toda la población, el Real Decre</w:t>
      </w:r>
      <w:r w:rsidR="00531EE7">
        <w:t>to 69/2025, de 4 de febrero, garantiza</w:t>
      </w:r>
      <w:r w:rsidRPr="007E6562">
        <w:t xml:space="preserve"> la formación continua a lo largo de la vida aportando seguridad jurídica a los registros oficiales</w:t>
      </w:r>
      <w:r w:rsidR="00531EE7">
        <w:t xml:space="preserve"> y </w:t>
      </w:r>
      <w:r w:rsidRPr="007E6562">
        <w:t xml:space="preserve">el Real Decreto 86/2025, de 11 de febrero, de evaluación y acreditación de las competencias básicas adquiridas por experiencia laboral, por vías no formales de formación y aprendizajes informales, </w:t>
      </w:r>
      <w:r w:rsidR="00531EE7">
        <w:t>facilita que las personas adultas pueda</w:t>
      </w:r>
      <w:r w:rsidRPr="007E6562">
        <w:t>n evaluar y acreditar formalmente competencias básicas (comunicativa, matemática y digital) que hayan adquirido a través de la experiencia laboral</w:t>
      </w:r>
      <w:r w:rsidR="00531EE7">
        <w:t>.</w:t>
      </w:r>
    </w:p>
    <w:p w14:paraId="1A55D050" w14:textId="77777777" w:rsidR="00544839" w:rsidRPr="00544839" w:rsidRDefault="00544839" w:rsidP="007E6562">
      <w:pPr>
        <w:spacing w:line="360" w:lineRule="auto"/>
        <w:jc w:val="both"/>
        <w:rPr>
          <w:b/>
          <w:i/>
        </w:rPr>
      </w:pPr>
      <w:r w:rsidRPr="00544839">
        <w:rPr>
          <w:b/>
          <w:i/>
        </w:rPr>
        <w:t>Reducción del abandono temprano</w:t>
      </w:r>
    </w:p>
    <w:p w14:paraId="69254D6C" w14:textId="77777777" w:rsidR="007E6562" w:rsidRDefault="007E6562" w:rsidP="007E6562">
      <w:pPr>
        <w:spacing w:line="360" w:lineRule="auto"/>
        <w:jc w:val="both"/>
      </w:pPr>
      <w:r w:rsidRPr="007E6562">
        <w:t xml:space="preserve">El abandono temprano en España se ha reducido significativamente. </w:t>
      </w:r>
      <w:bookmarkStart w:id="6" w:name="_Hlk213145828"/>
      <w:r w:rsidRPr="007E6562">
        <w:t>En 2024 se situó en el 13%, lo que ha supuesto una bajada de 8,9 puntos porcentuales en una década (21,9 en 2014). Asimismo, la tasa de repetición en educación secundaria, que puede ser un signo temprano para el abandono en los años siguientes, ha ido disminuyendo progresivamente y se sitúa en el 7% (dato curso 2022-2023).</w:t>
      </w:r>
    </w:p>
    <w:p w14:paraId="5718298F" w14:textId="77777777" w:rsidR="00544839" w:rsidRPr="00544839" w:rsidRDefault="00544839" w:rsidP="007E6562">
      <w:pPr>
        <w:spacing w:line="360" w:lineRule="auto"/>
        <w:jc w:val="both"/>
        <w:rPr>
          <w:b/>
          <w:i/>
        </w:rPr>
      </w:pPr>
      <w:r w:rsidRPr="00544839">
        <w:rPr>
          <w:b/>
          <w:i/>
        </w:rPr>
        <w:t xml:space="preserve">Educación inclusiva </w:t>
      </w:r>
      <w:r>
        <w:rPr>
          <w:b/>
          <w:i/>
        </w:rPr>
        <w:t>y no discriminatoria</w:t>
      </w:r>
    </w:p>
    <w:p w14:paraId="54FF406B" w14:textId="77777777" w:rsidR="007E6562" w:rsidRPr="007E6562" w:rsidRDefault="007E6562" w:rsidP="007E6562">
      <w:pPr>
        <w:spacing w:line="360" w:lineRule="auto"/>
        <w:jc w:val="both"/>
      </w:pPr>
      <w:r w:rsidRPr="007E6562">
        <w:t xml:space="preserve">Entre las medidas incorporadas en la nueva ley educativa </w:t>
      </w:r>
      <w:r w:rsidR="006B631B">
        <w:t>destaca</w:t>
      </w:r>
      <w:r w:rsidRPr="007E6562">
        <w:t xml:space="preserve"> el enfoque competencial de los currículos en las distintas etapas, la flexibilización de los itinerarios formativos, la regulación de una ordenación académica inclusiva, y el refuerzo de la atención personalizada, así como la participación y la convivencia en los centros. Asimismo, se prevén mecanismos de apoyo educativo y de reducción de la segregación escolar. </w:t>
      </w:r>
    </w:p>
    <w:bookmarkEnd w:id="6"/>
    <w:p w14:paraId="5F57312B" w14:textId="77777777" w:rsidR="007E6562" w:rsidRPr="007E6562" w:rsidRDefault="007E6562" w:rsidP="007E6562">
      <w:pPr>
        <w:spacing w:line="360" w:lineRule="auto"/>
        <w:jc w:val="both"/>
      </w:pPr>
      <w:r w:rsidRPr="007E6562">
        <w:t>La ley establece el acceso de todos los niños, niñas y adolescentes a una educación de calidad sin discriminación por razón de nacimiento, origen racial o étnico, sexo, religión, opinión, discapacidad, edad, enfermedad, orientación sexual o identidad de género o cualquier otra condición o circunstancia personal o social. Respecto a la escolarización del alumnado en situación de vulnerabilidad socioeducativa, la LOMLOE realiza un mandato expreso a las Administraciones para que aseguren una actuación preventiva y compensatoria.</w:t>
      </w:r>
    </w:p>
    <w:p w14:paraId="2F0638D5" w14:textId="18CE2ABF" w:rsidR="007E6562" w:rsidRDefault="00544839" w:rsidP="007E6562">
      <w:pPr>
        <w:spacing w:line="360" w:lineRule="auto"/>
        <w:jc w:val="both"/>
      </w:pPr>
      <w:r>
        <w:t>En</w:t>
      </w:r>
      <w:r w:rsidR="007E6562" w:rsidRPr="007E6562">
        <w:t xml:space="preserve"> 2025 se ha iniciado la elaboración de un Plan Estratégico de Educación Inclusiva</w:t>
      </w:r>
      <w:r>
        <w:t>, que</w:t>
      </w:r>
      <w:r w:rsidR="007E6562" w:rsidRPr="007E6562">
        <w:t xml:space="preserve"> pretende garantizar que todo el alumnado tenga acceso a una educación adaptada a sus necesidades individuales</w:t>
      </w:r>
      <w:r w:rsidR="006B631B">
        <w:t xml:space="preserve"> y</w:t>
      </w:r>
      <w:r w:rsidR="007E6562" w:rsidRPr="007E6562">
        <w:t xml:space="preserve"> las bases para que los centros educativos </w:t>
      </w:r>
      <w:r w:rsidR="006C663B">
        <w:t xml:space="preserve">ordinarios </w:t>
      </w:r>
      <w:r w:rsidR="007E6562" w:rsidRPr="007E6562">
        <w:t xml:space="preserve">dispongan de los </w:t>
      </w:r>
      <w:r w:rsidR="007E6562" w:rsidRPr="007E6562">
        <w:lastRenderedPageBreak/>
        <w:t>recursos, apoyos y estrategias necesarios</w:t>
      </w:r>
      <w:r w:rsidR="006B631B">
        <w:t xml:space="preserve">. </w:t>
      </w:r>
      <w:r w:rsidR="007E6562" w:rsidRPr="007E6562">
        <w:t>Asimismo, se ha iniciado también en 2025 un proceso de elaboración de un índice de vulnerabilidad a nivel nacional que proporcione una herramienta eficaz para identificar y abordar las disparidades existentes.</w:t>
      </w:r>
    </w:p>
    <w:p w14:paraId="1CBF00AC" w14:textId="77777777" w:rsidR="00544839" w:rsidRPr="00544839" w:rsidRDefault="00544839" w:rsidP="007E6562">
      <w:pPr>
        <w:spacing w:line="360" w:lineRule="auto"/>
        <w:jc w:val="both"/>
        <w:rPr>
          <w:b/>
          <w:i/>
        </w:rPr>
      </w:pPr>
      <w:r>
        <w:rPr>
          <w:b/>
          <w:i/>
        </w:rPr>
        <w:t>Sistema de becas y ayudas para colectivos vulnerables</w:t>
      </w:r>
    </w:p>
    <w:p w14:paraId="66899049" w14:textId="77777777" w:rsidR="007E6562" w:rsidRPr="007E6562" w:rsidRDefault="009D6FAA" w:rsidP="007E6562">
      <w:pPr>
        <w:spacing w:line="360" w:lineRule="auto"/>
        <w:jc w:val="both"/>
      </w:pPr>
      <w:r>
        <w:t xml:space="preserve">Se han puesto en marcha </w:t>
      </w:r>
      <w:r w:rsidR="007E6562" w:rsidRPr="007E6562">
        <w:t xml:space="preserve">diversos programas orientados a promover la equidad y la inclusión educativa, contribuir a la compensación de desigualdades, reducir la brecha digital, prevenir el fracaso escolar y el abandono educativo temprano, mejorar los niveles de escolarización de los niños y niñas de menos de 3 años e impulsar la formación profesional. Es clave en todos ellos, el alumnado en situación de vulnerabilidad y el alumnado gitano y migrante. Los fondos destinados a estos programas se distribuyen entre las comunidades autónomas. Entre 2020 y 2024, la financiación ha superado los 5.400 millones de euros. </w:t>
      </w:r>
    </w:p>
    <w:p w14:paraId="46713D80" w14:textId="5865491C" w:rsidR="007E6562" w:rsidRPr="007E6562" w:rsidRDefault="009D6FAA" w:rsidP="007E6562">
      <w:pPr>
        <w:spacing w:line="360" w:lineRule="auto"/>
        <w:jc w:val="both"/>
      </w:pPr>
      <w:r>
        <w:t>Por otra parte, España</w:t>
      </w:r>
      <w:r w:rsidR="007E6562" w:rsidRPr="007E6562">
        <w:t xml:space="preserve"> tiene establecido por ley un sistema estatal de becas y ayudas al Estudio destinado a garantizar que cualquier estudiante pueda acceder al sistema educativo con independencia de su situación socioeconómica. Para garantizar la equidad en el acceso, el Estado cubre las ayudas a enseñanzas postobligatorias universitarias y no universitarias y las correspondientes a estudiantes con necesidades específicas de apoyo educativo. En el curso 2024/2025, han obtenido beca de carácter general, 294.840 estudiantes universitarios y 449.555 becados de niveles no universitarios.</w:t>
      </w:r>
      <w:r w:rsidR="0025649E" w:rsidRPr="007E6562">
        <w:t xml:space="preserve"> En la convocatoria de ayudas para alumnado con necesidad específica de apoyo educativo han sido 220.626 los alumnos beneficiarios</w:t>
      </w:r>
      <w:r w:rsidR="0025649E">
        <w:t>, dándose acceso a nuevos colectivos e incorporando</w:t>
      </w:r>
      <w:r w:rsidR="0025649E" w:rsidRPr="00E1516B">
        <w:t xml:space="preserve"> a estudiantes con Trastorno del Espectro Autista (TEA), ampliando el alcance inclusivo del sistema y garantizando una mayor igualdad de acceso</w:t>
      </w:r>
      <w:r w:rsidR="0025649E" w:rsidRPr="007E6562">
        <w:t>.</w:t>
      </w:r>
    </w:p>
    <w:p w14:paraId="01513072" w14:textId="77777777" w:rsidR="007E6562" w:rsidRDefault="007E6562" w:rsidP="007E6562">
      <w:pPr>
        <w:spacing w:line="360" w:lineRule="auto"/>
        <w:jc w:val="both"/>
      </w:pPr>
      <w:r w:rsidRPr="007E6562">
        <w:t>Igualmente, mantiene programas de cooperación territorial para contribuir, junta</w:t>
      </w:r>
      <w:r w:rsidR="009D6FAA">
        <w:t>mente con las Comunidades A</w:t>
      </w:r>
      <w:r w:rsidRPr="007E6562">
        <w:t xml:space="preserve">utónomas, a proporcionar determinados apoyos en el ámbito de la educación obligatoria.  Este ministerio ha concedido, en el curso 2024/2025, ayudas a 11.975 alumnos matriculados en los niveles obligatorios de la enseñanza en centros sostenidos con fondos públicos de las ciudades de Ceuta y de Melilla, en el Centro para la Innovación y Desarrollo de la Educación a Distancia y en los centros docentes españoles en </w:t>
      </w:r>
      <w:r w:rsidR="008E6B87">
        <w:t>el exterior. Por su parte, las Comunidades A</w:t>
      </w:r>
      <w:r w:rsidRPr="007E6562">
        <w:t>utónomas, mantienen con cargo a sus presupuestos, programas de becas y ayudas al estudio.</w:t>
      </w:r>
    </w:p>
    <w:p w14:paraId="22BC29D5" w14:textId="77777777" w:rsidR="00544839" w:rsidRPr="00544839" w:rsidRDefault="00544839" w:rsidP="007E6562">
      <w:pPr>
        <w:spacing w:line="360" w:lineRule="auto"/>
        <w:jc w:val="both"/>
        <w:rPr>
          <w:b/>
          <w:i/>
        </w:rPr>
      </w:pPr>
      <w:r>
        <w:rPr>
          <w:b/>
          <w:i/>
        </w:rPr>
        <w:t>Mejora</w:t>
      </w:r>
      <w:r w:rsidRPr="00544839">
        <w:rPr>
          <w:b/>
          <w:i/>
        </w:rPr>
        <w:t xml:space="preserve"> de las condiciones del cuerpo docente</w:t>
      </w:r>
    </w:p>
    <w:p w14:paraId="7832D5C6" w14:textId="328D6447" w:rsidR="00A63DF0" w:rsidRPr="007B6F2C" w:rsidRDefault="00544839" w:rsidP="004067E5">
      <w:pPr>
        <w:spacing w:line="360" w:lineRule="auto"/>
        <w:jc w:val="both"/>
      </w:pPr>
      <w:r>
        <w:t>El</w:t>
      </w:r>
      <w:r w:rsidR="007E6562" w:rsidRPr="007E6562">
        <w:t xml:space="preserve"> Real Decreto 800/2022, de 4 de octubre, que regula la integración del profesorado del Cuerpo de Profesores Técnicos de Formación Profesional en el Cuerpo de Profesores de Enseñanza </w:t>
      </w:r>
      <w:r w:rsidR="007E6562" w:rsidRPr="007E6562">
        <w:lastRenderedPageBreak/>
        <w:t>Secundaria, contribuye a mejorar las condiciones del profesorado de FP con titulación de grado universitario o equivalente a efectos de docencia. Esta medida, con carácter retroactivo desde enero de 2021, supone la mejora de las condiciones laborales y salariales para aquellos profesores que pasen del subgrupo funcionarial A2, al A1.</w:t>
      </w:r>
    </w:p>
    <w:p w14:paraId="6270735E" w14:textId="45EB8AA6" w:rsidR="007C0406" w:rsidRPr="007C0406" w:rsidRDefault="007C0406" w:rsidP="004067E5">
      <w:pPr>
        <w:spacing w:line="360" w:lineRule="auto"/>
        <w:jc w:val="both"/>
        <w:rPr>
          <w:b/>
          <w:i/>
        </w:rPr>
      </w:pPr>
      <w:r w:rsidRPr="007C0406">
        <w:rPr>
          <w:b/>
          <w:i/>
        </w:rPr>
        <w:t>Inclusión del Pueblo Gitano en el sistema educativo</w:t>
      </w:r>
    </w:p>
    <w:p w14:paraId="0F06BB73" w14:textId="77777777" w:rsidR="004067E5" w:rsidRPr="004067E5" w:rsidRDefault="004067E5" w:rsidP="004067E5">
      <w:pPr>
        <w:spacing w:line="360" w:lineRule="auto"/>
        <w:jc w:val="both"/>
        <w:rPr>
          <w:rFonts w:cstheme="minorHAnsi"/>
        </w:rPr>
      </w:pPr>
      <w:r>
        <w:t xml:space="preserve">Dentro del </w:t>
      </w:r>
      <w:r w:rsidRPr="00207EE4">
        <w:t xml:space="preserve">primer plan operativo estatal </w:t>
      </w:r>
      <w:r w:rsidR="00477DE0">
        <w:t>(</w:t>
      </w:r>
      <w:r w:rsidRPr="00207EE4">
        <w:t>2023-2026</w:t>
      </w:r>
      <w:r w:rsidR="00477DE0">
        <w:t>)</w:t>
      </w:r>
      <w:r>
        <w:t xml:space="preserve"> de la </w:t>
      </w:r>
      <w:r w:rsidRPr="00477DE0">
        <w:t xml:space="preserve">Estrategia Nacional para la Inclusión, Igualdad y Participación del Pueblo Gitano </w:t>
      </w:r>
      <w:r w:rsidR="00477DE0">
        <w:t>(</w:t>
      </w:r>
      <w:r w:rsidRPr="00477DE0">
        <w:t>2021-2030</w:t>
      </w:r>
      <w:r w:rsidR="00477DE0">
        <w:t>)</w:t>
      </w:r>
      <w:r>
        <w:t xml:space="preserve">  </w:t>
      </w:r>
      <w:r w:rsidRPr="004067E5">
        <w:rPr>
          <w:rFonts w:cstheme="minorHAnsi"/>
        </w:rPr>
        <w:t xml:space="preserve">se proponen una serie de medidas para incrementar la escolarización y participación de la población gitana en toda la Educación Infantil (&lt;6 años), especialmente en el primer ciclo de 0 a 3 años, reducir la segregación escolar en las distintas etapas educativas, erradicar el analfabetismo y aumentar la capacitación y formación de las personas adultas gitanas, </w:t>
      </w:r>
      <w:r w:rsidR="00477DE0">
        <w:rPr>
          <w:rFonts w:cstheme="minorHAnsi"/>
        </w:rPr>
        <w:t>entre otras</w:t>
      </w:r>
      <w:r w:rsidRPr="004067E5">
        <w:rPr>
          <w:rFonts w:cstheme="minorHAnsi"/>
        </w:rPr>
        <w:t xml:space="preserve">. </w:t>
      </w:r>
    </w:p>
    <w:p w14:paraId="1051E1EE" w14:textId="77777777" w:rsidR="004067E5" w:rsidRPr="004067E5" w:rsidRDefault="004067E5" w:rsidP="004067E5">
      <w:pPr>
        <w:spacing w:line="360" w:lineRule="auto"/>
        <w:jc w:val="both"/>
        <w:rPr>
          <w:rFonts w:cstheme="minorHAnsi"/>
        </w:rPr>
      </w:pPr>
      <w:r w:rsidRPr="004067E5">
        <w:rPr>
          <w:rFonts w:cstheme="minorHAnsi"/>
        </w:rPr>
        <w:t xml:space="preserve">También es destacable el trabajo desarrollado por el Grupo de Trabajo de Educación del Consejo Estatal del Pueblo Gitano, entre cuyas acciones destaca la difusión de </w:t>
      </w:r>
      <w:r w:rsidR="00081B14">
        <w:rPr>
          <w:rFonts w:cstheme="minorHAnsi"/>
        </w:rPr>
        <w:t>los materiales didácticos sobre</w:t>
      </w:r>
      <w:r w:rsidRPr="004067E5">
        <w:rPr>
          <w:rFonts w:cstheme="minorHAnsi"/>
        </w:rPr>
        <w:t xml:space="preserve"> la historia y cultura del Pueblo Gitano.</w:t>
      </w:r>
    </w:p>
    <w:p w14:paraId="30550EF3" w14:textId="77777777" w:rsidR="00766695" w:rsidRPr="007C0406" w:rsidRDefault="007C0406" w:rsidP="00766695">
      <w:pPr>
        <w:spacing w:line="360" w:lineRule="auto"/>
        <w:jc w:val="both"/>
        <w:rPr>
          <w:b/>
          <w:i/>
        </w:rPr>
      </w:pPr>
      <w:r w:rsidRPr="007C0406">
        <w:rPr>
          <w:b/>
          <w:i/>
        </w:rPr>
        <w:t xml:space="preserve">Becas y Ayudas </w:t>
      </w:r>
      <w:r>
        <w:rPr>
          <w:b/>
          <w:i/>
        </w:rPr>
        <w:t xml:space="preserve">para grados y máster universitarios </w:t>
      </w:r>
    </w:p>
    <w:p w14:paraId="4A2B4F8D" w14:textId="2F105346" w:rsidR="00766695" w:rsidRDefault="00477DE0" w:rsidP="00766695">
      <w:pPr>
        <w:spacing w:line="360" w:lineRule="auto"/>
        <w:jc w:val="both"/>
      </w:pPr>
      <w:r>
        <w:t>España acometió en</w:t>
      </w:r>
      <w:r w:rsidR="00766695" w:rsidRPr="00E1516B">
        <w:t xml:space="preserve"> 2020 una reforma integral del Sistema Estatal de Becas y Ayudas al Estudio, </w:t>
      </w:r>
      <w:r w:rsidR="007C0406">
        <w:t xml:space="preserve">que supuso </w:t>
      </w:r>
      <w:r w:rsidR="00766695" w:rsidRPr="00E1516B">
        <w:t>un i</w:t>
      </w:r>
      <w:r w:rsidR="007C0406">
        <w:t>ncremento de la inversión del 2</w:t>
      </w:r>
      <w:r w:rsidR="00265E18">
        <w:t>2</w:t>
      </w:r>
      <w:r w:rsidR="00766695" w:rsidRPr="00E1516B">
        <w:t>%, alcanzando los 1.900 millones de euros en el curso 2020–2021, y permitió que más de 600.000 estudiantes recibieran beca o ayuda, de los cuales más de 252.000 cursaban grados y másteres universitarios.</w:t>
      </w:r>
    </w:p>
    <w:p w14:paraId="7A97B4CD" w14:textId="77777777" w:rsidR="00766695" w:rsidRPr="00E1516B" w:rsidRDefault="00766695" w:rsidP="00766695">
      <w:pPr>
        <w:spacing w:line="360" w:lineRule="auto"/>
        <w:jc w:val="both"/>
      </w:pPr>
      <w:r w:rsidRPr="00E1516B">
        <w:t xml:space="preserve">El sistema reformado adoptó criterios centrados en la renta y la necesidad económica, en lugar de mantener exigencias estrictamente vinculadas al rendimiento académico previo. </w:t>
      </w:r>
    </w:p>
    <w:p w14:paraId="051F419A" w14:textId="77777777" w:rsidR="00766695" w:rsidRPr="00711981" w:rsidRDefault="00766695" w:rsidP="00766695">
      <w:pPr>
        <w:spacing w:line="360" w:lineRule="auto"/>
        <w:jc w:val="both"/>
        <w:rPr>
          <w:b/>
          <w:i/>
        </w:rPr>
      </w:pPr>
      <w:r w:rsidRPr="00711981">
        <w:rPr>
          <w:b/>
          <w:i/>
        </w:rPr>
        <w:t>Armonización y reducción de precios públicos universitarios</w:t>
      </w:r>
    </w:p>
    <w:p w14:paraId="1B24542A" w14:textId="77777777" w:rsidR="00766695" w:rsidRPr="00E1516B" w:rsidRDefault="00766695" w:rsidP="00766695">
      <w:pPr>
        <w:spacing w:line="360" w:lineRule="auto"/>
        <w:jc w:val="both"/>
      </w:pPr>
      <w:r w:rsidRPr="00E1516B">
        <w:t>A la reforma de becas se sumó un esfuerzo coordinado con las Comunidades Autónomas destinado a reducir los precios públicos universitarios y aproximarlos entre territorios.</w:t>
      </w:r>
      <w:r w:rsidRPr="00E1516B">
        <w:br/>
        <w:t>En mayo de 2020, la Conferencia General de Política Universitaria acordó límites máximos para los precios de matrícula de los estudios oficiales, un compromiso que ha sido renovado y ampliado anualmente.</w:t>
      </w:r>
      <w:r w:rsidR="00711981">
        <w:t xml:space="preserve"> </w:t>
      </w:r>
      <w:r w:rsidRPr="00E1516B">
        <w:t xml:space="preserve">A pesar de que la implementación varía entre comunidades, en su conjunto estas medidas han permitido que el precio medio del grado en 2024–2025 sea el más bajo de la serie histórica, situándose un 25,5 % por debajo del valor registrado en 2014–2015. </w:t>
      </w:r>
    </w:p>
    <w:p w14:paraId="5BBD90F8" w14:textId="77777777" w:rsidR="00766695" w:rsidRPr="00711981" w:rsidRDefault="00766695" w:rsidP="00766695">
      <w:pPr>
        <w:spacing w:line="360" w:lineRule="auto"/>
        <w:jc w:val="both"/>
        <w:rPr>
          <w:b/>
          <w:i/>
        </w:rPr>
      </w:pPr>
      <w:r w:rsidRPr="00711981">
        <w:rPr>
          <w:b/>
          <w:i/>
        </w:rPr>
        <w:t xml:space="preserve">Garantía de </w:t>
      </w:r>
      <w:r w:rsidR="00711981" w:rsidRPr="00711981">
        <w:rPr>
          <w:b/>
          <w:i/>
        </w:rPr>
        <w:t>cohesión territorial</w:t>
      </w:r>
    </w:p>
    <w:p w14:paraId="126F5F66" w14:textId="77777777" w:rsidR="00766695" w:rsidRDefault="00B21721" w:rsidP="00766695">
      <w:pPr>
        <w:spacing w:line="360" w:lineRule="auto"/>
        <w:jc w:val="both"/>
      </w:pPr>
      <w:r>
        <w:lastRenderedPageBreak/>
        <w:t xml:space="preserve">En </w:t>
      </w:r>
      <w:r w:rsidR="00766695" w:rsidRPr="00E1516B">
        <w:t xml:space="preserve">2024 </w:t>
      </w:r>
      <w:r>
        <w:t xml:space="preserve">se aprobó </w:t>
      </w:r>
      <w:r w:rsidR="00766695" w:rsidRPr="00E1516B">
        <w:t>un ambicioso Plan Plurianual que incrementa la financiación de la UNED en 90 millones de euros hasta 2029, duplicando prácticam</w:t>
      </w:r>
      <w:r>
        <w:t xml:space="preserve">ente la financiación ordinaria. </w:t>
      </w:r>
      <w:r w:rsidR="00766695" w:rsidRPr="00E1516B">
        <w:t>El objetivo del plan es consolidar a la UNED como el gran instrumento público estatal de educación superior a distancia, capaz de garantizar la igualdad de oportunidades a quienes residen en territorios rurales, insulares o en zonas de baja densidad poblacional</w:t>
      </w:r>
      <w:r>
        <w:t>, entre otros.</w:t>
      </w:r>
    </w:p>
    <w:p w14:paraId="55AB95B5" w14:textId="77777777" w:rsidR="00766695" w:rsidRPr="00211C61" w:rsidRDefault="00211C61" w:rsidP="00766695">
      <w:pPr>
        <w:spacing w:line="360" w:lineRule="auto"/>
        <w:jc w:val="both"/>
        <w:rPr>
          <w:b/>
          <w:i/>
        </w:rPr>
      </w:pPr>
      <w:r w:rsidRPr="00211C61">
        <w:rPr>
          <w:b/>
          <w:i/>
        </w:rPr>
        <w:t>N</w:t>
      </w:r>
      <w:r w:rsidR="00766695" w:rsidRPr="00211C61">
        <w:rPr>
          <w:b/>
          <w:i/>
        </w:rPr>
        <w:t>uevos formatos educativos flexibles</w:t>
      </w:r>
    </w:p>
    <w:p w14:paraId="4B7DB546" w14:textId="6286EE8C" w:rsidR="00081B14" w:rsidRPr="008238CA" w:rsidRDefault="004F778D" w:rsidP="00C946CF">
      <w:pPr>
        <w:spacing w:line="360" w:lineRule="auto"/>
        <w:jc w:val="both"/>
      </w:pPr>
      <w:r>
        <w:t>España</w:t>
      </w:r>
      <w:r w:rsidR="00766695" w:rsidRPr="00E1516B">
        <w:t xml:space="preserve"> ha impulsado, mediante el Plan de Recuperación, Transformación y Resiliencia, la implantación de </w:t>
      </w:r>
      <w:proofErr w:type="spellStart"/>
      <w:r w:rsidR="00766695" w:rsidRPr="00E1516B">
        <w:t>microcredenciales</w:t>
      </w:r>
      <w:proofErr w:type="spellEnd"/>
      <w:r w:rsidR="00766695" w:rsidRPr="00E1516B">
        <w:t xml:space="preserve"> universitarias, </w:t>
      </w:r>
      <w:r w:rsidR="00885988">
        <w:t xml:space="preserve">cuyo </w:t>
      </w:r>
      <w:r w:rsidR="00885988" w:rsidRPr="00E1516B">
        <w:t>instrumento</w:t>
      </w:r>
      <w:r w:rsidR="00766695" w:rsidRPr="00E1516B">
        <w:t xml:space="preserve"> formativo innovador que permite acreditar competencias específicas a través de</w:t>
      </w:r>
      <w:r>
        <w:t xml:space="preserve"> módulos flexibles y modulares. </w:t>
      </w:r>
      <w:r w:rsidR="00766695" w:rsidRPr="00E1516B">
        <w:t xml:space="preserve">A diferencia de los títulos tradicionales, </w:t>
      </w:r>
      <w:r>
        <w:t>estos</w:t>
      </w:r>
      <w:r w:rsidR="00766695" w:rsidRPr="00E1516B">
        <w:t xml:space="preserve"> pueden cursarse de manera presencial, híbrida o completamente en línea, permitiendo un acceso más abierto y dinámico. Su diseño facilita la participación tanto de personas con titulaciones previas como de quienes no han tenido acceso a la educación superior, lo que contribuye a reducir brechas educativas y potenciar la formación permanente.</w:t>
      </w:r>
    </w:p>
    <w:p w14:paraId="30A029F4" w14:textId="77777777" w:rsidR="00081B14" w:rsidRDefault="00081B14" w:rsidP="00C946CF">
      <w:pPr>
        <w:spacing w:line="360" w:lineRule="auto"/>
        <w:jc w:val="both"/>
        <w:rPr>
          <w:b/>
        </w:rPr>
      </w:pPr>
    </w:p>
    <w:p w14:paraId="237C8CCE" w14:textId="77777777" w:rsidR="00406CB6" w:rsidRPr="00CD4545" w:rsidRDefault="00406CB6" w:rsidP="00406CB6">
      <w:pPr>
        <w:spacing w:line="360" w:lineRule="auto"/>
        <w:jc w:val="both"/>
      </w:pPr>
      <w:r w:rsidRPr="00CD4545">
        <w:t>Existe un abanico de planes y estrategias encaminados a garantizar el acceso igualitario a la educación de todos los niños, niñas y adole</w:t>
      </w:r>
      <w:r w:rsidR="00376A71">
        <w:t>scentes. En este contexto, cabe destacar</w:t>
      </w:r>
      <w:r w:rsidRPr="00CD4545">
        <w:t xml:space="preserve"> la Estrategia Estatal de Derechos de la Infancia y de la Adolescencia (2022-2030) </w:t>
      </w:r>
      <w:r w:rsidR="00376A71">
        <w:t>y</w:t>
      </w:r>
      <w:r w:rsidRPr="00CD4545">
        <w:t xml:space="preserve"> el Plan de Acción Estatal para la Implementación de la Garantía Infantil Europea (2023-2030). </w:t>
      </w:r>
    </w:p>
    <w:p w14:paraId="7C326D1C" w14:textId="77777777" w:rsidR="00406CB6" w:rsidRPr="00CD4545" w:rsidRDefault="00406CB6" w:rsidP="00406CB6">
      <w:pPr>
        <w:spacing w:line="360" w:lineRule="auto"/>
        <w:jc w:val="both"/>
      </w:pPr>
      <w:r w:rsidRPr="00CD4545">
        <w:t xml:space="preserve">Concretamente, el Plan cuenta con objetivos específicos en la materia, con medidas enfocadas a ampliar las plazas de titularidad pública y para la gratuidad del primer ciclo de Educación infantil (de 0 a 3 años) para los niños y niñas de familias con rentas por debajo </w:t>
      </w:r>
      <w:r w:rsidR="00376A71">
        <w:t xml:space="preserve">de la tasa </w:t>
      </w:r>
      <w:r w:rsidRPr="00CD4545">
        <w:t>AROPE.</w:t>
      </w:r>
    </w:p>
    <w:p w14:paraId="3590C6CE" w14:textId="77777777" w:rsidR="00406CB6" w:rsidRPr="00CD4545" w:rsidRDefault="00406CB6" w:rsidP="00406CB6">
      <w:pPr>
        <w:spacing w:line="360" w:lineRule="auto"/>
        <w:jc w:val="both"/>
      </w:pPr>
      <w:r w:rsidRPr="00CD4545">
        <w:t>Además, la Ley Orgánica 1/1996, de Protección Jurídica del Menor, pone énfasis en las niñas, niños y adolescentes migrantes, señalando que las personas menores de edad extranjeras que se encuentran en España tienen derecho a la educación, asistencia sanitaria y servicios y prestaciones sociales en las mismas condiciones que los menores españoles.</w:t>
      </w:r>
    </w:p>
    <w:p w14:paraId="0E279B97" w14:textId="77777777" w:rsidR="00211C61" w:rsidRPr="00D00388" w:rsidRDefault="00406CB6" w:rsidP="00E96D55">
      <w:pPr>
        <w:spacing w:line="360" w:lineRule="auto"/>
        <w:jc w:val="both"/>
      </w:pPr>
      <w:r w:rsidRPr="00CD4545">
        <w:t xml:space="preserve">El Programa de ocio educativo de amplia cobertura en formación en competencias digitales destinado a la infancia en situación de vulnerabilidad (Programa CODI) forma parte del Componente 19 del Plan de Recuperación, Transformación y Resiliencia, y está previsto como una de las medidas del PAEGIE. Su objetivo es garantizar la inclusión digital de niños, niñas y adolescentes a través de la formación en competencias digitales. Se desarrolla en horarios y periodos no lectivos, integrados en extraescolares o durante el periodo estival y prioriza a la </w:t>
      </w:r>
      <w:r w:rsidRPr="00CD4545">
        <w:lastRenderedPageBreak/>
        <w:t>infancia que se encuentra en situación de pobreza o exclusión social u otras situaciones de vulnerabilidad recogidas en el PAEGIE. El programa CODI ofrece formación en competencias digitales a 950.000 niños, niñas y adolescentes a través de dos modalidades: competencias digitales básicas a niños y niñas de entre 10 y 13 años; y competencias digitales avanzadas a adolescentes de entre 14 y 17. En diciembre de 2022 se realizó la distribución de 50 millones € a las comunidades autónomas para la formación de 217.391 niños, niñas y adolescentes; y en diciembre de 2023, se distribuyeron 97 millones de euros a entidades del Tercer Sector para la formación en competencias digitales de 418.761 niños y niñas a través del programa COD</w:t>
      </w:r>
      <w:r w:rsidR="007233EA">
        <w:t>I.</w:t>
      </w:r>
    </w:p>
    <w:p w14:paraId="20889FA9" w14:textId="77777777" w:rsidR="00211C61" w:rsidRPr="00211C61" w:rsidRDefault="00211C61" w:rsidP="00C946CF">
      <w:pPr>
        <w:spacing w:line="360" w:lineRule="auto"/>
        <w:jc w:val="both"/>
        <w:rPr>
          <w:rFonts w:cstheme="minorHAnsi"/>
        </w:rPr>
      </w:pPr>
    </w:p>
    <w:p w14:paraId="31E67A53" w14:textId="77777777" w:rsidR="002D1CF3" w:rsidRPr="005A5592" w:rsidRDefault="005A5592" w:rsidP="005A5592">
      <w:pPr>
        <w:spacing w:line="360" w:lineRule="auto"/>
        <w:jc w:val="both"/>
        <w:rPr>
          <w:rFonts w:cstheme="minorHAnsi"/>
          <w:b/>
          <w:i/>
        </w:rPr>
      </w:pPr>
      <w:r>
        <w:rPr>
          <w:rFonts w:cstheme="minorHAnsi"/>
          <w:b/>
          <w:i/>
        </w:rPr>
        <w:t>1.</w:t>
      </w:r>
      <w:r w:rsidR="002D1CF3" w:rsidRPr="005A5592">
        <w:rPr>
          <w:rFonts w:cstheme="minorHAnsi"/>
          <w:b/>
          <w:i/>
        </w:rPr>
        <w:t>Participación cultural</w:t>
      </w:r>
    </w:p>
    <w:p w14:paraId="71EFA102" w14:textId="77777777" w:rsidR="00EF4623" w:rsidRDefault="004D349C" w:rsidP="004D349C">
      <w:pPr>
        <w:spacing w:line="360" w:lineRule="auto"/>
        <w:jc w:val="both"/>
        <w:rPr>
          <w:rFonts w:cstheme="minorHAnsi"/>
        </w:rPr>
      </w:pPr>
      <w:r w:rsidRPr="004D349C">
        <w:rPr>
          <w:rFonts w:cstheme="minorHAnsi"/>
        </w:rPr>
        <w:t xml:space="preserve">En el año 2024 se creó la Dirección General de Derechos Culturales, concebida como un órgano clave para impulsar un nuevo modelo de diseño y ejecución de las políticas culturales del Estado. Tal y como se recoge en el Real Decreto 323/2024, de 26 de marzo, le corresponde </w:t>
      </w:r>
      <w:r w:rsidR="005A5592">
        <w:rPr>
          <w:rFonts w:cstheme="minorHAnsi"/>
        </w:rPr>
        <w:t xml:space="preserve">la gestión </w:t>
      </w:r>
      <w:r w:rsidRPr="004D349C">
        <w:rPr>
          <w:rFonts w:cstheme="minorHAnsi"/>
        </w:rPr>
        <w:t xml:space="preserve">de las políticas públicas vinculadas con la promoción de los derechos culturales, la diversidad cultural y territorial, la promoción de la igualdad y la dinamización cultural. </w:t>
      </w:r>
    </w:p>
    <w:p w14:paraId="1100C849" w14:textId="77777777" w:rsidR="00EF4623" w:rsidRDefault="004D349C" w:rsidP="004D349C">
      <w:pPr>
        <w:spacing w:line="360" w:lineRule="auto"/>
        <w:jc w:val="both"/>
        <w:rPr>
          <w:rFonts w:cstheme="minorHAnsi"/>
        </w:rPr>
      </w:pPr>
      <w:r w:rsidRPr="004D349C">
        <w:rPr>
          <w:rFonts w:cstheme="minorHAnsi"/>
        </w:rPr>
        <w:t>Entre sus principales funciones destacan</w:t>
      </w:r>
      <w:r w:rsidR="00EF4623">
        <w:rPr>
          <w:rFonts w:cstheme="minorHAnsi"/>
        </w:rPr>
        <w:t>:</w:t>
      </w:r>
    </w:p>
    <w:p w14:paraId="6610440D" w14:textId="77777777" w:rsidR="00EF4623" w:rsidRPr="00EF4623" w:rsidRDefault="00EF4623" w:rsidP="00EF4623">
      <w:pPr>
        <w:pStyle w:val="ListParagraph"/>
        <w:numPr>
          <w:ilvl w:val="0"/>
          <w:numId w:val="22"/>
        </w:numPr>
        <w:spacing w:line="360" w:lineRule="auto"/>
        <w:jc w:val="both"/>
        <w:rPr>
          <w:rFonts w:cstheme="minorHAnsi"/>
        </w:rPr>
      </w:pPr>
      <w:r w:rsidRPr="00EF4623">
        <w:rPr>
          <w:rFonts w:cstheme="minorHAnsi"/>
        </w:rPr>
        <w:t>L</w:t>
      </w:r>
      <w:r w:rsidR="004D349C" w:rsidRPr="00EF4623">
        <w:rPr>
          <w:rFonts w:cstheme="minorHAnsi"/>
        </w:rPr>
        <w:t>a elaboración y ejecución del Plan de Derechos Culturale</w:t>
      </w:r>
      <w:r w:rsidRPr="00EF4623">
        <w:rPr>
          <w:rFonts w:cstheme="minorHAnsi"/>
        </w:rPr>
        <w:t xml:space="preserve">s, presentado en julio de 2025. </w:t>
      </w:r>
    </w:p>
    <w:p w14:paraId="190F9505" w14:textId="77777777" w:rsidR="00EF4623" w:rsidRPr="00EF4623" w:rsidRDefault="00EF4623" w:rsidP="00EF4623">
      <w:pPr>
        <w:pStyle w:val="ListParagraph"/>
        <w:numPr>
          <w:ilvl w:val="0"/>
          <w:numId w:val="22"/>
        </w:numPr>
        <w:spacing w:line="360" w:lineRule="auto"/>
        <w:jc w:val="both"/>
        <w:rPr>
          <w:rFonts w:cstheme="minorHAnsi"/>
        </w:rPr>
      </w:pPr>
      <w:r w:rsidRPr="00EF4623">
        <w:rPr>
          <w:rFonts w:cstheme="minorHAnsi"/>
        </w:rPr>
        <w:t>L</w:t>
      </w:r>
      <w:r w:rsidR="004D349C" w:rsidRPr="00EF4623">
        <w:rPr>
          <w:rFonts w:cstheme="minorHAnsi"/>
        </w:rPr>
        <w:t>a puesta en marcha del Plan de Igualdad de género para la Cultura, aprobado en diciembre de 2024</w:t>
      </w:r>
      <w:r w:rsidRPr="00EF4623">
        <w:rPr>
          <w:rFonts w:cstheme="minorHAnsi"/>
        </w:rPr>
        <w:t>.</w:t>
      </w:r>
    </w:p>
    <w:p w14:paraId="05D4A2AF" w14:textId="77777777" w:rsidR="00EF4623" w:rsidRPr="00EF4623" w:rsidRDefault="00EF4623" w:rsidP="00EF4623">
      <w:pPr>
        <w:pStyle w:val="ListParagraph"/>
        <w:numPr>
          <w:ilvl w:val="0"/>
          <w:numId w:val="22"/>
        </w:numPr>
        <w:spacing w:line="360" w:lineRule="auto"/>
        <w:jc w:val="both"/>
        <w:rPr>
          <w:rFonts w:cstheme="minorHAnsi"/>
        </w:rPr>
      </w:pPr>
      <w:r w:rsidRPr="00EF4623">
        <w:rPr>
          <w:rFonts w:cstheme="minorHAnsi"/>
        </w:rPr>
        <w:t>L</w:t>
      </w:r>
      <w:r w:rsidR="004D349C" w:rsidRPr="00EF4623">
        <w:rPr>
          <w:rFonts w:cstheme="minorHAnsi"/>
        </w:rPr>
        <w:t>a impleme</w:t>
      </w:r>
      <w:r w:rsidRPr="00EF4623">
        <w:rPr>
          <w:rFonts w:cstheme="minorHAnsi"/>
        </w:rPr>
        <w:t>ntación del Bono Cultural Joven.</w:t>
      </w:r>
    </w:p>
    <w:p w14:paraId="4971BA16" w14:textId="77777777" w:rsidR="004D349C" w:rsidRPr="00EF4623" w:rsidRDefault="00EF4623" w:rsidP="00EF4623">
      <w:pPr>
        <w:pStyle w:val="ListParagraph"/>
        <w:numPr>
          <w:ilvl w:val="0"/>
          <w:numId w:val="22"/>
        </w:numPr>
        <w:spacing w:line="360" w:lineRule="auto"/>
        <w:jc w:val="both"/>
        <w:rPr>
          <w:rFonts w:cstheme="minorHAnsi"/>
        </w:rPr>
      </w:pPr>
      <w:r w:rsidRPr="00EF4623">
        <w:rPr>
          <w:rFonts w:cstheme="minorHAnsi"/>
        </w:rPr>
        <w:t>E</w:t>
      </w:r>
      <w:r w:rsidR="004D349C" w:rsidRPr="00EF4623">
        <w:rPr>
          <w:rFonts w:cstheme="minorHAnsi"/>
        </w:rPr>
        <w:t xml:space="preserve">l impulso de programas estratégicos como Cultura y Ciudadanía y Cultura y Ruralidades o la coordinación de la Conferencia. </w:t>
      </w:r>
    </w:p>
    <w:p w14:paraId="2AFCC5C5" w14:textId="77777777" w:rsidR="004D349C" w:rsidRPr="004D349C" w:rsidRDefault="004D349C" w:rsidP="004D349C">
      <w:pPr>
        <w:spacing w:line="360" w:lineRule="auto"/>
        <w:jc w:val="both"/>
        <w:rPr>
          <w:rFonts w:cstheme="minorHAnsi"/>
        </w:rPr>
      </w:pPr>
      <w:r w:rsidRPr="004D349C">
        <w:rPr>
          <w:rFonts w:cstheme="minorHAnsi"/>
        </w:rPr>
        <w:t xml:space="preserve">Con estas medidas, </w:t>
      </w:r>
      <w:r w:rsidR="00EF4623">
        <w:rPr>
          <w:rFonts w:cstheme="minorHAnsi"/>
        </w:rPr>
        <w:t>España</w:t>
      </w:r>
      <w:r w:rsidRPr="004D349C">
        <w:rPr>
          <w:rFonts w:cstheme="minorHAnsi"/>
        </w:rPr>
        <w:t xml:space="preserve"> consolida un nuevo enfoque de acción pública que reconoce la cultura no solo como un ámbito de desarrollo artístico, sino como un pilar esencial del desarrollo humano y social. Esta visión se alinea con los principios internacionales y con la declaración final de </w:t>
      </w:r>
      <w:proofErr w:type="spellStart"/>
      <w:r w:rsidRPr="004D349C">
        <w:rPr>
          <w:rFonts w:cstheme="minorHAnsi"/>
        </w:rPr>
        <w:t>Mondiacult</w:t>
      </w:r>
      <w:proofErr w:type="spellEnd"/>
      <w:r w:rsidRPr="004D349C">
        <w:rPr>
          <w:rFonts w:cstheme="minorHAnsi"/>
        </w:rPr>
        <w:t xml:space="preserve"> 2025, celebrada en Barcelona, donde se reafirmó la cultura como un derecho humano fundamental y un objetivo de desarrollo sostenible en sí mismo.</w:t>
      </w:r>
    </w:p>
    <w:p w14:paraId="3E3BDFFF" w14:textId="77777777" w:rsidR="005A5592" w:rsidRPr="005A5592" w:rsidRDefault="005A5592" w:rsidP="004D349C">
      <w:pPr>
        <w:spacing w:line="360" w:lineRule="auto"/>
        <w:jc w:val="both"/>
        <w:rPr>
          <w:rFonts w:cstheme="minorHAnsi"/>
          <w:b/>
          <w:i/>
        </w:rPr>
      </w:pPr>
      <w:r w:rsidRPr="005A5592">
        <w:rPr>
          <w:rFonts w:cstheme="minorHAnsi"/>
          <w:b/>
          <w:i/>
        </w:rPr>
        <w:t>Plan de Derechos Culturales</w:t>
      </w:r>
    </w:p>
    <w:p w14:paraId="1A0D13C7" w14:textId="77777777" w:rsidR="004D349C" w:rsidRPr="004D349C" w:rsidRDefault="004D349C" w:rsidP="004D349C">
      <w:pPr>
        <w:spacing w:line="360" w:lineRule="auto"/>
        <w:jc w:val="both"/>
        <w:rPr>
          <w:rFonts w:cstheme="minorHAnsi"/>
        </w:rPr>
      </w:pPr>
      <w:r w:rsidRPr="004D349C">
        <w:rPr>
          <w:rFonts w:cstheme="minorHAnsi"/>
        </w:rPr>
        <w:t xml:space="preserve">El recién aprobado Plan de Derechos Culturales coloca a España en la vanguardia del reconocimiento y la implementación efectiva de políticas públicas que garanticen la práctica de </w:t>
      </w:r>
      <w:r w:rsidRPr="004D349C">
        <w:rPr>
          <w:rFonts w:cstheme="minorHAnsi"/>
        </w:rPr>
        <w:lastRenderedPageBreak/>
        <w:t>estos derechos. Con este Plan se pretende revertir la desatención que este enfoque ha experi</w:t>
      </w:r>
      <w:r w:rsidR="00EF4623">
        <w:rPr>
          <w:rFonts w:cstheme="minorHAnsi"/>
        </w:rPr>
        <w:t>mentado en las últimas décadas.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D349C" w:rsidRPr="004D349C" w14:paraId="1499913B" w14:textId="77777777" w:rsidTr="005E644C">
        <w:trPr>
          <w:tblCellSpacing w:w="15" w:type="dxa"/>
        </w:trPr>
        <w:tc>
          <w:tcPr>
            <w:tcW w:w="0" w:type="auto"/>
            <w:vAlign w:val="center"/>
            <w:hideMark/>
          </w:tcPr>
          <w:p w14:paraId="02BC807B" w14:textId="77777777" w:rsidR="004D349C" w:rsidRPr="004D349C" w:rsidRDefault="004D349C" w:rsidP="004D349C">
            <w:pPr>
              <w:spacing w:line="360" w:lineRule="auto"/>
              <w:jc w:val="both"/>
              <w:rPr>
                <w:rFonts w:cstheme="minorHAnsi"/>
              </w:rPr>
            </w:pPr>
          </w:p>
        </w:tc>
      </w:tr>
    </w:tbl>
    <w:p w14:paraId="62652DCB" w14:textId="77777777" w:rsidR="004D349C" w:rsidRPr="004D349C" w:rsidRDefault="004D349C" w:rsidP="004D349C">
      <w:pPr>
        <w:spacing w:line="360" w:lineRule="auto"/>
        <w:jc w:val="both"/>
        <w:rPr>
          <w:rFonts w:cstheme="minorHAnsi"/>
        </w:rPr>
      </w:pPr>
      <w:r w:rsidRPr="004D349C">
        <w:rPr>
          <w:rFonts w:cstheme="minorHAnsi"/>
        </w:rPr>
        <w:t xml:space="preserve">El Plan tiene como objetivo "garantizar la participación cultural en igualdad de condiciones, asegurando que todas las personas puedan acceder, participar y contribuir activamente en la vida cultural, eliminando barreras, corrigiendo desigualdades estructurales y reconociendo la diversidad de prácticas culturales". </w:t>
      </w:r>
      <w:r w:rsidR="00EF4623">
        <w:rPr>
          <w:rFonts w:cstheme="minorHAnsi"/>
        </w:rPr>
        <w:t xml:space="preserve">Contempla 146 medidas, de las que </w:t>
      </w:r>
      <w:r w:rsidRPr="004D349C">
        <w:rPr>
          <w:rFonts w:cstheme="minorHAnsi"/>
        </w:rPr>
        <w:t xml:space="preserve">100 </w:t>
      </w:r>
      <w:r w:rsidR="00EF4623">
        <w:rPr>
          <w:rFonts w:cstheme="minorHAnsi"/>
        </w:rPr>
        <w:t>se pondrán</w:t>
      </w:r>
      <w:r w:rsidRPr="004D349C">
        <w:rPr>
          <w:rFonts w:cstheme="minorHAnsi"/>
        </w:rPr>
        <w:t xml:space="preserve"> en marcha durante la presente legislatura, mi</w:t>
      </w:r>
      <w:r w:rsidR="00EF4623">
        <w:rPr>
          <w:rFonts w:cstheme="minorHAnsi"/>
        </w:rPr>
        <w:t xml:space="preserve">entras que el resto se extienden </w:t>
      </w:r>
      <w:r w:rsidRPr="004D349C">
        <w:rPr>
          <w:rFonts w:cstheme="minorHAnsi"/>
        </w:rPr>
        <w:t xml:space="preserve">hasta el año 2030. </w:t>
      </w:r>
      <w:r w:rsidR="005A5592">
        <w:rPr>
          <w:rFonts w:cstheme="minorHAnsi"/>
        </w:rPr>
        <w:t xml:space="preserve">Fija inversiones concretas: </w:t>
      </w:r>
      <w:r w:rsidRPr="004D349C">
        <w:rPr>
          <w:rFonts w:cstheme="minorHAnsi"/>
        </w:rPr>
        <w:t>más de 79 millones de euros hasta 2027, de los cuales 46 millo</w:t>
      </w:r>
      <w:r w:rsidR="005A5592">
        <w:rPr>
          <w:rFonts w:cstheme="minorHAnsi"/>
        </w:rPr>
        <w:t>nes son nueva inversión pública</w:t>
      </w:r>
      <w:r w:rsidRPr="004D349C">
        <w:rPr>
          <w:rFonts w:cstheme="minorHAnsi"/>
        </w:rPr>
        <w:t>.</w:t>
      </w:r>
    </w:p>
    <w:p w14:paraId="5E9ABFC7" w14:textId="77777777" w:rsidR="004D349C" w:rsidRPr="004D349C" w:rsidRDefault="005A5592" w:rsidP="004D349C">
      <w:pPr>
        <w:spacing w:line="360" w:lineRule="auto"/>
        <w:jc w:val="both"/>
        <w:rPr>
          <w:rFonts w:cstheme="minorHAnsi"/>
        </w:rPr>
      </w:pPr>
      <w:r>
        <w:rPr>
          <w:rFonts w:cstheme="minorHAnsi"/>
        </w:rPr>
        <w:t>En este momento, su</w:t>
      </w:r>
      <w:r w:rsidR="004D349C" w:rsidRPr="004D349C">
        <w:rPr>
          <w:rFonts w:cstheme="minorHAnsi"/>
        </w:rPr>
        <w:t xml:space="preserve"> implementación se enc</w:t>
      </w:r>
      <w:r>
        <w:rPr>
          <w:rFonts w:cstheme="minorHAnsi"/>
        </w:rPr>
        <w:t>uentra ya en curso de ejecución</w:t>
      </w:r>
      <w:r w:rsidR="004D349C" w:rsidRPr="004D349C">
        <w:rPr>
          <w:rFonts w:cstheme="minorHAnsi"/>
        </w:rPr>
        <w:t>. Entre otras actuaciones en marcha,</w:t>
      </w:r>
      <w:r w:rsidR="00EF4623">
        <w:rPr>
          <w:rFonts w:cstheme="minorHAnsi"/>
        </w:rPr>
        <w:t xml:space="preserve"> destacan las transferencias a Comunidades A</w:t>
      </w:r>
      <w:r w:rsidR="004D349C" w:rsidRPr="004D349C">
        <w:rPr>
          <w:rFonts w:cstheme="minorHAnsi"/>
        </w:rPr>
        <w:t>utónomas para proyectos culturales en el ámbito rural y para iniciativas de arte y escuela; las ayudas dirigidas a asociaciones profesionales y sindicatos culturales; el programa de intervención cultural en el ámbito penitenciario</w:t>
      </w:r>
      <w:r w:rsidR="00EF4623">
        <w:rPr>
          <w:rFonts w:cstheme="minorHAnsi"/>
        </w:rPr>
        <w:t>, entre otros.</w:t>
      </w:r>
    </w:p>
    <w:p w14:paraId="71BC18DF" w14:textId="77777777" w:rsidR="004D349C" w:rsidRPr="005A5592" w:rsidRDefault="005A5592" w:rsidP="004D349C">
      <w:pPr>
        <w:spacing w:line="360" w:lineRule="auto"/>
        <w:jc w:val="both"/>
        <w:rPr>
          <w:rFonts w:cstheme="minorHAnsi"/>
          <w:b/>
          <w:i/>
        </w:rPr>
      </w:pPr>
      <w:r w:rsidRPr="005A5592">
        <w:rPr>
          <w:rFonts w:cstheme="minorHAnsi"/>
          <w:b/>
          <w:i/>
        </w:rPr>
        <w:t>Promoción de la cultura gitana</w:t>
      </w:r>
    </w:p>
    <w:p w14:paraId="58130C36" w14:textId="77777777" w:rsidR="005A5592" w:rsidRDefault="004D349C" w:rsidP="004D349C">
      <w:pPr>
        <w:spacing w:line="360" w:lineRule="auto"/>
        <w:jc w:val="both"/>
        <w:rPr>
          <w:rFonts w:cstheme="minorHAnsi"/>
        </w:rPr>
      </w:pPr>
      <w:r w:rsidRPr="004D349C">
        <w:rPr>
          <w:rFonts w:cstheme="minorHAnsi"/>
        </w:rPr>
        <w:t xml:space="preserve">El Ministerio de Cultura financia la Fundación Instituto de Cultura Gitana, cuyos estatutos establecen </w:t>
      </w:r>
      <w:r w:rsidR="005A5592">
        <w:rPr>
          <w:rFonts w:cstheme="minorHAnsi"/>
        </w:rPr>
        <w:t>como</w:t>
      </w:r>
      <w:r w:rsidRPr="004D349C">
        <w:rPr>
          <w:rFonts w:cstheme="minorHAnsi"/>
        </w:rPr>
        <w:t xml:space="preserve"> fines:</w:t>
      </w:r>
      <w:r w:rsidR="005A5592">
        <w:rPr>
          <w:rFonts w:cstheme="minorHAnsi"/>
        </w:rPr>
        <w:t xml:space="preserve"> </w:t>
      </w:r>
    </w:p>
    <w:p w14:paraId="6DC84E5A" w14:textId="77777777" w:rsidR="004D349C" w:rsidRPr="005A5592" w:rsidRDefault="004D349C" w:rsidP="005A5592">
      <w:pPr>
        <w:pStyle w:val="ListParagraph"/>
        <w:numPr>
          <w:ilvl w:val="0"/>
          <w:numId w:val="13"/>
        </w:numPr>
        <w:spacing w:line="360" w:lineRule="auto"/>
        <w:jc w:val="both"/>
        <w:rPr>
          <w:rFonts w:cstheme="minorHAnsi"/>
        </w:rPr>
      </w:pPr>
      <w:r w:rsidRPr="005A5592">
        <w:rPr>
          <w:rFonts w:cstheme="minorHAnsi"/>
        </w:rPr>
        <w:t xml:space="preserve">La proposición de acciones culturales dirigidas a lograr la igualdad de trato, la igualdad de género y la no discriminación de la población gitana. </w:t>
      </w:r>
    </w:p>
    <w:p w14:paraId="3872D1A0" w14:textId="77777777" w:rsidR="004D349C" w:rsidRPr="005A5592" w:rsidRDefault="004D349C" w:rsidP="005A5592">
      <w:pPr>
        <w:pStyle w:val="ListParagraph"/>
        <w:numPr>
          <w:ilvl w:val="0"/>
          <w:numId w:val="13"/>
        </w:numPr>
        <w:spacing w:line="360" w:lineRule="auto"/>
        <w:jc w:val="both"/>
        <w:rPr>
          <w:rFonts w:cstheme="minorHAnsi"/>
        </w:rPr>
      </w:pPr>
      <w:r w:rsidRPr="005A5592">
        <w:rPr>
          <w:rFonts w:cstheme="minorHAnsi"/>
        </w:rPr>
        <w:t>El desarrollo y promoción de la historia, la cultura y la lengua gitanas en todas sus manifestaciones</w:t>
      </w:r>
      <w:r w:rsidR="005A5592" w:rsidRPr="005A5592">
        <w:rPr>
          <w:rFonts w:cstheme="minorHAnsi"/>
        </w:rPr>
        <w:t>.</w:t>
      </w:r>
    </w:p>
    <w:p w14:paraId="27E0B594" w14:textId="77777777" w:rsidR="004D349C" w:rsidRPr="00532ECD" w:rsidRDefault="004D349C" w:rsidP="004D349C">
      <w:pPr>
        <w:pStyle w:val="ListParagraph"/>
        <w:numPr>
          <w:ilvl w:val="0"/>
          <w:numId w:val="13"/>
        </w:numPr>
        <w:spacing w:line="360" w:lineRule="auto"/>
        <w:jc w:val="both"/>
        <w:rPr>
          <w:rFonts w:cstheme="minorHAnsi"/>
        </w:rPr>
      </w:pPr>
      <w:r w:rsidRPr="005A5592">
        <w:rPr>
          <w:rFonts w:cstheme="minorHAnsi"/>
        </w:rPr>
        <w:t>El establecimiento de mecanismos y estrategias que contribuyan eficazmente a la preservación y al desarrollo del acervo cultural de la comunidad gitana.</w:t>
      </w:r>
    </w:p>
    <w:p w14:paraId="72A2A90F" w14:textId="77777777" w:rsidR="004D349C" w:rsidRPr="004D349C" w:rsidRDefault="004D349C" w:rsidP="004D349C">
      <w:pPr>
        <w:spacing w:line="360" w:lineRule="auto"/>
        <w:jc w:val="both"/>
        <w:rPr>
          <w:rFonts w:cstheme="minorHAnsi"/>
        </w:rPr>
      </w:pPr>
      <w:r w:rsidRPr="004D349C">
        <w:rPr>
          <w:rFonts w:cstheme="minorHAnsi"/>
        </w:rPr>
        <w:t xml:space="preserve">Asimismo, el Plan de Derechos Culturales incluye las siguientes medidas: </w:t>
      </w:r>
    </w:p>
    <w:p w14:paraId="653C8A6D" w14:textId="77777777" w:rsidR="004D349C" w:rsidRPr="00532ECD" w:rsidRDefault="004D349C" w:rsidP="00532ECD">
      <w:pPr>
        <w:pStyle w:val="ListParagraph"/>
        <w:numPr>
          <w:ilvl w:val="0"/>
          <w:numId w:val="17"/>
        </w:numPr>
        <w:spacing w:line="360" w:lineRule="auto"/>
        <w:jc w:val="both"/>
        <w:rPr>
          <w:rFonts w:cstheme="minorHAnsi"/>
        </w:rPr>
      </w:pPr>
      <w:r w:rsidRPr="00532ECD">
        <w:rPr>
          <w:rFonts w:cstheme="minorHAnsi"/>
        </w:rPr>
        <w:t>Narrativas plurales en los espacios culturales</w:t>
      </w:r>
      <w:r w:rsidR="00FC556E">
        <w:rPr>
          <w:rFonts w:cstheme="minorHAnsi"/>
        </w:rPr>
        <w:t xml:space="preserve"> </w:t>
      </w:r>
      <w:r w:rsidRPr="00532ECD">
        <w:rPr>
          <w:rFonts w:cstheme="minorHAnsi"/>
        </w:rPr>
        <w:t>teniendo en cuenta todas las poblaciones culturalmente diversas del territorio español, incluido el pueblo gitano.</w:t>
      </w:r>
    </w:p>
    <w:p w14:paraId="5E9759AD" w14:textId="77777777" w:rsidR="004D349C" w:rsidRPr="00532ECD" w:rsidRDefault="004D349C" w:rsidP="00532ECD">
      <w:pPr>
        <w:pStyle w:val="ListParagraph"/>
        <w:numPr>
          <w:ilvl w:val="0"/>
          <w:numId w:val="17"/>
        </w:numPr>
        <w:spacing w:line="360" w:lineRule="auto"/>
        <w:jc w:val="both"/>
        <w:rPr>
          <w:rFonts w:cstheme="minorHAnsi"/>
        </w:rPr>
      </w:pPr>
      <w:r w:rsidRPr="00532ECD">
        <w:rPr>
          <w:rFonts w:cstheme="minorHAnsi"/>
        </w:rPr>
        <w:t>Memorias colectivas plurales en los Archivos Estatales</w:t>
      </w:r>
      <w:r w:rsidR="00FC556E">
        <w:rPr>
          <w:rFonts w:cstheme="minorHAnsi"/>
        </w:rPr>
        <w:t xml:space="preserve"> que incorporen</w:t>
      </w:r>
      <w:r w:rsidRPr="00532ECD">
        <w:rPr>
          <w:rFonts w:cstheme="minorHAnsi"/>
        </w:rPr>
        <w:t xml:space="preserve"> los relatos de poblaciones históricamente discriminadas (entre ellas la población gitana). </w:t>
      </w:r>
    </w:p>
    <w:p w14:paraId="6F583922" w14:textId="77777777" w:rsidR="004D349C" w:rsidRPr="00532ECD" w:rsidRDefault="00532ECD" w:rsidP="00532ECD">
      <w:pPr>
        <w:pStyle w:val="ListParagraph"/>
        <w:numPr>
          <w:ilvl w:val="0"/>
          <w:numId w:val="17"/>
        </w:numPr>
        <w:spacing w:line="360" w:lineRule="auto"/>
        <w:jc w:val="both"/>
        <w:rPr>
          <w:rFonts w:cstheme="minorHAnsi"/>
        </w:rPr>
      </w:pPr>
      <w:r w:rsidRPr="00532ECD">
        <w:rPr>
          <w:rFonts w:cstheme="minorHAnsi"/>
        </w:rPr>
        <w:t xml:space="preserve">Reconocimiento del romaní y del caló, impulsando su inclusión </w:t>
      </w:r>
      <w:r w:rsidR="004D349C" w:rsidRPr="00532ECD">
        <w:rPr>
          <w:rFonts w:cstheme="minorHAnsi"/>
        </w:rPr>
        <w:t>en el protocolo de adhesión de España a la Carta Europea de las Lenguas Regionales o Minoritarias.</w:t>
      </w:r>
    </w:p>
    <w:p w14:paraId="30DBC92B" w14:textId="7EFD987F" w:rsidR="00081B14" w:rsidRDefault="00532ECD" w:rsidP="004D349C">
      <w:pPr>
        <w:pStyle w:val="ListParagraph"/>
        <w:numPr>
          <w:ilvl w:val="0"/>
          <w:numId w:val="17"/>
        </w:numPr>
        <w:spacing w:line="360" w:lineRule="auto"/>
        <w:jc w:val="both"/>
        <w:rPr>
          <w:rFonts w:cstheme="minorHAnsi"/>
        </w:rPr>
      </w:pPr>
      <w:r w:rsidRPr="00532ECD">
        <w:rPr>
          <w:rFonts w:cstheme="minorHAnsi"/>
        </w:rPr>
        <w:lastRenderedPageBreak/>
        <w:t>Apoyo</w:t>
      </w:r>
      <w:r w:rsidR="004D349C" w:rsidRPr="00532ECD">
        <w:rPr>
          <w:rFonts w:cstheme="minorHAnsi"/>
        </w:rPr>
        <w:t xml:space="preserve"> a entidades que trabajen en la preservación, promoción y difusión de la cultura del pueblo gitano.</w:t>
      </w:r>
    </w:p>
    <w:p w14:paraId="61D03C5E" w14:textId="43F0538F" w:rsidR="002644AB" w:rsidRPr="002644AB" w:rsidRDefault="002644AB" w:rsidP="002644AB">
      <w:pPr>
        <w:spacing w:line="360" w:lineRule="auto"/>
        <w:jc w:val="both"/>
        <w:rPr>
          <w:rFonts w:cstheme="minorHAnsi"/>
        </w:rPr>
      </w:pPr>
      <w:r w:rsidRPr="002644AB">
        <w:rPr>
          <w:rFonts w:cstheme="minorHAnsi"/>
        </w:rPr>
        <w:t xml:space="preserve">Por otro lado, la </w:t>
      </w:r>
      <w:r w:rsidRPr="002644AB">
        <w:rPr>
          <w:rFonts w:cstheme="minorHAnsi"/>
          <w:bCs/>
        </w:rPr>
        <w:t xml:space="preserve">Estrategia para la Igualdad, Inclusión y Participación del Pueblo Gitano </w:t>
      </w:r>
      <w:r>
        <w:rPr>
          <w:rFonts w:cstheme="minorHAnsi"/>
          <w:bCs/>
        </w:rPr>
        <w:t>(</w:t>
      </w:r>
      <w:r w:rsidRPr="002644AB">
        <w:rPr>
          <w:rFonts w:cstheme="minorHAnsi"/>
          <w:bCs/>
        </w:rPr>
        <w:t>2021-2030</w:t>
      </w:r>
      <w:r>
        <w:rPr>
          <w:rFonts w:cstheme="minorHAnsi"/>
          <w:bCs/>
        </w:rPr>
        <w:t>)</w:t>
      </w:r>
      <w:r w:rsidRPr="002644AB">
        <w:rPr>
          <w:rFonts w:cstheme="minorHAnsi"/>
        </w:rPr>
        <w:t xml:space="preserve"> reserva en su segundo eje un apartado para el “fomento y reconocimiento de la cultura gitana”</w:t>
      </w:r>
      <w:r>
        <w:rPr>
          <w:rFonts w:cstheme="minorHAnsi"/>
        </w:rPr>
        <w:t>,</w:t>
      </w:r>
      <w:r w:rsidRPr="002644AB">
        <w:rPr>
          <w:rFonts w:cstheme="minorHAnsi"/>
        </w:rPr>
        <w:t xml:space="preserve"> cuyo objetivo específico es favorecer el reconocimiento y la reconciliación. En el año 2025, y coincidiendo con la conmemoración del 600º aniversario de la llegada del Pueblo Gitano a España, el Gobierno español </w:t>
      </w:r>
      <w:r>
        <w:rPr>
          <w:rFonts w:cstheme="minorHAnsi"/>
        </w:rPr>
        <w:t>declaró</w:t>
      </w:r>
      <w:r w:rsidRPr="002644AB">
        <w:rPr>
          <w:rFonts w:cstheme="minorHAnsi"/>
        </w:rPr>
        <w:t xml:space="preserve"> 2025 como </w:t>
      </w:r>
      <w:r>
        <w:rPr>
          <w:rFonts w:cstheme="minorHAnsi"/>
        </w:rPr>
        <w:t>“</w:t>
      </w:r>
      <w:r w:rsidRPr="002644AB">
        <w:rPr>
          <w:rFonts w:cstheme="minorHAnsi"/>
          <w:bCs/>
        </w:rPr>
        <w:t>Año del Pueblo Gitano</w:t>
      </w:r>
      <w:r>
        <w:rPr>
          <w:rFonts w:cstheme="minorHAnsi"/>
          <w:bCs/>
        </w:rPr>
        <w:t>”</w:t>
      </w:r>
      <w:r w:rsidRPr="002644AB">
        <w:rPr>
          <w:rFonts w:cstheme="minorHAnsi"/>
        </w:rPr>
        <w:t xml:space="preserve"> en España. Enmarcado en esta onomástica, se ha organizado un amplio programa de actividades cuyo objetivo es poner en valor la profunda contribución histórica, social, cultural y lingüística del Pueblo Gitano a nuestro país. </w:t>
      </w:r>
    </w:p>
    <w:p w14:paraId="7AC14598" w14:textId="77777777" w:rsidR="004D349C" w:rsidRPr="00532ECD" w:rsidRDefault="00532ECD" w:rsidP="004D349C">
      <w:pPr>
        <w:spacing w:line="360" w:lineRule="auto"/>
        <w:jc w:val="both"/>
        <w:rPr>
          <w:rFonts w:cstheme="minorHAnsi"/>
          <w:b/>
          <w:i/>
        </w:rPr>
      </w:pPr>
      <w:r w:rsidRPr="00532ECD">
        <w:rPr>
          <w:rFonts w:cstheme="minorHAnsi"/>
          <w:b/>
          <w:i/>
        </w:rPr>
        <w:t>Barreras de acceso a la cultura</w:t>
      </w:r>
    </w:p>
    <w:p w14:paraId="6397C34A" w14:textId="77777777" w:rsidR="004D349C" w:rsidRPr="004D349C" w:rsidRDefault="004D349C" w:rsidP="004D349C">
      <w:pPr>
        <w:spacing w:line="360" w:lineRule="auto"/>
        <w:jc w:val="both"/>
        <w:rPr>
          <w:rFonts w:cstheme="minorHAnsi"/>
        </w:rPr>
      </w:pPr>
      <w:r w:rsidRPr="004D349C">
        <w:rPr>
          <w:rFonts w:cstheme="minorHAnsi"/>
        </w:rPr>
        <w:t>Persisten en España desigualdades estructurales que condicionan el acceso a la cultura, vinculadas</w:t>
      </w:r>
      <w:r w:rsidR="00532ECD">
        <w:rPr>
          <w:rFonts w:cstheme="minorHAnsi"/>
        </w:rPr>
        <w:t>, de acuerdo con los i</w:t>
      </w:r>
      <w:r w:rsidRPr="004D349C">
        <w:rPr>
          <w:rFonts w:cstheme="minorHAnsi"/>
        </w:rPr>
        <w:t>nformes del Defensor del Pueblo, s</w:t>
      </w:r>
      <w:r w:rsidR="00CE12A6">
        <w:rPr>
          <w:rFonts w:cstheme="minorHAnsi"/>
        </w:rPr>
        <w:t>obre todo a las</w:t>
      </w:r>
      <w:r w:rsidRPr="004D349C">
        <w:rPr>
          <w:rFonts w:cstheme="minorHAnsi"/>
        </w:rPr>
        <w:t xml:space="preserve"> personas con discapacidad y otros colectivos vulnerables, derivadas tanto de obstáculos arquitectónicos o de accesibilidad digital, como de factores económicos (precios de entradas o ausencia de tarifas específicas). Asimismo, según la Encuesta de Hábitos y Prácticas Culturales en España, la falta de tiempo constituye la barrera más mencionada por la población para acceder a la cultura. El Plan de Derechos Culturales incluyen medidas como:</w:t>
      </w:r>
    </w:p>
    <w:p w14:paraId="502BDD73" w14:textId="77777777" w:rsidR="004D349C" w:rsidRPr="00532ECD" w:rsidRDefault="004D349C" w:rsidP="00532ECD">
      <w:pPr>
        <w:pStyle w:val="ListParagraph"/>
        <w:numPr>
          <w:ilvl w:val="0"/>
          <w:numId w:val="18"/>
        </w:numPr>
        <w:spacing w:line="360" w:lineRule="auto"/>
        <w:jc w:val="both"/>
        <w:rPr>
          <w:rFonts w:cstheme="minorHAnsi"/>
        </w:rPr>
      </w:pPr>
      <w:r w:rsidRPr="00532ECD">
        <w:rPr>
          <w:rFonts w:cstheme="minorHAnsi"/>
        </w:rPr>
        <w:t>Descuentos en equipamientos culturales para colectivos vulnerables.</w:t>
      </w:r>
    </w:p>
    <w:p w14:paraId="3DDB7060" w14:textId="77777777" w:rsidR="004D349C" w:rsidRPr="00532ECD" w:rsidRDefault="004D349C" w:rsidP="00532ECD">
      <w:pPr>
        <w:pStyle w:val="ListParagraph"/>
        <w:numPr>
          <w:ilvl w:val="0"/>
          <w:numId w:val="18"/>
        </w:numPr>
        <w:spacing w:line="360" w:lineRule="auto"/>
        <w:jc w:val="both"/>
        <w:rPr>
          <w:rFonts w:cstheme="minorHAnsi"/>
        </w:rPr>
      </w:pPr>
      <w:r w:rsidRPr="00532ECD">
        <w:rPr>
          <w:rFonts w:cstheme="minorHAnsi"/>
        </w:rPr>
        <w:t>Plan de Inclusión en las Artes Escénicas y la Música y Protocolo contra la discriminación en Museos Es</w:t>
      </w:r>
      <w:r w:rsidR="00CE12A6">
        <w:rPr>
          <w:rFonts w:cstheme="minorHAnsi"/>
        </w:rPr>
        <w:t>tatales</w:t>
      </w:r>
      <w:r w:rsidRPr="00532ECD">
        <w:rPr>
          <w:rFonts w:cstheme="minorHAnsi"/>
        </w:rPr>
        <w:t>.</w:t>
      </w:r>
    </w:p>
    <w:p w14:paraId="2672E66C" w14:textId="77777777" w:rsidR="004D349C" w:rsidRPr="00532ECD" w:rsidRDefault="004D349C" w:rsidP="00532ECD">
      <w:pPr>
        <w:pStyle w:val="ListParagraph"/>
        <w:numPr>
          <w:ilvl w:val="0"/>
          <w:numId w:val="18"/>
        </w:numPr>
        <w:spacing w:line="360" w:lineRule="auto"/>
        <w:jc w:val="both"/>
        <w:rPr>
          <w:rFonts w:cstheme="minorHAnsi"/>
        </w:rPr>
      </w:pPr>
      <w:r w:rsidRPr="00532ECD">
        <w:rPr>
          <w:rFonts w:cstheme="minorHAnsi"/>
        </w:rPr>
        <w:t>Refuerzo del Bono Cultural Joven, a través de actuaciones específicas para facilitar su uso por jóvenes con menores ingresos, en situación de vulnerabilidad o residentes en zonas con menor oferta cultural.</w:t>
      </w:r>
    </w:p>
    <w:p w14:paraId="20FE8505" w14:textId="77777777" w:rsidR="004D349C" w:rsidRPr="00532ECD" w:rsidRDefault="004D349C" w:rsidP="00532ECD">
      <w:pPr>
        <w:pStyle w:val="ListParagraph"/>
        <w:numPr>
          <w:ilvl w:val="0"/>
          <w:numId w:val="18"/>
        </w:numPr>
        <w:spacing w:line="360" w:lineRule="auto"/>
        <w:jc w:val="both"/>
        <w:rPr>
          <w:rFonts w:cstheme="minorHAnsi"/>
        </w:rPr>
      </w:pPr>
      <w:r w:rsidRPr="00532ECD">
        <w:rPr>
          <w:rFonts w:cstheme="minorHAnsi"/>
        </w:rPr>
        <w:t>Análisis de las oportunidades que ofrece la reducción de la jornada laboral</w:t>
      </w:r>
      <w:r w:rsidR="00CE12A6">
        <w:rPr>
          <w:rFonts w:cstheme="minorHAnsi"/>
        </w:rPr>
        <w:t>.</w:t>
      </w:r>
    </w:p>
    <w:p w14:paraId="5F41C4BD" w14:textId="77777777" w:rsidR="004D349C" w:rsidRPr="00532ECD" w:rsidRDefault="004D349C" w:rsidP="00532ECD">
      <w:pPr>
        <w:pStyle w:val="ListParagraph"/>
        <w:numPr>
          <w:ilvl w:val="0"/>
          <w:numId w:val="18"/>
        </w:numPr>
        <w:spacing w:line="360" w:lineRule="auto"/>
        <w:jc w:val="both"/>
        <w:rPr>
          <w:rFonts w:cstheme="minorHAnsi"/>
        </w:rPr>
      </w:pPr>
      <w:r w:rsidRPr="00532ECD">
        <w:rPr>
          <w:rFonts w:cstheme="minorHAnsi"/>
        </w:rPr>
        <w:t>Programa de intervención cultural en el ámbito p</w:t>
      </w:r>
      <w:r w:rsidR="00CE12A6">
        <w:rPr>
          <w:rFonts w:cstheme="minorHAnsi"/>
        </w:rPr>
        <w:t>enitenciario dirigido a mujeres</w:t>
      </w:r>
      <w:r w:rsidRPr="00532ECD">
        <w:rPr>
          <w:rFonts w:cstheme="minorHAnsi"/>
        </w:rPr>
        <w:t>.</w:t>
      </w:r>
    </w:p>
    <w:p w14:paraId="79258224" w14:textId="2838F148" w:rsidR="004D349C" w:rsidRDefault="004D349C" w:rsidP="004D349C">
      <w:pPr>
        <w:pStyle w:val="ListParagraph"/>
        <w:numPr>
          <w:ilvl w:val="0"/>
          <w:numId w:val="18"/>
        </w:numPr>
        <w:spacing w:line="360" w:lineRule="auto"/>
        <w:jc w:val="both"/>
        <w:rPr>
          <w:rFonts w:cstheme="minorHAnsi"/>
        </w:rPr>
      </w:pPr>
      <w:r w:rsidRPr="00532ECD">
        <w:rPr>
          <w:rFonts w:cstheme="minorHAnsi"/>
        </w:rPr>
        <w:t>Estrategia integral para la accesibilidad cultural, orientada a eliminar barreras físicas, sensoriales, cognitivas y comunicativas en el acceso a la cultura.</w:t>
      </w:r>
    </w:p>
    <w:p w14:paraId="2EFE861B" w14:textId="7A7CFC9C" w:rsidR="004D349C" w:rsidRPr="006B25E5" w:rsidRDefault="006B25E5" w:rsidP="004D349C">
      <w:pPr>
        <w:spacing w:line="360" w:lineRule="auto"/>
        <w:jc w:val="both"/>
        <w:rPr>
          <w:rFonts w:cstheme="minorHAnsi"/>
          <w:b/>
          <w:i/>
        </w:rPr>
      </w:pPr>
      <w:r>
        <w:rPr>
          <w:rFonts w:cstheme="minorHAnsi"/>
          <w:b/>
          <w:i/>
        </w:rPr>
        <w:t>Progreso científico</w:t>
      </w:r>
      <w:r w:rsidRPr="006B25E5">
        <w:rPr>
          <w:rFonts w:cstheme="minorHAnsi"/>
          <w:b/>
          <w:i/>
        </w:rPr>
        <w:t xml:space="preserve"> </w:t>
      </w:r>
    </w:p>
    <w:p w14:paraId="756B8A5B" w14:textId="77777777" w:rsidR="007C3FE9" w:rsidRPr="007C3FE9" w:rsidRDefault="006B25E5" w:rsidP="007C3FE9">
      <w:pPr>
        <w:spacing w:line="360" w:lineRule="auto"/>
        <w:jc w:val="both"/>
        <w:rPr>
          <w:rFonts w:cstheme="minorHAnsi"/>
        </w:rPr>
      </w:pPr>
      <w:r>
        <w:rPr>
          <w:rFonts w:cstheme="minorHAnsi"/>
        </w:rPr>
        <w:t xml:space="preserve">La </w:t>
      </w:r>
      <w:r w:rsidR="007C3FE9" w:rsidRPr="007C3FE9">
        <w:rPr>
          <w:rFonts w:cstheme="minorHAnsi"/>
        </w:rPr>
        <w:t>Estrategia Nacional de Ciencia Abierta (ENCA 2023–2027)</w:t>
      </w:r>
      <w:r>
        <w:rPr>
          <w:rFonts w:cstheme="minorHAnsi"/>
        </w:rPr>
        <w:t xml:space="preserve"> </w:t>
      </w:r>
      <w:r w:rsidR="007C3FE9" w:rsidRPr="007C3FE9">
        <w:rPr>
          <w:rFonts w:cstheme="minorHAnsi"/>
        </w:rPr>
        <w:t>constituye el marco más ambicioso desarrollado hasta la f</w:t>
      </w:r>
      <w:r>
        <w:rPr>
          <w:rFonts w:cstheme="minorHAnsi"/>
        </w:rPr>
        <w:t xml:space="preserve">echa en España en materia de acceso a la ciencia. </w:t>
      </w:r>
      <w:r w:rsidR="007C3FE9" w:rsidRPr="007C3FE9">
        <w:rPr>
          <w:rFonts w:cstheme="minorHAnsi"/>
        </w:rPr>
        <w:t xml:space="preserve">La estrategia establece que toda investigación financiada con fondos públicos deberá difundirse en acceso abierto y </w:t>
      </w:r>
      <w:r w:rsidR="007C3FE9" w:rsidRPr="007C3FE9">
        <w:rPr>
          <w:rFonts w:cstheme="minorHAnsi"/>
        </w:rPr>
        <w:lastRenderedPageBreak/>
        <w:t>bajo los principios FAIR, garantizando que los resultados sean localizables, accesibles, interoperables y reutilizables. La creación de infraestructuras digitales y repositorios interoperables con los de la Unión Europea permite asegurar que el conocimiento científico esté disponible para estudiantes, investigadores, empresas y ciudadanía en general, democratizando así el acceso al progreso científico.</w:t>
      </w:r>
    </w:p>
    <w:p w14:paraId="65D6DAE5" w14:textId="37E505A5" w:rsidR="00131AEE" w:rsidRPr="00131AEE" w:rsidRDefault="007C3FE9" w:rsidP="007C3FE9">
      <w:pPr>
        <w:spacing w:line="360" w:lineRule="auto"/>
        <w:jc w:val="both"/>
        <w:rPr>
          <w:rFonts w:cstheme="minorHAnsi"/>
        </w:rPr>
      </w:pPr>
      <w:r w:rsidRPr="007C3FE9">
        <w:rPr>
          <w:rFonts w:cstheme="minorHAnsi"/>
        </w:rPr>
        <w:t>Además, la integración de los principios de ciencia abierta en los procedimientos de evaluación y financiación consolida un cambio estructural en el sistema español de I+D+I, asegurando la sostenibilidad del modelo y su alineación con los estándares internacionales.</w:t>
      </w:r>
    </w:p>
    <w:p w14:paraId="43F42566" w14:textId="77777777" w:rsidR="007C3FE9" w:rsidRPr="006B25E5" w:rsidRDefault="007C3FE9" w:rsidP="007C3FE9">
      <w:pPr>
        <w:spacing w:line="360" w:lineRule="auto"/>
        <w:jc w:val="both"/>
        <w:rPr>
          <w:rFonts w:cstheme="minorHAnsi"/>
          <w:b/>
          <w:i/>
        </w:rPr>
      </w:pPr>
      <w:r w:rsidRPr="006B25E5">
        <w:rPr>
          <w:rFonts w:cstheme="minorHAnsi"/>
          <w:b/>
          <w:i/>
        </w:rPr>
        <w:t>Difusión de la ciencia, igualdad en el acceso y promoción de vocaciones científicas</w:t>
      </w:r>
    </w:p>
    <w:p w14:paraId="084B8570" w14:textId="77777777" w:rsidR="007C3FE9" w:rsidRPr="007C3FE9" w:rsidRDefault="006B25E5" w:rsidP="007C3FE9">
      <w:pPr>
        <w:spacing w:line="360" w:lineRule="auto"/>
        <w:jc w:val="both"/>
        <w:rPr>
          <w:rFonts w:cstheme="minorHAnsi"/>
        </w:rPr>
      </w:pPr>
      <w:r>
        <w:rPr>
          <w:rFonts w:cstheme="minorHAnsi"/>
        </w:rPr>
        <w:t>España</w:t>
      </w:r>
      <w:r w:rsidR="007C3FE9" w:rsidRPr="007C3FE9">
        <w:rPr>
          <w:rFonts w:cstheme="minorHAnsi"/>
        </w:rPr>
        <w:t xml:space="preserve"> ha reforzado las políticas de difusión de la ciencia orientadas a promover la participación ciudadana y, en particular, a lograr la igualdad en el acceso de mujeres y niñas al ámbito científico. Cada año, el Ministerio coordina junto a múltiples instituciones cerca de 200 actividades en el marco del Día Internacional de la Mujer y la Niña en la Ciencia.</w:t>
      </w:r>
    </w:p>
    <w:p w14:paraId="544AC2D2" w14:textId="77777777" w:rsidR="007C3FE9" w:rsidRPr="007C3FE9" w:rsidRDefault="007C3FE9" w:rsidP="007C3FE9">
      <w:pPr>
        <w:spacing w:line="360" w:lineRule="auto"/>
        <w:jc w:val="both"/>
        <w:rPr>
          <w:rFonts w:cstheme="minorHAnsi"/>
        </w:rPr>
      </w:pPr>
      <w:r w:rsidRPr="007C3FE9">
        <w:rPr>
          <w:rFonts w:cstheme="minorHAnsi"/>
        </w:rPr>
        <w:t>La creación, en 2021, de la plataforma “Científicas e Innovadoras” ha permitido reunir y difundir perfiles de científicas destacadas en diversos ámbitos, que actúan como referentes para las nuevas generaciones. Paralelamente, el proyecto “El CSIC en la Escuela”, en el que investigadores y maestros trabajan conjuntamente, ha contribuido a introducir la ciencia desde edades tempranas, eliminando estereotipos y promoviendo la igualdad de género.</w:t>
      </w:r>
    </w:p>
    <w:p w14:paraId="5320E7C7" w14:textId="77777777" w:rsidR="007C3FE9" w:rsidRPr="006B25E5" w:rsidRDefault="007C3FE9" w:rsidP="007C3FE9">
      <w:pPr>
        <w:spacing w:line="360" w:lineRule="auto"/>
        <w:jc w:val="both"/>
        <w:rPr>
          <w:rFonts w:cstheme="minorHAnsi"/>
          <w:b/>
          <w:i/>
        </w:rPr>
      </w:pPr>
      <w:r w:rsidRPr="006B25E5">
        <w:rPr>
          <w:rFonts w:cstheme="minorHAnsi"/>
          <w:b/>
          <w:i/>
        </w:rPr>
        <w:t>Libertad de investigación científica</w:t>
      </w:r>
    </w:p>
    <w:p w14:paraId="30688FF1" w14:textId="77777777" w:rsidR="007C3FE9" w:rsidRPr="007C3FE9" w:rsidRDefault="007C3FE9" w:rsidP="007C3FE9">
      <w:pPr>
        <w:spacing w:line="360" w:lineRule="auto"/>
        <w:jc w:val="both"/>
        <w:rPr>
          <w:rFonts w:cstheme="minorHAnsi"/>
        </w:rPr>
      </w:pPr>
      <w:r w:rsidRPr="007C3FE9">
        <w:rPr>
          <w:rFonts w:cstheme="minorHAnsi"/>
        </w:rPr>
        <w:t>La libertad de investigación es una condición indispensable para el desarrollo científico. La reforma de la Ley de la Ciencia</w:t>
      </w:r>
      <w:r w:rsidR="00396C85">
        <w:rPr>
          <w:rFonts w:cstheme="minorHAnsi"/>
        </w:rPr>
        <w:t>, la Tecnología y la Innovación</w:t>
      </w:r>
      <w:r w:rsidRPr="007C3FE9">
        <w:rPr>
          <w:rFonts w:cstheme="minorHAnsi"/>
        </w:rPr>
        <w:t>, aprobada en 2022, introdujo un conjunto de medidas orientadas a garantizar esta libertad mediante la mejora de las condiciones laborales, la estabilización de la carrera científica y el refuerzo de la autonomía de las instituciones públicas de investigación.</w:t>
      </w:r>
    </w:p>
    <w:p w14:paraId="3666D171" w14:textId="77777777" w:rsidR="00396C85" w:rsidRPr="007C3FE9" w:rsidRDefault="007C3FE9" w:rsidP="007C3FE9">
      <w:pPr>
        <w:spacing w:line="360" w:lineRule="auto"/>
        <w:jc w:val="both"/>
        <w:rPr>
          <w:rFonts w:cstheme="minorHAnsi"/>
        </w:rPr>
      </w:pPr>
      <w:r w:rsidRPr="007C3FE9">
        <w:rPr>
          <w:rFonts w:cstheme="minorHAnsi"/>
        </w:rPr>
        <w:t>La nueva normativa contempla mecanismos que fortalecen la gobernanza del sistema de I+D+I, facilitan la coordinación entre agentes públicos y privados, y establecen condiciones laborales más estables y dignas para la comunidad investigadora. Asimismo, la reforma p</w:t>
      </w:r>
      <w:r w:rsidR="00672826">
        <w:rPr>
          <w:rFonts w:cstheme="minorHAnsi"/>
        </w:rPr>
        <w:t>romueve estructuras que facilite</w:t>
      </w:r>
      <w:r w:rsidRPr="007C3FE9">
        <w:rPr>
          <w:rFonts w:cstheme="minorHAnsi"/>
        </w:rPr>
        <w:t>n la transferencia de conocimiento al sector productivo, ampliando el impacto social de la investigación y garantizando que los beneficios se distribuyan de manera más equitativa.</w:t>
      </w:r>
    </w:p>
    <w:p w14:paraId="217D9B11" w14:textId="77777777" w:rsidR="007C3FE9" w:rsidRPr="00396C85" w:rsidRDefault="007C3FE9" w:rsidP="007C3FE9">
      <w:pPr>
        <w:spacing w:line="360" w:lineRule="auto"/>
        <w:jc w:val="both"/>
        <w:rPr>
          <w:rFonts w:cstheme="minorHAnsi"/>
          <w:b/>
          <w:i/>
        </w:rPr>
      </w:pPr>
      <w:r w:rsidRPr="00396C85">
        <w:rPr>
          <w:rFonts w:cstheme="minorHAnsi"/>
          <w:b/>
          <w:i/>
        </w:rPr>
        <w:t>Cooperación científica internacional</w:t>
      </w:r>
    </w:p>
    <w:p w14:paraId="6AB2ABCC" w14:textId="77777777" w:rsidR="007C3FE9" w:rsidRPr="007C3FE9" w:rsidRDefault="007C3FE9" w:rsidP="00396C85">
      <w:pPr>
        <w:spacing w:line="360" w:lineRule="auto"/>
        <w:jc w:val="both"/>
        <w:rPr>
          <w:rFonts w:cstheme="minorHAnsi"/>
        </w:rPr>
      </w:pPr>
      <w:r w:rsidRPr="007C3FE9">
        <w:rPr>
          <w:rFonts w:cstheme="minorHAnsi"/>
        </w:rPr>
        <w:lastRenderedPageBreak/>
        <w:t>España mantiene una participación activa en importantes infraestructuras y organizaciones internacionales como el CERN o el Observatorio Austral Europeo (ESO), que co</w:t>
      </w:r>
      <w:r w:rsidR="00396C85">
        <w:rPr>
          <w:rFonts w:cstheme="minorHAnsi"/>
        </w:rPr>
        <w:t xml:space="preserve">nstituyen pilares fundamentales </w:t>
      </w:r>
      <w:r w:rsidRPr="007C3FE9">
        <w:rPr>
          <w:rFonts w:cstheme="minorHAnsi"/>
        </w:rPr>
        <w:t>de la cooper</w:t>
      </w:r>
      <w:r w:rsidR="00396C85">
        <w:rPr>
          <w:rFonts w:cstheme="minorHAnsi"/>
        </w:rPr>
        <w:t xml:space="preserve">ación científica internacional. </w:t>
      </w:r>
      <w:r w:rsidRPr="007C3FE9">
        <w:rPr>
          <w:rFonts w:cstheme="minorHAnsi"/>
        </w:rPr>
        <w:t xml:space="preserve">Asimismo, algunos proyectos nacionales, como el IFMIF–DONES (International </w:t>
      </w:r>
      <w:proofErr w:type="spellStart"/>
      <w:r w:rsidRPr="007C3FE9">
        <w:rPr>
          <w:rFonts w:cstheme="minorHAnsi"/>
        </w:rPr>
        <w:t>Fusion</w:t>
      </w:r>
      <w:proofErr w:type="spellEnd"/>
      <w:r w:rsidRPr="007C3FE9">
        <w:rPr>
          <w:rFonts w:cstheme="minorHAnsi"/>
        </w:rPr>
        <w:t xml:space="preserve"> </w:t>
      </w:r>
      <w:proofErr w:type="spellStart"/>
      <w:r w:rsidRPr="007C3FE9">
        <w:rPr>
          <w:rFonts w:cstheme="minorHAnsi"/>
        </w:rPr>
        <w:t>Materials</w:t>
      </w:r>
      <w:proofErr w:type="spellEnd"/>
      <w:r w:rsidRPr="007C3FE9">
        <w:rPr>
          <w:rFonts w:cstheme="minorHAnsi"/>
        </w:rPr>
        <w:t xml:space="preserve"> </w:t>
      </w:r>
      <w:proofErr w:type="spellStart"/>
      <w:r w:rsidRPr="007C3FE9">
        <w:rPr>
          <w:rFonts w:cstheme="minorHAnsi"/>
        </w:rPr>
        <w:t>Irradiation</w:t>
      </w:r>
      <w:proofErr w:type="spellEnd"/>
      <w:r w:rsidRPr="007C3FE9">
        <w:rPr>
          <w:rFonts w:cstheme="minorHAnsi"/>
        </w:rPr>
        <w:t xml:space="preserve"> </w:t>
      </w:r>
      <w:proofErr w:type="spellStart"/>
      <w:r w:rsidRPr="007C3FE9">
        <w:rPr>
          <w:rFonts w:cstheme="minorHAnsi"/>
        </w:rPr>
        <w:t>Facility</w:t>
      </w:r>
      <w:proofErr w:type="spellEnd"/>
      <w:r w:rsidRPr="007C3FE9">
        <w:rPr>
          <w:rFonts w:cstheme="minorHAnsi"/>
        </w:rPr>
        <w:t xml:space="preserve"> / DEMO </w:t>
      </w:r>
      <w:proofErr w:type="spellStart"/>
      <w:r w:rsidRPr="007C3FE9">
        <w:rPr>
          <w:rFonts w:cstheme="minorHAnsi"/>
        </w:rPr>
        <w:t>Oriented</w:t>
      </w:r>
      <w:proofErr w:type="spellEnd"/>
      <w:r w:rsidRPr="007C3FE9">
        <w:rPr>
          <w:rFonts w:cstheme="minorHAnsi"/>
        </w:rPr>
        <w:t xml:space="preserve"> </w:t>
      </w:r>
      <w:proofErr w:type="spellStart"/>
      <w:r w:rsidRPr="007C3FE9">
        <w:rPr>
          <w:rFonts w:cstheme="minorHAnsi"/>
        </w:rPr>
        <w:t>Neutron</w:t>
      </w:r>
      <w:proofErr w:type="spellEnd"/>
      <w:r w:rsidRPr="007C3FE9">
        <w:rPr>
          <w:rFonts w:cstheme="minorHAnsi"/>
        </w:rPr>
        <w:t xml:space="preserve"> </w:t>
      </w:r>
      <w:proofErr w:type="spellStart"/>
      <w:r w:rsidRPr="007C3FE9">
        <w:rPr>
          <w:rFonts w:cstheme="minorHAnsi"/>
        </w:rPr>
        <w:t>Source</w:t>
      </w:r>
      <w:proofErr w:type="spellEnd"/>
      <w:r w:rsidRPr="007C3FE9">
        <w:rPr>
          <w:rFonts w:cstheme="minorHAnsi"/>
        </w:rPr>
        <w:t>), cuentan ya con la participación de diversos socios internacionales y se proyectan como infraestructuras de relevancia global.</w:t>
      </w:r>
    </w:p>
    <w:p w14:paraId="63759C08" w14:textId="77777777" w:rsidR="007C3FE9" w:rsidRPr="007C3FE9" w:rsidRDefault="007C3FE9" w:rsidP="007C3FE9">
      <w:pPr>
        <w:spacing w:line="360" w:lineRule="auto"/>
        <w:jc w:val="both"/>
        <w:rPr>
          <w:rFonts w:cstheme="minorHAnsi"/>
        </w:rPr>
      </w:pPr>
      <w:r w:rsidRPr="007C3FE9">
        <w:rPr>
          <w:rFonts w:cstheme="minorHAnsi"/>
        </w:rPr>
        <w:t>A esta dimensión internacional se suma el Plan de Atracción y Retención de Talento Científico e Innovador, aprobado en junio de 2022</w:t>
      </w:r>
      <w:r w:rsidR="00396C85">
        <w:rPr>
          <w:rFonts w:cstheme="minorHAnsi"/>
        </w:rPr>
        <w:t xml:space="preserve">, que </w:t>
      </w:r>
      <w:r w:rsidRPr="007C3FE9">
        <w:rPr>
          <w:rFonts w:cstheme="minorHAnsi"/>
        </w:rPr>
        <w:t>establece un conjunto de reformas regulatorias y nuevas convocatorias destinadas a facilitar la carrera científica, eliminar barreras a la movilidad, atraer talento internacional y reforzar la presencia de personal investigador en el sector público y privado.</w:t>
      </w:r>
    </w:p>
    <w:p w14:paraId="31EFC077" w14:textId="77777777" w:rsidR="007C3FE9" w:rsidRPr="00396C85" w:rsidRDefault="007C3FE9" w:rsidP="007C3FE9">
      <w:pPr>
        <w:spacing w:line="360" w:lineRule="auto"/>
        <w:jc w:val="both"/>
        <w:rPr>
          <w:rFonts w:cstheme="minorHAnsi"/>
          <w:b/>
          <w:i/>
        </w:rPr>
      </w:pPr>
      <w:r w:rsidRPr="00396C85">
        <w:rPr>
          <w:rFonts w:cstheme="minorHAnsi"/>
          <w:b/>
          <w:i/>
        </w:rPr>
        <w:t>Igualdad de género en la I+D empresarial</w:t>
      </w:r>
    </w:p>
    <w:p w14:paraId="55B75BBD" w14:textId="77777777" w:rsidR="007C3FE9" w:rsidRPr="007C3FE9" w:rsidRDefault="00396C85" w:rsidP="007C3FE9">
      <w:pPr>
        <w:spacing w:line="360" w:lineRule="auto"/>
        <w:jc w:val="both"/>
        <w:rPr>
          <w:rFonts w:cstheme="minorHAnsi"/>
        </w:rPr>
      </w:pPr>
      <w:r>
        <w:rPr>
          <w:rFonts w:cstheme="minorHAnsi"/>
        </w:rPr>
        <w:t>El</w:t>
      </w:r>
      <w:r w:rsidR="007C3FE9" w:rsidRPr="007C3FE9">
        <w:rPr>
          <w:rFonts w:cstheme="minorHAnsi"/>
        </w:rPr>
        <w:t xml:space="preserve"> Centro para el Desarrollo Tecn</w:t>
      </w:r>
      <w:r>
        <w:rPr>
          <w:rFonts w:cstheme="minorHAnsi"/>
        </w:rPr>
        <w:t xml:space="preserve">ológico y la Innovación (CDTI) </w:t>
      </w:r>
      <w:r w:rsidR="007C3FE9" w:rsidRPr="007C3FE9">
        <w:rPr>
          <w:rFonts w:cstheme="minorHAnsi"/>
        </w:rPr>
        <w:t>ha impulsado medidas para fomentar la igualdad de género en el ámbito de la innovación empresarial. Entre ellas destaca el programa “</w:t>
      </w:r>
      <w:proofErr w:type="spellStart"/>
      <w:r w:rsidR="007C3FE9" w:rsidRPr="007C3FE9">
        <w:rPr>
          <w:rFonts w:cstheme="minorHAnsi"/>
        </w:rPr>
        <w:t>Neotec</w:t>
      </w:r>
      <w:proofErr w:type="spellEnd"/>
      <w:r w:rsidR="007C3FE9" w:rsidRPr="007C3FE9">
        <w:rPr>
          <w:rFonts w:cstheme="minorHAnsi"/>
        </w:rPr>
        <w:t xml:space="preserve"> Mujeres Emprendedoras”, lanzado inicialmente en 2022 como una convocatoria específica dotada con 5 millones de euros, y posteriormente integrada como línea permanente dentro del programa </w:t>
      </w:r>
      <w:proofErr w:type="spellStart"/>
      <w:r w:rsidR="007C3FE9" w:rsidRPr="007C3FE9">
        <w:rPr>
          <w:rFonts w:cstheme="minorHAnsi"/>
        </w:rPr>
        <w:t>Neotec</w:t>
      </w:r>
      <w:proofErr w:type="spellEnd"/>
      <w:r w:rsidR="007C3FE9" w:rsidRPr="007C3FE9">
        <w:rPr>
          <w:rFonts w:cstheme="minorHAnsi"/>
        </w:rPr>
        <w:t>. Este programa apoya proyectos empresariales de base tecnológica liderados por mujeres, fomentando la creación de empresas innovadoras y contribuyendo a reducir la brecha de género en sectores altamente tecnificados.</w:t>
      </w:r>
    </w:p>
    <w:p w14:paraId="76473893" w14:textId="77777777" w:rsidR="007C3FE9" w:rsidRPr="007C3FE9" w:rsidRDefault="007C3FE9" w:rsidP="007C3FE9">
      <w:pPr>
        <w:spacing w:line="360" w:lineRule="auto"/>
        <w:jc w:val="both"/>
        <w:rPr>
          <w:rFonts w:cstheme="minorHAnsi"/>
        </w:rPr>
      </w:pPr>
      <w:r w:rsidRPr="007C3FE9">
        <w:rPr>
          <w:rFonts w:cstheme="minorHAnsi"/>
        </w:rPr>
        <w:t>Además, el CDTI valora positivamente la existencia de planes de igualdad en las empresas solicitantes y la inclusión del enfoque de género en los proyectos de I+D+I. El Centro cuenta también con una Unidad de Igualdad desde 2019 y ha implementado su II Plan de Igualdad en 2025</w:t>
      </w:r>
      <w:r w:rsidR="006975E9">
        <w:rPr>
          <w:rFonts w:cstheme="minorHAnsi"/>
        </w:rPr>
        <w:t>.</w:t>
      </w:r>
    </w:p>
    <w:p w14:paraId="25525438" w14:textId="77777777" w:rsidR="00785709" w:rsidRPr="00785709" w:rsidRDefault="00785709" w:rsidP="00785709">
      <w:pPr>
        <w:spacing w:line="360" w:lineRule="auto"/>
        <w:jc w:val="both"/>
        <w:rPr>
          <w:rFonts w:cstheme="minorHAnsi"/>
          <w:b/>
          <w:i/>
        </w:rPr>
      </w:pPr>
      <w:r w:rsidRPr="00785709">
        <w:rPr>
          <w:rFonts w:cstheme="minorHAnsi"/>
          <w:b/>
          <w:i/>
        </w:rPr>
        <w:t xml:space="preserve">Aplicación social de la tecnología y protección civil </w:t>
      </w:r>
    </w:p>
    <w:p w14:paraId="6275A2B6" w14:textId="77777777" w:rsidR="00785709" w:rsidRPr="00785709" w:rsidRDefault="00785709" w:rsidP="00785709">
      <w:pPr>
        <w:spacing w:line="360" w:lineRule="auto"/>
        <w:jc w:val="both"/>
        <w:rPr>
          <w:rFonts w:cstheme="minorHAnsi"/>
        </w:rPr>
      </w:pPr>
      <w:r w:rsidRPr="00785709">
        <w:rPr>
          <w:rFonts w:cstheme="minorHAnsi"/>
        </w:rPr>
        <w:t xml:space="preserve">Entre 2019 y 2025, España ha consolidado su gobernanza en materia de observación de la Tierra y tecnología espacial. La gestión coordinada del programa europeo </w:t>
      </w:r>
      <w:proofErr w:type="spellStart"/>
      <w:r w:rsidRPr="00785709">
        <w:rPr>
          <w:rFonts w:cstheme="minorHAnsi"/>
        </w:rPr>
        <w:t>Copernicus</w:t>
      </w:r>
      <w:proofErr w:type="spellEnd"/>
      <w:r w:rsidRPr="00785709">
        <w:rPr>
          <w:rFonts w:cstheme="minorHAnsi"/>
        </w:rPr>
        <w:t xml:space="preserve"> y el impulso de la futura Constelación Atlántica han permitido garantizar infraestructuras críticas de datos que contribuyen directamente a la protección de la población. Estas capacidades han sido esenciales en respuestas recientes a emergencias humanitarias y climáticas, como la erupción volcánica de La Palma, las inundaciones asociadas a episodios DANA o los incendios forestales, asegurando que el Estado disponga de herramientas científicas para salvaguardar la vida y los bienes de la ciudadanía.</w:t>
      </w:r>
    </w:p>
    <w:p w14:paraId="55F00D10" w14:textId="77777777" w:rsidR="007C3FE9" w:rsidRPr="007C3FE9" w:rsidRDefault="007C3FE9" w:rsidP="007C3FE9">
      <w:pPr>
        <w:spacing w:line="360" w:lineRule="auto"/>
        <w:jc w:val="both"/>
        <w:rPr>
          <w:rFonts w:cstheme="minorHAnsi"/>
        </w:rPr>
      </w:pPr>
    </w:p>
    <w:p w14:paraId="7531FCB2" w14:textId="77777777" w:rsidR="00AC6CC7" w:rsidRPr="00AC6CC7" w:rsidRDefault="00AC6CC7" w:rsidP="00AC6CC7">
      <w:pPr>
        <w:spacing w:line="360" w:lineRule="auto"/>
        <w:jc w:val="both"/>
        <w:rPr>
          <w:rFonts w:cstheme="minorHAnsi"/>
        </w:rPr>
      </w:pPr>
    </w:p>
    <w:p w14:paraId="19B8295C" w14:textId="77777777" w:rsidR="00AC6CC7" w:rsidRPr="00AC6CC7" w:rsidRDefault="00AC6CC7" w:rsidP="00AC6CC7">
      <w:pPr>
        <w:spacing w:line="360" w:lineRule="auto"/>
        <w:jc w:val="both"/>
        <w:rPr>
          <w:rFonts w:cstheme="minorHAnsi"/>
        </w:rPr>
      </w:pPr>
    </w:p>
    <w:sectPr w:rsidR="00AC6CC7" w:rsidRPr="00AC6CC7">
      <w:footerReference w:type="defaul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E58E5" w14:textId="77777777" w:rsidR="00313C18" w:rsidRDefault="00313C18" w:rsidP="00B752EC">
      <w:pPr>
        <w:spacing w:after="0" w:line="240" w:lineRule="auto"/>
      </w:pPr>
      <w:r>
        <w:separator/>
      </w:r>
    </w:p>
  </w:endnote>
  <w:endnote w:type="continuationSeparator" w:id="0">
    <w:p w14:paraId="6633CC56" w14:textId="77777777" w:rsidR="00313C18" w:rsidRDefault="00313C18" w:rsidP="00B75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Helvetica Neue">
    <w:altName w:val="Arial"/>
    <w:charset w:val="00"/>
    <w:family w:val="roman"/>
    <w:pitch w:val="default"/>
  </w:font>
  <w:font w:name="Arial Unicode MS">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2330597"/>
      <w:docPartObj>
        <w:docPartGallery w:val="Page Numbers (Bottom of Page)"/>
        <w:docPartUnique/>
      </w:docPartObj>
    </w:sdtPr>
    <w:sdtEndPr/>
    <w:sdtContent>
      <w:p w14:paraId="5CEA3F8A" w14:textId="24F0ECB1" w:rsidR="00355873" w:rsidRDefault="00355873">
        <w:pPr>
          <w:pStyle w:val="Footer"/>
          <w:jc w:val="center"/>
        </w:pPr>
        <w:r>
          <w:fldChar w:fldCharType="begin"/>
        </w:r>
        <w:r>
          <w:instrText>PAGE   \* MERGEFORMAT</w:instrText>
        </w:r>
        <w:r>
          <w:fldChar w:fldCharType="separate"/>
        </w:r>
        <w:r w:rsidR="007B6F2C">
          <w:rPr>
            <w:noProof/>
          </w:rPr>
          <w:t>54</w:t>
        </w:r>
        <w:r>
          <w:fldChar w:fldCharType="end"/>
        </w:r>
      </w:p>
    </w:sdtContent>
  </w:sdt>
  <w:p w14:paraId="13D6C441" w14:textId="77777777" w:rsidR="00355873" w:rsidRDefault="00355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BCCD7" w14:textId="77777777" w:rsidR="00313C18" w:rsidRDefault="00313C18" w:rsidP="00B752EC">
      <w:pPr>
        <w:spacing w:after="0" w:line="240" w:lineRule="auto"/>
      </w:pPr>
      <w:r>
        <w:separator/>
      </w:r>
    </w:p>
  </w:footnote>
  <w:footnote w:type="continuationSeparator" w:id="0">
    <w:p w14:paraId="758572E9" w14:textId="77777777" w:rsidR="00313C18" w:rsidRDefault="00313C18" w:rsidP="00B752EC">
      <w:pPr>
        <w:spacing w:after="0" w:line="240" w:lineRule="auto"/>
      </w:pPr>
      <w:r>
        <w:continuationSeparator/>
      </w:r>
    </w:p>
  </w:footnote>
  <w:footnote w:id="1">
    <w:p w14:paraId="543DB35F" w14:textId="77777777" w:rsidR="00355873" w:rsidRPr="00177796" w:rsidRDefault="00355873" w:rsidP="00DC26BB">
      <w:pPr>
        <w:pStyle w:val="FootnoteText"/>
        <w:rPr>
          <w:rFonts w:ascii="Arial" w:hAnsi="Arial" w:cs="Arial"/>
          <w:sz w:val="18"/>
          <w:lang w:val="es-ES"/>
        </w:rPr>
      </w:pPr>
      <w:r w:rsidRPr="00177796">
        <w:rPr>
          <w:rStyle w:val="FootnoteReference"/>
          <w:rFonts w:ascii="Arial" w:eastAsiaTheme="majorEastAsia" w:hAnsi="Arial" w:cs="Arial"/>
          <w:sz w:val="18"/>
        </w:rPr>
        <w:footnoteRef/>
      </w:r>
      <w:r w:rsidRPr="00177796">
        <w:rPr>
          <w:rFonts w:ascii="Arial" w:hAnsi="Arial" w:cs="Arial"/>
          <w:sz w:val="18"/>
        </w:rPr>
        <w:t xml:space="preserve"> https://www.rpdiscapacidad.gob.es/estudios-publicaciones/estrategia-discapacidad-2022.htm</w:t>
      </w:r>
    </w:p>
  </w:footnote>
  <w:footnote w:id="2">
    <w:p w14:paraId="5E1730C1" w14:textId="77777777" w:rsidR="00355873" w:rsidRPr="00A82DC1" w:rsidRDefault="00355873" w:rsidP="00B752EC">
      <w:pPr>
        <w:pStyle w:val="FootnoteText"/>
        <w:rPr>
          <w:lang w:val="es-ES"/>
        </w:rPr>
      </w:pPr>
      <w:r>
        <w:rPr>
          <w:rStyle w:val="FootnoteReference"/>
          <w:rFonts w:eastAsiaTheme="majorEastAsia"/>
        </w:rPr>
        <w:footnoteRef/>
      </w:r>
      <w:r>
        <w:t xml:space="preserve"> </w:t>
      </w:r>
      <w:hyperlink r:id="rId1" w:history="1">
        <w:r w:rsidRPr="00A82DC1">
          <w:rPr>
            <w:rStyle w:val="Hyperlink"/>
            <w:rFonts w:ascii="Arial" w:hAnsi="Arial" w:cs="Arial"/>
            <w:sz w:val="18"/>
            <w:szCs w:val="18"/>
          </w:rPr>
          <w:t>Real Decreto-ley 32/2021, de 28 de diciembre, de medidas urgentes para la reforma laboral, la garantía de la estabilidad en el empleo y la transformación del mercado de trabajo</w:t>
        </w:r>
      </w:hyperlink>
      <w:r w:rsidRPr="00A82DC1">
        <w:t>.</w:t>
      </w:r>
    </w:p>
  </w:footnote>
  <w:footnote w:id="3">
    <w:p w14:paraId="3AB655DF" w14:textId="77777777" w:rsidR="00355873" w:rsidRDefault="00355873" w:rsidP="00462598">
      <w:pPr>
        <w:pStyle w:val="FootnoteText"/>
      </w:pPr>
      <w:r>
        <w:rPr>
          <w:rStyle w:val="FootnoteReference"/>
        </w:rPr>
        <w:footnoteRef/>
      </w:r>
      <w:r>
        <w:t xml:space="preserve"> Itinerarios de emancipación de éxito, de la Federación de Entidades con Proyectos y Pisos Asistidos (FEPA)</w:t>
      </w:r>
    </w:p>
    <w:p w14:paraId="00092C39" w14:textId="77777777" w:rsidR="00355873" w:rsidRDefault="00355873" w:rsidP="00462598">
      <w:pPr>
        <w:pStyle w:val="FootnoteText"/>
      </w:pPr>
      <w:r>
        <w:t>Empleo conciencia, de la Fundación Raíces</w:t>
      </w:r>
    </w:p>
    <w:p w14:paraId="7AF242DF" w14:textId="77777777" w:rsidR="00355873" w:rsidRPr="004A725F" w:rsidRDefault="00355873" w:rsidP="00462598">
      <w:pPr>
        <w:pStyle w:val="FootnoteText"/>
        <w:rPr>
          <w:lang w:val="es-ES"/>
        </w:rPr>
      </w:pPr>
      <w:r>
        <w:t>Protección integral para la infancia en movimiento sin referentes familiares en España, de Save the Children</w:t>
      </w:r>
    </w:p>
  </w:footnote>
  <w:footnote w:id="4">
    <w:p w14:paraId="3AFC5FBF" w14:textId="77777777" w:rsidR="00355873" w:rsidRDefault="00355873" w:rsidP="00462598">
      <w:pPr>
        <w:pStyle w:val="FootnoteText"/>
      </w:pPr>
      <w:r>
        <w:rPr>
          <w:rStyle w:val="FootnoteReference"/>
        </w:rPr>
        <w:footnoteRef/>
      </w:r>
      <w:r>
        <w:t xml:space="preserve"> </w:t>
      </w:r>
      <w:r w:rsidRPr="005D702C">
        <w:t>Proyecto Acompaña: Apoyo a la emancipación de jóvenes</w:t>
      </w:r>
      <w:r>
        <w:t>, de Cruz Roja</w:t>
      </w:r>
    </w:p>
    <w:p w14:paraId="7EF1F7E0" w14:textId="77777777" w:rsidR="00355873" w:rsidRPr="005D702C" w:rsidRDefault="00355873" w:rsidP="00462598">
      <w:pPr>
        <w:pStyle w:val="FootnoteText"/>
        <w:rPr>
          <w:lang w:val="es-ES"/>
        </w:rPr>
      </w:pPr>
      <w:r w:rsidRPr="005225DC">
        <w:rPr>
          <w:lang w:val="es-ES"/>
        </w:rPr>
        <w:t>Creando sinergias para la emancipación de la juventud extutelada</w:t>
      </w:r>
      <w:r>
        <w:rPr>
          <w:lang w:val="es-ES"/>
        </w:rPr>
        <w:t xml:space="preserve">, de la </w:t>
      </w:r>
      <w:r w:rsidRPr="005225DC">
        <w:rPr>
          <w:lang w:val="es-ES"/>
        </w:rPr>
        <w:t>Federación de Entidades con Proyectos y Pisos Asistidos (FEPA)</w:t>
      </w:r>
    </w:p>
  </w:footnote>
  <w:footnote w:id="5">
    <w:p w14:paraId="23BF563F" w14:textId="77777777" w:rsidR="00355873" w:rsidRPr="00BC6E57" w:rsidRDefault="00355873" w:rsidP="00E44B25">
      <w:pPr>
        <w:pStyle w:val="FootnoteText"/>
        <w:rPr>
          <w:lang w:val="es-ES"/>
        </w:rPr>
      </w:pPr>
      <w:r w:rsidRPr="00054F37">
        <w:rPr>
          <w:rStyle w:val="FootnoteReference"/>
          <w:rFonts w:ascii="Arial" w:hAnsi="Arial" w:cs="Arial"/>
        </w:rPr>
        <w:footnoteRef/>
      </w:r>
      <w:r w:rsidRPr="00054F37">
        <w:rPr>
          <w:rFonts w:ascii="Arial" w:hAnsi="Arial" w:cs="Arial"/>
        </w:rPr>
        <w:t xml:space="preserve"> </w:t>
      </w:r>
      <w:r w:rsidRPr="00BC6E57">
        <w:rPr>
          <w:rFonts w:ascii="Arial" w:hAnsi="Arial" w:cs="Arial"/>
          <w:sz w:val="18"/>
          <w:szCs w:val="18"/>
        </w:rPr>
        <w:t>Real Decreto-ley 16/2022, de 6 de septiembre, para la mejora de las condiciones de trabajo y de Seguridad Social de las personas trabajadoras al servicio del hogar</w:t>
      </w:r>
      <w:r>
        <w:rPr>
          <w:rFonts w:ascii="Arial" w:hAnsi="Arial" w:cs="Arial"/>
          <w:sz w:val="18"/>
          <w:szCs w:val="18"/>
        </w:rPr>
        <w:t>.</w:t>
      </w:r>
    </w:p>
  </w:footnote>
  <w:footnote w:id="6">
    <w:p w14:paraId="7E5C6AC0" w14:textId="77777777" w:rsidR="00355873" w:rsidRPr="00054F37" w:rsidRDefault="00355873" w:rsidP="00E44B25">
      <w:pPr>
        <w:pStyle w:val="FootnoteText"/>
        <w:rPr>
          <w:sz w:val="18"/>
          <w:szCs w:val="18"/>
          <w:lang w:val="es-ES"/>
        </w:rPr>
      </w:pPr>
      <w:r w:rsidRPr="00054F37">
        <w:rPr>
          <w:rStyle w:val="FootnoteReference"/>
          <w:rFonts w:ascii="Arial" w:hAnsi="Arial" w:cs="Arial"/>
        </w:rPr>
        <w:footnoteRef/>
      </w:r>
      <w:r>
        <w:t xml:space="preserve"> </w:t>
      </w:r>
      <w:r w:rsidRPr="00054F37">
        <w:rPr>
          <w:rFonts w:ascii="Arial" w:hAnsi="Arial" w:cs="Arial"/>
          <w:sz w:val="18"/>
          <w:szCs w:val="18"/>
        </w:rPr>
        <w:t>Real Decreto 893/2024, de 10 de septiembre, por el que se regula</w:t>
      </w:r>
      <w:r w:rsidRPr="00054F37">
        <w:rPr>
          <w:sz w:val="18"/>
          <w:szCs w:val="18"/>
        </w:rPr>
        <w:t xml:space="preserve"> </w:t>
      </w:r>
      <w:r w:rsidRPr="00054F37">
        <w:rPr>
          <w:rFonts w:ascii="Arial" w:hAnsi="Arial" w:cs="Arial"/>
          <w:sz w:val="18"/>
          <w:szCs w:val="18"/>
        </w:rPr>
        <w:t>la protección de la seguridad y la salud en el ámbito del servicio del hogar familiar</w:t>
      </w:r>
      <w:r>
        <w:rPr>
          <w:rFonts w:ascii="Arial" w:hAnsi="Arial" w:cs="Arial"/>
          <w:sz w:val="18"/>
          <w:szCs w:val="18"/>
        </w:rPr>
        <w:t>.</w:t>
      </w:r>
    </w:p>
  </w:footnote>
  <w:footnote w:id="7">
    <w:p w14:paraId="3A784CF9" w14:textId="77777777" w:rsidR="00355873" w:rsidRDefault="00355873" w:rsidP="00822810">
      <w:pPr>
        <w:rPr>
          <w:rFonts w:ascii="Times New Roman" w:hAnsi="Times New Roman"/>
          <w:sz w:val="20"/>
          <w:lang w:val="es-ES_tradnl"/>
        </w:rPr>
      </w:pPr>
      <w:r>
        <w:rPr>
          <w:rStyle w:val="FootnoteReference"/>
        </w:rPr>
        <w:footnoteRef/>
      </w:r>
      <w:r>
        <w:t xml:space="preserve"> </w:t>
      </w:r>
      <w:r>
        <w:rPr>
          <w:rFonts w:ascii="Times New Roman" w:hAnsi="Times New Roman"/>
          <w:sz w:val="20"/>
          <w:lang w:val="es-ES_tradnl"/>
        </w:rPr>
        <w:t>Programas sobre la calidad (norma UNE 309001:2023) en los hogares de acogimiento residencial, de Aldeas Infantiles (2022, 2023, 2024).</w:t>
      </w:r>
    </w:p>
    <w:p w14:paraId="342DC4CC" w14:textId="77777777" w:rsidR="00355873" w:rsidRPr="004042C0" w:rsidRDefault="00355873" w:rsidP="00822810">
      <w:pPr>
        <w:rPr>
          <w:rFonts w:ascii="Times New Roman" w:hAnsi="Times New Roman"/>
          <w:sz w:val="20"/>
          <w:lang w:val="es-ES_tradnl"/>
        </w:rPr>
      </w:pPr>
      <w:r>
        <w:rPr>
          <w:rFonts w:ascii="Times New Roman" w:hAnsi="Times New Roman"/>
          <w:sz w:val="20"/>
          <w:lang w:val="es-ES_tradnl"/>
        </w:rPr>
        <w:t>Programa de sensibilización, prevención, detección e intervención de cualquier tipo de violencia ejercida contra la infancia en acogimiento residencial del sistema de protección, de Asociación de Hogares para niños privados de ambiente familiar Nuevo Futuro (2022).</w:t>
      </w:r>
    </w:p>
    <w:p w14:paraId="5AE3A5DE" w14:textId="77777777" w:rsidR="00355873" w:rsidRPr="004042C0" w:rsidRDefault="00355873" w:rsidP="00822810">
      <w:pPr>
        <w:pStyle w:val="FootnoteText"/>
        <w:rPr>
          <w:lang w:val="es-E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942"/>
    <w:multiLevelType w:val="hybridMultilevel"/>
    <w:tmpl w:val="32904732"/>
    <w:lvl w:ilvl="0" w:tplc="6B3EBCAE">
      <w:start w:val="1"/>
      <w:numFmt w:val="decimal"/>
      <w:lvlText w:val="%1."/>
      <w:lvlJc w:val="left"/>
      <w:pPr>
        <w:tabs>
          <w:tab w:val="num" w:pos="1072"/>
        </w:tabs>
        <w:ind w:left="1072" w:hanging="363"/>
      </w:pPr>
      <w:rPr>
        <w:rFonts w:hint="default"/>
        <w:b w:val="0"/>
        <w:i w:val="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2E74FAB"/>
    <w:multiLevelType w:val="hybridMultilevel"/>
    <w:tmpl w:val="09DC83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3085F93"/>
    <w:multiLevelType w:val="hybridMultilevel"/>
    <w:tmpl w:val="88E66A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3944C64"/>
    <w:multiLevelType w:val="hybridMultilevel"/>
    <w:tmpl w:val="C40A35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FE3A62"/>
    <w:multiLevelType w:val="hybridMultilevel"/>
    <w:tmpl w:val="283CFA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6C4D2D"/>
    <w:multiLevelType w:val="hybridMultilevel"/>
    <w:tmpl w:val="0A3010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D29561B"/>
    <w:multiLevelType w:val="hybridMultilevel"/>
    <w:tmpl w:val="461ADA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4F86D99"/>
    <w:multiLevelType w:val="hybridMultilevel"/>
    <w:tmpl w:val="CD8E35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8BD16ED"/>
    <w:multiLevelType w:val="hybridMultilevel"/>
    <w:tmpl w:val="65A2544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A680CD0"/>
    <w:multiLevelType w:val="hybridMultilevel"/>
    <w:tmpl w:val="907E93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E454B96"/>
    <w:multiLevelType w:val="hybridMultilevel"/>
    <w:tmpl w:val="FB86FD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E30A3C"/>
    <w:multiLevelType w:val="hybridMultilevel"/>
    <w:tmpl w:val="9A5E71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5B06B42"/>
    <w:multiLevelType w:val="hybridMultilevel"/>
    <w:tmpl w:val="169E02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73E4FAE"/>
    <w:multiLevelType w:val="hybridMultilevel"/>
    <w:tmpl w:val="26F871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E7C2437"/>
    <w:multiLevelType w:val="hybridMultilevel"/>
    <w:tmpl w:val="3502F5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4B5723D"/>
    <w:multiLevelType w:val="hybridMultilevel"/>
    <w:tmpl w:val="628E5D6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74E60AC"/>
    <w:multiLevelType w:val="hybridMultilevel"/>
    <w:tmpl w:val="F70075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7FD15D7"/>
    <w:multiLevelType w:val="hybridMultilevel"/>
    <w:tmpl w:val="38FA273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6B240079"/>
    <w:multiLevelType w:val="hybridMultilevel"/>
    <w:tmpl w:val="364C5C0C"/>
    <w:lvl w:ilvl="0" w:tplc="34226C24">
      <w:numFmt w:val="bullet"/>
      <w:lvlText w:val=""/>
      <w:lvlJc w:val="left"/>
      <w:pPr>
        <w:ind w:left="780" w:hanging="360"/>
      </w:pPr>
      <w:rPr>
        <w:rFonts w:ascii="Symbol" w:eastAsia="Times New Roman" w:hAnsi="Symbol" w:cs="Times New Roman" w:hint="default"/>
      </w:rPr>
    </w:lvl>
    <w:lvl w:ilvl="1" w:tplc="0C0A0003">
      <w:start w:val="1"/>
      <w:numFmt w:val="bullet"/>
      <w:lvlText w:val="o"/>
      <w:lvlJc w:val="left"/>
      <w:pPr>
        <w:ind w:left="1500" w:hanging="360"/>
      </w:pPr>
      <w:rPr>
        <w:rFonts w:ascii="Courier New" w:hAnsi="Courier New" w:cs="Courier New" w:hint="default"/>
      </w:rPr>
    </w:lvl>
    <w:lvl w:ilvl="2" w:tplc="0C0A0005">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9" w15:restartNumberingAfterBreak="0">
    <w:nsid w:val="6BAF74DC"/>
    <w:multiLevelType w:val="hybridMultilevel"/>
    <w:tmpl w:val="CD829A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614EBB"/>
    <w:multiLevelType w:val="hybridMultilevel"/>
    <w:tmpl w:val="494433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AFC5EDD"/>
    <w:multiLevelType w:val="hybridMultilevel"/>
    <w:tmpl w:val="8C6477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C1F0EFF"/>
    <w:multiLevelType w:val="multilevel"/>
    <w:tmpl w:val="A5D66F7E"/>
    <w:lvl w:ilvl="0">
      <w:start w:val="1"/>
      <w:numFmt w:val="none"/>
      <w:lvlText w:val=""/>
      <w:lvlJc w:val="left"/>
      <w:pPr>
        <w:ind w:left="0" w:firstLine="0"/>
      </w:pPr>
      <w:rPr>
        <w:rFonts w:hint="default"/>
      </w:rPr>
    </w:lvl>
    <w:lvl w:ilvl="1">
      <w:start w:val="1"/>
      <w:numFmt w:val="none"/>
      <w:lvlText w:val=""/>
      <w:lvlJc w:val="left"/>
      <w:pPr>
        <w:ind w:left="0" w:firstLine="0"/>
      </w:pPr>
      <w:rPr>
        <w:rFonts w:hint="default"/>
      </w:rPr>
    </w:lvl>
    <w:lvl w:ilvl="2">
      <w:start w:val="1"/>
      <w:numFmt w:val="upperRoman"/>
      <w:lvlText w:val="TÍTULO %3"/>
      <w:lvlJc w:val="left"/>
      <w:pPr>
        <w:ind w:left="720" w:hanging="432"/>
      </w:pPr>
      <w:rPr>
        <w:rFonts w:asciiTheme="minorHAnsi" w:hAnsiTheme="minorHAnsi" w:cstheme="minorHAnsi" w:hint="default"/>
        <w:b/>
        <w:bCs/>
        <w:sz w:val="26"/>
        <w:szCs w:val="26"/>
      </w:rPr>
    </w:lvl>
    <w:lvl w:ilvl="3">
      <w:start w:val="1"/>
      <w:numFmt w:val="upperRoman"/>
      <w:lvlText w:val="CAPÍTULO %4"/>
      <w:lvlJc w:val="right"/>
      <w:pPr>
        <w:ind w:left="864" w:hanging="144"/>
      </w:pPr>
      <w:rPr>
        <w:rFonts w:hint="default"/>
      </w:rPr>
    </w:lvl>
    <w:lvl w:ilvl="4">
      <w:start w:val="1"/>
      <w:numFmt w:val="decimal"/>
      <w:lvlText w:val="%5."/>
      <w:lvlJc w:val="left"/>
      <w:pPr>
        <w:ind w:left="936" w:hanging="360"/>
      </w:pPr>
      <w:rPr>
        <w:rFonts w:hint="default"/>
      </w:rPr>
    </w:lvl>
    <w:lvl w:ilvl="5">
      <w:start w:val="1"/>
      <w:numFmt w:val="decimal"/>
      <w:lvlRestart w:val="0"/>
      <w:lvlText w:val="Artículo %6."/>
      <w:lvlJc w:val="left"/>
      <w:pPr>
        <w:ind w:left="1152" w:hanging="432"/>
      </w:pPr>
      <w:rPr>
        <w:rFonts w:hint="default"/>
        <w:i w:val="0"/>
        <w:iCs w:val="0"/>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3" w15:restartNumberingAfterBreak="0">
    <w:nsid w:val="7ECD5ED3"/>
    <w:multiLevelType w:val="hybridMultilevel"/>
    <w:tmpl w:val="2E689D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62741014">
    <w:abstractNumId w:val="18"/>
  </w:num>
  <w:num w:numId="2" w16cid:durableId="1021517144">
    <w:abstractNumId w:val="22"/>
  </w:num>
  <w:num w:numId="3" w16cid:durableId="831025867">
    <w:abstractNumId w:val="10"/>
  </w:num>
  <w:num w:numId="4" w16cid:durableId="1288047712">
    <w:abstractNumId w:val="12"/>
  </w:num>
  <w:num w:numId="5" w16cid:durableId="2000769582">
    <w:abstractNumId w:val="4"/>
  </w:num>
  <w:num w:numId="6" w16cid:durableId="181819944">
    <w:abstractNumId w:val="9"/>
  </w:num>
  <w:num w:numId="7" w16cid:durableId="2049838844">
    <w:abstractNumId w:val="11"/>
  </w:num>
  <w:num w:numId="8" w16cid:durableId="1269703167">
    <w:abstractNumId w:val="16"/>
  </w:num>
  <w:num w:numId="9" w16cid:durableId="822310307">
    <w:abstractNumId w:val="3"/>
  </w:num>
  <w:num w:numId="10" w16cid:durableId="227569985">
    <w:abstractNumId w:val="2"/>
  </w:num>
  <w:num w:numId="11" w16cid:durableId="1068919353">
    <w:abstractNumId w:val="13"/>
  </w:num>
  <w:num w:numId="12" w16cid:durableId="1084961223">
    <w:abstractNumId w:val="7"/>
  </w:num>
  <w:num w:numId="13" w16cid:durableId="1199121030">
    <w:abstractNumId w:val="21"/>
  </w:num>
  <w:num w:numId="14" w16cid:durableId="118381686">
    <w:abstractNumId w:val="5"/>
  </w:num>
  <w:num w:numId="15" w16cid:durableId="1128355420">
    <w:abstractNumId w:val="15"/>
  </w:num>
  <w:num w:numId="16" w16cid:durableId="999163942">
    <w:abstractNumId w:val="1"/>
  </w:num>
  <w:num w:numId="17" w16cid:durableId="1203445520">
    <w:abstractNumId w:val="8"/>
  </w:num>
  <w:num w:numId="18" w16cid:durableId="445199295">
    <w:abstractNumId w:val="6"/>
  </w:num>
  <w:num w:numId="19" w16cid:durableId="1235048828">
    <w:abstractNumId w:val="0"/>
  </w:num>
  <w:num w:numId="20" w16cid:durableId="1806854157">
    <w:abstractNumId w:val="19"/>
  </w:num>
  <w:num w:numId="21" w16cid:durableId="1058086395">
    <w:abstractNumId w:val="20"/>
  </w:num>
  <w:num w:numId="22" w16cid:durableId="1831284429">
    <w:abstractNumId w:val="23"/>
  </w:num>
  <w:num w:numId="23" w16cid:durableId="131099146">
    <w:abstractNumId w:val="17"/>
  </w:num>
  <w:num w:numId="24" w16cid:durableId="692074534">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hideSpellingErrors/>
  <w:hideGrammaticalErrors/>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AC7"/>
    <w:rsid w:val="000012D6"/>
    <w:rsid w:val="000013F9"/>
    <w:rsid w:val="0000370B"/>
    <w:rsid w:val="000067D1"/>
    <w:rsid w:val="0001063D"/>
    <w:rsid w:val="00026000"/>
    <w:rsid w:val="00026E87"/>
    <w:rsid w:val="00030BBE"/>
    <w:rsid w:val="00055C41"/>
    <w:rsid w:val="00055E40"/>
    <w:rsid w:val="000606C4"/>
    <w:rsid w:val="000613F3"/>
    <w:rsid w:val="00065DB2"/>
    <w:rsid w:val="00081B14"/>
    <w:rsid w:val="0008202A"/>
    <w:rsid w:val="00083064"/>
    <w:rsid w:val="00086C0A"/>
    <w:rsid w:val="00090AB6"/>
    <w:rsid w:val="000A0A65"/>
    <w:rsid w:val="000B30A6"/>
    <w:rsid w:val="000D0B06"/>
    <w:rsid w:val="000D5D8C"/>
    <w:rsid w:val="000E0E19"/>
    <w:rsid w:val="000E2C04"/>
    <w:rsid w:val="000F0AF1"/>
    <w:rsid w:val="0010608D"/>
    <w:rsid w:val="001076E7"/>
    <w:rsid w:val="00115497"/>
    <w:rsid w:val="0012244E"/>
    <w:rsid w:val="00126EE2"/>
    <w:rsid w:val="00130BC7"/>
    <w:rsid w:val="00131AEE"/>
    <w:rsid w:val="00136780"/>
    <w:rsid w:val="0014058D"/>
    <w:rsid w:val="00144491"/>
    <w:rsid w:val="00146015"/>
    <w:rsid w:val="00147B65"/>
    <w:rsid w:val="00151190"/>
    <w:rsid w:val="0015637E"/>
    <w:rsid w:val="00157E4B"/>
    <w:rsid w:val="00174B03"/>
    <w:rsid w:val="00174C71"/>
    <w:rsid w:val="00174E15"/>
    <w:rsid w:val="0017614D"/>
    <w:rsid w:val="00176F90"/>
    <w:rsid w:val="00183405"/>
    <w:rsid w:val="0019381C"/>
    <w:rsid w:val="001976FD"/>
    <w:rsid w:val="00197A65"/>
    <w:rsid w:val="00197E74"/>
    <w:rsid w:val="001C14A1"/>
    <w:rsid w:val="001C1F81"/>
    <w:rsid w:val="001C7A57"/>
    <w:rsid w:val="001D443A"/>
    <w:rsid w:val="001D6C7A"/>
    <w:rsid w:val="001E33BA"/>
    <w:rsid w:val="001F37DC"/>
    <w:rsid w:val="001F3D9C"/>
    <w:rsid w:val="0020040A"/>
    <w:rsid w:val="00211C61"/>
    <w:rsid w:val="00216B6E"/>
    <w:rsid w:val="002172DE"/>
    <w:rsid w:val="00217AF8"/>
    <w:rsid w:val="0022217C"/>
    <w:rsid w:val="0022421A"/>
    <w:rsid w:val="00230F91"/>
    <w:rsid w:val="0023165A"/>
    <w:rsid w:val="00250575"/>
    <w:rsid w:val="0025649E"/>
    <w:rsid w:val="002644AB"/>
    <w:rsid w:val="00265E18"/>
    <w:rsid w:val="00270AC7"/>
    <w:rsid w:val="00273E7F"/>
    <w:rsid w:val="002752B2"/>
    <w:rsid w:val="00276853"/>
    <w:rsid w:val="00292772"/>
    <w:rsid w:val="002A1E30"/>
    <w:rsid w:val="002A21F0"/>
    <w:rsid w:val="002B2BF8"/>
    <w:rsid w:val="002B2F8B"/>
    <w:rsid w:val="002B6ACC"/>
    <w:rsid w:val="002C5B0A"/>
    <w:rsid w:val="002D1CF3"/>
    <w:rsid w:val="002D7DDB"/>
    <w:rsid w:val="002E30F3"/>
    <w:rsid w:val="002F63AF"/>
    <w:rsid w:val="00313C18"/>
    <w:rsid w:val="00316315"/>
    <w:rsid w:val="00323330"/>
    <w:rsid w:val="003306DC"/>
    <w:rsid w:val="003327CC"/>
    <w:rsid w:val="00335312"/>
    <w:rsid w:val="00335682"/>
    <w:rsid w:val="00350524"/>
    <w:rsid w:val="003525EB"/>
    <w:rsid w:val="00355873"/>
    <w:rsid w:val="00362435"/>
    <w:rsid w:val="003677F2"/>
    <w:rsid w:val="00376A71"/>
    <w:rsid w:val="00396C85"/>
    <w:rsid w:val="003B2EC4"/>
    <w:rsid w:val="003B688B"/>
    <w:rsid w:val="003C5C53"/>
    <w:rsid w:val="003C61A2"/>
    <w:rsid w:val="003D1A16"/>
    <w:rsid w:val="003D60BB"/>
    <w:rsid w:val="003D64D6"/>
    <w:rsid w:val="003D7D6B"/>
    <w:rsid w:val="004067E5"/>
    <w:rsid w:val="00406CB6"/>
    <w:rsid w:val="00427956"/>
    <w:rsid w:val="00433B9F"/>
    <w:rsid w:val="004436C1"/>
    <w:rsid w:val="0044413A"/>
    <w:rsid w:val="004457E3"/>
    <w:rsid w:val="00447BAB"/>
    <w:rsid w:val="00456753"/>
    <w:rsid w:val="00462598"/>
    <w:rsid w:val="004641C3"/>
    <w:rsid w:val="00465F52"/>
    <w:rsid w:val="00472C89"/>
    <w:rsid w:val="004732A8"/>
    <w:rsid w:val="00474C54"/>
    <w:rsid w:val="00477DE0"/>
    <w:rsid w:val="004814FA"/>
    <w:rsid w:val="004848DF"/>
    <w:rsid w:val="004903D6"/>
    <w:rsid w:val="004943C8"/>
    <w:rsid w:val="004A212F"/>
    <w:rsid w:val="004A2B89"/>
    <w:rsid w:val="004A54B4"/>
    <w:rsid w:val="004A754E"/>
    <w:rsid w:val="004B5306"/>
    <w:rsid w:val="004C1BDF"/>
    <w:rsid w:val="004C3AC6"/>
    <w:rsid w:val="004C3B73"/>
    <w:rsid w:val="004C422A"/>
    <w:rsid w:val="004D016E"/>
    <w:rsid w:val="004D349C"/>
    <w:rsid w:val="004D795C"/>
    <w:rsid w:val="004E5F46"/>
    <w:rsid w:val="004E7E4A"/>
    <w:rsid w:val="004F2E46"/>
    <w:rsid w:val="004F50B6"/>
    <w:rsid w:val="004F778D"/>
    <w:rsid w:val="00501999"/>
    <w:rsid w:val="0051544B"/>
    <w:rsid w:val="00517289"/>
    <w:rsid w:val="0052438B"/>
    <w:rsid w:val="005251C0"/>
    <w:rsid w:val="005309EE"/>
    <w:rsid w:val="00531EE7"/>
    <w:rsid w:val="00532ECD"/>
    <w:rsid w:val="00534DAD"/>
    <w:rsid w:val="00540A7C"/>
    <w:rsid w:val="00544839"/>
    <w:rsid w:val="00546BF1"/>
    <w:rsid w:val="0055183C"/>
    <w:rsid w:val="005873AC"/>
    <w:rsid w:val="00592CDB"/>
    <w:rsid w:val="00593A91"/>
    <w:rsid w:val="00596C91"/>
    <w:rsid w:val="005A5592"/>
    <w:rsid w:val="005B12E8"/>
    <w:rsid w:val="005B45E0"/>
    <w:rsid w:val="005B6FF8"/>
    <w:rsid w:val="005B799C"/>
    <w:rsid w:val="005C08A6"/>
    <w:rsid w:val="005C6C58"/>
    <w:rsid w:val="005D261B"/>
    <w:rsid w:val="005D272B"/>
    <w:rsid w:val="005E0C8C"/>
    <w:rsid w:val="005E644C"/>
    <w:rsid w:val="005F18BC"/>
    <w:rsid w:val="006002C7"/>
    <w:rsid w:val="00620CEC"/>
    <w:rsid w:val="00621BFD"/>
    <w:rsid w:val="00622AC8"/>
    <w:rsid w:val="00623953"/>
    <w:rsid w:val="00624CCD"/>
    <w:rsid w:val="006432AD"/>
    <w:rsid w:val="00645786"/>
    <w:rsid w:val="00652127"/>
    <w:rsid w:val="00666F55"/>
    <w:rsid w:val="00667640"/>
    <w:rsid w:val="0067168F"/>
    <w:rsid w:val="00672826"/>
    <w:rsid w:val="00681195"/>
    <w:rsid w:val="006834C5"/>
    <w:rsid w:val="006975E9"/>
    <w:rsid w:val="006B25E5"/>
    <w:rsid w:val="006B5F5F"/>
    <w:rsid w:val="006B631B"/>
    <w:rsid w:val="006C0884"/>
    <w:rsid w:val="006C663B"/>
    <w:rsid w:val="006E2000"/>
    <w:rsid w:val="006F7E80"/>
    <w:rsid w:val="00701988"/>
    <w:rsid w:val="007053E8"/>
    <w:rsid w:val="00705C20"/>
    <w:rsid w:val="00711981"/>
    <w:rsid w:val="0071217E"/>
    <w:rsid w:val="00715E1F"/>
    <w:rsid w:val="007233EA"/>
    <w:rsid w:val="007419FC"/>
    <w:rsid w:val="007422A9"/>
    <w:rsid w:val="007425F7"/>
    <w:rsid w:val="00747317"/>
    <w:rsid w:val="0076513F"/>
    <w:rsid w:val="00766695"/>
    <w:rsid w:val="00770CE1"/>
    <w:rsid w:val="007829C9"/>
    <w:rsid w:val="00785709"/>
    <w:rsid w:val="007860DB"/>
    <w:rsid w:val="0078662B"/>
    <w:rsid w:val="0079164D"/>
    <w:rsid w:val="00793DB2"/>
    <w:rsid w:val="007958C7"/>
    <w:rsid w:val="007A3831"/>
    <w:rsid w:val="007A50D2"/>
    <w:rsid w:val="007B2EA6"/>
    <w:rsid w:val="007B461C"/>
    <w:rsid w:val="007B6C57"/>
    <w:rsid w:val="007B6F2C"/>
    <w:rsid w:val="007C0406"/>
    <w:rsid w:val="007C3FE9"/>
    <w:rsid w:val="007D2A1F"/>
    <w:rsid w:val="007E6562"/>
    <w:rsid w:val="007F3561"/>
    <w:rsid w:val="007F3BDA"/>
    <w:rsid w:val="007F5D6E"/>
    <w:rsid w:val="008027F1"/>
    <w:rsid w:val="00811572"/>
    <w:rsid w:val="008155BF"/>
    <w:rsid w:val="00822810"/>
    <w:rsid w:val="0082369E"/>
    <w:rsid w:val="008238CA"/>
    <w:rsid w:val="00823FC0"/>
    <w:rsid w:val="0083499E"/>
    <w:rsid w:val="008357BE"/>
    <w:rsid w:val="0084383F"/>
    <w:rsid w:val="00847A96"/>
    <w:rsid w:val="00854501"/>
    <w:rsid w:val="00854A59"/>
    <w:rsid w:val="00855360"/>
    <w:rsid w:val="00856F6B"/>
    <w:rsid w:val="00863E2D"/>
    <w:rsid w:val="0086446C"/>
    <w:rsid w:val="00866686"/>
    <w:rsid w:val="008828C2"/>
    <w:rsid w:val="008848FF"/>
    <w:rsid w:val="00885988"/>
    <w:rsid w:val="00894A91"/>
    <w:rsid w:val="008A384E"/>
    <w:rsid w:val="008A5267"/>
    <w:rsid w:val="008B2AAA"/>
    <w:rsid w:val="008C0527"/>
    <w:rsid w:val="008D6A14"/>
    <w:rsid w:val="008E58A0"/>
    <w:rsid w:val="008E6B87"/>
    <w:rsid w:val="008F1EEE"/>
    <w:rsid w:val="008F2072"/>
    <w:rsid w:val="008F221F"/>
    <w:rsid w:val="008F5FAB"/>
    <w:rsid w:val="00900B7F"/>
    <w:rsid w:val="00904C6A"/>
    <w:rsid w:val="00910094"/>
    <w:rsid w:val="009126C5"/>
    <w:rsid w:val="00913796"/>
    <w:rsid w:val="009147F7"/>
    <w:rsid w:val="009216EC"/>
    <w:rsid w:val="00923B97"/>
    <w:rsid w:val="009245BE"/>
    <w:rsid w:val="0092526C"/>
    <w:rsid w:val="00926DBA"/>
    <w:rsid w:val="009371DE"/>
    <w:rsid w:val="0094402C"/>
    <w:rsid w:val="0094577D"/>
    <w:rsid w:val="00946ECF"/>
    <w:rsid w:val="0095035F"/>
    <w:rsid w:val="00950DAF"/>
    <w:rsid w:val="009517EA"/>
    <w:rsid w:val="00963086"/>
    <w:rsid w:val="00970E7F"/>
    <w:rsid w:val="00980D7C"/>
    <w:rsid w:val="0098343A"/>
    <w:rsid w:val="0098670A"/>
    <w:rsid w:val="00991FD9"/>
    <w:rsid w:val="00994556"/>
    <w:rsid w:val="00997CAE"/>
    <w:rsid w:val="009A7FAA"/>
    <w:rsid w:val="009D2D22"/>
    <w:rsid w:val="009D5C73"/>
    <w:rsid w:val="009D6FAA"/>
    <w:rsid w:val="009D7534"/>
    <w:rsid w:val="009E25A1"/>
    <w:rsid w:val="009F429A"/>
    <w:rsid w:val="009F6AEF"/>
    <w:rsid w:val="00A04580"/>
    <w:rsid w:val="00A06E54"/>
    <w:rsid w:val="00A11721"/>
    <w:rsid w:val="00A13BE0"/>
    <w:rsid w:val="00A14D65"/>
    <w:rsid w:val="00A26E27"/>
    <w:rsid w:val="00A26E94"/>
    <w:rsid w:val="00A31E86"/>
    <w:rsid w:val="00A405F8"/>
    <w:rsid w:val="00A425BC"/>
    <w:rsid w:val="00A46A06"/>
    <w:rsid w:val="00A54D77"/>
    <w:rsid w:val="00A63DF0"/>
    <w:rsid w:val="00A64587"/>
    <w:rsid w:val="00A64859"/>
    <w:rsid w:val="00A831A3"/>
    <w:rsid w:val="00A83B2B"/>
    <w:rsid w:val="00A9357C"/>
    <w:rsid w:val="00A95082"/>
    <w:rsid w:val="00A96BCC"/>
    <w:rsid w:val="00A96CF4"/>
    <w:rsid w:val="00A97278"/>
    <w:rsid w:val="00AB16FA"/>
    <w:rsid w:val="00AB25E8"/>
    <w:rsid w:val="00AB3934"/>
    <w:rsid w:val="00AC6CC7"/>
    <w:rsid w:val="00AC6D81"/>
    <w:rsid w:val="00AC737B"/>
    <w:rsid w:val="00AD41B6"/>
    <w:rsid w:val="00AE17CE"/>
    <w:rsid w:val="00AE2A09"/>
    <w:rsid w:val="00AE7A0E"/>
    <w:rsid w:val="00AF06F4"/>
    <w:rsid w:val="00B000D3"/>
    <w:rsid w:val="00B01C94"/>
    <w:rsid w:val="00B04DFA"/>
    <w:rsid w:val="00B0771A"/>
    <w:rsid w:val="00B07867"/>
    <w:rsid w:val="00B07880"/>
    <w:rsid w:val="00B140DF"/>
    <w:rsid w:val="00B21721"/>
    <w:rsid w:val="00B24AF3"/>
    <w:rsid w:val="00B310DF"/>
    <w:rsid w:val="00B313BB"/>
    <w:rsid w:val="00B35A2D"/>
    <w:rsid w:val="00B4017F"/>
    <w:rsid w:val="00B4351F"/>
    <w:rsid w:val="00B47E7F"/>
    <w:rsid w:val="00B53E1A"/>
    <w:rsid w:val="00B60384"/>
    <w:rsid w:val="00B63D71"/>
    <w:rsid w:val="00B71260"/>
    <w:rsid w:val="00B73489"/>
    <w:rsid w:val="00B752EC"/>
    <w:rsid w:val="00B8424D"/>
    <w:rsid w:val="00B8632C"/>
    <w:rsid w:val="00B92992"/>
    <w:rsid w:val="00B969F7"/>
    <w:rsid w:val="00BA3637"/>
    <w:rsid w:val="00BB0816"/>
    <w:rsid w:val="00BB56A3"/>
    <w:rsid w:val="00BB5917"/>
    <w:rsid w:val="00BC7845"/>
    <w:rsid w:val="00BD2039"/>
    <w:rsid w:val="00BD3358"/>
    <w:rsid w:val="00BD5039"/>
    <w:rsid w:val="00BD5CEE"/>
    <w:rsid w:val="00BE0FA9"/>
    <w:rsid w:val="00BE1BD4"/>
    <w:rsid w:val="00BE6ED5"/>
    <w:rsid w:val="00BE7277"/>
    <w:rsid w:val="00C03C81"/>
    <w:rsid w:val="00C04FFC"/>
    <w:rsid w:val="00C13EA0"/>
    <w:rsid w:val="00C146B7"/>
    <w:rsid w:val="00C2132C"/>
    <w:rsid w:val="00C21908"/>
    <w:rsid w:val="00C300B9"/>
    <w:rsid w:val="00C3064D"/>
    <w:rsid w:val="00C31C3C"/>
    <w:rsid w:val="00C36881"/>
    <w:rsid w:val="00C40F69"/>
    <w:rsid w:val="00C42569"/>
    <w:rsid w:val="00C53A4F"/>
    <w:rsid w:val="00C565D1"/>
    <w:rsid w:val="00C56A85"/>
    <w:rsid w:val="00C63219"/>
    <w:rsid w:val="00C6422F"/>
    <w:rsid w:val="00C71EA7"/>
    <w:rsid w:val="00C81875"/>
    <w:rsid w:val="00C91C8C"/>
    <w:rsid w:val="00C946CF"/>
    <w:rsid w:val="00CA33E7"/>
    <w:rsid w:val="00CA5610"/>
    <w:rsid w:val="00CB1A59"/>
    <w:rsid w:val="00CB3BC5"/>
    <w:rsid w:val="00CB73D1"/>
    <w:rsid w:val="00CC014B"/>
    <w:rsid w:val="00CC2A66"/>
    <w:rsid w:val="00CD221F"/>
    <w:rsid w:val="00CD2C28"/>
    <w:rsid w:val="00CD4545"/>
    <w:rsid w:val="00CD4E7F"/>
    <w:rsid w:val="00CD58B9"/>
    <w:rsid w:val="00CE12A6"/>
    <w:rsid w:val="00CE3F1C"/>
    <w:rsid w:val="00CF0FE0"/>
    <w:rsid w:val="00CF7FD3"/>
    <w:rsid w:val="00D00388"/>
    <w:rsid w:val="00D05222"/>
    <w:rsid w:val="00D07598"/>
    <w:rsid w:val="00D129AD"/>
    <w:rsid w:val="00D14908"/>
    <w:rsid w:val="00D15D0E"/>
    <w:rsid w:val="00D1743D"/>
    <w:rsid w:val="00D2174A"/>
    <w:rsid w:val="00D2329B"/>
    <w:rsid w:val="00D24421"/>
    <w:rsid w:val="00D25F87"/>
    <w:rsid w:val="00D2764E"/>
    <w:rsid w:val="00D309BB"/>
    <w:rsid w:val="00D32909"/>
    <w:rsid w:val="00D52FC2"/>
    <w:rsid w:val="00D555E6"/>
    <w:rsid w:val="00D6204D"/>
    <w:rsid w:val="00D71B9C"/>
    <w:rsid w:val="00D731C7"/>
    <w:rsid w:val="00D745C2"/>
    <w:rsid w:val="00D74EC7"/>
    <w:rsid w:val="00D85ACB"/>
    <w:rsid w:val="00D95F50"/>
    <w:rsid w:val="00DA36B9"/>
    <w:rsid w:val="00DB10D1"/>
    <w:rsid w:val="00DC009D"/>
    <w:rsid w:val="00DC0239"/>
    <w:rsid w:val="00DC26BB"/>
    <w:rsid w:val="00DC4503"/>
    <w:rsid w:val="00DD06DF"/>
    <w:rsid w:val="00DD3009"/>
    <w:rsid w:val="00DE1D8C"/>
    <w:rsid w:val="00DE3B36"/>
    <w:rsid w:val="00DE7CA0"/>
    <w:rsid w:val="00E070BE"/>
    <w:rsid w:val="00E11BCC"/>
    <w:rsid w:val="00E14783"/>
    <w:rsid w:val="00E22FD1"/>
    <w:rsid w:val="00E4017D"/>
    <w:rsid w:val="00E40DBC"/>
    <w:rsid w:val="00E421D5"/>
    <w:rsid w:val="00E426B7"/>
    <w:rsid w:val="00E44B25"/>
    <w:rsid w:val="00E44B2B"/>
    <w:rsid w:val="00E55F00"/>
    <w:rsid w:val="00E56E60"/>
    <w:rsid w:val="00E56E64"/>
    <w:rsid w:val="00E70B1A"/>
    <w:rsid w:val="00E70EE4"/>
    <w:rsid w:val="00E90D4E"/>
    <w:rsid w:val="00E94B05"/>
    <w:rsid w:val="00E95E78"/>
    <w:rsid w:val="00E96D55"/>
    <w:rsid w:val="00E97D82"/>
    <w:rsid w:val="00EA5526"/>
    <w:rsid w:val="00EE145B"/>
    <w:rsid w:val="00EE3C15"/>
    <w:rsid w:val="00EE4B27"/>
    <w:rsid w:val="00EF4623"/>
    <w:rsid w:val="00EF7A0E"/>
    <w:rsid w:val="00F00E4F"/>
    <w:rsid w:val="00F062AC"/>
    <w:rsid w:val="00F0777F"/>
    <w:rsid w:val="00F2181A"/>
    <w:rsid w:val="00F42C39"/>
    <w:rsid w:val="00F4557B"/>
    <w:rsid w:val="00F46F8A"/>
    <w:rsid w:val="00F470B3"/>
    <w:rsid w:val="00F5009C"/>
    <w:rsid w:val="00F503FC"/>
    <w:rsid w:val="00F52319"/>
    <w:rsid w:val="00F541A6"/>
    <w:rsid w:val="00F607B5"/>
    <w:rsid w:val="00F65494"/>
    <w:rsid w:val="00F667C9"/>
    <w:rsid w:val="00F71546"/>
    <w:rsid w:val="00F8066F"/>
    <w:rsid w:val="00FA35E4"/>
    <w:rsid w:val="00FA4E7A"/>
    <w:rsid w:val="00FA52A2"/>
    <w:rsid w:val="00FA604C"/>
    <w:rsid w:val="00FC290C"/>
    <w:rsid w:val="00FC2C75"/>
    <w:rsid w:val="00FC2F2A"/>
    <w:rsid w:val="00FC556E"/>
    <w:rsid w:val="00FD5A80"/>
    <w:rsid w:val="00FE0C4D"/>
    <w:rsid w:val="00FE10DF"/>
    <w:rsid w:val="00FF08A7"/>
    <w:rsid w:val="00FF23D7"/>
    <w:rsid w:val="00FF3245"/>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AF35E"/>
  <w15:chartTrackingRefBased/>
  <w15:docId w15:val="{8186AF9B-903E-4CC9-91CD-198AB453A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766695"/>
    <w:pPr>
      <w:keepNext/>
      <w:keepLines/>
      <w:spacing w:before="240" w:after="0" w:line="360" w:lineRule="exact"/>
      <w:outlineLvl w:val="0"/>
    </w:pPr>
    <w:rPr>
      <w:rFonts w:asciiTheme="majorHAnsi" w:eastAsiaTheme="majorEastAsia" w:hAnsiTheme="majorHAnsi" w:cstheme="majorBidi"/>
      <w:color w:val="2E74B5" w:themeColor="accent1" w:themeShade="BF"/>
      <w:sz w:val="32"/>
      <w:szCs w:val="32"/>
      <w:lang w:eastAsia="es-ES"/>
    </w:rPr>
  </w:style>
  <w:style w:type="paragraph" w:styleId="Heading2">
    <w:name w:val="heading 2"/>
    <w:basedOn w:val="Normal"/>
    <w:next w:val="Normal"/>
    <w:link w:val="Heading2Char"/>
    <w:unhideWhenUsed/>
    <w:qFormat/>
    <w:rsid w:val="00CD2C28"/>
    <w:pPr>
      <w:spacing w:after="0" w:line="276" w:lineRule="auto"/>
      <w:outlineLvl w:val="1"/>
    </w:pPr>
    <w:rPr>
      <w:rFonts w:eastAsiaTheme="minorEastAsia"/>
      <w:smallCaps/>
      <w:spacing w:val="5"/>
      <w:sz w:val="28"/>
      <w:szCs w:val="28"/>
    </w:rPr>
  </w:style>
  <w:style w:type="paragraph" w:styleId="Heading3">
    <w:name w:val="heading 3"/>
    <w:basedOn w:val="Normal"/>
    <w:next w:val="Normal"/>
    <w:link w:val="Heading3Char"/>
    <w:unhideWhenUsed/>
    <w:qFormat/>
    <w:rsid w:val="00766695"/>
    <w:pPr>
      <w:keepNext/>
      <w:keepLines/>
      <w:spacing w:before="40" w:after="0" w:line="360" w:lineRule="exact"/>
      <w:ind w:left="720" w:hanging="432"/>
      <w:outlineLvl w:val="2"/>
    </w:pPr>
    <w:rPr>
      <w:rFonts w:asciiTheme="majorHAnsi" w:eastAsiaTheme="majorEastAsia" w:hAnsiTheme="majorHAnsi" w:cstheme="majorBidi"/>
      <w:color w:val="1F4D78" w:themeColor="accent1" w:themeShade="7F"/>
      <w:sz w:val="24"/>
      <w:szCs w:val="24"/>
      <w:lang w:eastAsia="es-ES"/>
    </w:rPr>
  </w:style>
  <w:style w:type="paragraph" w:styleId="Heading9">
    <w:name w:val="heading 9"/>
    <w:basedOn w:val="Normal"/>
    <w:next w:val="Normal"/>
    <w:link w:val="Heading9Char"/>
    <w:unhideWhenUsed/>
    <w:qFormat/>
    <w:rsid w:val="00766695"/>
    <w:pPr>
      <w:keepNext/>
      <w:keepLines/>
      <w:spacing w:before="40" w:after="0" w:line="360" w:lineRule="exact"/>
      <w:ind w:left="1152" w:hanging="432"/>
      <w:outlineLvl w:val="8"/>
    </w:pPr>
    <w:rPr>
      <w:rFonts w:asciiTheme="majorHAnsi" w:eastAsiaTheme="majorEastAsia" w:hAnsiTheme="majorHAnsi" w:cstheme="majorBidi"/>
      <w:i/>
      <w:iCs/>
      <w:color w:val="272727" w:themeColor="text1" w:themeTint="D8"/>
      <w:sz w:val="21"/>
      <w:szCs w:val="21"/>
      <w:lang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Párrafo1_viñeta,Texto corrido,Párrafo,Citation List,본문(내용),List Paragraph (numbered (a)),Bullets,Akapit z listą BS,WB Para,List Paragraph2,Lapis Bulleted List,Dot pt,F5 List Paragraph,No Spacing1,List Paragraph Char Char Char,lp1,L"/>
    <w:basedOn w:val="Normal"/>
    <w:link w:val="ListParagraphChar"/>
    <w:uiPriority w:val="34"/>
    <w:qFormat/>
    <w:rsid w:val="003B688B"/>
    <w:pPr>
      <w:ind w:left="720"/>
      <w:contextualSpacing/>
    </w:pPr>
  </w:style>
  <w:style w:type="paragraph" w:styleId="FootnoteText">
    <w:name w:val="footnote text"/>
    <w:aliases w:val="Reference,Fußnote,Footnote Text Char1 Char,Footnote Text Char Char Char,Footnote Text Char2 Char Char Char,Footnote Text Char1 Char Char Char Char,Footnote Text Char Char Char Char Char Char,FSR footnote,lábléc"/>
    <w:basedOn w:val="Normal"/>
    <w:link w:val="FootnoteTextChar"/>
    <w:uiPriority w:val="99"/>
    <w:rsid w:val="00B752EC"/>
    <w:pPr>
      <w:spacing w:after="0" w:line="240" w:lineRule="auto"/>
    </w:pPr>
    <w:rPr>
      <w:rFonts w:ascii="Times New Roman" w:eastAsia="Times New Roman" w:hAnsi="Times New Roman" w:cs="Times New Roman"/>
      <w:sz w:val="20"/>
      <w:szCs w:val="20"/>
      <w:lang w:val="es-ES_tradnl" w:eastAsia="es-ES"/>
    </w:rPr>
  </w:style>
  <w:style w:type="character" w:customStyle="1" w:styleId="FootnoteTextChar">
    <w:name w:val="Footnote Text Char"/>
    <w:aliases w:val="Reference Char,Fußnote Char,Footnote Text Char1 Char Char,Footnote Text Char Char Char Char,Footnote Text Char2 Char Char Char Char,Footnote Text Char1 Char Char Char Char Char,Footnote Text Char Char Char Char Char Char Char"/>
    <w:basedOn w:val="DefaultParagraphFont"/>
    <w:link w:val="FootnoteText"/>
    <w:uiPriority w:val="99"/>
    <w:rsid w:val="00B752EC"/>
    <w:rPr>
      <w:rFonts w:ascii="Times New Roman" w:eastAsia="Times New Roman" w:hAnsi="Times New Roman" w:cs="Times New Roman"/>
      <w:sz w:val="20"/>
      <w:szCs w:val="20"/>
      <w:lang w:val="es-ES_tradnl" w:eastAsia="es-ES"/>
    </w:rPr>
  </w:style>
  <w:style w:type="character" w:styleId="FootnoteReference">
    <w:name w:val="footnote reference"/>
    <w:aliases w:val="SUPERS,Footnote reference number,Footnote symbol,note TESI,-E Fußnotenzeichen,number,fr,Ref,de nota al pie,Footnote,Footnote number Car Car Car Car Car Car Car Car Car,Footnote number Car Car1 Car Car Car Car"/>
    <w:uiPriority w:val="99"/>
    <w:rsid w:val="00B752EC"/>
    <w:rPr>
      <w:vertAlign w:val="superscript"/>
    </w:rPr>
  </w:style>
  <w:style w:type="character" w:styleId="Hyperlink">
    <w:name w:val="Hyperlink"/>
    <w:rsid w:val="00B752EC"/>
    <w:rPr>
      <w:color w:val="0000FF"/>
      <w:u w:val="single"/>
    </w:rPr>
  </w:style>
  <w:style w:type="character" w:customStyle="1" w:styleId="ListParagraphChar">
    <w:name w:val="List Paragraph Char"/>
    <w:aliases w:val="List Char,Párrafo1_viñeta Char,Texto corrido Char,Párrafo Char,Citation List Char,본문(내용) Char,List Paragraph (numbered (a)) Char,Bullets Char,Akapit z listą BS Char,WB Para Char,List Paragraph2 Char,Lapis Bulleted List Char,lp1 Char"/>
    <w:link w:val="ListParagraph"/>
    <w:uiPriority w:val="34"/>
    <w:qFormat/>
    <w:rsid w:val="00B752EC"/>
  </w:style>
  <w:style w:type="character" w:customStyle="1" w:styleId="Heading2Char">
    <w:name w:val="Heading 2 Char"/>
    <w:basedOn w:val="DefaultParagraphFont"/>
    <w:link w:val="Heading2"/>
    <w:uiPriority w:val="9"/>
    <w:rsid w:val="00CD2C28"/>
    <w:rPr>
      <w:rFonts w:eastAsiaTheme="minorEastAsia"/>
      <w:smallCaps/>
      <w:spacing w:val="5"/>
      <w:sz w:val="28"/>
      <w:szCs w:val="28"/>
    </w:rPr>
  </w:style>
  <w:style w:type="table" w:styleId="TableGrid">
    <w:name w:val="Table Grid"/>
    <w:basedOn w:val="TableNormal"/>
    <w:uiPriority w:val="39"/>
    <w:rsid w:val="00CD2C28"/>
    <w:pPr>
      <w:spacing w:after="0" w:line="240" w:lineRule="auto"/>
      <w:jc w:val="both"/>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71260"/>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aconcuadrcula1">
    <w:name w:val="Tabla con cuadrícula1"/>
    <w:basedOn w:val="TableNormal"/>
    <w:next w:val="TableGrid"/>
    <w:uiPriority w:val="39"/>
    <w:rsid w:val="00E96D55"/>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23G">
    <w:name w:val="_ H_2/3_G"/>
    <w:basedOn w:val="Normal"/>
    <w:next w:val="Normal"/>
    <w:qFormat/>
    <w:rsid w:val="004D349C"/>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eastAsia="es-ES"/>
    </w:rPr>
  </w:style>
  <w:style w:type="paragraph" w:customStyle="1" w:styleId="SingleTxtG">
    <w:name w:val="_ Single Txt_G"/>
    <w:basedOn w:val="Normal"/>
    <w:link w:val="SingleTxtGChar"/>
    <w:qFormat/>
    <w:rsid w:val="004D349C"/>
    <w:pPr>
      <w:spacing w:after="120" w:line="240" w:lineRule="atLeast"/>
      <w:ind w:left="1134" w:right="1134"/>
      <w:jc w:val="both"/>
    </w:pPr>
    <w:rPr>
      <w:rFonts w:ascii="Times New Roman" w:eastAsia="Times New Roman" w:hAnsi="Times New Roman" w:cs="Times New Roman"/>
      <w:sz w:val="20"/>
      <w:szCs w:val="20"/>
      <w:lang w:eastAsia="es-ES"/>
    </w:rPr>
  </w:style>
  <w:style w:type="character" w:customStyle="1" w:styleId="SingleTxtGChar">
    <w:name w:val="_ Single Txt_G Char"/>
    <w:link w:val="SingleTxtG"/>
    <w:locked/>
    <w:rsid w:val="004D349C"/>
    <w:rPr>
      <w:rFonts w:ascii="Times New Roman" w:eastAsia="Times New Roman" w:hAnsi="Times New Roman" w:cs="Times New Roman"/>
      <w:sz w:val="20"/>
      <w:szCs w:val="20"/>
      <w:lang w:eastAsia="es-ES"/>
    </w:rPr>
  </w:style>
  <w:style w:type="paragraph" w:customStyle="1" w:styleId="Cuerpo">
    <w:name w:val="Cuerpo"/>
    <w:rsid w:val="00AB25E8"/>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s-ES_tradnl" w:eastAsia="es-ES"/>
      <w14:textOutline w14:w="0" w14:cap="flat" w14:cmpd="sng" w14:algn="ctr">
        <w14:noFill/>
        <w14:prstDash w14:val="solid"/>
        <w14:bevel/>
      </w14:textOutline>
    </w:rPr>
  </w:style>
  <w:style w:type="paragraph" w:customStyle="1" w:styleId="Poromisin">
    <w:name w:val="Por omisión"/>
    <w:rsid w:val="00AB25E8"/>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val="es-ES_tradnl" w:eastAsia="es-ES"/>
      <w14:textOutline w14:w="0" w14:cap="flat" w14:cmpd="sng" w14:algn="ctr">
        <w14:noFill/>
        <w14:prstDash w14:val="solid"/>
        <w14:bevel/>
      </w14:textOutline>
    </w:rPr>
  </w:style>
  <w:style w:type="paragraph" w:customStyle="1" w:styleId="parrafo">
    <w:name w:val="parrafo"/>
    <w:basedOn w:val="Normal"/>
    <w:rsid w:val="00C146B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ms-rteelement-parrafonormal">
    <w:name w:val="ms-rteelement-parrafo_normal"/>
    <w:basedOn w:val="Normal"/>
    <w:rsid w:val="008027F1"/>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Heading1Char">
    <w:name w:val="Heading 1 Char"/>
    <w:basedOn w:val="DefaultParagraphFont"/>
    <w:link w:val="Heading1"/>
    <w:rsid w:val="00766695"/>
    <w:rPr>
      <w:rFonts w:asciiTheme="majorHAnsi" w:eastAsiaTheme="majorEastAsia" w:hAnsiTheme="majorHAnsi" w:cstheme="majorBidi"/>
      <w:color w:val="2E74B5" w:themeColor="accent1" w:themeShade="BF"/>
      <w:sz w:val="32"/>
      <w:szCs w:val="32"/>
      <w:lang w:eastAsia="es-ES"/>
    </w:rPr>
  </w:style>
  <w:style w:type="character" w:customStyle="1" w:styleId="Heading3Char">
    <w:name w:val="Heading 3 Char"/>
    <w:basedOn w:val="DefaultParagraphFont"/>
    <w:link w:val="Heading3"/>
    <w:rsid w:val="00766695"/>
    <w:rPr>
      <w:rFonts w:asciiTheme="majorHAnsi" w:eastAsiaTheme="majorEastAsia" w:hAnsiTheme="majorHAnsi" w:cstheme="majorBidi"/>
      <w:color w:val="1F4D78" w:themeColor="accent1" w:themeShade="7F"/>
      <w:sz w:val="24"/>
      <w:szCs w:val="24"/>
      <w:lang w:eastAsia="es-ES"/>
    </w:rPr>
  </w:style>
  <w:style w:type="character" w:customStyle="1" w:styleId="Heading9Char">
    <w:name w:val="Heading 9 Char"/>
    <w:basedOn w:val="DefaultParagraphFont"/>
    <w:link w:val="Heading9"/>
    <w:rsid w:val="00766695"/>
    <w:rPr>
      <w:rFonts w:asciiTheme="majorHAnsi" w:eastAsiaTheme="majorEastAsia" w:hAnsiTheme="majorHAnsi" w:cstheme="majorBidi"/>
      <w:i/>
      <w:iCs/>
      <w:color w:val="272727" w:themeColor="text1" w:themeTint="D8"/>
      <w:sz w:val="21"/>
      <w:szCs w:val="21"/>
      <w:lang w:eastAsia="es-ES"/>
    </w:rPr>
  </w:style>
  <w:style w:type="paragraph" w:styleId="EndnoteText">
    <w:name w:val="endnote text"/>
    <w:basedOn w:val="Normal"/>
    <w:link w:val="EndnoteTextChar"/>
    <w:uiPriority w:val="99"/>
    <w:unhideWhenUsed/>
    <w:rsid w:val="00474C54"/>
    <w:pPr>
      <w:spacing w:after="0" w:line="240" w:lineRule="auto"/>
    </w:pPr>
    <w:rPr>
      <w:sz w:val="20"/>
      <w:szCs w:val="20"/>
    </w:rPr>
  </w:style>
  <w:style w:type="character" w:customStyle="1" w:styleId="EndnoteTextChar">
    <w:name w:val="Endnote Text Char"/>
    <w:basedOn w:val="DefaultParagraphFont"/>
    <w:link w:val="EndnoteText"/>
    <w:uiPriority w:val="99"/>
    <w:rsid w:val="00474C54"/>
    <w:rPr>
      <w:sz w:val="20"/>
      <w:szCs w:val="20"/>
    </w:rPr>
  </w:style>
  <w:style w:type="paragraph" w:styleId="Header">
    <w:name w:val="header"/>
    <w:basedOn w:val="Normal"/>
    <w:link w:val="HeaderChar"/>
    <w:unhideWhenUsed/>
    <w:rsid w:val="00EF7A0E"/>
    <w:pPr>
      <w:tabs>
        <w:tab w:val="center" w:pos="4252"/>
        <w:tab w:val="right" w:pos="8504"/>
      </w:tabs>
      <w:spacing w:after="0" w:line="240" w:lineRule="auto"/>
    </w:pPr>
  </w:style>
  <w:style w:type="character" w:customStyle="1" w:styleId="HeaderChar">
    <w:name w:val="Header Char"/>
    <w:basedOn w:val="DefaultParagraphFont"/>
    <w:link w:val="Header"/>
    <w:rsid w:val="00EF7A0E"/>
  </w:style>
  <w:style w:type="paragraph" w:styleId="Footer">
    <w:name w:val="footer"/>
    <w:basedOn w:val="Normal"/>
    <w:link w:val="FooterChar"/>
    <w:uiPriority w:val="99"/>
    <w:unhideWhenUsed/>
    <w:rsid w:val="00EF7A0E"/>
    <w:pPr>
      <w:tabs>
        <w:tab w:val="center" w:pos="4252"/>
        <w:tab w:val="right" w:pos="8504"/>
      </w:tabs>
      <w:spacing w:after="0" w:line="240" w:lineRule="auto"/>
    </w:pPr>
  </w:style>
  <w:style w:type="character" w:customStyle="1" w:styleId="FooterChar">
    <w:name w:val="Footer Char"/>
    <w:basedOn w:val="DefaultParagraphFont"/>
    <w:link w:val="Footer"/>
    <w:uiPriority w:val="99"/>
    <w:rsid w:val="00EF7A0E"/>
  </w:style>
  <w:style w:type="character" w:styleId="Strong">
    <w:name w:val="Strong"/>
    <w:basedOn w:val="DefaultParagraphFont"/>
    <w:uiPriority w:val="22"/>
    <w:qFormat/>
    <w:rsid w:val="00E14783"/>
    <w:rPr>
      <w:b/>
      <w:bCs/>
    </w:rPr>
  </w:style>
  <w:style w:type="character" w:styleId="CommentReference">
    <w:name w:val="annotation reference"/>
    <w:basedOn w:val="DefaultParagraphFont"/>
    <w:uiPriority w:val="99"/>
    <w:semiHidden/>
    <w:unhideWhenUsed/>
    <w:rsid w:val="00A96CF4"/>
    <w:rPr>
      <w:sz w:val="16"/>
      <w:szCs w:val="16"/>
    </w:rPr>
  </w:style>
  <w:style w:type="paragraph" w:styleId="CommentText">
    <w:name w:val="annotation text"/>
    <w:basedOn w:val="Normal"/>
    <w:link w:val="CommentTextChar"/>
    <w:uiPriority w:val="99"/>
    <w:semiHidden/>
    <w:unhideWhenUsed/>
    <w:rsid w:val="00A96CF4"/>
    <w:pPr>
      <w:spacing w:line="240" w:lineRule="auto"/>
    </w:pPr>
    <w:rPr>
      <w:sz w:val="20"/>
      <w:szCs w:val="20"/>
    </w:rPr>
  </w:style>
  <w:style w:type="character" w:customStyle="1" w:styleId="CommentTextChar">
    <w:name w:val="Comment Text Char"/>
    <w:basedOn w:val="DefaultParagraphFont"/>
    <w:link w:val="CommentText"/>
    <w:uiPriority w:val="99"/>
    <w:semiHidden/>
    <w:rsid w:val="00A96CF4"/>
    <w:rPr>
      <w:sz w:val="20"/>
      <w:szCs w:val="20"/>
    </w:rPr>
  </w:style>
  <w:style w:type="paragraph" w:styleId="BalloonText">
    <w:name w:val="Balloon Text"/>
    <w:basedOn w:val="Normal"/>
    <w:link w:val="BalloonTextChar"/>
    <w:uiPriority w:val="99"/>
    <w:semiHidden/>
    <w:unhideWhenUsed/>
    <w:rsid w:val="00A96C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6C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07486">
      <w:bodyDiv w:val="1"/>
      <w:marLeft w:val="0"/>
      <w:marRight w:val="0"/>
      <w:marTop w:val="0"/>
      <w:marBottom w:val="0"/>
      <w:divBdr>
        <w:top w:val="none" w:sz="0" w:space="0" w:color="auto"/>
        <w:left w:val="none" w:sz="0" w:space="0" w:color="auto"/>
        <w:bottom w:val="none" w:sz="0" w:space="0" w:color="auto"/>
        <w:right w:val="none" w:sz="0" w:space="0" w:color="auto"/>
      </w:divBdr>
    </w:div>
    <w:div w:id="100222924">
      <w:bodyDiv w:val="1"/>
      <w:marLeft w:val="0"/>
      <w:marRight w:val="0"/>
      <w:marTop w:val="0"/>
      <w:marBottom w:val="0"/>
      <w:divBdr>
        <w:top w:val="none" w:sz="0" w:space="0" w:color="auto"/>
        <w:left w:val="none" w:sz="0" w:space="0" w:color="auto"/>
        <w:bottom w:val="none" w:sz="0" w:space="0" w:color="auto"/>
        <w:right w:val="none" w:sz="0" w:space="0" w:color="auto"/>
      </w:divBdr>
    </w:div>
    <w:div w:id="412700723">
      <w:bodyDiv w:val="1"/>
      <w:marLeft w:val="0"/>
      <w:marRight w:val="0"/>
      <w:marTop w:val="0"/>
      <w:marBottom w:val="0"/>
      <w:divBdr>
        <w:top w:val="none" w:sz="0" w:space="0" w:color="auto"/>
        <w:left w:val="none" w:sz="0" w:space="0" w:color="auto"/>
        <w:bottom w:val="none" w:sz="0" w:space="0" w:color="auto"/>
        <w:right w:val="none" w:sz="0" w:space="0" w:color="auto"/>
      </w:divBdr>
    </w:div>
    <w:div w:id="811600585">
      <w:bodyDiv w:val="1"/>
      <w:marLeft w:val="0"/>
      <w:marRight w:val="0"/>
      <w:marTop w:val="0"/>
      <w:marBottom w:val="0"/>
      <w:divBdr>
        <w:top w:val="none" w:sz="0" w:space="0" w:color="auto"/>
        <w:left w:val="none" w:sz="0" w:space="0" w:color="auto"/>
        <w:bottom w:val="none" w:sz="0" w:space="0" w:color="auto"/>
        <w:right w:val="none" w:sz="0" w:space="0" w:color="auto"/>
      </w:divBdr>
    </w:div>
    <w:div w:id="1073114864">
      <w:bodyDiv w:val="1"/>
      <w:marLeft w:val="0"/>
      <w:marRight w:val="0"/>
      <w:marTop w:val="0"/>
      <w:marBottom w:val="0"/>
      <w:divBdr>
        <w:top w:val="none" w:sz="0" w:space="0" w:color="auto"/>
        <w:left w:val="none" w:sz="0" w:space="0" w:color="auto"/>
        <w:bottom w:val="none" w:sz="0" w:space="0" w:color="auto"/>
        <w:right w:val="none" w:sz="0" w:space="0" w:color="auto"/>
      </w:divBdr>
    </w:div>
    <w:div w:id="1261179585">
      <w:bodyDiv w:val="1"/>
      <w:marLeft w:val="0"/>
      <w:marRight w:val="0"/>
      <w:marTop w:val="0"/>
      <w:marBottom w:val="0"/>
      <w:divBdr>
        <w:top w:val="none" w:sz="0" w:space="0" w:color="auto"/>
        <w:left w:val="none" w:sz="0" w:space="0" w:color="auto"/>
        <w:bottom w:val="none" w:sz="0" w:space="0" w:color="auto"/>
        <w:right w:val="none" w:sz="0" w:space="0" w:color="auto"/>
      </w:divBdr>
    </w:div>
    <w:div w:id="1860048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ine.es/jaxiT3/Datos.htm?t=60254" TargetMode="External"/><Relationship Id="rId18" Type="http://schemas.openxmlformats.org/officeDocument/2006/relationships/hyperlink" Target="https://www.google.com/search?q=Real+Decreto-ley+7%2F2018&amp;sca_esv=bc91829239a67991&amp;rlz=1C1GCEA_enES1117ES1118&amp;ei=OC_1aOnYL_elkdUP3sev0Q0&amp;ved=2ahUKEwjNv6nO87CQAxU9Q6QEHdJUMw8QgK4QegQIAxAF&amp;uact=5&amp;oq=decretos+o+leyes+relacionados+con+la+universalidad+y+accesibilidad+en++sanidad+espa%C3%B1a&amp;gs_lp=Egxnd3Mtd2l6LXNlcnAiVmRlY3JldG9zIG8gbGV5ZXMgcmVsYWNpb25hZG9zIGNvbiBsYSB1bml2ZXJzYWxpZGFkIHkgYWNjZXNpYmlsaWRhZCBlbiAgc2FuaWRhZCBlc3Bhw7FhSIu7AVAAWN24AXAAeAGQAQCYAd8BoAH-L6oBBjc1LjMuMbgBA8gBAPgBAZgCNKAC-iDCAgYQABgHGB7CAg0QABiABBixAxhDGIoFwgICECbCAggQABiABBiiBMICCBAAGKIEGIkFwgIFEAAY7wXCAgQQIRgKmAMAkgcENTAuMqAH2YgCsgcENTAuMrgH-iDCBwcyLjQwLjEwyAdw&amp;sclient=gws-wiz-serp&amp;mstk=AUtExfC7Oxikw7bmS0DFsTYHKsy9RIu9wTqIz8dDtvt5BQmJYXBm53h7-P7bI03Bj17RlT9DnyYmIviirD9XKW9ZGdHRZzCwP1EnzCcqOpr6JcasXhxVEqTfovGiIWlbbopIez4&amp;csui=3"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juventudeinfancia.gob.es/sites/default/files/violencia/InformePrevalenciaViolencia_WEB.pdf" TargetMode="External"/><Relationship Id="rId17" Type="http://schemas.openxmlformats.org/officeDocument/2006/relationships/hyperlink" Target="https://estrategiadesinstitucionalizacion.gob.es/wp-content/uploads/2024/06/Estrategia-para-nuevo-modelo-cuidados-en-la-comunidad.pdf" TargetMode="External"/><Relationship Id="rId2" Type="http://schemas.openxmlformats.org/officeDocument/2006/relationships/customXml" Target="../customXml/item2.xml"/><Relationship Id="rId16" Type="http://schemas.openxmlformats.org/officeDocument/2006/relationships/hyperlink" Target="https://www.juventudeinfancia.gob.es/sites/default/files/infancia/otras_medidas_proteccion/Criterios_de_cobertura_calidad_y_accesibilidad_en_acogimiento_residencial.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juventudeinfancia.gob.es/sites/default/files/Estrategia_Estatal_Derechos_InfanciayAdolescencia.pdf" TargetMode="External"/><Relationship Id="rId5" Type="http://schemas.openxmlformats.org/officeDocument/2006/relationships/styles" Target="styles.xml"/><Relationship Id="rId15" Type="http://schemas.openxmlformats.org/officeDocument/2006/relationships/hyperlink" Target="https://www.boe.es/buscar/pdf/1996/BOE-A-1996-1069-consolidado.pdf" TargetMode="External"/><Relationship Id="rId10" Type="http://schemas.openxmlformats.org/officeDocument/2006/relationships/hyperlink" Target="https://www.boe.es/buscar/pdf/2021/BOE-A-2021-9347-consolidado.pdf"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file:///\\dgoj-svm-pro\DGDIA\SGPDerechos\03.%20INTERNACIONAL\OOII\ONU\ACNUDH\Comit&#233;%20DESC_PIDESC\VII%20Informe%20Espa&#241;a\Espa&#241;a.%20Informe%20bienal%20de%20progreso%20de%20la%20GIE.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boe.es/eli/es/rdl/2021/12/28/32/co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2025-12-29T16:30:16+00:00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0d39699612f6040953b293400b94cabc">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765784d6d42ef1e4bd9f61810bda9db4"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919F39-1AAC-478F-9A1E-B3D0582A4DB0}">
  <ds:schemaRefs>
    <ds:schemaRef ds:uri="http://schemas.microsoft.com/sharepoint/v3/contenttype/forms"/>
  </ds:schemaRefs>
</ds:datastoreItem>
</file>

<file path=customXml/itemProps2.xml><?xml version="1.0" encoding="utf-8"?>
<ds:datastoreItem xmlns:ds="http://schemas.openxmlformats.org/officeDocument/2006/customXml" ds:itemID="{9A54093F-9FAD-4D66-9790-CDF117BCBE59}">
  <ds:schemaRefs>
    <ds:schemaRef ds:uri="http://schemas.microsoft.com/office/2006/metadata/properties"/>
    <ds:schemaRef ds:uri="http://schemas.microsoft.com/office/infopath/2007/PartnerControls"/>
    <ds:schemaRef ds:uri="985ec44e-1bab-4c0b-9df0-6ba128686fc9"/>
    <ds:schemaRef ds:uri="11a6fe0c-d8de-4390-afb3-d9c7c54181f0"/>
    <ds:schemaRef ds:uri="8eb6b7aa-b3e9-4746-bd27-3634f5bdf43e"/>
  </ds:schemaRefs>
</ds:datastoreItem>
</file>

<file path=customXml/itemProps3.xml><?xml version="1.0" encoding="utf-8"?>
<ds:datastoreItem xmlns:ds="http://schemas.openxmlformats.org/officeDocument/2006/customXml" ds:itemID="{5E022C90-F600-4800-8469-1037B722B4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eb6b7aa-b3e9-4746-bd27-3634f5bdf4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TotalTime>
  <Pages>54</Pages>
  <Words>20403</Words>
  <Characters>116300</Characters>
  <Application>Microsoft Office Word</Application>
  <DocSecurity>0</DocSecurity>
  <Lines>969</Lines>
  <Paragraphs>272</Paragraphs>
  <ScaleCrop>false</ScaleCrop>
  <HeadingPairs>
    <vt:vector size="2" baseType="variant">
      <vt:variant>
        <vt:lpstr>Título</vt:lpstr>
      </vt:variant>
      <vt:variant>
        <vt:i4>1</vt:i4>
      </vt:variant>
    </vt:vector>
  </HeadingPairs>
  <TitlesOfParts>
    <vt:vector size="1" baseType="lpstr">
      <vt:lpstr/>
    </vt:vector>
  </TitlesOfParts>
  <Company>MAEC</Company>
  <LinksUpToDate>false</LinksUpToDate>
  <CharactersWithSpaces>136431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Narro Ramos, Itziar</dc:creator>
  <cp:keywords/>
  <dc:description/>
  <cp:lastModifiedBy>Celine Reynaud</cp:lastModifiedBy>
  <cp:revision>3</cp:revision>
  <dcterms:created xsi:type="dcterms:W3CDTF">2025-12-29T16:30:00Z</dcterms:created>
  <dcterms:modified xsi:type="dcterms:W3CDTF">2025-12-29T16:32:00Z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y fmtid="{D5CDD505-2E9C-101B-9397-08002B2CF9AE}" pid="3" name="MediaServiceImageTags">
    <vt:lpwstr/>
  </property>
</Properties>
</file>