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385E" w14:textId="0DC2C70B" w:rsidR="001D3DEB" w:rsidRDefault="001D3DEB" w:rsidP="00CE12C1">
      <w:pPr>
        <w:jc w:val="center"/>
        <w:rPr>
          <w:b/>
          <w:bCs/>
        </w:rPr>
      </w:pPr>
      <w:r>
        <w:rPr>
          <w:b/>
          <w:bCs/>
        </w:rPr>
        <w:t xml:space="preserve">INFORME COMPLEMENTARIO DE LA </w:t>
      </w:r>
      <w:r w:rsidRPr="001D3DEB">
        <w:rPr>
          <w:b/>
          <w:bCs/>
        </w:rPr>
        <w:t>COALICIÓN DE ORGANIZACIONES DE LA SOCIEDAD CIVIL SOBRE LOS DERECHOS HUMANOS DE LA NIÑEZ Y LA ADOLESCENCIA AL COMITÉ DE DERECHOS DEL NIÑO (CDN)</w:t>
      </w:r>
    </w:p>
    <w:p w14:paraId="3E39FECB" w14:textId="77777777" w:rsidR="001D3DEB" w:rsidRDefault="001D3DEB" w:rsidP="001D3DEB">
      <w:pPr>
        <w:rPr>
          <w:b/>
          <w:bCs/>
        </w:rPr>
      </w:pPr>
    </w:p>
    <w:p w14:paraId="2E6A3BA3" w14:textId="00CB0ED1" w:rsidR="00746BF0" w:rsidRPr="00746BF0" w:rsidRDefault="00746BF0" w:rsidP="00A7406F">
      <w:pPr>
        <w:jc w:val="both"/>
        <w:rPr>
          <w:b/>
          <w:bCs/>
        </w:rPr>
      </w:pPr>
      <w:r w:rsidRPr="00746BF0">
        <w:rPr>
          <w:b/>
          <w:bCs/>
        </w:rPr>
        <w:t>RESPUESTAS A PREG</w:t>
      </w:r>
      <w:r w:rsidR="001D3DEB">
        <w:rPr>
          <w:b/>
          <w:bCs/>
        </w:rPr>
        <w:t xml:space="preserve">UNTAS PLANTEADAS POR EL COMITÉ </w:t>
      </w:r>
      <w:r w:rsidRPr="00746BF0">
        <w:rPr>
          <w:b/>
          <w:bCs/>
        </w:rPr>
        <w:t xml:space="preserve">DE DERECHOS DEL NIÑO </w:t>
      </w:r>
      <w:r w:rsidR="001D3DEB">
        <w:rPr>
          <w:b/>
          <w:bCs/>
        </w:rPr>
        <w:t>EN OCASIÓN DE</w:t>
      </w:r>
      <w:r w:rsidR="00A7406F">
        <w:rPr>
          <w:b/>
          <w:bCs/>
        </w:rPr>
        <w:t xml:space="preserve"> </w:t>
      </w:r>
      <w:r w:rsidR="001D3DEB">
        <w:rPr>
          <w:b/>
          <w:bCs/>
        </w:rPr>
        <w:t>LA PRE SESION LLEVADA A CABO EL 3 DE FEBRERO DE 2021</w:t>
      </w:r>
    </w:p>
    <w:p w14:paraId="4A145E7E" w14:textId="05603353" w:rsidR="00746BF0" w:rsidRPr="00512FE8" w:rsidRDefault="00944434" w:rsidP="00512FE8">
      <w:pPr>
        <w:jc w:val="both"/>
        <w:rPr>
          <w:b/>
          <w:bCs/>
        </w:rPr>
      </w:pPr>
      <w:r>
        <w:rPr>
          <w:b/>
          <w:bCs/>
        </w:rPr>
        <w:t xml:space="preserve">COMITÉ: </w:t>
      </w:r>
      <w:r w:rsidRPr="00512FE8">
        <w:rPr>
          <w:b/>
          <w:bCs/>
        </w:rPr>
        <w:t xml:space="preserve">PARA RESPONDER A LA VIOLENCIA Y A LA DISCRIMINACIÓN SE EMITIERON DECRETOS DEL MINISTERIO DE EDUCACIÓN, PERO NO HA HABIDO NINGUNA MEDIDA DE IMPACTO EN LA VIOLENCIA </w:t>
      </w:r>
      <w:r w:rsidR="004B7336">
        <w:rPr>
          <w:b/>
          <w:bCs/>
        </w:rPr>
        <w:t>EN</w:t>
      </w:r>
      <w:r w:rsidRPr="00512FE8">
        <w:rPr>
          <w:b/>
          <w:bCs/>
        </w:rPr>
        <w:t xml:space="preserve"> LAS ESCUELAS Y LA LUCHA CONTRA LA IMPUNIDAD Y HAY UN ELEVADO </w:t>
      </w:r>
      <w:r w:rsidR="004B7336">
        <w:rPr>
          <w:b/>
          <w:bCs/>
        </w:rPr>
        <w:t xml:space="preserve">NÚMERO </w:t>
      </w:r>
      <w:r w:rsidRPr="00512FE8">
        <w:rPr>
          <w:b/>
          <w:bCs/>
        </w:rPr>
        <w:t>DE VIOLENCIA, EMBARAZOS ADOLESCENTES, MATRIMONIOS PRECOCES Y FORZADO</w:t>
      </w:r>
      <w:r w:rsidRPr="00E316C3">
        <w:rPr>
          <w:b/>
          <w:bCs/>
        </w:rPr>
        <w:t>S ¿</w:t>
      </w:r>
      <w:r w:rsidRPr="009706DE">
        <w:rPr>
          <w:b/>
          <w:bCs/>
        </w:rPr>
        <w:t>QUÉ MEDIDAS TIENE BOLIVIA PARA PONER FIN?</w:t>
      </w:r>
    </w:p>
    <w:p w14:paraId="36F20E8F" w14:textId="6A28634D" w:rsidR="008600DD" w:rsidRPr="008600DD" w:rsidRDefault="008600DD" w:rsidP="008600DD">
      <w:pPr>
        <w:jc w:val="both"/>
      </w:pPr>
      <w:r w:rsidRPr="008600DD">
        <w:t>Bolivia ha diseñado el Programa y Protocolo de prevención atención y sanción a toda forma de vulneración a la integridad sexual de niñas, niños y adolescentes, éste no se difunde y no se implementa, además ningún nivel del Estado cuenta con un Programa sostenido de prevención, las acciones de prevención son puntuales y aisladas.</w:t>
      </w:r>
      <w:r w:rsidR="004B7336">
        <w:t xml:space="preserve"> Se estable el deber de brindar apoyo legal a estudiantes cuando el agresor sea un </w:t>
      </w:r>
      <w:r w:rsidR="00DB3288">
        <w:t>d</w:t>
      </w:r>
      <w:r w:rsidR="004B7336">
        <w:t>irector, profesor o personal administrativo, pero ello no se cumple.</w:t>
      </w:r>
    </w:p>
    <w:p w14:paraId="6E3E3CB1" w14:textId="7842D4FE" w:rsidR="001D3DEB" w:rsidRDefault="001D3DEB" w:rsidP="001D3DEB">
      <w:pPr>
        <w:jc w:val="both"/>
      </w:pPr>
      <w:r>
        <w:t>En el diagnóstico realizado respecto a la situación de violencia en 43 unidades educativas de La Paz, El Alto, Sucre y Cochabamba el 2016 por el Centro de Multiservicios Educativos –CEMSE, reflejan que tanto estudiantes como docentes, madres y padres de familia reconocen que existe violencia al interior de las unidades educativas: violencia física catalogándola como grave en 39% y muy grave 17%; violencia psicológica que se la menciona como grave en un 28% y muy grave 16%; violencia sexual que es considerada como muy grave en un 15%</w:t>
      </w:r>
      <w:r>
        <w:rPr>
          <w:rStyle w:val="Refdenotaalpie"/>
        </w:rPr>
        <w:footnoteReference w:id="1"/>
      </w:r>
      <w:r>
        <w:t>.</w:t>
      </w:r>
    </w:p>
    <w:p w14:paraId="64AB40BE" w14:textId="2F3F2CF1" w:rsidR="001D3DEB" w:rsidRDefault="001D3DEB" w:rsidP="00B2408B">
      <w:pPr>
        <w:jc w:val="both"/>
      </w:pPr>
      <w:r>
        <w:t xml:space="preserve">En cuanto a la violencia de tipo sexual, el 17% de estudiantes indicó que recibió insinuaciones sexuales, sin embargo, es importante tener en cuenta que en muchos casos los piropos ofensivos, miradas indiscretas, toques entre chicos y chicas no son considerados como violencia por los estudiantes ya que sólo se considera como violencia </w:t>
      </w:r>
      <w:r w:rsidR="004B7336">
        <w:t xml:space="preserve">a </w:t>
      </w:r>
      <w:r>
        <w:t>la violación</w:t>
      </w:r>
      <w:r>
        <w:rPr>
          <w:rStyle w:val="Refdenotaalpie"/>
        </w:rPr>
        <w:footnoteReference w:id="2"/>
      </w:r>
      <w:r>
        <w:t>.</w:t>
      </w:r>
      <w:r w:rsidR="008600DD">
        <w:t xml:space="preserve"> A pesar de la grave situación de violencia en el ámbito educativo, n</w:t>
      </w:r>
      <w:r w:rsidR="00B2408B">
        <w:t xml:space="preserve">o se han implementado ninguno de los lineamientos de prevención de </w:t>
      </w:r>
      <w:r w:rsidR="008600DD">
        <w:t xml:space="preserve">la </w:t>
      </w:r>
      <w:r w:rsidR="00B2408B">
        <w:t>violencia</w:t>
      </w:r>
      <w:r w:rsidR="008600DD">
        <w:t>.</w:t>
      </w:r>
    </w:p>
    <w:p w14:paraId="4DA9E2B4" w14:textId="5F95AECD" w:rsidR="004A44DB" w:rsidRPr="00D37946" w:rsidRDefault="009706DE" w:rsidP="00CE12C1">
      <w:pPr>
        <w:jc w:val="both"/>
        <w:rPr>
          <w:rFonts w:cstheme="minorHAnsi"/>
        </w:rPr>
      </w:pPr>
      <w:r>
        <w:t xml:space="preserve">La gran mayoría de las Defensorías de la Niñez </w:t>
      </w:r>
      <w:r w:rsidR="00A343DB" w:rsidRPr="00D37946">
        <w:t>(</w:t>
      </w:r>
      <w:r w:rsidR="00A343DB" w:rsidRPr="00D37946">
        <w:rPr>
          <w:rFonts w:cstheme="minorHAnsi"/>
        </w:rPr>
        <w:t>DNA)</w:t>
      </w:r>
      <w:r>
        <w:rPr>
          <w:rFonts w:cstheme="minorHAnsi"/>
        </w:rPr>
        <w:t xml:space="preserve"> de municipios rurales no cuentan</w:t>
      </w:r>
      <w:r w:rsidR="00DB110C">
        <w:rPr>
          <w:rFonts w:cstheme="minorHAnsi"/>
        </w:rPr>
        <w:t xml:space="preserve"> con equipos interdisciplinarios completos, de 339 municipios que tiene nuestro 329 </w:t>
      </w:r>
      <w:r>
        <w:rPr>
          <w:rFonts w:cstheme="minorHAnsi"/>
        </w:rPr>
        <w:t>están ubicados en zonas rurales, contrastando esta situación los</w:t>
      </w:r>
      <w:r w:rsidR="00DB110C">
        <w:rPr>
          <w:rFonts w:cstheme="minorHAnsi"/>
        </w:rPr>
        <w:t xml:space="preserve"> 10 </w:t>
      </w:r>
      <w:r>
        <w:rPr>
          <w:rFonts w:cstheme="minorHAnsi"/>
        </w:rPr>
        <w:t>municipios</w:t>
      </w:r>
      <w:r w:rsidR="00DB110C">
        <w:rPr>
          <w:rFonts w:cstheme="minorHAnsi"/>
        </w:rPr>
        <w:t xml:space="preserve"> de las capitales de </w:t>
      </w:r>
      <w:r>
        <w:rPr>
          <w:rFonts w:cstheme="minorHAnsi"/>
        </w:rPr>
        <w:t>departamentos, además de la ciudad de El</w:t>
      </w:r>
      <w:r w:rsidR="00DB110C">
        <w:rPr>
          <w:rFonts w:cstheme="minorHAnsi"/>
        </w:rPr>
        <w:t xml:space="preserve"> Alto si</w:t>
      </w:r>
      <w:r>
        <w:rPr>
          <w:rFonts w:cstheme="minorHAnsi"/>
        </w:rPr>
        <w:t xml:space="preserve"> cuentan con estos equipos, </w:t>
      </w:r>
      <w:r w:rsidR="00B2408B" w:rsidRPr="00D37946">
        <w:rPr>
          <w:rFonts w:cstheme="minorHAnsi"/>
        </w:rPr>
        <w:t xml:space="preserve">a esto se </w:t>
      </w:r>
      <w:r w:rsidR="00A343DB" w:rsidRPr="00D37946">
        <w:rPr>
          <w:rFonts w:cstheme="minorHAnsi"/>
        </w:rPr>
        <w:t>suma</w:t>
      </w:r>
      <w:r w:rsidR="00B2408B" w:rsidRPr="00D37946">
        <w:rPr>
          <w:rFonts w:cstheme="minorHAnsi"/>
        </w:rPr>
        <w:t xml:space="preserve"> e</w:t>
      </w:r>
      <w:r w:rsidR="00A343DB" w:rsidRPr="00D37946">
        <w:rPr>
          <w:rFonts w:cstheme="minorHAnsi"/>
        </w:rPr>
        <w:t xml:space="preserve">l alto índice de rotación de personal </w:t>
      </w:r>
      <w:r w:rsidR="00B2408B" w:rsidRPr="00D37946">
        <w:rPr>
          <w:rFonts w:cstheme="minorHAnsi"/>
        </w:rPr>
        <w:t>generando una</w:t>
      </w:r>
      <w:r w:rsidR="00A343DB" w:rsidRPr="00D37946">
        <w:rPr>
          <w:rFonts w:cstheme="minorHAnsi"/>
        </w:rPr>
        <w:t xml:space="preserve"> limitada cobertura de atención a la niñez y adolescencia </w:t>
      </w:r>
      <w:r w:rsidR="001D3DEB" w:rsidRPr="00D37946">
        <w:rPr>
          <w:rFonts w:cstheme="minorHAnsi"/>
        </w:rPr>
        <w:t>víctima</w:t>
      </w:r>
      <w:r w:rsidR="00B2408B" w:rsidRPr="00D37946">
        <w:rPr>
          <w:rFonts w:cstheme="minorHAnsi"/>
        </w:rPr>
        <w:t xml:space="preserve"> de violencia. Por otra parte </w:t>
      </w:r>
      <w:r w:rsidR="00A343DB" w:rsidRPr="00D37946">
        <w:rPr>
          <w:rFonts w:cstheme="minorHAnsi"/>
        </w:rPr>
        <w:t>existen pocos J</w:t>
      </w:r>
      <w:r w:rsidR="008600DD" w:rsidRPr="00D37946">
        <w:rPr>
          <w:rFonts w:cstheme="minorHAnsi"/>
        </w:rPr>
        <w:t xml:space="preserve">uzgados de Niñez y Adolescencia, </w:t>
      </w:r>
      <w:r w:rsidR="00A343DB" w:rsidRPr="00D37946">
        <w:rPr>
          <w:rFonts w:cstheme="minorHAnsi"/>
        </w:rPr>
        <w:t>solo en ciudades capitales</w:t>
      </w:r>
      <w:r w:rsidR="00DB110C">
        <w:rPr>
          <w:rFonts w:cstheme="minorHAnsi"/>
        </w:rPr>
        <w:t xml:space="preserve">, es decir </w:t>
      </w:r>
      <w:r w:rsidR="00AD0FD9" w:rsidRPr="00D37946">
        <w:rPr>
          <w:rFonts w:cstheme="minorHAnsi"/>
        </w:rPr>
        <w:t>9</w:t>
      </w:r>
      <w:r w:rsidR="00A343DB" w:rsidRPr="00D37946">
        <w:rPr>
          <w:rFonts w:cstheme="minorHAnsi"/>
        </w:rPr>
        <w:t xml:space="preserve"> de 339 municipios</w:t>
      </w:r>
      <w:r w:rsidR="00DB110C">
        <w:rPr>
          <w:rFonts w:cstheme="minorHAnsi"/>
        </w:rPr>
        <w:t>, mientras que</w:t>
      </w:r>
      <w:r w:rsidR="00E67A2E" w:rsidRPr="00D37946">
        <w:rPr>
          <w:rFonts w:cstheme="minorHAnsi"/>
        </w:rPr>
        <w:t xml:space="preserve"> los demás </w:t>
      </w:r>
      <w:r w:rsidR="00E67A2E" w:rsidRPr="00D37946">
        <w:rPr>
          <w:rFonts w:cstheme="minorHAnsi"/>
        </w:rPr>
        <w:lastRenderedPageBreak/>
        <w:t>son juzgados de provincia Mixtos (que desempeñan sus actividades jurisdiccionales, atendiendo casos de niñez y adolescencia, y áreas civil, familia, comercial y otros)</w:t>
      </w:r>
      <w:r w:rsidR="00E67A2E" w:rsidRPr="00D37946">
        <w:rPr>
          <w:rStyle w:val="Refdenotaalpie"/>
          <w:rFonts w:cstheme="minorHAnsi"/>
        </w:rPr>
        <w:footnoteReference w:id="3"/>
      </w:r>
    </w:p>
    <w:p w14:paraId="0340F0A6" w14:textId="42B7CDB3" w:rsidR="00746BF0" w:rsidRPr="00D37946" w:rsidRDefault="00A343DB" w:rsidP="00CE12C1">
      <w:pPr>
        <w:jc w:val="both"/>
        <w:rPr>
          <w:rFonts w:eastAsia="Arial Narrow" w:cstheme="minorHAnsi"/>
          <w:lang w:val="es-ES"/>
        </w:rPr>
      </w:pPr>
      <w:r w:rsidRPr="00D37946">
        <w:rPr>
          <w:rFonts w:eastAsia="Arial Narrow" w:cstheme="minorHAnsi"/>
          <w:lang w:val="es-ES"/>
        </w:rPr>
        <w:t>L</w:t>
      </w:r>
      <w:r w:rsidR="00746BF0" w:rsidRPr="00D37946">
        <w:rPr>
          <w:rFonts w:eastAsia="Arial Narrow" w:cstheme="minorHAnsi"/>
          <w:lang w:val="es-ES"/>
        </w:rPr>
        <w:t>a crisis sanitaria incrementa la vulneración de derec</w:t>
      </w:r>
      <w:r w:rsidR="00B2408B" w:rsidRPr="00D37946">
        <w:rPr>
          <w:rFonts w:eastAsia="Arial Narrow" w:cstheme="minorHAnsi"/>
          <w:lang w:val="es-ES"/>
        </w:rPr>
        <w:t xml:space="preserve">hos de NNA debido al limitado </w:t>
      </w:r>
      <w:r w:rsidR="00746BF0" w:rsidRPr="00D37946">
        <w:rPr>
          <w:rFonts w:eastAsia="Arial Narrow" w:cstheme="minorHAnsi"/>
          <w:lang w:val="es-ES"/>
        </w:rPr>
        <w:t>acceso a servicios de protección, sumado al recorte presupuestario en el área de desarrollo humano, la permanente rotación de personal y la consecuente falta de especialización de las Defensorías de Niñez y Adolescencia (DNA), que en los mun</w:t>
      </w:r>
      <w:r w:rsidR="00B2408B" w:rsidRPr="00D37946">
        <w:rPr>
          <w:rFonts w:eastAsia="Arial Narrow" w:cstheme="minorHAnsi"/>
          <w:lang w:val="es-ES"/>
        </w:rPr>
        <w:t>icipios urbanos carecen de</w:t>
      </w:r>
      <w:r w:rsidR="00746BF0" w:rsidRPr="00D37946">
        <w:rPr>
          <w:rFonts w:eastAsia="Arial Narrow" w:cstheme="minorHAnsi"/>
          <w:lang w:val="es-ES"/>
        </w:rPr>
        <w:t xml:space="preserve"> recursos logísticos de traslado para la ate</w:t>
      </w:r>
      <w:r w:rsidR="00B2408B" w:rsidRPr="00D37946">
        <w:rPr>
          <w:rFonts w:eastAsia="Arial Narrow" w:cstheme="minorHAnsi"/>
          <w:lang w:val="es-ES"/>
        </w:rPr>
        <w:t>nción</w:t>
      </w:r>
      <w:r w:rsidR="008D2EEC" w:rsidRPr="00D37946">
        <w:rPr>
          <w:rFonts w:eastAsia="Arial Narrow" w:cstheme="minorHAnsi"/>
          <w:lang w:val="es-ES"/>
        </w:rPr>
        <w:t xml:space="preserve">, situación que se agrava dramáticamente en el área rural. </w:t>
      </w:r>
      <w:r w:rsidR="00746BF0" w:rsidRPr="00D37946">
        <w:rPr>
          <w:rFonts w:eastAsia="Arial Narrow" w:cstheme="minorHAnsi"/>
          <w:lang w:val="es-ES"/>
        </w:rPr>
        <w:t>Esta situación requiere gran atención y medidas urgentes de fuerte impacto por parte del Estado boliviano.</w:t>
      </w:r>
    </w:p>
    <w:p w14:paraId="205B238C" w14:textId="7B68EEF6" w:rsidR="004B7336" w:rsidRDefault="00DB3288" w:rsidP="00DB3288">
      <w:pPr>
        <w:shd w:val="clear" w:color="auto" w:fill="FFFFFF"/>
        <w:jc w:val="both"/>
        <w:textAlignment w:val="baseline"/>
        <w:rPr>
          <w:rFonts w:eastAsia="Times New Roman" w:cstheme="minorHAnsi"/>
        </w:rPr>
      </w:pPr>
      <w:r w:rsidRPr="00FB3EB5">
        <w:rPr>
          <w:rFonts w:eastAsia="Times New Roman" w:cstheme="minorHAnsi"/>
        </w:rPr>
        <w:t>En el periodo de confinamiento como medida de prevención de la COVID-19, según estimaciones de UNFPA Bolivia, al menos 4 niñas o adolescentes por día están siendo víctimas de violencia sexual. Y puede ser mucho más por el “sub</w:t>
      </w:r>
      <w:r w:rsidRPr="00096AD7">
        <w:rPr>
          <w:rFonts w:eastAsia="Times New Roman" w:cstheme="minorHAnsi"/>
          <w:color w:val="FF0000"/>
        </w:rPr>
        <w:t>-</w:t>
      </w:r>
      <w:r w:rsidRPr="00FB3EB5">
        <w:rPr>
          <w:rFonts w:eastAsia="Times New Roman" w:cstheme="minorHAnsi"/>
        </w:rPr>
        <w:t>regist</w:t>
      </w:r>
      <w:r>
        <w:rPr>
          <w:rFonts w:eastAsia="Times New Roman" w:cstheme="minorHAnsi"/>
        </w:rPr>
        <w:t>r</w:t>
      </w:r>
      <w:r w:rsidRPr="00FB3EB5">
        <w:rPr>
          <w:rFonts w:eastAsia="Times New Roman" w:cstheme="minorHAnsi"/>
        </w:rPr>
        <w:t xml:space="preserve">o”. Hay muy poca o ausente respuesta estatal de los servicios de prevención, atención, protección y sanción, para adecuarse y dar respuestas efectivas y suficientes a las necesidades de niñas, adolescentes y mujeres víctimas de este tipo violencia. </w:t>
      </w:r>
    </w:p>
    <w:p w14:paraId="4B92E0B3" w14:textId="15CFAA73" w:rsidR="001C6C2D" w:rsidRPr="001C6C2D" w:rsidRDefault="00EA2CFD" w:rsidP="001C6C2D">
      <w:pPr>
        <w:jc w:val="both"/>
        <w:rPr>
          <w:rFonts w:cstheme="minorHAnsi"/>
          <w:lang w:val="es-ES_tradnl"/>
        </w:rPr>
      </w:pPr>
      <w:r w:rsidRPr="00FB3EB5">
        <w:rPr>
          <w:rFonts w:cstheme="minorHAnsi"/>
          <w:lang w:val="es-ES_tradnl"/>
        </w:rPr>
        <w:t xml:space="preserve">En cuanto a las políticas públicas, los planes sobre educación sexual como el Plan Plurinacional de Sexualidad Integral no pueden empezar a aplicarse por la presión de grupos antiderechos y religiosos; tampoco el Plan Estratégico de Salud Sexual y Salud Reproductiva 2016-2020 entró en vigencia, ni se cuenta con una ley de Derechos Sexuales y Derechos Reproductivos ni una norma alternativa. </w:t>
      </w:r>
      <w:r w:rsidR="001C6C2D" w:rsidRPr="001C6C2D">
        <w:rPr>
          <w:rFonts w:cstheme="minorHAnsi"/>
          <w:lang w:val="es-ES_tradnl"/>
        </w:rPr>
        <w:t>E</w:t>
      </w:r>
      <w:r w:rsidR="001C6C2D" w:rsidRPr="001C6C2D">
        <w:rPr>
          <w:rFonts w:cs="Arial"/>
        </w:rPr>
        <w:t>l Estado no ha asumido como prioridad implementar la</w:t>
      </w:r>
      <w:r w:rsidR="001C6C2D" w:rsidRPr="001C6C2D">
        <w:t xml:space="preserve"> educación integral en sexualidad (EIS), como estrategia para combatir graves problemas sociales que se traducen en elevados índices de embarazos adolescentes, violencia sexual, discriminación por orientación sexual e identidad de género, embarazos no deseados, abortos clandestinos y otros, que podrían reducirse, si la educación integral en sexualidad se implementará con los enfoques de género, de derechos humanos y bajo el principio de laicidad. </w:t>
      </w:r>
    </w:p>
    <w:p w14:paraId="1D59441B" w14:textId="4FB2CE2F" w:rsidR="00746BF0" w:rsidRPr="00512FE8" w:rsidRDefault="00944434" w:rsidP="00512FE8">
      <w:pPr>
        <w:jc w:val="both"/>
        <w:rPr>
          <w:b/>
          <w:bCs/>
        </w:rPr>
      </w:pPr>
      <w:r>
        <w:rPr>
          <w:b/>
          <w:bCs/>
          <w:lang w:val="es-ES"/>
        </w:rPr>
        <w:t xml:space="preserve">COMITÉ: </w:t>
      </w:r>
      <w:r w:rsidR="00512FE8" w:rsidRPr="00512FE8">
        <w:rPr>
          <w:b/>
          <w:bCs/>
        </w:rPr>
        <w:t>¿CÓMO CONTRIBUYE LA SOCIEDAD CIVIL PARA PONER FIN A TODAS ESTAS FORMAS DE VIOLENCIA?</w:t>
      </w:r>
    </w:p>
    <w:p w14:paraId="39B06A3B" w14:textId="4A287CB8" w:rsidR="00A343DB" w:rsidRDefault="00A343DB" w:rsidP="00CE12C1">
      <w:pPr>
        <w:jc w:val="both"/>
      </w:pPr>
      <w:r>
        <w:t xml:space="preserve">Desde la </w:t>
      </w:r>
      <w:r w:rsidR="000A4308">
        <w:t xml:space="preserve">Coalición </w:t>
      </w:r>
      <w:r w:rsidR="009D4442">
        <w:t>de Organizaciones de la Sociedad Civil Sobre los Derechos Humanos de la Niñez y l</w:t>
      </w:r>
      <w:r w:rsidR="009D4442" w:rsidRPr="000A4308">
        <w:t xml:space="preserve">a Adolescencia </w:t>
      </w:r>
      <w:r>
        <w:t>se realizan diferentes acciones</w:t>
      </w:r>
      <w:r w:rsidR="004E1435">
        <w:t xml:space="preserve">, entre las </w:t>
      </w:r>
      <w:r w:rsidR="00580404">
        <w:t>más</w:t>
      </w:r>
      <w:r w:rsidR="004E1435">
        <w:t xml:space="preserve"> importantes</w:t>
      </w:r>
      <w:r>
        <w:t xml:space="preserve">: </w:t>
      </w:r>
      <w:r w:rsidR="005F26D9">
        <w:t xml:space="preserve">Fortalecimiento de redes de NNA, </w:t>
      </w:r>
      <w:r w:rsidR="00D37946">
        <w:t>s</w:t>
      </w:r>
      <w:r w:rsidR="004E1435">
        <w:t>ervicios gratuitos de atención</w:t>
      </w:r>
      <w:r>
        <w:t xml:space="preserve"> a </w:t>
      </w:r>
      <w:r w:rsidR="004E1435">
        <w:t>víctimas</w:t>
      </w:r>
      <w:r>
        <w:t xml:space="preserve"> de violencia</w:t>
      </w:r>
      <w:r w:rsidR="004E1435">
        <w:t xml:space="preserve">, </w:t>
      </w:r>
      <w:r w:rsidR="00D37946">
        <w:t>l</w:t>
      </w:r>
      <w:r w:rsidR="004E1435">
        <w:t xml:space="preserve">itigio estratégico, </w:t>
      </w:r>
      <w:r w:rsidR="00D37946">
        <w:t>i</w:t>
      </w:r>
      <w:r w:rsidR="001D3DEB">
        <w:t>ncidencia y exigibilidad al E</w:t>
      </w:r>
      <w:r>
        <w:t>stado en el cumplimiento de sus atribuciones</w:t>
      </w:r>
      <w:r w:rsidR="004E1435">
        <w:t xml:space="preserve"> a través de la presentación de</w:t>
      </w:r>
      <w:r w:rsidR="00CE12C1">
        <w:t xml:space="preserve"> propuestas de políticas </w:t>
      </w:r>
      <w:r w:rsidR="00580404">
        <w:t>públicas</w:t>
      </w:r>
      <w:r w:rsidR="00CE12C1">
        <w:t>,</w:t>
      </w:r>
      <w:r w:rsidR="004E1435">
        <w:t xml:space="preserve"> </w:t>
      </w:r>
      <w:r w:rsidR="00D37946">
        <w:t xml:space="preserve">elaboración de </w:t>
      </w:r>
      <w:r w:rsidR="004E1435">
        <w:t xml:space="preserve">informes y pronunciamientos públicos. </w:t>
      </w:r>
    </w:p>
    <w:p w14:paraId="559971CC" w14:textId="770FC294" w:rsidR="008600DD" w:rsidRDefault="009D4442" w:rsidP="008600DD">
      <w:pPr>
        <w:spacing w:after="0" w:line="240" w:lineRule="auto"/>
        <w:jc w:val="both"/>
      </w:pPr>
      <w:r>
        <w:t>A manera de ejemplo</w:t>
      </w:r>
      <w:r w:rsidR="00D37946">
        <w:t>,</w:t>
      </w:r>
      <w:r>
        <w:t xml:space="preserve"> podemos mencionar que </w:t>
      </w:r>
      <w:r w:rsidR="008600DD" w:rsidRPr="008600DD">
        <w:t>Plan Bolivia en asocio con Casa de la Mujer</w:t>
      </w:r>
      <w:r w:rsidR="008600DD">
        <w:t xml:space="preserve"> (Santa Cruz)</w:t>
      </w:r>
      <w:r w:rsidR="008600DD" w:rsidRPr="008600DD">
        <w:t>, la Comunidad de Derechos Humanos</w:t>
      </w:r>
      <w:r w:rsidR="008600DD">
        <w:t xml:space="preserve"> (La Paz)</w:t>
      </w:r>
      <w:r w:rsidR="008600DD" w:rsidRPr="008600DD">
        <w:t xml:space="preserve">, La Linterna </w:t>
      </w:r>
      <w:r w:rsidR="008600DD">
        <w:t xml:space="preserve">(Chuquisaca) </w:t>
      </w:r>
      <w:r w:rsidR="008600DD" w:rsidRPr="008600DD">
        <w:t xml:space="preserve">y el Centro de Capacitación e Investigación de la Mujer Campesina de Bolivia </w:t>
      </w:r>
      <w:r w:rsidR="008600DD">
        <w:t xml:space="preserve">(Tarija) </w:t>
      </w:r>
      <w:r w:rsidR="008600DD" w:rsidRPr="008600DD">
        <w:t xml:space="preserve">ejecutan el proyecto: </w:t>
      </w:r>
      <w:r w:rsidR="008600DD" w:rsidRPr="000964A9">
        <w:rPr>
          <w:b/>
          <w:i/>
        </w:rPr>
        <w:t>“ENFOCATE” en el ejercicio de tus Derechos Sexuales, Derechos Reproductivos, la igualdad de las</w:t>
      </w:r>
      <w:r w:rsidR="005F26D9" w:rsidRPr="000964A9">
        <w:rPr>
          <w:b/>
          <w:i/>
        </w:rPr>
        <w:t xml:space="preserve"> niñas y tu vida sin violencia</w:t>
      </w:r>
      <w:r w:rsidR="005F26D9">
        <w:t>, mismo que tiene como objetivo fortalecer la</w:t>
      </w:r>
      <w:r w:rsidR="008600DD" w:rsidRPr="008600DD">
        <w:t xml:space="preserve">s </w:t>
      </w:r>
      <w:r w:rsidR="005F26D9">
        <w:t xml:space="preserve">redes de adolescentes y jóvenes en 10 municipios de 4 departamentos, para que las mismas </w:t>
      </w:r>
      <w:r w:rsidR="008600DD" w:rsidRPr="008600DD">
        <w:t xml:space="preserve">ejerzan influencia </w:t>
      </w:r>
      <w:r w:rsidR="005F26D9">
        <w:t xml:space="preserve">en sus pares </w:t>
      </w:r>
      <w:r w:rsidR="00826760">
        <w:t xml:space="preserve">y entorno </w:t>
      </w:r>
      <w:r w:rsidR="005F26D9">
        <w:t xml:space="preserve">con relación </w:t>
      </w:r>
      <w:r w:rsidR="008600DD" w:rsidRPr="008600DD">
        <w:t xml:space="preserve">en las decisiones sobre los Derechos Sexuales y Derechos Reproductivos, incluidos el embarazo adolescente y la </w:t>
      </w:r>
      <w:r w:rsidR="005F26D9">
        <w:t xml:space="preserve">lucha contra la </w:t>
      </w:r>
      <w:r w:rsidR="008600DD" w:rsidRPr="008600DD">
        <w:t>violencia de género.</w:t>
      </w:r>
    </w:p>
    <w:p w14:paraId="66CE4CA7" w14:textId="135F83A1" w:rsidR="00C33F7A" w:rsidRDefault="00C33F7A" w:rsidP="008600DD">
      <w:pPr>
        <w:spacing w:after="0" w:line="240" w:lineRule="auto"/>
        <w:jc w:val="both"/>
      </w:pPr>
    </w:p>
    <w:p w14:paraId="52496C9D" w14:textId="0E458B1E" w:rsidR="00C33F7A" w:rsidRPr="008600DD" w:rsidRDefault="009D4442" w:rsidP="008600DD">
      <w:pPr>
        <w:spacing w:after="0" w:line="240" w:lineRule="auto"/>
        <w:jc w:val="both"/>
      </w:pPr>
      <w:r>
        <w:t>Por su parte, l</w:t>
      </w:r>
      <w:r w:rsidR="00C33F7A">
        <w:t xml:space="preserve">a ONG </w:t>
      </w:r>
      <w:r w:rsidR="00C33F7A" w:rsidRPr="00C33F7A">
        <w:t xml:space="preserve">Realidades </w:t>
      </w:r>
      <w:r w:rsidR="00C33F7A">
        <w:t xml:space="preserve">(Chuquisaca) realiza acciones de </w:t>
      </w:r>
      <w:r w:rsidR="00C33F7A" w:rsidRPr="00C33F7A">
        <w:t>incidencia en políticas públicas con enfoque de derechos, g</w:t>
      </w:r>
      <w:r w:rsidR="00D37946">
        <w:t>é</w:t>
      </w:r>
      <w:r w:rsidR="00C33F7A" w:rsidRPr="00C33F7A">
        <w:t>ne</w:t>
      </w:r>
      <w:r w:rsidR="00C33F7A">
        <w:t>ro, diferencial e intercultural. De</w:t>
      </w:r>
      <w:r w:rsidR="00C33F7A" w:rsidRPr="00C33F7A">
        <w:t xml:space="preserve">sde el Centro Yachaywasi </w:t>
      </w:r>
      <w:r w:rsidR="00C33F7A">
        <w:t xml:space="preserve">se </w:t>
      </w:r>
      <w:r w:rsidR="00C33F7A" w:rsidRPr="00C33F7A">
        <w:t>brinda patrocinio legal y apoyo psicológico a víctimas de violencia en razón de género, asimismo</w:t>
      </w:r>
      <w:r w:rsidR="00C33F7A">
        <w:t xml:space="preserve"> se desarrollan acciones de litigio estrat</w:t>
      </w:r>
      <w:bookmarkStart w:id="0" w:name="_GoBack"/>
      <w:bookmarkEnd w:id="0"/>
      <w:r w:rsidR="00C33F7A">
        <w:t>égico</w:t>
      </w:r>
      <w:r w:rsidR="009706DE">
        <w:t xml:space="preserve"> para NNA y mujeres víctimas de violencia</w:t>
      </w:r>
      <w:r w:rsidR="00C33F7A">
        <w:t xml:space="preserve">. Por otra parte, se brinda </w:t>
      </w:r>
      <w:r w:rsidR="00C33F7A" w:rsidRPr="00C33F7A">
        <w:t>apoyo técnico a los gobiernos municipales, departamentales y a la Mesa Penal adolescente</w:t>
      </w:r>
      <w:r w:rsidR="00C33F7A">
        <w:t>,</w:t>
      </w:r>
      <w:r w:rsidR="00C33F7A" w:rsidRPr="00C33F7A">
        <w:t xml:space="preserve"> capacitando a servidores públicos desde la Plataforma de Investigación y Formación </w:t>
      </w:r>
      <w:r w:rsidR="000A4308" w:rsidRPr="00C33F7A">
        <w:t>Especializada</w:t>
      </w:r>
      <w:r w:rsidR="000A4308">
        <w:t xml:space="preserve"> fortaleciendo la articulación Estado-Sociedad Civil.</w:t>
      </w:r>
    </w:p>
    <w:p w14:paraId="58C31C3D" w14:textId="751F9166" w:rsidR="00D37946" w:rsidRDefault="00D37946" w:rsidP="00512FE8">
      <w:pPr>
        <w:jc w:val="both"/>
        <w:rPr>
          <w:b/>
          <w:bCs/>
        </w:rPr>
      </w:pPr>
    </w:p>
    <w:p w14:paraId="0A9B95B2" w14:textId="07D0C248" w:rsidR="00746BF0" w:rsidRPr="00512FE8" w:rsidRDefault="00944434" w:rsidP="00512FE8">
      <w:pPr>
        <w:jc w:val="both"/>
        <w:rPr>
          <w:b/>
          <w:bCs/>
        </w:rPr>
      </w:pPr>
      <w:r>
        <w:rPr>
          <w:b/>
          <w:bCs/>
        </w:rPr>
        <w:t xml:space="preserve">COMITÉ: </w:t>
      </w:r>
      <w:r w:rsidR="00512FE8" w:rsidRPr="00512FE8">
        <w:rPr>
          <w:b/>
          <w:bCs/>
        </w:rPr>
        <w:t xml:space="preserve">¿POR QUÉ SE PRODUCE LA DETENCIÓN PREVENTIVA EN ADOLESCENTES CON RESPONSABILIDAD PENAL? </w:t>
      </w:r>
    </w:p>
    <w:p w14:paraId="7600A190" w14:textId="6E893357" w:rsidR="00E76526" w:rsidRDefault="00CE12C1" w:rsidP="00CE12C1">
      <w:pPr>
        <w:jc w:val="both"/>
      </w:pPr>
      <w:r>
        <w:t xml:space="preserve">No se cuenta con información  </w:t>
      </w:r>
      <w:r w:rsidR="00580404">
        <w:t xml:space="preserve">actualizada, </w:t>
      </w:r>
      <w:r w:rsidR="00577DA2">
        <w:t>pero</w:t>
      </w:r>
      <w:r w:rsidR="00580404">
        <w:t xml:space="preserve"> de acuerdo a datos oficiales</w:t>
      </w:r>
      <w:r w:rsidR="00577DA2">
        <w:t xml:space="preserve"> existentes</w:t>
      </w:r>
      <w:r w:rsidR="00580404">
        <w:t xml:space="preserve"> entre el 2012 y 2018 se redujo la detención preventiva de adolescentes en conflicto con la ley del 54% al 39%</w:t>
      </w:r>
      <w:r w:rsidR="00AD0FD9">
        <w:rPr>
          <w:rStyle w:val="Refdenotaalpie"/>
        </w:rPr>
        <w:footnoteReference w:id="4"/>
      </w:r>
      <w:r w:rsidR="00580404">
        <w:t xml:space="preserve">, sin </w:t>
      </w:r>
      <w:r w:rsidR="001C6C2D">
        <w:t xml:space="preserve">embargo, </w:t>
      </w:r>
      <w:r w:rsidR="00580404">
        <w:t>el p</w:t>
      </w:r>
      <w:r w:rsidR="00512FE8">
        <w:t>orcentaje sigue siendo a</w:t>
      </w:r>
      <w:r w:rsidR="001C6C2D">
        <w:t>lto</w:t>
      </w:r>
      <w:r w:rsidR="00512FE8">
        <w:t xml:space="preserve">, más aun si se considera el peligro de contagio que actualmente </w:t>
      </w:r>
      <w:r w:rsidR="001C6C2D">
        <w:t>existe</w:t>
      </w:r>
      <w:r w:rsidR="00512FE8">
        <w:t xml:space="preserve"> debido a la </w:t>
      </w:r>
      <w:r w:rsidR="00580404">
        <w:t>pandemia</w:t>
      </w:r>
      <w:r w:rsidR="00E76526">
        <w:t>.</w:t>
      </w:r>
    </w:p>
    <w:p w14:paraId="70F51A08" w14:textId="77777777" w:rsidR="00444F1B" w:rsidRDefault="00E76526" w:rsidP="00CE12C1">
      <w:pPr>
        <w:jc w:val="both"/>
      </w:pPr>
      <w:r>
        <w:t>A pesar del amplio desarrollo normativo y de protocolos y manuales para adolescentes con responsabilidad penal existen limitaciones en su aplicación debido a que no todos los jueces son especializados, existen pocos juzgados de niñez y adolescencia y la mayor parte de l</w:t>
      </w:r>
      <w:r w:rsidR="00444F1B">
        <w:t>os casos so</w:t>
      </w:r>
      <w:r>
        <w:t>n atendidos por los jueces mixtos de provincia</w:t>
      </w:r>
      <w:r w:rsidR="00512FE8">
        <w:t>. D</w:t>
      </w:r>
      <w:r w:rsidR="00DE1923">
        <w:t>efensa publica tiene una limitada cobertura y un alto índice de rotación de personal al igual que las DNA</w:t>
      </w:r>
      <w:r w:rsidR="002C3593">
        <w:t>, que en general no cuentan con especialización sobre el enfoque de justicia restaurativa, ni aplican los estándares internacio</w:t>
      </w:r>
      <w:r w:rsidR="00444F1B">
        <w:t>nales y las recomendaciones de Naciones U</w:t>
      </w:r>
      <w:r w:rsidR="002C3593">
        <w:t>nidas</w:t>
      </w:r>
      <w:r>
        <w:t>.</w:t>
      </w:r>
      <w:r w:rsidR="002C3593">
        <w:t xml:space="preserve"> </w:t>
      </w:r>
    </w:p>
    <w:p w14:paraId="74DAB824" w14:textId="20837E01" w:rsidR="002C3593" w:rsidRDefault="002C3593" w:rsidP="00CE12C1">
      <w:pPr>
        <w:jc w:val="both"/>
      </w:pPr>
      <w:r>
        <w:t xml:space="preserve">De acuerdo al Informe </w:t>
      </w:r>
      <w:r w:rsidRPr="009706DE">
        <w:t>Defensorial</w:t>
      </w:r>
      <w:r w:rsidR="00DE1923" w:rsidRPr="009706DE">
        <w:t xml:space="preserve"> </w:t>
      </w:r>
      <w:r w:rsidR="00C27D72" w:rsidRPr="009706DE">
        <w:t xml:space="preserve">Especial </w:t>
      </w:r>
      <w:r w:rsidR="00AD0FD9" w:rsidRPr="009706DE">
        <w:t xml:space="preserve">sobre la </w:t>
      </w:r>
      <w:r w:rsidR="00444F1B" w:rsidRPr="009706DE">
        <w:t>Situación de las y los A</w:t>
      </w:r>
      <w:r w:rsidR="00C27D72" w:rsidRPr="009706DE">
        <w:t xml:space="preserve">dolescentes en </w:t>
      </w:r>
      <w:r w:rsidR="00444F1B" w:rsidRPr="009706DE">
        <w:t>Centros de Reintegración Social</w:t>
      </w:r>
      <w:r w:rsidR="00444F1B">
        <w:t xml:space="preserve"> </w:t>
      </w:r>
      <w:r w:rsidR="001C6C2D">
        <w:t>(</w:t>
      </w:r>
      <w:r w:rsidR="00444F1B">
        <w:t>2020</w:t>
      </w:r>
      <w:r w:rsidR="001C6C2D">
        <w:t>)</w:t>
      </w:r>
      <w:r w:rsidR="00444F1B">
        <w:t xml:space="preserve">, </w:t>
      </w:r>
      <w:r w:rsidR="00DE1923">
        <w:t>el 40% d</w:t>
      </w:r>
      <w:r w:rsidR="00444F1B">
        <w:t xml:space="preserve">e la población se encontraba con detención preventiva. Evidenciando que </w:t>
      </w:r>
      <w:r>
        <w:t>las autoridades judiciales vulnera</w:t>
      </w:r>
      <w:r w:rsidR="00444F1B">
        <w:t>n</w:t>
      </w:r>
      <w:r>
        <w:t xml:space="preserve"> la excepcionalidad de privación de libertad, </w:t>
      </w:r>
      <w:r w:rsidR="00444F1B">
        <w:t>más aún en el contexto de la pandemia. N</w:t>
      </w:r>
      <w:r>
        <w:t xml:space="preserve">o se están aplicando con prioridad los mecanismos </w:t>
      </w:r>
      <w:r w:rsidR="00DE1923">
        <w:t>para el egreso de adolescentes, omisión que constituye un atentado contra la salud y la vida</w:t>
      </w:r>
      <w:r w:rsidR="00AD0FD9">
        <w:rPr>
          <w:rStyle w:val="Refdenotaalpie"/>
        </w:rPr>
        <w:footnoteReference w:id="5"/>
      </w:r>
      <w:r w:rsidR="00E8623D">
        <w:t xml:space="preserve">, </w:t>
      </w:r>
      <w:r w:rsidR="00444F1B">
        <w:t>ya que</w:t>
      </w:r>
      <w:r w:rsidR="00E8623D">
        <w:t xml:space="preserve"> los centros de reintegración se caracterizan por contar con una muy precaria infraestructura</w:t>
      </w:r>
      <w:r w:rsidR="00444F1B">
        <w:t>. Es también evidente l</w:t>
      </w:r>
      <w:r w:rsidR="00E8623D">
        <w:t xml:space="preserve">a falta de acceso a información y comunicación y una muy limitada protección frente a la pandemia </w:t>
      </w:r>
      <w:r w:rsidR="00444F1B">
        <w:t xml:space="preserve">al no </w:t>
      </w:r>
      <w:r w:rsidR="00E8623D">
        <w:t>aplica</w:t>
      </w:r>
      <w:r w:rsidR="00444F1B">
        <w:t xml:space="preserve">rse correctamente los </w:t>
      </w:r>
      <w:r w:rsidR="00E8623D">
        <w:t xml:space="preserve">protocolos y dotación de insumos de bioseguridad. </w:t>
      </w:r>
    </w:p>
    <w:p w14:paraId="327FF650" w14:textId="27B415AF" w:rsidR="00E76526" w:rsidRDefault="00E76526" w:rsidP="00CE12C1">
      <w:pPr>
        <w:jc w:val="both"/>
      </w:pPr>
      <w:r>
        <w:t xml:space="preserve"> </w:t>
      </w:r>
      <w:r w:rsidR="00DE1923">
        <w:t>A esto se suma la debilidad del sistema penal adolescente en relación a la</w:t>
      </w:r>
      <w:r w:rsidR="00444F1B">
        <w:t xml:space="preserve"> aplicación de los </w:t>
      </w:r>
      <w:r w:rsidR="00DE1923">
        <w:t xml:space="preserve">Programas de Post Egreso y de familia, sobre todo de adolescentes del área rural, </w:t>
      </w:r>
      <w:r w:rsidR="00E8623D">
        <w:t xml:space="preserve">y la limitada coordinación interinstitucional para consolidar redes familiares y comunitarias a las que el adolescente debe volver. </w:t>
      </w:r>
    </w:p>
    <w:p w14:paraId="366974CF" w14:textId="1D7366DF" w:rsidR="00746BF0" w:rsidRPr="00E8623D" w:rsidRDefault="00944434" w:rsidP="00CE12C1">
      <w:pPr>
        <w:jc w:val="both"/>
        <w:rPr>
          <w:b/>
          <w:bCs/>
        </w:rPr>
      </w:pPr>
      <w:r>
        <w:rPr>
          <w:b/>
          <w:bCs/>
        </w:rPr>
        <w:lastRenderedPageBreak/>
        <w:t>COMITÉ: INFORMACIÓN SOBRE LA</w:t>
      </w:r>
      <w:r w:rsidRPr="00E8623D">
        <w:rPr>
          <w:b/>
          <w:bCs/>
        </w:rPr>
        <w:t xml:space="preserve"> MENDICIDAD FORZADA </w:t>
      </w:r>
    </w:p>
    <w:p w14:paraId="0E1E1D7C" w14:textId="14AB24E7" w:rsidR="00B56BF7" w:rsidRDefault="00826760" w:rsidP="00826760">
      <w:pPr>
        <w:jc w:val="both"/>
      </w:pPr>
      <w:r>
        <w:t xml:space="preserve">La mendicidad es una </w:t>
      </w:r>
      <w:r w:rsidR="000964A9">
        <w:t xml:space="preserve">situación extrema </w:t>
      </w:r>
      <w:r>
        <w:t xml:space="preserve">que tiene como antecedente </w:t>
      </w:r>
      <w:r w:rsidR="000964A9">
        <w:t>el t</w:t>
      </w:r>
      <w:r w:rsidR="00AA3E38">
        <w:t xml:space="preserve">rabajo infantil </w:t>
      </w:r>
      <w:r w:rsidR="009D4442">
        <w:t xml:space="preserve">en condiciones precarias </w:t>
      </w:r>
      <w:r w:rsidR="00AA3E38">
        <w:t>y</w:t>
      </w:r>
      <w:r w:rsidR="000964A9">
        <w:t xml:space="preserve"> </w:t>
      </w:r>
      <w:r w:rsidR="00AA3E38">
        <w:t xml:space="preserve">la </w:t>
      </w:r>
      <w:r w:rsidR="000964A9">
        <w:t xml:space="preserve">condición de </w:t>
      </w:r>
      <w:r w:rsidR="00AA3E38">
        <w:t xml:space="preserve">niñez </w:t>
      </w:r>
      <w:r w:rsidR="00D235BE">
        <w:t>en situación de</w:t>
      </w:r>
      <w:r w:rsidR="009D4442">
        <w:t xml:space="preserve"> </w:t>
      </w:r>
      <w:r w:rsidR="00AA3E38">
        <w:t>calle</w:t>
      </w:r>
      <w:r w:rsidR="000964A9">
        <w:t>,</w:t>
      </w:r>
      <w:r>
        <w:t xml:space="preserve"> siendo </w:t>
      </w:r>
      <w:r w:rsidR="000964A9">
        <w:t xml:space="preserve">estos </w:t>
      </w:r>
      <w:r w:rsidR="009D4442">
        <w:t xml:space="preserve">fenómenos </w:t>
      </w:r>
      <w:r w:rsidR="00AA3E38">
        <w:t>una realidad cotidiana aceptada socialmente</w:t>
      </w:r>
      <w:r>
        <w:t>, ante esta situación se evidencia que no exist</w:t>
      </w:r>
      <w:r w:rsidR="00512FE8">
        <w:t>en acciones estatales para las fases de</w:t>
      </w:r>
      <w:r>
        <w:t xml:space="preserve"> atención y prevención. </w:t>
      </w:r>
    </w:p>
    <w:p w14:paraId="5AF08619" w14:textId="472D8258" w:rsidR="00B25BDA" w:rsidRDefault="000964A9" w:rsidP="00B25BDA">
      <w:pPr>
        <w:jc w:val="both"/>
        <w:rPr>
          <w:rFonts w:cstheme="minorHAnsi"/>
        </w:rPr>
      </w:pPr>
      <w:r>
        <w:t>E</w:t>
      </w:r>
      <w:r w:rsidR="00577DA2">
        <w:t>l Instituto Nacional de Estadística (INE)</w:t>
      </w:r>
      <w:r w:rsidR="00512FE8">
        <w:t xml:space="preserve"> en 2018 </w:t>
      </w:r>
      <w:r w:rsidR="00512FE8">
        <w:rPr>
          <w:rFonts w:cstheme="minorHAnsi"/>
        </w:rPr>
        <w:t>identificó</w:t>
      </w:r>
      <w:r w:rsidR="00B25BDA" w:rsidRPr="00AE685E">
        <w:rPr>
          <w:rFonts w:cstheme="minorHAnsi"/>
        </w:rPr>
        <w:t xml:space="preserve"> a 739.00 niñas, niños y adolescentes trabaja</w:t>
      </w:r>
      <w:r w:rsidR="00512FE8">
        <w:rPr>
          <w:rFonts w:cstheme="minorHAnsi"/>
        </w:rPr>
        <w:t>dores</w:t>
      </w:r>
      <w:r w:rsidR="00B25BDA">
        <w:rPr>
          <w:rFonts w:cstheme="minorHAnsi"/>
        </w:rPr>
        <w:t>, de los cuales 34</w:t>
      </w:r>
      <w:r w:rsidR="00512FE8">
        <w:rPr>
          <w:rFonts w:cstheme="minorHAnsi"/>
        </w:rPr>
        <w:t>3.000 realizan trabajo familiar</w:t>
      </w:r>
      <w:r w:rsidR="00B25BDA">
        <w:rPr>
          <w:rFonts w:cstheme="minorHAnsi"/>
        </w:rPr>
        <w:t xml:space="preserve"> y </w:t>
      </w:r>
      <w:r w:rsidR="00B25BDA" w:rsidRPr="00AE685E">
        <w:rPr>
          <w:rFonts w:cstheme="minorHAnsi"/>
        </w:rPr>
        <w:t>396 mil niñ</w:t>
      </w:r>
      <w:r w:rsidR="00B25BDA">
        <w:rPr>
          <w:rFonts w:cstheme="minorHAnsi"/>
        </w:rPr>
        <w:t>as, niños y adolescentes realizan trabajos por cuenta propia y ajena, de los que el 38% realiza trabajos prohibidos y peligrosos</w:t>
      </w:r>
      <w:r w:rsidR="00AD0FD9">
        <w:rPr>
          <w:rStyle w:val="Refdenotaalpie"/>
          <w:rFonts w:cstheme="minorHAnsi"/>
        </w:rPr>
        <w:footnoteReference w:id="6"/>
      </w:r>
      <w:r w:rsidR="00B25BDA">
        <w:rPr>
          <w:rFonts w:cstheme="minorHAnsi"/>
        </w:rPr>
        <w:t xml:space="preserve">. Bolivia no </w:t>
      </w:r>
      <w:r w:rsidR="00E13DEA">
        <w:rPr>
          <w:rFonts w:cstheme="minorHAnsi"/>
        </w:rPr>
        <w:t xml:space="preserve">ha implementado ningún </w:t>
      </w:r>
      <w:r w:rsidR="00B25BDA">
        <w:rPr>
          <w:rFonts w:cstheme="minorHAnsi"/>
        </w:rPr>
        <w:t>programa de erradicación del trabajo infantil,</w:t>
      </w:r>
      <w:r w:rsidR="00E13DEA">
        <w:rPr>
          <w:rFonts w:cstheme="minorHAnsi"/>
        </w:rPr>
        <w:t xml:space="preserve"> ni de protección social a menores de 14 años y sus familias. Existe una ausencia total de programas de atención a familias empobrecidas y en situación de riesgo social y no se realiza ningún tipo de control, seguimiento o acercamiento a familias en situación de extrema pobreza o a niñez en situación de calle - NNASC (a pesar de la existencia de un protocolo de NNASC) o trabajo</w:t>
      </w:r>
      <w:r w:rsidR="001C6114">
        <w:rPr>
          <w:rFonts w:cstheme="minorHAnsi"/>
        </w:rPr>
        <w:t xml:space="preserve"> (NATS)</w:t>
      </w:r>
      <w:r w:rsidR="00E13DEA">
        <w:rPr>
          <w:rFonts w:cstheme="minorHAnsi"/>
        </w:rPr>
        <w:t xml:space="preserve"> que son los </w:t>
      </w:r>
      <w:r w:rsidR="00512FE8">
        <w:rPr>
          <w:rFonts w:cstheme="minorHAnsi"/>
        </w:rPr>
        <w:t>más</w:t>
      </w:r>
      <w:r w:rsidR="00E13DEA">
        <w:rPr>
          <w:rFonts w:cstheme="minorHAnsi"/>
        </w:rPr>
        <w:t xml:space="preserve"> expuestos a la mendicidad.  </w:t>
      </w:r>
    </w:p>
    <w:p w14:paraId="37EE54D2" w14:textId="22E22EBF" w:rsidR="00D235BE" w:rsidRPr="003B48EA" w:rsidRDefault="00D235BE" w:rsidP="003B48EA">
      <w:pPr>
        <w:shd w:val="clear" w:color="auto" w:fill="FFFFFF"/>
        <w:jc w:val="both"/>
        <w:textAlignment w:val="baseline"/>
        <w:rPr>
          <w:rFonts w:eastAsia="Times New Roman" w:cstheme="minorHAnsi"/>
          <w:color w:val="333333"/>
          <w:lang w:eastAsia="es-BO"/>
        </w:rPr>
      </w:pPr>
      <w:r w:rsidRPr="003B48EA">
        <w:rPr>
          <w:rFonts w:cstheme="minorHAnsi"/>
        </w:rPr>
        <w:t xml:space="preserve">La Ley Integral contra la Trata y Tráfico de Personas </w:t>
      </w:r>
      <w:r w:rsidR="00BF0707" w:rsidRPr="003B48EA">
        <w:rPr>
          <w:rFonts w:cstheme="minorHAnsi"/>
        </w:rPr>
        <w:t>incluye la mendicidad forzada como uno de los fines de la trata, sin embargo, no se cuenta con estadística oficiales al respecto. L</w:t>
      </w:r>
      <w:r w:rsidR="00BF0707" w:rsidRPr="003B48EA">
        <w:rPr>
          <w:rFonts w:eastAsia="Times New Roman" w:cstheme="minorHAnsi"/>
          <w:color w:val="333333"/>
          <w:lang w:eastAsia="es-BO"/>
        </w:rPr>
        <w:t xml:space="preserve">a Oficina de las Naciones Unidas contra la Droga y el Delito en el informe global de Trata de Personas 2018 </w:t>
      </w:r>
      <w:r w:rsidR="003B48EA" w:rsidRPr="003B48EA">
        <w:rPr>
          <w:rFonts w:eastAsia="Times New Roman" w:cstheme="minorHAnsi"/>
          <w:color w:val="333333"/>
          <w:lang w:eastAsia="es-BO"/>
        </w:rPr>
        <w:t>indica que</w:t>
      </w:r>
      <w:r w:rsidR="00BF0707" w:rsidRPr="003B48EA">
        <w:rPr>
          <w:rFonts w:eastAsia="Times New Roman" w:cstheme="minorHAnsi"/>
          <w:color w:val="333333"/>
          <w:lang w:eastAsia="es-BO"/>
        </w:rPr>
        <w:t xml:space="preserve"> Bolivia registra 162 casos</w:t>
      </w:r>
      <w:r w:rsidR="003B48EA" w:rsidRPr="003B48EA">
        <w:rPr>
          <w:rFonts w:eastAsia="Times New Roman" w:cstheme="minorHAnsi"/>
          <w:color w:val="333333"/>
          <w:lang w:eastAsia="es-BO"/>
        </w:rPr>
        <w:t xml:space="preserve"> de trata, </w:t>
      </w:r>
      <w:r w:rsidR="00BF0707" w:rsidRPr="003B48EA">
        <w:rPr>
          <w:rFonts w:eastAsia="Times New Roman" w:cstheme="minorHAnsi"/>
          <w:color w:val="333333"/>
          <w:lang w:eastAsia="es-BO"/>
        </w:rPr>
        <w:t>esta cifra est</w:t>
      </w:r>
      <w:r w:rsidR="003B48EA" w:rsidRPr="003B48EA">
        <w:rPr>
          <w:rFonts w:eastAsia="Times New Roman" w:cstheme="minorHAnsi"/>
          <w:color w:val="333333"/>
          <w:lang w:eastAsia="es-BO"/>
        </w:rPr>
        <w:t>aba</w:t>
      </w:r>
      <w:r w:rsidR="00BF0707" w:rsidRPr="003B48EA">
        <w:rPr>
          <w:rFonts w:eastAsia="Times New Roman" w:cstheme="minorHAnsi"/>
          <w:color w:val="333333"/>
          <w:lang w:eastAsia="es-BO"/>
        </w:rPr>
        <w:t xml:space="preserve"> constituida por 89 casos de trata con fines de trabajo forzoso, 54 de explotación sexual, 18 hechos de adopción ilegal y un caso de mendicidad forzada</w:t>
      </w:r>
      <w:r w:rsidR="003B48EA">
        <w:rPr>
          <w:rFonts w:eastAsia="Times New Roman" w:cstheme="minorHAnsi"/>
          <w:color w:val="333333"/>
          <w:lang w:eastAsia="es-BO"/>
        </w:rPr>
        <w:t>.</w:t>
      </w:r>
      <w:r w:rsidR="004075F3">
        <w:rPr>
          <w:rFonts w:eastAsia="Times New Roman" w:cstheme="minorHAnsi"/>
          <w:color w:val="333333"/>
          <w:lang w:eastAsia="es-BO"/>
        </w:rPr>
        <w:t xml:space="preserve"> Este dato lejos de ser alentador devela que estos casos escapan de la detección acción de las autoridades.</w:t>
      </w:r>
    </w:p>
    <w:p w14:paraId="52CF669C" w14:textId="4410CD92" w:rsidR="00E8623D" w:rsidRPr="00E8623D" w:rsidRDefault="00944434" w:rsidP="00CE12C1">
      <w:pPr>
        <w:jc w:val="both"/>
        <w:rPr>
          <w:b/>
          <w:bCs/>
        </w:rPr>
      </w:pPr>
      <w:r>
        <w:rPr>
          <w:b/>
          <w:bCs/>
        </w:rPr>
        <w:t xml:space="preserve">COMITÉ: </w:t>
      </w:r>
      <w:r w:rsidRPr="00E8623D">
        <w:rPr>
          <w:b/>
          <w:bCs/>
        </w:rPr>
        <w:t>EL DERECHO A LA SALUD DE NNA DURANTE LA PANDEMIA POR COVID 19</w:t>
      </w:r>
    </w:p>
    <w:p w14:paraId="284B90B3" w14:textId="1EE68001" w:rsidR="00E13DEA" w:rsidRDefault="00E13DEA" w:rsidP="00CE12C1">
      <w:pPr>
        <w:jc w:val="both"/>
      </w:pPr>
      <w:r>
        <w:t xml:space="preserve">Durante la pandemia por COVID 19 no se han establecido </w:t>
      </w:r>
      <w:r w:rsidR="001C6114">
        <w:t>políticas</w:t>
      </w:r>
      <w:r>
        <w:t xml:space="preserve"> publicas favorables a la </w:t>
      </w:r>
      <w:r w:rsidR="001C6114">
        <w:t>atención de NNA, no se desagregan</w:t>
      </w:r>
      <w:r w:rsidR="00944434">
        <w:t xml:space="preserve"> los datos de afectados o muerto</w:t>
      </w:r>
      <w:r w:rsidR="001C6114">
        <w:t xml:space="preserve">s por COVID 19 por edad, no se han establecido espacios de atención diferenciados en centros de salud y centros de aislamiento para NNA afectados por COVID 19, por lo que </w:t>
      </w:r>
      <w:r w:rsidR="00944434">
        <w:t>están</w:t>
      </w:r>
      <w:r w:rsidR="001C6114">
        <w:t xml:space="preserve"> en los mismos lugares que los adultos</w:t>
      </w:r>
      <w:r w:rsidR="00944434">
        <w:t>. E</w:t>
      </w:r>
      <w:r w:rsidR="001C6114">
        <w:t xml:space="preserve">n los Centros de Acogida y Reintegración Social se han aplicado de manera muy tardía y muy limitada </w:t>
      </w:r>
      <w:r w:rsidR="00944434">
        <w:t xml:space="preserve">los </w:t>
      </w:r>
      <w:r w:rsidR="001C6114">
        <w:t>protocolos de bioseguridad, se c</w:t>
      </w:r>
      <w:r w:rsidR="00944434">
        <w:t xml:space="preserve">uentan </w:t>
      </w:r>
      <w:r w:rsidR="001C6114">
        <w:t xml:space="preserve">con ambientes precarios para el aislamiento de casos sin las condiciones de acceso a espacios de recreación, con limitados medios de educación y comunicación con sus familias. </w:t>
      </w:r>
    </w:p>
    <w:p w14:paraId="48F473D4" w14:textId="5BCC0C2E" w:rsidR="00746BF0" w:rsidRDefault="001C6114" w:rsidP="00CE12C1">
      <w:pPr>
        <w:jc w:val="both"/>
      </w:pPr>
      <w:r>
        <w:t xml:space="preserve">No se han implementado medidas de prevención y dotación de insumos de bioseguridad para NNASC y NATS. </w:t>
      </w:r>
    </w:p>
    <w:p w14:paraId="1837C7C4" w14:textId="7F3013BC" w:rsidR="004C6227" w:rsidRPr="00746BF0" w:rsidRDefault="001C6114" w:rsidP="00CE12C1">
      <w:pPr>
        <w:jc w:val="both"/>
      </w:pPr>
      <w:r>
        <w:t xml:space="preserve">No se ha realizado ningún tipo de coordinación con la medicina tradicional a pesar de que los pueblos indígenas originarios (PICS) desarrollaron sus propias medidas de fortalecimiento del sistema inmunológico, como únicas medidas a las que han tenido acceso permanente los NNA de </w:t>
      </w:r>
      <w:r w:rsidR="00512FE8">
        <w:t>P</w:t>
      </w:r>
      <w:r w:rsidR="00512FE8" w:rsidRPr="00512FE8">
        <w:t>ueblos</w:t>
      </w:r>
      <w:r w:rsidR="00512FE8">
        <w:t xml:space="preserve"> Indígena Originario C</w:t>
      </w:r>
      <w:r w:rsidR="00512FE8" w:rsidRPr="00512FE8">
        <w:t>ampesinos</w:t>
      </w:r>
      <w:r w:rsidR="00512FE8">
        <w:t xml:space="preserve">- </w:t>
      </w:r>
      <w:r>
        <w:t>PIOCs.</w:t>
      </w:r>
    </w:p>
    <w:sectPr w:rsidR="004C6227" w:rsidRPr="00746BF0" w:rsidSect="00CE1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EFF8" w14:textId="77777777" w:rsidR="00A94601" w:rsidRDefault="00A94601" w:rsidP="00AD0FD9">
      <w:pPr>
        <w:spacing w:after="0" w:line="240" w:lineRule="auto"/>
      </w:pPr>
      <w:r>
        <w:separator/>
      </w:r>
    </w:p>
  </w:endnote>
  <w:endnote w:type="continuationSeparator" w:id="0">
    <w:p w14:paraId="1B28C821" w14:textId="77777777" w:rsidR="00A94601" w:rsidRDefault="00A94601" w:rsidP="00AD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68430" w14:textId="77777777" w:rsidR="00A94601" w:rsidRDefault="00A94601" w:rsidP="00AD0FD9">
      <w:pPr>
        <w:spacing w:after="0" w:line="240" w:lineRule="auto"/>
      </w:pPr>
      <w:r>
        <w:separator/>
      </w:r>
    </w:p>
  </w:footnote>
  <w:footnote w:type="continuationSeparator" w:id="0">
    <w:p w14:paraId="471002AE" w14:textId="77777777" w:rsidR="00A94601" w:rsidRDefault="00A94601" w:rsidP="00AD0FD9">
      <w:pPr>
        <w:spacing w:after="0" w:line="240" w:lineRule="auto"/>
      </w:pPr>
      <w:r>
        <w:continuationSeparator/>
      </w:r>
    </w:p>
  </w:footnote>
  <w:footnote w:id="1">
    <w:p w14:paraId="18DFAF57" w14:textId="77777777" w:rsidR="001D3DEB" w:rsidRDefault="001D3DEB" w:rsidP="001D3DEB">
      <w:pPr>
        <w:pStyle w:val="Textonotapie"/>
      </w:pPr>
      <w:r>
        <w:rPr>
          <w:rStyle w:val="Refdenotaalpie"/>
        </w:rPr>
        <w:footnoteRef/>
      </w:r>
      <w:r>
        <w:t xml:space="preserve"> DOCUMENTO DE SISTEMATIZACIÓN CENTROS DE ATENCIÓN INTEGRAL DIFERENCIADA DE ADOLESCENTES Y JÓVENES – AIDAJ, </w:t>
      </w:r>
      <w:r w:rsidRPr="005904B8">
        <w:t>http://www.cemse.edu.bo/webcemse/media/k2/attachments/Sistematizacion_AIDAJ_D5_4L_ALTO.pdf</w:t>
      </w:r>
    </w:p>
  </w:footnote>
  <w:footnote w:id="2">
    <w:p w14:paraId="585648D0" w14:textId="77777777" w:rsidR="001D3DEB" w:rsidRDefault="001D3DEB" w:rsidP="001D3DEB">
      <w:pPr>
        <w:pStyle w:val="Textonotapie"/>
      </w:pPr>
      <w:r>
        <w:rPr>
          <w:rStyle w:val="Refdenotaalpie"/>
        </w:rPr>
        <w:footnoteRef/>
      </w:r>
      <w:r>
        <w:t xml:space="preserve"> DOCUMENTO DE SISTEMATIZACIÓN CENTROS DE ATENCIÓN INTEGRAL DIFERENCIADA DE ADOLESCENTES Y JÓVENES – AIDAJ </w:t>
      </w:r>
      <w:r w:rsidRPr="005904B8">
        <w:t>http://www.cemse.edu.bo/webcemse/media/k2/attachments/Sistematizacion_AIDAJ_D5_4L_ALTO.pdf</w:t>
      </w:r>
    </w:p>
  </w:footnote>
  <w:footnote w:id="3">
    <w:p w14:paraId="4EE0361E" w14:textId="305CFCE1" w:rsidR="00E67A2E" w:rsidRDefault="00E67A2E">
      <w:pPr>
        <w:pStyle w:val="Textonotapie"/>
      </w:pPr>
      <w:r>
        <w:rPr>
          <w:rStyle w:val="Refdenotaalpie"/>
        </w:rPr>
        <w:footnoteRef/>
      </w:r>
      <w:r>
        <w:t xml:space="preserve"> Informe Estado de la Justicia en Bolivia 2019 por Plataforma de Acceso a la Justicia y los Derechos Humanos.</w:t>
      </w:r>
      <w:r w:rsidR="00A727D9">
        <w:t xml:space="preserve"> La Paz, Julio 2019 </w:t>
      </w:r>
      <w:hyperlink r:id="rId1" w:history="1">
        <w:r w:rsidR="00A727D9" w:rsidRPr="00691109">
          <w:rPr>
            <w:rStyle w:val="Hipervnculo"/>
          </w:rPr>
          <w:t>https://www.fundacionconstruir.org/contenido/informe-sobre-el-estado-de-la-justicia-en-bolivia-2019/</w:t>
        </w:r>
      </w:hyperlink>
      <w:r w:rsidR="00A727D9">
        <w:t xml:space="preserve"> </w:t>
      </w:r>
    </w:p>
  </w:footnote>
  <w:footnote w:id="4">
    <w:p w14:paraId="39665F1F" w14:textId="3565FFFD" w:rsidR="00AD0FD9" w:rsidRDefault="00AD0FD9">
      <w:pPr>
        <w:pStyle w:val="Textonotapie"/>
      </w:pPr>
      <w:r>
        <w:rPr>
          <w:rStyle w:val="Refdenotaalpie"/>
        </w:rPr>
        <w:footnoteRef/>
      </w:r>
      <w:r>
        <w:t xml:space="preserve"> Diagnostico Situacional del Sistema Penal Adolescente 2017 – 2018 (Informe preliminar del Ministerio de Justicia y transparencia institucional – No publicado)</w:t>
      </w:r>
      <w:r w:rsidR="00E67A2E">
        <w:t xml:space="preserve"> en Informe Estado de la Justicia en Bolivia 2019 por Plataforma de Acceso a la Justicia y los Derechos Humanos </w:t>
      </w:r>
      <w:r w:rsidR="00A727D9">
        <w:t xml:space="preserve">y </w:t>
      </w:r>
      <w:r w:rsidR="001C6C2D">
        <w:t>Boletín</w:t>
      </w:r>
      <w:r w:rsidR="00A727D9">
        <w:t xml:space="preserve"> Informativo </w:t>
      </w:r>
      <w:r w:rsidR="001C6C2D">
        <w:t>Actualización</w:t>
      </w:r>
      <w:r w:rsidR="00A727D9">
        <w:t xml:space="preserve"> del diagnostico situacional del funcionamiento sobre el sistema penal para adolescentes – Ministerio de Justicia y Transparencia Institucional </w:t>
      </w:r>
      <w:hyperlink r:id="rId2" w:history="1">
        <w:r w:rsidR="00A727D9" w:rsidRPr="00691109">
          <w:rPr>
            <w:rStyle w:val="Hipervnculo"/>
          </w:rPr>
          <w:t>http://bo.pensamientopenal.org/wp-content/uploads/2018/06/Boletin_Actualizacion_Diagnostico_SPA_Bolivia_2018.pdf</w:t>
        </w:r>
      </w:hyperlink>
      <w:r w:rsidR="00A727D9">
        <w:t xml:space="preserve"> </w:t>
      </w:r>
    </w:p>
  </w:footnote>
  <w:footnote w:id="5">
    <w:p w14:paraId="20A7241E" w14:textId="15F7F4A5" w:rsidR="00AD0FD9" w:rsidRDefault="00AD0FD9">
      <w:pPr>
        <w:pStyle w:val="Textonotapie"/>
      </w:pPr>
      <w:r>
        <w:rPr>
          <w:rStyle w:val="Refdenotaalpie"/>
        </w:rPr>
        <w:footnoteRef/>
      </w:r>
      <w:r>
        <w:t xml:space="preserve"> Informe Defensorial Especial – Situación de las y los adolescentes en centros de reintegración social en el contexto de la emergencia sanitaria por la pandemia por COVID 19 – Defensoría del Pueblo 2020</w:t>
      </w:r>
      <w:r w:rsidR="00A727D9" w:rsidRPr="00A727D9">
        <w:t xml:space="preserve"> </w:t>
      </w:r>
      <w:hyperlink r:id="rId3" w:history="1">
        <w:r w:rsidR="00A727D9" w:rsidRPr="00691109">
          <w:rPr>
            <w:rStyle w:val="Hipervnculo"/>
          </w:rPr>
          <w:t>https://www.defensoria.gob.bo/uploads/files/situacion-de-las-y-los-adolescentes-en-centros-de-reintegracion-social-en-el-contexto-de-la-emergencia-sanitaria-por-la-pandemia-de-la-covid-19.pdf</w:t>
        </w:r>
      </w:hyperlink>
      <w:r w:rsidR="00A727D9">
        <w:t xml:space="preserve"> </w:t>
      </w:r>
    </w:p>
  </w:footnote>
  <w:footnote w:id="6">
    <w:p w14:paraId="6729DF74" w14:textId="0B8C3430" w:rsidR="00AD0FD9" w:rsidRDefault="00AD0FD9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="00A727D9" w:rsidRPr="00691109">
          <w:rPr>
            <w:rStyle w:val="Hipervnculo"/>
          </w:rPr>
          <w:t>https://www.ine.gob.bo/index.php/el-trabajo-infantil-de-las-ninas-ninos-y-adolescentes-se-reduce/</w:t>
        </w:r>
      </w:hyperlink>
      <w:r w:rsidR="00A727D9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34143"/>
    <w:multiLevelType w:val="hybridMultilevel"/>
    <w:tmpl w:val="B420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964A9"/>
    <w:rsid w:val="000A4308"/>
    <w:rsid w:val="000D121F"/>
    <w:rsid w:val="00110E66"/>
    <w:rsid w:val="001C6114"/>
    <w:rsid w:val="001C6C2D"/>
    <w:rsid w:val="001D3DEB"/>
    <w:rsid w:val="002C3593"/>
    <w:rsid w:val="00326681"/>
    <w:rsid w:val="003B48EA"/>
    <w:rsid w:val="004075F3"/>
    <w:rsid w:val="00444F1B"/>
    <w:rsid w:val="004A44DB"/>
    <w:rsid w:val="004B7336"/>
    <w:rsid w:val="004C6227"/>
    <w:rsid w:val="004E1435"/>
    <w:rsid w:val="00510CB5"/>
    <w:rsid w:val="00512FE8"/>
    <w:rsid w:val="00577DA2"/>
    <w:rsid w:val="00580404"/>
    <w:rsid w:val="005811C3"/>
    <w:rsid w:val="005F26D9"/>
    <w:rsid w:val="00746BF0"/>
    <w:rsid w:val="00826760"/>
    <w:rsid w:val="008600DD"/>
    <w:rsid w:val="008D2EEC"/>
    <w:rsid w:val="00944434"/>
    <w:rsid w:val="009706DE"/>
    <w:rsid w:val="009D4442"/>
    <w:rsid w:val="00A10361"/>
    <w:rsid w:val="00A33D1B"/>
    <w:rsid w:val="00A343DB"/>
    <w:rsid w:val="00A727D9"/>
    <w:rsid w:val="00A7406F"/>
    <w:rsid w:val="00A94601"/>
    <w:rsid w:val="00AA3E38"/>
    <w:rsid w:val="00AD0FD9"/>
    <w:rsid w:val="00B1127F"/>
    <w:rsid w:val="00B2408B"/>
    <w:rsid w:val="00B25BDA"/>
    <w:rsid w:val="00B56BF7"/>
    <w:rsid w:val="00BF0707"/>
    <w:rsid w:val="00C27D72"/>
    <w:rsid w:val="00C33F7A"/>
    <w:rsid w:val="00C565D0"/>
    <w:rsid w:val="00CE12C1"/>
    <w:rsid w:val="00D235BE"/>
    <w:rsid w:val="00D37946"/>
    <w:rsid w:val="00D85472"/>
    <w:rsid w:val="00DB110C"/>
    <w:rsid w:val="00DB3288"/>
    <w:rsid w:val="00DE1923"/>
    <w:rsid w:val="00E13DEA"/>
    <w:rsid w:val="00E316C3"/>
    <w:rsid w:val="00E67A2E"/>
    <w:rsid w:val="00E76526"/>
    <w:rsid w:val="00E8623D"/>
    <w:rsid w:val="00E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55C5"/>
  <w15:chartTrackingRefBased/>
  <w15:docId w15:val="{02AC9A02-00C5-4BB1-97A9-12842013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D0F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0F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0FD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727D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27D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600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33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B73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73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73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73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7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efensoria.gob.bo/uploads/files/situacion-de-las-y-los-adolescentes-en-centros-de-reintegracion-social-en-el-contexto-de-la-emergencia-sanitaria-por-la-pandemia-de-la-covid-19.pdf" TargetMode="External"/><Relationship Id="rId2" Type="http://schemas.openxmlformats.org/officeDocument/2006/relationships/hyperlink" Target="http://bo.pensamientopenal.org/wp-content/uploads/2018/06/Boletin_Actualizacion_Diagnostico_SPA_Bolivia_2018.pdf" TargetMode="External"/><Relationship Id="rId1" Type="http://schemas.openxmlformats.org/officeDocument/2006/relationships/hyperlink" Target="https://www.fundacionconstruir.org/contenido/informe-sobre-el-estado-de-la-justicia-en-bolivia-2019/" TargetMode="External"/><Relationship Id="rId4" Type="http://schemas.openxmlformats.org/officeDocument/2006/relationships/hyperlink" Target="https://www.ine.gob.bo/index.php/el-trabajo-infantil-de-las-ninas-ninos-y-adolescentes-se-reduc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4191732259f5f252909a37c27cd4b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17EC5-80B1-4257-B6DB-B3270D3DC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41918-42F5-48AC-B16F-516E5F88987B}"/>
</file>

<file path=customXml/itemProps3.xml><?xml version="1.0" encoding="utf-8"?>
<ds:datastoreItem xmlns:ds="http://schemas.openxmlformats.org/officeDocument/2006/customXml" ds:itemID="{989288EB-ACC6-4318-A325-7E342D05A8F9}"/>
</file>

<file path=customXml/itemProps4.xml><?xml version="1.0" encoding="utf-8"?>
<ds:datastoreItem xmlns:ds="http://schemas.openxmlformats.org/officeDocument/2006/customXml" ds:itemID="{699B72DC-BE11-4E12-A838-CCAAEE1CB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1853</Words>
  <Characters>10196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Realidades P3</dc:creator>
  <cp:keywords/>
  <dc:description/>
  <cp:lastModifiedBy>Usuario de Windows</cp:lastModifiedBy>
  <cp:revision>3</cp:revision>
  <dcterms:created xsi:type="dcterms:W3CDTF">2021-02-05T13:15:00Z</dcterms:created>
  <dcterms:modified xsi:type="dcterms:W3CDTF">2021-02-05T13:15:00Z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