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66AF" w14:textId="167E9806" w:rsidR="001E4183" w:rsidRPr="00A713A5" w:rsidRDefault="001E4183" w:rsidP="00851753">
      <w:pPr>
        <w:jc w:val="center"/>
        <w:rPr>
          <w:rFonts w:ascii="Gilroy" w:eastAsia="Georgia" w:hAnsi="Gilroy" w:cs="Georgia"/>
          <w:b/>
          <w:color w:val="222222"/>
        </w:rPr>
      </w:pPr>
      <w:r w:rsidRPr="00A713A5">
        <w:rPr>
          <w:rFonts w:ascii="Gilroy" w:eastAsia="Georgia" w:hAnsi="Gilroy" w:cs="Georgia"/>
          <w:b/>
          <w:color w:val="222222"/>
        </w:rPr>
        <w:t>France’s compliance with the International Covenant on Civil and Political Rights</w:t>
      </w:r>
    </w:p>
    <w:p w14:paraId="456091E8" w14:textId="72BFC044" w:rsidR="0070015B" w:rsidRPr="00A713A5" w:rsidRDefault="001E4183" w:rsidP="00851753">
      <w:pPr>
        <w:jc w:val="center"/>
        <w:rPr>
          <w:rFonts w:ascii="Gilroy" w:eastAsia="Georgia" w:hAnsi="Gilroy" w:cs="Georgia"/>
          <w:b/>
          <w:color w:val="222222"/>
        </w:rPr>
      </w:pPr>
      <w:r w:rsidRPr="00A713A5">
        <w:rPr>
          <w:rFonts w:ascii="Gilroy" w:eastAsia="Georgia" w:hAnsi="Gilroy" w:cs="Georgia"/>
          <w:b/>
          <w:color w:val="222222"/>
        </w:rPr>
        <w:t>Suggested List of issues prior to reporting (</w:t>
      </w:r>
      <w:proofErr w:type="spellStart"/>
      <w:r w:rsidRPr="00A713A5">
        <w:rPr>
          <w:rFonts w:ascii="Gilroy" w:eastAsia="Georgia" w:hAnsi="Gilroy" w:cs="Georgia"/>
          <w:b/>
          <w:color w:val="222222"/>
        </w:rPr>
        <w:t>LoIPR</w:t>
      </w:r>
      <w:proofErr w:type="spellEnd"/>
      <w:r w:rsidRPr="00A713A5">
        <w:rPr>
          <w:rFonts w:ascii="Gilroy" w:eastAsia="Georgia" w:hAnsi="Gilroy" w:cs="Georgia"/>
          <w:b/>
          <w:color w:val="222222"/>
        </w:rPr>
        <w:t>)</w:t>
      </w:r>
    </w:p>
    <w:p w14:paraId="6B0013F3" w14:textId="413FEFEE" w:rsidR="001E4183" w:rsidRPr="00A713A5" w:rsidRDefault="0070015B" w:rsidP="00851753">
      <w:pPr>
        <w:jc w:val="center"/>
        <w:rPr>
          <w:rFonts w:ascii="Gilroy" w:eastAsia="Georgia" w:hAnsi="Gilroy" w:cs="Georgia"/>
          <w:b/>
          <w:color w:val="222222"/>
        </w:rPr>
      </w:pPr>
      <w:r w:rsidRPr="00A713A5">
        <w:rPr>
          <w:rFonts w:ascii="Gilroy" w:eastAsia="Georgia" w:hAnsi="Gilroy" w:cs="Georgia"/>
          <w:b/>
          <w:color w:val="222222"/>
        </w:rPr>
        <w:t>s</w:t>
      </w:r>
      <w:r w:rsidR="001E4183" w:rsidRPr="00A713A5">
        <w:rPr>
          <w:rFonts w:ascii="Gilroy" w:eastAsia="Georgia" w:hAnsi="Gilroy" w:cs="Georgia"/>
          <w:b/>
          <w:color w:val="222222"/>
        </w:rPr>
        <w:t>ubmitted to the UN Human Rights Committee</w:t>
      </w:r>
    </w:p>
    <w:p w14:paraId="52D98F74" w14:textId="4CE467C9" w:rsidR="001E4183" w:rsidRPr="00A713A5" w:rsidRDefault="001E4183" w:rsidP="00851753">
      <w:pPr>
        <w:jc w:val="center"/>
        <w:rPr>
          <w:rFonts w:ascii="Gilroy" w:eastAsia="Georgia" w:hAnsi="Gilroy" w:cs="Georgia"/>
          <w:b/>
          <w:color w:val="222222"/>
        </w:rPr>
      </w:pPr>
      <w:r w:rsidRPr="00A713A5">
        <w:rPr>
          <w:rFonts w:ascii="Gilroy" w:eastAsia="Georgia" w:hAnsi="Gilroy" w:cs="Georgia"/>
          <w:b/>
          <w:color w:val="222222"/>
        </w:rPr>
        <w:t>by Privacy International</w:t>
      </w:r>
    </w:p>
    <w:p w14:paraId="7F613F4F" w14:textId="0536B6F5" w:rsidR="001E4183" w:rsidRPr="00A713A5" w:rsidRDefault="001E4183" w:rsidP="00851753">
      <w:pPr>
        <w:jc w:val="center"/>
        <w:rPr>
          <w:rFonts w:ascii="Gilroy" w:eastAsia="Georgia" w:hAnsi="Gilroy" w:cs="Georgia"/>
          <w:b/>
          <w:color w:val="222222"/>
        </w:rPr>
      </w:pPr>
      <w:r w:rsidRPr="00A713A5">
        <w:rPr>
          <w:rFonts w:ascii="Gilroy" w:eastAsia="Georgia" w:hAnsi="Gilroy" w:cs="Georgia"/>
          <w:b/>
          <w:color w:val="222222"/>
        </w:rPr>
        <w:t>May 2021</w:t>
      </w:r>
    </w:p>
    <w:p w14:paraId="5FB6DFC6" w14:textId="5F738237" w:rsidR="007E5952" w:rsidRPr="00A713A5" w:rsidRDefault="007E5952" w:rsidP="007B1F46">
      <w:pPr>
        <w:jc w:val="both"/>
        <w:rPr>
          <w:rFonts w:ascii="Gilroy" w:hAnsi="Gilroy"/>
        </w:rPr>
      </w:pPr>
    </w:p>
    <w:p w14:paraId="41F2B012" w14:textId="77777777" w:rsidR="00DA1128" w:rsidRPr="00A713A5" w:rsidRDefault="00DA1128" w:rsidP="007B1F46">
      <w:pPr>
        <w:jc w:val="both"/>
        <w:rPr>
          <w:rFonts w:ascii="Gilroy" w:eastAsia="Georgia" w:hAnsi="Gilroy" w:cs="Georgia"/>
          <w:b/>
        </w:rPr>
      </w:pPr>
    </w:p>
    <w:p w14:paraId="42968EC3" w14:textId="6F2EF437" w:rsidR="00650329" w:rsidRPr="00A713A5" w:rsidRDefault="00DA1128" w:rsidP="007B1F46">
      <w:pPr>
        <w:jc w:val="both"/>
        <w:rPr>
          <w:rFonts w:ascii="Gilroy" w:eastAsia="Georgia" w:hAnsi="Gilroy" w:cs="Georgia"/>
        </w:rPr>
      </w:pPr>
      <w:r w:rsidRPr="00A713A5">
        <w:rPr>
          <w:rFonts w:ascii="Gilroy" w:eastAsia="Georgia" w:hAnsi="Gilroy" w:cs="Georgia"/>
        </w:rPr>
        <w:t xml:space="preserve">This submission </w:t>
      </w:r>
      <w:r w:rsidR="00932281" w:rsidRPr="00A713A5">
        <w:rPr>
          <w:rFonts w:ascii="Gilroy" w:eastAsia="Georgia" w:hAnsi="Gilroy" w:cs="Georgia"/>
        </w:rPr>
        <w:t xml:space="preserve">is </w:t>
      </w:r>
      <w:r w:rsidRPr="00A713A5">
        <w:rPr>
          <w:rFonts w:ascii="Gilroy" w:eastAsia="Georgia" w:hAnsi="Gilroy" w:cs="Georgia"/>
        </w:rPr>
        <w:t>for the 132</w:t>
      </w:r>
      <w:r w:rsidRPr="00A713A5">
        <w:rPr>
          <w:rFonts w:ascii="Gilroy" w:eastAsia="Georgia" w:hAnsi="Gilroy" w:cs="Georgia"/>
          <w:vertAlign w:val="superscript"/>
        </w:rPr>
        <w:t>nd</w:t>
      </w:r>
      <w:r w:rsidRPr="00A713A5">
        <w:rPr>
          <w:rFonts w:ascii="Gilroy" w:eastAsia="Georgia" w:hAnsi="Gilroy" w:cs="Georgia"/>
        </w:rPr>
        <w:t xml:space="preserve"> Session of the Human Rights Committee that will take place between 28 June 2021 and 23 July 2021 in relation to France’s compliance with the International Covenant on Civil and Political Rights </w:t>
      </w:r>
      <w:r w:rsidR="0056475C" w:rsidRPr="00A713A5">
        <w:rPr>
          <w:rFonts w:ascii="Gilroy" w:eastAsia="Georgia" w:hAnsi="Gilroy" w:cs="Georgia"/>
        </w:rPr>
        <w:t xml:space="preserve">(ICCPR) </w:t>
      </w:r>
      <w:r w:rsidRPr="00A713A5">
        <w:rPr>
          <w:rFonts w:ascii="Gilroy" w:eastAsia="Georgia" w:hAnsi="Gilroy" w:cs="Georgia"/>
        </w:rPr>
        <w:t>before the adoption of the List of issues prior to reporting (</w:t>
      </w:r>
      <w:proofErr w:type="spellStart"/>
      <w:r w:rsidRPr="00A713A5">
        <w:rPr>
          <w:rFonts w:ascii="Gilroy" w:eastAsia="Georgia" w:hAnsi="Gilroy" w:cs="Georgia"/>
        </w:rPr>
        <w:t>LoIPR</w:t>
      </w:r>
      <w:proofErr w:type="spellEnd"/>
      <w:r w:rsidRPr="00A713A5">
        <w:rPr>
          <w:rFonts w:ascii="Gilroy" w:eastAsia="Georgia" w:hAnsi="Gilroy" w:cs="Georgia"/>
        </w:rPr>
        <w:t xml:space="preserve">). </w:t>
      </w:r>
    </w:p>
    <w:p w14:paraId="1691CAA1" w14:textId="77777777" w:rsidR="00650329" w:rsidRPr="00A713A5" w:rsidRDefault="00650329" w:rsidP="007B1F46">
      <w:pPr>
        <w:jc w:val="both"/>
        <w:rPr>
          <w:rFonts w:ascii="Gilroy" w:eastAsia="Georgia" w:hAnsi="Gilroy" w:cs="Georgia"/>
        </w:rPr>
      </w:pPr>
    </w:p>
    <w:p w14:paraId="53B151E2" w14:textId="55520752" w:rsidR="00DA1128" w:rsidRPr="00A713A5" w:rsidRDefault="00DA1128" w:rsidP="007B1F46">
      <w:pPr>
        <w:jc w:val="both"/>
        <w:rPr>
          <w:rFonts w:ascii="Gilroy" w:eastAsia="Georgia" w:hAnsi="Gilroy" w:cs="Georgia"/>
        </w:rPr>
      </w:pPr>
      <w:r w:rsidRPr="00A713A5">
        <w:rPr>
          <w:rFonts w:ascii="Gilroy" w:eastAsia="Georgia" w:hAnsi="Gilroy" w:cs="Georgia"/>
        </w:rPr>
        <w:t>Privacy International</w:t>
      </w:r>
      <w:r w:rsidR="00650329" w:rsidRPr="00A713A5">
        <w:rPr>
          <w:rFonts w:ascii="Gilroy" w:eastAsia="Georgia" w:hAnsi="Gilroy" w:cs="Georgia"/>
        </w:rPr>
        <w:t xml:space="preserve"> (PI)</w:t>
      </w:r>
      <w:r w:rsidRPr="00A713A5">
        <w:rPr>
          <w:rFonts w:ascii="Gilroy" w:eastAsia="Georgia" w:hAnsi="Gilroy" w:cs="Georgia"/>
        </w:rPr>
        <w:t xml:space="preserve"> is a global advocacy and campaigning group that works at the intersection of technology and human rights.</w:t>
      </w:r>
      <w:r w:rsidR="00650329" w:rsidRPr="00A713A5">
        <w:rPr>
          <w:rFonts w:ascii="Gilroy" w:hAnsi="Gilroy"/>
        </w:rPr>
        <w:t xml:space="preserve"> </w:t>
      </w:r>
      <w:r w:rsidR="00650329" w:rsidRPr="00A713A5">
        <w:rPr>
          <w:rFonts w:ascii="Gilroy" w:eastAsia="Georgia" w:hAnsi="Gilroy" w:cs="Georgia"/>
        </w:rPr>
        <w:t xml:space="preserve">PI campaigns against companies and governments who exploit our data and technologies. We expose harm and abuses, </w:t>
      </w:r>
      <w:proofErr w:type="spellStart"/>
      <w:r w:rsidR="00650329" w:rsidRPr="00A713A5">
        <w:rPr>
          <w:rFonts w:ascii="Gilroy" w:eastAsia="Georgia" w:hAnsi="Gilroy" w:cs="Georgia"/>
        </w:rPr>
        <w:t>mobilise</w:t>
      </w:r>
      <w:proofErr w:type="spellEnd"/>
      <w:r w:rsidR="00650329" w:rsidRPr="00A713A5">
        <w:rPr>
          <w:rFonts w:ascii="Gilroy" w:eastAsia="Georgia" w:hAnsi="Gilroy" w:cs="Georgia"/>
        </w:rPr>
        <w:t xml:space="preserve"> allies globally, campaign with the public for solutions, and pressure companies and governments to change.</w:t>
      </w:r>
    </w:p>
    <w:p w14:paraId="0010B3FE" w14:textId="77777777" w:rsidR="00650329" w:rsidRPr="00A713A5" w:rsidRDefault="00650329" w:rsidP="007B1F46">
      <w:pPr>
        <w:jc w:val="both"/>
        <w:rPr>
          <w:rFonts w:ascii="Gilroy" w:eastAsia="Georgia" w:hAnsi="Gilroy" w:cs="Georgia"/>
        </w:rPr>
      </w:pPr>
    </w:p>
    <w:p w14:paraId="7EEFC1BF" w14:textId="73470B7F" w:rsidR="00DA1128" w:rsidRPr="00A713A5" w:rsidRDefault="0070015B" w:rsidP="007B1F46">
      <w:pPr>
        <w:jc w:val="both"/>
        <w:rPr>
          <w:rFonts w:ascii="Gilroy" w:eastAsia="Georgia" w:hAnsi="Gilroy" w:cs="Georgia"/>
        </w:rPr>
      </w:pPr>
      <w:r w:rsidRPr="00A713A5">
        <w:rPr>
          <w:rFonts w:ascii="Gilroy" w:eastAsia="Georgia" w:hAnsi="Gilroy" w:cs="Georgia"/>
        </w:rPr>
        <w:t>PI</w:t>
      </w:r>
      <w:r w:rsidR="00DA1128" w:rsidRPr="00A713A5">
        <w:rPr>
          <w:rFonts w:ascii="Gilroy" w:eastAsia="Georgia" w:hAnsi="Gilroy" w:cs="Georgia"/>
        </w:rPr>
        <w:t xml:space="preserve"> calls the Human Rights Committee to include in the </w:t>
      </w:r>
      <w:proofErr w:type="spellStart"/>
      <w:r w:rsidR="00DA1128" w:rsidRPr="00A713A5">
        <w:rPr>
          <w:rFonts w:ascii="Gilroy" w:eastAsia="Georgia" w:hAnsi="Gilroy" w:cs="Georgia"/>
        </w:rPr>
        <w:t>LoIPR</w:t>
      </w:r>
      <w:proofErr w:type="spellEnd"/>
      <w:r w:rsidR="00DA1128" w:rsidRPr="00A713A5">
        <w:rPr>
          <w:rFonts w:ascii="Gilroy" w:eastAsia="Georgia" w:hAnsi="Gilroy" w:cs="Georgia"/>
        </w:rPr>
        <w:t xml:space="preserve"> the following issues: </w:t>
      </w:r>
    </w:p>
    <w:p w14:paraId="5F668249" w14:textId="679CF9AD" w:rsidR="0056475C" w:rsidRPr="00A713A5" w:rsidRDefault="0056475C" w:rsidP="007B1F46">
      <w:pPr>
        <w:pStyle w:val="ListParagraph"/>
        <w:numPr>
          <w:ilvl w:val="0"/>
          <w:numId w:val="5"/>
        </w:numPr>
        <w:jc w:val="both"/>
        <w:rPr>
          <w:rFonts w:ascii="Gilroy" w:hAnsi="Gilroy"/>
          <w:lang w:val="en-GB"/>
        </w:rPr>
      </w:pPr>
      <w:r w:rsidRPr="00A713A5">
        <w:rPr>
          <w:rFonts w:ascii="Gilroy" w:hAnsi="Gilroy"/>
          <w:lang w:val="en-GB"/>
        </w:rPr>
        <w:t xml:space="preserve">France to present all the </w:t>
      </w:r>
      <w:r w:rsidR="007A1D2F" w:rsidRPr="007A1D2F">
        <w:rPr>
          <w:rFonts w:ascii="Gilroy" w:hAnsi="Gilroy"/>
          <w:b/>
          <w:bCs/>
          <w:lang w:val="en-GB"/>
        </w:rPr>
        <w:t xml:space="preserve">emergency </w:t>
      </w:r>
      <w:r w:rsidRPr="007A1D2F">
        <w:rPr>
          <w:rFonts w:ascii="Gilroy" w:hAnsi="Gilroy"/>
          <w:b/>
          <w:bCs/>
          <w:lang w:val="en-GB"/>
        </w:rPr>
        <w:t>surveillance measures</w:t>
      </w:r>
      <w:r w:rsidRPr="00A713A5">
        <w:rPr>
          <w:rFonts w:ascii="Gilroy" w:hAnsi="Gilroy"/>
          <w:lang w:val="en-GB"/>
        </w:rPr>
        <w:t xml:space="preserve"> that have been introduced </w:t>
      </w:r>
      <w:r w:rsidR="008A1045" w:rsidRPr="00A713A5">
        <w:rPr>
          <w:rFonts w:ascii="Gilroy" w:hAnsi="Gilroy"/>
          <w:lang w:val="en-GB"/>
        </w:rPr>
        <w:t>in response to the COVID-19</w:t>
      </w:r>
      <w:r w:rsidRPr="00A713A5">
        <w:rPr>
          <w:rFonts w:ascii="Gilroy" w:hAnsi="Gilroy"/>
          <w:lang w:val="en-GB"/>
        </w:rPr>
        <w:t xml:space="preserve"> pandemic and provide an assessment on whether these measures were necessary and proportionate response to the public health emergency.</w:t>
      </w:r>
    </w:p>
    <w:p w14:paraId="514186C6" w14:textId="581838FD" w:rsidR="0056475C" w:rsidRPr="00A713A5" w:rsidRDefault="0056475C" w:rsidP="007B1F46">
      <w:pPr>
        <w:pStyle w:val="ListParagraph"/>
        <w:numPr>
          <w:ilvl w:val="0"/>
          <w:numId w:val="5"/>
        </w:numPr>
        <w:jc w:val="both"/>
        <w:rPr>
          <w:rFonts w:ascii="Gilroy" w:hAnsi="Gilroy"/>
        </w:rPr>
      </w:pPr>
      <w:r w:rsidRPr="00A713A5">
        <w:rPr>
          <w:rFonts w:ascii="Gilroy" w:hAnsi="Gilroy"/>
        </w:rPr>
        <w:t xml:space="preserve">When is France planning to withdraw these emergency measures and what steps will and have been taken to ensure that unlawful interferences with people’s </w:t>
      </w:r>
      <w:r w:rsidR="008A1045" w:rsidRPr="00A713A5">
        <w:rPr>
          <w:rFonts w:ascii="Gilroy" w:hAnsi="Gilroy"/>
        </w:rPr>
        <w:t xml:space="preserve">right to </w:t>
      </w:r>
      <w:r w:rsidRPr="00A713A5">
        <w:rPr>
          <w:rFonts w:ascii="Gilroy" w:hAnsi="Gilroy"/>
        </w:rPr>
        <w:t xml:space="preserve">privacy and other </w:t>
      </w:r>
      <w:r w:rsidR="008A1045" w:rsidRPr="00A713A5">
        <w:rPr>
          <w:rFonts w:ascii="Gilroy" w:hAnsi="Gilroy"/>
        </w:rPr>
        <w:t xml:space="preserve">human rights </w:t>
      </w:r>
      <w:r w:rsidRPr="00A713A5">
        <w:rPr>
          <w:rFonts w:ascii="Gilroy" w:hAnsi="Gilroy"/>
        </w:rPr>
        <w:t>will be remedied?</w:t>
      </w:r>
    </w:p>
    <w:p w14:paraId="458CC171" w14:textId="77777777" w:rsidR="00CD4ABA" w:rsidRPr="00A713A5" w:rsidRDefault="0056475C" w:rsidP="00CD4ABA">
      <w:pPr>
        <w:pStyle w:val="ListParagraph"/>
        <w:numPr>
          <w:ilvl w:val="0"/>
          <w:numId w:val="5"/>
        </w:numPr>
        <w:jc w:val="both"/>
        <w:rPr>
          <w:rFonts w:ascii="Gilroy" w:hAnsi="Gilroy"/>
        </w:rPr>
      </w:pPr>
      <w:r w:rsidRPr="00A713A5">
        <w:rPr>
          <w:rFonts w:ascii="Gilroy" w:eastAsia="Times New Roman" w:hAnsi="Gilroy" w:cs="Times New Roman"/>
        </w:rPr>
        <w:t>France to address t</w:t>
      </w:r>
      <w:r w:rsidRPr="00A713A5">
        <w:rPr>
          <w:rFonts w:ascii="Gilroy" w:eastAsia="Times New Roman" w:hAnsi="Gilroy" w:cs="Times New Roman"/>
          <w:lang w:val="en-GB"/>
        </w:rPr>
        <w:t xml:space="preserve">he matter of </w:t>
      </w:r>
      <w:r w:rsidRPr="007A1D2F">
        <w:rPr>
          <w:rFonts w:ascii="Gilroy" w:eastAsia="Times New Roman" w:hAnsi="Gilroy" w:cs="Times New Roman"/>
          <w:b/>
          <w:bCs/>
          <w:lang w:val="en-GB"/>
        </w:rPr>
        <w:t>intelligence act reforms</w:t>
      </w:r>
      <w:r w:rsidRPr="00A713A5">
        <w:rPr>
          <w:rFonts w:ascii="Gilroy" w:eastAsia="Times New Roman" w:hAnsi="Gilroy" w:cs="Times New Roman"/>
          <w:lang w:val="en-GB"/>
        </w:rPr>
        <w:t xml:space="preserve"> and to ensure they comply with the requirements of the ICCPR.</w:t>
      </w:r>
    </w:p>
    <w:p w14:paraId="1EB1CD5F" w14:textId="2E03885B" w:rsidR="00CD4ABA" w:rsidRPr="00A713A5" w:rsidRDefault="00CD4ABA" w:rsidP="00CD4ABA">
      <w:pPr>
        <w:pStyle w:val="ListParagraph"/>
        <w:numPr>
          <w:ilvl w:val="0"/>
          <w:numId w:val="5"/>
        </w:numPr>
        <w:jc w:val="both"/>
        <w:rPr>
          <w:rFonts w:ascii="Gilroy" w:hAnsi="Gilroy"/>
        </w:rPr>
      </w:pPr>
      <w:r w:rsidRPr="00A713A5">
        <w:rPr>
          <w:rFonts w:ascii="Gilroy" w:eastAsia="Times New Roman" w:hAnsi="Gilroy" w:cs="Times New Roman"/>
          <w:lang w:val="en-GB"/>
        </w:rPr>
        <w:t xml:space="preserve">France to address the issues raised by the </w:t>
      </w:r>
      <w:r w:rsidRPr="007A1D2F">
        <w:rPr>
          <w:rFonts w:ascii="Gilroy" w:eastAsia="Times New Roman" w:hAnsi="Gilroy" w:cs="Times New Roman"/>
          <w:b/>
          <w:bCs/>
          <w:lang w:val="en-GB"/>
        </w:rPr>
        <w:t>newly proposed bills</w:t>
      </w:r>
      <w:r w:rsidR="00A713A5" w:rsidRPr="007A1D2F">
        <w:rPr>
          <w:rFonts w:ascii="Gilroy" w:eastAsia="Times New Roman" w:hAnsi="Gilroy" w:cs="Times New Roman"/>
          <w:b/>
          <w:bCs/>
          <w:lang w:val="en-GB"/>
        </w:rPr>
        <w:t xml:space="preserve"> that expand the use of facial recognition technologies</w:t>
      </w:r>
      <w:r w:rsidRPr="007A1D2F">
        <w:rPr>
          <w:rFonts w:ascii="Gilroy" w:eastAsia="Times New Roman" w:hAnsi="Gilroy" w:cs="Times New Roman"/>
          <w:b/>
          <w:bCs/>
          <w:lang w:val="en-GB"/>
        </w:rPr>
        <w:t xml:space="preserve"> </w:t>
      </w:r>
      <w:r w:rsidRPr="00A713A5">
        <w:rPr>
          <w:rFonts w:ascii="Gilroy" w:eastAsia="Times New Roman" w:hAnsi="Gilroy" w:cs="Times New Roman"/>
          <w:lang w:val="en-GB"/>
        </w:rPr>
        <w:t>and to provide information:</w:t>
      </w:r>
    </w:p>
    <w:p w14:paraId="64D42216" w14:textId="7271C883" w:rsidR="00A713A5" w:rsidRPr="00A713A5" w:rsidRDefault="00CD4ABA" w:rsidP="00A713A5">
      <w:pPr>
        <w:pStyle w:val="ListParagraph"/>
        <w:numPr>
          <w:ilvl w:val="1"/>
          <w:numId w:val="5"/>
        </w:numPr>
        <w:spacing w:line="240" w:lineRule="auto"/>
        <w:jc w:val="both"/>
        <w:rPr>
          <w:rFonts w:ascii="Gilroy" w:eastAsia="Times New Roman" w:hAnsi="Gilroy" w:cs="Times New Roman"/>
          <w:lang w:val="en-GB"/>
        </w:rPr>
      </w:pPr>
      <w:r w:rsidRPr="00A713A5">
        <w:rPr>
          <w:rFonts w:ascii="Gilroy" w:eastAsia="Times New Roman" w:hAnsi="Gilroy" w:cs="Times New Roman"/>
          <w:lang w:val="en-GB"/>
        </w:rPr>
        <w:t xml:space="preserve">on how the proposed security law draft will be amended following with recent </w:t>
      </w:r>
      <w:r w:rsidR="008D3A8E">
        <w:rPr>
          <w:rFonts w:ascii="Gilroy" w:eastAsia="Times New Roman" w:hAnsi="Gilroy" w:cs="Times New Roman"/>
          <w:lang w:val="en-GB"/>
        </w:rPr>
        <w:t>opinion</w:t>
      </w:r>
      <w:r w:rsidR="008D3A8E" w:rsidRPr="00A713A5">
        <w:rPr>
          <w:rFonts w:ascii="Gilroy" w:eastAsia="Times New Roman" w:hAnsi="Gilroy" w:cs="Times New Roman"/>
          <w:lang w:val="en-GB"/>
        </w:rPr>
        <w:t xml:space="preserve"> </w:t>
      </w:r>
      <w:r w:rsidRPr="00A713A5">
        <w:rPr>
          <w:rFonts w:ascii="Gilroy" w:eastAsia="Times New Roman" w:hAnsi="Gilroy" w:cs="Times New Roman"/>
          <w:lang w:val="en-GB"/>
        </w:rPr>
        <w:t>by the “</w:t>
      </w:r>
      <w:r w:rsidRPr="00A713A5">
        <w:rPr>
          <w:rFonts w:ascii="Gilroy" w:hAnsi="Gilroy"/>
          <w:lang w:val="en-GB"/>
        </w:rPr>
        <w:t xml:space="preserve">Conseil </w:t>
      </w:r>
      <w:proofErr w:type="spellStart"/>
      <w:r w:rsidR="008D3A8E">
        <w:rPr>
          <w:rFonts w:ascii="Gilroy" w:hAnsi="Gilroy"/>
          <w:lang w:val="en-GB"/>
        </w:rPr>
        <w:t>C</w:t>
      </w:r>
      <w:r w:rsidRPr="00A713A5">
        <w:rPr>
          <w:rFonts w:ascii="Gilroy" w:hAnsi="Gilroy"/>
          <w:lang w:val="en-GB"/>
        </w:rPr>
        <w:t>onstitutionnel</w:t>
      </w:r>
      <w:proofErr w:type="spellEnd"/>
      <w:r w:rsidRPr="00A713A5">
        <w:rPr>
          <w:rFonts w:ascii="Gilroy" w:hAnsi="Gilroy"/>
          <w:lang w:val="en-GB"/>
        </w:rPr>
        <w:t xml:space="preserve">” and to ensure compliance with </w:t>
      </w:r>
      <w:r w:rsidRPr="00A713A5">
        <w:rPr>
          <w:rFonts w:ascii="Gilroy" w:eastAsia="Times New Roman" w:hAnsi="Gilroy" w:cs="Times New Roman"/>
          <w:lang w:val="en-GB"/>
        </w:rPr>
        <w:t xml:space="preserve">the requirements of the ICCPR. </w:t>
      </w:r>
    </w:p>
    <w:p w14:paraId="611C889D" w14:textId="239D676D" w:rsidR="00CD4ABA" w:rsidRPr="00A713A5" w:rsidRDefault="00CD4ABA" w:rsidP="00A713A5">
      <w:pPr>
        <w:pStyle w:val="ListParagraph"/>
        <w:numPr>
          <w:ilvl w:val="1"/>
          <w:numId w:val="5"/>
        </w:numPr>
        <w:spacing w:line="240" w:lineRule="auto"/>
        <w:jc w:val="both"/>
        <w:rPr>
          <w:rFonts w:ascii="Gilroy" w:eastAsia="Times New Roman" w:hAnsi="Gilroy" w:cs="Times New Roman"/>
          <w:lang w:val="en-GB"/>
        </w:rPr>
      </w:pPr>
      <w:r w:rsidRPr="00A713A5">
        <w:rPr>
          <w:rFonts w:ascii="Gilroy" w:eastAsia="Times New Roman" w:hAnsi="Gilroy" w:cs="Times New Roman"/>
          <w:lang w:val="en-GB"/>
        </w:rPr>
        <w:t>about the upcoming regulation that may further the use of facial recognition technologies</w:t>
      </w:r>
      <w:r w:rsidR="008D3A8E">
        <w:rPr>
          <w:rFonts w:ascii="Gilroy" w:eastAsia="Times New Roman" w:hAnsi="Gilroy" w:cs="Times New Roman"/>
          <w:lang w:val="en-GB"/>
        </w:rPr>
        <w:t>,</w:t>
      </w:r>
      <w:r w:rsidRPr="00A713A5">
        <w:rPr>
          <w:rFonts w:ascii="Gilroy" w:eastAsia="Times New Roman" w:hAnsi="Gilroy" w:cs="Times New Roman"/>
          <w:lang w:val="en-GB"/>
        </w:rPr>
        <w:t xml:space="preserve"> pos</w:t>
      </w:r>
      <w:r w:rsidR="008D3A8E">
        <w:rPr>
          <w:rFonts w:ascii="Gilroy" w:eastAsia="Times New Roman" w:hAnsi="Gilroy" w:cs="Times New Roman"/>
          <w:lang w:val="en-GB"/>
        </w:rPr>
        <w:t>ing</w:t>
      </w:r>
      <w:r w:rsidRPr="00A713A5">
        <w:rPr>
          <w:rFonts w:ascii="Gilroy" w:eastAsia="Times New Roman" w:hAnsi="Gilroy" w:cs="Times New Roman"/>
          <w:lang w:val="en-GB"/>
        </w:rPr>
        <w:t xml:space="preserve"> serious risks for the protection of the right to privacy under the ICCPR.</w:t>
      </w:r>
    </w:p>
    <w:p w14:paraId="6480E7FF" w14:textId="25A8C03F" w:rsidR="0056475C" w:rsidRPr="00A713A5" w:rsidRDefault="0056475C" w:rsidP="007B1F46">
      <w:pPr>
        <w:numPr>
          <w:ilvl w:val="0"/>
          <w:numId w:val="3"/>
        </w:numPr>
        <w:jc w:val="both"/>
        <w:rPr>
          <w:rFonts w:ascii="Gilroy" w:hAnsi="Gilroy"/>
          <w:lang w:val="en-GB"/>
        </w:rPr>
      </w:pPr>
      <w:r w:rsidRPr="00A713A5">
        <w:rPr>
          <w:rFonts w:ascii="Gilroy" w:hAnsi="Gilroy"/>
          <w:lang w:val="en-GB"/>
        </w:rPr>
        <w:t xml:space="preserve">When and how does France plan on updating the </w:t>
      </w:r>
      <w:r w:rsidRPr="007A1D2F">
        <w:rPr>
          <w:rFonts w:ascii="Gilroy" w:hAnsi="Gilroy"/>
          <w:b/>
          <w:bCs/>
          <w:lang w:val="en-GB"/>
        </w:rPr>
        <w:t>management of ID procedure to ensure it respects the rights of transgender people</w:t>
      </w:r>
      <w:r w:rsidRPr="00A713A5">
        <w:rPr>
          <w:rFonts w:ascii="Gilroy" w:hAnsi="Gilroy"/>
          <w:lang w:val="en-GB"/>
        </w:rPr>
        <w:t>?</w:t>
      </w:r>
    </w:p>
    <w:p w14:paraId="4050FB2D" w14:textId="15757791" w:rsidR="0056475C" w:rsidRPr="00A713A5" w:rsidRDefault="0056475C" w:rsidP="007B1F46">
      <w:pPr>
        <w:numPr>
          <w:ilvl w:val="0"/>
          <w:numId w:val="3"/>
        </w:numPr>
        <w:jc w:val="both"/>
        <w:rPr>
          <w:rFonts w:ascii="Gilroy" w:hAnsi="Gilroy"/>
          <w:lang w:val="en-GB"/>
        </w:rPr>
      </w:pPr>
      <w:r w:rsidRPr="00A713A5">
        <w:rPr>
          <w:rFonts w:ascii="Gilroy" w:hAnsi="Gilroy"/>
          <w:lang w:val="en-GB"/>
        </w:rPr>
        <w:t>Will France also consider removing gender markers from ID cards altogether?</w:t>
      </w:r>
    </w:p>
    <w:p w14:paraId="0790F729" w14:textId="77777777" w:rsidR="0056475C" w:rsidRPr="00A713A5" w:rsidRDefault="0056475C" w:rsidP="007B1F46">
      <w:pPr>
        <w:jc w:val="both"/>
        <w:rPr>
          <w:rFonts w:ascii="Gilroy" w:eastAsia="Georgia" w:hAnsi="Gilroy" w:cs="Georgia"/>
          <w:highlight w:val="yellow"/>
        </w:rPr>
      </w:pPr>
    </w:p>
    <w:p w14:paraId="48752BDD" w14:textId="0C6910D2" w:rsidR="00A713A5" w:rsidRPr="00A713A5" w:rsidRDefault="00A713A5">
      <w:pPr>
        <w:spacing w:line="240" w:lineRule="auto"/>
        <w:rPr>
          <w:rFonts w:ascii="Gilroy" w:hAnsi="Gilroy"/>
        </w:rPr>
      </w:pPr>
      <w:r w:rsidRPr="00A713A5">
        <w:rPr>
          <w:rFonts w:ascii="Gilroy" w:hAnsi="Gilroy"/>
        </w:rPr>
        <w:t>Further information is provided below.</w:t>
      </w:r>
    </w:p>
    <w:p w14:paraId="35B6F147" w14:textId="77777777" w:rsidR="00A713A5" w:rsidRPr="00A713A5" w:rsidRDefault="00A713A5">
      <w:pPr>
        <w:spacing w:line="240" w:lineRule="auto"/>
        <w:rPr>
          <w:rFonts w:ascii="Gilroy" w:hAnsi="Gilroy"/>
          <w:b/>
          <w:bCs/>
        </w:rPr>
      </w:pPr>
    </w:p>
    <w:p w14:paraId="50D051CC" w14:textId="77777777" w:rsidR="00A713A5" w:rsidRPr="00A713A5" w:rsidRDefault="00A713A5">
      <w:pPr>
        <w:spacing w:line="240" w:lineRule="auto"/>
        <w:rPr>
          <w:rFonts w:ascii="Gilroy" w:hAnsi="Gilroy"/>
          <w:b/>
          <w:bCs/>
        </w:rPr>
      </w:pPr>
      <w:r w:rsidRPr="00A713A5">
        <w:rPr>
          <w:rFonts w:ascii="Gilroy" w:hAnsi="Gilroy"/>
          <w:b/>
          <w:bCs/>
        </w:rPr>
        <w:br w:type="page"/>
      </w:r>
    </w:p>
    <w:p w14:paraId="3D385AF5" w14:textId="59168A9B" w:rsidR="0070015B" w:rsidRPr="00A713A5" w:rsidRDefault="00B64150" w:rsidP="007B1F46">
      <w:pPr>
        <w:jc w:val="both"/>
        <w:rPr>
          <w:rFonts w:ascii="Gilroy" w:hAnsi="Gilroy"/>
          <w:b/>
          <w:bCs/>
        </w:rPr>
      </w:pPr>
      <w:r w:rsidRPr="00A713A5">
        <w:rPr>
          <w:rFonts w:ascii="Gilroy" w:hAnsi="Gilroy"/>
          <w:b/>
          <w:bCs/>
        </w:rPr>
        <w:lastRenderedPageBreak/>
        <w:t>Response to the</w:t>
      </w:r>
      <w:r w:rsidR="008A1045" w:rsidRPr="00A713A5">
        <w:rPr>
          <w:rFonts w:ascii="Gilroy" w:hAnsi="Gilroy"/>
          <w:b/>
          <w:bCs/>
        </w:rPr>
        <w:t xml:space="preserve"> COVID-19</w:t>
      </w:r>
      <w:r w:rsidRPr="00A713A5">
        <w:rPr>
          <w:rFonts w:ascii="Gilroy" w:hAnsi="Gilroy"/>
          <w:b/>
          <w:bCs/>
        </w:rPr>
        <w:t xml:space="preserve"> pandemic, emergency powers and surveillance</w:t>
      </w:r>
    </w:p>
    <w:p w14:paraId="764D8929" w14:textId="1793F3EA" w:rsidR="00B64150" w:rsidRPr="00A713A5" w:rsidRDefault="00B64150" w:rsidP="007B1F46">
      <w:pPr>
        <w:jc w:val="both"/>
        <w:rPr>
          <w:rFonts w:ascii="Gilroy" w:hAnsi="Gilroy"/>
        </w:rPr>
      </w:pPr>
    </w:p>
    <w:p w14:paraId="098D1EB9" w14:textId="3C6E208C" w:rsidR="00B64150" w:rsidRPr="00A713A5" w:rsidRDefault="00B64150" w:rsidP="007B1F46">
      <w:pPr>
        <w:jc w:val="both"/>
        <w:rPr>
          <w:rFonts w:ascii="Gilroy" w:hAnsi="Gilroy"/>
        </w:rPr>
      </w:pPr>
      <w:r w:rsidRPr="00A713A5">
        <w:rPr>
          <w:rFonts w:ascii="Gilroy" w:hAnsi="Gilroy"/>
        </w:rPr>
        <w:t xml:space="preserve">PI is concerned about the extensive emergency measures that France has introduced in response to the global pandemic. </w:t>
      </w:r>
    </w:p>
    <w:p w14:paraId="05E04C05" w14:textId="753158BA" w:rsidR="00B64150" w:rsidRPr="00A713A5" w:rsidRDefault="00B64150" w:rsidP="007B1F46">
      <w:pPr>
        <w:jc w:val="both"/>
        <w:rPr>
          <w:rFonts w:ascii="Gilroy" w:hAnsi="Gilroy"/>
        </w:rPr>
      </w:pPr>
    </w:p>
    <w:p w14:paraId="0C99D3AD" w14:textId="5CC6E92E" w:rsidR="00B64150" w:rsidRPr="00A713A5" w:rsidRDefault="00B64150" w:rsidP="007B1F46">
      <w:pPr>
        <w:jc w:val="both"/>
        <w:rPr>
          <w:rFonts w:ascii="Gilroy" w:hAnsi="Gilroy"/>
        </w:rPr>
      </w:pPr>
      <w:r w:rsidRPr="00A713A5">
        <w:rPr>
          <w:rFonts w:ascii="Gilroy" w:hAnsi="Gilroy"/>
        </w:rPr>
        <w:t>On 23 May 2020, France introduced Emergency Law No. 2020-290 to address the Covid-19 epidemic.</w:t>
      </w:r>
      <w:r w:rsidRPr="00A713A5">
        <w:rPr>
          <w:rStyle w:val="FootnoteReference"/>
          <w:rFonts w:ascii="Gilroy" w:hAnsi="Gilroy"/>
        </w:rPr>
        <w:footnoteReference w:id="1"/>
      </w:r>
      <w:r w:rsidRPr="00A713A5">
        <w:rPr>
          <w:rFonts w:ascii="Gilroy" w:hAnsi="Gilroy"/>
        </w:rPr>
        <w:t xml:space="preserve"> A new state of health emergency, Decree no. 2020-1257, was declared on 14 October 2020.</w:t>
      </w:r>
      <w:r w:rsidRPr="00A713A5">
        <w:rPr>
          <w:rStyle w:val="FootnoteReference"/>
          <w:rFonts w:ascii="Gilroy" w:hAnsi="Gilroy"/>
        </w:rPr>
        <w:footnoteReference w:id="2"/>
      </w:r>
      <w:r w:rsidRPr="00A713A5">
        <w:rPr>
          <w:rFonts w:ascii="Gilroy" w:hAnsi="Gilroy"/>
        </w:rPr>
        <w:t xml:space="preserve"> The</w:t>
      </w:r>
      <w:r w:rsidR="00424A2B" w:rsidRPr="00A713A5">
        <w:rPr>
          <w:rFonts w:ascii="Gilroy" w:hAnsi="Gilroy"/>
        </w:rPr>
        <w:t xml:space="preserve"> law</w:t>
      </w:r>
      <w:r w:rsidR="00333841" w:rsidRPr="00A713A5">
        <w:rPr>
          <w:rFonts w:ascii="Gilroy" w:hAnsi="Gilroy"/>
        </w:rPr>
        <w:t xml:space="preserve"> </w:t>
      </w:r>
      <w:r w:rsidRPr="00A713A5">
        <w:rPr>
          <w:rFonts w:ascii="Gilroy" w:hAnsi="Gilroy"/>
        </w:rPr>
        <w:t xml:space="preserve">establishes a "state of health emergency", under Article 38 of the Constitution. The state of health emergency allows the Prime Minister to issue decrees restricting individuals' freedom of movement and assembly, and to take "any other regulatory measure" necessary to address the health crisis. </w:t>
      </w:r>
      <w:r w:rsidR="00E75514" w:rsidRPr="00A713A5">
        <w:rPr>
          <w:rFonts w:ascii="Gilroy" w:hAnsi="Gilroy"/>
        </w:rPr>
        <w:t>France has not notified the Committee about the state emergency and has not derogated from any of its treaty obligations.</w:t>
      </w:r>
    </w:p>
    <w:p w14:paraId="792A7F57" w14:textId="1718A532" w:rsidR="00B64150" w:rsidRPr="00A713A5" w:rsidRDefault="00B64150" w:rsidP="007B1F46">
      <w:pPr>
        <w:jc w:val="both"/>
        <w:rPr>
          <w:rFonts w:ascii="Gilroy" w:hAnsi="Gilroy"/>
        </w:rPr>
      </w:pPr>
    </w:p>
    <w:p w14:paraId="6FB38BF7" w14:textId="46B410E8" w:rsidR="00424A2B" w:rsidRPr="00A713A5" w:rsidRDefault="00E75514" w:rsidP="007B1F46">
      <w:pPr>
        <w:jc w:val="both"/>
        <w:rPr>
          <w:rFonts w:ascii="Gilroy" w:hAnsi="Gilroy"/>
        </w:rPr>
      </w:pPr>
      <w:r w:rsidRPr="00A713A5">
        <w:rPr>
          <w:rFonts w:ascii="Gilroy" w:hAnsi="Gilroy"/>
        </w:rPr>
        <w:t>Yet, u</w:t>
      </w:r>
      <w:r w:rsidR="00B64150" w:rsidRPr="00A713A5">
        <w:rPr>
          <w:rFonts w:ascii="Gilroy" w:hAnsi="Gilroy"/>
        </w:rPr>
        <w:t>nprecedented levels of surveillance measures have been introduced and justified under th</w:t>
      </w:r>
      <w:r w:rsidR="00A87725" w:rsidRPr="00A713A5">
        <w:rPr>
          <w:rFonts w:ascii="Gilroy" w:hAnsi="Gilroy"/>
        </w:rPr>
        <w:t>is</w:t>
      </w:r>
      <w:r w:rsidR="00B64150" w:rsidRPr="00A713A5">
        <w:rPr>
          <w:rFonts w:ascii="Gilroy" w:hAnsi="Gilroy"/>
        </w:rPr>
        <w:t xml:space="preserve"> emergency legislation.</w:t>
      </w:r>
      <w:r w:rsidR="0056475C" w:rsidRPr="00A713A5">
        <w:rPr>
          <w:rStyle w:val="FootnoteReference"/>
          <w:rFonts w:ascii="Gilroy" w:hAnsi="Gilroy"/>
        </w:rPr>
        <w:footnoteReference w:id="3"/>
      </w:r>
      <w:r w:rsidR="00B64150" w:rsidRPr="00A713A5">
        <w:rPr>
          <w:rFonts w:ascii="Gilroy" w:hAnsi="Gilroy"/>
        </w:rPr>
        <w:t xml:space="preserve"> PI is concerned that some of these measures impose</w:t>
      </w:r>
      <w:r w:rsidR="00A1158C" w:rsidRPr="00A713A5">
        <w:rPr>
          <w:rFonts w:ascii="Gilroy" w:hAnsi="Gilroy"/>
        </w:rPr>
        <w:t>d and continue to impose</w:t>
      </w:r>
      <w:r w:rsidR="00B64150" w:rsidRPr="00A713A5">
        <w:rPr>
          <w:rFonts w:ascii="Gilroy" w:hAnsi="Gilroy"/>
        </w:rPr>
        <w:t xml:space="preserve"> severe restrictions on people’s </w:t>
      </w:r>
      <w:r w:rsidR="00A87725" w:rsidRPr="00A713A5">
        <w:rPr>
          <w:rFonts w:ascii="Gilroy" w:hAnsi="Gilroy"/>
        </w:rPr>
        <w:t xml:space="preserve">right to </w:t>
      </w:r>
      <w:r w:rsidR="00B64150" w:rsidRPr="00A713A5">
        <w:rPr>
          <w:rFonts w:ascii="Gilroy" w:hAnsi="Gilroy"/>
        </w:rPr>
        <w:t xml:space="preserve">privacy and other human rights. </w:t>
      </w:r>
    </w:p>
    <w:p w14:paraId="5B76C9D5" w14:textId="77777777" w:rsidR="00424A2B" w:rsidRPr="00A713A5" w:rsidRDefault="00424A2B" w:rsidP="007B1F46">
      <w:pPr>
        <w:jc w:val="both"/>
        <w:rPr>
          <w:rFonts w:ascii="Gilroy" w:hAnsi="Gilroy"/>
        </w:rPr>
      </w:pPr>
    </w:p>
    <w:p w14:paraId="7519921E" w14:textId="710775D7" w:rsidR="00424A2B" w:rsidRPr="00A713A5" w:rsidRDefault="00A87725" w:rsidP="00424A2B">
      <w:pPr>
        <w:jc w:val="both"/>
        <w:rPr>
          <w:rFonts w:ascii="Gilroy" w:hAnsi="Gilroy"/>
        </w:rPr>
      </w:pPr>
      <w:r w:rsidRPr="00A713A5">
        <w:rPr>
          <w:rFonts w:ascii="Gilroy" w:hAnsi="Gilroy"/>
        </w:rPr>
        <w:t xml:space="preserve">Our concerns include: </w:t>
      </w:r>
    </w:p>
    <w:p w14:paraId="3D1B999B" w14:textId="4640BD81" w:rsidR="00424A2B" w:rsidRPr="00A713A5" w:rsidRDefault="00A87725" w:rsidP="00424A2B">
      <w:pPr>
        <w:pStyle w:val="ListParagraph"/>
        <w:numPr>
          <w:ilvl w:val="0"/>
          <w:numId w:val="6"/>
        </w:numPr>
        <w:jc w:val="both"/>
        <w:rPr>
          <w:rFonts w:ascii="Gilroy" w:hAnsi="Gilroy"/>
        </w:rPr>
      </w:pPr>
      <w:r w:rsidRPr="00A713A5">
        <w:rPr>
          <w:rFonts w:ascii="Gilroy" w:hAnsi="Gilroy"/>
        </w:rPr>
        <w:t xml:space="preserve">use of CCTV to monitor mask wearing in public </w:t>
      </w:r>
      <w:proofErr w:type="gramStart"/>
      <w:r w:rsidRPr="00A713A5">
        <w:rPr>
          <w:rFonts w:ascii="Gilroy" w:hAnsi="Gilroy"/>
        </w:rPr>
        <w:t>places;</w:t>
      </w:r>
      <w:proofErr w:type="gramEnd"/>
      <w:r w:rsidRPr="00A713A5">
        <w:rPr>
          <w:rFonts w:ascii="Gilroy" w:hAnsi="Gilroy"/>
        </w:rPr>
        <w:t xml:space="preserve"> </w:t>
      </w:r>
    </w:p>
    <w:p w14:paraId="0D9D174F" w14:textId="77777777" w:rsidR="00CD4ABA" w:rsidRPr="00A713A5" w:rsidRDefault="00A87725" w:rsidP="00CD4ABA">
      <w:pPr>
        <w:pStyle w:val="ListParagraph"/>
        <w:numPr>
          <w:ilvl w:val="0"/>
          <w:numId w:val="6"/>
        </w:numPr>
        <w:jc w:val="both"/>
        <w:rPr>
          <w:rFonts w:ascii="Gilroy" w:hAnsi="Gilroy"/>
        </w:rPr>
      </w:pPr>
      <w:r w:rsidRPr="00A713A5">
        <w:rPr>
          <w:rFonts w:ascii="Gilroy" w:hAnsi="Gilroy"/>
        </w:rPr>
        <w:t xml:space="preserve">introduction of </w:t>
      </w:r>
      <w:r w:rsidR="00A1158C" w:rsidRPr="00A713A5">
        <w:rPr>
          <w:rFonts w:ascii="Gilroy" w:hAnsi="Gilroy"/>
        </w:rPr>
        <w:t xml:space="preserve">a </w:t>
      </w:r>
      <w:r w:rsidRPr="00A713A5">
        <w:rPr>
          <w:rFonts w:ascii="Gilroy" w:hAnsi="Gilroy"/>
        </w:rPr>
        <w:t>contact tracing app</w:t>
      </w:r>
      <w:r w:rsidR="00A1158C" w:rsidRPr="00A713A5">
        <w:rPr>
          <w:rFonts w:ascii="Gilroy" w:hAnsi="Gilroy"/>
        </w:rPr>
        <w:t xml:space="preserve"> that according to the French Data Protection authority violated </w:t>
      </w:r>
      <w:r w:rsidRPr="00A713A5">
        <w:rPr>
          <w:rFonts w:ascii="Gilroy" w:hAnsi="Gilroy"/>
        </w:rPr>
        <w:t>data protection law</w:t>
      </w:r>
      <w:r w:rsidR="00424A2B" w:rsidRPr="00A713A5">
        <w:rPr>
          <w:rFonts w:ascii="Gilroy" w:hAnsi="Gilroy"/>
        </w:rPr>
        <w:t>;</w:t>
      </w:r>
      <w:r w:rsidR="00A1158C" w:rsidRPr="00A713A5">
        <w:rPr>
          <w:rStyle w:val="FootnoteReference"/>
          <w:rFonts w:ascii="Gilroy" w:hAnsi="Gilroy"/>
        </w:rPr>
        <w:footnoteReference w:id="4"/>
      </w:r>
    </w:p>
    <w:p w14:paraId="66CEEA69" w14:textId="0CF46DAE" w:rsidR="00CD4ABA" w:rsidRPr="00A713A5" w:rsidRDefault="00CD4ABA" w:rsidP="00CD4ABA">
      <w:pPr>
        <w:pStyle w:val="ListParagraph"/>
        <w:numPr>
          <w:ilvl w:val="0"/>
          <w:numId w:val="6"/>
        </w:numPr>
        <w:jc w:val="both"/>
        <w:rPr>
          <w:rFonts w:ascii="Gilroy" w:hAnsi="Gilroy"/>
        </w:rPr>
      </w:pPr>
      <w:r w:rsidRPr="00A713A5">
        <w:rPr>
          <w:rFonts w:ascii="Gilroy" w:hAnsi="Gilroy"/>
          <w:lang w:val="en-GB"/>
        </w:rPr>
        <w:t>use of drones to monitor compliance with lockdown restrictions, found by the highest court to have been implemented without proper legal frameworks and safeguards.</w:t>
      </w:r>
      <w:r w:rsidRPr="00A713A5">
        <w:rPr>
          <w:rStyle w:val="FootnoteReference"/>
          <w:rFonts w:ascii="Gilroy" w:hAnsi="Gilroy"/>
          <w:lang w:val="en-GB"/>
        </w:rPr>
        <w:footnoteReference w:id="5"/>
      </w:r>
    </w:p>
    <w:p w14:paraId="451D37DA" w14:textId="77777777" w:rsidR="00CD4ABA" w:rsidRPr="007A1D2F" w:rsidRDefault="00CD4ABA" w:rsidP="00424A2B">
      <w:pPr>
        <w:jc w:val="both"/>
        <w:rPr>
          <w:rFonts w:ascii="Gilroy" w:hAnsi="Gilroy"/>
          <w:lang w:val="en-GB"/>
        </w:rPr>
      </w:pPr>
    </w:p>
    <w:p w14:paraId="67E3675C" w14:textId="3785E5C1" w:rsidR="00B64150" w:rsidRPr="00A713A5" w:rsidRDefault="0056475C" w:rsidP="00424A2B">
      <w:pPr>
        <w:jc w:val="both"/>
        <w:rPr>
          <w:rFonts w:ascii="Gilroy" w:hAnsi="Gilroy"/>
        </w:rPr>
      </w:pPr>
      <w:r w:rsidRPr="00A713A5">
        <w:rPr>
          <w:rFonts w:ascii="Gilroy" w:hAnsi="Gilroy"/>
        </w:rPr>
        <w:t xml:space="preserve">PI </w:t>
      </w:r>
      <w:r w:rsidR="00A87725" w:rsidRPr="00A713A5">
        <w:rPr>
          <w:rFonts w:ascii="Gilroy" w:hAnsi="Gilroy"/>
        </w:rPr>
        <w:t xml:space="preserve">is concerned that these </w:t>
      </w:r>
      <w:r w:rsidRPr="00A713A5">
        <w:rPr>
          <w:rFonts w:ascii="Gilroy" w:hAnsi="Gilroy"/>
          <w:lang w:val="en-GB"/>
        </w:rPr>
        <w:t>measures</w:t>
      </w:r>
      <w:r w:rsidRPr="00A713A5">
        <w:rPr>
          <w:rFonts w:ascii="Gilroy" w:hAnsi="Gilroy"/>
        </w:rPr>
        <w:t xml:space="preserve"> </w:t>
      </w:r>
      <w:r w:rsidRPr="00A713A5">
        <w:rPr>
          <w:rFonts w:ascii="Gilroy" w:hAnsi="Gilroy"/>
          <w:lang w:val="en-GB"/>
        </w:rPr>
        <w:t>do not adequately protect from unlawful interference with the right to privacy, in violation of Article 17 of the ICCPR.</w:t>
      </w:r>
      <w:r w:rsidR="00C550FE" w:rsidRPr="00A713A5">
        <w:rPr>
          <w:rFonts w:ascii="Gilroy" w:hAnsi="Gilroy"/>
          <w:lang w:val="en-GB"/>
        </w:rPr>
        <w:t xml:space="preserve"> </w:t>
      </w:r>
      <w:r w:rsidR="00C550FE" w:rsidRPr="00A713A5">
        <w:rPr>
          <w:rFonts w:ascii="Gilroy" w:hAnsi="Gilroy"/>
        </w:rPr>
        <w:t xml:space="preserve">Many of those measures are based on extraordinary powers, only to be used temporarily in </w:t>
      </w:r>
      <w:r w:rsidR="00A713A5">
        <w:rPr>
          <w:rFonts w:ascii="Gilroy" w:hAnsi="Gilroy"/>
        </w:rPr>
        <w:t>a defined</w:t>
      </w:r>
      <w:r w:rsidR="00C550FE" w:rsidRPr="00A713A5">
        <w:rPr>
          <w:rFonts w:ascii="Gilroy" w:hAnsi="Gilroy"/>
        </w:rPr>
        <w:t xml:space="preserve"> emergency. France introduced the emergency measures on 22 Mar 2020 and extended through 1 June 2021.</w:t>
      </w:r>
    </w:p>
    <w:p w14:paraId="78BA550B" w14:textId="1F5D7B23" w:rsidR="00B64150" w:rsidRPr="00A713A5" w:rsidRDefault="00B64150" w:rsidP="007B1F46">
      <w:pPr>
        <w:jc w:val="both"/>
        <w:rPr>
          <w:rFonts w:ascii="Gilroy" w:hAnsi="Gilroy"/>
        </w:rPr>
      </w:pPr>
    </w:p>
    <w:p w14:paraId="513C2866" w14:textId="268EC995" w:rsidR="0025084A" w:rsidRPr="00A713A5" w:rsidRDefault="0025084A" w:rsidP="007B1F46">
      <w:pPr>
        <w:jc w:val="both"/>
        <w:rPr>
          <w:rFonts w:ascii="Gilroy" w:hAnsi="Gilroy"/>
          <w:lang w:val="en-GB"/>
        </w:rPr>
      </w:pPr>
      <w:r w:rsidRPr="00A713A5">
        <w:rPr>
          <w:rFonts w:ascii="Gilroy" w:hAnsi="Gilroy"/>
          <w:lang w:val="en-GB"/>
        </w:rPr>
        <w:t xml:space="preserve">PI recommends the UN Human Rights Committee to include in the </w:t>
      </w:r>
      <w:proofErr w:type="spellStart"/>
      <w:r w:rsidRPr="00A713A5">
        <w:rPr>
          <w:rFonts w:ascii="Gilroy" w:hAnsi="Gilroy"/>
          <w:lang w:val="en-GB"/>
        </w:rPr>
        <w:t>LoIPR</w:t>
      </w:r>
      <w:proofErr w:type="spellEnd"/>
      <w:r w:rsidRPr="00A713A5">
        <w:rPr>
          <w:rFonts w:ascii="Gilroy" w:hAnsi="Gilroy"/>
          <w:lang w:val="en-GB"/>
        </w:rPr>
        <w:t xml:space="preserve"> </w:t>
      </w:r>
      <w:r w:rsidR="00A713A5">
        <w:rPr>
          <w:rFonts w:ascii="Gilroy" w:hAnsi="Gilroy"/>
          <w:lang w:val="en-GB"/>
        </w:rPr>
        <w:t xml:space="preserve">the following </w:t>
      </w:r>
      <w:r w:rsidRPr="00A713A5">
        <w:rPr>
          <w:rFonts w:ascii="Gilroy" w:hAnsi="Gilroy"/>
          <w:lang w:val="en-GB"/>
        </w:rPr>
        <w:t>questions in relation to the use of surveillance powers as part of the emergency response:</w:t>
      </w:r>
    </w:p>
    <w:p w14:paraId="2236A593" w14:textId="4225EB9B" w:rsidR="0025084A" w:rsidRPr="00A713A5" w:rsidRDefault="0025084A" w:rsidP="007B1F46">
      <w:pPr>
        <w:pStyle w:val="ListParagraph"/>
        <w:numPr>
          <w:ilvl w:val="0"/>
          <w:numId w:val="5"/>
        </w:numPr>
        <w:jc w:val="both"/>
        <w:rPr>
          <w:rFonts w:ascii="Gilroy" w:hAnsi="Gilroy"/>
          <w:lang w:val="en-GB"/>
        </w:rPr>
      </w:pPr>
      <w:r w:rsidRPr="00A713A5">
        <w:rPr>
          <w:rFonts w:ascii="Gilroy" w:hAnsi="Gilroy"/>
          <w:lang w:val="en-GB"/>
        </w:rPr>
        <w:lastRenderedPageBreak/>
        <w:t xml:space="preserve">France to </w:t>
      </w:r>
      <w:r w:rsidR="0056475C" w:rsidRPr="00A713A5">
        <w:rPr>
          <w:rFonts w:ascii="Gilroy" w:hAnsi="Gilroy"/>
          <w:lang w:val="en-GB"/>
        </w:rPr>
        <w:t>present all the</w:t>
      </w:r>
      <w:r w:rsidRPr="00A713A5">
        <w:rPr>
          <w:rFonts w:ascii="Gilroy" w:hAnsi="Gilroy"/>
          <w:lang w:val="en-GB"/>
        </w:rPr>
        <w:t xml:space="preserve"> surveillance measures</w:t>
      </w:r>
      <w:r w:rsidR="00A713A5">
        <w:rPr>
          <w:rFonts w:ascii="Gilroy" w:hAnsi="Gilroy"/>
          <w:lang w:val="en-GB"/>
        </w:rPr>
        <w:t xml:space="preserve"> that</w:t>
      </w:r>
      <w:r w:rsidRPr="00A713A5">
        <w:rPr>
          <w:rFonts w:ascii="Gilroy" w:hAnsi="Gilroy"/>
          <w:lang w:val="en-GB"/>
        </w:rPr>
        <w:t xml:space="preserve"> have been introduced </w:t>
      </w:r>
      <w:r w:rsidR="00C550FE" w:rsidRPr="00A713A5">
        <w:rPr>
          <w:rFonts w:ascii="Gilroy" w:hAnsi="Gilroy"/>
          <w:lang w:val="en-GB"/>
        </w:rPr>
        <w:t>in response to the COVID-19</w:t>
      </w:r>
      <w:r w:rsidRPr="00A713A5">
        <w:rPr>
          <w:rFonts w:ascii="Gilroy" w:hAnsi="Gilroy"/>
          <w:lang w:val="en-GB"/>
        </w:rPr>
        <w:t xml:space="preserve"> pandemic and </w:t>
      </w:r>
      <w:r w:rsidR="0056475C" w:rsidRPr="00A713A5">
        <w:rPr>
          <w:rFonts w:ascii="Gilroy" w:hAnsi="Gilroy"/>
          <w:lang w:val="en-GB"/>
        </w:rPr>
        <w:t>provide an assessment on</w:t>
      </w:r>
      <w:r w:rsidRPr="00A713A5">
        <w:rPr>
          <w:rFonts w:ascii="Gilroy" w:hAnsi="Gilroy"/>
          <w:lang w:val="en-GB"/>
        </w:rPr>
        <w:t xml:space="preserve"> whether these measures were necessary and proportionate response</w:t>
      </w:r>
      <w:r w:rsidR="00A713A5">
        <w:rPr>
          <w:rFonts w:ascii="Gilroy" w:hAnsi="Gilroy"/>
          <w:lang w:val="en-GB"/>
        </w:rPr>
        <w:t>s</w:t>
      </w:r>
      <w:r w:rsidRPr="00A713A5">
        <w:rPr>
          <w:rFonts w:ascii="Gilroy" w:hAnsi="Gilroy"/>
          <w:lang w:val="en-GB"/>
        </w:rPr>
        <w:t xml:space="preserve"> to the public health emergency.</w:t>
      </w:r>
    </w:p>
    <w:p w14:paraId="62593503" w14:textId="32A6FA98" w:rsidR="0070015B" w:rsidRPr="00A713A5" w:rsidRDefault="0025084A" w:rsidP="007B1F46">
      <w:pPr>
        <w:pStyle w:val="ListParagraph"/>
        <w:numPr>
          <w:ilvl w:val="0"/>
          <w:numId w:val="5"/>
        </w:numPr>
        <w:jc w:val="both"/>
        <w:rPr>
          <w:rFonts w:ascii="Gilroy" w:hAnsi="Gilroy"/>
        </w:rPr>
      </w:pPr>
      <w:r w:rsidRPr="00A713A5">
        <w:rPr>
          <w:rFonts w:ascii="Gilroy" w:hAnsi="Gilroy"/>
        </w:rPr>
        <w:t>When is France planning to withdraw these emergency measures and what steps will and have been taken to ensure that unlawful interferences with people’s privacy and other</w:t>
      </w:r>
      <w:r w:rsidR="00C550FE" w:rsidRPr="00A713A5">
        <w:rPr>
          <w:rFonts w:ascii="Gilroy" w:hAnsi="Gilroy"/>
        </w:rPr>
        <w:t xml:space="preserve"> human rights</w:t>
      </w:r>
      <w:r w:rsidRPr="00A713A5">
        <w:rPr>
          <w:rFonts w:ascii="Gilroy" w:hAnsi="Gilroy"/>
        </w:rPr>
        <w:t xml:space="preserve"> will be remedied</w:t>
      </w:r>
      <w:r w:rsidR="0056475C" w:rsidRPr="00A713A5">
        <w:rPr>
          <w:rFonts w:ascii="Gilroy" w:hAnsi="Gilroy"/>
        </w:rPr>
        <w:t>?</w:t>
      </w:r>
    </w:p>
    <w:p w14:paraId="3751FC47" w14:textId="77777777" w:rsidR="00B64150" w:rsidRPr="00A713A5" w:rsidRDefault="00B64150" w:rsidP="007B1F46">
      <w:pPr>
        <w:jc w:val="both"/>
        <w:rPr>
          <w:rFonts w:ascii="Gilroy" w:hAnsi="Gilroy"/>
        </w:rPr>
      </w:pPr>
    </w:p>
    <w:p w14:paraId="55AA51DC" w14:textId="7A194AA8" w:rsidR="00DB6A4C" w:rsidRPr="00A713A5" w:rsidRDefault="00DB6A4C" w:rsidP="007B1F46">
      <w:pPr>
        <w:jc w:val="both"/>
        <w:rPr>
          <w:rFonts w:ascii="Gilroy" w:hAnsi="Gilroy"/>
          <w:b/>
          <w:bCs/>
        </w:rPr>
      </w:pPr>
      <w:r w:rsidRPr="00A713A5">
        <w:rPr>
          <w:rFonts w:ascii="Gilroy" w:hAnsi="Gilroy"/>
          <w:b/>
          <w:bCs/>
        </w:rPr>
        <w:t xml:space="preserve">Surveillance powers in France and upcoming reforms </w:t>
      </w:r>
    </w:p>
    <w:p w14:paraId="5B9C1190" w14:textId="0D5AA678" w:rsidR="00650329" w:rsidRPr="00A713A5" w:rsidRDefault="00650329" w:rsidP="007B1F46">
      <w:pPr>
        <w:jc w:val="both"/>
        <w:rPr>
          <w:rFonts w:ascii="Gilroy" w:hAnsi="Gilroy"/>
        </w:rPr>
      </w:pPr>
    </w:p>
    <w:p w14:paraId="1776D472" w14:textId="2FD93592" w:rsidR="00650329" w:rsidRPr="00A713A5" w:rsidRDefault="00B73B97" w:rsidP="007B1F46">
      <w:pPr>
        <w:jc w:val="both"/>
        <w:rPr>
          <w:rFonts w:ascii="Gilroy" w:hAnsi="Gilroy"/>
          <w:lang w:val="en-GB"/>
        </w:rPr>
      </w:pPr>
      <w:r w:rsidRPr="00A713A5">
        <w:rPr>
          <w:rFonts w:ascii="Gilroy" w:hAnsi="Gilroy"/>
          <w:lang w:val="en-GB"/>
        </w:rPr>
        <w:t>PI</w:t>
      </w:r>
      <w:r w:rsidR="00650329" w:rsidRPr="00A713A5">
        <w:rPr>
          <w:rFonts w:ascii="Gilroy" w:hAnsi="Gilroy"/>
          <w:lang w:val="en-GB"/>
        </w:rPr>
        <w:t xml:space="preserve"> is concerned that electronic surveillance by French intelligence agencies and other bodies is overly broad, does not require prior judicial authorisation and is not subject to effective oversight.</w:t>
      </w:r>
    </w:p>
    <w:p w14:paraId="337878E4" w14:textId="77777777" w:rsidR="00650329" w:rsidRPr="00A713A5" w:rsidRDefault="00650329" w:rsidP="007B1F46">
      <w:pPr>
        <w:jc w:val="both"/>
        <w:rPr>
          <w:rFonts w:ascii="Gilroy" w:hAnsi="Gilroy"/>
          <w:lang w:val="en-GB"/>
        </w:rPr>
      </w:pPr>
    </w:p>
    <w:p w14:paraId="540A6B72" w14:textId="4DE8E0D9" w:rsidR="00650329" w:rsidRPr="00A713A5" w:rsidRDefault="00650329" w:rsidP="007B1F46">
      <w:pPr>
        <w:jc w:val="both"/>
        <w:rPr>
          <w:rFonts w:ascii="Gilroy" w:hAnsi="Gilroy"/>
          <w:lang w:val="en-GB"/>
        </w:rPr>
      </w:pPr>
      <w:r w:rsidRPr="00A713A5">
        <w:rPr>
          <w:rFonts w:ascii="Gilroy" w:hAnsi="Gilroy"/>
          <w:lang w:val="en-GB"/>
        </w:rPr>
        <w:t xml:space="preserve">As such, </w:t>
      </w:r>
      <w:r w:rsidR="00B73B97" w:rsidRPr="00A713A5">
        <w:rPr>
          <w:rFonts w:ascii="Gilroy" w:hAnsi="Gilroy"/>
          <w:lang w:val="en-GB"/>
        </w:rPr>
        <w:t>PI</w:t>
      </w:r>
      <w:r w:rsidRPr="00A713A5">
        <w:rPr>
          <w:rFonts w:ascii="Gilroy" w:hAnsi="Gilroy"/>
          <w:lang w:val="en-GB"/>
        </w:rPr>
        <w:t xml:space="preserve"> is concerned that the current law in France does not adequately protect from unlawful interference with the right to privacy, in violation of Article 17 of the </w:t>
      </w:r>
      <w:r w:rsidR="0056475C" w:rsidRPr="00A713A5">
        <w:rPr>
          <w:rFonts w:ascii="Gilroy" w:hAnsi="Gilroy"/>
          <w:lang w:val="en-GB"/>
        </w:rPr>
        <w:t>ICCPR</w:t>
      </w:r>
      <w:r w:rsidR="00DB6A4C" w:rsidRPr="00A713A5">
        <w:rPr>
          <w:rFonts w:ascii="Gilroy" w:hAnsi="Gilroy"/>
          <w:lang w:val="en-GB"/>
        </w:rPr>
        <w:t xml:space="preserve">. Recently proposed reforms do not seem to rectify these regulatory </w:t>
      </w:r>
      <w:proofErr w:type="gramStart"/>
      <w:r w:rsidR="00DB6A4C" w:rsidRPr="00A713A5">
        <w:rPr>
          <w:rFonts w:ascii="Gilroy" w:hAnsi="Gilroy"/>
          <w:lang w:val="en-GB"/>
        </w:rPr>
        <w:t>gaps</w:t>
      </w:r>
      <w:r w:rsidR="00B73B97" w:rsidRPr="00A713A5">
        <w:rPr>
          <w:rFonts w:ascii="Gilroy" w:hAnsi="Gilroy"/>
          <w:lang w:val="en-GB"/>
        </w:rPr>
        <w:t>, and</w:t>
      </w:r>
      <w:proofErr w:type="gramEnd"/>
      <w:r w:rsidR="00B73B97" w:rsidRPr="00A713A5">
        <w:rPr>
          <w:rFonts w:ascii="Gilroy" w:hAnsi="Gilroy"/>
          <w:lang w:val="en-GB"/>
        </w:rPr>
        <w:t xml:space="preserve"> seek to expand the scope of such surveillance</w:t>
      </w:r>
      <w:r w:rsidR="00DB6A4C" w:rsidRPr="00A713A5">
        <w:rPr>
          <w:rFonts w:ascii="Gilroy" w:hAnsi="Gilroy"/>
          <w:lang w:val="en-GB"/>
        </w:rPr>
        <w:t>.</w:t>
      </w:r>
    </w:p>
    <w:p w14:paraId="68192C6A" w14:textId="77777777" w:rsidR="00DB6A4C" w:rsidRPr="00A713A5" w:rsidRDefault="00DB6A4C" w:rsidP="007B1F46">
      <w:pPr>
        <w:jc w:val="both"/>
        <w:rPr>
          <w:rFonts w:ascii="Gilroy" w:hAnsi="Gilroy"/>
          <w:lang w:val="en-GB"/>
        </w:rPr>
      </w:pPr>
    </w:p>
    <w:p w14:paraId="55B06841" w14:textId="4E499F21" w:rsidR="00DB6A4C" w:rsidRPr="00A713A5" w:rsidRDefault="00DB6A4C" w:rsidP="007B1F46">
      <w:pPr>
        <w:jc w:val="both"/>
        <w:rPr>
          <w:rFonts w:ascii="Gilroy" w:hAnsi="Gilroy"/>
          <w:lang w:val="en-GB"/>
        </w:rPr>
      </w:pPr>
      <w:r w:rsidRPr="00A713A5">
        <w:rPr>
          <w:rFonts w:ascii="Gilroy" w:hAnsi="Gilroy"/>
          <w:lang w:val="en-GB"/>
        </w:rPr>
        <w:t xml:space="preserve">PI had expressed its concerns </w:t>
      </w:r>
      <w:r w:rsidR="00B73B97" w:rsidRPr="00A713A5">
        <w:rPr>
          <w:rFonts w:ascii="Gilroy" w:hAnsi="Gilroy"/>
          <w:lang w:val="en-GB"/>
        </w:rPr>
        <w:t xml:space="preserve">during the previous reporting cycle before the UN Human Rights Committee </w:t>
      </w:r>
      <w:r w:rsidRPr="00A713A5">
        <w:rPr>
          <w:rFonts w:ascii="Gilroy" w:hAnsi="Gilroy"/>
          <w:lang w:val="en-GB"/>
        </w:rPr>
        <w:t xml:space="preserve">regarding the 2015 Intelligence Bill, </w:t>
      </w:r>
      <w:r w:rsidR="008B78BB" w:rsidRPr="00A713A5">
        <w:rPr>
          <w:rFonts w:ascii="Gilroy" w:hAnsi="Gilroy"/>
          <w:lang w:val="en-GB"/>
        </w:rPr>
        <w:t xml:space="preserve">which had since entered </w:t>
      </w:r>
      <w:r w:rsidRPr="00A713A5">
        <w:rPr>
          <w:rFonts w:ascii="Gilroy" w:hAnsi="Gilroy"/>
          <w:lang w:val="en-GB"/>
        </w:rPr>
        <w:t xml:space="preserve">into </w:t>
      </w:r>
      <w:proofErr w:type="gramStart"/>
      <w:r w:rsidRPr="00A713A5">
        <w:rPr>
          <w:rFonts w:ascii="Gilroy" w:hAnsi="Gilroy"/>
          <w:lang w:val="en-GB"/>
        </w:rPr>
        <w:t>force</w:t>
      </w:r>
      <w:proofErr w:type="gramEnd"/>
      <w:r w:rsidR="008B78BB" w:rsidRPr="00A713A5">
        <w:rPr>
          <w:rFonts w:ascii="Gilroy" w:hAnsi="Gilroy"/>
          <w:lang w:val="en-GB"/>
        </w:rPr>
        <w:t xml:space="preserve"> and</w:t>
      </w:r>
      <w:r w:rsidRPr="00A713A5">
        <w:rPr>
          <w:rFonts w:ascii="Gilroy" w:hAnsi="Gilroy"/>
          <w:lang w:val="en-GB"/>
        </w:rPr>
        <w:t xml:space="preserve"> </w:t>
      </w:r>
      <w:r w:rsidR="00B73B97" w:rsidRPr="00A713A5">
        <w:rPr>
          <w:rFonts w:ascii="Gilroy" w:hAnsi="Gilroy"/>
          <w:lang w:val="en-GB"/>
        </w:rPr>
        <w:t xml:space="preserve">which </w:t>
      </w:r>
      <w:r w:rsidRPr="00A713A5">
        <w:rPr>
          <w:rFonts w:ascii="Gilroy" w:hAnsi="Gilroy"/>
          <w:lang w:val="en-GB"/>
        </w:rPr>
        <w:t>granted government agencies a number of very intrusive surveillance powers.</w:t>
      </w:r>
      <w:r w:rsidRPr="00A713A5">
        <w:rPr>
          <w:rStyle w:val="FootnoteReference"/>
          <w:rFonts w:ascii="Gilroy" w:hAnsi="Gilroy"/>
          <w:lang w:val="en-GB"/>
        </w:rPr>
        <w:footnoteReference w:id="6"/>
      </w:r>
    </w:p>
    <w:p w14:paraId="6CE94A10" w14:textId="77777777" w:rsidR="00DB6A4C" w:rsidRPr="00A713A5" w:rsidRDefault="00DB6A4C" w:rsidP="007B1F46">
      <w:pPr>
        <w:jc w:val="both"/>
        <w:rPr>
          <w:rFonts w:ascii="Gilroy" w:hAnsi="Gilroy"/>
          <w:lang w:val="en-GB"/>
        </w:rPr>
      </w:pPr>
    </w:p>
    <w:p w14:paraId="724E1829" w14:textId="431F79E3" w:rsidR="008A15C1" w:rsidRPr="00A713A5" w:rsidRDefault="00DB6A4C" w:rsidP="007B1F46">
      <w:pPr>
        <w:jc w:val="both"/>
        <w:rPr>
          <w:rFonts w:ascii="Gilroy" w:hAnsi="Gilroy"/>
          <w:lang w:val="en-GB"/>
        </w:rPr>
      </w:pPr>
      <w:r w:rsidRPr="00A713A5">
        <w:rPr>
          <w:rFonts w:ascii="Gilroy" w:hAnsi="Gilroy"/>
          <w:lang w:val="en-GB"/>
        </w:rPr>
        <w:t>The Court of Justice of the European Union</w:t>
      </w:r>
      <w:r w:rsidR="00E33CB3" w:rsidRPr="00A713A5">
        <w:rPr>
          <w:rFonts w:ascii="Gilroy" w:hAnsi="Gilroy"/>
          <w:lang w:val="en-GB"/>
        </w:rPr>
        <w:t xml:space="preserve"> (CJEU)</w:t>
      </w:r>
      <w:r w:rsidR="008A15C1" w:rsidRPr="00A713A5">
        <w:rPr>
          <w:rFonts w:ascii="Gilroy" w:hAnsi="Gilroy"/>
          <w:lang w:val="en-GB"/>
        </w:rPr>
        <w:t xml:space="preserve"> in its judgment of 6 October 2020, ruled that EU law applies every time a national government forces a telecommunications provider to process data, including when it is done for the purposes of national security. It concluded that EU law sets out privacy safeguards regarding the collection and retention of data by national governments, which France must follow.</w:t>
      </w:r>
      <w:r w:rsidR="008A15C1" w:rsidRPr="00A713A5">
        <w:rPr>
          <w:rStyle w:val="FootnoteReference"/>
          <w:rFonts w:ascii="Gilroy" w:hAnsi="Gilroy"/>
          <w:lang w:val="en-GB"/>
        </w:rPr>
        <w:footnoteReference w:id="7"/>
      </w:r>
      <w:r w:rsidR="008A15C1" w:rsidRPr="00A713A5">
        <w:rPr>
          <w:rFonts w:ascii="Gilroy" w:hAnsi="Gilroy"/>
          <w:lang w:val="en-GB"/>
        </w:rPr>
        <w:t xml:space="preserve"> Following the CJEU ruling, on 21 April 2021, the highest administrative court of France (Conseil </w:t>
      </w:r>
      <w:proofErr w:type="spellStart"/>
      <w:r w:rsidR="008A15C1" w:rsidRPr="00A713A5">
        <w:rPr>
          <w:rFonts w:ascii="Gilroy" w:hAnsi="Gilroy"/>
          <w:lang w:val="en-GB"/>
        </w:rPr>
        <w:t>d’</w:t>
      </w:r>
      <w:r w:rsidR="00B73B97" w:rsidRPr="00A713A5">
        <w:rPr>
          <w:rFonts w:ascii="Gilroy" w:hAnsi="Gilroy"/>
          <w:lang w:val="en-GB"/>
        </w:rPr>
        <w:t>É</w:t>
      </w:r>
      <w:r w:rsidR="008A15C1" w:rsidRPr="00A713A5">
        <w:rPr>
          <w:rFonts w:ascii="Gilroy" w:hAnsi="Gilroy"/>
          <w:lang w:val="en-GB"/>
        </w:rPr>
        <w:t>tat</w:t>
      </w:r>
      <w:proofErr w:type="spellEnd"/>
      <w:r w:rsidR="008A15C1" w:rsidRPr="00A713A5">
        <w:rPr>
          <w:rFonts w:ascii="Gilroy" w:hAnsi="Gilroy"/>
          <w:lang w:val="en-GB"/>
        </w:rPr>
        <w:t>) gave the French government six months to re-write data retention rules in compliance with EU human rights standards.</w:t>
      </w:r>
      <w:r w:rsidR="008A15C1" w:rsidRPr="00A713A5">
        <w:rPr>
          <w:rStyle w:val="FootnoteReference"/>
          <w:rFonts w:ascii="Gilroy" w:hAnsi="Gilroy"/>
          <w:lang w:val="en-GB"/>
        </w:rPr>
        <w:footnoteReference w:id="8"/>
      </w:r>
    </w:p>
    <w:p w14:paraId="385CC77C" w14:textId="5A5DBA09" w:rsidR="008A15C1" w:rsidRPr="00A713A5" w:rsidRDefault="008A15C1" w:rsidP="007B1F46">
      <w:pPr>
        <w:jc w:val="both"/>
        <w:rPr>
          <w:rFonts w:ascii="Gilroy" w:hAnsi="Gilroy"/>
          <w:lang w:val="en-GB"/>
        </w:rPr>
      </w:pPr>
    </w:p>
    <w:p w14:paraId="6F176139" w14:textId="290F72A3" w:rsidR="008A15C1" w:rsidRPr="00A713A5" w:rsidRDefault="008A15C1" w:rsidP="007B1F46">
      <w:pPr>
        <w:spacing w:line="240" w:lineRule="auto"/>
        <w:jc w:val="both"/>
        <w:rPr>
          <w:rFonts w:ascii="Gilroy" w:eastAsia="Times New Roman" w:hAnsi="Gilroy" w:cs="Times New Roman"/>
          <w:lang w:val="en-GB"/>
        </w:rPr>
      </w:pPr>
      <w:r w:rsidRPr="00A713A5">
        <w:rPr>
          <w:rFonts w:ascii="Gilroy" w:hAnsi="Gilroy"/>
          <w:lang w:val="en-GB"/>
        </w:rPr>
        <w:t xml:space="preserve">In 2021, the French government had already </w:t>
      </w:r>
      <w:r w:rsidRPr="00A713A5">
        <w:rPr>
          <w:rFonts w:ascii="Gilroy" w:eastAsia="Times New Roman" w:hAnsi="Gilroy" w:cs="Times New Roman"/>
          <w:lang w:val="en-GB"/>
        </w:rPr>
        <w:t xml:space="preserve">introduced a new draft law "on the prevention of acts of terrorism and intelligence" (le </w:t>
      </w:r>
      <w:proofErr w:type="spellStart"/>
      <w:r w:rsidRPr="00A713A5">
        <w:rPr>
          <w:rFonts w:ascii="Gilroy" w:eastAsia="Times New Roman" w:hAnsi="Gilroy" w:cs="Times New Roman"/>
          <w:lang w:val="en-GB"/>
        </w:rPr>
        <w:t>projet</w:t>
      </w:r>
      <w:proofErr w:type="spellEnd"/>
      <w:r w:rsidRPr="00A713A5">
        <w:rPr>
          <w:rFonts w:ascii="Gilroy" w:eastAsia="Times New Roman" w:hAnsi="Gilroy" w:cs="Times New Roman"/>
          <w:lang w:val="en-GB"/>
        </w:rPr>
        <w:t xml:space="preserve"> de </w:t>
      </w:r>
      <w:proofErr w:type="spellStart"/>
      <w:r w:rsidRPr="00A713A5">
        <w:rPr>
          <w:rFonts w:ascii="Gilroy" w:eastAsia="Times New Roman" w:hAnsi="Gilroy" w:cs="Times New Roman"/>
          <w:lang w:val="en-GB"/>
        </w:rPr>
        <w:t>loi</w:t>
      </w:r>
      <w:proofErr w:type="spellEnd"/>
      <w:r w:rsidRPr="00A713A5">
        <w:rPr>
          <w:rFonts w:ascii="Gilroy" w:eastAsia="Times New Roman" w:hAnsi="Gilroy" w:cs="Times New Roman"/>
          <w:lang w:val="en-GB"/>
        </w:rPr>
        <w:t xml:space="preserve"> « </w:t>
      </w:r>
      <w:proofErr w:type="spellStart"/>
      <w:r w:rsidRPr="00A713A5">
        <w:rPr>
          <w:rFonts w:ascii="Gilroy" w:eastAsia="Times New Roman" w:hAnsi="Gilroy" w:cs="Times New Roman"/>
          <w:lang w:val="en-GB"/>
        </w:rPr>
        <w:t>relatif</w:t>
      </w:r>
      <w:proofErr w:type="spellEnd"/>
      <w:r w:rsidRPr="00A713A5">
        <w:rPr>
          <w:rFonts w:ascii="Gilroy" w:eastAsia="Times New Roman" w:hAnsi="Gilroy" w:cs="Times New Roman"/>
          <w:lang w:val="en-GB"/>
        </w:rPr>
        <w:t xml:space="preserve"> à la </w:t>
      </w:r>
      <w:proofErr w:type="spellStart"/>
      <w:r w:rsidRPr="00A713A5">
        <w:rPr>
          <w:rFonts w:ascii="Gilroy" w:eastAsia="Times New Roman" w:hAnsi="Gilroy" w:cs="Times New Roman"/>
          <w:lang w:val="en-GB"/>
        </w:rPr>
        <w:t>prévention</w:t>
      </w:r>
      <w:proofErr w:type="spellEnd"/>
      <w:r w:rsidRPr="00A713A5">
        <w:rPr>
          <w:rFonts w:ascii="Gilroy" w:eastAsia="Times New Roman" w:hAnsi="Gilroy" w:cs="Times New Roman"/>
          <w:lang w:val="en-GB"/>
        </w:rPr>
        <w:t xml:space="preserve"> </w:t>
      </w:r>
      <w:proofErr w:type="spellStart"/>
      <w:r w:rsidRPr="00A713A5">
        <w:rPr>
          <w:rFonts w:ascii="Gilroy" w:eastAsia="Times New Roman" w:hAnsi="Gilroy" w:cs="Times New Roman"/>
          <w:lang w:val="en-GB"/>
        </w:rPr>
        <w:t>d’actes</w:t>
      </w:r>
      <w:proofErr w:type="spellEnd"/>
      <w:r w:rsidRPr="00A713A5">
        <w:rPr>
          <w:rFonts w:ascii="Gilroy" w:eastAsia="Times New Roman" w:hAnsi="Gilroy" w:cs="Times New Roman"/>
          <w:lang w:val="en-GB"/>
        </w:rPr>
        <w:t xml:space="preserve"> de </w:t>
      </w:r>
      <w:proofErr w:type="spellStart"/>
      <w:r w:rsidRPr="00A713A5">
        <w:rPr>
          <w:rFonts w:ascii="Gilroy" w:eastAsia="Times New Roman" w:hAnsi="Gilroy" w:cs="Times New Roman"/>
          <w:lang w:val="en-GB"/>
        </w:rPr>
        <w:t>terrorisme</w:t>
      </w:r>
      <w:proofErr w:type="spellEnd"/>
      <w:r w:rsidRPr="00A713A5">
        <w:rPr>
          <w:rFonts w:ascii="Gilroy" w:eastAsia="Times New Roman" w:hAnsi="Gilroy" w:cs="Times New Roman"/>
          <w:lang w:val="en-GB"/>
        </w:rPr>
        <w:t xml:space="preserve"> et au </w:t>
      </w:r>
      <w:proofErr w:type="spellStart"/>
      <w:r w:rsidRPr="00A713A5">
        <w:rPr>
          <w:rFonts w:ascii="Gilroy" w:eastAsia="Times New Roman" w:hAnsi="Gilroy" w:cs="Times New Roman"/>
          <w:lang w:val="en-GB"/>
        </w:rPr>
        <w:t>renseignement</w:t>
      </w:r>
      <w:proofErr w:type="spellEnd"/>
      <w:r w:rsidRPr="00A713A5">
        <w:rPr>
          <w:rFonts w:ascii="Gilroy" w:eastAsia="Times New Roman" w:hAnsi="Gilroy" w:cs="Times New Roman"/>
          <w:lang w:val="en-GB"/>
        </w:rPr>
        <w:t xml:space="preserve"> »</w:t>
      </w:r>
      <w:r w:rsidR="00D32BC9" w:rsidRPr="00A713A5">
        <w:rPr>
          <w:rFonts w:ascii="Gilroy" w:eastAsia="Times New Roman" w:hAnsi="Gilroy" w:cs="Times New Roman"/>
          <w:lang w:val="en-GB"/>
        </w:rPr>
        <w:t xml:space="preserve">, thereafter the “2021 </w:t>
      </w:r>
      <w:r w:rsidR="00041765" w:rsidRPr="00A713A5">
        <w:rPr>
          <w:rFonts w:ascii="Gilroy" w:eastAsia="Times New Roman" w:hAnsi="Gilroy" w:cs="Times New Roman"/>
          <w:lang w:val="en-GB"/>
        </w:rPr>
        <w:t xml:space="preserve">Draft </w:t>
      </w:r>
      <w:r w:rsidR="00D32BC9" w:rsidRPr="00A713A5">
        <w:rPr>
          <w:rFonts w:ascii="Gilroy" w:eastAsia="Times New Roman" w:hAnsi="Gilroy" w:cs="Times New Roman"/>
          <w:lang w:val="en-GB"/>
        </w:rPr>
        <w:t>Intelligence Bill”</w:t>
      </w:r>
      <w:r w:rsidRPr="00A713A5">
        <w:rPr>
          <w:rFonts w:ascii="Gilroy" w:eastAsia="Times New Roman" w:hAnsi="Gilroy" w:cs="Times New Roman"/>
          <w:lang w:val="en-GB"/>
        </w:rPr>
        <w:t xml:space="preserve">) that will update the 2015 </w:t>
      </w:r>
      <w:r w:rsidR="00A2685B" w:rsidRPr="00A713A5">
        <w:rPr>
          <w:rFonts w:ascii="Gilroy" w:eastAsia="Times New Roman" w:hAnsi="Gilroy" w:cs="Times New Roman"/>
          <w:lang w:val="en-GB"/>
        </w:rPr>
        <w:t>Act</w:t>
      </w:r>
      <w:r w:rsidRPr="00A713A5">
        <w:rPr>
          <w:rFonts w:ascii="Gilroy" w:eastAsia="Times New Roman" w:hAnsi="Gilroy" w:cs="Times New Roman"/>
          <w:lang w:val="en-GB"/>
        </w:rPr>
        <w:t>.</w:t>
      </w:r>
      <w:r w:rsidR="007146E7" w:rsidRPr="00A713A5">
        <w:rPr>
          <w:rStyle w:val="FootnoteReference"/>
          <w:rFonts w:ascii="Gilroy" w:eastAsia="Times New Roman" w:hAnsi="Gilroy" w:cs="Times New Roman"/>
          <w:lang w:val="en-GB"/>
        </w:rPr>
        <w:footnoteReference w:id="9"/>
      </w:r>
      <w:r w:rsidRPr="00A713A5">
        <w:rPr>
          <w:rFonts w:ascii="Gilroy" w:eastAsia="Times New Roman" w:hAnsi="Gilroy" w:cs="Times New Roman"/>
          <w:lang w:val="en-GB"/>
        </w:rPr>
        <w:t xml:space="preserve"> The current draft will have to be updated </w:t>
      </w:r>
      <w:proofErr w:type="gramStart"/>
      <w:r w:rsidRPr="00A713A5">
        <w:rPr>
          <w:rFonts w:ascii="Gilroy" w:eastAsia="Times New Roman" w:hAnsi="Gilroy" w:cs="Times New Roman"/>
          <w:lang w:val="en-GB"/>
        </w:rPr>
        <w:t>in light of</w:t>
      </w:r>
      <w:proofErr w:type="gramEnd"/>
      <w:r w:rsidRPr="00A713A5">
        <w:rPr>
          <w:rFonts w:ascii="Gilroy" w:eastAsia="Times New Roman" w:hAnsi="Gilroy" w:cs="Times New Roman"/>
          <w:lang w:val="en-GB"/>
        </w:rPr>
        <w:t xml:space="preserve"> the ruling of the Conseil </w:t>
      </w:r>
      <w:proofErr w:type="spellStart"/>
      <w:r w:rsidRPr="00A713A5">
        <w:rPr>
          <w:rFonts w:ascii="Gilroy" w:eastAsia="Times New Roman" w:hAnsi="Gilroy" w:cs="Times New Roman"/>
          <w:lang w:val="en-GB"/>
        </w:rPr>
        <w:t>d’</w:t>
      </w:r>
      <w:r w:rsidR="00D32BC9" w:rsidRPr="00A713A5">
        <w:rPr>
          <w:rFonts w:ascii="Gilroy" w:eastAsia="Times New Roman" w:hAnsi="Gilroy" w:cs="Times New Roman"/>
          <w:lang w:val="en-GB"/>
        </w:rPr>
        <w:t>É</w:t>
      </w:r>
      <w:r w:rsidRPr="00A713A5">
        <w:rPr>
          <w:rFonts w:ascii="Gilroy" w:eastAsia="Times New Roman" w:hAnsi="Gilroy" w:cs="Times New Roman"/>
          <w:lang w:val="en-GB"/>
        </w:rPr>
        <w:t>tat</w:t>
      </w:r>
      <w:proofErr w:type="spellEnd"/>
      <w:r w:rsidRPr="00A713A5">
        <w:rPr>
          <w:rFonts w:ascii="Gilroy" w:eastAsia="Times New Roman" w:hAnsi="Gilroy" w:cs="Times New Roman"/>
          <w:lang w:val="en-GB"/>
        </w:rPr>
        <w:t xml:space="preserve"> on 21 April 2021 mentioned above. </w:t>
      </w:r>
    </w:p>
    <w:p w14:paraId="58B6CAE0" w14:textId="4DD81EBB" w:rsidR="008A15C1" w:rsidRPr="00A713A5" w:rsidRDefault="008A15C1" w:rsidP="007B1F46">
      <w:pPr>
        <w:jc w:val="both"/>
        <w:rPr>
          <w:rFonts w:ascii="Gilroy" w:hAnsi="Gilroy"/>
          <w:lang w:val="en-GB"/>
        </w:rPr>
      </w:pPr>
    </w:p>
    <w:p w14:paraId="1A829CA1" w14:textId="2F017F34" w:rsidR="007146E7" w:rsidRPr="00A713A5" w:rsidRDefault="007146E7" w:rsidP="007B1F46">
      <w:pPr>
        <w:jc w:val="both"/>
        <w:rPr>
          <w:rFonts w:ascii="Gilroy" w:hAnsi="Gilroy"/>
          <w:lang w:val="en-GB"/>
        </w:rPr>
      </w:pPr>
      <w:r w:rsidRPr="00A713A5">
        <w:rPr>
          <w:rFonts w:ascii="Gilroy" w:hAnsi="Gilroy"/>
          <w:lang w:val="en-GB"/>
        </w:rPr>
        <w:lastRenderedPageBreak/>
        <w:t xml:space="preserve">Regrettably, the </w:t>
      </w:r>
      <w:r w:rsidR="00D32BC9" w:rsidRPr="00A713A5">
        <w:rPr>
          <w:rFonts w:ascii="Gilroy" w:hAnsi="Gilroy"/>
          <w:lang w:val="en-GB"/>
        </w:rPr>
        <w:t xml:space="preserve">2021 </w:t>
      </w:r>
      <w:r w:rsidR="00041765" w:rsidRPr="00A713A5">
        <w:rPr>
          <w:rFonts w:ascii="Gilroy" w:hAnsi="Gilroy"/>
          <w:lang w:val="en-GB"/>
        </w:rPr>
        <w:t xml:space="preserve">Draft </w:t>
      </w:r>
      <w:r w:rsidRPr="00A713A5">
        <w:rPr>
          <w:rFonts w:ascii="Gilroy" w:hAnsi="Gilroy"/>
          <w:lang w:val="en-GB"/>
        </w:rPr>
        <w:t xml:space="preserve">Intelligence </w:t>
      </w:r>
      <w:r w:rsidR="00D32BC9" w:rsidRPr="00A713A5">
        <w:rPr>
          <w:rFonts w:ascii="Gilroy" w:hAnsi="Gilroy"/>
          <w:lang w:val="en-GB"/>
        </w:rPr>
        <w:t>B</w:t>
      </w:r>
      <w:r w:rsidRPr="00A713A5">
        <w:rPr>
          <w:rFonts w:ascii="Gilroy" w:hAnsi="Gilroy"/>
          <w:lang w:val="en-GB"/>
        </w:rPr>
        <w:t>ill recently adopted by the National Assembly and currently under consideration by the Senate grants new, highly intrusive powers to the intelligence agencies while failing to strengthen oversight.</w:t>
      </w:r>
    </w:p>
    <w:p w14:paraId="771FD02F" w14:textId="77777777" w:rsidR="007146E7" w:rsidRPr="00A713A5" w:rsidRDefault="007146E7" w:rsidP="007B1F46">
      <w:pPr>
        <w:jc w:val="both"/>
        <w:rPr>
          <w:rFonts w:ascii="Gilroy" w:hAnsi="Gilroy"/>
          <w:lang w:val="en-GB"/>
        </w:rPr>
      </w:pPr>
    </w:p>
    <w:p w14:paraId="59EB1DF9" w14:textId="486A6163" w:rsidR="007146E7" w:rsidRPr="00A713A5" w:rsidRDefault="008A15C1" w:rsidP="007B1F46">
      <w:pPr>
        <w:jc w:val="both"/>
        <w:rPr>
          <w:rFonts w:ascii="Gilroy" w:hAnsi="Gilroy"/>
          <w:lang w:val="en-GB"/>
        </w:rPr>
      </w:pPr>
      <w:r w:rsidRPr="00A713A5">
        <w:rPr>
          <w:rFonts w:ascii="Gilroy" w:hAnsi="Gilroy"/>
          <w:lang w:val="en-GB"/>
        </w:rPr>
        <w:t xml:space="preserve">In its current form the </w:t>
      </w:r>
      <w:r w:rsidR="00D32BC9" w:rsidRPr="00A713A5">
        <w:rPr>
          <w:rFonts w:ascii="Gilroy" w:hAnsi="Gilroy"/>
          <w:lang w:val="en-GB"/>
        </w:rPr>
        <w:t xml:space="preserve">2021 </w:t>
      </w:r>
      <w:r w:rsidR="00041765" w:rsidRPr="00A713A5">
        <w:rPr>
          <w:rFonts w:ascii="Gilroy" w:hAnsi="Gilroy"/>
          <w:lang w:val="en-GB"/>
        </w:rPr>
        <w:t xml:space="preserve">Draft </w:t>
      </w:r>
      <w:r w:rsidR="00D32BC9" w:rsidRPr="00A713A5">
        <w:rPr>
          <w:rFonts w:ascii="Gilroy" w:hAnsi="Gilroy"/>
          <w:lang w:val="en-GB"/>
        </w:rPr>
        <w:t>Intelligence Bill</w:t>
      </w:r>
      <w:r w:rsidR="007146E7" w:rsidRPr="00A713A5">
        <w:rPr>
          <w:rFonts w:ascii="Gilroy" w:hAnsi="Gilroy"/>
          <w:lang w:val="en-GB"/>
        </w:rPr>
        <w:t xml:space="preserve"> not only fails to address concerns </w:t>
      </w:r>
      <w:r w:rsidR="006F5ECE" w:rsidRPr="00A713A5">
        <w:rPr>
          <w:rFonts w:ascii="Gilroy" w:hAnsi="Gilroy"/>
          <w:lang w:val="en-GB"/>
        </w:rPr>
        <w:t xml:space="preserve">the Human Rights Committee </w:t>
      </w:r>
      <w:r w:rsidR="007146E7" w:rsidRPr="00A713A5">
        <w:rPr>
          <w:rFonts w:ascii="Gilroy" w:hAnsi="Gilroy"/>
          <w:lang w:val="en-GB"/>
        </w:rPr>
        <w:t xml:space="preserve">had expressed in the previous </w:t>
      </w:r>
      <w:r w:rsidR="006F5ECE" w:rsidRPr="00A713A5">
        <w:rPr>
          <w:rFonts w:ascii="Gilroy" w:hAnsi="Gilroy"/>
          <w:lang w:val="en-GB"/>
        </w:rPr>
        <w:t>concluding observations</w:t>
      </w:r>
      <w:r w:rsidR="007146E7" w:rsidRPr="00A713A5">
        <w:rPr>
          <w:rFonts w:ascii="Gilroy" w:hAnsi="Gilroy"/>
          <w:lang w:val="en-GB"/>
        </w:rPr>
        <w:t>,</w:t>
      </w:r>
      <w:r w:rsidR="00333841" w:rsidRPr="00A713A5">
        <w:rPr>
          <w:rStyle w:val="FootnoteReference"/>
          <w:rFonts w:ascii="Gilroy" w:hAnsi="Gilroy"/>
          <w:lang w:val="en-GB"/>
        </w:rPr>
        <w:footnoteReference w:id="10"/>
      </w:r>
      <w:r w:rsidR="007146E7" w:rsidRPr="00A713A5">
        <w:rPr>
          <w:rFonts w:ascii="Gilroy" w:hAnsi="Gilroy"/>
          <w:lang w:val="en-GB"/>
        </w:rPr>
        <w:t xml:space="preserve"> but it introduces reforms that will further jeopardise the protection of the right to privacy. Among others, the draft bill:</w:t>
      </w:r>
    </w:p>
    <w:p w14:paraId="50133F3E" w14:textId="77777777" w:rsidR="0025084A" w:rsidRPr="00A713A5" w:rsidRDefault="0025084A" w:rsidP="007B1F46">
      <w:pPr>
        <w:jc w:val="both"/>
        <w:rPr>
          <w:rFonts w:ascii="Gilroy" w:hAnsi="Gilroy"/>
          <w:lang w:val="en-GB"/>
        </w:rPr>
      </w:pPr>
    </w:p>
    <w:p w14:paraId="23577743" w14:textId="53A9362D" w:rsidR="00D3081D" w:rsidRPr="00A713A5" w:rsidRDefault="00327B41" w:rsidP="007B1F46">
      <w:pPr>
        <w:numPr>
          <w:ilvl w:val="0"/>
          <w:numId w:val="2"/>
        </w:numPr>
        <w:jc w:val="both"/>
        <w:rPr>
          <w:rFonts w:ascii="Gilroy" w:hAnsi="Gilroy"/>
          <w:lang w:val="en-GB"/>
        </w:rPr>
      </w:pPr>
      <w:r w:rsidRPr="00A713A5">
        <w:rPr>
          <w:rFonts w:ascii="Gilroy" w:hAnsi="Gilroy"/>
          <w:lang w:val="en-GB"/>
        </w:rPr>
        <w:t>g</w:t>
      </w:r>
      <w:r w:rsidR="007146E7" w:rsidRPr="00A713A5">
        <w:rPr>
          <w:rFonts w:ascii="Gilroy" w:hAnsi="Gilroy"/>
          <w:lang w:val="en-GB"/>
        </w:rPr>
        <w:t xml:space="preserve">ives even broader powers to intelligence agencies and other </w:t>
      </w:r>
      <w:proofErr w:type="gramStart"/>
      <w:r w:rsidR="007146E7" w:rsidRPr="00A713A5">
        <w:rPr>
          <w:rFonts w:ascii="Gilroy" w:hAnsi="Gilroy"/>
          <w:lang w:val="en-GB"/>
        </w:rPr>
        <w:t>bodies</w:t>
      </w:r>
      <w:r w:rsidRPr="00A713A5">
        <w:rPr>
          <w:rFonts w:ascii="Gilroy" w:hAnsi="Gilroy"/>
          <w:lang w:val="en-GB"/>
        </w:rPr>
        <w:t>;</w:t>
      </w:r>
      <w:proofErr w:type="gramEnd"/>
    </w:p>
    <w:p w14:paraId="6F742B0B" w14:textId="3FDD7080" w:rsidR="00D3081D" w:rsidRPr="00A713A5" w:rsidRDefault="00327B41" w:rsidP="007B1F46">
      <w:pPr>
        <w:numPr>
          <w:ilvl w:val="0"/>
          <w:numId w:val="2"/>
        </w:numPr>
        <w:jc w:val="both"/>
        <w:rPr>
          <w:rFonts w:ascii="Gilroy" w:hAnsi="Gilroy"/>
          <w:lang w:val="en-GB"/>
        </w:rPr>
      </w:pPr>
      <w:r w:rsidRPr="00A713A5">
        <w:rPr>
          <w:rFonts w:ascii="Gilroy" w:hAnsi="Gilroy"/>
          <w:lang w:val="en-GB"/>
        </w:rPr>
        <w:t xml:space="preserve">allows </w:t>
      </w:r>
      <w:r w:rsidR="00D3081D" w:rsidRPr="00A713A5">
        <w:rPr>
          <w:rFonts w:ascii="Gilroy" w:hAnsi="Gilroy"/>
          <w:lang w:val="en-GB"/>
        </w:rPr>
        <w:t xml:space="preserve">information </w:t>
      </w:r>
      <w:r w:rsidR="00D32BC9" w:rsidRPr="00A713A5">
        <w:rPr>
          <w:rFonts w:ascii="Gilroy" w:hAnsi="Gilroy"/>
          <w:lang w:val="en-GB"/>
        </w:rPr>
        <w:t xml:space="preserve">to </w:t>
      </w:r>
      <w:r w:rsidR="00D3081D" w:rsidRPr="00A713A5">
        <w:rPr>
          <w:rFonts w:ascii="Gilroy" w:hAnsi="Gilroy"/>
          <w:lang w:val="en-GB"/>
        </w:rPr>
        <w:t xml:space="preserve">be collected </w:t>
      </w:r>
      <w:r w:rsidRPr="00A713A5">
        <w:rPr>
          <w:rFonts w:ascii="Gilroy" w:hAnsi="Gilroy"/>
          <w:lang w:val="en-GB"/>
        </w:rPr>
        <w:t>for a broad spectrum of reasons</w:t>
      </w:r>
      <w:r w:rsidR="00D3081D" w:rsidRPr="00A713A5">
        <w:rPr>
          <w:rFonts w:ascii="Gilroy" w:hAnsi="Gilroy"/>
          <w:lang w:val="en-GB"/>
        </w:rPr>
        <w:t xml:space="preserve">, including national security, </w:t>
      </w:r>
      <w:proofErr w:type="gramStart"/>
      <w:r w:rsidR="00D3081D" w:rsidRPr="00A713A5">
        <w:rPr>
          <w:rFonts w:ascii="Gilroy" w:hAnsi="Gilroy"/>
          <w:lang w:val="en-GB"/>
        </w:rPr>
        <w:t>counter-terrorism</w:t>
      </w:r>
      <w:proofErr w:type="gramEnd"/>
      <w:r w:rsidRPr="00A713A5">
        <w:rPr>
          <w:rFonts w:ascii="Gilroy" w:hAnsi="Gilroy"/>
          <w:lang w:val="en-GB"/>
        </w:rPr>
        <w:t>,</w:t>
      </w:r>
      <w:r w:rsidR="00D3081D" w:rsidRPr="00A713A5">
        <w:rPr>
          <w:rFonts w:ascii="Gilroy" w:hAnsi="Gilroy"/>
          <w:lang w:val="en-GB"/>
        </w:rPr>
        <w:t xml:space="preserve"> but also measures to protect France's major economic, industrial and scientific interests as well as the prevention of crime</w:t>
      </w:r>
      <w:r w:rsidRPr="00A713A5">
        <w:rPr>
          <w:rFonts w:ascii="Gilroy" w:hAnsi="Gilroy"/>
          <w:lang w:val="en-GB"/>
        </w:rPr>
        <w:t>;</w:t>
      </w:r>
    </w:p>
    <w:p w14:paraId="3CA1E716" w14:textId="2D31C394" w:rsidR="00327B41" w:rsidRPr="00A713A5" w:rsidRDefault="007146E7" w:rsidP="007B1F46">
      <w:pPr>
        <w:numPr>
          <w:ilvl w:val="0"/>
          <w:numId w:val="2"/>
        </w:numPr>
        <w:jc w:val="both"/>
        <w:rPr>
          <w:rFonts w:ascii="Gilroy" w:hAnsi="Gilroy"/>
          <w:lang w:val="en-GB"/>
        </w:rPr>
      </w:pPr>
      <w:r w:rsidRPr="00A713A5">
        <w:rPr>
          <w:rFonts w:ascii="Gilroy" w:hAnsi="Gilroy"/>
          <w:lang w:val="en-GB"/>
        </w:rPr>
        <w:t xml:space="preserve">regulates the conditions under which the intelligence services can, on the one hand, exploit the information they have obtained for a purpose different from that which justified their collection in the first place and, on the other hand, transmit to each other the information they have collected by implementing authorized </w:t>
      </w:r>
      <w:proofErr w:type="gramStart"/>
      <w:r w:rsidRPr="00A713A5">
        <w:rPr>
          <w:rFonts w:ascii="Gilroy" w:hAnsi="Gilroy"/>
          <w:lang w:val="en-GB"/>
        </w:rPr>
        <w:t>techniques</w:t>
      </w:r>
      <w:r w:rsidR="00041765" w:rsidRPr="00A713A5">
        <w:rPr>
          <w:rFonts w:ascii="Gilroy" w:hAnsi="Gilroy"/>
          <w:lang w:val="en-GB"/>
        </w:rPr>
        <w:t>;</w:t>
      </w:r>
      <w:proofErr w:type="gramEnd"/>
      <w:r w:rsidRPr="00A713A5">
        <w:rPr>
          <w:rFonts w:ascii="Gilroy" w:hAnsi="Gilroy"/>
          <w:lang w:val="en-GB"/>
        </w:rPr>
        <w:t xml:space="preserve"> </w:t>
      </w:r>
    </w:p>
    <w:p w14:paraId="28D75458" w14:textId="37739561" w:rsidR="007146E7" w:rsidRPr="00A713A5" w:rsidRDefault="007146E7" w:rsidP="007B1F46">
      <w:pPr>
        <w:numPr>
          <w:ilvl w:val="0"/>
          <w:numId w:val="2"/>
        </w:numPr>
        <w:jc w:val="both"/>
        <w:rPr>
          <w:rFonts w:ascii="Gilroy" w:hAnsi="Gilroy"/>
          <w:lang w:val="en-GB"/>
        </w:rPr>
      </w:pPr>
      <w:r w:rsidRPr="00A713A5">
        <w:rPr>
          <w:rFonts w:ascii="Gilroy" w:hAnsi="Gilroy"/>
          <w:lang w:val="en-GB"/>
        </w:rPr>
        <w:t>facilitate</w:t>
      </w:r>
      <w:r w:rsidR="00327B41" w:rsidRPr="00A713A5">
        <w:rPr>
          <w:rFonts w:ascii="Gilroy" w:hAnsi="Gilroy"/>
          <w:lang w:val="en-GB"/>
        </w:rPr>
        <w:t>s</w:t>
      </w:r>
      <w:r w:rsidRPr="00A713A5">
        <w:rPr>
          <w:rFonts w:ascii="Gilroy" w:hAnsi="Gilroy"/>
          <w:lang w:val="en-GB"/>
        </w:rPr>
        <w:t xml:space="preserve"> intelligence sharing among the different bodies without needing further authorization or effective oversight.</w:t>
      </w:r>
      <w:r w:rsidR="00327B41" w:rsidRPr="00A713A5">
        <w:rPr>
          <w:rFonts w:ascii="Gilroy" w:hAnsi="Gilroy"/>
          <w:lang w:val="en-GB"/>
        </w:rPr>
        <w:t xml:space="preserve"> These exchanges of information do not in principle have to be the subject of a specific authorization </w:t>
      </w:r>
      <w:proofErr w:type="gramStart"/>
      <w:r w:rsidR="00327B41" w:rsidRPr="00A713A5">
        <w:rPr>
          <w:rFonts w:ascii="Gilroy" w:hAnsi="Gilroy"/>
          <w:lang w:val="en-GB"/>
        </w:rPr>
        <w:t>procedure;</w:t>
      </w:r>
      <w:proofErr w:type="gramEnd"/>
    </w:p>
    <w:p w14:paraId="7F2BBC81" w14:textId="3DBDA540" w:rsidR="007146E7" w:rsidRPr="00A713A5" w:rsidRDefault="007146E7" w:rsidP="007B1F46">
      <w:pPr>
        <w:numPr>
          <w:ilvl w:val="0"/>
          <w:numId w:val="2"/>
        </w:numPr>
        <w:jc w:val="both"/>
        <w:rPr>
          <w:rFonts w:ascii="Gilroy" w:hAnsi="Gilroy"/>
          <w:lang w:val="en-GB"/>
        </w:rPr>
      </w:pPr>
      <w:r w:rsidRPr="00A713A5">
        <w:rPr>
          <w:rFonts w:ascii="Gilroy" w:hAnsi="Gilroy"/>
          <w:lang w:val="en-GB"/>
        </w:rPr>
        <w:t>expands the surveillance tools and methods the intelligence agencies and other bodies can use to collect information.</w:t>
      </w:r>
      <w:r w:rsidR="00327B41" w:rsidRPr="00A713A5">
        <w:rPr>
          <w:rFonts w:ascii="Gilroy" w:hAnsi="Gilroy"/>
          <w:lang w:val="en-GB"/>
        </w:rPr>
        <w:t xml:space="preserve"> Among others, it gives the possibility for services to install IMSI catcher</w:t>
      </w:r>
      <w:r w:rsidR="00041765" w:rsidRPr="00A713A5">
        <w:rPr>
          <w:rFonts w:ascii="Gilroy" w:hAnsi="Gilroy"/>
          <w:lang w:val="en-GB"/>
        </w:rPr>
        <w:t>s</w:t>
      </w:r>
      <w:r w:rsidR="00327B41" w:rsidRPr="00A713A5">
        <w:rPr>
          <w:rFonts w:ascii="Gilroy" w:hAnsi="Gilroy"/>
          <w:lang w:val="en-GB"/>
        </w:rPr>
        <w:t xml:space="preserve">, namely false relay antennas capable of capturing the data exchanged via smartphone, on the base stations of operators or in the infrastructure of an online service provider based in </w:t>
      </w:r>
      <w:proofErr w:type="gramStart"/>
      <w:r w:rsidR="00327B41" w:rsidRPr="00A713A5">
        <w:rPr>
          <w:rFonts w:ascii="Gilroy" w:hAnsi="Gilroy"/>
          <w:lang w:val="en-GB"/>
        </w:rPr>
        <w:t>France;</w:t>
      </w:r>
      <w:proofErr w:type="gramEnd"/>
    </w:p>
    <w:p w14:paraId="5D8B5A77" w14:textId="473218FD" w:rsidR="00D32BC9" w:rsidRPr="00A713A5" w:rsidRDefault="00D32BC9" w:rsidP="007B1F46">
      <w:pPr>
        <w:numPr>
          <w:ilvl w:val="0"/>
          <w:numId w:val="2"/>
        </w:numPr>
        <w:jc w:val="both"/>
        <w:rPr>
          <w:rFonts w:ascii="Gilroy" w:hAnsi="Gilroy"/>
          <w:lang w:val="en-GB"/>
        </w:rPr>
      </w:pPr>
      <w:r w:rsidRPr="00A713A5">
        <w:rPr>
          <w:rFonts w:ascii="Gilroy" w:hAnsi="Gilroy"/>
          <w:lang w:val="en-GB"/>
        </w:rPr>
        <w:t xml:space="preserve">enshrines the </w:t>
      </w:r>
      <w:r w:rsidR="00E33CB3" w:rsidRPr="00A713A5">
        <w:rPr>
          <w:rFonts w:ascii="Gilroy" w:hAnsi="Gilroy"/>
          <w:lang w:val="en-GB"/>
        </w:rPr>
        <w:t xml:space="preserve">invasive and obscure </w:t>
      </w:r>
      <w:r w:rsidRPr="00A713A5">
        <w:rPr>
          <w:rFonts w:ascii="Gilroy" w:hAnsi="Gilroy"/>
          <w:lang w:val="en-GB"/>
        </w:rPr>
        <w:t>“black box algorithm” surveillance technique</w:t>
      </w:r>
      <w:r w:rsidR="00A213E5" w:rsidRPr="00A713A5">
        <w:rPr>
          <w:rFonts w:ascii="Gilroy" w:hAnsi="Gilroy"/>
          <w:lang w:val="en-GB"/>
        </w:rPr>
        <w:t xml:space="preserve"> (</w:t>
      </w:r>
      <w:r w:rsidR="00041765" w:rsidRPr="00A713A5">
        <w:rPr>
          <w:rFonts w:ascii="Gilroy" w:hAnsi="Gilroy"/>
          <w:lang w:val="en-GB"/>
        </w:rPr>
        <w:t>which requires</w:t>
      </w:r>
      <w:r w:rsidR="00A213E5" w:rsidRPr="00A713A5">
        <w:rPr>
          <w:rFonts w:ascii="Gilroy" w:hAnsi="Gilroy"/>
          <w:lang w:val="en-GB"/>
        </w:rPr>
        <w:t xml:space="preserve"> electronic communications providers to implement on their networks algorithmic processes intended to detect connections suspected of revealing a terrorist threat),</w:t>
      </w:r>
      <w:r w:rsidRPr="00A713A5">
        <w:rPr>
          <w:rFonts w:ascii="Gilroy" w:hAnsi="Gilroy"/>
          <w:lang w:val="en-GB"/>
        </w:rPr>
        <w:t xml:space="preserve"> previously </w:t>
      </w:r>
      <w:r w:rsidR="00A213E5" w:rsidRPr="00A713A5">
        <w:rPr>
          <w:rFonts w:ascii="Gilroy" w:hAnsi="Gilroy"/>
          <w:lang w:val="en-GB"/>
        </w:rPr>
        <w:t>shown to be</w:t>
      </w:r>
      <w:r w:rsidRPr="00A713A5">
        <w:rPr>
          <w:rFonts w:ascii="Gilroy" w:hAnsi="Gilroy"/>
          <w:lang w:val="en-GB"/>
        </w:rPr>
        <w:t xml:space="preserve"> ineffective,</w:t>
      </w:r>
      <w:r w:rsidR="00A213E5" w:rsidRPr="00A713A5">
        <w:rPr>
          <w:rFonts w:ascii="Gilroy" w:hAnsi="Gilroy"/>
        </w:rPr>
        <w:footnoteReference w:id="11"/>
      </w:r>
      <w:r w:rsidRPr="00A713A5">
        <w:rPr>
          <w:rFonts w:ascii="Gilroy" w:hAnsi="Gilroy"/>
          <w:lang w:val="en-GB"/>
        </w:rPr>
        <w:t xml:space="preserve"> while the previous bill only allowed its experimentation</w:t>
      </w:r>
      <w:r w:rsidR="00041765" w:rsidRPr="00A713A5">
        <w:rPr>
          <w:rFonts w:ascii="Gilroy" w:hAnsi="Gilroy"/>
          <w:lang w:val="en-GB"/>
        </w:rPr>
        <w:t xml:space="preserve"> – and does so while the Commission </w:t>
      </w:r>
      <w:proofErr w:type="spellStart"/>
      <w:r w:rsidR="00041765" w:rsidRPr="00A713A5">
        <w:rPr>
          <w:rFonts w:ascii="Gilroy" w:hAnsi="Gilroy"/>
          <w:lang w:val="en-GB"/>
        </w:rPr>
        <w:t>National</w:t>
      </w:r>
      <w:r w:rsidR="00E33CB3" w:rsidRPr="00A713A5">
        <w:rPr>
          <w:rFonts w:ascii="Gilroy" w:hAnsi="Gilroy"/>
          <w:lang w:val="en-GB"/>
        </w:rPr>
        <w:t>e</w:t>
      </w:r>
      <w:proofErr w:type="spellEnd"/>
      <w:r w:rsidR="00041765" w:rsidRPr="00A713A5">
        <w:rPr>
          <w:rFonts w:ascii="Gilroy" w:hAnsi="Gilroy"/>
          <w:lang w:val="en-GB"/>
        </w:rPr>
        <w:t xml:space="preserve"> de </w:t>
      </w:r>
      <w:proofErr w:type="spellStart"/>
      <w:r w:rsidR="00041765" w:rsidRPr="00A713A5">
        <w:rPr>
          <w:rFonts w:ascii="Gilroy" w:hAnsi="Gilroy"/>
          <w:lang w:val="en-GB"/>
        </w:rPr>
        <w:t>l’Informatique</w:t>
      </w:r>
      <w:proofErr w:type="spellEnd"/>
      <w:r w:rsidR="00041765" w:rsidRPr="00A713A5">
        <w:rPr>
          <w:rFonts w:ascii="Gilroy" w:hAnsi="Gilroy"/>
          <w:lang w:val="en-GB"/>
        </w:rPr>
        <w:t xml:space="preserve"> et des </w:t>
      </w:r>
      <w:proofErr w:type="spellStart"/>
      <w:r w:rsidR="00041765" w:rsidRPr="00A713A5">
        <w:rPr>
          <w:rFonts w:ascii="Gilroy" w:hAnsi="Gilroy"/>
          <w:lang w:val="en-GB"/>
        </w:rPr>
        <w:t>Libertés</w:t>
      </w:r>
      <w:proofErr w:type="spellEnd"/>
      <w:r w:rsidR="00041765" w:rsidRPr="00A713A5">
        <w:rPr>
          <w:rFonts w:ascii="Gilroy" w:hAnsi="Gilroy"/>
          <w:lang w:val="en-GB"/>
        </w:rPr>
        <w:t xml:space="preserve"> </w:t>
      </w:r>
      <w:r w:rsidR="00E33CB3" w:rsidRPr="00A713A5">
        <w:rPr>
          <w:rFonts w:ascii="Gilroy" w:hAnsi="Gilroy"/>
          <w:lang w:val="en-GB"/>
        </w:rPr>
        <w:t xml:space="preserve">(CNIL) </w:t>
      </w:r>
      <w:r w:rsidR="00041765" w:rsidRPr="00A713A5">
        <w:rPr>
          <w:rFonts w:ascii="Gilroy" w:hAnsi="Gilroy"/>
          <w:lang w:val="en-GB"/>
        </w:rPr>
        <w:t>has not been given access to those algorithms in order to evaluate their impact and compliance</w:t>
      </w:r>
      <w:r w:rsidR="00E33CB3" w:rsidRPr="00A713A5">
        <w:rPr>
          <w:rFonts w:ascii="Gilroy" w:hAnsi="Gilroy"/>
          <w:lang w:val="en-GB"/>
        </w:rPr>
        <w:t>,</w:t>
      </w:r>
      <w:r w:rsidR="00E33CB3" w:rsidRPr="00A713A5">
        <w:rPr>
          <w:rFonts w:ascii="Gilroy" w:hAnsi="Gilroy"/>
        </w:rPr>
        <w:footnoteReference w:id="12"/>
      </w:r>
      <w:r w:rsidR="00E33CB3" w:rsidRPr="00A713A5">
        <w:rPr>
          <w:rFonts w:ascii="Gilroy" w:hAnsi="Gilroy"/>
          <w:lang w:val="en-GB"/>
        </w:rPr>
        <w:t xml:space="preserve"> and without proper regard to the CJEU and Conseil </w:t>
      </w:r>
      <w:proofErr w:type="spellStart"/>
      <w:r w:rsidR="00E33CB3" w:rsidRPr="00A713A5">
        <w:rPr>
          <w:rFonts w:ascii="Gilroy" w:hAnsi="Gilroy"/>
          <w:lang w:val="en-GB"/>
        </w:rPr>
        <w:t>d’État</w:t>
      </w:r>
      <w:proofErr w:type="spellEnd"/>
      <w:r w:rsidR="00E33CB3" w:rsidRPr="00A713A5">
        <w:rPr>
          <w:rFonts w:ascii="Gilroy" w:hAnsi="Gilroy"/>
          <w:lang w:val="en-GB"/>
        </w:rPr>
        <w:t xml:space="preserve"> rulings</w:t>
      </w:r>
      <w:r w:rsidR="00041765" w:rsidRPr="00A713A5">
        <w:rPr>
          <w:rFonts w:ascii="Gilroy" w:hAnsi="Gilroy"/>
          <w:lang w:val="en-GB"/>
        </w:rPr>
        <w:t>;</w:t>
      </w:r>
    </w:p>
    <w:p w14:paraId="6CA9FA18" w14:textId="44333BAA" w:rsidR="00D32BC9" w:rsidRPr="00A713A5" w:rsidRDefault="00D32BC9" w:rsidP="007B1F46">
      <w:pPr>
        <w:numPr>
          <w:ilvl w:val="0"/>
          <w:numId w:val="2"/>
        </w:numPr>
        <w:jc w:val="both"/>
        <w:rPr>
          <w:rFonts w:ascii="Gilroy" w:hAnsi="Gilroy"/>
          <w:lang w:val="en-GB"/>
        </w:rPr>
      </w:pPr>
      <w:r w:rsidRPr="00A713A5">
        <w:rPr>
          <w:rFonts w:ascii="Gilroy" w:hAnsi="Gilroy"/>
          <w:lang w:val="en-GB"/>
        </w:rPr>
        <w:t xml:space="preserve">extends the reach of such algorithms to catch </w:t>
      </w:r>
      <w:r w:rsidR="00A213E5" w:rsidRPr="00A713A5">
        <w:rPr>
          <w:rFonts w:ascii="Gilroy" w:hAnsi="Gilroy"/>
          <w:lang w:val="en-GB"/>
        </w:rPr>
        <w:t xml:space="preserve">the full URLs accessed by </w:t>
      </w:r>
      <w:r w:rsidRPr="00A713A5">
        <w:rPr>
          <w:rFonts w:ascii="Gilroy" w:hAnsi="Gilroy"/>
          <w:lang w:val="en-GB"/>
        </w:rPr>
        <w:t>Internet users</w:t>
      </w:r>
      <w:r w:rsidR="00A213E5" w:rsidRPr="00A713A5">
        <w:rPr>
          <w:rFonts w:ascii="Gilroy" w:hAnsi="Gilroy"/>
          <w:lang w:val="en-GB"/>
        </w:rPr>
        <w:t xml:space="preserve">, without additional </w:t>
      </w:r>
      <w:proofErr w:type="gramStart"/>
      <w:r w:rsidR="00A213E5" w:rsidRPr="00A713A5">
        <w:rPr>
          <w:rFonts w:ascii="Gilroy" w:hAnsi="Gilroy"/>
          <w:lang w:val="en-GB"/>
        </w:rPr>
        <w:t>safeguards</w:t>
      </w:r>
      <w:r w:rsidRPr="00A713A5">
        <w:rPr>
          <w:rFonts w:ascii="Gilroy" w:hAnsi="Gilroy"/>
          <w:lang w:val="en-GB"/>
        </w:rPr>
        <w:t>;</w:t>
      </w:r>
      <w:proofErr w:type="gramEnd"/>
    </w:p>
    <w:p w14:paraId="08ED5EDE" w14:textId="60218FC8" w:rsidR="00D3081D" w:rsidRPr="00A713A5" w:rsidRDefault="00327B41" w:rsidP="007B1F46">
      <w:pPr>
        <w:numPr>
          <w:ilvl w:val="0"/>
          <w:numId w:val="2"/>
        </w:numPr>
        <w:jc w:val="both"/>
        <w:rPr>
          <w:rFonts w:ascii="Gilroy" w:hAnsi="Gilroy"/>
          <w:lang w:val="en-GB"/>
        </w:rPr>
      </w:pPr>
      <w:r w:rsidRPr="00A713A5">
        <w:rPr>
          <w:rFonts w:ascii="Gilroy" w:hAnsi="Gilroy"/>
          <w:lang w:val="en-GB"/>
        </w:rPr>
        <w:t>allows</w:t>
      </w:r>
      <w:r w:rsidRPr="00A713A5">
        <w:rPr>
          <w:rFonts w:ascii="Gilroy" w:eastAsia="Times New Roman" w:hAnsi="Gilroy" w:cs="Times New Roman"/>
          <w:lang w:val="en-GB"/>
        </w:rPr>
        <w:t xml:space="preserve"> the s</w:t>
      </w:r>
      <w:r w:rsidR="00D3081D" w:rsidRPr="00A713A5">
        <w:rPr>
          <w:rFonts w:ascii="Gilroy" w:eastAsia="Times New Roman" w:hAnsi="Gilroy" w:cs="Times New Roman"/>
          <w:lang w:val="en-GB"/>
        </w:rPr>
        <w:t xml:space="preserve">ystematic retention of data </w:t>
      </w:r>
      <w:r w:rsidR="00A213E5" w:rsidRPr="00A713A5">
        <w:rPr>
          <w:rFonts w:ascii="Gilroy" w:eastAsia="Times New Roman" w:hAnsi="Gilroy" w:cs="Times New Roman"/>
          <w:lang w:val="en-GB"/>
        </w:rPr>
        <w:t>without</w:t>
      </w:r>
      <w:r w:rsidR="00D3081D" w:rsidRPr="00A713A5">
        <w:rPr>
          <w:rFonts w:ascii="Gilroy" w:eastAsia="Times New Roman" w:hAnsi="Gilroy" w:cs="Times New Roman"/>
          <w:lang w:val="en-GB"/>
        </w:rPr>
        <w:t xml:space="preserve"> judicial authorisation and oversight</w:t>
      </w:r>
      <w:r w:rsidRPr="00A713A5">
        <w:rPr>
          <w:rFonts w:ascii="Gilroy" w:eastAsia="Times New Roman" w:hAnsi="Gilroy" w:cs="Times New Roman"/>
          <w:lang w:val="en-GB"/>
        </w:rPr>
        <w:t>.</w:t>
      </w:r>
    </w:p>
    <w:p w14:paraId="32CCD10F" w14:textId="77777777" w:rsidR="00327B41" w:rsidRPr="00A713A5" w:rsidRDefault="00327B41" w:rsidP="007B1F46">
      <w:pPr>
        <w:spacing w:line="240" w:lineRule="auto"/>
        <w:jc w:val="both"/>
        <w:rPr>
          <w:rFonts w:ascii="Gilroy" w:eastAsia="Times New Roman" w:hAnsi="Gilroy" w:cs="Times New Roman"/>
          <w:lang w:val="en-GB"/>
        </w:rPr>
      </w:pPr>
    </w:p>
    <w:p w14:paraId="5521B9B9" w14:textId="10DF5B8B" w:rsidR="0056475C" w:rsidRPr="00A713A5" w:rsidRDefault="0056475C" w:rsidP="007B1F46">
      <w:pPr>
        <w:spacing w:line="240" w:lineRule="auto"/>
        <w:jc w:val="both"/>
        <w:rPr>
          <w:rFonts w:ascii="Gilroy" w:eastAsia="Times New Roman" w:hAnsi="Gilroy" w:cs="Times New Roman"/>
          <w:lang w:val="en-GB"/>
        </w:rPr>
      </w:pPr>
      <w:r w:rsidRPr="00A713A5">
        <w:rPr>
          <w:rFonts w:ascii="Gilroy" w:eastAsia="Times New Roman" w:hAnsi="Gilroy" w:cs="Times New Roman"/>
          <w:lang w:val="en-GB"/>
        </w:rPr>
        <w:lastRenderedPageBreak/>
        <w:t>PI</w:t>
      </w:r>
      <w:r w:rsidR="00327B41" w:rsidRPr="00A713A5">
        <w:rPr>
          <w:rFonts w:ascii="Gilroy" w:eastAsia="Times New Roman" w:hAnsi="Gilroy" w:cs="Times New Roman"/>
          <w:lang w:val="en-GB"/>
        </w:rPr>
        <w:t xml:space="preserve"> recommends to the UN Human Rights Committee to </w:t>
      </w:r>
      <w:r w:rsidR="00AF5CEC" w:rsidRPr="00A713A5">
        <w:rPr>
          <w:rFonts w:ascii="Gilroy" w:eastAsia="Times New Roman" w:hAnsi="Gilroy" w:cs="Times New Roman"/>
          <w:lang w:val="en-GB"/>
        </w:rPr>
        <w:t xml:space="preserve">ask </w:t>
      </w:r>
      <w:r w:rsidR="00327B41" w:rsidRPr="00A713A5">
        <w:rPr>
          <w:rFonts w:ascii="Gilroy" w:eastAsia="Times New Roman" w:hAnsi="Gilroy" w:cs="Times New Roman"/>
          <w:lang w:val="en-GB"/>
        </w:rPr>
        <w:t xml:space="preserve">the French government to </w:t>
      </w:r>
      <w:r w:rsidR="00AF5CEC" w:rsidRPr="00A713A5">
        <w:rPr>
          <w:rFonts w:ascii="Gilroy" w:eastAsia="Times New Roman" w:hAnsi="Gilroy" w:cs="Times New Roman"/>
          <w:lang w:val="en-GB"/>
        </w:rPr>
        <w:t xml:space="preserve">provide information on how the existing surveillance legislation and the Draft Intelligence Bill </w:t>
      </w:r>
      <w:r w:rsidR="00327B41" w:rsidRPr="00A713A5">
        <w:rPr>
          <w:rFonts w:ascii="Gilroy" w:eastAsia="Times New Roman" w:hAnsi="Gilroy" w:cs="Times New Roman"/>
          <w:lang w:val="en-GB"/>
        </w:rPr>
        <w:t>comply with the requirements of the ICCPR</w:t>
      </w:r>
      <w:r w:rsidR="00AF5CEC" w:rsidRPr="00A713A5">
        <w:rPr>
          <w:rFonts w:ascii="Gilroy" w:eastAsia="Times New Roman" w:hAnsi="Gilroy" w:cs="Times New Roman"/>
          <w:lang w:val="en-GB"/>
        </w:rPr>
        <w:t xml:space="preserve"> and </w:t>
      </w:r>
      <w:proofErr w:type="gramStart"/>
      <w:r w:rsidR="00AF5CEC" w:rsidRPr="00A713A5">
        <w:rPr>
          <w:rFonts w:ascii="Gilroy" w:eastAsia="Times New Roman" w:hAnsi="Gilroy" w:cs="Times New Roman"/>
          <w:lang w:val="en-GB"/>
        </w:rPr>
        <w:t>take into account</w:t>
      </w:r>
      <w:proofErr w:type="gramEnd"/>
      <w:r w:rsidR="00AF5CEC" w:rsidRPr="00A713A5">
        <w:rPr>
          <w:rFonts w:ascii="Gilroy" w:eastAsia="Times New Roman" w:hAnsi="Gilroy" w:cs="Times New Roman"/>
          <w:lang w:val="en-GB"/>
        </w:rPr>
        <w:t xml:space="preserve"> the concerns expressed by the Committee in its previous concluding observations as well as those contained in the recent CJEU judgment</w:t>
      </w:r>
      <w:r w:rsidR="00327B41" w:rsidRPr="00A713A5">
        <w:rPr>
          <w:rFonts w:ascii="Gilroy" w:eastAsia="Times New Roman" w:hAnsi="Gilroy" w:cs="Times New Roman"/>
          <w:lang w:val="en-GB"/>
        </w:rPr>
        <w:t xml:space="preserve">. </w:t>
      </w:r>
    </w:p>
    <w:p w14:paraId="4084C38E" w14:textId="4FD92ECB" w:rsidR="00327B41" w:rsidRPr="00A713A5" w:rsidRDefault="00327B41" w:rsidP="007B1F46">
      <w:pPr>
        <w:jc w:val="both"/>
        <w:rPr>
          <w:rFonts w:ascii="Gilroy" w:hAnsi="Gilroy"/>
          <w:lang w:val="en-GB"/>
        </w:rPr>
      </w:pPr>
    </w:p>
    <w:p w14:paraId="59E50540" w14:textId="1752F7C4" w:rsidR="00A1158C" w:rsidRPr="00A713A5" w:rsidRDefault="00A1158C" w:rsidP="007B1F46">
      <w:pPr>
        <w:jc w:val="both"/>
        <w:rPr>
          <w:rFonts w:ascii="Gilroy" w:hAnsi="Gilroy"/>
          <w:b/>
          <w:bCs/>
          <w:lang w:val="en-GB"/>
        </w:rPr>
      </w:pPr>
      <w:r w:rsidRPr="00A713A5">
        <w:rPr>
          <w:rFonts w:ascii="Gilroy" w:hAnsi="Gilroy"/>
          <w:b/>
          <w:bCs/>
          <w:lang w:val="en-GB"/>
        </w:rPr>
        <w:t>New proposed security law</w:t>
      </w:r>
      <w:r w:rsidR="00203CF5" w:rsidRPr="00A713A5">
        <w:rPr>
          <w:rFonts w:ascii="Gilroy" w:hAnsi="Gilroy"/>
          <w:b/>
          <w:bCs/>
          <w:lang w:val="en-GB"/>
        </w:rPr>
        <w:t xml:space="preserve"> and use of facial recognition technolog</w:t>
      </w:r>
      <w:r w:rsidR="007A1D2F">
        <w:rPr>
          <w:rFonts w:ascii="Gilroy" w:hAnsi="Gilroy"/>
          <w:b/>
          <w:bCs/>
          <w:lang w:val="en-GB"/>
        </w:rPr>
        <w:t>y</w:t>
      </w:r>
    </w:p>
    <w:p w14:paraId="2A0E6E19" w14:textId="41485078" w:rsidR="00A1158C" w:rsidRPr="00A713A5" w:rsidRDefault="00A1158C" w:rsidP="007B1F46">
      <w:pPr>
        <w:jc w:val="both"/>
        <w:rPr>
          <w:rFonts w:ascii="Gilroy" w:hAnsi="Gilroy"/>
          <w:lang w:val="en-GB"/>
        </w:rPr>
      </w:pPr>
    </w:p>
    <w:p w14:paraId="21A85CA6" w14:textId="2D05F1F7" w:rsidR="00203CF5" w:rsidRPr="00A713A5" w:rsidRDefault="00A1158C" w:rsidP="000975B1">
      <w:pPr>
        <w:spacing w:line="240" w:lineRule="auto"/>
        <w:rPr>
          <w:rFonts w:ascii="Gilroy" w:eastAsia="Times New Roman" w:hAnsi="Gilroy" w:cs="Times New Roman"/>
          <w:lang w:val="en-GB"/>
        </w:rPr>
      </w:pPr>
      <w:proofErr w:type="gramStart"/>
      <w:r w:rsidRPr="00A713A5">
        <w:rPr>
          <w:rFonts w:ascii="Gilroy" w:hAnsi="Gilroy"/>
          <w:lang w:val="en-GB"/>
        </w:rPr>
        <w:t>In</w:t>
      </w:r>
      <w:proofErr w:type="gramEnd"/>
      <w:r w:rsidR="000975B1" w:rsidRPr="00A713A5">
        <w:rPr>
          <w:rFonts w:ascii="Gilroy" w:hAnsi="Gilroy"/>
          <w:lang w:val="en-GB"/>
        </w:rPr>
        <w:t xml:space="preserve"> 24 November 2020, the National Assembly passed</w:t>
      </w:r>
      <w:r w:rsidRPr="00A713A5">
        <w:rPr>
          <w:rFonts w:ascii="Gilroy" w:hAnsi="Gilroy"/>
          <w:lang w:val="en-GB"/>
        </w:rPr>
        <w:t xml:space="preserve"> </w:t>
      </w:r>
      <w:r w:rsidR="000975B1" w:rsidRPr="00A713A5">
        <w:rPr>
          <w:rFonts w:ascii="Gilroy" w:hAnsi="Gilroy"/>
          <w:lang w:val="en-GB"/>
        </w:rPr>
        <w:t>a new</w:t>
      </w:r>
      <w:r w:rsidRPr="00A713A5">
        <w:rPr>
          <w:rFonts w:ascii="Gilroy" w:hAnsi="Gilroy"/>
          <w:lang w:val="en-GB"/>
        </w:rPr>
        <w:t xml:space="preserve"> proposed </w:t>
      </w:r>
      <w:r w:rsidR="000975B1" w:rsidRPr="00A713A5">
        <w:rPr>
          <w:rFonts w:ascii="Gilroy" w:hAnsi="Gilroy"/>
          <w:lang w:val="en-GB"/>
        </w:rPr>
        <w:t>s</w:t>
      </w:r>
      <w:r w:rsidRPr="00A713A5">
        <w:rPr>
          <w:rFonts w:ascii="Gilroy" w:hAnsi="Gilroy"/>
          <w:lang w:val="en-GB"/>
        </w:rPr>
        <w:t xml:space="preserve">ecurity </w:t>
      </w:r>
      <w:r w:rsidR="000975B1" w:rsidRPr="00A713A5">
        <w:rPr>
          <w:rFonts w:ascii="Gilroy" w:hAnsi="Gilroy"/>
          <w:lang w:val="en-GB"/>
        </w:rPr>
        <w:t xml:space="preserve">law </w:t>
      </w:r>
      <w:r w:rsidRPr="00A713A5">
        <w:rPr>
          <w:rFonts w:ascii="Gilroy" w:hAnsi="Gilroy"/>
          <w:lang w:val="en-GB"/>
        </w:rPr>
        <w:t>(</w:t>
      </w:r>
      <w:r w:rsidR="00A713A5">
        <w:rPr>
          <w:rFonts w:ascii="Gilroy" w:eastAsia="Times New Roman" w:hAnsi="Gilroy" w:cs="Times New Roman"/>
          <w:lang w:val="en-GB"/>
        </w:rPr>
        <w:t xml:space="preserve">known as </w:t>
      </w:r>
      <w:r w:rsidR="000975B1" w:rsidRPr="00A713A5">
        <w:rPr>
          <w:rFonts w:ascii="Gilroy" w:eastAsia="Times New Roman" w:hAnsi="Gilroy" w:cs="Times New Roman"/>
          <w:lang w:val="en-GB"/>
        </w:rPr>
        <w:t>«</w:t>
      </w:r>
      <w:r w:rsidR="000975B1" w:rsidRPr="00A713A5">
        <w:rPr>
          <w:rFonts w:ascii="Times New Roman" w:eastAsia="Times New Roman" w:hAnsi="Times New Roman" w:cs="Times New Roman"/>
          <w:lang w:val="en-GB"/>
        </w:rPr>
        <w:t> </w:t>
      </w:r>
      <w:proofErr w:type="spellStart"/>
      <w:r w:rsidR="000975B1" w:rsidRPr="00A713A5">
        <w:rPr>
          <w:rFonts w:ascii="Gilroy" w:eastAsia="Times New Roman" w:hAnsi="Gilroy" w:cs="Times New Roman"/>
          <w:lang w:val="en-GB"/>
        </w:rPr>
        <w:t>loi</w:t>
      </w:r>
      <w:proofErr w:type="spellEnd"/>
      <w:r w:rsidR="000975B1" w:rsidRPr="00A713A5">
        <w:rPr>
          <w:rFonts w:ascii="Gilroy" w:eastAsia="Times New Roman" w:hAnsi="Gilroy" w:cs="Times New Roman"/>
          <w:lang w:val="en-GB"/>
        </w:rPr>
        <w:t xml:space="preserve"> </w:t>
      </w:r>
      <w:r w:rsidRPr="00A713A5">
        <w:rPr>
          <w:rFonts w:ascii="Gilroy" w:hAnsi="Gilroy"/>
          <w:lang w:val="en-GB"/>
        </w:rPr>
        <w:t xml:space="preserve">sur la </w:t>
      </w:r>
      <w:proofErr w:type="spellStart"/>
      <w:r w:rsidRPr="00A713A5">
        <w:rPr>
          <w:rFonts w:ascii="Gilroy" w:hAnsi="Gilroy"/>
          <w:lang w:val="en-GB"/>
        </w:rPr>
        <w:t>sécurité</w:t>
      </w:r>
      <w:proofErr w:type="spellEnd"/>
      <w:r w:rsidRPr="00A713A5">
        <w:rPr>
          <w:rFonts w:ascii="Gilroy" w:hAnsi="Gilroy"/>
          <w:lang w:val="en-GB"/>
        </w:rPr>
        <w:t xml:space="preserve"> </w:t>
      </w:r>
      <w:proofErr w:type="spellStart"/>
      <w:r w:rsidRPr="00A713A5">
        <w:rPr>
          <w:rFonts w:ascii="Gilroy" w:hAnsi="Gilroy"/>
          <w:lang w:val="en-GB"/>
        </w:rPr>
        <w:t>globale</w:t>
      </w:r>
      <w:proofErr w:type="spellEnd"/>
      <w:r w:rsidR="000975B1" w:rsidRPr="00A713A5">
        <w:rPr>
          <w:rFonts w:ascii="Gilroy" w:hAnsi="Gilroy"/>
          <w:lang w:val="en-GB"/>
        </w:rPr>
        <w:t xml:space="preserve"> </w:t>
      </w:r>
      <w:r w:rsidR="000975B1" w:rsidRPr="00A713A5">
        <w:rPr>
          <w:rFonts w:ascii="Gilroy" w:eastAsia="Times New Roman" w:hAnsi="Gilroy" w:cs="Times New Roman"/>
          <w:lang w:val="en-GB"/>
        </w:rPr>
        <w:t>»</w:t>
      </w:r>
      <w:r w:rsidR="00A713A5">
        <w:rPr>
          <w:rFonts w:ascii="Gilroy" w:eastAsia="Times New Roman" w:hAnsi="Gilroy" w:cs="Times New Roman"/>
          <w:lang w:val="en-GB"/>
        </w:rPr>
        <w:t>, thereafter “proposed Security Bill”</w:t>
      </w:r>
      <w:r w:rsidRPr="00A713A5">
        <w:rPr>
          <w:rFonts w:ascii="Gilroy" w:hAnsi="Gilroy"/>
          <w:lang w:val="en-GB"/>
        </w:rPr>
        <w:t>).</w:t>
      </w:r>
      <w:r w:rsidRPr="00A713A5">
        <w:rPr>
          <w:rStyle w:val="FootnoteReference"/>
          <w:rFonts w:ascii="Gilroy" w:hAnsi="Gilroy"/>
          <w:lang w:val="en-GB"/>
        </w:rPr>
        <w:footnoteReference w:id="13"/>
      </w:r>
      <w:r w:rsidRPr="00A713A5">
        <w:rPr>
          <w:rFonts w:ascii="Gilroy" w:hAnsi="Gilroy"/>
          <w:lang w:val="en-GB"/>
        </w:rPr>
        <w:t xml:space="preserve"> </w:t>
      </w:r>
      <w:r w:rsidR="00203CF5" w:rsidRPr="00A713A5">
        <w:rPr>
          <w:rFonts w:ascii="Gilroy" w:hAnsi="Gilroy"/>
          <w:lang w:val="en-GB"/>
        </w:rPr>
        <w:t xml:space="preserve">On 15 May 2021, the French </w:t>
      </w:r>
      <w:r w:rsidR="000975B1" w:rsidRPr="00A713A5">
        <w:rPr>
          <w:rFonts w:ascii="Gilroy" w:hAnsi="Gilroy"/>
          <w:lang w:val="en-GB"/>
        </w:rPr>
        <w:t>parliament</w:t>
      </w:r>
      <w:r w:rsidR="00203CF5" w:rsidRPr="00A713A5">
        <w:rPr>
          <w:rFonts w:ascii="Gilroy" w:hAnsi="Gilroy"/>
          <w:lang w:val="en-GB"/>
        </w:rPr>
        <w:t xml:space="preserve"> adopted the new</w:t>
      </w:r>
      <w:r w:rsidR="00A713A5">
        <w:rPr>
          <w:rFonts w:ascii="Gilroy" w:hAnsi="Gilroy"/>
          <w:lang w:val="en-GB"/>
        </w:rPr>
        <w:t xml:space="preserve"> Security</w:t>
      </w:r>
      <w:r w:rsidR="00203CF5" w:rsidRPr="00A713A5">
        <w:rPr>
          <w:rFonts w:ascii="Gilroy" w:hAnsi="Gilroy"/>
          <w:lang w:val="en-GB"/>
        </w:rPr>
        <w:t xml:space="preserve"> Bill.</w:t>
      </w:r>
    </w:p>
    <w:p w14:paraId="58DBAA9B" w14:textId="77777777" w:rsidR="00203CF5" w:rsidRPr="00A713A5" w:rsidRDefault="00203CF5" w:rsidP="007B1F46">
      <w:pPr>
        <w:jc w:val="both"/>
        <w:rPr>
          <w:rFonts w:ascii="Gilroy" w:hAnsi="Gilroy"/>
          <w:lang w:val="en-GB"/>
        </w:rPr>
      </w:pPr>
    </w:p>
    <w:p w14:paraId="4408B876" w14:textId="192BCDE5" w:rsidR="000975B1" w:rsidRPr="00A713A5" w:rsidRDefault="00203CF5" w:rsidP="00203CF5">
      <w:pPr>
        <w:jc w:val="both"/>
        <w:rPr>
          <w:rFonts w:ascii="Gilroy" w:hAnsi="Gilroy"/>
          <w:lang w:val="en-GB"/>
        </w:rPr>
      </w:pPr>
      <w:r w:rsidRPr="00A713A5">
        <w:rPr>
          <w:rFonts w:ascii="Gilroy" w:hAnsi="Gilroy"/>
          <w:lang w:val="en-GB"/>
        </w:rPr>
        <w:t xml:space="preserve">PI is concerned that the new </w:t>
      </w:r>
      <w:r w:rsidR="00A713A5">
        <w:rPr>
          <w:rFonts w:ascii="Gilroy" w:hAnsi="Gilroy"/>
          <w:lang w:val="en-GB"/>
        </w:rPr>
        <w:t xml:space="preserve">Security </w:t>
      </w:r>
      <w:r w:rsidRPr="00A713A5">
        <w:rPr>
          <w:rFonts w:ascii="Gilroy" w:hAnsi="Gilroy"/>
          <w:lang w:val="en-GB"/>
        </w:rPr>
        <w:t xml:space="preserve">Bill provides broad surveillance powers to the French authorities in violation among others of Article 17 of the ICCPR. Civil society actors have already expressed their concerns around the </w:t>
      </w:r>
      <w:r w:rsidR="00A713A5">
        <w:rPr>
          <w:rFonts w:ascii="Gilroy" w:hAnsi="Gilroy"/>
          <w:lang w:val="en-GB"/>
        </w:rPr>
        <w:t xml:space="preserve">Security </w:t>
      </w:r>
      <w:r w:rsidRPr="00A713A5">
        <w:rPr>
          <w:rFonts w:ascii="Gilroy" w:hAnsi="Gilroy"/>
          <w:lang w:val="en-GB"/>
        </w:rPr>
        <w:t>Bill</w:t>
      </w:r>
      <w:r w:rsidR="000975B1" w:rsidRPr="00A713A5">
        <w:rPr>
          <w:rFonts w:ascii="Gilroy" w:hAnsi="Gilroy"/>
          <w:lang w:val="en-GB"/>
        </w:rPr>
        <w:t xml:space="preserve"> whose adoption was followed by protests.</w:t>
      </w:r>
      <w:r w:rsidR="000975B1" w:rsidRPr="00A713A5">
        <w:rPr>
          <w:rStyle w:val="FootnoteReference"/>
          <w:rFonts w:ascii="Gilroy" w:hAnsi="Gilroy"/>
          <w:lang w:val="en-GB"/>
        </w:rPr>
        <w:footnoteReference w:id="14"/>
      </w:r>
      <w:r w:rsidR="000975B1" w:rsidRPr="00A713A5">
        <w:rPr>
          <w:rFonts w:ascii="Gilroy" w:hAnsi="Gilroy"/>
          <w:lang w:val="en-GB"/>
        </w:rPr>
        <w:t xml:space="preserve"> Among others, the law provides for:</w:t>
      </w:r>
    </w:p>
    <w:p w14:paraId="7B39F3F9" w14:textId="290FB65D" w:rsidR="000975B1" w:rsidRPr="00A713A5" w:rsidRDefault="000975B1" w:rsidP="000975B1">
      <w:pPr>
        <w:pStyle w:val="ListParagraph"/>
        <w:numPr>
          <w:ilvl w:val="0"/>
          <w:numId w:val="7"/>
        </w:numPr>
        <w:jc w:val="both"/>
        <w:rPr>
          <w:rFonts w:ascii="Gilroy" w:hAnsi="Gilroy"/>
          <w:lang w:val="en-GB"/>
        </w:rPr>
      </w:pPr>
      <w:r w:rsidRPr="00A713A5">
        <w:rPr>
          <w:rFonts w:ascii="Gilroy" w:hAnsi="Gilroy"/>
          <w:lang w:val="en-GB"/>
        </w:rPr>
        <w:t>surveillance by drones equipped with cameras in almost all public spaces above borders, in any public space to observe violations, but also during demonstrations (Article 22). Filming the population using mobile cameras is very intrusive: to allow such an invasion of privacy, the authorities must prove that the use of drones is necessary and that it is proportionate.</w:t>
      </w:r>
    </w:p>
    <w:p w14:paraId="11DD82F7" w14:textId="77777777" w:rsidR="00CD4ABA" w:rsidRPr="00A713A5" w:rsidRDefault="000975B1" w:rsidP="000975B1">
      <w:pPr>
        <w:pStyle w:val="ListParagraph"/>
        <w:numPr>
          <w:ilvl w:val="0"/>
          <w:numId w:val="7"/>
        </w:numPr>
        <w:jc w:val="both"/>
        <w:rPr>
          <w:rFonts w:ascii="Gilroy" w:hAnsi="Gilroy"/>
          <w:lang w:val="en-GB"/>
        </w:rPr>
      </w:pPr>
      <w:r w:rsidRPr="00A713A5">
        <w:rPr>
          <w:rFonts w:ascii="Gilroy" w:hAnsi="Gilroy"/>
          <w:lang w:val="en-GB"/>
        </w:rPr>
        <w:t xml:space="preserve">generalized use of pedestrian cameras and on-board cameras (in law enforcement cars) and </w:t>
      </w:r>
      <w:proofErr w:type="gramStart"/>
      <w:r w:rsidRPr="00A713A5">
        <w:rPr>
          <w:rFonts w:ascii="Gilroy" w:hAnsi="Gilroy"/>
          <w:lang w:val="en-GB"/>
        </w:rPr>
        <w:t>opens up</w:t>
      </w:r>
      <w:proofErr w:type="gramEnd"/>
      <w:r w:rsidRPr="00A713A5">
        <w:rPr>
          <w:rFonts w:ascii="Gilroy" w:hAnsi="Gilroy"/>
          <w:lang w:val="en-GB"/>
        </w:rPr>
        <w:t xml:space="preserve"> access to CCTV images to many officers (Article 21). </w:t>
      </w:r>
    </w:p>
    <w:p w14:paraId="1568CAA2" w14:textId="574B0BC5" w:rsidR="00CD4ABA" w:rsidRPr="00A713A5" w:rsidRDefault="000975B1" w:rsidP="00CD4ABA">
      <w:pPr>
        <w:pStyle w:val="ListParagraph"/>
        <w:numPr>
          <w:ilvl w:val="0"/>
          <w:numId w:val="7"/>
        </w:numPr>
        <w:jc w:val="both"/>
        <w:rPr>
          <w:rFonts w:ascii="Gilroy" w:hAnsi="Gilroy"/>
          <w:lang w:val="en-GB"/>
        </w:rPr>
      </w:pPr>
      <w:r w:rsidRPr="00A713A5">
        <w:rPr>
          <w:rFonts w:ascii="Gilroy" w:hAnsi="Gilroy"/>
          <w:lang w:val="en-GB"/>
        </w:rPr>
        <w:t xml:space="preserve">does not prohibit the use of facial recognition. </w:t>
      </w:r>
      <w:r w:rsidR="00CD4ABA" w:rsidRPr="00A713A5">
        <w:rPr>
          <w:rFonts w:ascii="Gilroy" w:hAnsi="Gilroy"/>
          <w:lang w:val="en-GB"/>
        </w:rPr>
        <w:t xml:space="preserve">PI is concerned that in its latest version the Bill specifically bans the use of facial recognition technologies on drones by the police but does not mention anything as to the use of the same technologies on bodycams or CCTVs. In France, the use of facial recognition devices only for images filmed by drones have been prohibited. However, such a prohibition does not appear in the provisions governing the use of pedestrian cameras or on-board cameras. A specific bill on FRT should be examined by Parliament soon and calls for a large experimentation. </w:t>
      </w:r>
      <w:r w:rsidR="00CD4ABA" w:rsidRPr="00A713A5">
        <w:rPr>
          <w:rFonts w:ascii="Gilroy" w:hAnsi="Gilroy"/>
          <w:vertAlign w:val="superscript"/>
          <w:lang w:val="en-GB"/>
        </w:rPr>
        <w:footnoteReference w:id="15"/>
      </w:r>
    </w:p>
    <w:p w14:paraId="48A05F1E" w14:textId="77777777" w:rsidR="000975B1" w:rsidRPr="00A713A5" w:rsidRDefault="000975B1" w:rsidP="000975B1">
      <w:pPr>
        <w:jc w:val="both"/>
        <w:rPr>
          <w:rFonts w:ascii="Gilroy" w:hAnsi="Gilroy"/>
          <w:lang w:val="en-GB"/>
        </w:rPr>
      </w:pPr>
    </w:p>
    <w:p w14:paraId="12E7B031" w14:textId="5F0FE58D" w:rsidR="000975B1" w:rsidRPr="00A713A5" w:rsidRDefault="000975B1" w:rsidP="000975B1">
      <w:pPr>
        <w:jc w:val="both"/>
        <w:rPr>
          <w:rFonts w:ascii="Gilroy" w:hAnsi="Gilroy"/>
          <w:lang w:val="en-GB"/>
        </w:rPr>
      </w:pPr>
      <w:r w:rsidRPr="00A713A5">
        <w:rPr>
          <w:rFonts w:ascii="Gilroy" w:hAnsi="Gilroy"/>
          <w:lang w:val="en-GB"/>
        </w:rPr>
        <w:t>PI is concerned that such broad surveillance powers coupled with facial recognition would amount to mass surveillance.</w:t>
      </w:r>
      <w:r w:rsidRPr="00A713A5">
        <w:rPr>
          <w:rStyle w:val="FootnoteReference"/>
          <w:rFonts w:ascii="Gilroy" w:hAnsi="Gilroy"/>
          <w:lang w:val="en-GB"/>
        </w:rPr>
        <w:footnoteReference w:id="16"/>
      </w:r>
      <w:r w:rsidRPr="00A713A5">
        <w:rPr>
          <w:rFonts w:ascii="Gilroy" w:hAnsi="Gilroy"/>
          <w:lang w:val="en-GB"/>
        </w:rPr>
        <w:t xml:space="preserve"> It would amount to an unlawful interference with the right to privacy. </w:t>
      </w:r>
    </w:p>
    <w:p w14:paraId="74A5122E" w14:textId="77777777" w:rsidR="00203CF5" w:rsidRPr="00A713A5" w:rsidRDefault="00203CF5" w:rsidP="00203CF5">
      <w:pPr>
        <w:jc w:val="both"/>
        <w:rPr>
          <w:rFonts w:ascii="Gilroy" w:hAnsi="Gilroy"/>
          <w:lang w:val="en-GB"/>
        </w:rPr>
      </w:pPr>
    </w:p>
    <w:p w14:paraId="4185D0C3" w14:textId="6D81D4C6" w:rsidR="00203CF5" w:rsidRPr="00A713A5" w:rsidRDefault="00203CF5" w:rsidP="00203CF5">
      <w:pPr>
        <w:jc w:val="both"/>
        <w:rPr>
          <w:rFonts w:ascii="Gilroy" w:hAnsi="Gilroy"/>
          <w:lang w:val="en-GB"/>
        </w:rPr>
      </w:pPr>
      <w:r w:rsidRPr="00A713A5">
        <w:rPr>
          <w:rFonts w:ascii="Gilroy" w:hAnsi="Gilroy"/>
          <w:lang w:val="en-GB"/>
        </w:rPr>
        <w:t>On 21 May 2021, the Constitutional court (</w:t>
      </w:r>
      <w:r w:rsidR="000975B1" w:rsidRPr="00A713A5">
        <w:rPr>
          <w:rFonts w:ascii="Gilroy" w:hAnsi="Gilroy"/>
          <w:lang w:val="en-GB"/>
        </w:rPr>
        <w:t>C</w:t>
      </w:r>
      <w:r w:rsidRPr="00A713A5">
        <w:rPr>
          <w:rFonts w:ascii="Gilroy" w:hAnsi="Gilroy"/>
          <w:lang w:val="en-GB"/>
        </w:rPr>
        <w:t xml:space="preserve">onseil </w:t>
      </w:r>
      <w:proofErr w:type="spellStart"/>
      <w:r w:rsidR="007A1D2F">
        <w:rPr>
          <w:rFonts w:ascii="Gilroy" w:hAnsi="Gilroy"/>
          <w:lang w:val="en-GB"/>
        </w:rPr>
        <w:t>C</w:t>
      </w:r>
      <w:r w:rsidRPr="00A713A5">
        <w:rPr>
          <w:rFonts w:ascii="Gilroy" w:hAnsi="Gilroy"/>
          <w:lang w:val="en-GB"/>
        </w:rPr>
        <w:t>onstitutionnel</w:t>
      </w:r>
      <w:proofErr w:type="spellEnd"/>
      <w:r w:rsidRPr="00A713A5">
        <w:rPr>
          <w:rFonts w:ascii="Gilroy" w:hAnsi="Gilroy"/>
          <w:lang w:val="en-GB"/>
        </w:rPr>
        <w:t>) has already found numerous of the proposed provisions</w:t>
      </w:r>
      <w:r w:rsidR="00A713A5">
        <w:rPr>
          <w:rFonts w:ascii="Gilroy" w:hAnsi="Gilroy"/>
          <w:lang w:val="en-GB"/>
        </w:rPr>
        <w:t xml:space="preserve"> of the Security Bill</w:t>
      </w:r>
      <w:r w:rsidRPr="00A713A5">
        <w:rPr>
          <w:rFonts w:ascii="Gilroy" w:hAnsi="Gilroy"/>
          <w:lang w:val="en-GB"/>
        </w:rPr>
        <w:t xml:space="preserve"> to be against the right to privacy,</w:t>
      </w:r>
      <w:r w:rsidR="00CD4ABA" w:rsidRPr="00A713A5">
        <w:rPr>
          <w:rStyle w:val="FootnoteReference"/>
          <w:rFonts w:ascii="Gilroy" w:hAnsi="Gilroy"/>
          <w:lang w:val="en-GB"/>
        </w:rPr>
        <w:footnoteReference w:id="17"/>
      </w:r>
      <w:r w:rsidRPr="00A713A5">
        <w:rPr>
          <w:rFonts w:ascii="Gilroy" w:hAnsi="Gilroy"/>
          <w:lang w:val="en-GB"/>
        </w:rPr>
        <w:t xml:space="preserve"> </w:t>
      </w:r>
      <w:r w:rsidRPr="00A713A5">
        <w:rPr>
          <w:rFonts w:ascii="Gilroy" w:hAnsi="Gilroy"/>
          <w:lang w:val="en-GB"/>
        </w:rPr>
        <w:lastRenderedPageBreak/>
        <w:t>but</w:t>
      </w:r>
      <w:r w:rsidR="00CD4ABA" w:rsidRPr="00A713A5">
        <w:rPr>
          <w:rFonts w:ascii="Gilroy" w:hAnsi="Gilroy"/>
          <w:lang w:val="en-GB"/>
        </w:rPr>
        <w:t xml:space="preserve"> PI is still concerned that</w:t>
      </w:r>
      <w:r w:rsidRPr="00A713A5">
        <w:rPr>
          <w:rFonts w:ascii="Gilroy" w:hAnsi="Gilroy"/>
          <w:lang w:val="en-GB"/>
        </w:rPr>
        <w:t xml:space="preserve"> </w:t>
      </w:r>
      <w:r w:rsidR="00CD4ABA" w:rsidRPr="00A713A5">
        <w:rPr>
          <w:rFonts w:ascii="Gilroy" w:hAnsi="Gilroy"/>
          <w:lang w:val="en-GB"/>
        </w:rPr>
        <w:t>certain invasive powers</w:t>
      </w:r>
      <w:r w:rsidRPr="00A713A5">
        <w:rPr>
          <w:rFonts w:ascii="Gilroy" w:hAnsi="Gilroy"/>
          <w:lang w:val="en-GB"/>
        </w:rPr>
        <w:t xml:space="preserve"> are retained in some form </w:t>
      </w:r>
      <w:proofErr w:type="gramStart"/>
      <w:r w:rsidRPr="00A713A5">
        <w:rPr>
          <w:rFonts w:ascii="Gilroy" w:hAnsi="Gilroy"/>
          <w:lang w:val="en-GB"/>
        </w:rPr>
        <w:t>and also</w:t>
      </w:r>
      <w:proofErr w:type="gramEnd"/>
      <w:r w:rsidRPr="00A713A5">
        <w:rPr>
          <w:rFonts w:ascii="Gilroy" w:hAnsi="Gilroy"/>
          <w:lang w:val="en-GB"/>
        </w:rPr>
        <w:t xml:space="preserve"> it remains to be seen how the French government will implement the recent judgment.</w:t>
      </w:r>
    </w:p>
    <w:p w14:paraId="21B0C1EF" w14:textId="77777777" w:rsidR="00203CF5" w:rsidRPr="00A713A5" w:rsidRDefault="00203CF5" w:rsidP="00203CF5">
      <w:pPr>
        <w:jc w:val="both"/>
        <w:rPr>
          <w:rFonts w:ascii="Gilroy" w:hAnsi="Gilroy"/>
          <w:lang w:val="en-GB"/>
        </w:rPr>
      </w:pPr>
    </w:p>
    <w:p w14:paraId="77464517" w14:textId="3B2CAD21" w:rsidR="00CD4ABA" w:rsidRPr="00A713A5" w:rsidRDefault="00CD4ABA" w:rsidP="00CD4ABA">
      <w:pPr>
        <w:spacing w:line="240" w:lineRule="auto"/>
        <w:jc w:val="both"/>
        <w:rPr>
          <w:rFonts w:ascii="Gilroy" w:eastAsia="Times New Roman" w:hAnsi="Gilroy" w:cs="Times New Roman"/>
          <w:lang w:val="en-GB"/>
        </w:rPr>
      </w:pPr>
      <w:r w:rsidRPr="00A713A5">
        <w:rPr>
          <w:rFonts w:ascii="Gilroy" w:eastAsia="Times New Roman" w:hAnsi="Gilroy" w:cs="Times New Roman"/>
          <w:lang w:val="en-GB"/>
        </w:rPr>
        <w:t>PI recommends to the UN Human Rights Committee to ask the French government to address the issues raised by the newly proposed bills and to provide information:</w:t>
      </w:r>
    </w:p>
    <w:p w14:paraId="03A30008" w14:textId="77777777" w:rsidR="007A1D2F" w:rsidRPr="007A1D2F" w:rsidRDefault="007A1D2F" w:rsidP="007A1D2F">
      <w:pPr>
        <w:pStyle w:val="ListParagraph"/>
        <w:numPr>
          <w:ilvl w:val="0"/>
          <w:numId w:val="10"/>
        </w:numPr>
        <w:jc w:val="both"/>
        <w:rPr>
          <w:rFonts w:ascii="Gilroy" w:eastAsia="Times New Roman" w:hAnsi="Gilroy" w:cs="Times New Roman"/>
          <w:lang w:val="en-GB"/>
        </w:rPr>
      </w:pPr>
      <w:r w:rsidRPr="007A1D2F">
        <w:rPr>
          <w:rFonts w:ascii="Gilroy" w:eastAsia="Times New Roman" w:hAnsi="Gilroy" w:cs="Times New Roman"/>
          <w:lang w:val="en-GB"/>
        </w:rPr>
        <w:t xml:space="preserve">on how the proposed security law draft will be amended following with recent opinion by the “Conseil </w:t>
      </w:r>
      <w:proofErr w:type="spellStart"/>
      <w:r w:rsidRPr="007A1D2F">
        <w:rPr>
          <w:rFonts w:ascii="Gilroy" w:eastAsia="Times New Roman" w:hAnsi="Gilroy" w:cs="Times New Roman"/>
          <w:lang w:val="en-GB"/>
        </w:rPr>
        <w:t>Constitutionnel</w:t>
      </w:r>
      <w:proofErr w:type="spellEnd"/>
      <w:r w:rsidRPr="007A1D2F">
        <w:rPr>
          <w:rFonts w:ascii="Gilroy" w:eastAsia="Times New Roman" w:hAnsi="Gilroy" w:cs="Times New Roman"/>
          <w:lang w:val="en-GB"/>
        </w:rPr>
        <w:t xml:space="preserve">” and to ensure compliance with the requirements of the ICCPR. </w:t>
      </w:r>
    </w:p>
    <w:p w14:paraId="1F44D813" w14:textId="77777777" w:rsidR="007A1D2F" w:rsidRPr="007A1D2F" w:rsidRDefault="007A1D2F" w:rsidP="007A1D2F">
      <w:pPr>
        <w:pStyle w:val="ListParagraph"/>
        <w:numPr>
          <w:ilvl w:val="0"/>
          <w:numId w:val="10"/>
        </w:numPr>
        <w:jc w:val="both"/>
        <w:rPr>
          <w:rFonts w:ascii="Gilroy" w:eastAsia="Times New Roman" w:hAnsi="Gilroy" w:cs="Times New Roman"/>
          <w:lang w:val="en-GB"/>
        </w:rPr>
      </w:pPr>
      <w:r w:rsidRPr="007A1D2F">
        <w:rPr>
          <w:rFonts w:ascii="Gilroy" w:eastAsia="Times New Roman" w:hAnsi="Gilroy" w:cs="Times New Roman"/>
          <w:lang w:val="en-GB"/>
        </w:rPr>
        <w:t>about the upcoming regulation that may further the use of facial recognition technologies, posing serious risks for the protection of the right to privacy under the ICCPR.</w:t>
      </w:r>
    </w:p>
    <w:p w14:paraId="25156820" w14:textId="77777777" w:rsidR="00A1158C" w:rsidRPr="00A713A5" w:rsidRDefault="00A1158C" w:rsidP="007B1F46">
      <w:pPr>
        <w:jc w:val="both"/>
        <w:rPr>
          <w:rFonts w:ascii="Gilroy" w:hAnsi="Gilroy"/>
          <w:lang w:val="en-GB"/>
        </w:rPr>
      </w:pPr>
    </w:p>
    <w:p w14:paraId="006489CB" w14:textId="6B6AF256" w:rsidR="00EE29FD" w:rsidRPr="00A713A5" w:rsidRDefault="00EE29FD" w:rsidP="007B1F46">
      <w:pPr>
        <w:jc w:val="both"/>
        <w:rPr>
          <w:rFonts w:ascii="Gilroy" w:hAnsi="Gilroy"/>
          <w:b/>
          <w:bCs/>
          <w:lang w:val="en-GB"/>
        </w:rPr>
      </w:pPr>
      <w:r w:rsidRPr="00A713A5">
        <w:rPr>
          <w:rFonts w:ascii="Gilroy" w:hAnsi="Gilroy"/>
          <w:b/>
          <w:bCs/>
          <w:lang w:val="en-GB"/>
        </w:rPr>
        <w:t>Correction of identification documents for trans</w:t>
      </w:r>
      <w:r w:rsidR="00A713A5">
        <w:rPr>
          <w:rFonts w:ascii="Gilroy" w:hAnsi="Gilroy"/>
          <w:b/>
          <w:bCs/>
          <w:lang w:val="en-GB"/>
        </w:rPr>
        <w:t>gender</w:t>
      </w:r>
      <w:r w:rsidRPr="00A713A5">
        <w:rPr>
          <w:rFonts w:ascii="Gilroy" w:hAnsi="Gilroy"/>
          <w:b/>
          <w:bCs/>
          <w:lang w:val="en-GB"/>
        </w:rPr>
        <w:t xml:space="preserve"> people</w:t>
      </w:r>
    </w:p>
    <w:p w14:paraId="5B2BFB64" w14:textId="77777777" w:rsidR="00EE29FD" w:rsidRPr="00A713A5" w:rsidRDefault="00EE29FD" w:rsidP="007B1F46">
      <w:pPr>
        <w:jc w:val="both"/>
        <w:rPr>
          <w:rFonts w:ascii="Gilroy" w:hAnsi="Gilroy"/>
          <w:lang w:val="en-GB"/>
        </w:rPr>
      </w:pPr>
    </w:p>
    <w:p w14:paraId="5664A7A1" w14:textId="50A7500B" w:rsidR="00EE29FD" w:rsidRPr="00A713A5" w:rsidRDefault="00EE29FD" w:rsidP="007B1F46">
      <w:pPr>
        <w:jc w:val="both"/>
        <w:rPr>
          <w:rFonts w:ascii="Gilroy" w:hAnsi="Gilroy"/>
          <w:lang w:val="en-GB"/>
        </w:rPr>
      </w:pPr>
      <w:r w:rsidRPr="00A713A5">
        <w:rPr>
          <w:rFonts w:ascii="Gilroy" w:hAnsi="Gilroy"/>
          <w:lang w:val="en-GB"/>
        </w:rPr>
        <w:t>PI is concerned that the current procedure for trans</w:t>
      </w:r>
      <w:r w:rsidR="00A713A5">
        <w:rPr>
          <w:rFonts w:ascii="Gilroy" w:hAnsi="Gilroy"/>
          <w:lang w:val="en-GB"/>
        </w:rPr>
        <w:t>gender</w:t>
      </w:r>
      <w:r w:rsidRPr="00A713A5">
        <w:rPr>
          <w:rFonts w:ascii="Gilroy" w:hAnsi="Gilroy"/>
          <w:lang w:val="en-GB"/>
        </w:rPr>
        <w:t xml:space="preserve"> people who wish to have their identification documents corrected to ensure they accurately reflect their gender expression and the name they use is lengthy and complex, often depend</w:t>
      </w:r>
      <w:r w:rsidR="00A713A5">
        <w:rPr>
          <w:rFonts w:ascii="Gilroy" w:hAnsi="Gilroy"/>
          <w:lang w:val="en-GB"/>
        </w:rPr>
        <w:t>e</w:t>
      </w:r>
      <w:r w:rsidRPr="00A713A5">
        <w:rPr>
          <w:rFonts w:ascii="Gilroy" w:hAnsi="Gilroy"/>
          <w:lang w:val="en-GB"/>
        </w:rPr>
        <w:t>nt on the discretion of different administrative employees and leaves trans</w:t>
      </w:r>
      <w:r w:rsidR="00A713A5">
        <w:rPr>
          <w:rFonts w:ascii="Gilroy" w:hAnsi="Gilroy"/>
          <w:lang w:val="en-GB"/>
        </w:rPr>
        <w:t>gender</w:t>
      </w:r>
      <w:r w:rsidRPr="00A713A5">
        <w:rPr>
          <w:rFonts w:ascii="Gilroy" w:hAnsi="Gilroy"/>
          <w:lang w:val="en-GB"/>
        </w:rPr>
        <w:t xml:space="preserve"> people open to further risks and abuse. </w:t>
      </w:r>
    </w:p>
    <w:p w14:paraId="34F8B687" w14:textId="77777777" w:rsidR="00EE29FD" w:rsidRPr="00A713A5" w:rsidRDefault="00EE29FD" w:rsidP="007B1F46">
      <w:pPr>
        <w:jc w:val="both"/>
        <w:rPr>
          <w:rFonts w:ascii="Gilroy" w:hAnsi="Gilroy"/>
          <w:lang w:val="en-GB"/>
        </w:rPr>
      </w:pPr>
    </w:p>
    <w:p w14:paraId="2C06F190" w14:textId="4FC28B07" w:rsidR="00EE29FD" w:rsidRPr="00A713A5" w:rsidRDefault="00EE29FD" w:rsidP="007B1F46">
      <w:pPr>
        <w:jc w:val="both"/>
        <w:rPr>
          <w:rFonts w:ascii="Gilroy" w:hAnsi="Gilroy"/>
          <w:lang w:val="en-GB"/>
        </w:rPr>
      </w:pPr>
      <w:r w:rsidRPr="00A713A5">
        <w:rPr>
          <w:rFonts w:ascii="Gilroy" w:hAnsi="Gilroy"/>
          <w:lang w:val="en-GB"/>
        </w:rPr>
        <w:t>The procedure involves two separate processes, one for correction of the person’s name and one for the correction of their gender.</w:t>
      </w:r>
      <w:r w:rsidRPr="00A713A5">
        <w:rPr>
          <w:rStyle w:val="FootnoteReference"/>
          <w:rFonts w:ascii="Gilroy" w:hAnsi="Gilroy"/>
          <w:lang w:val="en-GB"/>
        </w:rPr>
        <w:footnoteReference w:id="18"/>
      </w:r>
      <w:r w:rsidRPr="00A713A5">
        <w:rPr>
          <w:rFonts w:ascii="Gilroy" w:hAnsi="Gilroy"/>
          <w:lang w:val="en-GB"/>
        </w:rPr>
        <w:t xml:space="preserve"> And as a person undertakes each, the</w:t>
      </w:r>
      <w:r w:rsidR="00A713A5">
        <w:rPr>
          <w:rFonts w:ascii="Gilroy" w:hAnsi="Gilroy"/>
          <w:lang w:val="en-GB"/>
        </w:rPr>
        <w:t>re</w:t>
      </w:r>
      <w:r w:rsidRPr="00A713A5">
        <w:rPr>
          <w:rFonts w:ascii="Gilroy" w:hAnsi="Gilroy"/>
          <w:lang w:val="en-GB"/>
        </w:rPr>
        <w:t xml:space="preserve"> are barriers. In the case of the name change there is a need to justify the legitimate interest of their request as well as the need to demonstrate a “prolonged and constant use of the name”. Changing the gender then requires an authorisation of a judge and to make a request separately for every type of document (ID card, social security, taxes, diplomas, etc.), except the birth certificate which is automatically updated. Both processes can also result in a time-consuming and costly process of appeal if the request is denied, and there is also a general lack of harmonisation of the process across France.</w:t>
      </w:r>
      <w:r w:rsidRPr="00A713A5">
        <w:rPr>
          <w:rStyle w:val="FootnoteReference"/>
          <w:rFonts w:ascii="Gilroy" w:hAnsi="Gilroy"/>
          <w:lang w:val="en-GB"/>
        </w:rPr>
        <w:footnoteReference w:id="19"/>
      </w:r>
    </w:p>
    <w:p w14:paraId="20FE87A6" w14:textId="77777777" w:rsidR="00EE29FD" w:rsidRPr="00A713A5" w:rsidRDefault="00EE29FD" w:rsidP="007B1F46">
      <w:pPr>
        <w:jc w:val="both"/>
        <w:rPr>
          <w:rFonts w:ascii="Gilroy" w:hAnsi="Gilroy"/>
          <w:lang w:val="en-GB"/>
        </w:rPr>
      </w:pPr>
    </w:p>
    <w:p w14:paraId="216DD95D" w14:textId="2264FA2D" w:rsidR="00EE29FD" w:rsidRPr="00A713A5" w:rsidRDefault="00EE29FD" w:rsidP="007B1F46">
      <w:pPr>
        <w:jc w:val="both"/>
        <w:rPr>
          <w:rFonts w:ascii="Gilroy" w:hAnsi="Gilroy"/>
          <w:lang w:val="en-GB"/>
        </w:rPr>
      </w:pPr>
      <w:r w:rsidRPr="00A713A5">
        <w:rPr>
          <w:rFonts w:ascii="Gilroy" w:hAnsi="Gilroy"/>
          <w:lang w:val="en-GB"/>
        </w:rPr>
        <w:t>PI is concerned that:</w:t>
      </w:r>
    </w:p>
    <w:p w14:paraId="16DE66F8" w14:textId="77777777" w:rsidR="0070015B" w:rsidRPr="00A713A5" w:rsidRDefault="0070015B" w:rsidP="007B1F46">
      <w:pPr>
        <w:jc w:val="both"/>
        <w:rPr>
          <w:rFonts w:ascii="Gilroy" w:hAnsi="Gilroy"/>
          <w:lang w:val="en-GB"/>
        </w:rPr>
      </w:pPr>
    </w:p>
    <w:p w14:paraId="57228CDE" w14:textId="3D2CB15E" w:rsidR="00EE29FD" w:rsidRPr="00A713A5" w:rsidRDefault="00EE29FD" w:rsidP="007B1F46">
      <w:pPr>
        <w:numPr>
          <w:ilvl w:val="0"/>
          <w:numId w:val="2"/>
        </w:numPr>
        <w:jc w:val="both"/>
        <w:rPr>
          <w:rFonts w:ascii="Gilroy" w:hAnsi="Gilroy"/>
          <w:lang w:val="en-GB"/>
        </w:rPr>
      </w:pPr>
      <w:r w:rsidRPr="00A713A5">
        <w:rPr>
          <w:rFonts w:ascii="Gilroy" w:hAnsi="Gilroy"/>
          <w:lang w:val="en-GB"/>
        </w:rPr>
        <w:t>This procedure places trans</w:t>
      </w:r>
      <w:r w:rsidR="00A713A5">
        <w:rPr>
          <w:rFonts w:ascii="Gilroy" w:hAnsi="Gilroy"/>
          <w:lang w:val="en-GB"/>
        </w:rPr>
        <w:t>gender</w:t>
      </w:r>
      <w:r w:rsidRPr="00A713A5">
        <w:rPr>
          <w:rFonts w:ascii="Gilroy" w:hAnsi="Gilroy"/>
          <w:lang w:val="en-GB"/>
        </w:rPr>
        <w:t xml:space="preserve"> people at the mercy of the decision of civil registry employees</w:t>
      </w:r>
      <w:r w:rsidR="00E75514" w:rsidRPr="00A713A5">
        <w:rPr>
          <w:rFonts w:ascii="Gilroy" w:hAnsi="Gilroy"/>
          <w:lang w:val="en-GB"/>
        </w:rPr>
        <w:t xml:space="preserve"> given reports from trans activists </w:t>
      </w:r>
      <w:r w:rsidRPr="00A713A5">
        <w:rPr>
          <w:rFonts w:ascii="Gilroy" w:hAnsi="Gilroy"/>
          <w:lang w:val="en-GB"/>
        </w:rPr>
        <w:t>suggesting that there are different applications of the procedures from one town to another</w:t>
      </w:r>
      <w:r w:rsidR="00E75514" w:rsidRPr="00A713A5">
        <w:rPr>
          <w:rFonts w:ascii="Gilroy" w:hAnsi="Gilroy"/>
          <w:lang w:val="en-GB"/>
        </w:rPr>
        <w:t>.</w:t>
      </w:r>
      <w:r w:rsidR="00E75514" w:rsidRPr="00A713A5">
        <w:rPr>
          <w:rStyle w:val="FootnoteReference"/>
          <w:rFonts w:ascii="Gilroy" w:hAnsi="Gilroy"/>
          <w:lang w:val="en-GB"/>
        </w:rPr>
        <w:footnoteReference w:id="20"/>
      </w:r>
    </w:p>
    <w:p w14:paraId="28CEE3FA" w14:textId="2BDFE120" w:rsidR="00EE29FD" w:rsidRPr="00A713A5" w:rsidRDefault="00EE29FD" w:rsidP="007B1F46">
      <w:pPr>
        <w:numPr>
          <w:ilvl w:val="0"/>
          <w:numId w:val="2"/>
        </w:numPr>
        <w:jc w:val="both"/>
        <w:rPr>
          <w:rFonts w:ascii="Gilroy" w:hAnsi="Gilroy"/>
          <w:lang w:val="en-GB"/>
        </w:rPr>
      </w:pPr>
      <w:r w:rsidRPr="00A713A5">
        <w:rPr>
          <w:rFonts w:ascii="Gilroy" w:hAnsi="Gilroy"/>
          <w:lang w:val="en-GB"/>
        </w:rPr>
        <w:t>The length of the procedure implies that trans</w:t>
      </w:r>
      <w:r w:rsidR="00A713A5">
        <w:rPr>
          <w:rFonts w:ascii="Gilroy" w:hAnsi="Gilroy"/>
          <w:lang w:val="en-GB"/>
        </w:rPr>
        <w:t>gender</w:t>
      </w:r>
      <w:r w:rsidRPr="00A713A5">
        <w:rPr>
          <w:rFonts w:ascii="Gilroy" w:hAnsi="Gilroy"/>
          <w:lang w:val="en-GB"/>
        </w:rPr>
        <w:t xml:space="preserve"> people are exposed to the risks of not carrying an ID that reflects their identity for extended period</w:t>
      </w:r>
      <w:r w:rsidR="00A713A5">
        <w:rPr>
          <w:rFonts w:ascii="Gilroy" w:hAnsi="Gilroy"/>
          <w:lang w:val="en-GB"/>
        </w:rPr>
        <w:t>s</w:t>
      </w:r>
      <w:r w:rsidRPr="00A713A5">
        <w:rPr>
          <w:rFonts w:ascii="Gilroy" w:hAnsi="Gilroy"/>
          <w:lang w:val="en-GB"/>
        </w:rPr>
        <w:t xml:space="preserve"> of time, with implications for their access to health, education and their day-to-day life.</w:t>
      </w:r>
    </w:p>
    <w:p w14:paraId="240CBAEC" w14:textId="0686B5DB" w:rsidR="00EE29FD" w:rsidRPr="00A713A5" w:rsidRDefault="00EE29FD" w:rsidP="007B1F46">
      <w:pPr>
        <w:numPr>
          <w:ilvl w:val="0"/>
          <w:numId w:val="2"/>
        </w:numPr>
        <w:jc w:val="both"/>
        <w:rPr>
          <w:rFonts w:ascii="Gilroy" w:hAnsi="Gilroy"/>
          <w:lang w:val="en-GB"/>
        </w:rPr>
      </w:pPr>
      <w:r w:rsidRPr="00A713A5">
        <w:rPr>
          <w:rFonts w:ascii="Gilroy" w:hAnsi="Gilroy"/>
          <w:lang w:val="en-GB"/>
        </w:rPr>
        <w:lastRenderedPageBreak/>
        <w:t>The procedure also carries an impact on the well-being and mental health of trans</w:t>
      </w:r>
      <w:r w:rsidR="00A713A5">
        <w:rPr>
          <w:rFonts w:ascii="Gilroy" w:hAnsi="Gilroy"/>
          <w:lang w:val="en-GB"/>
        </w:rPr>
        <w:t xml:space="preserve">gender </w:t>
      </w:r>
      <w:r w:rsidRPr="00A713A5">
        <w:rPr>
          <w:rFonts w:ascii="Gilroy" w:hAnsi="Gilroy"/>
          <w:lang w:val="en-GB"/>
        </w:rPr>
        <w:t>people, whose gender dysphoria may be triggered by the absence of an ID that reflects their identity.</w:t>
      </w:r>
    </w:p>
    <w:p w14:paraId="25981172" w14:textId="77777777" w:rsidR="00EE29FD" w:rsidRPr="00A713A5" w:rsidRDefault="00EE29FD" w:rsidP="007B1F46">
      <w:pPr>
        <w:jc w:val="both"/>
        <w:rPr>
          <w:rFonts w:ascii="Gilroy" w:hAnsi="Gilroy"/>
          <w:lang w:val="en-GB"/>
        </w:rPr>
      </w:pPr>
    </w:p>
    <w:p w14:paraId="176BC60E" w14:textId="1DCF582B" w:rsidR="00EE29FD" w:rsidRPr="00A713A5" w:rsidRDefault="00EE29FD" w:rsidP="007B1F46">
      <w:pPr>
        <w:jc w:val="both"/>
        <w:rPr>
          <w:rFonts w:ascii="Gilroy" w:hAnsi="Gilroy"/>
          <w:lang w:val="en-GB"/>
        </w:rPr>
      </w:pPr>
      <w:r w:rsidRPr="00A713A5">
        <w:rPr>
          <w:rFonts w:ascii="Gilroy" w:hAnsi="Gilroy"/>
          <w:lang w:val="en-GB"/>
        </w:rPr>
        <w:t xml:space="preserve">PI </w:t>
      </w:r>
      <w:r w:rsidR="0025084A" w:rsidRPr="00A713A5">
        <w:rPr>
          <w:rFonts w:ascii="Gilroy" w:hAnsi="Gilroy"/>
          <w:lang w:val="en-GB"/>
        </w:rPr>
        <w:t>recommends</w:t>
      </w:r>
      <w:r w:rsidRPr="00A713A5">
        <w:rPr>
          <w:rFonts w:ascii="Gilroy" w:hAnsi="Gilroy"/>
          <w:lang w:val="en-GB"/>
        </w:rPr>
        <w:t xml:space="preserve"> the UN Human Rights Committee to include in the </w:t>
      </w:r>
      <w:proofErr w:type="spellStart"/>
      <w:r w:rsidRPr="00A713A5">
        <w:rPr>
          <w:rFonts w:ascii="Gilroy" w:hAnsi="Gilroy"/>
          <w:lang w:val="en-GB"/>
        </w:rPr>
        <w:t>LoIPR</w:t>
      </w:r>
      <w:proofErr w:type="spellEnd"/>
      <w:r w:rsidRPr="00A713A5">
        <w:rPr>
          <w:rFonts w:ascii="Gilroy" w:hAnsi="Gilroy"/>
          <w:lang w:val="en-GB"/>
        </w:rPr>
        <w:t xml:space="preserve"> the following:</w:t>
      </w:r>
    </w:p>
    <w:p w14:paraId="68125573" w14:textId="77777777" w:rsidR="0070015B" w:rsidRPr="00A713A5" w:rsidRDefault="0070015B" w:rsidP="007B1F46">
      <w:pPr>
        <w:jc w:val="both"/>
        <w:rPr>
          <w:rFonts w:ascii="Gilroy" w:hAnsi="Gilroy"/>
          <w:lang w:val="en-GB"/>
        </w:rPr>
      </w:pPr>
    </w:p>
    <w:p w14:paraId="1C99C428" w14:textId="2D22C037" w:rsidR="00EE29FD" w:rsidRPr="00A713A5" w:rsidRDefault="0070015B" w:rsidP="007B1F46">
      <w:pPr>
        <w:numPr>
          <w:ilvl w:val="0"/>
          <w:numId w:val="3"/>
        </w:numPr>
        <w:jc w:val="both"/>
        <w:rPr>
          <w:rFonts w:ascii="Gilroy" w:hAnsi="Gilroy"/>
          <w:lang w:val="en-GB"/>
        </w:rPr>
      </w:pPr>
      <w:r w:rsidRPr="00A713A5">
        <w:rPr>
          <w:rFonts w:ascii="Gilroy" w:hAnsi="Gilroy"/>
          <w:lang w:val="en-GB"/>
        </w:rPr>
        <w:t>When and how does</w:t>
      </w:r>
      <w:r w:rsidR="00EE29FD" w:rsidRPr="00A713A5">
        <w:rPr>
          <w:rFonts w:ascii="Gilroy" w:hAnsi="Gilroy"/>
          <w:lang w:val="en-GB"/>
        </w:rPr>
        <w:t xml:space="preserve"> France plan on</w:t>
      </w:r>
      <w:r w:rsidRPr="00A713A5">
        <w:rPr>
          <w:rFonts w:ascii="Gilroy" w:hAnsi="Gilroy"/>
          <w:lang w:val="en-GB"/>
        </w:rPr>
        <w:t xml:space="preserve"> updating the</w:t>
      </w:r>
      <w:r w:rsidR="00EE29FD" w:rsidRPr="00A713A5">
        <w:rPr>
          <w:rFonts w:ascii="Gilroy" w:hAnsi="Gilroy"/>
          <w:lang w:val="en-GB"/>
        </w:rPr>
        <w:t xml:space="preserve"> management of ID </w:t>
      </w:r>
      <w:r w:rsidRPr="00A713A5">
        <w:rPr>
          <w:rFonts w:ascii="Gilroy" w:hAnsi="Gilroy"/>
          <w:lang w:val="en-GB"/>
        </w:rPr>
        <w:t>procedure</w:t>
      </w:r>
      <w:r w:rsidR="00EE29FD" w:rsidRPr="00A713A5">
        <w:rPr>
          <w:rFonts w:ascii="Gilroy" w:hAnsi="Gilroy"/>
          <w:lang w:val="en-GB"/>
        </w:rPr>
        <w:t xml:space="preserve"> </w:t>
      </w:r>
      <w:r w:rsidRPr="00A713A5">
        <w:rPr>
          <w:rFonts w:ascii="Gilroy" w:hAnsi="Gilroy"/>
          <w:lang w:val="en-GB"/>
        </w:rPr>
        <w:t xml:space="preserve">to ensure it respects the rights of transgender people, in particular </w:t>
      </w:r>
      <w:proofErr w:type="gramStart"/>
      <w:r w:rsidRPr="00A713A5">
        <w:rPr>
          <w:rFonts w:ascii="Gilroy" w:hAnsi="Gilroy"/>
          <w:lang w:val="en-GB"/>
        </w:rPr>
        <w:t xml:space="preserve">in order </w:t>
      </w:r>
      <w:r w:rsidR="00EE29FD" w:rsidRPr="00A713A5">
        <w:rPr>
          <w:rFonts w:ascii="Gilroy" w:hAnsi="Gilroy"/>
          <w:lang w:val="en-GB"/>
        </w:rPr>
        <w:t>to</w:t>
      </w:r>
      <w:proofErr w:type="gramEnd"/>
      <w:r w:rsidR="00EE29FD" w:rsidRPr="00A713A5">
        <w:rPr>
          <w:rFonts w:ascii="Gilroy" w:hAnsi="Gilroy"/>
          <w:lang w:val="en-GB"/>
        </w:rPr>
        <w:t xml:space="preserve"> facilitate and quicken the correction of identification documents, for example by making it a purely declarative procedure?</w:t>
      </w:r>
    </w:p>
    <w:p w14:paraId="5206E76E" w14:textId="77777777" w:rsidR="00EE29FD" w:rsidRPr="00A713A5" w:rsidRDefault="00EE29FD" w:rsidP="007B1F46">
      <w:pPr>
        <w:numPr>
          <w:ilvl w:val="0"/>
          <w:numId w:val="3"/>
        </w:numPr>
        <w:jc w:val="both"/>
        <w:rPr>
          <w:rFonts w:ascii="Gilroy" w:hAnsi="Gilroy"/>
          <w:lang w:val="en-GB"/>
        </w:rPr>
      </w:pPr>
      <w:r w:rsidRPr="00A713A5">
        <w:rPr>
          <w:rFonts w:ascii="Gilroy" w:hAnsi="Gilroy"/>
          <w:lang w:val="en-GB"/>
        </w:rPr>
        <w:t>As gender markers are no longer featured on driving licenses in France, would France also consider following the decision of other countries in removing gender markers from ID cards altogether?</w:t>
      </w:r>
    </w:p>
    <w:p w14:paraId="615D9064" w14:textId="5D7925A4" w:rsidR="00615759" w:rsidRPr="00A713A5" w:rsidRDefault="00615759" w:rsidP="007B1F46">
      <w:pPr>
        <w:jc w:val="both"/>
        <w:rPr>
          <w:rFonts w:ascii="Gilroy" w:hAnsi="Gilroy"/>
          <w:lang w:val="en-GB"/>
        </w:rPr>
      </w:pPr>
    </w:p>
    <w:p w14:paraId="496888E5" w14:textId="45F8C9F4" w:rsidR="00327B41" w:rsidRPr="00A713A5" w:rsidRDefault="00327B41" w:rsidP="007B1F46">
      <w:pPr>
        <w:jc w:val="both"/>
        <w:rPr>
          <w:rFonts w:ascii="Gilroy" w:eastAsia="Times New Roman" w:hAnsi="Gilroy" w:cs="Times New Roman"/>
        </w:rPr>
      </w:pPr>
    </w:p>
    <w:p w14:paraId="746871BA" w14:textId="77777777" w:rsidR="00327B41" w:rsidRPr="00A713A5" w:rsidRDefault="00327B41" w:rsidP="007B1F46">
      <w:pPr>
        <w:jc w:val="both"/>
        <w:rPr>
          <w:rFonts w:ascii="Gilroy" w:hAnsi="Gilroy"/>
          <w:lang w:val="en-GB"/>
        </w:rPr>
      </w:pPr>
    </w:p>
    <w:sectPr w:rsidR="00327B41" w:rsidRPr="00A713A5">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72B0F" w14:textId="77777777" w:rsidR="00A62456" w:rsidRDefault="00A62456" w:rsidP="00650329">
      <w:pPr>
        <w:spacing w:line="240" w:lineRule="auto"/>
      </w:pPr>
      <w:r>
        <w:separator/>
      </w:r>
    </w:p>
  </w:endnote>
  <w:endnote w:type="continuationSeparator" w:id="0">
    <w:p w14:paraId="6CF55AFE" w14:textId="77777777" w:rsidR="00A62456" w:rsidRDefault="00A62456" w:rsidP="00650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roy">
    <w:altName w:val="﷽﷽﷽﷽﷽﷽﷽﷽"/>
    <w:panose1 w:val="020B0604020202020204"/>
    <w:charset w:val="4D"/>
    <w:family w:val="auto"/>
    <w:notTrueType/>
    <w:pitch w:val="variable"/>
    <w:sig w:usb0="00000207" w:usb1="00000000" w:usb2="00000000" w:usb3="00000000" w:csb0="00000097" w:csb1="00000000"/>
  </w:font>
  <w:font w:name="Georgia">
    <w:altName w:val="﷽﷽﷽﷽﷽﷽﷽﷽"/>
    <w:panose1 w:val="02040502050405020303"/>
    <w:charset w:val="00"/>
    <w:family w:val="roman"/>
    <w:pitch w:val="variable"/>
    <w:sig w:usb0="00000287" w:usb1="00000000" w:usb2="00000000" w:usb3="00000000" w:csb0="0000009F" w:csb1="00000000"/>
  </w:font>
  <w:font w:name="Cambria">
    <w:altName w:val="Cambria"/>
    <w:panose1 w:val="020B060402020202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875975"/>
      <w:docPartObj>
        <w:docPartGallery w:val="Page Numbers (Bottom of Page)"/>
        <w:docPartUnique/>
      </w:docPartObj>
    </w:sdtPr>
    <w:sdtEndPr>
      <w:rPr>
        <w:rStyle w:val="PageNumber"/>
      </w:rPr>
    </w:sdtEndPr>
    <w:sdtContent>
      <w:p w14:paraId="65B0D850" w14:textId="353BE3B5" w:rsidR="0025084A" w:rsidRDefault="0025084A" w:rsidP="00504D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FD00" w14:textId="77777777" w:rsidR="0025084A" w:rsidRDefault="0025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4684140"/>
      <w:docPartObj>
        <w:docPartGallery w:val="Page Numbers (Bottom of Page)"/>
        <w:docPartUnique/>
      </w:docPartObj>
    </w:sdtPr>
    <w:sdtEndPr>
      <w:rPr>
        <w:rStyle w:val="PageNumber"/>
        <w:rFonts w:ascii="Gilroy" w:hAnsi="Gilroy"/>
      </w:rPr>
    </w:sdtEndPr>
    <w:sdtContent>
      <w:p w14:paraId="12C1096B" w14:textId="295C3E17" w:rsidR="0025084A" w:rsidRPr="0025084A" w:rsidRDefault="0025084A" w:rsidP="00504DB0">
        <w:pPr>
          <w:pStyle w:val="Footer"/>
          <w:framePr w:wrap="none" w:vAnchor="text" w:hAnchor="margin" w:xAlign="center" w:y="1"/>
          <w:rPr>
            <w:rStyle w:val="PageNumber"/>
            <w:rFonts w:ascii="Gilroy" w:hAnsi="Gilroy"/>
          </w:rPr>
        </w:pPr>
        <w:r w:rsidRPr="0025084A">
          <w:rPr>
            <w:rStyle w:val="PageNumber"/>
            <w:rFonts w:ascii="Gilroy" w:hAnsi="Gilroy"/>
          </w:rPr>
          <w:fldChar w:fldCharType="begin"/>
        </w:r>
        <w:r w:rsidRPr="0025084A">
          <w:rPr>
            <w:rStyle w:val="PageNumber"/>
            <w:rFonts w:ascii="Gilroy" w:hAnsi="Gilroy"/>
          </w:rPr>
          <w:instrText xml:space="preserve"> PAGE </w:instrText>
        </w:r>
        <w:r w:rsidRPr="0025084A">
          <w:rPr>
            <w:rStyle w:val="PageNumber"/>
            <w:rFonts w:ascii="Gilroy" w:hAnsi="Gilroy"/>
          </w:rPr>
          <w:fldChar w:fldCharType="separate"/>
        </w:r>
        <w:r w:rsidRPr="0025084A">
          <w:rPr>
            <w:rStyle w:val="PageNumber"/>
            <w:rFonts w:ascii="Gilroy" w:hAnsi="Gilroy"/>
            <w:noProof/>
          </w:rPr>
          <w:t>4</w:t>
        </w:r>
        <w:r w:rsidRPr="0025084A">
          <w:rPr>
            <w:rStyle w:val="PageNumber"/>
            <w:rFonts w:ascii="Gilroy" w:hAnsi="Gilroy"/>
          </w:rPr>
          <w:fldChar w:fldCharType="end"/>
        </w:r>
      </w:p>
    </w:sdtContent>
  </w:sdt>
  <w:p w14:paraId="49D1F095" w14:textId="77777777" w:rsidR="0025084A" w:rsidRPr="0025084A" w:rsidRDefault="0025084A">
    <w:pPr>
      <w:pStyle w:val="Footer"/>
      <w:rPr>
        <w:rFonts w:ascii="Gilroy" w:hAnsi="Gilroy"/>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EA2E2" w14:textId="77777777" w:rsidR="00A62456" w:rsidRDefault="00A62456" w:rsidP="00650329">
      <w:pPr>
        <w:spacing w:line="240" w:lineRule="auto"/>
      </w:pPr>
      <w:r>
        <w:separator/>
      </w:r>
    </w:p>
  </w:footnote>
  <w:footnote w:type="continuationSeparator" w:id="0">
    <w:p w14:paraId="702B90BA" w14:textId="77777777" w:rsidR="00A62456" w:rsidRDefault="00A62456" w:rsidP="00650329">
      <w:pPr>
        <w:spacing w:line="240" w:lineRule="auto"/>
      </w:pPr>
      <w:r>
        <w:continuationSeparator/>
      </w:r>
    </w:p>
  </w:footnote>
  <w:footnote w:id="1">
    <w:p w14:paraId="6244AEC4" w14:textId="5AE6D9CB" w:rsidR="00B64150" w:rsidRPr="00A713A5" w:rsidRDefault="00B64150">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LOI n° 2020-290 du 23 mars 2020 d'urgence pour faire face à l'épidémie de covid-19 (1), </w:t>
      </w:r>
      <w:hyperlink r:id="rId1" w:history="1">
        <w:r w:rsidRPr="00A713A5">
          <w:rPr>
            <w:rStyle w:val="Hyperlink"/>
            <w:rFonts w:ascii="Gilroy" w:hAnsi="Gilroy"/>
            <w:sz w:val="16"/>
            <w:szCs w:val="16"/>
            <w:lang w:val="fr-CH"/>
          </w:rPr>
          <w:t>https://www.legifrance.gouv.fr/loda/id/JORFTEXT000041746313/</w:t>
        </w:r>
      </w:hyperlink>
      <w:r w:rsidRPr="00A713A5">
        <w:rPr>
          <w:rFonts w:ascii="Gilroy" w:hAnsi="Gilroy"/>
          <w:sz w:val="16"/>
          <w:szCs w:val="16"/>
          <w:lang w:val="fr-CH"/>
        </w:rPr>
        <w:t xml:space="preserve"> </w:t>
      </w:r>
    </w:p>
  </w:footnote>
  <w:footnote w:id="2">
    <w:p w14:paraId="52777EAD" w14:textId="36E8FFC3" w:rsidR="00B64150" w:rsidRPr="00A713A5" w:rsidRDefault="00B64150">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Décret n° 2020-1257 du 14 octobre 2020 déclarant l'état d'urgence sanitaire, </w:t>
      </w:r>
      <w:hyperlink r:id="rId2" w:history="1">
        <w:r w:rsidRPr="00A713A5">
          <w:rPr>
            <w:rStyle w:val="Hyperlink"/>
            <w:rFonts w:ascii="Gilroy" w:hAnsi="Gilroy"/>
            <w:sz w:val="16"/>
            <w:szCs w:val="16"/>
            <w:lang w:val="fr-CH"/>
          </w:rPr>
          <w:t>https://www.legifrance.gouv.fr/loda/id/JORFTEXT000042424377?init=true&amp;page=1&amp;query=2020-1257&amp;searchField=ALL&amp;tab_selection=all</w:t>
        </w:r>
      </w:hyperlink>
      <w:r w:rsidRPr="00A713A5">
        <w:rPr>
          <w:rFonts w:ascii="Gilroy" w:hAnsi="Gilroy"/>
          <w:sz w:val="16"/>
          <w:szCs w:val="16"/>
          <w:lang w:val="fr-CH"/>
        </w:rPr>
        <w:t xml:space="preserve"> </w:t>
      </w:r>
    </w:p>
  </w:footnote>
  <w:footnote w:id="3">
    <w:p w14:paraId="5A220CFA" w14:textId="3466E411" w:rsidR="0056475C" w:rsidRPr="00A713A5" w:rsidRDefault="0056475C">
      <w:pPr>
        <w:pStyle w:val="FootnoteText"/>
        <w:rPr>
          <w:rFonts w:ascii="Gilroy" w:hAnsi="Gilroy"/>
          <w:sz w:val="16"/>
          <w:szCs w:val="16"/>
          <w:lang w:val="en-GB"/>
        </w:rPr>
      </w:pPr>
      <w:r w:rsidRPr="00A713A5">
        <w:rPr>
          <w:rStyle w:val="FootnoteReference"/>
          <w:rFonts w:ascii="Gilroy" w:hAnsi="Gilroy"/>
          <w:sz w:val="16"/>
          <w:szCs w:val="16"/>
        </w:rPr>
        <w:footnoteRef/>
      </w:r>
      <w:r w:rsidRPr="00A713A5">
        <w:rPr>
          <w:rFonts w:ascii="Gilroy" w:hAnsi="Gilroy"/>
          <w:sz w:val="16"/>
          <w:szCs w:val="16"/>
        </w:rPr>
        <w:t xml:space="preserve"> PI, Tracking the Global Response to COVID-19, </w:t>
      </w:r>
      <w:hyperlink r:id="rId3" w:history="1">
        <w:r w:rsidRPr="00A713A5">
          <w:rPr>
            <w:rStyle w:val="Hyperlink"/>
            <w:rFonts w:ascii="Gilroy" w:hAnsi="Gilroy"/>
            <w:sz w:val="16"/>
            <w:szCs w:val="16"/>
          </w:rPr>
          <w:t>https://pvcy.org/trackingglobalresponsefrance</w:t>
        </w:r>
      </w:hyperlink>
      <w:r w:rsidRPr="00A713A5">
        <w:rPr>
          <w:rFonts w:ascii="Gilroy" w:hAnsi="Gilroy"/>
          <w:sz w:val="16"/>
          <w:szCs w:val="16"/>
        </w:rPr>
        <w:t xml:space="preserve"> </w:t>
      </w:r>
    </w:p>
  </w:footnote>
  <w:footnote w:id="4">
    <w:p w14:paraId="60FFB84C" w14:textId="04EA8E60" w:rsidR="00A1158C" w:rsidRPr="00A713A5" w:rsidRDefault="00A1158C">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Commission Nationale de l’Informatique et des Libertés, Décision MED-2020-015 du 15 juillet 2020, </w:t>
      </w:r>
      <w:hyperlink r:id="rId4" w:history="1">
        <w:r w:rsidR="00CD4ABA" w:rsidRPr="00A713A5">
          <w:rPr>
            <w:rStyle w:val="Hyperlink"/>
            <w:rFonts w:ascii="Gilroy" w:hAnsi="Gilroy"/>
            <w:sz w:val="16"/>
            <w:szCs w:val="16"/>
            <w:lang w:val="fr-CH"/>
          </w:rPr>
          <w:t>https://www.legifrance.gouv.fr/cnil/id/CNILTEXT000042125452</w:t>
        </w:r>
      </w:hyperlink>
      <w:r w:rsidR="00CD4ABA" w:rsidRPr="00A713A5">
        <w:rPr>
          <w:rFonts w:ascii="Gilroy" w:hAnsi="Gilroy"/>
          <w:sz w:val="16"/>
          <w:szCs w:val="16"/>
          <w:lang w:val="fr-CH"/>
        </w:rPr>
        <w:t xml:space="preserve"> </w:t>
      </w:r>
    </w:p>
  </w:footnote>
  <w:footnote w:id="5">
    <w:p w14:paraId="18206AA1" w14:textId="6835BF73" w:rsidR="00CD4ABA" w:rsidRPr="00A713A5" w:rsidRDefault="00CD4ABA">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Conseil d'État, ordonnance du 18 mai 2020, nos 440442 et 440445, paragraphe 18, </w:t>
      </w:r>
      <w:hyperlink r:id="rId5" w:history="1">
        <w:r w:rsidRPr="00A713A5">
          <w:rPr>
            <w:rStyle w:val="Hyperlink"/>
            <w:rFonts w:ascii="Gilroy" w:hAnsi="Gilroy"/>
            <w:sz w:val="16"/>
            <w:szCs w:val="16"/>
            <w:lang w:val="fr-CH"/>
          </w:rPr>
          <w:t>https://www.conseil-etat.fr/ressources/decisions-contentieuses/dernieres-decisions-importantes/conseil-d-etat-18-mai-2020-surveillance-par-drones</w:t>
        </w:r>
      </w:hyperlink>
      <w:r w:rsidRPr="00A713A5">
        <w:rPr>
          <w:rFonts w:ascii="Gilroy" w:hAnsi="Gilroy"/>
          <w:sz w:val="16"/>
          <w:szCs w:val="16"/>
          <w:lang w:val="fr-CH"/>
        </w:rPr>
        <w:t xml:space="preserve"> </w:t>
      </w:r>
    </w:p>
  </w:footnote>
  <w:footnote w:id="6">
    <w:p w14:paraId="40A3D6F1" w14:textId="76C63B4A" w:rsidR="0025084A" w:rsidRPr="00A713A5" w:rsidRDefault="00DB6A4C" w:rsidP="00DB6A4C">
      <w:pPr>
        <w:pStyle w:val="FootnoteText"/>
        <w:rPr>
          <w:rFonts w:ascii="Gilroy" w:hAnsi="Gilroy"/>
          <w:sz w:val="16"/>
          <w:szCs w:val="16"/>
        </w:rPr>
      </w:pPr>
      <w:r w:rsidRPr="00A713A5">
        <w:rPr>
          <w:rStyle w:val="FootnoteReference"/>
          <w:rFonts w:ascii="Gilroy" w:hAnsi="Gilroy"/>
          <w:sz w:val="16"/>
          <w:szCs w:val="16"/>
        </w:rPr>
        <w:footnoteRef/>
      </w:r>
      <w:r w:rsidRPr="00A713A5">
        <w:rPr>
          <w:rFonts w:ascii="Gilroy" w:hAnsi="Gilroy"/>
          <w:sz w:val="16"/>
          <w:szCs w:val="16"/>
        </w:rPr>
        <w:t xml:space="preserve"> </w:t>
      </w:r>
      <w:r w:rsidR="00EE29FD" w:rsidRPr="00A713A5">
        <w:rPr>
          <w:rFonts w:ascii="Gilroy" w:hAnsi="Gilroy"/>
          <w:sz w:val="16"/>
          <w:szCs w:val="16"/>
        </w:rPr>
        <w:t>PI’s</w:t>
      </w:r>
      <w:r w:rsidR="00145689" w:rsidRPr="00A713A5">
        <w:rPr>
          <w:rFonts w:ascii="Gilroy" w:hAnsi="Gilroy"/>
          <w:sz w:val="16"/>
          <w:szCs w:val="16"/>
        </w:rPr>
        <w:t xml:space="preserve"> submission in advance of the consideration of the periodic report of France, Human Rights Committee, 114th Session, 29 June – 24 July 2015, </w:t>
      </w:r>
      <w:hyperlink r:id="rId6" w:history="1">
        <w:r w:rsidR="0025084A" w:rsidRPr="00A713A5">
          <w:rPr>
            <w:rStyle w:val="Hyperlink"/>
            <w:rFonts w:ascii="Gilroy" w:hAnsi="Gilroy"/>
            <w:sz w:val="16"/>
            <w:szCs w:val="16"/>
          </w:rPr>
          <w:t>https://tbinternet.ohchr.org/Treaties/CCPR/Shared%20Documents/FRA/INT_CCPR_CSS_FRA_20744_E.pdf</w:t>
        </w:r>
      </w:hyperlink>
      <w:r w:rsidR="0025084A" w:rsidRPr="00A713A5">
        <w:rPr>
          <w:rFonts w:ascii="Gilroy" w:hAnsi="Gilroy"/>
          <w:sz w:val="16"/>
          <w:szCs w:val="16"/>
        </w:rPr>
        <w:t xml:space="preserve"> </w:t>
      </w:r>
    </w:p>
  </w:footnote>
  <w:footnote w:id="7">
    <w:p w14:paraId="39C64C99" w14:textId="787BD5C6" w:rsidR="008A15C1" w:rsidRPr="00A713A5" w:rsidRDefault="008A15C1">
      <w:pPr>
        <w:pStyle w:val="FootnoteText"/>
        <w:rPr>
          <w:rFonts w:ascii="Gilroy" w:hAnsi="Gilroy"/>
          <w:sz w:val="16"/>
          <w:szCs w:val="16"/>
          <w:lang w:val="en-GB"/>
        </w:rPr>
      </w:pPr>
      <w:r w:rsidRPr="00A713A5">
        <w:rPr>
          <w:rStyle w:val="FootnoteReference"/>
          <w:rFonts w:ascii="Gilroy" w:hAnsi="Gilroy"/>
          <w:sz w:val="16"/>
          <w:szCs w:val="16"/>
        </w:rPr>
        <w:footnoteRef/>
      </w:r>
      <w:r w:rsidRPr="00A713A5">
        <w:rPr>
          <w:rFonts w:ascii="Gilroy" w:hAnsi="Gilroy"/>
          <w:sz w:val="16"/>
          <w:szCs w:val="16"/>
          <w:lang w:val="en-GB"/>
        </w:rPr>
        <w:t xml:space="preserve"> </w:t>
      </w:r>
      <w:r w:rsidR="00B73B97" w:rsidRPr="00A713A5">
        <w:rPr>
          <w:rFonts w:ascii="Gilroy" w:hAnsi="Gilroy"/>
          <w:sz w:val="16"/>
          <w:szCs w:val="16"/>
          <w:lang w:val="en-GB"/>
        </w:rPr>
        <w:t>Case</w:t>
      </w:r>
      <w:r w:rsidR="00636BB1" w:rsidRPr="00A713A5">
        <w:rPr>
          <w:rFonts w:ascii="Gilroy" w:hAnsi="Gilroy"/>
          <w:sz w:val="16"/>
          <w:szCs w:val="16"/>
          <w:lang w:val="en-GB"/>
        </w:rPr>
        <w:t>s</w:t>
      </w:r>
      <w:r w:rsidR="00B73B97" w:rsidRPr="00A713A5">
        <w:rPr>
          <w:rFonts w:ascii="Gilroy" w:hAnsi="Gilroy"/>
          <w:sz w:val="16"/>
          <w:szCs w:val="16"/>
          <w:lang w:val="en-GB"/>
        </w:rPr>
        <w:t xml:space="preserve"> C-</w:t>
      </w:r>
      <w:r w:rsidR="00636BB1" w:rsidRPr="00A713A5">
        <w:rPr>
          <w:rFonts w:ascii="Gilroy" w:hAnsi="Gilroy"/>
          <w:sz w:val="16"/>
          <w:szCs w:val="16"/>
          <w:lang w:val="en-GB"/>
        </w:rPr>
        <w:t>511/18 and C-512/18</w:t>
      </w:r>
      <w:r w:rsidR="00B73B97" w:rsidRPr="00A713A5">
        <w:rPr>
          <w:rFonts w:ascii="Gilroy" w:hAnsi="Gilroy"/>
          <w:sz w:val="16"/>
          <w:szCs w:val="16"/>
          <w:lang w:val="en-GB"/>
        </w:rPr>
        <w:t xml:space="preserve"> </w:t>
      </w:r>
      <w:r w:rsidR="00636BB1" w:rsidRPr="00A713A5">
        <w:rPr>
          <w:rFonts w:ascii="Gilroy" w:hAnsi="Gilroy"/>
          <w:i/>
          <w:iCs/>
          <w:sz w:val="16"/>
          <w:szCs w:val="16"/>
          <w:lang w:val="en-GB"/>
        </w:rPr>
        <w:t>La Quadrature du Net and Others</w:t>
      </w:r>
      <w:r w:rsidR="00B73B97" w:rsidRPr="00A713A5">
        <w:rPr>
          <w:rFonts w:ascii="Gilroy" w:hAnsi="Gilroy"/>
          <w:sz w:val="16"/>
          <w:szCs w:val="16"/>
          <w:lang w:val="en-GB"/>
        </w:rPr>
        <w:t xml:space="preserve"> [2020] </w:t>
      </w:r>
      <w:r w:rsidR="00636BB1" w:rsidRPr="00A713A5">
        <w:rPr>
          <w:rFonts w:ascii="Gilroy" w:hAnsi="Gilroy"/>
          <w:sz w:val="16"/>
          <w:szCs w:val="16"/>
          <w:lang w:val="en-GB"/>
        </w:rPr>
        <w:t>ECLI:EU:</w:t>
      </w:r>
      <w:proofErr w:type="gramStart"/>
      <w:r w:rsidR="00636BB1" w:rsidRPr="00A713A5">
        <w:rPr>
          <w:rFonts w:ascii="Gilroy" w:hAnsi="Gilroy"/>
          <w:sz w:val="16"/>
          <w:szCs w:val="16"/>
          <w:lang w:val="en-GB"/>
        </w:rPr>
        <w:t>C:2020:791</w:t>
      </w:r>
      <w:proofErr w:type="gramEnd"/>
      <w:r w:rsidR="00B73B97" w:rsidRPr="00A713A5">
        <w:rPr>
          <w:rFonts w:ascii="Gilroy" w:hAnsi="Gilroy"/>
          <w:i/>
          <w:iCs/>
          <w:sz w:val="16"/>
          <w:szCs w:val="16"/>
          <w:lang w:val="en-GB"/>
        </w:rPr>
        <w:t xml:space="preserve">. </w:t>
      </w:r>
      <w:r w:rsidR="00B73B97" w:rsidRPr="00A713A5">
        <w:rPr>
          <w:rFonts w:ascii="Gilroy" w:hAnsi="Gilroy"/>
          <w:sz w:val="16"/>
          <w:szCs w:val="16"/>
          <w:lang w:val="en-GB"/>
        </w:rPr>
        <w:t xml:space="preserve"> </w:t>
      </w:r>
      <w:hyperlink r:id="rId7" w:history="1">
        <w:r w:rsidR="00B73B97" w:rsidRPr="00A713A5">
          <w:rPr>
            <w:rStyle w:val="Hyperlink"/>
            <w:rFonts w:ascii="Gilroy" w:hAnsi="Gilroy"/>
            <w:sz w:val="16"/>
            <w:szCs w:val="16"/>
            <w:lang w:val="en-GB"/>
          </w:rPr>
          <w:t>https://privacyinternational.org/sites/default/files/2020-10/PI%20CJEU%20judgment.pdf</w:t>
        </w:r>
      </w:hyperlink>
      <w:r w:rsidR="00B73B97" w:rsidRPr="00A713A5">
        <w:rPr>
          <w:rFonts w:ascii="Gilroy" w:hAnsi="Gilroy"/>
          <w:sz w:val="16"/>
          <w:szCs w:val="16"/>
          <w:lang w:val="en-GB"/>
        </w:rPr>
        <w:t xml:space="preserve"> </w:t>
      </w:r>
    </w:p>
  </w:footnote>
  <w:footnote w:id="8">
    <w:p w14:paraId="2CA85EE3" w14:textId="683CD7A5" w:rsidR="00F87872" w:rsidRPr="00A713A5" w:rsidRDefault="008A15C1" w:rsidP="00F87872">
      <w:pPr>
        <w:pStyle w:val="FootnoteText"/>
        <w:rPr>
          <w:rFonts w:ascii="Gilroy" w:hAnsi="Gilroy"/>
          <w:sz w:val="16"/>
          <w:szCs w:val="16"/>
          <w:lang w:val="fr-FR"/>
        </w:rPr>
      </w:pPr>
      <w:r w:rsidRPr="00A713A5">
        <w:rPr>
          <w:rStyle w:val="FootnoteReference"/>
          <w:rFonts w:ascii="Gilroy" w:hAnsi="Gilroy"/>
          <w:sz w:val="16"/>
          <w:szCs w:val="16"/>
        </w:rPr>
        <w:footnoteRef/>
      </w:r>
      <w:r w:rsidRPr="00A713A5">
        <w:rPr>
          <w:rFonts w:ascii="Gilroy" w:hAnsi="Gilroy"/>
          <w:sz w:val="16"/>
          <w:szCs w:val="16"/>
          <w:lang w:val="fr-FR"/>
        </w:rPr>
        <w:t xml:space="preserve"> </w:t>
      </w:r>
      <w:r w:rsidR="00F87872" w:rsidRPr="00A713A5">
        <w:rPr>
          <w:rFonts w:ascii="Gilroy" w:hAnsi="Gilroy"/>
          <w:sz w:val="16"/>
          <w:szCs w:val="16"/>
          <w:lang w:val="fr-FR"/>
        </w:rPr>
        <w:t>Conseil d’État, décision du 21 avril 2021, n° 393099</w:t>
      </w:r>
      <w:r w:rsidR="00145689" w:rsidRPr="00A713A5">
        <w:rPr>
          <w:rFonts w:ascii="Gilroy" w:hAnsi="Gilroy"/>
          <w:sz w:val="16"/>
          <w:szCs w:val="16"/>
          <w:lang w:val="fr-FR"/>
        </w:rPr>
        <w:t>,</w:t>
      </w:r>
      <w:r w:rsidR="00333841" w:rsidRPr="00A713A5">
        <w:rPr>
          <w:rFonts w:ascii="Gilroy" w:hAnsi="Gilroy"/>
          <w:sz w:val="16"/>
          <w:szCs w:val="16"/>
          <w:lang w:val="fr-FR"/>
        </w:rPr>
        <w:t xml:space="preserve"> </w:t>
      </w:r>
      <w:r w:rsidR="00333841" w:rsidRPr="00A713A5">
        <w:rPr>
          <w:rFonts w:ascii="Gilroy" w:hAnsi="Gilroy"/>
          <w:sz w:val="16"/>
          <w:szCs w:val="16"/>
          <w:lang w:val="fr-CH"/>
        </w:rPr>
        <w:t>b/CE/</w:t>
      </w:r>
      <w:proofErr w:type="spellStart"/>
      <w:r w:rsidR="00333841" w:rsidRPr="00A713A5">
        <w:rPr>
          <w:rFonts w:ascii="Gilroy" w:hAnsi="Gilroy"/>
          <w:sz w:val="16"/>
          <w:szCs w:val="16"/>
          <w:lang w:val="fr-CH"/>
        </w:rPr>
        <w:t>decision</w:t>
      </w:r>
      <w:proofErr w:type="spellEnd"/>
      <w:r w:rsidR="00333841" w:rsidRPr="00A713A5">
        <w:rPr>
          <w:rFonts w:ascii="Gilroy" w:hAnsi="Gilroy"/>
          <w:sz w:val="16"/>
          <w:szCs w:val="16"/>
          <w:lang w:val="fr-CH"/>
        </w:rPr>
        <w:t>/2021-04-21/393099</w:t>
      </w:r>
    </w:p>
    <w:p w14:paraId="6DEE95D9" w14:textId="7464B85A" w:rsidR="008A15C1" w:rsidRPr="00A713A5" w:rsidRDefault="00573D01">
      <w:pPr>
        <w:pStyle w:val="FootnoteText"/>
        <w:rPr>
          <w:rFonts w:ascii="Gilroy" w:hAnsi="Gilroy"/>
          <w:sz w:val="16"/>
          <w:szCs w:val="16"/>
          <w:lang w:val="fr-CH"/>
        </w:rPr>
      </w:pPr>
      <w:hyperlink r:id="rId8" w:history="1">
        <w:r w:rsidR="00333841" w:rsidRPr="00A713A5">
          <w:rPr>
            <w:rStyle w:val="Hyperlink"/>
            <w:rFonts w:ascii="Gilroy" w:hAnsi="Gilroy"/>
            <w:sz w:val="16"/>
            <w:szCs w:val="16"/>
            <w:lang w:val="fr-FR"/>
          </w:rPr>
          <w:t>https://www.conseil-etat.fr/fr/arianeweb/CE/decision/2021-04-21/393099</w:t>
        </w:r>
      </w:hyperlink>
      <w:r w:rsidR="0025084A" w:rsidRPr="00A713A5">
        <w:rPr>
          <w:rFonts w:ascii="Gilroy" w:hAnsi="Gilroy"/>
          <w:sz w:val="16"/>
          <w:szCs w:val="16"/>
          <w:lang w:val="fr-FR"/>
        </w:rPr>
        <w:t xml:space="preserve"> </w:t>
      </w:r>
    </w:p>
  </w:footnote>
  <w:footnote w:id="9">
    <w:p w14:paraId="13C9CFEB" w14:textId="0187A41D" w:rsidR="007146E7" w:rsidRPr="00A713A5" w:rsidRDefault="007146E7">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w:t>
      </w:r>
      <w:r w:rsidR="00145689" w:rsidRPr="00A713A5">
        <w:rPr>
          <w:rFonts w:ascii="Gilroy" w:hAnsi="Gilroy"/>
          <w:sz w:val="16"/>
          <w:szCs w:val="16"/>
          <w:lang w:val="fr-CA"/>
        </w:rPr>
        <w:t>Projet de loi n</w:t>
      </w:r>
      <w:r w:rsidR="00145689" w:rsidRPr="00A713A5">
        <w:rPr>
          <w:rFonts w:ascii="Cambria" w:hAnsi="Cambria" w:cs="Cambria"/>
          <w:sz w:val="16"/>
          <w:szCs w:val="16"/>
          <w:lang w:val="fr-CA"/>
        </w:rPr>
        <w:t>º</w:t>
      </w:r>
      <w:r w:rsidR="00145689" w:rsidRPr="00A713A5">
        <w:rPr>
          <w:rFonts w:ascii="Gilroy" w:hAnsi="Gilroy"/>
          <w:sz w:val="16"/>
          <w:szCs w:val="16"/>
          <w:lang w:val="fr-CA"/>
        </w:rPr>
        <w:t xml:space="preserve"> 4104 relatif à la prévention d’actes de terrorisme et au renseignement</w:t>
      </w:r>
      <w:r w:rsidR="00145689" w:rsidRPr="00A713A5">
        <w:rPr>
          <w:rFonts w:ascii="Gilroy" w:hAnsi="Gilroy"/>
          <w:i/>
          <w:iCs/>
          <w:sz w:val="16"/>
          <w:szCs w:val="16"/>
          <w:lang w:val="fr-CA"/>
        </w:rPr>
        <w:t xml:space="preserve"> </w:t>
      </w:r>
      <w:r w:rsidR="00145689" w:rsidRPr="00A713A5">
        <w:rPr>
          <w:rFonts w:ascii="Gilroy" w:hAnsi="Gilroy"/>
          <w:sz w:val="16"/>
          <w:szCs w:val="16"/>
          <w:lang w:val="fr-CA"/>
        </w:rPr>
        <w:t xml:space="preserve">(déposé le 28 avril 2021), </w:t>
      </w:r>
      <w:hyperlink r:id="rId9" w:history="1">
        <w:r w:rsidR="0025084A" w:rsidRPr="00A713A5">
          <w:rPr>
            <w:rStyle w:val="Hyperlink"/>
            <w:rFonts w:ascii="Gilroy" w:hAnsi="Gilroy"/>
            <w:sz w:val="16"/>
            <w:szCs w:val="16"/>
            <w:lang w:val="fr-CH"/>
          </w:rPr>
          <w:t>https://www.assemblee-nationale.fr/dyn/15/textes/l15b4104_projet-loi</w:t>
        </w:r>
      </w:hyperlink>
      <w:r w:rsidR="0025084A" w:rsidRPr="00A713A5">
        <w:rPr>
          <w:rFonts w:ascii="Gilroy" w:hAnsi="Gilroy"/>
          <w:sz w:val="16"/>
          <w:szCs w:val="16"/>
          <w:lang w:val="fr-CH"/>
        </w:rPr>
        <w:t xml:space="preserve"> </w:t>
      </w:r>
    </w:p>
  </w:footnote>
  <w:footnote w:id="10">
    <w:p w14:paraId="3426E384" w14:textId="1FB742BC" w:rsidR="00333841" w:rsidRPr="00A713A5" w:rsidRDefault="00333841">
      <w:pPr>
        <w:pStyle w:val="FootnoteText"/>
        <w:rPr>
          <w:rFonts w:ascii="Gilroy" w:hAnsi="Gilroy"/>
          <w:sz w:val="16"/>
          <w:szCs w:val="16"/>
          <w:lang w:val="en-GB"/>
        </w:rPr>
      </w:pPr>
      <w:r w:rsidRPr="00A713A5">
        <w:rPr>
          <w:rStyle w:val="FootnoteReference"/>
          <w:rFonts w:ascii="Gilroy" w:hAnsi="Gilroy"/>
          <w:sz w:val="16"/>
          <w:szCs w:val="16"/>
        </w:rPr>
        <w:footnoteRef/>
      </w:r>
      <w:r w:rsidRPr="00A713A5">
        <w:rPr>
          <w:rFonts w:ascii="Gilroy" w:hAnsi="Gilroy"/>
          <w:sz w:val="16"/>
          <w:szCs w:val="16"/>
          <w:lang w:val="en-GB"/>
        </w:rPr>
        <w:t xml:space="preserve"> Human Rights Committee, </w:t>
      </w:r>
      <w:r w:rsidRPr="00A713A5">
        <w:rPr>
          <w:rFonts w:ascii="Gilroy" w:hAnsi="Gilroy"/>
          <w:sz w:val="16"/>
          <w:szCs w:val="16"/>
        </w:rPr>
        <w:t xml:space="preserve">Concluding observations on the fifth periodic report of France, 17 August 2015, CCPR/C/FRA/CO/5, </w:t>
      </w:r>
      <w:hyperlink r:id="rId10" w:history="1">
        <w:r w:rsidRPr="00A713A5">
          <w:rPr>
            <w:rStyle w:val="Hyperlink"/>
            <w:rFonts w:ascii="Gilroy" w:hAnsi="Gilroy"/>
            <w:sz w:val="16"/>
            <w:szCs w:val="16"/>
            <w:lang w:val="en-GB"/>
          </w:rPr>
          <w:t>https://tbinternet.ohchr.org/_layouts/15/treatybodyexternal/Download.aspx?symbolno=CCPR/C/FRA/CO/5&amp;Lang=En</w:t>
        </w:r>
      </w:hyperlink>
    </w:p>
  </w:footnote>
  <w:footnote w:id="11">
    <w:p w14:paraId="6291A607" w14:textId="2092DEC8" w:rsidR="00A213E5" w:rsidRPr="00A713A5" w:rsidRDefault="00A213E5">
      <w:pPr>
        <w:pStyle w:val="FootnoteText"/>
        <w:rPr>
          <w:rFonts w:ascii="Gilroy" w:hAnsi="Gilroy"/>
          <w:sz w:val="16"/>
          <w:szCs w:val="16"/>
          <w:lang w:val="fr-FR"/>
        </w:rPr>
      </w:pPr>
      <w:r w:rsidRPr="00A713A5">
        <w:rPr>
          <w:rStyle w:val="FootnoteReference"/>
          <w:rFonts w:ascii="Gilroy" w:hAnsi="Gilroy"/>
          <w:sz w:val="16"/>
          <w:szCs w:val="16"/>
        </w:rPr>
        <w:footnoteRef/>
      </w:r>
      <w:r w:rsidRPr="00A713A5">
        <w:rPr>
          <w:rFonts w:ascii="Gilroy" w:hAnsi="Gilroy"/>
          <w:sz w:val="16"/>
          <w:szCs w:val="16"/>
          <w:lang w:val="fr-FR"/>
        </w:rPr>
        <w:t xml:space="preserve"> Délégation Parlementaire Au Renseignement, «</w:t>
      </w:r>
      <w:r w:rsidRPr="00A713A5">
        <w:rPr>
          <w:rFonts w:ascii="Cambria" w:hAnsi="Cambria" w:cs="Cambria"/>
          <w:sz w:val="16"/>
          <w:szCs w:val="16"/>
          <w:lang w:val="fr-FR"/>
        </w:rPr>
        <w:t> </w:t>
      </w:r>
      <w:r w:rsidRPr="00A713A5">
        <w:rPr>
          <w:rFonts w:ascii="Gilroy" w:hAnsi="Gilroy"/>
          <w:sz w:val="16"/>
          <w:szCs w:val="16"/>
          <w:lang w:val="fr-FR"/>
        </w:rPr>
        <w:t>Rapport d'activité 2019-2020</w:t>
      </w:r>
      <w:r w:rsidRPr="00A713A5">
        <w:rPr>
          <w:rFonts w:ascii="Cambria" w:hAnsi="Cambria" w:cs="Cambria"/>
          <w:sz w:val="16"/>
          <w:szCs w:val="16"/>
          <w:lang w:val="fr-FR"/>
        </w:rPr>
        <w:t> </w:t>
      </w:r>
      <w:r w:rsidRPr="00A713A5">
        <w:rPr>
          <w:rFonts w:ascii="Gilroy" w:hAnsi="Gilroy"/>
          <w:sz w:val="16"/>
          <w:szCs w:val="16"/>
          <w:lang w:val="fr-FR"/>
        </w:rPr>
        <w:t xml:space="preserve">», Chapitre I, section II. B., </w:t>
      </w:r>
      <w:hyperlink r:id="rId11" w:anchor="toc148" w:history="1">
        <w:r w:rsidR="00E75514" w:rsidRPr="00A713A5">
          <w:rPr>
            <w:rStyle w:val="Hyperlink"/>
            <w:rFonts w:ascii="Gilroy" w:hAnsi="Gilroy"/>
            <w:sz w:val="16"/>
            <w:szCs w:val="16"/>
            <w:lang w:val="fr-FR"/>
          </w:rPr>
          <w:t>http://www.senat.fr/rap/r19-506/r19-5067.html#toc148</w:t>
        </w:r>
      </w:hyperlink>
    </w:p>
  </w:footnote>
  <w:footnote w:id="12">
    <w:p w14:paraId="14BEE644" w14:textId="285B9B13" w:rsidR="00E33CB3" w:rsidRPr="00A713A5" w:rsidRDefault="00E33CB3" w:rsidP="00E33CB3">
      <w:pPr>
        <w:pStyle w:val="FootnoteText"/>
        <w:rPr>
          <w:rFonts w:ascii="Gilroy" w:hAnsi="Gilroy"/>
          <w:sz w:val="16"/>
          <w:szCs w:val="16"/>
          <w:lang w:val="fr-CA"/>
        </w:rPr>
      </w:pPr>
      <w:r w:rsidRPr="00A713A5">
        <w:rPr>
          <w:rStyle w:val="FootnoteReference"/>
          <w:rFonts w:ascii="Gilroy" w:hAnsi="Gilroy"/>
          <w:sz w:val="16"/>
          <w:szCs w:val="16"/>
        </w:rPr>
        <w:footnoteRef/>
      </w:r>
      <w:r w:rsidRPr="00A713A5">
        <w:rPr>
          <w:rFonts w:ascii="Gilroy" w:hAnsi="Gilroy"/>
          <w:sz w:val="16"/>
          <w:szCs w:val="16"/>
          <w:lang w:val="fr-FR"/>
        </w:rPr>
        <w:t xml:space="preserve"> </w:t>
      </w:r>
      <w:r w:rsidRPr="00A713A5">
        <w:rPr>
          <w:rFonts w:ascii="Gilroy" w:hAnsi="Gilroy"/>
          <w:sz w:val="16"/>
          <w:szCs w:val="16"/>
          <w:lang w:val="fr-CA"/>
        </w:rPr>
        <w:t>Commission Nationale de l’Informatique et des Libertés, «</w:t>
      </w:r>
      <w:r w:rsidRPr="00A713A5">
        <w:rPr>
          <w:rFonts w:ascii="Cambria" w:hAnsi="Cambria" w:cs="Cambria"/>
          <w:sz w:val="16"/>
          <w:szCs w:val="16"/>
          <w:lang w:val="fr-CA"/>
        </w:rPr>
        <w:t> </w:t>
      </w:r>
      <w:r w:rsidRPr="00A713A5">
        <w:rPr>
          <w:rFonts w:ascii="Gilroy" w:hAnsi="Gilroy"/>
          <w:sz w:val="16"/>
          <w:szCs w:val="16"/>
          <w:lang w:val="fr-CA"/>
        </w:rPr>
        <w:t>Délibération  n°  2021-040  du  8  avril  2021  portant  avis  sur  un projet de loi relatif à la prévention d’actes de terrorisme et au renseignement</w:t>
      </w:r>
      <w:r w:rsidRPr="00A713A5">
        <w:rPr>
          <w:rFonts w:ascii="Cambria" w:hAnsi="Cambria" w:cs="Cambria"/>
          <w:sz w:val="16"/>
          <w:szCs w:val="16"/>
          <w:lang w:val="fr-CA"/>
        </w:rPr>
        <w:t> </w:t>
      </w:r>
      <w:r w:rsidRPr="00A713A5">
        <w:rPr>
          <w:rFonts w:ascii="Gilroy" w:hAnsi="Gilroy"/>
          <w:sz w:val="16"/>
          <w:szCs w:val="16"/>
          <w:lang w:val="fr-CA"/>
        </w:rPr>
        <w:t xml:space="preserve">», para 31, </w:t>
      </w:r>
      <w:hyperlink r:id="rId12" w:history="1">
        <w:r w:rsidRPr="00A713A5">
          <w:rPr>
            <w:rStyle w:val="Hyperlink"/>
            <w:rFonts w:ascii="Gilroy" w:hAnsi="Gilroy"/>
            <w:sz w:val="16"/>
            <w:szCs w:val="16"/>
            <w:lang w:val="fr-CA"/>
          </w:rPr>
          <w:t>https://www.cnil.fr/sites/default/files/atoms/files/deliberation_2021-040_du_8_avril_2021_portant_avis_sur_le_projet_de_loi_relatif_a_la_prevention_dactes_de_terrorisme_et_au_renseignement.pdf</w:t>
        </w:r>
      </w:hyperlink>
    </w:p>
  </w:footnote>
  <w:footnote w:id="13">
    <w:p w14:paraId="3120BFA4" w14:textId="02638C80" w:rsidR="00A1158C" w:rsidRPr="00A713A5" w:rsidRDefault="00A1158C" w:rsidP="00A1158C">
      <w:pPr>
        <w:spacing w:line="240" w:lineRule="auto"/>
        <w:rPr>
          <w:rFonts w:ascii="Gilroy" w:hAnsi="Gilroy"/>
          <w:sz w:val="16"/>
          <w:szCs w:val="16"/>
          <w:lang w:val="fr-CA"/>
        </w:rPr>
      </w:pPr>
      <w:r w:rsidRPr="00A713A5">
        <w:rPr>
          <w:rStyle w:val="FootnoteReference"/>
          <w:rFonts w:ascii="Gilroy" w:hAnsi="Gilroy"/>
          <w:sz w:val="16"/>
          <w:szCs w:val="16"/>
        </w:rPr>
        <w:footnoteRef/>
      </w:r>
      <w:r w:rsidRPr="00A713A5">
        <w:rPr>
          <w:rFonts w:ascii="Gilroy" w:hAnsi="Gilroy"/>
          <w:sz w:val="16"/>
          <w:szCs w:val="16"/>
          <w:lang w:val="fr-CA"/>
        </w:rPr>
        <w:t xml:space="preserve"> </w:t>
      </w:r>
      <w:r w:rsidRPr="00A713A5">
        <w:rPr>
          <w:rFonts w:ascii="Gilroy" w:eastAsia="Times New Roman" w:hAnsi="Gilroy" w:cs="Times New Roman"/>
          <w:sz w:val="16"/>
          <w:szCs w:val="16"/>
          <w:lang w:val="fr-CH"/>
        </w:rPr>
        <w:t>Proposition de loi n</w:t>
      </w:r>
      <w:r w:rsidRPr="00A713A5">
        <w:rPr>
          <w:rFonts w:ascii="Cambria" w:eastAsia="Times New Roman" w:hAnsi="Cambria" w:cs="Cambria"/>
          <w:sz w:val="16"/>
          <w:szCs w:val="16"/>
          <w:lang w:val="fr-CH"/>
        </w:rPr>
        <w:t>º </w:t>
      </w:r>
      <w:r w:rsidRPr="00A713A5">
        <w:rPr>
          <w:rFonts w:ascii="Gilroy" w:eastAsia="Times New Roman" w:hAnsi="Gilroy" w:cs="Times New Roman"/>
          <w:sz w:val="16"/>
          <w:szCs w:val="16"/>
          <w:lang w:val="fr-CH"/>
        </w:rPr>
        <w:t xml:space="preserve">3452 relative à la sécurité globale, </w:t>
      </w:r>
      <w:hyperlink r:id="rId13" w:history="1">
        <w:r w:rsidRPr="00A713A5">
          <w:rPr>
            <w:rStyle w:val="Hyperlink"/>
            <w:rFonts w:ascii="Gilroy" w:eastAsia="Times New Roman" w:hAnsi="Gilroy" w:cs="Times New Roman"/>
            <w:sz w:val="16"/>
            <w:szCs w:val="16"/>
            <w:lang w:val="fr-CH"/>
          </w:rPr>
          <w:t>https://www.assemblee-nationale.fr/dyn/15/textes/l15b3452_proposition-loi#</w:t>
        </w:r>
      </w:hyperlink>
      <w:r w:rsidRPr="00A713A5">
        <w:rPr>
          <w:rFonts w:ascii="Gilroy" w:eastAsia="Times New Roman" w:hAnsi="Gilroy" w:cs="Times New Roman"/>
          <w:sz w:val="16"/>
          <w:szCs w:val="16"/>
          <w:lang w:val="fr-CH"/>
        </w:rPr>
        <w:t xml:space="preserve"> </w:t>
      </w:r>
      <w:r w:rsidRPr="00A713A5">
        <w:rPr>
          <w:rFonts w:ascii="Gilroy" w:hAnsi="Gilroy"/>
          <w:sz w:val="16"/>
          <w:szCs w:val="16"/>
          <w:lang w:val="fr-CA"/>
        </w:rPr>
        <w:t>.</w:t>
      </w:r>
    </w:p>
  </w:footnote>
  <w:footnote w:id="14">
    <w:p w14:paraId="58C709C7" w14:textId="54B04C00" w:rsidR="000975B1" w:rsidRPr="00A713A5" w:rsidRDefault="000975B1">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France24, </w:t>
      </w:r>
      <w:hyperlink r:id="rId14" w:history="1">
        <w:r w:rsidRPr="00A713A5">
          <w:rPr>
            <w:rStyle w:val="Hyperlink"/>
            <w:rFonts w:ascii="Gilroy" w:hAnsi="Gilroy"/>
            <w:sz w:val="16"/>
            <w:szCs w:val="16"/>
            <w:lang w:val="fr-CH"/>
          </w:rPr>
          <w:t>https://www.france24.com/fr/france/20210415-la-loi-s%C3%A9curit%C3%A9-globale-d%C3%A9finitivement-adopt%C3%A9e-par-le-parlement</w:t>
        </w:r>
      </w:hyperlink>
    </w:p>
  </w:footnote>
  <w:footnote w:id="15">
    <w:p w14:paraId="5B14C5C2" w14:textId="77777777" w:rsidR="00CD4ABA" w:rsidRPr="00A713A5" w:rsidRDefault="00CD4ABA" w:rsidP="00CD4ABA">
      <w:pPr>
        <w:spacing w:line="240" w:lineRule="auto"/>
        <w:rPr>
          <w:rFonts w:ascii="Gilroy" w:eastAsia="Times New Roman" w:hAnsi="Gilroy" w:cs="Times New Roman"/>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A"/>
        </w:rPr>
        <w:t xml:space="preserve"> </w:t>
      </w:r>
      <w:r w:rsidRPr="00A713A5">
        <w:rPr>
          <w:rFonts w:ascii="Gilroy" w:eastAsia="Times New Roman" w:hAnsi="Gilroy" w:cs="Times New Roman"/>
          <w:sz w:val="16"/>
          <w:szCs w:val="16"/>
          <w:lang w:val="fr-CH"/>
        </w:rPr>
        <w:t>Proposition de loi n</w:t>
      </w:r>
      <w:r w:rsidRPr="00A713A5">
        <w:rPr>
          <w:rFonts w:ascii="Cambria" w:eastAsia="Times New Roman" w:hAnsi="Cambria" w:cs="Cambria"/>
          <w:sz w:val="16"/>
          <w:szCs w:val="16"/>
          <w:lang w:val="fr-CH"/>
        </w:rPr>
        <w:t>º </w:t>
      </w:r>
      <w:r w:rsidRPr="00A713A5">
        <w:rPr>
          <w:rFonts w:ascii="Gilroy" w:eastAsia="Times New Roman" w:hAnsi="Gilroy" w:cs="Times New Roman"/>
          <w:sz w:val="16"/>
          <w:szCs w:val="16"/>
          <w:lang w:val="fr-CH"/>
        </w:rPr>
        <w:t xml:space="preserve">4127 relative aux technologies de reconnaissance faciale, </w:t>
      </w:r>
    </w:p>
    <w:p w14:paraId="46F38DA6" w14:textId="77777777" w:rsidR="00CD4ABA" w:rsidRPr="00A713A5" w:rsidRDefault="00CD4ABA" w:rsidP="00CD4ABA">
      <w:pPr>
        <w:pStyle w:val="FootnoteText"/>
        <w:rPr>
          <w:rFonts w:ascii="Gilroy" w:hAnsi="Gilroy"/>
          <w:sz w:val="16"/>
          <w:szCs w:val="16"/>
          <w:lang w:val="fr-CA"/>
        </w:rPr>
      </w:pPr>
      <w:r w:rsidRPr="00A713A5">
        <w:rPr>
          <w:rFonts w:ascii="Gilroy" w:hAnsi="Gilroy"/>
          <w:sz w:val="16"/>
          <w:szCs w:val="16"/>
          <w:lang w:val="fr-CA"/>
        </w:rPr>
        <w:t xml:space="preserve"> </w:t>
      </w:r>
      <w:hyperlink r:id="rId15" w:history="1">
        <w:r w:rsidRPr="00A713A5">
          <w:rPr>
            <w:rStyle w:val="Hyperlink"/>
            <w:rFonts w:ascii="Gilroy" w:hAnsi="Gilroy"/>
            <w:sz w:val="16"/>
            <w:szCs w:val="16"/>
            <w:lang w:val="fr-CA"/>
          </w:rPr>
          <w:t>https://www.assemblee-nationale.fr/dyn/15/textes/l15b4127_proposition-loi.pdf</w:t>
        </w:r>
      </w:hyperlink>
      <w:r w:rsidRPr="00A713A5">
        <w:rPr>
          <w:rFonts w:ascii="Gilroy" w:hAnsi="Gilroy"/>
          <w:sz w:val="16"/>
          <w:szCs w:val="16"/>
          <w:lang w:val="fr-CA"/>
        </w:rPr>
        <w:t xml:space="preserve"> </w:t>
      </w:r>
    </w:p>
  </w:footnote>
  <w:footnote w:id="16">
    <w:p w14:paraId="7408C5FD" w14:textId="7CD702EB" w:rsidR="000975B1" w:rsidRPr="00A713A5" w:rsidRDefault="000975B1">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PI, "Mass surveillance", </w:t>
      </w:r>
      <w:hyperlink r:id="rId16" w:history="1">
        <w:r w:rsidRPr="00A713A5">
          <w:rPr>
            <w:rStyle w:val="Hyperlink"/>
            <w:rFonts w:ascii="Gilroy" w:hAnsi="Gilroy"/>
            <w:sz w:val="16"/>
            <w:szCs w:val="16"/>
            <w:lang w:val="fr-CH"/>
          </w:rPr>
          <w:t>https://privacyinternational.org/learn/mass-surveillance</w:t>
        </w:r>
      </w:hyperlink>
      <w:r w:rsidRPr="00A713A5">
        <w:rPr>
          <w:rFonts w:ascii="Gilroy" w:hAnsi="Gilroy"/>
          <w:sz w:val="16"/>
          <w:szCs w:val="16"/>
          <w:lang w:val="fr-CH"/>
        </w:rPr>
        <w:t xml:space="preserve"> </w:t>
      </w:r>
    </w:p>
  </w:footnote>
  <w:footnote w:id="17">
    <w:p w14:paraId="55D04A68" w14:textId="38612E72" w:rsidR="00CD4ABA" w:rsidRPr="00A713A5" w:rsidRDefault="00CD4ABA" w:rsidP="00CD4ABA">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Décision n° 2021-817 DC du 20 mai 2021, Loi pour une sécurité globale préservant les libertés, paras 136-141 </w:t>
      </w:r>
      <w:hyperlink r:id="rId17" w:history="1">
        <w:r w:rsidRPr="00A713A5">
          <w:rPr>
            <w:rStyle w:val="Hyperlink"/>
            <w:rFonts w:ascii="Gilroy" w:hAnsi="Gilroy"/>
            <w:sz w:val="16"/>
            <w:szCs w:val="16"/>
            <w:lang w:val="fr-CH"/>
          </w:rPr>
          <w:t>https://www.conseil-constitutionnel.fr/decision/2021/2021817DC.htm</w:t>
        </w:r>
      </w:hyperlink>
      <w:r w:rsidRPr="00A713A5">
        <w:rPr>
          <w:rFonts w:ascii="Gilroy" w:hAnsi="Gilroy"/>
          <w:sz w:val="16"/>
          <w:szCs w:val="16"/>
          <w:lang w:val="fr-CH"/>
        </w:rPr>
        <w:t xml:space="preserve"> </w:t>
      </w:r>
    </w:p>
  </w:footnote>
  <w:footnote w:id="18">
    <w:p w14:paraId="38568B8C" w14:textId="4885E33E" w:rsidR="00EE29FD" w:rsidRPr="00A713A5" w:rsidRDefault="00EE29FD">
      <w:pPr>
        <w:pStyle w:val="FootnoteText"/>
        <w:rPr>
          <w:rFonts w:ascii="Gilroy" w:hAnsi="Gilroy"/>
          <w:sz w:val="16"/>
          <w:szCs w:val="16"/>
          <w:lang w:val="en-GB"/>
        </w:rPr>
      </w:pPr>
      <w:r w:rsidRPr="00A713A5">
        <w:rPr>
          <w:rStyle w:val="FootnoteReference"/>
          <w:rFonts w:ascii="Gilroy" w:hAnsi="Gilroy"/>
          <w:sz w:val="16"/>
          <w:szCs w:val="16"/>
        </w:rPr>
        <w:footnoteRef/>
      </w:r>
      <w:r w:rsidRPr="00A713A5">
        <w:rPr>
          <w:rFonts w:ascii="Gilroy" w:hAnsi="Gilroy"/>
          <w:sz w:val="16"/>
          <w:szCs w:val="16"/>
          <w:lang w:val="en-GB"/>
        </w:rPr>
        <w:t xml:space="preserve"> PI, My ID, my identity? The impact of ID systems on transgender people in Argentina, France and the Philippines</w:t>
      </w:r>
      <w:r w:rsidR="00424A2B" w:rsidRPr="00A713A5">
        <w:rPr>
          <w:rFonts w:ascii="Gilroy" w:hAnsi="Gilroy"/>
          <w:sz w:val="16"/>
          <w:szCs w:val="16"/>
          <w:lang w:val="en-GB"/>
        </w:rPr>
        <w:t>,</w:t>
      </w:r>
      <w:r w:rsidRPr="00A713A5">
        <w:rPr>
          <w:rFonts w:ascii="Gilroy" w:hAnsi="Gilroy"/>
          <w:sz w:val="16"/>
          <w:szCs w:val="16"/>
          <w:lang w:val="en-GB"/>
        </w:rPr>
        <w:t xml:space="preserve"> </w:t>
      </w:r>
      <w:hyperlink r:id="rId18" w:tgtFrame="_blank" w:history="1">
        <w:r w:rsidRPr="00A713A5">
          <w:rPr>
            <w:rStyle w:val="Hyperlink"/>
            <w:rFonts w:ascii="Gilroy" w:hAnsi="Gilroy"/>
            <w:sz w:val="16"/>
            <w:szCs w:val="16"/>
            <w:lang w:val="en-GB"/>
          </w:rPr>
          <w:t>https://privacyinternational.org/long-read/4372/my-id-my-identity-impact-id-systems-transgender-people-argentina-france-and</w:t>
        </w:r>
      </w:hyperlink>
    </w:p>
  </w:footnote>
  <w:footnote w:id="19">
    <w:p w14:paraId="6812A698" w14:textId="47ED34F6" w:rsidR="00EE29FD" w:rsidRPr="00A713A5" w:rsidRDefault="00EE29FD">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w:t>
      </w:r>
      <w:proofErr w:type="spellStart"/>
      <w:r w:rsidRPr="00A713A5">
        <w:rPr>
          <w:rFonts w:ascii="Gilroy" w:hAnsi="Gilroy"/>
          <w:sz w:val="16"/>
          <w:szCs w:val="16"/>
          <w:lang w:val="fr-CH"/>
        </w:rPr>
        <w:t>Defenseur</w:t>
      </w:r>
      <w:proofErr w:type="spellEnd"/>
      <w:r w:rsidRPr="00A713A5">
        <w:rPr>
          <w:rFonts w:ascii="Gilroy" w:hAnsi="Gilroy"/>
          <w:sz w:val="16"/>
          <w:szCs w:val="16"/>
          <w:lang w:val="fr-CH"/>
        </w:rPr>
        <w:t xml:space="preserve"> des Droits, Décision cadre du Défenseur des droits 2020-136, </w:t>
      </w:r>
      <w:hyperlink r:id="rId19" w:history="1">
        <w:r w:rsidR="007A1D2F" w:rsidRPr="00A713A5">
          <w:rPr>
            <w:rStyle w:val="Hyperlink"/>
            <w:rFonts w:ascii="Gilroy" w:hAnsi="Gilroy"/>
            <w:sz w:val="16"/>
            <w:szCs w:val="16"/>
            <w:lang w:val="fr-CH"/>
          </w:rPr>
          <w:t>https://www.defenseurdesdroits.fr/sites/default/files/atoms/files/decision_cadre_ndeg2020-136_1.pdf</w:t>
        </w:r>
      </w:hyperlink>
    </w:p>
  </w:footnote>
  <w:footnote w:id="20">
    <w:p w14:paraId="01C4DE66" w14:textId="21E6F7BD" w:rsidR="00E75514" w:rsidRPr="00A713A5" w:rsidRDefault="00E75514" w:rsidP="00424A2B">
      <w:pPr>
        <w:spacing w:line="240" w:lineRule="auto"/>
        <w:rPr>
          <w:rFonts w:ascii="Gilroy" w:eastAsia="Times New Roman" w:hAnsi="Gilroy" w:cs="Times New Roman"/>
          <w:sz w:val="16"/>
          <w:szCs w:val="16"/>
          <w:lang w:val="en-GB"/>
        </w:rPr>
      </w:pPr>
      <w:r w:rsidRPr="00A713A5">
        <w:rPr>
          <w:rStyle w:val="FootnoteReference"/>
          <w:rFonts w:ascii="Gilroy" w:hAnsi="Gilroy"/>
          <w:sz w:val="16"/>
          <w:szCs w:val="16"/>
        </w:rPr>
        <w:footnoteRef/>
      </w:r>
      <w:r w:rsidRPr="00A713A5">
        <w:rPr>
          <w:rFonts w:ascii="Gilroy" w:hAnsi="Gilroy"/>
          <w:sz w:val="16"/>
          <w:szCs w:val="16"/>
          <w:lang w:val="en-GB"/>
        </w:rPr>
        <w:t xml:space="preserve"> PI, </w:t>
      </w:r>
      <w:r w:rsidR="00424A2B" w:rsidRPr="00A713A5">
        <w:rPr>
          <w:rFonts w:ascii="Gilroy" w:hAnsi="Gilroy"/>
          <w:sz w:val="16"/>
          <w:szCs w:val="16"/>
          <w:lang w:val="en-GB"/>
        </w:rPr>
        <w:t xml:space="preserve">Case Study 2: France - When your ID does not match your identity, you end up at the mercy of everyone you interact you with: your employer, your professors, your landlord…” in My ID, my identity? The impact of ID systems on transgender people in Argentina, France and the Philippines, 15 January 2021, </w:t>
      </w:r>
      <w:hyperlink r:id="rId20" w:tgtFrame="_blank" w:history="1">
        <w:r w:rsidR="00424A2B" w:rsidRPr="00A713A5">
          <w:rPr>
            <w:rStyle w:val="Hyperlink"/>
            <w:rFonts w:ascii="Gilroy" w:hAnsi="Gilroy"/>
            <w:sz w:val="16"/>
            <w:szCs w:val="16"/>
            <w:lang w:val="en-GB"/>
          </w:rPr>
          <w:t>https://privacyinternational.org/long-read/4372/my-id-my-identity-impact-id-systems-transgender-people-argentina-france-and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4A85" w14:textId="16529927" w:rsidR="007B1F46" w:rsidRDefault="007B1F46" w:rsidP="007B1F46">
    <w:pPr>
      <w:pStyle w:val="Header"/>
      <w:jc w:val="center"/>
    </w:pPr>
    <w:r>
      <w:rPr>
        <w:noProof/>
      </w:rPr>
      <w:drawing>
        <wp:inline distT="0" distB="0" distL="0" distR="0" wp14:anchorId="5B80F327" wp14:editId="1C603694">
          <wp:extent cx="2190307" cy="618071"/>
          <wp:effectExtent l="0" t="0" r="0" b="444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10397" cy="623740"/>
                  </a:xfrm>
                  <a:prstGeom prst="rect">
                    <a:avLst/>
                  </a:prstGeom>
                </pic:spPr>
              </pic:pic>
            </a:graphicData>
          </a:graphic>
        </wp:inline>
      </w:drawing>
    </w:r>
  </w:p>
  <w:p w14:paraId="79CA1DB8" w14:textId="77777777" w:rsidR="00A713A5" w:rsidRDefault="00A713A5" w:rsidP="007B1F46">
    <w:pPr>
      <w:pStyle w:val="Header"/>
      <w:jc w:val="center"/>
    </w:pPr>
  </w:p>
  <w:p w14:paraId="3F3F6BCC" w14:textId="77777777" w:rsidR="007B1F46" w:rsidRDefault="007B1F46" w:rsidP="007B1F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C4B"/>
    <w:multiLevelType w:val="hybridMultilevel"/>
    <w:tmpl w:val="EFFE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CDB"/>
    <w:multiLevelType w:val="multilevel"/>
    <w:tmpl w:val="B65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F1EED"/>
    <w:multiLevelType w:val="hybridMultilevel"/>
    <w:tmpl w:val="5CDCB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214798"/>
    <w:multiLevelType w:val="hybridMultilevel"/>
    <w:tmpl w:val="96AE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25C35"/>
    <w:multiLevelType w:val="multilevel"/>
    <w:tmpl w:val="35E8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462DF"/>
    <w:multiLevelType w:val="hybridMultilevel"/>
    <w:tmpl w:val="8164783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5EDC6084"/>
    <w:multiLevelType w:val="hybridMultilevel"/>
    <w:tmpl w:val="B38C98C2"/>
    <w:lvl w:ilvl="0" w:tplc="A6EE84BC">
      <w:start w:val="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76D00"/>
    <w:multiLevelType w:val="hybridMultilevel"/>
    <w:tmpl w:val="AAC60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E6D86"/>
    <w:multiLevelType w:val="multilevel"/>
    <w:tmpl w:val="0CF4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F17E64"/>
    <w:multiLevelType w:val="hybridMultilevel"/>
    <w:tmpl w:val="3D7C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7"/>
  </w:num>
  <w:num w:numId="6">
    <w:abstractNumId w:val="0"/>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7B"/>
    <w:rsid w:val="00041765"/>
    <w:rsid w:val="000975B1"/>
    <w:rsid w:val="00142484"/>
    <w:rsid w:val="00145689"/>
    <w:rsid w:val="001E4183"/>
    <w:rsid w:val="00203CF5"/>
    <w:rsid w:val="0025084A"/>
    <w:rsid w:val="00302335"/>
    <w:rsid w:val="00312A7B"/>
    <w:rsid w:val="00320449"/>
    <w:rsid w:val="00323E72"/>
    <w:rsid w:val="00327B41"/>
    <w:rsid w:val="00333841"/>
    <w:rsid w:val="00424A13"/>
    <w:rsid w:val="00424A2B"/>
    <w:rsid w:val="004D1EE2"/>
    <w:rsid w:val="00526195"/>
    <w:rsid w:val="0056475C"/>
    <w:rsid w:val="00573D01"/>
    <w:rsid w:val="00615759"/>
    <w:rsid w:val="00622DCB"/>
    <w:rsid w:val="00636BB1"/>
    <w:rsid w:val="00650329"/>
    <w:rsid w:val="00655D5A"/>
    <w:rsid w:val="006F5ECE"/>
    <w:rsid w:val="0070015B"/>
    <w:rsid w:val="007146E7"/>
    <w:rsid w:val="007A1D2F"/>
    <w:rsid w:val="007B1F46"/>
    <w:rsid w:val="007E5952"/>
    <w:rsid w:val="00847426"/>
    <w:rsid w:val="00851753"/>
    <w:rsid w:val="008A1045"/>
    <w:rsid w:val="008A15C1"/>
    <w:rsid w:val="008B78BB"/>
    <w:rsid w:val="008D3A8E"/>
    <w:rsid w:val="00932281"/>
    <w:rsid w:val="009768E4"/>
    <w:rsid w:val="00A1158C"/>
    <w:rsid w:val="00A213E5"/>
    <w:rsid w:val="00A2685B"/>
    <w:rsid w:val="00A41738"/>
    <w:rsid w:val="00A507C4"/>
    <w:rsid w:val="00A62456"/>
    <w:rsid w:val="00A713A5"/>
    <w:rsid w:val="00A87725"/>
    <w:rsid w:val="00AF00DD"/>
    <w:rsid w:val="00AF5CEC"/>
    <w:rsid w:val="00B64150"/>
    <w:rsid w:val="00B73B97"/>
    <w:rsid w:val="00B9282C"/>
    <w:rsid w:val="00C550FE"/>
    <w:rsid w:val="00CD4ABA"/>
    <w:rsid w:val="00D3081D"/>
    <w:rsid w:val="00D32BC9"/>
    <w:rsid w:val="00D559C8"/>
    <w:rsid w:val="00DA1128"/>
    <w:rsid w:val="00DB6A4C"/>
    <w:rsid w:val="00E33CB3"/>
    <w:rsid w:val="00E75514"/>
    <w:rsid w:val="00EB1501"/>
    <w:rsid w:val="00EE29FD"/>
    <w:rsid w:val="00F8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7BEE"/>
  <w15:chartTrackingRefBased/>
  <w15:docId w15:val="{BA07B133-7A84-BA4B-89CD-6F49D44B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83"/>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329"/>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650329"/>
    <w:pPr>
      <w:spacing w:line="240" w:lineRule="auto"/>
    </w:pPr>
    <w:rPr>
      <w:sz w:val="20"/>
      <w:szCs w:val="20"/>
    </w:rPr>
  </w:style>
  <w:style w:type="character" w:customStyle="1" w:styleId="FootnoteTextChar">
    <w:name w:val="Footnote Text Char"/>
    <w:basedOn w:val="DefaultParagraphFont"/>
    <w:link w:val="FootnoteText"/>
    <w:uiPriority w:val="99"/>
    <w:semiHidden/>
    <w:rsid w:val="00650329"/>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650329"/>
    <w:rPr>
      <w:vertAlign w:val="superscript"/>
    </w:rPr>
  </w:style>
  <w:style w:type="paragraph" w:styleId="Header">
    <w:name w:val="header"/>
    <w:basedOn w:val="Normal"/>
    <w:link w:val="HeaderChar"/>
    <w:uiPriority w:val="99"/>
    <w:unhideWhenUsed/>
    <w:rsid w:val="00650329"/>
    <w:pPr>
      <w:tabs>
        <w:tab w:val="center" w:pos="4513"/>
        <w:tab w:val="right" w:pos="9026"/>
      </w:tabs>
      <w:spacing w:line="240" w:lineRule="auto"/>
    </w:pPr>
  </w:style>
  <w:style w:type="character" w:customStyle="1" w:styleId="HeaderChar">
    <w:name w:val="Header Char"/>
    <w:basedOn w:val="DefaultParagraphFont"/>
    <w:link w:val="Header"/>
    <w:uiPriority w:val="99"/>
    <w:rsid w:val="00650329"/>
    <w:rPr>
      <w:rFonts w:ascii="Arial" w:eastAsia="Arial" w:hAnsi="Arial" w:cs="Arial"/>
      <w:sz w:val="22"/>
      <w:szCs w:val="22"/>
      <w:lang w:val="en" w:eastAsia="en-GB"/>
    </w:rPr>
  </w:style>
  <w:style w:type="paragraph" w:styleId="Footer">
    <w:name w:val="footer"/>
    <w:basedOn w:val="Normal"/>
    <w:link w:val="FooterChar"/>
    <w:uiPriority w:val="99"/>
    <w:unhideWhenUsed/>
    <w:rsid w:val="00650329"/>
    <w:pPr>
      <w:tabs>
        <w:tab w:val="center" w:pos="4513"/>
        <w:tab w:val="right" w:pos="9026"/>
      </w:tabs>
      <w:spacing w:line="240" w:lineRule="auto"/>
    </w:pPr>
  </w:style>
  <w:style w:type="character" w:customStyle="1" w:styleId="FooterChar">
    <w:name w:val="Footer Char"/>
    <w:basedOn w:val="DefaultParagraphFont"/>
    <w:link w:val="Footer"/>
    <w:uiPriority w:val="99"/>
    <w:rsid w:val="00650329"/>
    <w:rPr>
      <w:rFonts w:ascii="Arial" w:eastAsia="Arial" w:hAnsi="Arial" w:cs="Arial"/>
      <w:sz w:val="22"/>
      <w:szCs w:val="22"/>
      <w:lang w:val="en" w:eastAsia="en-GB"/>
    </w:rPr>
  </w:style>
  <w:style w:type="character" w:customStyle="1" w:styleId="jlqj4b">
    <w:name w:val="jlqj4b"/>
    <w:basedOn w:val="DefaultParagraphFont"/>
    <w:rsid w:val="00650329"/>
  </w:style>
  <w:style w:type="character" w:styleId="Hyperlink">
    <w:name w:val="Hyperlink"/>
    <w:basedOn w:val="DefaultParagraphFont"/>
    <w:uiPriority w:val="99"/>
    <w:unhideWhenUsed/>
    <w:rsid w:val="00615759"/>
    <w:rPr>
      <w:color w:val="0000FF"/>
      <w:u w:val="single"/>
    </w:rPr>
  </w:style>
  <w:style w:type="character" w:customStyle="1" w:styleId="viiyi">
    <w:name w:val="viiyi"/>
    <w:basedOn w:val="DefaultParagraphFont"/>
    <w:rsid w:val="00615759"/>
  </w:style>
  <w:style w:type="paragraph" w:styleId="ListParagraph">
    <w:name w:val="List Paragraph"/>
    <w:basedOn w:val="Normal"/>
    <w:uiPriority w:val="34"/>
    <w:qFormat/>
    <w:rsid w:val="007146E7"/>
    <w:pPr>
      <w:ind w:left="720"/>
      <w:contextualSpacing/>
    </w:pPr>
  </w:style>
  <w:style w:type="character" w:styleId="UnresolvedMention">
    <w:name w:val="Unresolved Mention"/>
    <w:basedOn w:val="DefaultParagraphFont"/>
    <w:uiPriority w:val="99"/>
    <w:semiHidden/>
    <w:unhideWhenUsed/>
    <w:rsid w:val="00B73B97"/>
    <w:rPr>
      <w:color w:val="605E5C"/>
      <w:shd w:val="clear" w:color="auto" w:fill="E1DFDD"/>
    </w:rPr>
  </w:style>
  <w:style w:type="character" w:styleId="FollowedHyperlink">
    <w:name w:val="FollowedHyperlink"/>
    <w:basedOn w:val="DefaultParagraphFont"/>
    <w:uiPriority w:val="99"/>
    <w:semiHidden/>
    <w:unhideWhenUsed/>
    <w:rsid w:val="00041765"/>
    <w:rPr>
      <w:color w:val="954F72" w:themeColor="followedHyperlink"/>
      <w:u w:val="single"/>
    </w:rPr>
  </w:style>
  <w:style w:type="character" w:styleId="PageNumber">
    <w:name w:val="page number"/>
    <w:basedOn w:val="DefaultParagraphFont"/>
    <w:uiPriority w:val="99"/>
    <w:semiHidden/>
    <w:unhideWhenUsed/>
    <w:rsid w:val="0025084A"/>
  </w:style>
  <w:style w:type="character" w:styleId="CommentReference">
    <w:name w:val="annotation reference"/>
    <w:basedOn w:val="DefaultParagraphFont"/>
    <w:uiPriority w:val="99"/>
    <w:semiHidden/>
    <w:unhideWhenUsed/>
    <w:rsid w:val="008A1045"/>
    <w:rPr>
      <w:sz w:val="16"/>
      <w:szCs w:val="16"/>
    </w:rPr>
  </w:style>
  <w:style w:type="paragraph" w:styleId="CommentText">
    <w:name w:val="annotation text"/>
    <w:basedOn w:val="Normal"/>
    <w:link w:val="CommentTextChar"/>
    <w:uiPriority w:val="99"/>
    <w:semiHidden/>
    <w:unhideWhenUsed/>
    <w:rsid w:val="008A1045"/>
    <w:pPr>
      <w:spacing w:line="240" w:lineRule="auto"/>
    </w:pPr>
    <w:rPr>
      <w:sz w:val="20"/>
      <w:szCs w:val="20"/>
    </w:rPr>
  </w:style>
  <w:style w:type="character" w:customStyle="1" w:styleId="CommentTextChar">
    <w:name w:val="Comment Text Char"/>
    <w:basedOn w:val="DefaultParagraphFont"/>
    <w:link w:val="CommentText"/>
    <w:uiPriority w:val="99"/>
    <w:semiHidden/>
    <w:rsid w:val="008A1045"/>
    <w:rPr>
      <w:rFonts w:ascii="Arial" w:eastAsia="Arial"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8A1045"/>
    <w:rPr>
      <w:b/>
      <w:bCs/>
    </w:rPr>
  </w:style>
  <w:style w:type="character" w:customStyle="1" w:styleId="CommentSubjectChar">
    <w:name w:val="Comment Subject Char"/>
    <w:basedOn w:val="CommentTextChar"/>
    <w:link w:val="CommentSubject"/>
    <w:uiPriority w:val="99"/>
    <w:semiHidden/>
    <w:rsid w:val="008A1045"/>
    <w:rPr>
      <w:rFonts w:ascii="Arial" w:eastAsia="Arial" w:hAnsi="Arial" w:cs="Arial"/>
      <w:b/>
      <w:bCs/>
      <w:sz w:val="20"/>
      <w:szCs w:val="20"/>
      <w:lang w:val="en" w:eastAsia="en-GB"/>
    </w:rPr>
  </w:style>
  <w:style w:type="character" w:customStyle="1" w:styleId="mxeventtilebody">
    <w:name w:val="mx_eventtile_body"/>
    <w:basedOn w:val="DefaultParagraphFont"/>
    <w:rsid w:val="00CD4ABA"/>
  </w:style>
  <w:style w:type="character" w:customStyle="1" w:styleId="mxmessagetimestamp">
    <w:name w:val="mx_messagetimestamp"/>
    <w:basedOn w:val="DefaultParagraphFont"/>
    <w:rsid w:val="00CD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6218">
      <w:bodyDiv w:val="1"/>
      <w:marLeft w:val="0"/>
      <w:marRight w:val="0"/>
      <w:marTop w:val="0"/>
      <w:marBottom w:val="0"/>
      <w:divBdr>
        <w:top w:val="none" w:sz="0" w:space="0" w:color="auto"/>
        <w:left w:val="none" w:sz="0" w:space="0" w:color="auto"/>
        <w:bottom w:val="none" w:sz="0" w:space="0" w:color="auto"/>
        <w:right w:val="none" w:sz="0" w:space="0" w:color="auto"/>
      </w:divBdr>
    </w:div>
    <w:div w:id="42750644">
      <w:bodyDiv w:val="1"/>
      <w:marLeft w:val="0"/>
      <w:marRight w:val="0"/>
      <w:marTop w:val="0"/>
      <w:marBottom w:val="0"/>
      <w:divBdr>
        <w:top w:val="none" w:sz="0" w:space="0" w:color="auto"/>
        <w:left w:val="none" w:sz="0" w:space="0" w:color="auto"/>
        <w:bottom w:val="none" w:sz="0" w:space="0" w:color="auto"/>
        <w:right w:val="none" w:sz="0" w:space="0" w:color="auto"/>
      </w:divBdr>
    </w:div>
    <w:div w:id="74789411">
      <w:bodyDiv w:val="1"/>
      <w:marLeft w:val="0"/>
      <w:marRight w:val="0"/>
      <w:marTop w:val="0"/>
      <w:marBottom w:val="0"/>
      <w:divBdr>
        <w:top w:val="none" w:sz="0" w:space="0" w:color="auto"/>
        <w:left w:val="none" w:sz="0" w:space="0" w:color="auto"/>
        <w:bottom w:val="none" w:sz="0" w:space="0" w:color="auto"/>
        <w:right w:val="none" w:sz="0" w:space="0" w:color="auto"/>
      </w:divBdr>
    </w:div>
    <w:div w:id="83383298">
      <w:bodyDiv w:val="1"/>
      <w:marLeft w:val="0"/>
      <w:marRight w:val="0"/>
      <w:marTop w:val="0"/>
      <w:marBottom w:val="0"/>
      <w:divBdr>
        <w:top w:val="none" w:sz="0" w:space="0" w:color="auto"/>
        <w:left w:val="none" w:sz="0" w:space="0" w:color="auto"/>
        <w:bottom w:val="none" w:sz="0" w:space="0" w:color="auto"/>
        <w:right w:val="none" w:sz="0" w:space="0" w:color="auto"/>
      </w:divBdr>
    </w:div>
    <w:div w:id="130024749">
      <w:bodyDiv w:val="1"/>
      <w:marLeft w:val="0"/>
      <w:marRight w:val="0"/>
      <w:marTop w:val="0"/>
      <w:marBottom w:val="0"/>
      <w:divBdr>
        <w:top w:val="none" w:sz="0" w:space="0" w:color="auto"/>
        <w:left w:val="none" w:sz="0" w:space="0" w:color="auto"/>
        <w:bottom w:val="none" w:sz="0" w:space="0" w:color="auto"/>
        <w:right w:val="none" w:sz="0" w:space="0" w:color="auto"/>
      </w:divBdr>
    </w:div>
    <w:div w:id="152646560">
      <w:bodyDiv w:val="1"/>
      <w:marLeft w:val="0"/>
      <w:marRight w:val="0"/>
      <w:marTop w:val="0"/>
      <w:marBottom w:val="0"/>
      <w:divBdr>
        <w:top w:val="none" w:sz="0" w:space="0" w:color="auto"/>
        <w:left w:val="none" w:sz="0" w:space="0" w:color="auto"/>
        <w:bottom w:val="none" w:sz="0" w:space="0" w:color="auto"/>
        <w:right w:val="none" w:sz="0" w:space="0" w:color="auto"/>
      </w:divBdr>
    </w:div>
    <w:div w:id="160199775">
      <w:bodyDiv w:val="1"/>
      <w:marLeft w:val="0"/>
      <w:marRight w:val="0"/>
      <w:marTop w:val="0"/>
      <w:marBottom w:val="0"/>
      <w:divBdr>
        <w:top w:val="none" w:sz="0" w:space="0" w:color="auto"/>
        <w:left w:val="none" w:sz="0" w:space="0" w:color="auto"/>
        <w:bottom w:val="none" w:sz="0" w:space="0" w:color="auto"/>
        <w:right w:val="none" w:sz="0" w:space="0" w:color="auto"/>
      </w:divBdr>
    </w:div>
    <w:div w:id="201527156">
      <w:bodyDiv w:val="1"/>
      <w:marLeft w:val="0"/>
      <w:marRight w:val="0"/>
      <w:marTop w:val="0"/>
      <w:marBottom w:val="0"/>
      <w:divBdr>
        <w:top w:val="none" w:sz="0" w:space="0" w:color="auto"/>
        <w:left w:val="none" w:sz="0" w:space="0" w:color="auto"/>
        <w:bottom w:val="none" w:sz="0" w:space="0" w:color="auto"/>
        <w:right w:val="none" w:sz="0" w:space="0" w:color="auto"/>
      </w:divBdr>
    </w:div>
    <w:div w:id="262307720">
      <w:bodyDiv w:val="1"/>
      <w:marLeft w:val="0"/>
      <w:marRight w:val="0"/>
      <w:marTop w:val="0"/>
      <w:marBottom w:val="0"/>
      <w:divBdr>
        <w:top w:val="none" w:sz="0" w:space="0" w:color="auto"/>
        <w:left w:val="none" w:sz="0" w:space="0" w:color="auto"/>
        <w:bottom w:val="none" w:sz="0" w:space="0" w:color="auto"/>
        <w:right w:val="none" w:sz="0" w:space="0" w:color="auto"/>
      </w:divBdr>
    </w:div>
    <w:div w:id="265775576">
      <w:bodyDiv w:val="1"/>
      <w:marLeft w:val="0"/>
      <w:marRight w:val="0"/>
      <w:marTop w:val="0"/>
      <w:marBottom w:val="0"/>
      <w:divBdr>
        <w:top w:val="none" w:sz="0" w:space="0" w:color="auto"/>
        <w:left w:val="none" w:sz="0" w:space="0" w:color="auto"/>
        <w:bottom w:val="none" w:sz="0" w:space="0" w:color="auto"/>
        <w:right w:val="none" w:sz="0" w:space="0" w:color="auto"/>
      </w:divBdr>
    </w:div>
    <w:div w:id="369112435">
      <w:bodyDiv w:val="1"/>
      <w:marLeft w:val="0"/>
      <w:marRight w:val="0"/>
      <w:marTop w:val="0"/>
      <w:marBottom w:val="0"/>
      <w:divBdr>
        <w:top w:val="none" w:sz="0" w:space="0" w:color="auto"/>
        <w:left w:val="none" w:sz="0" w:space="0" w:color="auto"/>
        <w:bottom w:val="none" w:sz="0" w:space="0" w:color="auto"/>
        <w:right w:val="none" w:sz="0" w:space="0" w:color="auto"/>
      </w:divBdr>
    </w:div>
    <w:div w:id="375663727">
      <w:bodyDiv w:val="1"/>
      <w:marLeft w:val="0"/>
      <w:marRight w:val="0"/>
      <w:marTop w:val="0"/>
      <w:marBottom w:val="0"/>
      <w:divBdr>
        <w:top w:val="none" w:sz="0" w:space="0" w:color="auto"/>
        <w:left w:val="none" w:sz="0" w:space="0" w:color="auto"/>
        <w:bottom w:val="none" w:sz="0" w:space="0" w:color="auto"/>
        <w:right w:val="none" w:sz="0" w:space="0" w:color="auto"/>
      </w:divBdr>
    </w:div>
    <w:div w:id="423453149">
      <w:bodyDiv w:val="1"/>
      <w:marLeft w:val="0"/>
      <w:marRight w:val="0"/>
      <w:marTop w:val="0"/>
      <w:marBottom w:val="0"/>
      <w:divBdr>
        <w:top w:val="none" w:sz="0" w:space="0" w:color="auto"/>
        <w:left w:val="none" w:sz="0" w:space="0" w:color="auto"/>
        <w:bottom w:val="none" w:sz="0" w:space="0" w:color="auto"/>
        <w:right w:val="none" w:sz="0" w:space="0" w:color="auto"/>
      </w:divBdr>
    </w:div>
    <w:div w:id="489752696">
      <w:bodyDiv w:val="1"/>
      <w:marLeft w:val="0"/>
      <w:marRight w:val="0"/>
      <w:marTop w:val="0"/>
      <w:marBottom w:val="0"/>
      <w:divBdr>
        <w:top w:val="none" w:sz="0" w:space="0" w:color="auto"/>
        <w:left w:val="none" w:sz="0" w:space="0" w:color="auto"/>
        <w:bottom w:val="none" w:sz="0" w:space="0" w:color="auto"/>
        <w:right w:val="none" w:sz="0" w:space="0" w:color="auto"/>
      </w:divBdr>
    </w:div>
    <w:div w:id="492336163">
      <w:bodyDiv w:val="1"/>
      <w:marLeft w:val="0"/>
      <w:marRight w:val="0"/>
      <w:marTop w:val="0"/>
      <w:marBottom w:val="0"/>
      <w:divBdr>
        <w:top w:val="none" w:sz="0" w:space="0" w:color="auto"/>
        <w:left w:val="none" w:sz="0" w:space="0" w:color="auto"/>
        <w:bottom w:val="none" w:sz="0" w:space="0" w:color="auto"/>
        <w:right w:val="none" w:sz="0" w:space="0" w:color="auto"/>
      </w:divBdr>
    </w:div>
    <w:div w:id="500698151">
      <w:bodyDiv w:val="1"/>
      <w:marLeft w:val="0"/>
      <w:marRight w:val="0"/>
      <w:marTop w:val="0"/>
      <w:marBottom w:val="0"/>
      <w:divBdr>
        <w:top w:val="none" w:sz="0" w:space="0" w:color="auto"/>
        <w:left w:val="none" w:sz="0" w:space="0" w:color="auto"/>
        <w:bottom w:val="none" w:sz="0" w:space="0" w:color="auto"/>
        <w:right w:val="none" w:sz="0" w:space="0" w:color="auto"/>
      </w:divBdr>
    </w:div>
    <w:div w:id="502477890">
      <w:bodyDiv w:val="1"/>
      <w:marLeft w:val="0"/>
      <w:marRight w:val="0"/>
      <w:marTop w:val="0"/>
      <w:marBottom w:val="0"/>
      <w:divBdr>
        <w:top w:val="none" w:sz="0" w:space="0" w:color="auto"/>
        <w:left w:val="none" w:sz="0" w:space="0" w:color="auto"/>
        <w:bottom w:val="none" w:sz="0" w:space="0" w:color="auto"/>
        <w:right w:val="none" w:sz="0" w:space="0" w:color="auto"/>
      </w:divBdr>
    </w:div>
    <w:div w:id="576668939">
      <w:bodyDiv w:val="1"/>
      <w:marLeft w:val="0"/>
      <w:marRight w:val="0"/>
      <w:marTop w:val="0"/>
      <w:marBottom w:val="0"/>
      <w:divBdr>
        <w:top w:val="none" w:sz="0" w:space="0" w:color="auto"/>
        <w:left w:val="none" w:sz="0" w:space="0" w:color="auto"/>
        <w:bottom w:val="none" w:sz="0" w:space="0" w:color="auto"/>
        <w:right w:val="none" w:sz="0" w:space="0" w:color="auto"/>
      </w:divBdr>
    </w:div>
    <w:div w:id="609631594">
      <w:bodyDiv w:val="1"/>
      <w:marLeft w:val="0"/>
      <w:marRight w:val="0"/>
      <w:marTop w:val="0"/>
      <w:marBottom w:val="0"/>
      <w:divBdr>
        <w:top w:val="none" w:sz="0" w:space="0" w:color="auto"/>
        <w:left w:val="none" w:sz="0" w:space="0" w:color="auto"/>
        <w:bottom w:val="none" w:sz="0" w:space="0" w:color="auto"/>
        <w:right w:val="none" w:sz="0" w:space="0" w:color="auto"/>
      </w:divBdr>
    </w:div>
    <w:div w:id="614361799">
      <w:bodyDiv w:val="1"/>
      <w:marLeft w:val="0"/>
      <w:marRight w:val="0"/>
      <w:marTop w:val="0"/>
      <w:marBottom w:val="0"/>
      <w:divBdr>
        <w:top w:val="none" w:sz="0" w:space="0" w:color="auto"/>
        <w:left w:val="none" w:sz="0" w:space="0" w:color="auto"/>
        <w:bottom w:val="none" w:sz="0" w:space="0" w:color="auto"/>
        <w:right w:val="none" w:sz="0" w:space="0" w:color="auto"/>
      </w:divBdr>
    </w:div>
    <w:div w:id="615258736">
      <w:bodyDiv w:val="1"/>
      <w:marLeft w:val="0"/>
      <w:marRight w:val="0"/>
      <w:marTop w:val="0"/>
      <w:marBottom w:val="0"/>
      <w:divBdr>
        <w:top w:val="none" w:sz="0" w:space="0" w:color="auto"/>
        <w:left w:val="none" w:sz="0" w:space="0" w:color="auto"/>
        <w:bottom w:val="none" w:sz="0" w:space="0" w:color="auto"/>
        <w:right w:val="none" w:sz="0" w:space="0" w:color="auto"/>
      </w:divBdr>
    </w:div>
    <w:div w:id="624391526">
      <w:bodyDiv w:val="1"/>
      <w:marLeft w:val="0"/>
      <w:marRight w:val="0"/>
      <w:marTop w:val="0"/>
      <w:marBottom w:val="0"/>
      <w:divBdr>
        <w:top w:val="none" w:sz="0" w:space="0" w:color="auto"/>
        <w:left w:val="none" w:sz="0" w:space="0" w:color="auto"/>
        <w:bottom w:val="none" w:sz="0" w:space="0" w:color="auto"/>
        <w:right w:val="none" w:sz="0" w:space="0" w:color="auto"/>
      </w:divBdr>
    </w:div>
    <w:div w:id="653872593">
      <w:bodyDiv w:val="1"/>
      <w:marLeft w:val="0"/>
      <w:marRight w:val="0"/>
      <w:marTop w:val="0"/>
      <w:marBottom w:val="0"/>
      <w:divBdr>
        <w:top w:val="none" w:sz="0" w:space="0" w:color="auto"/>
        <w:left w:val="none" w:sz="0" w:space="0" w:color="auto"/>
        <w:bottom w:val="none" w:sz="0" w:space="0" w:color="auto"/>
        <w:right w:val="none" w:sz="0" w:space="0" w:color="auto"/>
      </w:divBdr>
    </w:div>
    <w:div w:id="714430022">
      <w:bodyDiv w:val="1"/>
      <w:marLeft w:val="0"/>
      <w:marRight w:val="0"/>
      <w:marTop w:val="0"/>
      <w:marBottom w:val="0"/>
      <w:divBdr>
        <w:top w:val="none" w:sz="0" w:space="0" w:color="auto"/>
        <w:left w:val="none" w:sz="0" w:space="0" w:color="auto"/>
        <w:bottom w:val="none" w:sz="0" w:space="0" w:color="auto"/>
        <w:right w:val="none" w:sz="0" w:space="0" w:color="auto"/>
      </w:divBdr>
    </w:div>
    <w:div w:id="787823365">
      <w:bodyDiv w:val="1"/>
      <w:marLeft w:val="0"/>
      <w:marRight w:val="0"/>
      <w:marTop w:val="0"/>
      <w:marBottom w:val="0"/>
      <w:divBdr>
        <w:top w:val="none" w:sz="0" w:space="0" w:color="auto"/>
        <w:left w:val="none" w:sz="0" w:space="0" w:color="auto"/>
        <w:bottom w:val="none" w:sz="0" w:space="0" w:color="auto"/>
        <w:right w:val="none" w:sz="0" w:space="0" w:color="auto"/>
      </w:divBdr>
    </w:div>
    <w:div w:id="935097081">
      <w:bodyDiv w:val="1"/>
      <w:marLeft w:val="0"/>
      <w:marRight w:val="0"/>
      <w:marTop w:val="0"/>
      <w:marBottom w:val="0"/>
      <w:divBdr>
        <w:top w:val="none" w:sz="0" w:space="0" w:color="auto"/>
        <w:left w:val="none" w:sz="0" w:space="0" w:color="auto"/>
        <w:bottom w:val="none" w:sz="0" w:space="0" w:color="auto"/>
        <w:right w:val="none" w:sz="0" w:space="0" w:color="auto"/>
      </w:divBdr>
    </w:div>
    <w:div w:id="948314825">
      <w:bodyDiv w:val="1"/>
      <w:marLeft w:val="0"/>
      <w:marRight w:val="0"/>
      <w:marTop w:val="0"/>
      <w:marBottom w:val="0"/>
      <w:divBdr>
        <w:top w:val="none" w:sz="0" w:space="0" w:color="auto"/>
        <w:left w:val="none" w:sz="0" w:space="0" w:color="auto"/>
        <w:bottom w:val="none" w:sz="0" w:space="0" w:color="auto"/>
        <w:right w:val="none" w:sz="0" w:space="0" w:color="auto"/>
      </w:divBdr>
      <w:divsChild>
        <w:div w:id="764113723">
          <w:marLeft w:val="0"/>
          <w:marRight w:val="0"/>
          <w:marTop w:val="0"/>
          <w:marBottom w:val="0"/>
          <w:divBdr>
            <w:top w:val="none" w:sz="0" w:space="0" w:color="auto"/>
            <w:left w:val="none" w:sz="0" w:space="0" w:color="auto"/>
            <w:bottom w:val="none" w:sz="0" w:space="0" w:color="auto"/>
            <w:right w:val="none" w:sz="0" w:space="0" w:color="auto"/>
          </w:divBdr>
          <w:divsChild>
            <w:div w:id="808396564">
              <w:marLeft w:val="0"/>
              <w:marRight w:val="0"/>
              <w:marTop w:val="0"/>
              <w:marBottom w:val="0"/>
              <w:divBdr>
                <w:top w:val="none" w:sz="0" w:space="0" w:color="auto"/>
                <w:left w:val="none" w:sz="0" w:space="0" w:color="auto"/>
                <w:bottom w:val="none" w:sz="0" w:space="0" w:color="auto"/>
                <w:right w:val="none" w:sz="0" w:space="0" w:color="auto"/>
              </w:divBdr>
              <w:divsChild>
                <w:div w:id="839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8629">
      <w:bodyDiv w:val="1"/>
      <w:marLeft w:val="0"/>
      <w:marRight w:val="0"/>
      <w:marTop w:val="0"/>
      <w:marBottom w:val="0"/>
      <w:divBdr>
        <w:top w:val="none" w:sz="0" w:space="0" w:color="auto"/>
        <w:left w:val="none" w:sz="0" w:space="0" w:color="auto"/>
        <w:bottom w:val="none" w:sz="0" w:space="0" w:color="auto"/>
        <w:right w:val="none" w:sz="0" w:space="0" w:color="auto"/>
      </w:divBdr>
    </w:div>
    <w:div w:id="957688858">
      <w:bodyDiv w:val="1"/>
      <w:marLeft w:val="0"/>
      <w:marRight w:val="0"/>
      <w:marTop w:val="0"/>
      <w:marBottom w:val="0"/>
      <w:divBdr>
        <w:top w:val="none" w:sz="0" w:space="0" w:color="auto"/>
        <w:left w:val="none" w:sz="0" w:space="0" w:color="auto"/>
        <w:bottom w:val="none" w:sz="0" w:space="0" w:color="auto"/>
        <w:right w:val="none" w:sz="0" w:space="0" w:color="auto"/>
      </w:divBdr>
    </w:div>
    <w:div w:id="1015427963">
      <w:bodyDiv w:val="1"/>
      <w:marLeft w:val="0"/>
      <w:marRight w:val="0"/>
      <w:marTop w:val="0"/>
      <w:marBottom w:val="0"/>
      <w:divBdr>
        <w:top w:val="none" w:sz="0" w:space="0" w:color="auto"/>
        <w:left w:val="none" w:sz="0" w:space="0" w:color="auto"/>
        <w:bottom w:val="none" w:sz="0" w:space="0" w:color="auto"/>
        <w:right w:val="none" w:sz="0" w:space="0" w:color="auto"/>
      </w:divBdr>
      <w:divsChild>
        <w:div w:id="1557398043">
          <w:marLeft w:val="0"/>
          <w:marRight w:val="0"/>
          <w:marTop w:val="0"/>
          <w:marBottom w:val="0"/>
          <w:divBdr>
            <w:top w:val="none" w:sz="0" w:space="0" w:color="auto"/>
            <w:left w:val="none" w:sz="0" w:space="0" w:color="auto"/>
            <w:bottom w:val="none" w:sz="0" w:space="0" w:color="auto"/>
            <w:right w:val="none" w:sz="0" w:space="0" w:color="auto"/>
          </w:divBdr>
          <w:divsChild>
            <w:div w:id="1679385759">
              <w:marLeft w:val="0"/>
              <w:marRight w:val="0"/>
              <w:marTop w:val="0"/>
              <w:marBottom w:val="0"/>
              <w:divBdr>
                <w:top w:val="none" w:sz="0" w:space="0" w:color="auto"/>
                <w:left w:val="none" w:sz="0" w:space="0" w:color="auto"/>
                <w:bottom w:val="none" w:sz="0" w:space="0" w:color="auto"/>
                <w:right w:val="none" w:sz="0" w:space="0" w:color="auto"/>
              </w:divBdr>
              <w:divsChild>
                <w:div w:id="1432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8988">
      <w:bodyDiv w:val="1"/>
      <w:marLeft w:val="0"/>
      <w:marRight w:val="0"/>
      <w:marTop w:val="0"/>
      <w:marBottom w:val="0"/>
      <w:divBdr>
        <w:top w:val="none" w:sz="0" w:space="0" w:color="auto"/>
        <w:left w:val="none" w:sz="0" w:space="0" w:color="auto"/>
        <w:bottom w:val="none" w:sz="0" w:space="0" w:color="auto"/>
        <w:right w:val="none" w:sz="0" w:space="0" w:color="auto"/>
      </w:divBdr>
    </w:div>
    <w:div w:id="1099064476">
      <w:bodyDiv w:val="1"/>
      <w:marLeft w:val="0"/>
      <w:marRight w:val="0"/>
      <w:marTop w:val="0"/>
      <w:marBottom w:val="0"/>
      <w:divBdr>
        <w:top w:val="none" w:sz="0" w:space="0" w:color="auto"/>
        <w:left w:val="none" w:sz="0" w:space="0" w:color="auto"/>
        <w:bottom w:val="none" w:sz="0" w:space="0" w:color="auto"/>
        <w:right w:val="none" w:sz="0" w:space="0" w:color="auto"/>
      </w:divBdr>
      <w:divsChild>
        <w:div w:id="1824616275">
          <w:marLeft w:val="0"/>
          <w:marRight w:val="0"/>
          <w:marTop w:val="0"/>
          <w:marBottom w:val="0"/>
          <w:divBdr>
            <w:top w:val="none" w:sz="0" w:space="0" w:color="auto"/>
            <w:left w:val="none" w:sz="0" w:space="0" w:color="auto"/>
            <w:bottom w:val="none" w:sz="0" w:space="0" w:color="auto"/>
            <w:right w:val="none" w:sz="0" w:space="0" w:color="auto"/>
          </w:divBdr>
          <w:divsChild>
            <w:div w:id="1805465960">
              <w:marLeft w:val="0"/>
              <w:marRight w:val="1650"/>
              <w:marTop w:val="0"/>
              <w:marBottom w:val="0"/>
              <w:divBdr>
                <w:top w:val="none" w:sz="0" w:space="0" w:color="auto"/>
                <w:left w:val="none" w:sz="0" w:space="0" w:color="auto"/>
                <w:bottom w:val="none" w:sz="0" w:space="0" w:color="auto"/>
                <w:right w:val="none" w:sz="0" w:space="0" w:color="auto"/>
              </w:divBdr>
            </w:div>
          </w:divsChild>
        </w:div>
        <w:div w:id="1824812722">
          <w:marLeft w:val="0"/>
          <w:marRight w:val="0"/>
          <w:marTop w:val="0"/>
          <w:marBottom w:val="0"/>
          <w:divBdr>
            <w:top w:val="none" w:sz="0" w:space="0" w:color="auto"/>
            <w:left w:val="none" w:sz="0" w:space="0" w:color="auto"/>
            <w:bottom w:val="none" w:sz="0" w:space="0" w:color="auto"/>
            <w:right w:val="none" w:sz="0" w:space="0" w:color="auto"/>
          </w:divBdr>
          <w:divsChild>
            <w:div w:id="1524048484">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 w:id="1114251298">
      <w:bodyDiv w:val="1"/>
      <w:marLeft w:val="0"/>
      <w:marRight w:val="0"/>
      <w:marTop w:val="0"/>
      <w:marBottom w:val="0"/>
      <w:divBdr>
        <w:top w:val="none" w:sz="0" w:space="0" w:color="auto"/>
        <w:left w:val="none" w:sz="0" w:space="0" w:color="auto"/>
        <w:bottom w:val="none" w:sz="0" w:space="0" w:color="auto"/>
        <w:right w:val="none" w:sz="0" w:space="0" w:color="auto"/>
      </w:divBdr>
    </w:div>
    <w:div w:id="1116675398">
      <w:bodyDiv w:val="1"/>
      <w:marLeft w:val="0"/>
      <w:marRight w:val="0"/>
      <w:marTop w:val="0"/>
      <w:marBottom w:val="0"/>
      <w:divBdr>
        <w:top w:val="none" w:sz="0" w:space="0" w:color="auto"/>
        <w:left w:val="none" w:sz="0" w:space="0" w:color="auto"/>
        <w:bottom w:val="none" w:sz="0" w:space="0" w:color="auto"/>
        <w:right w:val="none" w:sz="0" w:space="0" w:color="auto"/>
      </w:divBdr>
      <w:divsChild>
        <w:div w:id="2138330710">
          <w:marLeft w:val="0"/>
          <w:marRight w:val="0"/>
          <w:marTop w:val="0"/>
          <w:marBottom w:val="0"/>
          <w:divBdr>
            <w:top w:val="none" w:sz="0" w:space="0" w:color="auto"/>
            <w:left w:val="none" w:sz="0" w:space="0" w:color="auto"/>
            <w:bottom w:val="none" w:sz="0" w:space="0" w:color="auto"/>
            <w:right w:val="none" w:sz="0" w:space="0" w:color="auto"/>
          </w:divBdr>
        </w:div>
      </w:divsChild>
    </w:div>
    <w:div w:id="1120802655">
      <w:bodyDiv w:val="1"/>
      <w:marLeft w:val="0"/>
      <w:marRight w:val="0"/>
      <w:marTop w:val="0"/>
      <w:marBottom w:val="0"/>
      <w:divBdr>
        <w:top w:val="none" w:sz="0" w:space="0" w:color="auto"/>
        <w:left w:val="none" w:sz="0" w:space="0" w:color="auto"/>
        <w:bottom w:val="none" w:sz="0" w:space="0" w:color="auto"/>
        <w:right w:val="none" w:sz="0" w:space="0" w:color="auto"/>
      </w:divBdr>
    </w:div>
    <w:div w:id="1256549979">
      <w:bodyDiv w:val="1"/>
      <w:marLeft w:val="0"/>
      <w:marRight w:val="0"/>
      <w:marTop w:val="0"/>
      <w:marBottom w:val="0"/>
      <w:divBdr>
        <w:top w:val="none" w:sz="0" w:space="0" w:color="auto"/>
        <w:left w:val="none" w:sz="0" w:space="0" w:color="auto"/>
        <w:bottom w:val="none" w:sz="0" w:space="0" w:color="auto"/>
        <w:right w:val="none" w:sz="0" w:space="0" w:color="auto"/>
      </w:divBdr>
    </w:div>
    <w:div w:id="1360354829">
      <w:bodyDiv w:val="1"/>
      <w:marLeft w:val="0"/>
      <w:marRight w:val="0"/>
      <w:marTop w:val="0"/>
      <w:marBottom w:val="0"/>
      <w:divBdr>
        <w:top w:val="none" w:sz="0" w:space="0" w:color="auto"/>
        <w:left w:val="none" w:sz="0" w:space="0" w:color="auto"/>
        <w:bottom w:val="none" w:sz="0" w:space="0" w:color="auto"/>
        <w:right w:val="none" w:sz="0" w:space="0" w:color="auto"/>
      </w:divBdr>
    </w:div>
    <w:div w:id="1394547539">
      <w:bodyDiv w:val="1"/>
      <w:marLeft w:val="0"/>
      <w:marRight w:val="0"/>
      <w:marTop w:val="0"/>
      <w:marBottom w:val="0"/>
      <w:divBdr>
        <w:top w:val="none" w:sz="0" w:space="0" w:color="auto"/>
        <w:left w:val="none" w:sz="0" w:space="0" w:color="auto"/>
        <w:bottom w:val="none" w:sz="0" w:space="0" w:color="auto"/>
        <w:right w:val="none" w:sz="0" w:space="0" w:color="auto"/>
      </w:divBdr>
    </w:div>
    <w:div w:id="1411386763">
      <w:bodyDiv w:val="1"/>
      <w:marLeft w:val="0"/>
      <w:marRight w:val="0"/>
      <w:marTop w:val="0"/>
      <w:marBottom w:val="0"/>
      <w:divBdr>
        <w:top w:val="none" w:sz="0" w:space="0" w:color="auto"/>
        <w:left w:val="none" w:sz="0" w:space="0" w:color="auto"/>
        <w:bottom w:val="none" w:sz="0" w:space="0" w:color="auto"/>
        <w:right w:val="none" w:sz="0" w:space="0" w:color="auto"/>
      </w:divBdr>
    </w:div>
    <w:div w:id="1414281604">
      <w:bodyDiv w:val="1"/>
      <w:marLeft w:val="0"/>
      <w:marRight w:val="0"/>
      <w:marTop w:val="0"/>
      <w:marBottom w:val="0"/>
      <w:divBdr>
        <w:top w:val="none" w:sz="0" w:space="0" w:color="auto"/>
        <w:left w:val="none" w:sz="0" w:space="0" w:color="auto"/>
        <w:bottom w:val="none" w:sz="0" w:space="0" w:color="auto"/>
        <w:right w:val="none" w:sz="0" w:space="0" w:color="auto"/>
      </w:divBdr>
    </w:div>
    <w:div w:id="1420130799">
      <w:bodyDiv w:val="1"/>
      <w:marLeft w:val="0"/>
      <w:marRight w:val="0"/>
      <w:marTop w:val="0"/>
      <w:marBottom w:val="0"/>
      <w:divBdr>
        <w:top w:val="none" w:sz="0" w:space="0" w:color="auto"/>
        <w:left w:val="none" w:sz="0" w:space="0" w:color="auto"/>
        <w:bottom w:val="none" w:sz="0" w:space="0" w:color="auto"/>
        <w:right w:val="none" w:sz="0" w:space="0" w:color="auto"/>
      </w:divBdr>
      <w:divsChild>
        <w:div w:id="468476720">
          <w:marLeft w:val="0"/>
          <w:marRight w:val="0"/>
          <w:marTop w:val="0"/>
          <w:marBottom w:val="0"/>
          <w:divBdr>
            <w:top w:val="none" w:sz="0" w:space="0" w:color="auto"/>
            <w:left w:val="none" w:sz="0" w:space="0" w:color="auto"/>
            <w:bottom w:val="none" w:sz="0" w:space="0" w:color="auto"/>
            <w:right w:val="none" w:sz="0" w:space="0" w:color="auto"/>
          </w:divBdr>
          <w:divsChild>
            <w:div w:id="311763504">
              <w:marLeft w:val="0"/>
              <w:marRight w:val="0"/>
              <w:marTop w:val="0"/>
              <w:marBottom w:val="0"/>
              <w:divBdr>
                <w:top w:val="none" w:sz="0" w:space="0" w:color="auto"/>
                <w:left w:val="none" w:sz="0" w:space="0" w:color="auto"/>
                <w:bottom w:val="none" w:sz="0" w:space="0" w:color="auto"/>
                <w:right w:val="none" w:sz="0" w:space="0" w:color="auto"/>
              </w:divBdr>
              <w:divsChild>
                <w:div w:id="20987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1130">
      <w:bodyDiv w:val="1"/>
      <w:marLeft w:val="0"/>
      <w:marRight w:val="0"/>
      <w:marTop w:val="0"/>
      <w:marBottom w:val="0"/>
      <w:divBdr>
        <w:top w:val="none" w:sz="0" w:space="0" w:color="auto"/>
        <w:left w:val="none" w:sz="0" w:space="0" w:color="auto"/>
        <w:bottom w:val="none" w:sz="0" w:space="0" w:color="auto"/>
        <w:right w:val="none" w:sz="0" w:space="0" w:color="auto"/>
      </w:divBdr>
    </w:div>
    <w:div w:id="1466969936">
      <w:bodyDiv w:val="1"/>
      <w:marLeft w:val="0"/>
      <w:marRight w:val="0"/>
      <w:marTop w:val="0"/>
      <w:marBottom w:val="0"/>
      <w:divBdr>
        <w:top w:val="none" w:sz="0" w:space="0" w:color="auto"/>
        <w:left w:val="none" w:sz="0" w:space="0" w:color="auto"/>
        <w:bottom w:val="none" w:sz="0" w:space="0" w:color="auto"/>
        <w:right w:val="none" w:sz="0" w:space="0" w:color="auto"/>
      </w:divBdr>
    </w:div>
    <w:div w:id="1513567430">
      <w:bodyDiv w:val="1"/>
      <w:marLeft w:val="0"/>
      <w:marRight w:val="0"/>
      <w:marTop w:val="0"/>
      <w:marBottom w:val="0"/>
      <w:divBdr>
        <w:top w:val="none" w:sz="0" w:space="0" w:color="auto"/>
        <w:left w:val="none" w:sz="0" w:space="0" w:color="auto"/>
        <w:bottom w:val="none" w:sz="0" w:space="0" w:color="auto"/>
        <w:right w:val="none" w:sz="0" w:space="0" w:color="auto"/>
      </w:divBdr>
    </w:div>
    <w:div w:id="1617984024">
      <w:bodyDiv w:val="1"/>
      <w:marLeft w:val="0"/>
      <w:marRight w:val="0"/>
      <w:marTop w:val="0"/>
      <w:marBottom w:val="0"/>
      <w:divBdr>
        <w:top w:val="none" w:sz="0" w:space="0" w:color="auto"/>
        <w:left w:val="none" w:sz="0" w:space="0" w:color="auto"/>
        <w:bottom w:val="none" w:sz="0" w:space="0" w:color="auto"/>
        <w:right w:val="none" w:sz="0" w:space="0" w:color="auto"/>
      </w:divBdr>
    </w:div>
    <w:div w:id="1692995859">
      <w:bodyDiv w:val="1"/>
      <w:marLeft w:val="0"/>
      <w:marRight w:val="0"/>
      <w:marTop w:val="0"/>
      <w:marBottom w:val="0"/>
      <w:divBdr>
        <w:top w:val="none" w:sz="0" w:space="0" w:color="auto"/>
        <w:left w:val="none" w:sz="0" w:space="0" w:color="auto"/>
        <w:bottom w:val="none" w:sz="0" w:space="0" w:color="auto"/>
        <w:right w:val="none" w:sz="0" w:space="0" w:color="auto"/>
      </w:divBdr>
    </w:div>
    <w:div w:id="1714570840">
      <w:bodyDiv w:val="1"/>
      <w:marLeft w:val="0"/>
      <w:marRight w:val="0"/>
      <w:marTop w:val="0"/>
      <w:marBottom w:val="0"/>
      <w:divBdr>
        <w:top w:val="none" w:sz="0" w:space="0" w:color="auto"/>
        <w:left w:val="none" w:sz="0" w:space="0" w:color="auto"/>
        <w:bottom w:val="none" w:sz="0" w:space="0" w:color="auto"/>
        <w:right w:val="none" w:sz="0" w:space="0" w:color="auto"/>
      </w:divBdr>
      <w:divsChild>
        <w:div w:id="377976762">
          <w:marLeft w:val="0"/>
          <w:marRight w:val="0"/>
          <w:marTop w:val="0"/>
          <w:marBottom w:val="0"/>
          <w:divBdr>
            <w:top w:val="none" w:sz="0" w:space="0" w:color="auto"/>
            <w:left w:val="none" w:sz="0" w:space="0" w:color="auto"/>
            <w:bottom w:val="none" w:sz="0" w:space="0" w:color="auto"/>
            <w:right w:val="none" w:sz="0" w:space="0" w:color="auto"/>
          </w:divBdr>
          <w:divsChild>
            <w:div w:id="595787810">
              <w:marLeft w:val="0"/>
              <w:marRight w:val="1650"/>
              <w:marTop w:val="0"/>
              <w:marBottom w:val="0"/>
              <w:divBdr>
                <w:top w:val="none" w:sz="0" w:space="0" w:color="auto"/>
                <w:left w:val="none" w:sz="0" w:space="0" w:color="auto"/>
                <w:bottom w:val="none" w:sz="0" w:space="0" w:color="auto"/>
                <w:right w:val="none" w:sz="0" w:space="0" w:color="auto"/>
              </w:divBdr>
            </w:div>
          </w:divsChild>
        </w:div>
        <w:div w:id="241180223">
          <w:marLeft w:val="0"/>
          <w:marRight w:val="0"/>
          <w:marTop w:val="0"/>
          <w:marBottom w:val="0"/>
          <w:divBdr>
            <w:top w:val="none" w:sz="0" w:space="0" w:color="auto"/>
            <w:left w:val="none" w:sz="0" w:space="0" w:color="auto"/>
            <w:bottom w:val="none" w:sz="0" w:space="0" w:color="auto"/>
            <w:right w:val="none" w:sz="0" w:space="0" w:color="auto"/>
          </w:divBdr>
          <w:divsChild>
            <w:div w:id="862324603">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 w:id="1735468520">
      <w:bodyDiv w:val="1"/>
      <w:marLeft w:val="0"/>
      <w:marRight w:val="0"/>
      <w:marTop w:val="0"/>
      <w:marBottom w:val="0"/>
      <w:divBdr>
        <w:top w:val="none" w:sz="0" w:space="0" w:color="auto"/>
        <w:left w:val="none" w:sz="0" w:space="0" w:color="auto"/>
        <w:bottom w:val="none" w:sz="0" w:space="0" w:color="auto"/>
        <w:right w:val="none" w:sz="0" w:space="0" w:color="auto"/>
      </w:divBdr>
    </w:div>
    <w:div w:id="1762679342">
      <w:bodyDiv w:val="1"/>
      <w:marLeft w:val="0"/>
      <w:marRight w:val="0"/>
      <w:marTop w:val="0"/>
      <w:marBottom w:val="0"/>
      <w:divBdr>
        <w:top w:val="none" w:sz="0" w:space="0" w:color="auto"/>
        <w:left w:val="none" w:sz="0" w:space="0" w:color="auto"/>
        <w:bottom w:val="none" w:sz="0" w:space="0" w:color="auto"/>
        <w:right w:val="none" w:sz="0" w:space="0" w:color="auto"/>
      </w:divBdr>
    </w:div>
    <w:div w:id="1888490699">
      <w:bodyDiv w:val="1"/>
      <w:marLeft w:val="0"/>
      <w:marRight w:val="0"/>
      <w:marTop w:val="0"/>
      <w:marBottom w:val="0"/>
      <w:divBdr>
        <w:top w:val="none" w:sz="0" w:space="0" w:color="auto"/>
        <w:left w:val="none" w:sz="0" w:space="0" w:color="auto"/>
        <w:bottom w:val="none" w:sz="0" w:space="0" w:color="auto"/>
        <w:right w:val="none" w:sz="0" w:space="0" w:color="auto"/>
      </w:divBdr>
    </w:div>
    <w:div w:id="1991012310">
      <w:bodyDiv w:val="1"/>
      <w:marLeft w:val="0"/>
      <w:marRight w:val="0"/>
      <w:marTop w:val="0"/>
      <w:marBottom w:val="0"/>
      <w:divBdr>
        <w:top w:val="none" w:sz="0" w:space="0" w:color="auto"/>
        <w:left w:val="none" w:sz="0" w:space="0" w:color="auto"/>
        <w:bottom w:val="none" w:sz="0" w:space="0" w:color="auto"/>
        <w:right w:val="none" w:sz="0" w:space="0" w:color="auto"/>
      </w:divBdr>
    </w:div>
    <w:div w:id="2010668114">
      <w:bodyDiv w:val="1"/>
      <w:marLeft w:val="0"/>
      <w:marRight w:val="0"/>
      <w:marTop w:val="0"/>
      <w:marBottom w:val="0"/>
      <w:divBdr>
        <w:top w:val="none" w:sz="0" w:space="0" w:color="auto"/>
        <w:left w:val="none" w:sz="0" w:space="0" w:color="auto"/>
        <w:bottom w:val="none" w:sz="0" w:space="0" w:color="auto"/>
        <w:right w:val="none" w:sz="0" w:space="0" w:color="auto"/>
      </w:divBdr>
    </w:div>
    <w:div w:id="2019383609">
      <w:bodyDiv w:val="1"/>
      <w:marLeft w:val="0"/>
      <w:marRight w:val="0"/>
      <w:marTop w:val="0"/>
      <w:marBottom w:val="0"/>
      <w:divBdr>
        <w:top w:val="none" w:sz="0" w:space="0" w:color="auto"/>
        <w:left w:val="none" w:sz="0" w:space="0" w:color="auto"/>
        <w:bottom w:val="none" w:sz="0" w:space="0" w:color="auto"/>
        <w:right w:val="none" w:sz="0" w:space="0" w:color="auto"/>
      </w:divBdr>
    </w:div>
    <w:div w:id="2028166297">
      <w:bodyDiv w:val="1"/>
      <w:marLeft w:val="0"/>
      <w:marRight w:val="0"/>
      <w:marTop w:val="0"/>
      <w:marBottom w:val="0"/>
      <w:divBdr>
        <w:top w:val="none" w:sz="0" w:space="0" w:color="auto"/>
        <w:left w:val="none" w:sz="0" w:space="0" w:color="auto"/>
        <w:bottom w:val="none" w:sz="0" w:space="0" w:color="auto"/>
        <w:right w:val="none" w:sz="0" w:space="0" w:color="auto"/>
      </w:divBdr>
    </w:div>
    <w:div w:id="20408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onseil-etat.fr/fr/arianeweb/CE/decision/2021-04-21/393099" TargetMode="External"/><Relationship Id="rId13" Type="http://schemas.openxmlformats.org/officeDocument/2006/relationships/hyperlink" Target="https://www.assemblee-nationale.fr/dyn/15/textes/l15b3452_proposition-loi" TargetMode="External"/><Relationship Id="rId18" Type="http://schemas.openxmlformats.org/officeDocument/2006/relationships/hyperlink" Target="https://privacyinternational.org/long-read/4372/my-id-my-identity-impact-id-systems-transgender-people-argentina-france-and" TargetMode="External"/><Relationship Id="rId3" Type="http://schemas.openxmlformats.org/officeDocument/2006/relationships/hyperlink" Target="https://pvcy.org/trackingglobalresponsefrance" TargetMode="External"/><Relationship Id="rId7" Type="http://schemas.openxmlformats.org/officeDocument/2006/relationships/hyperlink" Target="https://privacyinternational.org/sites/default/files/2020-10/PI%20CJEU%20judgment.pdf" TargetMode="External"/><Relationship Id="rId12" Type="http://schemas.openxmlformats.org/officeDocument/2006/relationships/hyperlink" Target="https://www.cnil.fr/sites/default/files/atoms/files/deliberation_2021-040_du_8_avril_2021_portant_avis_sur_le_projet_de_loi_relatif_a_la_prevention_dactes_de_terrorisme_et_au_renseignement.pdf" TargetMode="External"/><Relationship Id="rId17" Type="http://schemas.openxmlformats.org/officeDocument/2006/relationships/hyperlink" Target="https://www.conseil-constitutionnel.fr/decision/2021/2021817DC.htm" TargetMode="External"/><Relationship Id="rId2" Type="http://schemas.openxmlformats.org/officeDocument/2006/relationships/hyperlink" Target="https://www.legifrance.gouv.fr/loda/id/JORFTEXT000042424377?init=true&amp;page=1&amp;query=2020-1257&amp;searchField=ALL&amp;tab_selection=all" TargetMode="External"/><Relationship Id="rId16" Type="http://schemas.openxmlformats.org/officeDocument/2006/relationships/hyperlink" Target="https://privacyinternational.org/learn/mass-surveillance" TargetMode="External"/><Relationship Id="rId20" Type="http://schemas.openxmlformats.org/officeDocument/2006/relationships/hyperlink" Target="https://privacyinternational.org/long-read/4372/my-id-my-identity-impact-id-systems-transgender-people-argentina-france-and" TargetMode="External"/><Relationship Id="rId1" Type="http://schemas.openxmlformats.org/officeDocument/2006/relationships/hyperlink" Target="https://www.legifrance.gouv.fr/loda/id/JORFTEXT000041746313/" TargetMode="External"/><Relationship Id="rId6" Type="http://schemas.openxmlformats.org/officeDocument/2006/relationships/hyperlink" Target="https://tbinternet.ohchr.org/Treaties/CCPR/Shared%20Documents/FRA/INT_CCPR_CSS_FRA_20744_E.pdf" TargetMode="External"/><Relationship Id="rId11" Type="http://schemas.openxmlformats.org/officeDocument/2006/relationships/hyperlink" Target="http://www.senat.fr/rap/r19-506/r19-5067.html" TargetMode="External"/><Relationship Id="rId5" Type="http://schemas.openxmlformats.org/officeDocument/2006/relationships/hyperlink" Target="https://www.conseil-etat.fr/ressources/decisions-contentieuses/dernieres-decisions-importantes/conseil-d-etat-18-mai-2020-surveillance-par-drones" TargetMode="External"/><Relationship Id="rId15" Type="http://schemas.openxmlformats.org/officeDocument/2006/relationships/hyperlink" Target="https://www.assemblee-nationale.fr/dyn/15/textes/l15b4127_proposition-loi.pdf" TargetMode="External"/><Relationship Id="rId10" Type="http://schemas.openxmlformats.org/officeDocument/2006/relationships/hyperlink" Target="https://tbinternet.ohchr.org/_layouts/15/treatybodyexternal/Download.aspx?symbolno=CCPR/C/FRA/CO/5&amp;Lang=En" TargetMode="External"/><Relationship Id="rId19" Type="http://schemas.openxmlformats.org/officeDocument/2006/relationships/hyperlink" Target="https://www.defenseurdesdroits.fr/sites/default/files/atoms/files/decision_cadre_ndeg2020-136_1.pdf" TargetMode="External"/><Relationship Id="rId4" Type="http://schemas.openxmlformats.org/officeDocument/2006/relationships/hyperlink" Target="https://www.legifrance.gouv.fr/cnil/id/CNILTEXT000042125452" TargetMode="External"/><Relationship Id="rId9" Type="http://schemas.openxmlformats.org/officeDocument/2006/relationships/hyperlink" Target="https://www.assemblee-nationale.fr/dyn/15/textes/l15b4104_projet-loi" TargetMode="External"/><Relationship Id="rId14" Type="http://schemas.openxmlformats.org/officeDocument/2006/relationships/hyperlink" Target="https://www.france24.com/fr/france/20210415-la-loi-s%C3%A9curit%C3%A9-globale-d%C3%A9finitivement-adopt%C3%A9e-par-le-par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2C686-CC39-C343-AAE0-6DCCF22A89BB}">
  <ds:schemaRefs>
    <ds:schemaRef ds:uri="http://schemas.openxmlformats.org/officeDocument/2006/bibliography"/>
  </ds:schemaRefs>
</ds:datastoreItem>
</file>

<file path=customXml/itemProps2.xml><?xml version="1.0" encoding="utf-8"?>
<ds:datastoreItem xmlns:ds="http://schemas.openxmlformats.org/officeDocument/2006/customXml" ds:itemID="{4264F270-2F6D-4EBE-B58F-2C2F0B01175E}"/>
</file>

<file path=customXml/itemProps3.xml><?xml version="1.0" encoding="utf-8"?>
<ds:datastoreItem xmlns:ds="http://schemas.openxmlformats.org/officeDocument/2006/customXml" ds:itemID="{7929A844-1657-483E-8D2D-D6D68C06B1C3}"/>
</file>

<file path=customXml/itemProps4.xml><?xml version="1.0" encoding="utf-8"?>
<ds:datastoreItem xmlns:ds="http://schemas.openxmlformats.org/officeDocument/2006/customXml" ds:itemID="{F2A05827-7D13-4849-A334-9FA5A3EAE76F}"/>
</file>

<file path=docProps/app.xml><?xml version="1.0" encoding="utf-8"?>
<Properties xmlns="http://schemas.openxmlformats.org/officeDocument/2006/extended-properties" xmlns:vt="http://schemas.openxmlformats.org/officeDocument/2006/docPropsVTypes">
  <Template>Normal.dotm</Template>
  <TotalTime>1</TotalTime>
  <Pages>7</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Siatitsa</dc:creator>
  <cp:keywords/>
  <dc:description/>
  <cp:lastModifiedBy>Ilia Siatitsa</cp:lastModifiedBy>
  <cp:revision>2</cp:revision>
  <dcterms:created xsi:type="dcterms:W3CDTF">2021-05-21T17:05:00Z</dcterms:created>
  <dcterms:modified xsi:type="dcterms:W3CDTF">2021-05-21T17:05:00Z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