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10795" w14:textId="77777777" w:rsidR="00FF10FA" w:rsidRDefault="00FF10FA" w:rsidP="00A52B2B">
      <w:pPr>
        <w:pStyle w:val="Title"/>
        <w:jc w:val="center"/>
        <w:rPr>
          <w:sz w:val="36"/>
          <w:szCs w:val="36"/>
          <w:highlight w:val="yellow"/>
        </w:rPr>
      </w:pPr>
    </w:p>
    <w:p w14:paraId="20375C55" w14:textId="77777777" w:rsidR="00EF2E0C" w:rsidRDefault="00EF2E0C" w:rsidP="00B50456">
      <w:pPr>
        <w:pStyle w:val="Title"/>
        <w:jc w:val="center"/>
        <w:rPr>
          <w:sz w:val="36"/>
          <w:szCs w:val="36"/>
        </w:rPr>
      </w:pPr>
    </w:p>
    <w:p w14:paraId="39DD7022" w14:textId="469951B9" w:rsidR="00B50456" w:rsidRDefault="00B50456" w:rsidP="00B50456">
      <w:pPr>
        <w:pStyle w:val="Title"/>
        <w:jc w:val="center"/>
        <w:rPr>
          <w:sz w:val="36"/>
          <w:szCs w:val="36"/>
        </w:rPr>
      </w:pPr>
      <w:r>
        <w:rPr>
          <w:sz w:val="36"/>
          <w:szCs w:val="36"/>
        </w:rPr>
        <w:t>Uganda</w:t>
      </w:r>
      <w:r w:rsidR="007578CE" w:rsidRPr="00A52B2B">
        <w:rPr>
          <w:sz w:val="36"/>
          <w:szCs w:val="36"/>
        </w:rPr>
        <w:t>: A Brief on the Implementation of CEDAW Commitments from Articles 2, 5, 11,</w:t>
      </w:r>
      <w:r w:rsidR="00EF2E0C">
        <w:rPr>
          <w:sz w:val="36"/>
          <w:szCs w:val="36"/>
        </w:rPr>
        <w:t xml:space="preserve"> and</w:t>
      </w:r>
      <w:r w:rsidR="007578CE" w:rsidRPr="00A52B2B">
        <w:rPr>
          <w:sz w:val="36"/>
          <w:szCs w:val="36"/>
        </w:rPr>
        <w:t xml:space="preserve"> 16 </w:t>
      </w:r>
    </w:p>
    <w:p w14:paraId="0AB57440" w14:textId="77777777" w:rsidR="00B50456" w:rsidRPr="00B50456" w:rsidRDefault="00B50456" w:rsidP="00B50456"/>
    <w:p w14:paraId="5D2850D8" w14:textId="4374C71D" w:rsidR="00A52B2B" w:rsidRDefault="00A52B2B" w:rsidP="00A52B2B"/>
    <w:p w14:paraId="26614687" w14:textId="3323BED6" w:rsidR="00FF10FA" w:rsidRPr="0024558B" w:rsidRDefault="00FF10FA"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0" w:name="_Toc12626227"/>
      <w:bookmarkStart w:id="1" w:name="_Toc23330163"/>
      <w:bookmarkStart w:id="2" w:name="_Toc58848581"/>
      <w:bookmarkStart w:id="3" w:name="_Toc59177879"/>
      <w:bookmarkStart w:id="4" w:name="_Toc61251926"/>
      <w:bookmarkStart w:id="5" w:name="_Toc61252036"/>
      <w:r w:rsidRPr="0024558B">
        <w:rPr>
          <w:rFonts w:asciiTheme="majorHAnsi" w:eastAsiaTheme="majorEastAsia" w:hAnsiTheme="majorHAnsi" w:cstheme="majorBidi"/>
          <w:i/>
          <w:iCs/>
          <w:color w:val="4A66AC" w:themeColor="accent1"/>
          <w:sz w:val="24"/>
          <w:szCs w:val="24"/>
        </w:rPr>
        <w:t xml:space="preserve">Information for the Committee on </w:t>
      </w:r>
      <w:bookmarkEnd w:id="0"/>
      <w:bookmarkEnd w:id="1"/>
      <w:r>
        <w:rPr>
          <w:rFonts w:asciiTheme="majorHAnsi" w:eastAsiaTheme="majorEastAsia" w:hAnsiTheme="majorHAnsi" w:cstheme="majorBidi"/>
          <w:i/>
          <w:iCs/>
          <w:color w:val="4A66AC" w:themeColor="accent1"/>
          <w:sz w:val="24"/>
          <w:szCs w:val="24"/>
        </w:rPr>
        <w:t>the Elimination of Discrimination Against Women</w:t>
      </w:r>
      <w:bookmarkEnd w:id="2"/>
      <w:bookmarkEnd w:id="3"/>
      <w:bookmarkEnd w:id="4"/>
      <w:bookmarkEnd w:id="5"/>
    </w:p>
    <w:p w14:paraId="7CDB7DC9" w14:textId="46B0E332" w:rsidR="00FF10FA" w:rsidRPr="0024558B" w:rsidRDefault="00B50456" w:rsidP="00FF10FA">
      <w:pPr>
        <w:keepNext/>
        <w:keepLines/>
        <w:spacing w:before="0" w:after="0"/>
        <w:jc w:val="center"/>
        <w:outlineLvl w:val="0"/>
        <w:rPr>
          <w:rFonts w:asciiTheme="majorHAnsi" w:eastAsiaTheme="majorEastAsia" w:hAnsiTheme="majorHAnsi" w:cstheme="majorBidi"/>
          <w:i/>
          <w:iCs/>
          <w:color w:val="4A66AC" w:themeColor="accent1"/>
          <w:sz w:val="24"/>
          <w:szCs w:val="24"/>
        </w:rPr>
      </w:pPr>
      <w:bookmarkStart w:id="6" w:name="_Toc12626228"/>
      <w:bookmarkStart w:id="7" w:name="_Toc23330164"/>
      <w:bookmarkStart w:id="8" w:name="_Toc58848582"/>
      <w:bookmarkStart w:id="9" w:name="_Toc59177880"/>
      <w:bookmarkStart w:id="10" w:name="_Toc61251927"/>
      <w:bookmarkStart w:id="11" w:name="_Toc61252037"/>
      <w:r w:rsidRPr="00654513">
        <w:rPr>
          <w:rFonts w:asciiTheme="majorHAnsi" w:eastAsiaTheme="majorEastAsia" w:hAnsiTheme="majorHAnsi" w:cstheme="majorBidi"/>
          <w:i/>
          <w:iCs/>
          <w:color w:val="4A66AC" w:themeColor="accent1"/>
          <w:sz w:val="24"/>
          <w:szCs w:val="24"/>
        </w:rPr>
        <w:t>80</w:t>
      </w:r>
      <w:r w:rsidR="00FF10FA" w:rsidRPr="00654513">
        <w:rPr>
          <w:rFonts w:asciiTheme="majorHAnsi" w:eastAsiaTheme="majorEastAsia" w:hAnsiTheme="majorHAnsi" w:cstheme="majorBidi"/>
          <w:i/>
          <w:iCs/>
          <w:color w:val="4A66AC" w:themeColor="accent1"/>
          <w:sz w:val="24"/>
          <w:szCs w:val="24"/>
          <w:vertAlign w:val="superscript"/>
        </w:rPr>
        <w:t>th</w:t>
      </w:r>
      <w:r w:rsidR="00FF10FA" w:rsidRPr="0024558B">
        <w:rPr>
          <w:rFonts w:asciiTheme="majorHAnsi" w:eastAsiaTheme="majorEastAsia" w:hAnsiTheme="majorHAnsi" w:cstheme="majorBidi"/>
          <w:i/>
          <w:iCs/>
          <w:color w:val="4A66AC" w:themeColor="accent1"/>
          <w:sz w:val="24"/>
          <w:szCs w:val="24"/>
        </w:rPr>
        <w:t xml:space="preserve"> Pre-Session Working Group, </w:t>
      </w:r>
      <w:bookmarkEnd w:id="6"/>
      <w:bookmarkEnd w:id="7"/>
      <w:r w:rsidR="00630F12">
        <w:rPr>
          <w:rFonts w:asciiTheme="majorHAnsi" w:eastAsiaTheme="majorEastAsia" w:hAnsiTheme="majorHAnsi" w:cstheme="majorBidi"/>
          <w:i/>
          <w:iCs/>
          <w:color w:val="4A66AC" w:themeColor="accent1"/>
          <w:sz w:val="24"/>
          <w:szCs w:val="24"/>
        </w:rPr>
        <w:t>March</w:t>
      </w:r>
      <w:r>
        <w:rPr>
          <w:rFonts w:asciiTheme="majorHAnsi" w:eastAsiaTheme="majorEastAsia" w:hAnsiTheme="majorHAnsi" w:cstheme="majorBidi"/>
          <w:i/>
          <w:iCs/>
          <w:color w:val="4A66AC" w:themeColor="accent1"/>
          <w:sz w:val="24"/>
          <w:szCs w:val="24"/>
        </w:rPr>
        <w:t xml:space="preserve"> 2021</w:t>
      </w:r>
      <w:bookmarkEnd w:id="8"/>
      <w:bookmarkEnd w:id="9"/>
      <w:bookmarkEnd w:id="10"/>
      <w:bookmarkEnd w:id="11"/>
    </w:p>
    <w:p w14:paraId="2B6F186F" w14:textId="254ADC08" w:rsidR="00CF442E" w:rsidRDefault="00CF442E" w:rsidP="00CF442E"/>
    <w:p w14:paraId="43E7EF01" w14:textId="33C8D9DF" w:rsidR="00A52B2B" w:rsidRDefault="00A52B2B" w:rsidP="00CF442E"/>
    <w:p w14:paraId="3B5B180E" w14:textId="30B694F9" w:rsidR="00A52B2B" w:rsidRDefault="00A52B2B" w:rsidP="00CF442E"/>
    <w:p w14:paraId="677DDDA9" w14:textId="62AD87FD" w:rsidR="00A52B2B" w:rsidRDefault="00A52B2B" w:rsidP="00CF442E"/>
    <w:p w14:paraId="3646EED2" w14:textId="5A44B612" w:rsidR="00A52B2B" w:rsidRDefault="00A52B2B" w:rsidP="00CF442E"/>
    <w:p w14:paraId="1909AAD5" w14:textId="22EB5C23" w:rsidR="00A52B2B" w:rsidRDefault="00A52B2B" w:rsidP="00CF442E"/>
    <w:p w14:paraId="3A3A6B61" w14:textId="6E3638B5" w:rsidR="00A52B2B" w:rsidRDefault="00A52B2B" w:rsidP="00CF442E"/>
    <w:p w14:paraId="312A7B1B" w14:textId="45C17E52" w:rsidR="00A52B2B" w:rsidRDefault="00A52B2B" w:rsidP="00CF442E"/>
    <w:p w14:paraId="2B17DC84" w14:textId="4D738DCB" w:rsidR="00A52B2B" w:rsidRDefault="00A52B2B" w:rsidP="00CF442E"/>
    <w:p w14:paraId="6513766A" w14:textId="36B2C043" w:rsidR="00A52B2B" w:rsidRDefault="00A52B2B" w:rsidP="00CF442E"/>
    <w:p w14:paraId="02869892" w14:textId="0097BE6F" w:rsidR="00A52B2B" w:rsidRDefault="00A52B2B" w:rsidP="00CF442E"/>
    <w:p w14:paraId="58714DF0" w14:textId="669E06DD" w:rsidR="00A52B2B" w:rsidRDefault="00A52B2B" w:rsidP="00CF442E"/>
    <w:p w14:paraId="577A41C6" w14:textId="083A1B94" w:rsidR="00FF10FA" w:rsidRDefault="00FF10FA" w:rsidP="00CF442E"/>
    <w:p w14:paraId="3840BDA8" w14:textId="77777777" w:rsidR="00FF10FA" w:rsidRDefault="00FF10FA" w:rsidP="00CF442E"/>
    <w:p w14:paraId="032EFCFD"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b/>
          <w:iCs/>
          <w:color w:val="4A66AC" w:themeColor="accent1"/>
          <w:sz w:val="24"/>
          <w:szCs w:val="24"/>
        </w:rPr>
      </w:pPr>
      <w:bookmarkStart w:id="12" w:name="_Toc53065025"/>
      <w:bookmarkStart w:id="13" w:name="_Toc53065047"/>
      <w:bookmarkStart w:id="14" w:name="_Toc53065076"/>
      <w:bookmarkStart w:id="15" w:name="_Toc53066332"/>
      <w:bookmarkStart w:id="16" w:name="_Toc53066387"/>
      <w:bookmarkStart w:id="17" w:name="_Toc58848583"/>
      <w:bookmarkStart w:id="18" w:name="_Toc59177881"/>
      <w:bookmarkStart w:id="19" w:name="_Toc61251928"/>
      <w:bookmarkStart w:id="20" w:name="_Toc61252038"/>
      <w:r w:rsidRPr="0024558B">
        <w:rPr>
          <w:rFonts w:asciiTheme="majorHAnsi" w:eastAsiaTheme="majorEastAsia" w:hAnsiTheme="majorHAnsi" w:cstheme="majorBidi"/>
          <w:b/>
          <w:iCs/>
          <w:color w:val="4A66AC" w:themeColor="accent1"/>
          <w:sz w:val="24"/>
          <w:szCs w:val="24"/>
        </w:rPr>
        <w:t>Submitted By</w:t>
      </w:r>
      <w:bookmarkEnd w:id="12"/>
      <w:bookmarkEnd w:id="13"/>
      <w:bookmarkEnd w:id="14"/>
      <w:bookmarkEnd w:id="15"/>
      <w:bookmarkEnd w:id="16"/>
      <w:bookmarkEnd w:id="17"/>
      <w:bookmarkEnd w:id="18"/>
      <w:bookmarkEnd w:id="19"/>
      <w:bookmarkEnd w:id="20"/>
    </w:p>
    <w:p w14:paraId="3CAC324E"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21" w:name="_Toc53065026"/>
      <w:bookmarkStart w:id="22" w:name="_Toc53065048"/>
      <w:bookmarkStart w:id="23" w:name="_Toc53065077"/>
      <w:bookmarkStart w:id="24" w:name="_Toc53066333"/>
      <w:bookmarkStart w:id="25" w:name="_Toc53066388"/>
      <w:bookmarkStart w:id="26" w:name="_Toc58848584"/>
      <w:bookmarkStart w:id="27" w:name="_Toc59177882"/>
      <w:bookmarkStart w:id="28" w:name="_Toc61251929"/>
      <w:bookmarkStart w:id="29" w:name="_Toc61252039"/>
      <w:r w:rsidRPr="0024558B">
        <w:rPr>
          <w:rFonts w:asciiTheme="majorHAnsi" w:eastAsiaTheme="majorEastAsia" w:hAnsiTheme="majorHAnsi" w:cstheme="majorBidi"/>
          <w:iCs/>
          <w:color w:val="4A66AC" w:themeColor="accent1"/>
          <w:sz w:val="24"/>
          <w:szCs w:val="24"/>
        </w:rPr>
        <w:t>The WORLD Policy Analysis Center</w:t>
      </w:r>
      <w:bookmarkEnd w:id="21"/>
      <w:bookmarkEnd w:id="22"/>
      <w:bookmarkEnd w:id="23"/>
      <w:bookmarkEnd w:id="24"/>
      <w:bookmarkEnd w:id="25"/>
      <w:bookmarkEnd w:id="26"/>
      <w:bookmarkEnd w:id="27"/>
      <w:bookmarkEnd w:id="28"/>
      <w:bookmarkEnd w:id="29"/>
    </w:p>
    <w:p w14:paraId="35129D40" w14:textId="77777777" w:rsidR="00FF10FA" w:rsidRPr="0024558B" w:rsidRDefault="00FF10FA" w:rsidP="00FF10FA">
      <w:pPr>
        <w:keepNext/>
        <w:keepLines/>
        <w:spacing w:before="0" w:after="40" w:line="360" w:lineRule="auto"/>
        <w:jc w:val="center"/>
        <w:outlineLvl w:val="0"/>
        <w:rPr>
          <w:rFonts w:asciiTheme="majorHAnsi" w:eastAsiaTheme="majorEastAsia" w:hAnsiTheme="majorHAnsi" w:cstheme="majorBidi"/>
          <w:iCs/>
          <w:color w:val="4A66AC" w:themeColor="accent1"/>
          <w:sz w:val="24"/>
          <w:szCs w:val="24"/>
        </w:rPr>
      </w:pPr>
      <w:bookmarkStart w:id="30" w:name="_Toc53065027"/>
      <w:bookmarkStart w:id="31" w:name="_Toc53065049"/>
      <w:bookmarkStart w:id="32" w:name="_Toc53065078"/>
      <w:bookmarkStart w:id="33" w:name="_Toc53066334"/>
      <w:bookmarkStart w:id="34" w:name="_Toc53066389"/>
      <w:bookmarkStart w:id="35" w:name="_Toc58848585"/>
      <w:bookmarkStart w:id="36" w:name="_Toc59177883"/>
      <w:bookmarkStart w:id="37" w:name="_Toc61251930"/>
      <w:bookmarkStart w:id="38" w:name="_Toc61252040"/>
      <w:r w:rsidRPr="0024558B">
        <w:rPr>
          <w:rFonts w:asciiTheme="majorHAnsi" w:eastAsiaTheme="majorEastAsia" w:hAnsiTheme="majorHAnsi" w:cstheme="majorBidi"/>
          <w:iCs/>
          <w:color w:val="4A66AC" w:themeColor="accent1"/>
          <w:sz w:val="24"/>
          <w:szCs w:val="24"/>
        </w:rPr>
        <w:t>University of California, Los Angeles</w:t>
      </w:r>
      <w:bookmarkEnd w:id="30"/>
      <w:bookmarkEnd w:id="31"/>
      <w:bookmarkEnd w:id="32"/>
      <w:bookmarkEnd w:id="33"/>
      <w:bookmarkEnd w:id="34"/>
      <w:bookmarkEnd w:id="35"/>
      <w:bookmarkEnd w:id="36"/>
      <w:bookmarkEnd w:id="37"/>
      <w:bookmarkEnd w:id="38"/>
      <w:r w:rsidRPr="0024558B">
        <w:rPr>
          <w:rFonts w:asciiTheme="majorHAnsi" w:eastAsiaTheme="majorEastAsia" w:hAnsiTheme="majorHAnsi" w:cstheme="majorBidi"/>
          <w:iCs/>
          <w:color w:val="4A66AC" w:themeColor="accent1"/>
          <w:sz w:val="24"/>
          <w:szCs w:val="24"/>
        </w:rPr>
        <w:t xml:space="preserve"> </w:t>
      </w:r>
    </w:p>
    <w:p w14:paraId="491EB2E3" w14:textId="39C178B8" w:rsidR="00A52B2B" w:rsidRDefault="00A52B2B" w:rsidP="00CF442E"/>
    <w:p w14:paraId="4E4104E8" w14:textId="2F661EDC" w:rsidR="00A52B2B" w:rsidRDefault="00A52B2B" w:rsidP="00CF442E"/>
    <w:p w14:paraId="7BBAAAF2" w14:textId="433CFBA0" w:rsidR="00A52B2B" w:rsidRDefault="00A52B2B" w:rsidP="00CF442E"/>
    <w:sdt>
      <w:sdtPr>
        <w:rPr>
          <w:caps w:val="0"/>
          <w:color w:val="auto"/>
          <w:spacing w:val="0"/>
          <w:sz w:val="20"/>
          <w:szCs w:val="20"/>
        </w:rPr>
        <w:id w:val="-1966034622"/>
        <w:docPartObj>
          <w:docPartGallery w:val="Table of Contents"/>
          <w:docPartUnique/>
        </w:docPartObj>
      </w:sdtPr>
      <w:sdtEndPr>
        <w:rPr>
          <w:b/>
          <w:bCs/>
          <w:noProof/>
        </w:rPr>
      </w:sdtEndPr>
      <w:sdtContent>
        <w:p w14:paraId="7876AFBC" w14:textId="6A2FC36A" w:rsidR="00B50456" w:rsidRDefault="00B50456">
          <w:pPr>
            <w:pStyle w:val="TOCHeading"/>
          </w:pPr>
          <w:r>
            <w:t>Contents</w:t>
          </w:r>
        </w:p>
        <w:p w14:paraId="02E0FD81" w14:textId="77777777" w:rsidR="00EF2E0C" w:rsidRDefault="00EF2E0C">
          <w:pPr>
            <w:pStyle w:val="TOC1"/>
            <w:tabs>
              <w:tab w:val="right" w:leader="dot" w:pos="9350"/>
            </w:tabs>
          </w:pPr>
        </w:p>
        <w:p w14:paraId="3E00D2F6" w14:textId="387B0169" w:rsidR="00F616A4" w:rsidRPr="006D7744" w:rsidRDefault="00B50456">
          <w:pPr>
            <w:pStyle w:val="TOC1"/>
            <w:tabs>
              <w:tab w:val="right" w:leader="dot" w:pos="9350"/>
            </w:tabs>
            <w:rPr>
              <w:rFonts w:ascii="Calibri" w:hAnsi="Calibri" w:cs="Calibri"/>
              <w:noProof/>
              <w:sz w:val="22"/>
              <w:szCs w:val="22"/>
            </w:rPr>
          </w:pPr>
          <w:r w:rsidRPr="005771B5">
            <w:rPr>
              <w:sz w:val="22"/>
              <w:szCs w:val="22"/>
            </w:rPr>
            <w:fldChar w:fldCharType="begin"/>
          </w:r>
          <w:r w:rsidRPr="005771B5">
            <w:rPr>
              <w:sz w:val="22"/>
              <w:szCs w:val="22"/>
            </w:rPr>
            <w:instrText xml:space="preserve"> TOC \o "1-3" \h \z \u </w:instrText>
          </w:r>
          <w:r w:rsidRPr="005771B5">
            <w:rPr>
              <w:sz w:val="22"/>
              <w:szCs w:val="22"/>
            </w:rPr>
            <w:fldChar w:fldCharType="separate"/>
          </w:r>
          <w:hyperlink w:anchor="_Toc61252041" w:history="1">
            <w:r w:rsidR="00F616A4" w:rsidRPr="006D7744">
              <w:rPr>
                <w:rStyle w:val="Hyperlink"/>
                <w:rFonts w:ascii="Calibri" w:hAnsi="Calibri" w:cs="Calibri"/>
                <w:b/>
                <w:bCs/>
                <w:noProof/>
                <w:sz w:val="22"/>
                <w:szCs w:val="22"/>
              </w:rPr>
              <w:t>Introduction</w:t>
            </w:r>
            <w:bookmarkStart w:id="39" w:name="_GoBack"/>
            <w:bookmarkEnd w:id="39"/>
            <w:r w:rsidR="00F616A4" w:rsidRPr="006D7744">
              <w:rPr>
                <w:rFonts w:ascii="Calibri" w:hAnsi="Calibri" w:cs="Calibri"/>
                <w:noProof/>
                <w:webHidden/>
                <w:sz w:val="22"/>
                <w:szCs w:val="22"/>
              </w:rPr>
              <w:tab/>
            </w:r>
            <w:r w:rsidR="00F616A4" w:rsidRPr="006D7744">
              <w:rPr>
                <w:rFonts w:ascii="Calibri" w:hAnsi="Calibri" w:cs="Calibri"/>
                <w:noProof/>
                <w:webHidden/>
                <w:sz w:val="22"/>
                <w:szCs w:val="22"/>
              </w:rPr>
              <w:fldChar w:fldCharType="begin"/>
            </w:r>
            <w:r w:rsidR="00F616A4" w:rsidRPr="006D7744">
              <w:rPr>
                <w:rFonts w:ascii="Calibri" w:hAnsi="Calibri" w:cs="Calibri"/>
                <w:noProof/>
                <w:webHidden/>
                <w:sz w:val="22"/>
                <w:szCs w:val="22"/>
              </w:rPr>
              <w:instrText xml:space="preserve"> PAGEREF _Toc61252041 \h </w:instrText>
            </w:r>
            <w:r w:rsidR="00F616A4" w:rsidRPr="006D7744">
              <w:rPr>
                <w:rFonts w:ascii="Calibri" w:hAnsi="Calibri" w:cs="Calibri"/>
                <w:noProof/>
                <w:webHidden/>
                <w:sz w:val="22"/>
                <w:szCs w:val="22"/>
              </w:rPr>
            </w:r>
            <w:r w:rsidR="00F616A4" w:rsidRPr="006D7744">
              <w:rPr>
                <w:rFonts w:ascii="Calibri" w:hAnsi="Calibri" w:cs="Calibri"/>
                <w:noProof/>
                <w:webHidden/>
                <w:sz w:val="22"/>
                <w:szCs w:val="22"/>
              </w:rPr>
              <w:fldChar w:fldCharType="separate"/>
            </w:r>
            <w:r w:rsidR="00F616A4" w:rsidRPr="006D7744">
              <w:rPr>
                <w:rFonts w:ascii="Calibri" w:hAnsi="Calibri" w:cs="Calibri"/>
                <w:noProof/>
                <w:webHidden/>
                <w:sz w:val="22"/>
                <w:szCs w:val="22"/>
              </w:rPr>
              <w:t>2</w:t>
            </w:r>
            <w:r w:rsidR="00F616A4" w:rsidRPr="006D7744">
              <w:rPr>
                <w:rFonts w:ascii="Calibri" w:hAnsi="Calibri" w:cs="Calibri"/>
                <w:noProof/>
                <w:webHidden/>
                <w:sz w:val="22"/>
                <w:szCs w:val="22"/>
              </w:rPr>
              <w:fldChar w:fldCharType="end"/>
            </w:r>
          </w:hyperlink>
        </w:p>
        <w:p w14:paraId="0C69E26F" w14:textId="77777777" w:rsidR="00EF2E0C" w:rsidRPr="006D7744" w:rsidRDefault="00EF2E0C">
          <w:pPr>
            <w:pStyle w:val="TOC1"/>
            <w:tabs>
              <w:tab w:val="right" w:leader="dot" w:pos="9350"/>
            </w:tabs>
            <w:rPr>
              <w:rStyle w:val="Hyperlink"/>
              <w:rFonts w:ascii="Calibri" w:eastAsia="Times New Roman" w:hAnsi="Calibri" w:cs="Calibri"/>
              <w:b/>
              <w:bCs/>
              <w:noProof/>
              <w:sz w:val="22"/>
              <w:szCs w:val="22"/>
            </w:rPr>
          </w:pPr>
        </w:p>
        <w:p w14:paraId="40A9EEC6" w14:textId="427DE985" w:rsidR="00F616A4" w:rsidRPr="006D7744" w:rsidRDefault="008F17C9">
          <w:pPr>
            <w:pStyle w:val="TOC1"/>
            <w:tabs>
              <w:tab w:val="right" w:leader="dot" w:pos="9350"/>
            </w:tabs>
            <w:rPr>
              <w:rFonts w:ascii="Calibri" w:hAnsi="Calibri" w:cs="Calibri"/>
              <w:noProof/>
              <w:sz w:val="22"/>
              <w:szCs w:val="22"/>
            </w:rPr>
          </w:pPr>
          <w:hyperlink w:anchor="_Toc61252042" w:history="1">
            <w:r w:rsidR="00F616A4" w:rsidRPr="006D7744">
              <w:rPr>
                <w:rStyle w:val="Hyperlink"/>
                <w:rFonts w:ascii="Calibri" w:eastAsia="Times New Roman" w:hAnsi="Calibri" w:cs="Calibri"/>
                <w:b/>
                <w:bCs/>
                <w:noProof/>
                <w:sz w:val="22"/>
                <w:szCs w:val="22"/>
              </w:rPr>
              <w:t>Summary of Findings and Recommendations</w:t>
            </w:r>
            <w:r w:rsidR="00F616A4" w:rsidRPr="006D7744">
              <w:rPr>
                <w:rFonts w:ascii="Calibri" w:hAnsi="Calibri" w:cs="Calibri"/>
                <w:noProof/>
                <w:webHidden/>
                <w:sz w:val="22"/>
                <w:szCs w:val="22"/>
              </w:rPr>
              <w:tab/>
            </w:r>
            <w:r w:rsidR="00F616A4" w:rsidRPr="006D7744">
              <w:rPr>
                <w:rFonts w:ascii="Calibri" w:hAnsi="Calibri" w:cs="Calibri"/>
                <w:noProof/>
                <w:webHidden/>
                <w:sz w:val="22"/>
                <w:szCs w:val="22"/>
              </w:rPr>
              <w:fldChar w:fldCharType="begin"/>
            </w:r>
            <w:r w:rsidR="00F616A4" w:rsidRPr="006D7744">
              <w:rPr>
                <w:rFonts w:ascii="Calibri" w:hAnsi="Calibri" w:cs="Calibri"/>
                <w:noProof/>
                <w:webHidden/>
                <w:sz w:val="22"/>
                <w:szCs w:val="22"/>
              </w:rPr>
              <w:instrText xml:space="preserve"> PAGEREF _Toc61252042 \h </w:instrText>
            </w:r>
            <w:r w:rsidR="00F616A4" w:rsidRPr="006D7744">
              <w:rPr>
                <w:rFonts w:ascii="Calibri" w:hAnsi="Calibri" w:cs="Calibri"/>
                <w:noProof/>
                <w:webHidden/>
                <w:sz w:val="22"/>
                <w:szCs w:val="22"/>
              </w:rPr>
            </w:r>
            <w:r w:rsidR="00F616A4" w:rsidRPr="006D7744">
              <w:rPr>
                <w:rFonts w:ascii="Calibri" w:hAnsi="Calibri" w:cs="Calibri"/>
                <w:noProof/>
                <w:webHidden/>
                <w:sz w:val="22"/>
                <w:szCs w:val="22"/>
              </w:rPr>
              <w:fldChar w:fldCharType="separate"/>
            </w:r>
            <w:r w:rsidR="00F616A4" w:rsidRPr="006D7744">
              <w:rPr>
                <w:rFonts w:ascii="Calibri" w:hAnsi="Calibri" w:cs="Calibri"/>
                <w:noProof/>
                <w:webHidden/>
                <w:sz w:val="22"/>
                <w:szCs w:val="22"/>
              </w:rPr>
              <w:t>3</w:t>
            </w:r>
            <w:r w:rsidR="00F616A4" w:rsidRPr="006D7744">
              <w:rPr>
                <w:rFonts w:ascii="Calibri" w:hAnsi="Calibri" w:cs="Calibri"/>
                <w:noProof/>
                <w:webHidden/>
                <w:sz w:val="22"/>
                <w:szCs w:val="22"/>
              </w:rPr>
              <w:fldChar w:fldCharType="end"/>
            </w:r>
          </w:hyperlink>
        </w:p>
        <w:p w14:paraId="5239FFBD" w14:textId="6433377A" w:rsidR="00F616A4" w:rsidRPr="006D7744" w:rsidRDefault="008F17C9">
          <w:pPr>
            <w:pStyle w:val="TOC2"/>
            <w:tabs>
              <w:tab w:val="left" w:pos="660"/>
              <w:tab w:val="right" w:leader="dot" w:pos="9350"/>
            </w:tabs>
            <w:rPr>
              <w:rFonts w:ascii="Calibri" w:hAnsi="Calibri" w:cs="Calibri"/>
              <w:noProof/>
              <w:sz w:val="22"/>
              <w:szCs w:val="22"/>
            </w:rPr>
          </w:pPr>
          <w:hyperlink w:anchor="_Toc61252043" w:history="1">
            <w:r w:rsidR="00F616A4" w:rsidRPr="006D7744">
              <w:rPr>
                <w:rStyle w:val="Hyperlink"/>
                <w:rFonts w:ascii="Calibri" w:eastAsia="Times New Roman" w:hAnsi="Calibri" w:cs="Calibri"/>
                <w:noProof/>
                <w:sz w:val="22"/>
                <w:szCs w:val="22"/>
              </w:rPr>
              <w:t>1.</w:t>
            </w:r>
            <w:r w:rsidR="00F616A4" w:rsidRPr="006D7744">
              <w:rPr>
                <w:rFonts w:ascii="Calibri" w:hAnsi="Calibri" w:cs="Calibri"/>
                <w:noProof/>
                <w:sz w:val="22"/>
                <w:szCs w:val="22"/>
              </w:rPr>
              <w:tab/>
            </w:r>
            <w:r w:rsidR="00F616A4" w:rsidRPr="006D7744">
              <w:rPr>
                <w:rStyle w:val="Hyperlink"/>
                <w:rFonts w:ascii="Calibri" w:eastAsia="Times New Roman" w:hAnsi="Calibri" w:cs="Calibri"/>
                <w:noProof/>
                <w:sz w:val="22"/>
                <w:szCs w:val="22"/>
              </w:rPr>
              <w:t>Paid Maternity and Paternity Leave (Articles 11, 5)</w:t>
            </w:r>
            <w:r w:rsidR="00F616A4" w:rsidRPr="006D7744">
              <w:rPr>
                <w:rFonts w:ascii="Calibri" w:hAnsi="Calibri" w:cs="Calibri"/>
                <w:noProof/>
                <w:webHidden/>
                <w:sz w:val="22"/>
                <w:szCs w:val="22"/>
              </w:rPr>
              <w:tab/>
            </w:r>
            <w:r w:rsidR="00F616A4" w:rsidRPr="006D7744">
              <w:rPr>
                <w:rFonts w:ascii="Calibri" w:hAnsi="Calibri" w:cs="Calibri"/>
                <w:noProof/>
                <w:webHidden/>
                <w:sz w:val="22"/>
                <w:szCs w:val="22"/>
              </w:rPr>
              <w:fldChar w:fldCharType="begin"/>
            </w:r>
            <w:r w:rsidR="00F616A4" w:rsidRPr="006D7744">
              <w:rPr>
                <w:rFonts w:ascii="Calibri" w:hAnsi="Calibri" w:cs="Calibri"/>
                <w:noProof/>
                <w:webHidden/>
                <w:sz w:val="22"/>
                <w:szCs w:val="22"/>
              </w:rPr>
              <w:instrText xml:space="preserve"> PAGEREF _Toc61252043 \h </w:instrText>
            </w:r>
            <w:r w:rsidR="00F616A4" w:rsidRPr="006D7744">
              <w:rPr>
                <w:rFonts w:ascii="Calibri" w:hAnsi="Calibri" w:cs="Calibri"/>
                <w:noProof/>
                <w:webHidden/>
                <w:sz w:val="22"/>
                <w:szCs w:val="22"/>
              </w:rPr>
            </w:r>
            <w:r w:rsidR="00F616A4" w:rsidRPr="006D7744">
              <w:rPr>
                <w:rFonts w:ascii="Calibri" w:hAnsi="Calibri" w:cs="Calibri"/>
                <w:noProof/>
                <w:webHidden/>
                <w:sz w:val="22"/>
                <w:szCs w:val="22"/>
              </w:rPr>
              <w:fldChar w:fldCharType="separate"/>
            </w:r>
            <w:r w:rsidR="00F616A4" w:rsidRPr="006D7744">
              <w:rPr>
                <w:rFonts w:ascii="Calibri" w:hAnsi="Calibri" w:cs="Calibri"/>
                <w:noProof/>
                <w:webHidden/>
                <w:sz w:val="22"/>
                <w:szCs w:val="22"/>
              </w:rPr>
              <w:t>3</w:t>
            </w:r>
            <w:r w:rsidR="00F616A4" w:rsidRPr="006D7744">
              <w:rPr>
                <w:rFonts w:ascii="Calibri" w:hAnsi="Calibri" w:cs="Calibri"/>
                <w:noProof/>
                <w:webHidden/>
                <w:sz w:val="22"/>
                <w:szCs w:val="22"/>
              </w:rPr>
              <w:fldChar w:fldCharType="end"/>
            </w:r>
          </w:hyperlink>
        </w:p>
        <w:p w14:paraId="1614DF63" w14:textId="2E6B7C42" w:rsidR="00F616A4" w:rsidRPr="006D7744" w:rsidRDefault="008F17C9">
          <w:pPr>
            <w:pStyle w:val="TOC2"/>
            <w:tabs>
              <w:tab w:val="left" w:pos="660"/>
              <w:tab w:val="right" w:leader="dot" w:pos="9350"/>
            </w:tabs>
            <w:rPr>
              <w:rFonts w:ascii="Calibri" w:hAnsi="Calibri" w:cs="Calibri"/>
              <w:noProof/>
              <w:sz w:val="22"/>
              <w:szCs w:val="22"/>
            </w:rPr>
          </w:pPr>
          <w:hyperlink w:anchor="_Toc61252044" w:history="1">
            <w:r w:rsidR="00F616A4" w:rsidRPr="006D7744">
              <w:rPr>
                <w:rStyle w:val="Hyperlink"/>
                <w:rFonts w:ascii="Calibri" w:eastAsia="Times New Roman" w:hAnsi="Calibri" w:cs="Calibri"/>
                <w:noProof/>
                <w:sz w:val="22"/>
                <w:szCs w:val="22"/>
              </w:rPr>
              <w:t>2.</w:t>
            </w:r>
            <w:r w:rsidR="00F616A4" w:rsidRPr="006D7744">
              <w:rPr>
                <w:rFonts w:ascii="Calibri" w:hAnsi="Calibri" w:cs="Calibri"/>
                <w:noProof/>
                <w:sz w:val="22"/>
                <w:szCs w:val="22"/>
              </w:rPr>
              <w:tab/>
            </w:r>
            <w:r w:rsidR="00F616A4" w:rsidRPr="006D7744">
              <w:rPr>
                <w:rStyle w:val="Hyperlink"/>
                <w:rFonts w:ascii="Calibri" w:eastAsia="Times New Roman" w:hAnsi="Calibri" w:cs="Calibri"/>
                <w:noProof/>
                <w:sz w:val="22"/>
                <w:szCs w:val="22"/>
              </w:rPr>
              <w:t>Child Marriage (Articles 16, 2)</w:t>
            </w:r>
            <w:r w:rsidR="00F616A4" w:rsidRPr="006D7744">
              <w:rPr>
                <w:rFonts w:ascii="Calibri" w:hAnsi="Calibri" w:cs="Calibri"/>
                <w:noProof/>
                <w:webHidden/>
                <w:sz w:val="22"/>
                <w:szCs w:val="22"/>
              </w:rPr>
              <w:tab/>
            </w:r>
            <w:r w:rsidR="00F616A4" w:rsidRPr="006D7744">
              <w:rPr>
                <w:rFonts w:ascii="Calibri" w:hAnsi="Calibri" w:cs="Calibri"/>
                <w:noProof/>
                <w:webHidden/>
                <w:sz w:val="22"/>
                <w:szCs w:val="22"/>
              </w:rPr>
              <w:fldChar w:fldCharType="begin"/>
            </w:r>
            <w:r w:rsidR="00F616A4" w:rsidRPr="006D7744">
              <w:rPr>
                <w:rFonts w:ascii="Calibri" w:hAnsi="Calibri" w:cs="Calibri"/>
                <w:noProof/>
                <w:webHidden/>
                <w:sz w:val="22"/>
                <w:szCs w:val="22"/>
              </w:rPr>
              <w:instrText xml:space="preserve"> PAGEREF _Toc61252044 \h </w:instrText>
            </w:r>
            <w:r w:rsidR="00F616A4" w:rsidRPr="006D7744">
              <w:rPr>
                <w:rFonts w:ascii="Calibri" w:hAnsi="Calibri" w:cs="Calibri"/>
                <w:noProof/>
                <w:webHidden/>
                <w:sz w:val="22"/>
                <w:szCs w:val="22"/>
              </w:rPr>
            </w:r>
            <w:r w:rsidR="00F616A4" w:rsidRPr="006D7744">
              <w:rPr>
                <w:rFonts w:ascii="Calibri" w:hAnsi="Calibri" w:cs="Calibri"/>
                <w:noProof/>
                <w:webHidden/>
                <w:sz w:val="22"/>
                <w:szCs w:val="22"/>
              </w:rPr>
              <w:fldChar w:fldCharType="separate"/>
            </w:r>
            <w:r w:rsidR="00F616A4" w:rsidRPr="006D7744">
              <w:rPr>
                <w:rFonts w:ascii="Calibri" w:hAnsi="Calibri" w:cs="Calibri"/>
                <w:noProof/>
                <w:webHidden/>
                <w:sz w:val="22"/>
                <w:szCs w:val="22"/>
              </w:rPr>
              <w:t>3</w:t>
            </w:r>
            <w:r w:rsidR="00F616A4" w:rsidRPr="006D7744">
              <w:rPr>
                <w:rFonts w:ascii="Calibri" w:hAnsi="Calibri" w:cs="Calibri"/>
                <w:noProof/>
                <w:webHidden/>
                <w:sz w:val="22"/>
                <w:szCs w:val="22"/>
              </w:rPr>
              <w:fldChar w:fldCharType="end"/>
            </w:r>
          </w:hyperlink>
        </w:p>
        <w:p w14:paraId="55206204" w14:textId="77777777" w:rsidR="00EF2E0C" w:rsidRPr="006D7744" w:rsidRDefault="00EF2E0C">
          <w:pPr>
            <w:pStyle w:val="TOC1"/>
            <w:tabs>
              <w:tab w:val="right" w:leader="dot" w:pos="9350"/>
            </w:tabs>
            <w:rPr>
              <w:rStyle w:val="Hyperlink"/>
              <w:rFonts w:ascii="Calibri" w:eastAsia="Times New Roman" w:hAnsi="Calibri" w:cs="Calibri"/>
              <w:b/>
              <w:bCs/>
              <w:noProof/>
              <w:sz w:val="22"/>
              <w:szCs w:val="22"/>
            </w:rPr>
          </w:pPr>
        </w:p>
        <w:p w14:paraId="39CA97C1" w14:textId="3D598035" w:rsidR="00F616A4" w:rsidRPr="006D7744" w:rsidRDefault="008F17C9">
          <w:pPr>
            <w:pStyle w:val="TOC1"/>
            <w:tabs>
              <w:tab w:val="right" w:leader="dot" w:pos="9350"/>
            </w:tabs>
            <w:rPr>
              <w:rFonts w:ascii="Calibri" w:hAnsi="Calibri" w:cs="Calibri"/>
              <w:noProof/>
              <w:sz w:val="22"/>
              <w:szCs w:val="22"/>
            </w:rPr>
          </w:pPr>
          <w:hyperlink w:anchor="_Toc61252045" w:history="1">
            <w:r w:rsidR="00F616A4" w:rsidRPr="006D7744">
              <w:rPr>
                <w:rStyle w:val="Hyperlink"/>
                <w:rFonts w:ascii="Calibri" w:eastAsia="Times New Roman" w:hAnsi="Calibri" w:cs="Calibri"/>
                <w:b/>
                <w:bCs/>
                <w:noProof/>
                <w:sz w:val="22"/>
                <w:szCs w:val="22"/>
              </w:rPr>
              <w:t>Detail of Constitutional and Legislative Findings</w:t>
            </w:r>
            <w:r w:rsidR="00F616A4" w:rsidRPr="006D7744">
              <w:rPr>
                <w:rFonts w:ascii="Calibri" w:hAnsi="Calibri" w:cs="Calibri"/>
                <w:noProof/>
                <w:webHidden/>
                <w:sz w:val="22"/>
                <w:szCs w:val="22"/>
              </w:rPr>
              <w:tab/>
            </w:r>
            <w:r w:rsidR="00F616A4" w:rsidRPr="006D7744">
              <w:rPr>
                <w:rFonts w:ascii="Calibri" w:hAnsi="Calibri" w:cs="Calibri"/>
                <w:noProof/>
                <w:webHidden/>
                <w:sz w:val="22"/>
                <w:szCs w:val="22"/>
              </w:rPr>
              <w:fldChar w:fldCharType="begin"/>
            </w:r>
            <w:r w:rsidR="00F616A4" w:rsidRPr="006D7744">
              <w:rPr>
                <w:rFonts w:ascii="Calibri" w:hAnsi="Calibri" w:cs="Calibri"/>
                <w:noProof/>
                <w:webHidden/>
                <w:sz w:val="22"/>
                <w:szCs w:val="22"/>
              </w:rPr>
              <w:instrText xml:space="preserve"> PAGEREF _Toc61252045 \h </w:instrText>
            </w:r>
            <w:r w:rsidR="00F616A4" w:rsidRPr="006D7744">
              <w:rPr>
                <w:rFonts w:ascii="Calibri" w:hAnsi="Calibri" w:cs="Calibri"/>
                <w:noProof/>
                <w:webHidden/>
                <w:sz w:val="22"/>
                <w:szCs w:val="22"/>
              </w:rPr>
            </w:r>
            <w:r w:rsidR="00F616A4" w:rsidRPr="006D7744">
              <w:rPr>
                <w:rFonts w:ascii="Calibri" w:hAnsi="Calibri" w:cs="Calibri"/>
                <w:noProof/>
                <w:webHidden/>
                <w:sz w:val="22"/>
                <w:szCs w:val="22"/>
              </w:rPr>
              <w:fldChar w:fldCharType="separate"/>
            </w:r>
            <w:r w:rsidR="00F616A4" w:rsidRPr="006D7744">
              <w:rPr>
                <w:rFonts w:ascii="Calibri" w:hAnsi="Calibri" w:cs="Calibri"/>
                <w:noProof/>
                <w:webHidden/>
                <w:sz w:val="22"/>
                <w:szCs w:val="22"/>
              </w:rPr>
              <w:t>4</w:t>
            </w:r>
            <w:r w:rsidR="00F616A4" w:rsidRPr="006D7744">
              <w:rPr>
                <w:rFonts w:ascii="Calibri" w:hAnsi="Calibri" w:cs="Calibri"/>
                <w:noProof/>
                <w:webHidden/>
                <w:sz w:val="22"/>
                <w:szCs w:val="22"/>
              </w:rPr>
              <w:fldChar w:fldCharType="end"/>
            </w:r>
          </w:hyperlink>
        </w:p>
        <w:p w14:paraId="2C2CA932" w14:textId="3AFDBF2F" w:rsidR="00F616A4" w:rsidRPr="006D7744" w:rsidRDefault="008F17C9">
          <w:pPr>
            <w:pStyle w:val="TOC2"/>
            <w:tabs>
              <w:tab w:val="left" w:pos="660"/>
              <w:tab w:val="right" w:leader="dot" w:pos="9350"/>
            </w:tabs>
            <w:rPr>
              <w:rFonts w:ascii="Calibri" w:hAnsi="Calibri" w:cs="Calibri"/>
              <w:noProof/>
              <w:sz w:val="22"/>
              <w:szCs w:val="22"/>
            </w:rPr>
          </w:pPr>
          <w:hyperlink w:anchor="_Toc61252046" w:history="1">
            <w:r w:rsidR="00F616A4" w:rsidRPr="006D7744">
              <w:rPr>
                <w:rStyle w:val="Hyperlink"/>
                <w:rFonts w:ascii="Calibri" w:eastAsia="Times New Roman" w:hAnsi="Calibri" w:cs="Calibri"/>
                <w:noProof/>
                <w:sz w:val="22"/>
                <w:szCs w:val="22"/>
              </w:rPr>
              <w:t>1.</w:t>
            </w:r>
            <w:r w:rsidR="00F616A4" w:rsidRPr="006D7744">
              <w:rPr>
                <w:rFonts w:ascii="Calibri" w:hAnsi="Calibri" w:cs="Calibri"/>
                <w:noProof/>
                <w:sz w:val="22"/>
                <w:szCs w:val="22"/>
              </w:rPr>
              <w:tab/>
            </w:r>
            <w:r w:rsidR="00F616A4" w:rsidRPr="006D7744">
              <w:rPr>
                <w:rStyle w:val="Hyperlink"/>
                <w:rFonts w:ascii="Calibri" w:eastAsia="Times New Roman" w:hAnsi="Calibri" w:cs="Calibri"/>
                <w:noProof/>
                <w:sz w:val="22"/>
                <w:szCs w:val="22"/>
              </w:rPr>
              <w:t>Paid Maternity and Paternity Leave (Articles 11, 5)</w:t>
            </w:r>
            <w:r w:rsidR="00F616A4" w:rsidRPr="006D7744">
              <w:rPr>
                <w:rFonts w:ascii="Calibri" w:hAnsi="Calibri" w:cs="Calibri"/>
                <w:noProof/>
                <w:webHidden/>
                <w:sz w:val="22"/>
                <w:szCs w:val="22"/>
              </w:rPr>
              <w:tab/>
            </w:r>
            <w:r w:rsidR="00F616A4" w:rsidRPr="006D7744">
              <w:rPr>
                <w:rFonts w:ascii="Calibri" w:hAnsi="Calibri" w:cs="Calibri"/>
                <w:noProof/>
                <w:webHidden/>
                <w:sz w:val="22"/>
                <w:szCs w:val="22"/>
              </w:rPr>
              <w:fldChar w:fldCharType="begin"/>
            </w:r>
            <w:r w:rsidR="00F616A4" w:rsidRPr="006D7744">
              <w:rPr>
                <w:rFonts w:ascii="Calibri" w:hAnsi="Calibri" w:cs="Calibri"/>
                <w:noProof/>
                <w:webHidden/>
                <w:sz w:val="22"/>
                <w:szCs w:val="22"/>
              </w:rPr>
              <w:instrText xml:space="preserve"> PAGEREF _Toc61252046 \h </w:instrText>
            </w:r>
            <w:r w:rsidR="00F616A4" w:rsidRPr="006D7744">
              <w:rPr>
                <w:rFonts w:ascii="Calibri" w:hAnsi="Calibri" w:cs="Calibri"/>
                <w:noProof/>
                <w:webHidden/>
                <w:sz w:val="22"/>
                <w:szCs w:val="22"/>
              </w:rPr>
            </w:r>
            <w:r w:rsidR="00F616A4" w:rsidRPr="006D7744">
              <w:rPr>
                <w:rFonts w:ascii="Calibri" w:hAnsi="Calibri" w:cs="Calibri"/>
                <w:noProof/>
                <w:webHidden/>
                <w:sz w:val="22"/>
                <w:szCs w:val="22"/>
              </w:rPr>
              <w:fldChar w:fldCharType="separate"/>
            </w:r>
            <w:r w:rsidR="00F616A4" w:rsidRPr="006D7744">
              <w:rPr>
                <w:rFonts w:ascii="Calibri" w:hAnsi="Calibri" w:cs="Calibri"/>
                <w:noProof/>
                <w:webHidden/>
                <w:sz w:val="22"/>
                <w:szCs w:val="22"/>
              </w:rPr>
              <w:t>4</w:t>
            </w:r>
            <w:r w:rsidR="00F616A4" w:rsidRPr="006D7744">
              <w:rPr>
                <w:rFonts w:ascii="Calibri" w:hAnsi="Calibri" w:cs="Calibri"/>
                <w:noProof/>
                <w:webHidden/>
                <w:sz w:val="22"/>
                <w:szCs w:val="22"/>
              </w:rPr>
              <w:fldChar w:fldCharType="end"/>
            </w:r>
          </w:hyperlink>
        </w:p>
        <w:p w14:paraId="4863B416" w14:textId="5685D9F8" w:rsidR="00F616A4" w:rsidRPr="006D7744" w:rsidRDefault="008F17C9">
          <w:pPr>
            <w:pStyle w:val="TOC2"/>
            <w:tabs>
              <w:tab w:val="left" w:pos="660"/>
              <w:tab w:val="right" w:leader="dot" w:pos="9350"/>
            </w:tabs>
            <w:rPr>
              <w:rFonts w:ascii="Calibri" w:hAnsi="Calibri" w:cs="Calibri"/>
              <w:noProof/>
              <w:sz w:val="22"/>
              <w:szCs w:val="22"/>
            </w:rPr>
          </w:pPr>
          <w:hyperlink w:anchor="_Toc61252047" w:history="1">
            <w:r w:rsidR="00F616A4" w:rsidRPr="006D7744">
              <w:rPr>
                <w:rStyle w:val="Hyperlink"/>
                <w:rFonts w:ascii="Calibri" w:eastAsia="Times New Roman" w:hAnsi="Calibri" w:cs="Calibri"/>
                <w:noProof/>
                <w:sz w:val="22"/>
                <w:szCs w:val="22"/>
              </w:rPr>
              <w:t>2.</w:t>
            </w:r>
            <w:r w:rsidR="00F616A4" w:rsidRPr="006D7744">
              <w:rPr>
                <w:rFonts w:ascii="Calibri" w:hAnsi="Calibri" w:cs="Calibri"/>
                <w:noProof/>
                <w:sz w:val="22"/>
                <w:szCs w:val="22"/>
              </w:rPr>
              <w:tab/>
            </w:r>
            <w:r w:rsidR="00F616A4" w:rsidRPr="006D7744">
              <w:rPr>
                <w:rStyle w:val="Hyperlink"/>
                <w:rFonts w:ascii="Calibri" w:eastAsia="Times New Roman" w:hAnsi="Calibri" w:cs="Calibri"/>
                <w:noProof/>
                <w:sz w:val="22"/>
                <w:szCs w:val="22"/>
              </w:rPr>
              <w:t>Child Marriage (Articles 16, 2)</w:t>
            </w:r>
            <w:r w:rsidR="00F616A4" w:rsidRPr="006D7744">
              <w:rPr>
                <w:rFonts w:ascii="Calibri" w:hAnsi="Calibri" w:cs="Calibri"/>
                <w:noProof/>
                <w:webHidden/>
                <w:sz w:val="22"/>
                <w:szCs w:val="22"/>
              </w:rPr>
              <w:tab/>
            </w:r>
            <w:r w:rsidR="00F616A4" w:rsidRPr="006D7744">
              <w:rPr>
                <w:rFonts w:ascii="Calibri" w:hAnsi="Calibri" w:cs="Calibri"/>
                <w:noProof/>
                <w:webHidden/>
                <w:sz w:val="22"/>
                <w:szCs w:val="22"/>
              </w:rPr>
              <w:fldChar w:fldCharType="begin"/>
            </w:r>
            <w:r w:rsidR="00F616A4" w:rsidRPr="006D7744">
              <w:rPr>
                <w:rFonts w:ascii="Calibri" w:hAnsi="Calibri" w:cs="Calibri"/>
                <w:noProof/>
                <w:webHidden/>
                <w:sz w:val="22"/>
                <w:szCs w:val="22"/>
              </w:rPr>
              <w:instrText xml:space="preserve"> PAGEREF _Toc61252047 \h </w:instrText>
            </w:r>
            <w:r w:rsidR="00F616A4" w:rsidRPr="006D7744">
              <w:rPr>
                <w:rFonts w:ascii="Calibri" w:hAnsi="Calibri" w:cs="Calibri"/>
                <w:noProof/>
                <w:webHidden/>
                <w:sz w:val="22"/>
                <w:szCs w:val="22"/>
              </w:rPr>
            </w:r>
            <w:r w:rsidR="00F616A4" w:rsidRPr="006D7744">
              <w:rPr>
                <w:rFonts w:ascii="Calibri" w:hAnsi="Calibri" w:cs="Calibri"/>
                <w:noProof/>
                <w:webHidden/>
                <w:sz w:val="22"/>
                <w:szCs w:val="22"/>
              </w:rPr>
              <w:fldChar w:fldCharType="separate"/>
            </w:r>
            <w:r w:rsidR="00F616A4" w:rsidRPr="006D7744">
              <w:rPr>
                <w:rFonts w:ascii="Calibri" w:hAnsi="Calibri" w:cs="Calibri"/>
                <w:noProof/>
                <w:webHidden/>
                <w:sz w:val="22"/>
                <w:szCs w:val="22"/>
              </w:rPr>
              <w:t>5</w:t>
            </w:r>
            <w:r w:rsidR="00F616A4" w:rsidRPr="006D7744">
              <w:rPr>
                <w:rFonts w:ascii="Calibri" w:hAnsi="Calibri" w:cs="Calibri"/>
                <w:noProof/>
                <w:webHidden/>
                <w:sz w:val="22"/>
                <w:szCs w:val="22"/>
              </w:rPr>
              <w:fldChar w:fldCharType="end"/>
            </w:r>
          </w:hyperlink>
        </w:p>
        <w:p w14:paraId="7C40AD5D" w14:textId="3400906D" w:rsidR="00B50456" w:rsidRDefault="00B50456">
          <w:r w:rsidRPr="005771B5">
            <w:rPr>
              <w:b/>
              <w:bCs/>
              <w:noProof/>
              <w:sz w:val="22"/>
              <w:szCs w:val="22"/>
            </w:rPr>
            <w:fldChar w:fldCharType="end"/>
          </w:r>
        </w:p>
      </w:sdtContent>
    </w:sdt>
    <w:p w14:paraId="0EF0E280" w14:textId="77777777" w:rsidR="00157053" w:rsidRDefault="00157053" w:rsidP="00CF442E">
      <w:pPr>
        <w:rPr>
          <w:b/>
        </w:rPr>
      </w:pPr>
    </w:p>
    <w:p w14:paraId="359E40B9" w14:textId="030B1738" w:rsidR="00CF442E" w:rsidRDefault="00CF442E"/>
    <w:p w14:paraId="5B867B83" w14:textId="513D24F6" w:rsidR="003E044E" w:rsidRDefault="003E044E"/>
    <w:p w14:paraId="31BFD014" w14:textId="0C6C39E1" w:rsidR="003E044E" w:rsidRDefault="003E044E"/>
    <w:p w14:paraId="2EF52995" w14:textId="7FB9FE04" w:rsidR="00FF10FA" w:rsidRDefault="00FF10FA"/>
    <w:p w14:paraId="1D52E5BA" w14:textId="6A243A4E" w:rsidR="00FF10FA" w:rsidRDefault="00FF10FA"/>
    <w:p w14:paraId="0ADDA3BF" w14:textId="50B7151C" w:rsidR="00FF10FA" w:rsidRDefault="00FF10FA"/>
    <w:p w14:paraId="1AB1A273" w14:textId="68EAB29A" w:rsidR="00FF10FA" w:rsidRDefault="00FF10FA"/>
    <w:p w14:paraId="0ED2B383" w14:textId="443D5BD7" w:rsidR="00B50456" w:rsidRDefault="00B50456"/>
    <w:p w14:paraId="00F92A3D" w14:textId="71D6258C" w:rsidR="00B50456" w:rsidRDefault="00B50456"/>
    <w:p w14:paraId="3F6B5F53" w14:textId="1534D516" w:rsidR="00B50456" w:rsidRDefault="00B50456"/>
    <w:p w14:paraId="26DF6FFB" w14:textId="64D7B27E" w:rsidR="00B50456" w:rsidRDefault="00B50456"/>
    <w:p w14:paraId="41E78276" w14:textId="6984B7EA" w:rsidR="00B50456" w:rsidRDefault="00B50456"/>
    <w:p w14:paraId="23907E0D" w14:textId="79407DBA" w:rsidR="00B50456" w:rsidRDefault="00B50456"/>
    <w:p w14:paraId="609FC34C" w14:textId="77777777" w:rsidR="00FF10FA" w:rsidRDefault="00FF10FA"/>
    <w:p w14:paraId="528E17D5" w14:textId="77777777" w:rsidR="00A52B2B" w:rsidRPr="002603EA" w:rsidRDefault="00A52B2B" w:rsidP="001A32D7">
      <w:pPr>
        <w:pStyle w:val="Heading1"/>
        <w:spacing w:afterLines="100" w:after="240"/>
        <w:rPr>
          <w:b/>
          <w:bCs/>
        </w:rPr>
      </w:pPr>
      <w:bookmarkStart w:id="40" w:name="_Toc61252041"/>
      <w:bookmarkStart w:id="41" w:name="_Hlk52631114"/>
      <w:r w:rsidRPr="002603EA">
        <w:rPr>
          <w:b/>
          <w:bCs/>
        </w:rPr>
        <w:lastRenderedPageBreak/>
        <w:t>Introduction</w:t>
      </w:r>
      <w:bookmarkEnd w:id="40"/>
    </w:p>
    <w:bookmarkEnd w:id="41"/>
    <w:p w14:paraId="63D9000C" w14:textId="0E70E8F7" w:rsidR="003860C9" w:rsidRPr="00A52B2B" w:rsidRDefault="003860C9" w:rsidP="001A32D7">
      <w:pPr>
        <w:spacing w:afterLines="100" w:after="240"/>
        <w:rPr>
          <w:sz w:val="22"/>
          <w:szCs w:val="22"/>
        </w:rPr>
      </w:pPr>
      <w:r w:rsidRPr="00A52B2B">
        <w:rPr>
          <w:color w:val="000000"/>
          <w:sz w:val="22"/>
          <w:szCs w:val="22"/>
        </w:rPr>
        <w:t xml:space="preserve">The WORLD Policy Analysis Center, based at the University of California, Los Angeles, </w:t>
      </w:r>
      <w:r w:rsidR="005E6E48" w:rsidRPr="00A52B2B">
        <w:rPr>
          <w:color w:val="000000"/>
          <w:sz w:val="22"/>
          <w:szCs w:val="22"/>
        </w:rPr>
        <w:t>captures</w:t>
      </w:r>
      <w:r w:rsidR="002118F1" w:rsidRPr="00A52B2B">
        <w:rPr>
          <w:color w:val="000000"/>
          <w:sz w:val="22"/>
          <w:szCs w:val="22"/>
        </w:rPr>
        <w:t xml:space="preserve"> </w:t>
      </w:r>
      <w:r w:rsidR="002118F1" w:rsidRPr="00A52B2B">
        <w:rPr>
          <w:rFonts w:ascii="Calibri" w:hAnsi="Calibri"/>
          <w:sz w:val="22"/>
          <w:szCs w:val="22"/>
        </w:rPr>
        <w:t>quantitative policy data on more than 2,000 indicators that matter to</w:t>
      </w:r>
      <w:r w:rsidR="006306D0" w:rsidRPr="00A52B2B">
        <w:rPr>
          <w:rFonts w:ascii="Calibri" w:hAnsi="Calibri"/>
          <w:sz w:val="22"/>
          <w:szCs w:val="22"/>
        </w:rPr>
        <w:t xml:space="preserve"> equality,</w:t>
      </w:r>
      <w:r w:rsidR="002118F1" w:rsidRPr="00A52B2B">
        <w:rPr>
          <w:rFonts w:ascii="Calibri" w:hAnsi="Calibri"/>
          <w:sz w:val="22"/>
          <w:szCs w:val="22"/>
        </w:rPr>
        <w:t xml:space="preserve"> health, and well-being. We</w:t>
      </w:r>
      <w:r w:rsidR="002118F1" w:rsidRPr="00A52B2B">
        <w:rPr>
          <w:color w:val="000000"/>
          <w:sz w:val="22"/>
          <w:szCs w:val="22"/>
        </w:rPr>
        <w:t xml:space="preserve"> </w:t>
      </w:r>
      <w:r w:rsidRPr="00A52B2B">
        <w:rPr>
          <w:color w:val="000000"/>
          <w:sz w:val="22"/>
          <w:szCs w:val="22"/>
        </w:rPr>
        <w:t>strive to improv</w:t>
      </w:r>
      <w:r w:rsidR="00246EC7" w:rsidRPr="00A52B2B">
        <w:rPr>
          <w:color w:val="000000"/>
          <w:sz w:val="22"/>
          <w:szCs w:val="22"/>
        </w:rPr>
        <w:t>e</w:t>
      </w:r>
      <w:r w:rsidRPr="00A52B2B">
        <w:rPr>
          <w:color w:val="000000"/>
          <w:sz w:val="22"/>
          <w:szCs w:val="22"/>
        </w:rPr>
        <w:t xml:space="preserve"> the quantity and quality of globally comparative data available to policymakers, citizens, national governments, intergovernmental organizations, civil society, and researchers for all 193 UN member states. </w:t>
      </w:r>
      <w:r w:rsidR="002118F1" w:rsidRPr="00A52B2B">
        <w:rPr>
          <w:sz w:val="22"/>
          <w:szCs w:val="22"/>
        </w:rPr>
        <w:t xml:space="preserve">We submit </w:t>
      </w:r>
      <w:r w:rsidRPr="00A52B2B">
        <w:rPr>
          <w:sz w:val="22"/>
          <w:szCs w:val="22"/>
        </w:rPr>
        <w:t xml:space="preserve">the following brief in advance of the </w:t>
      </w:r>
      <w:r w:rsidR="00B50456" w:rsidRPr="00B50456">
        <w:rPr>
          <w:sz w:val="22"/>
          <w:szCs w:val="22"/>
        </w:rPr>
        <w:t>80</w:t>
      </w:r>
      <w:r w:rsidR="005E6E48" w:rsidRPr="00B50456">
        <w:rPr>
          <w:sz w:val="22"/>
          <w:szCs w:val="22"/>
          <w:vertAlign w:val="superscript"/>
        </w:rPr>
        <w:t>th</w:t>
      </w:r>
      <w:r w:rsidR="005E6E48" w:rsidRPr="00A52B2B">
        <w:rPr>
          <w:sz w:val="22"/>
          <w:szCs w:val="22"/>
        </w:rPr>
        <w:t xml:space="preserve"> </w:t>
      </w:r>
      <w:r w:rsidRPr="00A52B2B">
        <w:rPr>
          <w:sz w:val="22"/>
          <w:szCs w:val="22"/>
        </w:rPr>
        <w:t xml:space="preserve">Pre-Sessional Working Group of the Committee </w:t>
      </w:r>
      <w:r w:rsidR="00FD3248" w:rsidRPr="00A52B2B">
        <w:rPr>
          <w:sz w:val="22"/>
          <w:szCs w:val="22"/>
        </w:rPr>
        <w:t>on the</w:t>
      </w:r>
      <w:r w:rsidR="00B617D6" w:rsidRPr="00A52B2B">
        <w:rPr>
          <w:sz w:val="22"/>
          <w:szCs w:val="22"/>
        </w:rPr>
        <w:t xml:space="preserve"> Elimination of Discrimination a</w:t>
      </w:r>
      <w:r w:rsidR="00FD3248" w:rsidRPr="00A52B2B">
        <w:rPr>
          <w:sz w:val="22"/>
          <w:szCs w:val="22"/>
        </w:rPr>
        <w:t>gainst Women</w:t>
      </w:r>
      <w:r w:rsidRPr="00A52B2B">
        <w:rPr>
          <w:sz w:val="22"/>
          <w:szCs w:val="22"/>
        </w:rPr>
        <w:t xml:space="preserve">.  </w:t>
      </w:r>
    </w:p>
    <w:p w14:paraId="16E3BC28" w14:textId="50E86AA1" w:rsidR="003860C9" w:rsidRPr="00A52B2B" w:rsidRDefault="003860C9" w:rsidP="00CF442E">
      <w:pPr>
        <w:rPr>
          <w:sz w:val="22"/>
          <w:szCs w:val="22"/>
        </w:rPr>
      </w:pPr>
      <w:r w:rsidRPr="00A52B2B">
        <w:rPr>
          <w:sz w:val="22"/>
          <w:szCs w:val="22"/>
        </w:rPr>
        <w:t xml:space="preserve">This brief will focus on </w:t>
      </w:r>
      <w:r w:rsidR="003A6D58" w:rsidRPr="00A52B2B">
        <w:rPr>
          <w:sz w:val="22"/>
          <w:szCs w:val="22"/>
        </w:rPr>
        <w:t>the following</w:t>
      </w:r>
      <w:r w:rsidR="00B50456">
        <w:rPr>
          <w:sz w:val="22"/>
          <w:szCs w:val="22"/>
        </w:rPr>
        <w:t xml:space="preserve"> two</w:t>
      </w:r>
      <w:r w:rsidRPr="00A52B2B">
        <w:rPr>
          <w:sz w:val="22"/>
          <w:szCs w:val="22"/>
        </w:rPr>
        <w:t xml:space="preserve"> are</w:t>
      </w:r>
      <w:r w:rsidR="00CF442E" w:rsidRPr="00A52B2B">
        <w:rPr>
          <w:sz w:val="22"/>
          <w:szCs w:val="22"/>
        </w:rPr>
        <w:t>as</w:t>
      </w:r>
      <w:r w:rsidRPr="00A52B2B">
        <w:rPr>
          <w:sz w:val="22"/>
          <w:szCs w:val="22"/>
        </w:rPr>
        <w:t>:</w:t>
      </w:r>
    </w:p>
    <w:p w14:paraId="5D860F77" w14:textId="0BAEA491" w:rsidR="00026A3B" w:rsidRPr="00A52B2B" w:rsidRDefault="00026A3B" w:rsidP="0096441A">
      <w:pPr>
        <w:pStyle w:val="ListParagraph"/>
        <w:numPr>
          <w:ilvl w:val="0"/>
          <w:numId w:val="2"/>
        </w:numPr>
        <w:rPr>
          <w:color w:val="000000" w:themeColor="text1"/>
          <w:sz w:val="22"/>
          <w:szCs w:val="22"/>
        </w:rPr>
      </w:pPr>
      <w:r w:rsidRPr="00A52B2B">
        <w:rPr>
          <w:color w:val="000000" w:themeColor="text1"/>
          <w:sz w:val="22"/>
          <w:szCs w:val="22"/>
        </w:rPr>
        <w:t>Paid Maternity and Paternity Leave (Article</w:t>
      </w:r>
      <w:r w:rsidR="000345E3" w:rsidRPr="00A52B2B">
        <w:rPr>
          <w:color w:val="000000" w:themeColor="text1"/>
          <w:sz w:val="22"/>
          <w:szCs w:val="22"/>
        </w:rPr>
        <w:t>s</w:t>
      </w:r>
      <w:r w:rsidRPr="00A52B2B">
        <w:rPr>
          <w:color w:val="000000" w:themeColor="text1"/>
          <w:sz w:val="22"/>
          <w:szCs w:val="22"/>
        </w:rPr>
        <w:t xml:space="preserve"> 11, 5)</w:t>
      </w:r>
    </w:p>
    <w:p w14:paraId="27795A8D" w14:textId="48CB7290" w:rsidR="00355056" w:rsidRDefault="00355056" w:rsidP="0096441A">
      <w:pPr>
        <w:pStyle w:val="ListParagraph"/>
        <w:numPr>
          <w:ilvl w:val="0"/>
          <w:numId w:val="2"/>
        </w:numPr>
        <w:rPr>
          <w:color w:val="000000" w:themeColor="text1"/>
          <w:sz w:val="22"/>
          <w:szCs w:val="22"/>
        </w:rPr>
      </w:pPr>
      <w:r w:rsidRPr="00A52B2B">
        <w:rPr>
          <w:color w:val="000000" w:themeColor="text1"/>
          <w:sz w:val="22"/>
          <w:szCs w:val="22"/>
        </w:rPr>
        <w:t>Child Marriage</w:t>
      </w:r>
      <w:r w:rsidR="002118F1" w:rsidRPr="00A52B2B">
        <w:rPr>
          <w:color w:val="000000" w:themeColor="text1"/>
          <w:sz w:val="22"/>
          <w:szCs w:val="22"/>
        </w:rPr>
        <w:t xml:space="preserve"> (Articles 16, 2)</w:t>
      </w:r>
    </w:p>
    <w:p w14:paraId="1813A411" w14:textId="5264EA35" w:rsidR="00FD208D" w:rsidRPr="00A52B2B" w:rsidRDefault="00FD208D" w:rsidP="00827695">
      <w:pPr>
        <w:rPr>
          <w:sz w:val="22"/>
          <w:szCs w:val="22"/>
        </w:rPr>
      </w:pPr>
      <w:r w:rsidRPr="00A52B2B">
        <w:rPr>
          <w:sz w:val="22"/>
          <w:szCs w:val="22"/>
        </w:rPr>
        <w:t xml:space="preserve">We have collected and analyzed information on rights, laws, and policies in these areas for all 193 UN member states using a variety of sources, including primary national legal sources (e.g. </w:t>
      </w:r>
      <w:r w:rsidR="00BD77ED" w:rsidRPr="00A52B2B">
        <w:rPr>
          <w:sz w:val="22"/>
          <w:szCs w:val="22"/>
        </w:rPr>
        <w:t>original legislation and constitutions</w:t>
      </w:r>
      <w:r w:rsidRPr="00A52B2B">
        <w:rPr>
          <w:sz w:val="22"/>
          <w:szCs w:val="22"/>
        </w:rPr>
        <w:t xml:space="preserve">),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w:t>
      </w:r>
      <w:r w:rsidR="00827695" w:rsidRPr="00A52B2B">
        <w:rPr>
          <w:sz w:val="22"/>
          <w:szCs w:val="22"/>
        </w:rPr>
        <w:t>the following brief</w:t>
      </w:r>
      <w:r w:rsidRPr="00A52B2B">
        <w:rPr>
          <w:sz w:val="22"/>
          <w:szCs w:val="22"/>
        </w:rPr>
        <w:t>.</w:t>
      </w:r>
      <w:r w:rsidR="00827695" w:rsidRPr="00A52B2B">
        <w:rPr>
          <w:sz w:val="22"/>
          <w:szCs w:val="22"/>
        </w:rPr>
        <w:t xml:space="preserve"> When drafting each brief, we perform a series of additional verifications to ensure the data provided reflects the current constitutional and legal landscape of a country.</w:t>
      </w:r>
    </w:p>
    <w:p w14:paraId="6328750B" w14:textId="38847A3B" w:rsidR="0055456B" w:rsidRPr="0000423A" w:rsidRDefault="00BE6DF8" w:rsidP="0055456B">
      <w:pPr>
        <w:rPr>
          <w:color w:val="000000" w:themeColor="text1"/>
          <w:sz w:val="22"/>
          <w:szCs w:val="22"/>
        </w:rPr>
      </w:pPr>
      <w:bookmarkStart w:id="42" w:name="_Hlk60920343"/>
      <w:bookmarkStart w:id="43" w:name="_Hlk43805467"/>
      <w:r w:rsidRPr="00A52B2B">
        <w:rPr>
          <w:sz w:val="22"/>
          <w:szCs w:val="22"/>
        </w:rPr>
        <w:t xml:space="preserve">In this report we provide </w:t>
      </w:r>
      <w:r w:rsidR="009927F6">
        <w:rPr>
          <w:sz w:val="22"/>
          <w:szCs w:val="22"/>
        </w:rPr>
        <w:t xml:space="preserve">a summary of </w:t>
      </w:r>
      <w:r w:rsidRPr="00A52B2B">
        <w:rPr>
          <w:sz w:val="22"/>
          <w:szCs w:val="22"/>
        </w:rPr>
        <w:t xml:space="preserve">our </w:t>
      </w:r>
      <w:r w:rsidR="000A1955">
        <w:rPr>
          <w:sz w:val="22"/>
          <w:szCs w:val="22"/>
        </w:rPr>
        <w:t>findings, as well as</w:t>
      </w:r>
      <w:r w:rsidRPr="00A52B2B">
        <w:rPr>
          <w:sz w:val="22"/>
          <w:szCs w:val="22"/>
        </w:rPr>
        <w:t xml:space="preserve"> questions</w:t>
      </w:r>
      <w:r w:rsidR="000A1955">
        <w:rPr>
          <w:sz w:val="22"/>
          <w:szCs w:val="22"/>
        </w:rPr>
        <w:t xml:space="preserve"> for</w:t>
      </w:r>
      <w:r w:rsidRPr="00A52B2B">
        <w:rPr>
          <w:sz w:val="22"/>
          <w:szCs w:val="22"/>
        </w:rPr>
        <w:t xml:space="preserve"> the Committee </w:t>
      </w:r>
      <w:r w:rsidR="000A1955">
        <w:rPr>
          <w:sz w:val="22"/>
          <w:szCs w:val="22"/>
        </w:rPr>
        <w:t xml:space="preserve">to </w:t>
      </w:r>
      <w:r w:rsidRPr="00A52B2B">
        <w:rPr>
          <w:sz w:val="22"/>
          <w:szCs w:val="22"/>
        </w:rPr>
        <w:t xml:space="preserve">ask </w:t>
      </w:r>
      <w:r w:rsidR="00B50456">
        <w:rPr>
          <w:sz w:val="22"/>
          <w:szCs w:val="22"/>
        </w:rPr>
        <w:t>Uganda</w:t>
      </w:r>
      <w:r w:rsidR="000A1955">
        <w:rPr>
          <w:sz w:val="22"/>
          <w:szCs w:val="22"/>
        </w:rPr>
        <w:t xml:space="preserve">, and </w:t>
      </w:r>
      <w:r w:rsidRPr="00A52B2B">
        <w:rPr>
          <w:sz w:val="22"/>
          <w:szCs w:val="22"/>
        </w:rPr>
        <w:t xml:space="preserve">topics we hope the Committee will address in </w:t>
      </w:r>
      <w:r w:rsidR="00F41C71" w:rsidRPr="00A52B2B">
        <w:rPr>
          <w:sz w:val="22"/>
          <w:szCs w:val="22"/>
        </w:rPr>
        <w:t>its</w:t>
      </w:r>
      <w:r w:rsidRPr="00A52B2B">
        <w:rPr>
          <w:sz w:val="22"/>
          <w:szCs w:val="22"/>
        </w:rPr>
        <w:t xml:space="preserve"> concluding observations. </w:t>
      </w:r>
      <w:r w:rsidR="009927F6">
        <w:rPr>
          <w:sz w:val="22"/>
          <w:szCs w:val="22"/>
        </w:rPr>
        <w:t xml:space="preserve">This summary is followed by detailed legislative excerpts documenting our findings. </w:t>
      </w:r>
      <w:r w:rsidRPr="00A52B2B">
        <w:rPr>
          <w:sz w:val="22"/>
          <w:szCs w:val="22"/>
        </w:rPr>
        <w:t xml:space="preserve">We hope the Committee will recommend that </w:t>
      </w:r>
      <w:r w:rsidR="00B50456">
        <w:rPr>
          <w:sz w:val="22"/>
          <w:szCs w:val="22"/>
        </w:rPr>
        <w:t>Uganda</w:t>
      </w:r>
      <w:r w:rsidRPr="00A52B2B">
        <w:rPr>
          <w:sz w:val="22"/>
          <w:szCs w:val="22"/>
        </w:rPr>
        <w:t xml:space="preserve"> address any gaps</w:t>
      </w:r>
      <w:r w:rsidRPr="00A52B2B">
        <w:rPr>
          <w:color w:val="000000" w:themeColor="text1"/>
          <w:sz w:val="22"/>
          <w:szCs w:val="22"/>
        </w:rPr>
        <w:t xml:space="preserve"> in consultation and collaboration with relevant stakeholders, including civil society organizations. </w:t>
      </w:r>
      <w:r w:rsidR="0055456B" w:rsidRPr="00A52B2B">
        <w:rPr>
          <w:color w:val="000000" w:themeColor="text1"/>
          <w:sz w:val="22"/>
          <w:szCs w:val="22"/>
        </w:rPr>
        <w:t xml:space="preserve">We also recognize that while having strong laws and policies in place are necessary first steps, implementation is also of paramount importance. In areas where we have commended </w:t>
      </w:r>
      <w:r w:rsidR="0055456B">
        <w:rPr>
          <w:sz w:val="22"/>
          <w:szCs w:val="22"/>
        </w:rPr>
        <w:t>Uganda</w:t>
      </w:r>
      <w:r w:rsidR="0055456B" w:rsidRPr="00A52B2B">
        <w:rPr>
          <w:color w:val="000000" w:themeColor="text1"/>
          <w:sz w:val="22"/>
          <w:szCs w:val="22"/>
        </w:rPr>
        <w:t xml:space="preserve"> for having provisions in place, we hope the Committee will recommend that </w:t>
      </w:r>
      <w:r w:rsidR="0055456B">
        <w:rPr>
          <w:sz w:val="22"/>
          <w:szCs w:val="22"/>
        </w:rPr>
        <w:t>Uganda</w:t>
      </w:r>
      <w:r w:rsidR="0055456B" w:rsidRPr="00A52B2B">
        <w:rPr>
          <w:color w:val="000000" w:themeColor="text1"/>
          <w:sz w:val="22"/>
          <w:szCs w:val="22"/>
        </w:rPr>
        <w:t xml:space="preserve"> work with stakeholders to overcome any obstacles in implementing these provisions.</w:t>
      </w:r>
    </w:p>
    <w:p w14:paraId="3A20632E" w14:textId="565D0BEF" w:rsidR="00BE6DF8" w:rsidRDefault="00BE6DF8" w:rsidP="00BE6DF8">
      <w:pPr>
        <w:rPr>
          <w:color w:val="000000" w:themeColor="text1"/>
          <w:sz w:val="22"/>
          <w:szCs w:val="22"/>
        </w:rPr>
      </w:pPr>
    </w:p>
    <w:bookmarkEnd w:id="42"/>
    <w:p w14:paraId="10DC5EC9" w14:textId="14EEA744" w:rsidR="00B2256B" w:rsidRDefault="00B2256B" w:rsidP="00BE6DF8">
      <w:pPr>
        <w:rPr>
          <w:color w:val="000000" w:themeColor="text1"/>
          <w:sz w:val="22"/>
          <w:szCs w:val="22"/>
        </w:rPr>
      </w:pPr>
    </w:p>
    <w:p w14:paraId="22938571" w14:textId="77777777" w:rsidR="00B2256B" w:rsidRPr="00A52B2B" w:rsidRDefault="00B2256B" w:rsidP="00BE6DF8">
      <w:pPr>
        <w:rPr>
          <w:sz w:val="22"/>
          <w:szCs w:val="22"/>
        </w:rPr>
      </w:pPr>
    </w:p>
    <w:bookmarkEnd w:id="43"/>
    <w:p w14:paraId="22CD25CD" w14:textId="6D1CE37A" w:rsidR="00ED4891" w:rsidRDefault="00ED4891" w:rsidP="00ED4891">
      <w:pPr>
        <w:rPr>
          <w:b/>
          <w:i/>
        </w:rPr>
      </w:pPr>
    </w:p>
    <w:p w14:paraId="7DBD910B" w14:textId="3BF5642C" w:rsidR="00DF6F0C" w:rsidRDefault="00DF6F0C" w:rsidP="00ED4891">
      <w:pPr>
        <w:rPr>
          <w:b/>
          <w:i/>
        </w:rPr>
      </w:pPr>
    </w:p>
    <w:p w14:paraId="47FC9A4C" w14:textId="77777777" w:rsidR="001B7199" w:rsidRDefault="001B7199" w:rsidP="00ED4891">
      <w:pPr>
        <w:rPr>
          <w:b/>
          <w:i/>
        </w:rPr>
      </w:pPr>
    </w:p>
    <w:p w14:paraId="72CD42C4" w14:textId="77777777" w:rsidR="000A1955" w:rsidRDefault="000A1955" w:rsidP="00ED4891">
      <w:pPr>
        <w:rPr>
          <w:b/>
          <w:i/>
        </w:rPr>
      </w:pPr>
    </w:p>
    <w:p w14:paraId="4C166A39" w14:textId="005013B8" w:rsidR="0096441A" w:rsidRDefault="0096441A" w:rsidP="00A52B2B">
      <w:pPr>
        <w:pStyle w:val="Heading1"/>
        <w:rPr>
          <w:rFonts w:eastAsia="Times New Roman"/>
          <w:b/>
          <w:bCs/>
        </w:rPr>
      </w:pPr>
      <w:bookmarkStart w:id="44" w:name="_Toc56070607"/>
      <w:bookmarkStart w:id="45" w:name="_Toc56079790"/>
      <w:bookmarkStart w:id="46" w:name="_Hlk56078328"/>
      <w:bookmarkStart w:id="47" w:name="_Toc58844323"/>
      <w:bookmarkStart w:id="48" w:name="_Toc61252042"/>
      <w:bookmarkStart w:id="49" w:name="_Hlk55550733"/>
      <w:r>
        <w:rPr>
          <w:rFonts w:eastAsia="Times New Roman"/>
          <w:b/>
          <w:bCs/>
        </w:rPr>
        <w:lastRenderedPageBreak/>
        <w:t>Summary of Findings and Recommendations</w:t>
      </w:r>
      <w:bookmarkEnd w:id="44"/>
      <w:bookmarkEnd w:id="45"/>
      <w:bookmarkEnd w:id="46"/>
      <w:bookmarkEnd w:id="47"/>
      <w:bookmarkEnd w:id="48"/>
    </w:p>
    <w:p w14:paraId="188E98E7" w14:textId="77777777" w:rsidR="00EF2E0C" w:rsidRPr="00EF2E0C" w:rsidRDefault="00EF2E0C" w:rsidP="00EF2E0C"/>
    <w:p w14:paraId="3E86450C" w14:textId="77777777" w:rsidR="0096441A" w:rsidRPr="00FF10FA" w:rsidRDefault="0096441A" w:rsidP="0096441A">
      <w:pPr>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
          <w:color w:val="2E74B5"/>
          <w:sz w:val="26"/>
          <w:szCs w:val="26"/>
        </w:rPr>
      </w:pPr>
      <w:bookmarkStart w:id="50" w:name="_Toc58844327"/>
      <w:bookmarkStart w:id="51" w:name="_Toc61252043"/>
      <w:r>
        <w:rPr>
          <w:rFonts w:ascii="Calibri Light" w:eastAsia="Times New Roman" w:hAnsi="Calibri Light" w:cs="Times New Roman"/>
          <w:b/>
          <w:color w:val="2E74B5"/>
          <w:sz w:val="26"/>
          <w:szCs w:val="26"/>
        </w:rPr>
        <w:t>Paid Maternity and Paternity Leave</w:t>
      </w:r>
      <w:r w:rsidRPr="005E4090">
        <w:rPr>
          <w:rFonts w:ascii="Calibri Light" w:eastAsia="Times New Roman" w:hAnsi="Calibri Light" w:cs="Times New Roman"/>
          <w:b/>
          <w:color w:val="2E74B5"/>
          <w:sz w:val="26"/>
          <w:szCs w:val="26"/>
        </w:rPr>
        <w:t xml:space="preserve"> (</w:t>
      </w:r>
      <w:r>
        <w:rPr>
          <w:rFonts w:ascii="Calibri Light" w:eastAsia="Times New Roman" w:hAnsi="Calibri Light" w:cs="Times New Roman"/>
          <w:b/>
          <w:color w:val="2E74B5"/>
          <w:sz w:val="26"/>
          <w:szCs w:val="26"/>
        </w:rPr>
        <w:t>Articles 11, 5)</w:t>
      </w:r>
      <w:bookmarkEnd w:id="50"/>
      <w:bookmarkEnd w:id="51"/>
    </w:p>
    <w:p w14:paraId="49635012" w14:textId="29E242B0" w:rsidR="009435CC" w:rsidRDefault="009435CC" w:rsidP="00B50456">
      <w:pPr>
        <w:spacing w:after="0"/>
        <w:rPr>
          <w:sz w:val="22"/>
          <w:szCs w:val="22"/>
        </w:rPr>
      </w:pPr>
      <w:r w:rsidRPr="009435CC">
        <w:rPr>
          <w:sz w:val="22"/>
          <w:szCs w:val="22"/>
        </w:rPr>
        <w:t>Based on our systematic review</w:t>
      </w:r>
      <w:r>
        <w:t xml:space="preserve"> </w:t>
      </w:r>
      <w:r w:rsidRPr="009435CC">
        <w:rPr>
          <w:sz w:val="22"/>
          <w:szCs w:val="22"/>
        </w:rPr>
        <w:t xml:space="preserve">of national legislation and country reports, </w:t>
      </w:r>
      <w:r>
        <w:rPr>
          <w:sz w:val="22"/>
          <w:szCs w:val="22"/>
        </w:rPr>
        <w:t>Uganda</w:t>
      </w:r>
      <w:r w:rsidRPr="009435CC">
        <w:rPr>
          <w:sz w:val="22"/>
          <w:szCs w:val="22"/>
        </w:rPr>
        <w:t xml:space="preserve"> guarantees</w:t>
      </w:r>
      <w:r>
        <w:rPr>
          <w:sz w:val="22"/>
          <w:szCs w:val="22"/>
        </w:rPr>
        <w:t xml:space="preserve"> working mothers</w:t>
      </w:r>
      <w:r w:rsidRPr="009435CC">
        <w:rPr>
          <w:sz w:val="22"/>
          <w:szCs w:val="22"/>
        </w:rPr>
        <w:t xml:space="preserve"> </w:t>
      </w:r>
      <w:r w:rsidRPr="00EF2E0C">
        <w:rPr>
          <w:bCs/>
          <w:sz w:val="22"/>
          <w:szCs w:val="22"/>
        </w:rPr>
        <w:t xml:space="preserve">60 working days of job-protected paid maternity leave, and </w:t>
      </w:r>
      <w:r w:rsidRPr="00EF2E0C">
        <w:rPr>
          <w:sz w:val="22"/>
          <w:szCs w:val="22"/>
        </w:rPr>
        <w:t xml:space="preserve">grants </w:t>
      </w:r>
      <w:r w:rsidRPr="00EF2E0C">
        <w:rPr>
          <w:bCs/>
          <w:sz w:val="22"/>
          <w:szCs w:val="22"/>
        </w:rPr>
        <w:t xml:space="preserve">working fathers four working days of job-protected paid paternity leave.  </w:t>
      </w:r>
    </w:p>
    <w:p w14:paraId="7EDEA457" w14:textId="77777777" w:rsidR="00B50456" w:rsidRPr="00FF07E2" w:rsidRDefault="00B50456" w:rsidP="00B50456">
      <w:pPr>
        <w:rPr>
          <w:b/>
          <w:sz w:val="22"/>
          <w:szCs w:val="22"/>
        </w:rPr>
      </w:pPr>
      <w:r w:rsidRPr="007E2A89">
        <w:rPr>
          <w:b/>
          <w:sz w:val="22"/>
          <w:szCs w:val="22"/>
        </w:rPr>
        <w:t xml:space="preserve">We hope the Committee will: </w:t>
      </w:r>
    </w:p>
    <w:p w14:paraId="288A1151" w14:textId="0227267E" w:rsidR="0096441A" w:rsidRDefault="00B50456" w:rsidP="0096441A">
      <w:pPr>
        <w:pStyle w:val="ListParagraph"/>
        <w:numPr>
          <w:ilvl w:val="0"/>
          <w:numId w:val="5"/>
        </w:numPr>
        <w:rPr>
          <w:sz w:val="22"/>
          <w:szCs w:val="22"/>
        </w:rPr>
      </w:pPr>
      <w:r w:rsidRPr="00FF07E2">
        <w:rPr>
          <w:sz w:val="22"/>
          <w:szCs w:val="22"/>
        </w:rPr>
        <w:t xml:space="preserve">In its concluding observations, recommend </w:t>
      </w:r>
      <w:r>
        <w:rPr>
          <w:sz w:val="22"/>
          <w:szCs w:val="22"/>
        </w:rPr>
        <w:t xml:space="preserve">that </w:t>
      </w:r>
      <w:r w:rsidR="009435CC">
        <w:rPr>
          <w:sz w:val="22"/>
          <w:szCs w:val="22"/>
        </w:rPr>
        <w:t>Uganda</w:t>
      </w:r>
      <w:r w:rsidRPr="00FF07E2">
        <w:rPr>
          <w:sz w:val="22"/>
          <w:szCs w:val="22"/>
        </w:rPr>
        <w:t xml:space="preserve"> increase the duration of paid maternity leave to at least 14 weeks, consistent with widely accepted standards set and endorsed by global institutions such as the ILO and UNICEF.  </w:t>
      </w:r>
    </w:p>
    <w:p w14:paraId="78D4AF13" w14:textId="318C8EF1" w:rsidR="00B50456" w:rsidRPr="009927F6" w:rsidRDefault="00876F6D" w:rsidP="009927F6">
      <w:pPr>
        <w:pStyle w:val="ListParagraph"/>
        <w:numPr>
          <w:ilvl w:val="0"/>
          <w:numId w:val="5"/>
        </w:numPr>
        <w:rPr>
          <w:sz w:val="22"/>
          <w:szCs w:val="22"/>
        </w:rPr>
      </w:pPr>
      <w:r w:rsidRPr="00FF07E2">
        <w:rPr>
          <w:sz w:val="22"/>
          <w:szCs w:val="22"/>
        </w:rPr>
        <w:t xml:space="preserve">In its concluding observations, </w:t>
      </w:r>
      <w:r>
        <w:rPr>
          <w:sz w:val="22"/>
          <w:szCs w:val="22"/>
        </w:rPr>
        <w:t>recommend</w:t>
      </w:r>
      <w:r w:rsidR="00EF2E0C">
        <w:rPr>
          <w:sz w:val="22"/>
          <w:szCs w:val="22"/>
        </w:rPr>
        <w:t xml:space="preserve"> that</w:t>
      </w:r>
      <w:r>
        <w:rPr>
          <w:sz w:val="22"/>
          <w:szCs w:val="22"/>
        </w:rPr>
        <w:t xml:space="preserve"> Uganda i</w:t>
      </w:r>
      <w:r w:rsidRPr="00876F6D">
        <w:rPr>
          <w:sz w:val="22"/>
          <w:szCs w:val="22"/>
        </w:rPr>
        <w:t>ncrease the duration of paid paternity leave</w:t>
      </w:r>
      <w:r w:rsidR="009927F6">
        <w:rPr>
          <w:sz w:val="22"/>
          <w:szCs w:val="22"/>
        </w:rPr>
        <w:t>—e</w:t>
      </w:r>
      <w:r w:rsidRPr="009927F6">
        <w:rPr>
          <w:sz w:val="22"/>
          <w:szCs w:val="22"/>
        </w:rPr>
        <w:t>nsuring fathers’ access to an adequate duration of paid paternity leave is foundational to increasing gender equality in caregiving responsibilities and gender equality in employment.</w:t>
      </w:r>
    </w:p>
    <w:p w14:paraId="08B69F83" w14:textId="77777777" w:rsidR="00415AB8" w:rsidRPr="00415AB8" w:rsidRDefault="00415AB8" w:rsidP="00415AB8">
      <w:pPr>
        <w:pStyle w:val="ListParagraph"/>
        <w:rPr>
          <w:sz w:val="22"/>
          <w:szCs w:val="22"/>
        </w:rPr>
      </w:pPr>
    </w:p>
    <w:p w14:paraId="4A29DC4F" w14:textId="6DECE8E0" w:rsidR="0096441A" w:rsidRPr="0096441A" w:rsidRDefault="0096441A" w:rsidP="0096441A">
      <w:pPr>
        <w:pStyle w:val="ListParagraph"/>
        <w:keepNext/>
        <w:keepLines/>
        <w:numPr>
          <w:ilvl w:val="0"/>
          <w:numId w:val="1"/>
        </w:numPr>
        <w:pBdr>
          <w:bottom w:val="single" w:sz="6" w:space="1" w:color="auto"/>
        </w:pBdr>
        <w:spacing w:before="40" w:after="0" w:line="259" w:lineRule="auto"/>
        <w:outlineLvl w:val="1"/>
        <w:rPr>
          <w:rFonts w:ascii="Calibri Light" w:eastAsia="Times New Roman" w:hAnsi="Calibri Light" w:cs="Times New Roman"/>
          <w:b/>
          <w:color w:val="2E74B5"/>
          <w:sz w:val="26"/>
          <w:szCs w:val="26"/>
        </w:rPr>
      </w:pPr>
      <w:bookmarkStart w:id="52" w:name="_Toc61252044"/>
      <w:r w:rsidRPr="0096441A">
        <w:rPr>
          <w:rFonts w:ascii="Calibri Light" w:eastAsia="Times New Roman" w:hAnsi="Calibri Light" w:cs="Times New Roman"/>
          <w:b/>
          <w:color w:val="2E74B5"/>
          <w:sz w:val="26"/>
          <w:szCs w:val="26"/>
        </w:rPr>
        <w:t>Child Marriage (Articles 16, 2)</w:t>
      </w:r>
      <w:bookmarkEnd w:id="52"/>
    </w:p>
    <w:p w14:paraId="3812F410" w14:textId="39845908" w:rsidR="0096441A" w:rsidRDefault="00631B24" w:rsidP="0096441A">
      <w:pPr>
        <w:rPr>
          <w:sz w:val="22"/>
          <w:szCs w:val="22"/>
        </w:rPr>
      </w:pPr>
      <w:r w:rsidRPr="00B2256B">
        <w:rPr>
          <w:sz w:val="22"/>
          <w:szCs w:val="22"/>
        </w:rPr>
        <w:t xml:space="preserve">Based on our systematic review of Uganda’s legislative and constitutional provisions, </w:t>
      </w:r>
      <w:r w:rsidRPr="00B2256B">
        <w:rPr>
          <w:b/>
          <w:bCs/>
          <w:sz w:val="22"/>
          <w:szCs w:val="22"/>
        </w:rPr>
        <w:t>Uganda sets the minimum age of marriage at 18</w:t>
      </w:r>
      <w:r w:rsidR="00654513" w:rsidRPr="00B2256B">
        <w:rPr>
          <w:b/>
          <w:bCs/>
          <w:sz w:val="22"/>
          <w:szCs w:val="22"/>
        </w:rPr>
        <w:t xml:space="preserve"> </w:t>
      </w:r>
      <w:r w:rsidR="00B2256B" w:rsidRPr="00B2256B">
        <w:rPr>
          <w:b/>
          <w:bCs/>
          <w:sz w:val="22"/>
          <w:szCs w:val="22"/>
        </w:rPr>
        <w:t xml:space="preserve">years </w:t>
      </w:r>
      <w:r w:rsidR="00B2256B" w:rsidRPr="009927F6">
        <w:rPr>
          <w:sz w:val="22"/>
          <w:szCs w:val="22"/>
        </w:rPr>
        <w:t>and</w:t>
      </w:r>
      <w:r w:rsidR="005438EF" w:rsidRPr="009927F6">
        <w:rPr>
          <w:sz w:val="22"/>
          <w:szCs w:val="22"/>
        </w:rPr>
        <w:t xml:space="preserve"> requires parental consent for </w:t>
      </w:r>
      <w:r w:rsidR="00654513" w:rsidRPr="009927F6">
        <w:rPr>
          <w:sz w:val="22"/>
          <w:szCs w:val="22"/>
        </w:rPr>
        <w:t xml:space="preserve">any person </w:t>
      </w:r>
      <w:r w:rsidR="005438EF" w:rsidRPr="009927F6">
        <w:rPr>
          <w:sz w:val="22"/>
          <w:szCs w:val="22"/>
        </w:rPr>
        <w:t>marrying under the age of 21.</w:t>
      </w:r>
      <w:r w:rsidR="005438EF" w:rsidRPr="00B2256B">
        <w:rPr>
          <w:sz w:val="22"/>
          <w:szCs w:val="22"/>
        </w:rPr>
        <w:t xml:space="preserve"> However, a </w:t>
      </w:r>
      <w:r w:rsidR="00AA6BE0">
        <w:rPr>
          <w:sz w:val="22"/>
          <w:szCs w:val="22"/>
        </w:rPr>
        <w:t>combination</w:t>
      </w:r>
      <w:r w:rsidR="005438EF" w:rsidRPr="00B2256B">
        <w:rPr>
          <w:sz w:val="22"/>
          <w:szCs w:val="22"/>
        </w:rPr>
        <w:t xml:space="preserve"> of overlapping </w:t>
      </w:r>
      <w:r w:rsidR="00B00BE6" w:rsidRPr="00B2256B">
        <w:rPr>
          <w:sz w:val="22"/>
          <w:szCs w:val="22"/>
        </w:rPr>
        <w:t>laws governing</w:t>
      </w:r>
      <w:r w:rsidR="005438EF" w:rsidRPr="00B2256B">
        <w:rPr>
          <w:sz w:val="22"/>
          <w:szCs w:val="22"/>
        </w:rPr>
        <w:t xml:space="preserve"> customary and religious marriage</w:t>
      </w:r>
      <w:r w:rsidR="00B00BE6" w:rsidRPr="00B2256B">
        <w:rPr>
          <w:sz w:val="22"/>
          <w:szCs w:val="22"/>
        </w:rPr>
        <w:t>s</w:t>
      </w:r>
      <w:r w:rsidR="005438EF" w:rsidRPr="00B2256B">
        <w:rPr>
          <w:sz w:val="22"/>
          <w:szCs w:val="22"/>
        </w:rPr>
        <w:t xml:space="preserve"> </w:t>
      </w:r>
      <w:r w:rsidR="002A77F0" w:rsidRPr="00B2256B">
        <w:rPr>
          <w:sz w:val="22"/>
          <w:szCs w:val="22"/>
        </w:rPr>
        <w:t>allow</w:t>
      </w:r>
      <w:r w:rsidR="005438EF" w:rsidRPr="00B2256B">
        <w:rPr>
          <w:sz w:val="22"/>
          <w:szCs w:val="22"/>
        </w:rPr>
        <w:t xml:space="preserve"> </w:t>
      </w:r>
      <w:r w:rsidR="005438EF" w:rsidRPr="00B2256B">
        <w:rPr>
          <w:b/>
          <w:bCs/>
          <w:sz w:val="22"/>
          <w:szCs w:val="22"/>
        </w:rPr>
        <w:t xml:space="preserve">girls </w:t>
      </w:r>
      <w:r w:rsidR="002A77F0" w:rsidRPr="00B2256B">
        <w:rPr>
          <w:b/>
          <w:bCs/>
          <w:sz w:val="22"/>
          <w:szCs w:val="22"/>
        </w:rPr>
        <w:t xml:space="preserve">to </w:t>
      </w:r>
      <w:r w:rsidR="005438EF" w:rsidRPr="00B2256B">
        <w:rPr>
          <w:b/>
          <w:bCs/>
          <w:sz w:val="22"/>
          <w:szCs w:val="22"/>
        </w:rPr>
        <w:t>marry before the age of 18</w:t>
      </w:r>
      <w:r w:rsidR="002A77F0" w:rsidRPr="00B2256B">
        <w:rPr>
          <w:b/>
          <w:bCs/>
          <w:sz w:val="22"/>
          <w:szCs w:val="22"/>
        </w:rPr>
        <w:t>,</w:t>
      </w:r>
      <w:r w:rsidR="005438EF" w:rsidRPr="00B2256B">
        <w:rPr>
          <w:b/>
          <w:bCs/>
          <w:sz w:val="22"/>
          <w:szCs w:val="22"/>
        </w:rPr>
        <w:t xml:space="preserve"> and in certain conditions </w:t>
      </w:r>
      <w:r w:rsidR="00AA6BE0">
        <w:rPr>
          <w:b/>
          <w:bCs/>
          <w:sz w:val="22"/>
          <w:szCs w:val="22"/>
        </w:rPr>
        <w:t xml:space="preserve">may </w:t>
      </w:r>
      <w:r w:rsidR="002A77F0" w:rsidRPr="00B2256B">
        <w:rPr>
          <w:b/>
          <w:bCs/>
          <w:sz w:val="22"/>
          <w:szCs w:val="22"/>
        </w:rPr>
        <w:t xml:space="preserve">allow </w:t>
      </w:r>
      <w:r w:rsidR="005438EF" w:rsidRPr="00B2256B">
        <w:rPr>
          <w:b/>
          <w:bCs/>
          <w:sz w:val="22"/>
          <w:szCs w:val="22"/>
        </w:rPr>
        <w:t xml:space="preserve">both girls and boys </w:t>
      </w:r>
      <w:r w:rsidR="002A77F0" w:rsidRPr="00B2256B">
        <w:rPr>
          <w:b/>
          <w:bCs/>
          <w:sz w:val="22"/>
          <w:szCs w:val="22"/>
        </w:rPr>
        <w:t xml:space="preserve">to </w:t>
      </w:r>
      <w:r w:rsidR="005438EF" w:rsidRPr="00B2256B">
        <w:rPr>
          <w:b/>
          <w:bCs/>
          <w:sz w:val="22"/>
          <w:szCs w:val="22"/>
        </w:rPr>
        <w:t>marry at any age</w:t>
      </w:r>
      <w:r w:rsidR="005438EF" w:rsidRPr="00B2256B">
        <w:rPr>
          <w:sz w:val="22"/>
          <w:szCs w:val="22"/>
        </w:rPr>
        <w:t xml:space="preserve">. </w:t>
      </w:r>
      <w:r w:rsidR="00B00BE6" w:rsidRPr="00B2256B">
        <w:rPr>
          <w:sz w:val="22"/>
          <w:szCs w:val="22"/>
        </w:rPr>
        <w:t>As a result</w:t>
      </w:r>
      <w:r w:rsidR="005438EF" w:rsidRPr="00B2256B">
        <w:rPr>
          <w:sz w:val="22"/>
          <w:szCs w:val="22"/>
        </w:rPr>
        <w:t xml:space="preserve">, Ugandan girls frequently marry before </w:t>
      </w:r>
      <w:r w:rsidR="00B00BE6" w:rsidRPr="00B2256B">
        <w:rPr>
          <w:sz w:val="22"/>
          <w:szCs w:val="22"/>
        </w:rPr>
        <w:t>reaching the age of 18</w:t>
      </w:r>
      <w:r w:rsidR="00AA6BE0">
        <w:rPr>
          <w:sz w:val="22"/>
          <w:szCs w:val="22"/>
        </w:rPr>
        <w:t>—i</w:t>
      </w:r>
      <w:r w:rsidR="005438EF" w:rsidRPr="00B2256B">
        <w:rPr>
          <w:sz w:val="22"/>
          <w:szCs w:val="22"/>
        </w:rPr>
        <w:t xml:space="preserve">n 2016, </w:t>
      </w:r>
      <w:r w:rsidR="00B00BE6" w:rsidRPr="00B2256B">
        <w:rPr>
          <w:sz w:val="22"/>
          <w:szCs w:val="22"/>
        </w:rPr>
        <w:t xml:space="preserve">approximately </w:t>
      </w:r>
      <w:r w:rsidR="005438EF" w:rsidRPr="00B2256B">
        <w:rPr>
          <w:sz w:val="22"/>
          <w:szCs w:val="22"/>
        </w:rPr>
        <w:t>20% of Ugandan girls aged 15 to 19 were already married. Thirty-four percent of women age</w:t>
      </w:r>
      <w:r w:rsidR="00B00BE6" w:rsidRPr="00B2256B">
        <w:rPr>
          <w:sz w:val="22"/>
          <w:szCs w:val="22"/>
        </w:rPr>
        <w:t>d</w:t>
      </w:r>
      <w:r w:rsidR="005438EF" w:rsidRPr="00B2256B">
        <w:rPr>
          <w:sz w:val="22"/>
          <w:szCs w:val="22"/>
        </w:rPr>
        <w:t xml:space="preserve"> 20 to 24 had married before </w:t>
      </w:r>
      <w:r w:rsidR="00B00BE6" w:rsidRPr="00B2256B">
        <w:rPr>
          <w:sz w:val="22"/>
          <w:szCs w:val="22"/>
        </w:rPr>
        <w:t xml:space="preserve">the </w:t>
      </w:r>
      <w:r w:rsidR="005438EF" w:rsidRPr="00B2256B">
        <w:rPr>
          <w:sz w:val="22"/>
          <w:szCs w:val="22"/>
        </w:rPr>
        <w:t>age</w:t>
      </w:r>
      <w:r w:rsidR="00B00BE6" w:rsidRPr="00B2256B">
        <w:rPr>
          <w:sz w:val="22"/>
          <w:szCs w:val="22"/>
        </w:rPr>
        <w:t xml:space="preserve"> of</w:t>
      </w:r>
      <w:r w:rsidR="005438EF" w:rsidRPr="00B2256B">
        <w:rPr>
          <w:sz w:val="22"/>
          <w:szCs w:val="22"/>
        </w:rPr>
        <w:t xml:space="preserve"> 18, and 7% had married before </w:t>
      </w:r>
      <w:r w:rsidR="00B00BE6" w:rsidRPr="00B2256B">
        <w:rPr>
          <w:sz w:val="22"/>
          <w:szCs w:val="22"/>
        </w:rPr>
        <w:t xml:space="preserve">the </w:t>
      </w:r>
      <w:r w:rsidR="005438EF" w:rsidRPr="00B2256B">
        <w:rPr>
          <w:sz w:val="22"/>
          <w:szCs w:val="22"/>
        </w:rPr>
        <w:t xml:space="preserve">age </w:t>
      </w:r>
      <w:r w:rsidR="00B00BE6" w:rsidRPr="00B2256B">
        <w:rPr>
          <w:sz w:val="22"/>
          <w:szCs w:val="22"/>
        </w:rPr>
        <w:t xml:space="preserve">of </w:t>
      </w:r>
      <w:r w:rsidR="005438EF" w:rsidRPr="00B2256B">
        <w:rPr>
          <w:sz w:val="22"/>
          <w:szCs w:val="22"/>
        </w:rPr>
        <w:t>15.</w:t>
      </w:r>
      <w:r w:rsidR="00AA6BE0">
        <w:rPr>
          <w:rStyle w:val="FootnoteReference"/>
          <w:sz w:val="22"/>
          <w:szCs w:val="22"/>
        </w:rPr>
        <w:footnoteReference w:id="1"/>
      </w:r>
      <w:r w:rsidR="005438EF" w:rsidRPr="00B2256B">
        <w:rPr>
          <w:sz w:val="22"/>
          <w:szCs w:val="22"/>
        </w:rPr>
        <w:t xml:space="preserve"> </w:t>
      </w:r>
    </w:p>
    <w:p w14:paraId="66753522" w14:textId="02C237C7" w:rsidR="00AA6BE0" w:rsidRPr="00B2256B" w:rsidRDefault="00AA6BE0" w:rsidP="00AA6BE0">
      <w:pPr>
        <w:spacing w:afterLines="100" w:after="240"/>
        <w:rPr>
          <w:sz w:val="22"/>
          <w:szCs w:val="22"/>
        </w:rPr>
      </w:pPr>
      <w:r w:rsidRPr="00B2256B">
        <w:rPr>
          <w:sz w:val="22"/>
          <w:szCs w:val="22"/>
        </w:rPr>
        <w:t xml:space="preserve">The </w:t>
      </w:r>
      <w:r w:rsidRPr="00B2256B">
        <w:rPr>
          <w:i/>
          <w:iCs/>
          <w:sz w:val="22"/>
          <w:szCs w:val="22"/>
        </w:rPr>
        <w:t>Marriage Bill (2017)</w:t>
      </w:r>
      <w:r>
        <w:rPr>
          <w:i/>
          <w:iCs/>
          <w:sz w:val="22"/>
          <w:szCs w:val="22"/>
        </w:rPr>
        <w:t xml:space="preserve">, </w:t>
      </w:r>
      <w:r w:rsidRPr="00B2256B">
        <w:rPr>
          <w:sz w:val="22"/>
          <w:szCs w:val="22"/>
        </w:rPr>
        <w:t xml:space="preserve">which has been in development for over a decade, </w:t>
      </w:r>
      <w:r w:rsidR="00397B05">
        <w:rPr>
          <w:sz w:val="22"/>
          <w:szCs w:val="22"/>
        </w:rPr>
        <w:t>attempts to</w:t>
      </w:r>
      <w:r w:rsidR="00397B05" w:rsidRPr="00B2256B">
        <w:rPr>
          <w:sz w:val="22"/>
          <w:szCs w:val="22"/>
        </w:rPr>
        <w:t xml:space="preserve"> </w:t>
      </w:r>
      <w:r w:rsidRPr="00B2256B">
        <w:rPr>
          <w:sz w:val="22"/>
          <w:szCs w:val="22"/>
        </w:rPr>
        <w:t>harmonize these existing</w:t>
      </w:r>
      <w:r>
        <w:rPr>
          <w:sz w:val="22"/>
          <w:szCs w:val="22"/>
        </w:rPr>
        <w:t xml:space="preserve"> legislative provisions</w:t>
      </w:r>
      <w:r w:rsidRPr="00B2256B">
        <w:rPr>
          <w:sz w:val="22"/>
          <w:szCs w:val="22"/>
        </w:rPr>
        <w:t xml:space="preserve"> </w:t>
      </w:r>
      <w:r w:rsidR="00F15E58">
        <w:rPr>
          <w:sz w:val="22"/>
          <w:szCs w:val="22"/>
        </w:rPr>
        <w:t>with the country’s constitution</w:t>
      </w:r>
      <w:r w:rsidR="00397B05">
        <w:rPr>
          <w:sz w:val="22"/>
          <w:szCs w:val="22"/>
        </w:rPr>
        <w:t>, which prohibits marriage under the age of 18</w:t>
      </w:r>
      <w:r w:rsidRPr="00B2256B">
        <w:rPr>
          <w:sz w:val="22"/>
          <w:szCs w:val="22"/>
        </w:rPr>
        <w:t xml:space="preserve">. However, as of </w:t>
      </w:r>
      <w:r w:rsidRPr="009927F6">
        <w:rPr>
          <w:sz w:val="22"/>
          <w:szCs w:val="22"/>
        </w:rPr>
        <w:t>December 1</w:t>
      </w:r>
      <w:r w:rsidR="009927F6">
        <w:rPr>
          <w:sz w:val="22"/>
          <w:szCs w:val="22"/>
        </w:rPr>
        <w:t>8</w:t>
      </w:r>
      <w:r w:rsidRPr="009927F6">
        <w:rPr>
          <w:sz w:val="22"/>
          <w:szCs w:val="22"/>
        </w:rPr>
        <w:t>, 2020</w:t>
      </w:r>
      <w:r w:rsidRPr="00B2256B">
        <w:rPr>
          <w:sz w:val="22"/>
          <w:szCs w:val="22"/>
        </w:rPr>
        <w:t xml:space="preserve">, this bill has not been </w:t>
      </w:r>
      <w:r>
        <w:rPr>
          <w:sz w:val="22"/>
          <w:szCs w:val="22"/>
        </w:rPr>
        <w:t xml:space="preserve">passed </w:t>
      </w:r>
      <w:r w:rsidRPr="00B2256B">
        <w:rPr>
          <w:sz w:val="22"/>
          <w:szCs w:val="22"/>
        </w:rPr>
        <w:t xml:space="preserve">by the Ugandan parliament. </w:t>
      </w:r>
    </w:p>
    <w:p w14:paraId="33D25D67" w14:textId="77777777" w:rsidR="005438EF" w:rsidRPr="00FF07E2" w:rsidRDefault="005438EF" w:rsidP="005438EF">
      <w:pPr>
        <w:rPr>
          <w:b/>
          <w:sz w:val="22"/>
          <w:szCs w:val="22"/>
        </w:rPr>
      </w:pPr>
      <w:r w:rsidRPr="007E2A89">
        <w:rPr>
          <w:b/>
          <w:sz w:val="22"/>
          <w:szCs w:val="22"/>
        </w:rPr>
        <w:t xml:space="preserve">We hope the Committee will: </w:t>
      </w:r>
    </w:p>
    <w:p w14:paraId="0AA5E19B" w14:textId="050CA519" w:rsidR="009927F6" w:rsidRDefault="005438EF" w:rsidP="00EF2E0C">
      <w:pPr>
        <w:pStyle w:val="ListParagraph"/>
        <w:numPr>
          <w:ilvl w:val="0"/>
          <w:numId w:val="6"/>
        </w:numPr>
        <w:rPr>
          <w:sz w:val="22"/>
          <w:szCs w:val="22"/>
        </w:rPr>
      </w:pPr>
      <w:r w:rsidRPr="00AA6BE0">
        <w:rPr>
          <w:sz w:val="22"/>
          <w:szCs w:val="22"/>
        </w:rPr>
        <w:t>In its concluding observations, recommend that Uganda</w:t>
      </w:r>
      <w:r w:rsidR="00216C87" w:rsidRPr="00AA6BE0">
        <w:rPr>
          <w:sz w:val="22"/>
          <w:szCs w:val="22"/>
        </w:rPr>
        <w:t xml:space="preserve"> </w:t>
      </w:r>
      <w:r w:rsidR="002A77F0" w:rsidRPr="00AA6BE0">
        <w:rPr>
          <w:sz w:val="22"/>
          <w:szCs w:val="22"/>
        </w:rPr>
        <w:t xml:space="preserve">pass and implement </w:t>
      </w:r>
      <w:r w:rsidR="00AA6BE0">
        <w:rPr>
          <w:sz w:val="22"/>
          <w:szCs w:val="22"/>
        </w:rPr>
        <w:t xml:space="preserve">the proposed </w:t>
      </w:r>
      <w:r w:rsidR="00AA6BE0" w:rsidRPr="00AA6BE0">
        <w:rPr>
          <w:i/>
          <w:iCs/>
          <w:sz w:val="22"/>
          <w:szCs w:val="22"/>
        </w:rPr>
        <w:t>Marriage Bill</w:t>
      </w:r>
      <w:r w:rsidR="00AA6BE0">
        <w:rPr>
          <w:sz w:val="22"/>
          <w:szCs w:val="22"/>
        </w:rPr>
        <w:t xml:space="preserve"> or a similar Act</w:t>
      </w:r>
      <w:r w:rsidR="002A77F0" w:rsidRPr="00AA6BE0">
        <w:rPr>
          <w:sz w:val="22"/>
          <w:szCs w:val="22"/>
        </w:rPr>
        <w:t xml:space="preserve"> that protects girls under the age of 18 from early marriage</w:t>
      </w:r>
      <w:r w:rsidR="000A35DA" w:rsidRPr="00AA6BE0">
        <w:rPr>
          <w:sz w:val="22"/>
          <w:szCs w:val="22"/>
        </w:rPr>
        <w:t xml:space="preserve"> </w:t>
      </w:r>
      <w:r w:rsidR="002A77F0" w:rsidRPr="00AA6BE0">
        <w:rPr>
          <w:sz w:val="22"/>
          <w:szCs w:val="22"/>
        </w:rPr>
        <w:t xml:space="preserve">under customary and religious law, </w:t>
      </w:r>
      <w:r w:rsidR="000A35DA" w:rsidRPr="00AA6BE0">
        <w:rPr>
          <w:sz w:val="22"/>
          <w:szCs w:val="22"/>
        </w:rPr>
        <w:t>consistent</w:t>
      </w:r>
      <w:r w:rsidR="002A77F0" w:rsidRPr="00AA6BE0">
        <w:rPr>
          <w:sz w:val="22"/>
          <w:szCs w:val="22"/>
        </w:rPr>
        <w:t xml:space="preserve"> with Article 31</w:t>
      </w:r>
      <w:r w:rsidR="000A35DA" w:rsidRPr="00AA6BE0">
        <w:rPr>
          <w:sz w:val="22"/>
          <w:szCs w:val="22"/>
        </w:rPr>
        <w:t xml:space="preserve"> of Uganda’s constitution and Article 16 of the Convention. </w:t>
      </w:r>
    </w:p>
    <w:p w14:paraId="0DDCD5E8" w14:textId="77777777" w:rsidR="008E6C7F" w:rsidRDefault="008E6C7F" w:rsidP="008E6C7F">
      <w:pPr>
        <w:rPr>
          <w:sz w:val="22"/>
          <w:szCs w:val="22"/>
        </w:rPr>
      </w:pPr>
    </w:p>
    <w:p w14:paraId="4965275E" w14:textId="77777777" w:rsidR="00721CAD" w:rsidRPr="008E6C7F" w:rsidRDefault="00721CAD" w:rsidP="008E6C7F">
      <w:pPr>
        <w:rPr>
          <w:sz w:val="22"/>
          <w:szCs w:val="22"/>
        </w:rPr>
      </w:pPr>
    </w:p>
    <w:p w14:paraId="5C2A9063" w14:textId="5FFEC69D" w:rsidR="00FA45F7" w:rsidRPr="00A52B2B" w:rsidRDefault="00623047" w:rsidP="00721CAD">
      <w:pPr>
        <w:pStyle w:val="Heading1"/>
        <w:spacing w:afterLines="100" w:after="240"/>
        <w:rPr>
          <w:rFonts w:eastAsia="Times New Roman"/>
          <w:b/>
          <w:bCs/>
        </w:rPr>
      </w:pPr>
      <w:bookmarkStart w:id="53" w:name="_Toc61252045"/>
      <w:r w:rsidRPr="00A52B2B">
        <w:rPr>
          <w:rFonts w:eastAsia="Times New Roman"/>
          <w:b/>
          <w:bCs/>
        </w:rPr>
        <w:lastRenderedPageBreak/>
        <w:t xml:space="preserve">Detail of Constitutional and Legislative </w:t>
      </w:r>
      <w:r w:rsidR="00FA45F7" w:rsidRPr="00A52B2B">
        <w:rPr>
          <w:rFonts w:eastAsia="Times New Roman"/>
          <w:b/>
          <w:bCs/>
        </w:rPr>
        <w:t>Findings</w:t>
      </w:r>
      <w:bookmarkEnd w:id="53"/>
    </w:p>
    <w:bookmarkEnd w:id="49"/>
    <w:p w14:paraId="5CE7FB63" w14:textId="51266CD9" w:rsidR="00FF10FA" w:rsidRPr="00750218" w:rsidRDefault="00FA45F7" w:rsidP="00721CAD">
      <w:pPr>
        <w:spacing w:afterLines="100" w:after="240"/>
        <w:rPr>
          <w:sz w:val="22"/>
          <w:szCs w:val="22"/>
        </w:rPr>
      </w:pPr>
      <w:r w:rsidRPr="00A52B2B">
        <w:rPr>
          <w:sz w:val="22"/>
          <w:szCs w:val="22"/>
        </w:rPr>
        <w:t>While the following review is systematic and rigorous, we recognize that there may be laws or policies governing these areas that we have not captured</w:t>
      </w:r>
      <w:r w:rsidR="00EF2E0C">
        <w:rPr>
          <w:sz w:val="22"/>
          <w:szCs w:val="22"/>
        </w:rPr>
        <w:t>,</w:t>
      </w:r>
      <w:r w:rsidRPr="00A52B2B">
        <w:rPr>
          <w:sz w:val="22"/>
          <w:szCs w:val="22"/>
        </w:rPr>
        <w:t xml:space="preserve"> including new legislation or policies that have not yet been published globally.</w:t>
      </w:r>
    </w:p>
    <w:p w14:paraId="5EC328CA" w14:textId="740D4D34" w:rsidR="00FF10FA" w:rsidRPr="00FF10FA" w:rsidRDefault="00FF10FA" w:rsidP="0096441A">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
          <w:color w:val="2E74B5"/>
          <w:sz w:val="26"/>
          <w:szCs w:val="26"/>
        </w:rPr>
      </w:pPr>
      <w:bookmarkStart w:id="54" w:name="_Toc61252046"/>
      <w:r>
        <w:rPr>
          <w:rFonts w:ascii="Calibri Light" w:eastAsia="Times New Roman" w:hAnsi="Calibri Light" w:cs="Times New Roman"/>
          <w:b/>
          <w:color w:val="2E74B5"/>
          <w:sz w:val="26"/>
          <w:szCs w:val="26"/>
        </w:rPr>
        <w:t>Paid Maternity and Paternity Leave</w:t>
      </w:r>
      <w:r w:rsidRPr="005E4090">
        <w:rPr>
          <w:rFonts w:ascii="Calibri Light" w:eastAsia="Times New Roman" w:hAnsi="Calibri Light" w:cs="Times New Roman"/>
          <w:b/>
          <w:color w:val="2E74B5"/>
          <w:sz w:val="26"/>
          <w:szCs w:val="26"/>
        </w:rPr>
        <w:t xml:space="preserve"> (</w:t>
      </w:r>
      <w:r>
        <w:rPr>
          <w:rFonts w:ascii="Calibri Light" w:eastAsia="Times New Roman" w:hAnsi="Calibri Light" w:cs="Times New Roman"/>
          <w:b/>
          <w:color w:val="2E74B5"/>
          <w:sz w:val="26"/>
          <w:szCs w:val="26"/>
        </w:rPr>
        <w:t>Articles 11, 5)</w:t>
      </w:r>
      <w:bookmarkEnd w:id="54"/>
    </w:p>
    <w:p w14:paraId="2F526491" w14:textId="1E0E1B44" w:rsidR="00FA45F7" w:rsidRPr="00FF10FA" w:rsidRDefault="00FA45F7" w:rsidP="00FF10FA">
      <w:pPr>
        <w:rPr>
          <w:sz w:val="22"/>
          <w:szCs w:val="22"/>
        </w:rPr>
      </w:pPr>
      <w:r w:rsidRPr="00FF10FA">
        <w:rPr>
          <w:sz w:val="22"/>
          <w:szCs w:val="22"/>
        </w:rPr>
        <w:t>Article 11</w:t>
      </w:r>
      <w:r w:rsidR="002874BF" w:rsidRPr="00FF10FA">
        <w:rPr>
          <w:sz w:val="22"/>
          <w:szCs w:val="22"/>
        </w:rPr>
        <w:t>.2</w:t>
      </w:r>
      <w:r w:rsidRPr="00FF10FA">
        <w:rPr>
          <w:sz w:val="22"/>
          <w:szCs w:val="22"/>
        </w:rPr>
        <w:t xml:space="preserve"> of the Convention states that: </w:t>
      </w:r>
    </w:p>
    <w:p w14:paraId="06E8D9D5" w14:textId="26171150" w:rsidR="00FA45F7" w:rsidRPr="00FF10FA" w:rsidRDefault="00FA45F7" w:rsidP="00FF10FA">
      <w:pPr>
        <w:ind w:left="720"/>
        <w:rPr>
          <w:i/>
          <w:sz w:val="22"/>
          <w:szCs w:val="22"/>
        </w:rPr>
      </w:pPr>
      <w:r w:rsidRPr="00FF10FA">
        <w:rPr>
          <w:i/>
          <w:sz w:val="22"/>
          <w:szCs w:val="22"/>
        </w:rPr>
        <w:t xml:space="preserve">In order to prevent discrimination against women on the grounds of marriage or maternity and to ensure their effective right to work, States Parties shall take appropriate measures: </w:t>
      </w:r>
    </w:p>
    <w:p w14:paraId="2DF97AF9" w14:textId="77777777" w:rsidR="00FA45F7" w:rsidRPr="00FF10FA" w:rsidRDefault="00FA45F7" w:rsidP="00FF10FA">
      <w:pPr>
        <w:ind w:left="720"/>
        <w:rPr>
          <w:i/>
          <w:sz w:val="22"/>
          <w:szCs w:val="22"/>
        </w:rPr>
      </w:pPr>
      <w:r w:rsidRPr="00FF10FA">
        <w:rPr>
          <w:i/>
          <w:sz w:val="22"/>
          <w:szCs w:val="22"/>
        </w:rPr>
        <w:t>(a) To prohibit, subject to the imposition of sanctions, dismissal on the grounds of pregnancy or of maternity leave and discrimination in dismissals on the basis of marital status;</w:t>
      </w:r>
    </w:p>
    <w:p w14:paraId="56EF7DF2" w14:textId="77777777" w:rsidR="00FA45F7" w:rsidRPr="00FF10FA" w:rsidRDefault="00FA45F7" w:rsidP="00FF10FA">
      <w:pPr>
        <w:ind w:left="720"/>
        <w:rPr>
          <w:i/>
          <w:sz w:val="22"/>
          <w:szCs w:val="22"/>
        </w:rPr>
      </w:pPr>
      <w:r w:rsidRPr="00FF10FA">
        <w:rPr>
          <w:i/>
          <w:sz w:val="22"/>
          <w:szCs w:val="22"/>
        </w:rPr>
        <w:t>(b) To introduce maternity leave with pay or with comparable social benefits without loss of former employment, seniority or social allowances;</w:t>
      </w:r>
    </w:p>
    <w:p w14:paraId="3CBF7E70" w14:textId="144B4501" w:rsidR="00FA45F7" w:rsidRPr="00FF10FA" w:rsidRDefault="00FA45F7" w:rsidP="00FF10FA">
      <w:pPr>
        <w:rPr>
          <w:sz w:val="22"/>
          <w:szCs w:val="22"/>
        </w:rPr>
      </w:pPr>
      <w:r w:rsidRPr="00FF10FA">
        <w:rPr>
          <w:sz w:val="22"/>
          <w:szCs w:val="22"/>
        </w:rPr>
        <w:t>Further, Article 5</w:t>
      </w:r>
      <w:r w:rsidR="000345E3" w:rsidRPr="00FF10FA">
        <w:rPr>
          <w:sz w:val="22"/>
          <w:szCs w:val="22"/>
        </w:rPr>
        <w:t>(b)</w:t>
      </w:r>
      <w:r w:rsidRPr="00FF10FA">
        <w:rPr>
          <w:sz w:val="22"/>
          <w:szCs w:val="22"/>
        </w:rPr>
        <w:t xml:space="preserve"> of the Convention emphasizes the importance of including men in the upbringing of children: </w:t>
      </w:r>
    </w:p>
    <w:p w14:paraId="19625A25" w14:textId="5DFFF5E3" w:rsidR="00FA45F7" w:rsidRPr="00FF10FA" w:rsidRDefault="00FA45F7" w:rsidP="00FF10FA">
      <w:pPr>
        <w:ind w:left="720"/>
        <w:rPr>
          <w:i/>
          <w:sz w:val="22"/>
          <w:szCs w:val="22"/>
        </w:rPr>
      </w:pPr>
      <w:r w:rsidRPr="00FF10FA">
        <w:rPr>
          <w:i/>
          <w:sz w:val="22"/>
          <w:szCs w:val="22"/>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14:paraId="76C8131B" w14:textId="4A2AA696" w:rsidR="00FF10FA" w:rsidRPr="00415AB8" w:rsidRDefault="00FA45F7" w:rsidP="00FA45F7">
      <w:pPr>
        <w:rPr>
          <w:sz w:val="22"/>
          <w:szCs w:val="22"/>
        </w:rPr>
      </w:pPr>
      <w:r w:rsidRPr="00FF10FA">
        <w:rPr>
          <w:sz w:val="22"/>
          <w:szCs w:val="22"/>
        </w:rPr>
        <w:t>We systematically reviewed national labor codes and social security laws to assess the availability paid maternity and paternity leave. We relied primarily on legislation downloaded through the International Labo</w:t>
      </w:r>
      <w:r w:rsidR="00EF2E0C">
        <w:rPr>
          <w:sz w:val="22"/>
          <w:szCs w:val="22"/>
        </w:rPr>
        <w:t>u</w:t>
      </w:r>
      <w:r w:rsidRPr="00FF10FA">
        <w:rPr>
          <w:sz w:val="22"/>
          <w:szCs w:val="22"/>
        </w:rPr>
        <w:t xml:space="preserve">r Organization’s NATLEX database. Additionally, for confirmation or clarification on legal provisions, we consulted trusted secondary sources including the Social Security Programs throughout the World (SSPTW) database, and the International Review of Leave Policies.  </w:t>
      </w:r>
    </w:p>
    <w:p w14:paraId="4DCE6DAF" w14:textId="61459597" w:rsidR="00FF10FA" w:rsidRDefault="00B50456" w:rsidP="00FF10FA">
      <w:pPr>
        <w:keepNext/>
        <w:keepLines/>
        <w:spacing w:before="40" w:afterLines="100" w:after="240"/>
        <w:outlineLvl w:val="3"/>
        <w:rPr>
          <w:rFonts w:ascii="Calibri Light" w:eastAsia="Times New Roman" w:hAnsi="Calibri Light" w:cs="Times New Roman"/>
          <w:i/>
          <w:iCs/>
          <w:color w:val="2E74B5"/>
          <w:sz w:val="22"/>
          <w:szCs w:val="22"/>
        </w:rPr>
      </w:pPr>
      <w:r w:rsidRPr="009435CC">
        <w:rPr>
          <w:rFonts w:ascii="Calibri Light" w:eastAsia="Times New Roman" w:hAnsi="Calibri Light" w:cs="Times New Roman"/>
          <w:i/>
          <w:iCs/>
          <w:color w:val="2E74B5"/>
          <w:sz w:val="22"/>
          <w:szCs w:val="22"/>
        </w:rPr>
        <w:t>UGANDA</w:t>
      </w:r>
      <w:r w:rsidR="00FF10FA" w:rsidRPr="009435CC">
        <w:rPr>
          <w:rFonts w:ascii="Calibri Light" w:eastAsia="Times New Roman" w:hAnsi="Calibri Light" w:cs="Times New Roman"/>
          <w:i/>
          <w:iCs/>
          <w:color w:val="2E74B5"/>
          <w:sz w:val="22"/>
          <w:szCs w:val="22"/>
        </w:rPr>
        <w:t>’S</w:t>
      </w:r>
      <w:r w:rsidR="00FF10FA" w:rsidRPr="005E4090">
        <w:rPr>
          <w:rFonts w:ascii="Calibri Light" w:eastAsia="Times New Roman" w:hAnsi="Calibri Light" w:cs="Times New Roman"/>
          <w:i/>
          <w:iCs/>
          <w:color w:val="2E74B5"/>
          <w:sz w:val="22"/>
          <w:szCs w:val="22"/>
        </w:rPr>
        <w:t xml:space="preserve"> LEGISLATIVE PROV</w:t>
      </w:r>
      <w:r w:rsidR="00EF2E0C">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 xml:space="preserve">SIONS: </w:t>
      </w:r>
      <w:r w:rsidR="009435CC" w:rsidRPr="009435CC">
        <w:rPr>
          <w:rFonts w:ascii="Calibri Light" w:eastAsia="Times New Roman" w:hAnsi="Calibri Light" w:cs="Times New Roman"/>
          <w:i/>
          <w:iCs/>
          <w:color w:val="2E74B5"/>
          <w:sz w:val="22"/>
          <w:szCs w:val="22"/>
        </w:rPr>
        <w:t>NEED TO STRENGTHEN PAID MATERNITY AND PATERNITY LEAVE</w:t>
      </w:r>
    </w:p>
    <w:p w14:paraId="14CF045E" w14:textId="78A873A7" w:rsidR="00EF2E0C" w:rsidRDefault="00B50456" w:rsidP="00B50456">
      <w:pPr>
        <w:spacing w:after="0"/>
        <w:rPr>
          <w:sz w:val="22"/>
          <w:szCs w:val="22"/>
        </w:rPr>
      </w:pPr>
      <w:r w:rsidRPr="00E75B98">
        <w:rPr>
          <w:sz w:val="22"/>
          <w:szCs w:val="22"/>
        </w:rPr>
        <w:t>Based on our systematic review</w:t>
      </w:r>
      <w:r>
        <w:t xml:space="preserve"> </w:t>
      </w:r>
      <w:r w:rsidRPr="00E75B98">
        <w:rPr>
          <w:sz w:val="22"/>
          <w:szCs w:val="22"/>
        </w:rPr>
        <w:t>of national legislation and country reports</w:t>
      </w:r>
      <w:r>
        <w:rPr>
          <w:sz w:val="22"/>
          <w:szCs w:val="22"/>
        </w:rPr>
        <w:t xml:space="preserve">, </w:t>
      </w:r>
      <w:r w:rsidR="009435CC">
        <w:rPr>
          <w:sz w:val="22"/>
          <w:szCs w:val="22"/>
        </w:rPr>
        <w:t xml:space="preserve">Article 56 of the </w:t>
      </w:r>
      <w:r>
        <w:rPr>
          <w:i/>
          <w:iCs/>
          <w:sz w:val="22"/>
          <w:szCs w:val="22"/>
        </w:rPr>
        <w:t>Employment Act</w:t>
      </w:r>
      <w:r>
        <w:rPr>
          <w:sz w:val="22"/>
          <w:szCs w:val="22"/>
        </w:rPr>
        <w:t xml:space="preserve"> guarantees </w:t>
      </w:r>
      <w:r>
        <w:rPr>
          <w:b/>
          <w:bCs/>
          <w:sz w:val="22"/>
          <w:szCs w:val="22"/>
        </w:rPr>
        <w:t>60 working</w:t>
      </w:r>
      <w:r w:rsidRPr="00FF07E2">
        <w:rPr>
          <w:b/>
          <w:bCs/>
          <w:sz w:val="22"/>
          <w:szCs w:val="22"/>
        </w:rPr>
        <w:t xml:space="preserve"> days</w:t>
      </w:r>
      <w:r w:rsidR="00587DFA">
        <w:rPr>
          <w:b/>
          <w:bCs/>
          <w:sz w:val="22"/>
          <w:szCs w:val="22"/>
        </w:rPr>
        <w:t xml:space="preserve"> of</w:t>
      </w:r>
      <w:r w:rsidRPr="00FF07E2">
        <w:rPr>
          <w:b/>
          <w:bCs/>
          <w:sz w:val="22"/>
          <w:szCs w:val="22"/>
        </w:rPr>
        <w:t xml:space="preserve"> </w:t>
      </w:r>
      <w:r w:rsidR="009435CC">
        <w:rPr>
          <w:b/>
          <w:bCs/>
          <w:sz w:val="22"/>
          <w:szCs w:val="22"/>
        </w:rPr>
        <w:t xml:space="preserve">job-protected </w:t>
      </w:r>
      <w:r w:rsidRPr="00FF07E2">
        <w:rPr>
          <w:b/>
          <w:bCs/>
          <w:sz w:val="22"/>
          <w:szCs w:val="22"/>
        </w:rPr>
        <w:t>paid</w:t>
      </w:r>
      <w:r w:rsidR="009435CC">
        <w:rPr>
          <w:b/>
          <w:bCs/>
          <w:sz w:val="22"/>
          <w:szCs w:val="22"/>
        </w:rPr>
        <w:t xml:space="preserve"> </w:t>
      </w:r>
      <w:r w:rsidRPr="00FF07E2">
        <w:rPr>
          <w:b/>
          <w:bCs/>
          <w:sz w:val="22"/>
          <w:szCs w:val="22"/>
        </w:rPr>
        <w:t>maternity leave to working mothers</w:t>
      </w:r>
      <w:r w:rsidR="009435CC">
        <w:rPr>
          <w:b/>
          <w:bCs/>
          <w:sz w:val="22"/>
          <w:szCs w:val="22"/>
        </w:rPr>
        <w:t xml:space="preserve">. </w:t>
      </w:r>
      <w:r w:rsidR="009435CC" w:rsidRPr="009435CC">
        <w:rPr>
          <w:sz w:val="22"/>
          <w:szCs w:val="22"/>
        </w:rPr>
        <w:t>Article 57 of the same law</w:t>
      </w:r>
      <w:r w:rsidR="009435CC">
        <w:rPr>
          <w:b/>
          <w:bCs/>
          <w:sz w:val="22"/>
          <w:szCs w:val="22"/>
        </w:rPr>
        <w:t xml:space="preserve"> </w:t>
      </w:r>
      <w:r w:rsidR="009435CC" w:rsidRPr="009435CC">
        <w:rPr>
          <w:sz w:val="22"/>
          <w:szCs w:val="22"/>
        </w:rPr>
        <w:t xml:space="preserve">grants </w:t>
      </w:r>
      <w:r w:rsidR="009435CC">
        <w:rPr>
          <w:b/>
          <w:bCs/>
          <w:sz w:val="22"/>
          <w:szCs w:val="22"/>
        </w:rPr>
        <w:t>working fathers four working days of job-</w:t>
      </w:r>
      <w:r w:rsidR="00EF2E0C">
        <w:rPr>
          <w:b/>
          <w:bCs/>
          <w:sz w:val="22"/>
          <w:szCs w:val="22"/>
        </w:rPr>
        <w:t>protected paid paternity leave:</w:t>
      </w:r>
      <w:r w:rsidR="009435CC">
        <w:rPr>
          <w:b/>
          <w:bCs/>
          <w:sz w:val="22"/>
          <w:szCs w:val="22"/>
        </w:rPr>
        <w:t xml:space="preserve"> </w:t>
      </w:r>
    </w:p>
    <w:p w14:paraId="39504A14" w14:textId="77777777" w:rsidR="00587DFA" w:rsidRPr="00587DFA" w:rsidRDefault="00587DFA" w:rsidP="00587DFA">
      <w:pPr>
        <w:spacing w:after="0"/>
        <w:ind w:left="720"/>
        <w:rPr>
          <w:i/>
          <w:iCs/>
          <w:sz w:val="22"/>
          <w:szCs w:val="22"/>
        </w:rPr>
      </w:pPr>
      <w:r w:rsidRPr="00587DFA">
        <w:rPr>
          <w:i/>
          <w:iCs/>
          <w:sz w:val="22"/>
          <w:szCs w:val="22"/>
        </w:rPr>
        <w:t>56. Maternity Leave</w:t>
      </w:r>
    </w:p>
    <w:p w14:paraId="5836B1BD" w14:textId="77777777" w:rsidR="00587DFA" w:rsidRPr="00587DFA" w:rsidRDefault="00587DFA" w:rsidP="00587DFA">
      <w:pPr>
        <w:spacing w:after="0"/>
        <w:ind w:left="720"/>
        <w:rPr>
          <w:i/>
          <w:iCs/>
          <w:sz w:val="22"/>
          <w:szCs w:val="22"/>
        </w:rPr>
      </w:pPr>
      <w:r w:rsidRPr="00587DFA">
        <w:rPr>
          <w:i/>
          <w:iCs/>
          <w:sz w:val="22"/>
          <w:szCs w:val="22"/>
        </w:rPr>
        <w:t>(1) A female employee shall, as a consequence of pregnancy, have the right to a period of sixty working days leave from work on full wages hereafter referred to as "maternity leave", of which at least four weeks shall follow to childbirth or miscarriage.</w:t>
      </w:r>
    </w:p>
    <w:p w14:paraId="454D7CA5" w14:textId="77777777" w:rsidR="00587DFA" w:rsidRPr="00587DFA" w:rsidRDefault="00587DFA" w:rsidP="00587DFA">
      <w:pPr>
        <w:spacing w:after="0"/>
        <w:ind w:left="720"/>
        <w:rPr>
          <w:i/>
          <w:iCs/>
          <w:sz w:val="22"/>
          <w:szCs w:val="22"/>
        </w:rPr>
      </w:pPr>
      <w:r w:rsidRPr="00587DFA">
        <w:rPr>
          <w:i/>
          <w:iCs/>
          <w:sz w:val="22"/>
          <w:szCs w:val="22"/>
        </w:rPr>
        <w:t xml:space="preserve">(2) A female employee who becomes pregnant shall have the right to return, to the job which she held immediately before her maternity leave or to a reasonably suitable alternative job on terms </w:t>
      </w:r>
      <w:r w:rsidRPr="00587DFA">
        <w:rPr>
          <w:i/>
          <w:iCs/>
          <w:sz w:val="22"/>
          <w:szCs w:val="22"/>
        </w:rPr>
        <w:lastRenderedPageBreak/>
        <w:t xml:space="preserve">and conditions not less favourable than those which would have applied had she not been absent on maternity leave. </w:t>
      </w:r>
    </w:p>
    <w:p w14:paraId="19A9CB9D" w14:textId="21F5025B" w:rsidR="009435CC" w:rsidRDefault="009435CC" w:rsidP="00587DFA">
      <w:pPr>
        <w:spacing w:after="0"/>
        <w:rPr>
          <w:sz w:val="22"/>
          <w:szCs w:val="22"/>
        </w:rPr>
      </w:pPr>
    </w:p>
    <w:p w14:paraId="490E5C78" w14:textId="77777777" w:rsidR="009435CC" w:rsidRPr="009435CC" w:rsidRDefault="009435CC" w:rsidP="009435CC">
      <w:pPr>
        <w:spacing w:after="0"/>
        <w:ind w:left="720"/>
        <w:rPr>
          <w:i/>
          <w:iCs/>
          <w:sz w:val="22"/>
          <w:szCs w:val="22"/>
        </w:rPr>
      </w:pPr>
      <w:r w:rsidRPr="009435CC">
        <w:rPr>
          <w:i/>
          <w:iCs/>
          <w:sz w:val="22"/>
          <w:szCs w:val="22"/>
        </w:rPr>
        <w:t>57. Paternity leave</w:t>
      </w:r>
    </w:p>
    <w:p w14:paraId="3333A011" w14:textId="4801FF8C" w:rsidR="009435CC" w:rsidRPr="009435CC" w:rsidRDefault="009435CC" w:rsidP="009435CC">
      <w:pPr>
        <w:spacing w:after="0"/>
        <w:ind w:left="720"/>
        <w:rPr>
          <w:i/>
          <w:iCs/>
          <w:sz w:val="22"/>
          <w:szCs w:val="22"/>
        </w:rPr>
      </w:pPr>
      <w:r w:rsidRPr="009435CC">
        <w:rPr>
          <w:i/>
          <w:iCs/>
          <w:sz w:val="22"/>
          <w:szCs w:val="22"/>
        </w:rPr>
        <w:t>(I) A male employee shall, immediately after the delivery or miscarriage of a wife, have the right to a period of four working days' leave from work yearly herein referred to as paternity leave.</w:t>
      </w:r>
    </w:p>
    <w:p w14:paraId="69F0936F" w14:textId="40C0940F" w:rsidR="009435CC" w:rsidRPr="009435CC" w:rsidRDefault="009435CC" w:rsidP="009435CC">
      <w:pPr>
        <w:spacing w:after="0"/>
        <w:ind w:left="720"/>
        <w:rPr>
          <w:i/>
          <w:iCs/>
          <w:sz w:val="22"/>
          <w:szCs w:val="22"/>
        </w:rPr>
      </w:pPr>
      <w:r w:rsidRPr="009435CC">
        <w:rPr>
          <w:i/>
          <w:iCs/>
          <w:sz w:val="22"/>
          <w:szCs w:val="22"/>
        </w:rPr>
        <w:t>(2) An employee referred to in subsection (I) shall be entitled to the payment of his full wages during the said paternity leave.</w:t>
      </w:r>
    </w:p>
    <w:p w14:paraId="40625833" w14:textId="6EE0BF4C" w:rsidR="009435CC" w:rsidRPr="009435CC" w:rsidRDefault="009435CC" w:rsidP="009435CC">
      <w:pPr>
        <w:spacing w:after="0"/>
        <w:ind w:left="720"/>
        <w:rPr>
          <w:sz w:val="22"/>
          <w:szCs w:val="22"/>
        </w:rPr>
      </w:pPr>
      <w:r w:rsidRPr="009435CC">
        <w:rPr>
          <w:i/>
          <w:iCs/>
          <w:sz w:val="22"/>
          <w:szCs w:val="22"/>
        </w:rPr>
        <w:t>(3) A male employee shall, after the paternity leave, have the right to return to the job which he held immediately before his paternity leave.</w:t>
      </w:r>
    </w:p>
    <w:p w14:paraId="16178B66" w14:textId="77777777" w:rsidR="00FF10FA" w:rsidRDefault="00FF10FA" w:rsidP="00FF10FA">
      <w:pPr>
        <w:spacing w:after="0"/>
      </w:pPr>
    </w:p>
    <w:p w14:paraId="313C200D" w14:textId="6E3B83F7" w:rsidR="00FA45F7" w:rsidRPr="00FF10FA" w:rsidRDefault="00FF10FA" w:rsidP="00B50456">
      <w:pPr>
        <w:keepNext/>
        <w:keepLines/>
        <w:numPr>
          <w:ilvl w:val="0"/>
          <w:numId w:val="4"/>
        </w:numPr>
        <w:pBdr>
          <w:bottom w:val="single" w:sz="6" w:space="1" w:color="auto"/>
        </w:pBdr>
        <w:spacing w:before="40" w:after="0" w:line="259" w:lineRule="auto"/>
        <w:ind w:left="360"/>
        <w:outlineLvl w:val="1"/>
        <w:rPr>
          <w:rFonts w:ascii="Calibri Light" w:eastAsia="Times New Roman" w:hAnsi="Calibri Light" w:cs="Times New Roman"/>
          <w:b/>
          <w:color w:val="2E74B5"/>
          <w:sz w:val="26"/>
          <w:szCs w:val="26"/>
        </w:rPr>
      </w:pPr>
      <w:bookmarkStart w:id="55" w:name="_Toc61252047"/>
      <w:r>
        <w:rPr>
          <w:rFonts w:ascii="Calibri Light" w:eastAsia="Times New Roman" w:hAnsi="Calibri Light" w:cs="Times New Roman"/>
          <w:b/>
          <w:color w:val="2E74B5"/>
          <w:sz w:val="26"/>
          <w:szCs w:val="26"/>
        </w:rPr>
        <w:t>Child Marriage</w:t>
      </w:r>
      <w:r w:rsidRPr="005E4090">
        <w:rPr>
          <w:rFonts w:ascii="Calibri Light" w:eastAsia="Times New Roman" w:hAnsi="Calibri Light" w:cs="Times New Roman"/>
          <w:b/>
          <w:color w:val="2E74B5"/>
          <w:sz w:val="26"/>
          <w:szCs w:val="26"/>
        </w:rPr>
        <w:t xml:space="preserve"> (</w:t>
      </w:r>
      <w:r>
        <w:rPr>
          <w:rFonts w:ascii="Calibri Light" w:eastAsia="Times New Roman" w:hAnsi="Calibri Light" w:cs="Times New Roman"/>
          <w:b/>
          <w:color w:val="2E74B5"/>
          <w:sz w:val="26"/>
          <w:szCs w:val="26"/>
        </w:rPr>
        <w:t>Articles 16, 2)</w:t>
      </w:r>
      <w:bookmarkEnd w:id="55"/>
    </w:p>
    <w:p w14:paraId="6AA66F7B" w14:textId="05A2CEB2" w:rsidR="00FA45F7" w:rsidRPr="00FF10FA" w:rsidRDefault="00FA45F7" w:rsidP="00FF10FA">
      <w:pPr>
        <w:rPr>
          <w:sz w:val="22"/>
          <w:szCs w:val="22"/>
        </w:rPr>
      </w:pPr>
      <w:r w:rsidRPr="00FF10FA">
        <w:rPr>
          <w:sz w:val="22"/>
          <w:szCs w:val="22"/>
        </w:rPr>
        <w:t>Child marriage disproportionately affects girls, often leading to social, economic, educational, and health inequalities, which States Parties have committed to eliminating. Article 16</w:t>
      </w:r>
      <w:r w:rsidR="002874BF" w:rsidRPr="00FF10FA">
        <w:rPr>
          <w:sz w:val="22"/>
          <w:szCs w:val="22"/>
        </w:rPr>
        <w:t>.2</w:t>
      </w:r>
      <w:r w:rsidRPr="00FF10FA">
        <w:rPr>
          <w:sz w:val="22"/>
          <w:szCs w:val="22"/>
        </w:rPr>
        <w:t xml:space="preserve"> of the Convention calls on States Parties to legislate a minimum age of marriage and prohibit the marriage of children. Additionally, disparities in the legal minimum age of marriage between girls and boys contravenes Article 2</w:t>
      </w:r>
      <w:r w:rsidR="000345E3" w:rsidRPr="00FF10FA">
        <w:rPr>
          <w:sz w:val="22"/>
          <w:szCs w:val="22"/>
        </w:rPr>
        <w:t>(a)</w:t>
      </w:r>
      <w:r w:rsidRPr="00FF10FA">
        <w:rPr>
          <w:sz w:val="22"/>
          <w:szCs w:val="22"/>
        </w:rPr>
        <w:t xml:space="preserve"> of the Convention, which commits States Parties to </w:t>
      </w:r>
      <w:r w:rsidRPr="00FF10FA">
        <w:rPr>
          <w:i/>
          <w:sz w:val="22"/>
          <w:szCs w:val="22"/>
        </w:rPr>
        <w:t>“</w:t>
      </w:r>
      <w:r w:rsidRPr="00FF10FA">
        <w:rPr>
          <w:sz w:val="22"/>
          <w:szCs w:val="22"/>
        </w:rPr>
        <w:t>embody the principle of the equality of men and women” in their “national constitutions or other appropriate legislation</w:t>
      </w:r>
      <w:r w:rsidRPr="00FF10FA">
        <w:rPr>
          <w:i/>
          <w:sz w:val="22"/>
          <w:szCs w:val="22"/>
        </w:rPr>
        <w:t>”.</w:t>
      </w:r>
    </w:p>
    <w:p w14:paraId="0BCBD9CB" w14:textId="5038AED4" w:rsidR="00FF10FA" w:rsidRDefault="00FA45F7" w:rsidP="00FA45F7">
      <w:r w:rsidRPr="00FF10FA">
        <w:rPr>
          <w:sz w:val="22"/>
          <w:szCs w:val="22"/>
        </w:rPr>
        <w:t>We systematically reviewed national civil codes and child-related legislation for all 193 UN member states to determine whether national legislation established a minimum age of marriage for both girls and boys generally, with parental consent, and under religious and customary law. We reviewed all legislation available through the Lexadin World Law Guide, Foreign Law Guide, International Labo</w:t>
      </w:r>
      <w:r w:rsidR="007651C4">
        <w:rPr>
          <w:sz w:val="22"/>
          <w:szCs w:val="22"/>
        </w:rPr>
        <w:t>u</w:t>
      </w:r>
      <w:r w:rsidRPr="00FF10FA">
        <w:rPr>
          <w:sz w:val="22"/>
          <w:szCs w:val="22"/>
        </w:rPr>
        <w:t>r Organization’s NATLEX database, regional sources, and official country websites.</w:t>
      </w:r>
    </w:p>
    <w:p w14:paraId="4ABA7282" w14:textId="7169C8B3" w:rsidR="00FF10FA" w:rsidRDefault="0049378D" w:rsidP="00FF10FA">
      <w:pPr>
        <w:keepNext/>
        <w:keepLines/>
        <w:spacing w:before="40" w:afterLines="100" w:after="240"/>
        <w:outlineLvl w:val="3"/>
        <w:rPr>
          <w:rFonts w:ascii="Calibri Light" w:eastAsia="Times New Roman" w:hAnsi="Calibri Light" w:cs="Times New Roman"/>
          <w:i/>
          <w:iCs/>
          <w:color w:val="2E74B5"/>
          <w:sz w:val="22"/>
          <w:szCs w:val="22"/>
        </w:rPr>
      </w:pPr>
      <w:r>
        <w:rPr>
          <w:rFonts w:ascii="Calibri Light" w:eastAsia="Times New Roman" w:hAnsi="Calibri Light" w:cs="Times New Roman"/>
          <w:i/>
          <w:iCs/>
          <w:color w:val="2E74B5"/>
          <w:sz w:val="22"/>
          <w:szCs w:val="22"/>
        </w:rPr>
        <w:t>UGANDA’S</w:t>
      </w:r>
      <w:r w:rsidR="00FF10FA" w:rsidRPr="005E4090">
        <w:rPr>
          <w:rFonts w:ascii="Calibri Light" w:eastAsia="Times New Roman" w:hAnsi="Calibri Light" w:cs="Times New Roman"/>
          <w:i/>
          <w:iCs/>
          <w:color w:val="2E74B5"/>
          <w:sz w:val="22"/>
          <w:szCs w:val="22"/>
        </w:rPr>
        <w:t xml:space="preserve"> LEGISLATIVE PROV</w:t>
      </w:r>
      <w:r w:rsidR="00EF2E0C">
        <w:rPr>
          <w:rFonts w:ascii="Calibri Light" w:eastAsia="Times New Roman" w:hAnsi="Calibri Light" w:cs="Times New Roman"/>
          <w:i/>
          <w:iCs/>
          <w:color w:val="2E74B5"/>
          <w:sz w:val="22"/>
          <w:szCs w:val="22"/>
        </w:rPr>
        <w:t>I</w:t>
      </w:r>
      <w:r w:rsidR="00FF10FA" w:rsidRPr="005E4090">
        <w:rPr>
          <w:rFonts w:ascii="Calibri Light" w:eastAsia="Times New Roman" w:hAnsi="Calibri Light" w:cs="Times New Roman"/>
          <w:i/>
          <w:iCs/>
          <w:color w:val="2E74B5"/>
          <w:sz w:val="22"/>
          <w:szCs w:val="22"/>
        </w:rPr>
        <w:t xml:space="preserve">SIONS: </w:t>
      </w:r>
      <w:r w:rsidR="00D67875">
        <w:rPr>
          <w:rFonts w:ascii="Calibri Light" w:eastAsia="Times New Roman" w:hAnsi="Calibri Light" w:cs="Times New Roman"/>
          <w:i/>
          <w:iCs/>
          <w:color w:val="2E74B5"/>
          <w:sz w:val="22"/>
          <w:szCs w:val="22"/>
        </w:rPr>
        <w:t>SOME</w:t>
      </w:r>
      <w:r>
        <w:rPr>
          <w:rFonts w:ascii="Calibri Light" w:eastAsia="Times New Roman" w:hAnsi="Calibri Light" w:cs="Times New Roman"/>
          <w:i/>
          <w:iCs/>
          <w:color w:val="2E74B5"/>
          <w:sz w:val="22"/>
          <w:szCs w:val="22"/>
        </w:rPr>
        <w:t xml:space="preserve"> </w:t>
      </w:r>
      <w:r w:rsidR="00D67875">
        <w:rPr>
          <w:rFonts w:ascii="Calibri Light" w:eastAsia="Times New Roman" w:hAnsi="Calibri Light" w:cs="Times New Roman"/>
          <w:i/>
          <w:iCs/>
          <w:color w:val="2E74B5"/>
          <w:sz w:val="22"/>
          <w:szCs w:val="22"/>
        </w:rPr>
        <w:t>LAWS</w:t>
      </w:r>
      <w:r>
        <w:rPr>
          <w:rFonts w:ascii="Calibri Light" w:eastAsia="Times New Roman" w:hAnsi="Calibri Light" w:cs="Times New Roman"/>
          <w:i/>
          <w:iCs/>
          <w:color w:val="2E74B5"/>
          <w:sz w:val="22"/>
          <w:szCs w:val="22"/>
        </w:rPr>
        <w:t xml:space="preserve"> PERMIT MARRIAGE </w:t>
      </w:r>
      <w:r w:rsidR="00D67875">
        <w:rPr>
          <w:rFonts w:ascii="Calibri Light" w:eastAsia="Times New Roman" w:hAnsi="Calibri Light" w:cs="Times New Roman"/>
          <w:i/>
          <w:iCs/>
          <w:color w:val="2E74B5"/>
          <w:sz w:val="22"/>
          <w:szCs w:val="22"/>
        </w:rPr>
        <w:t>UNDER THE AGE OF 18</w:t>
      </w:r>
    </w:p>
    <w:p w14:paraId="508B3479" w14:textId="02455EC3" w:rsidR="00B2256B" w:rsidRPr="00B2256B" w:rsidRDefault="0049378D" w:rsidP="000A35DA">
      <w:pPr>
        <w:spacing w:afterLines="100" w:after="240"/>
        <w:rPr>
          <w:sz w:val="22"/>
          <w:szCs w:val="22"/>
        </w:rPr>
      </w:pPr>
      <w:r w:rsidRPr="00D9110F">
        <w:rPr>
          <w:sz w:val="22"/>
          <w:szCs w:val="22"/>
        </w:rPr>
        <w:t>Based on our review, Uganda</w:t>
      </w:r>
      <w:r w:rsidR="00B2256B">
        <w:rPr>
          <w:sz w:val="22"/>
          <w:szCs w:val="22"/>
        </w:rPr>
        <w:t xml:space="preserve"> has </w:t>
      </w:r>
      <w:r w:rsidR="00D67875">
        <w:rPr>
          <w:sz w:val="22"/>
          <w:szCs w:val="22"/>
        </w:rPr>
        <w:t>several</w:t>
      </w:r>
      <w:r w:rsidR="00B2256B">
        <w:rPr>
          <w:sz w:val="22"/>
          <w:szCs w:val="22"/>
        </w:rPr>
        <w:t xml:space="preserve"> laws </w:t>
      </w:r>
      <w:r w:rsidR="00D67875">
        <w:rPr>
          <w:sz w:val="22"/>
          <w:szCs w:val="22"/>
        </w:rPr>
        <w:t xml:space="preserve">which legislate the minimum age of marriage, some of which </w:t>
      </w:r>
      <w:r w:rsidR="00397B05">
        <w:rPr>
          <w:sz w:val="22"/>
          <w:szCs w:val="22"/>
        </w:rPr>
        <w:t xml:space="preserve">allow </w:t>
      </w:r>
      <w:r w:rsidR="00D67875">
        <w:rPr>
          <w:sz w:val="22"/>
          <w:szCs w:val="22"/>
        </w:rPr>
        <w:t>girls under the age of 18 to be married</w:t>
      </w:r>
      <w:r w:rsidR="00B2256B">
        <w:rPr>
          <w:sz w:val="22"/>
          <w:szCs w:val="22"/>
        </w:rPr>
        <w:t xml:space="preserve">. </w:t>
      </w:r>
      <w:r w:rsidR="00B2256B" w:rsidRPr="00D67875">
        <w:rPr>
          <w:b/>
          <w:bCs/>
          <w:sz w:val="22"/>
          <w:szCs w:val="22"/>
        </w:rPr>
        <w:t xml:space="preserve">Article 31 of the </w:t>
      </w:r>
      <w:r w:rsidRPr="00D67875">
        <w:rPr>
          <w:b/>
          <w:bCs/>
          <w:sz w:val="22"/>
          <w:szCs w:val="22"/>
        </w:rPr>
        <w:t>constitution establishes a minimum age of marriage of 18 years for girls and boys</w:t>
      </w:r>
      <w:r w:rsidRPr="00D9110F">
        <w:rPr>
          <w:sz w:val="22"/>
          <w:szCs w:val="22"/>
        </w:rPr>
        <w:t xml:space="preserve">. </w:t>
      </w:r>
      <w:r w:rsidR="000A35DA">
        <w:rPr>
          <w:sz w:val="22"/>
          <w:szCs w:val="22"/>
        </w:rPr>
        <w:t xml:space="preserve">The </w:t>
      </w:r>
      <w:r w:rsidR="000A35DA" w:rsidRPr="000A35DA">
        <w:rPr>
          <w:i/>
          <w:iCs/>
          <w:sz w:val="22"/>
          <w:szCs w:val="22"/>
        </w:rPr>
        <w:t>Marriage Act</w:t>
      </w:r>
      <w:r w:rsidR="000A35DA" w:rsidRPr="000A35DA">
        <w:rPr>
          <w:sz w:val="22"/>
          <w:szCs w:val="22"/>
        </w:rPr>
        <w:t xml:space="preserve"> requires that </w:t>
      </w:r>
      <w:r w:rsidR="000A35DA">
        <w:rPr>
          <w:sz w:val="22"/>
          <w:szCs w:val="22"/>
        </w:rPr>
        <w:t>any person</w:t>
      </w:r>
      <w:r w:rsidR="000A35DA" w:rsidRPr="000A35DA">
        <w:rPr>
          <w:sz w:val="22"/>
          <w:szCs w:val="22"/>
        </w:rPr>
        <w:t xml:space="preserve"> under the age of 21, male or female, obtain written parental consent to be able to be legally married. </w:t>
      </w:r>
      <w:r w:rsidR="00D9110F">
        <w:rPr>
          <w:sz w:val="22"/>
          <w:szCs w:val="22"/>
        </w:rPr>
        <w:t>There are</w:t>
      </w:r>
      <w:r w:rsidR="00D67875">
        <w:rPr>
          <w:sz w:val="22"/>
          <w:szCs w:val="22"/>
        </w:rPr>
        <w:t xml:space="preserve"> separate </w:t>
      </w:r>
      <w:r w:rsidR="000A35DA" w:rsidRPr="00D9110F">
        <w:rPr>
          <w:sz w:val="22"/>
          <w:szCs w:val="22"/>
        </w:rPr>
        <w:t>laws that govern customary and religious marriage</w:t>
      </w:r>
      <w:r w:rsidR="00B2256B">
        <w:rPr>
          <w:sz w:val="22"/>
          <w:szCs w:val="22"/>
        </w:rPr>
        <w:t>s</w:t>
      </w:r>
      <w:r w:rsidR="000A35DA" w:rsidRPr="00D9110F">
        <w:rPr>
          <w:sz w:val="22"/>
          <w:szCs w:val="22"/>
        </w:rPr>
        <w:t xml:space="preserve">. For example, the </w:t>
      </w:r>
      <w:r w:rsidR="000A35DA" w:rsidRPr="00D67875">
        <w:rPr>
          <w:b/>
          <w:bCs/>
          <w:i/>
          <w:iCs/>
          <w:sz w:val="22"/>
          <w:szCs w:val="22"/>
        </w:rPr>
        <w:t>Customary Marriage (Registration) Act</w:t>
      </w:r>
      <w:r w:rsidR="000A35DA" w:rsidRPr="00D67875">
        <w:rPr>
          <w:b/>
          <w:bCs/>
          <w:sz w:val="22"/>
          <w:szCs w:val="22"/>
        </w:rPr>
        <w:t xml:space="preserve"> allows </w:t>
      </w:r>
      <w:r w:rsidR="00D9110F" w:rsidRPr="00D67875">
        <w:rPr>
          <w:b/>
          <w:bCs/>
          <w:sz w:val="22"/>
          <w:szCs w:val="22"/>
        </w:rPr>
        <w:t xml:space="preserve">girls to be married at the age of </w:t>
      </w:r>
      <w:r w:rsidR="000A35DA" w:rsidRPr="00D67875">
        <w:rPr>
          <w:b/>
          <w:bCs/>
          <w:sz w:val="22"/>
          <w:szCs w:val="22"/>
        </w:rPr>
        <w:t>16</w:t>
      </w:r>
      <w:r w:rsidR="00D9110F" w:rsidRPr="00D9110F">
        <w:rPr>
          <w:sz w:val="22"/>
          <w:szCs w:val="22"/>
        </w:rPr>
        <w:t xml:space="preserve">. </w:t>
      </w:r>
      <w:r w:rsidR="00D9110F">
        <w:rPr>
          <w:sz w:val="22"/>
          <w:szCs w:val="22"/>
        </w:rPr>
        <w:t>Further, t</w:t>
      </w:r>
      <w:r w:rsidR="000A35DA" w:rsidRPr="00D9110F">
        <w:rPr>
          <w:sz w:val="22"/>
          <w:szCs w:val="22"/>
        </w:rPr>
        <w:t xml:space="preserve">he </w:t>
      </w:r>
      <w:r w:rsidR="000A35DA" w:rsidRPr="00D67875">
        <w:rPr>
          <w:b/>
          <w:bCs/>
          <w:i/>
          <w:iCs/>
          <w:sz w:val="22"/>
          <w:szCs w:val="22"/>
        </w:rPr>
        <w:t>Marriage and Divorce of Mohammedans Act</w:t>
      </w:r>
      <w:r w:rsidR="000A35DA" w:rsidRPr="00D67875">
        <w:rPr>
          <w:b/>
          <w:bCs/>
          <w:sz w:val="22"/>
          <w:szCs w:val="22"/>
        </w:rPr>
        <w:t xml:space="preserve"> ensures the validity of all </w:t>
      </w:r>
      <w:r w:rsidR="00D9110F" w:rsidRPr="00D67875">
        <w:rPr>
          <w:b/>
          <w:bCs/>
          <w:sz w:val="22"/>
          <w:szCs w:val="22"/>
        </w:rPr>
        <w:t xml:space="preserve">Islamic </w:t>
      </w:r>
      <w:r w:rsidR="00B2256B" w:rsidRPr="00D67875">
        <w:rPr>
          <w:b/>
          <w:bCs/>
          <w:sz w:val="22"/>
          <w:szCs w:val="22"/>
        </w:rPr>
        <w:t>marriages and</w:t>
      </w:r>
      <w:r w:rsidR="00D9110F" w:rsidRPr="00D67875">
        <w:rPr>
          <w:b/>
          <w:bCs/>
          <w:sz w:val="22"/>
          <w:szCs w:val="22"/>
        </w:rPr>
        <w:t xml:space="preserve"> </w:t>
      </w:r>
      <w:r w:rsidR="000A35DA" w:rsidRPr="00D67875">
        <w:rPr>
          <w:b/>
          <w:bCs/>
          <w:sz w:val="22"/>
          <w:szCs w:val="22"/>
        </w:rPr>
        <w:t xml:space="preserve">does not contain any provision </w:t>
      </w:r>
      <w:r w:rsidR="00D9110F" w:rsidRPr="00D67875">
        <w:rPr>
          <w:b/>
          <w:bCs/>
          <w:sz w:val="22"/>
          <w:szCs w:val="22"/>
        </w:rPr>
        <w:t xml:space="preserve">establishing </w:t>
      </w:r>
      <w:r w:rsidR="000A35DA" w:rsidRPr="00D67875">
        <w:rPr>
          <w:b/>
          <w:bCs/>
          <w:sz w:val="22"/>
          <w:szCs w:val="22"/>
        </w:rPr>
        <w:t>the minimum age for such marriages</w:t>
      </w:r>
      <w:r w:rsidR="000A35DA" w:rsidRPr="00D9110F">
        <w:rPr>
          <w:sz w:val="22"/>
          <w:szCs w:val="22"/>
        </w:rPr>
        <w:t>.</w:t>
      </w:r>
    </w:p>
    <w:p w14:paraId="5C4C7903" w14:textId="3BF1DAC7" w:rsidR="00750218" w:rsidRPr="000A35DA" w:rsidRDefault="00750218" w:rsidP="000A35DA">
      <w:pPr>
        <w:spacing w:afterLines="100" w:after="240"/>
        <w:rPr>
          <w:sz w:val="22"/>
          <w:szCs w:val="22"/>
        </w:rPr>
      </w:pPr>
      <w:r w:rsidRPr="00B2256B">
        <w:rPr>
          <w:sz w:val="22"/>
          <w:szCs w:val="22"/>
        </w:rPr>
        <w:t xml:space="preserve">The </w:t>
      </w:r>
      <w:r w:rsidRPr="00B2256B">
        <w:rPr>
          <w:i/>
          <w:iCs/>
          <w:sz w:val="22"/>
          <w:szCs w:val="22"/>
        </w:rPr>
        <w:t>Marriage Bill (2017)</w:t>
      </w:r>
      <w:r>
        <w:rPr>
          <w:i/>
          <w:iCs/>
          <w:sz w:val="22"/>
          <w:szCs w:val="22"/>
        </w:rPr>
        <w:t xml:space="preserve">, </w:t>
      </w:r>
      <w:r w:rsidRPr="00B2256B">
        <w:rPr>
          <w:sz w:val="22"/>
          <w:szCs w:val="22"/>
        </w:rPr>
        <w:t xml:space="preserve">which has been in development for over a decade, </w:t>
      </w:r>
      <w:r>
        <w:rPr>
          <w:sz w:val="22"/>
          <w:szCs w:val="22"/>
        </w:rPr>
        <w:t>attempts to</w:t>
      </w:r>
      <w:r w:rsidRPr="00B2256B">
        <w:rPr>
          <w:sz w:val="22"/>
          <w:szCs w:val="22"/>
        </w:rPr>
        <w:t xml:space="preserve"> harmonize these existing</w:t>
      </w:r>
      <w:r>
        <w:rPr>
          <w:sz w:val="22"/>
          <w:szCs w:val="22"/>
        </w:rPr>
        <w:t xml:space="preserve"> legislative provisions</w:t>
      </w:r>
      <w:r w:rsidRPr="00B2256B">
        <w:rPr>
          <w:sz w:val="22"/>
          <w:szCs w:val="22"/>
        </w:rPr>
        <w:t xml:space="preserve"> </w:t>
      </w:r>
      <w:r>
        <w:rPr>
          <w:sz w:val="22"/>
          <w:szCs w:val="22"/>
        </w:rPr>
        <w:t>with the country’s constitution, which prohibits marriage under the age of 18</w:t>
      </w:r>
      <w:r w:rsidRPr="00B2256B">
        <w:rPr>
          <w:sz w:val="22"/>
          <w:szCs w:val="22"/>
        </w:rPr>
        <w:t>. However, as of December 1</w:t>
      </w:r>
      <w:r w:rsidR="00D67875">
        <w:rPr>
          <w:sz w:val="22"/>
          <w:szCs w:val="22"/>
        </w:rPr>
        <w:t>8</w:t>
      </w:r>
      <w:r w:rsidRPr="00B2256B">
        <w:rPr>
          <w:sz w:val="22"/>
          <w:szCs w:val="22"/>
        </w:rPr>
        <w:t xml:space="preserve">, 2020, this bill has not been </w:t>
      </w:r>
      <w:r>
        <w:rPr>
          <w:sz w:val="22"/>
          <w:szCs w:val="22"/>
        </w:rPr>
        <w:t xml:space="preserve">passed </w:t>
      </w:r>
      <w:r w:rsidRPr="00B2256B">
        <w:rPr>
          <w:sz w:val="22"/>
          <w:szCs w:val="22"/>
        </w:rPr>
        <w:t xml:space="preserve">by the Ugandan parliament. </w:t>
      </w:r>
    </w:p>
    <w:p w14:paraId="2CE47231" w14:textId="7FC00965" w:rsidR="0049378D" w:rsidRPr="00B2256B" w:rsidRDefault="000A35DA" w:rsidP="0049378D">
      <w:pPr>
        <w:ind w:firstLine="720"/>
        <w:rPr>
          <w:b/>
          <w:bCs/>
          <w:i/>
          <w:iCs/>
          <w:sz w:val="22"/>
          <w:szCs w:val="22"/>
        </w:rPr>
      </w:pPr>
      <w:r w:rsidRPr="000A35DA">
        <w:rPr>
          <w:b/>
          <w:bCs/>
          <w:i/>
          <w:iCs/>
          <w:sz w:val="22"/>
          <w:szCs w:val="22"/>
        </w:rPr>
        <w:lastRenderedPageBreak/>
        <w:t>T</w:t>
      </w:r>
      <w:r w:rsidRPr="00B2256B">
        <w:rPr>
          <w:b/>
          <w:bCs/>
          <w:i/>
          <w:iCs/>
          <w:sz w:val="22"/>
          <w:szCs w:val="22"/>
        </w:rPr>
        <w:t>he Constitution of the Republic of Uganda</w:t>
      </w:r>
    </w:p>
    <w:p w14:paraId="52FD7C9E" w14:textId="77777777" w:rsidR="0049378D" w:rsidRPr="00B2256B" w:rsidRDefault="0049378D" w:rsidP="0049378D">
      <w:pPr>
        <w:ind w:firstLine="720"/>
        <w:rPr>
          <w:i/>
          <w:iCs/>
          <w:sz w:val="22"/>
          <w:szCs w:val="22"/>
        </w:rPr>
      </w:pPr>
      <w:r w:rsidRPr="00B2256B">
        <w:rPr>
          <w:i/>
          <w:iCs/>
          <w:sz w:val="22"/>
          <w:szCs w:val="22"/>
        </w:rPr>
        <w:t>31. RIGHTS OF THE FAMILY</w:t>
      </w:r>
    </w:p>
    <w:p w14:paraId="385895E8" w14:textId="0A506694" w:rsidR="0049378D" w:rsidRPr="00B2256B" w:rsidRDefault="0049378D" w:rsidP="0049378D">
      <w:pPr>
        <w:ind w:left="720"/>
        <w:rPr>
          <w:i/>
          <w:iCs/>
          <w:sz w:val="22"/>
          <w:szCs w:val="22"/>
        </w:rPr>
      </w:pPr>
      <w:r w:rsidRPr="00B2256B">
        <w:rPr>
          <w:i/>
          <w:iCs/>
          <w:sz w:val="22"/>
          <w:szCs w:val="22"/>
        </w:rPr>
        <w:t>1. A man and a woman are entitled to marry only if they are each of the age of eighteen years and above (…)</w:t>
      </w:r>
    </w:p>
    <w:p w14:paraId="626BF0A9" w14:textId="77777777" w:rsidR="0049378D" w:rsidRPr="00B2256B" w:rsidRDefault="0049378D" w:rsidP="00FF10FA">
      <w:pPr>
        <w:spacing w:afterLines="100" w:after="240"/>
        <w:ind w:right="900"/>
        <w:rPr>
          <w:sz w:val="22"/>
          <w:szCs w:val="22"/>
        </w:rPr>
      </w:pPr>
    </w:p>
    <w:p w14:paraId="2C5CD78C" w14:textId="28D2BBEC" w:rsidR="0049378D" w:rsidRPr="00B2256B" w:rsidRDefault="0049378D" w:rsidP="00FF10FA">
      <w:pPr>
        <w:spacing w:afterLines="100" w:after="240"/>
        <w:ind w:right="900"/>
        <w:rPr>
          <w:b/>
          <w:bCs/>
          <w:i/>
          <w:iCs/>
          <w:sz w:val="22"/>
          <w:szCs w:val="22"/>
        </w:rPr>
      </w:pPr>
      <w:r w:rsidRPr="00B2256B">
        <w:rPr>
          <w:sz w:val="22"/>
          <w:szCs w:val="22"/>
        </w:rPr>
        <w:tab/>
      </w:r>
      <w:r w:rsidR="000A35DA" w:rsidRPr="00B2256B">
        <w:rPr>
          <w:b/>
          <w:bCs/>
          <w:i/>
          <w:iCs/>
          <w:sz w:val="22"/>
          <w:szCs w:val="22"/>
        </w:rPr>
        <w:t>The Marriage Act</w:t>
      </w:r>
      <w:r w:rsidRPr="00B2256B">
        <w:rPr>
          <w:b/>
          <w:bCs/>
          <w:i/>
          <w:iCs/>
          <w:sz w:val="22"/>
          <w:szCs w:val="22"/>
        </w:rPr>
        <w:t xml:space="preserve"> </w:t>
      </w:r>
    </w:p>
    <w:p w14:paraId="30A9BEB8" w14:textId="77777777" w:rsidR="0049378D" w:rsidRPr="00B2256B" w:rsidRDefault="0049378D" w:rsidP="0049378D">
      <w:pPr>
        <w:ind w:firstLine="720"/>
        <w:rPr>
          <w:i/>
          <w:iCs/>
          <w:sz w:val="22"/>
          <w:szCs w:val="22"/>
        </w:rPr>
      </w:pPr>
      <w:r w:rsidRPr="00B2256B">
        <w:rPr>
          <w:i/>
          <w:iCs/>
          <w:sz w:val="22"/>
          <w:szCs w:val="22"/>
        </w:rPr>
        <w:t>Consent to marriage in certain cases necessary.</w:t>
      </w:r>
    </w:p>
    <w:p w14:paraId="7B06666E" w14:textId="77777777" w:rsidR="0049378D" w:rsidRPr="00B2256B" w:rsidRDefault="0049378D" w:rsidP="0049378D">
      <w:pPr>
        <w:ind w:firstLine="720"/>
        <w:rPr>
          <w:i/>
          <w:iCs/>
          <w:sz w:val="22"/>
          <w:szCs w:val="22"/>
        </w:rPr>
      </w:pPr>
      <w:r w:rsidRPr="00B2256B">
        <w:rPr>
          <w:i/>
          <w:iCs/>
          <w:sz w:val="22"/>
          <w:szCs w:val="22"/>
        </w:rPr>
        <w:t>17. Consent to marriage of minors.</w:t>
      </w:r>
    </w:p>
    <w:p w14:paraId="16C5DAF0" w14:textId="37802740" w:rsidR="0049378D" w:rsidRPr="00B2256B" w:rsidRDefault="0049378D" w:rsidP="0049378D">
      <w:pPr>
        <w:ind w:left="720"/>
        <w:rPr>
          <w:i/>
          <w:iCs/>
          <w:sz w:val="22"/>
          <w:szCs w:val="22"/>
        </w:rPr>
      </w:pPr>
      <w:r w:rsidRPr="00B2256B">
        <w:rPr>
          <w:i/>
          <w:iCs/>
          <w:sz w:val="22"/>
          <w:szCs w:val="22"/>
        </w:rPr>
        <w:t>If either party to an intended marriage, not being a widower or widow, is under twenty-one years of age, the written consent of the father, or if he is dead or of unsound mind or absent from Uganda, of the mother, or if both are dead or of unsound mind or absent from Uganda, of the guardian of that party, must be produced annexed to the affidavit as required by section 10 before a licence can be granted or a certificate issued.</w:t>
      </w:r>
    </w:p>
    <w:p w14:paraId="4A6E85E9" w14:textId="77777777" w:rsidR="000A35DA" w:rsidRPr="00B2256B" w:rsidRDefault="000A35DA" w:rsidP="0049378D">
      <w:pPr>
        <w:ind w:left="720"/>
        <w:rPr>
          <w:i/>
          <w:iCs/>
          <w:sz w:val="22"/>
          <w:szCs w:val="22"/>
        </w:rPr>
      </w:pPr>
    </w:p>
    <w:p w14:paraId="28A938AA" w14:textId="09072AE0" w:rsidR="00C667FA" w:rsidRPr="00B2256B" w:rsidRDefault="00D9110F" w:rsidP="00C667FA">
      <w:pPr>
        <w:ind w:left="720"/>
        <w:rPr>
          <w:b/>
          <w:bCs/>
          <w:i/>
          <w:iCs/>
          <w:sz w:val="22"/>
          <w:szCs w:val="22"/>
        </w:rPr>
      </w:pPr>
      <w:r w:rsidRPr="00B2256B">
        <w:rPr>
          <w:b/>
          <w:bCs/>
          <w:i/>
          <w:iCs/>
          <w:sz w:val="22"/>
          <w:szCs w:val="22"/>
        </w:rPr>
        <w:t>Customary Marriage (Registration) Act</w:t>
      </w:r>
    </w:p>
    <w:p w14:paraId="7EEFA6A6" w14:textId="77777777" w:rsidR="00C667FA" w:rsidRPr="00B2256B" w:rsidRDefault="00C667FA" w:rsidP="00C667FA">
      <w:pPr>
        <w:ind w:left="720"/>
        <w:rPr>
          <w:i/>
          <w:iCs/>
          <w:sz w:val="22"/>
          <w:szCs w:val="22"/>
        </w:rPr>
      </w:pPr>
      <w:r w:rsidRPr="00B2256B">
        <w:rPr>
          <w:i/>
          <w:iCs/>
          <w:sz w:val="22"/>
          <w:szCs w:val="22"/>
        </w:rPr>
        <w:t>11. Void marriages.</w:t>
      </w:r>
    </w:p>
    <w:p w14:paraId="4AD926CA" w14:textId="77777777" w:rsidR="00C667FA" w:rsidRPr="00B2256B" w:rsidRDefault="00C667FA" w:rsidP="00C667FA">
      <w:pPr>
        <w:ind w:left="720"/>
        <w:rPr>
          <w:i/>
          <w:iCs/>
          <w:sz w:val="22"/>
          <w:szCs w:val="22"/>
        </w:rPr>
      </w:pPr>
      <w:r w:rsidRPr="00B2256B">
        <w:rPr>
          <w:i/>
          <w:iCs/>
          <w:sz w:val="22"/>
          <w:szCs w:val="22"/>
        </w:rPr>
        <w:t>A customary marriage shall be void if—</w:t>
      </w:r>
    </w:p>
    <w:p w14:paraId="07B1F039" w14:textId="77777777" w:rsidR="00C667FA" w:rsidRPr="00B2256B" w:rsidRDefault="00C667FA" w:rsidP="00C667FA">
      <w:pPr>
        <w:ind w:left="720"/>
        <w:rPr>
          <w:i/>
          <w:iCs/>
          <w:sz w:val="22"/>
          <w:szCs w:val="22"/>
        </w:rPr>
      </w:pPr>
      <w:r w:rsidRPr="00B2256B">
        <w:rPr>
          <w:i/>
          <w:iCs/>
          <w:sz w:val="22"/>
          <w:szCs w:val="22"/>
        </w:rPr>
        <w:t>(a) the female party to it has not attained the age of sixteen years;</w:t>
      </w:r>
    </w:p>
    <w:p w14:paraId="50597035" w14:textId="77777777" w:rsidR="00C667FA" w:rsidRPr="00B2256B" w:rsidRDefault="00C667FA" w:rsidP="00C667FA">
      <w:pPr>
        <w:ind w:left="720"/>
        <w:rPr>
          <w:i/>
          <w:iCs/>
          <w:sz w:val="22"/>
          <w:szCs w:val="22"/>
        </w:rPr>
      </w:pPr>
      <w:r w:rsidRPr="00B2256B">
        <w:rPr>
          <w:i/>
          <w:iCs/>
          <w:sz w:val="22"/>
          <w:szCs w:val="22"/>
        </w:rPr>
        <w:t>(b) the male party to it has not attained the age of eighteen years;</w:t>
      </w:r>
    </w:p>
    <w:p w14:paraId="12326F42" w14:textId="7084CDDB" w:rsidR="00C667FA" w:rsidRPr="00B2256B" w:rsidRDefault="00C667FA" w:rsidP="00C667FA">
      <w:pPr>
        <w:ind w:left="720"/>
        <w:rPr>
          <w:i/>
          <w:iCs/>
          <w:sz w:val="22"/>
          <w:szCs w:val="22"/>
        </w:rPr>
      </w:pPr>
      <w:r w:rsidRPr="00B2256B">
        <w:rPr>
          <w:i/>
          <w:iCs/>
          <w:sz w:val="22"/>
          <w:szCs w:val="22"/>
        </w:rPr>
        <w:t>(…)</w:t>
      </w:r>
    </w:p>
    <w:p w14:paraId="7227DDCD" w14:textId="77777777" w:rsidR="00D9110F" w:rsidRPr="00B2256B" w:rsidRDefault="00D9110F" w:rsidP="00C667FA">
      <w:pPr>
        <w:ind w:left="720"/>
        <w:rPr>
          <w:i/>
          <w:iCs/>
          <w:sz w:val="22"/>
          <w:szCs w:val="22"/>
        </w:rPr>
      </w:pPr>
    </w:p>
    <w:p w14:paraId="5C3A7C5A" w14:textId="7314705F" w:rsidR="00C667FA" w:rsidRPr="00B2256B" w:rsidRDefault="00C667FA" w:rsidP="00C667FA">
      <w:pPr>
        <w:ind w:left="720"/>
        <w:rPr>
          <w:i/>
          <w:iCs/>
          <w:sz w:val="22"/>
          <w:szCs w:val="22"/>
        </w:rPr>
      </w:pPr>
      <w:r w:rsidRPr="00B2256B">
        <w:rPr>
          <w:i/>
          <w:iCs/>
          <w:sz w:val="22"/>
          <w:szCs w:val="22"/>
        </w:rPr>
        <w:t>32. Consent to marriage of minors.</w:t>
      </w:r>
    </w:p>
    <w:p w14:paraId="4AC18095" w14:textId="72D2C118" w:rsidR="00C667FA" w:rsidRPr="00B2256B" w:rsidRDefault="00C667FA" w:rsidP="00C667FA">
      <w:pPr>
        <w:ind w:left="720"/>
        <w:rPr>
          <w:i/>
          <w:iCs/>
          <w:sz w:val="22"/>
          <w:szCs w:val="22"/>
        </w:rPr>
      </w:pPr>
      <w:r w:rsidRPr="00B2256B">
        <w:rPr>
          <w:i/>
          <w:iCs/>
          <w:sz w:val="22"/>
          <w:szCs w:val="22"/>
        </w:rPr>
        <w:t xml:space="preserve">If either party to an intended customary marriage, not being a widower or widow, is under twenty-one years of age, the written consent of the father, or if he is dead or of unsound mind, of the mother, or if both are dead or of unsound mind, of the guardian of the party, must be produced annexed to the affidavit as aforesaid before a </w:t>
      </w:r>
      <w:r w:rsidR="00D9110F" w:rsidRPr="00B2256B">
        <w:rPr>
          <w:i/>
          <w:iCs/>
          <w:sz w:val="22"/>
          <w:szCs w:val="22"/>
        </w:rPr>
        <w:t>license</w:t>
      </w:r>
      <w:r w:rsidRPr="00B2256B">
        <w:rPr>
          <w:i/>
          <w:iCs/>
          <w:sz w:val="22"/>
          <w:szCs w:val="22"/>
        </w:rPr>
        <w:t xml:space="preserve"> can be granted or a certificate issued.</w:t>
      </w:r>
    </w:p>
    <w:p w14:paraId="0B42C6BA" w14:textId="77777777" w:rsidR="00D9110F" w:rsidRDefault="00D9110F" w:rsidP="00C667FA">
      <w:pPr>
        <w:ind w:firstLine="720"/>
        <w:rPr>
          <w:sz w:val="22"/>
          <w:szCs w:val="22"/>
        </w:rPr>
      </w:pPr>
    </w:p>
    <w:p w14:paraId="53FF3561" w14:textId="77777777" w:rsidR="00721CAD" w:rsidRPr="00B2256B" w:rsidRDefault="00721CAD" w:rsidP="00C667FA">
      <w:pPr>
        <w:ind w:firstLine="720"/>
        <w:rPr>
          <w:sz w:val="22"/>
          <w:szCs w:val="22"/>
        </w:rPr>
      </w:pPr>
    </w:p>
    <w:p w14:paraId="217472D0" w14:textId="2FE1FA0E" w:rsidR="00C667FA" w:rsidRPr="00B2256B" w:rsidRDefault="00C667FA" w:rsidP="00C667FA">
      <w:pPr>
        <w:ind w:firstLine="720"/>
        <w:rPr>
          <w:i/>
          <w:iCs/>
          <w:sz w:val="22"/>
          <w:szCs w:val="22"/>
        </w:rPr>
      </w:pPr>
      <w:r w:rsidRPr="00B2256B">
        <w:rPr>
          <w:b/>
          <w:bCs/>
          <w:i/>
          <w:iCs/>
          <w:sz w:val="22"/>
          <w:szCs w:val="22"/>
        </w:rPr>
        <w:lastRenderedPageBreak/>
        <w:t>Marriage and Divorce of Mohammedans Act</w:t>
      </w:r>
    </w:p>
    <w:p w14:paraId="5F438EB5" w14:textId="77777777" w:rsidR="00C667FA" w:rsidRPr="00B2256B" w:rsidRDefault="00C667FA" w:rsidP="00C667FA">
      <w:pPr>
        <w:ind w:firstLine="720"/>
        <w:rPr>
          <w:i/>
          <w:iCs/>
          <w:sz w:val="22"/>
          <w:szCs w:val="22"/>
        </w:rPr>
      </w:pPr>
      <w:r w:rsidRPr="00B2256B">
        <w:rPr>
          <w:i/>
          <w:iCs/>
          <w:sz w:val="22"/>
          <w:szCs w:val="22"/>
        </w:rPr>
        <w:t>2. Mohammedan marriages and divorces.</w:t>
      </w:r>
    </w:p>
    <w:p w14:paraId="3DC6A6F9" w14:textId="77777777" w:rsidR="00C667FA" w:rsidRPr="00B2256B" w:rsidRDefault="00C667FA" w:rsidP="00C667FA">
      <w:pPr>
        <w:ind w:left="720"/>
        <w:rPr>
          <w:i/>
          <w:iCs/>
          <w:sz w:val="22"/>
          <w:szCs w:val="22"/>
        </w:rPr>
      </w:pPr>
      <w:r w:rsidRPr="00B2256B">
        <w:rPr>
          <w:i/>
          <w:iCs/>
          <w:sz w:val="22"/>
          <w:szCs w:val="22"/>
        </w:rPr>
        <w:t>All marriages between persons professing the Mohammedan religion, and all divorces from such marriages celebrated or given according to the rites and observances of the Mohammedan religion customary and usual among the tribe or sect in which the marriage or divorce takes place, shall be valid and registered as provided in this Act.</w:t>
      </w:r>
    </w:p>
    <w:p w14:paraId="22028BF9" w14:textId="77777777" w:rsidR="00FF10FA" w:rsidRDefault="00FF10FA" w:rsidP="00FF10FA">
      <w:pPr>
        <w:spacing w:after="0"/>
      </w:pPr>
    </w:p>
    <w:p w14:paraId="24CBB517" w14:textId="35EF0301" w:rsidR="00FF10FA" w:rsidRDefault="00FF10FA" w:rsidP="00BE6DF8">
      <w:pPr>
        <w:pStyle w:val="NoSpacing"/>
        <w:rPr>
          <w:i/>
        </w:rPr>
      </w:pPr>
    </w:p>
    <w:p w14:paraId="2D531A6D" w14:textId="68299200" w:rsidR="00FF10FA" w:rsidRDefault="00FF10FA" w:rsidP="00BE6DF8">
      <w:pPr>
        <w:pStyle w:val="NoSpacing"/>
        <w:rPr>
          <w:i/>
        </w:rPr>
      </w:pPr>
    </w:p>
    <w:p w14:paraId="5009109E" w14:textId="054DB8B2" w:rsidR="00FF10FA" w:rsidRDefault="00FF10FA" w:rsidP="00A41D03">
      <w:pPr>
        <w:spacing w:after="0"/>
        <w:jc w:val="center"/>
      </w:pPr>
    </w:p>
    <w:p w14:paraId="11B33D2A" w14:textId="243E2616" w:rsidR="00AA6BE0" w:rsidRDefault="00AA6BE0" w:rsidP="00A41D03">
      <w:pPr>
        <w:spacing w:after="0"/>
        <w:jc w:val="center"/>
      </w:pPr>
    </w:p>
    <w:p w14:paraId="7F47EBCF" w14:textId="052E71E4" w:rsidR="00AA6BE0" w:rsidRDefault="00AA6BE0" w:rsidP="00A41D03">
      <w:pPr>
        <w:spacing w:after="0"/>
        <w:jc w:val="center"/>
      </w:pPr>
    </w:p>
    <w:p w14:paraId="61D3FDE2" w14:textId="1CBFC0F0" w:rsidR="00AA6BE0" w:rsidRDefault="00AA6BE0" w:rsidP="00A41D03">
      <w:pPr>
        <w:spacing w:after="0"/>
        <w:jc w:val="center"/>
      </w:pPr>
    </w:p>
    <w:p w14:paraId="03597801" w14:textId="1A5D766A" w:rsidR="00AA6BE0" w:rsidRDefault="00AA6BE0" w:rsidP="00A41D03">
      <w:pPr>
        <w:spacing w:after="0"/>
        <w:jc w:val="center"/>
      </w:pPr>
    </w:p>
    <w:p w14:paraId="0E946EE4" w14:textId="6F6EE503" w:rsidR="00AA6BE0" w:rsidRDefault="00AA6BE0" w:rsidP="00A41D03">
      <w:pPr>
        <w:spacing w:after="0"/>
        <w:jc w:val="center"/>
      </w:pPr>
    </w:p>
    <w:p w14:paraId="0C54892C" w14:textId="221F11D0" w:rsidR="00AA6BE0" w:rsidRDefault="00AA6BE0" w:rsidP="00A41D03">
      <w:pPr>
        <w:spacing w:after="0"/>
        <w:jc w:val="center"/>
      </w:pPr>
    </w:p>
    <w:p w14:paraId="1CFB0E37" w14:textId="665D098D" w:rsidR="00AA6BE0" w:rsidRDefault="00AA6BE0" w:rsidP="00A41D03">
      <w:pPr>
        <w:spacing w:after="0"/>
        <w:jc w:val="center"/>
      </w:pPr>
    </w:p>
    <w:p w14:paraId="1A44618F" w14:textId="4C5F5DAD" w:rsidR="00AA6BE0" w:rsidRDefault="00AA6BE0" w:rsidP="00A41D03">
      <w:pPr>
        <w:spacing w:after="0"/>
        <w:jc w:val="center"/>
      </w:pPr>
    </w:p>
    <w:p w14:paraId="01998E91" w14:textId="7AFF068C" w:rsidR="00AA6BE0" w:rsidRDefault="00AA6BE0" w:rsidP="00A41D03">
      <w:pPr>
        <w:spacing w:after="0"/>
        <w:jc w:val="center"/>
      </w:pPr>
    </w:p>
    <w:p w14:paraId="24AB19B4" w14:textId="5305E289" w:rsidR="00AA6BE0" w:rsidRDefault="00AA6BE0" w:rsidP="00A41D03">
      <w:pPr>
        <w:spacing w:after="0"/>
        <w:jc w:val="center"/>
      </w:pPr>
    </w:p>
    <w:p w14:paraId="23D07AF0" w14:textId="10090283" w:rsidR="00AA6BE0" w:rsidRDefault="00AA6BE0" w:rsidP="00A41D03">
      <w:pPr>
        <w:spacing w:after="0"/>
        <w:jc w:val="center"/>
      </w:pPr>
    </w:p>
    <w:p w14:paraId="44B20D58" w14:textId="7DB6B3D2" w:rsidR="00AA6BE0" w:rsidRDefault="00AA6BE0" w:rsidP="00A41D03">
      <w:pPr>
        <w:spacing w:after="0"/>
        <w:jc w:val="center"/>
      </w:pPr>
    </w:p>
    <w:p w14:paraId="651D6ABC" w14:textId="34949A6B" w:rsidR="00AA6BE0" w:rsidRDefault="00AA6BE0" w:rsidP="00A41D03">
      <w:pPr>
        <w:spacing w:after="0"/>
        <w:jc w:val="center"/>
      </w:pPr>
    </w:p>
    <w:p w14:paraId="43F4D8D5" w14:textId="232F34AE" w:rsidR="00AA6BE0" w:rsidRDefault="00AA6BE0" w:rsidP="00A41D03">
      <w:pPr>
        <w:spacing w:after="0"/>
        <w:jc w:val="center"/>
      </w:pPr>
    </w:p>
    <w:p w14:paraId="6504ADC2" w14:textId="7F8ACE4E" w:rsidR="00AA6BE0" w:rsidRDefault="00AA6BE0" w:rsidP="00A41D03">
      <w:pPr>
        <w:spacing w:after="0"/>
        <w:jc w:val="center"/>
      </w:pPr>
    </w:p>
    <w:p w14:paraId="0B197695" w14:textId="6AE6E980" w:rsidR="00AA6BE0" w:rsidRDefault="00AA6BE0" w:rsidP="00A41D03">
      <w:pPr>
        <w:spacing w:after="0"/>
        <w:jc w:val="center"/>
      </w:pPr>
    </w:p>
    <w:p w14:paraId="3798B642" w14:textId="7894C509" w:rsidR="00AA6BE0" w:rsidRDefault="00AA6BE0" w:rsidP="00A41D03">
      <w:pPr>
        <w:spacing w:after="0"/>
        <w:jc w:val="center"/>
      </w:pPr>
    </w:p>
    <w:p w14:paraId="7E57D9E9" w14:textId="77777777" w:rsidR="00AA6BE0" w:rsidRDefault="00AA6BE0" w:rsidP="00A41D03">
      <w:pPr>
        <w:spacing w:after="0"/>
        <w:jc w:val="center"/>
      </w:pPr>
    </w:p>
    <w:p w14:paraId="5B836EA2" w14:textId="5C381CE9" w:rsidR="00FF10FA" w:rsidRDefault="00FF10FA" w:rsidP="00A41D03">
      <w:pPr>
        <w:spacing w:after="0"/>
        <w:jc w:val="center"/>
      </w:pPr>
    </w:p>
    <w:p w14:paraId="6FB9EB3C" w14:textId="4A825FC5" w:rsidR="00FF10FA" w:rsidRDefault="00FF10FA" w:rsidP="00A41D03">
      <w:pPr>
        <w:spacing w:after="0"/>
        <w:jc w:val="center"/>
      </w:pPr>
    </w:p>
    <w:p w14:paraId="6805DFD4" w14:textId="51DF8E9E" w:rsidR="00FF10FA" w:rsidRPr="000E03A6" w:rsidRDefault="00EF2E0C" w:rsidP="00AA6BE0">
      <w:pPr>
        <w:pStyle w:val="Heading4"/>
        <w:jc w:val="center"/>
        <w:rPr>
          <w:i/>
          <w:sz w:val="18"/>
          <w:szCs w:val="18"/>
        </w:rPr>
      </w:pPr>
      <w:r>
        <w:rPr>
          <w:i/>
          <w:sz w:val="18"/>
          <w:szCs w:val="18"/>
        </w:rPr>
        <w:t>Brief</w:t>
      </w:r>
      <w:r w:rsidR="00FF10FA" w:rsidRPr="000E03A6">
        <w:rPr>
          <w:i/>
          <w:sz w:val="18"/>
          <w:szCs w:val="18"/>
        </w:rPr>
        <w:t xml:space="preserve"> prepared by the WORLD Policy Analysis Center, University of California, Los Angeles</w:t>
      </w:r>
    </w:p>
    <w:p w14:paraId="06A0F5E4" w14:textId="77777777" w:rsidR="00FF10FA" w:rsidRDefault="00FF10FA" w:rsidP="00A41D03">
      <w:pPr>
        <w:spacing w:after="0"/>
        <w:jc w:val="center"/>
      </w:pPr>
    </w:p>
    <w:sectPr w:rsidR="00FF10FA" w:rsidSect="00831B9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F98D4" w14:textId="77777777" w:rsidR="00400A74" w:rsidRDefault="00400A74" w:rsidP="00263795">
      <w:pPr>
        <w:spacing w:after="0" w:line="240" w:lineRule="auto"/>
      </w:pPr>
      <w:r>
        <w:separator/>
      </w:r>
    </w:p>
  </w:endnote>
  <w:endnote w:type="continuationSeparator" w:id="0">
    <w:p w14:paraId="1722AABF" w14:textId="77777777" w:rsidR="00400A74" w:rsidRDefault="00400A74"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94813"/>
      <w:docPartObj>
        <w:docPartGallery w:val="Page Numbers (Bottom of Page)"/>
        <w:docPartUnique/>
      </w:docPartObj>
    </w:sdtPr>
    <w:sdtEndPr>
      <w:rPr>
        <w:color w:val="7F7F7F" w:themeColor="background1" w:themeShade="7F"/>
        <w:spacing w:val="60"/>
      </w:rPr>
    </w:sdtEndPr>
    <w:sdtContent>
      <w:p w14:paraId="0B48E416" w14:textId="109B16AC" w:rsidR="00831B92" w:rsidRDefault="00831B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17C9">
          <w:rPr>
            <w:noProof/>
          </w:rPr>
          <w:t>1</w:t>
        </w:r>
        <w:r>
          <w:rPr>
            <w:noProof/>
          </w:rPr>
          <w:fldChar w:fldCharType="end"/>
        </w:r>
        <w:r>
          <w:t xml:space="preserve"> | </w:t>
        </w:r>
        <w:r>
          <w:rPr>
            <w:color w:val="7F7F7F" w:themeColor="background1" w:themeShade="7F"/>
            <w:spacing w:val="60"/>
          </w:rPr>
          <w:t>Page</w:t>
        </w:r>
      </w:p>
    </w:sdtContent>
  </w:sdt>
  <w:p w14:paraId="3435FE9D" w14:textId="77777777" w:rsidR="00831B92" w:rsidRDefault="0083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7DFB" w14:textId="77777777" w:rsidR="00400A74" w:rsidRDefault="00400A74" w:rsidP="00263795">
      <w:pPr>
        <w:spacing w:after="0" w:line="240" w:lineRule="auto"/>
      </w:pPr>
      <w:r>
        <w:separator/>
      </w:r>
    </w:p>
  </w:footnote>
  <w:footnote w:type="continuationSeparator" w:id="0">
    <w:p w14:paraId="6F43F9CA" w14:textId="77777777" w:rsidR="00400A74" w:rsidRDefault="00400A74" w:rsidP="00263795">
      <w:pPr>
        <w:spacing w:after="0" w:line="240" w:lineRule="auto"/>
      </w:pPr>
      <w:r>
        <w:continuationSeparator/>
      </w:r>
    </w:p>
  </w:footnote>
  <w:footnote w:id="1">
    <w:p w14:paraId="25584F2A" w14:textId="67127413" w:rsidR="00AA6BE0" w:rsidRDefault="00AA6BE0">
      <w:pPr>
        <w:pStyle w:val="FootnoteText"/>
      </w:pPr>
      <w:r>
        <w:rPr>
          <w:rStyle w:val="FootnoteReference"/>
        </w:rPr>
        <w:footnoteRef/>
      </w:r>
      <w:r>
        <w:t xml:space="preserve"> UNICEF Data Warehouse. &lt;</w:t>
      </w:r>
      <w:r w:rsidRPr="00AA6BE0">
        <w:t>https://data.unicef.org/dv_index/</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7E35" w14:textId="798C4410" w:rsidR="009F2054" w:rsidRDefault="009F2054" w:rsidP="005B7FB6">
    <w:pPr>
      <w:pStyle w:val="Header"/>
      <w:jc w:val="right"/>
    </w:pPr>
    <w:r>
      <w:rPr>
        <w:noProof/>
      </w:rPr>
      <w:drawing>
        <wp:anchor distT="0" distB="0" distL="114300" distR="114300" simplePos="0" relativeHeight="251657216" behindDoc="1" locked="0" layoutInCell="1" allowOverlap="1" wp14:anchorId="51CA9CF6" wp14:editId="64F46BF9">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831B92" w:rsidDel="00831B92">
      <w:t xml:space="preserve"> </w:t>
    </w:r>
    <w:r w:rsidR="008F17C9">
      <w:t>January 25</w:t>
    </w:r>
    <w:r w:rsidR="00EF2E0C">
      <w:t>, 2021</w:t>
    </w:r>
  </w:p>
  <w:p w14:paraId="288FAFE4" w14:textId="77777777" w:rsidR="009F2054" w:rsidRDefault="009F2054" w:rsidP="00831B92">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9D9A" w14:textId="3154F834" w:rsidR="00EF2E0C" w:rsidRDefault="00EF2E0C" w:rsidP="00EF2E0C">
    <w:pPr>
      <w:pStyle w:val="Header"/>
      <w:jc w:val="right"/>
    </w:pPr>
    <w:r>
      <w:rPr>
        <w:noProof/>
      </w:rPr>
      <w:drawing>
        <wp:anchor distT="0" distB="0" distL="114300" distR="114300" simplePos="0" relativeHeight="251659264" behindDoc="1" locked="0" layoutInCell="1" allowOverlap="1" wp14:anchorId="6FD9ECD8" wp14:editId="6B4094B6">
          <wp:simplePos x="0" y="0"/>
          <wp:positionH relativeFrom="column">
            <wp:posOffset>-800100</wp:posOffset>
          </wp:positionH>
          <wp:positionV relativeFrom="paragraph">
            <wp:posOffset>-276860</wp:posOffset>
          </wp:positionV>
          <wp:extent cx="2756535" cy="636905"/>
          <wp:effectExtent l="0" t="0" r="0" b="0"/>
          <wp:wrapTight wrapText="bothSides">
            <wp:wrapPolygon edited="0">
              <wp:start x="3284" y="0"/>
              <wp:lineTo x="448" y="3230"/>
              <wp:lineTo x="299" y="7107"/>
              <wp:lineTo x="2388" y="11629"/>
              <wp:lineTo x="2687" y="20674"/>
              <wp:lineTo x="3433" y="20674"/>
              <wp:lineTo x="20749" y="18090"/>
              <wp:lineTo x="21346" y="12275"/>
              <wp:lineTo x="20600" y="10337"/>
              <wp:lineTo x="20152" y="3876"/>
              <wp:lineTo x="4180" y="0"/>
              <wp:lineTo x="32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6535" cy="636905"/>
                  </a:xfrm>
                  <a:prstGeom prst="rect">
                    <a:avLst/>
                  </a:prstGeom>
                </pic:spPr>
              </pic:pic>
            </a:graphicData>
          </a:graphic>
          <wp14:sizeRelH relativeFrom="margin">
            <wp14:pctWidth>0</wp14:pctWidth>
          </wp14:sizeRelH>
          <wp14:sizeRelV relativeFrom="margin">
            <wp14:pctHeight>0</wp14:pctHeight>
          </wp14:sizeRelV>
        </wp:anchor>
      </w:drawing>
    </w:r>
    <w:r w:rsidR="008F17C9">
      <w:t>January 25</w:t>
    </w:r>
    <w: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5F71"/>
    <w:multiLevelType w:val="hybridMultilevel"/>
    <w:tmpl w:val="41E0B3C0"/>
    <w:lvl w:ilvl="0" w:tplc="04090001">
      <w:start w:val="1"/>
      <w:numFmt w:val="bullet"/>
      <w:lvlText w:val=""/>
      <w:lvlJc w:val="left"/>
      <w:pPr>
        <w:ind w:left="720" w:hanging="360"/>
      </w:pPr>
      <w:rPr>
        <w:rFonts w:ascii="Symbol" w:hAnsi="Symbol" w:hint="default"/>
      </w:rPr>
    </w:lvl>
    <w:lvl w:ilvl="1" w:tplc="9FE0FFA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0714B"/>
    <w:multiLevelType w:val="hybridMultilevel"/>
    <w:tmpl w:val="511C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345A6"/>
    <w:multiLevelType w:val="hybridMultilevel"/>
    <w:tmpl w:val="5968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A243F"/>
    <w:multiLevelType w:val="hybridMultilevel"/>
    <w:tmpl w:val="3F0C00F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7C03D3"/>
    <w:multiLevelType w:val="hybridMultilevel"/>
    <w:tmpl w:val="D0A49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241E3E"/>
    <w:multiLevelType w:val="hybridMultilevel"/>
    <w:tmpl w:val="DFF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4C6B"/>
    <w:rsid w:val="00005342"/>
    <w:rsid w:val="00007B9F"/>
    <w:rsid w:val="00007FCC"/>
    <w:rsid w:val="00021FBA"/>
    <w:rsid w:val="00024807"/>
    <w:rsid w:val="0002636A"/>
    <w:rsid w:val="00026A3B"/>
    <w:rsid w:val="0003358B"/>
    <w:rsid w:val="000345E3"/>
    <w:rsid w:val="00035C10"/>
    <w:rsid w:val="000365E8"/>
    <w:rsid w:val="00041FF9"/>
    <w:rsid w:val="0004725A"/>
    <w:rsid w:val="00053016"/>
    <w:rsid w:val="000530B1"/>
    <w:rsid w:val="00062767"/>
    <w:rsid w:val="0006291B"/>
    <w:rsid w:val="0006644E"/>
    <w:rsid w:val="000671D5"/>
    <w:rsid w:val="00074C6E"/>
    <w:rsid w:val="00075804"/>
    <w:rsid w:val="000850FE"/>
    <w:rsid w:val="000A17BA"/>
    <w:rsid w:val="000A1955"/>
    <w:rsid w:val="000A35DA"/>
    <w:rsid w:val="000A6E0C"/>
    <w:rsid w:val="000B05BA"/>
    <w:rsid w:val="000B2CBC"/>
    <w:rsid w:val="000B43D7"/>
    <w:rsid w:val="000C524F"/>
    <w:rsid w:val="000D2A2C"/>
    <w:rsid w:val="000D48EA"/>
    <w:rsid w:val="000D65DF"/>
    <w:rsid w:val="000D75F8"/>
    <w:rsid w:val="000E3CCB"/>
    <w:rsid w:val="000E3CF5"/>
    <w:rsid w:val="000F22CA"/>
    <w:rsid w:val="000F4CDB"/>
    <w:rsid w:val="000F5C02"/>
    <w:rsid w:val="000F7D43"/>
    <w:rsid w:val="0010092B"/>
    <w:rsid w:val="0010334A"/>
    <w:rsid w:val="00110604"/>
    <w:rsid w:val="00112EC9"/>
    <w:rsid w:val="00115C81"/>
    <w:rsid w:val="00121A10"/>
    <w:rsid w:val="001339E4"/>
    <w:rsid w:val="0014064A"/>
    <w:rsid w:val="0014409D"/>
    <w:rsid w:val="0014443A"/>
    <w:rsid w:val="00146C3A"/>
    <w:rsid w:val="001512D1"/>
    <w:rsid w:val="00157053"/>
    <w:rsid w:val="00162979"/>
    <w:rsid w:val="00163AA4"/>
    <w:rsid w:val="00167592"/>
    <w:rsid w:val="00170358"/>
    <w:rsid w:val="001855CF"/>
    <w:rsid w:val="00186A0B"/>
    <w:rsid w:val="00192A79"/>
    <w:rsid w:val="00192EE4"/>
    <w:rsid w:val="00193072"/>
    <w:rsid w:val="00193108"/>
    <w:rsid w:val="00196B39"/>
    <w:rsid w:val="001A1121"/>
    <w:rsid w:val="001A32D7"/>
    <w:rsid w:val="001B0629"/>
    <w:rsid w:val="001B130D"/>
    <w:rsid w:val="001B6472"/>
    <w:rsid w:val="001B7199"/>
    <w:rsid w:val="001E0AB3"/>
    <w:rsid w:val="001E6EF2"/>
    <w:rsid w:val="001F2433"/>
    <w:rsid w:val="00201BBD"/>
    <w:rsid w:val="00202927"/>
    <w:rsid w:val="002118F1"/>
    <w:rsid w:val="00216A01"/>
    <w:rsid w:val="00216C87"/>
    <w:rsid w:val="00216F3A"/>
    <w:rsid w:val="00217985"/>
    <w:rsid w:val="00225A6E"/>
    <w:rsid w:val="00233775"/>
    <w:rsid w:val="00233C05"/>
    <w:rsid w:val="002363A5"/>
    <w:rsid w:val="00237DC7"/>
    <w:rsid w:val="00242A41"/>
    <w:rsid w:val="00244E0B"/>
    <w:rsid w:val="002463EE"/>
    <w:rsid w:val="00246EC7"/>
    <w:rsid w:val="002529A1"/>
    <w:rsid w:val="002553AC"/>
    <w:rsid w:val="0025596E"/>
    <w:rsid w:val="002603EA"/>
    <w:rsid w:val="00262139"/>
    <w:rsid w:val="0026260D"/>
    <w:rsid w:val="00263795"/>
    <w:rsid w:val="00267D06"/>
    <w:rsid w:val="00277988"/>
    <w:rsid w:val="002802A1"/>
    <w:rsid w:val="00280964"/>
    <w:rsid w:val="002822B0"/>
    <w:rsid w:val="002874BF"/>
    <w:rsid w:val="00293C07"/>
    <w:rsid w:val="002A27CB"/>
    <w:rsid w:val="002A2ECC"/>
    <w:rsid w:val="002A35ED"/>
    <w:rsid w:val="002A77F0"/>
    <w:rsid w:val="002B4C4A"/>
    <w:rsid w:val="002B6072"/>
    <w:rsid w:val="002C79FD"/>
    <w:rsid w:val="002D3CE2"/>
    <w:rsid w:val="002E3152"/>
    <w:rsid w:val="002F18CF"/>
    <w:rsid w:val="002F47A6"/>
    <w:rsid w:val="002F4FD6"/>
    <w:rsid w:val="002F655E"/>
    <w:rsid w:val="002F6E5A"/>
    <w:rsid w:val="00320262"/>
    <w:rsid w:val="00331DB8"/>
    <w:rsid w:val="003444CA"/>
    <w:rsid w:val="00346925"/>
    <w:rsid w:val="0035238B"/>
    <w:rsid w:val="00353A9D"/>
    <w:rsid w:val="00353D6C"/>
    <w:rsid w:val="00355056"/>
    <w:rsid w:val="00356615"/>
    <w:rsid w:val="00362350"/>
    <w:rsid w:val="0036569F"/>
    <w:rsid w:val="003716E9"/>
    <w:rsid w:val="003723BD"/>
    <w:rsid w:val="00374D35"/>
    <w:rsid w:val="003860C9"/>
    <w:rsid w:val="00391573"/>
    <w:rsid w:val="003948B3"/>
    <w:rsid w:val="00397B05"/>
    <w:rsid w:val="003A0670"/>
    <w:rsid w:val="003A11D6"/>
    <w:rsid w:val="003A6D58"/>
    <w:rsid w:val="003C116C"/>
    <w:rsid w:val="003C2D78"/>
    <w:rsid w:val="003C3521"/>
    <w:rsid w:val="003C3F1A"/>
    <w:rsid w:val="003C4621"/>
    <w:rsid w:val="003D16AD"/>
    <w:rsid w:val="003D1B16"/>
    <w:rsid w:val="003D79EE"/>
    <w:rsid w:val="003E044E"/>
    <w:rsid w:val="003E182D"/>
    <w:rsid w:val="003F0A92"/>
    <w:rsid w:val="003F0ACD"/>
    <w:rsid w:val="003F21AC"/>
    <w:rsid w:val="003F70E6"/>
    <w:rsid w:val="00400A74"/>
    <w:rsid w:val="0040107F"/>
    <w:rsid w:val="00401DF4"/>
    <w:rsid w:val="004033AC"/>
    <w:rsid w:val="0040500F"/>
    <w:rsid w:val="004126C0"/>
    <w:rsid w:val="00415AB8"/>
    <w:rsid w:val="00416DA2"/>
    <w:rsid w:val="00423808"/>
    <w:rsid w:val="004261C5"/>
    <w:rsid w:val="00427B31"/>
    <w:rsid w:val="004320C8"/>
    <w:rsid w:val="00433969"/>
    <w:rsid w:val="0044050A"/>
    <w:rsid w:val="00444D19"/>
    <w:rsid w:val="004536D3"/>
    <w:rsid w:val="004554E5"/>
    <w:rsid w:val="00457CA1"/>
    <w:rsid w:val="00461A11"/>
    <w:rsid w:val="00466174"/>
    <w:rsid w:val="004679B8"/>
    <w:rsid w:val="0047219D"/>
    <w:rsid w:val="00473A77"/>
    <w:rsid w:val="00473BDF"/>
    <w:rsid w:val="00474A1C"/>
    <w:rsid w:val="0047586E"/>
    <w:rsid w:val="00487C6E"/>
    <w:rsid w:val="0049378D"/>
    <w:rsid w:val="004A5F2D"/>
    <w:rsid w:val="004A7910"/>
    <w:rsid w:val="004B4D32"/>
    <w:rsid w:val="004B5485"/>
    <w:rsid w:val="004B6F48"/>
    <w:rsid w:val="004B737D"/>
    <w:rsid w:val="004B7D6E"/>
    <w:rsid w:val="004C08D1"/>
    <w:rsid w:val="004C26E6"/>
    <w:rsid w:val="004D03D6"/>
    <w:rsid w:val="004D1D1F"/>
    <w:rsid w:val="004E188F"/>
    <w:rsid w:val="004F6CB6"/>
    <w:rsid w:val="00500071"/>
    <w:rsid w:val="00502A99"/>
    <w:rsid w:val="00502CB9"/>
    <w:rsid w:val="0050301F"/>
    <w:rsid w:val="00504243"/>
    <w:rsid w:val="00505920"/>
    <w:rsid w:val="00525DC6"/>
    <w:rsid w:val="005359EF"/>
    <w:rsid w:val="005404BA"/>
    <w:rsid w:val="00543280"/>
    <w:rsid w:val="005438EF"/>
    <w:rsid w:val="0054599A"/>
    <w:rsid w:val="005506E0"/>
    <w:rsid w:val="005543C0"/>
    <w:rsid w:val="0055456B"/>
    <w:rsid w:val="005567CD"/>
    <w:rsid w:val="00557612"/>
    <w:rsid w:val="00562FEE"/>
    <w:rsid w:val="005651F7"/>
    <w:rsid w:val="005716D4"/>
    <w:rsid w:val="0057555D"/>
    <w:rsid w:val="0057663A"/>
    <w:rsid w:val="005771B5"/>
    <w:rsid w:val="005857B9"/>
    <w:rsid w:val="00587DFA"/>
    <w:rsid w:val="00591179"/>
    <w:rsid w:val="00591781"/>
    <w:rsid w:val="005940D1"/>
    <w:rsid w:val="005963F8"/>
    <w:rsid w:val="005A25CA"/>
    <w:rsid w:val="005A3A03"/>
    <w:rsid w:val="005A5F1C"/>
    <w:rsid w:val="005A770F"/>
    <w:rsid w:val="005B7FB6"/>
    <w:rsid w:val="005C1924"/>
    <w:rsid w:val="005C5747"/>
    <w:rsid w:val="005D00FA"/>
    <w:rsid w:val="005D290C"/>
    <w:rsid w:val="005E0866"/>
    <w:rsid w:val="005E14E6"/>
    <w:rsid w:val="005E1C2A"/>
    <w:rsid w:val="005E3766"/>
    <w:rsid w:val="005E6E48"/>
    <w:rsid w:val="005F7F02"/>
    <w:rsid w:val="0060044E"/>
    <w:rsid w:val="00612D50"/>
    <w:rsid w:val="00613B71"/>
    <w:rsid w:val="00623047"/>
    <w:rsid w:val="006306D0"/>
    <w:rsid w:val="00630F12"/>
    <w:rsid w:val="00631B24"/>
    <w:rsid w:val="00643218"/>
    <w:rsid w:val="00654513"/>
    <w:rsid w:val="00655768"/>
    <w:rsid w:val="00656B5B"/>
    <w:rsid w:val="0065723F"/>
    <w:rsid w:val="00660730"/>
    <w:rsid w:val="00660F61"/>
    <w:rsid w:val="00662B05"/>
    <w:rsid w:val="006657E9"/>
    <w:rsid w:val="00665877"/>
    <w:rsid w:val="006768A8"/>
    <w:rsid w:val="00681002"/>
    <w:rsid w:val="006A4D85"/>
    <w:rsid w:val="006A5F21"/>
    <w:rsid w:val="006B1C1E"/>
    <w:rsid w:val="006B44D9"/>
    <w:rsid w:val="006C2730"/>
    <w:rsid w:val="006C292B"/>
    <w:rsid w:val="006C75D7"/>
    <w:rsid w:val="006D29B2"/>
    <w:rsid w:val="006D4E5A"/>
    <w:rsid w:val="006D57E4"/>
    <w:rsid w:val="006D7744"/>
    <w:rsid w:val="006E0A8A"/>
    <w:rsid w:val="006E25EC"/>
    <w:rsid w:val="006E409F"/>
    <w:rsid w:val="00700A3A"/>
    <w:rsid w:val="007033CF"/>
    <w:rsid w:val="00704E40"/>
    <w:rsid w:val="007124C0"/>
    <w:rsid w:val="00714794"/>
    <w:rsid w:val="007174B8"/>
    <w:rsid w:val="00721CAD"/>
    <w:rsid w:val="007237E3"/>
    <w:rsid w:val="00724A59"/>
    <w:rsid w:val="00730F01"/>
    <w:rsid w:val="007335F6"/>
    <w:rsid w:val="007418C2"/>
    <w:rsid w:val="0074263A"/>
    <w:rsid w:val="00750218"/>
    <w:rsid w:val="00753E19"/>
    <w:rsid w:val="007559F8"/>
    <w:rsid w:val="007578CE"/>
    <w:rsid w:val="00762334"/>
    <w:rsid w:val="007624D3"/>
    <w:rsid w:val="007651C4"/>
    <w:rsid w:val="007654FC"/>
    <w:rsid w:val="007718E9"/>
    <w:rsid w:val="00791D26"/>
    <w:rsid w:val="00791D51"/>
    <w:rsid w:val="007937C1"/>
    <w:rsid w:val="0079395B"/>
    <w:rsid w:val="00794A0A"/>
    <w:rsid w:val="00797894"/>
    <w:rsid w:val="007A64C7"/>
    <w:rsid w:val="007A7B6B"/>
    <w:rsid w:val="007B0B11"/>
    <w:rsid w:val="007B2070"/>
    <w:rsid w:val="007B20C7"/>
    <w:rsid w:val="007C3B75"/>
    <w:rsid w:val="007D7849"/>
    <w:rsid w:val="007E2764"/>
    <w:rsid w:val="00801FB9"/>
    <w:rsid w:val="00802E98"/>
    <w:rsid w:val="00821F3C"/>
    <w:rsid w:val="00826FE7"/>
    <w:rsid w:val="00827695"/>
    <w:rsid w:val="00831B92"/>
    <w:rsid w:val="00831E58"/>
    <w:rsid w:val="00835292"/>
    <w:rsid w:val="00837649"/>
    <w:rsid w:val="008464B8"/>
    <w:rsid w:val="00847DC2"/>
    <w:rsid w:val="00853DE3"/>
    <w:rsid w:val="00866191"/>
    <w:rsid w:val="00873DCC"/>
    <w:rsid w:val="00876F6D"/>
    <w:rsid w:val="0088047F"/>
    <w:rsid w:val="0088534C"/>
    <w:rsid w:val="00885BB4"/>
    <w:rsid w:val="008952C8"/>
    <w:rsid w:val="008A1018"/>
    <w:rsid w:val="008B1008"/>
    <w:rsid w:val="008C7413"/>
    <w:rsid w:val="008D0862"/>
    <w:rsid w:val="008D686E"/>
    <w:rsid w:val="008E34A4"/>
    <w:rsid w:val="008E6C7F"/>
    <w:rsid w:val="008F17C9"/>
    <w:rsid w:val="008F4F55"/>
    <w:rsid w:val="008F5285"/>
    <w:rsid w:val="008F5C64"/>
    <w:rsid w:val="008F5EC5"/>
    <w:rsid w:val="00901B32"/>
    <w:rsid w:val="00911425"/>
    <w:rsid w:val="00912519"/>
    <w:rsid w:val="00917577"/>
    <w:rsid w:val="00925741"/>
    <w:rsid w:val="009413D3"/>
    <w:rsid w:val="00941CE3"/>
    <w:rsid w:val="009435CC"/>
    <w:rsid w:val="009437E2"/>
    <w:rsid w:val="00945D7A"/>
    <w:rsid w:val="009518E1"/>
    <w:rsid w:val="0095267F"/>
    <w:rsid w:val="00953FE8"/>
    <w:rsid w:val="00957619"/>
    <w:rsid w:val="0096441A"/>
    <w:rsid w:val="00972640"/>
    <w:rsid w:val="009761DE"/>
    <w:rsid w:val="00976550"/>
    <w:rsid w:val="00983852"/>
    <w:rsid w:val="009927F6"/>
    <w:rsid w:val="00995882"/>
    <w:rsid w:val="009A176A"/>
    <w:rsid w:val="009A538D"/>
    <w:rsid w:val="009B0366"/>
    <w:rsid w:val="009B46C8"/>
    <w:rsid w:val="009B62F1"/>
    <w:rsid w:val="009C161B"/>
    <w:rsid w:val="009D0245"/>
    <w:rsid w:val="009D2F67"/>
    <w:rsid w:val="009D407C"/>
    <w:rsid w:val="009E00C6"/>
    <w:rsid w:val="009E2678"/>
    <w:rsid w:val="009E5C20"/>
    <w:rsid w:val="009F0C73"/>
    <w:rsid w:val="009F0E0C"/>
    <w:rsid w:val="009F10C4"/>
    <w:rsid w:val="009F2054"/>
    <w:rsid w:val="00A05BF8"/>
    <w:rsid w:val="00A07D60"/>
    <w:rsid w:val="00A202A5"/>
    <w:rsid w:val="00A34BEB"/>
    <w:rsid w:val="00A40B6F"/>
    <w:rsid w:val="00A41296"/>
    <w:rsid w:val="00A41D03"/>
    <w:rsid w:val="00A41FA6"/>
    <w:rsid w:val="00A43FE4"/>
    <w:rsid w:val="00A52B2B"/>
    <w:rsid w:val="00A5371B"/>
    <w:rsid w:val="00A545C8"/>
    <w:rsid w:val="00A54613"/>
    <w:rsid w:val="00A5601D"/>
    <w:rsid w:val="00A57340"/>
    <w:rsid w:val="00A805BB"/>
    <w:rsid w:val="00A810AD"/>
    <w:rsid w:val="00A847D8"/>
    <w:rsid w:val="00A927BA"/>
    <w:rsid w:val="00A92EFA"/>
    <w:rsid w:val="00A93A22"/>
    <w:rsid w:val="00A949AD"/>
    <w:rsid w:val="00A95712"/>
    <w:rsid w:val="00AA5740"/>
    <w:rsid w:val="00AA69AC"/>
    <w:rsid w:val="00AA6BE0"/>
    <w:rsid w:val="00AA729A"/>
    <w:rsid w:val="00AB1925"/>
    <w:rsid w:val="00AB1A8A"/>
    <w:rsid w:val="00AB1FF5"/>
    <w:rsid w:val="00AB5D04"/>
    <w:rsid w:val="00AC703A"/>
    <w:rsid w:val="00AF2D77"/>
    <w:rsid w:val="00B00BE6"/>
    <w:rsid w:val="00B03679"/>
    <w:rsid w:val="00B039E4"/>
    <w:rsid w:val="00B05810"/>
    <w:rsid w:val="00B113A6"/>
    <w:rsid w:val="00B11603"/>
    <w:rsid w:val="00B200D6"/>
    <w:rsid w:val="00B2114E"/>
    <w:rsid w:val="00B2256B"/>
    <w:rsid w:val="00B3467C"/>
    <w:rsid w:val="00B4416D"/>
    <w:rsid w:val="00B4466C"/>
    <w:rsid w:val="00B47EFF"/>
    <w:rsid w:val="00B5014D"/>
    <w:rsid w:val="00B50456"/>
    <w:rsid w:val="00B54718"/>
    <w:rsid w:val="00B55A8E"/>
    <w:rsid w:val="00B56D51"/>
    <w:rsid w:val="00B60393"/>
    <w:rsid w:val="00B60AD1"/>
    <w:rsid w:val="00B617D6"/>
    <w:rsid w:val="00B67FA2"/>
    <w:rsid w:val="00B73451"/>
    <w:rsid w:val="00B75136"/>
    <w:rsid w:val="00B755F5"/>
    <w:rsid w:val="00B759A4"/>
    <w:rsid w:val="00B83EEF"/>
    <w:rsid w:val="00B86AA5"/>
    <w:rsid w:val="00B91C7F"/>
    <w:rsid w:val="00B94688"/>
    <w:rsid w:val="00B94FDC"/>
    <w:rsid w:val="00BA17D9"/>
    <w:rsid w:val="00BA3ED0"/>
    <w:rsid w:val="00BB64E6"/>
    <w:rsid w:val="00BB6C59"/>
    <w:rsid w:val="00BC0C9A"/>
    <w:rsid w:val="00BC1567"/>
    <w:rsid w:val="00BC1939"/>
    <w:rsid w:val="00BC651C"/>
    <w:rsid w:val="00BC6780"/>
    <w:rsid w:val="00BD51EC"/>
    <w:rsid w:val="00BD77ED"/>
    <w:rsid w:val="00BE13C8"/>
    <w:rsid w:val="00BE2AC1"/>
    <w:rsid w:val="00BE691B"/>
    <w:rsid w:val="00BE6DF8"/>
    <w:rsid w:val="00BE7C0A"/>
    <w:rsid w:val="00BF71D1"/>
    <w:rsid w:val="00C00413"/>
    <w:rsid w:val="00C057D6"/>
    <w:rsid w:val="00C15AFF"/>
    <w:rsid w:val="00C1654D"/>
    <w:rsid w:val="00C31A62"/>
    <w:rsid w:val="00C3317D"/>
    <w:rsid w:val="00C36B64"/>
    <w:rsid w:val="00C370E4"/>
    <w:rsid w:val="00C4687E"/>
    <w:rsid w:val="00C554A3"/>
    <w:rsid w:val="00C618C4"/>
    <w:rsid w:val="00C62B18"/>
    <w:rsid w:val="00C63CF4"/>
    <w:rsid w:val="00C667FA"/>
    <w:rsid w:val="00C7178A"/>
    <w:rsid w:val="00C7613B"/>
    <w:rsid w:val="00C80E4A"/>
    <w:rsid w:val="00C840C1"/>
    <w:rsid w:val="00C861CF"/>
    <w:rsid w:val="00C86509"/>
    <w:rsid w:val="00C93D2E"/>
    <w:rsid w:val="00C96B31"/>
    <w:rsid w:val="00CA05CC"/>
    <w:rsid w:val="00CA6E6C"/>
    <w:rsid w:val="00CB2298"/>
    <w:rsid w:val="00CB76CD"/>
    <w:rsid w:val="00CC4C96"/>
    <w:rsid w:val="00CC6192"/>
    <w:rsid w:val="00CC6606"/>
    <w:rsid w:val="00CD519F"/>
    <w:rsid w:val="00CD79BB"/>
    <w:rsid w:val="00CE2020"/>
    <w:rsid w:val="00CE60C2"/>
    <w:rsid w:val="00CF442E"/>
    <w:rsid w:val="00D12294"/>
    <w:rsid w:val="00D17EFF"/>
    <w:rsid w:val="00D22632"/>
    <w:rsid w:val="00D252BB"/>
    <w:rsid w:val="00D319AC"/>
    <w:rsid w:val="00D3228B"/>
    <w:rsid w:val="00D324BD"/>
    <w:rsid w:val="00D363FE"/>
    <w:rsid w:val="00D4056B"/>
    <w:rsid w:val="00D42FDE"/>
    <w:rsid w:val="00D46827"/>
    <w:rsid w:val="00D50EFC"/>
    <w:rsid w:val="00D52B3A"/>
    <w:rsid w:val="00D54FD4"/>
    <w:rsid w:val="00D609FF"/>
    <w:rsid w:val="00D62418"/>
    <w:rsid w:val="00D66C06"/>
    <w:rsid w:val="00D67875"/>
    <w:rsid w:val="00D71331"/>
    <w:rsid w:val="00D71CC4"/>
    <w:rsid w:val="00D73703"/>
    <w:rsid w:val="00D7504F"/>
    <w:rsid w:val="00D8218E"/>
    <w:rsid w:val="00D86633"/>
    <w:rsid w:val="00D87824"/>
    <w:rsid w:val="00D9110F"/>
    <w:rsid w:val="00D91228"/>
    <w:rsid w:val="00D921C2"/>
    <w:rsid w:val="00D93BBC"/>
    <w:rsid w:val="00D956F7"/>
    <w:rsid w:val="00DA1DEE"/>
    <w:rsid w:val="00DB0AD1"/>
    <w:rsid w:val="00DB4DC6"/>
    <w:rsid w:val="00DC0D8F"/>
    <w:rsid w:val="00DC6A87"/>
    <w:rsid w:val="00DC7044"/>
    <w:rsid w:val="00DD2F6D"/>
    <w:rsid w:val="00DD2FEA"/>
    <w:rsid w:val="00DD45BE"/>
    <w:rsid w:val="00DE29DF"/>
    <w:rsid w:val="00DE554F"/>
    <w:rsid w:val="00DF4CA4"/>
    <w:rsid w:val="00DF6F0C"/>
    <w:rsid w:val="00DF7F93"/>
    <w:rsid w:val="00E0014D"/>
    <w:rsid w:val="00E10D86"/>
    <w:rsid w:val="00E12381"/>
    <w:rsid w:val="00E147C9"/>
    <w:rsid w:val="00E1726A"/>
    <w:rsid w:val="00E21E26"/>
    <w:rsid w:val="00E22B53"/>
    <w:rsid w:val="00E27399"/>
    <w:rsid w:val="00E31D73"/>
    <w:rsid w:val="00E35C53"/>
    <w:rsid w:val="00E40596"/>
    <w:rsid w:val="00E4063C"/>
    <w:rsid w:val="00E46FDE"/>
    <w:rsid w:val="00E47623"/>
    <w:rsid w:val="00E5079A"/>
    <w:rsid w:val="00E57329"/>
    <w:rsid w:val="00E57623"/>
    <w:rsid w:val="00E64C52"/>
    <w:rsid w:val="00E674E0"/>
    <w:rsid w:val="00E71762"/>
    <w:rsid w:val="00E835A3"/>
    <w:rsid w:val="00E91006"/>
    <w:rsid w:val="00E94851"/>
    <w:rsid w:val="00E95620"/>
    <w:rsid w:val="00E97E49"/>
    <w:rsid w:val="00EA0E61"/>
    <w:rsid w:val="00EA1029"/>
    <w:rsid w:val="00EA1798"/>
    <w:rsid w:val="00EA4351"/>
    <w:rsid w:val="00EB621C"/>
    <w:rsid w:val="00EC1A49"/>
    <w:rsid w:val="00EC3388"/>
    <w:rsid w:val="00ED4891"/>
    <w:rsid w:val="00ED644D"/>
    <w:rsid w:val="00EE6B18"/>
    <w:rsid w:val="00EF1E0E"/>
    <w:rsid w:val="00EF2E0C"/>
    <w:rsid w:val="00EF7398"/>
    <w:rsid w:val="00EF7C35"/>
    <w:rsid w:val="00F06DFE"/>
    <w:rsid w:val="00F073DC"/>
    <w:rsid w:val="00F10066"/>
    <w:rsid w:val="00F10315"/>
    <w:rsid w:val="00F15E58"/>
    <w:rsid w:val="00F15F63"/>
    <w:rsid w:val="00F213B6"/>
    <w:rsid w:val="00F22521"/>
    <w:rsid w:val="00F22B57"/>
    <w:rsid w:val="00F300F9"/>
    <w:rsid w:val="00F302CE"/>
    <w:rsid w:val="00F326DD"/>
    <w:rsid w:val="00F41C71"/>
    <w:rsid w:val="00F4614B"/>
    <w:rsid w:val="00F616A4"/>
    <w:rsid w:val="00F61FDE"/>
    <w:rsid w:val="00F7665A"/>
    <w:rsid w:val="00F802A3"/>
    <w:rsid w:val="00F80D67"/>
    <w:rsid w:val="00F842C9"/>
    <w:rsid w:val="00F86C29"/>
    <w:rsid w:val="00F95088"/>
    <w:rsid w:val="00FA063C"/>
    <w:rsid w:val="00FA45F7"/>
    <w:rsid w:val="00FB27B5"/>
    <w:rsid w:val="00FB67BC"/>
    <w:rsid w:val="00FB7E6D"/>
    <w:rsid w:val="00FC354E"/>
    <w:rsid w:val="00FC4A47"/>
    <w:rsid w:val="00FD208D"/>
    <w:rsid w:val="00FD3248"/>
    <w:rsid w:val="00FD4882"/>
    <w:rsid w:val="00FD6368"/>
    <w:rsid w:val="00FF00B5"/>
    <w:rsid w:val="00FF10FA"/>
    <w:rsid w:val="00FF3B20"/>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3C2D12"/>
  <w15:chartTrackingRefBased/>
  <w15:docId w15:val="{18C53CB5-AA5F-48FD-BF4E-D84AA98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2B"/>
  </w:style>
  <w:style w:type="paragraph" w:styleId="Heading1">
    <w:name w:val="heading 1"/>
    <w:basedOn w:val="Normal"/>
    <w:next w:val="Normal"/>
    <w:link w:val="Heading1Char"/>
    <w:uiPriority w:val="9"/>
    <w:qFormat/>
    <w:rsid w:val="00A52B2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2B2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52B2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A52B2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A52B2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52B2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52B2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52B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B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A52B2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52B2B"/>
    <w:rPr>
      <w:color w:val="4A66AC" w:themeColor="accent1"/>
      <w:sz w:val="24"/>
      <w:szCs w:val="24"/>
    </w:rPr>
  </w:style>
  <w:style w:type="paragraph" w:styleId="ListParagraph">
    <w:name w:val="List Paragraph"/>
    <w:basedOn w:val="Normal"/>
    <w:uiPriority w:val="34"/>
    <w:qFormat/>
    <w:rsid w:val="00263795"/>
    <w:pPr>
      <w:ind w:left="720"/>
      <w:contextualSpacing/>
    </w:pPr>
  </w:style>
  <w:style w:type="character" w:styleId="IntenseReference">
    <w:name w:val="Intense Reference"/>
    <w:uiPriority w:val="32"/>
    <w:qFormat/>
    <w:rsid w:val="00A52B2B"/>
    <w:rPr>
      <w:b/>
      <w:bCs/>
      <w:i/>
      <w:iCs/>
      <w:caps/>
      <w:color w:val="4A66AC" w:themeColor="accent1"/>
    </w:rPr>
  </w:style>
  <w:style w:type="character" w:customStyle="1" w:styleId="Heading2Char">
    <w:name w:val="Heading 2 Char"/>
    <w:basedOn w:val="DefaultParagraphFont"/>
    <w:link w:val="Heading2"/>
    <w:uiPriority w:val="9"/>
    <w:rsid w:val="00A52B2B"/>
    <w:rPr>
      <w:caps/>
      <w:spacing w:val="15"/>
      <w:shd w:val="clear" w:color="auto" w:fill="D9DFEF" w:themeFill="accent1" w:themeFillTint="33"/>
    </w:rPr>
  </w:style>
  <w:style w:type="character" w:customStyle="1" w:styleId="Heading1Char">
    <w:name w:val="Heading 1 Char"/>
    <w:basedOn w:val="DefaultParagraphFont"/>
    <w:link w:val="Heading1"/>
    <w:uiPriority w:val="9"/>
    <w:rsid w:val="00A52B2B"/>
    <w:rPr>
      <w:caps/>
      <w:color w:val="FFFFFF" w:themeColor="background1"/>
      <w:spacing w:val="15"/>
      <w:sz w:val="22"/>
      <w:szCs w:val="22"/>
      <w:shd w:val="clear" w:color="auto" w:fill="4A66AC" w:themeFill="accent1"/>
    </w:rPr>
  </w:style>
  <w:style w:type="character" w:styleId="IntenseEmphasis">
    <w:name w:val="Intense Emphasis"/>
    <w:uiPriority w:val="21"/>
    <w:qFormat/>
    <w:rsid w:val="00A52B2B"/>
    <w:rPr>
      <w:b/>
      <w:bCs/>
      <w:caps/>
      <w:color w:val="243255" w:themeColor="accent1" w:themeShade="7F"/>
      <w:spacing w:val="10"/>
    </w:rPr>
  </w:style>
  <w:style w:type="paragraph" w:styleId="FootnoteText">
    <w:name w:val="footnote text"/>
    <w:basedOn w:val="Normal"/>
    <w:link w:val="FootnoteTextChar"/>
    <w:uiPriority w:val="99"/>
    <w:semiHidden/>
    <w:unhideWhenUsed/>
    <w:rsid w:val="008952C8"/>
    <w:pPr>
      <w:spacing w:after="0" w:line="240" w:lineRule="auto"/>
    </w:p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9454C3" w:themeColor="hyperlink"/>
      <w:u w:val="single"/>
    </w:rPr>
  </w:style>
  <w:style w:type="character" w:customStyle="1" w:styleId="Heading3Char">
    <w:name w:val="Heading 3 Char"/>
    <w:basedOn w:val="DefaultParagraphFont"/>
    <w:link w:val="Heading3"/>
    <w:uiPriority w:val="9"/>
    <w:rsid w:val="00A52B2B"/>
    <w:rPr>
      <w:caps/>
      <w:color w:val="243255" w:themeColor="accent1" w:themeShade="7F"/>
      <w:spacing w:val="15"/>
    </w:rPr>
  </w:style>
  <w:style w:type="character" w:customStyle="1" w:styleId="Heading4Char">
    <w:name w:val="Heading 4 Char"/>
    <w:basedOn w:val="DefaultParagraphFont"/>
    <w:link w:val="Heading4"/>
    <w:uiPriority w:val="9"/>
    <w:rsid w:val="00A52B2B"/>
    <w:rPr>
      <w:caps/>
      <w:color w:val="374C80" w:themeColor="accent1" w:themeShade="BF"/>
      <w:spacing w:val="10"/>
    </w:rPr>
  </w:style>
  <w:style w:type="paragraph" w:styleId="NoSpacing">
    <w:name w:val="No Spacing"/>
    <w:link w:val="NoSpacingChar"/>
    <w:uiPriority w:val="1"/>
    <w:qFormat/>
    <w:rsid w:val="00A52B2B"/>
    <w:pPr>
      <w:spacing w:after="0" w:line="240" w:lineRule="auto"/>
    </w:pPr>
  </w:style>
  <w:style w:type="character" w:customStyle="1" w:styleId="NoSpacingChar">
    <w:name w:val="No Spacing Char"/>
    <w:basedOn w:val="DefaultParagraphFont"/>
    <w:link w:val="NoSpacing"/>
    <w:uiPriority w:val="1"/>
    <w:rsid w:val="00D91228"/>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52B2B"/>
    <w:rPr>
      <w:caps/>
      <w:color w:val="243255" w:themeColor="accent1" w:themeShade="7F"/>
      <w:spacing w:val="5"/>
    </w:rPr>
  </w:style>
  <w:style w:type="character" w:customStyle="1" w:styleId="Heading5Char">
    <w:name w:val="Heading 5 Char"/>
    <w:basedOn w:val="DefaultParagraphFont"/>
    <w:link w:val="Heading5"/>
    <w:uiPriority w:val="9"/>
    <w:rsid w:val="00A52B2B"/>
    <w:rPr>
      <w:caps/>
      <w:color w:val="374C80" w:themeColor="accent1" w:themeShade="BF"/>
      <w:spacing w:val="10"/>
    </w:rPr>
  </w:style>
  <w:style w:type="paragraph" w:styleId="Revision">
    <w:name w:val="Revision"/>
    <w:hidden/>
    <w:uiPriority w:val="99"/>
    <w:semiHidden/>
    <w:rsid w:val="005D290C"/>
    <w:pPr>
      <w:spacing w:after="0" w:line="240" w:lineRule="auto"/>
    </w:pPr>
  </w:style>
  <w:style w:type="paragraph" w:styleId="TOCHeading">
    <w:name w:val="TOC Heading"/>
    <w:basedOn w:val="Heading1"/>
    <w:next w:val="Normal"/>
    <w:uiPriority w:val="39"/>
    <w:unhideWhenUsed/>
    <w:qFormat/>
    <w:rsid w:val="00A52B2B"/>
    <w:pPr>
      <w:outlineLvl w:val="9"/>
    </w:pPr>
  </w:style>
  <w:style w:type="paragraph" w:styleId="TOC1">
    <w:name w:val="toc 1"/>
    <w:basedOn w:val="Normal"/>
    <w:next w:val="Normal"/>
    <w:autoRedefine/>
    <w:uiPriority w:val="39"/>
    <w:unhideWhenUsed/>
    <w:rsid w:val="00157053"/>
    <w:pPr>
      <w:spacing w:after="100"/>
    </w:pPr>
  </w:style>
  <w:style w:type="paragraph" w:styleId="TOC2">
    <w:name w:val="toc 2"/>
    <w:basedOn w:val="Normal"/>
    <w:next w:val="Normal"/>
    <w:autoRedefine/>
    <w:uiPriority w:val="39"/>
    <w:unhideWhenUsed/>
    <w:rsid w:val="00157053"/>
    <w:pPr>
      <w:spacing w:after="100"/>
      <w:ind w:left="220"/>
    </w:pPr>
  </w:style>
  <w:style w:type="paragraph" w:styleId="TOC3">
    <w:name w:val="toc 3"/>
    <w:basedOn w:val="Normal"/>
    <w:next w:val="Normal"/>
    <w:autoRedefine/>
    <w:uiPriority w:val="39"/>
    <w:unhideWhenUsed/>
    <w:rsid w:val="00157053"/>
    <w:pPr>
      <w:spacing w:after="100"/>
      <w:ind w:left="440"/>
    </w:pPr>
    <w:rPr>
      <w:rFonts w:cs="Times New Roman"/>
    </w:rPr>
  </w:style>
  <w:style w:type="character" w:customStyle="1" w:styleId="Heading6Char">
    <w:name w:val="Heading 6 Char"/>
    <w:basedOn w:val="DefaultParagraphFont"/>
    <w:link w:val="Heading6"/>
    <w:uiPriority w:val="9"/>
    <w:semiHidden/>
    <w:rsid w:val="00A52B2B"/>
    <w:rPr>
      <w:caps/>
      <w:color w:val="374C80" w:themeColor="accent1" w:themeShade="BF"/>
      <w:spacing w:val="10"/>
    </w:rPr>
  </w:style>
  <w:style w:type="character" w:customStyle="1" w:styleId="Heading7Char">
    <w:name w:val="Heading 7 Char"/>
    <w:basedOn w:val="DefaultParagraphFont"/>
    <w:link w:val="Heading7"/>
    <w:uiPriority w:val="9"/>
    <w:semiHidden/>
    <w:rsid w:val="00A52B2B"/>
    <w:rPr>
      <w:caps/>
      <w:color w:val="374C80" w:themeColor="accent1" w:themeShade="BF"/>
      <w:spacing w:val="10"/>
    </w:rPr>
  </w:style>
  <w:style w:type="character" w:customStyle="1" w:styleId="Heading8Char">
    <w:name w:val="Heading 8 Char"/>
    <w:basedOn w:val="DefaultParagraphFont"/>
    <w:link w:val="Heading8"/>
    <w:uiPriority w:val="9"/>
    <w:semiHidden/>
    <w:rsid w:val="00A52B2B"/>
    <w:rPr>
      <w:caps/>
      <w:spacing w:val="10"/>
      <w:sz w:val="18"/>
      <w:szCs w:val="18"/>
    </w:rPr>
  </w:style>
  <w:style w:type="character" w:customStyle="1" w:styleId="Heading9Char">
    <w:name w:val="Heading 9 Char"/>
    <w:basedOn w:val="DefaultParagraphFont"/>
    <w:link w:val="Heading9"/>
    <w:uiPriority w:val="9"/>
    <w:semiHidden/>
    <w:rsid w:val="00A52B2B"/>
    <w:rPr>
      <w:i/>
      <w:iCs/>
      <w:caps/>
      <w:spacing w:val="10"/>
      <w:sz w:val="18"/>
      <w:szCs w:val="18"/>
    </w:rPr>
  </w:style>
  <w:style w:type="paragraph" w:styleId="Caption">
    <w:name w:val="caption"/>
    <w:basedOn w:val="Normal"/>
    <w:next w:val="Normal"/>
    <w:uiPriority w:val="35"/>
    <w:semiHidden/>
    <w:unhideWhenUsed/>
    <w:qFormat/>
    <w:rsid w:val="00A52B2B"/>
    <w:rPr>
      <w:b/>
      <w:bCs/>
      <w:color w:val="374C80" w:themeColor="accent1" w:themeShade="BF"/>
      <w:sz w:val="16"/>
      <w:szCs w:val="16"/>
    </w:rPr>
  </w:style>
  <w:style w:type="paragraph" w:styleId="Title">
    <w:name w:val="Title"/>
    <w:basedOn w:val="Normal"/>
    <w:next w:val="Normal"/>
    <w:link w:val="TitleChar"/>
    <w:uiPriority w:val="10"/>
    <w:qFormat/>
    <w:rsid w:val="00A52B2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52B2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52B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2B2B"/>
    <w:rPr>
      <w:caps/>
      <w:color w:val="595959" w:themeColor="text1" w:themeTint="A6"/>
      <w:spacing w:val="10"/>
      <w:sz w:val="21"/>
      <w:szCs w:val="21"/>
    </w:rPr>
  </w:style>
  <w:style w:type="character" w:styleId="Strong">
    <w:name w:val="Strong"/>
    <w:uiPriority w:val="22"/>
    <w:qFormat/>
    <w:rsid w:val="00A52B2B"/>
    <w:rPr>
      <w:b/>
      <w:bCs/>
    </w:rPr>
  </w:style>
  <w:style w:type="paragraph" w:styleId="Quote">
    <w:name w:val="Quote"/>
    <w:basedOn w:val="Normal"/>
    <w:next w:val="Normal"/>
    <w:link w:val="QuoteChar"/>
    <w:uiPriority w:val="29"/>
    <w:qFormat/>
    <w:rsid w:val="00A52B2B"/>
    <w:rPr>
      <w:i/>
      <w:iCs/>
      <w:sz w:val="24"/>
      <w:szCs w:val="24"/>
    </w:rPr>
  </w:style>
  <w:style w:type="character" w:customStyle="1" w:styleId="QuoteChar">
    <w:name w:val="Quote Char"/>
    <w:basedOn w:val="DefaultParagraphFont"/>
    <w:link w:val="Quote"/>
    <w:uiPriority w:val="29"/>
    <w:rsid w:val="00A52B2B"/>
    <w:rPr>
      <w:i/>
      <w:iCs/>
      <w:sz w:val="24"/>
      <w:szCs w:val="24"/>
    </w:rPr>
  </w:style>
  <w:style w:type="character" w:styleId="SubtleEmphasis">
    <w:name w:val="Subtle Emphasis"/>
    <w:uiPriority w:val="19"/>
    <w:qFormat/>
    <w:rsid w:val="00A52B2B"/>
    <w:rPr>
      <w:i/>
      <w:iCs/>
      <w:color w:val="243255" w:themeColor="accent1" w:themeShade="7F"/>
    </w:rPr>
  </w:style>
  <w:style w:type="character" w:styleId="SubtleReference">
    <w:name w:val="Subtle Reference"/>
    <w:uiPriority w:val="31"/>
    <w:qFormat/>
    <w:rsid w:val="00A52B2B"/>
    <w:rPr>
      <w:b/>
      <w:bCs/>
      <w:color w:val="4A66AC" w:themeColor="accent1"/>
    </w:rPr>
  </w:style>
  <w:style w:type="character" w:styleId="BookTitle">
    <w:name w:val="Book Title"/>
    <w:uiPriority w:val="33"/>
    <w:qFormat/>
    <w:rsid w:val="00A52B2B"/>
    <w:rPr>
      <w:b/>
      <w:bCs/>
      <w:i/>
      <w:iCs/>
      <w:spacing w:val="0"/>
    </w:rPr>
  </w:style>
  <w:style w:type="character" w:customStyle="1" w:styleId="UnresolvedMention">
    <w:name w:val="Unresolved Mention"/>
    <w:basedOn w:val="DefaultParagraphFont"/>
    <w:uiPriority w:val="99"/>
    <w:semiHidden/>
    <w:unhideWhenUsed/>
    <w:rsid w:val="00C66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A8394-2E2F-4B3F-9DBC-3DA5D4F7C0EC}">
  <ds:schemaRefs>
    <ds:schemaRef ds:uri="http://schemas.openxmlformats.org/officeDocument/2006/bibliography"/>
  </ds:schemaRefs>
</ds:datastoreItem>
</file>

<file path=customXml/itemProps2.xml><?xml version="1.0" encoding="utf-8"?>
<ds:datastoreItem xmlns:ds="http://schemas.openxmlformats.org/officeDocument/2006/customXml" ds:itemID="{73184B79-1554-4350-89B1-2A87983A32CE}"/>
</file>

<file path=customXml/itemProps3.xml><?xml version="1.0" encoding="utf-8"?>
<ds:datastoreItem xmlns:ds="http://schemas.openxmlformats.org/officeDocument/2006/customXml" ds:itemID="{D477300F-D96C-4901-81BC-63310A776DC4}"/>
</file>

<file path=customXml/itemProps4.xml><?xml version="1.0" encoding="utf-8"?>
<ds:datastoreItem xmlns:ds="http://schemas.openxmlformats.org/officeDocument/2006/customXml" ds:itemID="{10B8352D-701C-41EA-A6CF-402E32F70A2E}"/>
</file>

<file path=docProps/app.xml><?xml version="1.0" encoding="utf-8"?>
<Properties xmlns="http://schemas.openxmlformats.org/officeDocument/2006/extended-properties" xmlns:vt="http://schemas.openxmlformats.org/officeDocument/2006/docPropsVTypes">
  <Template>Normal.dotm</Template>
  <TotalTime>0</TotalTime>
  <Pages>8</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Erin Bresnahan</cp:lastModifiedBy>
  <cp:revision>3</cp:revision>
  <cp:lastPrinted>2020-01-03T22:52:00Z</cp:lastPrinted>
  <dcterms:created xsi:type="dcterms:W3CDTF">2021-01-14T15:56:00Z</dcterms:created>
  <dcterms:modified xsi:type="dcterms:W3CDTF">2021-01-25T15:44:00Z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