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0FA" w:rsidRDefault="00FF10FA" w:rsidP="00A52B2B">
      <w:pPr>
        <w:pStyle w:val="Title"/>
        <w:jc w:val="center"/>
        <w:rPr>
          <w:sz w:val="36"/>
          <w:szCs w:val="36"/>
          <w:highlight w:val="yellow"/>
        </w:rPr>
      </w:pPr>
    </w:p>
    <w:p w:rsidR="00A962B3" w:rsidRDefault="00A962B3" w:rsidP="00A52B2B">
      <w:pPr>
        <w:pStyle w:val="Title"/>
        <w:jc w:val="center"/>
        <w:rPr>
          <w:sz w:val="36"/>
          <w:szCs w:val="36"/>
        </w:rPr>
      </w:pPr>
    </w:p>
    <w:p w:rsidR="00A962B3" w:rsidRDefault="00A962B3" w:rsidP="00A52B2B">
      <w:pPr>
        <w:pStyle w:val="Title"/>
        <w:jc w:val="center"/>
        <w:rPr>
          <w:sz w:val="36"/>
          <w:szCs w:val="36"/>
        </w:rPr>
      </w:pPr>
    </w:p>
    <w:p w:rsidR="007578CE" w:rsidRPr="00A52B2B" w:rsidRDefault="00500831" w:rsidP="00A52B2B">
      <w:pPr>
        <w:pStyle w:val="Title"/>
        <w:jc w:val="center"/>
        <w:rPr>
          <w:sz w:val="36"/>
          <w:szCs w:val="36"/>
        </w:rPr>
      </w:pPr>
      <w:r>
        <w:rPr>
          <w:sz w:val="36"/>
          <w:szCs w:val="36"/>
        </w:rPr>
        <w:t>United Arab Emirates</w:t>
      </w:r>
      <w:r w:rsidR="007578CE" w:rsidRPr="00A52B2B">
        <w:rPr>
          <w:sz w:val="36"/>
          <w:szCs w:val="36"/>
        </w:rPr>
        <w:t>: A Brief on the Implementation of CEDAW Commitments from Articles 2, 5, 11</w:t>
      </w:r>
      <w:r w:rsidR="00CC63ED">
        <w:rPr>
          <w:sz w:val="36"/>
          <w:szCs w:val="36"/>
        </w:rPr>
        <w:t xml:space="preserve">, </w:t>
      </w:r>
      <w:r w:rsidR="007578CE" w:rsidRPr="00A52B2B">
        <w:rPr>
          <w:sz w:val="36"/>
          <w:szCs w:val="36"/>
        </w:rPr>
        <w:t>and G</w:t>
      </w:r>
      <w:r w:rsidR="00C4687E" w:rsidRPr="00A52B2B">
        <w:rPr>
          <w:sz w:val="36"/>
          <w:szCs w:val="36"/>
        </w:rPr>
        <w:t xml:space="preserve">eneral </w:t>
      </w:r>
      <w:r w:rsidR="007578CE" w:rsidRPr="00A52B2B">
        <w:rPr>
          <w:sz w:val="36"/>
          <w:szCs w:val="36"/>
        </w:rPr>
        <w:t>R</w:t>
      </w:r>
      <w:r w:rsidR="00C4687E" w:rsidRPr="00A52B2B">
        <w:rPr>
          <w:sz w:val="36"/>
          <w:szCs w:val="36"/>
        </w:rPr>
        <w:t>ecommendation</w:t>
      </w:r>
      <w:r w:rsidR="007578CE" w:rsidRPr="00A52B2B">
        <w:rPr>
          <w:sz w:val="36"/>
          <w:szCs w:val="36"/>
        </w:rPr>
        <w:t xml:space="preserve"> 12</w:t>
      </w:r>
    </w:p>
    <w:p w:rsidR="00A52B2B" w:rsidRDefault="00A52B2B" w:rsidP="00A52B2B"/>
    <w:p w:rsidR="00FF10FA" w:rsidRPr="0024558B" w:rsidRDefault="00FF10FA" w:rsidP="00FF10FA">
      <w:pPr>
        <w:keepNext/>
        <w:keepLines/>
        <w:spacing w:before="0" w:after="0"/>
        <w:jc w:val="center"/>
        <w:outlineLvl w:val="0"/>
        <w:rPr>
          <w:rFonts w:asciiTheme="majorHAnsi" w:eastAsiaTheme="majorEastAsia" w:hAnsiTheme="majorHAnsi" w:cstheme="majorBidi"/>
          <w:i/>
          <w:iCs/>
          <w:color w:val="4A66AC" w:themeColor="accent1"/>
          <w:sz w:val="24"/>
          <w:szCs w:val="24"/>
        </w:rPr>
      </w:pPr>
      <w:bookmarkStart w:id="0" w:name="_Toc12626227"/>
      <w:bookmarkStart w:id="1" w:name="_Toc23330163"/>
      <w:bookmarkStart w:id="2" w:name="_Toc58844317"/>
      <w:bookmarkStart w:id="3" w:name="_Toc58852211"/>
      <w:bookmarkStart w:id="4" w:name="_Toc61252203"/>
      <w:bookmarkStart w:id="5" w:name="_Toc61600027"/>
      <w:bookmarkStart w:id="6" w:name="_Toc61600053"/>
      <w:bookmarkStart w:id="7" w:name="_Toc61600072"/>
      <w:r w:rsidRPr="0024558B">
        <w:rPr>
          <w:rFonts w:asciiTheme="majorHAnsi" w:eastAsiaTheme="majorEastAsia" w:hAnsiTheme="majorHAnsi" w:cstheme="majorBidi"/>
          <w:i/>
          <w:iCs/>
          <w:color w:val="4A66AC" w:themeColor="accent1"/>
          <w:sz w:val="24"/>
          <w:szCs w:val="24"/>
        </w:rPr>
        <w:t xml:space="preserve">Information for the Committee on </w:t>
      </w:r>
      <w:bookmarkEnd w:id="0"/>
      <w:bookmarkEnd w:id="1"/>
      <w:r>
        <w:rPr>
          <w:rFonts w:asciiTheme="majorHAnsi" w:eastAsiaTheme="majorEastAsia" w:hAnsiTheme="majorHAnsi" w:cstheme="majorBidi"/>
          <w:i/>
          <w:iCs/>
          <w:color w:val="4A66AC" w:themeColor="accent1"/>
          <w:sz w:val="24"/>
          <w:szCs w:val="24"/>
        </w:rPr>
        <w:t xml:space="preserve">the Elimination of Discrimination </w:t>
      </w:r>
      <w:proofErr w:type="gramStart"/>
      <w:r>
        <w:rPr>
          <w:rFonts w:asciiTheme="majorHAnsi" w:eastAsiaTheme="majorEastAsia" w:hAnsiTheme="majorHAnsi" w:cstheme="majorBidi"/>
          <w:i/>
          <w:iCs/>
          <w:color w:val="4A66AC" w:themeColor="accent1"/>
          <w:sz w:val="24"/>
          <w:szCs w:val="24"/>
        </w:rPr>
        <w:t>Against</w:t>
      </w:r>
      <w:proofErr w:type="gramEnd"/>
      <w:r>
        <w:rPr>
          <w:rFonts w:asciiTheme="majorHAnsi" w:eastAsiaTheme="majorEastAsia" w:hAnsiTheme="majorHAnsi" w:cstheme="majorBidi"/>
          <w:i/>
          <w:iCs/>
          <w:color w:val="4A66AC" w:themeColor="accent1"/>
          <w:sz w:val="24"/>
          <w:szCs w:val="24"/>
        </w:rPr>
        <w:t xml:space="preserve"> Women</w:t>
      </w:r>
      <w:bookmarkEnd w:id="2"/>
      <w:bookmarkEnd w:id="3"/>
      <w:bookmarkEnd w:id="4"/>
      <w:bookmarkEnd w:id="5"/>
      <w:bookmarkEnd w:id="6"/>
      <w:bookmarkEnd w:id="7"/>
    </w:p>
    <w:p w:rsidR="00FF10FA" w:rsidRPr="0024558B" w:rsidRDefault="00500831" w:rsidP="00FF10FA">
      <w:pPr>
        <w:keepNext/>
        <w:keepLines/>
        <w:spacing w:before="0" w:after="0"/>
        <w:jc w:val="center"/>
        <w:outlineLvl w:val="0"/>
        <w:rPr>
          <w:rFonts w:asciiTheme="majorHAnsi" w:eastAsiaTheme="majorEastAsia" w:hAnsiTheme="majorHAnsi" w:cstheme="majorBidi"/>
          <w:i/>
          <w:iCs/>
          <w:color w:val="4A66AC" w:themeColor="accent1"/>
          <w:sz w:val="24"/>
          <w:szCs w:val="24"/>
        </w:rPr>
      </w:pPr>
      <w:bookmarkStart w:id="8" w:name="_Toc12626228"/>
      <w:bookmarkStart w:id="9" w:name="_Toc23330164"/>
      <w:bookmarkStart w:id="10" w:name="_Toc58844318"/>
      <w:bookmarkStart w:id="11" w:name="_Toc58852212"/>
      <w:bookmarkStart w:id="12" w:name="_Toc61252204"/>
      <w:bookmarkStart w:id="13" w:name="_Toc61600028"/>
      <w:bookmarkStart w:id="14" w:name="_Toc61600054"/>
      <w:bookmarkStart w:id="15" w:name="_Toc61600073"/>
      <w:r w:rsidRPr="006E7C18">
        <w:rPr>
          <w:rFonts w:asciiTheme="majorHAnsi" w:eastAsiaTheme="majorEastAsia" w:hAnsiTheme="majorHAnsi" w:cstheme="majorBidi"/>
          <w:i/>
          <w:iCs/>
          <w:color w:val="4A66AC" w:themeColor="accent1"/>
          <w:sz w:val="24"/>
          <w:szCs w:val="24"/>
        </w:rPr>
        <w:t>80</w:t>
      </w:r>
      <w:r w:rsidR="00FF10FA" w:rsidRPr="006E7C18">
        <w:rPr>
          <w:rFonts w:asciiTheme="majorHAnsi" w:eastAsiaTheme="majorEastAsia" w:hAnsiTheme="majorHAnsi" w:cstheme="majorBidi"/>
          <w:i/>
          <w:iCs/>
          <w:color w:val="4A66AC" w:themeColor="accent1"/>
          <w:sz w:val="24"/>
          <w:szCs w:val="24"/>
          <w:vertAlign w:val="superscript"/>
        </w:rPr>
        <w:t>th</w:t>
      </w:r>
      <w:r w:rsidR="00FF10FA" w:rsidRPr="0024558B">
        <w:rPr>
          <w:rFonts w:asciiTheme="majorHAnsi" w:eastAsiaTheme="majorEastAsia" w:hAnsiTheme="majorHAnsi" w:cstheme="majorBidi"/>
          <w:i/>
          <w:iCs/>
          <w:color w:val="4A66AC" w:themeColor="accent1"/>
          <w:sz w:val="24"/>
          <w:szCs w:val="24"/>
        </w:rPr>
        <w:t xml:space="preserve"> Pre-Session Working Group, </w:t>
      </w:r>
      <w:bookmarkEnd w:id="8"/>
      <w:bookmarkEnd w:id="9"/>
      <w:r w:rsidR="00FD2641">
        <w:rPr>
          <w:rFonts w:asciiTheme="majorHAnsi" w:eastAsiaTheme="majorEastAsia" w:hAnsiTheme="majorHAnsi" w:cstheme="majorBidi"/>
          <w:i/>
          <w:iCs/>
          <w:color w:val="4A66AC" w:themeColor="accent1"/>
          <w:sz w:val="24"/>
          <w:szCs w:val="24"/>
        </w:rPr>
        <w:t>March</w:t>
      </w:r>
      <w:r>
        <w:rPr>
          <w:rFonts w:asciiTheme="majorHAnsi" w:eastAsiaTheme="majorEastAsia" w:hAnsiTheme="majorHAnsi" w:cstheme="majorBidi"/>
          <w:i/>
          <w:iCs/>
          <w:color w:val="4A66AC" w:themeColor="accent1"/>
          <w:sz w:val="24"/>
          <w:szCs w:val="24"/>
        </w:rPr>
        <w:t xml:space="preserve"> 2021</w:t>
      </w:r>
      <w:bookmarkEnd w:id="10"/>
      <w:bookmarkEnd w:id="11"/>
      <w:bookmarkEnd w:id="12"/>
      <w:bookmarkEnd w:id="13"/>
      <w:bookmarkEnd w:id="14"/>
      <w:bookmarkEnd w:id="15"/>
    </w:p>
    <w:p w:rsidR="00CF442E" w:rsidRDefault="00CF442E" w:rsidP="00CF442E"/>
    <w:p w:rsidR="00A52B2B" w:rsidRDefault="00A52B2B" w:rsidP="00CF442E"/>
    <w:p w:rsidR="00A52B2B" w:rsidRDefault="00A52B2B" w:rsidP="00CF442E"/>
    <w:p w:rsidR="00A52B2B" w:rsidRDefault="00A52B2B" w:rsidP="00CF442E"/>
    <w:p w:rsidR="00A52B2B" w:rsidRDefault="00A52B2B" w:rsidP="00CF442E"/>
    <w:p w:rsidR="00A52B2B" w:rsidRDefault="00A52B2B" w:rsidP="00CF442E"/>
    <w:p w:rsidR="00A52B2B" w:rsidRDefault="00A52B2B" w:rsidP="00CF442E"/>
    <w:p w:rsidR="00A52B2B" w:rsidRDefault="00A52B2B" w:rsidP="00CF442E"/>
    <w:p w:rsidR="00A52B2B" w:rsidRDefault="00A52B2B" w:rsidP="00CF442E"/>
    <w:p w:rsidR="00A52B2B" w:rsidRDefault="00A52B2B" w:rsidP="00CF442E"/>
    <w:p w:rsidR="00A52B2B" w:rsidRDefault="00A52B2B" w:rsidP="00CF442E"/>
    <w:p w:rsidR="00A52B2B" w:rsidRDefault="00A52B2B" w:rsidP="00CF442E"/>
    <w:p w:rsidR="00FF10FA" w:rsidRDefault="00FF10FA" w:rsidP="00CF442E"/>
    <w:p w:rsidR="00FF10FA" w:rsidRDefault="00FF10FA" w:rsidP="00CF442E"/>
    <w:p w:rsidR="00FF10FA" w:rsidRPr="0024558B" w:rsidRDefault="00FF10FA" w:rsidP="00FF10FA">
      <w:pPr>
        <w:keepNext/>
        <w:keepLines/>
        <w:spacing w:before="0" w:after="40" w:line="360" w:lineRule="auto"/>
        <w:jc w:val="center"/>
        <w:outlineLvl w:val="0"/>
        <w:rPr>
          <w:rFonts w:asciiTheme="majorHAnsi" w:eastAsiaTheme="majorEastAsia" w:hAnsiTheme="majorHAnsi" w:cstheme="majorBidi"/>
          <w:b/>
          <w:iCs/>
          <w:color w:val="4A66AC" w:themeColor="accent1"/>
          <w:sz w:val="24"/>
          <w:szCs w:val="24"/>
        </w:rPr>
      </w:pPr>
      <w:bookmarkStart w:id="16" w:name="_Toc53065025"/>
      <w:bookmarkStart w:id="17" w:name="_Toc53065047"/>
      <w:bookmarkStart w:id="18" w:name="_Toc53065076"/>
      <w:bookmarkStart w:id="19" w:name="_Toc53066332"/>
      <w:bookmarkStart w:id="20" w:name="_Toc53066387"/>
      <w:bookmarkStart w:id="21" w:name="_Toc58844319"/>
      <w:bookmarkStart w:id="22" w:name="_Toc58852213"/>
      <w:bookmarkStart w:id="23" w:name="_Toc61252205"/>
      <w:bookmarkStart w:id="24" w:name="_Toc61600029"/>
      <w:bookmarkStart w:id="25" w:name="_Toc61600055"/>
      <w:bookmarkStart w:id="26" w:name="_Toc61600074"/>
      <w:r w:rsidRPr="0024558B">
        <w:rPr>
          <w:rFonts w:asciiTheme="majorHAnsi" w:eastAsiaTheme="majorEastAsia" w:hAnsiTheme="majorHAnsi" w:cstheme="majorBidi"/>
          <w:b/>
          <w:iCs/>
          <w:color w:val="4A66AC" w:themeColor="accent1"/>
          <w:sz w:val="24"/>
          <w:szCs w:val="24"/>
        </w:rPr>
        <w:t>Submitted By</w:t>
      </w:r>
      <w:bookmarkEnd w:id="16"/>
      <w:bookmarkEnd w:id="17"/>
      <w:bookmarkEnd w:id="18"/>
      <w:bookmarkEnd w:id="19"/>
      <w:bookmarkEnd w:id="20"/>
      <w:bookmarkEnd w:id="21"/>
      <w:bookmarkEnd w:id="22"/>
      <w:bookmarkEnd w:id="23"/>
      <w:bookmarkEnd w:id="24"/>
      <w:bookmarkEnd w:id="25"/>
      <w:bookmarkEnd w:id="26"/>
    </w:p>
    <w:p w:rsidR="00FF10FA" w:rsidRPr="0024558B" w:rsidRDefault="00FF10FA" w:rsidP="00FF10FA">
      <w:pPr>
        <w:keepNext/>
        <w:keepLines/>
        <w:spacing w:before="0" w:after="40" w:line="360" w:lineRule="auto"/>
        <w:jc w:val="center"/>
        <w:outlineLvl w:val="0"/>
        <w:rPr>
          <w:rFonts w:asciiTheme="majorHAnsi" w:eastAsiaTheme="majorEastAsia" w:hAnsiTheme="majorHAnsi" w:cstheme="majorBidi"/>
          <w:iCs/>
          <w:color w:val="4A66AC" w:themeColor="accent1"/>
          <w:sz w:val="24"/>
          <w:szCs w:val="24"/>
        </w:rPr>
      </w:pPr>
      <w:bookmarkStart w:id="27" w:name="_Toc53065026"/>
      <w:bookmarkStart w:id="28" w:name="_Toc53065048"/>
      <w:bookmarkStart w:id="29" w:name="_Toc53065077"/>
      <w:bookmarkStart w:id="30" w:name="_Toc53066333"/>
      <w:bookmarkStart w:id="31" w:name="_Toc53066388"/>
      <w:bookmarkStart w:id="32" w:name="_Toc58844320"/>
      <w:bookmarkStart w:id="33" w:name="_Toc58852214"/>
      <w:bookmarkStart w:id="34" w:name="_Toc61252206"/>
      <w:bookmarkStart w:id="35" w:name="_Toc61600030"/>
      <w:bookmarkStart w:id="36" w:name="_Toc61600056"/>
      <w:bookmarkStart w:id="37" w:name="_Toc61600075"/>
      <w:r w:rsidRPr="0024558B">
        <w:rPr>
          <w:rFonts w:asciiTheme="majorHAnsi" w:eastAsiaTheme="majorEastAsia" w:hAnsiTheme="majorHAnsi" w:cstheme="majorBidi"/>
          <w:iCs/>
          <w:color w:val="4A66AC" w:themeColor="accent1"/>
          <w:sz w:val="24"/>
          <w:szCs w:val="24"/>
        </w:rPr>
        <w:t>The WORLD Policy Analysis Center</w:t>
      </w:r>
      <w:bookmarkEnd w:id="27"/>
      <w:bookmarkEnd w:id="28"/>
      <w:bookmarkEnd w:id="29"/>
      <w:bookmarkEnd w:id="30"/>
      <w:bookmarkEnd w:id="31"/>
      <w:bookmarkEnd w:id="32"/>
      <w:bookmarkEnd w:id="33"/>
      <w:bookmarkEnd w:id="34"/>
      <w:bookmarkEnd w:id="35"/>
      <w:bookmarkEnd w:id="36"/>
      <w:bookmarkEnd w:id="37"/>
    </w:p>
    <w:p w:rsidR="00FF10FA" w:rsidRPr="0024558B" w:rsidRDefault="00FF10FA" w:rsidP="00FF10FA">
      <w:pPr>
        <w:keepNext/>
        <w:keepLines/>
        <w:spacing w:before="0" w:after="40" w:line="360" w:lineRule="auto"/>
        <w:jc w:val="center"/>
        <w:outlineLvl w:val="0"/>
        <w:rPr>
          <w:rFonts w:asciiTheme="majorHAnsi" w:eastAsiaTheme="majorEastAsia" w:hAnsiTheme="majorHAnsi" w:cstheme="majorBidi"/>
          <w:iCs/>
          <w:color w:val="4A66AC" w:themeColor="accent1"/>
          <w:sz w:val="24"/>
          <w:szCs w:val="24"/>
        </w:rPr>
      </w:pPr>
      <w:bookmarkStart w:id="38" w:name="_Toc53065027"/>
      <w:bookmarkStart w:id="39" w:name="_Toc53065049"/>
      <w:bookmarkStart w:id="40" w:name="_Toc53065078"/>
      <w:bookmarkStart w:id="41" w:name="_Toc53066334"/>
      <w:bookmarkStart w:id="42" w:name="_Toc53066389"/>
      <w:bookmarkStart w:id="43" w:name="_Toc58844321"/>
      <w:bookmarkStart w:id="44" w:name="_Toc58852215"/>
      <w:bookmarkStart w:id="45" w:name="_Toc61252207"/>
      <w:bookmarkStart w:id="46" w:name="_Toc61600031"/>
      <w:bookmarkStart w:id="47" w:name="_Toc61600057"/>
      <w:bookmarkStart w:id="48" w:name="_Toc61600076"/>
      <w:r w:rsidRPr="0024558B">
        <w:rPr>
          <w:rFonts w:asciiTheme="majorHAnsi" w:eastAsiaTheme="majorEastAsia" w:hAnsiTheme="majorHAnsi" w:cstheme="majorBidi"/>
          <w:iCs/>
          <w:color w:val="4A66AC" w:themeColor="accent1"/>
          <w:sz w:val="24"/>
          <w:szCs w:val="24"/>
        </w:rPr>
        <w:t>University of California, Los Angeles</w:t>
      </w:r>
      <w:bookmarkEnd w:id="38"/>
      <w:bookmarkEnd w:id="39"/>
      <w:bookmarkEnd w:id="40"/>
      <w:bookmarkEnd w:id="41"/>
      <w:bookmarkEnd w:id="42"/>
      <w:bookmarkEnd w:id="43"/>
      <w:bookmarkEnd w:id="44"/>
      <w:bookmarkEnd w:id="45"/>
      <w:bookmarkEnd w:id="46"/>
      <w:bookmarkEnd w:id="47"/>
      <w:bookmarkEnd w:id="48"/>
      <w:r w:rsidRPr="0024558B">
        <w:rPr>
          <w:rFonts w:asciiTheme="majorHAnsi" w:eastAsiaTheme="majorEastAsia" w:hAnsiTheme="majorHAnsi" w:cstheme="majorBidi"/>
          <w:iCs/>
          <w:color w:val="4A66AC" w:themeColor="accent1"/>
          <w:sz w:val="24"/>
          <w:szCs w:val="24"/>
        </w:rPr>
        <w:t xml:space="preserve"> </w:t>
      </w:r>
    </w:p>
    <w:p w:rsidR="00A52B2B" w:rsidRDefault="00A52B2B" w:rsidP="00CF442E"/>
    <w:sdt>
      <w:sdtPr>
        <w:rPr>
          <w:caps w:val="0"/>
          <w:color w:val="auto"/>
          <w:spacing w:val="0"/>
          <w:sz w:val="20"/>
          <w:szCs w:val="20"/>
        </w:rPr>
        <w:id w:val="914283257"/>
        <w:docPartObj>
          <w:docPartGallery w:val="Table of Contents"/>
          <w:docPartUnique/>
        </w:docPartObj>
      </w:sdtPr>
      <w:sdtEndPr>
        <w:rPr>
          <w:b/>
          <w:bCs/>
          <w:noProof/>
        </w:rPr>
      </w:sdtEndPr>
      <w:sdtContent>
        <w:p w:rsidR="00E6045A" w:rsidRPr="007B7DA1" w:rsidRDefault="00E6045A">
          <w:pPr>
            <w:pStyle w:val="TOCHeading"/>
            <w:rPr>
              <w:caps w:val="0"/>
              <w:color w:val="auto"/>
              <w:spacing w:val="0"/>
              <w:sz w:val="20"/>
              <w:szCs w:val="20"/>
            </w:rPr>
          </w:pPr>
          <w:r w:rsidRPr="00B952D3">
            <w:rPr>
              <w:b/>
              <w:bCs/>
            </w:rPr>
            <w:t>Contents</w:t>
          </w:r>
        </w:p>
        <w:p w:rsidR="007B7DA1" w:rsidRDefault="007B7DA1">
          <w:pPr>
            <w:pStyle w:val="TOC1"/>
            <w:tabs>
              <w:tab w:val="right" w:leader="dot" w:pos="9350"/>
            </w:tabs>
            <w:rPr>
              <w:rFonts w:ascii="Calibri" w:hAnsi="Calibri" w:cs="Calibri"/>
              <w:sz w:val="22"/>
              <w:szCs w:val="22"/>
            </w:rPr>
          </w:pPr>
        </w:p>
        <w:p w:rsidR="009B5ADC" w:rsidRDefault="00E6045A">
          <w:pPr>
            <w:pStyle w:val="TOC1"/>
            <w:tabs>
              <w:tab w:val="right" w:leader="dot" w:pos="9350"/>
            </w:tabs>
            <w:rPr>
              <w:noProof/>
              <w:sz w:val="22"/>
              <w:szCs w:val="22"/>
            </w:rPr>
          </w:pPr>
          <w:r w:rsidRPr="005B1636">
            <w:rPr>
              <w:rFonts w:ascii="Calibri" w:hAnsi="Calibri" w:cs="Calibri"/>
              <w:sz w:val="22"/>
              <w:szCs w:val="22"/>
            </w:rPr>
            <w:fldChar w:fldCharType="begin"/>
          </w:r>
          <w:r w:rsidRPr="005B1636">
            <w:rPr>
              <w:rFonts w:ascii="Calibri" w:hAnsi="Calibri" w:cs="Calibri"/>
              <w:sz w:val="22"/>
              <w:szCs w:val="22"/>
            </w:rPr>
            <w:instrText xml:space="preserve"> TOC \o "1-3" \h \z \u </w:instrText>
          </w:r>
          <w:r w:rsidRPr="005B1636">
            <w:rPr>
              <w:rFonts w:ascii="Calibri" w:hAnsi="Calibri" w:cs="Calibri"/>
              <w:sz w:val="22"/>
              <w:szCs w:val="22"/>
            </w:rPr>
            <w:fldChar w:fldCharType="separate"/>
          </w:r>
          <w:hyperlink w:anchor="_Toc61600077" w:history="1">
            <w:r w:rsidR="009B5ADC" w:rsidRPr="00E72302">
              <w:rPr>
                <w:rStyle w:val="Hyperlink"/>
                <w:b/>
                <w:bCs/>
                <w:noProof/>
              </w:rPr>
              <w:t>Introduction</w:t>
            </w:r>
            <w:r w:rsidR="009B5ADC">
              <w:rPr>
                <w:noProof/>
                <w:webHidden/>
              </w:rPr>
              <w:tab/>
            </w:r>
            <w:r w:rsidR="009B5ADC">
              <w:rPr>
                <w:noProof/>
                <w:webHidden/>
              </w:rPr>
              <w:fldChar w:fldCharType="begin"/>
            </w:r>
            <w:r w:rsidR="009B5ADC">
              <w:rPr>
                <w:noProof/>
                <w:webHidden/>
              </w:rPr>
              <w:instrText xml:space="preserve"> PAGEREF _Toc61600077 \h </w:instrText>
            </w:r>
            <w:r w:rsidR="009B5ADC">
              <w:rPr>
                <w:noProof/>
                <w:webHidden/>
              </w:rPr>
            </w:r>
            <w:r w:rsidR="009B5ADC">
              <w:rPr>
                <w:noProof/>
                <w:webHidden/>
              </w:rPr>
              <w:fldChar w:fldCharType="separate"/>
            </w:r>
            <w:r w:rsidR="009B5ADC">
              <w:rPr>
                <w:noProof/>
                <w:webHidden/>
              </w:rPr>
              <w:t>2</w:t>
            </w:r>
            <w:r w:rsidR="009B5ADC">
              <w:rPr>
                <w:noProof/>
                <w:webHidden/>
              </w:rPr>
              <w:fldChar w:fldCharType="end"/>
            </w:r>
          </w:hyperlink>
        </w:p>
        <w:p w:rsidR="007B7DA1" w:rsidRDefault="007B7DA1">
          <w:pPr>
            <w:pStyle w:val="TOC1"/>
            <w:tabs>
              <w:tab w:val="right" w:leader="dot" w:pos="9350"/>
            </w:tabs>
            <w:rPr>
              <w:rStyle w:val="Hyperlink"/>
              <w:rFonts w:eastAsia="Times New Roman"/>
              <w:b/>
              <w:bCs/>
              <w:noProof/>
            </w:rPr>
          </w:pPr>
        </w:p>
        <w:p w:rsidR="009B5ADC" w:rsidRDefault="00951B25">
          <w:pPr>
            <w:pStyle w:val="TOC1"/>
            <w:tabs>
              <w:tab w:val="right" w:leader="dot" w:pos="9350"/>
            </w:tabs>
            <w:rPr>
              <w:noProof/>
              <w:sz w:val="22"/>
              <w:szCs w:val="22"/>
            </w:rPr>
          </w:pPr>
          <w:hyperlink w:anchor="_Toc61600078" w:history="1">
            <w:r w:rsidR="009B5ADC" w:rsidRPr="00E72302">
              <w:rPr>
                <w:rStyle w:val="Hyperlink"/>
                <w:rFonts w:eastAsia="Times New Roman"/>
                <w:b/>
                <w:bCs/>
                <w:noProof/>
              </w:rPr>
              <w:t>Summary of Findings and Recommendations</w:t>
            </w:r>
            <w:r w:rsidR="009B5ADC">
              <w:rPr>
                <w:noProof/>
                <w:webHidden/>
              </w:rPr>
              <w:tab/>
            </w:r>
            <w:r w:rsidR="009B5ADC">
              <w:rPr>
                <w:noProof/>
                <w:webHidden/>
              </w:rPr>
              <w:fldChar w:fldCharType="begin"/>
            </w:r>
            <w:r w:rsidR="009B5ADC">
              <w:rPr>
                <w:noProof/>
                <w:webHidden/>
              </w:rPr>
              <w:instrText xml:space="preserve"> PAGEREF _Toc61600078 \h </w:instrText>
            </w:r>
            <w:r w:rsidR="009B5ADC">
              <w:rPr>
                <w:noProof/>
                <w:webHidden/>
              </w:rPr>
            </w:r>
            <w:r w:rsidR="009B5ADC">
              <w:rPr>
                <w:noProof/>
                <w:webHidden/>
              </w:rPr>
              <w:fldChar w:fldCharType="separate"/>
            </w:r>
            <w:r w:rsidR="009B5ADC">
              <w:rPr>
                <w:noProof/>
                <w:webHidden/>
              </w:rPr>
              <w:t>3</w:t>
            </w:r>
            <w:r w:rsidR="009B5ADC">
              <w:rPr>
                <w:noProof/>
                <w:webHidden/>
              </w:rPr>
              <w:fldChar w:fldCharType="end"/>
            </w:r>
          </w:hyperlink>
        </w:p>
        <w:p w:rsidR="009B5ADC" w:rsidRPr="009B5ADC" w:rsidRDefault="00951B25">
          <w:pPr>
            <w:pStyle w:val="TOC2"/>
            <w:tabs>
              <w:tab w:val="left" w:pos="660"/>
              <w:tab w:val="right" w:leader="dot" w:pos="9350"/>
            </w:tabs>
            <w:rPr>
              <w:noProof/>
              <w:sz w:val="22"/>
              <w:szCs w:val="22"/>
            </w:rPr>
          </w:pPr>
          <w:hyperlink w:anchor="_Toc61600079" w:history="1">
            <w:r w:rsidR="009B5ADC" w:rsidRPr="009B5ADC">
              <w:rPr>
                <w:rStyle w:val="Hyperlink"/>
                <w:rFonts w:ascii="Calibri Light" w:eastAsia="Times New Roman" w:hAnsi="Calibri Light" w:cs="Times New Roman"/>
                <w:noProof/>
              </w:rPr>
              <w:t>1.</w:t>
            </w:r>
            <w:r w:rsidR="009B5ADC" w:rsidRPr="009B5ADC">
              <w:rPr>
                <w:noProof/>
                <w:sz w:val="22"/>
                <w:szCs w:val="22"/>
              </w:rPr>
              <w:tab/>
            </w:r>
            <w:r w:rsidR="009B5ADC" w:rsidRPr="009B5ADC">
              <w:rPr>
                <w:rStyle w:val="Hyperlink"/>
                <w:rFonts w:ascii="Calibri Light" w:eastAsia="Times New Roman" w:hAnsi="Calibri Light" w:cs="Times New Roman"/>
                <w:noProof/>
              </w:rPr>
              <w:t>General Equality and Non-Discrimination (Article 2)</w:t>
            </w:r>
            <w:r w:rsidR="009B5ADC" w:rsidRPr="009B5ADC">
              <w:rPr>
                <w:noProof/>
                <w:webHidden/>
              </w:rPr>
              <w:tab/>
            </w:r>
            <w:r w:rsidR="009B5ADC" w:rsidRPr="009B5ADC">
              <w:rPr>
                <w:noProof/>
                <w:webHidden/>
              </w:rPr>
              <w:fldChar w:fldCharType="begin"/>
            </w:r>
            <w:r w:rsidR="009B5ADC" w:rsidRPr="009B5ADC">
              <w:rPr>
                <w:noProof/>
                <w:webHidden/>
              </w:rPr>
              <w:instrText xml:space="preserve"> PAGEREF _Toc61600079 \h </w:instrText>
            </w:r>
            <w:r w:rsidR="009B5ADC" w:rsidRPr="009B5ADC">
              <w:rPr>
                <w:noProof/>
                <w:webHidden/>
              </w:rPr>
            </w:r>
            <w:r w:rsidR="009B5ADC" w:rsidRPr="009B5ADC">
              <w:rPr>
                <w:noProof/>
                <w:webHidden/>
              </w:rPr>
              <w:fldChar w:fldCharType="separate"/>
            </w:r>
            <w:r w:rsidR="009B5ADC" w:rsidRPr="009B5ADC">
              <w:rPr>
                <w:noProof/>
                <w:webHidden/>
              </w:rPr>
              <w:t>3</w:t>
            </w:r>
            <w:r w:rsidR="009B5ADC" w:rsidRPr="009B5ADC">
              <w:rPr>
                <w:noProof/>
                <w:webHidden/>
              </w:rPr>
              <w:fldChar w:fldCharType="end"/>
            </w:r>
          </w:hyperlink>
        </w:p>
        <w:p w:rsidR="009B5ADC" w:rsidRPr="009B5ADC" w:rsidRDefault="00951B25">
          <w:pPr>
            <w:pStyle w:val="TOC2"/>
            <w:tabs>
              <w:tab w:val="left" w:pos="660"/>
              <w:tab w:val="right" w:leader="dot" w:pos="9350"/>
            </w:tabs>
            <w:rPr>
              <w:noProof/>
              <w:sz w:val="22"/>
              <w:szCs w:val="22"/>
            </w:rPr>
          </w:pPr>
          <w:hyperlink w:anchor="_Toc61600080" w:history="1">
            <w:r w:rsidR="009B5ADC" w:rsidRPr="009B5ADC">
              <w:rPr>
                <w:rStyle w:val="Hyperlink"/>
                <w:rFonts w:ascii="Calibri Light" w:eastAsia="Times New Roman" w:hAnsi="Calibri Light" w:cs="Times New Roman"/>
                <w:noProof/>
              </w:rPr>
              <w:t>2.</w:t>
            </w:r>
            <w:r w:rsidR="009B5ADC" w:rsidRPr="009B5ADC">
              <w:rPr>
                <w:noProof/>
                <w:sz w:val="22"/>
                <w:szCs w:val="22"/>
              </w:rPr>
              <w:tab/>
            </w:r>
            <w:r w:rsidR="009B5ADC" w:rsidRPr="009B5ADC">
              <w:rPr>
                <w:rStyle w:val="Hyperlink"/>
                <w:rFonts w:ascii="Calibri Light" w:eastAsia="Times New Roman" w:hAnsi="Calibri Light" w:cs="Times New Roman"/>
                <w:noProof/>
              </w:rPr>
              <w:t>Non-Discrimination in Work and Employment (Article 11)</w:t>
            </w:r>
            <w:r w:rsidR="009B5ADC" w:rsidRPr="009B5ADC">
              <w:rPr>
                <w:noProof/>
                <w:webHidden/>
              </w:rPr>
              <w:tab/>
            </w:r>
            <w:r w:rsidR="009B5ADC" w:rsidRPr="009B5ADC">
              <w:rPr>
                <w:noProof/>
                <w:webHidden/>
              </w:rPr>
              <w:fldChar w:fldCharType="begin"/>
            </w:r>
            <w:r w:rsidR="009B5ADC" w:rsidRPr="009B5ADC">
              <w:rPr>
                <w:noProof/>
                <w:webHidden/>
              </w:rPr>
              <w:instrText xml:space="preserve"> PAGEREF _Toc61600080 \h </w:instrText>
            </w:r>
            <w:r w:rsidR="009B5ADC" w:rsidRPr="009B5ADC">
              <w:rPr>
                <w:noProof/>
                <w:webHidden/>
              </w:rPr>
            </w:r>
            <w:r w:rsidR="009B5ADC" w:rsidRPr="009B5ADC">
              <w:rPr>
                <w:noProof/>
                <w:webHidden/>
              </w:rPr>
              <w:fldChar w:fldCharType="separate"/>
            </w:r>
            <w:r w:rsidR="009B5ADC" w:rsidRPr="009B5ADC">
              <w:rPr>
                <w:noProof/>
                <w:webHidden/>
              </w:rPr>
              <w:t>3</w:t>
            </w:r>
            <w:r w:rsidR="009B5ADC" w:rsidRPr="009B5ADC">
              <w:rPr>
                <w:noProof/>
                <w:webHidden/>
              </w:rPr>
              <w:fldChar w:fldCharType="end"/>
            </w:r>
          </w:hyperlink>
        </w:p>
        <w:p w:rsidR="009B5ADC" w:rsidRPr="009B5ADC" w:rsidRDefault="00951B25">
          <w:pPr>
            <w:pStyle w:val="TOC2"/>
            <w:tabs>
              <w:tab w:val="left" w:pos="660"/>
              <w:tab w:val="right" w:leader="dot" w:pos="9350"/>
            </w:tabs>
            <w:rPr>
              <w:noProof/>
              <w:sz w:val="22"/>
              <w:szCs w:val="22"/>
            </w:rPr>
          </w:pPr>
          <w:hyperlink w:anchor="_Toc61600081" w:history="1">
            <w:r w:rsidR="009B5ADC" w:rsidRPr="009B5ADC">
              <w:rPr>
                <w:rStyle w:val="Hyperlink"/>
                <w:rFonts w:ascii="Calibri Light" w:eastAsia="Times New Roman" w:hAnsi="Calibri Light" w:cs="Times New Roman"/>
                <w:noProof/>
              </w:rPr>
              <w:t>3.</w:t>
            </w:r>
            <w:r w:rsidR="009B5ADC" w:rsidRPr="009B5ADC">
              <w:rPr>
                <w:noProof/>
                <w:sz w:val="22"/>
                <w:szCs w:val="22"/>
              </w:rPr>
              <w:tab/>
            </w:r>
            <w:r w:rsidR="009B5ADC" w:rsidRPr="009B5ADC">
              <w:rPr>
                <w:rStyle w:val="Hyperlink"/>
                <w:rFonts w:ascii="Calibri Light" w:eastAsia="Times New Roman" w:hAnsi="Calibri Light" w:cs="Times New Roman"/>
                <w:noProof/>
              </w:rPr>
              <w:t>Sexual Harassment in Work and Employment (General Recommendation No. 12)</w:t>
            </w:r>
            <w:r w:rsidR="009B5ADC" w:rsidRPr="009B5ADC">
              <w:rPr>
                <w:noProof/>
                <w:webHidden/>
              </w:rPr>
              <w:tab/>
            </w:r>
            <w:r w:rsidR="009B5ADC" w:rsidRPr="009B5ADC">
              <w:rPr>
                <w:noProof/>
                <w:webHidden/>
              </w:rPr>
              <w:fldChar w:fldCharType="begin"/>
            </w:r>
            <w:r w:rsidR="009B5ADC" w:rsidRPr="009B5ADC">
              <w:rPr>
                <w:noProof/>
                <w:webHidden/>
              </w:rPr>
              <w:instrText xml:space="preserve"> PAGEREF _Toc61600081 \h </w:instrText>
            </w:r>
            <w:r w:rsidR="009B5ADC" w:rsidRPr="009B5ADC">
              <w:rPr>
                <w:noProof/>
                <w:webHidden/>
              </w:rPr>
            </w:r>
            <w:r w:rsidR="009B5ADC" w:rsidRPr="009B5ADC">
              <w:rPr>
                <w:noProof/>
                <w:webHidden/>
              </w:rPr>
              <w:fldChar w:fldCharType="separate"/>
            </w:r>
            <w:r w:rsidR="009B5ADC" w:rsidRPr="009B5ADC">
              <w:rPr>
                <w:noProof/>
                <w:webHidden/>
              </w:rPr>
              <w:t>3</w:t>
            </w:r>
            <w:r w:rsidR="009B5ADC" w:rsidRPr="009B5ADC">
              <w:rPr>
                <w:noProof/>
                <w:webHidden/>
              </w:rPr>
              <w:fldChar w:fldCharType="end"/>
            </w:r>
          </w:hyperlink>
        </w:p>
        <w:p w:rsidR="009B5ADC" w:rsidRDefault="00951B25">
          <w:pPr>
            <w:pStyle w:val="TOC2"/>
            <w:tabs>
              <w:tab w:val="left" w:pos="660"/>
              <w:tab w:val="right" w:leader="dot" w:pos="9350"/>
            </w:tabs>
            <w:rPr>
              <w:noProof/>
              <w:sz w:val="22"/>
              <w:szCs w:val="22"/>
            </w:rPr>
          </w:pPr>
          <w:hyperlink w:anchor="_Toc61600082" w:history="1">
            <w:r w:rsidR="009B5ADC" w:rsidRPr="009B5ADC">
              <w:rPr>
                <w:rStyle w:val="Hyperlink"/>
                <w:rFonts w:ascii="Calibri Light" w:eastAsia="Times New Roman" w:hAnsi="Calibri Light" w:cs="Times New Roman"/>
                <w:noProof/>
              </w:rPr>
              <w:t>4.</w:t>
            </w:r>
            <w:r w:rsidR="009B5ADC" w:rsidRPr="009B5ADC">
              <w:rPr>
                <w:noProof/>
                <w:sz w:val="22"/>
                <w:szCs w:val="22"/>
              </w:rPr>
              <w:tab/>
            </w:r>
            <w:r w:rsidR="009B5ADC" w:rsidRPr="009B5ADC">
              <w:rPr>
                <w:rStyle w:val="Hyperlink"/>
                <w:rFonts w:ascii="Calibri Light" w:eastAsia="Times New Roman" w:hAnsi="Calibri Light" w:cs="Times New Roman"/>
                <w:noProof/>
              </w:rPr>
              <w:t>Paid Maternity and Paternity Leave (Articles 11, 5)</w:t>
            </w:r>
            <w:r w:rsidR="009B5ADC" w:rsidRPr="009B5ADC">
              <w:rPr>
                <w:noProof/>
                <w:webHidden/>
              </w:rPr>
              <w:tab/>
            </w:r>
            <w:r w:rsidR="009B5ADC" w:rsidRPr="009B5ADC">
              <w:rPr>
                <w:noProof/>
                <w:webHidden/>
              </w:rPr>
              <w:fldChar w:fldCharType="begin"/>
            </w:r>
            <w:r w:rsidR="009B5ADC" w:rsidRPr="009B5ADC">
              <w:rPr>
                <w:noProof/>
                <w:webHidden/>
              </w:rPr>
              <w:instrText xml:space="preserve"> PAGEREF _Toc61600082 \h </w:instrText>
            </w:r>
            <w:r w:rsidR="009B5ADC" w:rsidRPr="009B5ADC">
              <w:rPr>
                <w:noProof/>
                <w:webHidden/>
              </w:rPr>
            </w:r>
            <w:r w:rsidR="009B5ADC" w:rsidRPr="009B5ADC">
              <w:rPr>
                <w:noProof/>
                <w:webHidden/>
              </w:rPr>
              <w:fldChar w:fldCharType="separate"/>
            </w:r>
            <w:r w:rsidR="009B5ADC" w:rsidRPr="009B5ADC">
              <w:rPr>
                <w:noProof/>
                <w:webHidden/>
              </w:rPr>
              <w:t>4</w:t>
            </w:r>
            <w:r w:rsidR="009B5ADC" w:rsidRPr="009B5ADC">
              <w:rPr>
                <w:noProof/>
                <w:webHidden/>
              </w:rPr>
              <w:fldChar w:fldCharType="end"/>
            </w:r>
          </w:hyperlink>
        </w:p>
        <w:p w:rsidR="007B7DA1" w:rsidRDefault="007B7DA1">
          <w:pPr>
            <w:pStyle w:val="TOC1"/>
            <w:tabs>
              <w:tab w:val="right" w:leader="dot" w:pos="9350"/>
            </w:tabs>
            <w:rPr>
              <w:rStyle w:val="Hyperlink"/>
              <w:rFonts w:eastAsia="Times New Roman"/>
              <w:b/>
              <w:bCs/>
              <w:noProof/>
            </w:rPr>
          </w:pPr>
        </w:p>
        <w:p w:rsidR="009B5ADC" w:rsidRDefault="00951B25">
          <w:pPr>
            <w:pStyle w:val="TOC1"/>
            <w:tabs>
              <w:tab w:val="right" w:leader="dot" w:pos="9350"/>
            </w:tabs>
            <w:rPr>
              <w:noProof/>
              <w:sz w:val="22"/>
              <w:szCs w:val="22"/>
            </w:rPr>
          </w:pPr>
          <w:hyperlink w:anchor="_Toc61600083" w:history="1">
            <w:r w:rsidR="009B5ADC" w:rsidRPr="00E72302">
              <w:rPr>
                <w:rStyle w:val="Hyperlink"/>
                <w:rFonts w:eastAsia="Times New Roman"/>
                <w:b/>
                <w:bCs/>
                <w:noProof/>
              </w:rPr>
              <w:t>Detail of Constitutional and Legislative Findings</w:t>
            </w:r>
            <w:r w:rsidR="009B5ADC">
              <w:rPr>
                <w:noProof/>
                <w:webHidden/>
              </w:rPr>
              <w:tab/>
            </w:r>
            <w:r w:rsidR="009B5ADC">
              <w:rPr>
                <w:noProof/>
                <w:webHidden/>
              </w:rPr>
              <w:fldChar w:fldCharType="begin"/>
            </w:r>
            <w:r w:rsidR="009B5ADC">
              <w:rPr>
                <w:noProof/>
                <w:webHidden/>
              </w:rPr>
              <w:instrText xml:space="preserve"> PAGEREF _Toc61600083 \h </w:instrText>
            </w:r>
            <w:r w:rsidR="009B5ADC">
              <w:rPr>
                <w:noProof/>
                <w:webHidden/>
              </w:rPr>
            </w:r>
            <w:r w:rsidR="009B5ADC">
              <w:rPr>
                <w:noProof/>
                <w:webHidden/>
              </w:rPr>
              <w:fldChar w:fldCharType="separate"/>
            </w:r>
            <w:r w:rsidR="009B5ADC">
              <w:rPr>
                <w:noProof/>
                <w:webHidden/>
              </w:rPr>
              <w:t>5</w:t>
            </w:r>
            <w:r w:rsidR="009B5ADC">
              <w:rPr>
                <w:noProof/>
                <w:webHidden/>
              </w:rPr>
              <w:fldChar w:fldCharType="end"/>
            </w:r>
          </w:hyperlink>
        </w:p>
        <w:p w:rsidR="009B5ADC" w:rsidRPr="009B5ADC" w:rsidRDefault="00951B25">
          <w:pPr>
            <w:pStyle w:val="TOC2"/>
            <w:tabs>
              <w:tab w:val="left" w:pos="660"/>
              <w:tab w:val="right" w:leader="dot" w:pos="9350"/>
            </w:tabs>
            <w:rPr>
              <w:noProof/>
              <w:sz w:val="22"/>
              <w:szCs w:val="22"/>
            </w:rPr>
          </w:pPr>
          <w:hyperlink w:anchor="_Toc61600084" w:history="1">
            <w:r w:rsidR="009B5ADC" w:rsidRPr="009B5ADC">
              <w:rPr>
                <w:rStyle w:val="Hyperlink"/>
                <w:rFonts w:ascii="Calibri Light" w:eastAsia="Times New Roman" w:hAnsi="Calibri Light" w:cs="Times New Roman"/>
                <w:noProof/>
              </w:rPr>
              <w:t>1.</w:t>
            </w:r>
            <w:r w:rsidR="009B5ADC" w:rsidRPr="009B5ADC">
              <w:rPr>
                <w:noProof/>
                <w:sz w:val="22"/>
                <w:szCs w:val="22"/>
              </w:rPr>
              <w:tab/>
            </w:r>
            <w:r w:rsidR="009B5ADC" w:rsidRPr="009B5ADC">
              <w:rPr>
                <w:rStyle w:val="Hyperlink"/>
                <w:rFonts w:ascii="Calibri Light" w:eastAsia="Times New Roman" w:hAnsi="Calibri Light" w:cs="Times New Roman"/>
                <w:noProof/>
              </w:rPr>
              <w:t>General Equality and Non-Discrimination (Article 2)</w:t>
            </w:r>
            <w:r w:rsidR="009B5ADC" w:rsidRPr="009B5ADC">
              <w:rPr>
                <w:noProof/>
                <w:webHidden/>
              </w:rPr>
              <w:tab/>
            </w:r>
            <w:r w:rsidR="009B5ADC" w:rsidRPr="009B5ADC">
              <w:rPr>
                <w:noProof/>
                <w:webHidden/>
              </w:rPr>
              <w:fldChar w:fldCharType="begin"/>
            </w:r>
            <w:r w:rsidR="009B5ADC" w:rsidRPr="009B5ADC">
              <w:rPr>
                <w:noProof/>
                <w:webHidden/>
              </w:rPr>
              <w:instrText xml:space="preserve"> PAGEREF _Toc61600084 \h </w:instrText>
            </w:r>
            <w:r w:rsidR="009B5ADC" w:rsidRPr="009B5ADC">
              <w:rPr>
                <w:noProof/>
                <w:webHidden/>
              </w:rPr>
            </w:r>
            <w:r w:rsidR="009B5ADC" w:rsidRPr="009B5ADC">
              <w:rPr>
                <w:noProof/>
                <w:webHidden/>
              </w:rPr>
              <w:fldChar w:fldCharType="separate"/>
            </w:r>
            <w:r w:rsidR="009B5ADC" w:rsidRPr="009B5ADC">
              <w:rPr>
                <w:noProof/>
                <w:webHidden/>
              </w:rPr>
              <w:t>5</w:t>
            </w:r>
            <w:r w:rsidR="009B5ADC" w:rsidRPr="009B5ADC">
              <w:rPr>
                <w:noProof/>
                <w:webHidden/>
              </w:rPr>
              <w:fldChar w:fldCharType="end"/>
            </w:r>
          </w:hyperlink>
        </w:p>
        <w:p w:rsidR="009B5ADC" w:rsidRPr="009B5ADC" w:rsidRDefault="00951B25">
          <w:pPr>
            <w:pStyle w:val="TOC2"/>
            <w:tabs>
              <w:tab w:val="left" w:pos="660"/>
              <w:tab w:val="right" w:leader="dot" w:pos="9350"/>
            </w:tabs>
            <w:rPr>
              <w:noProof/>
              <w:sz w:val="22"/>
              <w:szCs w:val="22"/>
            </w:rPr>
          </w:pPr>
          <w:hyperlink w:anchor="_Toc61600085" w:history="1">
            <w:r w:rsidR="009B5ADC" w:rsidRPr="009B5ADC">
              <w:rPr>
                <w:rStyle w:val="Hyperlink"/>
                <w:rFonts w:ascii="Calibri Light" w:eastAsia="Times New Roman" w:hAnsi="Calibri Light" w:cs="Times New Roman"/>
                <w:noProof/>
              </w:rPr>
              <w:t>2.</w:t>
            </w:r>
            <w:r w:rsidR="009B5ADC" w:rsidRPr="009B5ADC">
              <w:rPr>
                <w:noProof/>
                <w:sz w:val="22"/>
                <w:szCs w:val="22"/>
              </w:rPr>
              <w:tab/>
            </w:r>
            <w:r w:rsidR="009B5ADC" w:rsidRPr="009B5ADC">
              <w:rPr>
                <w:rStyle w:val="Hyperlink"/>
                <w:rFonts w:ascii="Calibri Light" w:eastAsia="Times New Roman" w:hAnsi="Calibri Light" w:cs="Times New Roman"/>
                <w:noProof/>
              </w:rPr>
              <w:t>Non-Discrimination in Work and Employment (Article 11)</w:t>
            </w:r>
            <w:r w:rsidR="009B5ADC" w:rsidRPr="009B5ADC">
              <w:rPr>
                <w:noProof/>
                <w:webHidden/>
              </w:rPr>
              <w:tab/>
            </w:r>
            <w:r w:rsidR="009B5ADC" w:rsidRPr="009B5ADC">
              <w:rPr>
                <w:noProof/>
                <w:webHidden/>
              </w:rPr>
              <w:fldChar w:fldCharType="begin"/>
            </w:r>
            <w:r w:rsidR="009B5ADC" w:rsidRPr="009B5ADC">
              <w:rPr>
                <w:noProof/>
                <w:webHidden/>
              </w:rPr>
              <w:instrText xml:space="preserve"> PAGEREF _Toc61600085 \h </w:instrText>
            </w:r>
            <w:r w:rsidR="009B5ADC" w:rsidRPr="009B5ADC">
              <w:rPr>
                <w:noProof/>
                <w:webHidden/>
              </w:rPr>
            </w:r>
            <w:r w:rsidR="009B5ADC" w:rsidRPr="009B5ADC">
              <w:rPr>
                <w:noProof/>
                <w:webHidden/>
              </w:rPr>
              <w:fldChar w:fldCharType="separate"/>
            </w:r>
            <w:r w:rsidR="009B5ADC" w:rsidRPr="009B5ADC">
              <w:rPr>
                <w:noProof/>
                <w:webHidden/>
              </w:rPr>
              <w:t>5</w:t>
            </w:r>
            <w:r w:rsidR="009B5ADC" w:rsidRPr="009B5ADC">
              <w:rPr>
                <w:noProof/>
                <w:webHidden/>
              </w:rPr>
              <w:fldChar w:fldCharType="end"/>
            </w:r>
          </w:hyperlink>
        </w:p>
        <w:p w:rsidR="009B5ADC" w:rsidRPr="009B5ADC" w:rsidRDefault="00951B25">
          <w:pPr>
            <w:pStyle w:val="TOC2"/>
            <w:tabs>
              <w:tab w:val="left" w:pos="660"/>
              <w:tab w:val="right" w:leader="dot" w:pos="9350"/>
            </w:tabs>
            <w:rPr>
              <w:noProof/>
              <w:sz w:val="22"/>
              <w:szCs w:val="22"/>
            </w:rPr>
          </w:pPr>
          <w:hyperlink w:anchor="_Toc61600086" w:history="1">
            <w:r w:rsidR="009B5ADC" w:rsidRPr="009B5ADC">
              <w:rPr>
                <w:rStyle w:val="Hyperlink"/>
                <w:rFonts w:ascii="Calibri Light" w:eastAsia="Times New Roman" w:hAnsi="Calibri Light" w:cs="Times New Roman"/>
                <w:noProof/>
              </w:rPr>
              <w:t>3.</w:t>
            </w:r>
            <w:r w:rsidR="009B5ADC" w:rsidRPr="009B5ADC">
              <w:rPr>
                <w:noProof/>
                <w:sz w:val="22"/>
                <w:szCs w:val="22"/>
              </w:rPr>
              <w:tab/>
            </w:r>
            <w:r w:rsidR="009B5ADC" w:rsidRPr="009B5ADC">
              <w:rPr>
                <w:rStyle w:val="Hyperlink"/>
                <w:rFonts w:ascii="Calibri Light" w:eastAsia="Times New Roman" w:hAnsi="Calibri Light" w:cs="Times New Roman"/>
                <w:noProof/>
              </w:rPr>
              <w:t>Sexual Harassment in Work and Employment (General Recommendation No. 12)</w:t>
            </w:r>
            <w:r w:rsidR="009B5ADC" w:rsidRPr="009B5ADC">
              <w:rPr>
                <w:noProof/>
                <w:webHidden/>
              </w:rPr>
              <w:tab/>
            </w:r>
            <w:r w:rsidR="009B5ADC" w:rsidRPr="009B5ADC">
              <w:rPr>
                <w:noProof/>
                <w:webHidden/>
              </w:rPr>
              <w:fldChar w:fldCharType="begin"/>
            </w:r>
            <w:r w:rsidR="009B5ADC" w:rsidRPr="009B5ADC">
              <w:rPr>
                <w:noProof/>
                <w:webHidden/>
              </w:rPr>
              <w:instrText xml:space="preserve"> PAGEREF _Toc61600086 \h </w:instrText>
            </w:r>
            <w:r w:rsidR="009B5ADC" w:rsidRPr="009B5ADC">
              <w:rPr>
                <w:noProof/>
                <w:webHidden/>
              </w:rPr>
            </w:r>
            <w:r w:rsidR="009B5ADC" w:rsidRPr="009B5ADC">
              <w:rPr>
                <w:noProof/>
                <w:webHidden/>
              </w:rPr>
              <w:fldChar w:fldCharType="separate"/>
            </w:r>
            <w:r w:rsidR="009B5ADC" w:rsidRPr="009B5ADC">
              <w:rPr>
                <w:noProof/>
                <w:webHidden/>
              </w:rPr>
              <w:t>6</w:t>
            </w:r>
            <w:r w:rsidR="009B5ADC" w:rsidRPr="009B5ADC">
              <w:rPr>
                <w:noProof/>
                <w:webHidden/>
              </w:rPr>
              <w:fldChar w:fldCharType="end"/>
            </w:r>
          </w:hyperlink>
        </w:p>
        <w:p w:rsidR="009B5ADC" w:rsidRDefault="00951B25">
          <w:pPr>
            <w:pStyle w:val="TOC2"/>
            <w:tabs>
              <w:tab w:val="left" w:pos="660"/>
              <w:tab w:val="right" w:leader="dot" w:pos="9350"/>
            </w:tabs>
            <w:rPr>
              <w:noProof/>
              <w:sz w:val="22"/>
              <w:szCs w:val="22"/>
            </w:rPr>
          </w:pPr>
          <w:hyperlink w:anchor="_Toc61600087" w:history="1">
            <w:r w:rsidR="009B5ADC" w:rsidRPr="009B5ADC">
              <w:rPr>
                <w:rStyle w:val="Hyperlink"/>
                <w:rFonts w:ascii="Calibri Light" w:eastAsia="Times New Roman" w:hAnsi="Calibri Light" w:cs="Times New Roman"/>
                <w:noProof/>
              </w:rPr>
              <w:t>4.</w:t>
            </w:r>
            <w:r w:rsidR="009B5ADC" w:rsidRPr="009B5ADC">
              <w:rPr>
                <w:noProof/>
                <w:sz w:val="22"/>
                <w:szCs w:val="22"/>
              </w:rPr>
              <w:tab/>
            </w:r>
            <w:r w:rsidR="009B5ADC" w:rsidRPr="009B5ADC">
              <w:rPr>
                <w:rStyle w:val="Hyperlink"/>
                <w:rFonts w:ascii="Calibri Light" w:eastAsia="Times New Roman" w:hAnsi="Calibri Light" w:cs="Times New Roman"/>
                <w:noProof/>
              </w:rPr>
              <w:t>Paid Maternity and Paternity Leave (Articles 11, 5)</w:t>
            </w:r>
            <w:r w:rsidR="009B5ADC" w:rsidRPr="009B5ADC">
              <w:rPr>
                <w:noProof/>
                <w:webHidden/>
              </w:rPr>
              <w:tab/>
            </w:r>
            <w:r w:rsidR="009B5ADC" w:rsidRPr="009B5ADC">
              <w:rPr>
                <w:noProof/>
                <w:webHidden/>
              </w:rPr>
              <w:fldChar w:fldCharType="begin"/>
            </w:r>
            <w:r w:rsidR="009B5ADC" w:rsidRPr="009B5ADC">
              <w:rPr>
                <w:noProof/>
                <w:webHidden/>
              </w:rPr>
              <w:instrText xml:space="preserve"> PAGEREF _Toc61600087 \h </w:instrText>
            </w:r>
            <w:r w:rsidR="009B5ADC" w:rsidRPr="009B5ADC">
              <w:rPr>
                <w:noProof/>
                <w:webHidden/>
              </w:rPr>
            </w:r>
            <w:r w:rsidR="009B5ADC" w:rsidRPr="009B5ADC">
              <w:rPr>
                <w:noProof/>
                <w:webHidden/>
              </w:rPr>
              <w:fldChar w:fldCharType="separate"/>
            </w:r>
            <w:r w:rsidR="009B5ADC" w:rsidRPr="009B5ADC">
              <w:rPr>
                <w:noProof/>
                <w:webHidden/>
              </w:rPr>
              <w:t>7</w:t>
            </w:r>
            <w:r w:rsidR="009B5ADC" w:rsidRPr="009B5ADC">
              <w:rPr>
                <w:noProof/>
                <w:webHidden/>
              </w:rPr>
              <w:fldChar w:fldCharType="end"/>
            </w:r>
          </w:hyperlink>
        </w:p>
        <w:p w:rsidR="00E6045A" w:rsidRPr="00817B9A" w:rsidRDefault="00E6045A" w:rsidP="00817B9A">
          <w:pPr>
            <w:pStyle w:val="TOC2"/>
            <w:tabs>
              <w:tab w:val="left" w:pos="660"/>
              <w:tab w:val="right" w:leader="dot" w:pos="9350"/>
            </w:tabs>
            <w:rPr>
              <w:noProof/>
              <w:sz w:val="22"/>
              <w:szCs w:val="22"/>
            </w:rPr>
          </w:pPr>
          <w:r w:rsidRPr="005B1636">
            <w:rPr>
              <w:rFonts w:ascii="Calibri" w:hAnsi="Calibri" w:cs="Calibri"/>
              <w:b/>
              <w:bCs/>
              <w:noProof/>
              <w:sz w:val="22"/>
              <w:szCs w:val="22"/>
            </w:rPr>
            <w:fldChar w:fldCharType="end"/>
          </w:r>
        </w:p>
      </w:sdtContent>
    </w:sdt>
    <w:p w:rsidR="00157053" w:rsidRDefault="00157053" w:rsidP="00CF442E">
      <w:pPr>
        <w:rPr>
          <w:b/>
        </w:rPr>
      </w:pPr>
    </w:p>
    <w:p w:rsidR="00CF442E" w:rsidRDefault="00E30DE2" w:rsidP="00E30DE2">
      <w:pPr>
        <w:tabs>
          <w:tab w:val="left" w:pos="6660"/>
        </w:tabs>
      </w:pPr>
      <w:r>
        <w:tab/>
      </w:r>
    </w:p>
    <w:p w:rsidR="003E044E" w:rsidRDefault="003E044E"/>
    <w:p w:rsidR="003E044E" w:rsidRDefault="003E044E"/>
    <w:p w:rsidR="00FF10FA" w:rsidRDefault="00FF10FA"/>
    <w:p w:rsidR="00FF10FA" w:rsidRDefault="00FF10FA"/>
    <w:p w:rsidR="00FF10FA" w:rsidRDefault="00FF10FA"/>
    <w:p w:rsidR="00FF10FA" w:rsidRDefault="00FF10FA"/>
    <w:p w:rsidR="00FF10FA" w:rsidRDefault="00FF10FA"/>
    <w:p w:rsidR="00FF10FA" w:rsidRDefault="00FF10FA"/>
    <w:p w:rsidR="009B5ADC" w:rsidRDefault="009B5ADC"/>
    <w:p w:rsidR="009B5ADC" w:rsidRDefault="009B5ADC"/>
    <w:p w:rsidR="009B5ADC" w:rsidRDefault="009B5ADC"/>
    <w:p w:rsidR="00FF10FA" w:rsidRDefault="00FF10FA"/>
    <w:p w:rsidR="00A52B2B" w:rsidRPr="00B952D3" w:rsidRDefault="00A52B2B" w:rsidP="008D581F">
      <w:pPr>
        <w:pStyle w:val="Heading1"/>
        <w:spacing w:afterLines="100" w:after="240"/>
        <w:rPr>
          <w:b/>
          <w:bCs/>
        </w:rPr>
      </w:pPr>
      <w:bookmarkStart w:id="49" w:name="_Toc61600077"/>
      <w:bookmarkStart w:id="50" w:name="_Hlk52631114"/>
      <w:r w:rsidRPr="00B952D3">
        <w:rPr>
          <w:b/>
          <w:bCs/>
        </w:rPr>
        <w:lastRenderedPageBreak/>
        <w:t>Introduction</w:t>
      </w:r>
      <w:bookmarkEnd w:id="49"/>
    </w:p>
    <w:bookmarkEnd w:id="50"/>
    <w:p w:rsidR="003860C9" w:rsidRPr="00A52B2B" w:rsidRDefault="003860C9" w:rsidP="008D581F">
      <w:pPr>
        <w:spacing w:afterLines="100" w:after="240"/>
        <w:rPr>
          <w:sz w:val="22"/>
          <w:szCs w:val="22"/>
        </w:rPr>
      </w:pPr>
      <w:r w:rsidRPr="00A52B2B">
        <w:rPr>
          <w:color w:val="000000"/>
          <w:sz w:val="22"/>
          <w:szCs w:val="22"/>
        </w:rPr>
        <w:t xml:space="preserve">The WORLD Policy Analysis Center, based at the University of California, Los Angeles, </w:t>
      </w:r>
      <w:r w:rsidR="005E6E48" w:rsidRPr="00A52B2B">
        <w:rPr>
          <w:color w:val="000000"/>
          <w:sz w:val="22"/>
          <w:szCs w:val="22"/>
        </w:rPr>
        <w:t>captures</w:t>
      </w:r>
      <w:r w:rsidR="002118F1" w:rsidRPr="00A52B2B">
        <w:rPr>
          <w:color w:val="000000"/>
          <w:sz w:val="22"/>
          <w:szCs w:val="22"/>
        </w:rPr>
        <w:t xml:space="preserve"> </w:t>
      </w:r>
      <w:r w:rsidR="002118F1" w:rsidRPr="00A52B2B">
        <w:rPr>
          <w:rFonts w:ascii="Calibri" w:hAnsi="Calibri"/>
          <w:sz w:val="22"/>
          <w:szCs w:val="22"/>
        </w:rPr>
        <w:t>quantitative policy data on more than 2,000 indicators that matter to</w:t>
      </w:r>
      <w:r w:rsidR="006306D0" w:rsidRPr="00A52B2B">
        <w:rPr>
          <w:rFonts w:ascii="Calibri" w:hAnsi="Calibri"/>
          <w:sz w:val="22"/>
          <w:szCs w:val="22"/>
        </w:rPr>
        <w:t xml:space="preserve"> equality,</w:t>
      </w:r>
      <w:r w:rsidR="002118F1" w:rsidRPr="00A52B2B">
        <w:rPr>
          <w:rFonts w:ascii="Calibri" w:hAnsi="Calibri"/>
          <w:sz w:val="22"/>
          <w:szCs w:val="22"/>
        </w:rPr>
        <w:t xml:space="preserve"> health, and well-being. We</w:t>
      </w:r>
      <w:r w:rsidR="002118F1" w:rsidRPr="00A52B2B">
        <w:rPr>
          <w:color w:val="000000"/>
          <w:sz w:val="22"/>
          <w:szCs w:val="22"/>
        </w:rPr>
        <w:t xml:space="preserve"> </w:t>
      </w:r>
      <w:r w:rsidRPr="00A52B2B">
        <w:rPr>
          <w:color w:val="000000"/>
          <w:sz w:val="22"/>
          <w:szCs w:val="22"/>
        </w:rPr>
        <w:t>strive to improv</w:t>
      </w:r>
      <w:r w:rsidR="00246EC7" w:rsidRPr="00A52B2B">
        <w:rPr>
          <w:color w:val="000000"/>
          <w:sz w:val="22"/>
          <w:szCs w:val="22"/>
        </w:rPr>
        <w:t>e</w:t>
      </w:r>
      <w:r w:rsidRPr="00A52B2B">
        <w:rPr>
          <w:color w:val="000000"/>
          <w:sz w:val="22"/>
          <w:szCs w:val="22"/>
        </w:rPr>
        <w:t xml:space="preserve"> the quantity and quality of globally comparative data available to policymakers, citizens, national governments, intergovernmental organizations, civil society, and researchers for all 193 UN member states. </w:t>
      </w:r>
      <w:r w:rsidR="002118F1" w:rsidRPr="00A52B2B">
        <w:rPr>
          <w:sz w:val="22"/>
          <w:szCs w:val="22"/>
        </w:rPr>
        <w:t xml:space="preserve">We submit </w:t>
      </w:r>
      <w:r w:rsidRPr="00A52B2B">
        <w:rPr>
          <w:sz w:val="22"/>
          <w:szCs w:val="22"/>
        </w:rPr>
        <w:t xml:space="preserve">the following brief in advance of the </w:t>
      </w:r>
      <w:r w:rsidR="00500831" w:rsidRPr="00500831">
        <w:rPr>
          <w:sz w:val="22"/>
          <w:szCs w:val="22"/>
        </w:rPr>
        <w:t>80</w:t>
      </w:r>
      <w:r w:rsidR="005E6E48" w:rsidRPr="00500831">
        <w:rPr>
          <w:sz w:val="22"/>
          <w:szCs w:val="22"/>
          <w:vertAlign w:val="superscript"/>
        </w:rPr>
        <w:t>th</w:t>
      </w:r>
      <w:r w:rsidR="005E6E48" w:rsidRPr="00A52B2B">
        <w:rPr>
          <w:sz w:val="22"/>
          <w:szCs w:val="22"/>
        </w:rPr>
        <w:t xml:space="preserve"> </w:t>
      </w:r>
      <w:r w:rsidRPr="00A52B2B">
        <w:rPr>
          <w:sz w:val="22"/>
          <w:szCs w:val="22"/>
        </w:rPr>
        <w:t xml:space="preserve">Pre-Sessional Working Group of the Committee </w:t>
      </w:r>
      <w:r w:rsidR="00FD3248" w:rsidRPr="00A52B2B">
        <w:rPr>
          <w:sz w:val="22"/>
          <w:szCs w:val="22"/>
        </w:rPr>
        <w:t>on the</w:t>
      </w:r>
      <w:r w:rsidR="00B617D6" w:rsidRPr="00A52B2B">
        <w:rPr>
          <w:sz w:val="22"/>
          <w:szCs w:val="22"/>
        </w:rPr>
        <w:t xml:space="preserve"> Elimination of Discrimination a</w:t>
      </w:r>
      <w:r w:rsidR="00FD3248" w:rsidRPr="00A52B2B">
        <w:rPr>
          <w:sz w:val="22"/>
          <w:szCs w:val="22"/>
        </w:rPr>
        <w:t>gainst Women</w:t>
      </w:r>
      <w:r w:rsidRPr="00A52B2B">
        <w:rPr>
          <w:sz w:val="22"/>
          <w:szCs w:val="22"/>
        </w:rPr>
        <w:t xml:space="preserve">.  </w:t>
      </w:r>
    </w:p>
    <w:p w:rsidR="003860C9" w:rsidRPr="00A52B2B" w:rsidRDefault="003860C9" w:rsidP="00CF442E">
      <w:pPr>
        <w:rPr>
          <w:sz w:val="22"/>
          <w:szCs w:val="22"/>
        </w:rPr>
      </w:pPr>
      <w:r w:rsidRPr="00A52B2B">
        <w:rPr>
          <w:sz w:val="22"/>
          <w:szCs w:val="22"/>
        </w:rPr>
        <w:t xml:space="preserve">This brief will focus on </w:t>
      </w:r>
      <w:r w:rsidR="003A6D58" w:rsidRPr="00A52B2B">
        <w:rPr>
          <w:sz w:val="22"/>
          <w:szCs w:val="22"/>
        </w:rPr>
        <w:t xml:space="preserve">the following </w:t>
      </w:r>
      <w:r w:rsidR="008D581F">
        <w:rPr>
          <w:sz w:val="22"/>
          <w:szCs w:val="22"/>
        </w:rPr>
        <w:t>four</w:t>
      </w:r>
      <w:r w:rsidRPr="00A52B2B">
        <w:rPr>
          <w:sz w:val="22"/>
          <w:szCs w:val="22"/>
        </w:rPr>
        <w:t xml:space="preserve"> are</w:t>
      </w:r>
      <w:r w:rsidR="00CF442E" w:rsidRPr="00A52B2B">
        <w:rPr>
          <w:sz w:val="22"/>
          <w:szCs w:val="22"/>
        </w:rPr>
        <w:t>as</w:t>
      </w:r>
      <w:r w:rsidRPr="00A52B2B">
        <w:rPr>
          <w:sz w:val="22"/>
          <w:szCs w:val="22"/>
        </w:rPr>
        <w:t>:</w:t>
      </w:r>
    </w:p>
    <w:p w:rsidR="00355056" w:rsidRPr="00A52B2B" w:rsidRDefault="00FD3248" w:rsidP="006E7C18">
      <w:pPr>
        <w:pStyle w:val="ListParagraph"/>
        <w:numPr>
          <w:ilvl w:val="0"/>
          <w:numId w:val="2"/>
        </w:numPr>
        <w:rPr>
          <w:color w:val="000000" w:themeColor="text1"/>
          <w:sz w:val="22"/>
          <w:szCs w:val="22"/>
        </w:rPr>
      </w:pPr>
      <w:r w:rsidRPr="00A52B2B">
        <w:rPr>
          <w:color w:val="000000" w:themeColor="text1"/>
          <w:sz w:val="22"/>
          <w:szCs w:val="22"/>
        </w:rPr>
        <w:t>P</w:t>
      </w:r>
      <w:r w:rsidR="00355056" w:rsidRPr="00A52B2B">
        <w:rPr>
          <w:color w:val="000000" w:themeColor="text1"/>
          <w:sz w:val="22"/>
          <w:szCs w:val="22"/>
        </w:rPr>
        <w:t xml:space="preserve">rohibition of </w:t>
      </w:r>
      <w:r w:rsidR="00026A3B" w:rsidRPr="00A52B2B">
        <w:rPr>
          <w:color w:val="000000" w:themeColor="text1"/>
          <w:sz w:val="22"/>
          <w:szCs w:val="22"/>
        </w:rPr>
        <w:t>D</w:t>
      </w:r>
      <w:r w:rsidR="00355056" w:rsidRPr="00A52B2B">
        <w:rPr>
          <w:color w:val="000000" w:themeColor="text1"/>
          <w:sz w:val="22"/>
          <w:szCs w:val="22"/>
        </w:rPr>
        <w:t xml:space="preserve">iscrimination in </w:t>
      </w:r>
      <w:r w:rsidR="00026A3B" w:rsidRPr="00A52B2B">
        <w:rPr>
          <w:color w:val="000000" w:themeColor="text1"/>
          <w:sz w:val="22"/>
          <w:szCs w:val="22"/>
        </w:rPr>
        <w:t>C</w:t>
      </w:r>
      <w:r w:rsidR="00355056" w:rsidRPr="00A52B2B">
        <w:rPr>
          <w:color w:val="000000" w:themeColor="text1"/>
          <w:sz w:val="22"/>
          <w:szCs w:val="22"/>
        </w:rPr>
        <w:t>onstitutions</w:t>
      </w:r>
      <w:r w:rsidR="002F18CF" w:rsidRPr="00A52B2B">
        <w:rPr>
          <w:color w:val="000000" w:themeColor="text1"/>
          <w:sz w:val="22"/>
          <w:szCs w:val="22"/>
        </w:rPr>
        <w:t xml:space="preserve"> (Article 2)</w:t>
      </w:r>
    </w:p>
    <w:p w:rsidR="002F4FD6" w:rsidRPr="00A52B2B" w:rsidRDefault="002F4FD6" w:rsidP="006E7C18">
      <w:pPr>
        <w:pStyle w:val="ListParagraph"/>
        <w:numPr>
          <w:ilvl w:val="0"/>
          <w:numId w:val="2"/>
        </w:numPr>
        <w:rPr>
          <w:color w:val="000000" w:themeColor="text1"/>
          <w:sz w:val="22"/>
          <w:szCs w:val="22"/>
        </w:rPr>
      </w:pPr>
      <w:r w:rsidRPr="00A52B2B">
        <w:rPr>
          <w:color w:val="000000" w:themeColor="text1"/>
          <w:sz w:val="22"/>
          <w:szCs w:val="22"/>
        </w:rPr>
        <w:t>Non-discrimination in Work and Employment (Article 11)</w:t>
      </w:r>
    </w:p>
    <w:p w:rsidR="002F18CF" w:rsidRPr="00A52B2B" w:rsidRDefault="00EE6B18" w:rsidP="006E7C18">
      <w:pPr>
        <w:pStyle w:val="ListParagraph"/>
        <w:numPr>
          <w:ilvl w:val="0"/>
          <w:numId w:val="2"/>
        </w:numPr>
        <w:rPr>
          <w:color w:val="000000" w:themeColor="text1"/>
          <w:sz w:val="22"/>
          <w:szCs w:val="22"/>
        </w:rPr>
      </w:pPr>
      <w:r w:rsidRPr="00A52B2B">
        <w:rPr>
          <w:color w:val="000000" w:themeColor="text1"/>
          <w:sz w:val="22"/>
          <w:szCs w:val="22"/>
        </w:rPr>
        <w:t xml:space="preserve">Sexual Harassment in Work and Employment (General Recommendation </w:t>
      </w:r>
      <w:r w:rsidR="00427B31">
        <w:rPr>
          <w:color w:val="000000" w:themeColor="text1"/>
          <w:sz w:val="22"/>
          <w:szCs w:val="22"/>
        </w:rPr>
        <w:t xml:space="preserve">No. </w:t>
      </w:r>
      <w:r w:rsidRPr="00A52B2B">
        <w:rPr>
          <w:color w:val="000000" w:themeColor="text1"/>
          <w:sz w:val="22"/>
          <w:szCs w:val="22"/>
        </w:rPr>
        <w:t>12)</w:t>
      </w:r>
    </w:p>
    <w:p w:rsidR="00026A3B" w:rsidRPr="00A52B2B" w:rsidRDefault="00026A3B" w:rsidP="006E7C18">
      <w:pPr>
        <w:pStyle w:val="ListParagraph"/>
        <w:numPr>
          <w:ilvl w:val="0"/>
          <w:numId w:val="2"/>
        </w:numPr>
        <w:rPr>
          <w:color w:val="000000" w:themeColor="text1"/>
          <w:sz w:val="22"/>
          <w:szCs w:val="22"/>
        </w:rPr>
      </w:pPr>
      <w:r w:rsidRPr="00A52B2B">
        <w:rPr>
          <w:color w:val="000000" w:themeColor="text1"/>
          <w:sz w:val="22"/>
          <w:szCs w:val="22"/>
        </w:rPr>
        <w:t>Paid Maternity and Paternity Leave (Article</w:t>
      </w:r>
      <w:r w:rsidR="000345E3" w:rsidRPr="00A52B2B">
        <w:rPr>
          <w:color w:val="000000" w:themeColor="text1"/>
          <w:sz w:val="22"/>
          <w:szCs w:val="22"/>
        </w:rPr>
        <w:t>s</w:t>
      </w:r>
      <w:r w:rsidRPr="00A52B2B">
        <w:rPr>
          <w:color w:val="000000" w:themeColor="text1"/>
          <w:sz w:val="22"/>
          <w:szCs w:val="22"/>
        </w:rPr>
        <w:t xml:space="preserve"> 11, 5)</w:t>
      </w:r>
    </w:p>
    <w:p w:rsidR="00FD208D" w:rsidRPr="00A52B2B" w:rsidRDefault="00FD208D" w:rsidP="00827695">
      <w:pPr>
        <w:rPr>
          <w:sz w:val="22"/>
          <w:szCs w:val="22"/>
        </w:rPr>
      </w:pPr>
      <w:r w:rsidRPr="00A52B2B">
        <w:rPr>
          <w:sz w:val="22"/>
          <w:szCs w:val="22"/>
        </w:rPr>
        <w:t xml:space="preserve">We have collected and analyzed information on rights, laws, and policies in these areas for all 193 UN member states using a variety of sources, including primary national legal sources (e.g. </w:t>
      </w:r>
      <w:r w:rsidR="00BD77ED" w:rsidRPr="00A52B2B">
        <w:rPr>
          <w:sz w:val="22"/>
          <w:szCs w:val="22"/>
        </w:rPr>
        <w:t>original legislation and constitutions</w:t>
      </w:r>
      <w:r w:rsidRPr="00A52B2B">
        <w:rPr>
          <w:sz w:val="22"/>
          <w:szCs w:val="22"/>
        </w:rPr>
        <w:t xml:space="preserve">), national reports on policies and laws to the United Nations and official global and regional bodies, and secondary sources where clarification or corroboration of primary data is needed. Using a rigorous double-coding process, we create original databases which distill thousands of pages of text to highlight the essential features of each right, law, or policy. These original databases are the reference for </w:t>
      </w:r>
      <w:r w:rsidR="00827695" w:rsidRPr="00A52B2B">
        <w:rPr>
          <w:sz w:val="22"/>
          <w:szCs w:val="22"/>
        </w:rPr>
        <w:t>the following brief</w:t>
      </w:r>
      <w:r w:rsidRPr="00A52B2B">
        <w:rPr>
          <w:sz w:val="22"/>
          <w:szCs w:val="22"/>
        </w:rPr>
        <w:t>.</w:t>
      </w:r>
      <w:r w:rsidR="00827695" w:rsidRPr="00A52B2B">
        <w:rPr>
          <w:sz w:val="22"/>
          <w:szCs w:val="22"/>
        </w:rPr>
        <w:t xml:space="preserve"> When drafting each brief, we perform a series of additional verifications to ensure the data provided reflects the current constitutional and legal landscape of a country.</w:t>
      </w:r>
    </w:p>
    <w:p w:rsidR="004D47C4" w:rsidRDefault="008C2C5D" w:rsidP="00BE4770">
      <w:pPr>
        <w:rPr>
          <w:color w:val="000000" w:themeColor="text1"/>
          <w:sz w:val="22"/>
          <w:szCs w:val="22"/>
        </w:rPr>
      </w:pPr>
      <w:bookmarkStart w:id="51" w:name="_Hlk60920343"/>
      <w:bookmarkStart w:id="52" w:name="_Hlk43805467"/>
      <w:r w:rsidRPr="00A52B2B">
        <w:rPr>
          <w:sz w:val="22"/>
          <w:szCs w:val="22"/>
        </w:rPr>
        <w:t xml:space="preserve">In this report we provide </w:t>
      </w:r>
      <w:r>
        <w:rPr>
          <w:sz w:val="22"/>
          <w:szCs w:val="22"/>
        </w:rPr>
        <w:t xml:space="preserve">a summary of </w:t>
      </w:r>
      <w:r w:rsidRPr="00A52B2B">
        <w:rPr>
          <w:sz w:val="22"/>
          <w:szCs w:val="22"/>
        </w:rPr>
        <w:t xml:space="preserve">our </w:t>
      </w:r>
      <w:r>
        <w:rPr>
          <w:sz w:val="22"/>
          <w:szCs w:val="22"/>
        </w:rPr>
        <w:t>findings, as well as</w:t>
      </w:r>
      <w:r w:rsidR="004D47C4">
        <w:rPr>
          <w:sz w:val="22"/>
          <w:szCs w:val="22"/>
        </w:rPr>
        <w:t xml:space="preserve"> suggested </w:t>
      </w:r>
      <w:r w:rsidR="00BE4770" w:rsidRPr="00A52B2B">
        <w:rPr>
          <w:sz w:val="22"/>
          <w:szCs w:val="22"/>
        </w:rPr>
        <w:t>questions</w:t>
      </w:r>
      <w:r w:rsidR="00BE4770">
        <w:rPr>
          <w:sz w:val="22"/>
          <w:szCs w:val="22"/>
        </w:rPr>
        <w:t xml:space="preserve"> for</w:t>
      </w:r>
      <w:r w:rsidR="00BE4770" w:rsidRPr="00A52B2B">
        <w:rPr>
          <w:sz w:val="22"/>
          <w:szCs w:val="22"/>
        </w:rPr>
        <w:t xml:space="preserve"> the Committee </w:t>
      </w:r>
      <w:r w:rsidR="00BE4770">
        <w:rPr>
          <w:sz w:val="22"/>
          <w:szCs w:val="22"/>
        </w:rPr>
        <w:t>to ask</w:t>
      </w:r>
      <w:r w:rsidR="00BE4770" w:rsidRPr="00A52B2B">
        <w:rPr>
          <w:sz w:val="22"/>
          <w:szCs w:val="22"/>
        </w:rPr>
        <w:t xml:space="preserve"> </w:t>
      </w:r>
      <w:r w:rsidR="00BE4770">
        <w:rPr>
          <w:sz w:val="22"/>
          <w:szCs w:val="22"/>
        </w:rPr>
        <w:t xml:space="preserve">the United Arab Emirates, </w:t>
      </w:r>
      <w:r>
        <w:rPr>
          <w:sz w:val="22"/>
          <w:szCs w:val="22"/>
        </w:rPr>
        <w:t xml:space="preserve">and </w:t>
      </w:r>
      <w:r w:rsidR="00BE4770" w:rsidRPr="00A52B2B">
        <w:rPr>
          <w:sz w:val="22"/>
          <w:szCs w:val="22"/>
        </w:rPr>
        <w:t>topics we hope the Committee will address in its concluding observations.</w:t>
      </w:r>
      <w:r>
        <w:rPr>
          <w:sz w:val="22"/>
          <w:szCs w:val="22"/>
        </w:rPr>
        <w:t xml:space="preserve"> This summary is followed by detailed constitutional and legislative excerpts documenting our findings.</w:t>
      </w:r>
      <w:r w:rsidR="00BE4770" w:rsidRPr="00A52B2B">
        <w:rPr>
          <w:sz w:val="22"/>
          <w:szCs w:val="22"/>
        </w:rPr>
        <w:t xml:space="preserve"> We hope the Committee will recommend that </w:t>
      </w:r>
      <w:r w:rsidR="00BE4770">
        <w:rPr>
          <w:sz w:val="22"/>
          <w:szCs w:val="22"/>
        </w:rPr>
        <w:t>the United Arab Emirates</w:t>
      </w:r>
      <w:r w:rsidR="00BE4770" w:rsidRPr="00A52B2B">
        <w:rPr>
          <w:sz w:val="22"/>
          <w:szCs w:val="22"/>
        </w:rPr>
        <w:t xml:space="preserve"> address any gaps</w:t>
      </w:r>
      <w:r w:rsidR="00BE4770" w:rsidRPr="00A52B2B">
        <w:rPr>
          <w:color w:val="000000" w:themeColor="text1"/>
          <w:sz w:val="22"/>
          <w:szCs w:val="22"/>
        </w:rPr>
        <w:t xml:space="preserve"> in consultation and collaboration with relevant stakeholders, including civil society organizations. </w:t>
      </w:r>
      <w:r w:rsidR="004D47C4" w:rsidRPr="004D47C4">
        <w:rPr>
          <w:sz w:val="22"/>
          <w:szCs w:val="22"/>
        </w:rPr>
        <w:t xml:space="preserve">We also recognize that while having strong laws and policies in place are necessary first steps, implementation is also of paramount importance. In areas where we have commended </w:t>
      </w:r>
      <w:r w:rsidR="004D47C4">
        <w:rPr>
          <w:sz w:val="22"/>
          <w:szCs w:val="22"/>
        </w:rPr>
        <w:t>the United Arab Emirates</w:t>
      </w:r>
      <w:r w:rsidR="004D47C4" w:rsidRPr="004D47C4">
        <w:rPr>
          <w:sz w:val="22"/>
          <w:szCs w:val="22"/>
        </w:rPr>
        <w:t xml:space="preserve"> for having provisions in place, we hope the Committee will recommend that </w:t>
      </w:r>
      <w:r w:rsidR="004D47C4">
        <w:rPr>
          <w:sz w:val="22"/>
          <w:szCs w:val="22"/>
        </w:rPr>
        <w:t>the United Arab Emirates</w:t>
      </w:r>
      <w:r w:rsidR="004D47C4" w:rsidRPr="004D47C4">
        <w:rPr>
          <w:sz w:val="22"/>
          <w:szCs w:val="22"/>
        </w:rPr>
        <w:t xml:space="preserve"> work with stakeholders to overcome any obstacles in implementing these provisions.</w:t>
      </w:r>
    </w:p>
    <w:bookmarkEnd w:id="51"/>
    <w:p w:rsidR="00500831" w:rsidRDefault="00500831" w:rsidP="00BE6DF8">
      <w:pPr>
        <w:rPr>
          <w:color w:val="000000" w:themeColor="text1"/>
          <w:sz w:val="22"/>
          <w:szCs w:val="22"/>
        </w:rPr>
      </w:pPr>
    </w:p>
    <w:p w:rsidR="00500831" w:rsidRPr="00A52B2B" w:rsidRDefault="00500831" w:rsidP="00BE6DF8">
      <w:pPr>
        <w:rPr>
          <w:sz w:val="22"/>
          <w:szCs w:val="22"/>
        </w:rPr>
      </w:pPr>
    </w:p>
    <w:bookmarkEnd w:id="52"/>
    <w:p w:rsidR="00ED4891" w:rsidRDefault="00ED4891" w:rsidP="00ED4891">
      <w:pPr>
        <w:rPr>
          <w:b/>
          <w:i/>
        </w:rPr>
      </w:pPr>
    </w:p>
    <w:p w:rsidR="00DF6F0C" w:rsidRDefault="00DF6F0C" w:rsidP="00ED4891">
      <w:pPr>
        <w:rPr>
          <w:b/>
          <w:i/>
        </w:rPr>
      </w:pPr>
    </w:p>
    <w:p w:rsidR="00817B9A" w:rsidRDefault="00817B9A" w:rsidP="00ED4891">
      <w:pPr>
        <w:rPr>
          <w:b/>
          <w:i/>
        </w:rPr>
      </w:pPr>
    </w:p>
    <w:p w:rsidR="00E6045A" w:rsidRDefault="00E6045A" w:rsidP="00A52B2B">
      <w:pPr>
        <w:pStyle w:val="Heading1"/>
        <w:rPr>
          <w:rFonts w:eastAsia="Times New Roman"/>
          <w:b/>
          <w:bCs/>
        </w:rPr>
      </w:pPr>
      <w:bookmarkStart w:id="53" w:name="_Toc56070607"/>
      <w:bookmarkStart w:id="54" w:name="_Toc56079790"/>
      <w:bookmarkStart w:id="55" w:name="_Hlk56078328"/>
      <w:bookmarkStart w:id="56" w:name="_Toc61600078"/>
      <w:bookmarkStart w:id="57" w:name="_Hlk55550733"/>
      <w:r>
        <w:rPr>
          <w:rFonts w:eastAsia="Times New Roman"/>
          <w:b/>
          <w:bCs/>
        </w:rPr>
        <w:lastRenderedPageBreak/>
        <w:t>Summary of Findings and Recommendations</w:t>
      </w:r>
      <w:bookmarkEnd w:id="53"/>
      <w:bookmarkEnd w:id="54"/>
      <w:bookmarkEnd w:id="55"/>
      <w:bookmarkEnd w:id="56"/>
    </w:p>
    <w:p w:rsidR="00E6045A" w:rsidRPr="00E6045A" w:rsidRDefault="00E6045A" w:rsidP="00E6045A">
      <w:pPr>
        <w:pStyle w:val="NoSpacing"/>
      </w:pPr>
    </w:p>
    <w:p w:rsidR="00E6045A" w:rsidRPr="00A52B2B" w:rsidRDefault="00E6045A" w:rsidP="006E7C18">
      <w:pPr>
        <w:keepNext/>
        <w:keepLines/>
        <w:numPr>
          <w:ilvl w:val="0"/>
          <w:numId w:val="1"/>
        </w:numPr>
        <w:pBdr>
          <w:bottom w:val="single" w:sz="6" w:space="1" w:color="auto"/>
        </w:pBdr>
        <w:spacing w:before="40" w:after="0" w:line="259" w:lineRule="auto"/>
        <w:outlineLvl w:val="1"/>
        <w:rPr>
          <w:rFonts w:ascii="Calibri Light" w:eastAsia="Times New Roman" w:hAnsi="Calibri Light" w:cs="Times New Roman"/>
          <w:b/>
          <w:color w:val="2E74B5"/>
          <w:sz w:val="26"/>
          <w:szCs w:val="26"/>
        </w:rPr>
      </w:pPr>
      <w:bookmarkStart w:id="58" w:name="_Toc61600079"/>
      <w:r w:rsidRPr="005E4090">
        <w:rPr>
          <w:rFonts w:ascii="Calibri Light" w:eastAsia="Times New Roman" w:hAnsi="Calibri Light" w:cs="Times New Roman"/>
          <w:b/>
          <w:color w:val="2E74B5"/>
          <w:sz w:val="26"/>
          <w:szCs w:val="26"/>
        </w:rPr>
        <w:t xml:space="preserve">General </w:t>
      </w:r>
      <w:r>
        <w:rPr>
          <w:rFonts w:ascii="Calibri Light" w:eastAsia="Times New Roman" w:hAnsi="Calibri Light" w:cs="Times New Roman"/>
          <w:b/>
          <w:color w:val="2E74B5"/>
          <w:sz w:val="26"/>
          <w:szCs w:val="26"/>
        </w:rPr>
        <w:t>Equality and Non-Discrimination</w:t>
      </w:r>
      <w:r w:rsidRPr="005E4090">
        <w:rPr>
          <w:rFonts w:ascii="Calibri Light" w:eastAsia="Times New Roman" w:hAnsi="Calibri Light" w:cs="Times New Roman"/>
          <w:b/>
          <w:color w:val="2E74B5"/>
          <w:sz w:val="26"/>
          <w:szCs w:val="26"/>
        </w:rPr>
        <w:t xml:space="preserve"> (Article 2)</w:t>
      </w:r>
      <w:bookmarkEnd w:id="58"/>
    </w:p>
    <w:p w:rsidR="00E6045A" w:rsidRDefault="00E6045A" w:rsidP="00E6045A">
      <w:pPr>
        <w:rPr>
          <w:sz w:val="22"/>
          <w:szCs w:val="22"/>
        </w:rPr>
      </w:pPr>
      <w:r w:rsidRPr="00E6045A">
        <w:rPr>
          <w:sz w:val="22"/>
          <w:szCs w:val="22"/>
        </w:rPr>
        <w:t xml:space="preserve">Based on our review, Article 25 the United Arab Emirates’ constitution prohibits discrimination based on race, nationality, religion, and social position. However, </w:t>
      </w:r>
      <w:r w:rsidRPr="00E6045A">
        <w:rPr>
          <w:b/>
          <w:bCs/>
          <w:sz w:val="22"/>
          <w:szCs w:val="22"/>
        </w:rPr>
        <w:t>the constitution does not explicitly guarantee equality and non-discrimination to women or to persons based on sex or gender.</w:t>
      </w:r>
      <w:r w:rsidRPr="00E6045A">
        <w:rPr>
          <w:sz w:val="22"/>
          <w:szCs w:val="22"/>
        </w:rPr>
        <w:t xml:space="preserve"> </w:t>
      </w:r>
    </w:p>
    <w:p w:rsidR="006E7C18" w:rsidRPr="007E2A89" w:rsidRDefault="006E7C18" w:rsidP="006E7C18">
      <w:pPr>
        <w:rPr>
          <w:b/>
          <w:sz w:val="22"/>
          <w:szCs w:val="22"/>
        </w:rPr>
      </w:pPr>
      <w:r w:rsidRPr="007E2A89">
        <w:rPr>
          <w:b/>
          <w:sz w:val="22"/>
          <w:szCs w:val="22"/>
        </w:rPr>
        <w:t xml:space="preserve">We hope the Committee will: </w:t>
      </w:r>
    </w:p>
    <w:p w:rsidR="006E7C18" w:rsidRPr="00817B9A" w:rsidRDefault="006E7C18" w:rsidP="00817B9A">
      <w:pPr>
        <w:pStyle w:val="ListParagraph"/>
        <w:numPr>
          <w:ilvl w:val="0"/>
          <w:numId w:val="6"/>
        </w:numPr>
        <w:spacing w:before="0" w:after="160"/>
        <w:rPr>
          <w:bCs/>
          <w:color w:val="000000" w:themeColor="text1"/>
          <w:szCs w:val="24"/>
        </w:rPr>
      </w:pPr>
      <w:r w:rsidRPr="00817B9A">
        <w:rPr>
          <w:sz w:val="22"/>
          <w:szCs w:val="22"/>
        </w:rPr>
        <w:t xml:space="preserve">Recommend in its concluding observations that </w:t>
      </w:r>
      <w:r w:rsidR="00F5294E">
        <w:rPr>
          <w:sz w:val="22"/>
          <w:szCs w:val="22"/>
        </w:rPr>
        <w:t xml:space="preserve">the </w:t>
      </w:r>
      <w:r w:rsidR="00817B9A">
        <w:rPr>
          <w:sz w:val="22"/>
          <w:szCs w:val="22"/>
        </w:rPr>
        <w:t>United Arab Emirates</w:t>
      </w:r>
      <w:r w:rsidRPr="00817B9A">
        <w:rPr>
          <w:sz w:val="22"/>
          <w:szCs w:val="22"/>
        </w:rPr>
        <w:t xml:space="preserve"> </w:t>
      </w:r>
      <w:r w:rsidR="00DA440D">
        <w:rPr>
          <w:sz w:val="22"/>
          <w:szCs w:val="22"/>
        </w:rPr>
        <w:t>amend</w:t>
      </w:r>
      <w:r w:rsidRPr="00817B9A">
        <w:rPr>
          <w:sz w:val="22"/>
          <w:szCs w:val="22"/>
        </w:rPr>
        <w:t xml:space="preserve"> the constitution to add explicit guarantees of equality and non-discrimination based on sex and gender, consistent with CEDAW commitments.</w:t>
      </w:r>
      <w:r w:rsidR="00817B9A">
        <w:rPr>
          <w:sz w:val="22"/>
          <w:szCs w:val="22"/>
        </w:rPr>
        <w:t xml:space="preserve"> </w:t>
      </w:r>
      <w:r w:rsidR="00817B9A" w:rsidRPr="00817B9A">
        <w:rPr>
          <w:sz w:val="22"/>
          <w:szCs w:val="28"/>
        </w:rPr>
        <w:t xml:space="preserve">These guarantees could be added to Article </w:t>
      </w:r>
      <w:r w:rsidR="00817B9A">
        <w:rPr>
          <w:sz w:val="22"/>
          <w:szCs w:val="28"/>
        </w:rPr>
        <w:t>25</w:t>
      </w:r>
      <w:r w:rsidR="00817B9A" w:rsidRPr="00817B9A">
        <w:rPr>
          <w:sz w:val="22"/>
          <w:szCs w:val="28"/>
        </w:rPr>
        <w:t xml:space="preserve"> of the constitution, which already guarantees </w:t>
      </w:r>
      <w:r w:rsidR="00817B9A">
        <w:rPr>
          <w:sz w:val="22"/>
          <w:szCs w:val="28"/>
        </w:rPr>
        <w:t>non-discrimination</w:t>
      </w:r>
      <w:r w:rsidR="00817B9A" w:rsidRPr="00817B9A">
        <w:rPr>
          <w:sz w:val="22"/>
          <w:szCs w:val="28"/>
        </w:rPr>
        <w:t xml:space="preserve"> based on other personal characteristics and statuses.</w:t>
      </w:r>
    </w:p>
    <w:p w:rsidR="00E6045A" w:rsidRDefault="00E6045A" w:rsidP="00E6045A"/>
    <w:p w:rsidR="00E6045A" w:rsidRPr="00E6045A" w:rsidRDefault="00E6045A" w:rsidP="006E7C18">
      <w:pPr>
        <w:pStyle w:val="ListParagraph"/>
        <w:keepNext/>
        <w:keepLines/>
        <w:numPr>
          <w:ilvl w:val="0"/>
          <w:numId w:val="1"/>
        </w:numPr>
        <w:pBdr>
          <w:bottom w:val="single" w:sz="6" w:space="1" w:color="auto"/>
        </w:pBdr>
        <w:spacing w:before="40" w:after="0" w:line="259" w:lineRule="auto"/>
        <w:outlineLvl w:val="1"/>
        <w:rPr>
          <w:rFonts w:ascii="Calibri Light" w:eastAsia="Times New Roman" w:hAnsi="Calibri Light" w:cs="Times New Roman"/>
          <w:b/>
          <w:color w:val="2E74B5"/>
          <w:sz w:val="26"/>
          <w:szCs w:val="26"/>
        </w:rPr>
      </w:pPr>
      <w:bookmarkStart w:id="59" w:name="_Toc61600080"/>
      <w:r w:rsidRPr="00E6045A">
        <w:rPr>
          <w:rFonts w:ascii="Calibri Light" w:eastAsia="Times New Roman" w:hAnsi="Calibri Light" w:cs="Times New Roman"/>
          <w:b/>
          <w:color w:val="2E74B5"/>
          <w:sz w:val="26"/>
          <w:szCs w:val="26"/>
        </w:rPr>
        <w:t>Non-Discrimination in Work and Employment (Article 11)</w:t>
      </w:r>
      <w:bookmarkEnd w:id="59"/>
    </w:p>
    <w:p w:rsidR="00174B33" w:rsidRDefault="00174B33" w:rsidP="00174B33">
      <w:pPr>
        <w:rPr>
          <w:sz w:val="22"/>
          <w:szCs w:val="22"/>
        </w:rPr>
      </w:pPr>
      <w:r w:rsidRPr="00174B33">
        <w:rPr>
          <w:sz w:val="22"/>
          <w:szCs w:val="22"/>
        </w:rPr>
        <w:t xml:space="preserve">Based on our review, </w:t>
      </w:r>
      <w:r>
        <w:rPr>
          <w:sz w:val="22"/>
          <w:szCs w:val="22"/>
        </w:rPr>
        <w:t>the United Arab Emirates</w:t>
      </w:r>
      <w:r w:rsidRPr="00174B33">
        <w:rPr>
          <w:sz w:val="22"/>
          <w:szCs w:val="22"/>
        </w:rPr>
        <w:t xml:space="preserve"> </w:t>
      </w:r>
      <w:r w:rsidRPr="00723F1C">
        <w:rPr>
          <w:b/>
          <w:bCs/>
          <w:sz w:val="22"/>
          <w:szCs w:val="22"/>
        </w:rPr>
        <w:t>guarantees equal pay for equal work between women and men</w:t>
      </w:r>
      <w:r w:rsidRPr="00174B33">
        <w:rPr>
          <w:sz w:val="22"/>
          <w:szCs w:val="22"/>
        </w:rPr>
        <w:t xml:space="preserve">. However, </w:t>
      </w:r>
      <w:r>
        <w:rPr>
          <w:sz w:val="22"/>
          <w:szCs w:val="22"/>
        </w:rPr>
        <w:t xml:space="preserve">legislation fails to </w:t>
      </w:r>
      <w:r w:rsidRPr="00174B33">
        <w:rPr>
          <w:sz w:val="22"/>
          <w:szCs w:val="22"/>
        </w:rPr>
        <w:t xml:space="preserve">guarantee </w:t>
      </w:r>
      <w:r>
        <w:rPr>
          <w:sz w:val="22"/>
          <w:szCs w:val="22"/>
        </w:rPr>
        <w:t xml:space="preserve">the stronger provision </w:t>
      </w:r>
      <w:r w:rsidRPr="00174B33">
        <w:rPr>
          <w:sz w:val="22"/>
          <w:szCs w:val="22"/>
        </w:rPr>
        <w:t xml:space="preserve">of equal pay for work of equal value that is outlined in Article 11 of the Convention. </w:t>
      </w:r>
      <w:r>
        <w:rPr>
          <w:sz w:val="22"/>
          <w:szCs w:val="22"/>
        </w:rPr>
        <w:t>W</w:t>
      </w:r>
      <w:r w:rsidRPr="00174B33">
        <w:rPr>
          <w:sz w:val="22"/>
          <w:szCs w:val="22"/>
        </w:rPr>
        <w:t xml:space="preserve">e </w:t>
      </w:r>
      <w:r w:rsidRPr="00723F1C">
        <w:rPr>
          <w:b/>
          <w:bCs/>
          <w:sz w:val="22"/>
          <w:szCs w:val="22"/>
        </w:rPr>
        <w:t xml:space="preserve">did not identify any provisions that </w:t>
      </w:r>
      <w:r w:rsidR="0033322B">
        <w:rPr>
          <w:b/>
          <w:bCs/>
          <w:sz w:val="22"/>
          <w:szCs w:val="22"/>
        </w:rPr>
        <w:t xml:space="preserve">explicitly </w:t>
      </w:r>
      <w:r w:rsidRPr="00723F1C">
        <w:rPr>
          <w:b/>
          <w:bCs/>
          <w:sz w:val="22"/>
          <w:szCs w:val="22"/>
        </w:rPr>
        <w:t xml:space="preserve">prohibit </w:t>
      </w:r>
      <w:r w:rsidR="0033322B">
        <w:rPr>
          <w:b/>
          <w:bCs/>
          <w:sz w:val="22"/>
          <w:szCs w:val="22"/>
        </w:rPr>
        <w:t xml:space="preserve">sex-based </w:t>
      </w:r>
      <w:r w:rsidRPr="00723F1C">
        <w:rPr>
          <w:b/>
          <w:bCs/>
          <w:sz w:val="22"/>
          <w:szCs w:val="22"/>
        </w:rPr>
        <w:t>discrimination in other dimensions of work including employment opportunities, vocational training, promotions or demotions, and terminations</w:t>
      </w:r>
      <w:r w:rsidRPr="00174B33">
        <w:rPr>
          <w:sz w:val="22"/>
          <w:szCs w:val="22"/>
        </w:rPr>
        <w:t xml:space="preserve">. </w:t>
      </w:r>
    </w:p>
    <w:p w:rsidR="00174B33" w:rsidRPr="007E2A89" w:rsidRDefault="00174B33" w:rsidP="00174B33">
      <w:pPr>
        <w:rPr>
          <w:b/>
          <w:sz w:val="22"/>
          <w:szCs w:val="22"/>
        </w:rPr>
      </w:pPr>
      <w:r w:rsidRPr="007E2A89">
        <w:rPr>
          <w:b/>
          <w:sz w:val="22"/>
          <w:szCs w:val="22"/>
        </w:rPr>
        <w:t xml:space="preserve">We hope the Committee will: </w:t>
      </w:r>
    </w:p>
    <w:p w:rsidR="00174B33" w:rsidRDefault="00174B33" w:rsidP="00174B33">
      <w:pPr>
        <w:pStyle w:val="ListParagraph"/>
        <w:numPr>
          <w:ilvl w:val="0"/>
          <w:numId w:val="6"/>
        </w:numPr>
        <w:rPr>
          <w:sz w:val="22"/>
          <w:szCs w:val="22"/>
        </w:rPr>
      </w:pPr>
      <w:r w:rsidRPr="007E2A89">
        <w:rPr>
          <w:sz w:val="22"/>
          <w:szCs w:val="22"/>
        </w:rPr>
        <w:t xml:space="preserve">In its list of issues, ask </w:t>
      </w:r>
      <w:r w:rsidR="00F5294E">
        <w:rPr>
          <w:sz w:val="22"/>
          <w:szCs w:val="22"/>
        </w:rPr>
        <w:t xml:space="preserve">the </w:t>
      </w:r>
      <w:r>
        <w:rPr>
          <w:sz w:val="22"/>
          <w:szCs w:val="22"/>
        </w:rPr>
        <w:t>United Arab Emirates</w:t>
      </w:r>
      <w:r w:rsidRPr="007E2A89">
        <w:rPr>
          <w:sz w:val="22"/>
          <w:szCs w:val="22"/>
        </w:rPr>
        <w:t xml:space="preserve">: Can </w:t>
      </w:r>
      <w:r w:rsidR="00F5294E">
        <w:rPr>
          <w:sz w:val="22"/>
          <w:szCs w:val="22"/>
        </w:rPr>
        <w:t xml:space="preserve">the </w:t>
      </w:r>
      <w:r>
        <w:rPr>
          <w:sz w:val="22"/>
          <w:szCs w:val="22"/>
        </w:rPr>
        <w:t>United Arab Emirates</w:t>
      </w:r>
      <w:r w:rsidRPr="007E2A89">
        <w:rPr>
          <w:sz w:val="22"/>
          <w:szCs w:val="22"/>
        </w:rPr>
        <w:t xml:space="preserve"> outline any concrete, near-term plans to pass legislation that explicitly prohibits </w:t>
      </w:r>
      <w:r>
        <w:rPr>
          <w:sz w:val="22"/>
          <w:szCs w:val="22"/>
        </w:rPr>
        <w:t>sex-based discrimination in other dimensions of work including employment opportunities, vocational training, promotions and demotions, and terminations?</w:t>
      </w:r>
    </w:p>
    <w:p w:rsidR="00E6045A" w:rsidRDefault="00174B33" w:rsidP="00E6045A">
      <w:pPr>
        <w:pStyle w:val="ListParagraph"/>
        <w:numPr>
          <w:ilvl w:val="1"/>
          <w:numId w:val="6"/>
        </w:numPr>
        <w:rPr>
          <w:sz w:val="22"/>
          <w:szCs w:val="22"/>
        </w:rPr>
      </w:pPr>
      <w:r w:rsidRPr="00174B33">
        <w:rPr>
          <w:sz w:val="22"/>
          <w:szCs w:val="22"/>
        </w:rPr>
        <w:t xml:space="preserve">If concrete, near-term plans are not in place, recommend in its concluding observations that </w:t>
      </w:r>
      <w:r w:rsidR="00F5294E">
        <w:rPr>
          <w:sz w:val="22"/>
          <w:szCs w:val="22"/>
        </w:rPr>
        <w:t xml:space="preserve">the </w:t>
      </w:r>
      <w:r w:rsidRPr="00174B33">
        <w:rPr>
          <w:sz w:val="22"/>
          <w:szCs w:val="22"/>
        </w:rPr>
        <w:t>United Arab Emirates pass and implement legislation that explicitly</w:t>
      </w:r>
      <w:r>
        <w:rPr>
          <w:sz w:val="22"/>
          <w:szCs w:val="22"/>
        </w:rPr>
        <w:t xml:space="preserve"> prohibits sex-based discrimination in all dimensions of work</w:t>
      </w:r>
      <w:r w:rsidRPr="00174B33">
        <w:rPr>
          <w:sz w:val="22"/>
          <w:szCs w:val="22"/>
        </w:rPr>
        <w:t xml:space="preserve">. </w:t>
      </w:r>
    </w:p>
    <w:p w:rsidR="00E75B98" w:rsidRPr="00E75B98" w:rsidRDefault="00E75B98" w:rsidP="00E75B98">
      <w:pPr>
        <w:pStyle w:val="ListParagraph"/>
        <w:ind w:left="1440"/>
        <w:rPr>
          <w:sz w:val="22"/>
          <w:szCs w:val="22"/>
        </w:rPr>
      </w:pPr>
    </w:p>
    <w:p w:rsidR="00E6045A" w:rsidRPr="00FF10FA" w:rsidRDefault="00E6045A" w:rsidP="006E7C18">
      <w:pPr>
        <w:keepNext/>
        <w:keepLines/>
        <w:numPr>
          <w:ilvl w:val="0"/>
          <w:numId w:val="1"/>
        </w:numPr>
        <w:pBdr>
          <w:bottom w:val="single" w:sz="6" w:space="1" w:color="auto"/>
        </w:pBdr>
        <w:spacing w:before="40" w:after="0" w:line="259" w:lineRule="auto"/>
        <w:outlineLvl w:val="1"/>
        <w:rPr>
          <w:rFonts w:ascii="Calibri Light" w:eastAsia="Times New Roman" w:hAnsi="Calibri Light" w:cs="Times New Roman"/>
          <w:b/>
          <w:color w:val="2E74B5"/>
          <w:sz w:val="26"/>
          <w:szCs w:val="26"/>
        </w:rPr>
      </w:pPr>
      <w:bookmarkStart w:id="60" w:name="_Toc61600081"/>
      <w:r>
        <w:rPr>
          <w:rFonts w:ascii="Calibri Light" w:eastAsia="Times New Roman" w:hAnsi="Calibri Light" w:cs="Times New Roman"/>
          <w:b/>
          <w:color w:val="2E74B5"/>
          <w:sz w:val="26"/>
          <w:szCs w:val="26"/>
        </w:rPr>
        <w:t>Sexual Harassment in Work and Employment</w:t>
      </w:r>
      <w:r w:rsidRPr="005E4090">
        <w:rPr>
          <w:rFonts w:ascii="Calibri Light" w:eastAsia="Times New Roman" w:hAnsi="Calibri Light" w:cs="Times New Roman"/>
          <w:b/>
          <w:color w:val="2E74B5"/>
          <w:sz w:val="26"/>
          <w:szCs w:val="26"/>
        </w:rPr>
        <w:t xml:space="preserve"> (</w:t>
      </w:r>
      <w:r>
        <w:rPr>
          <w:rFonts w:ascii="Calibri Light" w:eastAsia="Times New Roman" w:hAnsi="Calibri Light" w:cs="Times New Roman"/>
          <w:b/>
          <w:color w:val="2E74B5"/>
          <w:sz w:val="26"/>
          <w:szCs w:val="26"/>
        </w:rPr>
        <w:t>General Recommendation No. 12)</w:t>
      </w:r>
      <w:bookmarkEnd w:id="60"/>
    </w:p>
    <w:p w:rsidR="00C00018" w:rsidRDefault="00CD264C" w:rsidP="007E2A89">
      <w:pPr>
        <w:rPr>
          <w:sz w:val="22"/>
          <w:szCs w:val="22"/>
        </w:rPr>
      </w:pPr>
      <w:bookmarkStart w:id="61" w:name="_Hlk58852241"/>
      <w:r w:rsidRPr="00CD264C">
        <w:rPr>
          <w:sz w:val="22"/>
          <w:szCs w:val="22"/>
        </w:rPr>
        <w:t xml:space="preserve">Based on our systematic review of national legislation, </w:t>
      </w:r>
      <w:r w:rsidRPr="00951B25">
        <w:rPr>
          <w:b/>
          <w:sz w:val="22"/>
          <w:szCs w:val="22"/>
        </w:rPr>
        <w:t>Law</w:t>
      </w:r>
      <w:r w:rsidRPr="00CD264C">
        <w:rPr>
          <w:sz w:val="22"/>
          <w:szCs w:val="22"/>
        </w:rPr>
        <w:t xml:space="preserve"> </w:t>
      </w:r>
      <w:r w:rsidRPr="00EA02F2">
        <w:rPr>
          <w:b/>
          <w:bCs/>
          <w:sz w:val="22"/>
          <w:szCs w:val="22"/>
        </w:rPr>
        <w:t>No. 4/2019 amended the Penal Code</w:t>
      </w:r>
      <w:r w:rsidR="007112EC" w:rsidRPr="00EA02F2">
        <w:rPr>
          <w:b/>
          <w:bCs/>
          <w:sz w:val="22"/>
          <w:szCs w:val="22"/>
        </w:rPr>
        <w:t xml:space="preserve"> to</w:t>
      </w:r>
      <w:r w:rsidRPr="00EA02F2">
        <w:rPr>
          <w:b/>
          <w:bCs/>
          <w:sz w:val="22"/>
          <w:szCs w:val="22"/>
        </w:rPr>
        <w:t xml:space="preserve"> </w:t>
      </w:r>
      <w:r w:rsidR="007112EC" w:rsidRPr="00EA02F2">
        <w:rPr>
          <w:b/>
          <w:bCs/>
          <w:sz w:val="22"/>
          <w:szCs w:val="22"/>
        </w:rPr>
        <w:t xml:space="preserve">generally </w:t>
      </w:r>
      <w:r w:rsidRPr="00EA02F2">
        <w:rPr>
          <w:b/>
          <w:bCs/>
          <w:sz w:val="22"/>
          <w:szCs w:val="22"/>
        </w:rPr>
        <w:t>prohibit sexual harassment</w:t>
      </w:r>
      <w:r w:rsidR="007112EC" w:rsidRPr="00EA02F2">
        <w:rPr>
          <w:b/>
          <w:bCs/>
          <w:sz w:val="22"/>
          <w:szCs w:val="22"/>
        </w:rPr>
        <w:t xml:space="preserve"> by anyone with functional authority</w:t>
      </w:r>
      <w:r w:rsidRPr="00CD264C">
        <w:rPr>
          <w:sz w:val="22"/>
          <w:szCs w:val="22"/>
        </w:rPr>
        <w:t>. We commend the United Arab Emirates for</w:t>
      </w:r>
      <w:r>
        <w:rPr>
          <w:sz w:val="22"/>
          <w:szCs w:val="22"/>
        </w:rPr>
        <w:t xml:space="preserve"> recently</w:t>
      </w:r>
      <w:r w:rsidRPr="00CD264C">
        <w:rPr>
          <w:sz w:val="22"/>
          <w:szCs w:val="22"/>
        </w:rPr>
        <w:t xml:space="preserve"> taking this important step in protecting women from sexual harassment</w:t>
      </w:r>
      <w:r>
        <w:rPr>
          <w:sz w:val="22"/>
          <w:szCs w:val="22"/>
        </w:rPr>
        <w:t xml:space="preserve">. </w:t>
      </w:r>
      <w:r w:rsidR="00F3746E">
        <w:rPr>
          <w:sz w:val="22"/>
          <w:szCs w:val="22"/>
        </w:rPr>
        <w:t xml:space="preserve">The development and implementation of detailed guidelines for this provision, </w:t>
      </w:r>
      <w:r w:rsidR="00131722">
        <w:rPr>
          <w:sz w:val="22"/>
          <w:szCs w:val="22"/>
        </w:rPr>
        <w:t xml:space="preserve">which are </w:t>
      </w:r>
      <w:r w:rsidR="006C1EE0">
        <w:rPr>
          <w:sz w:val="22"/>
          <w:szCs w:val="22"/>
        </w:rPr>
        <w:t>always</w:t>
      </w:r>
      <w:r w:rsidR="00131722">
        <w:rPr>
          <w:sz w:val="22"/>
          <w:szCs w:val="22"/>
        </w:rPr>
        <w:t xml:space="preserve"> important</w:t>
      </w:r>
      <w:r w:rsidR="00F3746E">
        <w:rPr>
          <w:sz w:val="22"/>
          <w:szCs w:val="22"/>
        </w:rPr>
        <w:t xml:space="preserve">, will be particularly </w:t>
      </w:r>
      <w:r w:rsidR="00001C65">
        <w:rPr>
          <w:sz w:val="22"/>
          <w:szCs w:val="22"/>
        </w:rPr>
        <w:t>important</w:t>
      </w:r>
      <w:r w:rsidR="00F3746E">
        <w:rPr>
          <w:sz w:val="22"/>
          <w:szCs w:val="22"/>
        </w:rPr>
        <w:t xml:space="preserve"> given </w:t>
      </w:r>
      <w:r w:rsidR="00001C65">
        <w:rPr>
          <w:sz w:val="22"/>
          <w:szCs w:val="22"/>
        </w:rPr>
        <w:t xml:space="preserve">the </w:t>
      </w:r>
      <w:r w:rsidR="00131722">
        <w:rPr>
          <w:sz w:val="22"/>
          <w:szCs w:val="22"/>
        </w:rPr>
        <w:t>broad nature of the term “functional authority”</w:t>
      </w:r>
      <w:r w:rsidR="00001C65">
        <w:rPr>
          <w:sz w:val="22"/>
          <w:szCs w:val="22"/>
        </w:rPr>
        <w:t xml:space="preserve">, and also given that </w:t>
      </w:r>
      <w:r w:rsidR="00F83C65" w:rsidRPr="00F83C65">
        <w:rPr>
          <w:sz w:val="22"/>
          <w:szCs w:val="22"/>
        </w:rPr>
        <w:t xml:space="preserve">the </w:t>
      </w:r>
      <w:r w:rsidR="00001C65" w:rsidRPr="00F83C65">
        <w:rPr>
          <w:sz w:val="22"/>
          <w:szCs w:val="22"/>
        </w:rPr>
        <w:t>Penal Code</w:t>
      </w:r>
      <w:r w:rsidR="00001C65" w:rsidRPr="00F83C65">
        <w:rPr>
          <w:bCs/>
          <w:sz w:val="22"/>
          <w:szCs w:val="22"/>
        </w:rPr>
        <w:t xml:space="preserve"> does not provide details around workplace sexual harassment</w:t>
      </w:r>
      <w:r w:rsidR="00131722" w:rsidRPr="00F83C65">
        <w:rPr>
          <w:sz w:val="22"/>
          <w:szCs w:val="22"/>
        </w:rPr>
        <w:t>.</w:t>
      </w:r>
      <w:r w:rsidR="00C00018" w:rsidRPr="00F83C65">
        <w:rPr>
          <w:sz w:val="22"/>
          <w:szCs w:val="22"/>
        </w:rPr>
        <w:t xml:space="preserve"> </w:t>
      </w:r>
    </w:p>
    <w:p w:rsidR="007E2A89" w:rsidRPr="007E2A89" w:rsidRDefault="007E2A89" w:rsidP="007E2A89">
      <w:pPr>
        <w:rPr>
          <w:b/>
          <w:sz w:val="22"/>
          <w:szCs w:val="22"/>
        </w:rPr>
      </w:pPr>
      <w:r w:rsidRPr="007E2A89">
        <w:rPr>
          <w:b/>
          <w:sz w:val="22"/>
          <w:szCs w:val="22"/>
        </w:rPr>
        <w:t xml:space="preserve">We hope the Committee will: </w:t>
      </w:r>
    </w:p>
    <w:p w:rsidR="007E2A89" w:rsidRPr="007E2A89" w:rsidRDefault="007E2A89" w:rsidP="007E2A89">
      <w:pPr>
        <w:pStyle w:val="ListParagraph"/>
        <w:numPr>
          <w:ilvl w:val="0"/>
          <w:numId w:val="6"/>
        </w:numPr>
        <w:rPr>
          <w:sz w:val="22"/>
          <w:szCs w:val="22"/>
        </w:rPr>
      </w:pPr>
      <w:bookmarkStart w:id="62" w:name="_Hlk58846165"/>
      <w:r w:rsidRPr="007E2A89">
        <w:rPr>
          <w:sz w:val="22"/>
          <w:szCs w:val="22"/>
        </w:rPr>
        <w:t xml:space="preserve">In its list of issues, ask </w:t>
      </w:r>
      <w:r w:rsidR="00F5294E">
        <w:rPr>
          <w:sz w:val="22"/>
          <w:szCs w:val="22"/>
        </w:rPr>
        <w:t xml:space="preserve">the </w:t>
      </w:r>
      <w:r>
        <w:rPr>
          <w:sz w:val="22"/>
          <w:szCs w:val="22"/>
        </w:rPr>
        <w:t>United Arab Emirates</w:t>
      </w:r>
      <w:r w:rsidRPr="007E2A89">
        <w:rPr>
          <w:sz w:val="22"/>
          <w:szCs w:val="22"/>
        </w:rPr>
        <w:t xml:space="preserve">: Can </w:t>
      </w:r>
      <w:r w:rsidR="00F5294E">
        <w:rPr>
          <w:sz w:val="22"/>
          <w:szCs w:val="22"/>
        </w:rPr>
        <w:t xml:space="preserve">the </w:t>
      </w:r>
      <w:r>
        <w:rPr>
          <w:sz w:val="22"/>
          <w:szCs w:val="22"/>
        </w:rPr>
        <w:t>United Arab Emirates</w:t>
      </w:r>
      <w:r w:rsidRPr="007E2A89">
        <w:rPr>
          <w:sz w:val="22"/>
          <w:szCs w:val="22"/>
        </w:rPr>
        <w:t xml:space="preserve"> outline </w:t>
      </w:r>
      <w:r w:rsidR="00F3746E">
        <w:rPr>
          <w:sz w:val="22"/>
          <w:szCs w:val="22"/>
        </w:rPr>
        <w:t>any planned steps, whether through additional legislation, regulation</w:t>
      </w:r>
      <w:r w:rsidR="00001C65">
        <w:rPr>
          <w:sz w:val="22"/>
          <w:szCs w:val="22"/>
        </w:rPr>
        <w:t>,</w:t>
      </w:r>
      <w:r w:rsidR="00F3746E">
        <w:rPr>
          <w:sz w:val="22"/>
          <w:szCs w:val="22"/>
        </w:rPr>
        <w:t xml:space="preserve"> or other implementing procedures, to ensure that workplace sexual harassment</w:t>
      </w:r>
      <w:r w:rsidR="00001C65">
        <w:rPr>
          <w:sz w:val="22"/>
          <w:szCs w:val="22"/>
        </w:rPr>
        <w:t xml:space="preserve"> is explicitly prohibited? </w:t>
      </w:r>
    </w:p>
    <w:bookmarkEnd w:id="62"/>
    <w:p w:rsidR="007E2A89" w:rsidRDefault="00257407" w:rsidP="00E6045A">
      <w:pPr>
        <w:pStyle w:val="ListParagraph"/>
        <w:numPr>
          <w:ilvl w:val="0"/>
          <w:numId w:val="6"/>
        </w:numPr>
        <w:rPr>
          <w:sz w:val="22"/>
          <w:szCs w:val="22"/>
        </w:rPr>
      </w:pPr>
      <w:r>
        <w:rPr>
          <w:sz w:val="22"/>
          <w:szCs w:val="22"/>
        </w:rPr>
        <w:t>R</w:t>
      </w:r>
      <w:r w:rsidR="007E2A89" w:rsidRPr="007E2A89">
        <w:rPr>
          <w:sz w:val="22"/>
          <w:szCs w:val="22"/>
        </w:rPr>
        <w:t xml:space="preserve">ecommend in its concluding observations that </w:t>
      </w:r>
      <w:r w:rsidR="00F5294E">
        <w:rPr>
          <w:sz w:val="22"/>
          <w:szCs w:val="22"/>
        </w:rPr>
        <w:t xml:space="preserve">the </w:t>
      </w:r>
      <w:r w:rsidR="007E2A89">
        <w:rPr>
          <w:sz w:val="22"/>
          <w:szCs w:val="22"/>
        </w:rPr>
        <w:t xml:space="preserve">United Arab Emirates </w:t>
      </w:r>
      <w:r w:rsidR="00E41FB4" w:rsidRPr="00F83C65">
        <w:rPr>
          <w:sz w:val="22"/>
          <w:szCs w:val="22"/>
        </w:rPr>
        <w:t>develop</w:t>
      </w:r>
      <w:r w:rsidR="00001C65" w:rsidRPr="00F83C65">
        <w:rPr>
          <w:sz w:val="22"/>
          <w:szCs w:val="22"/>
        </w:rPr>
        <w:t xml:space="preserve"> </w:t>
      </w:r>
      <w:r>
        <w:rPr>
          <w:sz w:val="22"/>
          <w:szCs w:val="22"/>
        </w:rPr>
        <w:t>a comprehensive</w:t>
      </w:r>
      <w:r w:rsidR="00E41FB4">
        <w:rPr>
          <w:sz w:val="22"/>
          <w:szCs w:val="22"/>
        </w:rPr>
        <w:t xml:space="preserve"> law/regulations</w:t>
      </w:r>
      <w:r w:rsidR="007E2A89" w:rsidRPr="007E2A89">
        <w:rPr>
          <w:sz w:val="22"/>
          <w:szCs w:val="22"/>
        </w:rPr>
        <w:t xml:space="preserve"> </w:t>
      </w:r>
      <w:r w:rsidR="00D274E5">
        <w:rPr>
          <w:sz w:val="22"/>
          <w:szCs w:val="22"/>
        </w:rPr>
        <w:t xml:space="preserve">prohibiting workplace </w:t>
      </w:r>
      <w:r w:rsidR="007E2A89" w:rsidRPr="007E2A89">
        <w:rPr>
          <w:sz w:val="22"/>
          <w:szCs w:val="22"/>
        </w:rPr>
        <w:t>sex</w:t>
      </w:r>
      <w:bookmarkStart w:id="63" w:name="_GoBack"/>
      <w:bookmarkEnd w:id="63"/>
      <w:r w:rsidR="007E2A89" w:rsidRPr="007E2A89">
        <w:rPr>
          <w:sz w:val="22"/>
          <w:szCs w:val="22"/>
        </w:rPr>
        <w:t>ual harassment</w:t>
      </w:r>
      <w:r w:rsidR="00E41FB4">
        <w:rPr>
          <w:sz w:val="22"/>
          <w:szCs w:val="22"/>
        </w:rPr>
        <w:t xml:space="preserve"> </w:t>
      </w:r>
      <w:r w:rsidR="00001C65">
        <w:rPr>
          <w:sz w:val="22"/>
          <w:szCs w:val="22"/>
        </w:rPr>
        <w:t xml:space="preserve">that </w:t>
      </w:r>
      <w:r w:rsidR="007E2A89" w:rsidRPr="007E2A89">
        <w:rPr>
          <w:sz w:val="22"/>
          <w:szCs w:val="22"/>
        </w:rPr>
        <w:t xml:space="preserve">includes </w:t>
      </w:r>
      <w:r w:rsidR="00001C65">
        <w:rPr>
          <w:sz w:val="22"/>
          <w:szCs w:val="22"/>
        </w:rPr>
        <w:t>the following key</w:t>
      </w:r>
      <w:r w:rsidR="00D274E5">
        <w:rPr>
          <w:sz w:val="22"/>
          <w:szCs w:val="22"/>
        </w:rPr>
        <w:t xml:space="preserve"> </w:t>
      </w:r>
      <w:r w:rsidR="007E2A89" w:rsidRPr="007E2A89">
        <w:rPr>
          <w:sz w:val="22"/>
          <w:szCs w:val="22"/>
        </w:rPr>
        <w:t>elements</w:t>
      </w:r>
      <w:r w:rsidR="00001C65">
        <w:rPr>
          <w:sz w:val="22"/>
          <w:szCs w:val="22"/>
        </w:rPr>
        <w:t xml:space="preserve"> as outline</w:t>
      </w:r>
      <w:r w:rsidR="00F83C65">
        <w:rPr>
          <w:sz w:val="22"/>
          <w:szCs w:val="22"/>
        </w:rPr>
        <w:t>d in the ILO Convention No. 190:</w:t>
      </w:r>
      <w:r w:rsidR="00001C65">
        <w:rPr>
          <w:sz w:val="22"/>
          <w:szCs w:val="22"/>
        </w:rPr>
        <w:t xml:space="preserve"> </w:t>
      </w:r>
      <w:r w:rsidR="007E2A89" w:rsidRPr="007E2A89">
        <w:rPr>
          <w:sz w:val="22"/>
          <w:szCs w:val="22"/>
        </w:rPr>
        <w:t xml:space="preserve"> </w:t>
      </w:r>
    </w:p>
    <w:p w:rsidR="00001C65" w:rsidRPr="00001C65" w:rsidRDefault="00001C65" w:rsidP="00F83C65">
      <w:pPr>
        <w:pStyle w:val="ListParagraph"/>
        <w:numPr>
          <w:ilvl w:val="1"/>
          <w:numId w:val="6"/>
        </w:numPr>
        <w:rPr>
          <w:sz w:val="22"/>
          <w:szCs w:val="22"/>
        </w:rPr>
      </w:pPr>
      <w:r w:rsidRPr="00001C65">
        <w:rPr>
          <w:sz w:val="22"/>
          <w:szCs w:val="22"/>
        </w:rPr>
        <w:t xml:space="preserve">An explicit prohibition of sexual harassment that extends to anyone in the workplace, including supervisors, co-workers, and third-parties, such as customers, clients, or contractors; </w:t>
      </w:r>
    </w:p>
    <w:p w:rsidR="00001C65" w:rsidRPr="00001C65" w:rsidRDefault="00001C65" w:rsidP="00F83C65">
      <w:pPr>
        <w:pStyle w:val="ListParagraph"/>
        <w:numPr>
          <w:ilvl w:val="1"/>
          <w:numId w:val="6"/>
        </w:numPr>
        <w:rPr>
          <w:sz w:val="22"/>
          <w:szCs w:val="22"/>
        </w:rPr>
      </w:pPr>
      <w:r w:rsidRPr="00001C65">
        <w:rPr>
          <w:sz w:val="22"/>
          <w:szCs w:val="22"/>
        </w:rPr>
        <w:t xml:space="preserve">A clear definition of sexual harassment behaviors, including quid pro quo, conduct that creates a hostile work environment, and sex-based harassment; </w:t>
      </w:r>
    </w:p>
    <w:p w:rsidR="00001C65" w:rsidRPr="00001C65" w:rsidRDefault="00001C65" w:rsidP="00F83C65">
      <w:pPr>
        <w:pStyle w:val="ListParagraph"/>
        <w:numPr>
          <w:ilvl w:val="1"/>
          <w:numId w:val="6"/>
        </w:numPr>
        <w:rPr>
          <w:sz w:val="22"/>
          <w:szCs w:val="22"/>
        </w:rPr>
      </w:pPr>
      <w:r w:rsidRPr="00001C65">
        <w:rPr>
          <w:sz w:val="22"/>
          <w:szCs w:val="22"/>
        </w:rPr>
        <w:t>A prohibition of retaliatory actions against persons who report cases of workplace sexual harassment;</w:t>
      </w:r>
    </w:p>
    <w:p w:rsidR="00001C65" w:rsidRPr="00F83C65" w:rsidRDefault="00001C65" w:rsidP="00F83C65">
      <w:pPr>
        <w:pStyle w:val="ListParagraph"/>
        <w:numPr>
          <w:ilvl w:val="1"/>
          <w:numId w:val="6"/>
        </w:numPr>
        <w:rPr>
          <w:sz w:val="22"/>
          <w:szCs w:val="22"/>
        </w:rPr>
      </w:pPr>
      <w:r w:rsidRPr="00001C65">
        <w:rPr>
          <w:sz w:val="22"/>
          <w:szCs w:val="22"/>
        </w:rPr>
        <w:t>An effective and inclusive reporting process that ensures all women, regardless of income or social status, have legal recourse.</w:t>
      </w:r>
    </w:p>
    <w:bookmarkEnd w:id="61"/>
    <w:p w:rsidR="00E75B98" w:rsidRPr="00E75B98" w:rsidRDefault="00E75B98" w:rsidP="00E75B98">
      <w:pPr>
        <w:pStyle w:val="ListParagraph"/>
        <w:rPr>
          <w:sz w:val="22"/>
          <w:szCs w:val="22"/>
        </w:rPr>
      </w:pPr>
    </w:p>
    <w:p w:rsidR="00E6045A" w:rsidRPr="00FF10FA" w:rsidRDefault="00E6045A" w:rsidP="006E7C18">
      <w:pPr>
        <w:keepNext/>
        <w:keepLines/>
        <w:numPr>
          <w:ilvl w:val="0"/>
          <w:numId w:val="1"/>
        </w:numPr>
        <w:pBdr>
          <w:bottom w:val="single" w:sz="6" w:space="1" w:color="auto"/>
        </w:pBdr>
        <w:spacing w:before="40" w:after="0" w:line="259" w:lineRule="auto"/>
        <w:outlineLvl w:val="1"/>
        <w:rPr>
          <w:rFonts w:ascii="Calibri Light" w:eastAsia="Times New Roman" w:hAnsi="Calibri Light" w:cs="Times New Roman"/>
          <w:b/>
          <w:color w:val="2E74B5"/>
          <w:sz w:val="26"/>
          <w:szCs w:val="26"/>
        </w:rPr>
      </w:pPr>
      <w:bookmarkStart w:id="64" w:name="_Toc61600082"/>
      <w:r>
        <w:rPr>
          <w:rFonts w:ascii="Calibri Light" w:eastAsia="Times New Roman" w:hAnsi="Calibri Light" w:cs="Times New Roman"/>
          <w:b/>
          <w:color w:val="2E74B5"/>
          <w:sz w:val="26"/>
          <w:szCs w:val="26"/>
        </w:rPr>
        <w:t>Paid Maternity and Paternity Leave</w:t>
      </w:r>
      <w:r w:rsidRPr="005E4090">
        <w:rPr>
          <w:rFonts w:ascii="Calibri Light" w:eastAsia="Times New Roman" w:hAnsi="Calibri Light" w:cs="Times New Roman"/>
          <w:b/>
          <w:color w:val="2E74B5"/>
          <w:sz w:val="26"/>
          <w:szCs w:val="26"/>
        </w:rPr>
        <w:t xml:space="preserve"> (</w:t>
      </w:r>
      <w:r>
        <w:rPr>
          <w:rFonts w:ascii="Calibri Light" w:eastAsia="Times New Roman" w:hAnsi="Calibri Light" w:cs="Times New Roman"/>
          <w:b/>
          <w:color w:val="2E74B5"/>
          <w:sz w:val="26"/>
          <w:szCs w:val="26"/>
        </w:rPr>
        <w:t>Articles 11, 5)</w:t>
      </w:r>
      <w:bookmarkEnd w:id="64"/>
    </w:p>
    <w:p w:rsidR="00FF07E2" w:rsidRPr="00FF07E2" w:rsidRDefault="00FF07E2" w:rsidP="00FF07E2">
      <w:pPr>
        <w:spacing w:after="0"/>
        <w:rPr>
          <w:sz w:val="22"/>
          <w:szCs w:val="22"/>
        </w:rPr>
      </w:pPr>
      <w:r w:rsidRPr="00FF07E2">
        <w:rPr>
          <w:sz w:val="22"/>
          <w:szCs w:val="22"/>
        </w:rPr>
        <w:t>Based on our systematic review</w:t>
      </w:r>
      <w:r>
        <w:t xml:space="preserve"> </w:t>
      </w:r>
      <w:r w:rsidRPr="00FF07E2">
        <w:rPr>
          <w:sz w:val="22"/>
          <w:szCs w:val="22"/>
        </w:rPr>
        <w:t xml:space="preserve">of national legislation and country reports, </w:t>
      </w:r>
      <w:r w:rsidRPr="00723F1C">
        <w:rPr>
          <w:b/>
          <w:bCs/>
          <w:sz w:val="22"/>
          <w:szCs w:val="22"/>
        </w:rPr>
        <w:t>working mothers in the United Arab Emirates are guaranteed 45 days of paid maternity leave</w:t>
      </w:r>
      <w:r w:rsidRPr="00FF07E2">
        <w:rPr>
          <w:sz w:val="22"/>
          <w:szCs w:val="22"/>
        </w:rPr>
        <w:t xml:space="preserve">. </w:t>
      </w:r>
      <w:r w:rsidR="0060756E" w:rsidRPr="00B761DD">
        <w:rPr>
          <w:b/>
          <w:sz w:val="22"/>
          <w:szCs w:val="22"/>
        </w:rPr>
        <w:t>We</w:t>
      </w:r>
      <w:r w:rsidR="0060756E">
        <w:rPr>
          <w:sz w:val="22"/>
          <w:szCs w:val="22"/>
        </w:rPr>
        <w:t xml:space="preserve"> </w:t>
      </w:r>
      <w:r w:rsidR="0060756E" w:rsidRPr="0060756E">
        <w:rPr>
          <w:b/>
          <w:bCs/>
          <w:sz w:val="22"/>
          <w:szCs w:val="22"/>
        </w:rPr>
        <w:t>did not identify any provisions that protect from dismissal or guarantee job protection for women to take paid maternity leave</w:t>
      </w:r>
      <w:r w:rsidR="0060756E">
        <w:rPr>
          <w:sz w:val="22"/>
          <w:szCs w:val="22"/>
        </w:rPr>
        <w:t xml:space="preserve">. </w:t>
      </w:r>
      <w:r w:rsidRPr="00B761DD">
        <w:rPr>
          <w:b/>
          <w:sz w:val="22"/>
          <w:szCs w:val="22"/>
        </w:rPr>
        <w:t xml:space="preserve">We found </w:t>
      </w:r>
      <w:r w:rsidRPr="00723F1C">
        <w:rPr>
          <w:b/>
          <w:bCs/>
          <w:sz w:val="22"/>
          <w:szCs w:val="22"/>
        </w:rPr>
        <w:t>no provisions that provide paid paternity leave to fathers</w:t>
      </w:r>
      <w:r w:rsidRPr="00FF07E2">
        <w:rPr>
          <w:sz w:val="22"/>
          <w:szCs w:val="22"/>
        </w:rPr>
        <w:t xml:space="preserve">. </w:t>
      </w:r>
    </w:p>
    <w:p w:rsidR="00E6045A" w:rsidRPr="00FF07E2" w:rsidRDefault="00FF07E2" w:rsidP="00E6045A">
      <w:pPr>
        <w:rPr>
          <w:b/>
          <w:sz w:val="22"/>
          <w:szCs w:val="22"/>
        </w:rPr>
      </w:pPr>
      <w:r w:rsidRPr="007E2A89">
        <w:rPr>
          <w:b/>
          <w:sz w:val="22"/>
          <w:szCs w:val="22"/>
        </w:rPr>
        <w:t xml:space="preserve">We hope the Committee will: </w:t>
      </w:r>
    </w:p>
    <w:p w:rsidR="00FF07E2" w:rsidRDefault="00FF07E2" w:rsidP="00FF07E2">
      <w:pPr>
        <w:pStyle w:val="ListParagraph"/>
        <w:numPr>
          <w:ilvl w:val="0"/>
          <w:numId w:val="8"/>
        </w:numPr>
        <w:rPr>
          <w:sz w:val="22"/>
          <w:szCs w:val="22"/>
        </w:rPr>
      </w:pPr>
      <w:r w:rsidRPr="00FF07E2">
        <w:rPr>
          <w:sz w:val="22"/>
          <w:szCs w:val="22"/>
        </w:rPr>
        <w:t xml:space="preserve">In its concluding observations, recommend </w:t>
      </w:r>
      <w:r>
        <w:rPr>
          <w:sz w:val="22"/>
          <w:szCs w:val="22"/>
        </w:rPr>
        <w:t xml:space="preserve">that </w:t>
      </w:r>
      <w:r w:rsidR="00F5294E">
        <w:rPr>
          <w:sz w:val="22"/>
          <w:szCs w:val="22"/>
        </w:rPr>
        <w:t xml:space="preserve">the </w:t>
      </w:r>
      <w:r>
        <w:rPr>
          <w:sz w:val="22"/>
          <w:szCs w:val="22"/>
        </w:rPr>
        <w:t>United Arab Emirates</w:t>
      </w:r>
      <w:r w:rsidRPr="00FF07E2">
        <w:rPr>
          <w:sz w:val="22"/>
          <w:szCs w:val="22"/>
        </w:rPr>
        <w:t xml:space="preserve"> increase the duration of paid maternity leave to at least 14 weeks, consistent with widely accepted standards set and endorsed by global institutions such as the ILO and UNICEF.  </w:t>
      </w:r>
    </w:p>
    <w:p w:rsidR="00CC63ED" w:rsidRPr="00CC63ED" w:rsidRDefault="00CC63ED" w:rsidP="00CC63ED">
      <w:pPr>
        <w:pStyle w:val="ListParagraph"/>
        <w:numPr>
          <w:ilvl w:val="0"/>
          <w:numId w:val="8"/>
        </w:numPr>
        <w:rPr>
          <w:sz w:val="22"/>
          <w:szCs w:val="22"/>
        </w:rPr>
      </w:pPr>
      <w:r w:rsidRPr="00FF07E2">
        <w:rPr>
          <w:sz w:val="22"/>
          <w:szCs w:val="22"/>
        </w:rPr>
        <w:t xml:space="preserve">In its concluding observations, recommend </w:t>
      </w:r>
      <w:r>
        <w:rPr>
          <w:sz w:val="22"/>
          <w:szCs w:val="22"/>
        </w:rPr>
        <w:t>that</w:t>
      </w:r>
      <w:r w:rsidR="00F5294E">
        <w:rPr>
          <w:sz w:val="22"/>
          <w:szCs w:val="22"/>
        </w:rPr>
        <w:t xml:space="preserve"> the</w:t>
      </w:r>
      <w:r>
        <w:rPr>
          <w:sz w:val="22"/>
          <w:szCs w:val="22"/>
        </w:rPr>
        <w:t xml:space="preserve"> United Arab Emirates</w:t>
      </w:r>
      <w:r w:rsidRPr="00FF07E2">
        <w:rPr>
          <w:sz w:val="22"/>
          <w:szCs w:val="22"/>
        </w:rPr>
        <w:t xml:space="preserve"> </w:t>
      </w:r>
      <w:r>
        <w:rPr>
          <w:sz w:val="22"/>
          <w:szCs w:val="22"/>
        </w:rPr>
        <w:t>amend the current provisions to ensure women who take paid maternity leave are protected from dismissal and guaranteed the right to return to the same or equivalent job</w:t>
      </w:r>
      <w:r w:rsidR="00375E49">
        <w:rPr>
          <w:sz w:val="22"/>
          <w:szCs w:val="22"/>
        </w:rPr>
        <w:t xml:space="preserve">, consistent with Article 11 of the Convention. </w:t>
      </w:r>
    </w:p>
    <w:p w:rsidR="00FF07E2" w:rsidRPr="00FF07E2" w:rsidRDefault="00FF07E2" w:rsidP="00FF07E2">
      <w:pPr>
        <w:pStyle w:val="ListParagraph"/>
        <w:numPr>
          <w:ilvl w:val="0"/>
          <w:numId w:val="8"/>
        </w:numPr>
        <w:rPr>
          <w:sz w:val="22"/>
          <w:szCs w:val="22"/>
        </w:rPr>
      </w:pPr>
      <w:r w:rsidRPr="00FF07E2">
        <w:rPr>
          <w:sz w:val="22"/>
          <w:szCs w:val="22"/>
        </w:rPr>
        <w:t xml:space="preserve">In its list of issues, ask </w:t>
      </w:r>
      <w:r w:rsidR="00F5294E">
        <w:rPr>
          <w:sz w:val="22"/>
          <w:szCs w:val="22"/>
        </w:rPr>
        <w:t xml:space="preserve">the </w:t>
      </w:r>
      <w:r>
        <w:rPr>
          <w:sz w:val="22"/>
          <w:szCs w:val="22"/>
        </w:rPr>
        <w:t>United Arab Emirates</w:t>
      </w:r>
      <w:r w:rsidRPr="00FF07E2">
        <w:rPr>
          <w:sz w:val="22"/>
          <w:szCs w:val="22"/>
        </w:rPr>
        <w:t xml:space="preserve">: Can </w:t>
      </w:r>
      <w:r w:rsidR="00F5294E">
        <w:rPr>
          <w:sz w:val="22"/>
          <w:szCs w:val="22"/>
        </w:rPr>
        <w:t xml:space="preserve">the </w:t>
      </w:r>
      <w:r>
        <w:rPr>
          <w:sz w:val="22"/>
          <w:szCs w:val="22"/>
        </w:rPr>
        <w:t>United Arab Emirates</w:t>
      </w:r>
      <w:r w:rsidRPr="00FF07E2">
        <w:rPr>
          <w:sz w:val="22"/>
          <w:szCs w:val="22"/>
        </w:rPr>
        <w:t xml:space="preserve"> outline any concrete, near-term plans to pass legislation that guarantees paid paternity leave to fathers in all sectors of employment?</w:t>
      </w:r>
    </w:p>
    <w:p w:rsidR="00E6045A" w:rsidRPr="00FF07E2" w:rsidRDefault="00FF07E2" w:rsidP="00FF07E2">
      <w:pPr>
        <w:pStyle w:val="ListParagraph"/>
        <w:numPr>
          <w:ilvl w:val="1"/>
          <w:numId w:val="8"/>
        </w:numPr>
        <w:rPr>
          <w:sz w:val="22"/>
          <w:szCs w:val="22"/>
        </w:rPr>
      </w:pPr>
      <w:r w:rsidRPr="00FF07E2">
        <w:rPr>
          <w:sz w:val="22"/>
          <w:szCs w:val="22"/>
        </w:rPr>
        <w:t xml:space="preserve">If </w:t>
      </w:r>
      <w:r w:rsidR="00F5294E">
        <w:rPr>
          <w:sz w:val="22"/>
          <w:szCs w:val="22"/>
        </w:rPr>
        <w:t xml:space="preserve">the </w:t>
      </w:r>
      <w:r>
        <w:rPr>
          <w:sz w:val="22"/>
          <w:szCs w:val="22"/>
        </w:rPr>
        <w:t>United Arab Emirates</w:t>
      </w:r>
      <w:r w:rsidRPr="00FF07E2">
        <w:rPr>
          <w:sz w:val="22"/>
          <w:szCs w:val="22"/>
        </w:rPr>
        <w:t xml:space="preserve"> does not have concrete, near-term plans to guarantee paid paternity leave to fathers in all sectors of employment, recommend in its concluding observations that</w:t>
      </w:r>
      <w:r>
        <w:rPr>
          <w:sz w:val="22"/>
          <w:szCs w:val="22"/>
        </w:rPr>
        <w:t xml:space="preserve"> </w:t>
      </w:r>
      <w:r w:rsidR="00F5294E">
        <w:rPr>
          <w:sz w:val="22"/>
          <w:szCs w:val="22"/>
        </w:rPr>
        <w:t xml:space="preserve">the </w:t>
      </w:r>
      <w:r>
        <w:rPr>
          <w:sz w:val="22"/>
          <w:szCs w:val="22"/>
        </w:rPr>
        <w:t>United Arab Emirates</w:t>
      </w:r>
      <w:r w:rsidRPr="00FF07E2">
        <w:rPr>
          <w:sz w:val="22"/>
          <w:szCs w:val="22"/>
        </w:rPr>
        <w:t xml:space="preserve"> pass and implement legislation that does so.</w:t>
      </w:r>
    </w:p>
    <w:p w:rsidR="00E6045A" w:rsidRDefault="00E6045A" w:rsidP="00E6045A"/>
    <w:p w:rsidR="00FA45F7" w:rsidRPr="00A52B2B" w:rsidRDefault="00623047" w:rsidP="008D581F">
      <w:pPr>
        <w:pStyle w:val="Heading1"/>
        <w:spacing w:afterLines="100" w:after="240"/>
        <w:rPr>
          <w:rFonts w:eastAsia="Times New Roman"/>
          <w:b/>
          <w:bCs/>
        </w:rPr>
      </w:pPr>
      <w:bookmarkStart w:id="65" w:name="_Toc61600083"/>
      <w:r w:rsidRPr="00A52B2B">
        <w:rPr>
          <w:rFonts w:eastAsia="Times New Roman"/>
          <w:b/>
          <w:bCs/>
        </w:rPr>
        <w:t xml:space="preserve">Detail of Constitutional and Legislative </w:t>
      </w:r>
      <w:r w:rsidR="00FA45F7" w:rsidRPr="00A52B2B">
        <w:rPr>
          <w:rFonts w:eastAsia="Times New Roman"/>
          <w:b/>
          <w:bCs/>
        </w:rPr>
        <w:t>Findings</w:t>
      </w:r>
      <w:bookmarkEnd w:id="65"/>
    </w:p>
    <w:bookmarkEnd w:id="57"/>
    <w:p w:rsidR="00FA45F7" w:rsidRDefault="00FA45F7" w:rsidP="008D581F">
      <w:pPr>
        <w:spacing w:afterLines="100" w:after="240"/>
        <w:rPr>
          <w:sz w:val="22"/>
          <w:szCs w:val="22"/>
        </w:rPr>
      </w:pPr>
      <w:r w:rsidRPr="00A52B2B">
        <w:rPr>
          <w:sz w:val="22"/>
          <w:szCs w:val="22"/>
        </w:rPr>
        <w:t>While the following review is systematic and rigorous, we recognize that there may be laws or policies governing these areas that we have not captured including, new legislation or policies that have not yet been published globally.</w:t>
      </w:r>
    </w:p>
    <w:p w:rsidR="00A52B2B" w:rsidRPr="00E6045A" w:rsidRDefault="00A52B2B" w:rsidP="006E7C18">
      <w:pPr>
        <w:pStyle w:val="ListParagraph"/>
        <w:keepNext/>
        <w:keepLines/>
        <w:numPr>
          <w:ilvl w:val="0"/>
          <w:numId w:val="4"/>
        </w:numPr>
        <w:pBdr>
          <w:bottom w:val="single" w:sz="6" w:space="1" w:color="auto"/>
        </w:pBdr>
        <w:spacing w:before="40" w:after="0" w:line="259" w:lineRule="auto"/>
        <w:ind w:left="360"/>
        <w:outlineLvl w:val="1"/>
        <w:rPr>
          <w:rFonts w:ascii="Calibri Light" w:eastAsia="Times New Roman" w:hAnsi="Calibri Light" w:cs="Times New Roman"/>
          <w:b/>
          <w:color w:val="2E74B5"/>
          <w:sz w:val="26"/>
          <w:szCs w:val="26"/>
        </w:rPr>
      </w:pPr>
      <w:bookmarkStart w:id="66" w:name="_Hlk55550751"/>
      <w:bookmarkStart w:id="67" w:name="_Toc61600084"/>
      <w:r w:rsidRPr="00E6045A">
        <w:rPr>
          <w:rFonts w:ascii="Calibri Light" w:eastAsia="Times New Roman" w:hAnsi="Calibri Light" w:cs="Times New Roman"/>
          <w:b/>
          <w:color w:val="2E74B5"/>
          <w:sz w:val="26"/>
          <w:szCs w:val="26"/>
        </w:rPr>
        <w:t>General Equality and Non-Discrimination (Article 2)</w:t>
      </w:r>
      <w:bookmarkEnd w:id="66"/>
      <w:bookmarkEnd w:id="67"/>
    </w:p>
    <w:p w:rsidR="00FA45F7" w:rsidRPr="00A52B2B" w:rsidRDefault="00FA45F7" w:rsidP="00A52B2B">
      <w:pPr>
        <w:rPr>
          <w:sz w:val="22"/>
          <w:szCs w:val="22"/>
        </w:rPr>
      </w:pPr>
      <w:r w:rsidRPr="00A52B2B">
        <w:rPr>
          <w:sz w:val="22"/>
          <w:szCs w:val="22"/>
        </w:rPr>
        <w:t>While the entirety of the Convention aims to eliminate discrimination against women in all spheres of life, Article 2(a) of the Convention specifically requires States Parties “To embody the principle of the equality of men and women in their national constitutions”.</w:t>
      </w:r>
    </w:p>
    <w:p w:rsidR="00FA45F7" w:rsidRPr="00A52B2B" w:rsidRDefault="00FA45F7" w:rsidP="00A52B2B">
      <w:r w:rsidRPr="00A52B2B">
        <w:rPr>
          <w:sz w:val="22"/>
          <w:szCs w:val="22"/>
        </w:rPr>
        <w:t>We reviewed full text constitutions for all 193 UN member states available from official government sources to determine whether the constitution explicitly guaranteed equality or non-discrimination on the basis of sex and/or gender by prohibiting discrimination, guaranteeing equal rights, guaranteeing equality before the law, or guaranteeing overall equality or equal opportunities</w:t>
      </w:r>
      <w:r w:rsidRPr="00A52B2B">
        <w:t>.</w:t>
      </w:r>
    </w:p>
    <w:p w:rsidR="00A52B2B" w:rsidRPr="00EC4AA3" w:rsidRDefault="00A52B2B" w:rsidP="00A52B2B">
      <w:pPr>
        <w:rPr>
          <w:color w:val="3405DF"/>
          <w:sz w:val="22"/>
          <w:szCs w:val="22"/>
        </w:rPr>
      </w:pPr>
      <w:r w:rsidRPr="00EC4AA3">
        <w:rPr>
          <w:sz w:val="22"/>
          <w:szCs w:val="22"/>
        </w:rPr>
        <w:t>Constitutions state the values of a country, describe the rights of people living within the country, and profoundly influence norms and practice. In nearly all countries, constitutions take precedence over other sources of law—making them critical tools for delineating and implementing equal rights. New constitutions and new rights guaranteed in constitutions can be used to overturn discriminatory laws as well as to legislate non-discrimination guarantees. Moreover, constitutions can offer protection against policy and legal changes during periods of social and political shifts that may seek to undermine equal rights. For these reasons and others, as the foundational document setting out the rights of all human beings in a country, a constitution and the rights contained therein are essential to realizing equal rights.</w:t>
      </w:r>
    </w:p>
    <w:p w:rsidR="00A52B2B" w:rsidRPr="00A52B2B" w:rsidRDefault="008639D8" w:rsidP="00A52B2B">
      <w:pPr>
        <w:keepNext/>
        <w:keepLines/>
        <w:spacing w:before="40" w:afterLines="100" w:after="240"/>
        <w:outlineLvl w:val="3"/>
        <w:rPr>
          <w:rFonts w:ascii="Calibri Light" w:eastAsia="Times New Roman" w:hAnsi="Calibri Light" w:cs="Times New Roman"/>
          <w:i/>
          <w:iCs/>
          <w:color w:val="2E74B5"/>
          <w:sz w:val="22"/>
          <w:szCs w:val="22"/>
        </w:rPr>
      </w:pPr>
      <w:r w:rsidRPr="008639D8">
        <w:rPr>
          <w:rFonts w:ascii="Calibri Light" w:eastAsia="Times New Roman" w:hAnsi="Calibri Light" w:cs="Times New Roman"/>
          <w:i/>
          <w:iCs/>
          <w:color w:val="2E74B5"/>
          <w:sz w:val="22"/>
          <w:szCs w:val="22"/>
        </w:rPr>
        <w:t>UNITED ARAB EMIRATE</w:t>
      </w:r>
      <w:r w:rsidR="00A52B2B" w:rsidRPr="008639D8">
        <w:rPr>
          <w:rFonts w:ascii="Calibri Light" w:eastAsia="Times New Roman" w:hAnsi="Calibri Light" w:cs="Times New Roman"/>
          <w:i/>
          <w:iCs/>
          <w:color w:val="2E74B5"/>
          <w:sz w:val="22"/>
          <w:szCs w:val="22"/>
        </w:rPr>
        <w:t>S</w:t>
      </w:r>
      <w:r w:rsidR="005B1636">
        <w:rPr>
          <w:rFonts w:ascii="Calibri Light" w:eastAsia="Times New Roman" w:hAnsi="Calibri Light" w:cs="Times New Roman"/>
          <w:i/>
          <w:iCs/>
          <w:color w:val="2E74B5"/>
          <w:sz w:val="22"/>
          <w:szCs w:val="22"/>
        </w:rPr>
        <w:t>’</w:t>
      </w:r>
      <w:r w:rsidR="00A52B2B" w:rsidRPr="00A52B2B">
        <w:rPr>
          <w:rFonts w:ascii="Calibri Light" w:eastAsia="Times New Roman" w:hAnsi="Calibri Light" w:cs="Times New Roman"/>
          <w:i/>
          <w:iCs/>
          <w:color w:val="2E74B5"/>
          <w:sz w:val="22"/>
          <w:szCs w:val="22"/>
        </w:rPr>
        <w:t xml:space="preserve"> CONSTITUTIONAL PROVISIONS: </w:t>
      </w:r>
      <w:r w:rsidR="00650A2E" w:rsidRPr="00650A2E">
        <w:rPr>
          <w:rFonts w:ascii="Calibri Light" w:eastAsia="Times New Roman" w:hAnsi="Calibri Light" w:cs="Times New Roman"/>
          <w:i/>
          <w:iCs/>
          <w:color w:val="2E74B5"/>
          <w:sz w:val="22"/>
          <w:szCs w:val="22"/>
        </w:rPr>
        <w:t>MISSING EXPLICIT GUARANTEES OF EQUALITY AND NON-DISCRIMINATION BASED ON SEX AND GENDER</w:t>
      </w:r>
    </w:p>
    <w:p w:rsidR="008639D8" w:rsidRDefault="008639D8" w:rsidP="003E044E">
      <w:pPr>
        <w:rPr>
          <w:sz w:val="22"/>
          <w:szCs w:val="22"/>
        </w:rPr>
      </w:pPr>
      <w:r w:rsidRPr="008639D8">
        <w:rPr>
          <w:sz w:val="22"/>
          <w:szCs w:val="22"/>
        </w:rPr>
        <w:t xml:space="preserve">Based on our review, </w:t>
      </w:r>
      <w:r>
        <w:rPr>
          <w:sz w:val="22"/>
          <w:szCs w:val="22"/>
        </w:rPr>
        <w:t>Article 25 the United Arab Emirates’ constitution prohibits discrimination based on race, nationality, religion, and social position. However,</w:t>
      </w:r>
      <w:r w:rsidRPr="008639D8">
        <w:rPr>
          <w:sz w:val="22"/>
          <w:szCs w:val="22"/>
        </w:rPr>
        <w:t xml:space="preserve"> </w:t>
      </w:r>
      <w:r w:rsidRPr="008639D8">
        <w:rPr>
          <w:b/>
          <w:bCs/>
          <w:sz w:val="22"/>
          <w:szCs w:val="22"/>
        </w:rPr>
        <w:t>the constitution does not explicitly guarantee equality and non-discrimination to women or to persons based on sex or gender.</w:t>
      </w:r>
      <w:r>
        <w:rPr>
          <w:sz w:val="22"/>
          <w:szCs w:val="22"/>
        </w:rPr>
        <w:t xml:space="preserve"> </w:t>
      </w:r>
    </w:p>
    <w:p w:rsidR="008639D8" w:rsidRDefault="008639D8" w:rsidP="008639D8">
      <w:pPr>
        <w:ind w:left="360"/>
        <w:rPr>
          <w:i/>
          <w:iCs/>
          <w:sz w:val="22"/>
          <w:szCs w:val="22"/>
        </w:rPr>
      </w:pPr>
      <w:r>
        <w:rPr>
          <w:i/>
          <w:iCs/>
          <w:sz w:val="22"/>
          <w:szCs w:val="22"/>
        </w:rPr>
        <w:t>Article 25</w:t>
      </w:r>
    </w:p>
    <w:p w:rsidR="008639D8" w:rsidRPr="008639D8" w:rsidRDefault="008639D8" w:rsidP="008639D8">
      <w:pPr>
        <w:ind w:left="360"/>
        <w:rPr>
          <w:i/>
          <w:iCs/>
          <w:sz w:val="22"/>
          <w:szCs w:val="22"/>
        </w:rPr>
      </w:pPr>
      <w:r w:rsidRPr="008639D8">
        <w:rPr>
          <w:i/>
          <w:iCs/>
          <w:sz w:val="22"/>
          <w:szCs w:val="22"/>
        </w:rPr>
        <w:t>All persons shall be equal before the law. No discrimination shall be practiced between citizens of the Union by reason of race, nationality, religious belief or social position.</w:t>
      </w:r>
    </w:p>
    <w:p w:rsidR="003E044E" w:rsidRDefault="003E044E" w:rsidP="003E044E"/>
    <w:p w:rsidR="00FF10FA" w:rsidRPr="00A52B2B" w:rsidRDefault="00FF10FA" w:rsidP="006E7C18">
      <w:pPr>
        <w:keepNext/>
        <w:keepLines/>
        <w:numPr>
          <w:ilvl w:val="0"/>
          <w:numId w:val="4"/>
        </w:numPr>
        <w:pBdr>
          <w:bottom w:val="single" w:sz="6" w:space="1" w:color="auto"/>
        </w:pBdr>
        <w:spacing w:before="40" w:after="0" w:line="259" w:lineRule="auto"/>
        <w:ind w:left="360"/>
        <w:outlineLvl w:val="1"/>
        <w:rPr>
          <w:rFonts w:ascii="Calibri Light" w:eastAsia="Times New Roman" w:hAnsi="Calibri Light" w:cs="Times New Roman"/>
          <w:b/>
          <w:color w:val="2E74B5"/>
          <w:sz w:val="26"/>
          <w:szCs w:val="26"/>
        </w:rPr>
      </w:pPr>
      <w:bookmarkStart w:id="68" w:name="_Toc61600085"/>
      <w:r>
        <w:rPr>
          <w:rFonts w:ascii="Calibri Light" w:eastAsia="Times New Roman" w:hAnsi="Calibri Light" w:cs="Times New Roman"/>
          <w:b/>
          <w:color w:val="2E74B5"/>
          <w:sz w:val="26"/>
          <w:szCs w:val="26"/>
        </w:rPr>
        <w:t>Non-Discrimination in Work and Employment</w:t>
      </w:r>
      <w:r w:rsidRPr="005E4090">
        <w:rPr>
          <w:rFonts w:ascii="Calibri Light" w:eastAsia="Times New Roman" w:hAnsi="Calibri Light" w:cs="Times New Roman"/>
          <w:b/>
          <w:color w:val="2E74B5"/>
          <w:sz w:val="26"/>
          <w:szCs w:val="26"/>
        </w:rPr>
        <w:t xml:space="preserve"> (Article </w:t>
      </w:r>
      <w:r>
        <w:rPr>
          <w:rFonts w:ascii="Calibri Light" w:eastAsia="Times New Roman" w:hAnsi="Calibri Light" w:cs="Times New Roman"/>
          <w:b/>
          <w:color w:val="2E74B5"/>
          <w:sz w:val="26"/>
          <w:szCs w:val="26"/>
        </w:rPr>
        <w:t>11</w:t>
      </w:r>
      <w:r w:rsidRPr="005E4090">
        <w:rPr>
          <w:rFonts w:ascii="Calibri Light" w:eastAsia="Times New Roman" w:hAnsi="Calibri Light" w:cs="Times New Roman"/>
          <w:b/>
          <w:color w:val="2E74B5"/>
          <w:sz w:val="26"/>
          <w:szCs w:val="26"/>
        </w:rPr>
        <w:t>)</w:t>
      </w:r>
      <w:bookmarkEnd w:id="68"/>
    </w:p>
    <w:p w:rsidR="00FA45F7" w:rsidRPr="00FF10FA" w:rsidRDefault="00FA45F7" w:rsidP="00FF10FA">
      <w:pPr>
        <w:rPr>
          <w:sz w:val="22"/>
          <w:szCs w:val="22"/>
        </w:rPr>
      </w:pPr>
      <w:r w:rsidRPr="00FF10FA">
        <w:rPr>
          <w:sz w:val="22"/>
          <w:szCs w:val="22"/>
        </w:rPr>
        <w:t>Article 11 of the Convention outlines specific measures States Parties shall undertake in order to eliminate discrimination in the field of employment.</w:t>
      </w:r>
    </w:p>
    <w:p w:rsidR="00FA45F7" w:rsidRPr="00FF10FA" w:rsidRDefault="00FA45F7" w:rsidP="00FF10FA">
      <w:pPr>
        <w:rPr>
          <w:sz w:val="22"/>
          <w:szCs w:val="22"/>
        </w:rPr>
      </w:pPr>
      <w:r w:rsidRPr="00FF10FA">
        <w:rPr>
          <w:sz w:val="22"/>
          <w:szCs w:val="22"/>
        </w:rPr>
        <w:t>We systematically reviewed national labor codes, gender equality, and other relevant legislation available through the International Labo</w:t>
      </w:r>
      <w:r w:rsidR="009D3EF1">
        <w:rPr>
          <w:sz w:val="22"/>
          <w:szCs w:val="22"/>
        </w:rPr>
        <w:t>u</w:t>
      </w:r>
      <w:r w:rsidRPr="00FF10FA">
        <w:rPr>
          <w:sz w:val="22"/>
          <w:szCs w:val="22"/>
        </w:rPr>
        <w:t xml:space="preserve">r Organization’s NATLEX database for all 193 UN member states to determine whether national legislation prohibited gender discrimination in employment. We examined legal protections across five areas covered by CEDAW: </w:t>
      </w:r>
    </w:p>
    <w:p w:rsidR="00FA45F7" w:rsidRPr="00FF10FA" w:rsidRDefault="00FA45F7" w:rsidP="006E7C18">
      <w:pPr>
        <w:pStyle w:val="ListParagraph"/>
        <w:numPr>
          <w:ilvl w:val="0"/>
          <w:numId w:val="3"/>
        </w:numPr>
        <w:rPr>
          <w:sz w:val="22"/>
          <w:szCs w:val="22"/>
        </w:rPr>
      </w:pPr>
      <w:r w:rsidRPr="00FF10FA">
        <w:rPr>
          <w:sz w:val="22"/>
          <w:szCs w:val="22"/>
        </w:rPr>
        <w:t>employment opportunities or hiring</w:t>
      </w:r>
    </w:p>
    <w:p w:rsidR="00FA45F7" w:rsidRPr="00FF10FA" w:rsidRDefault="00FA45F7" w:rsidP="006E7C18">
      <w:pPr>
        <w:pStyle w:val="ListParagraph"/>
        <w:numPr>
          <w:ilvl w:val="0"/>
          <w:numId w:val="3"/>
        </w:numPr>
        <w:rPr>
          <w:sz w:val="22"/>
          <w:szCs w:val="22"/>
        </w:rPr>
      </w:pPr>
      <w:r w:rsidRPr="00FF10FA">
        <w:rPr>
          <w:sz w:val="22"/>
          <w:szCs w:val="22"/>
        </w:rPr>
        <w:t>equal pay for work of equal value</w:t>
      </w:r>
    </w:p>
    <w:p w:rsidR="00FA45F7" w:rsidRPr="00FF10FA" w:rsidRDefault="00FA45F7" w:rsidP="006E7C18">
      <w:pPr>
        <w:pStyle w:val="ListParagraph"/>
        <w:numPr>
          <w:ilvl w:val="0"/>
          <w:numId w:val="3"/>
        </w:numPr>
        <w:rPr>
          <w:sz w:val="22"/>
          <w:szCs w:val="22"/>
        </w:rPr>
      </w:pPr>
      <w:r w:rsidRPr="00FF10FA">
        <w:rPr>
          <w:sz w:val="22"/>
          <w:szCs w:val="22"/>
        </w:rPr>
        <w:t xml:space="preserve">vocational training </w:t>
      </w:r>
    </w:p>
    <w:p w:rsidR="00FA45F7" w:rsidRPr="00FF10FA" w:rsidRDefault="00FA45F7" w:rsidP="006E7C18">
      <w:pPr>
        <w:pStyle w:val="ListParagraph"/>
        <w:numPr>
          <w:ilvl w:val="0"/>
          <w:numId w:val="3"/>
        </w:numPr>
        <w:rPr>
          <w:sz w:val="22"/>
          <w:szCs w:val="22"/>
        </w:rPr>
      </w:pPr>
      <w:r w:rsidRPr="00FF10FA">
        <w:rPr>
          <w:sz w:val="22"/>
          <w:szCs w:val="22"/>
        </w:rPr>
        <w:t>promotions or demotions</w:t>
      </w:r>
    </w:p>
    <w:p w:rsidR="00FA45F7" w:rsidRPr="00FF10FA" w:rsidRDefault="00FA45F7" w:rsidP="006E7C18">
      <w:pPr>
        <w:pStyle w:val="ListParagraph"/>
        <w:numPr>
          <w:ilvl w:val="0"/>
          <w:numId w:val="3"/>
        </w:numPr>
        <w:rPr>
          <w:sz w:val="22"/>
          <w:szCs w:val="22"/>
        </w:rPr>
      </w:pPr>
      <w:r w:rsidRPr="00FF10FA">
        <w:rPr>
          <w:sz w:val="22"/>
          <w:szCs w:val="22"/>
        </w:rPr>
        <w:t xml:space="preserve">job security or terminations  </w:t>
      </w:r>
    </w:p>
    <w:p w:rsidR="00FF10FA" w:rsidRPr="00EA654B" w:rsidRDefault="00FA45F7" w:rsidP="00EA654B">
      <w:pPr>
        <w:rPr>
          <w:sz w:val="22"/>
          <w:szCs w:val="22"/>
        </w:rPr>
      </w:pPr>
      <w:r w:rsidRPr="00FF10FA">
        <w:rPr>
          <w:sz w:val="22"/>
          <w:szCs w:val="22"/>
        </w:rPr>
        <w:t>We assessed whether women were explicitly protected from discrimination at work in each of these areas and whether the definition of discrimination included both direct and indirect discrimination. We further examined whether there were provisions that protected women from retaliatory action for reporting discrimination. We also examined whether there were explicit protections from discrimination at work for statuses that intersect directly with women’s dual roles as workers and caregivers: marital status, pregnancy, and family status.</w:t>
      </w:r>
    </w:p>
    <w:p w:rsidR="00EA654B" w:rsidRDefault="00817B9A" w:rsidP="00FF10FA">
      <w:pPr>
        <w:keepNext/>
        <w:keepLines/>
        <w:spacing w:before="40" w:afterLines="100" w:after="240"/>
        <w:outlineLvl w:val="3"/>
        <w:rPr>
          <w:rFonts w:ascii="Calibri Light" w:eastAsia="Times New Roman" w:hAnsi="Calibri Light" w:cs="Times New Roman"/>
          <w:i/>
          <w:iCs/>
          <w:color w:val="2E74B5"/>
          <w:sz w:val="22"/>
          <w:szCs w:val="22"/>
        </w:rPr>
      </w:pPr>
      <w:r w:rsidRPr="00817B9A">
        <w:rPr>
          <w:rFonts w:ascii="Calibri Light" w:eastAsia="Times New Roman" w:hAnsi="Calibri Light" w:cs="Times New Roman"/>
          <w:i/>
          <w:iCs/>
          <w:color w:val="2E74B5"/>
          <w:sz w:val="22"/>
          <w:szCs w:val="22"/>
        </w:rPr>
        <w:t>UNITED ARAB EMIRATE</w:t>
      </w:r>
      <w:r w:rsidR="00FF10FA" w:rsidRPr="00817B9A">
        <w:rPr>
          <w:rFonts w:ascii="Calibri Light" w:eastAsia="Times New Roman" w:hAnsi="Calibri Light" w:cs="Times New Roman"/>
          <w:i/>
          <w:iCs/>
          <w:color w:val="2E74B5"/>
          <w:sz w:val="22"/>
          <w:szCs w:val="22"/>
        </w:rPr>
        <w:t>S</w:t>
      </w:r>
      <w:r w:rsidR="005B1636">
        <w:rPr>
          <w:rFonts w:ascii="Calibri Light" w:eastAsia="Times New Roman" w:hAnsi="Calibri Light" w:cs="Times New Roman"/>
          <w:i/>
          <w:iCs/>
          <w:color w:val="2E74B5"/>
          <w:sz w:val="22"/>
          <w:szCs w:val="22"/>
        </w:rPr>
        <w:t>’</w:t>
      </w:r>
      <w:r w:rsidR="00FF10FA" w:rsidRPr="005E4090">
        <w:rPr>
          <w:rFonts w:ascii="Calibri Light" w:eastAsia="Times New Roman" w:hAnsi="Calibri Light" w:cs="Times New Roman"/>
          <w:i/>
          <w:iCs/>
          <w:color w:val="2E74B5"/>
          <w:sz w:val="22"/>
          <w:szCs w:val="22"/>
        </w:rPr>
        <w:t xml:space="preserve"> LEGISLATIVE PROV</w:t>
      </w:r>
      <w:r w:rsidR="00B761DD">
        <w:rPr>
          <w:rFonts w:ascii="Calibri Light" w:eastAsia="Times New Roman" w:hAnsi="Calibri Light" w:cs="Times New Roman"/>
          <w:i/>
          <w:iCs/>
          <w:color w:val="2E74B5"/>
          <w:sz w:val="22"/>
          <w:szCs w:val="22"/>
        </w:rPr>
        <w:t>I</w:t>
      </w:r>
      <w:r w:rsidR="00FF10FA" w:rsidRPr="005E4090">
        <w:rPr>
          <w:rFonts w:ascii="Calibri Light" w:eastAsia="Times New Roman" w:hAnsi="Calibri Light" w:cs="Times New Roman"/>
          <w:i/>
          <w:iCs/>
          <w:color w:val="2E74B5"/>
          <w:sz w:val="22"/>
          <w:szCs w:val="22"/>
        </w:rPr>
        <w:t xml:space="preserve">SIONS: </w:t>
      </w:r>
      <w:r w:rsidR="00EA654B">
        <w:rPr>
          <w:rFonts w:ascii="Calibri Light" w:eastAsia="Times New Roman" w:hAnsi="Calibri Light" w:cs="Times New Roman"/>
          <w:i/>
          <w:iCs/>
          <w:color w:val="2E74B5"/>
          <w:sz w:val="22"/>
          <w:szCs w:val="22"/>
        </w:rPr>
        <w:t>LIMITED PROTECTIONS FROM WORKPLACE DISCRIMINATION BASED ON SEX AND GENDER</w:t>
      </w:r>
    </w:p>
    <w:p w:rsidR="00EA654B" w:rsidRPr="00EA654B" w:rsidRDefault="00817B9A" w:rsidP="00EA654B">
      <w:pPr>
        <w:rPr>
          <w:sz w:val="22"/>
          <w:szCs w:val="22"/>
        </w:rPr>
      </w:pPr>
      <w:r w:rsidRPr="00EA654B">
        <w:rPr>
          <w:sz w:val="22"/>
          <w:szCs w:val="22"/>
        </w:rPr>
        <w:t xml:space="preserve">Based on our review, </w:t>
      </w:r>
      <w:r w:rsidR="00EA654B" w:rsidRPr="00EA654B">
        <w:rPr>
          <w:sz w:val="22"/>
          <w:szCs w:val="22"/>
        </w:rPr>
        <w:t xml:space="preserve">we identified the </w:t>
      </w:r>
      <w:r w:rsidR="00FF07E2" w:rsidRPr="00FF07E2">
        <w:rPr>
          <w:i/>
          <w:iCs/>
          <w:sz w:val="22"/>
          <w:szCs w:val="22"/>
        </w:rPr>
        <w:t xml:space="preserve">Federal </w:t>
      </w:r>
      <w:r w:rsidR="00FF07E2">
        <w:rPr>
          <w:i/>
          <w:iCs/>
          <w:sz w:val="22"/>
          <w:szCs w:val="22"/>
        </w:rPr>
        <w:t>Law on</w:t>
      </w:r>
      <w:r w:rsidR="00EA654B" w:rsidRPr="00EA654B">
        <w:rPr>
          <w:i/>
          <w:iCs/>
          <w:sz w:val="22"/>
          <w:szCs w:val="22"/>
        </w:rPr>
        <w:t xml:space="preserve"> Labour Relations</w:t>
      </w:r>
      <w:r w:rsidR="00EA654B" w:rsidRPr="00EA654B">
        <w:rPr>
          <w:sz w:val="22"/>
          <w:szCs w:val="22"/>
        </w:rPr>
        <w:t xml:space="preserve"> which </w:t>
      </w:r>
      <w:r w:rsidR="00EA654B" w:rsidRPr="00FF07E2">
        <w:rPr>
          <w:b/>
          <w:bCs/>
          <w:sz w:val="22"/>
          <w:szCs w:val="22"/>
        </w:rPr>
        <w:t>guarantees equal pay for equal work between women and men</w:t>
      </w:r>
      <w:r w:rsidR="00EA654B" w:rsidRPr="00EA654B">
        <w:rPr>
          <w:sz w:val="22"/>
          <w:szCs w:val="22"/>
        </w:rPr>
        <w:t xml:space="preserve">. However, this provision </w:t>
      </w:r>
      <w:r w:rsidR="00EA654B" w:rsidRPr="00723F1C">
        <w:rPr>
          <w:sz w:val="22"/>
          <w:szCs w:val="22"/>
        </w:rPr>
        <w:t xml:space="preserve">falls short of the stronger guarantee of equal pay for work of equal value </w:t>
      </w:r>
      <w:r w:rsidR="00EA654B" w:rsidRPr="00EA654B">
        <w:rPr>
          <w:sz w:val="22"/>
          <w:szCs w:val="22"/>
        </w:rPr>
        <w:t xml:space="preserve">that is outlined in Article 11 of the Convention. Further, </w:t>
      </w:r>
      <w:r w:rsidR="00EA654B" w:rsidRPr="00FF07E2">
        <w:rPr>
          <w:b/>
          <w:bCs/>
          <w:sz w:val="22"/>
          <w:szCs w:val="22"/>
        </w:rPr>
        <w:t xml:space="preserve">we did not identify any </w:t>
      </w:r>
      <w:r w:rsidR="0033322B">
        <w:rPr>
          <w:b/>
          <w:bCs/>
          <w:sz w:val="22"/>
          <w:szCs w:val="22"/>
        </w:rPr>
        <w:t xml:space="preserve">explicit </w:t>
      </w:r>
      <w:r w:rsidR="00EA654B" w:rsidRPr="00FF07E2">
        <w:rPr>
          <w:b/>
          <w:bCs/>
          <w:sz w:val="22"/>
          <w:szCs w:val="22"/>
        </w:rPr>
        <w:t xml:space="preserve">provisions that prohibit </w:t>
      </w:r>
      <w:r w:rsidR="0033322B">
        <w:rPr>
          <w:b/>
          <w:bCs/>
          <w:sz w:val="22"/>
          <w:szCs w:val="22"/>
        </w:rPr>
        <w:t xml:space="preserve">sex-based </w:t>
      </w:r>
      <w:r w:rsidR="00EA654B" w:rsidRPr="00FF07E2">
        <w:rPr>
          <w:b/>
          <w:bCs/>
          <w:sz w:val="22"/>
          <w:szCs w:val="22"/>
        </w:rPr>
        <w:t>discrimination in other dimensions of work including employment opportunities, vocational training, promotions or demotions, and terminations</w:t>
      </w:r>
      <w:r w:rsidR="00EA654B" w:rsidRPr="00EA654B">
        <w:rPr>
          <w:sz w:val="22"/>
          <w:szCs w:val="22"/>
        </w:rPr>
        <w:t xml:space="preserve">. </w:t>
      </w:r>
    </w:p>
    <w:p w:rsidR="00817B9A" w:rsidRPr="00EA654B" w:rsidRDefault="00817B9A" w:rsidP="00EA654B">
      <w:pPr>
        <w:ind w:left="720"/>
        <w:rPr>
          <w:i/>
          <w:iCs/>
          <w:sz w:val="22"/>
          <w:szCs w:val="22"/>
        </w:rPr>
      </w:pPr>
      <w:r w:rsidRPr="00EA654B">
        <w:rPr>
          <w:i/>
          <w:iCs/>
          <w:sz w:val="22"/>
          <w:szCs w:val="22"/>
        </w:rPr>
        <w:t xml:space="preserve">Article 32 </w:t>
      </w:r>
    </w:p>
    <w:p w:rsidR="00817B9A" w:rsidRPr="00EA654B" w:rsidRDefault="00817B9A" w:rsidP="00EA654B">
      <w:pPr>
        <w:ind w:left="720"/>
        <w:rPr>
          <w:i/>
          <w:iCs/>
          <w:sz w:val="22"/>
          <w:szCs w:val="22"/>
        </w:rPr>
      </w:pPr>
      <w:r w:rsidRPr="00EA654B">
        <w:rPr>
          <w:i/>
          <w:iCs/>
          <w:sz w:val="22"/>
          <w:szCs w:val="22"/>
        </w:rPr>
        <w:t>The female worker shall be granted a wage equal to that of the man should she be performing the same work.</w:t>
      </w:r>
    </w:p>
    <w:p w:rsidR="00817B9A" w:rsidRDefault="00817B9A" w:rsidP="00FF10FA">
      <w:pPr>
        <w:spacing w:after="0"/>
      </w:pPr>
    </w:p>
    <w:p w:rsidR="00FA45F7" w:rsidRPr="00FF10FA" w:rsidRDefault="00FF10FA" w:rsidP="006E7C18">
      <w:pPr>
        <w:keepNext/>
        <w:keepLines/>
        <w:numPr>
          <w:ilvl w:val="0"/>
          <w:numId w:val="4"/>
        </w:numPr>
        <w:pBdr>
          <w:bottom w:val="single" w:sz="6" w:space="1" w:color="auto"/>
        </w:pBdr>
        <w:spacing w:before="40" w:after="0" w:line="259" w:lineRule="auto"/>
        <w:ind w:left="360"/>
        <w:outlineLvl w:val="1"/>
        <w:rPr>
          <w:rFonts w:ascii="Calibri Light" w:eastAsia="Times New Roman" w:hAnsi="Calibri Light" w:cs="Times New Roman"/>
          <w:b/>
          <w:color w:val="2E74B5"/>
          <w:sz w:val="26"/>
          <w:szCs w:val="26"/>
        </w:rPr>
      </w:pPr>
      <w:bookmarkStart w:id="69" w:name="_Toc61600086"/>
      <w:r>
        <w:rPr>
          <w:rFonts w:ascii="Calibri Light" w:eastAsia="Times New Roman" w:hAnsi="Calibri Light" w:cs="Times New Roman"/>
          <w:b/>
          <w:color w:val="2E74B5"/>
          <w:sz w:val="26"/>
          <w:szCs w:val="26"/>
        </w:rPr>
        <w:t>Sexual Harassment in Work and Employment</w:t>
      </w:r>
      <w:r w:rsidRPr="005E4090">
        <w:rPr>
          <w:rFonts w:ascii="Calibri Light" w:eastAsia="Times New Roman" w:hAnsi="Calibri Light" w:cs="Times New Roman"/>
          <w:b/>
          <w:color w:val="2E74B5"/>
          <w:sz w:val="26"/>
          <w:szCs w:val="26"/>
        </w:rPr>
        <w:t xml:space="preserve"> (</w:t>
      </w:r>
      <w:r>
        <w:rPr>
          <w:rFonts w:ascii="Calibri Light" w:eastAsia="Times New Roman" w:hAnsi="Calibri Light" w:cs="Times New Roman"/>
          <w:b/>
          <w:color w:val="2E74B5"/>
          <w:sz w:val="26"/>
          <w:szCs w:val="26"/>
        </w:rPr>
        <w:t>General Recommendation No. 12)</w:t>
      </w:r>
      <w:bookmarkEnd w:id="69"/>
    </w:p>
    <w:p w:rsidR="00FA45F7" w:rsidRPr="00FF10FA" w:rsidRDefault="00FA45F7" w:rsidP="00FF10FA">
      <w:pPr>
        <w:rPr>
          <w:sz w:val="22"/>
          <w:szCs w:val="22"/>
        </w:rPr>
      </w:pPr>
      <w:r w:rsidRPr="00FF10FA">
        <w:rPr>
          <w:sz w:val="22"/>
          <w:szCs w:val="22"/>
        </w:rPr>
        <w:t xml:space="preserve">Referencing Articles 2, 5, 11, 12, and 16 of the Convention, General Recommendation 12 further recommends that States parties implement legislation protecting women from sexual harassment in the workplace. </w:t>
      </w:r>
    </w:p>
    <w:p w:rsidR="00FF10FA" w:rsidRPr="007E2A89" w:rsidRDefault="00FA45F7" w:rsidP="007E2A89">
      <w:pPr>
        <w:rPr>
          <w:sz w:val="22"/>
          <w:szCs w:val="22"/>
        </w:rPr>
      </w:pPr>
      <w:r w:rsidRPr="00FF10FA">
        <w:rPr>
          <w:sz w:val="22"/>
          <w:szCs w:val="22"/>
        </w:rPr>
        <w:t>We systematically reviewed national labor codes, penal codes, equal opportunity, and other relevant legislation available through the International Labo</w:t>
      </w:r>
      <w:r w:rsidR="00B761DD">
        <w:rPr>
          <w:sz w:val="22"/>
          <w:szCs w:val="22"/>
        </w:rPr>
        <w:t>u</w:t>
      </w:r>
      <w:r w:rsidRPr="00FF10FA">
        <w:rPr>
          <w:sz w:val="22"/>
          <w:szCs w:val="22"/>
        </w:rPr>
        <w:t>r Organization’s NATLEX database for all 193 UN member states to determine whether national legislation prohibited sexual harassment at work. We examined whether protections from sexual harassment at work were in line with international agreement of wh</w:t>
      </w:r>
      <w:r w:rsidR="00B761DD">
        <w:rPr>
          <w:sz w:val="22"/>
          <w:szCs w:val="22"/>
        </w:rPr>
        <w:t>at constitutes key components of</w:t>
      </w:r>
      <w:r w:rsidRPr="00FF10FA">
        <w:rPr>
          <w:sz w:val="22"/>
          <w:szCs w:val="22"/>
        </w:rPr>
        <w:t xml:space="preserve"> sexual harassment. Namely, do laws define sexual harassment to cover quid pro quo and the creation of a hostile work environment; include sex-based harassment as well as sexual-behavior based harassment; protect workers from harassment by co-workers and other actors in the workplace, as well as supervisors; and ensure workers are protected from retaliation for reporting sexual harassment?</w:t>
      </w:r>
    </w:p>
    <w:p w:rsidR="00FF10FA" w:rsidRDefault="007E2A89" w:rsidP="00FF10FA">
      <w:pPr>
        <w:keepNext/>
        <w:keepLines/>
        <w:spacing w:before="40" w:afterLines="100" w:after="240"/>
        <w:outlineLvl w:val="3"/>
        <w:rPr>
          <w:rFonts w:ascii="Calibri Light" w:eastAsia="Times New Roman" w:hAnsi="Calibri Light" w:cs="Times New Roman"/>
          <w:i/>
          <w:iCs/>
          <w:color w:val="2E74B5"/>
          <w:sz w:val="22"/>
          <w:szCs w:val="22"/>
        </w:rPr>
      </w:pPr>
      <w:r w:rsidRPr="007E2A89">
        <w:rPr>
          <w:rFonts w:ascii="Calibri Light" w:eastAsia="Times New Roman" w:hAnsi="Calibri Light" w:cs="Times New Roman"/>
          <w:i/>
          <w:iCs/>
          <w:color w:val="2E74B5"/>
          <w:sz w:val="22"/>
          <w:szCs w:val="22"/>
        </w:rPr>
        <w:t>UNITED ARAB EMIRATE</w:t>
      </w:r>
      <w:r w:rsidR="00FF10FA" w:rsidRPr="007E2A89">
        <w:rPr>
          <w:rFonts w:ascii="Calibri Light" w:eastAsia="Times New Roman" w:hAnsi="Calibri Light" w:cs="Times New Roman"/>
          <w:i/>
          <w:iCs/>
          <w:color w:val="2E74B5"/>
          <w:sz w:val="22"/>
          <w:szCs w:val="22"/>
        </w:rPr>
        <w:t>S</w:t>
      </w:r>
      <w:r w:rsidR="005B1636">
        <w:rPr>
          <w:rFonts w:ascii="Calibri Light" w:eastAsia="Times New Roman" w:hAnsi="Calibri Light" w:cs="Times New Roman"/>
          <w:i/>
          <w:iCs/>
          <w:color w:val="2E74B5"/>
          <w:sz w:val="22"/>
          <w:szCs w:val="22"/>
        </w:rPr>
        <w:t>’</w:t>
      </w:r>
      <w:r w:rsidR="00FF10FA" w:rsidRPr="005E4090">
        <w:rPr>
          <w:rFonts w:ascii="Calibri Light" w:eastAsia="Times New Roman" w:hAnsi="Calibri Light" w:cs="Times New Roman"/>
          <w:i/>
          <w:iCs/>
          <w:color w:val="2E74B5"/>
          <w:sz w:val="22"/>
          <w:szCs w:val="22"/>
        </w:rPr>
        <w:t xml:space="preserve"> LEGISLATIVE PROV</w:t>
      </w:r>
      <w:r w:rsidR="00B761DD">
        <w:rPr>
          <w:rFonts w:ascii="Calibri Light" w:eastAsia="Times New Roman" w:hAnsi="Calibri Light" w:cs="Times New Roman"/>
          <w:i/>
          <w:iCs/>
          <w:color w:val="2E74B5"/>
          <w:sz w:val="22"/>
          <w:szCs w:val="22"/>
        </w:rPr>
        <w:t>I</w:t>
      </w:r>
      <w:r w:rsidR="00FF10FA" w:rsidRPr="005E4090">
        <w:rPr>
          <w:rFonts w:ascii="Calibri Light" w:eastAsia="Times New Roman" w:hAnsi="Calibri Light" w:cs="Times New Roman"/>
          <w:i/>
          <w:iCs/>
          <w:color w:val="2E74B5"/>
          <w:sz w:val="22"/>
          <w:szCs w:val="22"/>
        </w:rPr>
        <w:t xml:space="preserve">SIONS: </w:t>
      </w:r>
      <w:r w:rsidR="00DA57E7">
        <w:rPr>
          <w:rFonts w:ascii="Calibri Light" w:eastAsia="Times New Roman" w:hAnsi="Calibri Light" w:cs="Times New Roman"/>
          <w:i/>
          <w:iCs/>
          <w:color w:val="2E74B5"/>
          <w:sz w:val="22"/>
          <w:szCs w:val="22"/>
        </w:rPr>
        <w:t xml:space="preserve">BUILDING ON RECENT PROGRESS ON WORKPLACE </w:t>
      </w:r>
      <w:r w:rsidRPr="007E2A89">
        <w:rPr>
          <w:rFonts w:ascii="Calibri Light" w:eastAsia="Times New Roman" w:hAnsi="Calibri Light" w:cs="Times New Roman"/>
          <w:i/>
          <w:iCs/>
          <w:color w:val="2E74B5"/>
          <w:sz w:val="22"/>
          <w:szCs w:val="22"/>
        </w:rPr>
        <w:t>SEXUAL HARASSMENT</w:t>
      </w:r>
      <w:r w:rsidR="00DA57E7">
        <w:rPr>
          <w:rFonts w:ascii="Calibri Light" w:eastAsia="Times New Roman" w:hAnsi="Calibri Light" w:cs="Times New Roman"/>
          <w:i/>
          <w:iCs/>
          <w:color w:val="2E74B5"/>
          <w:sz w:val="22"/>
          <w:szCs w:val="22"/>
        </w:rPr>
        <w:t xml:space="preserve"> LEGISLATION</w:t>
      </w:r>
    </w:p>
    <w:p w:rsidR="007E2A89" w:rsidRDefault="004D25E8" w:rsidP="00F83C65">
      <w:r w:rsidRPr="004D25E8">
        <w:rPr>
          <w:sz w:val="22"/>
          <w:szCs w:val="22"/>
        </w:rPr>
        <w:t xml:space="preserve">Based on our systematic review of national legislation, </w:t>
      </w:r>
      <w:r w:rsidR="00AA55D7">
        <w:rPr>
          <w:sz w:val="22"/>
          <w:szCs w:val="22"/>
        </w:rPr>
        <w:t xml:space="preserve">Law No. 4/2019 from the </w:t>
      </w:r>
      <w:r w:rsidRPr="004D25E8">
        <w:rPr>
          <w:sz w:val="22"/>
          <w:szCs w:val="22"/>
        </w:rPr>
        <w:t xml:space="preserve">United Arab Emirates </w:t>
      </w:r>
      <w:r w:rsidRPr="004D25E8">
        <w:rPr>
          <w:b/>
          <w:bCs/>
          <w:sz w:val="22"/>
          <w:szCs w:val="22"/>
        </w:rPr>
        <w:t>add</w:t>
      </w:r>
      <w:r w:rsidR="00AA55D7">
        <w:rPr>
          <w:b/>
          <w:bCs/>
          <w:sz w:val="22"/>
          <w:szCs w:val="22"/>
        </w:rPr>
        <w:t>ed</w:t>
      </w:r>
      <w:r w:rsidRPr="004D25E8">
        <w:rPr>
          <w:b/>
          <w:bCs/>
          <w:sz w:val="22"/>
          <w:szCs w:val="22"/>
        </w:rPr>
        <w:t xml:space="preserve"> </w:t>
      </w:r>
      <w:r>
        <w:rPr>
          <w:b/>
          <w:bCs/>
          <w:sz w:val="22"/>
          <w:szCs w:val="22"/>
        </w:rPr>
        <w:t>Article 359bis</w:t>
      </w:r>
      <w:r w:rsidR="00AA55D7">
        <w:rPr>
          <w:b/>
          <w:bCs/>
          <w:sz w:val="22"/>
          <w:szCs w:val="22"/>
        </w:rPr>
        <w:t xml:space="preserve"> to the Penal Code, which generally</w:t>
      </w:r>
      <w:r w:rsidR="009B5ADC">
        <w:rPr>
          <w:b/>
          <w:bCs/>
          <w:sz w:val="22"/>
          <w:szCs w:val="22"/>
        </w:rPr>
        <w:t xml:space="preserve"> </w:t>
      </w:r>
      <w:r w:rsidRPr="004D25E8">
        <w:rPr>
          <w:b/>
          <w:bCs/>
          <w:sz w:val="22"/>
          <w:szCs w:val="22"/>
        </w:rPr>
        <w:t>prohibit</w:t>
      </w:r>
      <w:r w:rsidR="009B5ADC">
        <w:rPr>
          <w:b/>
          <w:bCs/>
          <w:sz w:val="22"/>
          <w:szCs w:val="22"/>
        </w:rPr>
        <w:t>s</w:t>
      </w:r>
      <w:r w:rsidRPr="004D25E8">
        <w:rPr>
          <w:b/>
          <w:bCs/>
          <w:sz w:val="22"/>
          <w:szCs w:val="22"/>
        </w:rPr>
        <w:t xml:space="preserve"> sexual harassment</w:t>
      </w:r>
      <w:r w:rsidR="00AA55D7">
        <w:rPr>
          <w:b/>
          <w:bCs/>
          <w:sz w:val="22"/>
          <w:szCs w:val="22"/>
        </w:rPr>
        <w:t xml:space="preserve"> by anyone with functional authority</w:t>
      </w:r>
      <w:r w:rsidRPr="004D25E8">
        <w:rPr>
          <w:sz w:val="22"/>
          <w:szCs w:val="22"/>
        </w:rPr>
        <w:t xml:space="preserve">. We commend the United Arab Emirates for </w:t>
      </w:r>
      <w:r w:rsidR="00AA55D7">
        <w:rPr>
          <w:sz w:val="22"/>
          <w:szCs w:val="22"/>
        </w:rPr>
        <w:t xml:space="preserve">recently </w:t>
      </w:r>
      <w:r w:rsidRPr="004D25E8">
        <w:rPr>
          <w:sz w:val="22"/>
          <w:szCs w:val="22"/>
        </w:rPr>
        <w:t>taking this important step in protecting women from sexual harassment</w:t>
      </w:r>
      <w:r w:rsidR="00AA55D7">
        <w:rPr>
          <w:sz w:val="22"/>
          <w:szCs w:val="22"/>
        </w:rPr>
        <w:t xml:space="preserve">. </w:t>
      </w:r>
      <w:r w:rsidR="00001C65" w:rsidRPr="00001C65">
        <w:rPr>
          <w:sz w:val="22"/>
          <w:szCs w:val="22"/>
        </w:rPr>
        <w:t xml:space="preserve"> </w:t>
      </w:r>
      <w:r w:rsidR="00001C65">
        <w:rPr>
          <w:sz w:val="22"/>
          <w:szCs w:val="22"/>
        </w:rPr>
        <w:t xml:space="preserve">The development and implementation of detailed guidelines for this provision will be particularly important given the broad nature of the term “functional authority”, and also given that </w:t>
      </w:r>
      <w:r w:rsidR="00F83C65">
        <w:rPr>
          <w:sz w:val="22"/>
          <w:szCs w:val="22"/>
        </w:rPr>
        <w:t xml:space="preserve">the </w:t>
      </w:r>
      <w:r w:rsidR="00001C65">
        <w:rPr>
          <w:sz w:val="22"/>
          <w:szCs w:val="22"/>
        </w:rPr>
        <w:t>Penal Code</w:t>
      </w:r>
      <w:r w:rsidR="00001C65">
        <w:rPr>
          <w:b/>
          <w:bCs/>
          <w:sz w:val="22"/>
          <w:szCs w:val="22"/>
        </w:rPr>
        <w:t xml:space="preserve"> </w:t>
      </w:r>
      <w:r w:rsidR="00001C65" w:rsidRPr="00F83C65">
        <w:rPr>
          <w:bCs/>
          <w:sz w:val="22"/>
          <w:szCs w:val="22"/>
        </w:rPr>
        <w:t>does not provide details around workplace sexual harassment</w:t>
      </w:r>
      <w:r w:rsidR="00001C65" w:rsidRPr="00F83C65">
        <w:rPr>
          <w:sz w:val="22"/>
          <w:szCs w:val="22"/>
        </w:rPr>
        <w:t xml:space="preserve">. </w:t>
      </w:r>
    </w:p>
    <w:p w:rsidR="00FF10FA" w:rsidRPr="00FF10FA" w:rsidRDefault="00FF10FA" w:rsidP="006E7C18">
      <w:pPr>
        <w:keepNext/>
        <w:keepLines/>
        <w:numPr>
          <w:ilvl w:val="0"/>
          <w:numId w:val="4"/>
        </w:numPr>
        <w:pBdr>
          <w:bottom w:val="single" w:sz="6" w:space="1" w:color="auto"/>
        </w:pBdr>
        <w:spacing w:before="40" w:after="0" w:line="259" w:lineRule="auto"/>
        <w:ind w:left="360"/>
        <w:outlineLvl w:val="1"/>
        <w:rPr>
          <w:rFonts w:ascii="Calibri Light" w:eastAsia="Times New Roman" w:hAnsi="Calibri Light" w:cs="Times New Roman"/>
          <w:b/>
          <w:color w:val="2E74B5"/>
          <w:sz w:val="26"/>
          <w:szCs w:val="26"/>
        </w:rPr>
      </w:pPr>
      <w:bookmarkStart w:id="70" w:name="_Toc61600087"/>
      <w:r>
        <w:rPr>
          <w:rFonts w:ascii="Calibri Light" w:eastAsia="Times New Roman" w:hAnsi="Calibri Light" w:cs="Times New Roman"/>
          <w:b/>
          <w:color w:val="2E74B5"/>
          <w:sz w:val="26"/>
          <w:szCs w:val="26"/>
        </w:rPr>
        <w:t>Paid Maternity and Paternity Leave</w:t>
      </w:r>
      <w:r w:rsidRPr="005E4090">
        <w:rPr>
          <w:rFonts w:ascii="Calibri Light" w:eastAsia="Times New Roman" w:hAnsi="Calibri Light" w:cs="Times New Roman"/>
          <w:b/>
          <w:color w:val="2E74B5"/>
          <w:sz w:val="26"/>
          <w:szCs w:val="26"/>
        </w:rPr>
        <w:t xml:space="preserve"> (</w:t>
      </w:r>
      <w:r>
        <w:rPr>
          <w:rFonts w:ascii="Calibri Light" w:eastAsia="Times New Roman" w:hAnsi="Calibri Light" w:cs="Times New Roman"/>
          <w:b/>
          <w:color w:val="2E74B5"/>
          <w:sz w:val="26"/>
          <w:szCs w:val="26"/>
        </w:rPr>
        <w:t>Articles 11, 5)</w:t>
      </w:r>
      <w:bookmarkEnd w:id="70"/>
    </w:p>
    <w:p w:rsidR="00FA45F7" w:rsidRPr="00FF10FA" w:rsidRDefault="00FA45F7" w:rsidP="00FF10FA">
      <w:pPr>
        <w:rPr>
          <w:sz w:val="22"/>
          <w:szCs w:val="22"/>
        </w:rPr>
      </w:pPr>
      <w:r w:rsidRPr="00FF10FA">
        <w:rPr>
          <w:sz w:val="22"/>
          <w:szCs w:val="22"/>
        </w:rPr>
        <w:t>Article 11</w:t>
      </w:r>
      <w:r w:rsidR="002874BF" w:rsidRPr="00FF10FA">
        <w:rPr>
          <w:sz w:val="22"/>
          <w:szCs w:val="22"/>
        </w:rPr>
        <w:t>.2</w:t>
      </w:r>
      <w:r w:rsidRPr="00FF10FA">
        <w:rPr>
          <w:sz w:val="22"/>
          <w:szCs w:val="22"/>
        </w:rPr>
        <w:t xml:space="preserve"> of the Convention states that: </w:t>
      </w:r>
    </w:p>
    <w:p w:rsidR="00FA45F7" w:rsidRPr="00FF10FA" w:rsidRDefault="00FA45F7" w:rsidP="00FF10FA">
      <w:pPr>
        <w:ind w:left="720"/>
        <w:rPr>
          <w:i/>
          <w:sz w:val="22"/>
          <w:szCs w:val="22"/>
        </w:rPr>
      </w:pPr>
      <w:r w:rsidRPr="00FF10FA">
        <w:rPr>
          <w:i/>
          <w:sz w:val="22"/>
          <w:szCs w:val="22"/>
        </w:rPr>
        <w:t xml:space="preserve">In order to prevent discrimination against women on the grounds of marriage or maternity and to ensure their effective right to work, States Parties shall take appropriate measures: </w:t>
      </w:r>
    </w:p>
    <w:p w:rsidR="00FA45F7" w:rsidRPr="00FF10FA" w:rsidRDefault="00FA45F7" w:rsidP="00FF10FA">
      <w:pPr>
        <w:ind w:left="720"/>
        <w:rPr>
          <w:i/>
          <w:sz w:val="22"/>
          <w:szCs w:val="22"/>
        </w:rPr>
      </w:pPr>
      <w:r w:rsidRPr="00FF10FA">
        <w:rPr>
          <w:i/>
          <w:sz w:val="22"/>
          <w:szCs w:val="22"/>
        </w:rPr>
        <w:t>(a) To prohibit, subject to the imposition of sanctions, dismissal on the grounds of pregnancy or of maternity leave and discrimination in dismissals on the basis of marital status;</w:t>
      </w:r>
    </w:p>
    <w:p w:rsidR="00FA45F7" w:rsidRPr="00FF10FA" w:rsidRDefault="00FA45F7" w:rsidP="00FF10FA">
      <w:pPr>
        <w:ind w:left="720"/>
        <w:rPr>
          <w:i/>
          <w:sz w:val="22"/>
          <w:szCs w:val="22"/>
        </w:rPr>
      </w:pPr>
      <w:r w:rsidRPr="00FF10FA">
        <w:rPr>
          <w:i/>
          <w:sz w:val="22"/>
          <w:szCs w:val="22"/>
        </w:rPr>
        <w:t>(b) To introduce maternity leave with pay or with comparable social benefits without loss of former employment, seniority or social allowances;</w:t>
      </w:r>
    </w:p>
    <w:p w:rsidR="00FA45F7" w:rsidRPr="00FF10FA" w:rsidRDefault="00FA45F7" w:rsidP="00FF10FA">
      <w:pPr>
        <w:rPr>
          <w:sz w:val="22"/>
          <w:szCs w:val="22"/>
        </w:rPr>
      </w:pPr>
      <w:r w:rsidRPr="00FF10FA">
        <w:rPr>
          <w:sz w:val="22"/>
          <w:szCs w:val="22"/>
        </w:rPr>
        <w:t>Further, Article 5</w:t>
      </w:r>
      <w:r w:rsidR="000345E3" w:rsidRPr="00FF10FA">
        <w:rPr>
          <w:sz w:val="22"/>
          <w:szCs w:val="22"/>
        </w:rPr>
        <w:t>(b)</w:t>
      </w:r>
      <w:r w:rsidRPr="00FF10FA">
        <w:rPr>
          <w:sz w:val="22"/>
          <w:szCs w:val="22"/>
        </w:rPr>
        <w:t xml:space="preserve"> of the Convention emphasizes the importance of including men in the upbringing of children: </w:t>
      </w:r>
    </w:p>
    <w:p w:rsidR="00FA45F7" w:rsidRPr="00FF10FA" w:rsidRDefault="00FA45F7" w:rsidP="00FF10FA">
      <w:pPr>
        <w:ind w:left="720"/>
        <w:rPr>
          <w:i/>
          <w:sz w:val="22"/>
          <w:szCs w:val="22"/>
        </w:rPr>
      </w:pPr>
      <w:r w:rsidRPr="00FF10FA">
        <w:rPr>
          <w:i/>
          <w:sz w:val="22"/>
          <w:szCs w:val="22"/>
        </w:rPr>
        <w:t>To ensure that family education includes a proper understanding of maternity as a social function and the recognition of the common responsibility of men and women in the upbringing and development of their children, it being understood that the interest of the children is the primordial consideration in all cases.</w:t>
      </w:r>
    </w:p>
    <w:p w:rsidR="00FF10FA" w:rsidRPr="00E75B98" w:rsidRDefault="00FA45F7" w:rsidP="00FA45F7">
      <w:pPr>
        <w:rPr>
          <w:sz w:val="22"/>
          <w:szCs w:val="22"/>
        </w:rPr>
      </w:pPr>
      <w:r w:rsidRPr="00FF10FA">
        <w:rPr>
          <w:sz w:val="22"/>
          <w:szCs w:val="22"/>
        </w:rPr>
        <w:t>We systematically reviewed national labor codes and social security laws to assess the availability paid maternity and paternity leave. We relied primarily on legislation downloaded through the International Labo</w:t>
      </w:r>
      <w:r w:rsidR="00B761DD">
        <w:rPr>
          <w:sz w:val="22"/>
          <w:szCs w:val="22"/>
        </w:rPr>
        <w:t>u</w:t>
      </w:r>
      <w:r w:rsidRPr="00FF10FA">
        <w:rPr>
          <w:sz w:val="22"/>
          <w:szCs w:val="22"/>
        </w:rPr>
        <w:t xml:space="preserve">r Organization’s NATLEX database. Additionally, for confirmation or clarification on legal provisions, we consulted trusted secondary sources including the Social Security Programs throughout the World (SSPTW) database, and the International Review of Leave Policies.  </w:t>
      </w:r>
    </w:p>
    <w:p w:rsidR="00FF10FA" w:rsidRDefault="00E75B98" w:rsidP="00FF10FA">
      <w:pPr>
        <w:keepNext/>
        <w:keepLines/>
        <w:spacing w:before="40" w:afterLines="100" w:after="240"/>
        <w:outlineLvl w:val="3"/>
        <w:rPr>
          <w:rFonts w:ascii="Calibri Light" w:eastAsia="Times New Roman" w:hAnsi="Calibri Light" w:cs="Times New Roman"/>
          <w:i/>
          <w:iCs/>
          <w:color w:val="2E74B5"/>
          <w:sz w:val="22"/>
          <w:szCs w:val="22"/>
        </w:rPr>
      </w:pPr>
      <w:r w:rsidRPr="00E75B98">
        <w:rPr>
          <w:rFonts w:ascii="Calibri Light" w:eastAsia="Times New Roman" w:hAnsi="Calibri Light" w:cs="Times New Roman"/>
          <w:i/>
          <w:iCs/>
          <w:color w:val="2E74B5"/>
          <w:sz w:val="22"/>
          <w:szCs w:val="22"/>
        </w:rPr>
        <w:t>UNITED ARAB EMIRATE</w:t>
      </w:r>
      <w:r w:rsidR="00FF10FA" w:rsidRPr="00E75B98">
        <w:rPr>
          <w:rFonts w:ascii="Calibri Light" w:eastAsia="Times New Roman" w:hAnsi="Calibri Light" w:cs="Times New Roman"/>
          <w:i/>
          <w:iCs/>
          <w:color w:val="2E74B5"/>
          <w:sz w:val="22"/>
          <w:szCs w:val="22"/>
        </w:rPr>
        <w:t>S</w:t>
      </w:r>
      <w:r w:rsidR="005B1636">
        <w:rPr>
          <w:rFonts w:ascii="Calibri Light" w:eastAsia="Times New Roman" w:hAnsi="Calibri Light" w:cs="Times New Roman"/>
          <w:i/>
          <w:iCs/>
          <w:color w:val="2E74B5"/>
          <w:sz w:val="22"/>
          <w:szCs w:val="22"/>
        </w:rPr>
        <w:t>’</w:t>
      </w:r>
      <w:r w:rsidR="00FF10FA" w:rsidRPr="00E75B98">
        <w:rPr>
          <w:rFonts w:ascii="Calibri Light" w:eastAsia="Times New Roman" w:hAnsi="Calibri Light" w:cs="Times New Roman"/>
          <w:i/>
          <w:iCs/>
          <w:color w:val="2E74B5"/>
          <w:sz w:val="22"/>
          <w:szCs w:val="22"/>
        </w:rPr>
        <w:t xml:space="preserve"> LEGISLATIVE</w:t>
      </w:r>
      <w:r w:rsidR="00FF10FA" w:rsidRPr="005E4090">
        <w:rPr>
          <w:rFonts w:ascii="Calibri Light" w:eastAsia="Times New Roman" w:hAnsi="Calibri Light" w:cs="Times New Roman"/>
          <w:i/>
          <w:iCs/>
          <w:color w:val="2E74B5"/>
          <w:sz w:val="22"/>
          <w:szCs w:val="22"/>
        </w:rPr>
        <w:t xml:space="preserve"> PROV</w:t>
      </w:r>
      <w:r w:rsidR="00B761DD">
        <w:rPr>
          <w:rFonts w:ascii="Calibri Light" w:eastAsia="Times New Roman" w:hAnsi="Calibri Light" w:cs="Times New Roman"/>
          <w:i/>
          <w:iCs/>
          <w:color w:val="2E74B5"/>
          <w:sz w:val="22"/>
          <w:szCs w:val="22"/>
        </w:rPr>
        <w:t>I</w:t>
      </w:r>
      <w:r w:rsidR="00FF10FA" w:rsidRPr="005E4090">
        <w:rPr>
          <w:rFonts w:ascii="Calibri Light" w:eastAsia="Times New Roman" w:hAnsi="Calibri Light" w:cs="Times New Roman"/>
          <w:i/>
          <w:iCs/>
          <w:color w:val="2E74B5"/>
          <w:sz w:val="22"/>
          <w:szCs w:val="22"/>
        </w:rPr>
        <w:t>SIONS:</w:t>
      </w:r>
      <w:bookmarkStart w:id="71" w:name="_Hlk58850174"/>
      <w:r w:rsidR="00FF10FA" w:rsidRPr="005E4090">
        <w:rPr>
          <w:rFonts w:ascii="Calibri Light" w:eastAsia="Times New Roman" w:hAnsi="Calibri Light" w:cs="Times New Roman"/>
          <w:i/>
          <w:iCs/>
          <w:color w:val="2E74B5"/>
          <w:sz w:val="22"/>
          <w:szCs w:val="22"/>
        </w:rPr>
        <w:t xml:space="preserve"> </w:t>
      </w:r>
      <w:r w:rsidRPr="00E75B98">
        <w:rPr>
          <w:rFonts w:ascii="Calibri Light" w:eastAsia="Times New Roman" w:hAnsi="Calibri Light" w:cs="Times New Roman"/>
          <w:i/>
          <w:iCs/>
          <w:color w:val="2E74B5"/>
          <w:sz w:val="22"/>
          <w:szCs w:val="22"/>
        </w:rPr>
        <w:t>NEED TO STRENGTHEN PAID MATERNITY</w:t>
      </w:r>
      <w:r w:rsidR="00B761DD">
        <w:rPr>
          <w:rFonts w:ascii="Calibri Light" w:eastAsia="Times New Roman" w:hAnsi="Calibri Light" w:cs="Times New Roman"/>
          <w:i/>
          <w:iCs/>
          <w:color w:val="2E74B5"/>
          <w:sz w:val="22"/>
          <w:szCs w:val="22"/>
        </w:rPr>
        <w:t xml:space="preserve"> LEAVE</w:t>
      </w:r>
      <w:r w:rsidRPr="00E75B98">
        <w:rPr>
          <w:rFonts w:ascii="Calibri Light" w:eastAsia="Times New Roman" w:hAnsi="Calibri Light" w:cs="Times New Roman"/>
          <w:i/>
          <w:iCs/>
          <w:color w:val="2E74B5"/>
          <w:sz w:val="22"/>
          <w:szCs w:val="22"/>
        </w:rPr>
        <w:t xml:space="preserve"> AND </w:t>
      </w:r>
      <w:r w:rsidR="005B1636">
        <w:rPr>
          <w:rFonts w:ascii="Calibri Light" w:eastAsia="Times New Roman" w:hAnsi="Calibri Light" w:cs="Times New Roman"/>
          <w:i/>
          <w:iCs/>
          <w:color w:val="2E74B5"/>
          <w:sz w:val="22"/>
          <w:szCs w:val="22"/>
        </w:rPr>
        <w:t xml:space="preserve">ADD </w:t>
      </w:r>
      <w:r w:rsidR="00375E49">
        <w:rPr>
          <w:rFonts w:ascii="Calibri Light" w:eastAsia="Times New Roman" w:hAnsi="Calibri Light" w:cs="Times New Roman"/>
          <w:i/>
          <w:iCs/>
          <w:color w:val="2E74B5"/>
          <w:sz w:val="22"/>
          <w:szCs w:val="22"/>
        </w:rPr>
        <w:t xml:space="preserve">PAID </w:t>
      </w:r>
      <w:r w:rsidRPr="00E75B98">
        <w:rPr>
          <w:rFonts w:ascii="Calibri Light" w:eastAsia="Times New Roman" w:hAnsi="Calibri Light" w:cs="Times New Roman"/>
          <w:i/>
          <w:iCs/>
          <w:color w:val="2E74B5"/>
          <w:sz w:val="22"/>
          <w:szCs w:val="22"/>
        </w:rPr>
        <w:t>PATERNITY LEAVE</w:t>
      </w:r>
      <w:bookmarkEnd w:id="71"/>
    </w:p>
    <w:p w:rsidR="00FF10FA" w:rsidRDefault="00E75B98" w:rsidP="00FF10FA">
      <w:pPr>
        <w:spacing w:after="0"/>
        <w:rPr>
          <w:sz w:val="22"/>
          <w:szCs w:val="22"/>
        </w:rPr>
      </w:pPr>
      <w:bookmarkStart w:id="72" w:name="_Hlk58848933"/>
      <w:r w:rsidRPr="00E75B98">
        <w:rPr>
          <w:sz w:val="22"/>
          <w:szCs w:val="22"/>
        </w:rPr>
        <w:t>Based on our systematic review</w:t>
      </w:r>
      <w:r>
        <w:t xml:space="preserve"> </w:t>
      </w:r>
      <w:r w:rsidRPr="00E75B98">
        <w:rPr>
          <w:sz w:val="22"/>
          <w:szCs w:val="22"/>
        </w:rPr>
        <w:t>of national legislation and country reports</w:t>
      </w:r>
      <w:r>
        <w:rPr>
          <w:sz w:val="22"/>
          <w:szCs w:val="22"/>
        </w:rPr>
        <w:t xml:space="preserve">, </w:t>
      </w:r>
      <w:r w:rsidR="00FF07E2">
        <w:rPr>
          <w:sz w:val="22"/>
          <w:szCs w:val="22"/>
        </w:rPr>
        <w:t xml:space="preserve">Article 30 of the </w:t>
      </w:r>
      <w:r w:rsidR="00FF07E2" w:rsidRPr="00FF07E2">
        <w:rPr>
          <w:i/>
          <w:iCs/>
          <w:sz w:val="22"/>
          <w:szCs w:val="22"/>
        </w:rPr>
        <w:t>Federal Law on Labour Relations</w:t>
      </w:r>
      <w:r>
        <w:rPr>
          <w:sz w:val="22"/>
          <w:szCs w:val="22"/>
        </w:rPr>
        <w:t xml:space="preserve"> </w:t>
      </w:r>
      <w:r w:rsidR="00FF07E2">
        <w:rPr>
          <w:sz w:val="22"/>
          <w:szCs w:val="22"/>
        </w:rPr>
        <w:t xml:space="preserve">guarantees </w:t>
      </w:r>
      <w:r w:rsidR="00FF07E2" w:rsidRPr="00FF07E2">
        <w:rPr>
          <w:b/>
          <w:bCs/>
          <w:sz w:val="22"/>
          <w:szCs w:val="22"/>
        </w:rPr>
        <w:t>45 days</w:t>
      </w:r>
      <w:r w:rsidRPr="00FF07E2">
        <w:rPr>
          <w:b/>
          <w:bCs/>
          <w:sz w:val="22"/>
          <w:szCs w:val="22"/>
        </w:rPr>
        <w:t xml:space="preserve"> of paid maternity leave to </w:t>
      </w:r>
      <w:r w:rsidR="00FF07E2" w:rsidRPr="00FF07E2">
        <w:rPr>
          <w:b/>
          <w:bCs/>
          <w:sz w:val="22"/>
          <w:szCs w:val="22"/>
        </w:rPr>
        <w:t>working mother</w:t>
      </w:r>
      <w:r w:rsidRPr="00FF07E2">
        <w:rPr>
          <w:b/>
          <w:bCs/>
          <w:sz w:val="22"/>
          <w:szCs w:val="22"/>
        </w:rPr>
        <w:t>s</w:t>
      </w:r>
      <w:r>
        <w:rPr>
          <w:sz w:val="22"/>
          <w:szCs w:val="22"/>
        </w:rPr>
        <w:t xml:space="preserve">. </w:t>
      </w:r>
      <w:r w:rsidR="001B6B5C">
        <w:rPr>
          <w:sz w:val="22"/>
          <w:szCs w:val="22"/>
        </w:rPr>
        <w:t xml:space="preserve">We did not identify any provisions that protect from dismissal or guarantee job protection for </w:t>
      </w:r>
      <w:r w:rsidR="00E225C5">
        <w:rPr>
          <w:sz w:val="22"/>
          <w:szCs w:val="22"/>
        </w:rPr>
        <w:t xml:space="preserve">women to take paid maternity leave. </w:t>
      </w:r>
      <w:r>
        <w:rPr>
          <w:sz w:val="22"/>
          <w:szCs w:val="22"/>
        </w:rPr>
        <w:t xml:space="preserve">We </w:t>
      </w:r>
      <w:r w:rsidR="00E225C5">
        <w:rPr>
          <w:sz w:val="22"/>
          <w:szCs w:val="22"/>
        </w:rPr>
        <w:t xml:space="preserve">also </w:t>
      </w:r>
      <w:r>
        <w:rPr>
          <w:sz w:val="22"/>
          <w:szCs w:val="22"/>
        </w:rPr>
        <w:t xml:space="preserve">found </w:t>
      </w:r>
      <w:r w:rsidRPr="00FF07E2">
        <w:rPr>
          <w:b/>
          <w:bCs/>
          <w:sz w:val="22"/>
          <w:szCs w:val="22"/>
        </w:rPr>
        <w:t>no provisions that provide paid paternity leave to fathers</w:t>
      </w:r>
      <w:r>
        <w:rPr>
          <w:sz w:val="22"/>
          <w:szCs w:val="22"/>
        </w:rPr>
        <w:t xml:space="preserve">. </w:t>
      </w:r>
    </w:p>
    <w:bookmarkEnd w:id="72"/>
    <w:p w:rsidR="00E75B98" w:rsidRDefault="00E75B98" w:rsidP="00FF10FA">
      <w:pPr>
        <w:spacing w:after="0"/>
        <w:rPr>
          <w:sz w:val="22"/>
          <w:szCs w:val="22"/>
        </w:rPr>
      </w:pPr>
    </w:p>
    <w:p w:rsidR="00E75B98" w:rsidRPr="00E75B98" w:rsidRDefault="00E75B98" w:rsidP="00E75B98">
      <w:pPr>
        <w:ind w:left="720"/>
        <w:rPr>
          <w:i/>
          <w:iCs/>
          <w:sz w:val="22"/>
          <w:szCs w:val="22"/>
        </w:rPr>
      </w:pPr>
      <w:r w:rsidRPr="00E75B98">
        <w:rPr>
          <w:i/>
          <w:iCs/>
          <w:sz w:val="22"/>
          <w:szCs w:val="22"/>
        </w:rPr>
        <w:t>A</w:t>
      </w:r>
      <w:r w:rsidR="00FF07E2">
        <w:rPr>
          <w:i/>
          <w:iCs/>
          <w:sz w:val="22"/>
          <w:szCs w:val="22"/>
        </w:rPr>
        <w:t>rticle</w:t>
      </w:r>
      <w:r w:rsidRPr="00E75B98">
        <w:rPr>
          <w:i/>
          <w:iCs/>
          <w:sz w:val="22"/>
          <w:szCs w:val="22"/>
        </w:rPr>
        <w:t xml:space="preserve"> 30</w:t>
      </w:r>
    </w:p>
    <w:p w:rsidR="00E75B98" w:rsidRPr="00FF07E2" w:rsidRDefault="00E75B98" w:rsidP="00FF07E2">
      <w:pPr>
        <w:ind w:left="720"/>
        <w:rPr>
          <w:i/>
          <w:iCs/>
          <w:sz w:val="22"/>
          <w:szCs w:val="22"/>
        </w:rPr>
      </w:pPr>
      <w:r w:rsidRPr="00E75B98">
        <w:rPr>
          <w:i/>
          <w:iCs/>
          <w:sz w:val="22"/>
          <w:szCs w:val="22"/>
        </w:rPr>
        <w:t xml:space="preserve">A working woman is entitled to maternity leave with full pay for a period of </w:t>
      </w:r>
      <w:r w:rsidR="00FF07E2" w:rsidRPr="00E75B98">
        <w:rPr>
          <w:i/>
          <w:iCs/>
          <w:sz w:val="22"/>
          <w:szCs w:val="22"/>
        </w:rPr>
        <w:t>forty-five</w:t>
      </w:r>
      <w:r w:rsidR="00FF07E2">
        <w:rPr>
          <w:i/>
          <w:iCs/>
          <w:sz w:val="22"/>
          <w:szCs w:val="22"/>
        </w:rPr>
        <w:t xml:space="preserve"> </w:t>
      </w:r>
      <w:r w:rsidRPr="00E75B98">
        <w:rPr>
          <w:i/>
          <w:iCs/>
          <w:sz w:val="22"/>
          <w:szCs w:val="22"/>
        </w:rPr>
        <w:t>days including the time before and after delivery, provided that her continuous period of</w:t>
      </w:r>
      <w:r w:rsidR="00FF07E2">
        <w:rPr>
          <w:i/>
          <w:iCs/>
          <w:sz w:val="22"/>
          <w:szCs w:val="22"/>
        </w:rPr>
        <w:t xml:space="preserve"> </w:t>
      </w:r>
      <w:r w:rsidRPr="00E75B98">
        <w:rPr>
          <w:i/>
          <w:iCs/>
          <w:sz w:val="22"/>
          <w:szCs w:val="22"/>
        </w:rPr>
        <w:t>service with the employer should not be less than a year, but if a working woman has</w:t>
      </w:r>
      <w:r w:rsidR="00FF07E2">
        <w:rPr>
          <w:i/>
          <w:iCs/>
          <w:sz w:val="22"/>
          <w:szCs w:val="22"/>
        </w:rPr>
        <w:t xml:space="preserve"> </w:t>
      </w:r>
      <w:r w:rsidRPr="00E75B98">
        <w:rPr>
          <w:i/>
          <w:iCs/>
          <w:sz w:val="22"/>
          <w:szCs w:val="22"/>
        </w:rPr>
        <w:t>not completed the said period, the maternity leave shall be with half pay.</w:t>
      </w:r>
    </w:p>
    <w:p w:rsidR="00E75B98" w:rsidRPr="00E75B98" w:rsidRDefault="00E75B98" w:rsidP="00FF10FA">
      <w:pPr>
        <w:spacing w:after="0"/>
      </w:pPr>
    </w:p>
    <w:p w:rsidR="00FF10FA" w:rsidRDefault="00FF10FA" w:rsidP="00A41D03">
      <w:pPr>
        <w:spacing w:after="0"/>
        <w:jc w:val="center"/>
      </w:pPr>
    </w:p>
    <w:p w:rsidR="00FF10FA" w:rsidRDefault="00FF10FA" w:rsidP="00A41D03">
      <w:pPr>
        <w:spacing w:after="0"/>
        <w:jc w:val="center"/>
      </w:pPr>
    </w:p>
    <w:p w:rsidR="00FF10FA" w:rsidRPr="006E7C18" w:rsidRDefault="005B1636" w:rsidP="006E7C18">
      <w:pPr>
        <w:pStyle w:val="Heading4"/>
        <w:rPr>
          <w:i/>
          <w:sz w:val="18"/>
          <w:szCs w:val="18"/>
        </w:rPr>
      </w:pPr>
      <w:r>
        <w:rPr>
          <w:i/>
          <w:sz w:val="18"/>
          <w:szCs w:val="18"/>
        </w:rPr>
        <w:t>Brief</w:t>
      </w:r>
      <w:r w:rsidR="00FF10FA" w:rsidRPr="000E03A6">
        <w:rPr>
          <w:i/>
          <w:sz w:val="18"/>
          <w:szCs w:val="18"/>
        </w:rPr>
        <w:t xml:space="preserve"> prepared by the WORLD Policy Analysis Center, University of California, Los Angeles</w:t>
      </w:r>
    </w:p>
    <w:sectPr w:rsidR="00FF10FA" w:rsidRPr="006E7C18" w:rsidSect="00831B92">
      <w:headerReference w:type="default" r:id="rId8"/>
      <w:footerReference w:type="default" r:id="rId9"/>
      <w:head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41C" w:rsidRDefault="00F6341C" w:rsidP="00263795">
      <w:pPr>
        <w:spacing w:after="0" w:line="240" w:lineRule="auto"/>
      </w:pPr>
      <w:r>
        <w:separator/>
      </w:r>
    </w:p>
  </w:endnote>
  <w:endnote w:type="continuationSeparator" w:id="0">
    <w:p w:rsidR="00F6341C" w:rsidRDefault="00F6341C" w:rsidP="0026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594813"/>
      <w:docPartObj>
        <w:docPartGallery w:val="Page Numbers (Bottom of Page)"/>
        <w:docPartUnique/>
      </w:docPartObj>
    </w:sdtPr>
    <w:sdtEndPr>
      <w:rPr>
        <w:color w:val="7F7F7F" w:themeColor="background1" w:themeShade="7F"/>
        <w:spacing w:val="60"/>
      </w:rPr>
    </w:sdtEndPr>
    <w:sdtContent>
      <w:p w:rsidR="00831B92" w:rsidRDefault="00831B92">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1B25">
          <w:rPr>
            <w:noProof/>
          </w:rPr>
          <w:t>4</w:t>
        </w:r>
        <w:r>
          <w:rPr>
            <w:noProof/>
          </w:rPr>
          <w:fldChar w:fldCharType="end"/>
        </w:r>
        <w:r>
          <w:t xml:space="preserve"> | </w:t>
        </w:r>
        <w:r>
          <w:rPr>
            <w:color w:val="7F7F7F" w:themeColor="background1" w:themeShade="7F"/>
            <w:spacing w:val="60"/>
          </w:rPr>
          <w:t>Page</w:t>
        </w:r>
      </w:p>
    </w:sdtContent>
  </w:sdt>
  <w:p w:rsidR="00831B92" w:rsidRDefault="00831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41C" w:rsidRDefault="00F6341C" w:rsidP="00263795">
      <w:pPr>
        <w:spacing w:after="0" w:line="240" w:lineRule="auto"/>
      </w:pPr>
      <w:r>
        <w:separator/>
      </w:r>
    </w:p>
  </w:footnote>
  <w:footnote w:type="continuationSeparator" w:id="0">
    <w:p w:rsidR="00F6341C" w:rsidRDefault="00F6341C" w:rsidP="00263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054" w:rsidRDefault="009F2054" w:rsidP="005B7FB6">
    <w:pPr>
      <w:pStyle w:val="Header"/>
      <w:jc w:val="right"/>
    </w:pPr>
    <w:r>
      <w:rPr>
        <w:noProof/>
      </w:rPr>
      <w:drawing>
        <wp:anchor distT="0" distB="0" distL="114300" distR="114300" simplePos="0" relativeHeight="251657216" behindDoc="1" locked="0" layoutInCell="1" allowOverlap="1" wp14:anchorId="51CA9CF6" wp14:editId="64F46BF9">
          <wp:simplePos x="0" y="0"/>
          <wp:positionH relativeFrom="column">
            <wp:posOffset>-800100</wp:posOffset>
          </wp:positionH>
          <wp:positionV relativeFrom="paragraph">
            <wp:posOffset>-333375</wp:posOffset>
          </wp:positionV>
          <wp:extent cx="3048006" cy="704089"/>
          <wp:effectExtent l="0" t="0" r="0" b="1270"/>
          <wp:wrapTight wrapText="bothSides">
            <wp:wrapPolygon edited="0">
              <wp:start x="3240" y="585"/>
              <wp:lineTo x="405" y="3509"/>
              <wp:lineTo x="270" y="7018"/>
              <wp:lineTo x="2160" y="11112"/>
              <wp:lineTo x="2700" y="21054"/>
              <wp:lineTo x="3375" y="21054"/>
              <wp:lineTo x="20925" y="17545"/>
              <wp:lineTo x="21060" y="11112"/>
              <wp:lineTo x="20385" y="11112"/>
              <wp:lineTo x="20250" y="4094"/>
              <wp:lineTo x="4320" y="585"/>
              <wp:lineTo x="3240" y="58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logo rectangle small cl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6" cy="704089"/>
                  </a:xfrm>
                  <a:prstGeom prst="rect">
                    <a:avLst/>
                  </a:prstGeom>
                </pic:spPr>
              </pic:pic>
            </a:graphicData>
          </a:graphic>
        </wp:anchor>
      </w:drawing>
    </w:r>
    <w:r w:rsidR="00831B92" w:rsidDel="00831B92">
      <w:t xml:space="preserve"> </w:t>
    </w:r>
    <w:r w:rsidR="007B7DA1">
      <w:t>January 25</w:t>
    </w:r>
    <w:r w:rsidR="00E3570F">
      <w:t>, 2021</w:t>
    </w:r>
  </w:p>
  <w:p w:rsidR="009F2054" w:rsidRDefault="009F2054" w:rsidP="00831B92">
    <w:pPr>
      <w:pStyle w:val="Header"/>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2B3" w:rsidRDefault="00A962B3" w:rsidP="00A962B3">
    <w:pPr>
      <w:pStyle w:val="Header"/>
      <w:jc w:val="right"/>
    </w:pPr>
    <w:r>
      <w:rPr>
        <w:noProof/>
      </w:rPr>
      <w:drawing>
        <wp:anchor distT="0" distB="0" distL="114300" distR="114300" simplePos="0" relativeHeight="251659264" behindDoc="1" locked="0" layoutInCell="1" allowOverlap="1" wp14:anchorId="208DA6B5" wp14:editId="11EF59D3">
          <wp:simplePos x="0" y="0"/>
          <wp:positionH relativeFrom="column">
            <wp:posOffset>-733425</wp:posOffset>
          </wp:positionH>
          <wp:positionV relativeFrom="paragraph">
            <wp:posOffset>-323850</wp:posOffset>
          </wp:positionV>
          <wp:extent cx="3048006" cy="704089"/>
          <wp:effectExtent l="0" t="0" r="0" b="1270"/>
          <wp:wrapTight wrapText="bothSides">
            <wp:wrapPolygon edited="0">
              <wp:start x="3240" y="585"/>
              <wp:lineTo x="405" y="3509"/>
              <wp:lineTo x="270" y="7018"/>
              <wp:lineTo x="2160" y="11112"/>
              <wp:lineTo x="2700" y="21054"/>
              <wp:lineTo x="3375" y="21054"/>
              <wp:lineTo x="20925" y="17545"/>
              <wp:lineTo x="21060" y="11112"/>
              <wp:lineTo x="20385" y="11112"/>
              <wp:lineTo x="20250" y="4094"/>
              <wp:lineTo x="4320" y="585"/>
              <wp:lineTo x="3240" y="58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logo rectangle small cl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6" cy="704089"/>
                  </a:xfrm>
                  <a:prstGeom prst="rect">
                    <a:avLst/>
                  </a:prstGeom>
                </pic:spPr>
              </pic:pic>
            </a:graphicData>
          </a:graphic>
        </wp:anchor>
      </w:drawing>
    </w:r>
    <w:r w:rsidR="007B7DA1">
      <w:t>January 25</w:t>
    </w:r>
    <w:r>
      <w:t>,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765D"/>
    <w:multiLevelType w:val="hybridMultilevel"/>
    <w:tmpl w:val="12688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76864"/>
    <w:multiLevelType w:val="hybridMultilevel"/>
    <w:tmpl w:val="FD8C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24DE2"/>
    <w:multiLevelType w:val="hybridMultilevel"/>
    <w:tmpl w:val="5F72F214"/>
    <w:lvl w:ilvl="0" w:tplc="6F322AA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230BD"/>
    <w:multiLevelType w:val="hybridMultilevel"/>
    <w:tmpl w:val="8D708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D345A6"/>
    <w:multiLevelType w:val="hybridMultilevel"/>
    <w:tmpl w:val="59686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A243F"/>
    <w:multiLevelType w:val="hybridMultilevel"/>
    <w:tmpl w:val="3F0C00F0"/>
    <w:lvl w:ilvl="0" w:tplc="722EEF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000710"/>
    <w:multiLevelType w:val="hybridMultilevel"/>
    <w:tmpl w:val="B290E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241E3E"/>
    <w:multiLevelType w:val="hybridMultilevel"/>
    <w:tmpl w:val="DFFC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1"/>
  </w:num>
  <w:num w:numId="6">
    <w:abstractNumId w:val="0"/>
  </w:num>
  <w:num w:numId="7">
    <w:abstractNumId w:val="3"/>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95"/>
    <w:rsid w:val="00001C65"/>
    <w:rsid w:val="00004C6B"/>
    <w:rsid w:val="00005342"/>
    <w:rsid w:val="00007B9F"/>
    <w:rsid w:val="00007FCC"/>
    <w:rsid w:val="00021FBA"/>
    <w:rsid w:val="00024807"/>
    <w:rsid w:val="0002636A"/>
    <w:rsid w:val="00026A3B"/>
    <w:rsid w:val="0003358B"/>
    <w:rsid w:val="000345E3"/>
    <w:rsid w:val="00035C10"/>
    <w:rsid w:val="000365E8"/>
    <w:rsid w:val="00041FF9"/>
    <w:rsid w:val="0004725A"/>
    <w:rsid w:val="00053016"/>
    <w:rsid w:val="000530B1"/>
    <w:rsid w:val="00062767"/>
    <w:rsid w:val="0006291B"/>
    <w:rsid w:val="0006644E"/>
    <w:rsid w:val="000671D5"/>
    <w:rsid w:val="00074C6E"/>
    <w:rsid w:val="00075804"/>
    <w:rsid w:val="000850FE"/>
    <w:rsid w:val="000A17BA"/>
    <w:rsid w:val="000A6E0C"/>
    <w:rsid w:val="000B05BA"/>
    <w:rsid w:val="000B2CBC"/>
    <w:rsid w:val="000B43D7"/>
    <w:rsid w:val="000C524F"/>
    <w:rsid w:val="000D2A2C"/>
    <w:rsid w:val="000D48EA"/>
    <w:rsid w:val="000D75F8"/>
    <w:rsid w:val="000E3CCB"/>
    <w:rsid w:val="000E3CF5"/>
    <w:rsid w:val="000F22CA"/>
    <w:rsid w:val="000F4CDB"/>
    <w:rsid w:val="000F5C02"/>
    <w:rsid w:val="000F7D43"/>
    <w:rsid w:val="0010092B"/>
    <w:rsid w:val="0010334A"/>
    <w:rsid w:val="00110604"/>
    <w:rsid w:val="00112EC9"/>
    <w:rsid w:val="00115C81"/>
    <w:rsid w:val="00121A10"/>
    <w:rsid w:val="00131722"/>
    <w:rsid w:val="001339E4"/>
    <w:rsid w:val="0014064A"/>
    <w:rsid w:val="0014409D"/>
    <w:rsid w:val="0014443A"/>
    <w:rsid w:val="00146C3A"/>
    <w:rsid w:val="001512D1"/>
    <w:rsid w:val="00157053"/>
    <w:rsid w:val="00162318"/>
    <w:rsid w:val="00162979"/>
    <w:rsid w:val="00163AA4"/>
    <w:rsid w:val="00167592"/>
    <w:rsid w:val="00170358"/>
    <w:rsid w:val="00174B33"/>
    <w:rsid w:val="001855CF"/>
    <w:rsid w:val="00186A0B"/>
    <w:rsid w:val="00192A79"/>
    <w:rsid w:val="00192EE4"/>
    <w:rsid w:val="00193072"/>
    <w:rsid w:val="00193108"/>
    <w:rsid w:val="00196B39"/>
    <w:rsid w:val="001A1121"/>
    <w:rsid w:val="001B0629"/>
    <w:rsid w:val="001B130D"/>
    <w:rsid w:val="001B6472"/>
    <w:rsid w:val="001B6B5C"/>
    <w:rsid w:val="001E0AB3"/>
    <w:rsid w:val="001E6EF2"/>
    <w:rsid w:val="001F2433"/>
    <w:rsid w:val="00201BBD"/>
    <w:rsid w:val="00202927"/>
    <w:rsid w:val="002118F1"/>
    <w:rsid w:val="00216A01"/>
    <w:rsid w:val="00216F3A"/>
    <w:rsid w:val="00217985"/>
    <w:rsid w:val="00225A6E"/>
    <w:rsid w:val="00233775"/>
    <w:rsid w:val="00233C05"/>
    <w:rsid w:val="002363A5"/>
    <w:rsid w:val="00237DC7"/>
    <w:rsid w:val="00242A41"/>
    <w:rsid w:val="00244E0B"/>
    <w:rsid w:val="002463EE"/>
    <w:rsid w:val="00246EC7"/>
    <w:rsid w:val="002529A1"/>
    <w:rsid w:val="002553AC"/>
    <w:rsid w:val="0025596E"/>
    <w:rsid w:val="00257407"/>
    <w:rsid w:val="00262139"/>
    <w:rsid w:val="0026260D"/>
    <w:rsid w:val="00263795"/>
    <w:rsid w:val="00267D06"/>
    <w:rsid w:val="00277988"/>
    <w:rsid w:val="002802A1"/>
    <w:rsid w:val="00280964"/>
    <w:rsid w:val="002822B0"/>
    <w:rsid w:val="002874BF"/>
    <w:rsid w:val="00293C07"/>
    <w:rsid w:val="002A27CB"/>
    <w:rsid w:val="002A2ECC"/>
    <w:rsid w:val="002A35ED"/>
    <w:rsid w:val="002B4C4A"/>
    <w:rsid w:val="002B6072"/>
    <w:rsid w:val="002C79FD"/>
    <w:rsid w:val="002D3CE2"/>
    <w:rsid w:val="002E098D"/>
    <w:rsid w:val="002E3152"/>
    <w:rsid w:val="002F18CF"/>
    <w:rsid w:val="002F47A6"/>
    <w:rsid w:val="002F4FD6"/>
    <w:rsid w:val="002F655E"/>
    <w:rsid w:val="002F6E5A"/>
    <w:rsid w:val="00320262"/>
    <w:rsid w:val="00331DB8"/>
    <w:rsid w:val="0033322B"/>
    <w:rsid w:val="003444CA"/>
    <w:rsid w:val="00346925"/>
    <w:rsid w:val="0035238B"/>
    <w:rsid w:val="00353A9D"/>
    <w:rsid w:val="00353D6C"/>
    <w:rsid w:val="00355056"/>
    <w:rsid w:val="00356615"/>
    <w:rsid w:val="00362350"/>
    <w:rsid w:val="0036569F"/>
    <w:rsid w:val="003716E9"/>
    <w:rsid w:val="003723BD"/>
    <w:rsid w:val="00374D35"/>
    <w:rsid w:val="00375E49"/>
    <w:rsid w:val="003860C9"/>
    <w:rsid w:val="00391573"/>
    <w:rsid w:val="003948B3"/>
    <w:rsid w:val="003A0670"/>
    <w:rsid w:val="003A11D6"/>
    <w:rsid w:val="003A6D58"/>
    <w:rsid w:val="003C116C"/>
    <w:rsid w:val="003C2D78"/>
    <w:rsid w:val="003C3521"/>
    <w:rsid w:val="003C3F1A"/>
    <w:rsid w:val="003C4621"/>
    <w:rsid w:val="003D16AD"/>
    <w:rsid w:val="003D1B16"/>
    <w:rsid w:val="003D79EE"/>
    <w:rsid w:val="003E044E"/>
    <w:rsid w:val="003E182D"/>
    <w:rsid w:val="003F0A92"/>
    <w:rsid w:val="003F0ACD"/>
    <w:rsid w:val="003F21AC"/>
    <w:rsid w:val="003F70E6"/>
    <w:rsid w:val="00400A74"/>
    <w:rsid w:val="0040107F"/>
    <w:rsid w:val="00401DF4"/>
    <w:rsid w:val="004033AC"/>
    <w:rsid w:val="0040500F"/>
    <w:rsid w:val="004126C0"/>
    <w:rsid w:val="00416DA2"/>
    <w:rsid w:val="00423808"/>
    <w:rsid w:val="004261C5"/>
    <w:rsid w:val="00427B31"/>
    <w:rsid w:val="004320C8"/>
    <w:rsid w:val="00433969"/>
    <w:rsid w:val="0044050A"/>
    <w:rsid w:val="00444D19"/>
    <w:rsid w:val="004536D3"/>
    <w:rsid w:val="004554E5"/>
    <w:rsid w:val="00457CA1"/>
    <w:rsid w:val="00461A11"/>
    <w:rsid w:val="00466174"/>
    <w:rsid w:val="004679B8"/>
    <w:rsid w:val="0047219D"/>
    <w:rsid w:val="00473A77"/>
    <w:rsid w:val="00473BDF"/>
    <w:rsid w:val="00474A1C"/>
    <w:rsid w:val="0047586E"/>
    <w:rsid w:val="00487C6E"/>
    <w:rsid w:val="004A5F2D"/>
    <w:rsid w:val="004A7910"/>
    <w:rsid w:val="004B4D32"/>
    <w:rsid w:val="004B5485"/>
    <w:rsid w:val="004B6F48"/>
    <w:rsid w:val="004B737D"/>
    <w:rsid w:val="004B7D6E"/>
    <w:rsid w:val="004C08D1"/>
    <w:rsid w:val="004C26E6"/>
    <w:rsid w:val="004D03D6"/>
    <w:rsid w:val="004D1D1F"/>
    <w:rsid w:val="004D25E8"/>
    <w:rsid w:val="004D47C4"/>
    <w:rsid w:val="004E188F"/>
    <w:rsid w:val="004F6CB6"/>
    <w:rsid w:val="00500071"/>
    <w:rsid w:val="00500831"/>
    <w:rsid w:val="00502A99"/>
    <w:rsid w:val="00502CB9"/>
    <w:rsid w:val="0050301F"/>
    <w:rsid w:val="00504243"/>
    <w:rsid w:val="00505920"/>
    <w:rsid w:val="00525DC6"/>
    <w:rsid w:val="005359EF"/>
    <w:rsid w:val="005404BA"/>
    <w:rsid w:val="00543280"/>
    <w:rsid w:val="0054599A"/>
    <w:rsid w:val="005506E0"/>
    <w:rsid w:val="005543C0"/>
    <w:rsid w:val="005567CD"/>
    <w:rsid w:val="00557612"/>
    <w:rsid w:val="00562FEE"/>
    <w:rsid w:val="005651F7"/>
    <w:rsid w:val="005716D4"/>
    <w:rsid w:val="0057555D"/>
    <w:rsid w:val="0057663A"/>
    <w:rsid w:val="005857B9"/>
    <w:rsid w:val="00591179"/>
    <w:rsid w:val="00591781"/>
    <w:rsid w:val="005940D1"/>
    <w:rsid w:val="005963F8"/>
    <w:rsid w:val="005A25CA"/>
    <w:rsid w:val="005A3A03"/>
    <w:rsid w:val="005A5F1C"/>
    <w:rsid w:val="005A770F"/>
    <w:rsid w:val="005B1636"/>
    <w:rsid w:val="005B7FB6"/>
    <w:rsid w:val="005C1924"/>
    <w:rsid w:val="005C5747"/>
    <w:rsid w:val="005D00FA"/>
    <w:rsid w:val="005D290C"/>
    <w:rsid w:val="005E0866"/>
    <w:rsid w:val="005E14E6"/>
    <w:rsid w:val="005E1C2A"/>
    <w:rsid w:val="005E3766"/>
    <w:rsid w:val="005E6E48"/>
    <w:rsid w:val="005F7F02"/>
    <w:rsid w:val="0060044E"/>
    <w:rsid w:val="0060756E"/>
    <w:rsid w:val="00612D50"/>
    <w:rsid w:val="00613B71"/>
    <w:rsid w:val="00623047"/>
    <w:rsid w:val="006306D0"/>
    <w:rsid w:val="00643218"/>
    <w:rsid w:val="00646949"/>
    <w:rsid w:val="00650A2E"/>
    <w:rsid w:val="00655768"/>
    <w:rsid w:val="00656B5B"/>
    <w:rsid w:val="0065723F"/>
    <w:rsid w:val="00660730"/>
    <w:rsid w:val="00660F61"/>
    <w:rsid w:val="0066260A"/>
    <w:rsid w:val="00662B05"/>
    <w:rsid w:val="006657E9"/>
    <w:rsid w:val="00665877"/>
    <w:rsid w:val="006768A8"/>
    <w:rsid w:val="00681002"/>
    <w:rsid w:val="006A4D85"/>
    <w:rsid w:val="006A5F21"/>
    <w:rsid w:val="006B1C1E"/>
    <w:rsid w:val="006B44D9"/>
    <w:rsid w:val="006C1EE0"/>
    <w:rsid w:val="006C2730"/>
    <w:rsid w:val="006C292B"/>
    <w:rsid w:val="006C75D7"/>
    <w:rsid w:val="006D29B2"/>
    <w:rsid w:val="006D4E5A"/>
    <w:rsid w:val="006D57E4"/>
    <w:rsid w:val="006E0A8A"/>
    <w:rsid w:val="006E25EC"/>
    <w:rsid w:val="006E409F"/>
    <w:rsid w:val="006E7C18"/>
    <w:rsid w:val="00700A3A"/>
    <w:rsid w:val="007033CF"/>
    <w:rsid w:val="00704E40"/>
    <w:rsid w:val="007112EC"/>
    <w:rsid w:val="007124C0"/>
    <w:rsid w:val="00714794"/>
    <w:rsid w:val="007174B8"/>
    <w:rsid w:val="007237E3"/>
    <w:rsid w:val="00723F1C"/>
    <w:rsid w:val="00724A59"/>
    <w:rsid w:val="00730F01"/>
    <w:rsid w:val="007335F6"/>
    <w:rsid w:val="007418C2"/>
    <w:rsid w:val="0074263A"/>
    <w:rsid w:val="00753E19"/>
    <w:rsid w:val="007559F8"/>
    <w:rsid w:val="007578CE"/>
    <w:rsid w:val="00762334"/>
    <w:rsid w:val="007624D3"/>
    <w:rsid w:val="007654FC"/>
    <w:rsid w:val="007718E9"/>
    <w:rsid w:val="00791D26"/>
    <w:rsid w:val="00791D51"/>
    <w:rsid w:val="007937C1"/>
    <w:rsid w:val="0079395B"/>
    <w:rsid w:val="00794A0A"/>
    <w:rsid w:val="00797894"/>
    <w:rsid w:val="007A64C7"/>
    <w:rsid w:val="007A7B6B"/>
    <w:rsid w:val="007B0B11"/>
    <w:rsid w:val="007B2070"/>
    <w:rsid w:val="007B20C7"/>
    <w:rsid w:val="007B7DA1"/>
    <w:rsid w:val="007C3B75"/>
    <w:rsid w:val="007D7849"/>
    <w:rsid w:val="007E2764"/>
    <w:rsid w:val="007E2A89"/>
    <w:rsid w:val="00801FB9"/>
    <w:rsid w:val="00802E98"/>
    <w:rsid w:val="00817B9A"/>
    <w:rsid w:val="00821F3C"/>
    <w:rsid w:val="00826FE7"/>
    <w:rsid w:val="00827695"/>
    <w:rsid w:val="00831B92"/>
    <w:rsid w:val="00831E58"/>
    <w:rsid w:val="00835292"/>
    <w:rsid w:val="00837649"/>
    <w:rsid w:val="008464B8"/>
    <w:rsid w:val="00847DC2"/>
    <w:rsid w:val="00853DE3"/>
    <w:rsid w:val="008639D8"/>
    <w:rsid w:val="00866191"/>
    <w:rsid w:val="00873DCC"/>
    <w:rsid w:val="0088047F"/>
    <w:rsid w:val="0088534C"/>
    <w:rsid w:val="00885BB4"/>
    <w:rsid w:val="008952C8"/>
    <w:rsid w:val="00895618"/>
    <w:rsid w:val="008A1018"/>
    <w:rsid w:val="008A43E6"/>
    <w:rsid w:val="008A55F6"/>
    <w:rsid w:val="008A7B70"/>
    <w:rsid w:val="008B1008"/>
    <w:rsid w:val="008C2C5D"/>
    <w:rsid w:val="008C7413"/>
    <w:rsid w:val="008D0862"/>
    <w:rsid w:val="008D581F"/>
    <w:rsid w:val="008D686E"/>
    <w:rsid w:val="008E34A4"/>
    <w:rsid w:val="008F4F55"/>
    <w:rsid w:val="008F5285"/>
    <w:rsid w:val="008F5C64"/>
    <w:rsid w:val="008F5EC5"/>
    <w:rsid w:val="00901B32"/>
    <w:rsid w:val="00911425"/>
    <w:rsid w:val="00912519"/>
    <w:rsid w:val="00917577"/>
    <w:rsid w:val="00925741"/>
    <w:rsid w:val="009413D3"/>
    <w:rsid w:val="00941CE3"/>
    <w:rsid w:val="009437E2"/>
    <w:rsid w:val="00945D7A"/>
    <w:rsid w:val="009518E1"/>
    <w:rsid w:val="00951B25"/>
    <w:rsid w:val="0095267F"/>
    <w:rsid w:val="00953FE8"/>
    <w:rsid w:val="00957619"/>
    <w:rsid w:val="00972640"/>
    <w:rsid w:val="009761DE"/>
    <w:rsid w:val="00976550"/>
    <w:rsid w:val="00983852"/>
    <w:rsid w:val="00995882"/>
    <w:rsid w:val="009A538D"/>
    <w:rsid w:val="009B0366"/>
    <w:rsid w:val="009B46C8"/>
    <w:rsid w:val="009B5ADC"/>
    <w:rsid w:val="009B62F1"/>
    <w:rsid w:val="009C161B"/>
    <w:rsid w:val="009D0245"/>
    <w:rsid w:val="009D2F67"/>
    <w:rsid w:val="009D3EF1"/>
    <w:rsid w:val="009D407C"/>
    <w:rsid w:val="009E00C6"/>
    <w:rsid w:val="009E2678"/>
    <w:rsid w:val="009E5C20"/>
    <w:rsid w:val="009F0C73"/>
    <w:rsid w:val="009F0E0C"/>
    <w:rsid w:val="009F10C4"/>
    <w:rsid w:val="009F2054"/>
    <w:rsid w:val="009F300C"/>
    <w:rsid w:val="00A05BF8"/>
    <w:rsid w:val="00A07D60"/>
    <w:rsid w:val="00A202A5"/>
    <w:rsid w:val="00A34BEB"/>
    <w:rsid w:val="00A40B6F"/>
    <w:rsid w:val="00A41296"/>
    <w:rsid w:val="00A41D03"/>
    <w:rsid w:val="00A41FA6"/>
    <w:rsid w:val="00A43FE4"/>
    <w:rsid w:val="00A52B2B"/>
    <w:rsid w:val="00A5371B"/>
    <w:rsid w:val="00A545C8"/>
    <w:rsid w:val="00A54613"/>
    <w:rsid w:val="00A5601D"/>
    <w:rsid w:val="00A57340"/>
    <w:rsid w:val="00A805BB"/>
    <w:rsid w:val="00A810AD"/>
    <w:rsid w:val="00A81910"/>
    <w:rsid w:val="00A847D8"/>
    <w:rsid w:val="00A927BA"/>
    <w:rsid w:val="00A92EFA"/>
    <w:rsid w:val="00A93A22"/>
    <w:rsid w:val="00A949AD"/>
    <w:rsid w:val="00A95712"/>
    <w:rsid w:val="00A9625A"/>
    <w:rsid w:val="00A962B3"/>
    <w:rsid w:val="00AA55D7"/>
    <w:rsid w:val="00AA5740"/>
    <w:rsid w:val="00AA69AC"/>
    <w:rsid w:val="00AA729A"/>
    <w:rsid w:val="00AB1925"/>
    <w:rsid w:val="00AB1A8A"/>
    <w:rsid w:val="00AB1FF5"/>
    <w:rsid w:val="00AB5D04"/>
    <w:rsid w:val="00AC703A"/>
    <w:rsid w:val="00AF2D77"/>
    <w:rsid w:val="00B03679"/>
    <w:rsid w:val="00B039E4"/>
    <w:rsid w:val="00B05810"/>
    <w:rsid w:val="00B113A6"/>
    <w:rsid w:val="00B11603"/>
    <w:rsid w:val="00B200D6"/>
    <w:rsid w:val="00B2114E"/>
    <w:rsid w:val="00B4416D"/>
    <w:rsid w:val="00B4466C"/>
    <w:rsid w:val="00B47EFF"/>
    <w:rsid w:val="00B5014D"/>
    <w:rsid w:val="00B54718"/>
    <w:rsid w:val="00B55A8E"/>
    <w:rsid w:val="00B56D51"/>
    <w:rsid w:val="00B60393"/>
    <w:rsid w:val="00B60AD1"/>
    <w:rsid w:val="00B617D6"/>
    <w:rsid w:val="00B67FA2"/>
    <w:rsid w:val="00B73451"/>
    <w:rsid w:val="00B75136"/>
    <w:rsid w:val="00B755F5"/>
    <w:rsid w:val="00B759A4"/>
    <w:rsid w:val="00B761DD"/>
    <w:rsid w:val="00B83EEF"/>
    <w:rsid w:val="00B91C7F"/>
    <w:rsid w:val="00B94688"/>
    <w:rsid w:val="00B94FDC"/>
    <w:rsid w:val="00B952D3"/>
    <w:rsid w:val="00BA17D9"/>
    <w:rsid w:val="00BA3ED0"/>
    <w:rsid w:val="00BB64E6"/>
    <w:rsid w:val="00BB6C59"/>
    <w:rsid w:val="00BC0C9A"/>
    <w:rsid w:val="00BC1567"/>
    <w:rsid w:val="00BC1939"/>
    <w:rsid w:val="00BC651C"/>
    <w:rsid w:val="00BC6780"/>
    <w:rsid w:val="00BD51EC"/>
    <w:rsid w:val="00BD77ED"/>
    <w:rsid w:val="00BE13C8"/>
    <w:rsid w:val="00BE2AC1"/>
    <w:rsid w:val="00BE4770"/>
    <w:rsid w:val="00BE691B"/>
    <w:rsid w:val="00BE6DF8"/>
    <w:rsid w:val="00BE7C0A"/>
    <w:rsid w:val="00BF71D1"/>
    <w:rsid w:val="00C00018"/>
    <w:rsid w:val="00C00413"/>
    <w:rsid w:val="00C057D6"/>
    <w:rsid w:val="00C15AFF"/>
    <w:rsid w:val="00C1654D"/>
    <w:rsid w:val="00C31A62"/>
    <w:rsid w:val="00C3317D"/>
    <w:rsid w:val="00C36B64"/>
    <w:rsid w:val="00C370E4"/>
    <w:rsid w:val="00C4687E"/>
    <w:rsid w:val="00C554A3"/>
    <w:rsid w:val="00C618C4"/>
    <w:rsid w:val="00C62B18"/>
    <w:rsid w:val="00C63CF4"/>
    <w:rsid w:val="00C7178A"/>
    <w:rsid w:val="00C7613B"/>
    <w:rsid w:val="00C80E4A"/>
    <w:rsid w:val="00C840C1"/>
    <w:rsid w:val="00C861CF"/>
    <w:rsid w:val="00C93D2E"/>
    <w:rsid w:val="00CA05CC"/>
    <w:rsid w:val="00CA6E6C"/>
    <w:rsid w:val="00CB2298"/>
    <w:rsid w:val="00CB76CD"/>
    <w:rsid w:val="00CC4C96"/>
    <w:rsid w:val="00CC6192"/>
    <w:rsid w:val="00CC63ED"/>
    <w:rsid w:val="00CC6606"/>
    <w:rsid w:val="00CD264C"/>
    <w:rsid w:val="00CD519F"/>
    <w:rsid w:val="00CD79BB"/>
    <w:rsid w:val="00CE2020"/>
    <w:rsid w:val="00CE60C2"/>
    <w:rsid w:val="00CF442E"/>
    <w:rsid w:val="00D12294"/>
    <w:rsid w:val="00D17EFF"/>
    <w:rsid w:val="00D22632"/>
    <w:rsid w:val="00D252BB"/>
    <w:rsid w:val="00D274E5"/>
    <w:rsid w:val="00D319AC"/>
    <w:rsid w:val="00D3228B"/>
    <w:rsid w:val="00D324BD"/>
    <w:rsid w:val="00D363FE"/>
    <w:rsid w:val="00D4056B"/>
    <w:rsid w:val="00D42FDE"/>
    <w:rsid w:val="00D46827"/>
    <w:rsid w:val="00D50EFC"/>
    <w:rsid w:val="00D52B3A"/>
    <w:rsid w:val="00D54FD4"/>
    <w:rsid w:val="00D609FF"/>
    <w:rsid w:val="00D62418"/>
    <w:rsid w:val="00D66C06"/>
    <w:rsid w:val="00D71331"/>
    <w:rsid w:val="00D71CC4"/>
    <w:rsid w:val="00D73703"/>
    <w:rsid w:val="00D7504F"/>
    <w:rsid w:val="00D8218E"/>
    <w:rsid w:val="00D86633"/>
    <w:rsid w:val="00D87824"/>
    <w:rsid w:val="00D91228"/>
    <w:rsid w:val="00D921C2"/>
    <w:rsid w:val="00D93BBC"/>
    <w:rsid w:val="00D956F7"/>
    <w:rsid w:val="00DA1DEE"/>
    <w:rsid w:val="00DA440D"/>
    <w:rsid w:val="00DA57E7"/>
    <w:rsid w:val="00DB0AD1"/>
    <w:rsid w:val="00DB4DC6"/>
    <w:rsid w:val="00DC0D8F"/>
    <w:rsid w:val="00DC6A87"/>
    <w:rsid w:val="00DC7044"/>
    <w:rsid w:val="00DD2F6D"/>
    <w:rsid w:val="00DD2FEA"/>
    <w:rsid w:val="00DD45BE"/>
    <w:rsid w:val="00DE29DF"/>
    <w:rsid w:val="00DE554F"/>
    <w:rsid w:val="00DF4CA4"/>
    <w:rsid w:val="00DF6F0C"/>
    <w:rsid w:val="00DF7F93"/>
    <w:rsid w:val="00E0014D"/>
    <w:rsid w:val="00E10D86"/>
    <w:rsid w:val="00E12381"/>
    <w:rsid w:val="00E147C9"/>
    <w:rsid w:val="00E1726A"/>
    <w:rsid w:val="00E21E26"/>
    <w:rsid w:val="00E225C5"/>
    <w:rsid w:val="00E22B53"/>
    <w:rsid w:val="00E30DE2"/>
    <w:rsid w:val="00E31D73"/>
    <w:rsid w:val="00E3570F"/>
    <w:rsid w:val="00E35C53"/>
    <w:rsid w:val="00E40596"/>
    <w:rsid w:val="00E4063C"/>
    <w:rsid w:val="00E41FB4"/>
    <w:rsid w:val="00E46FDE"/>
    <w:rsid w:val="00E47623"/>
    <w:rsid w:val="00E5079A"/>
    <w:rsid w:val="00E57329"/>
    <w:rsid w:val="00E57623"/>
    <w:rsid w:val="00E6045A"/>
    <w:rsid w:val="00E64C52"/>
    <w:rsid w:val="00E674E0"/>
    <w:rsid w:val="00E71762"/>
    <w:rsid w:val="00E75B98"/>
    <w:rsid w:val="00E835A3"/>
    <w:rsid w:val="00E91006"/>
    <w:rsid w:val="00E94851"/>
    <w:rsid w:val="00E95620"/>
    <w:rsid w:val="00E97E49"/>
    <w:rsid w:val="00EA02F2"/>
    <w:rsid w:val="00EA0E61"/>
    <w:rsid w:val="00EA1029"/>
    <w:rsid w:val="00EA1798"/>
    <w:rsid w:val="00EA4351"/>
    <w:rsid w:val="00EA654B"/>
    <w:rsid w:val="00EB621C"/>
    <w:rsid w:val="00EC1A49"/>
    <w:rsid w:val="00EC3388"/>
    <w:rsid w:val="00ED4891"/>
    <w:rsid w:val="00ED644D"/>
    <w:rsid w:val="00EE6B18"/>
    <w:rsid w:val="00EF1E0E"/>
    <w:rsid w:val="00EF7398"/>
    <w:rsid w:val="00EF7C35"/>
    <w:rsid w:val="00F06DFE"/>
    <w:rsid w:val="00F073DC"/>
    <w:rsid w:val="00F10066"/>
    <w:rsid w:val="00F10315"/>
    <w:rsid w:val="00F15F63"/>
    <w:rsid w:val="00F213B6"/>
    <w:rsid w:val="00F22521"/>
    <w:rsid w:val="00F22B57"/>
    <w:rsid w:val="00F300F9"/>
    <w:rsid w:val="00F302CE"/>
    <w:rsid w:val="00F326DD"/>
    <w:rsid w:val="00F3746E"/>
    <w:rsid w:val="00F41C71"/>
    <w:rsid w:val="00F4614B"/>
    <w:rsid w:val="00F5294E"/>
    <w:rsid w:val="00F61FDE"/>
    <w:rsid w:val="00F6341C"/>
    <w:rsid w:val="00F7665A"/>
    <w:rsid w:val="00F802A3"/>
    <w:rsid w:val="00F80D67"/>
    <w:rsid w:val="00F83C65"/>
    <w:rsid w:val="00F842C9"/>
    <w:rsid w:val="00F86C29"/>
    <w:rsid w:val="00F95088"/>
    <w:rsid w:val="00FA063C"/>
    <w:rsid w:val="00FA45F7"/>
    <w:rsid w:val="00FB27B5"/>
    <w:rsid w:val="00FB67BC"/>
    <w:rsid w:val="00FB7E6D"/>
    <w:rsid w:val="00FC354E"/>
    <w:rsid w:val="00FC4A47"/>
    <w:rsid w:val="00FD208D"/>
    <w:rsid w:val="00FD2641"/>
    <w:rsid w:val="00FD3248"/>
    <w:rsid w:val="00FD4882"/>
    <w:rsid w:val="00FD6368"/>
    <w:rsid w:val="00FE2317"/>
    <w:rsid w:val="00FF00B5"/>
    <w:rsid w:val="00FF07E2"/>
    <w:rsid w:val="00FF10FA"/>
    <w:rsid w:val="00FF3B20"/>
    <w:rsid w:val="00FF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8C53CB5-AA5F-48FD-BF4E-D84AA98C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B2B"/>
  </w:style>
  <w:style w:type="paragraph" w:styleId="Heading1">
    <w:name w:val="heading 1"/>
    <w:basedOn w:val="Normal"/>
    <w:next w:val="Normal"/>
    <w:link w:val="Heading1Char"/>
    <w:uiPriority w:val="9"/>
    <w:qFormat/>
    <w:rsid w:val="00A52B2B"/>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52B2B"/>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52B2B"/>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unhideWhenUsed/>
    <w:qFormat/>
    <w:rsid w:val="00A52B2B"/>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unhideWhenUsed/>
    <w:qFormat/>
    <w:rsid w:val="00A52B2B"/>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A52B2B"/>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A52B2B"/>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A52B2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2B2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95"/>
  </w:style>
  <w:style w:type="paragraph" w:styleId="Footer">
    <w:name w:val="footer"/>
    <w:basedOn w:val="Normal"/>
    <w:link w:val="FooterChar"/>
    <w:uiPriority w:val="99"/>
    <w:unhideWhenUsed/>
    <w:rsid w:val="00263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95"/>
  </w:style>
  <w:style w:type="paragraph" w:styleId="IntenseQuote">
    <w:name w:val="Intense Quote"/>
    <w:basedOn w:val="Normal"/>
    <w:next w:val="Normal"/>
    <w:link w:val="IntenseQuoteChar"/>
    <w:uiPriority w:val="30"/>
    <w:qFormat/>
    <w:rsid w:val="00A52B2B"/>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A52B2B"/>
    <w:rPr>
      <w:color w:val="4A66AC" w:themeColor="accent1"/>
      <w:sz w:val="24"/>
      <w:szCs w:val="24"/>
    </w:rPr>
  </w:style>
  <w:style w:type="paragraph" w:styleId="ListParagraph">
    <w:name w:val="List Paragraph"/>
    <w:basedOn w:val="Normal"/>
    <w:uiPriority w:val="34"/>
    <w:qFormat/>
    <w:rsid w:val="00263795"/>
    <w:pPr>
      <w:ind w:left="720"/>
      <w:contextualSpacing/>
    </w:pPr>
  </w:style>
  <w:style w:type="character" w:styleId="IntenseReference">
    <w:name w:val="Intense Reference"/>
    <w:uiPriority w:val="32"/>
    <w:qFormat/>
    <w:rsid w:val="00A52B2B"/>
    <w:rPr>
      <w:b/>
      <w:bCs/>
      <w:i/>
      <w:iCs/>
      <w:caps/>
      <w:color w:val="4A66AC" w:themeColor="accent1"/>
    </w:rPr>
  </w:style>
  <w:style w:type="character" w:customStyle="1" w:styleId="Heading2Char">
    <w:name w:val="Heading 2 Char"/>
    <w:basedOn w:val="DefaultParagraphFont"/>
    <w:link w:val="Heading2"/>
    <w:uiPriority w:val="9"/>
    <w:rsid w:val="00A52B2B"/>
    <w:rPr>
      <w:caps/>
      <w:spacing w:val="15"/>
      <w:shd w:val="clear" w:color="auto" w:fill="D9DFEF" w:themeFill="accent1" w:themeFillTint="33"/>
    </w:rPr>
  </w:style>
  <w:style w:type="character" w:customStyle="1" w:styleId="Heading1Char">
    <w:name w:val="Heading 1 Char"/>
    <w:basedOn w:val="DefaultParagraphFont"/>
    <w:link w:val="Heading1"/>
    <w:uiPriority w:val="9"/>
    <w:rsid w:val="00A52B2B"/>
    <w:rPr>
      <w:caps/>
      <w:color w:val="FFFFFF" w:themeColor="background1"/>
      <w:spacing w:val="15"/>
      <w:sz w:val="22"/>
      <w:szCs w:val="22"/>
      <w:shd w:val="clear" w:color="auto" w:fill="4A66AC" w:themeFill="accent1"/>
    </w:rPr>
  </w:style>
  <w:style w:type="character" w:styleId="IntenseEmphasis">
    <w:name w:val="Intense Emphasis"/>
    <w:uiPriority w:val="21"/>
    <w:qFormat/>
    <w:rsid w:val="00A52B2B"/>
    <w:rPr>
      <w:b/>
      <w:bCs/>
      <w:caps/>
      <w:color w:val="243255" w:themeColor="accent1" w:themeShade="7F"/>
      <w:spacing w:val="10"/>
    </w:rPr>
  </w:style>
  <w:style w:type="paragraph" w:styleId="FootnoteText">
    <w:name w:val="footnote text"/>
    <w:basedOn w:val="Normal"/>
    <w:link w:val="FootnoteTextChar"/>
    <w:uiPriority w:val="99"/>
    <w:semiHidden/>
    <w:unhideWhenUsed/>
    <w:rsid w:val="008952C8"/>
    <w:pPr>
      <w:spacing w:after="0" w:line="240" w:lineRule="auto"/>
    </w:pPr>
  </w:style>
  <w:style w:type="character" w:customStyle="1" w:styleId="FootnoteTextChar">
    <w:name w:val="Footnote Text Char"/>
    <w:basedOn w:val="DefaultParagraphFont"/>
    <w:link w:val="FootnoteText"/>
    <w:uiPriority w:val="99"/>
    <w:semiHidden/>
    <w:rsid w:val="008952C8"/>
    <w:rPr>
      <w:sz w:val="20"/>
      <w:szCs w:val="20"/>
    </w:rPr>
  </w:style>
  <w:style w:type="character" w:styleId="FootnoteReference">
    <w:name w:val="footnote reference"/>
    <w:basedOn w:val="DefaultParagraphFont"/>
    <w:uiPriority w:val="99"/>
    <w:semiHidden/>
    <w:unhideWhenUsed/>
    <w:rsid w:val="008952C8"/>
    <w:rPr>
      <w:vertAlign w:val="superscript"/>
    </w:rPr>
  </w:style>
  <w:style w:type="paragraph" w:styleId="NormalWeb">
    <w:name w:val="Normal (Web)"/>
    <w:basedOn w:val="Normal"/>
    <w:uiPriority w:val="99"/>
    <w:unhideWhenUsed/>
    <w:rsid w:val="004B6F48"/>
    <w:pPr>
      <w:spacing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2114E"/>
    <w:rPr>
      <w:sz w:val="16"/>
      <w:szCs w:val="16"/>
    </w:rPr>
  </w:style>
  <w:style w:type="paragraph" w:styleId="CommentText">
    <w:name w:val="annotation text"/>
    <w:basedOn w:val="Normal"/>
    <w:link w:val="CommentTextChar"/>
    <w:uiPriority w:val="99"/>
    <w:unhideWhenUsed/>
    <w:rsid w:val="00B2114E"/>
    <w:pPr>
      <w:spacing w:line="240" w:lineRule="auto"/>
    </w:pPr>
  </w:style>
  <w:style w:type="character" w:customStyle="1" w:styleId="CommentTextChar">
    <w:name w:val="Comment Text Char"/>
    <w:basedOn w:val="DefaultParagraphFont"/>
    <w:link w:val="CommentText"/>
    <w:uiPriority w:val="99"/>
    <w:rsid w:val="00B2114E"/>
    <w:rPr>
      <w:sz w:val="20"/>
      <w:szCs w:val="20"/>
    </w:rPr>
  </w:style>
  <w:style w:type="paragraph" w:styleId="CommentSubject">
    <w:name w:val="annotation subject"/>
    <w:basedOn w:val="CommentText"/>
    <w:next w:val="CommentText"/>
    <w:link w:val="CommentSubjectChar"/>
    <w:uiPriority w:val="99"/>
    <w:semiHidden/>
    <w:unhideWhenUsed/>
    <w:rsid w:val="00B2114E"/>
    <w:rPr>
      <w:b/>
      <w:bCs/>
    </w:rPr>
  </w:style>
  <w:style w:type="character" w:customStyle="1" w:styleId="CommentSubjectChar">
    <w:name w:val="Comment Subject Char"/>
    <w:basedOn w:val="CommentTextChar"/>
    <w:link w:val="CommentSubject"/>
    <w:uiPriority w:val="99"/>
    <w:semiHidden/>
    <w:rsid w:val="00B2114E"/>
    <w:rPr>
      <w:b/>
      <w:bCs/>
      <w:sz w:val="20"/>
      <w:szCs w:val="20"/>
    </w:rPr>
  </w:style>
  <w:style w:type="paragraph" w:styleId="BalloonText">
    <w:name w:val="Balloon Text"/>
    <w:basedOn w:val="Normal"/>
    <w:link w:val="BalloonTextChar"/>
    <w:uiPriority w:val="99"/>
    <w:semiHidden/>
    <w:unhideWhenUsed/>
    <w:rsid w:val="00B21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14E"/>
    <w:rPr>
      <w:rFonts w:ascii="Segoe UI" w:hAnsi="Segoe UI" w:cs="Segoe UI"/>
      <w:sz w:val="18"/>
      <w:szCs w:val="18"/>
    </w:rPr>
  </w:style>
  <w:style w:type="paragraph" w:styleId="EndnoteText">
    <w:name w:val="endnote text"/>
    <w:basedOn w:val="Normal"/>
    <w:link w:val="EndnoteTextChar"/>
    <w:uiPriority w:val="99"/>
    <w:semiHidden/>
    <w:unhideWhenUsed/>
    <w:rsid w:val="00B47EFF"/>
    <w:pPr>
      <w:spacing w:after="0" w:line="240" w:lineRule="auto"/>
    </w:pPr>
  </w:style>
  <w:style w:type="character" w:customStyle="1" w:styleId="EndnoteTextChar">
    <w:name w:val="Endnote Text Char"/>
    <w:basedOn w:val="DefaultParagraphFont"/>
    <w:link w:val="EndnoteText"/>
    <w:uiPriority w:val="99"/>
    <w:semiHidden/>
    <w:rsid w:val="00B47EFF"/>
    <w:rPr>
      <w:sz w:val="20"/>
      <w:szCs w:val="20"/>
    </w:rPr>
  </w:style>
  <w:style w:type="character" w:styleId="EndnoteReference">
    <w:name w:val="endnote reference"/>
    <w:basedOn w:val="DefaultParagraphFont"/>
    <w:uiPriority w:val="99"/>
    <w:semiHidden/>
    <w:unhideWhenUsed/>
    <w:rsid w:val="00B47EFF"/>
    <w:rPr>
      <w:vertAlign w:val="superscript"/>
    </w:rPr>
  </w:style>
  <w:style w:type="character" w:styleId="Hyperlink">
    <w:name w:val="Hyperlink"/>
    <w:basedOn w:val="DefaultParagraphFont"/>
    <w:uiPriority w:val="99"/>
    <w:unhideWhenUsed/>
    <w:rsid w:val="00B47EFF"/>
    <w:rPr>
      <w:color w:val="9454C3" w:themeColor="hyperlink"/>
      <w:u w:val="single"/>
    </w:rPr>
  </w:style>
  <w:style w:type="character" w:customStyle="1" w:styleId="Heading3Char">
    <w:name w:val="Heading 3 Char"/>
    <w:basedOn w:val="DefaultParagraphFont"/>
    <w:link w:val="Heading3"/>
    <w:uiPriority w:val="9"/>
    <w:rsid w:val="00A52B2B"/>
    <w:rPr>
      <w:caps/>
      <w:color w:val="243255" w:themeColor="accent1" w:themeShade="7F"/>
      <w:spacing w:val="15"/>
    </w:rPr>
  </w:style>
  <w:style w:type="character" w:customStyle="1" w:styleId="Heading4Char">
    <w:name w:val="Heading 4 Char"/>
    <w:basedOn w:val="DefaultParagraphFont"/>
    <w:link w:val="Heading4"/>
    <w:uiPriority w:val="9"/>
    <w:rsid w:val="00A52B2B"/>
    <w:rPr>
      <w:caps/>
      <w:color w:val="374C80" w:themeColor="accent1" w:themeShade="BF"/>
      <w:spacing w:val="10"/>
    </w:rPr>
  </w:style>
  <w:style w:type="paragraph" w:styleId="NoSpacing">
    <w:name w:val="No Spacing"/>
    <w:link w:val="NoSpacingChar"/>
    <w:uiPriority w:val="1"/>
    <w:qFormat/>
    <w:rsid w:val="00A52B2B"/>
    <w:pPr>
      <w:spacing w:after="0" w:line="240" w:lineRule="auto"/>
    </w:pPr>
  </w:style>
  <w:style w:type="character" w:customStyle="1" w:styleId="NoSpacingChar">
    <w:name w:val="No Spacing Char"/>
    <w:basedOn w:val="DefaultParagraphFont"/>
    <w:link w:val="NoSpacing"/>
    <w:uiPriority w:val="1"/>
    <w:rsid w:val="00D91228"/>
  </w:style>
  <w:style w:type="table" w:styleId="TableGrid">
    <w:name w:val="Table Grid"/>
    <w:basedOn w:val="TableNormal"/>
    <w:uiPriority w:val="39"/>
    <w:rsid w:val="00D91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52B2B"/>
    <w:rPr>
      <w:caps/>
      <w:color w:val="243255" w:themeColor="accent1" w:themeShade="7F"/>
      <w:spacing w:val="5"/>
    </w:rPr>
  </w:style>
  <w:style w:type="character" w:customStyle="1" w:styleId="Heading5Char">
    <w:name w:val="Heading 5 Char"/>
    <w:basedOn w:val="DefaultParagraphFont"/>
    <w:link w:val="Heading5"/>
    <w:uiPriority w:val="9"/>
    <w:rsid w:val="00A52B2B"/>
    <w:rPr>
      <w:caps/>
      <w:color w:val="374C80" w:themeColor="accent1" w:themeShade="BF"/>
      <w:spacing w:val="10"/>
    </w:rPr>
  </w:style>
  <w:style w:type="paragraph" w:styleId="Revision">
    <w:name w:val="Revision"/>
    <w:hidden/>
    <w:uiPriority w:val="99"/>
    <w:semiHidden/>
    <w:rsid w:val="005D290C"/>
    <w:pPr>
      <w:spacing w:after="0" w:line="240" w:lineRule="auto"/>
    </w:pPr>
  </w:style>
  <w:style w:type="paragraph" w:styleId="TOCHeading">
    <w:name w:val="TOC Heading"/>
    <w:basedOn w:val="Heading1"/>
    <w:next w:val="Normal"/>
    <w:uiPriority w:val="39"/>
    <w:unhideWhenUsed/>
    <w:qFormat/>
    <w:rsid w:val="00A52B2B"/>
    <w:pPr>
      <w:outlineLvl w:val="9"/>
    </w:pPr>
  </w:style>
  <w:style w:type="paragraph" w:styleId="TOC1">
    <w:name w:val="toc 1"/>
    <w:basedOn w:val="Normal"/>
    <w:next w:val="Normal"/>
    <w:autoRedefine/>
    <w:uiPriority w:val="39"/>
    <w:unhideWhenUsed/>
    <w:rsid w:val="00157053"/>
    <w:pPr>
      <w:spacing w:after="100"/>
    </w:pPr>
  </w:style>
  <w:style w:type="paragraph" w:styleId="TOC2">
    <w:name w:val="toc 2"/>
    <w:basedOn w:val="Normal"/>
    <w:next w:val="Normal"/>
    <w:autoRedefine/>
    <w:uiPriority w:val="39"/>
    <w:unhideWhenUsed/>
    <w:rsid w:val="00157053"/>
    <w:pPr>
      <w:spacing w:after="100"/>
      <w:ind w:left="220"/>
    </w:pPr>
  </w:style>
  <w:style w:type="paragraph" w:styleId="TOC3">
    <w:name w:val="toc 3"/>
    <w:basedOn w:val="Normal"/>
    <w:next w:val="Normal"/>
    <w:autoRedefine/>
    <w:uiPriority w:val="39"/>
    <w:unhideWhenUsed/>
    <w:rsid w:val="00157053"/>
    <w:pPr>
      <w:spacing w:after="100"/>
      <w:ind w:left="440"/>
    </w:pPr>
    <w:rPr>
      <w:rFonts w:cs="Times New Roman"/>
    </w:rPr>
  </w:style>
  <w:style w:type="character" w:customStyle="1" w:styleId="Heading6Char">
    <w:name w:val="Heading 6 Char"/>
    <w:basedOn w:val="DefaultParagraphFont"/>
    <w:link w:val="Heading6"/>
    <w:uiPriority w:val="9"/>
    <w:semiHidden/>
    <w:rsid w:val="00A52B2B"/>
    <w:rPr>
      <w:caps/>
      <w:color w:val="374C80" w:themeColor="accent1" w:themeShade="BF"/>
      <w:spacing w:val="10"/>
    </w:rPr>
  </w:style>
  <w:style w:type="character" w:customStyle="1" w:styleId="Heading7Char">
    <w:name w:val="Heading 7 Char"/>
    <w:basedOn w:val="DefaultParagraphFont"/>
    <w:link w:val="Heading7"/>
    <w:uiPriority w:val="9"/>
    <w:semiHidden/>
    <w:rsid w:val="00A52B2B"/>
    <w:rPr>
      <w:caps/>
      <w:color w:val="374C80" w:themeColor="accent1" w:themeShade="BF"/>
      <w:spacing w:val="10"/>
    </w:rPr>
  </w:style>
  <w:style w:type="character" w:customStyle="1" w:styleId="Heading8Char">
    <w:name w:val="Heading 8 Char"/>
    <w:basedOn w:val="DefaultParagraphFont"/>
    <w:link w:val="Heading8"/>
    <w:uiPriority w:val="9"/>
    <w:semiHidden/>
    <w:rsid w:val="00A52B2B"/>
    <w:rPr>
      <w:caps/>
      <w:spacing w:val="10"/>
      <w:sz w:val="18"/>
      <w:szCs w:val="18"/>
    </w:rPr>
  </w:style>
  <w:style w:type="character" w:customStyle="1" w:styleId="Heading9Char">
    <w:name w:val="Heading 9 Char"/>
    <w:basedOn w:val="DefaultParagraphFont"/>
    <w:link w:val="Heading9"/>
    <w:uiPriority w:val="9"/>
    <w:semiHidden/>
    <w:rsid w:val="00A52B2B"/>
    <w:rPr>
      <w:i/>
      <w:iCs/>
      <w:caps/>
      <w:spacing w:val="10"/>
      <w:sz w:val="18"/>
      <w:szCs w:val="18"/>
    </w:rPr>
  </w:style>
  <w:style w:type="paragraph" w:styleId="Caption">
    <w:name w:val="caption"/>
    <w:basedOn w:val="Normal"/>
    <w:next w:val="Normal"/>
    <w:uiPriority w:val="35"/>
    <w:semiHidden/>
    <w:unhideWhenUsed/>
    <w:qFormat/>
    <w:rsid w:val="00A52B2B"/>
    <w:rPr>
      <w:b/>
      <w:bCs/>
      <w:color w:val="374C80" w:themeColor="accent1" w:themeShade="BF"/>
      <w:sz w:val="16"/>
      <w:szCs w:val="16"/>
    </w:rPr>
  </w:style>
  <w:style w:type="paragraph" w:styleId="Title">
    <w:name w:val="Title"/>
    <w:basedOn w:val="Normal"/>
    <w:next w:val="Normal"/>
    <w:link w:val="TitleChar"/>
    <w:uiPriority w:val="10"/>
    <w:qFormat/>
    <w:rsid w:val="00A52B2B"/>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A52B2B"/>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A52B2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52B2B"/>
    <w:rPr>
      <w:caps/>
      <w:color w:val="595959" w:themeColor="text1" w:themeTint="A6"/>
      <w:spacing w:val="10"/>
      <w:sz w:val="21"/>
      <w:szCs w:val="21"/>
    </w:rPr>
  </w:style>
  <w:style w:type="character" w:styleId="Strong">
    <w:name w:val="Strong"/>
    <w:uiPriority w:val="22"/>
    <w:qFormat/>
    <w:rsid w:val="00A52B2B"/>
    <w:rPr>
      <w:b/>
      <w:bCs/>
    </w:rPr>
  </w:style>
  <w:style w:type="paragraph" w:styleId="Quote">
    <w:name w:val="Quote"/>
    <w:basedOn w:val="Normal"/>
    <w:next w:val="Normal"/>
    <w:link w:val="QuoteChar"/>
    <w:uiPriority w:val="29"/>
    <w:qFormat/>
    <w:rsid w:val="00A52B2B"/>
    <w:rPr>
      <w:i/>
      <w:iCs/>
      <w:sz w:val="24"/>
      <w:szCs w:val="24"/>
    </w:rPr>
  </w:style>
  <w:style w:type="character" w:customStyle="1" w:styleId="QuoteChar">
    <w:name w:val="Quote Char"/>
    <w:basedOn w:val="DefaultParagraphFont"/>
    <w:link w:val="Quote"/>
    <w:uiPriority w:val="29"/>
    <w:rsid w:val="00A52B2B"/>
    <w:rPr>
      <w:i/>
      <w:iCs/>
      <w:sz w:val="24"/>
      <w:szCs w:val="24"/>
    </w:rPr>
  </w:style>
  <w:style w:type="character" w:styleId="SubtleEmphasis">
    <w:name w:val="Subtle Emphasis"/>
    <w:uiPriority w:val="19"/>
    <w:qFormat/>
    <w:rsid w:val="00A52B2B"/>
    <w:rPr>
      <w:i/>
      <w:iCs/>
      <w:color w:val="243255" w:themeColor="accent1" w:themeShade="7F"/>
    </w:rPr>
  </w:style>
  <w:style w:type="character" w:styleId="SubtleReference">
    <w:name w:val="Subtle Reference"/>
    <w:uiPriority w:val="31"/>
    <w:qFormat/>
    <w:rsid w:val="00A52B2B"/>
    <w:rPr>
      <w:b/>
      <w:bCs/>
      <w:color w:val="4A66AC" w:themeColor="accent1"/>
    </w:rPr>
  </w:style>
  <w:style w:type="character" w:styleId="BookTitle">
    <w:name w:val="Book Title"/>
    <w:uiPriority w:val="33"/>
    <w:qFormat/>
    <w:rsid w:val="00A52B2B"/>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3520">
      <w:bodyDiv w:val="1"/>
      <w:marLeft w:val="0"/>
      <w:marRight w:val="0"/>
      <w:marTop w:val="0"/>
      <w:marBottom w:val="0"/>
      <w:divBdr>
        <w:top w:val="none" w:sz="0" w:space="0" w:color="auto"/>
        <w:left w:val="none" w:sz="0" w:space="0" w:color="auto"/>
        <w:bottom w:val="none" w:sz="0" w:space="0" w:color="auto"/>
        <w:right w:val="none" w:sz="0" w:space="0" w:color="auto"/>
      </w:divBdr>
      <w:divsChild>
        <w:div w:id="275601717">
          <w:marLeft w:val="0"/>
          <w:marRight w:val="0"/>
          <w:marTop w:val="0"/>
          <w:marBottom w:val="0"/>
          <w:divBdr>
            <w:top w:val="none" w:sz="0" w:space="0" w:color="auto"/>
            <w:left w:val="none" w:sz="0" w:space="0" w:color="auto"/>
            <w:bottom w:val="none" w:sz="0" w:space="0" w:color="auto"/>
            <w:right w:val="none" w:sz="0" w:space="0" w:color="auto"/>
          </w:divBdr>
          <w:divsChild>
            <w:div w:id="1503351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579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0958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33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9174153">
      <w:bodyDiv w:val="1"/>
      <w:marLeft w:val="0"/>
      <w:marRight w:val="0"/>
      <w:marTop w:val="0"/>
      <w:marBottom w:val="0"/>
      <w:divBdr>
        <w:top w:val="none" w:sz="0" w:space="0" w:color="auto"/>
        <w:left w:val="none" w:sz="0" w:space="0" w:color="auto"/>
        <w:bottom w:val="none" w:sz="0" w:space="0" w:color="auto"/>
        <w:right w:val="none" w:sz="0" w:space="0" w:color="auto"/>
      </w:divBdr>
    </w:div>
    <w:div w:id="1152990231">
      <w:bodyDiv w:val="1"/>
      <w:marLeft w:val="0"/>
      <w:marRight w:val="0"/>
      <w:marTop w:val="0"/>
      <w:marBottom w:val="0"/>
      <w:divBdr>
        <w:top w:val="none" w:sz="0" w:space="0" w:color="auto"/>
        <w:left w:val="none" w:sz="0" w:space="0" w:color="auto"/>
        <w:bottom w:val="none" w:sz="0" w:space="0" w:color="auto"/>
        <w:right w:val="none" w:sz="0" w:space="0" w:color="auto"/>
      </w:divBdr>
    </w:div>
    <w:div w:id="1293634311">
      <w:bodyDiv w:val="1"/>
      <w:marLeft w:val="0"/>
      <w:marRight w:val="0"/>
      <w:marTop w:val="0"/>
      <w:marBottom w:val="0"/>
      <w:divBdr>
        <w:top w:val="none" w:sz="0" w:space="0" w:color="auto"/>
        <w:left w:val="none" w:sz="0" w:space="0" w:color="auto"/>
        <w:bottom w:val="none" w:sz="0" w:space="0" w:color="auto"/>
        <w:right w:val="none" w:sz="0" w:space="0" w:color="auto"/>
      </w:divBdr>
    </w:div>
    <w:div w:id="1339966047">
      <w:bodyDiv w:val="1"/>
      <w:marLeft w:val="0"/>
      <w:marRight w:val="0"/>
      <w:marTop w:val="0"/>
      <w:marBottom w:val="0"/>
      <w:divBdr>
        <w:top w:val="none" w:sz="0" w:space="0" w:color="auto"/>
        <w:left w:val="none" w:sz="0" w:space="0" w:color="auto"/>
        <w:bottom w:val="none" w:sz="0" w:space="0" w:color="auto"/>
        <w:right w:val="none" w:sz="0" w:space="0" w:color="auto"/>
      </w:divBdr>
    </w:div>
    <w:div w:id="1720976551">
      <w:bodyDiv w:val="1"/>
      <w:marLeft w:val="0"/>
      <w:marRight w:val="0"/>
      <w:marTop w:val="0"/>
      <w:marBottom w:val="0"/>
      <w:divBdr>
        <w:top w:val="none" w:sz="0" w:space="0" w:color="auto"/>
        <w:left w:val="none" w:sz="0" w:space="0" w:color="auto"/>
        <w:bottom w:val="none" w:sz="0" w:space="0" w:color="auto"/>
        <w:right w:val="none" w:sz="0" w:space="0" w:color="auto"/>
      </w:divBdr>
      <w:divsChild>
        <w:div w:id="1156844544">
          <w:marLeft w:val="0"/>
          <w:marRight w:val="0"/>
          <w:marTop w:val="0"/>
          <w:marBottom w:val="0"/>
          <w:divBdr>
            <w:top w:val="none" w:sz="0" w:space="0" w:color="auto"/>
            <w:left w:val="none" w:sz="0" w:space="0" w:color="auto"/>
            <w:bottom w:val="none" w:sz="0" w:space="0" w:color="auto"/>
            <w:right w:val="none" w:sz="0" w:space="0" w:color="auto"/>
          </w:divBdr>
          <w:divsChild>
            <w:div w:id="97865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51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416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077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52E09-DF56-450A-9521-3D11CA3BB0BE}">
  <ds:schemaRefs>
    <ds:schemaRef ds:uri="http://schemas.openxmlformats.org/officeDocument/2006/bibliography"/>
  </ds:schemaRefs>
</ds:datastoreItem>
</file>

<file path=customXml/itemProps2.xml><?xml version="1.0" encoding="utf-8"?>
<ds:datastoreItem xmlns:ds="http://schemas.openxmlformats.org/officeDocument/2006/customXml" ds:itemID="{1C2D2C84-A52A-4D02-8F44-6BC6EB30FEB6}"/>
</file>

<file path=customXml/itemProps3.xml><?xml version="1.0" encoding="utf-8"?>
<ds:datastoreItem xmlns:ds="http://schemas.openxmlformats.org/officeDocument/2006/customXml" ds:itemID="{D17323B1-59D0-43E8-948D-7773FF1849C5}"/>
</file>

<file path=customXml/itemProps4.xml><?xml version="1.0" encoding="utf-8"?>
<ds:datastoreItem xmlns:ds="http://schemas.openxmlformats.org/officeDocument/2006/customXml" ds:itemID="{B5A744E3-7BF9-40EF-8318-E773AF28D202}"/>
</file>

<file path=docProps/app.xml><?xml version="1.0" encoding="utf-8"?>
<Properties xmlns="http://schemas.openxmlformats.org/officeDocument/2006/extended-properties" xmlns:vt="http://schemas.openxmlformats.org/officeDocument/2006/docPropsVTypes">
  <Template>Normal.dotm</Template>
  <TotalTime>5</TotalTime>
  <Pages>9</Pages>
  <Words>2712</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Bresnahan</dc:creator>
  <cp:keywords/>
  <dc:description/>
  <cp:lastModifiedBy>Erin Bresnahan</cp:lastModifiedBy>
  <cp:revision>4</cp:revision>
  <cp:lastPrinted>2020-01-03T22:52:00Z</cp:lastPrinted>
  <dcterms:created xsi:type="dcterms:W3CDTF">2021-01-25T15:39:00Z</dcterms:created>
  <dcterms:modified xsi:type="dcterms:W3CDTF">2021-01-25T15:46:00Z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