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86DC6" w14:textId="77777777" w:rsidR="008D4E40" w:rsidRPr="0008638A" w:rsidRDefault="008D4E40" w:rsidP="0008638A">
      <w:pPr>
        <w:spacing w:after="240" w:line="360" w:lineRule="auto"/>
        <w:rPr>
          <w:rFonts w:ascii="Times New Roman" w:hAnsi="Times New Roman" w:cs="Times New Roman"/>
          <w:sz w:val="24"/>
          <w:szCs w:val="24"/>
          <w:lang w:val="en-US"/>
        </w:rPr>
      </w:pPr>
      <w:bookmarkStart w:id="0" w:name="_GoBack"/>
      <w:bookmarkEnd w:id="0"/>
    </w:p>
    <w:p w14:paraId="75542A6C" w14:textId="79FD9F0C" w:rsidR="008D4E40" w:rsidRPr="0008638A" w:rsidRDefault="004915DB" w:rsidP="0008638A">
      <w:pPr>
        <w:spacing w:after="240" w:line="360" w:lineRule="auto"/>
        <w:jc w:val="center"/>
        <w:rPr>
          <w:rFonts w:ascii="Times New Roman" w:hAnsi="Times New Roman" w:cs="Times New Roman"/>
          <w:b/>
          <w:sz w:val="24"/>
          <w:szCs w:val="24"/>
          <w:lang w:val="en-US"/>
        </w:rPr>
      </w:pPr>
      <w:r w:rsidRPr="0008638A">
        <w:rPr>
          <w:rFonts w:ascii="Times New Roman" w:hAnsi="Times New Roman" w:cs="Times New Roman"/>
          <w:b/>
          <w:sz w:val="24"/>
          <w:szCs w:val="24"/>
          <w:lang w:val="en-US"/>
        </w:rPr>
        <w:t xml:space="preserve">Brazilian National Preventive Mechanism report to the UN </w:t>
      </w:r>
      <w:r w:rsidR="0008638A" w:rsidRPr="0008638A">
        <w:rPr>
          <w:rFonts w:ascii="Times New Roman" w:hAnsi="Times New Roman" w:cs="Times New Roman"/>
          <w:b/>
          <w:sz w:val="24"/>
          <w:szCs w:val="24"/>
          <w:lang w:val="en-US"/>
        </w:rPr>
        <w:t>Committee</w:t>
      </w:r>
      <w:r w:rsidRPr="0008638A">
        <w:rPr>
          <w:rFonts w:ascii="Times New Roman" w:hAnsi="Times New Roman" w:cs="Times New Roman"/>
          <w:b/>
          <w:sz w:val="24"/>
          <w:szCs w:val="24"/>
          <w:lang w:val="en-US"/>
        </w:rPr>
        <w:t xml:space="preserve"> against Torture’s 76th Session (April/May 2023)</w:t>
      </w:r>
    </w:p>
    <w:p w14:paraId="0A5A9B13" w14:textId="679404E9" w:rsidR="0008638A" w:rsidRDefault="004915DB" w:rsidP="003E065D">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following given information is a result of Brazilian NPM’s monitorin</w:t>
      </w:r>
      <w:r w:rsidR="0008638A" w:rsidRPr="0008638A">
        <w:rPr>
          <w:rFonts w:ascii="Times New Roman" w:hAnsi="Times New Roman" w:cs="Times New Roman"/>
          <w:sz w:val="24"/>
          <w:szCs w:val="24"/>
          <w:lang w:val="en-US"/>
        </w:rPr>
        <w:t>g</w:t>
      </w:r>
      <w:r w:rsidRPr="0008638A">
        <w:rPr>
          <w:rFonts w:ascii="Times New Roman" w:hAnsi="Times New Roman" w:cs="Times New Roman"/>
          <w:sz w:val="24"/>
          <w:szCs w:val="24"/>
          <w:lang w:val="en-US"/>
        </w:rPr>
        <w:t xml:space="preserve"> activities in deprivation of liberty units. The Brazilian State’s 2020 second periodic report on the CAT’s List of Issues was also considered.  The articles and/or paragraphs from the List of Issues that are not directly related to the Brazilian NPM activities were not commented.</w:t>
      </w:r>
    </w:p>
    <w:p w14:paraId="348D461F" w14:textId="77777777" w:rsidR="003E065D" w:rsidRPr="003E065D" w:rsidRDefault="003E065D" w:rsidP="003E065D">
      <w:pPr>
        <w:spacing w:after="240" w:line="360" w:lineRule="auto"/>
        <w:jc w:val="both"/>
        <w:rPr>
          <w:rFonts w:ascii="Times New Roman" w:hAnsi="Times New Roman" w:cs="Times New Roman"/>
          <w:sz w:val="24"/>
          <w:szCs w:val="24"/>
          <w:lang w:val="en-US"/>
        </w:rPr>
      </w:pPr>
    </w:p>
    <w:p w14:paraId="0E2ABAFA" w14:textId="13D4F3F0" w:rsidR="0008638A" w:rsidRPr="0008638A" w:rsidRDefault="004915DB" w:rsidP="0008638A">
      <w:pPr>
        <w:spacing w:after="240" w:line="360" w:lineRule="auto"/>
        <w:jc w:val="center"/>
        <w:rPr>
          <w:rFonts w:ascii="Times New Roman" w:hAnsi="Times New Roman" w:cs="Times New Roman"/>
          <w:b/>
          <w:sz w:val="24"/>
          <w:szCs w:val="24"/>
          <w:lang w:val="en-US"/>
        </w:rPr>
      </w:pPr>
      <w:r w:rsidRPr="0008638A">
        <w:rPr>
          <w:rFonts w:ascii="Times New Roman" w:hAnsi="Times New Roman" w:cs="Times New Roman"/>
          <w:b/>
          <w:sz w:val="24"/>
          <w:szCs w:val="24"/>
          <w:lang w:val="en-US"/>
        </w:rPr>
        <w:t>List of Acronyms</w:t>
      </w:r>
    </w:p>
    <w:p w14:paraId="1853BC86"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CNJ - National Council of Justice</w:t>
      </w:r>
    </w:p>
    <w:p w14:paraId="5F7420E4" w14:textId="77777777" w:rsidR="0008638A" w:rsidRPr="0008638A" w:rsidRDefault="0008638A" w:rsidP="0008638A">
      <w:pPr>
        <w:spacing w:after="240" w:line="360" w:lineRule="auto"/>
        <w:rPr>
          <w:rFonts w:ascii="Times New Roman" w:hAnsi="Times New Roman" w:cs="Times New Roman"/>
          <w:sz w:val="24"/>
          <w:szCs w:val="24"/>
          <w:lang w:val="en-US"/>
        </w:rPr>
      </w:pPr>
      <w:r w:rsidRPr="0008638A">
        <w:rPr>
          <w:rFonts w:ascii="Times New Roman" w:hAnsi="Times New Roman" w:cs="Times New Roman"/>
          <w:sz w:val="24"/>
          <w:szCs w:val="24"/>
          <w:lang w:val="en-US"/>
        </w:rPr>
        <w:t>CNPCP - National Council of Criminal and Penitentiary Policies</w:t>
      </w:r>
    </w:p>
    <w:p w14:paraId="051EBE39"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CONANDA - National Council for Child and Adolescent’s Rights</w:t>
      </w:r>
    </w:p>
    <w:p w14:paraId="077439B2"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ECA - Statute of the Child and Adolescent</w:t>
      </w:r>
    </w:p>
    <w:p w14:paraId="10D622DB"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FUNPEN - National Penitentiary Fund</w:t>
      </w:r>
    </w:p>
    <w:p w14:paraId="0203E016"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FUNPEN - National Penitentiary Fund</w:t>
      </w:r>
    </w:p>
    <w:p w14:paraId="69B86C21" w14:textId="77777777" w:rsidR="0008638A" w:rsidRPr="0008638A" w:rsidRDefault="0008638A" w:rsidP="0008638A">
      <w:pPr>
        <w:spacing w:after="240" w:line="360" w:lineRule="auto"/>
        <w:rPr>
          <w:rFonts w:ascii="Times New Roman" w:hAnsi="Times New Roman" w:cs="Times New Roman"/>
          <w:sz w:val="24"/>
          <w:szCs w:val="24"/>
          <w:lang w:val="en-US"/>
        </w:rPr>
      </w:pPr>
      <w:r w:rsidRPr="0008638A">
        <w:rPr>
          <w:rFonts w:ascii="Times New Roman" w:hAnsi="Times New Roman" w:cs="Times New Roman"/>
          <w:sz w:val="24"/>
          <w:szCs w:val="24"/>
          <w:lang w:val="en-US"/>
        </w:rPr>
        <w:t>LEP - Criminal Enforcement Law</w:t>
      </w:r>
    </w:p>
    <w:p w14:paraId="63191A69"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MMFDH - Ministry of Women, Family and Human Rights</w:t>
      </w:r>
    </w:p>
    <w:p w14:paraId="5517189E" w14:textId="77777777" w:rsidR="0008638A" w:rsidRPr="0008638A" w:rsidRDefault="0008638A" w:rsidP="0008638A">
      <w:pPr>
        <w:spacing w:after="240" w:line="360" w:lineRule="auto"/>
        <w:rPr>
          <w:rFonts w:ascii="Times New Roman" w:hAnsi="Times New Roman" w:cs="Times New Roman"/>
          <w:sz w:val="24"/>
          <w:szCs w:val="24"/>
          <w:lang w:val="en-US"/>
        </w:rPr>
      </w:pPr>
      <w:r w:rsidRPr="0008638A">
        <w:rPr>
          <w:rFonts w:ascii="Times New Roman" w:hAnsi="Times New Roman" w:cs="Times New Roman"/>
          <w:sz w:val="24"/>
          <w:szCs w:val="24"/>
          <w:lang w:val="en-US"/>
        </w:rPr>
        <w:t>MNPCT - Brazilian NPM</w:t>
      </w:r>
    </w:p>
    <w:p w14:paraId="72184381"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PRF - Federal Highway Police</w:t>
      </w:r>
    </w:p>
    <w:p w14:paraId="27E2B176"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RDD - differentiated disciplinary regime </w:t>
      </w:r>
    </w:p>
    <w:p w14:paraId="3EBED09D"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SINASE - Brazilian System for Social and Educational Assistance</w:t>
      </w:r>
    </w:p>
    <w:p w14:paraId="3955DB38" w14:textId="77777777" w:rsidR="0008638A" w:rsidRPr="0008638A" w:rsidRDefault="0008638A" w:rsidP="0008638A">
      <w:pPr>
        <w:spacing w:after="240" w:line="360" w:lineRule="auto"/>
        <w:rPr>
          <w:rFonts w:ascii="Times New Roman" w:hAnsi="Times New Roman" w:cs="Times New Roman"/>
          <w:sz w:val="24"/>
          <w:szCs w:val="24"/>
          <w:lang w:val="en-US"/>
        </w:rPr>
      </w:pPr>
      <w:r w:rsidRPr="0008638A">
        <w:rPr>
          <w:rFonts w:ascii="Times New Roman" w:hAnsi="Times New Roman" w:cs="Times New Roman"/>
          <w:sz w:val="24"/>
          <w:szCs w:val="24"/>
          <w:lang w:val="en-US"/>
        </w:rPr>
        <w:lastRenderedPageBreak/>
        <w:t>SNPCT - National System to Prevent and Combat Torture</w:t>
      </w:r>
    </w:p>
    <w:p w14:paraId="2DC7D86C"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SNPCT - National System to Prevent and Combat Torture</w:t>
      </w:r>
    </w:p>
    <w:p w14:paraId="66C68258"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STF - Federal Supreme Court</w:t>
      </w:r>
    </w:p>
    <w:p w14:paraId="68836560" w14:textId="77777777" w:rsidR="0008638A" w:rsidRPr="0008638A" w:rsidRDefault="0008638A"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STJ - Superior Court of Justice</w:t>
      </w:r>
    </w:p>
    <w:p w14:paraId="7F1D5611" w14:textId="77777777" w:rsidR="008D4E40" w:rsidRPr="0008638A" w:rsidRDefault="008D4E40" w:rsidP="0008638A">
      <w:pPr>
        <w:spacing w:after="240" w:line="360" w:lineRule="auto"/>
        <w:jc w:val="both"/>
        <w:rPr>
          <w:rFonts w:ascii="Times New Roman" w:hAnsi="Times New Roman" w:cs="Times New Roman"/>
          <w:sz w:val="24"/>
          <w:szCs w:val="24"/>
          <w:lang w:val="en-US"/>
        </w:rPr>
      </w:pPr>
    </w:p>
    <w:p w14:paraId="60E16808" w14:textId="47EB5B68" w:rsidR="008D4E40" w:rsidRPr="0008638A" w:rsidRDefault="0008638A" w:rsidP="0008638A">
      <w:pPr>
        <w:spacing w:after="240" w:line="360" w:lineRule="auto"/>
        <w:rPr>
          <w:rFonts w:ascii="Times New Roman" w:hAnsi="Times New Roman" w:cs="Times New Roman"/>
          <w:b/>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 1</w:t>
      </w:r>
    </w:p>
    <w:p w14:paraId="1C38223C" w14:textId="5D54D5BA"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In Art. 1, I. of Law 9455/1997, torture is not defined as a specific crime, that is, it is not restricted to acts committed by public officials. However, Art. 1, II, typifies a specific form of crime in the context of deprivation of liberty: “submitting someone, under their custody, power or authority, with the use of violence or serious threat, to intense physical or mental suffering, as a way of applying personal punishment or preventive measure”. The legislation also provides for an increase in the penalty when the crime is committed by a public official.</w:t>
      </w:r>
    </w:p>
    <w:p w14:paraId="25DABB05" w14:textId="1A981CA9"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As for the broader classification adopted in Art. 1, I, there is a judgment of the Superior Court of Justice (STJ) (STJ RESP 1738624/48123) understanding that there is no antinomy between this norm and the typification of the Convention against Torture, based on its Art. 1, item 2: “This Article shall not be interpreted in such a way as to restrict any international instrument or national legislation that contains or may contain provisions of broader scope”.</w:t>
      </w:r>
    </w:p>
    <w:p w14:paraId="2B0BE410" w14:textId="43442DBC"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Regarding the typification of Art. 1, II, committed against “someone under his custody, power or authority”, the same judgment understands that it is necessarily an act specific to a public or private office in the exercise of a public function. The STJ understood that the expression “guard, power or authority” denotes a pre-existing link, of a public nature, between the active and passive agent of the crime. Thus, they judged that the norm cannot be applied to individuals who do not occupy the position of a guarantor.</w:t>
      </w:r>
    </w:p>
    <w:p w14:paraId="5E757F18" w14:textId="49E702B6"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It is important to mention, in the context of jurisprudence on the crime of torture, the legal amendment brought by Law 13,491/2017, which expanded the competence of the Military </w:t>
      </w:r>
      <w:r w:rsidRPr="0008638A">
        <w:rPr>
          <w:rFonts w:ascii="Times New Roman" w:hAnsi="Times New Roman" w:cs="Times New Roman"/>
          <w:sz w:val="24"/>
          <w:szCs w:val="24"/>
          <w:lang w:val="en-US"/>
        </w:rPr>
        <w:lastRenderedPageBreak/>
        <w:t>Justice, previously restricted to crimes provided for in the Military Penal Code, to crimes provided for in common criminal legislation, including the crime of torture. This means that crimes of torture committed by military personnel (including military police) against civilians become the responsibility of Military Justice. In this sense, there is a ruling by the Superior Court of Justice on the conflict of jurisdiction in the case of the crime of torture (STJ - CC 163365 / MG 2019/0017319-7).</w:t>
      </w:r>
    </w:p>
    <w:p w14:paraId="0BF9F5E4" w14:textId="7B743915" w:rsidR="008D4E40" w:rsidRPr="0008638A" w:rsidRDefault="0008638A" w:rsidP="0008638A">
      <w:pPr>
        <w:spacing w:after="240" w:line="360" w:lineRule="auto"/>
        <w:rPr>
          <w:rFonts w:ascii="Times New Roman" w:hAnsi="Times New Roman" w:cs="Times New Roman"/>
          <w:b/>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 2</w:t>
      </w:r>
    </w:p>
    <w:p w14:paraId="2C9FE039" w14:textId="34BEE70C"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 detainees are not always immediately informed of their rights when they are taken into custody and neither are they introduced to their rights and duties or bylaws and parameters regarding the use of strength when they arrive at a place of detention, regardless of the law and The Brazilian Federal Constitution. </w:t>
      </w:r>
    </w:p>
    <w:p w14:paraId="50BA1FA0" w14:textId="1AB287C3"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Family members of a person deprived of liberty can take more than six months to obtain a license for visitation, due to bureaucratic issues.</w:t>
      </w:r>
    </w:p>
    <w:p w14:paraId="5C45A3C1" w14:textId="4E0EF37E"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People at places of detention are not often taken to </w:t>
      </w:r>
      <w:r w:rsidRPr="0008638A">
        <w:rPr>
          <w:rFonts w:ascii="Times New Roman" w:hAnsi="Times New Roman" w:cs="Times New Roman"/>
          <w:i/>
          <w:sz w:val="24"/>
          <w:szCs w:val="24"/>
          <w:lang w:val="en-US"/>
        </w:rPr>
        <w:t>corpus delicti</w:t>
      </w:r>
      <w:r w:rsidRPr="0008638A">
        <w:rPr>
          <w:rFonts w:ascii="Times New Roman" w:hAnsi="Times New Roman" w:cs="Times New Roman"/>
          <w:sz w:val="24"/>
          <w:szCs w:val="24"/>
          <w:lang w:val="en-US"/>
        </w:rPr>
        <w:t xml:space="preserve"> exams when injured or even tortured. The MNPCT recommends the forensic sector be apart from the police department, to preserve the independence of the forensic service work. In Brazil, the states’ forensic sectors are part of the civil police body (“scientific police”).  </w:t>
      </w:r>
    </w:p>
    <w:p w14:paraId="25918EF6" w14:textId="2EA016B2"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 right to a personal and private interview with an attorney is not always respected. For example, some units which the Brazilian NPM has been monitoring inform that they do not have enough security professionals to take a person from a cell to where they can meet their attorney. As a result of that, imprisoned people end up with their attorney meetings canceled. Also, some rooms where these meetings occur do not have enough privacy and there is no guarantee that the conversations are not being listened to by other people. </w:t>
      </w:r>
    </w:p>
    <w:p w14:paraId="41B51B39" w14:textId="4EA4605C"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Most human rights bodies do not have unrestricted access to monitor places of detention. Even the Brazilian NPM, which is a body whose prerogatives are guaranteed by the federal law, very often faces illegal embarrassments at the entrance for monitoring actions in institutions of deprivation of liberty. These embarrassments usually include the lack of previous authorization from the public authorities, which is unrequired for NPM monitoring activities; there are also difficulties related to entering detention places with cameras and entering specific sites in the units, such as isolation or discipline cells. </w:t>
      </w:r>
    </w:p>
    <w:p w14:paraId="0FC95492" w14:textId="7229F4E1"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 National System to Prevent and Combat Torture (Law 12,847/2013) is not fully implemented. A considerable part of Brazilian federated states still don’t have either a committee or a preventive mechanism; some states already have these instruments provided for by law, but have not yet been implemented. Some of these state laws do not achieve the minimum principles of the Convention against Torture or the OPCAT principles, including the guarantee of independence and autonomy of the treaty bodies. In some states, the committees to prevent and combat torture are already working regardless of these principles; some of them have the representation of police forces in their composition, which configures a conflict of interest, once police bodies and their actions are monitored by the system. </w:t>
      </w:r>
    </w:p>
    <w:p w14:paraId="4BDF1BB6" w14:textId="68647D5B"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Initiatives by the Ministry of Women, Family and Human Rights (MMFDH) from the previous Brazilian government did not sufficiently consider the main principles of the Convention Against Torture and the OPCAT in the work of assisting federated states to establish local committees and mechanisms, including the principle of autonomy and impartiality of these bodies regarding the federated states. Those initiatives were not previously discussed with other organs that are part of de SNPCT (National System to Prevent and Combat Torture) such as the MNPCT. </w:t>
      </w:r>
    </w:p>
    <w:p w14:paraId="5D96665C" w14:textId="4E93700C"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Also, we would like to inform you that Maranhão’s mechanism is on the list of non-implemented mechanisms, and Paraíba’s mechanism is implemented, but facing enormous difficulties, including the fact that it is a body formed only by three members. The little number of members on Paraíba’s mechanism exposes personally the members and weakens the work developed by the body. Other non-implemented mechanisms laws also set a body of 2 or 3 members, like Maranhão’s mechanism law, which sets a body of only two members. </w:t>
      </w:r>
    </w:p>
    <w:p w14:paraId="0AE93482" w14:textId="093E5DD8"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There isn’t a “defined routine” for inspections of detention facilities, especially for civil society representatives, who are very often subjected to embarrassments when entering detention places and have their visits unauthorized by detention facilities’ authorities. Plus, civil society representatives must be considered also as relevant actors in inspection routines once these organizations, in some territories, are the only ones effectively monitoring detention places. Not all criminal enforcement judges follow what is determined by CNJ’s 2007 resolution, concerning the monthly inspections in prison facilities. </w:t>
      </w:r>
    </w:p>
    <w:p w14:paraId="47523C3B" w14:textId="38A2E702"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In MNPCT’s monitoring visits, we usually find convicted people sharing the same cell as those temporarily imprisoned, despite what the Criminal Enforcement Law states. Another great concern of the MNPCT is the existence of prison units that house women and men. We have noticed that these mixed units endanger the observation of women’s rights and their specific needs. </w:t>
      </w:r>
    </w:p>
    <w:p w14:paraId="2632600C" w14:textId="3D2A2B86"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 Manual of Prison Architecture’s Basic Guidelines from the National Council of Criminal and Penitentiary Policies - CNPCP (2011) establishes maximum capacities for penal units, according to their classification: maximum security penitentiary - up to 300 people; medium security penitentiary - up to 800 people; agricultural or industrial colony - up to 1.000 people; shelter houses - up to 120 people; criminological observation center - up to 300 people; public jail - up to 300 people. Although these guidelines are established, some practical problems prevent the guidelines from being enforced. The phenomenon of overcrowded units is extremely </w:t>
      </w:r>
      <w:r w:rsidR="0008638A" w:rsidRPr="0008638A">
        <w:rPr>
          <w:rFonts w:ascii="Times New Roman" w:hAnsi="Times New Roman" w:cs="Times New Roman"/>
          <w:sz w:val="24"/>
          <w:szCs w:val="24"/>
          <w:lang w:val="en-US"/>
        </w:rPr>
        <w:t>frequent,</w:t>
      </w:r>
      <w:r w:rsidRPr="0008638A">
        <w:rPr>
          <w:rFonts w:ascii="Times New Roman" w:hAnsi="Times New Roman" w:cs="Times New Roman"/>
          <w:sz w:val="24"/>
          <w:szCs w:val="24"/>
          <w:lang w:val="en-US"/>
        </w:rPr>
        <w:t xml:space="preserve"> and some detention places can have a 200% occupation rate or more. There are old units that did not follow these architectural standards when they were built and have maximum capacities much superior to the current standards of CNPCP. Plus, there are units (like the agricultural or industrial colonies) that were meant to house people with less severe prison regimes that are as restrictive as the units that are meant to house the people taking the “closed” prison regime. </w:t>
      </w:r>
    </w:p>
    <w:p w14:paraId="6A83A3AE" w14:textId="748DC9C4"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Concerning Juvenile Justice, the Principle of Full Protection, stated by the Statute of the Child and Adolescent (ECA) is not being fully respected. Teenagers are not criminally liable, however, the detention centers for adolescents in conflict with the law are, in many ways, similar to prisons, in their structure, their security issues, and even the occurrence of torture episodes, despite the law's statement that these institutions should have a pedagogical prevalence. MNPCT has found adolescents being tortured in juvenile detention units with less lethal weapons such as pepper spray and even handcuffs. This type of occurrence violates rule no. 17.3 of Beijing Rules, which stands that “juveniles shall not be subject to corporal punishment”. </w:t>
      </w:r>
    </w:p>
    <w:p w14:paraId="304EB326" w14:textId="20CD06E2"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Most of these institutions fail in creating an environment of education and sociability for the young, sometimes treating them with extreme violence, and sometimes pushing them into a routine of isolation. There are not enough opportunities for professionalizing courses for most adolescents, the greatest number of detention centers the MNPCT has monitored have about 5% to 15% of teenagers attending professionalizing courses.</w:t>
      </w:r>
    </w:p>
    <w:p w14:paraId="46C05240" w14:textId="7E8250D8"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When visiting teenagers in a juvenile detention center, family members of adolescents in conflict with the law may suffer vexatious body inspections, including verification of intimate body parts by security agents. The vexatious body inspection is frequently a reason why family members give up visiting their teenagers while they remain detained, which can take 3 years long. The vexatious body inspections on family members are an offense to one fundamental guideline of Beijing Rules, rule 1.1., which states that “Member States shall seek, in conformity with their respective general interests, to further the well-being of the juvenile and her or his family”.  </w:t>
      </w:r>
    </w:p>
    <w:p w14:paraId="7FA72617" w14:textId="73591FE9"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 detention measure is very often chosen as the adequate measure by juvenile judges, which is the measure that most restricts </w:t>
      </w:r>
      <w:r w:rsidR="0008638A" w:rsidRPr="0008638A">
        <w:rPr>
          <w:rFonts w:ascii="Times New Roman" w:hAnsi="Times New Roman" w:cs="Times New Roman"/>
          <w:sz w:val="24"/>
          <w:szCs w:val="24"/>
          <w:lang w:val="en-US"/>
        </w:rPr>
        <w:t>rights,</w:t>
      </w:r>
      <w:r w:rsidRPr="0008638A">
        <w:rPr>
          <w:rFonts w:ascii="Times New Roman" w:hAnsi="Times New Roman" w:cs="Times New Roman"/>
          <w:sz w:val="24"/>
          <w:szCs w:val="24"/>
          <w:lang w:val="en-US"/>
        </w:rPr>
        <w:t xml:space="preserve"> decreasing the importance of less restrictive measures such as the obligation to compensate for the damage, provision of community services, assisted liberty, and semi-liberty. </w:t>
      </w:r>
    </w:p>
    <w:p w14:paraId="5DBCAF66" w14:textId="782DB746"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 National Council for Child and Adolescent Rights - CONANDA, in article n.1 of its Resolution no. 46/1996, establishes that “the detention units will attend a number not superior to 40 (forty) adolescents''. However, in many federated states, we have found detention units operating far above this standard, which offends the guarantee of the principle of the individualization of social and educational assistance, established by article no. 35, item VI of Law 12,594 of 2012, the Brazilian System for Social and Educational Assistance Law (Sinase).   </w:t>
      </w:r>
    </w:p>
    <w:p w14:paraId="2AA1CE3F" w14:textId="15C7DEC1" w:rsidR="008D4E40" w:rsidRPr="0008638A" w:rsidRDefault="0008638A" w:rsidP="0008638A">
      <w:pPr>
        <w:spacing w:after="240" w:line="360" w:lineRule="auto"/>
        <w:rPr>
          <w:rFonts w:ascii="Times New Roman" w:hAnsi="Times New Roman" w:cs="Times New Roman"/>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 4</w:t>
      </w:r>
    </w:p>
    <w:p w14:paraId="1C7219D6" w14:textId="77777777" w:rsidR="008D4E40" w:rsidRPr="0008638A" w:rsidRDefault="004915DB" w:rsidP="0008638A">
      <w:pPr>
        <w:shd w:val="clear" w:color="auto" w:fill="FFFFFF"/>
        <w:spacing w:before="240"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Amnesty Law, Law 6683 of 1979, is still in force in the country's legal system, despite several questions about its constitutionality and consonance with international treaties ratified by the Brazilian State.</w:t>
      </w:r>
    </w:p>
    <w:p w14:paraId="6055DD23" w14:textId="77777777" w:rsidR="008D4E40" w:rsidRPr="0008638A" w:rsidRDefault="004915DB" w:rsidP="0008638A">
      <w:pPr>
        <w:shd w:val="clear" w:color="auto" w:fill="FFFFFF"/>
        <w:spacing w:before="240"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In 2010, in the judgment of the Argumentation of Non-compliance with a Fundamental Precept nº 153 (ADPF 153/DF), filed by the Brazilian Bar Association to question the constitutionality of the Amnesty Law, the Federal Supreme Court (STF) rejected, with the expressive majority of 7 votes to 2, the unconstitutionality of the Amnesty Law (L. 6.683/1979) and declared it accepted by the Brazilian Constitution.</w:t>
      </w:r>
    </w:p>
    <w:p w14:paraId="591182F8" w14:textId="77777777" w:rsidR="008D4E40" w:rsidRPr="0008638A" w:rsidRDefault="004915DB" w:rsidP="0008638A">
      <w:pPr>
        <w:shd w:val="clear" w:color="auto" w:fill="FFFFFF"/>
        <w:spacing w:before="240"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STF judgment took place eight months before the consideration, by the Inter-American Court of Human Rights, of the case Gomes Lund et al v. Brazil. In this judgment, the International Court, in an analysis of the specific case involving the forced disappearance of members of the Araguaia guerrilla, unanimously ruled that the Brazilian Amnesty Law was contrary to the American Convention on Human Rights (Pact of San Jose, Costa Rica).</w:t>
      </w:r>
    </w:p>
    <w:p w14:paraId="471E769A" w14:textId="62BA5147" w:rsidR="008D4E40" w:rsidRPr="0008638A" w:rsidRDefault="004915DB" w:rsidP="0008638A">
      <w:pPr>
        <w:shd w:val="clear" w:color="auto" w:fill="FFFFFF"/>
        <w:spacing w:before="240" w:after="240" w:line="360" w:lineRule="auto"/>
        <w:jc w:val="both"/>
        <w:rPr>
          <w:rFonts w:ascii="Times New Roman" w:hAnsi="Times New Roman" w:cs="Times New Roman"/>
          <w:b/>
          <w:sz w:val="24"/>
          <w:szCs w:val="24"/>
          <w:lang w:val="en-US"/>
        </w:rPr>
      </w:pPr>
      <w:r w:rsidRPr="0008638A">
        <w:rPr>
          <w:rFonts w:ascii="Times New Roman" w:hAnsi="Times New Roman" w:cs="Times New Roman"/>
          <w:sz w:val="24"/>
          <w:szCs w:val="24"/>
          <w:lang w:val="en-US"/>
        </w:rPr>
        <w:t>The final report of the National Truth Commission, presented on December 10, 2014, includes among its recommendations the determination of the legal responsibility of 377 public agents involved in serious violations of human rights during the military dictatorship. So that these agents can be held responsible, the Commission suggests that they be removed from the application of the Amnesty Law (Law 6.683/1979) - which currently prevents the punishment of agents of repression in court.</w:t>
      </w:r>
    </w:p>
    <w:p w14:paraId="2ABC4C34" w14:textId="642E63DF" w:rsidR="008D4E40" w:rsidRPr="0008638A" w:rsidRDefault="0008638A" w:rsidP="0008638A">
      <w:pPr>
        <w:spacing w:after="240" w:line="360" w:lineRule="auto"/>
        <w:jc w:val="both"/>
        <w:rPr>
          <w:rFonts w:ascii="Times New Roman" w:hAnsi="Times New Roman" w:cs="Times New Roman"/>
          <w:b/>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 10</w:t>
      </w:r>
    </w:p>
    <w:p w14:paraId="42B893DF" w14:textId="4C41D590"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Most interviews with law enforcement officials the MNPCT has done in its monitoring activities have shown that there are no continuous human rights training cycles for these professionals. In the greatest part of the cases, they have only had contact with human rights classes when they first started their career. We don’t have information about the effectiveness of programs informed by the Brazilian State’s report. The goal of “disseminating a new institutional culture for the promotion and defense of human rights” is nowhere near being achieved, as we observe a high level of militarization of training courses for law enforcement officials going on in the country, including the social and educational agents’ current training methods.</w:t>
      </w:r>
    </w:p>
    <w:p w14:paraId="3E0DADA6" w14:textId="77777777"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An emblematic example of this reality was the torture and murder of Genivaldo Santos in 2022, in Sergipe, during an approach by the Federal Highway Police (PRF) because he was driving a motorcycle without a helmet. Genivaldo was mentally disabled and when he showed signs of agitation, he was placed and trapped in the trunk of the vehicle, where the police introduced pepper spray and tear gas until he died of suffocation. Given the repercussions of the case, it was revealed that the Federal Highway Police (PRF) had eliminated the subject of human rights from the course that formed the new agents of the corporation.</w:t>
      </w:r>
    </w:p>
    <w:p w14:paraId="2DCB98C4" w14:textId="77777777"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MNPCT is occasionally invited by officer’s schools to perform lectures about the prevention and combat of torture to juvenile justice agents or the penitentiary policies. However, these lectures are always eventual and do not integrate a broader state program.</w:t>
      </w:r>
    </w:p>
    <w:p w14:paraId="40F68288" w14:textId="2FB952DA"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Regarding the Istambul Protocol, it is not fully implemented in most forensic sectors from federated states, due to a lack of structure and a lack of professionals to comply with the minimum standards stated by the protocol. </w:t>
      </w:r>
    </w:p>
    <w:p w14:paraId="60FDF43D" w14:textId="3A620397" w:rsidR="008D4E40" w:rsidRPr="0008638A" w:rsidRDefault="0008638A" w:rsidP="0008638A">
      <w:pPr>
        <w:spacing w:after="240" w:line="360" w:lineRule="auto"/>
        <w:jc w:val="both"/>
        <w:rPr>
          <w:rFonts w:ascii="Times New Roman" w:hAnsi="Times New Roman" w:cs="Times New Roman"/>
          <w:b/>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 11</w:t>
      </w:r>
    </w:p>
    <w:p w14:paraId="6B2353AC" w14:textId="5D308807"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Brazilian State has not kept under systematic review interrogation rules, methods, and practices in the custody of detainees. There are not even detailed and nationally standardized rules on how the interrogations and testimonies of witnesses and suspects by the police forces should take place.</w:t>
      </w:r>
    </w:p>
    <w:p w14:paraId="569F0D8C" w14:textId="29DF5C05"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Police action protocols at the state level are marked by a lack of transparency and publicity, allowing a high degree of arbitrariness. In prison units, apart from the basic rules of the Penal Execution Law, the MNPCT has found in its inspections a lack of knowledge by the security forces about the internal regulations and the rules for the use of force. There is no national law regulating the use of force in these spaces. Even when there are state norms on the subject, we found that in the vast majority of states, custody agents are unaware of them, not being able to inform in the interviews with the MNPCT which written rules govern the daily life of the prison establishments and the protocols for use of the strength.</w:t>
      </w:r>
    </w:p>
    <w:p w14:paraId="1FD0ED47" w14:textId="78D9FFBC"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differentiated disciplinary regime (RDD) is governed by Art. 52 of the Penal Execution Law and can be imposed for provisional prisoners, or convicted, national or foreign, in case of the practice of fact foreseen as a felony when it causes "subversion of internal order or discipline", for a maximum period of two years. The RDD is characterized by isolation in an individual cell, restrictions on social visits, and holding hearings with the judiciary through videoconferencing (without a face-to-face presentation of the convict to the court).</w:t>
      </w:r>
    </w:p>
    <w:p w14:paraId="787BA1D8" w14:textId="1CE304F4"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However, §§ 1, 3, and 4 of Art. 52 expanded the possibility of applying the RDD, with unclear limits. In addition to the hypothesis provided for in the caput, § 1 allows the application of the RDD to provisional or convicted prisoners, national or foreign, "who present a high risk to the order and security of the penal establishment or society" and "under whom fall founded suspicions of involvement or participation, in any capacity, in a criminal organization, criminal association or private militia, regardless of the practice of serious misconduct". Paragraph 3 also determines that "if there are indications that the prisoner exercises leadership in a criminal organization, criminal association or private militia, or that he/she has criminal activity in 2 (two) or more States of the Federation, the differentiated disciplinary regime will be mandatorily complied with in a federal prison establishment."</w:t>
      </w:r>
    </w:p>
    <w:p w14:paraId="345EC8FD" w14:textId="75672525"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Finally, § 4, in contradiction with the caput of Art. 52, allows the indefinite extension of the RDD, for successive periods of one year, in the cases of §§ 1 and 3, if there are indications that the prisoner: "continues to present a high risk to the order and security of the penal establishment of the origin or the society" or "maintains links with a criminal organization, criminal association or private militia [...]".</w:t>
      </w:r>
    </w:p>
    <w:p w14:paraId="542CA71B" w14:textId="1E6074A2"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Aside from Law 12,594 of 2012, which institutes the National System of Socio-Educational Assistance, the MNPCT is unaware of national initiatives to promote educational and vocational programs, and medical and recreational facilities to provide the social reintegration of adolescents deprived of liberty. On the contrary, what the MNPCT observes in its inspections is that the logic of the detention units for adolescents has increasingly approached that of the prisons for adults, marked by long periods of keeping adolescents locked up, rigid disciplinary regimes, and unregulated use of strength and less lethal weapons.</w:t>
      </w:r>
    </w:p>
    <w:p w14:paraId="18BDEC32" w14:textId="5DF1C005" w:rsidR="008D4E40" w:rsidRPr="0008638A" w:rsidRDefault="0008638A" w:rsidP="0008638A">
      <w:pPr>
        <w:spacing w:after="240" w:line="360" w:lineRule="auto"/>
        <w:jc w:val="both"/>
        <w:rPr>
          <w:rFonts w:ascii="Times New Roman" w:hAnsi="Times New Roman" w:cs="Times New Roman"/>
          <w:b/>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w:t>
      </w:r>
      <w:r w:rsidRPr="0008638A">
        <w:rPr>
          <w:rFonts w:ascii="Times New Roman" w:hAnsi="Times New Roman" w:cs="Times New Roman"/>
          <w:b/>
          <w:sz w:val="24"/>
          <w:szCs w:val="24"/>
          <w:lang w:val="en-US"/>
        </w:rPr>
        <w:t>s</w:t>
      </w:r>
      <w:r w:rsidR="004915DB" w:rsidRPr="0008638A">
        <w:rPr>
          <w:rFonts w:ascii="Times New Roman" w:hAnsi="Times New Roman" w:cs="Times New Roman"/>
          <w:b/>
          <w:sz w:val="24"/>
          <w:szCs w:val="24"/>
          <w:lang w:val="en-US"/>
        </w:rPr>
        <w:t xml:space="preserve"> 12 and 13</w:t>
      </w:r>
    </w:p>
    <w:p w14:paraId="2BD5FED3" w14:textId="27CD587F"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There are no systematized public data in Brazil on accusations and convictions for the crime of torture in courts of law. A survey carried out in 2022 by one of the largest communication networks in the country, the newspaper O Globo, showed that in the previous five years, 194 security agents from 24 states and the Federal District were accused of torture. Of those, only 18 had been convicted.</w:t>
      </w:r>
    </w:p>
    <w:p w14:paraId="7CF82112" w14:textId="0BC8B7BD"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Regarding the torture methods used in these cases, the survey data indicate: 98 are by beating; 37 due to suffocation (use of a bag or cloth); 22 to sexual violence, including introducing objects into the anus; 18 due to blows with objects (rifles, truncheons or whips); 17 by drowning; and 14 by use of pepper spray or tear gas. There is no record of prosecution or conviction for the crime of torture in cases of the use of punishment (</w:t>
      </w:r>
      <w:r w:rsidRPr="0008638A">
        <w:rPr>
          <w:rFonts w:ascii="Times New Roman" w:hAnsi="Times New Roman" w:cs="Times New Roman"/>
          <w:i/>
          <w:sz w:val="24"/>
          <w:szCs w:val="24"/>
          <w:lang w:val="en-US"/>
        </w:rPr>
        <w:t>castigo</w:t>
      </w:r>
      <w:r w:rsidRPr="0008638A">
        <w:rPr>
          <w:rFonts w:ascii="Times New Roman" w:hAnsi="Times New Roman" w:cs="Times New Roman"/>
          <w:sz w:val="24"/>
          <w:szCs w:val="24"/>
          <w:lang w:val="en-US"/>
        </w:rPr>
        <w:t>) cells.</w:t>
      </w:r>
    </w:p>
    <w:p w14:paraId="3457E840" w14:textId="0593CA52"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 xml:space="preserve">There are no initiatives to maintain a centralized database on investigations and convictions of torture by public agents. It is noteworthy that the National Committee for the Prevention of Torture (CNPCT), despite having as one of its attributions to "build and maintain a database, with information on the activities of governmental and non-governmental bodies" and "build and maintain a register of allegations, criminal complaints, and court decisions", the body does not have the human and financial resources to carry out this work. Indeed, the CNPCT has had its composition incomplete since 2021 and, between 2021 and 2022, had its activities partially paralyzed due to the lack of </w:t>
      </w:r>
      <w:r w:rsidR="00F14F3C" w:rsidRPr="00F14F3C">
        <w:rPr>
          <w:rFonts w:ascii="Times New Roman" w:hAnsi="Times New Roman" w:cs="Times New Roman"/>
          <w:sz w:val="24"/>
          <w:szCs w:val="24"/>
          <w:lang w:val="en-US"/>
        </w:rPr>
        <w:t>recomposition</w:t>
      </w:r>
      <w:r w:rsidRPr="0008638A">
        <w:rPr>
          <w:rFonts w:ascii="Times New Roman" w:hAnsi="Times New Roman" w:cs="Times New Roman"/>
          <w:sz w:val="24"/>
          <w:szCs w:val="24"/>
          <w:lang w:val="en-US"/>
        </w:rPr>
        <w:t xml:space="preserve"> of its members by the Federal Government.</w:t>
      </w:r>
    </w:p>
    <w:p w14:paraId="5AE93FF4" w14:textId="07483C22"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only initiative that the MNPCT is aware of to enable the identification and investigation of cases of torture during detention is the implementation of Custody Hearings. According to CNJ data, in the eight years of custody hearings, there were reports of torture in 7.6% of them (83,700 records). However, there is no data on how many of these records initiated a criminal investigation or resulted in a conviction.</w:t>
      </w:r>
    </w:p>
    <w:p w14:paraId="694E8404" w14:textId="29BFE95C" w:rsidR="008D4E40" w:rsidRPr="0008638A" w:rsidRDefault="0008638A" w:rsidP="0008638A">
      <w:pPr>
        <w:spacing w:after="240" w:line="360" w:lineRule="auto"/>
        <w:jc w:val="both"/>
        <w:rPr>
          <w:rFonts w:ascii="Times New Roman" w:hAnsi="Times New Roman" w:cs="Times New Roman"/>
          <w:b/>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 15</w:t>
      </w:r>
    </w:p>
    <w:p w14:paraId="11AA8876" w14:textId="5E378A9A"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Despite the ban on the use of evidence obtained by illicit means, the Brazilian State has never implemented any initiative to ensure that confessions obtained through torture are not used as evidence, depending on the subjectivity of the judge in a case-by-case assessment.</w:t>
      </w:r>
    </w:p>
    <w:p w14:paraId="37C82370" w14:textId="3DE2C40B"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Brazilian State has not implemented any initiative to ensure that only confessions obtained before a judge can be used as evidence. Quite the contrary, what is observed in the practice of the courts is the ratification, during the judicial phase of the criminal process, of the evidence obtained during the police investigation and the statements of the police, even when they are not supported by material evidence. In Habeas Corpus 76,557, the 2nd Panel of the Federal Supreme Court understood that the testimony of the police officer who participated in the arrest was not illegal. In the same sense, the Court of Justice of Rio de Janeiro edited summary 70, stating that: "The fact of restricting the oral evidence to testimonies of police authorities and their agents does not disallow the conviction".</w:t>
      </w:r>
    </w:p>
    <w:p w14:paraId="074CF1D0" w14:textId="4950DAB2" w:rsidR="008D4E40" w:rsidRPr="0008638A" w:rsidRDefault="0008638A" w:rsidP="0008638A">
      <w:pPr>
        <w:spacing w:after="240" w:line="360" w:lineRule="auto"/>
        <w:jc w:val="both"/>
        <w:rPr>
          <w:rFonts w:ascii="Times New Roman" w:hAnsi="Times New Roman" w:cs="Times New Roman"/>
          <w:b/>
          <w:sz w:val="24"/>
          <w:szCs w:val="24"/>
          <w:lang w:val="en-US"/>
        </w:rPr>
      </w:pPr>
      <w:r w:rsidRPr="0008638A">
        <w:rPr>
          <w:rFonts w:ascii="Times New Roman" w:hAnsi="Times New Roman" w:cs="Times New Roman"/>
          <w:b/>
          <w:sz w:val="24"/>
          <w:szCs w:val="24"/>
          <w:lang w:val="en-US"/>
        </w:rPr>
        <w:t>A</w:t>
      </w:r>
      <w:r w:rsidR="004915DB" w:rsidRPr="0008638A">
        <w:rPr>
          <w:rFonts w:ascii="Times New Roman" w:hAnsi="Times New Roman" w:cs="Times New Roman"/>
          <w:b/>
          <w:sz w:val="24"/>
          <w:szCs w:val="24"/>
          <w:lang w:val="en-US"/>
        </w:rPr>
        <w:t>rticle 16</w:t>
      </w:r>
    </w:p>
    <w:p w14:paraId="5423FC2D" w14:textId="11C56EC7"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standard measure the Brazilian State has taken to address the overcrowding and inhuman conditions of detention is to build new detention places, a measure that does not solve the overcrowding situation and only increases the rate of the imprisoned population. The National Penitentiary Fund - FUNPEN Law states a minimum of 30% of its funding to be destined to “building, reforming and the enlargement of detention places” (article 3, § 5 of Complementary Law no. 79/1994), while other destinations that structure the process of social reintegration of convicted people are not prioritized. Walls and concrete are not, alone, able to provide an effective process for a person to be resocialized on a new level of formal education and professional skills. The FUNPEN funding is also being regularly used for the acquisition of weapons to supply prison facilities.</w:t>
      </w:r>
    </w:p>
    <w:p w14:paraId="0106207B" w14:textId="42682AD0"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Brazilian State should start taking as a priority the funding of activities stated on items V, VI, and VII of article 3 of the FUNPEN Law, which include the implantation of pedagogical measures related to professionalization activities in prisons; the educational and cultural formation of imprisoned people; the elaboration and execution of projects addressed to the social reinsertion of imprisoned or formerly imprisoned people, including the accomplishment of technical and professionalizing courses.</w:t>
      </w:r>
    </w:p>
    <w:p w14:paraId="48F44406" w14:textId="313F56D7" w:rsidR="008D4E40" w:rsidRPr="0008638A" w:rsidRDefault="004915DB" w:rsidP="0008638A">
      <w:pPr>
        <w:spacing w:after="240" w:line="360" w:lineRule="auto"/>
        <w:jc w:val="both"/>
        <w:rPr>
          <w:rFonts w:ascii="Times New Roman" w:hAnsi="Times New Roman" w:cs="Times New Roman"/>
          <w:sz w:val="24"/>
          <w:szCs w:val="24"/>
          <w:lang w:val="en-US"/>
        </w:rPr>
      </w:pPr>
      <w:r w:rsidRPr="0008638A">
        <w:rPr>
          <w:rFonts w:ascii="Times New Roman" w:hAnsi="Times New Roman" w:cs="Times New Roman"/>
          <w:sz w:val="24"/>
          <w:szCs w:val="24"/>
          <w:lang w:val="en-US"/>
        </w:rPr>
        <w:t>The lack of material assistance in prison units is a generalized matter. A considerable number of institutions do not provide basic personal hygiene items in an adequate amount or regularity. In the greatest number of prison units monitored by MNPCT, the items that are delivered are almost always of a very low quality. In some detention places, uniforms are not provided by the prison facility, even in those where it is forbidden not to wear uniforms.</w:t>
      </w:r>
    </w:p>
    <w:p w14:paraId="5DE26EEC" w14:textId="77777777" w:rsidR="008D4E40" w:rsidRPr="0008638A" w:rsidRDefault="008D4E40" w:rsidP="0008638A">
      <w:pPr>
        <w:spacing w:after="240" w:line="360" w:lineRule="auto"/>
        <w:jc w:val="both"/>
        <w:rPr>
          <w:rFonts w:ascii="Times New Roman" w:hAnsi="Times New Roman" w:cs="Times New Roman"/>
          <w:sz w:val="24"/>
          <w:szCs w:val="24"/>
          <w:lang w:val="en-US"/>
        </w:rPr>
      </w:pPr>
    </w:p>
    <w:p w14:paraId="1A50353D" w14:textId="65F33172" w:rsidR="008D4E40" w:rsidRPr="0008638A" w:rsidRDefault="004915DB" w:rsidP="0008638A">
      <w:pPr>
        <w:spacing w:after="240" w:line="360" w:lineRule="auto"/>
        <w:jc w:val="both"/>
        <w:rPr>
          <w:rFonts w:ascii="Times New Roman" w:hAnsi="Times New Roman" w:cs="Times New Roman"/>
          <w:b/>
          <w:sz w:val="24"/>
          <w:szCs w:val="24"/>
          <w:lang w:val="en-US"/>
        </w:rPr>
      </w:pPr>
      <w:r w:rsidRPr="0008638A">
        <w:rPr>
          <w:rFonts w:ascii="Times New Roman" w:hAnsi="Times New Roman" w:cs="Times New Roman"/>
          <w:b/>
          <w:sz w:val="24"/>
          <w:szCs w:val="24"/>
          <w:lang w:val="en-US"/>
        </w:rPr>
        <w:t>Relevant concerns</w:t>
      </w:r>
    </w:p>
    <w:p w14:paraId="121719EA" w14:textId="77777777" w:rsidR="008D4E40" w:rsidRPr="0008638A" w:rsidRDefault="004915DB" w:rsidP="0008638A">
      <w:pPr>
        <w:spacing w:after="240" w:line="360" w:lineRule="auto"/>
        <w:jc w:val="both"/>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Mrs. Alice Edwards</w:t>
      </w:r>
      <w:r w:rsidRPr="0008638A">
        <w:rPr>
          <w:rFonts w:ascii="Times New Roman" w:hAnsi="Times New Roman" w:cs="Times New Roman"/>
          <w:color w:val="0E101A"/>
          <w:sz w:val="24"/>
          <w:szCs w:val="24"/>
          <w:highlight w:val="white"/>
          <w:vertAlign w:val="superscript"/>
          <w:lang w:val="en-US"/>
        </w:rPr>
        <w:footnoteReference w:id="1"/>
      </w:r>
      <w:r w:rsidRPr="0008638A">
        <w:rPr>
          <w:rFonts w:ascii="Times New Roman" w:hAnsi="Times New Roman" w:cs="Times New Roman"/>
          <w:color w:val="0E101A"/>
          <w:sz w:val="24"/>
          <w:szCs w:val="24"/>
          <w:highlight w:val="white"/>
          <w:lang w:val="en-US"/>
        </w:rPr>
        <w:t xml:space="preserve"> is assertive when she reports that “the national duty on investigating torture is universally sub-executed”; in Brazilian reality, this affirmation is completely true.</w:t>
      </w:r>
    </w:p>
    <w:p w14:paraId="1B49D4B1" w14:textId="77777777" w:rsidR="008D4E40" w:rsidRPr="0008638A" w:rsidRDefault="004915DB" w:rsidP="0008638A">
      <w:pPr>
        <w:spacing w:after="240" w:line="360" w:lineRule="auto"/>
        <w:jc w:val="both"/>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 xml:space="preserve">Brazil fails on investigating and punishing torture in most cases, notably acts of torture perpetrated by public agents. This happens for many reasons. One of these reasons is, for example, that in the majority of deprivation of liberty units, there are no safe ways for victims or witnesses to denounce torture without being punished or suffering some extra violence. </w:t>
      </w:r>
    </w:p>
    <w:p w14:paraId="664A623B" w14:textId="3DBCDD39" w:rsidR="008D4E40" w:rsidRPr="0008638A" w:rsidRDefault="004915DB" w:rsidP="0008638A">
      <w:pPr>
        <w:spacing w:after="240" w:line="360" w:lineRule="auto"/>
        <w:jc w:val="both"/>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 xml:space="preserve">Many cases of torture that arrive at prosecution offices, which is the organ responsible for the surveillance of the states’ duties, do not result in any punishment to torturers. Penitentiary administrations (with rare exceptions) tend to always minimize and cover up acts of cruelty taking place in prisons, protecting public officers that should take responsibility for these human rights violations. </w:t>
      </w:r>
    </w:p>
    <w:p w14:paraId="4EA74E1F" w14:textId="77777777" w:rsidR="008D4E40" w:rsidRPr="0008638A" w:rsidRDefault="004915DB" w:rsidP="0008638A">
      <w:pPr>
        <w:spacing w:after="240" w:line="360" w:lineRule="auto"/>
        <w:jc w:val="both"/>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 xml:space="preserve">In addition to that, in the country there is a culture of violence being fed daily by radio and tv police shows that present police brutality as some sort of justice act and police actions in needy communities as some kind of entertainment. As a consequence of that, a considerable part of Brazilian citizens would judge as reasonable and even fair the violation of human rights of people who only allegedly have committed a crime. It is not too much to say that torture and other degrading treatments are socially supported by this kind of culture.  </w:t>
      </w:r>
    </w:p>
    <w:p w14:paraId="7F6F0CAD" w14:textId="04D20D82" w:rsidR="008D4E40" w:rsidRPr="0008638A" w:rsidRDefault="004915DB" w:rsidP="0008638A">
      <w:pPr>
        <w:spacing w:after="240" w:line="360" w:lineRule="auto"/>
        <w:jc w:val="both"/>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 xml:space="preserve">Many police bodies treat homeless and poor people, people from non-white communities (especially the younger ones) as internal enemies. These kinds of citizens are more likely to suffer torture when they are taken into custody than other citizens. </w:t>
      </w:r>
    </w:p>
    <w:p w14:paraId="3DD1E505" w14:textId="0E8E514F" w:rsidR="008D4E40" w:rsidRPr="0008638A" w:rsidRDefault="004915DB" w:rsidP="00F14F3C">
      <w:pPr>
        <w:spacing w:after="240" w:line="360" w:lineRule="auto"/>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Recommendations for the Brazilian state:</w:t>
      </w:r>
    </w:p>
    <w:p w14:paraId="384BBAFF" w14:textId="77777777" w:rsidR="008D4E40" w:rsidRPr="0008638A" w:rsidRDefault="004915DB" w:rsidP="00F14F3C">
      <w:pPr>
        <w:numPr>
          <w:ilvl w:val="0"/>
          <w:numId w:val="3"/>
        </w:numPr>
        <w:spacing w:after="240" w:line="360" w:lineRule="auto"/>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The minimum number of six members for mechanisms’ bodies in the federated states, to strengthen the bodies’ autonomy and impartiality;</w:t>
      </w:r>
    </w:p>
    <w:p w14:paraId="4C519BBB" w14:textId="77777777" w:rsidR="008D4E40" w:rsidRPr="0008638A" w:rsidRDefault="004915DB" w:rsidP="00F14F3C">
      <w:pPr>
        <w:numPr>
          <w:ilvl w:val="0"/>
          <w:numId w:val="3"/>
        </w:numPr>
        <w:spacing w:after="240" w:line="360" w:lineRule="auto"/>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 xml:space="preserve">The prohibition of participation of police and military personnel in the local preventive mechanisms; </w:t>
      </w:r>
    </w:p>
    <w:p w14:paraId="5D25F680" w14:textId="6F33CD10" w:rsidR="008D4E40" w:rsidRPr="00F14F3C"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The prohibition of participation of police and military bodies representatives on Committees to prevent and combat torture, due to conflict of interest;</w:t>
      </w:r>
    </w:p>
    <w:p w14:paraId="6F1032F5" w14:textId="4B4E1BD3" w:rsidR="008D4E40" w:rsidRPr="00F14F3C"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 xml:space="preserve">The financial independence of the local preventive mechanisms as well as of its specialists; </w:t>
      </w:r>
    </w:p>
    <w:p w14:paraId="5B7FDC42" w14:textId="77777777" w:rsidR="008D4E40" w:rsidRPr="0008638A" w:rsidRDefault="004915DB" w:rsidP="00F14F3C">
      <w:pPr>
        <w:numPr>
          <w:ilvl w:val="0"/>
          <w:numId w:val="3"/>
        </w:numPr>
        <w:spacing w:after="240" w:line="360" w:lineRule="auto"/>
        <w:jc w:val="both"/>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The assurance of human and financial resources for the National Preventive Mechanism, in order to strengthen its autonomy and the development of its activities;</w:t>
      </w:r>
    </w:p>
    <w:p w14:paraId="5331C889" w14:textId="77777777" w:rsidR="008D4E40" w:rsidRPr="0008638A" w:rsidRDefault="004915DB" w:rsidP="00F14F3C">
      <w:pPr>
        <w:numPr>
          <w:ilvl w:val="0"/>
          <w:numId w:val="3"/>
        </w:numPr>
        <w:spacing w:after="240" w:line="360" w:lineRule="auto"/>
        <w:jc w:val="both"/>
        <w:rPr>
          <w:rFonts w:ascii="Times New Roman" w:hAnsi="Times New Roman" w:cs="Times New Roman"/>
          <w:color w:val="0E101A"/>
          <w:sz w:val="24"/>
          <w:szCs w:val="24"/>
          <w:highlight w:val="white"/>
          <w:lang w:val="en-US"/>
        </w:rPr>
      </w:pPr>
      <w:r w:rsidRPr="0008638A">
        <w:rPr>
          <w:rFonts w:ascii="Times New Roman" w:hAnsi="Times New Roman" w:cs="Times New Roman"/>
          <w:color w:val="0E101A"/>
          <w:sz w:val="24"/>
          <w:szCs w:val="24"/>
          <w:highlight w:val="white"/>
          <w:lang w:val="en-US"/>
        </w:rPr>
        <w:t xml:space="preserve">That the federal and state governments establish a permanent articulation and dialogue with the NPM for the creation and implementation of penal policies for adults and adolescents; </w:t>
      </w:r>
    </w:p>
    <w:p w14:paraId="37E71393"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The independence of the forensic investigation organs from the police bodies to enhance the impartiality of the service in the investigation and documentation of torture;</w:t>
      </w:r>
    </w:p>
    <w:p w14:paraId="36E6C625"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 xml:space="preserve">The fulfillment of the rights of detained people’s family members, legally abolishing vexatious body inspections in the prison system and in juvenile detention units;  </w:t>
      </w:r>
    </w:p>
    <w:p w14:paraId="4E4C47D1"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 xml:space="preserve">That mixed (men and women) detention places be outlawed to preserve women’s human rights and their specific needs; </w:t>
      </w:r>
    </w:p>
    <w:p w14:paraId="5F6BF69D"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Compliance with article no. 1 of CONANDA’s resolution no. 46/1996, which states that “the detention units will attend a number not superior to 40 (forty) adolescents.";</w:t>
      </w:r>
    </w:p>
    <w:p w14:paraId="4BE0CF22"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 xml:space="preserve">Measures to enforce civil society organizations’ participation in monitoring detention places; </w:t>
      </w:r>
    </w:p>
    <w:p w14:paraId="0A772CFD"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The creation and implementation of national principles for conducting interrogations and interviews by public agents, with a view to modify police practices, replacing coercive interrogations with interviews based on the creation of conditions of trust, in line with good international practices, such as the Méndez Principles;</w:t>
      </w:r>
    </w:p>
    <w:p w14:paraId="19058D07"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The creation and implementation of national norms to guarantee continuous and transversal training in human rights and prevention of torture for security agents;</w:t>
      </w:r>
    </w:p>
    <w:p w14:paraId="04FFF1FB"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Legislative changes to limit the probative weight of evidence and confessions obtained exclusively in the police investigation phase, as well as the probative weight of the testimony of the police officers who participated in the arrest when not supported by material evidence;</w:t>
      </w:r>
    </w:p>
    <w:p w14:paraId="69F2D2A5"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The creation of a national database on accusations, investigations, and convictions of cases of crimes of torture, to be fed by federal and state bodies;</w:t>
      </w:r>
    </w:p>
    <w:p w14:paraId="2387E114"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Legislative changes to limit the cases that permit the use of RDD and the length of stay in this regime and to prohibit its use for people with mental or physical disabilities when these conditions may be aggravated by this measure, in line with the Minimum Rules United Nations for the Treatment of Prisoners;</w:t>
      </w:r>
    </w:p>
    <w:p w14:paraId="2ED28DA4" w14:textId="77777777" w:rsidR="008D4E40" w:rsidRPr="0008638A" w:rsidRDefault="004915DB" w:rsidP="00F14F3C">
      <w:pPr>
        <w:numPr>
          <w:ilvl w:val="0"/>
          <w:numId w:val="3"/>
        </w:numPr>
        <w:spacing w:after="240" w:line="360" w:lineRule="auto"/>
        <w:jc w:val="both"/>
        <w:rPr>
          <w:rFonts w:ascii="Times New Roman" w:hAnsi="Times New Roman" w:cs="Times New Roman"/>
          <w:sz w:val="24"/>
          <w:szCs w:val="24"/>
          <w:highlight w:val="white"/>
          <w:lang w:val="en-US"/>
        </w:rPr>
      </w:pPr>
      <w:r w:rsidRPr="0008638A">
        <w:rPr>
          <w:rFonts w:ascii="Times New Roman" w:hAnsi="Times New Roman" w:cs="Times New Roman"/>
          <w:color w:val="0E101A"/>
          <w:sz w:val="24"/>
          <w:szCs w:val="24"/>
          <w:highlight w:val="white"/>
          <w:lang w:val="en-US"/>
        </w:rPr>
        <w:t xml:space="preserve">Legislative changes to limit the competence of the Military Justice, restricting it only to crimes provided for in the Military Penal Code. </w:t>
      </w:r>
    </w:p>
    <w:p w14:paraId="5E908A18" w14:textId="77777777" w:rsidR="008D4E40" w:rsidRPr="0008638A" w:rsidRDefault="008D4E40" w:rsidP="0008638A">
      <w:pPr>
        <w:spacing w:after="240" w:line="360" w:lineRule="auto"/>
        <w:jc w:val="both"/>
        <w:rPr>
          <w:rFonts w:ascii="Times New Roman" w:hAnsi="Times New Roman" w:cs="Times New Roman"/>
          <w:color w:val="0E101A"/>
          <w:sz w:val="24"/>
          <w:szCs w:val="24"/>
          <w:highlight w:val="white"/>
          <w:lang w:val="en-US"/>
        </w:rPr>
      </w:pPr>
    </w:p>
    <w:p w14:paraId="6A0E996D" w14:textId="77777777" w:rsidR="008D4E40" w:rsidRPr="0008638A" w:rsidRDefault="008D4E40" w:rsidP="0008638A">
      <w:pPr>
        <w:spacing w:after="240" w:line="360" w:lineRule="auto"/>
        <w:jc w:val="both"/>
        <w:rPr>
          <w:rFonts w:ascii="Times New Roman" w:hAnsi="Times New Roman" w:cs="Times New Roman"/>
          <w:color w:val="0E101A"/>
          <w:sz w:val="24"/>
          <w:szCs w:val="24"/>
          <w:highlight w:val="white"/>
          <w:lang w:val="en-US"/>
        </w:rPr>
      </w:pPr>
    </w:p>
    <w:p w14:paraId="4D20DB37" w14:textId="77777777" w:rsidR="008D4E40" w:rsidRPr="0008638A" w:rsidRDefault="008D4E40" w:rsidP="0008638A">
      <w:pPr>
        <w:spacing w:after="240" w:line="360" w:lineRule="auto"/>
        <w:jc w:val="both"/>
        <w:rPr>
          <w:rFonts w:ascii="Times New Roman" w:hAnsi="Times New Roman" w:cs="Times New Roman"/>
          <w:color w:val="0E101A"/>
          <w:sz w:val="24"/>
          <w:szCs w:val="24"/>
          <w:highlight w:val="white"/>
          <w:lang w:val="en-US"/>
        </w:rPr>
      </w:pPr>
    </w:p>
    <w:p w14:paraId="0086A70C" w14:textId="77777777" w:rsidR="008D4E40" w:rsidRPr="0008638A" w:rsidRDefault="008D4E40" w:rsidP="0008638A">
      <w:pPr>
        <w:spacing w:after="240" w:line="360" w:lineRule="auto"/>
        <w:jc w:val="both"/>
        <w:rPr>
          <w:rFonts w:ascii="Times New Roman" w:hAnsi="Times New Roman" w:cs="Times New Roman"/>
          <w:color w:val="0E101A"/>
          <w:sz w:val="24"/>
          <w:szCs w:val="24"/>
          <w:highlight w:val="white"/>
          <w:lang w:val="en-US"/>
        </w:rPr>
      </w:pPr>
    </w:p>
    <w:p w14:paraId="48C33793" w14:textId="77777777" w:rsidR="008D4E40" w:rsidRPr="0008638A" w:rsidRDefault="008D4E40" w:rsidP="0008638A">
      <w:pPr>
        <w:spacing w:after="240" w:line="360" w:lineRule="auto"/>
        <w:jc w:val="both"/>
        <w:rPr>
          <w:rFonts w:ascii="Times New Roman" w:hAnsi="Times New Roman" w:cs="Times New Roman"/>
          <w:color w:val="38761D"/>
          <w:sz w:val="24"/>
          <w:szCs w:val="24"/>
          <w:lang w:val="en-US"/>
        </w:rPr>
      </w:pPr>
    </w:p>
    <w:sectPr w:rsidR="008D4E40" w:rsidRPr="0008638A">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80D86" w14:textId="77777777" w:rsidR="004915DB" w:rsidRDefault="004915DB">
      <w:pPr>
        <w:spacing w:line="240" w:lineRule="auto"/>
      </w:pPr>
      <w:r>
        <w:separator/>
      </w:r>
    </w:p>
  </w:endnote>
  <w:endnote w:type="continuationSeparator" w:id="0">
    <w:p w14:paraId="5D06546F" w14:textId="77777777" w:rsidR="004915DB" w:rsidRDefault="004915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539CE" w14:textId="77777777" w:rsidR="004915DB" w:rsidRDefault="004915DB">
      <w:pPr>
        <w:spacing w:line="240" w:lineRule="auto"/>
      </w:pPr>
      <w:r>
        <w:separator/>
      </w:r>
    </w:p>
  </w:footnote>
  <w:footnote w:type="continuationSeparator" w:id="0">
    <w:p w14:paraId="19823B6B" w14:textId="77777777" w:rsidR="004915DB" w:rsidRDefault="004915DB">
      <w:pPr>
        <w:spacing w:line="240" w:lineRule="auto"/>
      </w:pPr>
      <w:r>
        <w:continuationSeparator/>
      </w:r>
    </w:p>
  </w:footnote>
  <w:footnote w:id="1">
    <w:p w14:paraId="1B6F0AC2" w14:textId="77777777" w:rsidR="008D4E40" w:rsidRPr="0008638A" w:rsidRDefault="004915DB" w:rsidP="0008638A">
      <w:pPr>
        <w:spacing w:line="240" w:lineRule="auto"/>
        <w:jc w:val="both"/>
        <w:rPr>
          <w:rFonts w:ascii="Times New Roman" w:hAnsi="Times New Roman" w:cs="Times New Roman"/>
          <w:sz w:val="20"/>
          <w:szCs w:val="20"/>
        </w:rPr>
      </w:pPr>
      <w:r w:rsidRPr="0008638A">
        <w:rPr>
          <w:rFonts w:ascii="Times New Roman" w:hAnsi="Times New Roman" w:cs="Times New Roman"/>
          <w:sz w:val="20"/>
          <w:szCs w:val="20"/>
          <w:vertAlign w:val="superscript"/>
        </w:rPr>
        <w:footnoteRef/>
      </w:r>
      <w:r w:rsidRPr="0008638A">
        <w:rPr>
          <w:rFonts w:ascii="Times New Roman" w:hAnsi="Times New Roman" w:cs="Times New Roman"/>
          <w:sz w:val="20"/>
          <w:szCs w:val="20"/>
        </w:rPr>
        <w:t xml:space="preserve"> UN Special Rapporteur on Torture and other Cruel, Inhuman or Degrading Treatment or Punishment.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1A79E" w14:textId="77777777" w:rsidR="008D4E40" w:rsidRDefault="004915DB" w:rsidP="0008638A">
    <w:pPr>
      <w:spacing w:before="240" w:after="240"/>
      <w:jc w:val="center"/>
    </w:pPr>
    <w:r>
      <w:rPr>
        <w:rFonts w:ascii="Times New Roman" w:eastAsia="Times New Roman" w:hAnsi="Times New Roman" w:cs="Times New Roman"/>
        <w:b/>
        <w:noProof/>
        <w:sz w:val="28"/>
        <w:szCs w:val="28"/>
        <w:lang w:val="en-GB" w:eastAsia="en-GB"/>
      </w:rPr>
      <w:drawing>
        <wp:inline distT="114300" distB="114300" distL="114300" distR="114300" wp14:anchorId="11064551" wp14:editId="389DDE89">
          <wp:extent cx="2055650" cy="106266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055650" cy="106266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31A5"/>
    <w:multiLevelType w:val="multilevel"/>
    <w:tmpl w:val="8ABCE72C"/>
    <w:lvl w:ilvl="0">
      <w:start w:val="1"/>
      <w:numFmt w:val="decimal"/>
      <w:lvlText w:val="%1."/>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1E661B"/>
    <w:multiLevelType w:val="hybridMultilevel"/>
    <w:tmpl w:val="E9841DD4"/>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3C8E4620"/>
    <w:multiLevelType w:val="multilevel"/>
    <w:tmpl w:val="0C84618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E40"/>
    <w:rsid w:val="0008638A"/>
    <w:rsid w:val="003E065D"/>
    <w:rsid w:val="004915DB"/>
    <w:rsid w:val="008A2EAB"/>
    <w:rsid w:val="008D4E40"/>
    <w:rsid w:val="00BF01F0"/>
    <w:rsid w:val="00F14F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36A2A"/>
  <w15:docId w15:val="{CA31A7F8-9ACB-4FCD-9AC0-3581AD7F9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8638A"/>
    <w:pPr>
      <w:tabs>
        <w:tab w:val="center" w:pos="4252"/>
        <w:tab w:val="right" w:pos="8504"/>
      </w:tabs>
      <w:spacing w:line="240" w:lineRule="auto"/>
    </w:pPr>
  </w:style>
  <w:style w:type="character" w:customStyle="1" w:styleId="HeaderChar">
    <w:name w:val="Header Char"/>
    <w:basedOn w:val="DefaultParagraphFont"/>
    <w:link w:val="Header"/>
    <w:uiPriority w:val="99"/>
    <w:rsid w:val="0008638A"/>
  </w:style>
  <w:style w:type="paragraph" w:styleId="Footer">
    <w:name w:val="footer"/>
    <w:basedOn w:val="Normal"/>
    <w:link w:val="FooterChar"/>
    <w:uiPriority w:val="99"/>
    <w:unhideWhenUsed/>
    <w:rsid w:val="0008638A"/>
    <w:pPr>
      <w:tabs>
        <w:tab w:val="center" w:pos="4252"/>
        <w:tab w:val="right" w:pos="8504"/>
      </w:tabs>
      <w:spacing w:line="240" w:lineRule="auto"/>
    </w:pPr>
  </w:style>
  <w:style w:type="character" w:customStyle="1" w:styleId="FooterChar">
    <w:name w:val="Footer Char"/>
    <w:basedOn w:val="DefaultParagraphFont"/>
    <w:link w:val="Footer"/>
    <w:uiPriority w:val="99"/>
    <w:rsid w:val="000863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4300</Words>
  <Characters>24512</Characters>
  <Application>Microsoft Office Word</Application>
  <DocSecurity>0</DocSecurity>
  <Lines>204</Lines>
  <Paragraphs>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MMFDH</Company>
  <LinksUpToDate>false</LinksUpToDate>
  <CharactersWithSpaces>28755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Barreto Lemos</dc:creator>
  <cp:lastModifiedBy>Youssef Hamdan</cp:lastModifiedBy>
  <cp:revision>2</cp:revision>
  <dcterms:created xsi:type="dcterms:W3CDTF">2023-03-29T17:44:00Z</dcterms:created>
  <dcterms:modified xsi:type="dcterms:W3CDTF">2023-03-29T17:44:00Z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-223936837</vt:i4>
  </property>
</Properties>
</file>