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B017" w14:textId="14527064" w:rsidR="000A2104" w:rsidRPr="00872D32" w:rsidRDefault="000A2104" w:rsidP="000A2104">
      <w:pPr>
        <w:jc w:val="right"/>
      </w:pPr>
      <w:bookmarkStart w:id="0" w:name="_Hlk149298951"/>
    </w:p>
    <w:p w14:paraId="0B382BF0" w14:textId="05C6D936" w:rsidR="008E732E" w:rsidRPr="00872D32" w:rsidRDefault="00E31BCE" w:rsidP="00655472">
      <w:pPr>
        <w:pStyle w:val="Heading1"/>
        <w:spacing w:before="2160"/>
      </w:pPr>
      <w:bookmarkStart w:id="1" w:name="_Toc213834631"/>
      <w:bookmarkStart w:id="2" w:name="_Toc213834977"/>
      <w:bookmarkStart w:id="3" w:name="_Toc213857506"/>
      <w:bookmarkStart w:id="4" w:name="_Toc213857946"/>
      <w:bookmarkStart w:id="5" w:name="_Toc213932005"/>
      <w:bookmarkStart w:id="6" w:name="_Toc214449180"/>
      <w:bookmarkStart w:id="7" w:name="_Toc214449326"/>
      <w:bookmarkStart w:id="8" w:name="_Toc214452498"/>
      <w:bookmarkStart w:id="9" w:name="_Toc215138464"/>
      <w:bookmarkStart w:id="10" w:name="_Toc216276619"/>
      <w:bookmarkStart w:id="11" w:name="_Toc216276804"/>
      <w:bookmarkStart w:id="12" w:name="_Toc217480171"/>
      <w:r w:rsidRPr="00872D32">
        <w:t>Submission of the OHRC to the UN Human Rights Committee ahead of its review of Canada's 7</w:t>
      </w:r>
      <w:r w:rsidRPr="00872D32">
        <w:rPr>
          <w:vertAlign w:val="superscript"/>
        </w:rPr>
        <w:t>th</w:t>
      </w:r>
      <w:r w:rsidRPr="00872D32">
        <w:t xml:space="preserve"> periodic report</w:t>
      </w:r>
      <w:bookmarkEnd w:id="1"/>
      <w:bookmarkEnd w:id="2"/>
      <w:bookmarkEnd w:id="3"/>
      <w:bookmarkEnd w:id="4"/>
      <w:bookmarkEnd w:id="5"/>
      <w:bookmarkEnd w:id="6"/>
      <w:bookmarkEnd w:id="7"/>
      <w:bookmarkEnd w:id="8"/>
      <w:bookmarkEnd w:id="9"/>
      <w:bookmarkEnd w:id="10"/>
      <w:bookmarkEnd w:id="11"/>
      <w:bookmarkEnd w:id="12"/>
    </w:p>
    <w:p w14:paraId="04FA57E7" w14:textId="77777777" w:rsidR="008E732E" w:rsidRPr="00872D32" w:rsidRDefault="008E732E" w:rsidP="0074330D">
      <w:pPr>
        <w:spacing w:after="3360"/>
      </w:pPr>
    </w:p>
    <w:p w14:paraId="130AF7DC" w14:textId="1E40F67D" w:rsidR="00A30CF0" w:rsidRPr="00872D32" w:rsidRDefault="004639CF" w:rsidP="00A30CF0">
      <w:pPr>
        <w:spacing w:line="240" w:lineRule="auto"/>
        <w:rPr>
          <w:rFonts w:eastAsia="Times New Roman" w:cs="Arial"/>
          <w:b/>
          <w:bCs/>
          <w:color w:val="000000"/>
          <w:szCs w:val="24"/>
        </w:rPr>
      </w:pPr>
      <w:r w:rsidRPr="00872D32">
        <w:rPr>
          <w:rFonts w:eastAsia="Times New Roman" w:cs="Arial"/>
          <w:b/>
          <w:bCs/>
          <w:color w:val="000000"/>
          <w:szCs w:val="24"/>
        </w:rPr>
        <w:t>Ontario Human Rights Commission</w:t>
      </w:r>
    </w:p>
    <w:p w14:paraId="26D37C94" w14:textId="5E971D12" w:rsidR="008E732E" w:rsidRPr="00872D32" w:rsidRDefault="002C5C01" w:rsidP="00A30CF0">
      <w:pPr>
        <w:spacing w:line="240" w:lineRule="auto"/>
        <w:rPr>
          <w:rFonts w:eastAsia="Times New Roman" w:cs="Arial"/>
          <w:b/>
          <w:bCs/>
          <w:color w:val="000000"/>
          <w:szCs w:val="24"/>
        </w:rPr>
      </w:pPr>
      <w:r>
        <w:rPr>
          <w:rFonts w:eastAsia="Times New Roman" w:cs="Arial"/>
          <w:b/>
          <w:bCs/>
          <w:color w:val="000000"/>
          <w:szCs w:val="24"/>
        </w:rPr>
        <w:t>January 2026</w:t>
      </w:r>
    </w:p>
    <w:p w14:paraId="3E9CA79D" w14:textId="77777777" w:rsidR="0074330D" w:rsidRPr="00872D32" w:rsidRDefault="0074330D">
      <w:pPr>
        <w:spacing w:after="200"/>
        <w:rPr>
          <w:rFonts w:cs="Arial"/>
        </w:rPr>
      </w:pPr>
      <w:r w:rsidRPr="00872D32">
        <w:rPr>
          <w:rFonts w:cs="Arial"/>
        </w:rPr>
        <w:br w:type="page"/>
      </w:r>
    </w:p>
    <w:p w14:paraId="3A8A1CCF" w14:textId="77777777" w:rsidR="00D46B7F" w:rsidRPr="00872D32" w:rsidRDefault="00FD359F" w:rsidP="009C7334">
      <w:pPr>
        <w:pStyle w:val="Heading2"/>
        <w:spacing w:after="120"/>
        <w:rPr>
          <w:noProof/>
        </w:rPr>
      </w:pPr>
      <w:bookmarkStart w:id="13" w:name="_Toc213857507"/>
      <w:bookmarkStart w:id="14" w:name="_Toc213857947"/>
      <w:bookmarkStart w:id="15" w:name="_Toc213932006"/>
      <w:bookmarkStart w:id="16" w:name="_Toc214449181"/>
      <w:bookmarkStart w:id="17" w:name="_Toc214449327"/>
      <w:bookmarkStart w:id="18" w:name="_Toc214452499"/>
      <w:bookmarkStart w:id="19" w:name="_Toc215138465"/>
      <w:bookmarkStart w:id="20" w:name="_Toc216276620"/>
      <w:bookmarkStart w:id="21" w:name="_Toc216276805"/>
      <w:bookmarkStart w:id="22" w:name="_Toc217480172"/>
      <w:r w:rsidRPr="00872D32">
        <w:rPr>
          <w:sz w:val="32"/>
          <w:szCs w:val="24"/>
        </w:rPr>
        <w:lastRenderedPageBreak/>
        <w:t>Table of Content</w:t>
      </w:r>
      <w:bookmarkEnd w:id="13"/>
      <w:bookmarkEnd w:id="14"/>
      <w:bookmarkEnd w:id="15"/>
      <w:bookmarkEnd w:id="16"/>
      <w:bookmarkEnd w:id="17"/>
      <w:bookmarkEnd w:id="18"/>
      <w:bookmarkEnd w:id="19"/>
      <w:bookmarkEnd w:id="20"/>
      <w:bookmarkEnd w:id="21"/>
      <w:bookmarkEnd w:id="22"/>
      <w:r w:rsidR="00D26672" w:rsidRPr="00872D32">
        <w:rPr>
          <w:rFonts w:ascii="Arial" w:hAnsi="Arial" w:cs="Arial"/>
          <w:noProof/>
          <w:sz w:val="24"/>
          <w:szCs w:val="24"/>
        </w:rPr>
        <w:fldChar w:fldCharType="begin"/>
      </w:r>
      <w:r w:rsidR="00D26672" w:rsidRPr="00872D32">
        <w:rPr>
          <w:rFonts w:ascii="Arial" w:hAnsi="Arial" w:cs="Arial"/>
          <w:noProof/>
          <w:sz w:val="24"/>
          <w:szCs w:val="24"/>
        </w:rPr>
        <w:instrText xml:space="preserve"> TOC \o "1-4" \h \z \u </w:instrText>
      </w:r>
      <w:r w:rsidR="00D26672" w:rsidRPr="00872D32">
        <w:rPr>
          <w:rFonts w:ascii="Arial" w:hAnsi="Arial" w:cs="Arial"/>
          <w:noProof/>
          <w:sz w:val="24"/>
          <w:szCs w:val="24"/>
        </w:rPr>
        <w:fldChar w:fldCharType="separate"/>
      </w:r>
    </w:p>
    <w:p w14:paraId="467DA325" w14:textId="4E1CDF7E" w:rsidR="00D46B7F" w:rsidRPr="00872D32" w:rsidRDefault="00000000" w:rsidP="00D46B7F">
      <w:pPr>
        <w:pStyle w:val="TOC2"/>
        <w:tabs>
          <w:tab w:val="right" w:leader="dot" w:pos="9350"/>
        </w:tabs>
        <w:spacing w:after="80"/>
        <w:rPr>
          <w:rFonts w:ascii="Arial" w:eastAsiaTheme="minorEastAsia" w:hAnsi="Arial" w:cs="Arial"/>
          <w:i w:val="0"/>
          <w:iCs w:val="0"/>
          <w:noProof/>
          <w:kern w:val="2"/>
          <w:sz w:val="32"/>
          <w:szCs w:val="32"/>
          <w:lang w:eastAsia="fr-CA"/>
          <w14:ligatures w14:val="standardContextual"/>
        </w:rPr>
      </w:pPr>
      <w:hyperlink w:anchor="_Toc217480173" w:history="1">
        <w:r w:rsidR="00D46B7F" w:rsidRPr="00872D32">
          <w:rPr>
            <w:rStyle w:val="Hyperlink"/>
            <w:rFonts w:ascii="Arial" w:hAnsi="Arial" w:cs="Arial"/>
            <w:i w:val="0"/>
            <w:iCs w:val="0"/>
            <w:noProof/>
            <w:sz w:val="24"/>
            <w:szCs w:val="24"/>
          </w:rPr>
          <w:t>Introduction</w:t>
        </w:r>
        <w:r w:rsidR="00D46B7F" w:rsidRPr="00872D32">
          <w:rPr>
            <w:rFonts w:ascii="Arial" w:hAnsi="Arial" w:cs="Arial"/>
            <w:i w:val="0"/>
            <w:iCs w:val="0"/>
            <w:noProof/>
            <w:webHidden/>
            <w:sz w:val="24"/>
            <w:szCs w:val="24"/>
          </w:rPr>
          <w:tab/>
        </w:r>
        <w:r w:rsidR="00D46B7F" w:rsidRPr="00872D32">
          <w:rPr>
            <w:rFonts w:ascii="Arial" w:hAnsi="Arial" w:cs="Arial"/>
            <w:i w:val="0"/>
            <w:iCs w:val="0"/>
            <w:noProof/>
            <w:webHidden/>
            <w:sz w:val="24"/>
            <w:szCs w:val="24"/>
          </w:rPr>
          <w:fldChar w:fldCharType="begin"/>
        </w:r>
        <w:r w:rsidR="00D46B7F" w:rsidRPr="00872D32">
          <w:rPr>
            <w:rFonts w:ascii="Arial" w:hAnsi="Arial" w:cs="Arial"/>
            <w:i w:val="0"/>
            <w:iCs w:val="0"/>
            <w:noProof/>
            <w:webHidden/>
            <w:sz w:val="24"/>
            <w:szCs w:val="24"/>
          </w:rPr>
          <w:instrText xml:space="preserve"> PAGEREF _Toc217480173 \h </w:instrText>
        </w:r>
        <w:r w:rsidR="00D46B7F" w:rsidRPr="00872D32">
          <w:rPr>
            <w:rFonts w:ascii="Arial" w:hAnsi="Arial" w:cs="Arial"/>
            <w:i w:val="0"/>
            <w:iCs w:val="0"/>
            <w:noProof/>
            <w:webHidden/>
            <w:sz w:val="24"/>
            <w:szCs w:val="24"/>
          </w:rPr>
        </w:r>
        <w:r w:rsidR="00D46B7F" w:rsidRPr="00872D32">
          <w:rPr>
            <w:rFonts w:ascii="Arial" w:hAnsi="Arial" w:cs="Arial"/>
            <w:i w:val="0"/>
            <w:iCs w:val="0"/>
            <w:noProof/>
            <w:webHidden/>
            <w:sz w:val="24"/>
            <w:szCs w:val="24"/>
          </w:rPr>
          <w:fldChar w:fldCharType="separate"/>
        </w:r>
        <w:r w:rsidR="002C5C01">
          <w:rPr>
            <w:rFonts w:ascii="Arial" w:hAnsi="Arial" w:cs="Arial"/>
            <w:i w:val="0"/>
            <w:iCs w:val="0"/>
            <w:noProof/>
            <w:webHidden/>
            <w:sz w:val="24"/>
            <w:szCs w:val="24"/>
          </w:rPr>
          <w:t>3</w:t>
        </w:r>
        <w:r w:rsidR="00D46B7F" w:rsidRPr="00872D32">
          <w:rPr>
            <w:rFonts w:ascii="Arial" w:hAnsi="Arial" w:cs="Arial"/>
            <w:i w:val="0"/>
            <w:iCs w:val="0"/>
            <w:noProof/>
            <w:webHidden/>
            <w:sz w:val="24"/>
            <w:szCs w:val="24"/>
          </w:rPr>
          <w:fldChar w:fldCharType="end"/>
        </w:r>
      </w:hyperlink>
    </w:p>
    <w:p w14:paraId="5CE8A425" w14:textId="44FDB9DD" w:rsidR="00D46B7F" w:rsidRPr="00872D32" w:rsidRDefault="00000000" w:rsidP="00D46B7F">
      <w:pPr>
        <w:pStyle w:val="TOC2"/>
        <w:tabs>
          <w:tab w:val="right" w:leader="dot" w:pos="9350"/>
        </w:tabs>
        <w:spacing w:after="80"/>
        <w:rPr>
          <w:rFonts w:ascii="Arial" w:eastAsiaTheme="minorEastAsia" w:hAnsi="Arial" w:cs="Arial"/>
          <w:i w:val="0"/>
          <w:iCs w:val="0"/>
          <w:noProof/>
          <w:kern w:val="2"/>
          <w:sz w:val="32"/>
          <w:szCs w:val="32"/>
          <w:lang w:eastAsia="fr-CA"/>
          <w14:ligatures w14:val="standardContextual"/>
        </w:rPr>
      </w:pPr>
      <w:hyperlink w:anchor="_Toc217480174" w:history="1">
        <w:r w:rsidR="00D46B7F" w:rsidRPr="00872D32">
          <w:rPr>
            <w:rStyle w:val="Hyperlink"/>
            <w:rFonts w:ascii="Arial" w:hAnsi="Arial" w:cs="Arial"/>
            <w:i w:val="0"/>
            <w:iCs w:val="0"/>
            <w:noProof/>
            <w:sz w:val="24"/>
            <w:szCs w:val="24"/>
          </w:rPr>
          <w:t>About the OHRC</w:t>
        </w:r>
        <w:r w:rsidR="00D46B7F" w:rsidRPr="00872D32">
          <w:rPr>
            <w:rFonts w:ascii="Arial" w:hAnsi="Arial" w:cs="Arial"/>
            <w:i w:val="0"/>
            <w:iCs w:val="0"/>
            <w:noProof/>
            <w:webHidden/>
            <w:sz w:val="24"/>
            <w:szCs w:val="24"/>
          </w:rPr>
          <w:tab/>
        </w:r>
        <w:r w:rsidR="00D46B7F" w:rsidRPr="00872D32">
          <w:rPr>
            <w:rFonts w:ascii="Arial" w:hAnsi="Arial" w:cs="Arial"/>
            <w:i w:val="0"/>
            <w:iCs w:val="0"/>
            <w:noProof/>
            <w:webHidden/>
            <w:sz w:val="24"/>
            <w:szCs w:val="24"/>
          </w:rPr>
          <w:fldChar w:fldCharType="begin"/>
        </w:r>
        <w:r w:rsidR="00D46B7F" w:rsidRPr="00872D32">
          <w:rPr>
            <w:rFonts w:ascii="Arial" w:hAnsi="Arial" w:cs="Arial"/>
            <w:i w:val="0"/>
            <w:iCs w:val="0"/>
            <w:noProof/>
            <w:webHidden/>
            <w:sz w:val="24"/>
            <w:szCs w:val="24"/>
          </w:rPr>
          <w:instrText xml:space="preserve"> PAGEREF _Toc217480174 \h </w:instrText>
        </w:r>
        <w:r w:rsidR="00D46B7F" w:rsidRPr="00872D32">
          <w:rPr>
            <w:rFonts w:ascii="Arial" w:hAnsi="Arial" w:cs="Arial"/>
            <w:i w:val="0"/>
            <w:iCs w:val="0"/>
            <w:noProof/>
            <w:webHidden/>
            <w:sz w:val="24"/>
            <w:szCs w:val="24"/>
          </w:rPr>
        </w:r>
        <w:r w:rsidR="00D46B7F" w:rsidRPr="00872D32">
          <w:rPr>
            <w:rFonts w:ascii="Arial" w:hAnsi="Arial" w:cs="Arial"/>
            <w:i w:val="0"/>
            <w:iCs w:val="0"/>
            <w:noProof/>
            <w:webHidden/>
            <w:sz w:val="24"/>
            <w:szCs w:val="24"/>
          </w:rPr>
          <w:fldChar w:fldCharType="separate"/>
        </w:r>
        <w:r w:rsidR="002C5C01">
          <w:rPr>
            <w:rFonts w:ascii="Arial" w:hAnsi="Arial" w:cs="Arial"/>
            <w:i w:val="0"/>
            <w:iCs w:val="0"/>
            <w:noProof/>
            <w:webHidden/>
            <w:sz w:val="24"/>
            <w:szCs w:val="24"/>
          </w:rPr>
          <w:t>4</w:t>
        </w:r>
        <w:r w:rsidR="00D46B7F" w:rsidRPr="00872D32">
          <w:rPr>
            <w:rFonts w:ascii="Arial" w:hAnsi="Arial" w:cs="Arial"/>
            <w:i w:val="0"/>
            <w:iCs w:val="0"/>
            <w:noProof/>
            <w:webHidden/>
            <w:sz w:val="24"/>
            <w:szCs w:val="24"/>
          </w:rPr>
          <w:fldChar w:fldCharType="end"/>
        </w:r>
      </w:hyperlink>
    </w:p>
    <w:p w14:paraId="63EE1A3F" w14:textId="0E118837" w:rsidR="00D46B7F" w:rsidRPr="00872D32" w:rsidRDefault="00000000" w:rsidP="00D46B7F">
      <w:pPr>
        <w:pStyle w:val="TOC2"/>
        <w:tabs>
          <w:tab w:val="right" w:leader="dot" w:pos="9350"/>
        </w:tabs>
        <w:spacing w:after="80"/>
        <w:rPr>
          <w:rFonts w:ascii="Arial" w:eastAsiaTheme="minorEastAsia" w:hAnsi="Arial" w:cs="Arial"/>
          <w:i w:val="0"/>
          <w:iCs w:val="0"/>
          <w:noProof/>
          <w:kern w:val="2"/>
          <w:sz w:val="32"/>
          <w:szCs w:val="32"/>
          <w:lang w:eastAsia="fr-CA"/>
          <w14:ligatures w14:val="standardContextual"/>
        </w:rPr>
      </w:pPr>
      <w:hyperlink w:anchor="_Toc217480175" w:history="1">
        <w:r w:rsidR="00D46B7F" w:rsidRPr="00872D32">
          <w:rPr>
            <w:rStyle w:val="Hyperlink"/>
            <w:rFonts w:ascii="Arial" w:hAnsi="Arial" w:cs="Arial"/>
            <w:i w:val="0"/>
            <w:iCs w:val="0"/>
            <w:noProof/>
            <w:sz w:val="24"/>
            <w:szCs w:val="24"/>
          </w:rPr>
          <w:t>About the Code</w:t>
        </w:r>
        <w:r w:rsidR="00D46B7F" w:rsidRPr="00872D32">
          <w:rPr>
            <w:rFonts w:ascii="Arial" w:hAnsi="Arial" w:cs="Arial"/>
            <w:i w:val="0"/>
            <w:iCs w:val="0"/>
            <w:noProof/>
            <w:webHidden/>
            <w:sz w:val="24"/>
            <w:szCs w:val="24"/>
          </w:rPr>
          <w:tab/>
        </w:r>
        <w:r w:rsidR="00D46B7F" w:rsidRPr="00872D32">
          <w:rPr>
            <w:rFonts w:ascii="Arial" w:hAnsi="Arial" w:cs="Arial"/>
            <w:i w:val="0"/>
            <w:iCs w:val="0"/>
            <w:noProof/>
            <w:webHidden/>
            <w:sz w:val="24"/>
            <w:szCs w:val="24"/>
          </w:rPr>
          <w:fldChar w:fldCharType="begin"/>
        </w:r>
        <w:r w:rsidR="00D46B7F" w:rsidRPr="00872D32">
          <w:rPr>
            <w:rFonts w:ascii="Arial" w:hAnsi="Arial" w:cs="Arial"/>
            <w:i w:val="0"/>
            <w:iCs w:val="0"/>
            <w:noProof/>
            <w:webHidden/>
            <w:sz w:val="24"/>
            <w:szCs w:val="24"/>
          </w:rPr>
          <w:instrText xml:space="preserve"> PAGEREF _Toc217480175 \h </w:instrText>
        </w:r>
        <w:r w:rsidR="00D46B7F" w:rsidRPr="00872D32">
          <w:rPr>
            <w:rFonts w:ascii="Arial" w:hAnsi="Arial" w:cs="Arial"/>
            <w:i w:val="0"/>
            <w:iCs w:val="0"/>
            <w:noProof/>
            <w:webHidden/>
            <w:sz w:val="24"/>
            <w:szCs w:val="24"/>
          </w:rPr>
        </w:r>
        <w:r w:rsidR="00D46B7F" w:rsidRPr="00872D32">
          <w:rPr>
            <w:rFonts w:ascii="Arial" w:hAnsi="Arial" w:cs="Arial"/>
            <w:i w:val="0"/>
            <w:iCs w:val="0"/>
            <w:noProof/>
            <w:webHidden/>
            <w:sz w:val="24"/>
            <w:szCs w:val="24"/>
          </w:rPr>
          <w:fldChar w:fldCharType="separate"/>
        </w:r>
        <w:r w:rsidR="002C5C01">
          <w:rPr>
            <w:rFonts w:ascii="Arial" w:hAnsi="Arial" w:cs="Arial"/>
            <w:i w:val="0"/>
            <w:iCs w:val="0"/>
            <w:noProof/>
            <w:webHidden/>
            <w:sz w:val="24"/>
            <w:szCs w:val="24"/>
          </w:rPr>
          <w:t>4</w:t>
        </w:r>
        <w:r w:rsidR="00D46B7F" w:rsidRPr="00872D32">
          <w:rPr>
            <w:rFonts w:ascii="Arial" w:hAnsi="Arial" w:cs="Arial"/>
            <w:i w:val="0"/>
            <w:iCs w:val="0"/>
            <w:noProof/>
            <w:webHidden/>
            <w:sz w:val="24"/>
            <w:szCs w:val="24"/>
          </w:rPr>
          <w:fldChar w:fldCharType="end"/>
        </w:r>
      </w:hyperlink>
    </w:p>
    <w:p w14:paraId="4071D7ED" w14:textId="65EBF4BA" w:rsidR="00D46B7F" w:rsidRPr="00872D32" w:rsidRDefault="00000000" w:rsidP="00D46B7F">
      <w:pPr>
        <w:pStyle w:val="TOC2"/>
        <w:tabs>
          <w:tab w:val="right" w:leader="dot" w:pos="9350"/>
        </w:tabs>
        <w:spacing w:after="80"/>
        <w:rPr>
          <w:rFonts w:ascii="Arial" w:eastAsiaTheme="minorEastAsia" w:hAnsi="Arial" w:cs="Arial"/>
          <w:i w:val="0"/>
          <w:iCs w:val="0"/>
          <w:noProof/>
          <w:kern w:val="2"/>
          <w:sz w:val="32"/>
          <w:szCs w:val="32"/>
          <w:lang w:eastAsia="fr-CA"/>
          <w14:ligatures w14:val="standardContextual"/>
        </w:rPr>
      </w:pPr>
      <w:hyperlink w:anchor="_Toc217480176" w:history="1">
        <w:r w:rsidR="00D46B7F" w:rsidRPr="00872D32">
          <w:rPr>
            <w:rStyle w:val="Hyperlink"/>
            <w:rFonts w:ascii="Arial" w:hAnsi="Arial" w:cs="Arial"/>
            <w:i w:val="0"/>
            <w:iCs w:val="0"/>
            <w:noProof/>
            <w:sz w:val="24"/>
            <w:szCs w:val="24"/>
          </w:rPr>
          <w:t>Anti-Indigenous discrimination</w:t>
        </w:r>
        <w:r w:rsidR="00D46B7F" w:rsidRPr="00872D32">
          <w:rPr>
            <w:rFonts w:ascii="Arial" w:hAnsi="Arial" w:cs="Arial"/>
            <w:i w:val="0"/>
            <w:iCs w:val="0"/>
            <w:noProof/>
            <w:webHidden/>
            <w:sz w:val="24"/>
            <w:szCs w:val="24"/>
          </w:rPr>
          <w:tab/>
        </w:r>
        <w:r w:rsidR="00D46B7F" w:rsidRPr="00872D32">
          <w:rPr>
            <w:rFonts w:ascii="Arial" w:hAnsi="Arial" w:cs="Arial"/>
            <w:i w:val="0"/>
            <w:iCs w:val="0"/>
            <w:noProof/>
            <w:webHidden/>
            <w:sz w:val="24"/>
            <w:szCs w:val="24"/>
          </w:rPr>
          <w:fldChar w:fldCharType="begin"/>
        </w:r>
        <w:r w:rsidR="00D46B7F" w:rsidRPr="00872D32">
          <w:rPr>
            <w:rFonts w:ascii="Arial" w:hAnsi="Arial" w:cs="Arial"/>
            <w:i w:val="0"/>
            <w:iCs w:val="0"/>
            <w:noProof/>
            <w:webHidden/>
            <w:sz w:val="24"/>
            <w:szCs w:val="24"/>
          </w:rPr>
          <w:instrText xml:space="preserve"> PAGEREF _Toc217480176 \h </w:instrText>
        </w:r>
        <w:r w:rsidR="00D46B7F" w:rsidRPr="00872D32">
          <w:rPr>
            <w:rFonts w:ascii="Arial" w:hAnsi="Arial" w:cs="Arial"/>
            <w:i w:val="0"/>
            <w:iCs w:val="0"/>
            <w:noProof/>
            <w:webHidden/>
            <w:sz w:val="24"/>
            <w:szCs w:val="24"/>
          </w:rPr>
        </w:r>
        <w:r w:rsidR="00D46B7F" w:rsidRPr="00872D32">
          <w:rPr>
            <w:rFonts w:ascii="Arial" w:hAnsi="Arial" w:cs="Arial"/>
            <w:i w:val="0"/>
            <w:iCs w:val="0"/>
            <w:noProof/>
            <w:webHidden/>
            <w:sz w:val="24"/>
            <w:szCs w:val="24"/>
          </w:rPr>
          <w:fldChar w:fldCharType="separate"/>
        </w:r>
        <w:r w:rsidR="002C5C01">
          <w:rPr>
            <w:rFonts w:ascii="Arial" w:hAnsi="Arial" w:cs="Arial"/>
            <w:i w:val="0"/>
            <w:iCs w:val="0"/>
            <w:noProof/>
            <w:webHidden/>
            <w:sz w:val="24"/>
            <w:szCs w:val="24"/>
          </w:rPr>
          <w:t>5</w:t>
        </w:r>
        <w:r w:rsidR="00D46B7F" w:rsidRPr="00872D32">
          <w:rPr>
            <w:rFonts w:ascii="Arial" w:hAnsi="Arial" w:cs="Arial"/>
            <w:i w:val="0"/>
            <w:iCs w:val="0"/>
            <w:noProof/>
            <w:webHidden/>
            <w:sz w:val="24"/>
            <w:szCs w:val="24"/>
          </w:rPr>
          <w:fldChar w:fldCharType="end"/>
        </w:r>
      </w:hyperlink>
    </w:p>
    <w:p w14:paraId="6A756E4B" w14:textId="39D5103D"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77" w:history="1">
        <w:r w:rsidR="00D46B7F" w:rsidRPr="00872D32">
          <w:rPr>
            <w:rStyle w:val="Hyperlink"/>
            <w:rFonts w:ascii="Arial" w:hAnsi="Arial" w:cs="Arial"/>
            <w:noProof/>
            <w:sz w:val="24"/>
            <w:szCs w:val="24"/>
          </w:rPr>
          <w:t>Addressing the over-representation of Indigenous children in child welfare</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_Toc217480177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6</w:t>
        </w:r>
        <w:r w:rsidR="00D46B7F" w:rsidRPr="00872D32">
          <w:rPr>
            <w:rFonts w:ascii="Arial" w:hAnsi="Arial" w:cs="Arial"/>
            <w:noProof/>
            <w:webHidden/>
            <w:sz w:val="24"/>
            <w:szCs w:val="24"/>
          </w:rPr>
          <w:fldChar w:fldCharType="end"/>
        </w:r>
      </w:hyperlink>
    </w:p>
    <w:p w14:paraId="36153339" w14:textId="73A7142D"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78" w:history="1">
        <w:r w:rsidR="00D46B7F" w:rsidRPr="00872D32">
          <w:rPr>
            <w:rStyle w:val="Hyperlink"/>
            <w:rFonts w:ascii="Arial" w:hAnsi="Arial" w:cs="Arial"/>
            <w:noProof/>
            <w:sz w:val="24"/>
            <w:szCs w:val="24"/>
          </w:rPr>
          <w:t>Combatting anti-Indigenous discrimination in healthcare</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_Toc217480178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8</w:t>
        </w:r>
        <w:r w:rsidR="00D46B7F" w:rsidRPr="00872D32">
          <w:rPr>
            <w:rFonts w:ascii="Arial" w:hAnsi="Arial" w:cs="Arial"/>
            <w:noProof/>
            <w:webHidden/>
            <w:sz w:val="24"/>
            <w:szCs w:val="24"/>
          </w:rPr>
          <w:fldChar w:fldCharType="end"/>
        </w:r>
      </w:hyperlink>
    </w:p>
    <w:p w14:paraId="665AF4D6" w14:textId="51310E77"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79" w:history="1">
        <w:r w:rsidR="00D46B7F" w:rsidRPr="00872D32">
          <w:rPr>
            <w:rStyle w:val="Hyperlink"/>
            <w:rFonts w:ascii="Arial" w:hAnsi="Arial" w:cs="Arial"/>
            <w:noProof/>
            <w:sz w:val="24"/>
            <w:szCs w:val="24"/>
          </w:rPr>
          <w:t>Combatting anti-Indigenous discrimination in retail settings</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_Toc217480179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8</w:t>
        </w:r>
        <w:r w:rsidR="00D46B7F" w:rsidRPr="00872D32">
          <w:rPr>
            <w:rFonts w:ascii="Arial" w:hAnsi="Arial" w:cs="Arial"/>
            <w:noProof/>
            <w:webHidden/>
            <w:sz w:val="24"/>
            <w:szCs w:val="24"/>
          </w:rPr>
          <w:fldChar w:fldCharType="end"/>
        </w:r>
      </w:hyperlink>
    </w:p>
    <w:p w14:paraId="4A6F9B7F" w14:textId="4E579CFD"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80" w:history="1">
        <w:r w:rsidR="00D46B7F" w:rsidRPr="00872D32">
          <w:rPr>
            <w:rStyle w:val="Hyperlink"/>
            <w:rFonts w:ascii="Arial" w:hAnsi="Arial" w:cs="Arial"/>
            <w:noProof/>
            <w:sz w:val="24"/>
            <w:szCs w:val="24"/>
          </w:rPr>
          <w:t>Indigenous perspectives on Ontario’s human rights system</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_Toc217480180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9</w:t>
        </w:r>
        <w:r w:rsidR="00D46B7F" w:rsidRPr="00872D32">
          <w:rPr>
            <w:rFonts w:ascii="Arial" w:hAnsi="Arial" w:cs="Arial"/>
            <w:noProof/>
            <w:webHidden/>
            <w:sz w:val="24"/>
            <w:szCs w:val="24"/>
          </w:rPr>
          <w:fldChar w:fldCharType="end"/>
        </w:r>
      </w:hyperlink>
    </w:p>
    <w:p w14:paraId="36AD243D" w14:textId="3BAC2C07"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81" w:history="1">
        <w:r w:rsidR="00D46B7F" w:rsidRPr="00872D32">
          <w:rPr>
            <w:rStyle w:val="Hyperlink"/>
            <w:rFonts w:ascii="Arial" w:hAnsi="Arial" w:cs="Arial"/>
            <w:noProof/>
            <w:sz w:val="24"/>
            <w:szCs w:val="24"/>
          </w:rPr>
          <w:t>Acknowledging recent reports of unmarked graves</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_Toc217480181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10</w:t>
        </w:r>
        <w:r w:rsidR="00D46B7F" w:rsidRPr="00872D32">
          <w:rPr>
            <w:rFonts w:ascii="Arial" w:hAnsi="Arial" w:cs="Arial"/>
            <w:noProof/>
            <w:webHidden/>
            <w:sz w:val="24"/>
            <w:szCs w:val="24"/>
          </w:rPr>
          <w:fldChar w:fldCharType="end"/>
        </w:r>
      </w:hyperlink>
    </w:p>
    <w:p w14:paraId="2B540E7B" w14:textId="223C1651" w:rsidR="00D46B7F" w:rsidRPr="00872D32" w:rsidRDefault="00000000" w:rsidP="00D46B7F">
      <w:pPr>
        <w:pStyle w:val="TOC2"/>
        <w:tabs>
          <w:tab w:val="right" w:leader="dot" w:pos="9350"/>
        </w:tabs>
        <w:spacing w:after="80"/>
        <w:rPr>
          <w:rFonts w:ascii="Arial" w:eastAsiaTheme="minorEastAsia" w:hAnsi="Arial" w:cs="Arial"/>
          <w:i w:val="0"/>
          <w:iCs w:val="0"/>
          <w:noProof/>
          <w:kern w:val="2"/>
          <w:sz w:val="32"/>
          <w:szCs w:val="32"/>
          <w:lang w:eastAsia="fr-CA"/>
          <w14:ligatures w14:val="standardContextual"/>
        </w:rPr>
      </w:pPr>
      <w:hyperlink w:anchor="_Toc217480182" w:history="1">
        <w:r w:rsidR="00D46B7F" w:rsidRPr="00872D32">
          <w:rPr>
            <w:rStyle w:val="Hyperlink"/>
            <w:rFonts w:ascii="Arial" w:hAnsi="Arial" w:cs="Arial"/>
            <w:i w:val="0"/>
            <w:iCs w:val="0"/>
            <w:noProof/>
            <w:sz w:val="24"/>
            <w:szCs w:val="24"/>
          </w:rPr>
          <w:t>Criminal justice</w:t>
        </w:r>
        <w:r w:rsidR="00D46B7F" w:rsidRPr="00872D32">
          <w:rPr>
            <w:rFonts w:ascii="Arial" w:hAnsi="Arial" w:cs="Arial"/>
            <w:i w:val="0"/>
            <w:iCs w:val="0"/>
            <w:noProof/>
            <w:webHidden/>
            <w:sz w:val="24"/>
            <w:szCs w:val="24"/>
          </w:rPr>
          <w:tab/>
        </w:r>
        <w:r w:rsidR="00D46B7F" w:rsidRPr="00872D32">
          <w:rPr>
            <w:rFonts w:ascii="Arial" w:hAnsi="Arial" w:cs="Arial"/>
            <w:i w:val="0"/>
            <w:iCs w:val="0"/>
            <w:noProof/>
            <w:webHidden/>
            <w:sz w:val="24"/>
            <w:szCs w:val="24"/>
          </w:rPr>
          <w:fldChar w:fldCharType="begin"/>
        </w:r>
        <w:r w:rsidR="00D46B7F" w:rsidRPr="00872D32">
          <w:rPr>
            <w:rFonts w:ascii="Arial" w:hAnsi="Arial" w:cs="Arial"/>
            <w:i w:val="0"/>
            <w:iCs w:val="0"/>
            <w:noProof/>
            <w:webHidden/>
            <w:sz w:val="24"/>
            <w:szCs w:val="24"/>
          </w:rPr>
          <w:instrText xml:space="preserve"> PAGEREF _Toc217480182 \h </w:instrText>
        </w:r>
        <w:r w:rsidR="00D46B7F" w:rsidRPr="00872D32">
          <w:rPr>
            <w:rFonts w:ascii="Arial" w:hAnsi="Arial" w:cs="Arial"/>
            <w:i w:val="0"/>
            <w:iCs w:val="0"/>
            <w:noProof/>
            <w:webHidden/>
            <w:sz w:val="24"/>
            <w:szCs w:val="24"/>
          </w:rPr>
        </w:r>
        <w:r w:rsidR="00D46B7F" w:rsidRPr="00872D32">
          <w:rPr>
            <w:rFonts w:ascii="Arial" w:hAnsi="Arial" w:cs="Arial"/>
            <w:i w:val="0"/>
            <w:iCs w:val="0"/>
            <w:noProof/>
            <w:webHidden/>
            <w:sz w:val="24"/>
            <w:szCs w:val="24"/>
          </w:rPr>
          <w:fldChar w:fldCharType="separate"/>
        </w:r>
        <w:r w:rsidR="002C5C01">
          <w:rPr>
            <w:rFonts w:ascii="Arial" w:hAnsi="Arial" w:cs="Arial"/>
            <w:i w:val="0"/>
            <w:iCs w:val="0"/>
            <w:noProof/>
            <w:webHidden/>
            <w:sz w:val="24"/>
            <w:szCs w:val="24"/>
          </w:rPr>
          <w:t>10</w:t>
        </w:r>
        <w:r w:rsidR="00D46B7F" w:rsidRPr="00872D32">
          <w:rPr>
            <w:rFonts w:ascii="Arial" w:hAnsi="Arial" w:cs="Arial"/>
            <w:i w:val="0"/>
            <w:iCs w:val="0"/>
            <w:noProof/>
            <w:webHidden/>
            <w:sz w:val="24"/>
            <w:szCs w:val="24"/>
          </w:rPr>
          <w:fldChar w:fldCharType="end"/>
        </w:r>
      </w:hyperlink>
    </w:p>
    <w:p w14:paraId="52BC41C0" w14:textId="3F0F2CB4"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83" w:history="1">
        <w:r w:rsidR="00D46B7F" w:rsidRPr="00872D32">
          <w:rPr>
            <w:rStyle w:val="Hyperlink"/>
            <w:rFonts w:ascii="Arial" w:hAnsi="Arial" w:cs="Arial"/>
            <w:noProof/>
            <w:sz w:val="24"/>
            <w:szCs w:val="24"/>
          </w:rPr>
          <w:t>Policing</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_Toc217480183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11</w:t>
        </w:r>
        <w:r w:rsidR="00D46B7F" w:rsidRPr="00872D32">
          <w:rPr>
            <w:rFonts w:ascii="Arial" w:hAnsi="Arial" w:cs="Arial"/>
            <w:noProof/>
            <w:webHidden/>
            <w:sz w:val="24"/>
            <w:szCs w:val="24"/>
          </w:rPr>
          <w:fldChar w:fldCharType="end"/>
        </w:r>
      </w:hyperlink>
    </w:p>
    <w:p w14:paraId="1B333E04" w14:textId="34C06495" w:rsidR="00D46B7F" w:rsidRPr="00872D32" w:rsidRDefault="00000000" w:rsidP="00D46B7F">
      <w:pPr>
        <w:pStyle w:val="TOC4"/>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84" w:history="1">
        <w:r w:rsidR="00D46B7F" w:rsidRPr="00872D32">
          <w:rPr>
            <w:rStyle w:val="Hyperlink"/>
            <w:rFonts w:ascii="Arial" w:hAnsi="Arial" w:cs="Arial"/>
            <w:noProof/>
            <w:sz w:val="24"/>
            <w:szCs w:val="24"/>
          </w:rPr>
          <w:t>Eliminating racial profiling in law enforcement</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_Toc217480184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11</w:t>
        </w:r>
        <w:r w:rsidR="00D46B7F" w:rsidRPr="00872D32">
          <w:rPr>
            <w:rFonts w:ascii="Arial" w:hAnsi="Arial" w:cs="Arial"/>
            <w:noProof/>
            <w:webHidden/>
            <w:sz w:val="24"/>
            <w:szCs w:val="24"/>
          </w:rPr>
          <w:fldChar w:fldCharType="end"/>
        </w:r>
      </w:hyperlink>
    </w:p>
    <w:p w14:paraId="17DEDC13" w14:textId="6CF27EF4" w:rsidR="00D46B7F" w:rsidRPr="00872D32" w:rsidRDefault="00000000" w:rsidP="00D46B7F">
      <w:pPr>
        <w:pStyle w:val="TOC4"/>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85" w:history="1">
        <w:r w:rsidR="00D46B7F" w:rsidRPr="00872D32">
          <w:rPr>
            <w:rStyle w:val="Hyperlink"/>
            <w:rFonts w:ascii="Arial" w:hAnsi="Arial" w:cs="Arial"/>
            <w:noProof/>
            <w:sz w:val="24"/>
            <w:szCs w:val="24"/>
          </w:rPr>
          <w:t>Public inquiry into the Toronto Police Service (TPS)</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_Toc217480185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12</w:t>
        </w:r>
        <w:r w:rsidR="00D46B7F" w:rsidRPr="00872D32">
          <w:rPr>
            <w:rFonts w:ascii="Arial" w:hAnsi="Arial" w:cs="Arial"/>
            <w:noProof/>
            <w:webHidden/>
            <w:sz w:val="24"/>
            <w:szCs w:val="24"/>
          </w:rPr>
          <w:fldChar w:fldCharType="end"/>
        </w:r>
      </w:hyperlink>
    </w:p>
    <w:p w14:paraId="5BAD765B" w14:textId="74B22B19" w:rsidR="00D46B7F" w:rsidRPr="00872D32" w:rsidRDefault="00000000" w:rsidP="00D46B7F">
      <w:pPr>
        <w:pStyle w:val="TOC4"/>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86" w:history="1">
        <w:r w:rsidR="00D46B7F" w:rsidRPr="00872D32">
          <w:rPr>
            <w:rStyle w:val="Hyperlink"/>
            <w:rFonts w:ascii="Arial" w:hAnsi="Arial" w:cs="Arial"/>
            <w:noProof/>
            <w:sz w:val="24"/>
            <w:szCs w:val="24"/>
          </w:rPr>
          <w:t>Peel Regional Police (PRP) Human Rights Project</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_Toc217480186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13</w:t>
        </w:r>
        <w:r w:rsidR="00D46B7F" w:rsidRPr="00872D32">
          <w:rPr>
            <w:rFonts w:ascii="Arial" w:hAnsi="Arial" w:cs="Arial"/>
            <w:noProof/>
            <w:webHidden/>
            <w:sz w:val="24"/>
            <w:szCs w:val="24"/>
          </w:rPr>
          <w:fldChar w:fldCharType="end"/>
        </w:r>
      </w:hyperlink>
    </w:p>
    <w:p w14:paraId="28A25667" w14:textId="4B23FA11" w:rsidR="00D46B7F" w:rsidRPr="00872D32" w:rsidRDefault="00000000" w:rsidP="00D46B7F">
      <w:pPr>
        <w:pStyle w:val="TOC4"/>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87" w:history="1">
        <w:r w:rsidR="00D46B7F" w:rsidRPr="00872D32">
          <w:rPr>
            <w:rStyle w:val="Hyperlink"/>
            <w:rFonts w:ascii="Arial" w:hAnsi="Arial" w:cs="Arial"/>
            <w:noProof/>
            <w:sz w:val="24"/>
            <w:szCs w:val="24"/>
          </w:rPr>
          <w:t>Use of force</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_Toc217480187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14</w:t>
        </w:r>
        <w:r w:rsidR="00D46B7F" w:rsidRPr="00872D32">
          <w:rPr>
            <w:rFonts w:ascii="Arial" w:hAnsi="Arial" w:cs="Arial"/>
            <w:noProof/>
            <w:webHidden/>
            <w:sz w:val="24"/>
            <w:szCs w:val="24"/>
          </w:rPr>
          <w:fldChar w:fldCharType="end"/>
        </w:r>
      </w:hyperlink>
    </w:p>
    <w:p w14:paraId="76D982FC" w14:textId="307DA2AF"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88" w:history="1">
        <w:r w:rsidR="00D46B7F" w:rsidRPr="00872D32">
          <w:rPr>
            <w:rStyle w:val="Hyperlink"/>
            <w:rFonts w:ascii="Arial" w:hAnsi="Arial" w:cs="Arial"/>
            <w:noProof/>
            <w:sz w:val="24"/>
            <w:szCs w:val="24"/>
          </w:rPr>
          <w:t>Corrections</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_Toc217480188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15</w:t>
        </w:r>
        <w:r w:rsidR="00D46B7F" w:rsidRPr="00872D32">
          <w:rPr>
            <w:rFonts w:ascii="Arial" w:hAnsi="Arial" w:cs="Arial"/>
            <w:noProof/>
            <w:webHidden/>
            <w:sz w:val="24"/>
            <w:szCs w:val="24"/>
          </w:rPr>
          <w:fldChar w:fldCharType="end"/>
        </w:r>
      </w:hyperlink>
    </w:p>
    <w:p w14:paraId="1182E806" w14:textId="31C6FE1F" w:rsidR="00D46B7F" w:rsidRPr="00872D32" w:rsidRDefault="00000000" w:rsidP="00D46B7F">
      <w:pPr>
        <w:pStyle w:val="TOC4"/>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89" w:history="1">
        <w:r w:rsidR="00D46B7F" w:rsidRPr="00872D32">
          <w:rPr>
            <w:rStyle w:val="Hyperlink"/>
            <w:rFonts w:ascii="Arial" w:hAnsi="Arial" w:cs="Arial"/>
            <w:noProof/>
            <w:sz w:val="24"/>
            <w:szCs w:val="24"/>
          </w:rPr>
          <w:t>Solitary confinement</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_Toc217480189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15</w:t>
        </w:r>
        <w:r w:rsidR="00D46B7F" w:rsidRPr="00872D32">
          <w:rPr>
            <w:rFonts w:ascii="Arial" w:hAnsi="Arial" w:cs="Arial"/>
            <w:noProof/>
            <w:webHidden/>
            <w:sz w:val="24"/>
            <w:szCs w:val="24"/>
          </w:rPr>
          <w:fldChar w:fldCharType="end"/>
        </w:r>
      </w:hyperlink>
    </w:p>
    <w:p w14:paraId="660BE600" w14:textId="1F70D0C7" w:rsidR="00D46B7F" w:rsidRPr="00872D32" w:rsidRDefault="00000000" w:rsidP="00D46B7F">
      <w:pPr>
        <w:pStyle w:val="TOC4"/>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90" w:history="1">
        <w:r w:rsidR="00D46B7F" w:rsidRPr="00872D32">
          <w:rPr>
            <w:rStyle w:val="Hyperlink"/>
            <w:rFonts w:ascii="Arial" w:hAnsi="Arial" w:cs="Arial"/>
            <w:noProof/>
            <w:sz w:val="24"/>
            <w:szCs w:val="24"/>
          </w:rPr>
          <w:t>Conditions in prisons</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_Toc217480190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16</w:t>
        </w:r>
        <w:r w:rsidR="00D46B7F" w:rsidRPr="00872D32">
          <w:rPr>
            <w:rFonts w:ascii="Arial" w:hAnsi="Arial" w:cs="Arial"/>
            <w:noProof/>
            <w:webHidden/>
            <w:sz w:val="24"/>
            <w:szCs w:val="24"/>
          </w:rPr>
          <w:fldChar w:fldCharType="end"/>
        </w:r>
      </w:hyperlink>
    </w:p>
    <w:p w14:paraId="71837433" w14:textId="65B80BBB"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91" w:history="1">
        <w:r w:rsidR="00D46B7F" w:rsidRPr="00872D32">
          <w:rPr>
            <w:rStyle w:val="Hyperlink"/>
            <w:rFonts w:ascii="Arial" w:hAnsi="Arial" w:cs="Arial"/>
            <w:noProof/>
            <w:sz w:val="24"/>
            <w:szCs w:val="24"/>
          </w:rPr>
          <w:t>Hate</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_Toc217480191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17</w:t>
        </w:r>
        <w:r w:rsidR="00D46B7F" w:rsidRPr="00872D32">
          <w:rPr>
            <w:rFonts w:ascii="Arial" w:hAnsi="Arial" w:cs="Arial"/>
            <w:noProof/>
            <w:webHidden/>
            <w:sz w:val="24"/>
            <w:szCs w:val="24"/>
          </w:rPr>
          <w:fldChar w:fldCharType="end"/>
        </w:r>
      </w:hyperlink>
    </w:p>
    <w:p w14:paraId="5B0DBF70" w14:textId="0D29D6A2"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92" w:history="1">
        <w:r w:rsidR="00D46B7F" w:rsidRPr="00872D32">
          <w:rPr>
            <w:rStyle w:val="Hyperlink"/>
            <w:rFonts w:ascii="Arial" w:hAnsi="Arial" w:cs="Arial"/>
            <w:noProof/>
            <w:sz w:val="24"/>
            <w:szCs w:val="24"/>
          </w:rPr>
          <w:t>Artificial intelligence</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_Toc217480192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18</w:t>
        </w:r>
        <w:r w:rsidR="00D46B7F" w:rsidRPr="00872D32">
          <w:rPr>
            <w:rFonts w:ascii="Arial" w:hAnsi="Arial" w:cs="Arial"/>
            <w:noProof/>
            <w:webHidden/>
            <w:sz w:val="24"/>
            <w:szCs w:val="24"/>
          </w:rPr>
          <w:fldChar w:fldCharType="end"/>
        </w:r>
      </w:hyperlink>
    </w:p>
    <w:p w14:paraId="39760FB8" w14:textId="63EF9D00" w:rsidR="00D46B7F" w:rsidRPr="00872D32" w:rsidRDefault="00000000" w:rsidP="00D46B7F">
      <w:pPr>
        <w:pStyle w:val="TOC2"/>
        <w:tabs>
          <w:tab w:val="right" w:leader="dot" w:pos="9350"/>
        </w:tabs>
        <w:spacing w:after="80"/>
        <w:rPr>
          <w:rFonts w:ascii="Arial" w:eastAsiaTheme="minorEastAsia" w:hAnsi="Arial" w:cs="Arial"/>
          <w:i w:val="0"/>
          <w:iCs w:val="0"/>
          <w:noProof/>
          <w:kern w:val="2"/>
          <w:sz w:val="32"/>
          <w:szCs w:val="32"/>
          <w:lang w:eastAsia="fr-CA"/>
          <w14:ligatures w14:val="standardContextual"/>
        </w:rPr>
      </w:pPr>
      <w:hyperlink w:anchor="_Toc217480193" w:history="1">
        <w:r w:rsidR="00D46B7F" w:rsidRPr="00872D32">
          <w:rPr>
            <w:rStyle w:val="Hyperlink"/>
            <w:rFonts w:ascii="Arial" w:hAnsi="Arial" w:cs="Arial"/>
            <w:i w:val="0"/>
            <w:iCs w:val="0"/>
            <w:noProof/>
            <w:sz w:val="24"/>
            <w:szCs w:val="24"/>
          </w:rPr>
          <w:t>Gender-based violence</w:t>
        </w:r>
        <w:r w:rsidR="00D46B7F" w:rsidRPr="00872D32">
          <w:rPr>
            <w:rFonts w:ascii="Arial" w:hAnsi="Arial" w:cs="Arial"/>
            <w:i w:val="0"/>
            <w:iCs w:val="0"/>
            <w:noProof/>
            <w:webHidden/>
            <w:sz w:val="24"/>
            <w:szCs w:val="24"/>
          </w:rPr>
          <w:tab/>
        </w:r>
        <w:r w:rsidR="00D46B7F" w:rsidRPr="00872D32">
          <w:rPr>
            <w:rFonts w:ascii="Arial" w:hAnsi="Arial" w:cs="Arial"/>
            <w:i w:val="0"/>
            <w:iCs w:val="0"/>
            <w:noProof/>
            <w:webHidden/>
            <w:sz w:val="24"/>
            <w:szCs w:val="24"/>
          </w:rPr>
          <w:fldChar w:fldCharType="begin"/>
        </w:r>
        <w:r w:rsidR="00D46B7F" w:rsidRPr="00872D32">
          <w:rPr>
            <w:rFonts w:ascii="Arial" w:hAnsi="Arial" w:cs="Arial"/>
            <w:i w:val="0"/>
            <w:iCs w:val="0"/>
            <w:noProof/>
            <w:webHidden/>
            <w:sz w:val="24"/>
            <w:szCs w:val="24"/>
          </w:rPr>
          <w:instrText xml:space="preserve"> PAGEREF _Toc217480193 \h </w:instrText>
        </w:r>
        <w:r w:rsidR="00D46B7F" w:rsidRPr="00872D32">
          <w:rPr>
            <w:rFonts w:ascii="Arial" w:hAnsi="Arial" w:cs="Arial"/>
            <w:i w:val="0"/>
            <w:iCs w:val="0"/>
            <w:noProof/>
            <w:webHidden/>
            <w:sz w:val="24"/>
            <w:szCs w:val="24"/>
          </w:rPr>
        </w:r>
        <w:r w:rsidR="00D46B7F" w:rsidRPr="00872D32">
          <w:rPr>
            <w:rFonts w:ascii="Arial" w:hAnsi="Arial" w:cs="Arial"/>
            <w:i w:val="0"/>
            <w:iCs w:val="0"/>
            <w:noProof/>
            <w:webHidden/>
            <w:sz w:val="24"/>
            <w:szCs w:val="24"/>
          </w:rPr>
          <w:fldChar w:fldCharType="separate"/>
        </w:r>
        <w:r w:rsidR="002C5C01">
          <w:rPr>
            <w:rFonts w:ascii="Arial" w:hAnsi="Arial" w:cs="Arial"/>
            <w:i w:val="0"/>
            <w:iCs w:val="0"/>
            <w:noProof/>
            <w:webHidden/>
            <w:sz w:val="24"/>
            <w:szCs w:val="24"/>
          </w:rPr>
          <w:t>19</w:t>
        </w:r>
        <w:r w:rsidR="00D46B7F" w:rsidRPr="00872D32">
          <w:rPr>
            <w:rFonts w:ascii="Arial" w:hAnsi="Arial" w:cs="Arial"/>
            <w:i w:val="0"/>
            <w:iCs w:val="0"/>
            <w:noProof/>
            <w:webHidden/>
            <w:sz w:val="24"/>
            <w:szCs w:val="24"/>
          </w:rPr>
          <w:fldChar w:fldCharType="end"/>
        </w:r>
      </w:hyperlink>
    </w:p>
    <w:p w14:paraId="0145CC21" w14:textId="36F1DA05"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94" w:history="1">
        <w:r w:rsidR="00D46B7F" w:rsidRPr="00872D32">
          <w:rPr>
            <w:rStyle w:val="Hyperlink"/>
            <w:rFonts w:ascii="Arial" w:hAnsi="Arial" w:cs="Arial"/>
            <w:noProof/>
            <w:sz w:val="24"/>
            <w:szCs w:val="24"/>
          </w:rPr>
          <w:t>Indigenous women, girls, two-spirit and gender non-conforming people</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_Toc217480194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20</w:t>
        </w:r>
        <w:r w:rsidR="00D46B7F" w:rsidRPr="00872D32">
          <w:rPr>
            <w:rFonts w:ascii="Arial" w:hAnsi="Arial" w:cs="Arial"/>
            <w:noProof/>
            <w:webHidden/>
            <w:sz w:val="24"/>
            <w:szCs w:val="24"/>
          </w:rPr>
          <w:fldChar w:fldCharType="end"/>
        </w:r>
      </w:hyperlink>
    </w:p>
    <w:p w14:paraId="6DB4CFFF" w14:textId="207C9064"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95" w:history="1">
        <w:r w:rsidR="00D46B7F" w:rsidRPr="00872D32">
          <w:rPr>
            <w:rStyle w:val="Hyperlink"/>
            <w:rFonts w:ascii="Arial" w:hAnsi="Arial" w:cs="Arial"/>
            <w:noProof/>
            <w:sz w:val="24"/>
            <w:szCs w:val="24"/>
          </w:rPr>
          <w:t>Women, girls, and gender non-conforming people with disabilities</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_Toc217480195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20</w:t>
        </w:r>
        <w:r w:rsidR="00D46B7F" w:rsidRPr="00872D32">
          <w:rPr>
            <w:rFonts w:ascii="Arial" w:hAnsi="Arial" w:cs="Arial"/>
            <w:noProof/>
            <w:webHidden/>
            <w:sz w:val="24"/>
            <w:szCs w:val="24"/>
          </w:rPr>
          <w:fldChar w:fldCharType="end"/>
        </w:r>
      </w:hyperlink>
    </w:p>
    <w:p w14:paraId="4C9C6AD0" w14:textId="2D6469ED"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96" w:history="1">
        <w:r w:rsidR="00D46B7F" w:rsidRPr="00872D32">
          <w:rPr>
            <w:rStyle w:val="Hyperlink"/>
            <w:rFonts w:ascii="Arial" w:hAnsi="Arial" w:cs="Arial"/>
            <w:noProof/>
            <w:sz w:val="24"/>
            <w:szCs w:val="24"/>
          </w:rPr>
          <w:t>Poverty and sexual and gender-based harassment</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_Toc217480196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21</w:t>
        </w:r>
        <w:r w:rsidR="00D46B7F" w:rsidRPr="00872D32">
          <w:rPr>
            <w:rFonts w:ascii="Arial" w:hAnsi="Arial" w:cs="Arial"/>
            <w:noProof/>
            <w:webHidden/>
            <w:sz w:val="24"/>
            <w:szCs w:val="24"/>
          </w:rPr>
          <w:fldChar w:fldCharType="end"/>
        </w:r>
      </w:hyperlink>
    </w:p>
    <w:p w14:paraId="27BA98A3" w14:textId="495BA738" w:rsidR="00D46B7F" w:rsidRPr="00872D32" w:rsidRDefault="00000000" w:rsidP="00D46B7F">
      <w:pPr>
        <w:pStyle w:val="TOC2"/>
        <w:tabs>
          <w:tab w:val="right" w:leader="dot" w:pos="9350"/>
        </w:tabs>
        <w:spacing w:after="80"/>
        <w:rPr>
          <w:rFonts w:ascii="Arial" w:eastAsiaTheme="minorEastAsia" w:hAnsi="Arial" w:cs="Arial"/>
          <w:i w:val="0"/>
          <w:iCs w:val="0"/>
          <w:noProof/>
          <w:kern w:val="2"/>
          <w:sz w:val="32"/>
          <w:szCs w:val="32"/>
          <w:lang w:eastAsia="fr-CA"/>
          <w14:ligatures w14:val="standardContextual"/>
        </w:rPr>
      </w:pPr>
      <w:hyperlink w:anchor="_Toc217480197" w:history="1">
        <w:r w:rsidR="00D46B7F" w:rsidRPr="00872D32">
          <w:rPr>
            <w:rStyle w:val="Hyperlink"/>
            <w:rFonts w:ascii="Arial" w:hAnsi="Arial" w:cs="Arial"/>
            <w:i w:val="0"/>
            <w:iCs w:val="0"/>
            <w:noProof/>
            <w:sz w:val="24"/>
            <w:szCs w:val="24"/>
          </w:rPr>
          <w:t>Creed</w:t>
        </w:r>
        <w:r w:rsidR="00D46B7F" w:rsidRPr="00872D32">
          <w:rPr>
            <w:rFonts w:ascii="Arial" w:hAnsi="Arial" w:cs="Arial"/>
            <w:i w:val="0"/>
            <w:iCs w:val="0"/>
            <w:noProof/>
            <w:webHidden/>
            <w:sz w:val="24"/>
            <w:szCs w:val="24"/>
          </w:rPr>
          <w:tab/>
        </w:r>
        <w:r w:rsidR="00D46B7F" w:rsidRPr="00872D32">
          <w:rPr>
            <w:rFonts w:ascii="Arial" w:hAnsi="Arial" w:cs="Arial"/>
            <w:i w:val="0"/>
            <w:iCs w:val="0"/>
            <w:noProof/>
            <w:webHidden/>
            <w:sz w:val="24"/>
            <w:szCs w:val="24"/>
          </w:rPr>
          <w:fldChar w:fldCharType="begin"/>
        </w:r>
        <w:r w:rsidR="00D46B7F" w:rsidRPr="00872D32">
          <w:rPr>
            <w:rFonts w:ascii="Arial" w:hAnsi="Arial" w:cs="Arial"/>
            <w:i w:val="0"/>
            <w:iCs w:val="0"/>
            <w:noProof/>
            <w:webHidden/>
            <w:sz w:val="24"/>
            <w:szCs w:val="24"/>
          </w:rPr>
          <w:instrText xml:space="preserve"> PAGEREF _Toc217480197 \h </w:instrText>
        </w:r>
        <w:r w:rsidR="00D46B7F" w:rsidRPr="00872D32">
          <w:rPr>
            <w:rFonts w:ascii="Arial" w:hAnsi="Arial" w:cs="Arial"/>
            <w:i w:val="0"/>
            <w:iCs w:val="0"/>
            <w:noProof/>
            <w:webHidden/>
            <w:sz w:val="24"/>
            <w:szCs w:val="24"/>
          </w:rPr>
        </w:r>
        <w:r w:rsidR="00D46B7F" w:rsidRPr="00872D32">
          <w:rPr>
            <w:rFonts w:ascii="Arial" w:hAnsi="Arial" w:cs="Arial"/>
            <w:i w:val="0"/>
            <w:iCs w:val="0"/>
            <w:noProof/>
            <w:webHidden/>
            <w:sz w:val="24"/>
            <w:szCs w:val="24"/>
          </w:rPr>
          <w:fldChar w:fldCharType="separate"/>
        </w:r>
        <w:r w:rsidR="002C5C01">
          <w:rPr>
            <w:rFonts w:ascii="Arial" w:hAnsi="Arial" w:cs="Arial"/>
            <w:i w:val="0"/>
            <w:iCs w:val="0"/>
            <w:noProof/>
            <w:webHidden/>
            <w:sz w:val="24"/>
            <w:szCs w:val="24"/>
          </w:rPr>
          <w:t>21</w:t>
        </w:r>
        <w:r w:rsidR="00D46B7F" w:rsidRPr="00872D32">
          <w:rPr>
            <w:rFonts w:ascii="Arial" w:hAnsi="Arial" w:cs="Arial"/>
            <w:i w:val="0"/>
            <w:iCs w:val="0"/>
            <w:noProof/>
            <w:webHidden/>
            <w:sz w:val="24"/>
            <w:szCs w:val="24"/>
          </w:rPr>
          <w:fldChar w:fldCharType="end"/>
        </w:r>
      </w:hyperlink>
    </w:p>
    <w:p w14:paraId="3C7E6E58" w14:textId="4A765DE8"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98" w:history="1">
        <w:r w:rsidR="00D46B7F" w:rsidRPr="00872D32">
          <w:rPr>
            <w:rStyle w:val="Hyperlink"/>
            <w:rFonts w:ascii="Arial" w:hAnsi="Arial" w:cs="Arial"/>
            <w:noProof/>
            <w:sz w:val="24"/>
            <w:szCs w:val="24"/>
          </w:rPr>
          <w:t>Religious accommodation in schools</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_Toc217480198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22</w:t>
        </w:r>
        <w:r w:rsidR="00D46B7F" w:rsidRPr="00872D32">
          <w:rPr>
            <w:rFonts w:ascii="Arial" w:hAnsi="Arial" w:cs="Arial"/>
            <w:noProof/>
            <w:webHidden/>
            <w:sz w:val="24"/>
            <w:szCs w:val="24"/>
          </w:rPr>
          <w:fldChar w:fldCharType="end"/>
        </w:r>
      </w:hyperlink>
    </w:p>
    <w:p w14:paraId="595C0A99" w14:textId="3511145E" w:rsidR="00D46B7F" w:rsidRPr="00872D32" w:rsidRDefault="00000000" w:rsidP="00D46B7F">
      <w:pPr>
        <w:pStyle w:val="TOC3"/>
        <w:tabs>
          <w:tab w:val="right" w:leader="dot" w:pos="9350"/>
        </w:tabs>
        <w:spacing w:after="80"/>
        <w:rPr>
          <w:rFonts w:ascii="Arial" w:eastAsiaTheme="minorEastAsia" w:hAnsi="Arial" w:cs="Arial"/>
          <w:noProof/>
          <w:kern w:val="2"/>
          <w:sz w:val="32"/>
          <w:szCs w:val="32"/>
          <w:lang w:eastAsia="fr-CA"/>
          <w14:ligatures w14:val="standardContextual"/>
        </w:rPr>
      </w:pPr>
      <w:hyperlink w:anchor="_Toc217480199" w:history="1">
        <w:r w:rsidR="00D46B7F" w:rsidRPr="00872D32">
          <w:rPr>
            <w:rStyle w:val="Hyperlink"/>
            <w:rFonts w:ascii="Arial" w:hAnsi="Arial" w:cs="Arial"/>
            <w:noProof/>
            <w:sz w:val="24"/>
            <w:szCs w:val="24"/>
          </w:rPr>
          <w:t>Caste-based discrimination</w:t>
        </w:r>
        <w:r w:rsidR="00D46B7F" w:rsidRPr="00872D32">
          <w:rPr>
            <w:rFonts w:ascii="Arial" w:hAnsi="Arial" w:cs="Arial"/>
            <w:noProof/>
            <w:webHidden/>
            <w:sz w:val="24"/>
            <w:szCs w:val="24"/>
          </w:rPr>
          <w:tab/>
        </w:r>
        <w:r w:rsidR="00D46B7F" w:rsidRPr="00872D32">
          <w:rPr>
            <w:rFonts w:ascii="Arial" w:hAnsi="Arial" w:cs="Arial"/>
            <w:noProof/>
            <w:webHidden/>
            <w:sz w:val="24"/>
            <w:szCs w:val="24"/>
          </w:rPr>
          <w:fldChar w:fldCharType="begin"/>
        </w:r>
        <w:r w:rsidR="00D46B7F" w:rsidRPr="00872D32">
          <w:rPr>
            <w:rFonts w:ascii="Arial" w:hAnsi="Arial" w:cs="Arial"/>
            <w:noProof/>
            <w:webHidden/>
            <w:sz w:val="24"/>
            <w:szCs w:val="24"/>
          </w:rPr>
          <w:instrText xml:space="preserve"> PAGEREF _Toc217480199 \h </w:instrText>
        </w:r>
        <w:r w:rsidR="00D46B7F" w:rsidRPr="00872D32">
          <w:rPr>
            <w:rFonts w:ascii="Arial" w:hAnsi="Arial" w:cs="Arial"/>
            <w:noProof/>
            <w:webHidden/>
            <w:sz w:val="24"/>
            <w:szCs w:val="24"/>
          </w:rPr>
        </w:r>
        <w:r w:rsidR="00D46B7F" w:rsidRPr="00872D32">
          <w:rPr>
            <w:rFonts w:ascii="Arial" w:hAnsi="Arial" w:cs="Arial"/>
            <w:noProof/>
            <w:webHidden/>
            <w:sz w:val="24"/>
            <w:szCs w:val="24"/>
          </w:rPr>
          <w:fldChar w:fldCharType="separate"/>
        </w:r>
        <w:r w:rsidR="002C5C01">
          <w:rPr>
            <w:rFonts w:ascii="Arial" w:hAnsi="Arial" w:cs="Arial"/>
            <w:noProof/>
            <w:webHidden/>
            <w:sz w:val="24"/>
            <w:szCs w:val="24"/>
          </w:rPr>
          <w:t>23</w:t>
        </w:r>
        <w:r w:rsidR="00D46B7F" w:rsidRPr="00872D32">
          <w:rPr>
            <w:rFonts w:ascii="Arial" w:hAnsi="Arial" w:cs="Arial"/>
            <w:noProof/>
            <w:webHidden/>
            <w:sz w:val="24"/>
            <w:szCs w:val="24"/>
          </w:rPr>
          <w:fldChar w:fldCharType="end"/>
        </w:r>
      </w:hyperlink>
    </w:p>
    <w:p w14:paraId="3B0F6740" w14:textId="40CF1F2C" w:rsidR="00D46B7F" w:rsidRPr="00872D32" w:rsidRDefault="00000000" w:rsidP="00D46B7F">
      <w:pPr>
        <w:pStyle w:val="TOC2"/>
        <w:tabs>
          <w:tab w:val="right" w:leader="dot" w:pos="9350"/>
        </w:tabs>
        <w:spacing w:after="80"/>
        <w:rPr>
          <w:rFonts w:ascii="Arial" w:eastAsiaTheme="minorEastAsia" w:hAnsi="Arial" w:cs="Arial"/>
          <w:i w:val="0"/>
          <w:iCs w:val="0"/>
          <w:noProof/>
          <w:kern w:val="2"/>
          <w:sz w:val="32"/>
          <w:szCs w:val="32"/>
          <w:lang w:eastAsia="fr-CA"/>
          <w14:ligatures w14:val="standardContextual"/>
        </w:rPr>
      </w:pPr>
      <w:hyperlink w:anchor="_Toc217480200" w:history="1">
        <w:r w:rsidR="00D46B7F" w:rsidRPr="00872D32">
          <w:rPr>
            <w:rStyle w:val="Hyperlink"/>
            <w:rFonts w:ascii="Arial" w:hAnsi="Arial" w:cs="Arial"/>
            <w:i w:val="0"/>
            <w:iCs w:val="0"/>
            <w:noProof/>
            <w:sz w:val="24"/>
            <w:szCs w:val="24"/>
          </w:rPr>
          <w:t>The impact of COVID-19 on human rights</w:t>
        </w:r>
        <w:r w:rsidR="00D46B7F" w:rsidRPr="00872D32">
          <w:rPr>
            <w:rFonts w:ascii="Arial" w:hAnsi="Arial" w:cs="Arial"/>
            <w:i w:val="0"/>
            <w:iCs w:val="0"/>
            <w:noProof/>
            <w:webHidden/>
            <w:sz w:val="24"/>
            <w:szCs w:val="24"/>
          </w:rPr>
          <w:tab/>
        </w:r>
        <w:r w:rsidR="00D46B7F" w:rsidRPr="00872D32">
          <w:rPr>
            <w:rFonts w:ascii="Arial" w:hAnsi="Arial" w:cs="Arial"/>
            <w:i w:val="0"/>
            <w:iCs w:val="0"/>
            <w:noProof/>
            <w:webHidden/>
            <w:sz w:val="24"/>
            <w:szCs w:val="24"/>
          </w:rPr>
          <w:fldChar w:fldCharType="begin"/>
        </w:r>
        <w:r w:rsidR="00D46B7F" w:rsidRPr="00872D32">
          <w:rPr>
            <w:rFonts w:ascii="Arial" w:hAnsi="Arial" w:cs="Arial"/>
            <w:i w:val="0"/>
            <w:iCs w:val="0"/>
            <w:noProof/>
            <w:webHidden/>
            <w:sz w:val="24"/>
            <w:szCs w:val="24"/>
          </w:rPr>
          <w:instrText xml:space="preserve"> PAGEREF _Toc217480200 \h </w:instrText>
        </w:r>
        <w:r w:rsidR="00D46B7F" w:rsidRPr="00872D32">
          <w:rPr>
            <w:rFonts w:ascii="Arial" w:hAnsi="Arial" w:cs="Arial"/>
            <w:i w:val="0"/>
            <w:iCs w:val="0"/>
            <w:noProof/>
            <w:webHidden/>
            <w:sz w:val="24"/>
            <w:szCs w:val="24"/>
          </w:rPr>
        </w:r>
        <w:r w:rsidR="00D46B7F" w:rsidRPr="00872D32">
          <w:rPr>
            <w:rFonts w:ascii="Arial" w:hAnsi="Arial" w:cs="Arial"/>
            <w:i w:val="0"/>
            <w:iCs w:val="0"/>
            <w:noProof/>
            <w:webHidden/>
            <w:sz w:val="24"/>
            <w:szCs w:val="24"/>
          </w:rPr>
          <w:fldChar w:fldCharType="separate"/>
        </w:r>
        <w:r w:rsidR="002C5C01">
          <w:rPr>
            <w:rFonts w:ascii="Arial" w:hAnsi="Arial" w:cs="Arial"/>
            <w:i w:val="0"/>
            <w:iCs w:val="0"/>
            <w:noProof/>
            <w:webHidden/>
            <w:sz w:val="24"/>
            <w:szCs w:val="24"/>
          </w:rPr>
          <w:t>23</w:t>
        </w:r>
        <w:r w:rsidR="00D46B7F" w:rsidRPr="00872D32">
          <w:rPr>
            <w:rFonts w:ascii="Arial" w:hAnsi="Arial" w:cs="Arial"/>
            <w:i w:val="0"/>
            <w:iCs w:val="0"/>
            <w:noProof/>
            <w:webHidden/>
            <w:sz w:val="24"/>
            <w:szCs w:val="24"/>
          </w:rPr>
          <w:fldChar w:fldCharType="end"/>
        </w:r>
      </w:hyperlink>
    </w:p>
    <w:p w14:paraId="58F8C9A8" w14:textId="79AC050C" w:rsidR="00D46B7F" w:rsidRPr="00872D32" w:rsidRDefault="00000000" w:rsidP="00D46B7F">
      <w:pPr>
        <w:pStyle w:val="TOC2"/>
        <w:tabs>
          <w:tab w:val="right" w:leader="dot" w:pos="9350"/>
        </w:tabs>
        <w:spacing w:after="80"/>
        <w:rPr>
          <w:rFonts w:ascii="Arial" w:eastAsiaTheme="minorEastAsia" w:hAnsi="Arial" w:cs="Arial"/>
          <w:i w:val="0"/>
          <w:iCs w:val="0"/>
          <w:noProof/>
          <w:kern w:val="2"/>
          <w:sz w:val="32"/>
          <w:szCs w:val="32"/>
          <w:lang w:eastAsia="fr-CA"/>
          <w14:ligatures w14:val="standardContextual"/>
        </w:rPr>
      </w:pPr>
      <w:hyperlink w:anchor="_Toc217480201" w:history="1">
        <w:r w:rsidR="00D46B7F" w:rsidRPr="00872D32">
          <w:rPr>
            <w:rStyle w:val="Hyperlink"/>
            <w:rFonts w:ascii="Arial" w:hAnsi="Arial" w:cs="Arial"/>
            <w:i w:val="0"/>
            <w:iCs w:val="0"/>
            <w:noProof/>
            <w:sz w:val="24"/>
            <w:szCs w:val="24"/>
          </w:rPr>
          <w:t xml:space="preserve">Encampments and shelters </w:t>
        </w:r>
        <w:r w:rsidR="00D46B7F" w:rsidRPr="00872D32">
          <w:rPr>
            <w:rFonts w:ascii="Arial" w:hAnsi="Arial" w:cs="Arial"/>
            <w:i w:val="0"/>
            <w:iCs w:val="0"/>
            <w:noProof/>
            <w:webHidden/>
            <w:sz w:val="24"/>
            <w:szCs w:val="24"/>
          </w:rPr>
          <w:tab/>
        </w:r>
        <w:r w:rsidR="00D46B7F" w:rsidRPr="00872D32">
          <w:rPr>
            <w:rFonts w:ascii="Arial" w:hAnsi="Arial" w:cs="Arial"/>
            <w:i w:val="0"/>
            <w:iCs w:val="0"/>
            <w:noProof/>
            <w:webHidden/>
            <w:sz w:val="24"/>
            <w:szCs w:val="24"/>
          </w:rPr>
          <w:fldChar w:fldCharType="begin"/>
        </w:r>
        <w:r w:rsidR="00D46B7F" w:rsidRPr="00872D32">
          <w:rPr>
            <w:rFonts w:ascii="Arial" w:hAnsi="Arial" w:cs="Arial"/>
            <w:i w:val="0"/>
            <w:iCs w:val="0"/>
            <w:noProof/>
            <w:webHidden/>
            <w:sz w:val="24"/>
            <w:szCs w:val="24"/>
          </w:rPr>
          <w:instrText xml:space="preserve"> PAGEREF _Toc217480201 \h </w:instrText>
        </w:r>
        <w:r w:rsidR="00D46B7F" w:rsidRPr="00872D32">
          <w:rPr>
            <w:rFonts w:ascii="Arial" w:hAnsi="Arial" w:cs="Arial"/>
            <w:i w:val="0"/>
            <w:iCs w:val="0"/>
            <w:noProof/>
            <w:webHidden/>
            <w:sz w:val="24"/>
            <w:szCs w:val="24"/>
          </w:rPr>
        </w:r>
        <w:r w:rsidR="00D46B7F" w:rsidRPr="00872D32">
          <w:rPr>
            <w:rFonts w:ascii="Arial" w:hAnsi="Arial" w:cs="Arial"/>
            <w:i w:val="0"/>
            <w:iCs w:val="0"/>
            <w:noProof/>
            <w:webHidden/>
            <w:sz w:val="24"/>
            <w:szCs w:val="24"/>
          </w:rPr>
          <w:fldChar w:fldCharType="separate"/>
        </w:r>
        <w:r w:rsidR="002C5C01">
          <w:rPr>
            <w:rFonts w:ascii="Arial" w:hAnsi="Arial" w:cs="Arial"/>
            <w:i w:val="0"/>
            <w:iCs w:val="0"/>
            <w:noProof/>
            <w:webHidden/>
            <w:sz w:val="24"/>
            <w:szCs w:val="24"/>
          </w:rPr>
          <w:t>25</w:t>
        </w:r>
        <w:r w:rsidR="00D46B7F" w:rsidRPr="00872D32">
          <w:rPr>
            <w:rFonts w:ascii="Arial" w:hAnsi="Arial" w:cs="Arial"/>
            <w:i w:val="0"/>
            <w:iCs w:val="0"/>
            <w:noProof/>
            <w:webHidden/>
            <w:sz w:val="24"/>
            <w:szCs w:val="24"/>
          </w:rPr>
          <w:fldChar w:fldCharType="end"/>
        </w:r>
      </w:hyperlink>
    </w:p>
    <w:p w14:paraId="68C0D404" w14:textId="04433C7A" w:rsidR="009C0299" w:rsidRPr="00872D32" w:rsidRDefault="00000000" w:rsidP="005444CD">
      <w:pPr>
        <w:pStyle w:val="TOC2"/>
        <w:tabs>
          <w:tab w:val="right" w:leader="dot" w:pos="9350"/>
        </w:tabs>
        <w:spacing w:after="80"/>
        <w:rPr>
          <w:rFonts w:ascii="Arial" w:hAnsi="Arial" w:cs="Arial"/>
          <w:i w:val="0"/>
          <w:iCs w:val="0"/>
          <w:sz w:val="24"/>
          <w:szCs w:val="24"/>
        </w:rPr>
      </w:pPr>
      <w:hyperlink w:anchor="_Toc217480202" w:history="1">
        <w:r w:rsidR="00D46B7F" w:rsidRPr="00872D32">
          <w:rPr>
            <w:rStyle w:val="Hyperlink"/>
            <w:rFonts w:ascii="Arial" w:hAnsi="Arial" w:cs="Arial"/>
            <w:i w:val="0"/>
            <w:iCs w:val="0"/>
            <w:noProof/>
            <w:sz w:val="24"/>
            <w:szCs w:val="24"/>
          </w:rPr>
          <w:t>Recommendations to the Committee</w:t>
        </w:r>
        <w:r w:rsidR="00D46B7F" w:rsidRPr="00872D32">
          <w:rPr>
            <w:rFonts w:ascii="Arial" w:hAnsi="Arial" w:cs="Arial"/>
            <w:i w:val="0"/>
            <w:iCs w:val="0"/>
            <w:noProof/>
            <w:webHidden/>
            <w:sz w:val="24"/>
            <w:szCs w:val="24"/>
          </w:rPr>
          <w:tab/>
        </w:r>
        <w:r w:rsidR="00D46B7F" w:rsidRPr="00872D32">
          <w:rPr>
            <w:rFonts w:ascii="Arial" w:hAnsi="Arial" w:cs="Arial"/>
            <w:i w:val="0"/>
            <w:iCs w:val="0"/>
            <w:noProof/>
            <w:webHidden/>
            <w:sz w:val="24"/>
            <w:szCs w:val="24"/>
          </w:rPr>
          <w:fldChar w:fldCharType="begin"/>
        </w:r>
        <w:r w:rsidR="00D46B7F" w:rsidRPr="00872D32">
          <w:rPr>
            <w:rFonts w:ascii="Arial" w:hAnsi="Arial" w:cs="Arial"/>
            <w:i w:val="0"/>
            <w:iCs w:val="0"/>
            <w:noProof/>
            <w:webHidden/>
            <w:sz w:val="24"/>
            <w:szCs w:val="24"/>
          </w:rPr>
          <w:instrText xml:space="preserve"> PAGEREF _Toc217480202 \h </w:instrText>
        </w:r>
        <w:r w:rsidR="00D46B7F" w:rsidRPr="00872D32">
          <w:rPr>
            <w:rFonts w:ascii="Arial" w:hAnsi="Arial" w:cs="Arial"/>
            <w:i w:val="0"/>
            <w:iCs w:val="0"/>
            <w:noProof/>
            <w:webHidden/>
            <w:sz w:val="24"/>
            <w:szCs w:val="24"/>
          </w:rPr>
        </w:r>
        <w:r w:rsidR="00D46B7F" w:rsidRPr="00872D32">
          <w:rPr>
            <w:rFonts w:ascii="Arial" w:hAnsi="Arial" w:cs="Arial"/>
            <w:i w:val="0"/>
            <w:iCs w:val="0"/>
            <w:noProof/>
            <w:webHidden/>
            <w:sz w:val="24"/>
            <w:szCs w:val="24"/>
          </w:rPr>
          <w:fldChar w:fldCharType="separate"/>
        </w:r>
        <w:r w:rsidR="002C5C01">
          <w:rPr>
            <w:rFonts w:ascii="Arial" w:hAnsi="Arial" w:cs="Arial"/>
            <w:i w:val="0"/>
            <w:iCs w:val="0"/>
            <w:noProof/>
            <w:webHidden/>
            <w:sz w:val="24"/>
            <w:szCs w:val="24"/>
          </w:rPr>
          <w:t>27</w:t>
        </w:r>
        <w:r w:rsidR="00D46B7F" w:rsidRPr="00872D32">
          <w:rPr>
            <w:rFonts w:ascii="Arial" w:hAnsi="Arial" w:cs="Arial"/>
            <w:i w:val="0"/>
            <w:iCs w:val="0"/>
            <w:noProof/>
            <w:webHidden/>
            <w:sz w:val="24"/>
            <w:szCs w:val="24"/>
          </w:rPr>
          <w:fldChar w:fldCharType="end"/>
        </w:r>
      </w:hyperlink>
      <w:r w:rsidR="00D26672" w:rsidRPr="00872D32">
        <w:rPr>
          <w:rFonts w:ascii="Arial" w:hAnsi="Arial" w:cs="Arial"/>
          <w:i w:val="0"/>
          <w:iCs w:val="0"/>
          <w:noProof/>
          <w:sz w:val="24"/>
          <w:szCs w:val="24"/>
        </w:rPr>
        <w:fldChar w:fldCharType="end"/>
      </w:r>
      <w:r w:rsidR="009C0299" w:rsidRPr="00872D32">
        <w:rPr>
          <w:rFonts w:ascii="Arial" w:hAnsi="Arial" w:cs="Arial"/>
          <w:i w:val="0"/>
          <w:iCs w:val="0"/>
          <w:sz w:val="24"/>
          <w:szCs w:val="24"/>
        </w:rPr>
        <w:br w:type="page"/>
      </w:r>
    </w:p>
    <w:p w14:paraId="71464A74" w14:textId="7747FB9C" w:rsidR="0035190C" w:rsidRPr="00872D32" w:rsidRDefault="0068402F" w:rsidP="0035190C">
      <w:pPr>
        <w:pStyle w:val="Heading2"/>
      </w:pPr>
      <w:bookmarkStart w:id="23" w:name="_Toc217480173"/>
      <w:r w:rsidRPr="00872D32">
        <w:lastRenderedPageBreak/>
        <w:t>Introduction</w:t>
      </w:r>
      <w:bookmarkEnd w:id="23"/>
    </w:p>
    <w:p w14:paraId="557159EF" w14:textId="1F7F335B" w:rsidR="002A4E0D" w:rsidRPr="00872D32" w:rsidRDefault="00F8615F" w:rsidP="0035190C">
      <w:pPr>
        <w:rPr>
          <w:rFonts w:cs="Arial"/>
        </w:rPr>
      </w:pPr>
      <w:r w:rsidRPr="00872D32">
        <w:rPr>
          <w:rFonts w:cs="Arial"/>
        </w:rPr>
        <w:t xml:space="preserve">The </w:t>
      </w:r>
      <w:hyperlink r:id="rId11" w:history="1">
        <w:r w:rsidRPr="00872D32">
          <w:rPr>
            <w:rStyle w:val="Hyperlink"/>
            <w:rFonts w:cs="Arial"/>
          </w:rPr>
          <w:t>Ontario Human Rights Commission</w:t>
        </w:r>
      </w:hyperlink>
      <w:r w:rsidRPr="00872D32">
        <w:rPr>
          <w:rFonts w:cs="Arial"/>
        </w:rPr>
        <w:t xml:space="preserve"> (OHRC) has prepared a submission to</w:t>
      </w:r>
      <w:r w:rsidR="00A667BF" w:rsidRPr="00872D32">
        <w:rPr>
          <w:rFonts w:cs="Arial"/>
        </w:rPr>
        <w:t xml:space="preserve"> the United Nations (UN) Human Rights Committee (</w:t>
      </w:r>
      <w:r w:rsidR="00CA4E70" w:rsidRPr="00872D32">
        <w:rPr>
          <w:rFonts w:cs="Arial"/>
        </w:rPr>
        <w:t>the Committee</w:t>
      </w:r>
      <w:r w:rsidR="00A667BF" w:rsidRPr="00872D32">
        <w:rPr>
          <w:rFonts w:cs="Arial"/>
        </w:rPr>
        <w:t>)</w:t>
      </w:r>
      <w:r w:rsidR="002A4E0D" w:rsidRPr="00872D32">
        <w:rPr>
          <w:rFonts w:cs="Arial"/>
        </w:rPr>
        <w:t>.</w:t>
      </w:r>
    </w:p>
    <w:p w14:paraId="7F217F15" w14:textId="0353BCC8" w:rsidR="002A4E0D" w:rsidRPr="00872D32" w:rsidRDefault="002A4E0D" w:rsidP="002A4E0D">
      <w:r w:rsidRPr="00872D32">
        <w:t xml:space="preserve">The OHRC provides periodic input to government and to UN human rights treaty bodies in parallel to Canada’s reporting obligations under various human rights instruments. The OHRC last made a </w:t>
      </w:r>
      <w:hyperlink r:id="rId12" w:history="1">
        <w:r w:rsidRPr="00872D32">
          <w:rPr>
            <w:rStyle w:val="Hyperlink"/>
          </w:rPr>
          <w:t>submission</w:t>
        </w:r>
      </w:hyperlink>
      <w:r w:rsidRPr="00872D32">
        <w:t xml:space="preserve"> to inform a periodic review of Canada’s international human rights obligations in 2023, for Canada’s review under the fourth cycle of the Universal Periodic Review (UPR). </w:t>
      </w:r>
    </w:p>
    <w:p w14:paraId="4FD49B5A" w14:textId="1F8C9832" w:rsidR="00C40ABA" w:rsidRPr="00872D32" w:rsidRDefault="00C40ABA" w:rsidP="00C40ABA">
      <w:r w:rsidRPr="00872D32">
        <w:rPr>
          <w:rFonts w:cs="Arial"/>
        </w:rPr>
        <w:t xml:space="preserve">This submission aims to inform the </w:t>
      </w:r>
      <w:r w:rsidR="002C7469" w:rsidRPr="00872D32">
        <w:rPr>
          <w:rFonts w:cs="Arial"/>
        </w:rPr>
        <w:t>Committee’</w:t>
      </w:r>
      <w:r w:rsidRPr="00872D32">
        <w:rPr>
          <w:rFonts w:cs="Arial"/>
        </w:rPr>
        <w:t>s review of Canada’s 7</w:t>
      </w:r>
      <w:r w:rsidRPr="00872D32">
        <w:rPr>
          <w:rFonts w:cs="Arial"/>
          <w:vertAlign w:val="superscript"/>
        </w:rPr>
        <w:t>th</w:t>
      </w:r>
      <w:r w:rsidRPr="00872D32">
        <w:rPr>
          <w:rFonts w:cs="Arial"/>
        </w:rPr>
        <w:t xml:space="preserve"> periodic report on its implementation of the </w:t>
      </w:r>
      <w:hyperlink r:id="rId13" w:tgtFrame="_blank" w:history="1">
        <w:r w:rsidRPr="00872D32">
          <w:rPr>
            <w:rStyle w:val="Hyperlink"/>
            <w:i/>
            <w:iCs/>
          </w:rPr>
          <w:t>International Covenant on Civil and Political Rights</w:t>
        </w:r>
      </w:hyperlink>
      <w:r w:rsidRPr="00872D32">
        <w:rPr>
          <w:i/>
          <w:iCs/>
        </w:rPr>
        <w:t xml:space="preserve"> </w:t>
      </w:r>
      <w:r w:rsidRPr="00872D32">
        <w:t xml:space="preserve">(the </w:t>
      </w:r>
      <w:r w:rsidRPr="00872D32">
        <w:rPr>
          <w:i/>
          <w:iCs/>
        </w:rPr>
        <w:t>Covenant</w:t>
      </w:r>
      <w:r w:rsidRPr="00872D32">
        <w:t xml:space="preserve">) and provide an overview of the human rights landscape in Ontario. Canada became a party to the </w:t>
      </w:r>
      <w:r w:rsidRPr="00872D32">
        <w:rPr>
          <w:i/>
          <w:iCs/>
        </w:rPr>
        <w:t xml:space="preserve">Covenant </w:t>
      </w:r>
      <w:r w:rsidRPr="00872D32">
        <w:t xml:space="preserve">in 1976 and is scheduled for review in March 2026, during the </w:t>
      </w:r>
      <w:r w:rsidR="00CA4E70" w:rsidRPr="00872D32">
        <w:t>Committee</w:t>
      </w:r>
      <w:r w:rsidRPr="00872D32">
        <w:t xml:space="preserve">’s </w:t>
      </w:r>
      <w:r w:rsidRPr="00872D32">
        <w:rPr>
          <w:rFonts w:cs="Arial"/>
        </w:rPr>
        <w:t>145</w:t>
      </w:r>
      <w:r w:rsidRPr="00872D32">
        <w:rPr>
          <w:rFonts w:cs="Arial"/>
          <w:vertAlign w:val="superscript"/>
        </w:rPr>
        <w:t>th</w:t>
      </w:r>
      <w:r w:rsidRPr="00872D32">
        <w:rPr>
          <w:rFonts w:cs="Arial"/>
        </w:rPr>
        <w:t xml:space="preserve"> session.</w:t>
      </w:r>
    </w:p>
    <w:p w14:paraId="009C5313" w14:textId="21C4BBD5" w:rsidR="00E229CE" w:rsidRPr="00872D32" w:rsidRDefault="00E229CE" w:rsidP="00E229CE">
      <w:pPr>
        <w:rPr>
          <w:rFonts w:cs="Arial"/>
        </w:rPr>
      </w:pPr>
      <w:r w:rsidRPr="00872D32">
        <w:rPr>
          <w:rFonts w:cs="Arial"/>
        </w:rPr>
        <w:t xml:space="preserve">Country reviews by UN treaty bodies, such as the </w:t>
      </w:r>
      <w:r w:rsidR="00C27114" w:rsidRPr="00872D32">
        <w:rPr>
          <w:rFonts w:cs="Arial"/>
        </w:rPr>
        <w:t>Committee</w:t>
      </w:r>
      <w:r w:rsidRPr="00872D32">
        <w:rPr>
          <w:rFonts w:cs="Arial"/>
        </w:rPr>
        <w:t>, are not only informed by periodic reports submitted by State Parties as part of their obligations, but also by submissions from other sources (e.g., community organizations, human rights agencies, etc.). These submissions provide information on a country’s human rights situation and help treaty bodies see a more complete picture of where progress has been made and where concerns persist</w:t>
      </w:r>
      <w:r w:rsidRPr="00872D32">
        <w:rPr>
          <w:rFonts w:cs="Arial"/>
          <w:bCs/>
        </w:rPr>
        <w:t>.</w:t>
      </w:r>
      <w:r w:rsidRPr="00872D32">
        <w:rPr>
          <w:rFonts w:cs="Arial"/>
        </w:rPr>
        <w:t xml:space="preserve"> </w:t>
      </w:r>
    </w:p>
    <w:p w14:paraId="2081B381" w14:textId="24DE3B22" w:rsidR="00A32D7A" w:rsidRPr="00872D32" w:rsidRDefault="00920B83" w:rsidP="00A32D7A">
      <w:r w:rsidRPr="00872D32">
        <w:t xml:space="preserve">Acknowledging the specific mandate of the Committee to monitor the implementation of the </w:t>
      </w:r>
      <w:r w:rsidRPr="00872D32">
        <w:rPr>
          <w:i/>
          <w:iCs/>
        </w:rPr>
        <w:t xml:space="preserve">Covenant </w:t>
      </w:r>
      <w:r w:rsidRPr="00872D32">
        <w:t xml:space="preserve">(and not the </w:t>
      </w:r>
      <w:r w:rsidRPr="00872D32">
        <w:rPr>
          <w:i/>
          <w:iCs/>
        </w:rPr>
        <w:t>International Covenant on Economic, Social, and Cultural Rights</w:t>
      </w:r>
      <w:r w:rsidRPr="00872D32">
        <w:t xml:space="preserve">; the </w:t>
      </w:r>
      <w:r w:rsidRPr="00872D32">
        <w:rPr>
          <w:i/>
          <w:iCs/>
        </w:rPr>
        <w:t>ICESCR</w:t>
      </w:r>
      <w:r w:rsidRPr="00872D32">
        <w:t xml:space="preserve">), the OHRC is only providing information about projects it has undertaken to combat systemic discrimination that are directly relevant to the </w:t>
      </w:r>
      <w:r w:rsidRPr="00872D32">
        <w:rPr>
          <w:i/>
          <w:iCs/>
        </w:rPr>
        <w:t>Covenant</w:t>
      </w:r>
      <w:r w:rsidR="00A16DCA" w:rsidRPr="00872D32">
        <w:rPr>
          <w:i/>
          <w:iCs/>
        </w:rPr>
        <w:t xml:space="preserve"> </w:t>
      </w:r>
      <w:r w:rsidRPr="00872D32">
        <w:t>and the</w:t>
      </w:r>
      <w:r w:rsidR="00E96248" w:rsidRPr="00872D32">
        <w:t xml:space="preserve"> </w:t>
      </w:r>
      <w:hyperlink r:id="rId14" w:history="1">
        <w:r w:rsidR="00E96248" w:rsidRPr="00872D32">
          <w:rPr>
            <w:rStyle w:val="Hyperlink"/>
          </w:rPr>
          <w:t>list of issues prior to reporting</w:t>
        </w:r>
      </w:hyperlink>
      <w:r w:rsidRPr="00872D32">
        <w:t xml:space="preserve"> </w:t>
      </w:r>
      <w:r w:rsidR="00E96248" w:rsidRPr="00872D32">
        <w:t>(</w:t>
      </w:r>
      <w:r w:rsidRPr="00872D32">
        <w:t>LOIPR</w:t>
      </w:r>
      <w:r w:rsidR="00E96248" w:rsidRPr="00872D32">
        <w:t>) identified by the Committee</w:t>
      </w:r>
      <w:r w:rsidRPr="00872D32">
        <w:t>.</w:t>
      </w:r>
      <w:r w:rsidR="00A32D7A" w:rsidRPr="00872D32">
        <w:t xml:space="preserve"> </w:t>
      </w:r>
    </w:p>
    <w:p w14:paraId="79548EB1" w14:textId="4A27BAB5" w:rsidR="00920B83" w:rsidRPr="00872D32" w:rsidRDefault="00A32D7A" w:rsidP="00920B83">
      <w:pPr>
        <w:rPr>
          <w:u w:val="single"/>
        </w:rPr>
      </w:pPr>
      <w:r w:rsidRPr="00872D32">
        <w:t>For greater clarity</w:t>
      </w:r>
      <w:r w:rsidR="00F613B0" w:rsidRPr="00872D32">
        <w:t>, the</w:t>
      </w:r>
      <w:r w:rsidRPr="00872D32">
        <w:t xml:space="preserve"> OHRC acknowledges that Article 26 of the </w:t>
      </w:r>
      <w:r w:rsidRPr="00872D32">
        <w:rPr>
          <w:i/>
          <w:iCs/>
        </w:rPr>
        <w:t xml:space="preserve">Covenant </w:t>
      </w:r>
      <w:r w:rsidR="00F613B0" w:rsidRPr="00872D32">
        <w:t xml:space="preserve">aligns with the full breadth of its mandate by </w:t>
      </w:r>
      <w:r w:rsidRPr="00872D32">
        <w:t>guarantee</w:t>
      </w:r>
      <w:r w:rsidR="00F613B0" w:rsidRPr="00872D32">
        <w:t>ing</w:t>
      </w:r>
      <w:r w:rsidRPr="00872D32">
        <w:t xml:space="preserve"> protection from discrimination</w:t>
      </w:r>
      <w:r w:rsidR="00B30A68" w:rsidRPr="00872D32">
        <w:t xml:space="preserve">. </w:t>
      </w:r>
      <w:r w:rsidR="00F613B0" w:rsidRPr="00872D32">
        <w:t xml:space="preserve">Nonetheless, </w:t>
      </w:r>
      <w:r w:rsidR="00577E9C" w:rsidRPr="00872D32">
        <w:t xml:space="preserve">the OHRC </w:t>
      </w:r>
      <w:r w:rsidR="0052542A" w:rsidRPr="00872D32">
        <w:t>is also aware that issues related to areas such as education</w:t>
      </w:r>
      <w:r w:rsidR="003B28B6" w:rsidRPr="00872D32">
        <w:t>,</w:t>
      </w:r>
      <w:r w:rsidR="0052542A" w:rsidRPr="00872D32">
        <w:t xml:space="preserve"> employment</w:t>
      </w:r>
      <w:r w:rsidR="003B28B6" w:rsidRPr="00872D32">
        <w:t>,</w:t>
      </w:r>
      <w:r w:rsidR="000606F0" w:rsidRPr="00872D32">
        <w:t xml:space="preserve"> </w:t>
      </w:r>
      <w:r w:rsidR="00C021CB" w:rsidRPr="00872D32">
        <w:t xml:space="preserve">the highest attainable standard of health, </w:t>
      </w:r>
      <w:r w:rsidR="006C2955" w:rsidRPr="00872D32">
        <w:t>and housing (</w:t>
      </w:r>
      <w:r w:rsidR="00687473" w:rsidRPr="00872D32">
        <w:t>except if related to the right to life)</w:t>
      </w:r>
      <w:r w:rsidR="0052542A" w:rsidRPr="00872D32">
        <w:t xml:space="preserve"> pertain </w:t>
      </w:r>
      <w:r w:rsidR="004B4F44" w:rsidRPr="00872D32">
        <w:t xml:space="preserve">specifically </w:t>
      </w:r>
      <w:r w:rsidR="0052542A" w:rsidRPr="00872D32">
        <w:t xml:space="preserve">to </w:t>
      </w:r>
      <w:r w:rsidR="0052542A" w:rsidRPr="00872D32">
        <w:rPr>
          <w:i/>
          <w:iCs/>
        </w:rPr>
        <w:t>ICESCR</w:t>
      </w:r>
      <w:r w:rsidR="004B4F44" w:rsidRPr="00872D32">
        <w:t xml:space="preserve"> protections</w:t>
      </w:r>
      <w:r w:rsidR="00592E58" w:rsidRPr="00872D32">
        <w:t>.</w:t>
      </w:r>
      <w:r w:rsidR="004B4F44" w:rsidRPr="00872D32">
        <w:t xml:space="preserve"> As such, </w:t>
      </w:r>
      <w:r w:rsidR="0099452A" w:rsidRPr="00872D32">
        <w:t>initiatives in those areas are not included</w:t>
      </w:r>
      <w:r w:rsidR="00592E58" w:rsidRPr="00872D32">
        <w:t xml:space="preserve"> </w:t>
      </w:r>
      <w:r w:rsidR="0099452A" w:rsidRPr="00872D32">
        <w:t xml:space="preserve">in this submission. </w:t>
      </w:r>
      <w:r w:rsidR="00583FE0" w:rsidRPr="00872D32">
        <w:t>Information about all OHRC</w:t>
      </w:r>
      <w:r w:rsidR="00427246" w:rsidRPr="00872D32">
        <w:t xml:space="preserve">’s activities is available on </w:t>
      </w:r>
      <w:r w:rsidR="004E7F70" w:rsidRPr="00872D32">
        <w:t xml:space="preserve">our </w:t>
      </w:r>
      <w:hyperlink r:id="rId15" w:history="1">
        <w:r w:rsidR="004E7F70" w:rsidRPr="00872D32">
          <w:rPr>
            <w:rStyle w:val="Hyperlink"/>
          </w:rPr>
          <w:t>website</w:t>
        </w:r>
      </w:hyperlink>
      <w:r w:rsidR="004E7F70" w:rsidRPr="00872D32">
        <w:t xml:space="preserve">. </w:t>
      </w:r>
      <w:r w:rsidR="005F312B" w:rsidRPr="00872D32">
        <w:t xml:space="preserve"> </w:t>
      </w:r>
    </w:p>
    <w:p w14:paraId="6E629DB0" w14:textId="70A11C2B" w:rsidR="000135CF" w:rsidRPr="00872D32" w:rsidRDefault="00BF5F0E" w:rsidP="0035190C">
      <w:pPr>
        <w:rPr>
          <w:i/>
          <w:iCs/>
        </w:rPr>
      </w:pPr>
      <w:r w:rsidRPr="00872D32">
        <w:t>The C</w:t>
      </w:r>
      <w:r w:rsidR="00852A44" w:rsidRPr="00872D32">
        <w:t xml:space="preserve">ommittee last reviewed Canada </w:t>
      </w:r>
      <w:r w:rsidR="00D83261" w:rsidRPr="00872D32">
        <w:t xml:space="preserve">in 2015 </w:t>
      </w:r>
      <w:r w:rsidR="00852A44" w:rsidRPr="00872D32">
        <w:t xml:space="preserve">for its sixth periodic reporting cycle under the </w:t>
      </w:r>
      <w:r w:rsidR="00852A44" w:rsidRPr="00872D32">
        <w:rPr>
          <w:i/>
          <w:iCs/>
        </w:rPr>
        <w:t>Covenant</w:t>
      </w:r>
      <w:r w:rsidRPr="00872D32">
        <w:t xml:space="preserve">. </w:t>
      </w:r>
      <w:r w:rsidR="00E229CE" w:rsidRPr="00872D32">
        <w:t xml:space="preserve">In this submission, the OHRC highlights </w:t>
      </w:r>
      <w:r w:rsidR="00AC6734" w:rsidRPr="00872D32">
        <w:t xml:space="preserve">human rights issues of continuing </w:t>
      </w:r>
      <w:r w:rsidR="00B15057" w:rsidRPr="00872D32">
        <w:t xml:space="preserve">and emerging </w:t>
      </w:r>
      <w:r w:rsidR="00AC6734" w:rsidRPr="00872D32">
        <w:t xml:space="preserve">concern since this date. This </w:t>
      </w:r>
      <w:r w:rsidR="005F2E30" w:rsidRPr="00872D32">
        <w:t xml:space="preserve">submission also highlights </w:t>
      </w:r>
      <w:r w:rsidR="0090557F" w:rsidRPr="00872D32">
        <w:t xml:space="preserve">the OHRC’s </w:t>
      </w:r>
      <w:r w:rsidR="005F2E30" w:rsidRPr="00872D32">
        <w:t xml:space="preserve">work </w:t>
      </w:r>
      <w:r w:rsidR="00E229CE" w:rsidRPr="00872D32">
        <w:t xml:space="preserve">to protect and promote </w:t>
      </w:r>
      <w:r w:rsidR="00D9656D" w:rsidRPr="00872D32">
        <w:t xml:space="preserve">the right to be free from discrimination </w:t>
      </w:r>
      <w:r w:rsidR="00E229CE" w:rsidRPr="00872D32">
        <w:t xml:space="preserve">under </w:t>
      </w:r>
      <w:r w:rsidR="0040300A" w:rsidRPr="00872D32">
        <w:t xml:space="preserve">the Ontario </w:t>
      </w:r>
      <w:hyperlink r:id="rId16" w:history="1">
        <w:r w:rsidR="0040300A" w:rsidRPr="00872D32">
          <w:rPr>
            <w:rStyle w:val="Hyperlink"/>
            <w:i/>
            <w:iCs/>
          </w:rPr>
          <w:t>Human Rights</w:t>
        </w:r>
        <w:r w:rsidR="00E229CE" w:rsidRPr="00872D32">
          <w:rPr>
            <w:rStyle w:val="Hyperlink"/>
          </w:rPr>
          <w:t xml:space="preserve"> </w:t>
        </w:r>
        <w:r w:rsidR="00E229CE" w:rsidRPr="00872D32">
          <w:rPr>
            <w:rStyle w:val="Hyperlink"/>
            <w:i/>
            <w:iCs/>
          </w:rPr>
          <w:t>Code</w:t>
        </w:r>
      </w:hyperlink>
      <w:r w:rsidR="0040300A" w:rsidRPr="00872D32">
        <w:rPr>
          <w:i/>
          <w:iCs/>
        </w:rPr>
        <w:t xml:space="preserve"> </w:t>
      </w:r>
      <w:r w:rsidR="0040300A" w:rsidRPr="00872D32">
        <w:t>(</w:t>
      </w:r>
      <w:r w:rsidR="000E7624" w:rsidRPr="00872D32">
        <w:t xml:space="preserve">the </w:t>
      </w:r>
      <w:r w:rsidR="0040300A" w:rsidRPr="00872D32">
        <w:rPr>
          <w:i/>
          <w:iCs/>
        </w:rPr>
        <w:t>Code</w:t>
      </w:r>
      <w:r w:rsidR="0040300A" w:rsidRPr="00872D32">
        <w:t>)</w:t>
      </w:r>
      <w:r w:rsidR="0090557F" w:rsidRPr="00872D32">
        <w:t xml:space="preserve"> </w:t>
      </w:r>
      <w:r w:rsidR="00441B15" w:rsidRPr="00872D32">
        <w:t>with respect to the following areas</w:t>
      </w:r>
      <w:r w:rsidR="0090557F" w:rsidRPr="00872D32">
        <w:t xml:space="preserve">: </w:t>
      </w:r>
    </w:p>
    <w:p w14:paraId="10F984F4" w14:textId="77777777" w:rsidR="00733A62" w:rsidRPr="00872D32" w:rsidRDefault="00733A62" w:rsidP="00733A62">
      <w:pPr>
        <w:pStyle w:val="ListParagraph"/>
        <w:numPr>
          <w:ilvl w:val="0"/>
          <w:numId w:val="10"/>
        </w:numPr>
        <w:rPr>
          <w:rFonts w:cs="Arial"/>
        </w:rPr>
      </w:pPr>
      <w:r w:rsidRPr="00872D32">
        <w:rPr>
          <w:rFonts w:cs="Arial"/>
        </w:rPr>
        <w:t>anti-Indigenous discrimination</w:t>
      </w:r>
    </w:p>
    <w:p w14:paraId="5D938D91" w14:textId="7CBF994F" w:rsidR="00686C19" w:rsidRPr="00872D32" w:rsidRDefault="00980066" w:rsidP="005F20B7">
      <w:pPr>
        <w:pStyle w:val="ListParagraph"/>
        <w:numPr>
          <w:ilvl w:val="0"/>
          <w:numId w:val="10"/>
        </w:numPr>
        <w:rPr>
          <w:rFonts w:cs="Arial"/>
        </w:rPr>
      </w:pPr>
      <w:r w:rsidRPr="00872D32">
        <w:rPr>
          <w:rFonts w:cs="Arial"/>
        </w:rPr>
        <w:lastRenderedPageBreak/>
        <w:t>criminal justice</w:t>
      </w:r>
    </w:p>
    <w:p w14:paraId="5914B557" w14:textId="0488849E" w:rsidR="002A1127" w:rsidRPr="00872D32" w:rsidRDefault="00613334" w:rsidP="003E45DC">
      <w:pPr>
        <w:pStyle w:val="ListParagraph"/>
        <w:numPr>
          <w:ilvl w:val="0"/>
          <w:numId w:val="10"/>
        </w:numPr>
        <w:rPr>
          <w:rFonts w:cs="Arial"/>
        </w:rPr>
      </w:pPr>
      <w:r w:rsidRPr="00872D32">
        <w:rPr>
          <w:rFonts w:cs="Arial"/>
        </w:rPr>
        <w:t>gender-based violence</w:t>
      </w:r>
      <w:r w:rsidR="0038709F" w:rsidRPr="00872D32">
        <w:rPr>
          <w:rFonts w:cs="Arial"/>
        </w:rPr>
        <w:t xml:space="preserve"> </w:t>
      </w:r>
    </w:p>
    <w:p w14:paraId="65E74E1E" w14:textId="14EE6DD3" w:rsidR="00D576DC" w:rsidRPr="00872D32" w:rsidRDefault="00D576DC" w:rsidP="005F20B7">
      <w:pPr>
        <w:pStyle w:val="ListParagraph"/>
        <w:numPr>
          <w:ilvl w:val="0"/>
          <w:numId w:val="10"/>
        </w:numPr>
        <w:rPr>
          <w:rFonts w:cs="Arial"/>
        </w:rPr>
      </w:pPr>
      <w:r w:rsidRPr="00872D32">
        <w:rPr>
          <w:rFonts w:cs="Arial"/>
        </w:rPr>
        <w:t>creed</w:t>
      </w:r>
    </w:p>
    <w:p w14:paraId="7E25EC0E" w14:textId="12477E65" w:rsidR="000135CF" w:rsidRPr="00872D32" w:rsidRDefault="003E45DC" w:rsidP="005F20B7">
      <w:pPr>
        <w:pStyle w:val="ListParagraph"/>
        <w:numPr>
          <w:ilvl w:val="0"/>
          <w:numId w:val="10"/>
        </w:numPr>
        <w:rPr>
          <w:rFonts w:cs="Arial"/>
        </w:rPr>
      </w:pPr>
      <w:r w:rsidRPr="00872D32">
        <w:rPr>
          <w:rFonts w:cs="Arial"/>
        </w:rPr>
        <w:t>encampments</w:t>
      </w:r>
      <w:r w:rsidR="00BB2625" w:rsidRPr="00872D32">
        <w:rPr>
          <w:rFonts w:cs="Arial"/>
        </w:rPr>
        <w:t xml:space="preserve"> and shelte</w:t>
      </w:r>
      <w:r w:rsidR="00D46B7F" w:rsidRPr="00872D32">
        <w:rPr>
          <w:rFonts w:cs="Arial"/>
        </w:rPr>
        <w:t>rs</w:t>
      </w:r>
      <w:r w:rsidRPr="00872D32">
        <w:rPr>
          <w:rFonts w:cs="Arial"/>
        </w:rPr>
        <w:t>.</w:t>
      </w:r>
      <w:r w:rsidR="00264CD5" w:rsidRPr="00872D32">
        <w:rPr>
          <w:rFonts w:cs="Arial"/>
        </w:rPr>
        <w:t xml:space="preserve"> </w:t>
      </w:r>
    </w:p>
    <w:bookmarkEnd w:id="0"/>
    <w:p w14:paraId="56BAE62A" w14:textId="1EB69E58" w:rsidR="00A96E24" w:rsidRPr="00872D32" w:rsidRDefault="00A96E24" w:rsidP="00D33075">
      <w:pPr>
        <w:rPr>
          <w:rFonts w:cs="Arial"/>
        </w:rPr>
      </w:pPr>
      <w:r w:rsidRPr="00872D32">
        <w:rPr>
          <w:rFonts w:cs="Arial"/>
        </w:rPr>
        <w:t xml:space="preserve">These </w:t>
      </w:r>
      <w:r w:rsidR="00266D6E" w:rsidRPr="00872D32">
        <w:rPr>
          <w:rFonts w:cs="Arial"/>
        </w:rPr>
        <w:t xml:space="preserve">thematic </w:t>
      </w:r>
      <w:r w:rsidRPr="00872D32">
        <w:rPr>
          <w:rFonts w:cs="Arial"/>
        </w:rPr>
        <w:t xml:space="preserve">areas of focus align with the </w:t>
      </w:r>
      <w:r w:rsidR="00C93D12" w:rsidRPr="00872D32">
        <w:rPr>
          <w:rFonts w:cs="Arial"/>
        </w:rPr>
        <w:t xml:space="preserve">OHRC’s </w:t>
      </w:r>
      <w:r w:rsidR="00ED2233" w:rsidRPr="00872D32">
        <w:rPr>
          <w:rFonts w:cs="Arial"/>
        </w:rPr>
        <w:t xml:space="preserve">five </w:t>
      </w:r>
      <w:r w:rsidR="00B60A89" w:rsidRPr="00872D32">
        <w:rPr>
          <w:rFonts w:cs="Arial"/>
        </w:rPr>
        <w:t xml:space="preserve">priorities under </w:t>
      </w:r>
      <w:r w:rsidR="00C93D12" w:rsidRPr="00872D32">
        <w:rPr>
          <w:rFonts w:cs="Arial"/>
        </w:rPr>
        <w:t>its</w:t>
      </w:r>
      <w:r w:rsidRPr="00872D32">
        <w:rPr>
          <w:rFonts w:cs="Arial"/>
        </w:rPr>
        <w:t xml:space="preserve"> extended </w:t>
      </w:r>
      <w:r w:rsidR="00B60A89" w:rsidRPr="00872D32">
        <w:rPr>
          <w:rFonts w:cs="Arial"/>
        </w:rPr>
        <w:t>Strategic Plan for 2023-25</w:t>
      </w:r>
      <w:r w:rsidR="00DC1610" w:rsidRPr="00872D32">
        <w:rPr>
          <w:rFonts w:cs="Arial"/>
        </w:rPr>
        <w:t xml:space="preserve"> (</w:t>
      </w:r>
      <w:r w:rsidR="00ED2233" w:rsidRPr="00872D32">
        <w:rPr>
          <w:rFonts w:cs="Arial"/>
        </w:rPr>
        <w:t xml:space="preserve">namely Indigenous </w:t>
      </w:r>
      <w:r w:rsidR="005E05D5" w:rsidRPr="00872D32">
        <w:rPr>
          <w:rFonts w:cs="Arial"/>
        </w:rPr>
        <w:t>reconciliation, Health and well-being, Criminal justice, Education, and Human rights culture)</w:t>
      </w:r>
      <w:r w:rsidR="00B60A89" w:rsidRPr="00872D32">
        <w:rPr>
          <w:rFonts w:cs="Arial"/>
        </w:rPr>
        <w:t xml:space="preserve"> </w:t>
      </w:r>
      <w:r w:rsidR="00160512" w:rsidRPr="00872D32">
        <w:rPr>
          <w:rFonts w:cs="Arial"/>
        </w:rPr>
        <w:t xml:space="preserve">and with the information requested </w:t>
      </w:r>
      <w:r w:rsidR="009A4BDB" w:rsidRPr="00872D32">
        <w:rPr>
          <w:rFonts w:cs="Arial"/>
        </w:rPr>
        <w:t xml:space="preserve">by the </w:t>
      </w:r>
      <w:r w:rsidR="007B6615" w:rsidRPr="00872D32">
        <w:rPr>
          <w:rFonts w:cs="Arial"/>
        </w:rPr>
        <w:t xml:space="preserve">Committee </w:t>
      </w:r>
      <w:r w:rsidR="009A4BDB" w:rsidRPr="00872D32">
        <w:rPr>
          <w:rFonts w:cs="Arial"/>
        </w:rPr>
        <w:t xml:space="preserve">in its LOIPR. </w:t>
      </w:r>
      <w:r w:rsidR="00D969BF" w:rsidRPr="00872D32">
        <w:rPr>
          <w:rFonts w:cs="Arial"/>
        </w:rPr>
        <w:t xml:space="preserve">Where relevant, for instance in the case of </w:t>
      </w:r>
      <w:r w:rsidR="00AE2DFD" w:rsidRPr="00872D32">
        <w:rPr>
          <w:rFonts w:cs="Arial"/>
        </w:rPr>
        <w:t>the</w:t>
      </w:r>
      <w:r w:rsidR="00D969BF" w:rsidRPr="00872D32">
        <w:rPr>
          <w:rFonts w:cs="Arial"/>
        </w:rPr>
        <w:t xml:space="preserve"> human rights impact</w:t>
      </w:r>
      <w:r w:rsidR="00AE2DFD" w:rsidRPr="00872D32">
        <w:rPr>
          <w:rFonts w:cs="Arial"/>
        </w:rPr>
        <w:t xml:space="preserve">s of </w:t>
      </w:r>
      <w:r w:rsidR="003E45DC" w:rsidRPr="00872D32">
        <w:rPr>
          <w:rFonts w:cs="Arial"/>
        </w:rPr>
        <w:t>artificial intelligence (</w:t>
      </w:r>
      <w:r w:rsidR="00AE2DFD" w:rsidRPr="00872D32">
        <w:rPr>
          <w:rFonts w:cs="Arial"/>
        </w:rPr>
        <w:t>AI</w:t>
      </w:r>
      <w:r w:rsidR="003E45DC" w:rsidRPr="00872D32">
        <w:rPr>
          <w:rFonts w:cs="Arial"/>
        </w:rPr>
        <w:t>)</w:t>
      </w:r>
      <w:r w:rsidR="00D969BF" w:rsidRPr="00872D32">
        <w:rPr>
          <w:rFonts w:cs="Arial"/>
        </w:rPr>
        <w:t>, these areas of focus also</w:t>
      </w:r>
      <w:r w:rsidR="00AE2DFD" w:rsidRPr="00872D32">
        <w:rPr>
          <w:rFonts w:cs="Arial"/>
        </w:rPr>
        <w:t xml:space="preserve"> provide information on issues that may not have been considered or foreseen by the </w:t>
      </w:r>
      <w:r w:rsidR="00932D59" w:rsidRPr="00872D32">
        <w:rPr>
          <w:rFonts w:cs="Arial"/>
        </w:rPr>
        <w:t>Committee</w:t>
      </w:r>
      <w:r w:rsidR="00AE2DFD" w:rsidRPr="00872D32">
        <w:rPr>
          <w:rFonts w:cs="Arial"/>
        </w:rPr>
        <w:t>.</w:t>
      </w:r>
      <w:r w:rsidR="00D969BF" w:rsidRPr="00872D32">
        <w:rPr>
          <w:rFonts w:cs="Arial"/>
        </w:rPr>
        <w:t xml:space="preserve"> </w:t>
      </w:r>
    </w:p>
    <w:p w14:paraId="4D82312A" w14:textId="77777777" w:rsidR="00A13DC2" w:rsidRPr="00872D32" w:rsidRDefault="00A13DC2" w:rsidP="00D33075">
      <w:pPr>
        <w:rPr>
          <w:rFonts w:cs="Arial"/>
        </w:rPr>
      </w:pPr>
    </w:p>
    <w:p w14:paraId="175735C7" w14:textId="253DEE7C" w:rsidR="00C113F6" w:rsidRPr="00872D32" w:rsidRDefault="00C113F6" w:rsidP="0035190C">
      <w:pPr>
        <w:pStyle w:val="Heading2"/>
      </w:pPr>
      <w:bookmarkStart w:id="24" w:name="_Toc217480174"/>
      <w:r w:rsidRPr="00872D32">
        <w:t>About the OHRC</w:t>
      </w:r>
      <w:bookmarkEnd w:id="24"/>
      <w:r w:rsidRPr="00872D32">
        <w:t xml:space="preserve"> </w:t>
      </w:r>
    </w:p>
    <w:p w14:paraId="3B52E2E3" w14:textId="339A9D8E" w:rsidR="001C2ED7" w:rsidRPr="00872D32" w:rsidRDefault="001C2ED7" w:rsidP="00ED3DE6">
      <w:pPr>
        <w:rPr>
          <w:rFonts w:cs="Arial"/>
        </w:rPr>
      </w:pPr>
      <w:r w:rsidRPr="00872D32">
        <w:rPr>
          <w:rFonts w:cs="Arial"/>
        </w:rPr>
        <w:t xml:space="preserve">The OHRC was established in 1961 as an arm’s-length agency of the provincial government. The OHRC’s mandate includes promoting and advancing human rights under </w:t>
      </w:r>
      <w:r w:rsidR="000606F5" w:rsidRPr="00872D32">
        <w:rPr>
          <w:rFonts w:cs="Arial"/>
        </w:rPr>
        <w:t>t</w:t>
      </w:r>
      <w:r w:rsidRPr="00872D32">
        <w:rPr>
          <w:rFonts w:cs="Arial"/>
        </w:rPr>
        <w:t xml:space="preserve">he </w:t>
      </w:r>
      <w:r w:rsidRPr="00872D32">
        <w:rPr>
          <w:rFonts w:cs="Arial"/>
          <w:i/>
          <w:iCs/>
        </w:rPr>
        <w:t>Code</w:t>
      </w:r>
      <w:r w:rsidRPr="00872D32">
        <w:rPr>
          <w:rFonts w:cs="Arial"/>
        </w:rPr>
        <w:t xml:space="preserve"> through research, policy development, public education, public inquiries, and legal interventions before tribunals and courts. The OHRC is one of three pillars of Ontario’s human rights system. The other two are the </w:t>
      </w:r>
      <w:hyperlink r:id="rId17" w:history="1">
        <w:r w:rsidRPr="00872D32">
          <w:rPr>
            <w:rStyle w:val="Hyperlink"/>
            <w:rFonts w:cs="Arial"/>
          </w:rPr>
          <w:t>Human Rights Tribunal of Ontario</w:t>
        </w:r>
      </w:hyperlink>
      <w:r w:rsidRPr="00872D32">
        <w:rPr>
          <w:rFonts w:cs="Arial"/>
        </w:rPr>
        <w:t xml:space="preserve"> (HRTO) and the </w:t>
      </w:r>
      <w:hyperlink r:id="rId18" w:history="1">
        <w:r w:rsidRPr="00872D32">
          <w:rPr>
            <w:rStyle w:val="Hyperlink"/>
            <w:rFonts w:cs="Arial"/>
          </w:rPr>
          <w:t>Human Rights Legal Support Centre</w:t>
        </w:r>
      </w:hyperlink>
      <w:r w:rsidRPr="00872D32">
        <w:rPr>
          <w:rFonts w:cs="Arial"/>
        </w:rPr>
        <w:t xml:space="preserve"> (HRLSC).</w:t>
      </w:r>
    </w:p>
    <w:p w14:paraId="60E9F01C" w14:textId="77777777" w:rsidR="00635D08" w:rsidRPr="00872D32" w:rsidRDefault="00635D08" w:rsidP="008271A1">
      <w:pPr>
        <w:rPr>
          <w:rFonts w:cs="Arial"/>
        </w:rPr>
      </w:pPr>
    </w:p>
    <w:p w14:paraId="5600E678" w14:textId="6AB3C4C6" w:rsidR="00635D08" w:rsidRPr="00872D32" w:rsidRDefault="00635D08" w:rsidP="00635D08">
      <w:pPr>
        <w:pStyle w:val="Heading2"/>
        <w:rPr>
          <w:i/>
          <w:iCs/>
        </w:rPr>
      </w:pPr>
      <w:bookmarkStart w:id="25" w:name="_Toc217480175"/>
      <w:r w:rsidRPr="00872D32">
        <w:t xml:space="preserve">About the </w:t>
      </w:r>
      <w:r w:rsidRPr="00872D32">
        <w:rPr>
          <w:i/>
          <w:iCs/>
        </w:rPr>
        <w:t>Code</w:t>
      </w:r>
      <w:bookmarkEnd w:id="25"/>
    </w:p>
    <w:p w14:paraId="0982188C" w14:textId="02F3E020" w:rsidR="00A01F1B" w:rsidRPr="00872D32" w:rsidRDefault="00E302D2" w:rsidP="008271A1">
      <w:pPr>
        <w:rPr>
          <w:rFonts w:cs="Arial"/>
        </w:rPr>
      </w:pPr>
      <w:r w:rsidRPr="00872D32">
        <w:rPr>
          <w:rFonts w:cs="Arial"/>
        </w:rPr>
        <w:t>The</w:t>
      </w:r>
      <w:r w:rsidR="00ED3DE6" w:rsidRPr="00872D32">
        <w:rPr>
          <w:rFonts w:cs="Arial"/>
        </w:rPr>
        <w:t xml:space="preserve"> </w:t>
      </w:r>
      <w:r w:rsidR="00ED3DE6" w:rsidRPr="00872D32">
        <w:rPr>
          <w:rFonts w:cs="Arial"/>
          <w:i/>
          <w:iCs/>
        </w:rPr>
        <w:t>Code</w:t>
      </w:r>
      <w:r w:rsidR="00ED3DE6" w:rsidRPr="00872D32">
        <w:rPr>
          <w:rFonts w:cs="Arial"/>
        </w:rPr>
        <w:t xml:space="preserve"> </w:t>
      </w:r>
      <w:r w:rsidR="00A01F1B" w:rsidRPr="00872D32">
        <w:rPr>
          <w:rFonts w:cs="Arial"/>
        </w:rPr>
        <w:t>protects everyone’s right to equal treatment without discrimination in employment, housing, goods, services and facilities, contracts, and membership in unions, trade or occupational associations based on 17 protected characteristics known as </w:t>
      </w:r>
      <w:r w:rsidR="00A01F1B" w:rsidRPr="00872D32">
        <w:rPr>
          <w:rFonts w:cs="Arial"/>
          <w:i/>
          <w:iCs/>
        </w:rPr>
        <w:t>Code</w:t>
      </w:r>
      <w:r w:rsidR="00A01F1B" w:rsidRPr="00872D32">
        <w:rPr>
          <w:rFonts w:cs="Arial"/>
        </w:rPr>
        <w:t> grounds.</w:t>
      </w:r>
      <w:r w:rsidR="00DD6C9E" w:rsidRPr="00872D32">
        <w:rPr>
          <w:rFonts w:cs="Arial"/>
        </w:rPr>
        <w:t xml:space="preserve"> The 17 </w:t>
      </w:r>
      <w:r w:rsidR="00DD6C9E" w:rsidRPr="00872D32">
        <w:rPr>
          <w:rFonts w:cs="Arial"/>
          <w:i/>
          <w:iCs/>
        </w:rPr>
        <w:t xml:space="preserve">Code </w:t>
      </w:r>
      <w:r w:rsidR="00DD6C9E" w:rsidRPr="00872D32">
        <w:rPr>
          <w:rFonts w:cs="Arial"/>
        </w:rPr>
        <w:t xml:space="preserve">grounds are: </w:t>
      </w:r>
    </w:p>
    <w:p w14:paraId="33F200D6" w14:textId="77777777" w:rsidR="00A65CC5" w:rsidRPr="00872D32" w:rsidRDefault="00A65CC5" w:rsidP="005F20B7">
      <w:pPr>
        <w:numPr>
          <w:ilvl w:val="0"/>
          <w:numId w:val="9"/>
        </w:numPr>
        <w:spacing w:after="80"/>
        <w:rPr>
          <w:rFonts w:cs="Arial"/>
        </w:rPr>
      </w:pPr>
      <w:r w:rsidRPr="00872D32">
        <w:rPr>
          <w:rFonts w:cs="Arial"/>
        </w:rPr>
        <w:t>Age </w:t>
      </w:r>
    </w:p>
    <w:p w14:paraId="6616E73C" w14:textId="77777777" w:rsidR="00A65CC5" w:rsidRPr="00872D32" w:rsidRDefault="00A65CC5" w:rsidP="005F20B7">
      <w:pPr>
        <w:numPr>
          <w:ilvl w:val="0"/>
          <w:numId w:val="9"/>
        </w:numPr>
        <w:spacing w:after="80"/>
        <w:rPr>
          <w:rFonts w:cs="Arial"/>
        </w:rPr>
      </w:pPr>
      <w:r w:rsidRPr="00872D32">
        <w:rPr>
          <w:rFonts w:cs="Arial"/>
        </w:rPr>
        <w:t>Ancestry </w:t>
      </w:r>
    </w:p>
    <w:p w14:paraId="17B1CC4E" w14:textId="77777777" w:rsidR="00A65CC5" w:rsidRPr="00872D32" w:rsidRDefault="00A65CC5" w:rsidP="005F20B7">
      <w:pPr>
        <w:numPr>
          <w:ilvl w:val="0"/>
          <w:numId w:val="9"/>
        </w:numPr>
        <w:spacing w:after="80"/>
        <w:rPr>
          <w:rFonts w:cs="Arial"/>
        </w:rPr>
      </w:pPr>
      <w:r w:rsidRPr="00872D32">
        <w:rPr>
          <w:rFonts w:cs="Arial"/>
        </w:rPr>
        <w:t>Colour </w:t>
      </w:r>
    </w:p>
    <w:p w14:paraId="1AF78835" w14:textId="77777777" w:rsidR="00A65CC5" w:rsidRPr="00872D32" w:rsidRDefault="00A65CC5" w:rsidP="005F20B7">
      <w:pPr>
        <w:numPr>
          <w:ilvl w:val="0"/>
          <w:numId w:val="9"/>
        </w:numPr>
        <w:spacing w:after="80"/>
        <w:rPr>
          <w:rFonts w:cs="Arial"/>
        </w:rPr>
      </w:pPr>
      <w:r w:rsidRPr="00872D32">
        <w:rPr>
          <w:rFonts w:cs="Arial"/>
        </w:rPr>
        <w:t>Race </w:t>
      </w:r>
    </w:p>
    <w:p w14:paraId="253111C0" w14:textId="77777777" w:rsidR="00A65CC5" w:rsidRPr="00872D32" w:rsidRDefault="00A65CC5" w:rsidP="005F20B7">
      <w:pPr>
        <w:numPr>
          <w:ilvl w:val="0"/>
          <w:numId w:val="9"/>
        </w:numPr>
        <w:spacing w:after="80"/>
        <w:rPr>
          <w:rFonts w:cs="Arial"/>
        </w:rPr>
      </w:pPr>
      <w:r w:rsidRPr="00872D32">
        <w:rPr>
          <w:rFonts w:cs="Arial"/>
        </w:rPr>
        <w:t>Citizenship </w:t>
      </w:r>
    </w:p>
    <w:p w14:paraId="6682CAF0" w14:textId="77777777" w:rsidR="00A65CC5" w:rsidRPr="00872D32" w:rsidRDefault="00A65CC5" w:rsidP="005F20B7">
      <w:pPr>
        <w:numPr>
          <w:ilvl w:val="0"/>
          <w:numId w:val="9"/>
        </w:numPr>
        <w:spacing w:after="80"/>
        <w:rPr>
          <w:rFonts w:cs="Arial"/>
        </w:rPr>
      </w:pPr>
      <w:r w:rsidRPr="00872D32">
        <w:rPr>
          <w:rFonts w:cs="Arial"/>
        </w:rPr>
        <w:t>Ethnic origin </w:t>
      </w:r>
    </w:p>
    <w:p w14:paraId="42B0515F" w14:textId="77777777" w:rsidR="00A65CC5" w:rsidRPr="00872D32" w:rsidRDefault="00A65CC5" w:rsidP="005F20B7">
      <w:pPr>
        <w:numPr>
          <w:ilvl w:val="0"/>
          <w:numId w:val="9"/>
        </w:numPr>
        <w:spacing w:after="80"/>
        <w:rPr>
          <w:rFonts w:cs="Arial"/>
        </w:rPr>
      </w:pPr>
      <w:r w:rsidRPr="00872D32">
        <w:rPr>
          <w:rFonts w:cs="Arial"/>
        </w:rPr>
        <w:t>Place of origin </w:t>
      </w:r>
    </w:p>
    <w:p w14:paraId="012E90D8" w14:textId="77777777" w:rsidR="00A65CC5" w:rsidRPr="00872D32" w:rsidRDefault="00A65CC5" w:rsidP="005F20B7">
      <w:pPr>
        <w:numPr>
          <w:ilvl w:val="0"/>
          <w:numId w:val="9"/>
        </w:numPr>
        <w:spacing w:after="80"/>
        <w:rPr>
          <w:rFonts w:cs="Arial"/>
        </w:rPr>
      </w:pPr>
      <w:r w:rsidRPr="00872D32">
        <w:rPr>
          <w:rFonts w:cs="Arial"/>
        </w:rPr>
        <w:t>Creed </w:t>
      </w:r>
    </w:p>
    <w:p w14:paraId="72774E16" w14:textId="77777777" w:rsidR="00A65CC5" w:rsidRPr="00872D32" w:rsidRDefault="00A65CC5" w:rsidP="005F20B7">
      <w:pPr>
        <w:numPr>
          <w:ilvl w:val="0"/>
          <w:numId w:val="9"/>
        </w:numPr>
        <w:spacing w:after="80"/>
        <w:rPr>
          <w:rFonts w:cs="Arial"/>
        </w:rPr>
      </w:pPr>
      <w:r w:rsidRPr="00872D32">
        <w:rPr>
          <w:rFonts w:cs="Arial"/>
        </w:rPr>
        <w:t>Disability </w:t>
      </w:r>
    </w:p>
    <w:p w14:paraId="65FB94DB" w14:textId="77777777" w:rsidR="00A65CC5" w:rsidRPr="00872D32" w:rsidRDefault="00A65CC5" w:rsidP="005F20B7">
      <w:pPr>
        <w:numPr>
          <w:ilvl w:val="0"/>
          <w:numId w:val="9"/>
        </w:numPr>
        <w:spacing w:after="80"/>
        <w:rPr>
          <w:rFonts w:cs="Arial"/>
        </w:rPr>
      </w:pPr>
      <w:r w:rsidRPr="00872D32">
        <w:rPr>
          <w:rFonts w:cs="Arial"/>
        </w:rPr>
        <w:t>Family status </w:t>
      </w:r>
    </w:p>
    <w:p w14:paraId="7F8A8C77" w14:textId="77777777" w:rsidR="00A65CC5" w:rsidRPr="00872D32" w:rsidRDefault="00A65CC5" w:rsidP="005F20B7">
      <w:pPr>
        <w:numPr>
          <w:ilvl w:val="0"/>
          <w:numId w:val="9"/>
        </w:numPr>
        <w:spacing w:after="80"/>
        <w:rPr>
          <w:rFonts w:cs="Arial"/>
        </w:rPr>
      </w:pPr>
      <w:r w:rsidRPr="00872D32">
        <w:rPr>
          <w:rFonts w:cs="Arial"/>
        </w:rPr>
        <w:lastRenderedPageBreak/>
        <w:t>Marital status (including single status and same-sex partnerships) </w:t>
      </w:r>
    </w:p>
    <w:p w14:paraId="013BBB8D" w14:textId="77777777" w:rsidR="00A65CC5" w:rsidRPr="00872D32" w:rsidRDefault="00A65CC5" w:rsidP="005F20B7">
      <w:pPr>
        <w:numPr>
          <w:ilvl w:val="0"/>
          <w:numId w:val="9"/>
        </w:numPr>
        <w:spacing w:after="80"/>
        <w:rPr>
          <w:rFonts w:cs="Arial"/>
        </w:rPr>
      </w:pPr>
      <w:r w:rsidRPr="00872D32">
        <w:rPr>
          <w:rFonts w:cs="Arial"/>
        </w:rPr>
        <w:t>Gender identity</w:t>
      </w:r>
    </w:p>
    <w:p w14:paraId="6B96CFAF" w14:textId="77777777" w:rsidR="00A65CC5" w:rsidRPr="00872D32" w:rsidRDefault="00A65CC5" w:rsidP="005F20B7">
      <w:pPr>
        <w:numPr>
          <w:ilvl w:val="0"/>
          <w:numId w:val="9"/>
        </w:numPr>
        <w:spacing w:after="80"/>
        <w:rPr>
          <w:rFonts w:cs="Arial"/>
        </w:rPr>
      </w:pPr>
      <w:r w:rsidRPr="00872D32">
        <w:rPr>
          <w:rFonts w:cs="Arial"/>
        </w:rPr>
        <w:t>Gender expression </w:t>
      </w:r>
    </w:p>
    <w:p w14:paraId="13AA6703" w14:textId="77777777" w:rsidR="00A65CC5" w:rsidRPr="00872D32" w:rsidRDefault="00A65CC5" w:rsidP="005F20B7">
      <w:pPr>
        <w:numPr>
          <w:ilvl w:val="0"/>
          <w:numId w:val="9"/>
        </w:numPr>
        <w:spacing w:after="80"/>
        <w:rPr>
          <w:rFonts w:cs="Arial"/>
        </w:rPr>
      </w:pPr>
      <w:r w:rsidRPr="00872D32">
        <w:rPr>
          <w:rFonts w:cs="Arial"/>
        </w:rPr>
        <w:t>Receipt of public assistance (in housing only) </w:t>
      </w:r>
    </w:p>
    <w:p w14:paraId="0B3E9577" w14:textId="77777777" w:rsidR="00A65CC5" w:rsidRPr="00872D32" w:rsidRDefault="00A65CC5" w:rsidP="005F20B7">
      <w:pPr>
        <w:numPr>
          <w:ilvl w:val="0"/>
          <w:numId w:val="9"/>
        </w:numPr>
        <w:spacing w:after="80"/>
        <w:rPr>
          <w:rFonts w:cs="Arial"/>
        </w:rPr>
      </w:pPr>
      <w:r w:rsidRPr="00872D32">
        <w:rPr>
          <w:rFonts w:cs="Arial"/>
        </w:rPr>
        <w:t>Record of offences (in employment only) </w:t>
      </w:r>
    </w:p>
    <w:p w14:paraId="30739214" w14:textId="77777777" w:rsidR="00A65CC5" w:rsidRPr="00872D32" w:rsidRDefault="00A65CC5" w:rsidP="005F20B7">
      <w:pPr>
        <w:numPr>
          <w:ilvl w:val="0"/>
          <w:numId w:val="9"/>
        </w:numPr>
        <w:spacing w:after="80"/>
        <w:rPr>
          <w:rFonts w:cs="Arial"/>
        </w:rPr>
      </w:pPr>
      <w:r w:rsidRPr="00872D32">
        <w:rPr>
          <w:rFonts w:cs="Arial"/>
        </w:rPr>
        <w:t>Sex (including pregnancy and breastfeeding) </w:t>
      </w:r>
    </w:p>
    <w:p w14:paraId="3CFF236B" w14:textId="24BE37E8" w:rsidR="00DD6C9E" w:rsidRPr="00872D32" w:rsidRDefault="00A65CC5" w:rsidP="005F20B7">
      <w:pPr>
        <w:numPr>
          <w:ilvl w:val="0"/>
          <w:numId w:val="9"/>
        </w:numPr>
        <w:rPr>
          <w:rFonts w:cs="Arial"/>
        </w:rPr>
      </w:pPr>
      <w:r w:rsidRPr="00872D32">
        <w:rPr>
          <w:rFonts w:cs="Arial"/>
        </w:rPr>
        <w:t>Sexual orientation. </w:t>
      </w:r>
    </w:p>
    <w:p w14:paraId="22F151A1" w14:textId="204505F5" w:rsidR="0082399E" w:rsidRPr="00872D32" w:rsidRDefault="00ED3DE6" w:rsidP="008271A1">
      <w:pPr>
        <w:rPr>
          <w:rFonts w:cs="Arial"/>
        </w:rPr>
      </w:pPr>
      <w:r w:rsidRPr="00872D32">
        <w:rPr>
          <w:rFonts w:cs="Arial"/>
        </w:rPr>
        <w:t xml:space="preserve">The </w:t>
      </w:r>
      <w:r w:rsidRPr="00872D32">
        <w:rPr>
          <w:rFonts w:cs="Arial"/>
          <w:i/>
          <w:iCs/>
        </w:rPr>
        <w:t>Code</w:t>
      </w:r>
      <w:r w:rsidRPr="00872D32">
        <w:rPr>
          <w:rFonts w:cs="Arial"/>
        </w:rPr>
        <w:t xml:space="preserve"> applies</w:t>
      </w:r>
      <w:r w:rsidR="00CA47EE" w:rsidRPr="00872D32">
        <w:rPr>
          <w:rFonts w:cs="Arial"/>
        </w:rPr>
        <w:t xml:space="preserve"> </w:t>
      </w:r>
      <w:r w:rsidR="00446939" w:rsidRPr="00872D32">
        <w:rPr>
          <w:rFonts w:cs="Arial"/>
        </w:rPr>
        <w:t xml:space="preserve">to </w:t>
      </w:r>
      <w:r w:rsidR="00CA47EE" w:rsidRPr="00872D32">
        <w:rPr>
          <w:rFonts w:cs="Arial"/>
        </w:rPr>
        <w:t xml:space="preserve">all organizations that are regulated under </w:t>
      </w:r>
      <w:r w:rsidR="00413062" w:rsidRPr="00872D32">
        <w:rPr>
          <w:rFonts w:cs="Arial"/>
        </w:rPr>
        <w:t xml:space="preserve">Ontario’s </w:t>
      </w:r>
      <w:r w:rsidR="00CA47EE" w:rsidRPr="00872D32">
        <w:rPr>
          <w:rFonts w:cs="Arial"/>
        </w:rPr>
        <w:t xml:space="preserve">laws, </w:t>
      </w:r>
      <w:r w:rsidR="00F234C6" w:rsidRPr="00872D32">
        <w:rPr>
          <w:rFonts w:cs="Arial"/>
        </w:rPr>
        <w:t xml:space="preserve">including </w:t>
      </w:r>
      <w:r w:rsidR="000B5CEC" w:rsidRPr="00872D32">
        <w:rPr>
          <w:rFonts w:cs="Arial"/>
        </w:rPr>
        <w:t xml:space="preserve">the </w:t>
      </w:r>
      <w:r w:rsidRPr="00872D32">
        <w:rPr>
          <w:rFonts w:cs="Arial"/>
        </w:rPr>
        <w:t xml:space="preserve">provincial </w:t>
      </w:r>
      <w:r w:rsidR="00AA46C0" w:rsidRPr="00872D32">
        <w:rPr>
          <w:rFonts w:cs="Arial"/>
        </w:rPr>
        <w:t xml:space="preserve">government, </w:t>
      </w:r>
      <w:r w:rsidRPr="00872D32">
        <w:rPr>
          <w:rFonts w:cs="Arial"/>
        </w:rPr>
        <w:t>municipal government</w:t>
      </w:r>
      <w:r w:rsidR="00635D08" w:rsidRPr="00872D32">
        <w:rPr>
          <w:rFonts w:cs="Arial"/>
        </w:rPr>
        <w:t>s</w:t>
      </w:r>
      <w:r w:rsidR="00AA46C0" w:rsidRPr="00872D32">
        <w:rPr>
          <w:rFonts w:cs="Arial"/>
        </w:rPr>
        <w:t xml:space="preserve">, </w:t>
      </w:r>
      <w:r w:rsidRPr="00872D32">
        <w:rPr>
          <w:rFonts w:cs="Arial"/>
        </w:rPr>
        <w:t xml:space="preserve">the </w:t>
      </w:r>
      <w:r w:rsidR="000B5CEC" w:rsidRPr="00872D32">
        <w:rPr>
          <w:rFonts w:cs="Arial"/>
        </w:rPr>
        <w:t xml:space="preserve">broader public </w:t>
      </w:r>
      <w:r w:rsidR="00F234C6" w:rsidRPr="00872D32">
        <w:rPr>
          <w:rFonts w:cs="Arial"/>
        </w:rPr>
        <w:t>sector</w:t>
      </w:r>
      <w:r w:rsidR="00294148" w:rsidRPr="00872D32">
        <w:rPr>
          <w:rFonts w:cs="Arial"/>
        </w:rPr>
        <w:t xml:space="preserve"> (such as hospitals and universities)</w:t>
      </w:r>
      <w:r w:rsidR="00F234C6" w:rsidRPr="00872D32">
        <w:rPr>
          <w:rFonts w:cs="Arial"/>
        </w:rPr>
        <w:t xml:space="preserve"> and </w:t>
      </w:r>
      <w:r w:rsidR="00446939" w:rsidRPr="00872D32">
        <w:rPr>
          <w:rFonts w:cs="Arial"/>
        </w:rPr>
        <w:t xml:space="preserve">the </w:t>
      </w:r>
      <w:r w:rsidRPr="00872D32">
        <w:rPr>
          <w:rFonts w:cs="Arial"/>
        </w:rPr>
        <w:t>private sector.</w:t>
      </w:r>
      <w:r w:rsidR="00DF7AE8" w:rsidRPr="00872D32">
        <w:rPr>
          <w:rFonts w:cs="Arial"/>
        </w:rPr>
        <w:t xml:space="preserve"> </w:t>
      </w:r>
      <w:r w:rsidRPr="00872D32">
        <w:rPr>
          <w:rFonts w:cs="Arial"/>
        </w:rPr>
        <w:t xml:space="preserve">The </w:t>
      </w:r>
      <w:hyperlink r:id="rId19" w:history="1">
        <w:r w:rsidRPr="00872D32">
          <w:rPr>
            <w:rStyle w:val="Hyperlink"/>
            <w:rFonts w:cs="Arial"/>
            <w:i/>
          </w:rPr>
          <w:t>Canadian Charter of Rights and Freedoms</w:t>
        </w:r>
      </w:hyperlink>
      <w:r w:rsidRPr="00872D32">
        <w:rPr>
          <w:rFonts w:cs="Arial"/>
        </w:rPr>
        <w:t xml:space="preserve"> </w:t>
      </w:r>
      <w:r w:rsidR="00A9468A" w:rsidRPr="00872D32">
        <w:rPr>
          <w:rFonts w:cs="Arial"/>
        </w:rPr>
        <w:t xml:space="preserve">(the </w:t>
      </w:r>
      <w:r w:rsidR="00A9468A" w:rsidRPr="00872D32">
        <w:rPr>
          <w:rFonts w:cs="Arial"/>
          <w:i/>
          <w:iCs/>
        </w:rPr>
        <w:t>Charter</w:t>
      </w:r>
      <w:r w:rsidR="00A9468A" w:rsidRPr="00872D32">
        <w:rPr>
          <w:rFonts w:cs="Arial"/>
        </w:rPr>
        <w:t xml:space="preserve">), </w:t>
      </w:r>
      <w:r w:rsidRPr="00872D32">
        <w:rPr>
          <w:rFonts w:cs="Arial"/>
        </w:rPr>
        <w:t xml:space="preserve">as well as international human rights instruments like the </w:t>
      </w:r>
      <w:r w:rsidR="0082399E" w:rsidRPr="00872D32">
        <w:rPr>
          <w:rFonts w:cs="Arial"/>
          <w:i/>
        </w:rPr>
        <w:t>Covenant</w:t>
      </w:r>
      <w:r w:rsidRPr="00872D32">
        <w:rPr>
          <w:rFonts w:cs="Arial"/>
        </w:rPr>
        <w:t xml:space="preserve"> and the </w:t>
      </w:r>
      <w:hyperlink r:id="rId20" w:history="1">
        <w:r w:rsidRPr="00872D32">
          <w:rPr>
            <w:rStyle w:val="Hyperlink"/>
            <w:rFonts w:cs="Arial"/>
            <w:i/>
          </w:rPr>
          <w:t>UN Declaration on the Rights of Indigenous Peoples</w:t>
        </w:r>
      </w:hyperlink>
      <w:r w:rsidR="00E44131" w:rsidRPr="00872D32">
        <w:rPr>
          <w:rFonts w:cs="Arial"/>
        </w:rPr>
        <w:t>,</w:t>
      </w:r>
      <w:r w:rsidRPr="00872D32">
        <w:rPr>
          <w:rFonts w:cs="Arial"/>
        </w:rPr>
        <w:t xml:space="preserve"> help inform how </w:t>
      </w:r>
      <w:r w:rsidR="00D45BE0" w:rsidRPr="00872D32">
        <w:rPr>
          <w:rFonts w:cs="Arial"/>
        </w:rPr>
        <w:t>the</w:t>
      </w:r>
      <w:r w:rsidRPr="00872D32">
        <w:rPr>
          <w:rFonts w:cs="Arial"/>
        </w:rPr>
        <w:t xml:space="preserve"> </w:t>
      </w:r>
      <w:r w:rsidRPr="00872D32">
        <w:rPr>
          <w:rFonts w:cs="Arial"/>
          <w:i/>
          <w:iCs/>
        </w:rPr>
        <w:t>Code</w:t>
      </w:r>
      <w:r w:rsidRPr="00872D32">
        <w:rPr>
          <w:rFonts w:cs="Arial"/>
        </w:rPr>
        <w:t xml:space="preserve"> </w:t>
      </w:r>
      <w:r w:rsidR="0082399E" w:rsidRPr="00872D32">
        <w:rPr>
          <w:rFonts w:cs="Arial"/>
        </w:rPr>
        <w:t>ought to be</w:t>
      </w:r>
      <w:r w:rsidRPr="00872D32">
        <w:rPr>
          <w:rFonts w:cs="Arial"/>
        </w:rPr>
        <w:t xml:space="preserve"> interpreted and applied. </w:t>
      </w:r>
    </w:p>
    <w:p w14:paraId="7A117165" w14:textId="67093653" w:rsidR="007C6EB1" w:rsidRPr="00872D32" w:rsidRDefault="00ED3DE6" w:rsidP="00BE65B6">
      <w:pPr>
        <w:rPr>
          <w:rFonts w:cs="Arial"/>
        </w:rPr>
      </w:pPr>
      <w:r w:rsidRPr="00872D32">
        <w:rPr>
          <w:rFonts w:cs="Arial"/>
        </w:rPr>
        <w:t xml:space="preserve">The </w:t>
      </w:r>
      <w:r w:rsidRPr="00872D32">
        <w:rPr>
          <w:rFonts w:cs="Arial"/>
          <w:i/>
          <w:iCs/>
        </w:rPr>
        <w:t>Code</w:t>
      </w:r>
      <w:r w:rsidRPr="00872D32">
        <w:rPr>
          <w:rFonts w:cs="Arial"/>
        </w:rPr>
        <w:t xml:space="preserve"> has primacy over other Ontario laws.</w:t>
      </w:r>
      <w:r w:rsidR="00447037" w:rsidRPr="00872D32">
        <w:t xml:space="preserve"> </w:t>
      </w:r>
      <w:r w:rsidR="00447037" w:rsidRPr="00872D32">
        <w:rPr>
          <w:rFonts w:cs="Arial"/>
        </w:rPr>
        <w:t xml:space="preserve">This means that Ontario laws </w:t>
      </w:r>
      <w:r w:rsidR="26794FF9" w:rsidRPr="00872D32">
        <w:rPr>
          <w:rFonts w:cs="Arial"/>
        </w:rPr>
        <w:t>must</w:t>
      </w:r>
      <w:r w:rsidR="00447037" w:rsidRPr="00872D32">
        <w:rPr>
          <w:rFonts w:cs="Arial"/>
        </w:rPr>
        <w:t xml:space="preserve"> follow the </w:t>
      </w:r>
      <w:r w:rsidR="00447037" w:rsidRPr="00872D32">
        <w:rPr>
          <w:rFonts w:cs="Arial"/>
          <w:i/>
          <w:iCs/>
        </w:rPr>
        <w:t>Code</w:t>
      </w:r>
      <w:r w:rsidR="00DC0A9B" w:rsidRPr="00872D32">
        <w:rPr>
          <w:rFonts w:cs="Arial"/>
          <w:i/>
          <w:iCs/>
        </w:rPr>
        <w:t xml:space="preserve">, </w:t>
      </w:r>
      <w:r w:rsidR="00DC0A9B" w:rsidRPr="00872D32">
        <w:rPr>
          <w:rFonts w:cs="Arial"/>
        </w:rPr>
        <w:t>unless specific exemptions are provided</w:t>
      </w:r>
      <w:r w:rsidR="00447037" w:rsidRPr="00872D32">
        <w:rPr>
          <w:rFonts w:cs="Arial"/>
        </w:rPr>
        <w:t>.</w:t>
      </w:r>
      <w:r w:rsidR="00DC0A9B" w:rsidRPr="00872D32">
        <w:rPr>
          <w:rFonts w:cs="Arial"/>
        </w:rPr>
        <w:t xml:space="preserve"> For instance, </w:t>
      </w:r>
      <w:r w:rsidR="26E3274A" w:rsidRPr="00872D32">
        <w:rPr>
          <w:rFonts w:cs="Arial"/>
        </w:rPr>
        <w:t>the Ontario regulation governing eligibility for drivers’ licen</w:t>
      </w:r>
      <w:r w:rsidR="24E633D7" w:rsidRPr="00872D32">
        <w:rPr>
          <w:rFonts w:cs="Arial"/>
        </w:rPr>
        <w:t>c</w:t>
      </w:r>
      <w:r w:rsidR="26E3274A" w:rsidRPr="00872D32">
        <w:rPr>
          <w:rFonts w:cs="Arial"/>
        </w:rPr>
        <w:t xml:space="preserve">es prohibits </w:t>
      </w:r>
      <w:r w:rsidR="00A86E03" w:rsidRPr="00872D32">
        <w:rPr>
          <w:rFonts w:cs="Arial"/>
        </w:rPr>
        <w:t>issuing a licen</w:t>
      </w:r>
      <w:r w:rsidR="4FEA95A9" w:rsidRPr="00872D32">
        <w:rPr>
          <w:rFonts w:cs="Arial"/>
        </w:rPr>
        <w:t>c</w:t>
      </w:r>
      <w:r w:rsidR="00A86E03" w:rsidRPr="00872D32">
        <w:rPr>
          <w:rFonts w:cs="Arial"/>
        </w:rPr>
        <w:t xml:space="preserve">e to someone with </w:t>
      </w:r>
      <w:r w:rsidR="3F22EB65" w:rsidRPr="00872D32">
        <w:rPr>
          <w:rFonts w:cs="Arial"/>
        </w:rPr>
        <w:t>a</w:t>
      </w:r>
      <w:r w:rsidR="64EF0E40" w:rsidRPr="00872D32">
        <w:rPr>
          <w:rFonts w:cs="Arial"/>
        </w:rPr>
        <w:t xml:space="preserve"> disability</w:t>
      </w:r>
      <w:r w:rsidR="68A1E2C8" w:rsidRPr="00872D32">
        <w:rPr>
          <w:rFonts w:cs="Arial"/>
        </w:rPr>
        <w:t xml:space="preserve"> that would significantly interfere with their ability to drive a vehicle safely</w:t>
      </w:r>
      <w:r w:rsidR="64EF0E40" w:rsidRPr="00872D32">
        <w:rPr>
          <w:rFonts w:cs="Arial"/>
        </w:rPr>
        <w:t xml:space="preserve">. This regulation explicitly states that the exclusion applies notwithstanding the </w:t>
      </w:r>
      <w:r w:rsidR="64EF0E40" w:rsidRPr="00872D32">
        <w:rPr>
          <w:rFonts w:cs="Arial"/>
          <w:i/>
          <w:iCs/>
        </w:rPr>
        <w:t>Code</w:t>
      </w:r>
      <w:r w:rsidR="64EF0E40" w:rsidRPr="00872D32">
        <w:rPr>
          <w:rFonts w:cs="Arial"/>
        </w:rPr>
        <w:t>.</w:t>
      </w:r>
      <w:r w:rsidR="00EF42B9" w:rsidRPr="00872D32">
        <w:rPr>
          <w:rFonts w:cs="Arial"/>
        </w:rPr>
        <w:t xml:space="preserve"> </w:t>
      </w:r>
      <w:r w:rsidR="00A17464" w:rsidRPr="00872D32">
        <w:rPr>
          <w:rFonts w:cs="Arial"/>
        </w:rPr>
        <w:t>When</w:t>
      </w:r>
      <w:r w:rsidR="00EF42B9" w:rsidRPr="00872D32">
        <w:rPr>
          <w:rFonts w:cs="Arial"/>
        </w:rPr>
        <w:t xml:space="preserve"> there is a conflict between the </w:t>
      </w:r>
      <w:r w:rsidR="00EF42B9" w:rsidRPr="00872D32">
        <w:rPr>
          <w:rFonts w:cs="Arial"/>
          <w:i/>
          <w:iCs/>
        </w:rPr>
        <w:t>Code</w:t>
      </w:r>
      <w:r w:rsidR="00EF42B9" w:rsidRPr="00872D32">
        <w:rPr>
          <w:rFonts w:cs="Arial"/>
        </w:rPr>
        <w:t xml:space="preserve"> and another Ontario law,</w:t>
      </w:r>
      <w:r w:rsidR="00403F48" w:rsidRPr="00872D32">
        <w:rPr>
          <w:rFonts w:cs="Arial"/>
        </w:rPr>
        <w:t xml:space="preserve"> and an exemption is not specified,</w:t>
      </w:r>
      <w:r w:rsidR="00EF42B9" w:rsidRPr="00872D32">
        <w:rPr>
          <w:rFonts w:cs="Arial"/>
        </w:rPr>
        <w:t xml:space="preserve"> the </w:t>
      </w:r>
      <w:r w:rsidR="00EF42B9" w:rsidRPr="00872D32">
        <w:rPr>
          <w:rFonts w:cs="Arial"/>
          <w:i/>
          <w:iCs/>
        </w:rPr>
        <w:t>Code</w:t>
      </w:r>
      <w:r w:rsidR="00EF42B9" w:rsidRPr="00872D32">
        <w:rPr>
          <w:rFonts w:cs="Arial"/>
        </w:rPr>
        <w:t xml:space="preserve"> prevail</w:t>
      </w:r>
      <w:r w:rsidR="65DB297C" w:rsidRPr="00872D32">
        <w:rPr>
          <w:rFonts w:cs="Arial"/>
        </w:rPr>
        <w:t>s</w:t>
      </w:r>
      <w:r w:rsidR="00EF42B9" w:rsidRPr="00872D32">
        <w:rPr>
          <w:rFonts w:cs="Arial"/>
        </w:rPr>
        <w:t>.</w:t>
      </w:r>
      <w:r w:rsidR="002648F6" w:rsidRPr="00872D32">
        <w:rPr>
          <w:rFonts w:cs="Arial"/>
        </w:rPr>
        <w:t xml:space="preserve"> </w:t>
      </w:r>
    </w:p>
    <w:p w14:paraId="5115E3C2" w14:textId="3E33B5D1" w:rsidR="00CB6B89" w:rsidRPr="00872D32" w:rsidRDefault="002648F6" w:rsidP="00BE65B6">
      <w:pPr>
        <w:rPr>
          <w:rFonts w:cs="Arial"/>
        </w:rPr>
      </w:pPr>
      <w:r w:rsidRPr="00872D32">
        <w:rPr>
          <w:rFonts w:cs="Arial"/>
        </w:rPr>
        <w:t xml:space="preserve">In 2024, the OHRC released </w:t>
      </w:r>
      <w:r w:rsidR="009A736E" w:rsidRPr="00872D32">
        <w:rPr>
          <w:rFonts w:cs="Arial"/>
        </w:rPr>
        <w:t xml:space="preserve">its </w:t>
      </w:r>
      <w:hyperlink r:id="rId21" w:history="1">
        <w:r w:rsidR="009A736E" w:rsidRPr="00872D32">
          <w:rPr>
            <w:rStyle w:val="Hyperlink"/>
            <w:rFonts w:cs="Arial"/>
            <w:i/>
            <w:iCs/>
          </w:rPr>
          <w:t xml:space="preserve">Human Rights Based Approach </w:t>
        </w:r>
        <w:r w:rsidR="00513340" w:rsidRPr="00872D32">
          <w:rPr>
            <w:rStyle w:val="Hyperlink"/>
            <w:rFonts w:cs="Arial"/>
            <w:i/>
            <w:iCs/>
          </w:rPr>
          <w:t>f</w:t>
        </w:r>
        <w:r w:rsidR="009A736E" w:rsidRPr="00872D32">
          <w:rPr>
            <w:rStyle w:val="Hyperlink"/>
            <w:rFonts w:cs="Arial"/>
            <w:i/>
            <w:iCs/>
          </w:rPr>
          <w:t>ramework</w:t>
        </w:r>
      </w:hyperlink>
      <w:r w:rsidR="00513340" w:rsidRPr="00872D32">
        <w:rPr>
          <w:rFonts w:cs="Arial"/>
        </w:rPr>
        <w:t xml:space="preserve"> to guide all duty-holders </w:t>
      </w:r>
      <w:r w:rsidR="00244835" w:rsidRPr="00872D32">
        <w:rPr>
          <w:rFonts w:cs="Arial"/>
        </w:rPr>
        <w:t xml:space="preserve">on how to </w:t>
      </w:r>
      <w:r w:rsidR="004046BA" w:rsidRPr="00872D32">
        <w:rPr>
          <w:rFonts w:cs="Arial"/>
        </w:rPr>
        <w:t>adopt and apply a human rights-based approach</w:t>
      </w:r>
      <w:r w:rsidR="00B94E85" w:rsidRPr="00872D32">
        <w:rPr>
          <w:rFonts w:cs="Arial"/>
        </w:rPr>
        <w:t>, particularly in the context of policy and program development,</w:t>
      </w:r>
      <w:r w:rsidR="00244835" w:rsidRPr="00872D32">
        <w:rPr>
          <w:rFonts w:cs="Arial"/>
        </w:rPr>
        <w:t xml:space="preserve"> and meet their human rights</w:t>
      </w:r>
      <w:r w:rsidR="00244835" w:rsidRPr="00872D32">
        <w:rPr>
          <w:rFonts w:cs="Arial"/>
          <w:i/>
          <w:iCs/>
        </w:rPr>
        <w:t xml:space="preserve"> </w:t>
      </w:r>
      <w:r w:rsidR="00244835" w:rsidRPr="00872D32">
        <w:rPr>
          <w:rFonts w:cs="Arial"/>
        </w:rPr>
        <w:t>obligations.</w:t>
      </w:r>
    </w:p>
    <w:p w14:paraId="674A8A35" w14:textId="77777777" w:rsidR="000546A1" w:rsidRPr="00872D32" w:rsidRDefault="000546A1" w:rsidP="00BE65B6">
      <w:pPr>
        <w:rPr>
          <w:rFonts w:cs="Arial"/>
        </w:rPr>
      </w:pPr>
    </w:p>
    <w:p w14:paraId="5A3532D9" w14:textId="77777777" w:rsidR="000206FB" w:rsidRPr="00872D32" w:rsidRDefault="000206FB" w:rsidP="000206FB">
      <w:pPr>
        <w:pStyle w:val="Heading2"/>
      </w:pPr>
      <w:bookmarkStart w:id="26" w:name="_Toc217480176"/>
      <w:r w:rsidRPr="00872D32">
        <w:t>Anti-Indigenous discrimination</w:t>
      </w:r>
      <w:bookmarkEnd w:id="26"/>
    </w:p>
    <w:p w14:paraId="5DFC4E09" w14:textId="75C17192" w:rsidR="000206FB" w:rsidRPr="00872D32" w:rsidRDefault="005F37AF" w:rsidP="000206FB">
      <w:r w:rsidRPr="00872D32">
        <w:rPr>
          <w:rFonts w:cs="Arial"/>
        </w:rPr>
        <w:t xml:space="preserve">Reconciliation has been and continues to be a </w:t>
      </w:r>
      <w:hyperlink r:id="rId22" w:history="1">
        <w:r w:rsidRPr="00872D32">
          <w:rPr>
            <w:rStyle w:val="Hyperlink"/>
            <w:rFonts w:cs="Arial"/>
          </w:rPr>
          <w:t>priority</w:t>
        </w:r>
      </w:hyperlink>
      <w:r w:rsidRPr="00872D32">
        <w:rPr>
          <w:rFonts w:cs="Arial"/>
        </w:rPr>
        <w:t xml:space="preserve"> for the OHRC</w:t>
      </w:r>
      <w:r w:rsidR="009E7D16" w:rsidRPr="00872D32">
        <w:rPr>
          <w:rFonts w:cs="Arial"/>
        </w:rPr>
        <w:t xml:space="preserve">, recognizing </w:t>
      </w:r>
      <w:r w:rsidRPr="00872D32">
        <w:rPr>
          <w:rFonts w:cs="Arial"/>
        </w:rPr>
        <w:t xml:space="preserve">the enduring impact of colonialism on Indigenous peoples </w:t>
      </w:r>
      <w:r w:rsidR="009E7D16" w:rsidRPr="00872D32">
        <w:rPr>
          <w:rFonts w:cs="Arial"/>
        </w:rPr>
        <w:t xml:space="preserve">and </w:t>
      </w:r>
      <w:r w:rsidRPr="00872D32">
        <w:rPr>
          <w:rFonts w:cs="Arial"/>
        </w:rPr>
        <w:t xml:space="preserve">the important role that </w:t>
      </w:r>
      <w:r w:rsidR="009E7D16" w:rsidRPr="00872D32">
        <w:rPr>
          <w:rFonts w:cs="Arial"/>
        </w:rPr>
        <w:t>the OHRC</w:t>
      </w:r>
      <w:r w:rsidRPr="00872D32">
        <w:rPr>
          <w:rFonts w:cs="Arial"/>
        </w:rPr>
        <w:t xml:space="preserve"> must play in addressing critical human rights issues affecting Indigenous peoples.</w:t>
      </w:r>
      <w:r w:rsidR="00397C33" w:rsidRPr="00872D32">
        <w:rPr>
          <w:rFonts w:cs="Arial"/>
        </w:rPr>
        <w:t xml:space="preserve"> </w:t>
      </w:r>
      <w:r w:rsidR="00397C33" w:rsidRPr="00872D32">
        <w:t>As part of its commitment to truth and reconciliation, the OHRC is working to:</w:t>
      </w:r>
    </w:p>
    <w:p w14:paraId="06812DA9" w14:textId="7B7B5DC2" w:rsidR="004F0218" w:rsidRPr="00872D32" w:rsidRDefault="004F0218" w:rsidP="004F0218">
      <w:pPr>
        <w:numPr>
          <w:ilvl w:val="0"/>
          <w:numId w:val="35"/>
        </w:numPr>
        <w:rPr>
          <w:rFonts w:cs="Arial"/>
        </w:rPr>
      </w:pPr>
      <w:r w:rsidRPr="00872D32">
        <w:rPr>
          <w:rFonts w:cs="Arial"/>
        </w:rPr>
        <w:t xml:space="preserve">Continue to build the OHRC’s internal knowledge and understanding of the rich diversity of Indigenous issues, needs, knowledge and laws, and develop </w:t>
      </w:r>
      <w:r w:rsidR="00E75719" w:rsidRPr="00872D32">
        <w:rPr>
          <w:rFonts w:cs="Arial"/>
        </w:rPr>
        <w:t>the OHRC’s</w:t>
      </w:r>
      <w:r w:rsidRPr="00872D32">
        <w:rPr>
          <w:rFonts w:cs="Arial"/>
        </w:rPr>
        <w:t xml:space="preserve"> organizational capacity to be trusted and knowledgeable collaborators and partners</w:t>
      </w:r>
    </w:p>
    <w:p w14:paraId="24C172AE" w14:textId="72587E5E" w:rsidR="004F0218" w:rsidRPr="00872D32" w:rsidRDefault="004F0218" w:rsidP="004F0218">
      <w:pPr>
        <w:numPr>
          <w:ilvl w:val="0"/>
          <w:numId w:val="35"/>
        </w:numPr>
        <w:rPr>
          <w:rFonts w:cs="Arial"/>
        </w:rPr>
      </w:pPr>
      <w:r w:rsidRPr="00872D32">
        <w:rPr>
          <w:rFonts w:cs="Arial"/>
        </w:rPr>
        <w:t xml:space="preserve">Strengthen </w:t>
      </w:r>
      <w:r w:rsidR="00E75719" w:rsidRPr="00872D32">
        <w:rPr>
          <w:rFonts w:cs="Arial"/>
        </w:rPr>
        <w:t xml:space="preserve">the </w:t>
      </w:r>
      <w:r w:rsidRPr="00872D32">
        <w:rPr>
          <w:rFonts w:cs="Arial"/>
        </w:rPr>
        <w:t>OHRC’s dialogue, relationships and engagement with Indigenous communities across Ontario</w:t>
      </w:r>
    </w:p>
    <w:p w14:paraId="6EA2C25A" w14:textId="0340DA5F" w:rsidR="004F0218" w:rsidRPr="00872D32" w:rsidRDefault="004F0218" w:rsidP="000206FB">
      <w:pPr>
        <w:numPr>
          <w:ilvl w:val="0"/>
          <w:numId w:val="35"/>
        </w:numPr>
        <w:rPr>
          <w:rFonts w:cs="Arial"/>
        </w:rPr>
      </w:pPr>
      <w:r w:rsidRPr="00872D32">
        <w:rPr>
          <w:rFonts w:cs="Arial"/>
        </w:rPr>
        <w:lastRenderedPageBreak/>
        <w:t>Work together with Indigenous communities to identify and advance human rights priorities and actions.</w:t>
      </w:r>
    </w:p>
    <w:p w14:paraId="512C7E4B" w14:textId="77777777" w:rsidR="000206FB" w:rsidRPr="00872D32" w:rsidRDefault="000206FB" w:rsidP="000206FB">
      <w:pPr>
        <w:pStyle w:val="Heading3"/>
      </w:pPr>
      <w:bookmarkStart w:id="27" w:name="_Toc217480177"/>
      <w:r w:rsidRPr="00872D32">
        <w:t>Addressing the over-representation of Indigenous children in child welfare</w:t>
      </w:r>
      <w:bookmarkEnd w:id="27"/>
      <w:r w:rsidRPr="00872D32">
        <w:t> </w:t>
      </w:r>
    </w:p>
    <w:p w14:paraId="7D5094CD" w14:textId="77777777" w:rsidR="000B00DD" w:rsidRPr="00872D32" w:rsidRDefault="000B00DD" w:rsidP="000B00DD">
      <w:pPr>
        <w:rPr>
          <w:i/>
        </w:rPr>
      </w:pPr>
      <w:r w:rsidRPr="00872D32">
        <w:rPr>
          <w:i/>
        </w:rPr>
        <w:t>Responding to the following sections of the Committee’s LOIPR:</w:t>
      </w:r>
    </w:p>
    <w:p w14:paraId="3D1D68F3" w14:textId="2A621CDF" w:rsidR="000B00DD" w:rsidRPr="00872D32" w:rsidRDefault="000B00DD" w:rsidP="000B00DD">
      <w:pPr>
        <w:pStyle w:val="ListParagraph"/>
        <w:numPr>
          <w:ilvl w:val="0"/>
          <w:numId w:val="9"/>
        </w:numPr>
      </w:pPr>
      <w:r w:rsidRPr="00872D32">
        <w:rPr>
          <w:i/>
          <w:iCs/>
        </w:rPr>
        <w:t>Fight against impunity and past human rights violations (para. 3</w:t>
      </w:r>
      <w:r w:rsidR="002B4F1B" w:rsidRPr="00872D32">
        <w:rPr>
          <w:i/>
          <w:iCs/>
        </w:rPr>
        <w:t>(a)</w:t>
      </w:r>
      <w:r w:rsidRPr="00872D32">
        <w:rPr>
          <w:i/>
          <w:iCs/>
        </w:rPr>
        <w:t>)</w:t>
      </w:r>
    </w:p>
    <w:p w14:paraId="232A158C" w14:textId="375B955A" w:rsidR="000B00DD" w:rsidRPr="00872D32" w:rsidRDefault="000B00DD" w:rsidP="000B00DD">
      <w:pPr>
        <w:pStyle w:val="ListParagraph"/>
        <w:numPr>
          <w:ilvl w:val="0"/>
          <w:numId w:val="9"/>
        </w:numPr>
      </w:pPr>
      <w:r w:rsidRPr="00872D32">
        <w:rPr>
          <w:i/>
          <w:iCs/>
        </w:rPr>
        <w:t>Rights of the child (para. 23)</w:t>
      </w:r>
    </w:p>
    <w:p w14:paraId="4884CED3" w14:textId="3BCA8222" w:rsidR="000D1CEC" w:rsidRPr="00872D32" w:rsidRDefault="000206FB" w:rsidP="000D52A8">
      <w:pPr>
        <w:spacing w:before="240"/>
      </w:pPr>
      <w:r w:rsidRPr="00872D32">
        <w:t xml:space="preserve">Between 2016 and 2018, the OHRC carried out a </w:t>
      </w:r>
      <w:hyperlink r:id="rId23" w:history="1">
        <w:r w:rsidRPr="00872D32">
          <w:rPr>
            <w:rStyle w:val="Hyperlink"/>
          </w:rPr>
          <w:t>public inquiry</w:t>
        </w:r>
      </w:hyperlink>
      <w:r w:rsidRPr="00872D32">
        <w:t xml:space="preserve"> to examine the involvement of Indigenous and racialized children and youth in Ontario’s child welfare system. </w:t>
      </w:r>
    </w:p>
    <w:p w14:paraId="17D21F07" w14:textId="0686AFD6" w:rsidR="00AE7694" w:rsidRPr="00872D32" w:rsidRDefault="00570AAD" w:rsidP="000206FB">
      <w:r w:rsidRPr="00872D32">
        <w:t xml:space="preserve">The OHRC </w:t>
      </w:r>
      <w:r w:rsidR="00DD43FE" w:rsidRPr="00872D32">
        <w:t>concluded</w:t>
      </w:r>
      <w:r w:rsidRPr="00872D32">
        <w:t xml:space="preserve"> that </w:t>
      </w:r>
      <w:r w:rsidR="00EA7164" w:rsidRPr="00872D32">
        <w:t xml:space="preserve">Indigenous and Black children and youth are over-represented in admissions into care at many </w:t>
      </w:r>
      <w:r w:rsidR="007F50A3" w:rsidRPr="00872D32">
        <w:t xml:space="preserve">child welfare </w:t>
      </w:r>
      <w:r w:rsidR="00EA7164" w:rsidRPr="00872D32">
        <w:t>agencies in Ontario</w:t>
      </w:r>
      <w:r w:rsidR="007F50A3" w:rsidRPr="00872D32">
        <w:t xml:space="preserve"> (“children’s aid societies”)</w:t>
      </w:r>
      <w:r w:rsidRPr="00872D32">
        <w:t>.</w:t>
      </w:r>
      <w:r w:rsidR="00AE7694" w:rsidRPr="00872D32">
        <w:t xml:space="preserve"> Based on data available at the time, </w:t>
      </w:r>
      <w:r w:rsidR="00A14154" w:rsidRPr="00872D32">
        <w:t>the OHRC</w:t>
      </w:r>
      <w:r w:rsidR="00AF203C" w:rsidRPr="00872D32">
        <w:t xml:space="preserve"> notably</w:t>
      </w:r>
      <w:r w:rsidR="00A14154" w:rsidRPr="00872D32">
        <w:t xml:space="preserve"> found that</w:t>
      </w:r>
      <w:r w:rsidR="00AE7694" w:rsidRPr="00872D32">
        <w:t xml:space="preserve"> </w:t>
      </w:r>
      <w:r w:rsidR="00AF203C" w:rsidRPr="00872D32">
        <w:t>Indigenous children were over-represented in admissions into care at 93% of agencies examined</w:t>
      </w:r>
      <w:r w:rsidR="750F1316" w:rsidRPr="00872D32">
        <w:t>.</w:t>
      </w:r>
      <w:r w:rsidR="000C21CC" w:rsidRPr="00872D32">
        <w:t xml:space="preserve"> The OHRC also found</w:t>
      </w:r>
      <w:r w:rsidR="00506A76" w:rsidRPr="00872D32">
        <w:t xml:space="preserve"> that race-based data collection processes and practices </w:t>
      </w:r>
      <w:r w:rsidR="000C21CC" w:rsidRPr="00872D32">
        <w:t>were</w:t>
      </w:r>
      <w:r w:rsidR="00506A76" w:rsidRPr="00872D32">
        <w:t xml:space="preserve"> a patchwork across the child welfare sector</w:t>
      </w:r>
      <w:r w:rsidR="00775BD3" w:rsidRPr="00872D32">
        <w:t xml:space="preserve"> and</w:t>
      </w:r>
      <w:r w:rsidR="001E33DC" w:rsidRPr="00872D32">
        <w:t xml:space="preserve"> noted that </w:t>
      </w:r>
      <w:r w:rsidR="0047264E" w:rsidRPr="00872D32">
        <w:t>its findings</w:t>
      </w:r>
      <w:r w:rsidR="000C21CC" w:rsidRPr="00872D32">
        <w:t xml:space="preserve"> likely underestimated the proportions of Indigenous children </w:t>
      </w:r>
      <w:r w:rsidR="0035458F" w:rsidRPr="00872D32">
        <w:t>admitted</w:t>
      </w:r>
      <w:r w:rsidR="000C21CC" w:rsidRPr="00872D32">
        <w:t xml:space="preserve"> into care, in part because the OHRC’s sample only included non-Indigenous </w:t>
      </w:r>
      <w:r w:rsidR="0047264E" w:rsidRPr="00872D32">
        <w:t>children aid societies.</w:t>
      </w:r>
      <w:r w:rsidR="00AE7694" w:rsidRPr="00872D32">
        <w:t xml:space="preserve"> </w:t>
      </w:r>
    </w:p>
    <w:p w14:paraId="13F088D3" w14:textId="0309E695" w:rsidR="001B5F64" w:rsidRPr="00872D32" w:rsidRDefault="001B5F64" w:rsidP="000D1CEC">
      <w:r w:rsidRPr="00872D32">
        <w:t>As a result of the</w:t>
      </w:r>
      <w:r w:rsidR="00AE7694" w:rsidRPr="00872D32">
        <w:t xml:space="preserve"> inquiry</w:t>
      </w:r>
      <w:r w:rsidRPr="00872D32">
        <w:t xml:space="preserve"> findings, the OHRC </w:t>
      </w:r>
      <w:r w:rsidR="00994D23" w:rsidRPr="00872D32">
        <w:t>called on the Government of Ontario to</w:t>
      </w:r>
      <w:r w:rsidR="005F2704" w:rsidRPr="00872D32">
        <w:t xml:space="preserve"> develop a provincial strategy</w:t>
      </w:r>
      <w:r w:rsidR="00C55DF3" w:rsidRPr="00872D32">
        <w:t xml:space="preserve"> aimed at </w:t>
      </w:r>
      <w:r w:rsidR="005F2704" w:rsidRPr="00872D32">
        <w:t>identify</w:t>
      </w:r>
      <w:r w:rsidR="00C55DF3" w:rsidRPr="00872D32">
        <w:t>ing</w:t>
      </w:r>
      <w:r w:rsidR="005F2704" w:rsidRPr="00872D32">
        <w:t xml:space="preserve"> and address</w:t>
      </w:r>
      <w:r w:rsidR="00C55DF3" w:rsidRPr="00872D32">
        <w:t>ing</w:t>
      </w:r>
      <w:r w:rsidR="005F2704" w:rsidRPr="00872D32">
        <w:t xml:space="preserve"> how families’ social and economic conditions are linked to racial disproportionality and disparity in the system.</w:t>
      </w:r>
      <w:r w:rsidR="00994D23" w:rsidRPr="00872D32">
        <w:t xml:space="preserve"> </w:t>
      </w:r>
      <w:r w:rsidR="00C55DF3" w:rsidRPr="00872D32">
        <w:t>The OHRC also urged children</w:t>
      </w:r>
      <w:r w:rsidR="00C72983" w:rsidRPr="00872D32">
        <w:t>’s</w:t>
      </w:r>
      <w:r w:rsidR="00C55DF3" w:rsidRPr="00872D32">
        <w:t xml:space="preserve"> aid societies</w:t>
      </w:r>
      <w:r w:rsidR="000D1CEC" w:rsidRPr="00872D32">
        <w:t xml:space="preserve"> to acknowledge the inquiry’s findings and to investigate whether their structures, policies, processes, decision-making practices and organizational cultures adversely affect Indigenous and Black families, and potentially violate the </w:t>
      </w:r>
      <w:r w:rsidR="000D1CEC" w:rsidRPr="00872D32">
        <w:rPr>
          <w:i/>
          <w:iCs/>
        </w:rPr>
        <w:t>Code</w:t>
      </w:r>
      <w:r w:rsidR="000D1CEC" w:rsidRPr="00872D32">
        <w:t>.</w:t>
      </w:r>
    </w:p>
    <w:p w14:paraId="74D5C387" w14:textId="2416E6CD" w:rsidR="00116B30" w:rsidRPr="00872D32" w:rsidRDefault="007D5730" w:rsidP="000D1CEC">
      <w:r w:rsidRPr="00872D32">
        <w:t>Eight</w:t>
      </w:r>
      <w:r w:rsidR="00A51655" w:rsidRPr="00872D32">
        <w:t xml:space="preserve"> years later, </w:t>
      </w:r>
      <w:r w:rsidR="00C366DD" w:rsidRPr="00872D32">
        <w:t>the</w:t>
      </w:r>
      <w:r w:rsidR="00936E0A" w:rsidRPr="00872D32">
        <w:t xml:space="preserve"> OHRC’s</w:t>
      </w:r>
      <w:r w:rsidR="00C366DD" w:rsidRPr="00872D32">
        <w:t xml:space="preserve"> recommendations have </w:t>
      </w:r>
      <w:r w:rsidR="00825BCD" w:rsidRPr="00872D32">
        <w:t xml:space="preserve">only </w:t>
      </w:r>
      <w:r w:rsidR="00FF1FD7" w:rsidRPr="00872D32">
        <w:t>been partly</w:t>
      </w:r>
      <w:r w:rsidR="00C366DD" w:rsidRPr="00872D32">
        <w:t xml:space="preserve"> implemented</w:t>
      </w:r>
      <w:r w:rsidR="006C2ACD" w:rsidRPr="00872D32">
        <w:t>.</w:t>
      </w:r>
      <w:r w:rsidR="000274BF" w:rsidRPr="00872D32">
        <w:t xml:space="preserve"> </w:t>
      </w:r>
      <w:r w:rsidR="000B1131" w:rsidRPr="00872D32">
        <w:t>The</w:t>
      </w:r>
      <w:r w:rsidR="000274BF" w:rsidRPr="00872D32">
        <w:t xml:space="preserve"> OHRC is </w:t>
      </w:r>
      <w:r w:rsidR="00FC19EB">
        <w:t>aware of</w:t>
      </w:r>
      <w:r w:rsidR="00825BCD" w:rsidRPr="00872D32">
        <w:t xml:space="preserve"> commitments made to implementing the Truth and Reconciliation Commissions’ Calls to Action across </w:t>
      </w:r>
      <w:r w:rsidR="003578DE" w:rsidRPr="00872D32">
        <w:t xml:space="preserve">the </w:t>
      </w:r>
      <w:r w:rsidR="00825BCD" w:rsidRPr="00872D32">
        <w:t>sector</w:t>
      </w:r>
      <w:r w:rsidR="003578DE" w:rsidRPr="00872D32">
        <w:t xml:space="preserve"> as well as</w:t>
      </w:r>
      <w:r w:rsidR="000274BF" w:rsidRPr="00872D32">
        <w:t xml:space="preserve"> progress in terms of </w:t>
      </w:r>
      <w:r w:rsidR="001C691A" w:rsidRPr="00872D32">
        <w:t>legal</w:t>
      </w:r>
      <w:r w:rsidR="000274BF" w:rsidRPr="00872D32">
        <w:t xml:space="preserve"> requirements</w:t>
      </w:r>
      <w:r w:rsidR="001C691A" w:rsidRPr="00872D32">
        <w:t xml:space="preserve"> for</w:t>
      </w:r>
      <w:r w:rsidR="00215506" w:rsidRPr="00872D32">
        <w:t xml:space="preserve"> non-Indigenous</w:t>
      </w:r>
      <w:r w:rsidR="001C691A" w:rsidRPr="00872D32">
        <w:t xml:space="preserve"> children</w:t>
      </w:r>
      <w:r w:rsidR="0054228B" w:rsidRPr="00872D32">
        <w:t xml:space="preserve">’s aid societies </w:t>
      </w:r>
      <w:r w:rsidR="001C691A" w:rsidRPr="00872D32">
        <w:t>to collect disaggregated race-based data</w:t>
      </w:r>
      <w:r w:rsidR="00567E6C" w:rsidRPr="00872D32">
        <w:t xml:space="preserve"> (</w:t>
      </w:r>
      <w:r w:rsidR="00215506" w:rsidRPr="00872D32">
        <w:t>f</w:t>
      </w:r>
      <w:r w:rsidR="000274BF" w:rsidRPr="00872D32">
        <w:t>or instance</w:t>
      </w:r>
      <w:r w:rsidR="000B1131" w:rsidRPr="00872D32">
        <w:t>,</w:t>
      </w:r>
      <w:r w:rsidR="000274BF" w:rsidRPr="00872D32">
        <w:t xml:space="preserve"> </w:t>
      </w:r>
      <w:r w:rsidR="00215506" w:rsidRPr="00872D32">
        <w:t xml:space="preserve">through 2019 and 2021 </w:t>
      </w:r>
      <w:r w:rsidR="000B1131" w:rsidRPr="00872D32">
        <w:t xml:space="preserve">amendments to </w:t>
      </w:r>
      <w:hyperlink r:id="rId24" w:anchor="act-verion" w:history="1">
        <w:r w:rsidR="000B1131" w:rsidRPr="00872D32">
          <w:rPr>
            <w:rStyle w:val="Hyperlink"/>
            <w:i/>
            <w:iCs/>
          </w:rPr>
          <w:t>Ontario Regulation 267/18</w:t>
        </w:r>
      </w:hyperlink>
      <w:r w:rsidR="000B1131" w:rsidRPr="00872D32">
        <w:t xml:space="preserve"> under Ontario’s </w:t>
      </w:r>
      <w:hyperlink r:id="rId25" w:history="1">
        <w:r w:rsidR="002A0A3F" w:rsidRPr="00872D32">
          <w:rPr>
            <w:rStyle w:val="Hyperlink"/>
            <w:i/>
            <w:iCs/>
          </w:rPr>
          <w:t>Anti-Racism Act, 2017</w:t>
        </w:r>
      </w:hyperlink>
      <w:r w:rsidR="002A0A3F" w:rsidRPr="00872D32">
        <w:rPr>
          <w:i/>
          <w:iCs/>
        </w:rPr>
        <w:t>,</w:t>
      </w:r>
      <w:r w:rsidR="000B1131" w:rsidRPr="00872D32">
        <w:rPr>
          <w:i/>
          <w:iCs/>
        </w:rPr>
        <w:t xml:space="preserve"> </w:t>
      </w:r>
      <w:r w:rsidR="00215506" w:rsidRPr="00872D32">
        <w:t xml:space="preserve">and through </w:t>
      </w:r>
      <w:r w:rsidR="000B1131" w:rsidRPr="00872D32">
        <w:t xml:space="preserve">the </w:t>
      </w:r>
      <w:r w:rsidR="000C695D" w:rsidRPr="00872D32">
        <w:t xml:space="preserve">2021 </w:t>
      </w:r>
      <w:r w:rsidR="000274BF" w:rsidRPr="00872D32">
        <w:rPr>
          <w:i/>
          <w:iCs/>
        </w:rPr>
        <w:t>Policy directive</w:t>
      </w:r>
      <w:r w:rsidR="001E1EA3" w:rsidRPr="00872D32">
        <w:rPr>
          <w:i/>
          <w:iCs/>
        </w:rPr>
        <w:t xml:space="preserve">: </w:t>
      </w:r>
      <w:r w:rsidR="000274BF" w:rsidRPr="00872D32">
        <w:rPr>
          <w:i/>
          <w:iCs/>
        </w:rPr>
        <w:t>CW 003-21: Collection and reporting of identity-based data</w:t>
      </w:r>
      <w:r w:rsidR="00567E6C" w:rsidRPr="00872D32">
        <w:t>)</w:t>
      </w:r>
      <w:r w:rsidR="0041780E" w:rsidRPr="00872D32">
        <w:t>.</w:t>
      </w:r>
      <w:r w:rsidR="00242777" w:rsidRPr="00872D32">
        <w:t xml:space="preserve"> The OHRC is also aware of </w:t>
      </w:r>
      <w:r w:rsidR="00AE17D6" w:rsidRPr="00872D32">
        <w:t xml:space="preserve">the Government of Ontario’s </w:t>
      </w:r>
      <w:hyperlink r:id="rId26" w:history="1">
        <w:r w:rsidR="00AE17D6" w:rsidRPr="00872D32">
          <w:rPr>
            <w:rStyle w:val="Hyperlink"/>
          </w:rPr>
          <w:t>Indigenous Children and Youth Strategy</w:t>
        </w:r>
      </w:hyperlink>
      <w:r w:rsidR="00AE17D6" w:rsidRPr="00872D32">
        <w:t xml:space="preserve"> and </w:t>
      </w:r>
      <w:r w:rsidR="0045519A" w:rsidRPr="00872D32">
        <w:t xml:space="preserve">of </w:t>
      </w:r>
      <w:hyperlink r:id="rId27" w:history="1">
        <w:r w:rsidR="0045519A" w:rsidRPr="00872D32">
          <w:rPr>
            <w:rStyle w:val="Hyperlink"/>
          </w:rPr>
          <w:t>efforts by the province</w:t>
        </w:r>
      </w:hyperlink>
      <w:r w:rsidR="0045519A" w:rsidRPr="00872D32">
        <w:t xml:space="preserve"> to align with the Government of Canada’s </w:t>
      </w:r>
      <w:hyperlink r:id="rId28" w:history="1">
        <w:r w:rsidR="0045519A" w:rsidRPr="00872D32">
          <w:rPr>
            <w:rStyle w:val="Hyperlink"/>
            <w:i/>
            <w:iCs/>
          </w:rPr>
          <w:t>An Act respecting First Nations, Inuit and Métis children, youth and families, 2019</w:t>
        </w:r>
      </w:hyperlink>
      <w:r w:rsidR="0045519A" w:rsidRPr="00872D32">
        <w:t>.</w:t>
      </w:r>
    </w:p>
    <w:p w14:paraId="48498EB0" w14:textId="6B6012FE" w:rsidR="00C52143" w:rsidRPr="00872D32" w:rsidRDefault="000B1131" w:rsidP="003E5EC5">
      <w:r w:rsidRPr="00872D32">
        <w:lastRenderedPageBreak/>
        <w:t>At the same time</w:t>
      </w:r>
      <w:r w:rsidR="009B5A72" w:rsidRPr="00872D32">
        <w:t xml:space="preserve">, </w:t>
      </w:r>
      <w:r w:rsidR="00327EEB" w:rsidRPr="00872D32">
        <w:t>the OHRC’s call</w:t>
      </w:r>
      <w:r w:rsidR="00FC19EB">
        <w:t>s</w:t>
      </w:r>
      <w:r w:rsidR="00327EEB" w:rsidRPr="00872D32">
        <w:t xml:space="preserve"> for </w:t>
      </w:r>
      <w:r w:rsidR="003C166C" w:rsidRPr="00872D32">
        <w:t>disaggregated</w:t>
      </w:r>
      <w:r w:rsidR="009B5A72" w:rsidRPr="00872D32">
        <w:t xml:space="preserve"> data </w:t>
      </w:r>
      <w:r w:rsidR="00327EEB" w:rsidRPr="00872D32">
        <w:t xml:space="preserve">to be </w:t>
      </w:r>
      <w:r w:rsidR="002401A3" w:rsidRPr="00872D32">
        <w:t xml:space="preserve">publicly available, including under the Government of Ontario’s </w:t>
      </w:r>
      <w:hyperlink r:id="rId29">
        <w:r w:rsidR="002401A3" w:rsidRPr="2D5E6CAB">
          <w:rPr>
            <w:rStyle w:val="Hyperlink"/>
          </w:rPr>
          <w:t>Open Data directive</w:t>
        </w:r>
      </w:hyperlink>
      <w:r w:rsidR="000444BF" w:rsidRPr="00872D32">
        <w:t xml:space="preserve">, and for </w:t>
      </w:r>
      <w:r w:rsidR="00B16279" w:rsidRPr="00872D32">
        <w:t xml:space="preserve">annual reporting on </w:t>
      </w:r>
      <w:r w:rsidR="000444BF" w:rsidRPr="00872D32">
        <w:t xml:space="preserve">efforts by all children’s aid societies to address systemic racism </w:t>
      </w:r>
      <w:r w:rsidR="002401A3" w:rsidRPr="00872D32">
        <w:t xml:space="preserve">have not been </w:t>
      </w:r>
      <w:r w:rsidR="004A63F4">
        <w:t>implemented</w:t>
      </w:r>
      <w:r w:rsidR="00701990" w:rsidRPr="00872D32">
        <w:t>.</w:t>
      </w:r>
      <w:r w:rsidR="00245A2A" w:rsidRPr="00872D32">
        <w:t xml:space="preserve"> </w:t>
      </w:r>
      <w:r w:rsidR="00B16279" w:rsidRPr="00872D32">
        <w:t xml:space="preserve">Respecting First Nations, Métis, and Inuit data sovereignty, the OHRC </w:t>
      </w:r>
      <w:r w:rsidR="00FC19EB">
        <w:t xml:space="preserve">continues to be </w:t>
      </w:r>
      <w:r w:rsidR="00B16279" w:rsidRPr="00872D32">
        <w:t xml:space="preserve">concerned that a lack of open data from both Indigenous and non-Indigenous children’s aid societies represents a significant obstacle to effectively monitoring progress and identifying wise practices. </w:t>
      </w:r>
    </w:p>
    <w:p w14:paraId="7A1811EE" w14:textId="36EA185A" w:rsidR="00A4311E" w:rsidRPr="00872D32" w:rsidRDefault="00B16279" w:rsidP="003E5EC5">
      <w:r w:rsidRPr="00872D32">
        <w:t>This</w:t>
      </w:r>
      <w:r w:rsidR="00245A2A" w:rsidRPr="00872D32">
        <w:t xml:space="preserve"> is especially concerning </w:t>
      </w:r>
      <w:r w:rsidR="005A4212" w:rsidRPr="00872D32">
        <w:t>considering that the over-</w:t>
      </w:r>
      <w:r w:rsidR="00C52143" w:rsidRPr="00872D32">
        <w:t>representation</w:t>
      </w:r>
      <w:r w:rsidR="005A4212" w:rsidRPr="00872D32">
        <w:t xml:space="preserve"> of Indigenous children in the child welfare system persists</w:t>
      </w:r>
      <w:r w:rsidR="00D952EF" w:rsidRPr="00872D32">
        <w:t>. Da</w:t>
      </w:r>
      <w:r w:rsidR="00202AF1" w:rsidRPr="00872D32">
        <w:t xml:space="preserve">ta from the </w:t>
      </w:r>
      <w:hyperlink r:id="rId30" w:history="1">
        <w:r w:rsidR="00202AF1" w:rsidRPr="00872D32">
          <w:rPr>
            <w:rStyle w:val="Hyperlink"/>
          </w:rPr>
          <w:t xml:space="preserve">2021 cycle of Canada’s national census </w:t>
        </w:r>
        <w:r w:rsidR="00AF04EB" w:rsidRPr="00872D32">
          <w:rPr>
            <w:rStyle w:val="Hyperlink"/>
          </w:rPr>
          <w:t>shows</w:t>
        </w:r>
      </w:hyperlink>
      <w:r w:rsidR="00202AF1" w:rsidRPr="00872D32">
        <w:t xml:space="preserve"> that</w:t>
      </w:r>
      <w:r w:rsidR="00701990" w:rsidRPr="00872D32">
        <w:t xml:space="preserve"> </w:t>
      </w:r>
      <w:r w:rsidR="00202AF1" w:rsidRPr="00872D32">
        <w:t xml:space="preserve">Indigenous children accounted </w:t>
      </w:r>
      <w:r w:rsidR="00C6479B" w:rsidRPr="00872D32">
        <w:t xml:space="preserve">for </w:t>
      </w:r>
      <w:r w:rsidR="00202AF1" w:rsidRPr="00872D32">
        <w:t xml:space="preserve">53.8% of children in foster care despite representing only 7.7% of all children under 15 in the general population. </w:t>
      </w:r>
      <w:r w:rsidR="00D952EF" w:rsidRPr="00872D32">
        <w:t xml:space="preserve">In Ontario, </w:t>
      </w:r>
      <w:r w:rsidR="00456993" w:rsidRPr="00872D32">
        <w:t xml:space="preserve">data from the </w:t>
      </w:r>
      <w:hyperlink r:id="rId31" w:history="1">
        <w:r w:rsidR="00456993" w:rsidRPr="00872D32">
          <w:rPr>
            <w:rStyle w:val="Hyperlink"/>
          </w:rPr>
          <w:t xml:space="preserve">2023 cycle of the </w:t>
        </w:r>
        <w:r w:rsidR="00AF04EB" w:rsidRPr="00872D32">
          <w:rPr>
            <w:rStyle w:val="Hyperlink"/>
          </w:rPr>
          <w:t>Ontario Incidence Study</w:t>
        </w:r>
      </w:hyperlink>
      <w:r w:rsidR="00456993" w:rsidRPr="00872D32">
        <w:t xml:space="preserve"> </w:t>
      </w:r>
      <w:r w:rsidR="00E65483" w:rsidRPr="00872D32">
        <w:t>show</w:t>
      </w:r>
      <w:r w:rsidR="00AF04EB" w:rsidRPr="00872D32">
        <w:t>s</w:t>
      </w:r>
      <w:r w:rsidR="00E65483" w:rsidRPr="00872D32">
        <w:t xml:space="preserve"> that child welfare investigations for children under 15 were approximately five times more likely to involve a First Nations child than a non</w:t>
      </w:r>
      <w:r w:rsidR="00E65483" w:rsidRPr="00872D32">
        <w:noBreakHyphen/>
        <w:t>Indigenous child</w:t>
      </w:r>
      <w:r w:rsidR="00AF04EB" w:rsidRPr="00872D32">
        <w:t xml:space="preserve"> </w:t>
      </w:r>
      <w:r w:rsidR="00825BCD" w:rsidRPr="00872D32">
        <w:t xml:space="preserve">(a worsening trend compared to data from the 2018 cycle) </w:t>
      </w:r>
      <w:r w:rsidR="00AF04EB" w:rsidRPr="00872D32">
        <w:t xml:space="preserve">and that </w:t>
      </w:r>
      <w:r w:rsidR="00DB10E0" w:rsidRPr="00872D32">
        <w:t xml:space="preserve">First Nations children in substantiated maltreatment and confirmed risk investigations were </w:t>
      </w:r>
      <w:r w:rsidR="0030127F">
        <w:t>put</w:t>
      </w:r>
      <w:r w:rsidR="0030127F" w:rsidRPr="00872D32">
        <w:t xml:space="preserve"> </w:t>
      </w:r>
      <w:r w:rsidR="0013203F">
        <w:t xml:space="preserve">in </w:t>
      </w:r>
      <w:r w:rsidR="00DB10E0" w:rsidRPr="00872D32">
        <w:t>out-of-home</w:t>
      </w:r>
      <w:r w:rsidR="0030127F">
        <w:t xml:space="preserve"> placements</w:t>
      </w:r>
      <w:r w:rsidR="00DB10E0" w:rsidRPr="00872D32">
        <w:t xml:space="preserve"> at </w:t>
      </w:r>
      <w:r w:rsidR="00AF04EB" w:rsidRPr="00872D32">
        <w:t>17.3 times the rate of non</w:t>
      </w:r>
      <w:r w:rsidR="00AF04EB" w:rsidRPr="00872D32">
        <w:noBreakHyphen/>
        <w:t>Indigenous children</w:t>
      </w:r>
      <w:r w:rsidR="0004712F" w:rsidRPr="00872D32">
        <w:t xml:space="preserve"> involved in the same types of investigations</w:t>
      </w:r>
      <w:r w:rsidR="00E65483" w:rsidRPr="00872D32">
        <w:t>.</w:t>
      </w:r>
    </w:p>
    <w:p w14:paraId="7D19E0A2" w14:textId="6C8DF2BB" w:rsidR="00BF1C25" w:rsidRPr="00872D32" w:rsidRDefault="00CC1BEB" w:rsidP="000D1CEC">
      <w:r w:rsidRPr="00872D32">
        <w:t xml:space="preserve">Information is </w:t>
      </w:r>
      <w:r w:rsidR="0030127F">
        <w:t>limited</w:t>
      </w:r>
      <w:r w:rsidR="0030127F" w:rsidRPr="00872D32">
        <w:t xml:space="preserve"> </w:t>
      </w:r>
      <w:r w:rsidR="0030127F">
        <w:t>for</w:t>
      </w:r>
      <w:r w:rsidRPr="00872D32">
        <w:t xml:space="preserve"> </w:t>
      </w:r>
      <w:r w:rsidR="00B760E6" w:rsidRPr="00872D32">
        <w:t>Inuit and Métis children</w:t>
      </w:r>
      <w:r w:rsidRPr="00872D32">
        <w:t xml:space="preserve"> involved in Ontario’s child welfare system</w:t>
      </w:r>
      <w:r w:rsidR="00B760E6" w:rsidRPr="00872D32">
        <w:t xml:space="preserve">. </w:t>
      </w:r>
      <w:r w:rsidRPr="00872D32">
        <w:t>As an illustration of the breadth of this issue</w:t>
      </w:r>
      <w:r w:rsidR="00CA7C3A" w:rsidRPr="00872D32">
        <w:t>, in its</w:t>
      </w:r>
      <w:r w:rsidR="003578C1" w:rsidRPr="00872D32">
        <w:t xml:space="preserve"> 2024</w:t>
      </w:r>
      <w:r w:rsidR="00CA7C3A" w:rsidRPr="00872D32">
        <w:t xml:space="preserve"> </w:t>
      </w:r>
      <w:hyperlink r:id="rId32" w:history="1">
        <w:r w:rsidR="003578C1" w:rsidRPr="00872D32">
          <w:rPr>
            <w:rStyle w:val="Hyperlink"/>
            <w:i/>
            <w:iCs/>
          </w:rPr>
          <w:t>Data Discussion Paper: Inuit-specific child welfare data</w:t>
        </w:r>
      </w:hyperlink>
      <w:r w:rsidR="003578C1" w:rsidRPr="00872D32">
        <w:t xml:space="preserve">, </w:t>
      </w:r>
      <w:r w:rsidR="00175729" w:rsidRPr="00872D32">
        <w:t>Inuit Tapiriit Kanatami</w:t>
      </w:r>
      <w:r w:rsidR="008B725F" w:rsidRPr="00872D32">
        <w:t xml:space="preserve"> (</w:t>
      </w:r>
      <w:r w:rsidR="00DB33EF" w:rsidRPr="00872D32">
        <w:t>the national voice of Inuit in Canada</w:t>
      </w:r>
      <w:r w:rsidR="008B725F" w:rsidRPr="00872D32">
        <w:t>)</w:t>
      </w:r>
      <w:r w:rsidR="002C4F33" w:rsidRPr="00872D32">
        <w:t xml:space="preserve"> identified the lack of open data in Ontario as part of barriers and limitations to its findings</w:t>
      </w:r>
      <w:r w:rsidRPr="00872D32">
        <w:t xml:space="preserve">. The OHRC is concerned about this discrepancy and invites the Committee to </w:t>
      </w:r>
      <w:r w:rsidR="008B725F" w:rsidRPr="00872D32">
        <w:t>address it during the dialogue with Canada</w:t>
      </w:r>
      <w:r w:rsidR="004E4B32" w:rsidRPr="00872D32">
        <w:t>, in addition to addressing data availability (or the lack thereof) more generally</w:t>
      </w:r>
      <w:r w:rsidR="008B725F" w:rsidRPr="00872D32">
        <w:t>.</w:t>
      </w:r>
    </w:p>
    <w:p w14:paraId="09EA4285" w14:textId="58488D04" w:rsidR="00D82350" w:rsidRPr="00872D32" w:rsidRDefault="00D82350" w:rsidP="000206FB">
      <w:r w:rsidRPr="00872D32">
        <w:t xml:space="preserve">In </w:t>
      </w:r>
      <w:r w:rsidR="001459B5" w:rsidRPr="00872D32">
        <w:t>parallel to its inquiry</w:t>
      </w:r>
      <w:r w:rsidRPr="00872D32">
        <w:t xml:space="preserve">, </w:t>
      </w:r>
      <w:r w:rsidR="002F0777" w:rsidRPr="00872D32">
        <w:t>a</w:t>
      </w:r>
      <w:r w:rsidR="00737DCB" w:rsidRPr="00872D32">
        <w:t>s part of its</w:t>
      </w:r>
      <w:r w:rsidR="001459B5" w:rsidRPr="00872D32">
        <w:t xml:space="preserve"> 2017</w:t>
      </w:r>
      <w:r w:rsidR="00737DCB" w:rsidRPr="00872D32">
        <w:t xml:space="preserve"> reporting on </w:t>
      </w:r>
      <w:r w:rsidR="00E9187F" w:rsidRPr="00872D32">
        <w:t xml:space="preserve">consultation and research into racial profiling in Ontario, the </w:t>
      </w:r>
      <w:r w:rsidR="002F7287" w:rsidRPr="00872D32">
        <w:t xml:space="preserve">OHRC </w:t>
      </w:r>
      <w:r w:rsidR="0006741D" w:rsidRPr="00872D32">
        <w:t xml:space="preserve">highlighted concerns </w:t>
      </w:r>
      <w:r w:rsidR="00B566EB" w:rsidRPr="00872D32">
        <w:t xml:space="preserve">about </w:t>
      </w:r>
      <w:hyperlink r:id="rId33" w:history="1">
        <w:r w:rsidR="0006741D" w:rsidRPr="00872D32">
          <w:rPr>
            <w:rStyle w:val="Hyperlink"/>
          </w:rPr>
          <w:t>racial profiling in the child welfare sector</w:t>
        </w:r>
      </w:hyperlink>
      <w:r w:rsidR="0006741D" w:rsidRPr="00872D32">
        <w:t xml:space="preserve">, particularly affecting Black and Indigenous families. </w:t>
      </w:r>
      <w:r w:rsidR="00B566EB" w:rsidRPr="00872D32">
        <w:t xml:space="preserve">The OHRC heard that </w:t>
      </w:r>
      <w:r w:rsidR="00983C71" w:rsidRPr="00872D32">
        <w:t xml:space="preserve">racialized and Indigenous parents are disproportionately subjected to surveillance and scrutiny, that families are more likely to have prolonged child welfare involvement and </w:t>
      </w:r>
      <w:r w:rsidR="006306E2" w:rsidRPr="00872D32">
        <w:t xml:space="preserve">therefore </w:t>
      </w:r>
      <w:r w:rsidR="00983C71" w:rsidRPr="00872D32">
        <w:t>be more at risk of having their children apprehended, and that these experiences arise in part from incorrect assumptions about risk based on race and related grounds, as well as intersections between these grounds and poverty.</w:t>
      </w:r>
    </w:p>
    <w:p w14:paraId="53D2B012" w14:textId="079703D6" w:rsidR="00994D23" w:rsidRPr="00872D32" w:rsidRDefault="00994D23" w:rsidP="000206FB">
      <w:r w:rsidRPr="00872D32">
        <w:t>Since the release of the above-noted inquiry report, the OHRC has continued to engage with the Government of Ontario</w:t>
      </w:r>
      <w:r w:rsidR="008904F5" w:rsidRPr="00872D32">
        <w:t xml:space="preserve"> to advocate against </w:t>
      </w:r>
      <w:r w:rsidR="007E0C54" w:rsidRPr="00872D32">
        <w:t xml:space="preserve">discrimination in the child welfare sector and its disproportionate impacts on Indigenous children and families. </w:t>
      </w:r>
      <w:r w:rsidR="004D625E" w:rsidRPr="00872D32">
        <w:t xml:space="preserve">This includes a </w:t>
      </w:r>
      <w:hyperlink r:id="rId34" w:history="1">
        <w:r w:rsidR="004D625E" w:rsidRPr="00872D32">
          <w:rPr>
            <w:rStyle w:val="Hyperlink"/>
          </w:rPr>
          <w:t>letter</w:t>
        </w:r>
      </w:hyperlink>
      <w:r w:rsidR="004D625E" w:rsidRPr="00872D32">
        <w:t xml:space="preserve"> to the Ministry of Children, Community and Social Services in 2019 and</w:t>
      </w:r>
      <w:r w:rsidR="00920513" w:rsidRPr="00872D32">
        <w:t xml:space="preserve"> a </w:t>
      </w:r>
      <w:hyperlink r:id="rId35" w:anchor="overlay-context=en/news_centre/ohrcs-submission-legislated-review-child-youth-and-family-services-act-cyfsa" w:history="1">
        <w:r w:rsidR="00920513" w:rsidRPr="00872D32">
          <w:rPr>
            <w:rStyle w:val="Hyperlink"/>
          </w:rPr>
          <w:t>submission</w:t>
        </w:r>
      </w:hyperlink>
      <w:r w:rsidR="00920513" w:rsidRPr="00872D32">
        <w:t xml:space="preserve"> to inform the 2023 legislated review of the </w:t>
      </w:r>
      <w:r w:rsidR="00920513" w:rsidRPr="00872D32">
        <w:rPr>
          <w:i/>
          <w:iCs/>
        </w:rPr>
        <w:t>Child, Youth and Family Services Act</w:t>
      </w:r>
      <w:r w:rsidR="00920513" w:rsidRPr="00872D32">
        <w:t xml:space="preserve"> </w:t>
      </w:r>
      <w:r w:rsidR="00D10AAD" w:rsidRPr="00872D32">
        <w:t xml:space="preserve">and protect child and youth rights. </w:t>
      </w:r>
    </w:p>
    <w:p w14:paraId="3824F3BB" w14:textId="12D6267E" w:rsidR="005C2EDF" w:rsidRPr="00872D32" w:rsidRDefault="005C2EDF" w:rsidP="005C2EDF">
      <w:pPr>
        <w:pStyle w:val="Heading3"/>
      </w:pPr>
      <w:bookmarkStart w:id="28" w:name="_Toc217480178"/>
      <w:r w:rsidRPr="00872D32">
        <w:lastRenderedPageBreak/>
        <w:t>Combatting anti-Indigenous discrimination in healthcare</w:t>
      </w:r>
      <w:bookmarkEnd w:id="28"/>
      <w:r w:rsidRPr="00872D32">
        <w:t xml:space="preserve"> </w:t>
      </w:r>
    </w:p>
    <w:p w14:paraId="1758251A" w14:textId="2FA53758" w:rsidR="006D7818" w:rsidRPr="00872D32" w:rsidRDefault="006D7818" w:rsidP="000D52A8">
      <w:pPr>
        <w:rPr>
          <w:i/>
        </w:rPr>
      </w:pPr>
      <w:r w:rsidRPr="00872D32">
        <w:rPr>
          <w:i/>
        </w:rPr>
        <w:t>Responding to the following section of the Committee’s LOIPR:</w:t>
      </w:r>
    </w:p>
    <w:p w14:paraId="6A689D4C" w14:textId="1CE3D8BB" w:rsidR="00CD61A3" w:rsidRPr="00872D32" w:rsidRDefault="006D7818" w:rsidP="000D52A8">
      <w:pPr>
        <w:pStyle w:val="ListParagraph"/>
        <w:numPr>
          <w:ilvl w:val="0"/>
          <w:numId w:val="9"/>
        </w:numPr>
      </w:pPr>
      <w:r w:rsidRPr="00872D32">
        <w:rPr>
          <w:i/>
          <w:iCs/>
        </w:rPr>
        <w:t>Rights of indigenous peoples (para. 25(b))</w:t>
      </w:r>
    </w:p>
    <w:p w14:paraId="32DB1CDC" w14:textId="27E06063" w:rsidR="00810E7C" w:rsidRPr="00872D32" w:rsidRDefault="00503DD7" w:rsidP="000D52A8">
      <w:pPr>
        <w:spacing w:before="240"/>
      </w:pPr>
      <w:r w:rsidRPr="00872D32">
        <w:t>Since</w:t>
      </w:r>
      <w:r w:rsidR="005C2EDF" w:rsidRPr="00872D32">
        <w:t xml:space="preserve"> 2024, the </w:t>
      </w:r>
      <w:r w:rsidRPr="00872D32">
        <w:t>OHRC has been</w:t>
      </w:r>
      <w:r w:rsidR="005C2EDF" w:rsidRPr="00872D32">
        <w:t xml:space="preserve"> working with Indigenous partners to develop human rights </w:t>
      </w:r>
      <w:hyperlink r:id="rId36" w:history="1">
        <w:r w:rsidR="005C2EDF" w:rsidRPr="00872D32">
          <w:rPr>
            <w:rStyle w:val="Hyperlink"/>
          </w:rPr>
          <w:t>policy guidance</w:t>
        </w:r>
      </w:hyperlink>
      <w:r w:rsidR="005C2EDF" w:rsidRPr="00872D32">
        <w:t xml:space="preserve"> addressing longstanding and widespread anti-Indigenous discrimination in Ontario’s healthcare system. </w:t>
      </w:r>
      <w:r w:rsidR="00810E7C" w:rsidRPr="00872D32">
        <w:t>The OHRC’s policies set standards for how organizations should act to ensure compliance with the </w:t>
      </w:r>
      <w:r w:rsidR="00810E7C" w:rsidRPr="00872D32">
        <w:rPr>
          <w:i/>
          <w:iCs/>
        </w:rPr>
        <w:t>Code</w:t>
      </w:r>
      <w:r w:rsidR="00B77B1E">
        <w:rPr>
          <w:i/>
          <w:iCs/>
        </w:rPr>
        <w:t xml:space="preserve"> </w:t>
      </w:r>
      <w:r w:rsidR="00B77B1E" w:rsidRPr="004130DB">
        <w:t>and are</w:t>
      </w:r>
      <w:r w:rsidR="00810E7C" w:rsidRPr="00872D32">
        <w:t xml:space="preserve"> frequently cited and applied by the HRTO and other legal decision-makers.</w:t>
      </w:r>
    </w:p>
    <w:p w14:paraId="06D2EE9A" w14:textId="1D48BB11" w:rsidR="00F302EC" w:rsidRDefault="00E13200" w:rsidP="005C2EDF">
      <w:r w:rsidRPr="00872D32">
        <w:t>Indigenous organizations and communities have for years documented the many ways Indigenous-specific discrimination manifests in healthcare delivery</w:t>
      </w:r>
      <w:r w:rsidR="00ED4E31" w:rsidRPr="00872D32">
        <w:t xml:space="preserve"> (see, for example, the Wabano Centre for Aboriginal Health and Ottawa Aboriginal Coalition </w:t>
      </w:r>
      <w:hyperlink r:id="rId37" w:history="1">
        <w:r w:rsidR="00ED4E31" w:rsidRPr="00872D32">
          <w:rPr>
            <w:rStyle w:val="Hyperlink"/>
          </w:rPr>
          <w:t>Share Your Story Project</w:t>
        </w:r>
      </w:hyperlink>
      <w:r w:rsidR="00ED4E31" w:rsidRPr="00872D32">
        <w:t>)</w:t>
      </w:r>
      <w:r w:rsidR="00B50378" w:rsidRPr="00872D32">
        <w:t xml:space="preserve">. </w:t>
      </w:r>
      <w:r w:rsidR="00D3462D">
        <w:t>t</w:t>
      </w:r>
      <w:r w:rsidR="00B77B1E">
        <w:t>he</w:t>
      </w:r>
      <w:r w:rsidRPr="00872D32">
        <w:t xml:space="preserve"> OHRC is developing policy guidance </w:t>
      </w:r>
      <w:r w:rsidR="004A577A">
        <w:t xml:space="preserve">that will </w:t>
      </w:r>
      <w:r w:rsidRPr="00872D32">
        <w:t>set out what healthcare providers should do to meet legal obligations</w:t>
      </w:r>
      <w:r w:rsidR="000F2416" w:rsidRPr="00872D32">
        <w:t xml:space="preserve"> </w:t>
      </w:r>
      <w:r w:rsidR="00F302EC" w:rsidRPr="00F302EC">
        <w:t>to prevent and address Indigenous-specific discrimination</w:t>
      </w:r>
      <w:r w:rsidR="00F302EC">
        <w:t xml:space="preserve"> </w:t>
      </w:r>
      <w:r w:rsidR="000F2416" w:rsidRPr="00872D32">
        <w:t xml:space="preserve">under the </w:t>
      </w:r>
      <w:r w:rsidR="000F2416" w:rsidRPr="00872D32">
        <w:rPr>
          <w:i/>
          <w:iCs/>
        </w:rPr>
        <w:t>Code</w:t>
      </w:r>
      <w:r w:rsidRPr="00872D32">
        <w:t xml:space="preserve">. </w:t>
      </w:r>
    </w:p>
    <w:p w14:paraId="7CA72AF7" w14:textId="0A3D4F53" w:rsidR="005C2EDF" w:rsidRPr="00872D32" w:rsidRDefault="004A577A" w:rsidP="005C2EDF">
      <w:r>
        <w:t>T</w:t>
      </w:r>
      <w:r w:rsidRPr="004A577A">
        <w:t>he</w:t>
      </w:r>
      <w:r w:rsidR="00F302EC">
        <w:t xml:space="preserve"> policy</w:t>
      </w:r>
      <w:r w:rsidRPr="004A577A">
        <w:t xml:space="preserve"> will also help Indigenous </w:t>
      </w:r>
      <w:r w:rsidR="001D4282">
        <w:t>rights</w:t>
      </w:r>
      <w:r w:rsidR="00BF551D">
        <w:t xml:space="preserve"> </w:t>
      </w:r>
      <w:r w:rsidR="001D4282">
        <w:t>holders</w:t>
      </w:r>
      <w:r w:rsidRPr="004A577A">
        <w:t xml:space="preserve"> understand how they are protected by the </w:t>
      </w:r>
      <w:r w:rsidRPr="004130DB">
        <w:rPr>
          <w:i/>
          <w:iCs/>
        </w:rPr>
        <w:t>Code</w:t>
      </w:r>
      <w:r w:rsidRPr="004A577A">
        <w:t xml:space="preserve"> when seeking healthcare</w:t>
      </w:r>
      <w:r w:rsidR="00F302EC">
        <w:t xml:space="preserve"> services</w:t>
      </w:r>
      <w:r w:rsidRPr="004A577A">
        <w:t xml:space="preserve"> and provide a tool </w:t>
      </w:r>
      <w:r w:rsidR="00EC153A">
        <w:t xml:space="preserve">that </w:t>
      </w:r>
      <w:r w:rsidRPr="004A577A">
        <w:t>Indigenous organizations and communities can use to hold healthcare providers accountable.</w:t>
      </w:r>
      <w:r>
        <w:t xml:space="preserve"> </w:t>
      </w:r>
      <w:r w:rsidR="005C2EDF" w:rsidRPr="00872D32">
        <w:t xml:space="preserve">An engagement report presenting what the OHRC has heard through meetings with Indigenous health </w:t>
      </w:r>
      <w:r w:rsidR="00BD5CF2">
        <w:t xml:space="preserve">experts, </w:t>
      </w:r>
      <w:r w:rsidR="005E6EBE">
        <w:t xml:space="preserve">medical </w:t>
      </w:r>
      <w:r w:rsidR="005C2EDF" w:rsidRPr="00872D32">
        <w:t xml:space="preserve">professionals, organizations, and communities across the province </w:t>
      </w:r>
      <w:r w:rsidR="001D4282">
        <w:t>to inform th</w:t>
      </w:r>
      <w:r w:rsidR="00EC153A">
        <w:t>is</w:t>
      </w:r>
      <w:r w:rsidR="001D4282">
        <w:t xml:space="preserve"> policy</w:t>
      </w:r>
      <w:r w:rsidR="005C2EDF" w:rsidRPr="00872D32">
        <w:t xml:space="preserve"> is </w:t>
      </w:r>
      <w:r w:rsidR="00B77B1E">
        <w:t>in development</w:t>
      </w:r>
      <w:r w:rsidR="005C2EDF" w:rsidRPr="00872D32">
        <w:t>.  </w:t>
      </w:r>
    </w:p>
    <w:p w14:paraId="64850036" w14:textId="0B9C0481" w:rsidR="005C2EDF" w:rsidRPr="00872D32" w:rsidRDefault="00C93156" w:rsidP="11B9B46C">
      <w:r w:rsidRPr="00872D32">
        <w:t xml:space="preserve">The OHRC is also </w:t>
      </w:r>
      <w:r w:rsidR="00254B1A" w:rsidRPr="00872D32">
        <w:t xml:space="preserve">taking legal action to </w:t>
      </w:r>
      <w:r w:rsidRPr="00872D32">
        <w:t>combat systemic discrimination</w:t>
      </w:r>
      <w:r w:rsidR="00AB66A4" w:rsidRPr="00872D32">
        <w:t xml:space="preserve"> </w:t>
      </w:r>
      <w:r w:rsidR="00254B1A" w:rsidRPr="00872D32">
        <w:t xml:space="preserve">against Indigenous people </w:t>
      </w:r>
      <w:r w:rsidR="00D43909" w:rsidRPr="00872D32">
        <w:t>in healthcare</w:t>
      </w:r>
      <w:r w:rsidR="00AB66A4" w:rsidRPr="00872D32">
        <w:t xml:space="preserve">. </w:t>
      </w:r>
      <w:r w:rsidR="005C2EDF" w:rsidRPr="00872D32">
        <w:t xml:space="preserve">Joey Knapaysweet and Agnes Sutherland </w:t>
      </w:r>
      <w:r w:rsidR="008E1A18" w:rsidRPr="00872D32">
        <w:t xml:space="preserve">died </w:t>
      </w:r>
      <w:r w:rsidR="005C2EDF" w:rsidRPr="00872D32">
        <w:t>in 2018 after they traveled</w:t>
      </w:r>
      <w:r w:rsidR="0019070C" w:rsidRPr="00872D32">
        <w:t xml:space="preserve"> to Timmins</w:t>
      </w:r>
      <w:r w:rsidR="005C2EDF" w:rsidRPr="00872D32">
        <w:t xml:space="preserve"> </w:t>
      </w:r>
      <w:r w:rsidR="002274D0" w:rsidRPr="00872D32">
        <w:t xml:space="preserve">(more than 400 kilometres away) </w:t>
      </w:r>
      <w:r w:rsidR="005C2EDF" w:rsidRPr="00872D32">
        <w:t xml:space="preserve">to seek health services </w:t>
      </w:r>
      <w:r w:rsidR="00B77B1E">
        <w:t xml:space="preserve">that were </w:t>
      </w:r>
      <w:r w:rsidR="005C2EDF" w:rsidRPr="00872D32">
        <w:t>unavailable in</w:t>
      </w:r>
      <w:r w:rsidR="00405052" w:rsidRPr="00872D32">
        <w:t xml:space="preserve"> their community. </w:t>
      </w:r>
      <w:r w:rsidR="002C0019" w:rsidRPr="00872D32">
        <w:t xml:space="preserve">Their deaths highlight the serious and sometimes tragic result of systemic discrimination against </w:t>
      </w:r>
      <w:r w:rsidR="002D45DF" w:rsidRPr="00872D32">
        <w:t>Indigenous</w:t>
      </w:r>
      <w:r w:rsidR="002C0019" w:rsidRPr="00872D32">
        <w:t xml:space="preserve"> people in </w:t>
      </w:r>
      <w:r w:rsidR="00405052" w:rsidRPr="00872D32">
        <w:t>n</w:t>
      </w:r>
      <w:r w:rsidR="002C0019" w:rsidRPr="00872D32">
        <w:t xml:space="preserve">orthern Ontario. </w:t>
      </w:r>
    </w:p>
    <w:p w14:paraId="3428445C" w14:textId="56FF2EA0" w:rsidR="005C2EDF" w:rsidRPr="00872D32" w:rsidRDefault="002C0019" w:rsidP="005C2EDF">
      <w:r w:rsidRPr="00872D32">
        <w:t>T</w:t>
      </w:r>
      <w:r w:rsidR="005C2EDF" w:rsidRPr="00872D32">
        <w:t xml:space="preserve">he </w:t>
      </w:r>
      <w:r w:rsidR="531D81EA" w:rsidRPr="00872D32">
        <w:t>OHRC </w:t>
      </w:r>
      <w:hyperlink r:id="rId38">
        <w:r w:rsidR="531D81EA" w:rsidRPr="00872D32">
          <w:rPr>
            <w:rStyle w:val="Hyperlink"/>
          </w:rPr>
          <w:t>filed an application</w:t>
        </w:r>
      </w:hyperlink>
      <w:r w:rsidR="005C2EDF" w:rsidRPr="00872D32">
        <w:t xml:space="preserve"> in February 2020 with the HRTO alleging discrimination based on Indigenous ancestry by public service providers in Timmins, Ontario.</w:t>
      </w:r>
      <w:r w:rsidR="656F0740" w:rsidRPr="00872D32">
        <w:rPr>
          <w:rFonts w:ascii="Aptos" w:eastAsia="Aptos" w:hAnsi="Aptos" w:cs="Aptos"/>
        </w:rPr>
        <w:t xml:space="preserve"> </w:t>
      </w:r>
      <w:r w:rsidR="656F0740" w:rsidRPr="00872D32">
        <w:rPr>
          <w:rFonts w:cs="Arial"/>
        </w:rPr>
        <w:t>The OHRC’s application seeks public interest remedies to prevent future discrimination.</w:t>
      </w:r>
      <w:r w:rsidR="000D7563" w:rsidRPr="00872D32">
        <w:rPr>
          <w:rFonts w:cs="Arial"/>
        </w:rPr>
        <w:t xml:space="preserve"> T</w:t>
      </w:r>
      <w:r w:rsidR="1F5A3EC0" w:rsidRPr="00872D32">
        <w:rPr>
          <w:rFonts w:cs="Arial"/>
        </w:rPr>
        <w:t xml:space="preserve">he </w:t>
      </w:r>
      <w:r w:rsidR="002D45DF" w:rsidRPr="00872D32">
        <w:rPr>
          <w:rFonts w:cs="Arial"/>
        </w:rPr>
        <w:t>e</w:t>
      </w:r>
      <w:r w:rsidR="1F5A3EC0" w:rsidRPr="00872D32">
        <w:rPr>
          <w:rFonts w:cs="Arial"/>
        </w:rPr>
        <w:t xml:space="preserve">states </w:t>
      </w:r>
      <w:r w:rsidR="002D45DF" w:rsidRPr="00872D32">
        <w:rPr>
          <w:rFonts w:cs="Arial"/>
        </w:rPr>
        <w:t xml:space="preserve">of </w:t>
      </w:r>
      <w:r w:rsidR="002D45DF" w:rsidRPr="00872D32">
        <w:t xml:space="preserve">Joey Knapaysweet and Agnes Sutherland </w:t>
      </w:r>
      <w:r w:rsidR="1F5A3EC0" w:rsidRPr="00872D32">
        <w:rPr>
          <w:rFonts w:cs="Arial"/>
        </w:rPr>
        <w:t xml:space="preserve">have also filed applications with the HRTO alleging discrimination. </w:t>
      </w:r>
      <w:r w:rsidR="002D45DF" w:rsidRPr="00872D32">
        <w:rPr>
          <w:rFonts w:cs="Arial"/>
        </w:rPr>
        <w:t>In</w:t>
      </w:r>
      <w:r w:rsidR="1F5A3EC0" w:rsidRPr="00872D32">
        <w:rPr>
          <w:rFonts w:cs="Arial"/>
        </w:rPr>
        <w:t xml:space="preserve"> 2025, these applications were dismissed by the HRTO on the basis that an estate does not have legal standing to pursue a complaint under the </w:t>
      </w:r>
      <w:r w:rsidR="1F5A3EC0" w:rsidRPr="00872D32">
        <w:rPr>
          <w:rFonts w:cs="Arial"/>
          <w:i/>
          <w:iCs/>
        </w:rPr>
        <w:t>Code</w:t>
      </w:r>
      <w:r w:rsidR="1F5A3EC0" w:rsidRPr="00872D32">
        <w:rPr>
          <w:rFonts w:cs="Arial"/>
        </w:rPr>
        <w:t xml:space="preserve">. One estate applied for judicial review. The OHRC intervened in this case and argued that estates should have standing to pursue a claim at the HRTO, especially where an individual dies because of a violation of the </w:t>
      </w:r>
      <w:r w:rsidR="1F5A3EC0" w:rsidRPr="00872D32">
        <w:rPr>
          <w:rFonts w:cs="Arial"/>
          <w:i/>
          <w:iCs/>
        </w:rPr>
        <w:t>Code</w:t>
      </w:r>
      <w:r w:rsidR="1F5A3EC0" w:rsidRPr="00872D32">
        <w:rPr>
          <w:rFonts w:cs="Arial"/>
        </w:rPr>
        <w:t>.</w:t>
      </w:r>
      <w:r w:rsidR="1F5A3EC0" w:rsidRPr="00872D32">
        <w:rPr>
          <w:rFonts w:ascii="Aptos" w:eastAsia="Aptos" w:hAnsi="Aptos" w:cs="Aptos"/>
        </w:rPr>
        <w:t xml:space="preserve">  </w:t>
      </w:r>
      <w:r w:rsidR="1F5A3EC0" w:rsidRPr="00872D32">
        <w:rPr>
          <w:rFonts w:cs="Arial"/>
        </w:rPr>
        <w:t xml:space="preserve"> </w:t>
      </w:r>
    </w:p>
    <w:p w14:paraId="178B9747" w14:textId="46BCC240" w:rsidR="005A5FDD" w:rsidRPr="00872D32" w:rsidRDefault="005A5FDD" w:rsidP="000206FB">
      <w:pPr>
        <w:pStyle w:val="Heading3"/>
      </w:pPr>
      <w:bookmarkStart w:id="29" w:name="_Toc217480179"/>
      <w:r w:rsidRPr="00872D32">
        <w:t>Combatting anti-Indigenous discrimination in retail settings</w:t>
      </w:r>
      <w:bookmarkEnd w:id="29"/>
      <w:r w:rsidRPr="00872D32">
        <w:t xml:space="preserve"> </w:t>
      </w:r>
    </w:p>
    <w:p w14:paraId="6C02A02B" w14:textId="017B62B9" w:rsidR="0022196E" w:rsidRPr="00872D32" w:rsidRDefault="0022196E" w:rsidP="0022196E">
      <w:pPr>
        <w:rPr>
          <w:i/>
        </w:rPr>
      </w:pPr>
      <w:r w:rsidRPr="00872D32">
        <w:rPr>
          <w:i/>
        </w:rPr>
        <w:lastRenderedPageBreak/>
        <w:t>Responding to the following section of the Committee’s LOIPR:</w:t>
      </w:r>
    </w:p>
    <w:p w14:paraId="3BC78623" w14:textId="35EFABA7" w:rsidR="0022196E" w:rsidRPr="00872D32" w:rsidRDefault="00FA33D8" w:rsidP="0022196E">
      <w:pPr>
        <w:pStyle w:val="ListParagraph"/>
        <w:numPr>
          <w:ilvl w:val="0"/>
          <w:numId w:val="9"/>
        </w:numPr>
      </w:pPr>
      <w:r w:rsidRPr="00872D32">
        <w:rPr>
          <w:i/>
          <w:iCs/>
        </w:rPr>
        <w:t>Non-discrimination</w:t>
      </w:r>
      <w:r w:rsidR="0022196E" w:rsidRPr="00872D32">
        <w:rPr>
          <w:i/>
          <w:iCs/>
        </w:rPr>
        <w:t xml:space="preserve"> (para. </w:t>
      </w:r>
      <w:r w:rsidRPr="00872D32">
        <w:rPr>
          <w:i/>
          <w:iCs/>
        </w:rPr>
        <w:t>4</w:t>
      </w:r>
      <w:r w:rsidR="0022196E" w:rsidRPr="00872D32">
        <w:rPr>
          <w:i/>
          <w:iCs/>
        </w:rPr>
        <w:t>)</w:t>
      </w:r>
    </w:p>
    <w:p w14:paraId="000CB022" w14:textId="7D16DC40" w:rsidR="00675B4A" w:rsidRPr="00872D32" w:rsidRDefault="00675B4A" w:rsidP="00D8399F">
      <w:pPr>
        <w:spacing w:before="240"/>
      </w:pPr>
      <w:r w:rsidRPr="00872D32">
        <w:t xml:space="preserve">Indigenous people often experience racism and consumer racial profiling in different retail settings (for example, in department stores, supermarkets, pharmacies, convenience stores, malls, shopping centres, independent stores). </w:t>
      </w:r>
      <w:r w:rsidR="00CF385C" w:rsidRPr="00872D32">
        <w:t>They often face racial profiling, being labeled as ‘suspicious’ or potential shoplifters based on racist stereotypes, verbal and physical mistreatment, and lower-quality service once identified as Indigenous, particularly when First Nations customers show their Status cards. </w:t>
      </w:r>
      <w:r w:rsidRPr="00872D32">
        <w:t>These experiences may amount to racial discrimination or harassment, or both, and can violate Ontario’s </w:t>
      </w:r>
      <w:r w:rsidRPr="00872D32">
        <w:rPr>
          <w:i/>
          <w:iCs/>
        </w:rPr>
        <w:t>Human Rights Code </w:t>
      </w:r>
      <w:r w:rsidRPr="00872D32">
        <w:t>(the </w:t>
      </w:r>
      <w:r w:rsidRPr="00872D32">
        <w:rPr>
          <w:i/>
          <w:iCs/>
        </w:rPr>
        <w:t>Code</w:t>
      </w:r>
      <w:r w:rsidRPr="00872D32">
        <w:t>).</w:t>
      </w:r>
    </w:p>
    <w:p w14:paraId="5BDA99A1" w14:textId="17D4C295" w:rsidR="00C8265A" w:rsidRPr="00872D32" w:rsidRDefault="00003A2F" w:rsidP="000D52A8">
      <w:pPr>
        <w:spacing w:before="120"/>
      </w:pPr>
      <w:r w:rsidRPr="00872D32">
        <w:t xml:space="preserve">In 2025, the OHRC and the Indigenous Human Rights Program (a partnership between Pro Bono Students Canada (PBSC) and the Ontario Federation of Indigenous Friendship Centres (OFIFC)) released a </w:t>
      </w:r>
      <w:hyperlink r:id="rId39" w:history="1">
        <w:r w:rsidRPr="00872D32">
          <w:rPr>
            <w:rStyle w:val="Hyperlink"/>
          </w:rPr>
          <w:t>guide</w:t>
        </w:r>
      </w:hyperlink>
      <w:r w:rsidRPr="00872D32">
        <w:t xml:space="preserve"> and two </w:t>
      </w:r>
      <w:hyperlink r:id="rId40" w:history="1">
        <w:r w:rsidRPr="00872D32">
          <w:rPr>
            <w:rStyle w:val="Hyperlink"/>
          </w:rPr>
          <w:t>fact</w:t>
        </w:r>
      </w:hyperlink>
      <w:r w:rsidRPr="00872D32">
        <w:t xml:space="preserve"> </w:t>
      </w:r>
      <w:hyperlink r:id="rId41" w:history="1">
        <w:r w:rsidRPr="00872D32">
          <w:rPr>
            <w:rStyle w:val="Hyperlink"/>
          </w:rPr>
          <w:t>sheets</w:t>
        </w:r>
      </w:hyperlink>
      <w:r w:rsidRPr="00872D32">
        <w:t xml:space="preserve">, to address anti-Indigenous discrimination and harassment in retail. These resources </w:t>
      </w:r>
      <w:r w:rsidR="00C8265A" w:rsidRPr="00872D32">
        <w:t xml:space="preserve">offer comprehensive information about the protections provided by the </w:t>
      </w:r>
      <w:r w:rsidR="00C8265A" w:rsidRPr="00872D32">
        <w:rPr>
          <w:i/>
          <w:iCs/>
        </w:rPr>
        <w:t>Code</w:t>
      </w:r>
      <w:r w:rsidR="00C8265A" w:rsidRPr="00872D32">
        <w:t>, how Indigenous people experience discrimination and harassment in retail settings, and suggested practices to help prevent and address discriminatory actions. </w:t>
      </w:r>
    </w:p>
    <w:p w14:paraId="20E6DBDC" w14:textId="1569D135" w:rsidR="000206FB" w:rsidRPr="00872D32" w:rsidRDefault="000206FB" w:rsidP="000206FB">
      <w:pPr>
        <w:pStyle w:val="Heading3"/>
      </w:pPr>
      <w:bookmarkStart w:id="30" w:name="_Toc217480180"/>
      <w:r w:rsidRPr="00872D32">
        <w:t>Indigenous perspectives on Ontario’s human rights system</w:t>
      </w:r>
      <w:bookmarkEnd w:id="30"/>
    </w:p>
    <w:p w14:paraId="0FFB27FD" w14:textId="77777777" w:rsidR="00D8399F" w:rsidRPr="00872D32" w:rsidRDefault="00D8399F" w:rsidP="00D8399F">
      <w:pPr>
        <w:rPr>
          <w:i/>
        </w:rPr>
      </w:pPr>
      <w:r w:rsidRPr="00872D32">
        <w:rPr>
          <w:i/>
        </w:rPr>
        <w:t>Responding to the following section of the Committee’s LOIPR:</w:t>
      </w:r>
    </w:p>
    <w:p w14:paraId="3139C1CB" w14:textId="504B50FD" w:rsidR="00D8399F" w:rsidRPr="00872D32" w:rsidRDefault="00D8399F" w:rsidP="00D8399F">
      <w:pPr>
        <w:pStyle w:val="ListParagraph"/>
        <w:numPr>
          <w:ilvl w:val="0"/>
          <w:numId w:val="9"/>
        </w:numPr>
      </w:pPr>
      <w:r w:rsidRPr="00872D32">
        <w:rPr>
          <w:i/>
          <w:iCs/>
        </w:rPr>
        <w:t>Rights of Indigenous peoples (para. 24)</w:t>
      </w:r>
    </w:p>
    <w:p w14:paraId="11C552A4" w14:textId="32DC7B81" w:rsidR="009409F6" w:rsidRPr="00872D32" w:rsidRDefault="000206FB" w:rsidP="0083339C">
      <w:pPr>
        <w:spacing w:before="240"/>
      </w:pPr>
      <w:r w:rsidRPr="00872D32">
        <w:t xml:space="preserve">In 2018, the OHRC hosted a </w:t>
      </w:r>
      <w:hyperlink r:id="rId42" w:history="1">
        <w:r w:rsidRPr="00872D32">
          <w:rPr>
            <w:rStyle w:val="Hyperlink"/>
          </w:rPr>
          <w:t>three-day dialogue</w:t>
        </w:r>
      </w:hyperlink>
      <w:r w:rsidRPr="00872D32">
        <w:t xml:space="preserve"> </w:t>
      </w:r>
      <w:r w:rsidR="009409F6" w:rsidRPr="00872D32">
        <w:t xml:space="preserve">that brought together First Nations, Métis and Inuit Elders and traditional knowledge keepers, along with academics, leaders, artists, advocates, lawyers, policy makers and human rights institutions to discuss a vision of human rights that reflects Indigenous perspectives. </w:t>
      </w:r>
    </w:p>
    <w:p w14:paraId="1FA49FB9" w14:textId="35CCE4FD" w:rsidR="009C4987" w:rsidRPr="00872D32" w:rsidRDefault="00FE3AAA" w:rsidP="000D52A8">
      <w:r w:rsidRPr="00872D32">
        <w:t>The dialogue centered</w:t>
      </w:r>
      <w:r w:rsidR="009409F6" w:rsidRPr="00872D32">
        <w:t xml:space="preserve"> the wisdom of diverse Indigenous people on how to reconcile Ontario’s human rights system with Indigenous frameworks, constitutions, processes and laws</w:t>
      </w:r>
      <w:r w:rsidR="009C4987" w:rsidRPr="00872D32">
        <w:t>, and explored:</w:t>
      </w:r>
    </w:p>
    <w:p w14:paraId="5AAF8196" w14:textId="77777777" w:rsidR="009C4987" w:rsidRPr="00872D32" w:rsidRDefault="009C4987" w:rsidP="000D52A8">
      <w:pPr>
        <w:numPr>
          <w:ilvl w:val="0"/>
          <w:numId w:val="40"/>
        </w:numPr>
      </w:pPr>
      <w:r w:rsidRPr="00872D32">
        <w:t>The qualities of meaningful engagement and reconciliation</w:t>
      </w:r>
    </w:p>
    <w:p w14:paraId="1A0B38B7" w14:textId="77777777" w:rsidR="009C4987" w:rsidRPr="00872D32" w:rsidRDefault="009C4987" w:rsidP="000D52A8">
      <w:pPr>
        <w:numPr>
          <w:ilvl w:val="0"/>
          <w:numId w:val="40"/>
        </w:numPr>
      </w:pPr>
      <w:r w:rsidRPr="00872D32">
        <w:t>Indigenous perspectives on human rights</w:t>
      </w:r>
    </w:p>
    <w:p w14:paraId="3B8B7EC6" w14:textId="5B4B65D7" w:rsidR="009C4987" w:rsidRPr="00872D32" w:rsidRDefault="009C4987" w:rsidP="000D52A8">
      <w:pPr>
        <w:numPr>
          <w:ilvl w:val="0"/>
          <w:numId w:val="40"/>
        </w:numPr>
      </w:pPr>
      <w:r w:rsidRPr="00872D32">
        <w:t>The</w:t>
      </w:r>
      <w:r w:rsidRPr="00872D32">
        <w:rPr>
          <w:i/>
          <w:iCs/>
        </w:rPr>
        <w:t> UN Declaration on the Rights of Indigenous Peoples</w:t>
      </w:r>
      <w:r w:rsidRPr="00872D32">
        <w:t> and Indigenous peoples’ contribution to the evolution of human rights law</w:t>
      </w:r>
    </w:p>
    <w:p w14:paraId="718B57E8" w14:textId="77777777" w:rsidR="009C4987" w:rsidRPr="00872D32" w:rsidRDefault="009C4987" w:rsidP="000D52A8">
      <w:pPr>
        <w:numPr>
          <w:ilvl w:val="0"/>
          <w:numId w:val="40"/>
        </w:numPr>
      </w:pPr>
      <w:r w:rsidRPr="00872D32">
        <w:t>Key Indigenous human rights concerns</w:t>
      </w:r>
    </w:p>
    <w:p w14:paraId="5DCCFBAD" w14:textId="20F9529A" w:rsidR="006C48F0" w:rsidRPr="00872D32" w:rsidRDefault="00CD0D6F" w:rsidP="00CD3D79">
      <w:r w:rsidRPr="00872D32">
        <w:t xml:space="preserve">The OHRC heard about </w:t>
      </w:r>
      <w:r w:rsidR="00333D3C" w:rsidRPr="00872D32">
        <w:t>reconciliation and decolonization, revitalizing and re-centering Indigenous knowledge</w:t>
      </w:r>
      <w:r w:rsidR="00061664" w:rsidRPr="00872D32">
        <w:t>, the limitations of a colonial</w:t>
      </w:r>
      <w:r w:rsidR="002163DC" w:rsidRPr="00872D32">
        <w:t>, individual-based</w:t>
      </w:r>
      <w:r w:rsidR="00061664" w:rsidRPr="00872D32">
        <w:t xml:space="preserve"> human rights system in meaningfully and appropriately addressing </w:t>
      </w:r>
      <w:r w:rsidR="00B515F9" w:rsidRPr="00872D32">
        <w:t xml:space="preserve">Indigenous </w:t>
      </w:r>
      <w:r w:rsidR="00061664" w:rsidRPr="00872D32">
        <w:t>human rights issues</w:t>
      </w:r>
      <w:r w:rsidR="003F0944" w:rsidRPr="00872D32">
        <w:t xml:space="preserve">, </w:t>
      </w:r>
      <w:r w:rsidR="003F0944" w:rsidRPr="00872D32">
        <w:lastRenderedPageBreak/>
        <w:t xml:space="preserve">and </w:t>
      </w:r>
      <w:r w:rsidR="008B354F" w:rsidRPr="00872D32">
        <w:t xml:space="preserve">what </w:t>
      </w:r>
      <w:r w:rsidR="003F0944" w:rsidRPr="00872D32">
        <w:t xml:space="preserve">new paths forward may look like. </w:t>
      </w:r>
      <w:r w:rsidR="006C48F0" w:rsidRPr="00872D32">
        <w:t>Participants made recommendations to the OHRC, other human rights institutions, organizations and governments, calling for concrete actions towards reconciliation and a human rights system founded on values of respect, honesty, sharing and strength.</w:t>
      </w:r>
    </w:p>
    <w:p w14:paraId="71BFB255" w14:textId="16F73207" w:rsidR="000206FB" w:rsidRPr="00872D32" w:rsidRDefault="000206FB" w:rsidP="000206FB">
      <w:pPr>
        <w:pStyle w:val="Heading3"/>
      </w:pPr>
      <w:bookmarkStart w:id="31" w:name="_Toc217480181"/>
      <w:r w:rsidRPr="00872D32">
        <w:t xml:space="preserve">Acknowledging </w:t>
      </w:r>
      <w:r w:rsidR="00F23B8F" w:rsidRPr="00872D32">
        <w:t xml:space="preserve">recent </w:t>
      </w:r>
      <w:r w:rsidRPr="00872D32">
        <w:t>reports of unmarked graves</w:t>
      </w:r>
      <w:bookmarkEnd w:id="31"/>
    </w:p>
    <w:p w14:paraId="3005A398" w14:textId="77777777" w:rsidR="00D8399F" w:rsidRPr="00872D32" w:rsidRDefault="00D8399F" w:rsidP="00D8399F">
      <w:pPr>
        <w:rPr>
          <w:i/>
        </w:rPr>
      </w:pPr>
      <w:r w:rsidRPr="00872D32">
        <w:rPr>
          <w:i/>
        </w:rPr>
        <w:t>Responding to the following sections of the Committee’s LOIPR:</w:t>
      </w:r>
    </w:p>
    <w:p w14:paraId="3C23463D" w14:textId="017950A0" w:rsidR="00D8399F" w:rsidRPr="00872D32" w:rsidRDefault="00D8399F" w:rsidP="000D52A8">
      <w:pPr>
        <w:pStyle w:val="ListParagraph"/>
        <w:numPr>
          <w:ilvl w:val="0"/>
          <w:numId w:val="9"/>
        </w:numPr>
      </w:pPr>
      <w:r w:rsidRPr="00872D32">
        <w:rPr>
          <w:i/>
          <w:iCs/>
        </w:rPr>
        <w:t>Fight against impunity and past human rights violations (para. 3(</w:t>
      </w:r>
      <w:r w:rsidR="00CB1413" w:rsidRPr="00872D32">
        <w:rPr>
          <w:i/>
          <w:iCs/>
        </w:rPr>
        <w:t>c</w:t>
      </w:r>
      <w:r w:rsidRPr="00872D32">
        <w:rPr>
          <w:i/>
          <w:iCs/>
        </w:rPr>
        <w:t>))</w:t>
      </w:r>
    </w:p>
    <w:p w14:paraId="62296368" w14:textId="303DA7C7" w:rsidR="000206FB" w:rsidRPr="00872D32" w:rsidRDefault="000206FB" w:rsidP="000D52A8">
      <w:pPr>
        <w:spacing w:before="240"/>
      </w:pPr>
      <w:r w:rsidRPr="00872D32">
        <w:t>On May 27</w:t>
      </w:r>
      <w:r w:rsidRPr="00872D32">
        <w:rPr>
          <w:vertAlign w:val="superscript"/>
        </w:rPr>
        <w:t>th</w:t>
      </w:r>
      <w:r w:rsidRPr="00872D32">
        <w:t>, 2021, Tk’emlúps te Secwépemc</w:t>
      </w:r>
      <w:r w:rsidR="00225042" w:rsidRPr="00872D32">
        <w:t xml:space="preserve"> (whose territories </w:t>
      </w:r>
      <w:proofErr w:type="gramStart"/>
      <w:r w:rsidR="00225042" w:rsidRPr="00872D32">
        <w:t>are located in</w:t>
      </w:r>
      <w:proofErr w:type="gramEnd"/>
      <w:r w:rsidR="0031519A" w:rsidRPr="00872D32">
        <w:t xml:space="preserve"> the province of British Columbia)</w:t>
      </w:r>
      <w:r w:rsidRPr="00872D32">
        <w:t xml:space="preserve"> was the first among several First Nations to report </w:t>
      </w:r>
      <w:r w:rsidR="004222CB" w:rsidRPr="00872D32">
        <w:t xml:space="preserve">on recent </w:t>
      </w:r>
      <w:r w:rsidRPr="00872D32">
        <w:t xml:space="preserve">findings of suspected unmarked graves at the site of former residential schools. Though research about dead and missing Indigenous children who attended residential and day schools did not start in 2021 (the TRC itself was mandated to uncover the harms of that system), the findings at the former Kamloops Residential Schools galvanized new search efforts across the country as well as renewed public awareness about the intergenerational and traumatizing consequences of Canada’s colonial legacy. </w:t>
      </w:r>
    </w:p>
    <w:p w14:paraId="68D788C9" w14:textId="315DF96F" w:rsidR="000206FB" w:rsidRPr="00872D32" w:rsidRDefault="00D64545" w:rsidP="000206FB">
      <w:r w:rsidRPr="00872D32">
        <w:t xml:space="preserve">These reports </w:t>
      </w:r>
      <w:r w:rsidR="00232ECD" w:rsidRPr="00872D32">
        <w:t xml:space="preserve">are </w:t>
      </w:r>
      <w:r w:rsidR="002920E4" w:rsidRPr="00872D32">
        <w:t>tragic</w:t>
      </w:r>
      <w:r w:rsidR="00232ECD" w:rsidRPr="00872D32">
        <w:t xml:space="preserve"> reminders of </w:t>
      </w:r>
      <w:r w:rsidRPr="00872D32">
        <w:t>the painful</w:t>
      </w:r>
      <w:r w:rsidR="00232ECD" w:rsidRPr="00872D32">
        <w:t xml:space="preserve">, </w:t>
      </w:r>
      <w:r w:rsidRPr="00872D32">
        <w:t>ongoing legacy of colonialism, which has left no Indigenous community unscathed from</w:t>
      </w:r>
      <w:r w:rsidR="00232ECD" w:rsidRPr="00872D32">
        <w:t xml:space="preserve"> the</w:t>
      </w:r>
      <w:r w:rsidRPr="00872D32">
        <w:t xml:space="preserve"> intergenerational trauma and marginalization that continues to cause harm today. </w:t>
      </w:r>
      <w:r w:rsidR="000206FB" w:rsidRPr="00872D32">
        <w:t xml:space="preserve">The OHRC acknowledged the reports in both </w:t>
      </w:r>
      <w:hyperlink r:id="rId43" w:history="1">
        <w:r w:rsidR="000206FB" w:rsidRPr="00872D32">
          <w:rPr>
            <w:rStyle w:val="Hyperlink"/>
          </w:rPr>
          <w:t>2021</w:t>
        </w:r>
      </w:hyperlink>
      <w:r w:rsidR="000206FB" w:rsidRPr="00872D32">
        <w:t xml:space="preserve"> and </w:t>
      </w:r>
      <w:hyperlink r:id="rId44" w:history="1">
        <w:r w:rsidR="000206FB" w:rsidRPr="00872D32">
          <w:rPr>
            <w:rStyle w:val="Hyperlink"/>
          </w:rPr>
          <w:t>2023</w:t>
        </w:r>
      </w:hyperlink>
      <w:r w:rsidR="000206FB" w:rsidRPr="00872D32">
        <w:t>. In these statements, the OHRC notably called on “all Canadians to recognize that Indigenous peoples suffer from historic inhumanities of colonization and continue to experience dispossession and disenfranchisement” and on “governments to immediately order the release of all death records of Indigenous children held by any Canadian authority, church, or any other entity that had care, custody, control, or operated any residential school, to the National Centre for Truth and Reconciliation</w:t>
      </w:r>
      <w:r w:rsidR="0013576B" w:rsidRPr="00872D32">
        <w:t>.”</w:t>
      </w:r>
      <w:r w:rsidR="000206FB" w:rsidRPr="00872D32">
        <w:t xml:space="preserve"> </w:t>
      </w:r>
    </w:p>
    <w:p w14:paraId="2FA77876" w14:textId="77777777" w:rsidR="000206FB" w:rsidRPr="00872D32" w:rsidRDefault="000206FB" w:rsidP="000206FB"/>
    <w:p w14:paraId="3426822F" w14:textId="77777777" w:rsidR="000206FB" w:rsidRPr="00872D32" w:rsidRDefault="000206FB" w:rsidP="000206FB">
      <w:pPr>
        <w:pStyle w:val="Heading2"/>
      </w:pPr>
      <w:bookmarkStart w:id="32" w:name="_Toc217480182"/>
      <w:r w:rsidRPr="00872D32">
        <w:t>Criminal justice</w:t>
      </w:r>
      <w:bookmarkEnd w:id="32"/>
    </w:p>
    <w:p w14:paraId="6AC9123F" w14:textId="6A80DCA5" w:rsidR="000720DB" w:rsidRPr="00872D32" w:rsidRDefault="006A5E84" w:rsidP="00103F72">
      <w:r w:rsidRPr="00872D32">
        <w:t>The OHRC is committed to advancing human rights and reducing systemic discrimination in the criminal justice system by requiring accountability and institutional change as a strategic focus area.</w:t>
      </w:r>
      <w:r w:rsidR="000720DB" w:rsidRPr="00872D32">
        <w:t xml:space="preserve"> As part of this commitment</w:t>
      </w:r>
      <w:r w:rsidR="00356CC6" w:rsidRPr="00872D32">
        <w:t xml:space="preserve">, the OHRC is </w:t>
      </w:r>
      <w:r w:rsidR="00103F72" w:rsidRPr="00872D32">
        <w:t xml:space="preserve">working to: </w:t>
      </w:r>
    </w:p>
    <w:p w14:paraId="678862B8" w14:textId="77777777" w:rsidR="00103F72" w:rsidRPr="00872D32" w:rsidRDefault="00103F72" w:rsidP="00103F72">
      <w:pPr>
        <w:numPr>
          <w:ilvl w:val="0"/>
          <w:numId w:val="33"/>
        </w:numPr>
      </w:pPr>
      <w:r w:rsidRPr="00872D32">
        <w:t>Reduce discriminatory practices and racial profiling in policing throughout Ontario</w:t>
      </w:r>
    </w:p>
    <w:p w14:paraId="76402A45" w14:textId="77777777" w:rsidR="00103F72" w:rsidRPr="00872D32" w:rsidRDefault="00103F72" w:rsidP="00103F72">
      <w:pPr>
        <w:numPr>
          <w:ilvl w:val="0"/>
          <w:numId w:val="33"/>
        </w:numPr>
      </w:pPr>
      <w:r w:rsidRPr="00872D32">
        <w:t>Reduce discriminatory practices in corrections, including the use of solitary confinement in provincial institutions</w:t>
      </w:r>
    </w:p>
    <w:p w14:paraId="16A29BD2" w14:textId="77777777" w:rsidR="00103F72" w:rsidRPr="00872D32" w:rsidRDefault="00103F72" w:rsidP="00103F72">
      <w:pPr>
        <w:numPr>
          <w:ilvl w:val="0"/>
          <w:numId w:val="33"/>
        </w:numPr>
      </w:pPr>
      <w:r w:rsidRPr="00872D32">
        <w:lastRenderedPageBreak/>
        <w:t>Build institutional awareness of and capacity to respond to manifestations of hate through the human rights system</w:t>
      </w:r>
    </w:p>
    <w:p w14:paraId="7740796A" w14:textId="77777777" w:rsidR="00103F72" w:rsidRPr="00872D32" w:rsidRDefault="00103F72" w:rsidP="00103F72">
      <w:pPr>
        <w:numPr>
          <w:ilvl w:val="0"/>
          <w:numId w:val="33"/>
        </w:numPr>
      </w:pPr>
      <w:r w:rsidRPr="00872D32">
        <w:t>Identify, raise awareness of and build institutional capacity to address human rights risks resulting from the rapidly increasing use of AI in the criminal justice system.</w:t>
      </w:r>
    </w:p>
    <w:p w14:paraId="5CF80327" w14:textId="3EB308AC" w:rsidR="00294F35" w:rsidRPr="00872D32" w:rsidRDefault="00F30379" w:rsidP="00157EE8">
      <w:pPr>
        <w:pStyle w:val="Heading3"/>
      </w:pPr>
      <w:bookmarkStart w:id="33" w:name="_Toc217480183"/>
      <w:r w:rsidRPr="00872D32">
        <w:t>Policing</w:t>
      </w:r>
      <w:bookmarkEnd w:id="33"/>
    </w:p>
    <w:p w14:paraId="4A53DA55" w14:textId="2F922880" w:rsidR="00462DC1" w:rsidRPr="00872D32" w:rsidRDefault="007D4E2C" w:rsidP="007D4E2C">
      <w:r w:rsidRPr="00872D32">
        <w:t xml:space="preserve">In May 2025, the OHRC </w:t>
      </w:r>
      <w:hyperlink r:id="rId45" w:history="1">
        <w:r w:rsidRPr="00872D32">
          <w:rPr>
            <w:rStyle w:val="Hyperlink"/>
          </w:rPr>
          <w:t>submitted information</w:t>
        </w:r>
      </w:hyperlink>
      <w:r w:rsidRPr="00872D32">
        <w:t xml:space="preserve"> to the United Nations International Independent Expert Mechanism to Advance Racial Justice and Equality in Law Enforcement</w:t>
      </w:r>
      <w:r w:rsidR="00BE3051" w:rsidRPr="00872D32">
        <w:t xml:space="preserve"> (Expert Mechanism)</w:t>
      </w:r>
      <w:r w:rsidRPr="00872D32">
        <w:t xml:space="preserve">. In that submission, the OHRC highlighted common trends and concerns it </w:t>
      </w:r>
      <w:r w:rsidR="004D482E" w:rsidRPr="00872D32">
        <w:t xml:space="preserve">has </w:t>
      </w:r>
      <w:r w:rsidRPr="00872D32">
        <w:t xml:space="preserve">addressed </w:t>
      </w:r>
      <w:r w:rsidR="004D482E" w:rsidRPr="00872D32">
        <w:t>through its repeated</w:t>
      </w:r>
      <w:r w:rsidRPr="00872D32">
        <w:t xml:space="preserve"> advocacy against systemic racial discrimination in the criminal justice system – particularly in policing. </w:t>
      </w:r>
    </w:p>
    <w:p w14:paraId="2CAEFE4B" w14:textId="299EF52D" w:rsidR="00462DC1" w:rsidRPr="00872D32" w:rsidRDefault="00741A80" w:rsidP="00BE65B6">
      <w:r w:rsidRPr="00872D32">
        <w:t>The</w:t>
      </w:r>
      <w:r w:rsidR="007D4E2C" w:rsidRPr="00872D32">
        <w:t xml:space="preserve"> OHRC encourages the Committee to</w:t>
      </w:r>
      <w:r w:rsidR="00720574" w:rsidRPr="00872D32">
        <w:t xml:space="preserve"> carefully</w:t>
      </w:r>
      <w:r w:rsidR="007D4E2C" w:rsidRPr="00872D32">
        <w:t xml:space="preserve"> review that submission</w:t>
      </w:r>
      <w:r w:rsidR="00D63745" w:rsidRPr="00872D32">
        <w:t xml:space="preserve"> as a starting point</w:t>
      </w:r>
      <w:r w:rsidR="007D4E2C" w:rsidRPr="00872D32">
        <w:t xml:space="preserve"> to better understand the significant </w:t>
      </w:r>
      <w:r w:rsidR="00B52F8F" w:rsidRPr="00872D32">
        <w:t xml:space="preserve">and </w:t>
      </w:r>
      <w:r w:rsidR="003B5EAE" w:rsidRPr="00872D32">
        <w:t>persistent</w:t>
      </w:r>
      <w:r w:rsidR="00B52F8F" w:rsidRPr="00872D32">
        <w:t xml:space="preserve"> </w:t>
      </w:r>
      <w:r w:rsidR="007D4E2C" w:rsidRPr="00872D32">
        <w:t>impact of racial discrimination, particularly anti-Black and anti-Indigenous discrimination, in Ontario’s criminal justice system.</w:t>
      </w:r>
      <w:r w:rsidR="00462DC1" w:rsidRPr="00872D32">
        <w:t xml:space="preserve"> </w:t>
      </w:r>
      <w:r w:rsidR="002E0B56" w:rsidRPr="00872D32">
        <w:t xml:space="preserve">Below, the OHRC expands on the key projects cited as part of the submission to the </w:t>
      </w:r>
      <w:r w:rsidR="00BE3051" w:rsidRPr="00872D32">
        <w:t xml:space="preserve">Expert </w:t>
      </w:r>
      <w:r w:rsidR="00F20591" w:rsidRPr="00872D32">
        <w:t>M</w:t>
      </w:r>
      <w:r w:rsidR="00BE3051" w:rsidRPr="00872D32">
        <w:t xml:space="preserve">echanism. </w:t>
      </w:r>
    </w:p>
    <w:p w14:paraId="4B4656D8" w14:textId="698D0CE3" w:rsidR="00BE3051" w:rsidRPr="00872D32" w:rsidRDefault="008B6793" w:rsidP="00022808">
      <w:pPr>
        <w:pStyle w:val="Heading4"/>
      </w:pPr>
      <w:bookmarkStart w:id="34" w:name="_Toc217480184"/>
      <w:r w:rsidRPr="00872D32">
        <w:t>E</w:t>
      </w:r>
      <w:r w:rsidR="00BE3051" w:rsidRPr="00872D32">
        <w:t>liminating racial profiling in law enforcement</w:t>
      </w:r>
      <w:bookmarkEnd w:id="34"/>
    </w:p>
    <w:p w14:paraId="5383C436" w14:textId="5ACB9325" w:rsidR="004F69D5" w:rsidRPr="00872D32" w:rsidRDefault="004F69D5" w:rsidP="004F69D5">
      <w:pPr>
        <w:rPr>
          <w:i/>
        </w:rPr>
      </w:pPr>
      <w:r w:rsidRPr="00872D32">
        <w:rPr>
          <w:i/>
        </w:rPr>
        <w:t>Responding to the following section</w:t>
      </w:r>
      <w:r w:rsidR="008770E2" w:rsidRPr="00872D32">
        <w:rPr>
          <w:i/>
        </w:rPr>
        <w:t xml:space="preserve"> </w:t>
      </w:r>
      <w:r w:rsidRPr="00872D32">
        <w:rPr>
          <w:i/>
        </w:rPr>
        <w:t>of the Committee’s LOIPR:</w:t>
      </w:r>
    </w:p>
    <w:p w14:paraId="010B2BD4" w14:textId="0610DAB2" w:rsidR="004F69D5" w:rsidRPr="00872D32" w:rsidRDefault="004F69D5" w:rsidP="004F69D5">
      <w:pPr>
        <w:pStyle w:val="ListParagraph"/>
        <w:numPr>
          <w:ilvl w:val="0"/>
          <w:numId w:val="9"/>
        </w:numPr>
      </w:pPr>
      <w:r w:rsidRPr="00872D32">
        <w:rPr>
          <w:i/>
          <w:iCs/>
        </w:rPr>
        <w:t xml:space="preserve">Non-discrimination (para. </w:t>
      </w:r>
      <w:r w:rsidR="008770E2" w:rsidRPr="00872D32">
        <w:rPr>
          <w:i/>
          <w:iCs/>
        </w:rPr>
        <w:t>5 (b)</w:t>
      </w:r>
      <w:r w:rsidRPr="00872D32">
        <w:rPr>
          <w:i/>
          <w:iCs/>
        </w:rPr>
        <w:t>)</w:t>
      </w:r>
    </w:p>
    <w:p w14:paraId="760CC8CE" w14:textId="73BE5BFE" w:rsidR="00477D85" w:rsidRPr="00872D32" w:rsidRDefault="004F6B66" w:rsidP="000D52A8">
      <w:pPr>
        <w:spacing w:before="240"/>
      </w:pPr>
      <w:r w:rsidRPr="00872D32">
        <w:t xml:space="preserve">Racial profiling is an insidious and particularly damaging type of racial discrimination. Racial profiling violates people’s rights under the </w:t>
      </w:r>
      <w:r w:rsidRPr="00872D32">
        <w:rPr>
          <w:i/>
          <w:iCs/>
        </w:rPr>
        <w:t>Code</w:t>
      </w:r>
      <w:r w:rsidRPr="00872D32">
        <w:t xml:space="preserve">. In its </w:t>
      </w:r>
      <w:hyperlink r:id="rId46" w:history="1">
        <w:r w:rsidRPr="00872D32">
          <w:rPr>
            <w:rStyle w:val="Hyperlink"/>
            <w:i/>
            <w:iCs/>
          </w:rPr>
          <w:t>Policy on eliminating racial profiling in law enforcement</w:t>
        </w:r>
      </w:hyperlink>
      <w:r w:rsidRPr="00872D32">
        <w:t xml:space="preserve">, the OHRC defines racial profiling as any act or omission related to actual or claimed reasons of safety, security or public protection by an organization or individual in a position of authority, that results in greater scrutiny, lesser scrutiny or other negative treatment based on race and race-related grounds. </w:t>
      </w:r>
    </w:p>
    <w:p w14:paraId="0F1998D5" w14:textId="67074008" w:rsidR="004F6B66" w:rsidRPr="00872D32" w:rsidRDefault="004F6B66" w:rsidP="004F6B66">
      <w:r w:rsidRPr="00872D32">
        <w:t xml:space="preserve">People from many different communities experience racial profiling. </w:t>
      </w:r>
      <w:r w:rsidR="00DE3197" w:rsidRPr="00872D32">
        <w:t>Black people</w:t>
      </w:r>
      <w:r w:rsidR="00DE3197">
        <w:t>s</w:t>
      </w:r>
      <w:r w:rsidR="00690FF0" w:rsidRPr="00690FF0">
        <w:t xml:space="preserve"> </w:t>
      </w:r>
      <w:r w:rsidR="00690FF0">
        <w:t xml:space="preserve">have the highest and most disproportionate occurrence of racial profiling in Ontario, </w:t>
      </w:r>
      <w:r w:rsidR="0035458F">
        <w:t>h</w:t>
      </w:r>
      <w:r w:rsidR="0035458F" w:rsidRPr="00872D32">
        <w:t xml:space="preserve">owever, </w:t>
      </w:r>
      <w:r w:rsidR="00690FF0" w:rsidRPr="00872D32">
        <w:t>often directed at</w:t>
      </w:r>
      <w:r w:rsidR="00DE3197">
        <w:t>,</w:t>
      </w:r>
      <w:r w:rsidR="00DE3197" w:rsidRPr="00872D32">
        <w:t xml:space="preserve"> </w:t>
      </w:r>
      <w:r w:rsidRPr="00872D32">
        <w:t xml:space="preserve">Indigenous peoples, Muslims, Arabs, </w:t>
      </w:r>
      <w:r w:rsidR="00DE3197" w:rsidRPr="00872D32">
        <w:t xml:space="preserve">and </w:t>
      </w:r>
      <w:r w:rsidRPr="00872D32">
        <w:t>West Asians</w:t>
      </w:r>
      <w:r w:rsidR="00690FF0">
        <w:t xml:space="preserve">. It </w:t>
      </w:r>
      <w:r w:rsidRPr="00872D32">
        <w:t xml:space="preserve">is often influenced by the distinctly negative stereotypes </w:t>
      </w:r>
      <w:r w:rsidR="00DE3197">
        <w:t xml:space="preserve">which </w:t>
      </w:r>
      <w:r w:rsidRPr="00872D32">
        <w:t xml:space="preserve">people </w:t>
      </w:r>
      <w:r w:rsidR="007628A1" w:rsidRPr="00872D32">
        <w:t>who belong to</w:t>
      </w:r>
      <w:r w:rsidRPr="00872D32">
        <w:t xml:space="preserve"> these </w:t>
      </w:r>
      <w:proofErr w:type="gramStart"/>
      <w:r w:rsidRPr="00872D32">
        <w:t>communities</w:t>
      </w:r>
      <w:proofErr w:type="gramEnd"/>
      <w:r w:rsidR="007628A1" w:rsidRPr="00872D32">
        <w:t xml:space="preserve"> </w:t>
      </w:r>
      <w:r w:rsidRPr="00872D32">
        <w:t>face.</w:t>
      </w:r>
      <w:r w:rsidR="00477D85" w:rsidRPr="00872D32">
        <w:t xml:space="preserve"> As one of the most significant expressions of systemic discrimination in criminal justice, racial profiling is especially dangerous, at times lethal, in policing. </w:t>
      </w:r>
    </w:p>
    <w:p w14:paraId="39A82663" w14:textId="3EDD858A" w:rsidR="00380801" w:rsidRPr="00872D32" w:rsidRDefault="00477D85" w:rsidP="006E6FFE">
      <w:r w:rsidRPr="00872D32">
        <w:t>The</w:t>
      </w:r>
      <w:r w:rsidR="0009025A" w:rsidRPr="00872D32">
        <w:t xml:space="preserve"> OHRC has combatted racial profiling in policing for </w:t>
      </w:r>
      <w:hyperlink r:id="rId47" w:history="1">
        <w:r w:rsidR="0009025A" w:rsidRPr="00872D32">
          <w:rPr>
            <w:rStyle w:val="Hyperlink"/>
          </w:rPr>
          <w:t>decades</w:t>
        </w:r>
      </w:hyperlink>
      <w:r w:rsidR="0009025A" w:rsidRPr="00872D32">
        <w:t xml:space="preserve">. </w:t>
      </w:r>
      <w:r w:rsidR="00FB24B4" w:rsidRPr="00872D32">
        <w:t>These efforts continue</w:t>
      </w:r>
      <w:r w:rsidR="00275B06" w:rsidRPr="00872D32">
        <w:t xml:space="preserve"> and most recently culminated in a landmark public inquiry into anti-Black discrimination by the Toronto Police Service</w:t>
      </w:r>
      <w:r w:rsidR="0091698F" w:rsidRPr="00872D32">
        <w:t xml:space="preserve"> (TPS) – see </w:t>
      </w:r>
      <w:hyperlink w:anchor="_Public_inquiry_into" w:history="1">
        <w:r w:rsidR="0091698F" w:rsidRPr="00872D32">
          <w:rPr>
            <w:rStyle w:val="Hyperlink"/>
          </w:rPr>
          <w:t>next section</w:t>
        </w:r>
      </w:hyperlink>
      <w:r w:rsidR="0091698F" w:rsidRPr="00872D32">
        <w:t xml:space="preserve"> for details.</w:t>
      </w:r>
      <w:r w:rsidR="00FB24B4" w:rsidRPr="00872D32">
        <w:t xml:space="preserve"> </w:t>
      </w:r>
    </w:p>
    <w:p w14:paraId="2E1A9DEA" w14:textId="264BDD78" w:rsidR="00485E58" w:rsidRPr="00872D32" w:rsidRDefault="00380801" w:rsidP="006E6FFE">
      <w:r w:rsidRPr="00872D32">
        <w:lastRenderedPageBreak/>
        <w:t>Prior to this inquiry, in</w:t>
      </w:r>
      <w:r w:rsidR="009B31F7" w:rsidRPr="00872D32">
        <w:t xml:space="preserve"> 2017</w:t>
      </w:r>
      <w:r w:rsidR="0009025A" w:rsidRPr="00872D32">
        <w:t>,</w:t>
      </w:r>
      <w:r w:rsidRPr="00872D32">
        <w:t xml:space="preserve"> </w:t>
      </w:r>
      <w:r w:rsidR="00E14E5E" w:rsidRPr="00872D32">
        <w:t xml:space="preserve">the OHRC led </w:t>
      </w:r>
      <w:r w:rsidR="00E6370F" w:rsidRPr="00872D32">
        <w:t xml:space="preserve">a major </w:t>
      </w:r>
      <w:r w:rsidR="00E14E5E" w:rsidRPr="00872D32">
        <w:t>consultation</w:t>
      </w:r>
      <w:r w:rsidR="00E6370F" w:rsidRPr="00872D32">
        <w:t xml:space="preserve"> on racial profiling which was summarized in </w:t>
      </w:r>
      <w:hyperlink r:id="rId48" w:history="1">
        <w:r w:rsidR="00B80AB8" w:rsidRPr="00872D32">
          <w:rPr>
            <w:rStyle w:val="Hyperlink"/>
            <w:i/>
            <w:iCs/>
          </w:rPr>
          <w:t>Under suspicion: Research and consultation report on racial profiling in Ontario</w:t>
        </w:r>
      </w:hyperlink>
      <w:r w:rsidR="00E6370F" w:rsidRPr="00872D32">
        <w:t>. As part of this consultation, the OHRC heard from</w:t>
      </w:r>
      <w:r w:rsidR="00485E58" w:rsidRPr="00872D32">
        <w:t xml:space="preserve"> </w:t>
      </w:r>
      <w:r w:rsidR="00E64563" w:rsidRPr="00872D32">
        <w:t xml:space="preserve">almost 1,650 individuals (including affected people from Indigenous, racialized and Muslim communities, legal and academic researchers, educators, human rights practitioners and police, among others) and organizations. </w:t>
      </w:r>
    </w:p>
    <w:p w14:paraId="55C13E4F" w14:textId="477C0C00" w:rsidR="00CA2CD3" w:rsidRPr="00872D32" w:rsidRDefault="00CA2CD3" w:rsidP="006E6FFE">
      <w:r w:rsidRPr="00872D32">
        <w:t>During th</w:t>
      </w:r>
      <w:r w:rsidR="00482F6B" w:rsidRPr="00872D32">
        <w:t>e</w:t>
      </w:r>
      <w:r w:rsidRPr="00872D32">
        <w:t xml:space="preserve"> consultation, </w:t>
      </w:r>
      <w:r w:rsidR="002B2A54" w:rsidRPr="00872D32">
        <w:t>the OHRC</w:t>
      </w:r>
      <w:r w:rsidRPr="00872D32">
        <w:t xml:space="preserve"> heard concerns about </w:t>
      </w:r>
      <w:r w:rsidR="002B2A54" w:rsidRPr="00872D32">
        <w:t xml:space="preserve">Indigenous and </w:t>
      </w:r>
      <w:r w:rsidRPr="00872D32">
        <w:t>racialized</w:t>
      </w:r>
      <w:r w:rsidR="002B2A54" w:rsidRPr="00872D32">
        <w:t xml:space="preserve"> </w:t>
      </w:r>
      <w:r w:rsidRPr="00872D32">
        <w:t>people being subjected to unwarranted surveillance, investigation and other forms of scrutiny, punitive actions</w:t>
      </w:r>
      <w:r w:rsidR="00AF284A" w:rsidRPr="00872D32">
        <w:t>,</w:t>
      </w:r>
      <w:r w:rsidRPr="00872D32">
        <w:t xml:space="preserve"> and heavy-handed treatment.</w:t>
      </w:r>
      <w:r w:rsidR="00505F08" w:rsidRPr="00872D32">
        <w:t xml:space="preserve"> The OHRC also </w:t>
      </w:r>
      <w:r w:rsidR="00C02300" w:rsidRPr="00872D32">
        <w:t>heard about the</w:t>
      </w:r>
      <w:r w:rsidR="00505F08" w:rsidRPr="00872D32">
        <w:t xml:space="preserve"> </w:t>
      </w:r>
      <w:r w:rsidR="00CD5502" w:rsidRPr="00872D32">
        <w:t xml:space="preserve">ways in which </w:t>
      </w:r>
      <w:r w:rsidR="00505F08" w:rsidRPr="00872D32">
        <w:t>r</w:t>
      </w:r>
      <w:r w:rsidR="00E30272" w:rsidRPr="00872D32">
        <w:t>aci</w:t>
      </w:r>
      <w:r w:rsidR="00505F08" w:rsidRPr="00872D32">
        <w:t xml:space="preserve">al profiling </w:t>
      </w:r>
      <w:r w:rsidR="00CD5502" w:rsidRPr="00872D32">
        <w:t>seeps into seemingly neutral</w:t>
      </w:r>
      <w:r w:rsidR="00D3751C" w:rsidRPr="00872D32">
        <w:t xml:space="preserve"> processes</w:t>
      </w:r>
      <w:r w:rsidR="00CD5502" w:rsidRPr="00872D32">
        <w:t xml:space="preserve">, such as </w:t>
      </w:r>
      <w:r w:rsidRPr="00872D32">
        <w:t>institutional policies, practices, assessment tools</w:t>
      </w:r>
      <w:r w:rsidR="00CD5502" w:rsidRPr="00872D32">
        <w:t>,</w:t>
      </w:r>
      <w:r w:rsidRPr="00872D32">
        <w:t xml:space="preserve"> and decision-making processes</w:t>
      </w:r>
      <w:r w:rsidR="00CD5502" w:rsidRPr="00872D32">
        <w:t xml:space="preserve">. </w:t>
      </w:r>
    </w:p>
    <w:p w14:paraId="23744743" w14:textId="2C2EEA5A" w:rsidR="006E6FFE" w:rsidRPr="00872D32" w:rsidRDefault="0014206C" w:rsidP="006E6FFE">
      <w:r w:rsidRPr="00872D32">
        <w:t xml:space="preserve">The findings from this consultation </w:t>
      </w:r>
      <w:r w:rsidR="008A1BE5" w:rsidRPr="00872D32">
        <w:t xml:space="preserve">later informed the </w:t>
      </w:r>
      <w:r w:rsidR="006E6FFE" w:rsidRPr="00872D32">
        <w:t>above-mentioned </w:t>
      </w:r>
      <w:r w:rsidR="006E6FFE" w:rsidRPr="00872D32">
        <w:rPr>
          <w:i/>
          <w:iCs/>
        </w:rPr>
        <w:t>Policy on eliminating racial profiling in law enforcement</w:t>
      </w:r>
      <w:r w:rsidR="00B503C7" w:rsidRPr="00872D32">
        <w:t>, released in 2019. This policy</w:t>
      </w:r>
      <w:r w:rsidR="006E6FFE" w:rsidRPr="00872D32">
        <w:t xml:space="preserve"> provide</w:t>
      </w:r>
      <w:r w:rsidR="00B503C7" w:rsidRPr="00872D32">
        <w:t xml:space="preserve">s </w:t>
      </w:r>
      <w:r w:rsidR="006E6FFE" w:rsidRPr="00872D32">
        <w:t>guidance to law enforcement organizations and the Government of Ontario on preventing, identifying and responding to racial profiling, racial discrimination, harassment, and other violations of the </w:t>
      </w:r>
      <w:r w:rsidR="006E6FFE" w:rsidRPr="00872D32">
        <w:rPr>
          <w:i/>
          <w:iCs/>
        </w:rPr>
        <w:t>Code.</w:t>
      </w:r>
      <w:r w:rsidR="00090F25" w:rsidRPr="00872D32">
        <w:rPr>
          <w:i/>
          <w:iCs/>
        </w:rPr>
        <w:t xml:space="preserve"> </w:t>
      </w:r>
    </w:p>
    <w:p w14:paraId="4F07248C" w14:textId="4CB814E5" w:rsidR="004C3EF3" w:rsidRPr="00872D32" w:rsidRDefault="00D323B2" w:rsidP="00616EAC">
      <w:r w:rsidRPr="00872D32">
        <w:t>C</w:t>
      </w:r>
      <w:r w:rsidR="00AB2F46" w:rsidRPr="00872D32">
        <w:t>hange in law enforcement must happen at the systemic level. To facilitate this change, t</w:t>
      </w:r>
      <w:r w:rsidR="008A5A0D" w:rsidRPr="00872D32">
        <w:t xml:space="preserve">he </w:t>
      </w:r>
      <w:r w:rsidR="00386C49" w:rsidRPr="00872D32">
        <w:t>OHRC released</w:t>
      </w:r>
      <w:r w:rsidR="00000451" w:rsidRPr="00872D32">
        <w:t xml:space="preserve"> its</w:t>
      </w:r>
      <w:r w:rsidR="00386C49" w:rsidRPr="00872D32">
        <w:t xml:space="preserve"> </w:t>
      </w:r>
      <w:hyperlink r:id="rId49" w:history="1">
        <w:r w:rsidR="004C3EF3" w:rsidRPr="00872D32">
          <w:rPr>
            <w:rStyle w:val="Hyperlink"/>
            <w:i/>
            <w:iCs/>
          </w:rPr>
          <w:t>Framework for change to address systemic racism in policing</w:t>
        </w:r>
      </w:hyperlink>
      <w:r w:rsidR="00ED3376" w:rsidRPr="00872D32">
        <w:t xml:space="preserve"> in 2021,</w:t>
      </w:r>
      <w:r w:rsidR="00B06E30" w:rsidRPr="00872D32">
        <w:t xml:space="preserve"> calling on </w:t>
      </w:r>
      <w:r w:rsidR="00210074" w:rsidRPr="00872D32">
        <w:t xml:space="preserve">the Government of </w:t>
      </w:r>
      <w:r w:rsidR="00B06E30" w:rsidRPr="00872D32">
        <w:t>Ontario to establish a legislative and regulatory framework to directly address systemic racial discrimination in policing across the province.</w:t>
      </w:r>
      <w:r w:rsidR="00BD1777" w:rsidRPr="00872D32">
        <w:rPr>
          <w:rFonts w:cs="Arial"/>
          <w:color w:val="000000"/>
        </w:rPr>
        <w:t xml:space="preserve"> </w:t>
      </w:r>
      <w:r w:rsidR="00BD1777" w:rsidRPr="00872D32">
        <w:t>The Framework includes ten essential steps for eliminating discriminatory practices from policing across the province</w:t>
      </w:r>
      <w:r w:rsidR="004C37F3" w:rsidRPr="00872D32">
        <w:t xml:space="preserve">. These steps were informed by </w:t>
      </w:r>
      <w:r w:rsidR="0068193B" w:rsidRPr="00872D32">
        <w:t xml:space="preserve">the lived experiences </w:t>
      </w:r>
      <w:r w:rsidR="003E347B" w:rsidRPr="00872D32">
        <w:t xml:space="preserve">and </w:t>
      </w:r>
      <w:r w:rsidR="0068193B" w:rsidRPr="00872D32">
        <w:t>testimonies</w:t>
      </w:r>
      <w:r w:rsidR="004C37F3" w:rsidRPr="00872D32">
        <w:t xml:space="preserve"> the OHRC heard over</w:t>
      </w:r>
      <w:r w:rsidR="003C685D" w:rsidRPr="00872D32">
        <w:t xml:space="preserve"> </w:t>
      </w:r>
      <w:r w:rsidR="003E347B" w:rsidRPr="00872D32">
        <w:t xml:space="preserve">years </w:t>
      </w:r>
      <w:r w:rsidR="004C37F3" w:rsidRPr="00872D32">
        <w:t>of engagement with Indigenous, Black and other racialized communities about their experiences with policing</w:t>
      </w:r>
      <w:r w:rsidR="008A5A0D" w:rsidRPr="00872D32">
        <w:t xml:space="preserve">. It was also informed by </w:t>
      </w:r>
      <w:r w:rsidR="007D11E5" w:rsidRPr="00872D32">
        <w:t xml:space="preserve">consultations </w:t>
      </w:r>
      <w:r w:rsidR="00821E23" w:rsidRPr="00872D32">
        <w:t>between the OHRC and</w:t>
      </w:r>
      <w:r w:rsidR="007D11E5" w:rsidRPr="00872D32">
        <w:t xml:space="preserve"> the Ontario Association of Chiefs of Police in its efforts to work collaboratively to make systemic changes within policing.</w:t>
      </w:r>
      <w:r w:rsidR="0068193B" w:rsidRPr="00872D32">
        <w:t xml:space="preserve"> </w:t>
      </w:r>
    </w:p>
    <w:p w14:paraId="2C081CF2" w14:textId="61277275" w:rsidR="00FE79D9" w:rsidRPr="00872D32" w:rsidRDefault="00FE79D9" w:rsidP="00022808">
      <w:pPr>
        <w:pStyle w:val="Heading4"/>
      </w:pPr>
      <w:bookmarkStart w:id="35" w:name="_Public_inquiry_into"/>
      <w:bookmarkStart w:id="36" w:name="_Toc217480185"/>
      <w:bookmarkEnd w:id="35"/>
      <w:r w:rsidRPr="00872D32">
        <w:t xml:space="preserve">Public inquiry into </w:t>
      </w:r>
      <w:r w:rsidR="00462DC1" w:rsidRPr="00872D32">
        <w:t xml:space="preserve">the </w:t>
      </w:r>
      <w:r w:rsidRPr="00872D32">
        <w:t>Toronto Police Service</w:t>
      </w:r>
      <w:r w:rsidR="00662DD1" w:rsidRPr="00872D32">
        <w:t xml:space="preserve"> (TPS)</w:t>
      </w:r>
      <w:bookmarkEnd w:id="36"/>
    </w:p>
    <w:p w14:paraId="00E73457" w14:textId="77777777" w:rsidR="009133B2" w:rsidRPr="00872D32" w:rsidRDefault="009133B2" w:rsidP="009133B2">
      <w:pPr>
        <w:rPr>
          <w:i/>
        </w:rPr>
      </w:pPr>
      <w:r w:rsidRPr="00872D32">
        <w:rPr>
          <w:i/>
        </w:rPr>
        <w:t>Responding to the following section of the Committee’s LOIPR:</w:t>
      </w:r>
    </w:p>
    <w:p w14:paraId="40CF8C1A" w14:textId="5846EA1F" w:rsidR="009133B2" w:rsidRPr="0091311A" w:rsidRDefault="009133B2" w:rsidP="009133B2">
      <w:pPr>
        <w:pStyle w:val="ListParagraph"/>
        <w:numPr>
          <w:ilvl w:val="0"/>
          <w:numId w:val="9"/>
        </w:numPr>
        <w:rPr>
          <w:lang w:val="fr-CA"/>
        </w:rPr>
      </w:pPr>
      <w:r w:rsidRPr="0091311A">
        <w:rPr>
          <w:i/>
          <w:iCs/>
          <w:lang w:val="fr-CA"/>
        </w:rPr>
        <w:t>Non-discrimination (paras. 5 (</w:t>
      </w:r>
      <w:r w:rsidR="00554AAE" w:rsidRPr="0091311A">
        <w:rPr>
          <w:i/>
          <w:iCs/>
          <w:lang w:val="fr-CA"/>
        </w:rPr>
        <w:t>a</w:t>
      </w:r>
      <w:r w:rsidRPr="0091311A">
        <w:rPr>
          <w:i/>
          <w:iCs/>
          <w:lang w:val="fr-CA"/>
        </w:rPr>
        <w:t>) and 5 (b))</w:t>
      </w:r>
    </w:p>
    <w:p w14:paraId="7D8E000C" w14:textId="753E1CFE" w:rsidR="00EA6F7F" w:rsidRPr="00872D32" w:rsidRDefault="000E22D0" w:rsidP="000D52A8">
      <w:pPr>
        <w:spacing w:before="240"/>
      </w:pPr>
      <w:r w:rsidRPr="00872D32">
        <w:t>In 2023</w:t>
      </w:r>
      <w:r w:rsidR="00616EAC" w:rsidRPr="00872D32">
        <w:t xml:space="preserve">, the OHRC completed a </w:t>
      </w:r>
      <w:hyperlink r:id="rId50" w:history="1">
        <w:r w:rsidR="00616EAC" w:rsidRPr="00872D32">
          <w:rPr>
            <w:rStyle w:val="Hyperlink"/>
          </w:rPr>
          <w:t>public inquiry</w:t>
        </w:r>
      </w:hyperlink>
      <w:r w:rsidR="00616EAC" w:rsidRPr="00872D32">
        <w:t xml:space="preserve"> into racial profiling and racial discrimination of Black people by the TPS</w:t>
      </w:r>
      <w:r w:rsidR="00042E33">
        <w:t xml:space="preserve"> (</w:t>
      </w:r>
      <w:r w:rsidR="007269FC">
        <w:t xml:space="preserve">the </w:t>
      </w:r>
      <w:hyperlink r:id="rId51" w:history="1">
        <w:r w:rsidR="007269FC" w:rsidRPr="00F9300C">
          <w:rPr>
            <w:rStyle w:val="Hyperlink"/>
          </w:rPr>
          <w:t>largest</w:t>
        </w:r>
      </w:hyperlink>
      <w:r w:rsidR="007269FC">
        <w:t xml:space="preserve"> municipal police force in Canada)</w:t>
      </w:r>
      <w:r w:rsidR="00FE79D9" w:rsidRPr="00872D32">
        <w:t>.</w:t>
      </w:r>
      <w:r w:rsidR="00616EAC" w:rsidRPr="00872D32">
        <w:t xml:space="preserve"> </w:t>
      </w:r>
      <w:r w:rsidR="00EA6F7F" w:rsidRPr="00872D32">
        <w:t xml:space="preserve">While this inquiry focused on TPS, the issues and its findings are not unique to that police service and the OHRC invites the Committee to discuss systemic racism among policing bodies throughout Canada in detail. </w:t>
      </w:r>
    </w:p>
    <w:p w14:paraId="4C00B3B0" w14:textId="01E665C7" w:rsidR="00616EAC" w:rsidRPr="00872D32" w:rsidRDefault="00616EAC" w:rsidP="00616EAC">
      <w:r w:rsidRPr="00872D32">
        <w:lastRenderedPageBreak/>
        <w:t>Th</w:t>
      </w:r>
      <w:r w:rsidR="00532041" w:rsidRPr="00872D32">
        <w:t>is</w:t>
      </w:r>
      <w:r w:rsidR="00EA6F7F" w:rsidRPr="00872D32">
        <w:t xml:space="preserve"> </w:t>
      </w:r>
      <w:r w:rsidRPr="00872D32">
        <w:t>inquiry revealed findings of systemic racial discrimination, racial profiling, gross over-representation of Black people in police </w:t>
      </w:r>
      <w:hyperlink r:id="rId52" w:history="1">
        <w:r w:rsidRPr="00872D32">
          <w:rPr>
            <w:rStyle w:val="Hyperlink"/>
          </w:rPr>
          <w:t>use of force incidents</w:t>
        </w:r>
      </w:hyperlink>
      <w:r w:rsidRPr="00872D32">
        <w:t>, and anti-Black racism across interactions with the TPS.</w:t>
      </w:r>
    </w:p>
    <w:p w14:paraId="4342856D" w14:textId="5658A26B" w:rsidR="00D91FA5" w:rsidRPr="00872D32" w:rsidRDefault="00EC284F" w:rsidP="00D91FA5">
      <w:r w:rsidRPr="00872D32">
        <w:t>The report includes 10</w:t>
      </w:r>
      <w:r w:rsidR="00BA07CE" w:rsidRPr="00872D32">
        <w:t>7</w:t>
      </w:r>
      <w:r w:rsidRPr="00872D32">
        <w:t xml:space="preserve"> recommendations for meaningful actions to improve outcomes for Black communities when interacting with the TPS.</w:t>
      </w:r>
      <w:r w:rsidR="00D91FA5" w:rsidRPr="00872D32">
        <w:t xml:space="preserve"> </w:t>
      </w:r>
      <w:r w:rsidR="00472C8F" w:rsidRPr="00872D32">
        <w:t>Among these recommendations, the OHRC notably called on the TPS to</w:t>
      </w:r>
      <w:r w:rsidR="005D0451" w:rsidRPr="00872D32">
        <w:t>:</w:t>
      </w:r>
    </w:p>
    <w:p w14:paraId="6A058EF8" w14:textId="71CF2F04" w:rsidR="00D91FA5" w:rsidRPr="00872D32" w:rsidRDefault="00587A31" w:rsidP="00D91FA5">
      <w:pPr>
        <w:numPr>
          <w:ilvl w:val="0"/>
          <w:numId w:val="36"/>
        </w:numPr>
      </w:pPr>
      <w:r w:rsidRPr="00872D32">
        <w:t>P</w:t>
      </w:r>
      <w:r w:rsidR="00D91FA5" w:rsidRPr="00872D32">
        <w:t>urg</w:t>
      </w:r>
      <w:r w:rsidR="002F3C8D" w:rsidRPr="00872D32">
        <w:t>e</w:t>
      </w:r>
      <w:r w:rsidR="00D91FA5" w:rsidRPr="00872D32">
        <w:t xml:space="preserve"> the TPS database of photographs, fingerprints or other biometric information from charges that do not result in convictions</w:t>
      </w:r>
      <w:r w:rsidR="00A9468A" w:rsidRPr="00872D32">
        <w:t>.</w:t>
      </w:r>
    </w:p>
    <w:p w14:paraId="724AC144" w14:textId="63138140" w:rsidR="00D91FA5" w:rsidRPr="00872D32" w:rsidRDefault="00587A31" w:rsidP="00D91FA5">
      <w:pPr>
        <w:numPr>
          <w:ilvl w:val="0"/>
          <w:numId w:val="36"/>
        </w:numPr>
      </w:pPr>
      <w:r w:rsidRPr="00872D32">
        <w:t>R</w:t>
      </w:r>
      <w:r w:rsidR="00D91FA5" w:rsidRPr="00872D32">
        <w:t>equir</w:t>
      </w:r>
      <w:r w:rsidR="002F3C8D" w:rsidRPr="00872D32">
        <w:t>e</w:t>
      </w:r>
      <w:r w:rsidR="00D91FA5" w:rsidRPr="00872D32">
        <w:t xml:space="preserve"> supervisory approval and/or equity audits of charges</w:t>
      </w:r>
      <w:r w:rsidR="00A9468A" w:rsidRPr="00872D32">
        <w:t>.</w:t>
      </w:r>
    </w:p>
    <w:p w14:paraId="38E5539A" w14:textId="40016719" w:rsidR="00D91FA5" w:rsidRPr="00872D32" w:rsidRDefault="00587A31" w:rsidP="00D91FA5">
      <w:pPr>
        <w:numPr>
          <w:ilvl w:val="0"/>
          <w:numId w:val="36"/>
        </w:numPr>
      </w:pPr>
      <w:r w:rsidRPr="00872D32">
        <w:t>R</w:t>
      </w:r>
      <w:r w:rsidR="00D91FA5" w:rsidRPr="00872D32">
        <w:t>evis</w:t>
      </w:r>
      <w:r w:rsidR="002F3C8D" w:rsidRPr="00872D32">
        <w:t>e</w:t>
      </w:r>
      <w:r w:rsidR="00D91FA5" w:rsidRPr="00872D32">
        <w:t xml:space="preserve"> policies and procedures to clearly set out circumstances where unnecessary force should not be used</w:t>
      </w:r>
      <w:r w:rsidR="00A9468A" w:rsidRPr="00872D32">
        <w:t>.</w:t>
      </w:r>
    </w:p>
    <w:p w14:paraId="50C50533" w14:textId="29CF5938" w:rsidR="00D91FA5" w:rsidRPr="00872D32" w:rsidRDefault="00587A31" w:rsidP="00D91FA5">
      <w:pPr>
        <w:numPr>
          <w:ilvl w:val="0"/>
          <w:numId w:val="36"/>
        </w:numPr>
      </w:pPr>
      <w:r w:rsidRPr="00872D32">
        <w:t>E</w:t>
      </w:r>
      <w:r w:rsidR="00D91FA5" w:rsidRPr="00872D32">
        <w:t>xpand the collection, analysis and reporting of race-based data on stop, searches, charges, arrests and use of force</w:t>
      </w:r>
      <w:r w:rsidR="00A9468A" w:rsidRPr="00872D32">
        <w:t>.</w:t>
      </w:r>
    </w:p>
    <w:p w14:paraId="31654F98" w14:textId="0488FD95" w:rsidR="00D91FA5" w:rsidRPr="00872D32" w:rsidRDefault="00587A31" w:rsidP="00D91FA5">
      <w:pPr>
        <w:numPr>
          <w:ilvl w:val="0"/>
          <w:numId w:val="36"/>
        </w:numPr>
      </w:pPr>
      <w:r w:rsidRPr="00872D32">
        <w:t>P</w:t>
      </w:r>
      <w:r w:rsidR="00D91FA5" w:rsidRPr="00872D32">
        <w:t>rovid</w:t>
      </w:r>
      <w:r w:rsidR="002F3C8D" w:rsidRPr="00872D32">
        <w:t>e</w:t>
      </w:r>
      <w:r w:rsidR="00D91FA5" w:rsidRPr="00872D32">
        <w:t xml:space="preserve"> greater transparency on officer discipline</w:t>
      </w:r>
      <w:r w:rsidR="00A9468A" w:rsidRPr="00872D32">
        <w:t>.</w:t>
      </w:r>
    </w:p>
    <w:p w14:paraId="16AB3A6F" w14:textId="10DD05A6" w:rsidR="00D91FA5" w:rsidRPr="00872D32" w:rsidRDefault="00587A31" w:rsidP="00D91FA5">
      <w:pPr>
        <w:numPr>
          <w:ilvl w:val="0"/>
          <w:numId w:val="36"/>
        </w:numPr>
      </w:pPr>
      <w:r w:rsidRPr="00872D32">
        <w:t>T</w:t>
      </w:r>
      <w:r w:rsidR="00D91FA5" w:rsidRPr="00872D32">
        <w:t>ak</w:t>
      </w:r>
      <w:r w:rsidR="002F3C8D" w:rsidRPr="00872D32">
        <w:t>e</w:t>
      </w:r>
      <w:r w:rsidR="00D91FA5" w:rsidRPr="00872D32">
        <w:t xml:space="preserve"> proactive investigative steps following tribunal or court decisions that contain findings of racial profiling, racial discrimination</w:t>
      </w:r>
      <w:r w:rsidR="00793B95" w:rsidRPr="00872D32">
        <w:t>,</w:t>
      </w:r>
      <w:r w:rsidR="00D91FA5" w:rsidRPr="00872D32">
        <w:t xml:space="preserve"> or violations of the </w:t>
      </w:r>
      <w:r w:rsidR="00D91FA5" w:rsidRPr="00872D32">
        <w:rPr>
          <w:i/>
          <w:iCs/>
        </w:rPr>
        <w:t>Charter</w:t>
      </w:r>
      <w:r w:rsidR="00A9468A" w:rsidRPr="00872D32">
        <w:rPr>
          <w:i/>
          <w:iCs/>
        </w:rPr>
        <w:t>.</w:t>
      </w:r>
    </w:p>
    <w:p w14:paraId="41ED815A" w14:textId="5D3E863A" w:rsidR="00D91FA5" w:rsidRPr="00872D32" w:rsidRDefault="00587A31" w:rsidP="00D91FA5">
      <w:pPr>
        <w:numPr>
          <w:ilvl w:val="0"/>
          <w:numId w:val="36"/>
        </w:numPr>
      </w:pPr>
      <w:r w:rsidRPr="00872D32">
        <w:t>I</w:t>
      </w:r>
      <w:r w:rsidR="00D91FA5" w:rsidRPr="00872D32">
        <w:t>ntegrat</w:t>
      </w:r>
      <w:r w:rsidR="002F3C8D" w:rsidRPr="00872D32">
        <w:t>e</w:t>
      </w:r>
      <w:r w:rsidR="00D91FA5" w:rsidRPr="00872D32">
        <w:t xml:space="preserve"> scenario-based training on anti-Black racism into other training programs with effective evaluation</w:t>
      </w:r>
      <w:r w:rsidR="00A9468A" w:rsidRPr="00872D32">
        <w:t>.</w:t>
      </w:r>
    </w:p>
    <w:p w14:paraId="4F88290B" w14:textId="0D506894" w:rsidR="00D91FA5" w:rsidRPr="00872D32" w:rsidRDefault="00587A31" w:rsidP="00D91FA5">
      <w:pPr>
        <w:numPr>
          <w:ilvl w:val="0"/>
          <w:numId w:val="36"/>
        </w:numPr>
      </w:pPr>
      <w:r w:rsidRPr="00872D32">
        <w:t>D</w:t>
      </w:r>
      <w:r w:rsidR="00D91FA5" w:rsidRPr="00872D32">
        <w:t>evelop a distinct policy or procedure on racial profiling</w:t>
      </w:r>
      <w:r w:rsidR="00A9468A" w:rsidRPr="00872D32">
        <w:t>.</w:t>
      </w:r>
    </w:p>
    <w:p w14:paraId="359B728C" w14:textId="1BE15647" w:rsidR="00D91FA5" w:rsidRPr="00872D32" w:rsidRDefault="00587A31" w:rsidP="00D91FA5">
      <w:pPr>
        <w:numPr>
          <w:ilvl w:val="0"/>
          <w:numId w:val="36"/>
        </w:numPr>
      </w:pPr>
      <w:r w:rsidRPr="00872D32">
        <w:t>S</w:t>
      </w:r>
      <w:r w:rsidR="00D91FA5" w:rsidRPr="00872D32">
        <w:t>upport calls to expand civilian-led mental health crisis response services</w:t>
      </w:r>
      <w:r w:rsidR="00A9468A" w:rsidRPr="00872D32">
        <w:t>.</w:t>
      </w:r>
    </w:p>
    <w:p w14:paraId="181B3EF3" w14:textId="7A1DB5F2" w:rsidR="00F94412" w:rsidRPr="00872D32" w:rsidRDefault="00F94412" w:rsidP="00F94412">
      <w:r w:rsidRPr="00872D32">
        <w:t>To rebuild trust with Black communities, it is essential that these recommendations are acted upon through specific, systemic, and concrete measures that are independently monitored and enforceable. The OHRC is actively monitoring the progress of the TPS and its Board in implementing the recommendations.</w:t>
      </w:r>
    </w:p>
    <w:p w14:paraId="4B0BE19B" w14:textId="792A6BAB" w:rsidR="00616EAC" w:rsidRPr="00872D32" w:rsidRDefault="00EC284F" w:rsidP="00354735">
      <w:r w:rsidRPr="00872D32">
        <w:t>Prior to this final report, the OHRC also published two interim reports</w:t>
      </w:r>
      <w:r w:rsidR="009C2EF7" w:rsidRPr="00872D32">
        <w:t xml:space="preserve"> </w:t>
      </w:r>
      <w:hyperlink r:id="rId53" w:history="1">
        <w:r w:rsidR="009C2EF7" w:rsidRPr="00872D32">
          <w:rPr>
            <w:rStyle w:val="Hyperlink"/>
          </w:rPr>
          <w:t xml:space="preserve">in </w:t>
        </w:r>
        <w:r w:rsidR="00B9023E" w:rsidRPr="00872D32">
          <w:rPr>
            <w:rStyle w:val="Hyperlink"/>
          </w:rPr>
          <w:t>2018</w:t>
        </w:r>
      </w:hyperlink>
      <w:r w:rsidR="00B9023E" w:rsidRPr="00872D32">
        <w:t xml:space="preserve"> </w:t>
      </w:r>
      <w:r w:rsidR="00205A0D" w:rsidRPr="00872D32">
        <w:t xml:space="preserve">and </w:t>
      </w:r>
      <w:hyperlink r:id="rId54" w:history="1">
        <w:r w:rsidR="00205A0D" w:rsidRPr="00872D32">
          <w:rPr>
            <w:rStyle w:val="Hyperlink"/>
          </w:rPr>
          <w:t>in 2020</w:t>
        </w:r>
      </w:hyperlink>
      <w:r w:rsidR="00205A0D" w:rsidRPr="00872D32">
        <w:t xml:space="preserve">. Respectively, </w:t>
      </w:r>
      <w:r w:rsidR="00555A10" w:rsidRPr="00872D32">
        <w:t xml:space="preserve">these interim reports </w:t>
      </w:r>
      <w:r w:rsidR="00210774" w:rsidRPr="00872D32">
        <w:t xml:space="preserve">addressed </w:t>
      </w:r>
      <w:r w:rsidR="006D490D" w:rsidRPr="00872D32">
        <w:t xml:space="preserve">findings from independent </w:t>
      </w:r>
      <w:r w:rsidR="00210774" w:rsidRPr="00872D32">
        <w:t xml:space="preserve">data analysis </w:t>
      </w:r>
      <w:r w:rsidR="00762F44" w:rsidRPr="00872D32">
        <w:t xml:space="preserve">related to Special Investigations Unit (SIU) investigations of police use of force resulting in serious injury or death </w:t>
      </w:r>
      <w:r w:rsidR="004D4645" w:rsidRPr="00872D32">
        <w:t>and</w:t>
      </w:r>
      <w:r w:rsidR="00354735" w:rsidRPr="00872D32">
        <w:t xml:space="preserve"> to</w:t>
      </w:r>
      <w:r w:rsidR="004D4645" w:rsidRPr="00872D32">
        <w:t xml:space="preserve"> widespread racial disparities in TPS’s charge, arrest and use of force practices. </w:t>
      </w:r>
    </w:p>
    <w:p w14:paraId="1A79B9B5" w14:textId="6ABD58FC" w:rsidR="001869C8" w:rsidRPr="00872D32" w:rsidRDefault="001869C8" w:rsidP="00022808">
      <w:pPr>
        <w:pStyle w:val="Heading4"/>
      </w:pPr>
      <w:bookmarkStart w:id="37" w:name="_Toc217480186"/>
      <w:r w:rsidRPr="00872D32">
        <w:t>Peel Regional Police (PRP) Human Rights Project</w:t>
      </w:r>
      <w:bookmarkEnd w:id="37"/>
    </w:p>
    <w:p w14:paraId="5FCD814B" w14:textId="77777777" w:rsidR="00554AAE" w:rsidRPr="00872D32" w:rsidRDefault="00554AAE" w:rsidP="00554AAE">
      <w:pPr>
        <w:rPr>
          <w:i/>
        </w:rPr>
      </w:pPr>
      <w:r w:rsidRPr="00872D32">
        <w:rPr>
          <w:i/>
        </w:rPr>
        <w:t>Responding to the following section of the Committee’s LOIPR:</w:t>
      </w:r>
    </w:p>
    <w:p w14:paraId="79E8F0C2" w14:textId="703C8801" w:rsidR="00554AAE" w:rsidRPr="00872D32" w:rsidRDefault="00554AAE" w:rsidP="000D52A8">
      <w:pPr>
        <w:pStyle w:val="ListParagraph"/>
        <w:numPr>
          <w:ilvl w:val="0"/>
          <w:numId w:val="9"/>
        </w:numPr>
      </w:pPr>
      <w:r w:rsidRPr="00872D32">
        <w:rPr>
          <w:i/>
          <w:iCs/>
        </w:rPr>
        <w:t>Non-discrimination (para. 5 (b))</w:t>
      </w:r>
    </w:p>
    <w:p w14:paraId="71670EB4" w14:textId="4AE1AF6D" w:rsidR="002B19C1" w:rsidRPr="00872D32" w:rsidRDefault="00506040" w:rsidP="000D52A8">
      <w:pPr>
        <w:spacing w:before="240"/>
      </w:pPr>
      <w:r w:rsidRPr="00872D32">
        <w:lastRenderedPageBreak/>
        <w:t>After c</w:t>
      </w:r>
      <w:r w:rsidR="008679F8" w:rsidRPr="00872D32">
        <w:t>ommunity members in Peel Region</w:t>
      </w:r>
      <w:r w:rsidR="00327997" w:rsidRPr="00872D32">
        <w:t>, particularly Black community members,</w:t>
      </w:r>
      <w:r w:rsidR="008679F8" w:rsidRPr="00872D32">
        <w:t xml:space="preserve"> </w:t>
      </w:r>
      <w:hyperlink r:id="rId55" w:history="1">
        <w:r w:rsidR="008679F8" w:rsidRPr="00872D32">
          <w:rPr>
            <w:rStyle w:val="Hyperlink"/>
          </w:rPr>
          <w:t>raised concerns</w:t>
        </w:r>
      </w:hyperlink>
      <w:r w:rsidR="008679F8" w:rsidRPr="00872D32">
        <w:t xml:space="preserve"> about </w:t>
      </w:r>
      <w:r w:rsidRPr="00872D32">
        <w:t xml:space="preserve">systemic </w:t>
      </w:r>
      <w:r w:rsidR="008679F8" w:rsidRPr="00872D32">
        <w:t>racism</w:t>
      </w:r>
      <w:r w:rsidR="00327997" w:rsidRPr="00872D32">
        <w:t xml:space="preserve"> by the Peel Regional Police (PRP), t</w:t>
      </w:r>
      <w:r w:rsidR="00616EAC" w:rsidRPr="00872D32">
        <w:t xml:space="preserve">he </w:t>
      </w:r>
      <w:r w:rsidR="00327997" w:rsidRPr="00872D32">
        <w:t xml:space="preserve">PRP </w:t>
      </w:r>
      <w:hyperlink r:id="rId56" w:history="1">
        <w:r w:rsidR="00616EAC" w:rsidRPr="00872D32">
          <w:rPr>
            <w:rStyle w:val="Hyperlink"/>
          </w:rPr>
          <w:t>acknowledged</w:t>
        </w:r>
      </w:hyperlink>
      <w:r w:rsidR="00616EAC" w:rsidRPr="00872D32">
        <w:t> that systemic racism exists in Peel Region. In 2020, the OHRC and PRP and its Board signed a</w:t>
      </w:r>
      <w:r w:rsidR="00616EAC" w:rsidRPr="00872D32">
        <w:rPr>
          <w:i/>
          <w:iCs/>
        </w:rPr>
        <w:t> </w:t>
      </w:r>
      <w:hyperlink r:id="rId57" w:anchor="overlay-context=en" w:history="1">
        <w:r w:rsidR="00616EAC" w:rsidRPr="00872D32">
          <w:rPr>
            <w:rStyle w:val="Hyperlink"/>
          </w:rPr>
          <w:t>Memorandum of Understanding</w:t>
        </w:r>
      </w:hyperlink>
      <w:r w:rsidR="00616EAC" w:rsidRPr="00872D32">
        <w:rPr>
          <w:i/>
          <w:iCs/>
        </w:rPr>
        <w:t> </w:t>
      </w:r>
      <w:r w:rsidR="00616EAC" w:rsidRPr="00872D32">
        <w:t xml:space="preserve">committing the parties to develop and implement legally binding remedies </w:t>
      </w:r>
      <w:r w:rsidR="009156A2" w:rsidRPr="00872D32">
        <w:t xml:space="preserve">aiming to </w:t>
      </w:r>
      <w:r w:rsidR="00616EAC" w:rsidRPr="00872D32">
        <w:t>end systemic racism and discrimination in policing, promote transparency and enhance Black, other racialized and Indigenous communities’ trust in policing throughout Peel Region.</w:t>
      </w:r>
      <w:r w:rsidR="0004131E" w:rsidRPr="00872D32">
        <w:t xml:space="preserve"> Through this agreement, the OHRC has provide</w:t>
      </w:r>
      <w:r w:rsidR="00246D8A" w:rsidRPr="00872D32">
        <w:t xml:space="preserve">d </w:t>
      </w:r>
      <w:r w:rsidR="0004131E" w:rsidRPr="00872D32">
        <w:t xml:space="preserve">human rights guidance to the PRP and </w:t>
      </w:r>
      <w:r w:rsidR="00C712A6" w:rsidRPr="00872D32">
        <w:t>its Board</w:t>
      </w:r>
      <w:r w:rsidR="0004131E" w:rsidRPr="00872D32">
        <w:t xml:space="preserve"> on initiatives to identify and eliminate systemic racism in its service delivery and employment practices. </w:t>
      </w:r>
    </w:p>
    <w:p w14:paraId="2E6DEE02" w14:textId="05374890" w:rsidR="00D861B6" w:rsidRPr="00872D32" w:rsidRDefault="002F5802" w:rsidP="00F466B9">
      <w:r w:rsidRPr="00872D32">
        <w:t xml:space="preserve">To inform an initial set of jointly developed recommendations, the OHRC and PRP held </w:t>
      </w:r>
      <w:hyperlink r:id="rId58" w:history="1">
        <w:r w:rsidRPr="00872D32">
          <w:rPr>
            <w:rStyle w:val="Hyperlink"/>
          </w:rPr>
          <w:t>community engagement sessions</w:t>
        </w:r>
      </w:hyperlink>
      <w:r w:rsidRPr="00872D32">
        <w:t xml:space="preserve"> in 2023 to hear from community members </w:t>
      </w:r>
      <w:r w:rsidR="00FE65B8" w:rsidRPr="00872D32">
        <w:t xml:space="preserve">on their lived experiences, the concerns and issues they face with policing, and </w:t>
      </w:r>
      <w:r w:rsidRPr="00872D32">
        <w:t>measures to address systemic racism and discrimination in policing in Peel Region.</w:t>
      </w:r>
      <w:r w:rsidR="00A014D9" w:rsidRPr="00872D32">
        <w:t xml:space="preserve"> </w:t>
      </w:r>
      <w:r w:rsidR="00D861B6" w:rsidRPr="00872D32">
        <w:t xml:space="preserve">The engagement focused on the </w:t>
      </w:r>
      <w:hyperlink r:id="rId59" w:anchor="_Toc17977381:~:text=Acknowledgement%3A%20Substantively%20acknowledging,all%20of%20these%20principles." w:history="1">
        <w:r w:rsidR="00D861B6" w:rsidRPr="00872D32">
          <w:rPr>
            <w:rStyle w:val="Hyperlink"/>
          </w:rPr>
          <w:t>seven principles</w:t>
        </w:r>
      </w:hyperlink>
      <w:r w:rsidR="00D861B6" w:rsidRPr="00872D32">
        <w:t xml:space="preserve"> to eliminate racial profiling outlined in the</w:t>
      </w:r>
      <w:r w:rsidR="004F59E3" w:rsidRPr="00872D32">
        <w:t xml:space="preserve"> above-noted OHRC’s </w:t>
      </w:r>
      <w:r w:rsidR="004F59E3" w:rsidRPr="00872D32">
        <w:rPr>
          <w:i/>
          <w:iCs/>
        </w:rPr>
        <w:t>Policy on eliminating racial profiling in law enforcement</w:t>
      </w:r>
      <w:r w:rsidR="00A5405B" w:rsidRPr="00872D32">
        <w:t>.</w:t>
      </w:r>
      <w:r w:rsidR="0059166D" w:rsidRPr="00872D32">
        <w:t xml:space="preserve"> </w:t>
      </w:r>
    </w:p>
    <w:p w14:paraId="734B8F4A" w14:textId="6D18D5F4" w:rsidR="002F5802" w:rsidRPr="00872D32" w:rsidRDefault="0029128C" w:rsidP="00F466B9">
      <w:r w:rsidRPr="00872D32">
        <w:t>The</w:t>
      </w:r>
      <w:r w:rsidR="0030415D" w:rsidRPr="00872D32">
        <w:t xml:space="preserve"> collaborative development</w:t>
      </w:r>
      <w:r w:rsidRPr="00872D32">
        <w:t xml:space="preserve"> </w:t>
      </w:r>
      <w:r w:rsidR="00F92EF6" w:rsidRPr="00872D32">
        <w:t xml:space="preserve">of </w:t>
      </w:r>
      <w:r w:rsidR="0085217D" w:rsidRPr="00872D32">
        <w:t xml:space="preserve">these recommendations is </w:t>
      </w:r>
      <w:hyperlink r:id="rId60" w:history="1">
        <w:r w:rsidR="0085217D" w:rsidRPr="00872D32">
          <w:rPr>
            <w:rStyle w:val="Hyperlink"/>
          </w:rPr>
          <w:t>ongoing</w:t>
        </w:r>
      </w:hyperlink>
      <w:r w:rsidR="0085217D" w:rsidRPr="00872D32">
        <w:t xml:space="preserve"> and </w:t>
      </w:r>
      <w:r w:rsidR="00AE2C01">
        <w:t xml:space="preserve">aims to </w:t>
      </w:r>
      <w:r w:rsidR="0085217D" w:rsidRPr="00872D32">
        <w:t xml:space="preserve">result </w:t>
      </w:r>
      <w:r w:rsidR="00A014D9" w:rsidRPr="00872D32">
        <w:t>in legally binding commitments for the PRP to change the landscape of policing in the community.</w:t>
      </w:r>
      <w:r w:rsidR="00553779" w:rsidRPr="00872D32">
        <w:t xml:space="preserve"> </w:t>
      </w:r>
    </w:p>
    <w:p w14:paraId="21D60629" w14:textId="77777777" w:rsidR="00F466B9" w:rsidRPr="00872D32" w:rsidRDefault="00F466B9" w:rsidP="00F466B9">
      <w:pPr>
        <w:pStyle w:val="Heading4"/>
      </w:pPr>
      <w:bookmarkStart w:id="38" w:name="_Toc217480187"/>
      <w:r w:rsidRPr="00872D32">
        <w:t>Use of force</w:t>
      </w:r>
      <w:bookmarkEnd w:id="38"/>
    </w:p>
    <w:p w14:paraId="2BC4E2E4" w14:textId="77777777" w:rsidR="009179A4" w:rsidRPr="00872D32" w:rsidRDefault="009179A4" w:rsidP="009179A4">
      <w:pPr>
        <w:rPr>
          <w:i/>
        </w:rPr>
      </w:pPr>
      <w:r w:rsidRPr="00872D32">
        <w:rPr>
          <w:i/>
        </w:rPr>
        <w:t>Responding to the following section of the Committee’s LOIPR:</w:t>
      </w:r>
    </w:p>
    <w:p w14:paraId="3B41075D" w14:textId="1F58AAC4" w:rsidR="009179A4" w:rsidRPr="00872D32" w:rsidRDefault="009179A4" w:rsidP="009179A4">
      <w:pPr>
        <w:pStyle w:val="ListParagraph"/>
        <w:numPr>
          <w:ilvl w:val="0"/>
          <w:numId w:val="9"/>
        </w:numPr>
      </w:pPr>
      <w:r w:rsidRPr="00872D32">
        <w:rPr>
          <w:i/>
          <w:iCs/>
        </w:rPr>
        <w:t>Non-discrimination (para. 5 (a))</w:t>
      </w:r>
    </w:p>
    <w:p w14:paraId="08479E79" w14:textId="436143FE" w:rsidR="002B1BEA" w:rsidRPr="00872D32" w:rsidRDefault="00531F3C" w:rsidP="009179A4">
      <w:pPr>
        <w:spacing w:before="240"/>
      </w:pPr>
      <w:r w:rsidRPr="00872D32">
        <w:t xml:space="preserve">In addition to </w:t>
      </w:r>
      <w:r w:rsidR="00480147" w:rsidRPr="00872D32">
        <w:t xml:space="preserve">examining </w:t>
      </w:r>
      <w:r w:rsidRPr="00872D32">
        <w:t xml:space="preserve">use of force by the TPS in the above-noted </w:t>
      </w:r>
      <w:r w:rsidR="002D2FFA" w:rsidRPr="00872D32">
        <w:t xml:space="preserve">public </w:t>
      </w:r>
      <w:r w:rsidRPr="00872D32">
        <w:t>inquiry</w:t>
      </w:r>
      <w:r w:rsidR="006D2344" w:rsidRPr="00872D32">
        <w:t xml:space="preserve">, the OHRC </w:t>
      </w:r>
      <w:r w:rsidR="00635D9F" w:rsidRPr="00872D32">
        <w:t>is concerned</w:t>
      </w:r>
      <w:r w:rsidR="006D2344" w:rsidRPr="00872D32">
        <w:t xml:space="preserve"> about </w:t>
      </w:r>
      <w:r w:rsidR="00F364ED" w:rsidRPr="00872D32">
        <w:t>police use of force</w:t>
      </w:r>
      <w:r w:rsidR="00B73FAE" w:rsidRPr="00872D32">
        <w:t>, especially</w:t>
      </w:r>
      <w:r w:rsidR="00F364ED" w:rsidRPr="00872D32">
        <w:t xml:space="preserve"> against </w:t>
      </w:r>
      <w:r w:rsidR="00635D9F" w:rsidRPr="00872D32">
        <w:t xml:space="preserve">racialized </w:t>
      </w:r>
      <w:r w:rsidR="00B73FAE" w:rsidRPr="00872D32">
        <w:t xml:space="preserve">people </w:t>
      </w:r>
      <w:r w:rsidR="007E510B" w:rsidRPr="00872D32">
        <w:t xml:space="preserve">and </w:t>
      </w:r>
      <w:r w:rsidR="00B73FAE" w:rsidRPr="00872D32">
        <w:t xml:space="preserve">other marginalized </w:t>
      </w:r>
      <w:r w:rsidR="006E1806" w:rsidRPr="00872D32">
        <w:t>or</w:t>
      </w:r>
      <w:r w:rsidR="00B73FAE" w:rsidRPr="00872D32">
        <w:t xml:space="preserve"> vulnerable </w:t>
      </w:r>
      <w:r w:rsidR="00F364ED" w:rsidRPr="00872D32">
        <w:t>people.</w:t>
      </w:r>
      <w:r w:rsidR="00B73FAE" w:rsidRPr="00872D32">
        <w:t xml:space="preserve"> According to </w:t>
      </w:r>
      <w:hyperlink r:id="rId61" w:history="1">
        <w:r w:rsidR="00B73FAE" w:rsidRPr="00872D32">
          <w:rPr>
            <w:rStyle w:val="Hyperlink"/>
          </w:rPr>
          <w:t>data</w:t>
        </w:r>
      </w:hyperlink>
      <w:r w:rsidR="00B73FAE" w:rsidRPr="00872D32">
        <w:t xml:space="preserve"> from the Ontario Ministry of the Solicitor General, there were 12,921 </w:t>
      </w:r>
      <w:r w:rsidR="008F62F4" w:rsidRPr="00872D32">
        <w:t>use of force incidents</w:t>
      </w:r>
      <w:r w:rsidR="00E73E20" w:rsidRPr="00872D32">
        <w:t xml:space="preserve"> by police services</w:t>
      </w:r>
      <w:r w:rsidR="008F62F4" w:rsidRPr="00872D32">
        <w:t xml:space="preserve"> </w:t>
      </w:r>
      <w:r w:rsidR="00E73E20" w:rsidRPr="00872D32">
        <w:t xml:space="preserve">in Ontario </w:t>
      </w:r>
      <w:r w:rsidR="008F62F4" w:rsidRPr="00872D32">
        <w:t xml:space="preserve">between January 1 and December 31, 2024. Of those 12,921 incidents, 52% (6,776) </w:t>
      </w:r>
      <w:r w:rsidR="00AE2C01">
        <w:t>involved</w:t>
      </w:r>
      <w:r w:rsidR="00AE2C01" w:rsidRPr="00872D32">
        <w:t xml:space="preserve"> </w:t>
      </w:r>
      <w:r w:rsidR="008F62F4" w:rsidRPr="00872D32">
        <w:t>racialized people</w:t>
      </w:r>
      <w:r w:rsidR="001561F9">
        <w:t>, of these</w:t>
      </w:r>
      <w:r w:rsidR="00066773" w:rsidRPr="00872D32">
        <w:t xml:space="preserve"> 45% (</w:t>
      </w:r>
      <w:r w:rsidR="00E73E20" w:rsidRPr="00872D32">
        <w:t xml:space="preserve">3,068) targeted Black people. </w:t>
      </w:r>
      <w:r w:rsidR="006E1806" w:rsidRPr="00872D32">
        <w:t xml:space="preserve">Though data </w:t>
      </w:r>
      <w:r w:rsidR="005B2BD4" w:rsidRPr="00872D32">
        <w:t xml:space="preserve">related to </w:t>
      </w:r>
      <w:r w:rsidR="00F95359" w:rsidRPr="00872D32">
        <w:t xml:space="preserve">police </w:t>
      </w:r>
      <w:r w:rsidR="005B2BD4" w:rsidRPr="00872D32">
        <w:t>use of force against people with addictions or mental health disabilities</w:t>
      </w:r>
      <w:r w:rsidR="005B6449" w:rsidRPr="00872D32">
        <w:t>, particularl</w:t>
      </w:r>
      <w:r w:rsidR="00F95359" w:rsidRPr="00872D32">
        <w:t>y when police is called to respond to a mental health crisis,</w:t>
      </w:r>
      <w:r w:rsidR="005B2BD4" w:rsidRPr="00872D32">
        <w:t xml:space="preserve"> is not readily available, the </w:t>
      </w:r>
      <w:r w:rsidR="006A6835" w:rsidRPr="00872D32">
        <w:t xml:space="preserve">OHRC </w:t>
      </w:r>
      <w:r w:rsidR="002E00DD" w:rsidRPr="00872D32">
        <w:t xml:space="preserve">has </w:t>
      </w:r>
      <w:hyperlink r:id="rId62" w:history="1">
        <w:r w:rsidR="00B965A8">
          <w:rPr>
            <w:rStyle w:val="Hyperlink"/>
          </w:rPr>
          <w:t>reported</w:t>
        </w:r>
      </w:hyperlink>
      <w:r w:rsidR="002B1BEA" w:rsidRPr="00872D32">
        <w:t xml:space="preserve"> on this issue </w:t>
      </w:r>
      <w:r w:rsidR="002E00DD" w:rsidRPr="00872D32">
        <w:t>in the past</w:t>
      </w:r>
      <w:r w:rsidR="002B1BEA" w:rsidRPr="00872D32">
        <w:t>.</w:t>
      </w:r>
    </w:p>
    <w:p w14:paraId="50FCD27A" w14:textId="54F9E7ED" w:rsidR="000A1C09" w:rsidRPr="00872D32" w:rsidRDefault="002B1BEA" w:rsidP="000A1C09">
      <w:r w:rsidRPr="00872D32">
        <w:t xml:space="preserve">The </w:t>
      </w:r>
      <w:r w:rsidR="00531F3C" w:rsidRPr="00872D32">
        <w:t xml:space="preserve">OHRC </w:t>
      </w:r>
      <w:r w:rsidR="00A3418C" w:rsidRPr="00872D32">
        <w:t xml:space="preserve">has regularly made submissions to the Government of Ontario </w:t>
      </w:r>
      <w:r w:rsidR="00E87C36" w:rsidRPr="00872D32">
        <w:t>or directly to police services</w:t>
      </w:r>
      <w:r w:rsidRPr="00872D32">
        <w:t xml:space="preserve"> on </w:t>
      </w:r>
      <w:r w:rsidR="0057111F" w:rsidRPr="00872D32">
        <w:t>use of force</w:t>
      </w:r>
      <w:r w:rsidR="00724897" w:rsidRPr="00872D32">
        <w:t xml:space="preserve">. </w:t>
      </w:r>
      <w:r w:rsidR="000A1C09" w:rsidRPr="00872D32">
        <w:t xml:space="preserve">The OHRC has notably called for the </w:t>
      </w:r>
      <w:hyperlink r:id="rId63" w:history="1">
        <w:r w:rsidR="000A1C09" w:rsidRPr="00872D32">
          <w:rPr>
            <w:rStyle w:val="Hyperlink"/>
          </w:rPr>
          <w:t>implementation of de-escalation principles</w:t>
        </w:r>
      </w:hyperlink>
      <w:r w:rsidR="000A1C09" w:rsidRPr="00872D32">
        <w:t>, for higher standards regarding the use of any weapon (</w:t>
      </w:r>
      <w:hyperlink r:id="rId64" w:history="1">
        <w:r w:rsidR="000A1C09" w:rsidRPr="00872D32">
          <w:rPr>
            <w:rStyle w:val="Hyperlink"/>
          </w:rPr>
          <w:t>including conducted energy weapons</w:t>
        </w:r>
      </w:hyperlink>
      <w:r w:rsidR="000A1C09" w:rsidRPr="00872D32">
        <w:t xml:space="preserve">, commonly known as Tasers), particularly during police interactions with people with mental health or addictions disabilities, and for greater </w:t>
      </w:r>
      <w:hyperlink r:id="rId65" w:history="1">
        <w:r w:rsidR="000A1C09" w:rsidRPr="00872D32">
          <w:rPr>
            <w:rStyle w:val="Hyperlink"/>
          </w:rPr>
          <w:t>accountability</w:t>
        </w:r>
      </w:hyperlink>
      <w:r w:rsidR="000A1C09" w:rsidRPr="00872D32">
        <w:t xml:space="preserve"> throughout the criminal justice system, including through </w:t>
      </w:r>
      <w:hyperlink r:id="rId66" w:history="1">
        <w:r w:rsidR="000A1C09" w:rsidRPr="00872D32">
          <w:rPr>
            <w:rStyle w:val="Hyperlink"/>
          </w:rPr>
          <w:t>improved reporting</w:t>
        </w:r>
      </w:hyperlink>
      <w:r w:rsidR="000A1C09" w:rsidRPr="00872D32">
        <w:t xml:space="preserve"> of use of force incidents. </w:t>
      </w:r>
    </w:p>
    <w:p w14:paraId="3CE6C052" w14:textId="087EA095" w:rsidR="00B965A8" w:rsidRPr="00872D32" w:rsidRDefault="00724897" w:rsidP="000D52A8">
      <w:pPr>
        <w:spacing w:before="240"/>
      </w:pPr>
      <w:r w:rsidRPr="00872D32">
        <w:lastRenderedPageBreak/>
        <w:t xml:space="preserve">These submissions </w:t>
      </w:r>
      <w:r w:rsidR="00584A64" w:rsidRPr="00872D32">
        <w:t xml:space="preserve">allowed the OHRC to </w:t>
      </w:r>
      <w:r w:rsidR="00B965A8">
        <w:t>outline</w:t>
      </w:r>
      <w:r w:rsidR="00584A64" w:rsidRPr="00872D32">
        <w:t xml:space="preserve"> concerns over the persistence of </w:t>
      </w:r>
      <w:r w:rsidR="00EE0C0D" w:rsidRPr="00872D32">
        <w:t xml:space="preserve">systemic issues </w:t>
      </w:r>
      <w:r w:rsidR="00011602" w:rsidRPr="00872D32">
        <w:t xml:space="preserve">in law enforcement, particularly racial profiling and </w:t>
      </w:r>
      <w:r w:rsidR="003909C7" w:rsidRPr="00872D32">
        <w:t>mishandling of people with mental health or addictions disabilities,</w:t>
      </w:r>
      <w:r w:rsidR="00EE0C0D" w:rsidRPr="00872D32">
        <w:t xml:space="preserve"> </w:t>
      </w:r>
      <w:r w:rsidR="003909C7" w:rsidRPr="00872D32">
        <w:t>that culminate</w:t>
      </w:r>
      <w:r w:rsidR="00011602" w:rsidRPr="00872D32">
        <w:t xml:space="preserve"> in </w:t>
      </w:r>
      <w:r w:rsidR="003909C7" w:rsidRPr="00872D32">
        <w:t xml:space="preserve">the </w:t>
      </w:r>
      <w:r w:rsidR="00011602" w:rsidRPr="00872D32">
        <w:t>use of force</w:t>
      </w:r>
      <w:r w:rsidR="00820DDA" w:rsidRPr="00872D32">
        <w:t xml:space="preserve">, </w:t>
      </w:r>
      <w:r w:rsidR="00820DDA" w:rsidRPr="00872D32">
        <w:rPr>
          <w:i/>
          <w:iCs/>
        </w:rPr>
        <w:t xml:space="preserve">Code </w:t>
      </w:r>
      <w:r w:rsidR="00820DDA" w:rsidRPr="00872D32">
        <w:t>violations, and loss of life.</w:t>
      </w:r>
    </w:p>
    <w:p w14:paraId="5A4D1AF2" w14:textId="03C8520C" w:rsidR="0066593E" w:rsidRPr="00872D32" w:rsidRDefault="0066593E" w:rsidP="008D60BD">
      <w:pPr>
        <w:pStyle w:val="Heading3"/>
      </w:pPr>
      <w:bookmarkStart w:id="39" w:name="_Toc217480188"/>
      <w:r w:rsidRPr="00872D32">
        <w:t>Corrections</w:t>
      </w:r>
      <w:bookmarkEnd w:id="39"/>
      <w:r w:rsidRPr="00872D32">
        <w:t xml:space="preserve"> </w:t>
      </w:r>
    </w:p>
    <w:p w14:paraId="072747F0" w14:textId="5BA65707" w:rsidR="00E3714D" w:rsidRPr="00872D32" w:rsidRDefault="00E96256" w:rsidP="008D60BD">
      <w:pPr>
        <w:pStyle w:val="Heading4"/>
      </w:pPr>
      <w:bookmarkStart w:id="40" w:name="_Toc217480189"/>
      <w:r w:rsidRPr="00872D32">
        <w:t>Solitary confinement</w:t>
      </w:r>
      <w:bookmarkEnd w:id="40"/>
      <w:r w:rsidRPr="00872D32">
        <w:t xml:space="preserve"> </w:t>
      </w:r>
    </w:p>
    <w:p w14:paraId="6F233333" w14:textId="77777777" w:rsidR="008D3A2F" w:rsidRPr="00872D32" w:rsidRDefault="008D3A2F" w:rsidP="008D3A2F">
      <w:pPr>
        <w:rPr>
          <w:i/>
        </w:rPr>
      </w:pPr>
      <w:r w:rsidRPr="00872D32">
        <w:rPr>
          <w:i/>
        </w:rPr>
        <w:t>Responding to the following section of the Committee’s LOIPR:</w:t>
      </w:r>
    </w:p>
    <w:p w14:paraId="17AB9D62" w14:textId="5C998221" w:rsidR="008D3A2F" w:rsidRPr="00872D32" w:rsidRDefault="00EE7B4C" w:rsidP="000D52A8">
      <w:pPr>
        <w:pStyle w:val="ListParagraph"/>
        <w:numPr>
          <w:ilvl w:val="0"/>
          <w:numId w:val="9"/>
        </w:numPr>
      </w:pPr>
      <w:r w:rsidRPr="00872D32">
        <w:rPr>
          <w:i/>
          <w:iCs/>
        </w:rPr>
        <w:t>Prohibition of torture and cruel</w:t>
      </w:r>
      <w:r w:rsidR="00934D0C" w:rsidRPr="00872D32">
        <w:rPr>
          <w:i/>
          <w:iCs/>
        </w:rPr>
        <w:t xml:space="preserve">, inhuman or degrading treatment of punishment, and right to liberty and security of person </w:t>
      </w:r>
      <w:r w:rsidR="008D3A2F" w:rsidRPr="00872D32">
        <w:rPr>
          <w:i/>
          <w:iCs/>
        </w:rPr>
        <w:t xml:space="preserve">(para. </w:t>
      </w:r>
      <w:r w:rsidRPr="00872D32">
        <w:rPr>
          <w:i/>
          <w:iCs/>
        </w:rPr>
        <w:t>1</w:t>
      </w:r>
      <w:r w:rsidR="008D3A2F" w:rsidRPr="00872D32">
        <w:rPr>
          <w:i/>
          <w:iCs/>
        </w:rPr>
        <w:t>5 (b))</w:t>
      </w:r>
    </w:p>
    <w:p w14:paraId="67CB9E4D" w14:textId="40ACF406" w:rsidR="0027303B" w:rsidRPr="00872D32" w:rsidRDefault="008805EA" w:rsidP="000D52A8">
      <w:pPr>
        <w:spacing w:before="240"/>
      </w:pPr>
      <w:r w:rsidRPr="00872D32">
        <w:t>For more than a decade, the OHRC has worked to limit the use of segregation (also called solitary confinement) in Ontario’s prison system.</w:t>
      </w:r>
      <w:r w:rsidR="00C23217" w:rsidRPr="00872D32">
        <w:t xml:space="preserve"> </w:t>
      </w:r>
      <w:r w:rsidR="009D350F" w:rsidRPr="00872D32">
        <w:t>In 2013, the OHRC reached a</w:t>
      </w:r>
      <w:r w:rsidR="0027303B" w:rsidRPr="00872D32">
        <w:t xml:space="preserve"> </w:t>
      </w:r>
      <w:r w:rsidR="002405B7" w:rsidRPr="00872D32">
        <w:t xml:space="preserve">legally binding </w:t>
      </w:r>
      <w:r w:rsidR="0027303B" w:rsidRPr="00872D32">
        <w:t xml:space="preserve">settlement </w:t>
      </w:r>
      <w:r w:rsidR="002405B7" w:rsidRPr="00872D32">
        <w:t>agreement</w:t>
      </w:r>
      <w:r w:rsidR="0027303B" w:rsidRPr="00872D32">
        <w:t xml:space="preserve"> with</w:t>
      </w:r>
      <w:r w:rsidR="009D350F" w:rsidRPr="00872D32">
        <w:t xml:space="preserve"> the Government of Ontario</w:t>
      </w:r>
      <w:r w:rsidR="0027303B" w:rsidRPr="00872D32">
        <w:t>, known as the</w:t>
      </w:r>
      <w:r w:rsidRPr="00872D32">
        <w:t> </w:t>
      </w:r>
      <w:hyperlink r:id="rId67" w:history="1">
        <w:r w:rsidRPr="00872D32">
          <w:rPr>
            <w:rStyle w:val="Hyperlink"/>
            <w:i/>
            <w:iCs/>
          </w:rPr>
          <w:t>Jahn</w:t>
        </w:r>
        <w:r w:rsidRPr="00872D32">
          <w:rPr>
            <w:rStyle w:val="Hyperlink"/>
          </w:rPr>
          <w:t> settlement</w:t>
        </w:r>
      </w:hyperlink>
      <w:r w:rsidR="00444087" w:rsidRPr="00872D32">
        <w:rPr>
          <w:i/>
          <w:iCs/>
        </w:rPr>
        <w:t xml:space="preserve"> </w:t>
      </w:r>
      <w:r w:rsidR="00444087" w:rsidRPr="00872D32">
        <w:t>(</w:t>
      </w:r>
      <w:r w:rsidR="00444087" w:rsidRPr="00872D32">
        <w:rPr>
          <w:i/>
          <w:iCs/>
        </w:rPr>
        <w:t>Jahn</w:t>
      </w:r>
      <w:r w:rsidR="00444087" w:rsidRPr="00872D32">
        <w:t>)</w:t>
      </w:r>
      <w:r w:rsidR="0027303B" w:rsidRPr="00872D32">
        <w:t xml:space="preserve">. </w:t>
      </w:r>
      <w:r w:rsidR="002405B7" w:rsidRPr="00872D32">
        <w:t xml:space="preserve">As part of the </w:t>
      </w:r>
      <w:r w:rsidR="0027303B" w:rsidRPr="00872D32">
        <w:rPr>
          <w:i/>
          <w:iCs/>
        </w:rPr>
        <w:t xml:space="preserve">Jahn </w:t>
      </w:r>
      <w:r w:rsidR="002405B7" w:rsidRPr="00872D32">
        <w:t>settlement, the Government of Ontario expressly acknowledged</w:t>
      </w:r>
      <w:r w:rsidR="0027303B" w:rsidRPr="00872D32">
        <w:t xml:space="preserve"> </w:t>
      </w:r>
      <w:r w:rsidRPr="00872D32">
        <w:t xml:space="preserve">the harm that segregation causes people with mental illness and </w:t>
      </w:r>
      <w:r w:rsidR="002405B7" w:rsidRPr="00872D32">
        <w:t xml:space="preserve">committed </w:t>
      </w:r>
      <w:r w:rsidR="004441B2" w:rsidRPr="00872D32">
        <w:t>to</w:t>
      </w:r>
      <w:r w:rsidR="00C97E18" w:rsidRPr="00872D32">
        <w:t xml:space="preserve"> prohibiting</w:t>
      </w:r>
      <w:r w:rsidR="00803A10" w:rsidRPr="00872D32">
        <w:t xml:space="preserve"> </w:t>
      </w:r>
      <w:r w:rsidRPr="00872D32">
        <w:t xml:space="preserve">its use for </w:t>
      </w:r>
      <w:r w:rsidR="001D2631" w:rsidRPr="00872D32">
        <w:t>these</w:t>
      </w:r>
      <w:r w:rsidRPr="00872D32">
        <w:t xml:space="preserve"> individuals</w:t>
      </w:r>
      <w:r w:rsidR="00C97E18" w:rsidRPr="00872D32">
        <w:t>,</w:t>
      </w:r>
      <w:r w:rsidRPr="00872D32">
        <w:t xml:space="preserve"> </w:t>
      </w:r>
      <w:r w:rsidR="00D37813" w:rsidRPr="00872D32">
        <w:t>except as a last resort</w:t>
      </w:r>
      <w:r w:rsidR="0027303B" w:rsidRPr="00872D32">
        <w:t xml:space="preserve">. </w:t>
      </w:r>
    </w:p>
    <w:p w14:paraId="194E2979" w14:textId="6355BBE9" w:rsidR="00F1751E" w:rsidRPr="00872D32" w:rsidRDefault="003D2F9D" w:rsidP="000D52A8">
      <w:r w:rsidRPr="00872D32">
        <w:t xml:space="preserve">Since </w:t>
      </w:r>
      <w:r w:rsidR="00FF2138" w:rsidRPr="00872D32">
        <w:t xml:space="preserve">then, </w:t>
      </w:r>
      <w:r w:rsidR="00AB7730" w:rsidRPr="00872D32">
        <w:t xml:space="preserve">based </w:t>
      </w:r>
      <w:r w:rsidR="24949CB6" w:rsidRPr="00872D32">
        <w:t xml:space="preserve">on </w:t>
      </w:r>
      <w:r w:rsidR="00AB7730" w:rsidRPr="00872D32">
        <w:t>serious concerns that</w:t>
      </w:r>
      <w:r w:rsidR="00F851D9" w:rsidRPr="00872D32">
        <w:t xml:space="preserve"> Ontario</w:t>
      </w:r>
      <w:r w:rsidR="00AB7730" w:rsidRPr="00872D32">
        <w:t xml:space="preserve"> has</w:t>
      </w:r>
      <w:r w:rsidR="00F851D9" w:rsidRPr="00872D32">
        <w:t xml:space="preserve"> failed to </w:t>
      </w:r>
      <w:hyperlink r:id="rId68">
        <w:r w:rsidR="00F851D9" w:rsidRPr="00872D32">
          <w:rPr>
            <w:rStyle w:val="Hyperlink"/>
          </w:rPr>
          <w:t>comply</w:t>
        </w:r>
      </w:hyperlink>
      <w:r w:rsidR="007835FA" w:rsidRPr="00872D32">
        <w:t xml:space="preserve"> with the terms of</w:t>
      </w:r>
      <w:r w:rsidR="00AB7730" w:rsidRPr="00872D32">
        <w:t xml:space="preserve"> the</w:t>
      </w:r>
      <w:r w:rsidR="007835FA" w:rsidRPr="00872D32">
        <w:t xml:space="preserve"> </w:t>
      </w:r>
      <w:r w:rsidR="007835FA" w:rsidRPr="00872D32">
        <w:rPr>
          <w:i/>
          <w:iCs/>
        </w:rPr>
        <w:t>Jahn</w:t>
      </w:r>
      <w:r w:rsidR="00AB7730" w:rsidRPr="00872D32">
        <w:t xml:space="preserve"> settlement</w:t>
      </w:r>
      <w:r w:rsidR="007835FA" w:rsidRPr="00872D32">
        <w:t>,</w:t>
      </w:r>
      <w:r w:rsidR="00F851D9" w:rsidRPr="00872D32">
        <w:t xml:space="preserve"> the </w:t>
      </w:r>
      <w:r w:rsidR="006061E4" w:rsidRPr="00872D32">
        <w:t>OHRC</w:t>
      </w:r>
      <w:r w:rsidR="00803A10" w:rsidRPr="00872D32">
        <w:t xml:space="preserve"> </w:t>
      </w:r>
      <w:r w:rsidR="00F851D9" w:rsidRPr="00872D32">
        <w:t>filed</w:t>
      </w:r>
      <w:r w:rsidR="007835FA" w:rsidRPr="00872D32">
        <w:t xml:space="preserve"> </w:t>
      </w:r>
      <w:r w:rsidR="00A969EB" w:rsidRPr="00872D32">
        <w:t xml:space="preserve">breach of settlement </w:t>
      </w:r>
      <w:r w:rsidR="00AB7730" w:rsidRPr="00872D32">
        <w:t xml:space="preserve">proceedings </w:t>
      </w:r>
      <w:r w:rsidR="0008272E" w:rsidRPr="00872D32">
        <w:t xml:space="preserve">with the HRTO in </w:t>
      </w:r>
      <w:hyperlink r:id="rId69">
        <w:r w:rsidR="0008272E" w:rsidRPr="00872D32">
          <w:rPr>
            <w:rStyle w:val="Hyperlink"/>
          </w:rPr>
          <w:t>2017</w:t>
        </w:r>
      </w:hyperlink>
      <w:r w:rsidR="0008272E" w:rsidRPr="00872D32">
        <w:t xml:space="preserve"> and</w:t>
      </w:r>
      <w:r w:rsidR="000904D6" w:rsidRPr="00872D32">
        <w:t xml:space="preserve"> again in</w:t>
      </w:r>
      <w:r w:rsidR="0008272E" w:rsidRPr="00872D32">
        <w:t xml:space="preserve"> </w:t>
      </w:r>
      <w:hyperlink r:id="rId70">
        <w:r w:rsidR="0008272E" w:rsidRPr="00872D32">
          <w:rPr>
            <w:rStyle w:val="Hyperlink"/>
          </w:rPr>
          <w:t>2020</w:t>
        </w:r>
      </w:hyperlink>
      <w:r w:rsidR="006E083C" w:rsidRPr="00872D32">
        <w:t xml:space="preserve"> </w:t>
      </w:r>
      <w:r w:rsidR="000904D6" w:rsidRPr="00872D32">
        <w:t>(</w:t>
      </w:r>
      <w:r w:rsidR="005E2C35" w:rsidRPr="00872D32">
        <w:t xml:space="preserve">following a </w:t>
      </w:r>
      <w:hyperlink r:id="rId71" w:history="1">
        <w:r w:rsidR="005E2C35" w:rsidRPr="00872D32">
          <w:rPr>
            <w:rStyle w:val="Hyperlink"/>
          </w:rPr>
          <w:t xml:space="preserve">2018 </w:t>
        </w:r>
        <w:r w:rsidR="007D2A80" w:rsidRPr="00872D32">
          <w:rPr>
            <w:rStyle w:val="Hyperlink"/>
          </w:rPr>
          <w:t xml:space="preserve">consent </w:t>
        </w:r>
        <w:r w:rsidR="005E2C35" w:rsidRPr="00872D32">
          <w:rPr>
            <w:rStyle w:val="Hyperlink"/>
          </w:rPr>
          <w:t>order</w:t>
        </w:r>
      </w:hyperlink>
      <w:r w:rsidR="007D2A80" w:rsidRPr="00872D32">
        <w:t xml:space="preserve"> regarding compliance</w:t>
      </w:r>
      <w:r w:rsidR="005E2C35" w:rsidRPr="00872D32">
        <w:t xml:space="preserve">) </w:t>
      </w:r>
      <w:r w:rsidR="006E083C" w:rsidRPr="00872D32">
        <w:t>to hold Ontario accountable</w:t>
      </w:r>
      <w:r w:rsidR="0008272E" w:rsidRPr="00872D32">
        <w:t xml:space="preserve">. </w:t>
      </w:r>
      <w:r w:rsidR="00027F17" w:rsidRPr="00872D32">
        <w:t>An</w:t>
      </w:r>
      <w:r w:rsidR="00F1751E" w:rsidRPr="00872D32">
        <w:t xml:space="preserve"> HRTO hearing</w:t>
      </w:r>
      <w:r w:rsidR="00803A10" w:rsidRPr="00872D32">
        <w:t xml:space="preserve"> </w:t>
      </w:r>
      <w:r w:rsidR="00F1751E" w:rsidRPr="00872D32">
        <w:t xml:space="preserve">on the OHRC’s </w:t>
      </w:r>
      <w:r w:rsidR="00027F17" w:rsidRPr="00872D32">
        <w:t xml:space="preserve">most recent </w:t>
      </w:r>
      <w:r w:rsidR="00A969EB" w:rsidRPr="00872D32">
        <w:t>breach of settlement application was held in 2024</w:t>
      </w:r>
      <w:r w:rsidR="00C912BA" w:rsidRPr="00872D32">
        <w:t xml:space="preserve"> and a decision </w:t>
      </w:r>
      <w:r w:rsidR="008D2132" w:rsidRPr="00872D32">
        <w:t>has not yet been released</w:t>
      </w:r>
      <w:r w:rsidR="00F1751E" w:rsidRPr="00872D32">
        <w:t>.  </w:t>
      </w:r>
    </w:p>
    <w:p w14:paraId="15344EBB" w14:textId="04F18690" w:rsidR="00985FB4" w:rsidRPr="00872D32" w:rsidRDefault="00985FB4" w:rsidP="000D52A8">
      <w:r w:rsidRPr="00872D32">
        <w:t>The OHRC also intervened before the Court of Appeal for Ontario in </w:t>
      </w:r>
      <w:hyperlink r:id="rId72" w:history="1">
        <w:r w:rsidRPr="00872D32">
          <w:rPr>
            <w:rStyle w:val="Hyperlink"/>
            <w:i/>
            <w:iCs/>
          </w:rPr>
          <w:t>Francis v Ontario</w:t>
        </w:r>
      </w:hyperlink>
      <w:r w:rsidRPr="00872D32">
        <w:t xml:space="preserve">, </w:t>
      </w:r>
      <w:r w:rsidR="005512E1" w:rsidRPr="00872D32">
        <w:t xml:space="preserve">whose outcome made it clear that </w:t>
      </w:r>
      <w:r w:rsidRPr="00872D32">
        <w:t xml:space="preserve">using segregation for any prisoner for longer than 15 days – or </w:t>
      </w:r>
      <w:r w:rsidR="000E4E8C" w:rsidRPr="00872D32">
        <w:t xml:space="preserve">at all, </w:t>
      </w:r>
      <w:r w:rsidRPr="00872D32">
        <w:t>for any prisoner with serious mental illness</w:t>
      </w:r>
      <w:r w:rsidR="00AF0490" w:rsidRPr="00872D32">
        <w:t xml:space="preserve"> </w:t>
      </w:r>
      <w:r w:rsidRPr="00872D32">
        <w:t xml:space="preserve">– is cruel and unusual treatment, contrary to the </w:t>
      </w:r>
      <w:r w:rsidRPr="00872D32">
        <w:rPr>
          <w:i/>
          <w:iCs/>
        </w:rPr>
        <w:t>Charter</w:t>
      </w:r>
      <w:r w:rsidRPr="00872D32">
        <w:t xml:space="preserve">. Yet </w:t>
      </w:r>
      <w:hyperlink r:id="rId73" w:history="1">
        <w:r w:rsidR="00EA1AD1" w:rsidRPr="00872D32">
          <w:rPr>
            <w:rStyle w:val="Hyperlink"/>
          </w:rPr>
          <w:t>data</w:t>
        </w:r>
      </w:hyperlink>
      <w:r w:rsidR="00EA1AD1" w:rsidRPr="00872D32">
        <w:t xml:space="preserve"> from the Ontario Ministry of the Solicitor General</w:t>
      </w:r>
      <w:r w:rsidR="00EA1AD1" w:rsidRPr="00872D32" w:rsidDel="00EA1AD1">
        <w:t xml:space="preserve"> </w:t>
      </w:r>
      <w:r w:rsidR="006B5A43">
        <w:t>continues to</w:t>
      </w:r>
      <w:r w:rsidR="006B5A43" w:rsidRPr="00872D32">
        <w:t xml:space="preserve"> </w:t>
      </w:r>
      <w:r w:rsidRPr="00872D32">
        <w:t xml:space="preserve">show that some inmates are held for much longer than this, up to 54 days in the 2023-24 fiscal year. </w:t>
      </w:r>
    </w:p>
    <w:p w14:paraId="00C7BB05" w14:textId="77777777" w:rsidR="007A0273" w:rsidRPr="00872D32" w:rsidRDefault="00985FB4" w:rsidP="008D3A2F">
      <w:r w:rsidRPr="00872D32">
        <w:t>In addition to legal action, t</w:t>
      </w:r>
      <w:r w:rsidR="00DD16D7" w:rsidRPr="00872D32">
        <w:t>h</w:t>
      </w:r>
      <w:r w:rsidR="00961A6F" w:rsidRPr="00872D32">
        <w:t>e OHRC has</w:t>
      </w:r>
      <w:r w:rsidR="00DD16D7" w:rsidRPr="00872D32">
        <w:t xml:space="preserve"> made several submissions and statements calling for an end to segregation throughout the past decade</w:t>
      </w:r>
      <w:r w:rsidR="007A0273" w:rsidRPr="00872D32">
        <w:t>:</w:t>
      </w:r>
    </w:p>
    <w:p w14:paraId="3BD8C97B" w14:textId="46F5E49D" w:rsidR="007A0273" w:rsidRPr="00872D32" w:rsidRDefault="00DA1E11" w:rsidP="000D52A8">
      <w:pPr>
        <w:pStyle w:val="ListParagraph"/>
        <w:numPr>
          <w:ilvl w:val="0"/>
          <w:numId w:val="34"/>
        </w:numPr>
        <w:contextualSpacing w:val="0"/>
      </w:pPr>
      <w:r w:rsidRPr="00872D32">
        <w:t>In 2016</w:t>
      </w:r>
      <w:r w:rsidR="00711A91" w:rsidRPr="00872D32">
        <w:t>,</w:t>
      </w:r>
      <w:r w:rsidR="00961A6F" w:rsidRPr="00872D32">
        <w:t xml:space="preserve"> </w:t>
      </w:r>
      <w:r w:rsidR="00711A91" w:rsidRPr="00872D32">
        <w:t>the OHRC made a </w:t>
      </w:r>
      <w:hyperlink r:id="rId74" w:history="1">
        <w:r w:rsidR="00711A91" w:rsidRPr="00872D32">
          <w:rPr>
            <w:rStyle w:val="Hyperlink"/>
          </w:rPr>
          <w:t>submission</w:t>
        </w:r>
      </w:hyperlink>
      <w:r w:rsidR="000C6790" w:rsidRPr="00872D32">
        <w:t>,</w:t>
      </w:r>
      <w:r w:rsidR="00711A91" w:rsidRPr="00872D32">
        <w:t xml:space="preserve"> </w:t>
      </w:r>
      <w:r w:rsidR="00465506" w:rsidRPr="00872D32">
        <w:t xml:space="preserve">and </w:t>
      </w:r>
      <w:r w:rsidR="000C6790" w:rsidRPr="00872D32">
        <w:t xml:space="preserve">later </w:t>
      </w:r>
      <w:r w:rsidR="00465506" w:rsidRPr="00872D32">
        <w:t xml:space="preserve">a </w:t>
      </w:r>
      <w:hyperlink r:id="rId75" w:history="1">
        <w:r w:rsidR="00465506" w:rsidRPr="00872D32">
          <w:rPr>
            <w:rStyle w:val="Hyperlink"/>
          </w:rPr>
          <w:t>supplementary submission</w:t>
        </w:r>
      </w:hyperlink>
      <w:r w:rsidR="000C6790" w:rsidRPr="00872D32">
        <w:t>,</w:t>
      </w:r>
      <w:r w:rsidR="00465506" w:rsidRPr="00872D32">
        <w:t xml:space="preserve"> to the Ministry of Community Safety and Correctional Services </w:t>
      </w:r>
      <w:r w:rsidR="00711A91" w:rsidRPr="00872D32">
        <w:t>calling for an end to segregation, and recommended interim measures, such as external oversight and strict time limits, to reduce the harm of the practice. </w:t>
      </w:r>
    </w:p>
    <w:p w14:paraId="79E65982" w14:textId="37A70AB6" w:rsidR="00F75A8E" w:rsidRPr="00872D32" w:rsidRDefault="00F75A8E" w:rsidP="000D52A8">
      <w:pPr>
        <w:pStyle w:val="ListParagraph"/>
        <w:numPr>
          <w:ilvl w:val="0"/>
          <w:numId w:val="34"/>
        </w:numPr>
        <w:contextualSpacing w:val="0"/>
      </w:pPr>
      <w:r w:rsidRPr="00872D32">
        <w:t xml:space="preserve">In 2017, this call was repeated in an </w:t>
      </w:r>
      <w:hyperlink r:id="rId76" w:history="1">
        <w:r w:rsidRPr="00872D32">
          <w:rPr>
            <w:rStyle w:val="Hyperlink"/>
          </w:rPr>
          <w:t>article</w:t>
        </w:r>
      </w:hyperlink>
      <w:r w:rsidRPr="00872D32">
        <w:t xml:space="preserve"> </w:t>
      </w:r>
      <w:r w:rsidR="00CA652E" w:rsidRPr="00872D32">
        <w:t xml:space="preserve">published in the Law Times. </w:t>
      </w:r>
    </w:p>
    <w:p w14:paraId="7B1F279F" w14:textId="00C0C22B" w:rsidR="00CA652E" w:rsidRPr="00872D32" w:rsidRDefault="00CA652E" w:rsidP="000D52A8">
      <w:pPr>
        <w:pStyle w:val="ListParagraph"/>
        <w:numPr>
          <w:ilvl w:val="0"/>
          <w:numId w:val="34"/>
        </w:numPr>
        <w:contextualSpacing w:val="0"/>
      </w:pPr>
      <w:r w:rsidRPr="00872D32">
        <w:lastRenderedPageBreak/>
        <w:t xml:space="preserve">In 2019, the OHRC sent two letters to the Ministry of Community Safety and Correctional Services </w:t>
      </w:r>
      <w:r w:rsidR="00095C97" w:rsidRPr="00872D32">
        <w:t>reporting</w:t>
      </w:r>
      <w:r w:rsidRPr="00872D32">
        <w:t xml:space="preserve"> </w:t>
      </w:r>
      <w:r w:rsidR="00095C97" w:rsidRPr="00872D32">
        <w:t>the OHRC’s</w:t>
      </w:r>
      <w:r w:rsidR="00E25D06" w:rsidRPr="00872D32">
        <w:t xml:space="preserve"> </w:t>
      </w:r>
      <w:hyperlink r:id="rId77" w:history="1">
        <w:r w:rsidR="00E25D06" w:rsidRPr="00872D32">
          <w:rPr>
            <w:rStyle w:val="Hyperlink"/>
          </w:rPr>
          <w:t>findings</w:t>
        </w:r>
      </w:hyperlink>
      <w:r w:rsidR="00E25D06" w:rsidRPr="00872D32">
        <w:t xml:space="preserve"> from a </w:t>
      </w:r>
      <w:r w:rsidR="003D7FD7" w:rsidRPr="00872D32">
        <w:t>tour of the Vanier Centre for Women</w:t>
      </w:r>
      <w:r w:rsidR="00F405A1" w:rsidRPr="00872D32">
        <w:t xml:space="preserve"> </w:t>
      </w:r>
      <w:r w:rsidR="00095C97" w:rsidRPr="00872D32">
        <w:t xml:space="preserve">and </w:t>
      </w:r>
      <w:hyperlink r:id="rId78" w:history="1">
        <w:r w:rsidR="00095C97" w:rsidRPr="00872D32">
          <w:rPr>
            <w:rStyle w:val="Hyperlink"/>
          </w:rPr>
          <w:t>calling for an action plan</w:t>
        </w:r>
      </w:hyperlink>
      <w:r w:rsidR="00095C97" w:rsidRPr="00872D32">
        <w:t xml:space="preserve"> to </w:t>
      </w:r>
      <w:r w:rsidR="00E373EB" w:rsidRPr="00872D32">
        <w:t>end</w:t>
      </w:r>
      <w:r w:rsidR="00095C97" w:rsidRPr="00872D32">
        <w:t xml:space="preserve"> segregation in Ontario</w:t>
      </w:r>
      <w:r w:rsidR="00E373EB" w:rsidRPr="00872D32">
        <w:t>, notably in light of the Superior Court of Justice’s decision in </w:t>
      </w:r>
      <w:hyperlink r:id="rId79" w:history="1">
        <w:r w:rsidR="00E373EB" w:rsidRPr="00872D32">
          <w:rPr>
            <w:rStyle w:val="Hyperlink"/>
            <w:i/>
            <w:iCs/>
          </w:rPr>
          <w:t>R. v Capay</w:t>
        </w:r>
      </w:hyperlink>
      <w:r w:rsidR="003540D6" w:rsidRPr="00872D32">
        <w:rPr>
          <w:i/>
          <w:iCs/>
        </w:rPr>
        <w:t xml:space="preserve"> </w:t>
      </w:r>
      <w:r w:rsidR="003540D6" w:rsidRPr="00872D32">
        <w:t>(Adam Capay, a Lac Seul First Nation man</w:t>
      </w:r>
      <w:r w:rsidR="00395834" w:rsidRPr="00872D32">
        <w:t>, was held in segregation for 1,647 days, or over four years</w:t>
      </w:r>
      <w:r w:rsidR="003540D6" w:rsidRPr="00872D32">
        <w:t>)</w:t>
      </w:r>
      <w:r w:rsidR="00095C97" w:rsidRPr="00872D32">
        <w:t xml:space="preserve">.  </w:t>
      </w:r>
    </w:p>
    <w:p w14:paraId="40703F4F" w14:textId="7B52F6F4" w:rsidR="00CA652E" w:rsidRPr="00872D32" w:rsidRDefault="00CA652E" w:rsidP="000D52A8">
      <w:pPr>
        <w:pStyle w:val="ListParagraph"/>
        <w:numPr>
          <w:ilvl w:val="0"/>
          <w:numId w:val="34"/>
        </w:numPr>
        <w:contextualSpacing w:val="0"/>
      </w:pPr>
      <w:r w:rsidRPr="00872D32">
        <w:t>Also in 2019</w:t>
      </w:r>
      <w:r w:rsidR="00212789" w:rsidRPr="00872D32">
        <w:t xml:space="preserve">, the OHRC made a </w:t>
      </w:r>
      <w:hyperlink r:id="rId80" w:history="1">
        <w:r w:rsidR="00212789" w:rsidRPr="00872D32">
          <w:rPr>
            <w:rStyle w:val="Hyperlink"/>
          </w:rPr>
          <w:t>submission</w:t>
        </w:r>
      </w:hyperlink>
      <w:r w:rsidR="00212789" w:rsidRPr="00872D32">
        <w:t xml:space="preserve"> to the Ministry of the Solicitor General </w:t>
      </w:r>
      <w:r w:rsidR="00F55034" w:rsidRPr="00872D32">
        <w:t xml:space="preserve">regarding proposed amendments to the segregation provisions in Regulation 778 under the </w:t>
      </w:r>
      <w:r w:rsidR="00F55034" w:rsidRPr="00872D32">
        <w:rPr>
          <w:i/>
          <w:iCs/>
        </w:rPr>
        <w:t xml:space="preserve">Ministry of Correctional Services Act. </w:t>
      </w:r>
      <w:r w:rsidR="00F55034" w:rsidRPr="00872D32">
        <w:t>The OHRC expressed it</w:t>
      </w:r>
      <w:r w:rsidR="00163A68" w:rsidRPr="00872D32">
        <w:t>s disappointment that the proposed amendments did not substantively address serious issues with Ontario’s continued abuse of segregation</w:t>
      </w:r>
      <w:r w:rsidR="00B00D0B" w:rsidRPr="00872D32">
        <w:t xml:space="preserve"> and renewed its call for an action plan to end the practice</w:t>
      </w:r>
      <w:r w:rsidR="00163A68" w:rsidRPr="00872D32">
        <w:t>.</w:t>
      </w:r>
    </w:p>
    <w:p w14:paraId="1E8446BB" w14:textId="32C98E75" w:rsidR="007C5E54" w:rsidRPr="00872D32" w:rsidRDefault="004B7F3D" w:rsidP="000D52A8">
      <w:pPr>
        <w:pStyle w:val="ListParagraph"/>
        <w:numPr>
          <w:ilvl w:val="0"/>
          <w:numId w:val="25"/>
        </w:numPr>
        <w:spacing w:before="0"/>
        <w:contextualSpacing w:val="0"/>
        <w:rPr>
          <w:rFonts w:cs="Arial"/>
          <w:color w:val="000000" w:themeColor="text1"/>
          <w:szCs w:val="24"/>
        </w:rPr>
      </w:pPr>
      <w:r w:rsidRPr="00872D32">
        <w:t xml:space="preserve">In </w:t>
      </w:r>
      <w:r w:rsidR="00844B12" w:rsidRPr="00872D32">
        <w:t>2021, the OHRC made a related </w:t>
      </w:r>
      <w:hyperlink r:id="rId81" w:history="1">
        <w:r w:rsidR="00844B12" w:rsidRPr="00872D32">
          <w:rPr>
            <w:rStyle w:val="Hyperlink"/>
          </w:rPr>
          <w:t>submission</w:t>
        </w:r>
      </w:hyperlink>
      <w:r w:rsidR="00844B12" w:rsidRPr="00872D32">
        <w:t> to the Ministry of the Solicitor General</w:t>
      </w:r>
      <w:r w:rsidR="009B2ACB" w:rsidRPr="00872D32">
        <w:t xml:space="preserve"> supporting proposed amendments to </w:t>
      </w:r>
      <w:r w:rsidR="00E3417D" w:rsidRPr="00872D32">
        <w:t xml:space="preserve">Regulation 778 that would align with the OHRC’s previous recommendations and recommending further steps </w:t>
      </w:r>
      <w:r w:rsidR="009C1DDA" w:rsidRPr="00872D32">
        <w:t xml:space="preserve">to implement effective prohibitions against the use of segregation. </w:t>
      </w:r>
    </w:p>
    <w:p w14:paraId="6F0B6F25" w14:textId="6CE6E43A" w:rsidR="00240D3A" w:rsidRPr="00872D32" w:rsidRDefault="00240D3A" w:rsidP="000D52A8">
      <w:r w:rsidRPr="00872D32">
        <w:t xml:space="preserve">In 2023, the OHRC also participated in the three-week inquest into </w:t>
      </w:r>
      <w:hyperlink r:id="rId82" w:history="1">
        <w:r w:rsidRPr="00C202DF">
          <w:rPr>
            <w:rStyle w:val="Hyperlink"/>
          </w:rPr>
          <w:t>the death of Soleiman Faqiri</w:t>
        </w:r>
      </w:hyperlink>
      <w:r w:rsidRPr="00872D32">
        <w:t xml:space="preserve"> who died in a segregation cell at an Ontario jail on December 15, 2016. The Coroner’s Inquest jury decided Mr. Faqiri’s death was a homicide and made 57 recommendations to prevent future deaths. The jury accepted the OHRC's proposed recommendations to strengthen access to mental health care, keep prisoners with mental health issues out of segregation</w:t>
      </w:r>
      <w:r w:rsidR="00AF0490" w:rsidRPr="00872D32">
        <w:t>,</w:t>
      </w:r>
      <w:r w:rsidRPr="00872D32">
        <w:t xml:space="preserve"> and increase accountability within the provincial corrections system. </w:t>
      </w:r>
    </w:p>
    <w:p w14:paraId="43F28B19" w14:textId="12580E60" w:rsidR="00CB5BFE" w:rsidRPr="00872D32" w:rsidRDefault="008805EA" w:rsidP="000D52A8">
      <w:r w:rsidRPr="00872D32">
        <w:t xml:space="preserve">While various policies aligning with </w:t>
      </w:r>
      <w:r w:rsidR="007A0273" w:rsidRPr="00872D32">
        <w:rPr>
          <w:i/>
          <w:iCs/>
        </w:rPr>
        <w:t>Jahn</w:t>
      </w:r>
      <w:r w:rsidRPr="00872D32">
        <w:t xml:space="preserve"> have been put in place, </w:t>
      </w:r>
      <w:r w:rsidR="007A0273" w:rsidRPr="00872D32">
        <w:t xml:space="preserve">the OHRC is concerned that </w:t>
      </w:r>
      <w:r w:rsidRPr="00872D32">
        <w:t>thousands of prisoners with mental health issues continue to spend time in segregation conditions.</w:t>
      </w:r>
      <w:r w:rsidR="0019639B" w:rsidRPr="00872D32">
        <w:t xml:space="preserve"> According to </w:t>
      </w:r>
      <w:r w:rsidR="006D70F4" w:rsidRPr="00872D32">
        <w:t>the same data cited above</w:t>
      </w:r>
      <w:r w:rsidR="0002669B" w:rsidRPr="00872D32">
        <w:t xml:space="preserve"> </w:t>
      </w:r>
      <w:r w:rsidR="00C11220" w:rsidRPr="00872D32">
        <w:t>from the Ontario Ministry of the Solicitor General</w:t>
      </w:r>
      <w:r w:rsidR="000B649A" w:rsidRPr="00872D32">
        <w:t xml:space="preserve">, </w:t>
      </w:r>
      <w:r w:rsidR="00925030" w:rsidRPr="00872D32">
        <w:t xml:space="preserve">10,881 inmates </w:t>
      </w:r>
      <w:r w:rsidR="000B649A" w:rsidRPr="00872D32">
        <w:t xml:space="preserve">were placed </w:t>
      </w:r>
      <w:r w:rsidR="002C2C1A" w:rsidRPr="00872D32">
        <w:t xml:space="preserve">in segregation </w:t>
      </w:r>
      <w:r w:rsidR="00925030" w:rsidRPr="00872D32">
        <w:t>at least on</w:t>
      </w:r>
      <w:r w:rsidR="00EA545D" w:rsidRPr="00872D32">
        <w:t>c</w:t>
      </w:r>
      <w:r w:rsidR="00925030" w:rsidRPr="00872D32">
        <w:t>e between April 1, 2023</w:t>
      </w:r>
      <w:r w:rsidR="00F37F0D" w:rsidRPr="00872D32">
        <w:t>,</w:t>
      </w:r>
      <w:r w:rsidR="00925030" w:rsidRPr="00872D32">
        <w:t xml:space="preserve"> and March 31, 2024, </w:t>
      </w:r>
      <w:r w:rsidR="00EA545D" w:rsidRPr="00872D32">
        <w:t>representing 27.7% of the</w:t>
      </w:r>
      <w:r w:rsidR="00925030" w:rsidRPr="00872D32">
        <w:t xml:space="preserve"> total population of</w:t>
      </w:r>
      <w:r w:rsidR="00E4646D" w:rsidRPr="00872D32">
        <w:t xml:space="preserve"> inmates in Ontario’s adult correctional system</w:t>
      </w:r>
      <w:r w:rsidR="00925030" w:rsidRPr="00872D32">
        <w:t xml:space="preserve"> inmates</w:t>
      </w:r>
      <w:r w:rsidR="00E4646D" w:rsidRPr="00872D32">
        <w:t xml:space="preserve"> (39,258)</w:t>
      </w:r>
      <w:r w:rsidR="00925030" w:rsidRPr="00872D32">
        <w:t>.</w:t>
      </w:r>
      <w:r w:rsidR="00585B2A" w:rsidRPr="00872D32">
        <w:t xml:space="preserve"> </w:t>
      </w:r>
      <w:r w:rsidR="00E4646D" w:rsidRPr="00872D32">
        <w:t xml:space="preserve">Among these 10,881 inmates, </w:t>
      </w:r>
      <w:r w:rsidR="00585B2A" w:rsidRPr="00872D32">
        <w:t>4,208 (38.7%) had an active mental health alert on file for at least one of their placements in segregation</w:t>
      </w:r>
      <w:r w:rsidR="00600D22" w:rsidRPr="00872D32">
        <w:t xml:space="preserve"> and 3,098 (28%) had a suicide risk alert on file</w:t>
      </w:r>
      <w:r w:rsidR="00585B2A" w:rsidRPr="00872D32">
        <w:t>.</w:t>
      </w:r>
      <w:r w:rsidR="00BC59E5" w:rsidRPr="00872D32">
        <w:t xml:space="preserve"> </w:t>
      </w:r>
    </w:p>
    <w:p w14:paraId="101BC796" w14:textId="34101E4B" w:rsidR="00585B2A" w:rsidRPr="00872D32" w:rsidRDefault="00BC59E5" w:rsidP="000D52A8">
      <w:r w:rsidRPr="00872D32">
        <w:t>Disaggregation by gender reveals a</w:t>
      </w:r>
      <w:r w:rsidR="00CB5BFE" w:rsidRPr="00872D32">
        <w:t xml:space="preserve">n added layer of vulnerability for women: 55% of females in segregation had an active mental health alert on file for at least one of their placements compared to 36% of males in segregation. </w:t>
      </w:r>
      <w:r w:rsidR="008D10E1" w:rsidRPr="00872D32">
        <w:t xml:space="preserve">To put this in context, </w:t>
      </w:r>
      <w:r w:rsidR="00CB5BFE" w:rsidRPr="00872D32">
        <w:t>42.5% of all females in custody and 27% of all males in custody had an active mental health alert on file at any point between April 1, 2023</w:t>
      </w:r>
      <w:r w:rsidR="00B052EE" w:rsidRPr="00872D32">
        <w:t>,</w:t>
      </w:r>
      <w:r w:rsidR="00CB5BFE" w:rsidRPr="00872D32">
        <w:t xml:space="preserve"> and March 31, 2024.</w:t>
      </w:r>
    </w:p>
    <w:p w14:paraId="01FFE887" w14:textId="25C22E65" w:rsidR="000D3018" w:rsidRPr="00872D32" w:rsidRDefault="004912F7" w:rsidP="000D3018">
      <w:pPr>
        <w:pStyle w:val="Heading4"/>
      </w:pPr>
      <w:bookmarkStart w:id="41" w:name="_Toc217480190"/>
      <w:r w:rsidRPr="00872D32">
        <w:t xml:space="preserve">Conditions </w:t>
      </w:r>
      <w:r w:rsidR="00D96C1A" w:rsidRPr="00872D32">
        <w:t>in prisons</w:t>
      </w:r>
      <w:bookmarkEnd w:id="41"/>
      <w:r w:rsidR="000D3018" w:rsidRPr="00872D32">
        <w:t xml:space="preserve"> </w:t>
      </w:r>
    </w:p>
    <w:p w14:paraId="4F643453" w14:textId="77777777" w:rsidR="007B4602" w:rsidRPr="00872D32" w:rsidRDefault="007B4602" w:rsidP="007B4602">
      <w:pPr>
        <w:rPr>
          <w:i/>
        </w:rPr>
      </w:pPr>
      <w:r w:rsidRPr="00872D32">
        <w:rPr>
          <w:i/>
        </w:rPr>
        <w:lastRenderedPageBreak/>
        <w:t>Responding to the following section of the Committee’s LOIPR:</w:t>
      </w:r>
    </w:p>
    <w:p w14:paraId="52383209" w14:textId="76DE1312" w:rsidR="007B4602" w:rsidRPr="00872D32" w:rsidRDefault="007B4602" w:rsidP="007B4602">
      <w:pPr>
        <w:pStyle w:val="ListParagraph"/>
        <w:numPr>
          <w:ilvl w:val="0"/>
          <w:numId w:val="9"/>
        </w:numPr>
      </w:pPr>
      <w:r w:rsidRPr="00872D32">
        <w:rPr>
          <w:i/>
          <w:iCs/>
        </w:rPr>
        <w:t>Prohibition of torture and cruel, inhuman or degrading treatment of punishment, and right to liberty and security of person (para. 15 (c))</w:t>
      </w:r>
    </w:p>
    <w:p w14:paraId="31072BB3" w14:textId="7D10087D" w:rsidR="003C61F2" w:rsidRPr="00872D32" w:rsidRDefault="004912F7" w:rsidP="000D52A8">
      <w:pPr>
        <w:spacing w:before="240"/>
      </w:pPr>
      <w:r w:rsidRPr="00872D32">
        <w:t>Overcrowding and other issues</w:t>
      </w:r>
      <w:r w:rsidR="00FD36C0" w:rsidRPr="00872D32">
        <w:t xml:space="preserve"> negatively</w:t>
      </w:r>
      <w:r w:rsidR="00F457AD" w:rsidRPr="00872D32">
        <w:t xml:space="preserve"> impact</w:t>
      </w:r>
      <w:r w:rsidR="008A2493" w:rsidRPr="00872D32">
        <w:t xml:space="preserve">ing the </w:t>
      </w:r>
      <w:r w:rsidR="00FD36C0" w:rsidRPr="00872D32">
        <w:t>conditions inside prisons and other detention centers</w:t>
      </w:r>
      <w:r w:rsidR="00F457AD" w:rsidRPr="00872D32">
        <w:t xml:space="preserve"> </w:t>
      </w:r>
      <w:r w:rsidR="00F57248" w:rsidRPr="00872D32">
        <w:t>not only threaten</w:t>
      </w:r>
      <w:r w:rsidR="00F457AD" w:rsidRPr="00872D32">
        <w:t xml:space="preserve"> the health and safety of vulnerable and marginalized Ontarians incarcerated in provincial institutions</w:t>
      </w:r>
      <w:r w:rsidR="00F57248" w:rsidRPr="00872D32">
        <w:t xml:space="preserve">, but also the health and safety of </w:t>
      </w:r>
      <w:r w:rsidR="00F457AD" w:rsidRPr="00872D32">
        <w:t xml:space="preserve">the </w:t>
      </w:r>
      <w:r w:rsidR="008A2493" w:rsidRPr="00872D32">
        <w:t>correctional officers</w:t>
      </w:r>
      <w:r w:rsidR="00F457AD" w:rsidRPr="00872D32">
        <w:t xml:space="preserve"> working inside them.</w:t>
      </w:r>
      <w:r w:rsidR="005D32A3" w:rsidRPr="00872D32">
        <w:t xml:space="preserve"> </w:t>
      </w:r>
    </w:p>
    <w:p w14:paraId="69748E37" w14:textId="0E1B65EC" w:rsidR="00E356A8" w:rsidRPr="00872D32" w:rsidRDefault="005D32A3" w:rsidP="006A3DED">
      <w:r>
        <w:t xml:space="preserve">The OHRC has </w:t>
      </w:r>
      <w:hyperlink r:id="rId83">
        <w:r w:rsidRPr="2D5E6CAB">
          <w:rPr>
            <w:rStyle w:val="Hyperlink"/>
          </w:rPr>
          <w:t>reported</w:t>
        </w:r>
      </w:hyperlink>
      <w:r>
        <w:t xml:space="preserve"> on concerning conditions in correctional institutions</w:t>
      </w:r>
      <w:r w:rsidR="00E74419">
        <w:t xml:space="preserve">. </w:t>
      </w:r>
      <w:r w:rsidR="00E74419" w:rsidRPr="00872D32">
        <w:t>I</w:t>
      </w:r>
      <w:r w:rsidR="009C00B6" w:rsidRPr="00872D32">
        <w:t>n addition to its advocacy</w:t>
      </w:r>
      <w:r w:rsidR="009C00B6">
        <w:t xml:space="preserve"> </w:t>
      </w:r>
      <w:r w:rsidR="009C00B6" w:rsidRPr="00872D32">
        <w:t>against the use of segregation detailed above,</w:t>
      </w:r>
      <w:r w:rsidRPr="00872D32">
        <w:t xml:space="preserve"> </w:t>
      </w:r>
      <w:r w:rsidR="00E74419" w:rsidRPr="00872D32">
        <w:t xml:space="preserve">the OHRC has </w:t>
      </w:r>
      <w:r w:rsidR="009C00B6" w:rsidRPr="00872D32">
        <w:t>expressed concerns about</w:t>
      </w:r>
      <w:r w:rsidR="00E356A8" w:rsidRPr="00872D32">
        <w:t>:</w:t>
      </w:r>
      <w:r w:rsidR="00113BD7" w:rsidRPr="00872D32">
        <w:t xml:space="preserve"> </w:t>
      </w:r>
    </w:p>
    <w:p w14:paraId="22DE6795" w14:textId="1768E0C6" w:rsidR="00E356A8" w:rsidRPr="00872D32" w:rsidRDefault="00E356A8" w:rsidP="0032180B">
      <w:pPr>
        <w:pStyle w:val="ListParagraph"/>
        <w:numPr>
          <w:ilvl w:val="0"/>
          <w:numId w:val="25"/>
        </w:numPr>
        <w:contextualSpacing w:val="0"/>
      </w:pPr>
      <w:r w:rsidRPr="00872D32">
        <w:t>O</w:t>
      </w:r>
      <w:r w:rsidR="00113BD7" w:rsidRPr="00872D32">
        <w:t>vercrowding</w:t>
      </w:r>
    </w:p>
    <w:p w14:paraId="057034C3" w14:textId="7D7A3082" w:rsidR="00E356A8" w:rsidRPr="00872D32" w:rsidRDefault="00E356A8" w:rsidP="0032180B">
      <w:pPr>
        <w:pStyle w:val="ListParagraph"/>
        <w:numPr>
          <w:ilvl w:val="0"/>
          <w:numId w:val="25"/>
        </w:numPr>
        <w:contextualSpacing w:val="0"/>
      </w:pPr>
      <w:r w:rsidRPr="00872D32">
        <w:t>I</w:t>
      </w:r>
      <w:r w:rsidR="001F4CE9" w:rsidRPr="00872D32">
        <w:t>nadequate physical and mental healthcare and addictions treatment</w:t>
      </w:r>
    </w:p>
    <w:p w14:paraId="0291E829" w14:textId="77777777" w:rsidR="00E356A8" w:rsidRPr="00872D32" w:rsidRDefault="00E356A8" w:rsidP="0032180B">
      <w:pPr>
        <w:pStyle w:val="ListParagraph"/>
        <w:numPr>
          <w:ilvl w:val="0"/>
          <w:numId w:val="25"/>
        </w:numPr>
        <w:contextualSpacing w:val="0"/>
      </w:pPr>
      <w:r w:rsidRPr="00872D32">
        <w:t>I</w:t>
      </w:r>
      <w:r w:rsidR="001F4CE9" w:rsidRPr="00872D32">
        <w:t>nadequate access to programming or rehabilitation services</w:t>
      </w:r>
    </w:p>
    <w:p w14:paraId="43A64B62" w14:textId="19F20632" w:rsidR="00E356A8" w:rsidRPr="00872D32" w:rsidRDefault="00E356A8" w:rsidP="0032180B">
      <w:pPr>
        <w:pStyle w:val="ListParagraph"/>
        <w:numPr>
          <w:ilvl w:val="0"/>
          <w:numId w:val="25"/>
        </w:numPr>
        <w:contextualSpacing w:val="0"/>
      </w:pPr>
      <w:r w:rsidRPr="00872D32">
        <w:t>T</w:t>
      </w:r>
      <w:r w:rsidR="00A003BE" w:rsidRPr="00872D32">
        <w:t xml:space="preserve">he </w:t>
      </w:r>
      <w:hyperlink r:id="rId84" w:history="1">
        <w:r w:rsidR="00A003BE" w:rsidRPr="00872D32">
          <w:rPr>
            <w:rStyle w:val="Hyperlink"/>
          </w:rPr>
          <w:t xml:space="preserve">disbanding </w:t>
        </w:r>
        <w:r w:rsidR="00113BD7" w:rsidRPr="00872D32">
          <w:rPr>
            <w:rStyle w:val="Hyperlink"/>
          </w:rPr>
          <w:t xml:space="preserve">of </w:t>
        </w:r>
        <w:r w:rsidR="00A003BE" w:rsidRPr="00872D32">
          <w:rPr>
            <w:rStyle w:val="Hyperlink"/>
          </w:rPr>
          <w:t>Community Advisory Boards</w:t>
        </w:r>
      </w:hyperlink>
      <w:r w:rsidR="00A003BE" w:rsidRPr="00872D32">
        <w:t xml:space="preserve"> </w:t>
      </w:r>
      <w:r w:rsidR="00113BD7" w:rsidRPr="00872D32">
        <w:t xml:space="preserve">partly </w:t>
      </w:r>
      <w:r w:rsidR="00A003BE" w:rsidRPr="00872D32">
        <w:t xml:space="preserve">responsible for </w:t>
      </w:r>
      <w:r w:rsidR="00113BD7" w:rsidRPr="00872D32">
        <w:t>independent oversight of Ontario’s correctional system</w:t>
      </w:r>
    </w:p>
    <w:p w14:paraId="6AF92CFE" w14:textId="039B4701" w:rsidR="00E356A8" w:rsidRPr="00872D32" w:rsidRDefault="00E356A8" w:rsidP="0032180B">
      <w:pPr>
        <w:pStyle w:val="ListParagraph"/>
        <w:numPr>
          <w:ilvl w:val="0"/>
          <w:numId w:val="25"/>
        </w:numPr>
        <w:contextualSpacing w:val="0"/>
      </w:pPr>
      <w:r w:rsidRPr="00872D32">
        <w:t>T</w:t>
      </w:r>
      <w:r w:rsidR="003C61F2" w:rsidRPr="00872D32">
        <w:t xml:space="preserve">he </w:t>
      </w:r>
      <w:hyperlink r:id="rId85" w:history="1">
        <w:r w:rsidR="003C61F2" w:rsidRPr="00872D32">
          <w:rPr>
            <w:rStyle w:val="Hyperlink"/>
          </w:rPr>
          <w:t>harmful effects of strip searches</w:t>
        </w:r>
      </w:hyperlink>
      <w:r w:rsidR="00E74419" w:rsidRPr="00872D32">
        <w:t>,</w:t>
      </w:r>
      <w:r w:rsidR="003C61F2" w:rsidRPr="00872D32">
        <w:t xml:space="preserve"> particularly on </w:t>
      </w:r>
      <w:r w:rsidR="003C61F2" w:rsidRPr="00872D32">
        <w:rPr>
          <w:i/>
          <w:iCs/>
        </w:rPr>
        <w:t>Code-</w:t>
      </w:r>
      <w:r w:rsidR="003C61F2" w:rsidRPr="00872D32">
        <w:t xml:space="preserve">protected groups – such as people with mental health disabilities, women, Indigenous, Black and transgender people. </w:t>
      </w:r>
    </w:p>
    <w:p w14:paraId="1F2F4D94" w14:textId="5B2467E2" w:rsidR="006A3DED" w:rsidRPr="00872D32" w:rsidRDefault="00BD6B89" w:rsidP="00E356A8">
      <w:r w:rsidRPr="00872D32">
        <w:t>To address these concerns, t</w:t>
      </w:r>
      <w:r w:rsidR="00CB4D3E" w:rsidRPr="00872D32">
        <w:t xml:space="preserve">he OHRC has </w:t>
      </w:r>
      <w:hyperlink r:id="rId86" w:history="1">
        <w:r w:rsidR="00CB4D3E" w:rsidRPr="00872D32">
          <w:rPr>
            <w:rStyle w:val="Hyperlink"/>
          </w:rPr>
          <w:t>called for urgent investments</w:t>
        </w:r>
      </w:hyperlink>
      <w:r w:rsidR="00E356A8" w:rsidRPr="00872D32">
        <w:t xml:space="preserve"> and concrete actions to support inmates and correctional staff</w:t>
      </w:r>
      <w:r w:rsidR="00E07B77" w:rsidRPr="00872D32">
        <w:t>.</w:t>
      </w:r>
    </w:p>
    <w:p w14:paraId="3537102A" w14:textId="316F97D2" w:rsidR="000D3018" w:rsidRPr="00872D32" w:rsidRDefault="00E07EC0" w:rsidP="006A3DED">
      <w:r w:rsidRPr="00872D32">
        <w:t xml:space="preserve">The COVID-19 pandemic also </w:t>
      </w:r>
      <w:r w:rsidR="00563779" w:rsidRPr="00872D32">
        <w:t>raised</w:t>
      </w:r>
      <w:r w:rsidRPr="00872D32">
        <w:t xml:space="preserve"> significant </w:t>
      </w:r>
      <w:r w:rsidR="00563779" w:rsidRPr="00872D32">
        <w:t>concerns related to the</w:t>
      </w:r>
      <w:r w:rsidRPr="00872D32">
        <w:t xml:space="preserve"> conditions of detention in Ontario’s prisons. </w:t>
      </w:r>
      <w:r w:rsidR="00EA6818" w:rsidRPr="00872D32">
        <w:t xml:space="preserve">See details </w:t>
      </w:r>
      <w:r w:rsidR="006A3DED" w:rsidRPr="00872D32">
        <w:t xml:space="preserve">in the </w:t>
      </w:r>
      <w:r w:rsidR="000D3018" w:rsidRPr="00872D32">
        <w:t>COVID</w:t>
      </w:r>
      <w:r w:rsidR="006A3DED" w:rsidRPr="00872D32">
        <w:t xml:space="preserve">-19 </w:t>
      </w:r>
      <w:hyperlink w:anchor="_The_impact_of" w:history="1">
        <w:r w:rsidR="006A3DED" w:rsidRPr="00872D32">
          <w:rPr>
            <w:rStyle w:val="Hyperlink"/>
          </w:rPr>
          <w:t>section below</w:t>
        </w:r>
      </w:hyperlink>
      <w:r w:rsidR="006A3DED" w:rsidRPr="00872D32">
        <w:t xml:space="preserve">. </w:t>
      </w:r>
      <w:r w:rsidR="000D3018" w:rsidRPr="00872D32">
        <w:t xml:space="preserve"> </w:t>
      </w:r>
    </w:p>
    <w:p w14:paraId="2AD1CD9E" w14:textId="77777777" w:rsidR="00CC37AE" w:rsidRPr="00872D32" w:rsidRDefault="00CC37AE" w:rsidP="00CC37AE">
      <w:pPr>
        <w:pStyle w:val="Heading3"/>
      </w:pPr>
      <w:bookmarkStart w:id="42" w:name="_Hate"/>
      <w:bookmarkStart w:id="43" w:name="_Toc217480191"/>
      <w:bookmarkEnd w:id="42"/>
      <w:r w:rsidRPr="00872D32">
        <w:t>Hate</w:t>
      </w:r>
      <w:bookmarkEnd w:id="43"/>
    </w:p>
    <w:p w14:paraId="61900CD8" w14:textId="77777777" w:rsidR="00533537" w:rsidRPr="00872D32" w:rsidRDefault="00533537" w:rsidP="00533537">
      <w:pPr>
        <w:rPr>
          <w:i/>
        </w:rPr>
      </w:pPr>
      <w:r w:rsidRPr="00872D32">
        <w:rPr>
          <w:i/>
        </w:rPr>
        <w:t>Responding to the following section of the Committee’s LOIPR:</w:t>
      </w:r>
    </w:p>
    <w:p w14:paraId="6E4993A2" w14:textId="0A4CD6B5" w:rsidR="00533537" w:rsidRPr="00872D32" w:rsidRDefault="00533537" w:rsidP="00533537">
      <w:pPr>
        <w:pStyle w:val="ListParagraph"/>
        <w:numPr>
          <w:ilvl w:val="0"/>
          <w:numId w:val="9"/>
        </w:numPr>
      </w:pPr>
      <w:r w:rsidRPr="00872D32">
        <w:rPr>
          <w:i/>
          <w:iCs/>
        </w:rPr>
        <w:t xml:space="preserve">Non-discrimination (para. </w:t>
      </w:r>
      <w:r w:rsidR="008605CB" w:rsidRPr="00872D32">
        <w:rPr>
          <w:i/>
          <w:iCs/>
        </w:rPr>
        <w:t>6</w:t>
      </w:r>
      <w:r w:rsidRPr="00872D32">
        <w:rPr>
          <w:i/>
          <w:iCs/>
        </w:rPr>
        <w:t>)</w:t>
      </w:r>
    </w:p>
    <w:p w14:paraId="6561DAFD" w14:textId="2D9C4877" w:rsidR="005408D9" w:rsidRPr="00872D32" w:rsidRDefault="00124CFF" w:rsidP="000D52A8">
      <w:pPr>
        <w:spacing w:before="240"/>
      </w:pPr>
      <w:r w:rsidRPr="00872D32">
        <w:t xml:space="preserve">In recent years, </w:t>
      </w:r>
      <w:r w:rsidR="009D5F65" w:rsidRPr="00872D32">
        <w:t xml:space="preserve">the rate of hate activities in </w:t>
      </w:r>
      <w:r w:rsidRPr="00872D32">
        <w:t xml:space="preserve">Ontario against individuals and groups </w:t>
      </w:r>
      <w:r w:rsidR="009D5F65" w:rsidRPr="00872D32">
        <w:t>identified by their</w:t>
      </w:r>
      <w:r w:rsidRPr="00872D32">
        <w:t xml:space="preserve"> colour, ethnicity, race, creed, gender, and sexual orientation, among other </w:t>
      </w:r>
      <w:r w:rsidRPr="00872D32">
        <w:rPr>
          <w:i/>
          <w:iCs/>
        </w:rPr>
        <w:t xml:space="preserve">Code </w:t>
      </w:r>
      <w:r w:rsidRPr="00872D32">
        <w:t>grounds</w:t>
      </w:r>
      <w:r w:rsidR="009D5F65" w:rsidRPr="00872D32">
        <w:t xml:space="preserve">, </w:t>
      </w:r>
      <w:hyperlink r:id="rId87" w:history="1">
        <w:r w:rsidR="009D5F65" w:rsidRPr="00872D32">
          <w:rPr>
            <w:rStyle w:val="Hyperlink"/>
          </w:rPr>
          <w:t>has nearly tripled</w:t>
        </w:r>
      </w:hyperlink>
      <w:r w:rsidR="003A2D6E" w:rsidRPr="00872D32">
        <w:t xml:space="preserve"> (from </w:t>
      </w:r>
      <w:r w:rsidR="00733AC2" w:rsidRPr="00872D32">
        <w:t xml:space="preserve">5.8 </w:t>
      </w:r>
      <w:r w:rsidR="00152ABC" w:rsidRPr="00872D32">
        <w:t xml:space="preserve">incidents </w:t>
      </w:r>
      <w:r w:rsidR="00E43B7A" w:rsidRPr="00872D32">
        <w:t xml:space="preserve">per 100,000 </w:t>
      </w:r>
      <w:r w:rsidR="00152ABC" w:rsidRPr="00872D32">
        <w:t>population</w:t>
      </w:r>
      <w:r w:rsidR="00E43B7A" w:rsidRPr="00872D32">
        <w:t xml:space="preserve"> in 2019 </w:t>
      </w:r>
      <w:r w:rsidR="00733AC2" w:rsidRPr="00872D32">
        <w:t xml:space="preserve">to 15.6 per 100,000 </w:t>
      </w:r>
      <w:r w:rsidR="00E43B7A" w:rsidRPr="00872D32">
        <w:t>in 2023</w:t>
      </w:r>
      <w:r w:rsidR="00740477" w:rsidRPr="00872D32">
        <w:t xml:space="preserve">, according to the </w:t>
      </w:r>
      <w:hyperlink r:id="rId88" w:history="1">
        <w:r w:rsidR="00740477" w:rsidRPr="00872D32">
          <w:rPr>
            <w:rStyle w:val="Hyperlink"/>
          </w:rPr>
          <w:t>Incident-based Uniform Crime Reporting Survey</w:t>
        </w:r>
      </w:hyperlink>
      <w:r w:rsidR="003A2D6E" w:rsidRPr="00872D32">
        <w:t>)</w:t>
      </w:r>
      <w:r w:rsidRPr="00872D32">
        <w:t xml:space="preserve">. </w:t>
      </w:r>
      <w:r w:rsidR="005408D9" w:rsidRPr="00872D32">
        <w:t xml:space="preserve">The OHRC is </w:t>
      </w:r>
      <w:r w:rsidR="00626DCD" w:rsidRPr="00872D32">
        <w:t>concern</w:t>
      </w:r>
      <w:r w:rsidR="00B1535D" w:rsidRPr="00872D32">
        <w:t xml:space="preserve">ed </w:t>
      </w:r>
      <w:r w:rsidR="007C5C51" w:rsidRPr="00872D32">
        <w:t xml:space="preserve">about this </w:t>
      </w:r>
      <w:r w:rsidR="00603A0E" w:rsidRPr="00872D32">
        <w:t>trend</w:t>
      </w:r>
      <w:r w:rsidR="00626DCD" w:rsidRPr="00872D32">
        <w:t>,</w:t>
      </w:r>
      <w:r w:rsidR="007C5C51" w:rsidRPr="00872D32">
        <w:t xml:space="preserve"> which </w:t>
      </w:r>
      <w:r w:rsidR="00C12DB8" w:rsidRPr="00872D32">
        <w:t xml:space="preserve">can have </w:t>
      </w:r>
      <w:hyperlink r:id="rId89" w:history="1">
        <w:r w:rsidR="00C12DB8" w:rsidRPr="00872D32">
          <w:rPr>
            <w:rStyle w:val="Hyperlink"/>
          </w:rPr>
          <w:t>deadly consequences</w:t>
        </w:r>
      </w:hyperlink>
      <w:r w:rsidR="00C12DB8" w:rsidRPr="00872D32">
        <w:t xml:space="preserve"> and </w:t>
      </w:r>
      <w:r w:rsidR="00EE3059" w:rsidRPr="00872D32">
        <w:t xml:space="preserve">is </w:t>
      </w:r>
      <w:r w:rsidR="007C5C51" w:rsidRPr="00872D32">
        <w:t>connect</w:t>
      </w:r>
      <w:r w:rsidR="00EE3059" w:rsidRPr="00872D32">
        <w:t>ed</w:t>
      </w:r>
      <w:r w:rsidR="007C5C51" w:rsidRPr="00872D32">
        <w:t xml:space="preserve"> to </w:t>
      </w:r>
      <w:r w:rsidR="00B1535D" w:rsidRPr="00872D32">
        <w:t>systemic discriminatio</w:t>
      </w:r>
      <w:r w:rsidR="007C5C51" w:rsidRPr="00872D32">
        <w:t>n</w:t>
      </w:r>
      <w:r w:rsidR="00653967" w:rsidRPr="00872D32">
        <w:t xml:space="preserve">. </w:t>
      </w:r>
      <w:r w:rsidR="007E3C29" w:rsidRPr="00872D32">
        <w:t>T</w:t>
      </w:r>
      <w:r w:rsidR="00C62042" w:rsidRPr="00872D32">
        <w:t xml:space="preserve">he OHRC </w:t>
      </w:r>
      <w:r w:rsidR="00626DCD" w:rsidRPr="00872D32">
        <w:t xml:space="preserve">has </w:t>
      </w:r>
      <w:hyperlink r:id="rId90" w:history="1">
        <w:r w:rsidR="005408D9" w:rsidRPr="00872D32">
          <w:rPr>
            <w:rStyle w:val="Hyperlink"/>
          </w:rPr>
          <w:t>committed</w:t>
        </w:r>
      </w:hyperlink>
      <w:r w:rsidR="005408D9" w:rsidRPr="00872D32">
        <w:t xml:space="preserve"> to </w:t>
      </w:r>
      <w:r w:rsidR="00DE3197">
        <w:t xml:space="preserve">challenging </w:t>
      </w:r>
      <w:r w:rsidR="005408D9" w:rsidRPr="00872D32">
        <w:t>and address</w:t>
      </w:r>
      <w:r w:rsidR="00DE3197">
        <w:t>ing</w:t>
      </w:r>
      <w:r w:rsidR="005408D9" w:rsidRPr="00872D32">
        <w:t xml:space="preserve"> hate expression </w:t>
      </w:r>
      <w:r w:rsidR="00DE2E1F" w:rsidRPr="00872D32">
        <w:t>to</w:t>
      </w:r>
      <w:r w:rsidR="005408D9" w:rsidRPr="00872D32">
        <w:t xml:space="preserve"> help ensure </w:t>
      </w:r>
      <w:r w:rsidR="00DE3197">
        <w:t xml:space="preserve">that the </w:t>
      </w:r>
      <w:r w:rsidR="005408D9" w:rsidRPr="00872D32">
        <w:t xml:space="preserve">public institutions, individuals, and groups </w:t>
      </w:r>
      <w:r w:rsidR="00DE3197">
        <w:t xml:space="preserve">understand </w:t>
      </w:r>
      <w:r w:rsidR="005408D9" w:rsidRPr="00872D32">
        <w:t xml:space="preserve">how to use the human rights system </w:t>
      </w:r>
      <w:r w:rsidR="00DE3197">
        <w:t>in</w:t>
      </w:r>
      <w:r w:rsidR="005408D9" w:rsidRPr="00872D32">
        <w:t xml:space="preserve"> respon</w:t>
      </w:r>
      <w:r w:rsidR="00DE3197">
        <w:t>se</w:t>
      </w:r>
      <w:r w:rsidR="005408D9" w:rsidRPr="00872D32">
        <w:t xml:space="preserve"> to hate.</w:t>
      </w:r>
    </w:p>
    <w:p w14:paraId="0879FD11" w14:textId="362BE4A4" w:rsidR="005408D9" w:rsidRPr="00872D32" w:rsidRDefault="003709CA" w:rsidP="00CC37AE">
      <w:r w:rsidRPr="00872D32">
        <w:lastRenderedPageBreak/>
        <w:t>Addressing hate is a collective responsibility. Education is a key component against discrimination and hate</w:t>
      </w:r>
      <w:r w:rsidR="00DE2E1F" w:rsidRPr="00872D32">
        <w:t xml:space="preserve"> and the OHRC has </w:t>
      </w:r>
      <w:hyperlink r:id="rId91" w:history="1">
        <w:r w:rsidR="000D3651" w:rsidRPr="00872D32">
          <w:rPr>
            <w:rStyle w:val="Hyperlink"/>
          </w:rPr>
          <w:t>made clear</w:t>
        </w:r>
      </w:hyperlink>
      <w:r w:rsidR="000D3651" w:rsidRPr="00872D32">
        <w:t xml:space="preserve"> what obligations education officials hold to combat hate under the </w:t>
      </w:r>
      <w:r w:rsidR="000D3651" w:rsidRPr="00872D32">
        <w:rPr>
          <w:i/>
          <w:iCs/>
        </w:rPr>
        <w:t>Code</w:t>
      </w:r>
      <w:r w:rsidRPr="00872D32">
        <w:t>.</w:t>
      </w:r>
      <w:r w:rsidR="008D3FFA" w:rsidRPr="00872D32">
        <w:t xml:space="preserve"> But education is not enough. </w:t>
      </w:r>
      <w:r w:rsidR="00DF4A14" w:rsidRPr="00872D32">
        <w:t xml:space="preserve">The OHRC has called </w:t>
      </w:r>
      <w:r w:rsidR="00CB1A7A" w:rsidRPr="00872D32">
        <w:t xml:space="preserve">on </w:t>
      </w:r>
      <w:r w:rsidR="008D155C" w:rsidRPr="00872D32">
        <w:t>both the</w:t>
      </w:r>
      <w:r w:rsidR="00CB1A7A" w:rsidRPr="00872D32">
        <w:t xml:space="preserve"> </w:t>
      </w:r>
      <w:hyperlink r:id="rId92" w:history="1">
        <w:r w:rsidR="00CB1A7A" w:rsidRPr="00872D32">
          <w:rPr>
            <w:rStyle w:val="Hyperlink"/>
          </w:rPr>
          <w:t>Government of Ontario</w:t>
        </w:r>
      </w:hyperlink>
      <w:r w:rsidR="008D155C" w:rsidRPr="00872D32">
        <w:t xml:space="preserve"> and the </w:t>
      </w:r>
      <w:hyperlink r:id="rId93" w:history="1">
        <w:r w:rsidR="008D155C" w:rsidRPr="00872D32">
          <w:rPr>
            <w:rStyle w:val="Hyperlink"/>
          </w:rPr>
          <w:t>federal government</w:t>
        </w:r>
      </w:hyperlink>
      <w:r w:rsidR="00CB1A7A" w:rsidRPr="00872D32">
        <w:t xml:space="preserve"> to develop </w:t>
      </w:r>
      <w:r w:rsidR="008D3FFA" w:rsidRPr="00872D32">
        <w:t>a well-resourced</w:t>
      </w:r>
      <w:r w:rsidR="00CB1A7A" w:rsidRPr="00872D32">
        <w:t>,</w:t>
      </w:r>
      <w:r w:rsidR="008D3FFA" w:rsidRPr="00872D32">
        <w:t xml:space="preserve"> province-wide anti-hate strategy </w:t>
      </w:r>
      <w:r w:rsidR="0056719D" w:rsidRPr="00872D32">
        <w:t xml:space="preserve">to tackle </w:t>
      </w:r>
      <w:r w:rsidR="008D3FFA" w:rsidRPr="00872D32">
        <w:t xml:space="preserve">hate in </w:t>
      </w:r>
      <w:r w:rsidR="0056719D" w:rsidRPr="00872D32">
        <w:t>all its forms</w:t>
      </w:r>
      <w:r w:rsidR="008D3FFA" w:rsidRPr="00872D32">
        <w:t xml:space="preserve"> and ensure </w:t>
      </w:r>
      <w:r w:rsidR="00B647B9" w:rsidRPr="00872D32">
        <w:t>a</w:t>
      </w:r>
      <w:r w:rsidR="008D3FFA" w:rsidRPr="00872D32">
        <w:t xml:space="preserve"> safe and inclusive </w:t>
      </w:r>
      <w:r w:rsidR="00B647B9" w:rsidRPr="00872D32">
        <w:t>society</w:t>
      </w:r>
      <w:r w:rsidR="008D3FFA" w:rsidRPr="00872D32">
        <w:t xml:space="preserve">. </w:t>
      </w:r>
      <w:r w:rsidR="007252D5" w:rsidRPr="00872D32">
        <w:t>As part of such a strategy,</w:t>
      </w:r>
      <w:r w:rsidR="00463EBD" w:rsidRPr="00872D32">
        <w:t xml:space="preserve"> the</w:t>
      </w:r>
      <w:r w:rsidR="008D3FFA" w:rsidRPr="00872D32">
        <w:t xml:space="preserve"> human-rights system</w:t>
      </w:r>
      <w:r w:rsidR="00463EBD" w:rsidRPr="00872D32">
        <w:t xml:space="preserve"> as well as law enforcement must be </w:t>
      </w:r>
      <w:r w:rsidR="008D3FFA" w:rsidRPr="00872D32">
        <w:t xml:space="preserve">well-equipped </w:t>
      </w:r>
      <w:r w:rsidR="00463EBD" w:rsidRPr="00872D32">
        <w:t xml:space="preserve">to </w:t>
      </w:r>
      <w:r w:rsidR="00225BA1" w:rsidRPr="00872D32">
        <w:t xml:space="preserve">identify </w:t>
      </w:r>
      <w:r w:rsidR="008D3FFA" w:rsidRPr="00872D32">
        <w:t>new ways to address hate.</w:t>
      </w:r>
    </w:p>
    <w:p w14:paraId="57213BDF" w14:textId="6BF4732B" w:rsidR="00A4188D" w:rsidRPr="00872D32" w:rsidRDefault="00103F72" w:rsidP="00103F72">
      <w:pPr>
        <w:pStyle w:val="Heading3"/>
      </w:pPr>
      <w:bookmarkStart w:id="44" w:name="_Toc217480192"/>
      <w:r w:rsidRPr="00872D32">
        <w:t>Artificial intelligence</w:t>
      </w:r>
      <w:bookmarkEnd w:id="44"/>
    </w:p>
    <w:p w14:paraId="26ABB3B7" w14:textId="6BC885D0" w:rsidR="008605CB" w:rsidRPr="00872D32" w:rsidRDefault="008605CB" w:rsidP="008605CB">
      <w:pPr>
        <w:rPr>
          <w:i/>
        </w:rPr>
      </w:pPr>
      <w:r w:rsidRPr="00872D32">
        <w:rPr>
          <w:i/>
        </w:rPr>
        <w:t>Responding to the following sections of the Committee’s LOIPR:</w:t>
      </w:r>
    </w:p>
    <w:p w14:paraId="241A448E" w14:textId="1A2D81DE" w:rsidR="008605CB" w:rsidRPr="00872D32" w:rsidRDefault="008605CB" w:rsidP="008605CB">
      <w:pPr>
        <w:pStyle w:val="ListParagraph"/>
        <w:numPr>
          <w:ilvl w:val="0"/>
          <w:numId w:val="9"/>
        </w:numPr>
      </w:pPr>
      <w:r w:rsidRPr="00872D32">
        <w:rPr>
          <w:i/>
          <w:iCs/>
        </w:rPr>
        <w:t>Non-discrimination (para. 4)</w:t>
      </w:r>
    </w:p>
    <w:p w14:paraId="62491700" w14:textId="5CFF9956" w:rsidR="008605CB" w:rsidRPr="00872D32" w:rsidRDefault="002820E2" w:rsidP="008605CB">
      <w:pPr>
        <w:pStyle w:val="ListParagraph"/>
        <w:numPr>
          <w:ilvl w:val="0"/>
          <w:numId w:val="9"/>
        </w:numPr>
      </w:pPr>
      <w:r w:rsidRPr="00872D32">
        <w:rPr>
          <w:i/>
          <w:iCs/>
        </w:rPr>
        <w:t>Right to privacy (para. 20)</w:t>
      </w:r>
    </w:p>
    <w:p w14:paraId="362C9C32" w14:textId="7393BCAC" w:rsidR="00103F72" w:rsidRPr="00872D32" w:rsidRDefault="00C324F5" w:rsidP="000D52A8">
      <w:pPr>
        <w:spacing w:before="240"/>
      </w:pPr>
      <w:r w:rsidRPr="00872D32">
        <w:t xml:space="preserve">Since </w:t>
      </w:r>
      <w:r w:rsidR="00103F72" w:rsidRPr="00872D32">
        <w:t>the Committee released its LOIPR in August 2021, AI systems</w:t>
      </w:r>
      <w:r w:rsidR="00BC7E67" w:rsidRPr="00872D32">
        <w:t xml:space="preserve"> have been widely adopted</w:t>
      </w:r>
      <w:r w:rsidR="00103F72" w:rsidRPr="00872D32">
        <w:t xml:space="preserve"> across sectors, including as tools directly available to the public via large language models (LLMs)</w:t>
      </w:r>
      <w:r w:rsidR="00361625" w:rsidRPr="00872D32">
        <w:t xml:space="preserve"> such as ChatGPT</w:t>
      </w:r>
      <w:r w:rsidR="00103F72" w:rsidRPr="00872D32">
        <w:t xml:space="preserve">. AI </w:t>
      </w:r>
      <w:r w:rsidR="009D00DE" w:rsidRPr="00872D32">
        <w:t xml:space="preserve">technologies </w:t>
      </w:r>
      <w:r w:rsidR="00103F72" w:rsidRPr="00872D32">
        <w:t>such as facial recognition and predictive policing algorithms</w:t>
      </w:r>
      <w:r w:rsidR="00C57202" w:rsidRPr="00872D32">
        <w:t xml:space="preserve"> </w:t>
      </w:r>
      <w:r w:rsidR="009D00DE" w:rsidRPr="00872D32">
        <w:t>were already</w:t>
      </w:r>
      <w:r w:rsidR="00C57202" w:rsidRPr="00872D32">
        <w:t xml:space="preserve"> in use </w:t>
      </w:r>
      <w:r w:rsidR="009D00DE" w:rsidRPr="00872D32">
        <w:t xml:space="preserve">prior to 2021 </w:t>
      </w:r>
      <w:r w:rsidR="00C57202" w:rsidRPr="00872D32">
        <w:t xml:space="preserve">and </w:t>
      </w:r>
      <w:r w:rsidR="00103F72" w:rsidRPr="00872D32">
        <w:t xml:space="preserve">associated with significant human rights concerns. For instance, in June and November 2021, respectively, the OHRC warned the </w:t>
      </w:r>
      <w:hyperlink r:id="rId94" w:history="1">
        <w:r w:rsidR="00103F72" w:rsidRPr="00872D32">
          <w:rPr>
            <w:rStyle w:val="Hyperlink"/>
          </w:rPr>
          <w:t>Ontario government</w:t>
        </w:r>
      </w:hyperlink>
      <w:r w:rsidR="00103F72" w:rsidRPr="00872D32">
        <w:t xml:space="preserve"> and the </w:t>
      </w:r>
      <w:hyperlink r:id="rId95" w:history="1">
        <w:r w:rsidR="00103F72" w:rsidRPr="00872D32">
          <w:rPr>
            <w:rStyle w:val="Hyperlink"/>
          </w:rPr>
          <w:t>TPS Board</w:t>
        </w:r>
      </w:hyperlink>
      <w:r w:rsidR="00103F72" w:rsidRPr="00872D32">
        <w:t xml:space="preserve"> that AI systems can perpetuate historic patterns of discrimination by incorporating the developers’ biases into the systems or relying on biased data.</w:t>
      </w:r>
    </w:p>
    <w:p w14:paraId="7E1792A5" w14:textId="2F1C3A05" w:rsidR="00512320" w:rsidRDefault="00E23704" w:rsidP="00512320">
      <w:pPr>
        <w:pStyle w:val="NoSpacing"/>
        <w:spacing w:after="120"/>
      </w:pPr>
      <w:r w:rsidRPr="00872D32">
        <w:t>T</w:t>
      </w:r>
      <w:r w:rsidR="00103F72" w:rsidRPr="00872D32">
        <w:t xml:space="preserve">he </w:t>
      </w:r>
      <w:r w:rsidR="00D2660F" w:rsidRPr="00872D32">
        <w:t>human rights risks associated with</w:t>
      </w:r>
      <w:r w:rsidR="00103F72" w:rsidRPr="00872D32">
        <w:t xml:space="preserve"> these technologies </w:t>
      </w:r>
      <w:r w:rsidR="00D2660F" w:rsidRPr="00872D32">
        <w:t>have</w:t>
      </w:r>
      <w:r w:rsidR="00103F72" w:rsidRPr="00872D32">
        <w:t xml:space="preserve"> </w:t>
      </w:r>
      <w:r w:rsidR="001E068D" w:rsidRPr="00872D32">
        <w:t>significantly increased</w:t>
      </w:r>
      <w:r w:rsidR="008D664D" w:rsidRPr="00872D32">
        <w:t xml:space="preserve"> </w:t>
      </w:r>
      <w:r w:rsidR="001E068D" w:rsidRPr="00872D32">
        <w:t xml:space="preserve">as their use </w:t>
      </w:r>
      <w:r w:rsidR="00446DFA" w:rsidRPr="00872D32">
        <w:t xml:space="preserve">has become </w:t>
      </w:r>
      <w:r w:rsidR="001E068D" w:rsidRPr="00872D32">
        <w:t>ubiquitous</w:t>
      </w:r>
      <w:r w:rsidR="00244240" w:rsidRPr="00872D32">
        <w:t xml:space="preserve"> </w:t>
      </w:r>
      <w:r w:rsidR="001E068D" w:rsidRPr="00872D32">
        <w:t xml:space="preserve">throughout </w:t>
      </w:r>
      <w:r w:rsidR="00356D4D" w:rsidRPr="00872D32">
        <w:t>Canadian society and at a global scale.</w:t>
      </w:r>
      <w:r w:rsidR="00967B00" w:rsidRPr="00872D32">
        <w:t xml:space="preserve"> </w:t>
      </w:r>
      <w:r w:rsidR="00A54003" w:rsidRPr="00872D32">
        <w:t xml:space="preserve">In 2023, the OHRC released a </w:t>
      </w:r>
      <w:hyperlink r:id="rId96" w:history="1">
        <w:r w:rsidR="00A54003" w:rsidRPr="00872D32">
          <w:rPr>
            <w:rStyle w:val="Hyperlink"/>
          </w:rPr>
          <w:t>joint statement</w:t>
        </w:r>
      </w:hyperlink>
      <w:r w:rsidR="00A54003" w:rsidRPr="00872D32">
        <w:t xml:space="preserve"> with the Information and Privacy Commissioner of Ontario urging the Government of Ontario to develop and implement effective guardrails on the public sector’s use of AI technologies. </w:t>
      </w:r>
      <w:r w:rsidR="003277E7">
        <w:t>Th</w:t>
      </w:r>
      <w:r w:rsidR="00130F3A">
        <w:t>is</w:t>
      </w:r>
      <w:r w:rsidR="003277E7">
        <w:t xml:space="preserve"> </w:t>
      </w:r>
      <w:r w:rsidR="00986396">
        <w:t xml:space="preserve">joint position </w:t>
      </w:r>
      <w:r w:rsidR="00130F3A">
        <w:t xml:space="preserve">informed </w:t>
      </w:r>
      <w:r w:rsidR="00401B0D">
        <w:t xml:space="preserve">the </w:t>
      </w:r>
      <w:r w:rsidR="008D6C4B">
        <w:t xml:space="preserve">later </w:t>
      </w:r>
      <w:r w:rsidR="00401B0D">
        <w:t xml:space="preserve">development of </w:t>
      </w:r>
      <w:r w:rsidR="007563BF">
        <w:t>six</w:t>
      </w:r>
      <w:r w:rsidR="00130F3A">
        <w:t xml:space="preserve"> joint principles to guide the responsible adoption of AI systems, released on January 21, 2026</w:t>
      </w:r>
      <w:r w:rsidR="002A0D8D">
        <w:t>. To</w:t>
      </w:r>
      <w:r w:rsidR="002A0D8D" w:rsidRPr="002A0D8D">
        <w:t xml:space="preserve"> maintain public trust</w:t>
      </w:r>
      <w:r w:rsidR="002A0D8D">
        <w:t>, AI systems should be</w:t>
      </w:r>
      <w:r w:rsidR="00130F3A">
        <w:t>:</w:t>
      </w:r>
      <w:r w:rsidR="00512320" w:rsidRPr="00512320">
        <w:t xml:space="preserve"> </w:t>
      </w:r>
    </w:p>
    <w:p w14:paraId="5C54D4BA" w14:textId="056101BD" w:rsidR="00512320" w:rsidRDefault="00512320" w:rsidP="004130DB">
      <w:pPr>
        <w:pStyle w:val="NoSpacing"/>
        <w:numPr>
          <w:ilvl w:val="0"/>
          <w:numId w:val="42"/>
        </w:numPr>
        <w:spacing w:after="120"/>
      </w:pPr>
      <w:r w:rsidRPr="00512320">
        <w:t xml:space="preserve">Valid and </w:t>
      </w:r>
      <w:r w:rsidR="00880B73">
        <w:t>r</w:t>
      </w:r>
      <w:r w:rsidRPr="00512320">
        <w:t>eliable</w:t>
      </w:r>
    </w:p>
    <w:p w14:paraId="2C454FD3" w14:textId="2309C0AD" w:rsidR="007563BF" w:rsidRDefault="007563BF" w:rsidP="00880B73">
      <w:pPr>
        <w:pStyle w:val="NoSpacing"/>
        <w:numPr>
          <w:ilvl w:val="0"/>
          <w:numId w:val="42"/>
        </w:numPr>
        <w:spacing w:after="120"/>
      </w:pPr>
      <w:r>
        <w:t>Safe</w:t>
      </w:r>
    </w:p>
    <w:p w14:paraId="7250E7E0" w14:textId="5074CF66" w:rsidR="00880B73" w:rsidRDefault="00512320" w:rsidP="004130DB">
      <w:pPr>
        <w:pStyle w:val="NoSpacing"/>
        <w:numPr>
          <w:ilvl w:val="0"/>
          <w:numId w:val="42"/>
        </w:numPr>
        <w:spacing w:after="120"/>
      </w:pPr>
      <w:r w:rsidRPr="00512320">
        <w:t xml:space="preserve">Privacy </w:t>
      </w:r>
      <w:r w:rsidR="00880B73">
        <w:t>p</w:t>
      </w:r>
      <w:r w:rsidRPr="00512320">
        <w:t>rotective</w:t>
      </w:r>
    </w:p>
    <w:p w14:paraId="2B7943E5" w14:textId="73B9B445" w:rsidR="00512320" w:rsidRDefault="008E2C1A" w:rsidP="004130DB">
      <w:pPr>
        <w:pStyle w:val="NoSpacing"/>
        <w:numPr>
          <w:ilvl w:val="0"/>
          <w:numId w:val="42"/>
        </w:numPr>
        <w:spacing w:after="120"/>
      </w:pPr>
      <w:r>
        <w:rPr>
          <w:rStyle w:val="CommentReference"/>
          <w:sz w:val="24"/>
          <w:szCs w:val="20"/>
        </w:rPr>
        <w:t>H</w:t>
      </w:r>
      <w:r w:rsidR="00512320">
        <w:t xml:space="preserve">uman </w:t>
      </w:r>
      <w:r w:rsidR="00880B73">
        <w:t>rights</w:t>
      </w:r>
      <w:r w:rsidR="002A0D8D">
        <w:t xml:space="preserve"> </w:t>
      </w:r>
      <w:r w:rsidR="00880B73">
        <w:t>affirming</w:t>
      </w:r>
    </w:p>
    <w:p w14:paraId="0EF259ED" w14:textId="3C665934" w:rsidR="00880B73" w:rsidRDefault="00880B73" w:rsidP="004130DB">
      <w:pPr>
        <w:pStyle w:val="NoSpacing"/>
        <w:numPr>
          <w:ilvl w:val="0"/>
          <w:numId w:val="42"/>
        </w:numPr>
        <w:spacing w:after="120"/>
      </w:pPr>
      <w:r>
        <w:t>Transparent</w:t>
      </w:r>
    </w:p>
    <w:p w14:paraId="5A522B9E" w14:textId="32B0A01B" w:rsidR="00880B73" w:rsidRPr="00872D32" w:rsidRDefault="00880B73" w:rsidP="004130DB">
      <w:pPr>
        <w:pStyle w:val="NoSpacing"/>
        <w:numPr>
          <w:ilvl w:val="0"/>
          <w:numId w:val="42"/>
        </w:numPr>
        <w:spacing w:after="120"/>
      </w:pPr>
      <w:r>
        <w:t>Accountable</w:t>
      </w:r>
    </w:p>
    <w:p w14:paraId="6D1510B5" w14:textId="3645B2BA" w:rsidR="00105C7D" w:rsidRPr="00872D32" w:rsidRDefault="00956A79" w:rsidP="00103F72">
      <w:r w:rsidRPr="00872D32">
        <w:t xml:space="preserve">Following </w:t>
      </w:r>
      <w:r w:rsidR="00127C5A">
        <w:t>the 2023 joint</w:t>
      </w:r>
      <w:r w:rsidRPr="00872D32">
        <w:t xml:space="preserve"> statement, the OHRC has actively engaged with the provincial and federal government as they sought to </w:t>
      </w:r>
      <w:proofErr w:type="gramStart"/>
      <w:r w:rsidRPr="00872D32">
        <w:t>take action</w:t>
      </w:r>
      <w:proofErr w:type="gramEnd"/>
      <w:r w:rsidRPr="00872D32">
        <w:t xml:space="preserve"> to both benefit from and protect against AI systems. </w:t>
      </w:r>
    </w:p>
    <w:p w14:paraId="5BF66441" w14:textId="28376E1B" w:rsidR="002228E2" w:rsidRPr="00872D32" w:rsidRDefault="00E32C8A" w:rsidP="00103F72">
      <w:r w:rsidRPr="00872D32">
        <w:lastRenderedPageBreak/>
        <w:t>In 2024</w:t>
      </w:r>
      <w:r w:rsidR="00850F09" w:rsidRPr="00872D32">
        <w:t>, the OHRC made two submissions to the Government of Ontario</w:t>
      </w:r>
      <w:r w:rsidR="00B84EEA" w:rsidRPr="00872D32">
        <w:t xml:space="preserve"> calling for transparency, effective safeguards, and accountability</w:t>
      </w:r>
      <w:r w:rsidR="00A33A7E" w:rsidRPr="00872D32">
        <w:t xml:space="preserve"> when </w:t>
      </w:r>
      <w:r w:rsidR="00105C7D" w:rsidRPr="00872D32">
        <w:t>relying on</w:t>
      </w:r>
      <w:r w:rsidR="00A33A7E" w:rsidRPr="00872D32">
        <w:t xml:space="preserve"> AI </w:t>
      </w:r>
      <w:r w:rsidR="00105C7D" w:rsidRPr="00872D32">
        <w:t>systems</w:t>
      </w:r>
      <w:r w:rsidR="00B84EEA" w:rsidRPr="00872D32">
        <w:t xml:space="preserve">. One </w:t>
      </w:r>
      <w:r w:rsidR="00105C7D" w:rsidRPr="00872D32">
        <w:t>submission addressed</w:t>
      </w:r>
      <w:r w:rsidRPr="00872D32">
        <w:t xml:space="preserve"> </w:t>
      </w:r>
      <w:hyperlink r:id="rId97" w:history="1">
        <w:r w:rsidR="00FC6A9D" w:rsidRPr="00872D32">
          <w:rPr>
            <w:rStyle w:val="Hyperlink"/>
          </w:rPr>
          <w:t xml:space="preserve">Bill </w:t>
        </w:r>
        <w:r w:rsidR="00F3677B" w:rsidRPr="00872D32">
          <w:rPr>
            <w:rStyle w:val="Hyperlink"/>
          </w:rPr>
          <w:t>149</w:t>
        </w:r>
      </w:hyperlink>
      <w:r w:rsidR="00B84EEA" w:rsidRPr="00872D32">
        <w:rPr>
          <w:rStyle w:val="Hyperlink"/>
        </w:rPr>
        <w:t xml:space="preserve">, </w:t>
      </w:r>
      <w:r w:rsidR="000F0797" w:rsidRPr="00872D32">
        <w:t>which amended employment standards</w:t>
      </w:r>
      <w:r w:rsidR="00455608" w:rsidRPr="00872D32">
        <w:t xml:space="preserve"> to require employers to disclose the use of AI to screen, assess or select applicants for a publicly advertised job position</w:t>
      </w:r>
      <w:r w:rsidR="00B84EEA" w:rsidRPr="00872D32">
        <w:t xml:space="preserve">. The other </w:t>
      </w:r>
      <w:r w:rsidR="00105C7D" w:rsidRPr="00872D32">
        <w:t>responded to</w:t>
      </w:r>
      <w:r w:rsidR="00B84EEA" w:rsidRPr="00872D32">
        <w:t xml:space="preserve"> </w:t>
      </w:r>
      <w:hyperlink r:id="rId98" w:history="1">
        <w:r w:rsidR="000F0797" w:rsidRPr="00872D32">
          <w:rPr>
            <w:rStyle w:val="Hyperlink"/>
          </w:rPr>
          <w:t>Bill 194</w:t>
        </w:r>
      </w:hyperlink>
      <w:r w:rsidR="00B84EEA" w:rsidRPr="00872D32">
        <w:rPr>
          <w:rStyle w:val="Hyperlink"/>
        </w:rPr>
        <w:t>,</w:t>
      </w:r>
      <w:r w:rsidR="00455608" w:rsidRPr="00872D32">
        <w:t xml:space="preserve"> which</w:t>
      </w:r>
      <w:r w:rsidR="002E60E0" w:rsidRPr="00872D32">
        <w:t xml:space="preserve"> proposed </w:t>
      </w:r>
      <w:r w:rsidR="00CC2A9D" w:rsidRPr="00872D32">
        <w:t xml:space="preserve">guidelines </w:t>
      </w:r>
      <w:r w:rsidR="002E60E0" w:rsidRPr="00872D32">
        <w:t>relating to the public sector’s use of artificial intelligence</w:t>
      </w:r>
      <w:r w:rsidR="002228E2" w:rsidRPr="00872D32">
        <w:t xml:space="preserve">. </w:t>
      </w:r>
      <w:r w:rsidRPr="00872D32">
        <w:t xml:space="preserve">The OHRC also </w:t>
      </w:r>
      <w:hyperlink r:id="rId99" w:history="1">
        <w:r w:rsidRPr="00872D32">
          <w:rPr>
            <w:rStyle w:val="Hyperlink"/>
          </w:rPr>
          <w:t>wrote</w:t>
        </w:r>
      </w:hyperlink>
      <w:r w:rsidRPr="00872D32">
        <w:t xml:space="preserve"> to the TPS Board regarding the approval of high-risk technologies under the Board's </w:t>
      </w:r>
      <w:r w:rsidRPr="00872D32">
        <w:rPr>
          <w:i/>
          <w:iCs/>
        </w:rPr>
        <w:t>Policy on the use of artificial intelligence technology</w:t>
      </w:r>
      <w:r w:rsidRPr="00872D32">
        <w:t xml:space="preserve">, </w:t>
      </w:r>
      <w:r w:rsidR="00DA6565" w:rsidRPr="00872D32">
        <w:t xml:space="preserve">expressing concern </w:t>
      </w:r>
      <w:r w:rsidR="00CA7BC1" w:rsidRPr="00872D32">
        <w:t xml:space="preserve">about </w:t>
      </w:r>
      <w:r w:rsidR="00DA6565" w:rsidRPr="00872D32">
        <w:t xml:space="preserve">a lack of transparency </w:t>
      </w:r>
      <w:r w:rsidR="00CB247E" w:rsidRPr="00872D32">
        <w:t>on how</w:t>
      </w:r>
      <w:r w:rsidR="001F3453" w:rsidRPr="00872D32">
        <w:t xml:space="preserve"> risk assessment of AI </w:t>
      </w:r>
      <w:r w:rsidR="00F0033D" w:rsidRPr="00872D32">
        <w:t>systems in use by TPS will be carried out</w:t>
      </w:r>
      <w:r w:rsidR="006A2310" w:rsidRPr="00872D32">
        <w:t>, and</w:t>
      </w:r>
      <w:r w:rsidR="00CA7BC1" w:rsidRPr="00872D32">
        <w:t xml:space="preserve"> about</w:t>
      </w:r>
      <w:r w:rsidR="006A2310" w:rsidRPr="00872D32">
        <w:t xml:space="preserve"> what mitigating steps </w:t>
      </w:r>
      <w:r w:rsidR="00F2441D" w:rsidRPr="00872D32">
        <w:t xml:space="preserve">will </w:t>
      </w:r>
      <w:r w:rsidR="006A2310" w:rsidRPr="00872D32">
        <w:t>be taken if a specific tool pose</w:t>
      </w:r>
      <w:r w:rsidR="00F2441D" w:rsidRPr="00872D32">
        <w:t>s</w:t>
      </w:r>
      <w:r w:rsidR="006A2310" w:rsidRPr="00872D32">
        <w:t xml:space="preserve"> a high risk to human rights</w:t>
      </w:r>
      <w:r w:rsidRPr="00872D32">
        <w:t xml:space="preserve">. </w:t>
      </w:r>
    </w:p>
    <w:p w14:paraId="5C66223D" w14:textId="73BBEF34" w:rsidR="00D42458" w:rsidRPr="00872D32" w:rsidRDefault="00E32C8A" w:rsidP="00103F72">
      <w:r w:rsidRPr="00872D32">
        <w:t xml:space="preserve">In 2025, </w:t>
      </w:r>
      <w:r w:rsidR="00DE2A15" w:rsidRPr="00872D32">
        <w:t xml:space="preserve">the OHRC </w:t>
      </w:r>
      <w:hyperlink r:id="rId100" w:history="1">
        <w:r w:rsidR="00DE2A15" w:rsidRPr="00872D32">
          <w:rPr>
            <w:rStyle w:val="Hyperlink"/>
          </w:rPr>
          <w:t>submitted information</w:t>
        </w:r>
      </w:hyperlink>
      <w:r w:rsidR="00DE2A15" w:rsidRPr="00872D32">
        <w:t xml:space="preserve"> to the federal government to inform the development of Canada’s renewed Artificial Intelligence (AI) Strategy</w:t>
      </w:r>
      <w:r w:rsidR="002228E2" w:rsidRPr="00872D32">
        <w:t xml:space="preserve">. The OHRC </w:t>
      </w:r>
      <w:r w:rsidR="00B04A9F" w:rsidRPr="00872D32">
        <w:t>recommended that human rights be at the center of this renewed strategy and that Canada ensure that the opportunities, benefits and protections associated with AI</w:t>
      </w:r>
      <w:r w:rsidR="008108E4" w:rsidRPr="00872D32">
        <w:t xml:space="preserve"> are</w:t>
      </w:r>
      <w:r w:rsidR="00B04A9F" w:rsidRPr="00872D32">
        <w:t xml:space="preserve"> available without discrimination.</w:t>
      </w:r>
    </w:p>
    <w:p w14:paraId="4AC488FF" w14:textId="7CE33144" w:rsidR="00CC37AE" w:rsidRPr="00872D32" w:rsidRDefault="00D42458" w:rsidP="00CC37AE">
      <w:r w:rsidRPr="00872D32">
        <w:t xml:space="preserve">In addition to </w:t>
      </w:r>
      <w:r w:rsidR="00DA75D7" w:rsidRPr="00872D32">
        <w:t xml:space="preserve">its ongoing </w:t>
      </w:r>
      <w:r w:rsidRPr="00872D32">
        <w:t>engag</w:t>
      </w:r>
      <w:r w:rsidR="00DA75D7" w:rsidRPr="00872D32">
        <w:t>ement with various</w:t>
      </w:r>
      <w:r w:rsidRPr="00872D32">
        <w:t xml:space="preserve"> stakeholders, </w:t>
      </w:r>
      <w:r w:rsidR="00EA6C8D" w:rsidRPr="00872D32">
        <w:t>the OHRC released</w:t>
      </w:r>
      <w:r w:rsidRPr="00872D32">
        <w:t xml:space="preserve"> </w:t>
      </w:r>
      <w:r w:rsidR="002228E2" w:rsidRPr="00872D32">
        <w:t>its</w:t>
      </w:r>
      <w:r w:rsidR="00EA6C8D" w:rsidRPr="00872D32">
        <w:t xml:space="preserve"> </w:t>
      </w:r>
      <w:hyperlink r:id="rId101" w:tgtFrame="_blank" w:history="1">
        <w:r w:rsidR="00EA6C8D" w:rsidRPr="00872D32">
          <w:rPr>
            <w:rStyle w:val="Hyperlink"/>
            <w:i/>
            <w:iCs/>
          </w:rPr>
          <w:t>Human Rights AI Impact Assessment</w:t>
        </w:r>
      </w:hyperlink>
      <w:r w:rsidR="00EA6C8D" w:rsidRPr="00872D32">
        <w:rPr>
          <w:i/>
          <w:iCs/>
        </w:rPr>
        <w:t xml:space="preserve"> </w:t>
      </w:r>
      <w:r w:rsidRPr="00872D32">
        <w:t>in 2024, in partnership with the Law Society of Ontario</w:t>
      </w:r>
      <w:r w:rsidR="00E13EE2" w:rsidRPr="00872D32">
        <w:t xml:space="preserve"> and with contributions by the Canadian Commission on Human Rights</w:t>
      </w:r>
      <w:r w:rsidRPr="00872D32">
        <w:t xml:space="preserve">. A first of its kind, </w:t>
      </w:r>
      <w:r w:rsidR="00E0169C" w:rsidRPr="00872D32">
        <w:t>this tool aims to help assess and mitigate human rights impacts of AI systems in a broad range of applications. </w:t>
      </w:r>
      <w:r w:rsidR="000F2398" w:rsidRPr="00872D32">
        <w:t>This</w:t>
      </w:r>
      <w:r w:rsidR="00C15E36" w:rsidRPr="00872D32">
        <w:t xml:space="preserve"> resource was created for AI designers, developers, operators, and owners to identify, assess, minimize, or prevent discrimination and uphold human rights obligations throughout the lifecycle of an AI system.</w:t>
      </w:r>
    </w:p>
    <w:p w14:paraId="14DD7426" w14:textId="6A0C956B" w:rsidR="00F72B76" w:rsidRPr="00872D32" w:rsidRDefault="00F72B76" w:rsidP="00F72B76">
      <w:pPr>
        <w:pStyle w:val="Heading2"/>
      </w:pPr>
      <w:bookmarkStart w:id="45" w:name="_Toc217480193"/>
      <w:r w:rsidRPr="00872D32">
        <w:t>Gender-based violence</w:t>
      </w:r>
      <w:bookmarkEnd w:id="45"/>
    </w:p>
    <w:p w14:paraId="4A71558A" w14:textId="77777777" w:rsidR="00213732" w:rsidRPr="00872D32" w:rsidRDefault="00213732" w:rsidP="00213732">
      <w:pPr>
        <w:rPr>
          <w:i/>
        </w:rPr>
      </w:pPr>
      <w:r w:rsidRPr="00872D32">
        <w:rPr>
          <w:i/>
        </w:rPr>
        <w:t>Responding to the following sections of the Committee’s LOIPR:</w:t>
      </w:r>
    </w:p>
    <w:p w14:paraId="78EB7AA7" w14:textId="77777777" w:rsidR="00213732" w:rsidRPr="00872D32" w:rsidRDefault="00213732" w:rsidP="00213732">
      <w:pPr>
        <w:pStyle w:val="ListParagraph"/>
        <w:numPr>
          <w:ilvl w:val="0"/>
          <w:numId w:val="9"/>
        </w:numPr>
      </w:pPr>
      <w:r w:rsidRPr="00872D32">
        <w:rPr>
          <w:i/>
          <w:iCs/>
        </w:rPr>
        <w:t>Non-discrimination (para. 4)</w:t>
      </w:r>
    </w:p>
    <w:p w14:paraId="73D5C3B1" w14:textId="3AA3593D" w:rsidR="00B43C6B" w:rsidRPr="00872D32" w:rsidRDefault="00B43C6B" w:rsidP="000D52A8">
      <w:pPr>
        <w:pStyle w:val="ListParagraph"/>
        <w:numPr>
          <w:ilvl w:val="0"/>
          <w:numId w:val="9"/>
        </w:numPr>
        <w:spacing w:before="0"/>
      </w:pPr>
      <w:r w:rsidRPr="00872D32">
        <w:rPr>
          <w:i/>
          <w:iCs/>
        </w:rPr>
        <w:t>Violence against women (para. 8)</w:t>
      </w:r>
    </w:p>
    <w:p w14:paraId="3A4B4A15" w14:textId="1EF32818" w:rsidR="007454AB" w:rsidRPr="00872D32" w:rsidRDefault="00302790" w:rsidP="000D52A8">
      <w:pPr>
        <w:spacing w:before="240"/>
      </w:pPr>
      <w:r w:rsidRPr="00872D32">
        <w:t xml:space="preserve">The </w:t>
      </w:r>
      <w:r w:rsidRPr="00872D32">
        <w:rPr>
          <w:i/>
          <w:iCs/>
        </w:rPr>
        <w:t>Code</w:t>
      </w:r>
      <w:r w:rsidRPr="00872D32">
        <w:t xml:space="preserve"> prohibits d</w:t>
      </w:r>
      <w:r w:rsidR="0038615C" w:rsidRPr="00872D32">
        <w:t>iscrimination and harassment</w:t>
      </w:r>
      <w:r w:rsidRPr="00872D32">
        <w:t>,</w:t>
      </w:r>
      <w:r w:rsidR="007E59BA" w:rsidRPr="00872D32">
        <w:t xml:space="preserve"> including sexual and gender-based harassment. </w:t>
      </w:r>
      <w:r w:rsidR="009606D6" w:rsidRPr="00872D32">
        <w:t>Sexual and gender-based discrimination and harassment</w:t>
      </w:r>
      <w:r w:rsidR="007E59BA" w:rsidRPr="00872D32">
        <w:t xml:space="preserve"> </w:t>
      </w:r>
      <w:r w:rsidR="004C013B" w:rsidRPr="00872D32">
        <w:t>can contribute</w:t>
      </w:r>
      <w:r w:rsidR="0038615C" w:rsidRPr="00872D32">
        <w:t xml:space="preserve"> to violence</w:t>
      </w:r>
      <w:r w:rsidR="00F72B76" w:rsidRPr="00872D32">
        <w:t xml:space="preserve"> </w:t>
      </w:r>
      <w:r w:rsidR="004C013B" w:rsidRPr="00872D32">
        <w:t>as well as be forms of violence.</w:t>
      </w:r>
      <w:r w:rsidR="007E59BA" w:rsidRPr="00872D32">
        <w:t xml:space="preserve"> </w:t>
      </w:r>
      <w:r w:rsidR="007454AB" w:rsidRPr="00872D32">
        <w:t>Inappropriate sexual behaviour often develops over time, and if left unchallenged may progress to more serious forms. Violence is often the culmination of ongoing acts of harassment. This connection is quite clear in the case of sexual harassment and violence</w:t>
      </w:r>
      <w:r w:rsidR="005F76C6" w:rsidRPr="00872D32">
        <w:t xml:space="preserve"> against girls, women and gender non-conforming people</w:t>
      </w:r>
      <w:r w:rsidR="007454AB" w:rsidRPr="00872D32">
        <w:t>. In many ways, sexual harassment and sexual violence exist on the same continuum of negative attitudes toward girls, women and gender</w:t>
      </w:r>
      <w:r w:rsidR="008F1977" w:rsidRPr="00872D32">
        <w:t xml:space="preserve"> </w:t>
      </w:r>
      <w:r w:rsidR="007454AB" w:rsidRPr="00872D32">
        <w:t>no</w:t>
      </w:r>
      <w:r w:rsidR="00DD4111" w:rsidRPr="00872D32">
        <w:t>n</w:t>
      </w:r>
      <w:r w:rsidR="008F1977" w:rsidRPr="00872D32">
        <w:t>-</w:t>
      </w:r>
      <w:r w:rsidR="00DD4111" w:rsidRPr="00872D32">
        <w:t>conf</w:t>
      </w:r>
      <w:r w:rsidR="008F1977" w:rsidRPr="00872D32">
        <w:t>o</w:t>
      </w:r>
      <w:r w:rsidR="00DD4111" w:rsidRPr="00872D32">
        <w:t>rming</w:t>
      </w:r>
      <w:r w:rsidR="007A7308" w:rsidRPr="00872D32">
        <w:t xml:space="preserve"> people</w:t>
      </w:r>
      <w:r w:rsidR="007454AB" w:rsidRPr="00872D32">
        <w:t>.</w:t>
      </w:r>
    </w:p>
    <w:p w14:paraId="2004F4C3" w14:textId="12AC256C" w:rsidR="00DA74D0" w:rsidRPr="00872D32" w:rsidRDefault="00F249E7" w:rsidP="007454AB">
      <w:r w:rsidRPr="00872D32">
        <w:lastRenderedPageBreak/>
        <w:t xml:space="preserve">Like other forms of sexual harassment, gender-based harassment (which </w:t>
      </w:r>
      <w:r w:rsidR="00ED4796" w:rsidRPr="00872D32">
        <w:t>is behaviour that</w:t>
      </w:r>
      <w:r w:rsidR="00CC0914">
        <w:t xml:space="preserve"> typically</w:t>
      </w:r>
      <w:r w:rsidR="00ED4796" w:rsidRPr="00872D32">
        <w:t xml:space="preserve"> polices and reinforces traditional heterosexual gender norms</w:t>
      </w:r>
      <w:r w:rsidR="00D97C89" w:rsidRPr="00872D32">
        <w:t xml:space="preserve">) </w:t>
      </w:r>
      <w:r w:rsidRPr="00872D32">
        <w:t xml:space="preserve">may also escalate to violent behaviour. </w:t>
      </w:r>
    </w:p>
    <w:p w14:paraId="5EE1B19F" w14:textId="10675D2C" w:rsidR="001024C2" w:rsidRPr="00872D32" w:rsidRDefault="001024C2" w:rsidP="007E59BA">
      <w:r w:rsidRPr="00872D32">
        <w:t xml:space="preserve">The </w:t>
      </w:r>
      <w:r w:rsidRPr="00872D32">
        <w:rPr>
          <w:i/>
          <w:iCs/>
        </w:rPr>
        <w:t>Code</w:t>
      </w:r>
      <w:r w:rsidRPr="00872D32">
        <w:t xml:space="preserve"> protects </w:t>
      </w:r>
      <w:r w:rsidR="00D67E95" w:rsidRPr="00872D32">
        <w:t xml:space="preserve">everyone </w:t>
      </w:r>
      <w:r w:rsidRPr="00872D32">
        <w:t>from sexual and gender-based harassment and discrimination</w:t>
      </w:r>
      <w:r w:rsidR="00D67E95" w:rsidRPr="00872D32">
        <w:t>, though cisgender women and girls as well as trans and gender non-conforming people</w:t>
      </w:r>
      <w:r w:rsidR="00E5004B" w:rsidRPr="00872D32">
        <w:t xml:space="preserve"> are </w:t>
      </w:r>
      <w:hyperlink r:id="rId102" w:history="1">
        <w:r w:rsidR="00E5004B" w:rsidRPr="00872D32">
          <w:rPr>
            <w:rStyle w:val="Hyperlink"/>
          </w:rPr>
          <w:t>significantly more at risk</w:t>
        </w:r>
      </w:hyperlink>
      <w:r w:rsidR="00E5004B" w:rsidRPr="00872D32">
        <w:t xml:space="preserve"> </w:t>
      </w:r>
      <w:r w:rsidR="003834FC" w:rsidRPr="00872D32">
        <w:t>than cisgender men</w:t>
      </w:r>
      <w:r w:rsidRPr="00872D32">
        <w:t xml:space="preserve">. Sex, gender identity and gender expression are separate </w:t>
      </w:r>
      <w:r w:rsidRPr="00872D32">
        <w:rPr>
          <w:i/>
          <w:iCs/>
        </w:rPr>
        <w:t>Code</w:t>
      </w:r>
      <w:r w:rsidRPr="00872D32">
        <w:t xml:space="preserve"> grounds. However, societal norms and stereotypes have resulted in an inextricable link between sex and perceived gender identity, so both gender and sex may be </w:t>
      </w:r>
      <w:r w:rsidR="004150E5">
        <w:t xml:space="preserve">present </w:t>
      </w:r>
      <w:r w:rsidRPr="00872D32">
        <w:t>in gender-based violence,</w:t>
      </w:r>
      <w:r w:rsidR="005D26D2" w:rsidRPr="00872D32">
        <w:t xml:space="preserve"> </w:t>
      </w:r>
      <w:r w:rsidRPr="00872D32">
        <w:t xml:space="preserve">discrimination and harassment. The OHRC has explained in a </w:t>
      </w:r>
      <w:hyperlink r:id="rId103" w:history="1">
        <w:r w:rsidRPr="00872D32">
          <w:rPr>
            <w:rStyle w:val="Hyperlink"/>
          </w:rPr>
          <w:t>backgrounder</w:t>
        </w:r>
      </w:hyperlink>
      <w:r w:rsidRPr="00872D32">
        <w:t xml:space="preserve"> that there is a continuum of identity which encompasses sex and gender and the expression of these aspects of identity. </w:t>
      </w:r>
    </w:p>
    <w:p w14:paraId="324051B2" w14:textId="02B8CACB" w:rsidR="00F72B76" w:rsidRPr="00872D32" w:rsidDel="007E59BA" w:rsidRDefault="007308AE" w:rsidP="00F72B76">
      <w:r w:rsidRPr="00872D32">
        <w:t>Though predating 2015,</w:t>
      </w:r>
      <w:r w:rsidRPr="00872D32" w:rsidDel="007E59BA">
        <w:t xml:space="preserve"> </w:t>
      </w:r>
      <w:r w:rsidRPr="00872D32">
        <w:t>t</w:t>
      </w:r>
      <w:r w:rsidRPr="00872D32" w:rsidDel="007E59BA">
        <w:t>he Committee is encouraged to review t</w:t>
      </w:r>
      <w:r w:rsidR="001024C2" w:rsidRPr="00872D32" w:rsidDel="007E59BA">
        <w:t xml:space="preserve">he OHRC’s </w:t>
      </w:r>
      <w:hyperlink r:id="rId104" w:history="1">
        <w:r w:rsidR="001024C2" w:rsidRPr="00872D32" w:rsidDel="007E59BA">
          <w:rPr>
            <w:rStyle w:val="Hyperlink"/>
            <w:i/>
            <w:iCs/>
          </w:rPr>
          <w:t>Policy on preventing sexual and gender-based harassment</w:t>
        </w:r>
      </w:hyperlink>
      <w:r w:rsidR="001024C2" w:rsidRPr="00872D32" w:rsidDel="007E59BA">
        <w:t xml:space="preserve"> </w:t>
      </w:r>
      <w:r w:rsidRPr="00872D32" w:rsidDel="007E59BA">
        <w:t>as a foundational policy</w:t>
      </w:r>
      <w:r w:rsidR="009422B3" w:rsidRPr="00872D32" w:rsidDel="007E59BA">
        <w:t xml:space="preserve"> interpreting how the </w:t>
      </w:r>
      <w:r w:rsidR="009422B3" w:rsidRPr="00872D32" w:rsidDel="007E59BA">
        <w:rPr>
          <w:i/>
          <w:iCs/>
        </w:rPr>
        <w:t>Code</w:t>
      </w:r>
      <w:r w:rsidR="009422B3" w:rsidRPr="00872D32" w:rsidDel="007E59BA">
        <w:t xml:space="preserve"> protects against gender-based violence. </w:t>
      </w:r>
    </w:p>
    <w:p w14:paraId="0753CC67" w14:textId="2349864C" w:rsidR="00356D4D" w:rsidRPr="00872D32" w:rsidRDefault="00356D4D" w:rsidP="00356D4D">
      <w:r w:rsidRPr="00872D32">
        <w:t>Lastly, the OHRC is aware of, and would like to bring to the Committee’s attention, new forms of gender-based harassment and violence catalyzed by AI technologies, namely the fabrication of sexual content created with AI image generators</w:t>
      </w:r>
      <w:r w:rsidR="003A265B" w:rsidRPr="00872D32">
        <w:t xml:space="preserve"> (</w:t>
      </w:r>
      <w:r w:rsidR="00886B58" w:rsidRPr="00872D32">
        <w:t xml:space="preserve">commonly known as </w:t>
      </w:r>
      <w:r w:rsidR="003A265B" w:rsidRPr="00872D32">
        <w:t>“deep-fakes”)</w:t>
      </w:r>
      <w:r w:rsidRPr="00872D32">
        <w:t xml:space="preserve">. </w:t>
      </w:r>
    </w:p>
    <w:p w14:paraId="5F0BE3B7" w14:textId="529626F6" w:rsidR="00ED318A" w:rsidRPr="00872D32" w:rsidRDefault="0043373F" w:rsidP="007715EE">
      <w:pPr>
        <w:pStyle w:val="Heading3"/>
      </w:pPr>
      <w:bookmarkStart w:id="46" w:name="_Toc217480194"/>
      <w:r w:rsidRPr="00872D32">
        <w:t xml:space="preserve">Indigenous women, girls, </w:t>
      </w:r>
      <w:r w:rsidR="004A39FC" w:rsidRPr="00872D32">
        <w:t xml:space="preserve">two-spirit </w:t>
      </w:r>
      <w:r w:rsidRPr="00872D32">
        <w:t xml:space="preserve">and </w:t>
      </w:r>
      <w:r w:rsidR="00F55876" w:rsidRPr="00872D32">
        <w:t xml:space="preserve">gender non-conforming </w:t>
      </w:r>
      <w:r w:rsidRPr="00872D32">
        <w:t>people</w:t>
      </w:r>
      <w:bookmarkEnd w:id="46"/>
    </w:p>
    <w:p w14:paraId="371777B0" w14:textId="77777777" w:rsidR="00B43C6B" w:rsidRPr="00872D32" w:rsidRDefault="00B43C6B" w:rsidP="00B43C6B">
      <w:pPr>
        <w:rPr>
          <w:i/>
        </w:rPr>
      </w:pPr>
      <w:r w:rsidRPr="00872D32">
        <w:rPr>
          <w:i/>
        </w:rPr>
        <w:t>Responding to the following sections of the Committee’s LOIPR:</w:t>
      </w:r>
    </w:p>
    <w:p w14:paraId="25C94341" w14:textId="77777777" w:rsidR="00B43C6B" w:rsidRPr="00872D32" w:rsidRDefault="00B43C6B" w:rsidP="00B43C6B">
      <w:pPr>
        <w:pStyle w:val="ListParagraph"/>
        <w:numPr>
          <w:ilvl w:val="0"/>
          <w:numId w:val="9"/>
        </w:numPr>
      </w:pPr>
      <w:r w:rsidRPr="00872D32">
        <w:rPr>
          <w:i/>
          <w:iCs/>
        </w:rPr>
        <w:t>Violence against women (para. 8)</w:t>
      </w:r>
    </w:p>
    <w:p w14:paraId="5BFA53BD" w14:textId="17C69864" w:rsidR="00B43C6B" w:rsidRPr="00872D32" w:rsidRDefault="00B43C6B" w:rsidP="000D52A8">
      <w:pPr>
        <w:pStyle w:val="ListParagraph"/>
        <w:numPr>
          <w:ilvl w:val="0"/>
          <w:numId w:val="9"/>
        </w:numPr>
      </w:pPr>
      <w:r w:rsidRPr="00872D32">
        <w:rPr>
          <w:i/>
          <w:iCs/>
        </w:rPr>
        <w:t>Counter-terrorism measures (para. 11</w:t>
      </w:r>
      <w:r w:rsidR="00113834" w:rsidRPr="00872D32">
        <w:rPr>
          <w:i/>
          <w:iCs/>
        </w:rPr>
        <w:t xml:space="preserve"> </w:t>
      </w:r>
      <w:r w:rsidR="00F57E1D" w:rsidRPr="00872D32">
        <w:rPr>
          <w:i/>
          <w:iCs/>
        </w:rPr>
        <w:t>(a)</w:t>
      </w:r>
      <w:r w:rsidRPr="00872D32">
        <w:rPr>
          <w:i/>
          <w:iCs/>
        </w:rPr>
        <w:t>)</w:t>
      </w:r>
    </w:p>
    <w:p w14:paraId="08A26E37" w14:textId="33C9A30B" w:rsidR="00A23E62" w:rsidRPr="00872D32" w:rsidRDefault="00E95277" w:rsidP="000D52A8">
      <w:pPr>
        <w:spacing w:before="240"/>
        <w:rPr>
          <w:rFonts w:cs="Arial"/>
          <w:szCs w:val="24"/>
        </w:rPr>
      </w:pPr>
      <w:r w:rsidRPr="00872D32">
        <w:rPr>
          <w:rFonts w:cs="Arial"/>
          <w:szCs w:val="24"/>
        </w:rPr>
        <w:t>Indigenous women, girls, two-spirit</w:t>
      </w:r>
      <w:r w:rsidR="004A39FC" w:rsidRPr="00872D32">
        <w:rPr>
          <w:rFonts w:cs="Arial"/>
          <w:szCs w:val="24"/>
        </w:rPr>
        <w:t xml:space="preserve"> </w:t>
      </w:r>
      <w:r w:rsidRPr="00872D32">
        <w:rPr>
          <w:rFonts w:cs="Arial"/>
          <w:szCs w:val="24"/>
        </w:rPr>
        <w:t>and gender non-conforming people</w:t>
      </w:r>
      <w:r w:rsidR="004A39FC" w:rsidRPr="00872D32">
        <w:rPr>
          <w:rFonts w:cs="Arial"/>
          <w:szCs w:val="24"/>
        </w:rPr>
        <w:t xml:space="preserve"> are uniquely vulnerable to gender-based discrimination and harassment</w:t>
      </w:r>
      <w:r w:rsidR="00F978D4" w:rsidRPr="00872D32">
        <w:rPr>
          <w:rFonts w:cs="Arial"/>
          <w:szCs w:val="24"/>
        </w:rPr>
        <w:t xml:space="preserve">, resulting in </w:t>
      </w:r>
      <w:r w:rsidR="00252DD1" w:rsidRPr="00872D32">
        <w:rPr>
          <w:rFonts w:cs="Arial"/>
          <w:szCs w:val="24"/>
        </w:rPr>
        <w:t xml:space="preserve">systemic </w:t>
      </w:r>
      <w:r w:rsidR="00F86B5B" w:rsidRPr="00872D32">
        <w:rPr>
          <w:rFonts w:cs="Arial"/>
          <w:szCs w:val="24"/>
        </w:rPr>
        <w:t>violence</w:t>
      </w:r>
      <w:r w:rsidR="00252DD1" w:rsidRPr="00872D32">
        <w:rPr>
          <w:rFonts w:cs="Arial"/>
          <w:szCs w:val="24"/>
        </w:rPr>
        <w:t xml:space="preserve"> most starkly brought to light by the National Inquiry on Murdered and Missing Indigenous Women and Girls</w:t>
      </w:r>
      <w:r w:rsidR="00034A9C" w:rsidRPr="00872D32">
        <w:rPr>
          <w:rFonts w:cs="Arial"/>
          <w:szCs w:val="24"/>
        </w:rPr>
        <w:t xml:space="preserve"> (the National Inquiry)</w:t>
      </w:r>
      <w:r w:rsidR="004A39FC" w:rsidRPr="00872D32">
        <w:rPr>
          <w:rFonts w:cs="Arial"/>
          <w:szCs w:val="24"/>
        </w:rPr>
        <w:t>.</w:t>
      </w:r>
      <w:r w:rsidRPr="00872D32">
        <w:rPr>
          <w:rFonts w:cs="Arial"/>
          <w:szCs w:val="24"/>
        </w:rPr>
        <w:t xml:space="preserve"> </w:t>
      </w:r>
      <w:r w:rsidR="004A39FC" w:rsidRPr="00872D32">
        <w:rPr>
          <w:rFonts w:cs="Arial"/>
          <w:szCs w:val="24"/>
        </w:rPr>
        <w:t>The OHRC</w:t>
      </w:r>
      <w:r w:rsidRPr="00872D32">
        <w:rPr>
          <w:rFonts w:cs="Arial"/>
          <w:szCs w:val="24"/>
        </w:rPr>
        <w:t xml:space="preserve"> </w:t>
      </w:r>
      <w:hyperlink r:id="rId105" w:history="1">
        <w:r w:rsidR="00034A9C" w:rsidRPr="00872D32">
          <w:rPr>
            <w:rStyle w:val="Hyperlink"/>
            <w:rFonts w:cs="Arial"/>
            <w:szCs w:val="24"/>
          </w:rPr>
          <w:t>committed</w:t>
        </w:r>
      </w:hyperlink>
      <w:r w:rsidR="00034A9C" w:rsidRPr="00872D32">
        <w:rPr>
          <w:rFonts w:cs="Arial"/>
          <w:szCs w:val="24"/>
        </w:rPr>
        <w:t xml:space="preserve"> to </w:t>
      </w:r>
      <w:r w:rsidR="00172D82" w:rsidRPr="00872D32">
        <w:rPr>
          <w:rFonts w:cs="Arial"/>
          <w:szCs w:val="24"/>
        </w:rPr>
        <w:t xml:space="preserve">take up the National Inquiry’s </w:t>
      </w:r>
      <w:r w:rsidR="00247CC1" w:rsidRPr="00872D32">
        <w:rPr>
          <w:rFonts w:cs="Arial"/>
          <w:szCs w:val="24"/>
        </w:rPr>
        <w:t xml:space="preserve">Calls for Justice and, </w:t>
      </w:r>
      <w:r w:rsidR="00337356" w:rsidRPr="00872D32">
        <w:rPr>
          <w:rFonts w:cs="Arial"/>
          <w:szCs w:val="24"/>
        </w:rPr>
        <w:t xml:space="preserve">as a </w:t>
      </w:r>
      <w:r w:rsidR="00F03A1D" w:rsidRPr="00872D32">
        <w:rPr>
          <w:rFonts w:cs="Arial"/>
          <w:szCs w:val="24"/>
        </w:rPr>
        <w:t>result, specifically</w:t>
      </w:r>
      <w:r w:rsidR="00337356" w:rsidRPr="00872D32">
        <w:rPr>
          <w:rFonts w:cs="Arial"/>
          <w:szCs w:val="24"/>
        </w:rPr>
        <w:t xml:space="preserve"> </w:t>
      </w:r>
      <w:r w:rsidR="00F03A1D" w:rsidRPr="00872D32">
        <w:rPr>
          <w:rFonts w:cs="Arial"/>
          <w:szCs w:val="24"/>
        </w:rPr>
        <w:t>addressed</w:t>
      </w:r>
      <w:r w:rsidR="007E5AC1" w:rsidRPr="00872D32">
        <w:rPr>
          <w:rFonts w:cs="Arial"/>
          <w:szCs w:val="24"/>
        </w:rPr>
        <w:t xml:space="preserve"> under-policing</w:t>
      </w:r>
      <w:r w:rsidR="00247CC1" w:rsidRPr="00872D32">
        <w:rPr>
          <w:rFonts w:cs="Arial"/>
          <w:szCs w:val="24"/>
        </w:rPr>
        <w:t xml:space="preserve"> </w:t>
      </w:r>
      <w:r w:rsidR="00B73728" w:rsidRPr="00872D32">
        <w:rPr>
          <w:rFonts w:cs="Arial"/>
          <w:szCs w:val="24"/>
        </w:rPr>
        <w:t>in the above-noted</w:t>
      </w:r>
      <w:r w:rsidR="00B73728" w:rsidRPr="00872D32">
        <w:rPr>
          <w:rFonts w:cs="Arial"/>
          <w:i/>
          <w:iCs/>
          <w:szCs w:val="24"/>
        </w:rPr>
        <w:t xml:space="preserve"> Policy on eliminating racial profiling in law enforcement</w:t>
      </w:r>
      <w:r w:rsidR="00EF26B9" w:rsidRPr="00872D32">
        <w:rPr>
          <w:rFonts w:cs="Arial"/>
          <w:szCs w:val="24"/>
        </w:rPr>
        <w:t xml:space="preserve">. Emphasizing that under-policing is </w:t>
      </w:r>
      <w:r w:rsidR="00A66A51" w:rsidRPr="00872D32">
        <w:rPr>
          <w:rFonts w:cs="Arial"/>
          <w:szCs w:val="24"/>
        </w:rPr>
        <w:t>a dimension of the</w:t>
      </w:r>
      <w:r w:rsidR="009577ED" w:rsidRPr="00872D32">
        <w:rPr>
          <w:rFonts w:cs="Arial"/>
          <w:szCs w:val="24"/>
        </w:rPr>
        <w:t xml:space="preserve"> systemic</w:t>
      </w:r>
      <w:r w:rsidR="00A66A51" w:rsidRPr="00872D32">
        <w:rPr>
          <w:rFonts w:cs="Arial"/>
          <w:szCs w:val="24"/>
        </w:rPr>
        <w:t xml:space="preserve"> violence </w:t>
      </w:r>
      <w:r w:rsidR="009577ED" w:rsidRPr="00872D32">
        <w:rPr>
          <w:rFonts w:cs="Arial"/>
          <w:szCs w:val="24"/>
        </w:rPr>
        <w:t>that Indigenous women, girls, two-spirit and gender non-conforming people face</w:t>
      </w:r>
      <w:r w:rsidR="00EF26B9" w:rsidRPr="00872D32">
        <w:rPr>
          <w:rFonts w:cs="Arial"/>
          <w:szCs w:val="24"/>
        </w:rPr>
        <w:t xml:space="preserve">, </w:t>
      </w:r>
      <w:r w:rsidR="00B005BA" w:rsidRPr="00872D32">
        <w:rPr>
          <w:rFonts w:cs="Arial"/>
          <w:szCs w:val="24"/>
        </w:rPr>
        <w:t xml:space="preserve">the OHRC stated: </w:t>
      </w:r>
    </w:p>
    <w:p w14:paraId="14C2B2D6" w14:textId="40B64EBE" w:rsidR="0098000B" w:rsidRPr="00872D32" w:rsidRDefault="008D7E11" w:rsidP="00B005BA">
      <w:pPr>
        <w:ind w:left="720"/>
        <w:rPr>
          <w:rFonts w:cs="Arial"/>
          <w:szCs w:val="24"/>
        </w:rPr>
      </w:pPr>
      <w:r w:rsidRPr="00872D32">
        <w:rPr>
          <w:rFonts w:cs="Arial"/>
          <w:szCs w:val="24"/>
        </w:rPr>
        <w:t xml:space="preserve">Within this environment, law enforcement action and inaction </w:t>
      </w:r>
      <w:r w:rsidR="00C54687" w:rsidRPr="00872D32">
        <w:rPr>
          <w:rFonts w:cs="Arial"/>
          <w:szCs w:val="24"/>
        </w:rPr>
        <w:t>take</w:t>
      </w:r>
      <w:r w:rsidRPr="00872D32">
        <w:rPr>
          <w:rFonts w:cs="Arial"/>
          <w:szCs w:val="24"/>
        </w:rPr>
        <w:t xml:space="preserve"> the form of unresponsiveness to missing person reports, regular patterns of victim-blaming and related practices. The safety of Indigenous women and girls is undermined because of continued impunity for violence committed against them.</w:t>
      </w:r>
    </w:p>
    <w:p w14:paraId="67FEA8ED" w14:textId="5DDCD81A" w:rsidR="007715EE" w:rsidRPr="00872D32" w:rsidRDefault="00DF6244" w:rsidP="00F72B76">
      <w:pPr>
        <w:rPr>
          <w:rFonts w:cs="Arial"/>
          <w:szCs w:val="24"/>
        </w:rPr>
      </w:pPr>
      <w:r w:rsidRPr="00872D32">
        <w:rPr>
          <w:rFonts w:cs="Arial"/>
          <w:szCs w:val="24"/>
        </w:rPr>
        <w:lastRenderedPageBreak/>
        <w:t>As part of its work to combat anti-Indigenous discrimination in healthcare, t</w:t>
      </w:r>
      <w:r w:rsidR="00E95277" w:rsidRPr="00872D32">
        <w:rPr>
          <w:rFonts w:cs="Arial"/>
          <w:szCs w:val="24"/>
        </w:rPr>
        <w:t xml:space="preserve">he OHRC </w:t>
      </w:r>
      <w:r w:rsidR="003C4022" w:rsidRPr="00872D32">
        <w:rPr>
          <w:rFonts w:cs="Arial"/>
          <w:szCs w:val="24"/>
        </w:rPr>
        <w:t xml:space="preserve">would also like to </w:t>
      </w:r>
      <w:r w:rsidR="00AA6D3E" w:rsidRPr="00872D32">
        <w:rPr>
          <w:rFonts w:cs="Arial"/>
          <w:szCs w:val="24"/>
        </w:rPr>
        <w:t>underline</w:t>
      </w:r>
      <w:r w:rsidR="00E95277" w:rsidRPr="00872D32">
        <w:rPr>
          <w:rFonts w:cs="Arial"/>
          <w:szCs w:val="24"/>
        </w:rPr>
        <w:t xml:space="preserve"> </w:t>
      </w:r>
      <w:r w:rsidR="000156CA" w:rsidRPr="00872D32">
        <w:rPr>
          <w:rFonts w:cs="Arial"/>
          <w:szCs w:val="24"/>
        </w:rPr>
        <w:t xml:space="preserve">the gendered harms that </w:t>
      </w:r>
      <w:r w:rsidRPr="00872D32">
        <w:rPr>
          <w:rFonts w:cs="Arial"/>
          <w:szCs w:val="24"/>
        </w:rPr>
        <w:t>Indigenous women, girls, two-spirit and gender non-conforming people</w:t>
      </w:r>
      <w:r w:rsidR="00E95277" w:rsidRPr="00872D32">
        <w:rPr>
          <w:rFonts w:cs="Arial"/>
          <w:szCs w:val="24"/>
        </w:rPr>
        <w:t xml:space="preserve"> </w:t>
      </w:r>
      <w:r w:rsidRPr="00872D32">
        <w:rPr>
          <w:rFonts w:cs="Arial"/>
          <w:szCs w:val="24"/>
        </w:rPr>
        <w:t xml:space="preserve">face </w:t>
      </w:r>
      <w:r w:rsidR="003C4022" w:rsidRPr="00872D32">
        <w:rPr>
          <w:rFonts w:cs="Arial"/>
          <w:szCs w:val="24"/>
        </w:rPr>
        <w:t xml:space="preserve">when seeking health, </w:t>
      </w:r>
      <w:r w:rsidR="00E95277" w:rsidRPr="00872D32">
        <w:rPr>
          <w:rFonts w:cs="Arial"/>
          <w:szCs w:val="24"/>
        </w:rPr>
        <w:t xml:space="preserve">particularly as it relates to their sexual and reproductive health. </w:t>
      </w:r>
      <w:r w:rsidR="00E11EB5" w:rsidRPr="00872D32">
        <w:rPr>
          <w:rFonts w:cs="Arial"/>
          <w:szCs w:val="24"/>
        </w:rPr>
        <w:t>This includes practices such as</w:t>
      </w:r>
      <w:r w:rsidR="00C057E6" w:rsidRPr="00872D32">
        <w:rPr>
          <w:rFonts w:cs="Arial"/>
          <w:szCs w:val="24"/>
        </w:rPr>
        <w:t xml:space="preserve"> </w:t>
      </w:r>
      <w:hyperlink r:id="rId106" w:history="1">
        <w:r w:rsidR="00C057E6" w:rsidRPr="00872D32">
          <w:rPr>
            <w:rStyle w:val="Hyperlink"/>
            <w:rFonts w:cs="Arial"/>
            <w:szCs w:val="24"/>
          </w:rPr>
          <w:t>forced sterilization</w:t>
        </w:r>
      </w:hyperlink>
      <w:r w:rsidR="005D3DC4" w:rsidRPr="00872D32">
        <w:rPr>
          <w:rFonts w:cs="Arial"/>
          <w:szCs w:val="24"/>
        </w:rPr>
        <w:t xml:space="preserve"> and</w:t>
      </w:r>
      <w:r w:rsidR="00E11EB5" w:rsidRPr="00872D32">
        <w:rPr>
          <w:rFonts w:cs="Arial"/>
          <w:szCs w:val="24"/>
        </w:rPr>
        <w:t xml:space="preserve"> </w:t>
      </w:r>
      <w:r w:rsidR="001E2BF2" w:rsidRPr="00872D32">
        <w:rPr>
          <w:rFonts w:cs="Arial"/>
          <w:szCs w:val="24"/>
        </w:rPr>
        <w:t xml:space="preserve">being denied access to </w:t>
      </w:r>
      <w:r w:rsidR="00E11EB5" w:rsidRPr="00872D32">
        <w:rPr>
          <w:rFonts w:cs="Arial"/>
          <w:szCs w:val="24"/>
        </w:rPr>
        <w:t xml:space="preserve">Indigenous birthing </w:t>
      </w:r>
      <w:r w:rsidR="001E2BF2" w:rsidRPr="00872D32">
        <w:rPr>
          <w:rFonts w:cs="Arial"/>
          <w:szCs w:val="24"/>
        </w:rPr>
        <w:t>practices</w:t>
      </w:r>
      <w:r w:rsidR="005D3DC4" w:rsidRPr="00872D32">
        <w:rPr>
          <w:rFonts w:cs="Arial"/>
          <w:szCs w:val="24"/>
        </w:rPr>
        <w:t>.</w:t>
      </w:r>
    </w:p>
    <w:p w14:paraId="6A8CB8C8" w14:textId="77777777" w:rsidR="009422B3" w:rsidRPr="00872D32" w:rsidRDefault="009422B3" w:rsidP="009422B3">
      <w:pPr>
        <w:pStyle w:val="Heading3"/>
      </w:pPr>
      <w:bookmarkStart w:id="47" w:name="_Toc217480195"/>
      <w:r w:rsidRPr="00872D32">
        <w:t>Women, girls, and gender non-conforming people with disabilities</w:t>
      </w:r>
      <w:bookmarkEnd w:id="47"/>
    </w:p>
    <w:p w14:paraId="0D7AD69D" w14:textId="77777777" w:rsidR="00F1252A" w:rsidRPr="00872D32" w:rsidRDefault="00F1252A" w:rsidP="00F1252A">
      <w:pPr>
        <w:rPr>
          <w:i/>
        </w:rPr>
      </w:pPr>
      <w:r w:rsidRPr="00872D32">
        <w:rPr>
          <w:i/>
        </w:rPr>
        <w:t>Responding to the following sections of the Committee’s LOIPR:</w:t>
      </w:r>
    </w:p>
    <w:p w14:paraId="3C88094C" w14:textId="77777777" w:rsidR="00F1252A" w:rsidRPr="00872D32" w:rsidRDefault="00F1252A" w:rsidP="00F1252A">
      <w:pPr>
        <w:pStyle w:val="ListParagraph"/>
        <w:numPr>
          <w:ilvl w:val="0"/>
          <w:numId w:val="9"/>
        </w:numPr>
      </w:pPr>
      <w:r w:rsidRPr="00872D32">
        <w:rPr>
          <w:i/>
          <w:iCs/>
        </w:rPr>
        <w:t>Non-discrimination (para. 4)</w:t>
      </w:r>
    </w:p>
    <w:p w14:paraId="49D96E4B" w14:textId="77777777" w:rsidR="00F1252A" w:rsidRPr="00872D32" w:rsidRDefault="00F1252A" w:rsidP="00F1252A">
      <w:pPr>
        <w:pStyle w:val="ListParagraph"/>
        <w:numPr>
          <w:ilvl w:val="0"/>
          <w:numId w:val="9"/>
        </w:numPr>
        <w:spacing w:before="0"/>
      </w:pPr>
      <w:r w:rsidRPr="00872D32">
        <w:rPr>
          <w:i/>
          <w:iCs/>
        </w:rPr>
        <w:t>Violence against women (para. 8)</w:t>
      </w:r>
    </w:p>
    <w:p w14:paraId="3399B01E" w14:textId="1F608ADF" w:rsidR="009422B3" w:rsidRPr="00872D32" w:rsidRDefault="009969F5" w:rsidP="000D52A8">
      <w:pPr>
        <w:spacing w:before="240"/>
      </w:pPr>
      <w:r w:rsidRPr="00872D32">
        <w:t xml:space="preserve">In 2016, the OHRC released the current version of its </w:t>
      </w:r>
      <w:hyperlink r:id="rId107" w:history="1">
        <w:r w:rsidRPr="00872D32">
          <w:rPr>
            <w:rStyle w:val="Hyperlink"/>
            <w:i/>
            <w:iCs/>
          </w:rPr>
          <w:t>Policy on ableism and discrimination based on disability</w:t>
        </w:r>
      </w:hyperlink>
      <w:r w:rsidRPr="00872D32">
        <w:t xml:space="preserve">. </w:t>
      </w:r>
      <w:r w:rsidR="00C96C40" w:rsidRPr="00872D32">
        <w:t>As part of this</w:t>
      </w:r>
      <w:r w:rsidRPr="00872D32">
        <w:t xml:space="preserve"> Policy</w:t>
      </w:r>
      <w:r w:rsidR="00C96C40" w:rsidRPr="00872D32">
        <w:t xml:space="preserve">, the OHRC </w:t>
      </w:r>
      <w:r w:rsidR="00926D02" w:rsidRPr="00872D32">
        <w:t>noted that w</w:t>
      </w:r>
      <w:r w:rsidRPr="00872D32">
        <w:t>omen</w:t>
      </w:r>
      <w:r w:rsidR="00926D02" w:rsidRPr="00872D32">
        <w:t xml:space="preserve">, girls, and gender non-conforming people </w:t>
      </w:r>
      <w:r w:rsidRPr="00872D32">
        <w:t>with disabilities experience unique forms of discrimination. They may be singled out as targets for sexual harassment and sexual violence due to a perception that they are more vulnerable and unable to protect themselves. They may also experience discrimination related to their right to reproductive freedom</w:t>
      </w:r>
      <w:r w:rsidR="00C507EE" w:rsidRPr="00872D32">
        <w:t xml:space="preserve"> and</w:t>
      </w:r>
      <w:r w:rsidRPr="00872D32">
        <w:t xml:space="preserve"> are more likely to be under-employed, unemployed</w:t>
      </w:r>
      <w:r w:rsidR="00C507EE" w:rsidRPr="00872D32">
        <w:t>,</w:t>
      </w:r>
      <w:r w:rsidRPr="00872D32">
        <w:t xml:space="preserve"> and live in poverty</w:t>
      </w:r>
      <w:r w:rsidR="00C507EE" w:rsidRPr="00872D32">
        <w:t>, which further exposes them to violence.</w:t>
      </w:r>
    </w:p>
    <w:p w14:paraId="753DEB57" w14:textId="77777777" w:rsidR="00D4305F" w:rsidRPr="00872D32" w:rsidRDefault="00D4305F" w:rsidP="00D4305F">
      <w:pPr>
        <w:pStyle w:val="Heading3"/>
      </w:pPr>
      <w:bookmarkStart w:id="48" w:name="_Toc217480196"/>
      <w:r w:rsidRPr="00872D32">
        <w:t>Poverty and sexual and gender-based harassment</w:t>
      </w:r>
      <w:bookmarkEnd w:id="48"/>
    </w:p>
    <w:p w14:paraId="62B7142B" w14:textId="77777777" w:rsidR="00F1252A" w:rsidRPr="00872D32" w:rsidRDefault="00F1252A" w:rsidP="00F1252A">
      <w:pPr>
        <w:rPr>
          <w:i/>
        </w:rPr>
      </w:pPr>
      <w:r w:rsidRPr="00872D32">
        <w:rPr>
          <w:i/>
        </w:rPr>
        <w:t>Responding to the following sections of the Committee’s LOIPR:</w:t>
      </w:r>
    </w:p>
    <w:p w14:paraId="248D9D79" w14:textId="77777777" w:rsidR="00F1252A" w:rsidRPr="00872D32" w:rsidRDefault="00F1252A" w:rsidP="00F1252A">
      <w:pPr>
        <w:pStyle w:val="ListParagraph"/>
        <w:numPr>
          <w:ilvl w:val="0"/>
          <w:numId w:val="9"/>
        </w:numPr>
      </w:pPr>
      <w:r w:rsidRPr="00872D32">
        <w:rPr>
          <w:i/>
          <w:iCs/>
        </w:rPr>
        <w:t>Non-discrimination (para. 4)</w:t>
      </w:r>
    </w:p>
    <w:p w14:paraId="3621BE1D" w14:textId="26CD812A" w:rsidR="00F1252A" w:rsidRPr="00872D32" w:rsidRDefault="00F1252A" w:rsidP="000D52A8">
      <w:pPr>
        <w:pStyle w:val="ListParagraph"/>
        <w:numPr>
          <w:ilvl w:val="0"/>
          <w:numId w:val="9"/>
        </w:numPr>
        <w:spacing w:before="0"/>
      </w:pPr>
      <w:r w:rsidRPr="00872D32">
        <w:rPr>
          <w:i/>
          <w:iCs/>
        </w:rPr>
        <w:t>Violence against women (para. 8)</w:t>
      </w:r>
    </w:p>
    <w:p w14:paraId="3D5088CE" w14:textId="18217117" w:rsidR="008F7969" w:rsidRPr="00872D32" w:rsidRDefault="00AC5F54" w:rsidP="000D52A8">
      <w:pPr>
        <w:spacing w:before="240"/>
        <w:rPr>
          <w:rFonts w:eastAsiaTheme="majorEastAsia" w:cstheme="minorHAnsi"/>
          <w:szCs w:val="24"/>
        </w:rPr>
      </w:pPr>
      <w:r w:rsidRPr="00872D32">
        <w:rPr>
          <w:rFonts w:cs="Arial"/>
          <w:szCs w:val="24"/>
        </w:rPr>
        <w:t xml:space="preserve">The OHRC has examined the connection between </w:t>
      </w:r>
      <w:hyperlink r:id="rId108" w:history="1">
        <w:r w:rsidRPr="00872D32">
          <w:rPr>
            <w:rStyle w:val="Hyperlink"/>
            <w:rFonts w:cs="Arial"/>
            <w:szCs w:val="24"/>
          </w:rPr>
          <w:t>poverty and systemic discrimination</w:t>
        </w:r>
      </w:hyperlink>
      <w:r w:rsidRPr="00872D32">
        <w:rPr>
          <w:rFonts w:cs="Arial"/>
          <w:szCs w:val="24"/>
        </w:rPr>
        <w:t xml:space="preserve"> and is aware that</w:t>
      </w:r>
      <w:r w:rsidRPr="00872D32">
        <w:rPr>
          <w:rStyle w:val="cf01"/>
          <w:rFonts w:ascii="Arial" w:eastAsiaTheme="majorEastAsia" w:hAnsi="Arial" w:cs="Arial"/>
          <w:szCs w:val="24"/>
        </w:rPr>
        <w:t xml:space="preserve"> </w:t>
      </w:r>
      <w:r w:rsidRPr="00872D32">
        <w:rPr>
          <w:rFonts w:eastAsiaTheme="majorEastAsia" w:cs="Arial"/>
          <w:szCs w:val="24"/>
        </w:rPr>
        <w:t>women, trans people and gender non-conforming people are disproportionately impacted by poverty. The intersection of poverty and violence creates barriers and adverse impacts to women’s equality, health and well-being</w:t>
      </w:r>
      <w:r w:rsidR="004C35AB" w:rsidRPr="00872D32">
        <w:rPr>
          <w:rFonts w:eastAsiaTheme="majorEastAsia" w:cs="Arial"/>
          <w:szCs w:val="24"/>
        </w:rPr>
        <w:t xml:space="preserve">, including in the </w:t>
      </w:r>
      <w:r w:rsidR="004C35AB" w:rsidRPr="00872D32">
        <w:rPr>
          <w:rFonts w:eastAsiaTheme="majorEastAsia" w:cs="Arial"/>
          <w:i/>
          <w:iCs/>
          <w:szCs w:val="24"/>
        </w:rPr>
        <w:t>Code-</w:t>
      </w:r>
      <w:r w:rsidR="004C35AB" w:rsidRPr="00872D32">
        <w:rPr>
          <w:rFonts w:eastAsiaTheme="majorEastAsia" w:cs="Arial"/>
          <w:szCs w:val="24"/>
        </w:rPr>
        <w:t>protected social area of housing</w:t>
      </w:r>
      <w:r w:rsidRPr="00872D32">
        <w:rPr>
          <w:rFonts w:eastAsiaTheme="majorEastAsia" w:cs="Arial"/>
          <w:szCs w:val="24"/>
        </w:rPr>
        <w:t>.</w:t>
      </w:r>
      <w:r w:rsidRPr="00872D32">
        <w:rPr>
          <w:rFonts w:eastAsiaTheme="majorEastAsia" w:cstheme="minorHAnsi"/>
          <w:szCs w:val="24"/>
        </w:rPr>
        <w:t xml:space="preserve"> </w:t>
      </w:r>
    </w:p>
    <w:p w14:paraId="689C29F4" w14:textId="32E6064C" w:rsidR="00980066" w:rsidRPr="00872D32" w:rsidRDefault="000A0972" w:rsidP="00980066">
      <w:r w:rsidRPr="00872D32">
        <w:rPr>
          <w:rFonts w:cs="Arial"/>
          <w:szCs w:val="24"/>
        </w:rPr>
        <w:t>I</w:t>
      </w:r>
      <w:r w:rsidR="00AC5F54" w:rsidRPr="00872D32">
        <w:rPr>
          <w:rFonts w:cs="Arial"/>
          <w:szCs w:val="24"/>
        </w:rPr>
        <w:t xml:space="preserve">ntimate partner violence is a </w:t>
      </w:r>
      <w:hyperlink r:id="rId109" w:history="1">
        <w:r w:rsidR="00240D7A">
          <w:rPr>
            <w:rStyle w:val="Hyperlink"/>
            <w:rFonts w:cs="Arial"/>
            <w:szCs w:val="24"/>
          </w:rPr>
          <w:t>significant</w:t>
        </w:r>
        <w:r w:rsidR="00AC5F54" w:rsidRPr="00554FE3">
          <w:rPr>
            <w:rStyle w:val="Hyperlink"/>
            <w:rFonts w:cs="Arial"/>
            <w:szCs w:val="24"/>
          </w:rPr>
          <w:t xml:space="preserve"> contributing factor</w:t>
        </w:r>
      </w:hyperlink>
      <w:r w:rsidR="00AC5F54" w:rsidRPr="00872D32">
        <w:rPr>
          <w:rFonts w:cs="Arial"/>
          <w:szCs w:val="24"/>
        </w:rPr>
        <w:t xml:space="preserve"> in women, trans people and gender non-conforming people experiencing homelessness. Single parent families, mostly led by women, make up the majority of families experiencing homelessness. </w:t>
      </w:r>
      <w:r w:rsidR="00AC5F54" w:rsidRPr="00872D32">
        <w:rPr>
          <w:rFonts w:cs="Arial"/>
          <w:kern w:val="2"/>
          <w:szCs w:val="24"/>
          <w14:ligatures w14:val="standardContextual"/>
        </w:rPr>
        <w:t xml:space="preserve">Women and gender non-conforming people who are unhoused are highly vulnerable to sexual assault, violence, exploitation, and marginalization. </w:t>
      </w:r>
      <w:r w:rsidR="00AC5F54" w:rsidRPr="00872D32">
        <w:rPr>
          <w:rFonts w:cs="Arial"/>
          <w:szCs w:val="24"/>
        </w:rPr>
        <w:t xml:space="preserve">Women and gender non-conforming persons experience challenges finding accessible and safe spaces and face heightened risks of gender-based harassment and violence if displaced from chosen communities where they feel safest. The OHRC has urged municipalities to adopt a </w:t>
      </w:r>
      <w:r w:rsidR="00AC5F54" w:rsidRPr="00872D32">
        <w:rPr>
          <w:rFonts w:cs="Arial"/>
          <w:szCs w:val="24"/>
        </w:rPr>
        <w:lastRenderedPageBreak/>
        <w:t xml:space="preserve">human-rights based approach when addressing </w:t>
      </w:r>
      <w:hyperlink r:id="rId110" w:history="1">
        <w:r w:rsidR="00AC5F54" w:rsidRPr="00872D32">
          <w:rPr>
            <w:rStyle w:val="Hyperlink"/>
            <w:rFonts w:cs="Arial"/>
            <w:szCs w:val="24"/>
          </w:rPr>
          <w:t>homelessness</w:t>
        </w:r>
      </w:hyperlink>
      <w:r w:rsidR="00AC5F54" w:rsidRPr="00872D32">
        <w:rPr>
          <w:rFonts w:cs="Arial"/>
          <w:szCs w:val="24"/>
        </w:rPr>
        <w:t xml:space="preserve"> and </w:t>
      </w:r>
      <w:hyperlink r:id="rId111" w:history="1">
        <w:r w:rsidR="00AC5F54" w:rsidRPr="00872D32">
          <w:rPr>
            <w:rStyle w:val="Hyperlink"/>
            <w:rFonts w:cs="Arial"/>
            <w:szCs w:val="24"/>
          </w:rPr>
          <w:t>encampments</w:t>
        </w:r>
      </w:hyperlink>
      <w:r w:rsidR="00AC5F54" w:rsidRPr="00872D32">
        <w:rPr>
          <w:rFonts w:cs="Arial"/>
          <w:szCs w:val="24"/>
        </w:rPr>
        <w:t xml:space="preserve"> </w:t>
      </w:r>
      <w:r w:rsidR="00101F6E">
        <w:rPr>
          <w:rFonts w:cs="Arial"/>
          <w:szCs w:val="24"/>
        </w:rPr>
        <w:t xml:space="preserve">(see further details in the Encampment and shelters </w:t>
      </w:r>
      <w:hyperlink w:anchor="_Encampments_and_shelters" w:history="1">
        <w:r w:rsidR="00101F6E" w:rsidRPr="00101F6E">
          <w:rPr>
            <w:rStyle w:val="Hyperlink"/>
            <w:rFonts w:cs="Arial"/>
            <w:szCs w:val="24"/>
          </w:rPr>
          <w:t>section below</w:t>
        </w:r>
      </w:hyperlink>
      <w:r w:rsidR="00101F6E">
        <w:rPr>
          <w:rFonts w:cs="Arial"/>
          <w:szCs w:val="24"/>
        </w:rPr>
        <w:t xml:space="preserve">), </w:t>
      </w:r>
      <w:r w:rsidR="00AC5F54" w:rsidRPr="00872D32">
        <w:rPr>
          <w:rFonts w:cs="Arial"/>
          <w:szCs w:val="24"/>
        </w:rPr>
        <w:t>with specific reference to women, trans and gender non-conforming people who are disproportionately negatively impacted.</w:t>
      </w:r>
    </w:p>
    <w:p w14:paraId="02E8F022" w14:textId="77777777" w:rsidR="00A06592" w:rsidRPr="00872D32" w:rsidRDefault="00A06592" w:rsidP="00A06592">
      <w:pPr>
        <w:pStyle w:val="Heading2"/>
      </w:pPr>
      <w:bookmarkStart w:id="49" w:name="_Toc217480197"/>
      <w:r w:rsidRPr="00872D32">
        <w:t>Creed</w:t>
      </w:r>
      <w:bookmarkEnd w:id="49"/>
    </w:p>
    <w:p w14:paraId="1842B8FD" w14:textId="77777777" w:rsidR="00E05387" w:rsidRPr="00872D32" w:rsidRDefault="00E05387" w:rsidP="00E05387">
      <w:pPr>
        <w:rPr>
          <w:i/>
        </w:rPr>
      </w:pPr>
      <w:r w:rsidRPr="00872D32">
        <w:rPr>
          <w:i/>
        </w:rPr>
        <w:t>Responding to the following sections of the Committee’s LOIPR:</w:t>
      </w:r>
    </w:p>
    <w:p w14:paraId="52BF7EE7" w14:textId="5F4E3F7C" w:rsidR="00E05387" w:rsidRPr="00872D32" w:rsidRDefault="00E05387" w:rsidP="00E05387">
      <w:pPr>
        <w:pStyle w:val="ListParagraph"/>
        <w:numPr>
          <w:ilvl w:val="0"/>
          <w:numId w:val="9"/>
        </w:numPr>
      </w:pPr>
      <w:r w:rsidRPr="00872D32">
        <w:rPr>
          <w:i/>
          <w:iCs/>
        </w:rPr>
        <w:t>Non-discrimination (para</w:t>
      </w:r>
      <w:r w:rsidR="00CA2169" w:rsidRPr="00872D32">
        <w:rPr>
          <w:i/>
          <w:iCs/>
        </w:rPr>
        <w:t>s</w:t>
      </w:r>
      <w:r w:rsidRPr="00872D32">
        <w:rPr>
          <w:i/>
          <w:iCs/>
        </w:rPr>
        <w:t>. 4</w:t>
      </w:r>
      <w:r w:rsidR="002A5723" w:rsidRPr="00872D32">
        <w:rPr>
          <w:i/>
          <w:iCs/>
        </w:rPr>
        <w:t xml:space="preserve"> &amp; 6</w:t>
      </w:r>
      <w:r w:rsidRPr="00872D32">
        <w:rPr>
          <w:i/>
          <w:iCs/>
        </w:rPr>
        <w:t>)</w:t>
      </w:r>
    </w:p>
    <w:p w14:paraId="17743837" w14:textId="77777777" w:rsidR="00E05387" w:rsidRPr="00872D32" w:rsidRDefault="00E05387" w:rsidP="00E05387">
      <w:pPr>
        <w:pStyle w:val="ListParagraph"/>
        <w:numPr>
          <w:ilvl w:val="0"/>
          <w:numId w:val="9"/>
        </w:numPr>
      </w:pPr>
      <w:r w:rsidRPr="00872D32">
        <w:rPr>
          <w:i/>
          <w:iCs/>
        </w:rPr>
        <w:t>Freedom of religion and belief (para. 21)</w:t>
      </w:r>
    </w:p>
    <w:p w14:paraId="609D56B8" w14:textId="77777777" w:rsidR="00E05387" w:rsidRPr="00872D32" w:rsidRDefault="00E05387" w:rsidP="00E05387">
      <w:pPr>
        <w:pStyle w:val="ListParagraph"/>
        <w:numPr>
          <w:ilvl w:val="0"/>
          <w:numId w:val="9"/>
        </w:numPr>
      </w:pPr>
      <w:r w:rsidRPr="00872D32">
        <w:rPr>
          <w:i/>
          <w:iCs/>
        </w:rPr>
        <w:t>Rights of Indigenous peoples (para. 25)</w:t>
      </w:r>
    </w:p>
    <w:p w14:paraId="2EFB2D0B" w14:textId="255B37F7" w:rsidR="00795254" w:rsidRPr="00872D32" w:rsidRDefault="00A57765" w:rsidP="000D52A8">
      <w:pPr>
        <w:spacing w:before="240"/>
      </w:pPr>
      <w:r>
        <w:t xml:space="preserve">Although creed is not defined in the </w:t>
      </w:r>
      <w:r w:rsidRPr="77036A40">
        <w:rPr>
          <w:i/>
          <w:iCs/>
        </w:rPr>
        <w:t>Code,</w:t>
      </w:r>
      <w:r>
        <w:t xml:space="preserve"> the OHRC understands it to closely relate </w:t>
      </w:r>
      <w:r w:rsidR="004F5D2D">
        <w:t xml:space="preserve">to </w:t>
      </w:r>
      <w:r>
        <w:t xml:space="preserve">the notion of a belief system, whether structured as a religion or not, for which definitions evolve with time. The OHRC explored the concept of creed and how the </w:t>
      </w:r>
      <w:r w:rsidRPr="77036A40">
        <w:rPr>
          <w:i/>
          <w:iCs/>
        </w:rPr>
        <w:t xml:space="preserve">Code </w:t>
      </w:r>
      <w:r>
        <w:t xml:space="preserve">protects against creed-based discrimination in its </w:t>
      </w:r>
      <w:hyperlink r:id="rId112">
        <w:r w:rsidRPr="77036A40">
          <w:rPr>
            <w:rStyle w:val="Hyperlink"/>
            <w:i/>
            <w:iCs/>
          </w:rPr>
          <w:t>Policy on preventing discrimination based on creed</w:t>
        </w:r>
      </w:hyperlink>
      <w:r>
        <w:t>, released in 2015.</w:t>
      </w:r>
    </w:p>
    <w:p w14:paraId="7BBD66CB" w14:textId="47B0AEED" w:rsidR="00795254" w:rsidRPr="00872D32" w:rsidRDefault="00795254" w:rsidP="00A06592">
      <w:r w:rsidRPr="00872D32">
        <w:t>Th</w:t>
      </w:r>
      <w:r w:rsidR="00721342" w:rsidRPr="00872D32">
        <w:t xml:space="preserve">is </w:t>
      </w:r>
      <w:r w:rsidRPr="00872D32">
        <w:t xml:space="preserve">policy included a dedicated chapter on </w:t>
      </w:r>
      <w:hyperlink r:id="rId113" w:tgtFrame="_blank" w:history="1">
        <w:r w:rsidRPr="00872D32">
          <w:rPr>
            <w:rStyle w:val="Hyperlink"/>
          </w:rPr>
          <w:t>Indigenous spiritual practices</w:t>
        </w:r>
      </w:hyperlink>
      <w:r w:rsidRPr="00872D32">
        <w:t xml:space="preserve"> that recognized the diversity of beliefs and spiritual practices among Indigenous people, addressed the major barriers to practicing spiritual traditions, and explored ways to prevent creed-based discrimination against Indigenous people</w:t>
      </w:r>
      <w:r w:rsidR="00C811A8" w:rsidRPr="00872D32">
        <w:t>.</w:t>
      </w:r>
    </w:p>
    <w:p w14:paraId="1AF690D3" w14:textId="65CB5C02" w:rsidR="00FB3F3B" w:rsidRPr="00872D32" w:rsidRDefault="0016124C" w:rsidP="00A06592">
      <w:r w:rsidRPr="00872D32">
        <w:t xml:space="preserve">The OHRC is also acting against creed-based discrimination by intervening </w:t>
      </w:r>
      <w:r w:rsidR="00951316" w:rsidRPr="00872D32">
        <w:t>before the Supreme Court of Canada to challenge Quebec’s</w:t>
      </w:r>
      <w:r w:rsidR="00B45364" w:rsidRPr="00872D32">
        <w:t xml:space="preserve"> </w:t>
      </w:r>
      <w:r w:rsidR="00CB2C65" w:rsidRPr="00872D32">
        <w:rPr>
          <w:i/>
          <w:iCs/>
        </w:rPr>
        <w:t xml:space="preserve">Act </w:t>
      </w:r>
      <w:r w:rsidR="00B45364" w:rsidRPr="00872D32">
        <w:rPr>
          <w:i/>
          <w:iCs/>
        </w:rPr>
        <w:t>Respecting the Laicity of the State</w:t>
      </w:r>
      <w:r w:rsidR="373F5898" w:rsidRPr="00872D32">
        <w:rPr>
          <w:i/>
          <w:iCs/>
        </w:rPr>
        <w:t xml:space="preserve"> </w:t>
      </w:r>
      <w:r w:rsidR="373F5898" w:rsidRPr="00872D32">
        <w:t>(previously referred to as Bill 21)</w:t>
      </w:r>
      <w:r w:rsidR="37A3E576" w:rsidRPr="00872D32">
        <w:t>,</w:t>
      </w:r>
      <w:r w:rsidR="009E4808" w:rsidRPr="00872D32">
        <w:t xml:space="preserve"> which prohibits public-sector employees from wearing religious symbols</w:t>
      </w:r>
      <w:r w:rsidR="008732D5" w:rsidRPr="00872D32">
        <w:t xml:space="preserve"> </w:t>
      </w:r>
      <w:r w:rsidR="00FA3767" w:rsidRPr="00872D32">
        <w:t>at work</w:t>
      </w:r>
      <w:r w:rsidR="00FD4D3A" w:rsidRPr="00872D32">
        <w:t xml:space="preserve"> in certain circumstances</w:t>
      </w:r>
      <w:r w:rsidR="44A27D76" w:rsidRPr="00872D32">
        <w:t>.</w:t>
      </w:r>
      <w:r w:rsidR="647FFEF6" w:rsidRPr="00872D32">
        <w:t xml:space="preserve"> </w:t>
      </w:r>
      <w:r w:rsidR="009F5E6E" w:rsidRPr="00872D32">
        <w:t>This</w:t>
      </w:r>
      <w:r w:rsidR="647FFEF6" w:rsidRPr="00872D32">
        <w:t xml:space="preserve"> </w:t>
      </w:r>
      <w:r w:rsidR="00FD4D3A" w:rsidRPr="00872D32">
        <w:rPr>
          <w:i/>
          <w:iCs/>
        </w:rPr>
        <w:t>Act</w:t>
      </w:r>
      <w:r w:rsidR="00FD4D3A" w:rsidRPr="00872D32">
        <w:t xml:space="preserve"> </w:t>
      </w:r>
      <w:r w:rsidR="005B1112" w:rsidRPr="00872D32">
        <w:t>uses</w:t>
      </w:r>
      <w:r w:rsidR="647FFEF6" w:rsidRPr="00872D32">
        <w:t xml:space="preserve"> section 33 of the </w:t>
      </w:r>
      <w:r w:rsidR="647FFEF6" w:rsidRPr="00872D32">
        <w:rPr>
          <w:i/>
          <w:iCs/>
        </w:rPr>
        <w:t>Charter</w:t>
      </w:r>
      <w:r w:rsidR="647FFEF6" w:rsidRPr="00872D32">
        <w:t xml:space="preserve"> </w:t>
      </w:r>
      <w:r w:rsidR="00383886" w:rsidRPr="00872D32">
        <w:t xml:space="preserve">to override any rights </w:t>
      </w:r>
      <w:r w:rsidR="00814514" w:rsidRPr="00872D32">
        <w:t>which are infringed by the law. Section 33</w:t>
      </w:r>
      <w:r w:rsidR="647FFEF6" w:rsidRPr="00872D32">
        <w:t xml:space="preserve"> allows governments to pass laws for a limited </w:t>
      </w:r>
      <w:r w:rsidR="00603A0E" w:rsidRPr="00872D32">
        <w:t>time</w:t>
      </w:r>
      <w:r w:rsidR="647FFEF6" w:rsidRPr="00872D32">
        <w:t xml:space="preserve"> notwithstanding any infringement on specified rights in the </w:t>
      </w:r>
      <w:r w:rsidR="647FFEF6" w:rsidRPr="00872D32">
        <w:rPr>
          <w:i/>
          <w:iCs/>
        </w:rPr>
        <w:t>Charter</w:t>
      </w:r>
      <w:r w:rsidR="647FFEF6" w:rsidRPr="00872D32">
        <w:t xml:space="preserve"> like equality or freedom of religion. </w:t>
      </w:r>
    </w:p>
    <w:p w14:paraId="322D5E70" w14:textId="77777777" w:rsidR="00FB3F3B" w:rsidRPr="00872D32" w:rsidRDefault="647FFEF6" w:rsidP="00A06592">
      <w:r w:rsidRPr="00872D32">
        <w:t xml:space="preserve">In its intervention, the OHRC has argued that the legislative override in section 33 must be interpreted according to another section of the </w:t>
      </w:r>
      <w:r w:rsidR="62C78ED6" w:rsidRPr="00872D32">
        <w:rPr>
          <w:i/>
          <w:iCs/>
        </w:rPr>
        <w:t>Charter</w:t>
      </w:r>
      <w:r w:rsidR="62C78ED6" w:rsidRPr="00872D32">
        <w:t>, section 27. This section enshrines the protection of multiculturalism in Canada’s constitutional structure. On this basis, the OHRC argues that the legislative override in section 33 should be limited where the law fundamentally undermines the freedom of members of cultural or religious groups to participate in Canadian society.</w:t>
      </w:r>
      <w:r w:rsidR="002A4C18" w:rsidRPr="00872D32">
        <w:t xml:space="preserve"> </w:t>
      </w:r>
    </w:p>
    <w:p w14:paraId="401B871B" w14:textId="001EA1AF" w:rsidR="008B08F1" w:rsidRPr="00872D32" w:rsidRDefault="00181B1B" w:rsidP="00A06592">
      <w:r w:rsidRPr="00872D32">
        <w:t>Lastly, t</w:t>
      </w:r>
      <w:r w:rsidR="00596B0D" w:rsidRPr="00872D32">
        <w:t xml:space="preserve">he rise of hate and related sentiments </w:t>
      </w:r>
      <w:r w:rsidR="001272AD" w:rsidRPr="00872D32">
        <w:t xml:space="preserve">identified </w:t>
      </w:r>
      <w:hyperlink w:anchor="_Hate">
        <w:r w:rsidR="002477F5" w:rsidRPr="00872D32">
          <w:rPr>
            <w:rStyle w:val="Hyperlink"/>
          </w:rPr>
          <w:t>above</w:t>
        </w:r>
      </w:hyperlink>
      <w:r w:rsidR="001272AD" w:rsidRPr="00872D32">
        <w:t xml:space="preserve"> is tied to a number of </w:t>
      </w:r>
      <w:r w:rsidR="001272AD" w:rsidRPr="00872D32">
        <w:rPr>
          <w:i/>
          <w:iCs/>
        </w:rPr>
        <w:t xml:space="preserve">Code </w:t>
      </w:r>
      <w:r w:rsidR="00A7085A" w:rsidRPr="00872D32">
        <w:t>ground</w:t>
      </w:r>
      <w:r w:rsidR="572F6DE7" w:rsidRPr="00872D32">
        <w:t>s</w:t>
      </w:r>
      <w:r w:rsidR="00A7085A" w:rsidRPr="00872D32">
        <w:t>,</w:t>
      </w:r>
      <w:r w:rsidR="001272AD" w:rsidRPr="00872D32">
        <w:t xml:space="preserve"> </w:t>
      </w:r>
      <w:r w:rsidR="00BA3308" w:rsidRPr="00872D32">
        <w:t>inclu</w:t>
      </w:r>
      <w:r w:rsidR="00FC7699" w:rsidRPr="00872D32">
        <w:t>ding</w:t>
      </w:r>
      <w:r w:rsidR="00EF5B1C" w:rsidRPr="00872D32">
        <w:t xml:space="preserve"> </w:t>
      </w:r>
      <w:hyperlink r:id="rId114">
        <w:r w:rsidR="00EF5B1C" w:rsidRPr="00872D32">
          <w:rPr>
            <w:rStyle w:val="Hyperlink"/>
          </w:rPr>
          <w:t>creed</w:t>
        </w:r>
      </w:hyperlink>
      <w:r w:rsidR="00FC7699" w:rsidRPr="00872D32">
        <w:t>. Creed-based hate</w:t>
      </w:r>
      <w:r w:rsidR="00907569" w:rsidRPr="00872D32">
        <w:t xml:space="preserve"> is especially visible </w:t>
      </w:r>
      <w:r w:rsidR="00A7085A" w:rsidRPr="00872D32">
        <w:t xml:space="preserve">in the pervasive forms of </w:t>
      </w:r>
      <w:hyperlink r:id="rId115">
        <w:r w:rsidR="00A7085A" w:rsidRPr="00872D32">
          <w:rPr>
            <w:rStyle w:val="Hyperlink"/>
          </w:rPr>
          <w:t>Islamophobia</w:t>
        </w:r>
      </w:hyperlink>
      <w:r w:rsidR="00A7085A" w:rsidRPr="00872D32">
        <w:t xml:space="preserve"> and </w:t>
      </w:r>
      <w:hyperlink r:id="rId116">
        <w:r w:rsidR="0093381F" w:rsidRPr="00872D32">
          <w:rPr>
            <w:rStyle w:val="Hyperlink"/>
          </w:rPr>
          <w:t>antisemitism</w:t>
        </w:r>
      </w:hyperlink>
      <w:r w:rsidR="00907569" w:rsidRPr="00872D32">
        <w:t xml:space="preserve"> – though </w:t>
      </w:r>
      <w:r w:rsidR="007E6DA0" w:rsidRPr="00872D32">
        <w:t xml:space="preserve">all types of faith communities may be </w:t>
      </w:r>
      <w:hyperlink r:id="rId117">
        <w:r w:rsidR="007E6DA0" w:rsidRPr="00872D32">
          <w:rPr>
            <w:rStyle w:val="Hyperlink"/>
          </w:rPr>
          <w:t>victims</w:t>
        </w:r>
      </w:hyperlink>
      <w:r w:rsidR="007E6DA0" w:rsidRPr="00872D32">
        <w:t xml:space="preserve"> of hate</w:t>
      </w:r>
      <w:r w:rsidR="00EF5B1C" w:rsidRPr="00872D32">
        <w:t xml:space="preserve">. </w:t>
      </w:r>
      <w:r w:rsidR="008B08F1" w:rsidRPr="00872D32">
        <w:t xml:space="preserve">The OHRC unequivocally </w:t>
      </w:r>
      <w:r w:rsidR="00596B0D" w:rsidRPr="00872D32">
        <w:t xml:space="preserve">condemns </w:t>
      </w:r>
      <w:r w:rsidR="00EF5B1C" w:rsidRPr="00872D32">
        <w:t>creed-based hate</w:t>
      </w:r>
      <w:r w:rsidR="00A401DC" w:rsidRPr="00872D32">
        <w:t xml:space="preserve"> and will continue to denounce the escalating hate that is targeting religious and racialized communities</w:t>
      </w:r>
      <w:r w:rsidR="00F015E7" w:rsidRPr="00872D32">
        <w:t xml:space="preserve"> as it has no place in Ontario’s society. </w:t>
      </w:r>
    </w:p>
    <w:p w14:paraId="34470F0C" w14:textId="310AC92A" w:rsidR="003339B3" w:rsidRPr="00872D32" w:rsidRDefault="00EB13E9" w:rsidP="00966102">
      <w:pPr>
        <w:pStyle w:val="Heading3"/>
      </w:pPr>
      <w:bookmarkStart w:id="50" w:name="_Toc217480198"/>
      <w:r w:rsidRPr="00872D32">
        <w:lastRenderedPageBreak/>
        <w:t>R</w:t>
      </w:r>
      <w:r w:rsidR="003339B3" w:rsidRPr="00872D32">
        <w:t>eligious accommodation in schools</w:t>
      </w:r>
      <w:bookmarkEnd w:id="50"/>
    </w:p>
    <w:p w14:paraId="4C30212D" w14:textId="77777777" w:rsidR="00896DC1" w:rsidRPr="00872D32" w:rsidRDefault="00896DC1" w:rsidP="00896DC1">
      <w:pPr>
        <w:rPr>
          <w:i/>
        </w:rPr>
      </w:pPr>
      <w:r w:rsidRPr="00872D32">
        <w:rPr>
          <w:i/>
        </w:rPr>
        <w:t>Responding to the following sections of the Committee’s LOIPR:</w:t>
      </w:r>
    </w:p>
    <w:p w14:paraId="6D75AC1D" w14:textId="77777777" w:rsidR="00896DC1" w:rsidRPr="00872D32" w:rsidRDefault="00896DC1" w:rsidP="00896DC1">
      <w:pPr>
        <w:pStyle w:val="ListParagraph"/>
        <w:numPr>
          <w:ilvl w:val="0"/>
          <w:numId w:val="9"/>
        </w:numPr>
      </w:pPr>
      <w:r w:rsidRPr="00872D32">
        <w:rPr>
          <w:i/>
          <w:iCs/>
        </w:rPr>
        <w:t>Non-discrimination (para. 4)</w:t>
      </w:r>
    </w:p>
    <w:p w14:paraId="0EEFAF4A" w14:textId="75174008" w:rsidR="00574F0B" w:rsidRPr="00872D32" w:rsidRDefault="00AA3C04" w:rsidP="000D52A8">
      <w:pPr>
        <w:tabs>
          <w:tab w:val="num" w:pos="720"/>
        </w:tabs>
        <w:spacing w:before="240"/>
      </w:pPr>
      <w:r w:rsidRPr="00872D32">
        <w:t>Under the </w:t>
      </w:r>
      <w:r w:rsidRPr="00872D32">
        <w:rPr>
          <w:i/>
          <w:iCs/>
        </w:rPr>
        <w:t>Code</w:t>
      </w:r>
      <w:r w:rsidRPr="00872D32">
        <w:t xml:space="preserve">, organizations, including education providers, have a duty to maintain environments free from discrimination and harassment based on creed. Education providers are responsible for accommodating creed-related needs to the point of undue hardship. </w:t>
      </w:r>
    </w:p>
    <w:p w14:paraId="1AB72EF7" w14:textId="1A88398E" w:rsidR="00D257B7" w:rsidRPr="00872D32" w:rsidRDefault="00810143" w:rsidP="00810143">
      <w:r w:rsidRPr="00872D32">
        <w:t>In</w:t>
      </w:r>
      <w:r w:rsidR="004D67A8" w:rsidRPr="00872D32">
        <w:t xml:space="preserve"> 2017, the OHRC released its </w:t>
      </w:r>
      <w:hyperlink r:id="rId118" w:tgtFrame="_blank" w:history="1">
        <w:r w:rsidR="004D67A8" w:rsidRPr="00872D32">
          <w:rPr>
            <w:rStyle w:val="Hyperlink"/>
            <w:i/>
            <w:iCs/>
          </w:rPr>
          <w:t>Policy statement on religious accommodation in schools</w:t>
        </w:r>
      </w:hyperlink>
      <w:r w:rsidRPr="00872D32">
        <w:t xml:space="preserve"> </w:t>
      </w:r>
      <w:r w:rsidR="004D67A8" w:rsidRPr="00872D32">
        <w:t xml:space="preserve">to support education providers in </w:t>
      </w:r>
      <w:r w:rsidR="00E518A5" w:rsidRPr="00872D32">
        <w:t>their responsibility to prevent creed-based discrimination</w:t>
      </w:r>
      <w:r w:rsidR="004D67A8" w:rsidRPr="00872D32">
        <w:t xml:space="preserve">. In </w:t>
      </w:r>
      <w:r w:rsidRPr="00872D32">
        <w:t xml:space="preserve">this policy statement, the OHRC makes it clear that </w:t>
      </w:r>
      <w:r w:rsidR="00516AA8" w:rsidRPr="00872D32">
        <w:t xml:space="preserve">the </w:t>
      </w:r>
      <w:r w:rsidR="00516AA8" w:rsidRPr="00872D32">
        <w:rPr>
          <w:i/>
          <w:iCs/>
        </w:rPr>
        <w:t>Code</w:t>
      </w:r>
      <w:r w:rsidR="00516AA8" w:rsidRPr="00872D32">
        <w:t xml:space="preserve"> applies</w:t>
      </w:r>
      <w:r w:rsidR="00EC7D51" w:rsidRPr="00872D32">
        <w:t xml:space="preserve"> </w:t>
      </w:r>
      <w:r w:rsidRPr="00872D32">
        <w:t xml:space="preserve">in situations where a person is adversely affected and prevented from observing a creed belief </w:t>
      </w:r>
      <w:r w:rsidR="00516AA8" w:rsidRPr="00872D32">
        <w:t xml:space="preserve">in education </w:t>
      </w:r>
      <w:proofErr w:type="gramStart"/>
      <w:r w:rsidRPr="00872D32">
        <w:t>as a result of</w:t>
      </w:r>
      <w:proofErr w:type="gramEnd"/>
      <w:r w:rsidRPr="00872D32">
        <w:t xml:space="preserve"> an organizational rule, practice, standard or requirement. In such situations, an education provider has a duty to accommodate the observance short of undue hardship</w:t>
      </w:r>
      <w:r w:rsidR="00516AA8" w:rsidRPr="00872D32">
        <w:t xml:space="preserve"> (</w:t>
      </w:r>
      <w:r w:rsidR="00F51FCC" w:rsidRPr="00872D32">
        <w:t xml:space="preserve">i.e., </w:t>
      </w:r>
      <w:r w:rsidR="00516AA8" w:rsidRPr="00872D32">
        <w:t>excessive costs or significant health and safety risks)</w:t>
      </w:r>
      <w:r w:rsidRPr="00872D32">
        <w:t xml:space="preserve">. </w:t>
      </w:r>
    </w:p>
    <w:p w14:paraId="64B11689" w14:textId="35274A2E" w:rsidR="00810143" w:rsidRPr="00872D32" w:rsidRDefault="00810143" w:rsidP="00810143">
      <w:r w:rsidRPr="00872D32">
        <w:t xml:space="preserve">The duty to accommodate creed beliefs extends to situations </w:t>
      </w:r>
      <w:proofErr w:type="gramStart"/>
      <w:r w:rsidRPr="00872D32">
        <w:t>where</w:t>
      </w:r>
      <w:proofErr w:type="gramEnd"/>
      <w:r w:rsidRPr="00872D32">
        <w:t xml:space="preserve"> prayer observances conflict with regular daily routines or school hours. </w:t>
      </w:r>
      <w:r w:rsidR="00240E34" w:rsidRPr="00872D32">
        <w:t>It also extends to communal forms of creed observances</w:t>
      </w:r>
      <w:r w:rsidR="00D60FED" w:rsidRPr="00872D32">
        <w:t xml:space="preserve">. An </w:t>
      </w:r>
      <w:r w:rsidR="00D257B7" w:rsidRPr="00872D32">
        <w:t xml:space="preserve">inclusive design approach that accommodates the needs of the group is generally preferred to removing barriers after they become </w:t>
      </w:r>
      <w:proofErr w:type="gramStart"/>
      <w:r w:rsidR="00D257B7" w:rsidRPr="00872D32">
        <w:t>apparent, or</w:t>
      </w:r>
      <w:proofErr w:type="gramEnd"/>
      <w:r w:rsidR="00D257B7" w:rsidRPr="00872D32">
        <w:t xml:space="preserve"> making “one-off” accommodations. </w:t>
      </w:r>
    </w:p>
    <w:p w14:paraId="0D032EC5" w14:textId="3429B7BE" w:rsidR="003339B3" w:rsidRPr="00872D32" w:rsidRDefault="00EB13E9" w:rsidP="00966102">
      <w:pPr>
        <w:pStyle w:val="Heading3"/>
      </w:pPr>
      <w:bookmarkStart w:id="51" w:name="_Toc217480199"/>
      <w:r w:rsidRPr="00872D32">
        <w:t>C</w:t>
      </w:r>
      <w:r w:rsidR="00966102" w:rsidRPr="00872D32">
        <w:t>aste-based discrimination</w:t>
      </w:r>
      <w:bookmarkEnd w:id="51"/>
    </w:p>
    <w:p w14:paraId="0BDF3FE8" w14:textId="77777777" w:rsidR="00896DC1" w:rsidRPr="00872D32" w:rsidRDefault="00896DC1" w:rsidP="00896DC1">
      <w:pPr>
        <w:rPr>
          <w:i/>
        </w:rPr>
      </w:pPr>
      <w:r w:rsidRPr="00872D32">
        <w:rPr>
          <w:i/>
        </w:rPr>
        <w:t>Responding to the following sections of the Committee’s LOIPR:</w:t>
      </w:r>
    </w:p>
    <w:p w14:paraId="0EA352BE" w14:textId="77777777" w:rsidR="00896DC1" w:rsidRPr="00872D32" w:rsidRDefault="00896DC1" w:rsidP="00896DC1">
      <w:pPr>
        <w:pStyle w:val="ListParagraph"/>
        <w:numPr>
          <w:ilvl w:val="0"/>
          <w:numId w:val="9"/>
        </w:numPr>
      </w:pPr>
      <w:r w:rsidRPr="00872D32">
        <w:rPr>
          <w:i/>
          <w:iCs/>
        </w:rPr>
        <w:t>Non-discrimination (para. 4)</w:t>
      </w:r>
    </w:p>
    <w:p w14:paraId="4697CCDB" w14:textId="3F4C0FD3" w:rsidR="00A51B2A" w:rsidRPr="00872D32" w:rsidRDefault="00AA1A1A" w:rsidP="000D52A8">
      <w:pPr>
        <w:spacing w:before="240"/>
      </w:pPr>
      <w:r w:rsidRPr="00872D32">
        <w:t>Caste-based discrimination is an internationally recognized violation of human rights</w:t>
      </w:r>
      <w:r w:rsidR="0028052B" w:rsidRPr="00872D32">
        <w:t xml:space="preserve">, addressed by </w:t>
      </w:r>
      <w:hyperlink r:id="rId119" w:history="1">
        <w:r w:rsidR="0028052B" w:rsidRPr="00872D32">
          <w:rPr>
            <w:rStyle w:val="Hyperlink"/>
          </w:rPr>
          <w:t>UN bodies</w:t>
        </w:r>
      </w:hyperlink>
      <w:r w:rsidR="0028052B" w:rsidRPr="00872D32">
        <w:t xml:space="preserve"> and </w:t>
      </w:r>
      <w:hyperlink r:id="rId120" w:history="1">
        <w:r w:rsidR="0028052B" w:rsidRPr="00872D32">
          <w:rPr>
            <w:rStyle w:val="Hyperlink"/>
          </w:rPr>
          <w:t>National Human Rights Institutions</w:t>
        </w:r>
      </w:hyperlink>
      <w:r w:rsidR="0028052B" w:rsidRPr="00872D32">
        <w:t xml:space="preserve"> alike</w:t>
      </w:r>
      <w:r w:rsidRPr="00872D32">
        <w:t xml:space="preserve">. </w:t>
      </w:r>
      <w:r w:rsidR="009F3DF0" w:rsidRPr="00872D32">
        <w:t>T</w:t>
      </w:r>
      <w:r w:rsidR="00E82103" w:rsidRPr="00872D32">
        <w:t xml:space="preserve">he OHRC released its </w:t>
      </w:r>
      <w:hyperlink r:id="rId121" w:tgtFrame="_blank" w:history="1">
        <w:r w:rsidR="00E82103" w:rsidRPr="00872D32">
          <w:rPr>
            <w:rStyle w:val="Hyperlink"/>
            <w:i/>
            <w:iCs/>
          </w:rPr>
          <w:t>Policy position on caste-based discrimination</w:t>
        </w:r>
      </w:hyperlink>
      <w:r w:rsidR="00E82103" w:rsidRPr="00872D32">
        <w:rPr>
          <w:i/>
          <w:iCs/>
        </w:rPr>
        <w:t xml:space="preserve"> </w:t>
      </w:r>
      <w:r w:rsidR="00E82103" w:rsidRPr="00872D32">
        <w:t>in 202</w:t>
      </w:r>
      <w:r w:rsidR="00A22697" w:rsidRPr="00872D32">
        <w:t>3</w:t>
      </w:r>
      <w:r w:rsidR="009F3DF0" w:rsidRPr="00872D32">
        <w:t xml:space="preserve"> to raise awareness of people’s rights and legal obligations to prevent and address caste-based discrimination</w:t>
      </w:r>
      <w:r w:rsidR="00A22697" w:rsidRPr="00872D32">
        <w:t xml:space="preserve">. </w:t>
      </w:r>
    </w:p>
    <w:p w14:paraId="5991C7EA" w14:textId="450F5523" w:rsidR="00AA1A1A" w:rsidRPr="00872D32" w:rsidRDefault="00A22697" w:rsidP="00AA1A1A">
      <w:r>
        <w:t>The OHRC</w:t>
      </w:r>
      <w:r w:rsidR="008447D7">
        <w:t xml:space="preserve"> has determined that </w:t>
      </w:r>
      <w:r>
        <w:t xml:space="preserve">caste-based discrimination is an intersectional system of discrimination that can be covered under the </w:t>
      </w:r>
      <w:r w:rsidRPr="77036A40">
        <w:rPr>
          <w:i/>
          <w:iCs/>
        </w:rPr>
        <w:t xml:space="preserve">Code </w:t>
      </w:r>
      <w:r>
        <w:t xml:space="preserve">via any combination of ancestry, creed, colour, race, ethnic origin, place of origin, family status, or possibly other grounds. </w:t>
      </w:r>
      <w:r w:rsidR="00EC23BD">
        <w:t>As such, o</w:t>
      </w:r>
      <w:r w:rsidR="00CE1A5B">
        <w:t>rganizations have a legal obligation under the </w:t>
      </w:r>
      <w:r w:rsidR="00CE1A5B" w:rsidRPr="77036A40">
        <w:rPr>
          <w:i/>
          <w:iCs/>
        </w:rPr>
        <w:t>Code</w:t>
      </w:r>
      <w:r w:rsidR="00CE1A5B">
        <w:t> to make sure their environments are free from discrimination and harassment, bullying or a poisoned environment based on caste and the related grounds.</w:t>
      </w:r>
      <w:r>
        <w:t> </w:t>
      </w:r>
    </w:p>
    <w:p w14:paraId="6BD64C15" w14:textId="77777777" w:rsidR="00F00886" w:rsidRPr="00872D32" w:rsidRDefault="00F00886" w:rsidP="00AA1A1A"/>
    <w:p w14:paraId="4C3CD8E9" w14:textId="23D9576D" w:rsidR="001C5BB0" w:rsidRPr="00872D32" w:rsidRDefault="001C5BB0" w:rsidP="00A62101">
      <w:pPr>
        <w:pStyle w:val="Heading2"/>
      </w:pPr>
      <w:bookmarkStart w:id="52" w:name="_The_impact_of"/>
      <w:bookmarkStart w:id="53" w:name="_Toc217480200"/>
      <w:bookmarkEnd w:id="52"/>
      <w:r w:rsidRPr="00872D32">
        <w:lastRenderedPageBreak/>
        <w:t xml:space="preserve">The impact of COVID-19 </w:t>
      </w:r>
      <w:r w:rsidR="00A62101" w:rsidRPr="00872D32">
        <w:t>on human rights</w:t>
      </w:r>
      <w:bookmarkEnd w:id="53"/>
      <w:r w:rsidR="00A62101" w:rsidRPr="00872D32">
        <w:t xml:space="preserve"> </w:t>
      </w:r>
    </w:p>
    <w:p w14:paraId="394F1969" w14:textId="77777777" w:rsidR="00A62101" w:rsidRPr="00872D32" w:rsidRDefault="00A62101" w:rsidP="00A62101">
      <w:pPr>
        <w:rPr>
          <w:i/>
        </w:rPr>
      </w:pPr>
      <w:r w:rsidRPr="00872D32">
        <w:rPr>
          <w:i/>
        </w:rPr>
        <w:t>Responding to the following sections of the Committee’s LOIPR:</w:t>
      </w:r>
    </w:p>
    <w:p w14:paraId="2A8EA0A5" w14:textId="1B7A12B3" w:rsidR="00A62101" w:rsidRPr="00872D32" w:rsidRDefault="00A62101" w:rsidP="005F20B7">
      <w:pPr>
        <w:pStyle w:val="ListParagraph"/>
        <w:numPr>
          <w:ilvl w:val="0"/>
          <w:numId w:val="9"/>
        </w:numPr>
      </w:pPr>
      <w:r w:rsidRPr="00872D32">
        <w:rPr>
          <w:i/>
          <w:iCs/>
        </w:rPr>
        <w:t>Non-discrimination (para</w:t>
      </w:r>
      <w:r w:rsidR="002D5B60" w:rsidRPr="00872D32">
        <w:rPr>
          <w:i/>
          <w:iCs/>
        </w:rPr>
        <w:t>s</w:t>
      </w:r>
      <w:r w:rsidRPr="00872D32">
        <w:rPr>
          <w:i/>
          <w:iCs/>
        </w:rPr>
        <w:t>. 4</w:t>
      </w:r>
      <w:r w:rsidR="002D5B60" w:rsidRPr="00872D32">
        <w:rPr>
          <w:i/>
          <w:iCs/>
        </w:rPr>
        <w:t xml:space="preserve"> &amp; 6</w:t>
      </w:r>
      <w:r w:rsidRPr="00872D32">
        <w:rPr>
          <w:i/>
          <w:iCs/>
        </w:rPr>
        <w:t>)</w:t>
      </w:r>
    </w:p>
    <w:p w14:paraId="3CB5A911" w14:textId="5962D9E8" w:rsidR="00A62101" w:rsidRPr="00872D32" w:rsidRDefault="00EB6B61" w:rsidP="005F20B7">
      <w:pPr>
        <w:pStyle w:val="ListParagraph"/>
        <w:numPr>
          <w:ilvl w:val="0"/>
          <w:numId w:val="9"/>
        </w:numPr>
      </w:pPr>
      <w:r w:rsidRPr="00872D32">
        <w:rPr>
          <w:i/>
          <w:iCs/>
        </w:rPr>
        <w:t>State of emergency</w:t>
      </w:r>
      <w:r w:rsidR="00A62101" w:rsidRPr="00872D32">
        <w:rPr>
          <w:i/>
          <w:iCs/>
        </w:rPr>
        <w:t xml:space="preserve"> (para. </w:t>
      </w:r>
      <w:r w:rsidRPr="00872D32">
        <w:rPr>
          <w:i/>
          <w:iCs/>
        </w:rPr>
        <w:t>9</w:t>
      </w:r>
      <w:r w:rsidR="00A62101" w:rsidRPr="00872D32">
        <w:rPr>
          <w:i/>
          <w:iCs/>
        </w:rPr>
        <w:t>)</w:t>
      </w:r>
    </w:p>
    <w:p w14:paraId="2E437557" w14:textId="6CF96770" w:rsidR="003353FD" w:rsidRPr="00872D32" w:rsidRDefault="003353FD" w:rsidP="005F20B7">
      <w:pPr>
        <w:pStyle w:val="ListParagraph"/>
        <w:numPr>
          <w:ilvl w:val="0"/>
          <w:numId w:val="9"/>
        </w:numPr>
      </w:pPr>
      <w:r w:rsidRPr="00872D32">
        <w:rPr>
          <w:i/>
          <w:iCs/>
        </w:rPr>
        <w:t>Prohibition of torture and cruel, inhuman or degrading treatment or punishment, and right to liberty and security of persons (para. 15)</w:t>
      </w:r>
    </w:p>
    <w:p w14:paraId="38004FF5" w14:textId="77777777" w:rsidR="000C3E90" w:rsidRPr="00872D32" w:rsidRDefault="000C3E90" w:rsidP="005F20B7">
      <w:pPr>
        <w:pStyle w:val="ListParagraph"/>
        <w:numPr>
          <w:ilvl w:val="0"/>
          <w:numId w:val="9"/>
        </w:numPr>
      </w:pPr>
      <w:r w:rsidRPr="00872D32">
        <w:rPr>
          <w:i/>
          <w:iCs/>
        </w:rPr>
        <w:t>Right to privacy (para. 20)</w:t>
      </w:r>
    </w:p>
    <w:p w14:paraId="12F3DC93" w14:textId="2A2A7988" w:rsidR="000C3E90" w:rsidRPr="00872D32" w:rsidRDefault="002D771B" w:rsidP="005F20B7">
      <w:pPr>
        <w:pStyle w:val="ListParagraph"/>
        <w:numPr>
          <w:ilvl w:val="0"/>
          <w:numId w:val="9"/>
        </w:numPr>
      </w:pPr>
      <w:r w:rsidRPr="00872D32">
        <w:rPr>
          <w:i/>
          <w:iCs/>
        </w:rPr>
        <w:t>Rights of Indigenous peoples (para. 25)</w:t>
      </w:r>
    </w:p>
    <w:p w14:paraId="4AC91C6F" w14:textId="7494B41D" w:rsidR="00A62101" w:rsidRPr="00872D32" w:rsidRDefault="00987FB7" w:rsidP="003B3C9A">
      <w:pPr>
        <w:spacing w:before="240"/>
      </w:pPr>
      <w:r w:rsidRPr="00872D32">
        <w:t xml:space="preserve">The COVID-19 pandemic had far-reaching impacts on people’s civil and political rights. </w:t>
      </w:r>
      <w:r w:rsidR="00FA3495" w:rsidRPr="00872D32">
        <w:t>T</w:t>
      </w:r>
      <w:r w:rsidR="00213708" w:rsidRPr="00872D32">
        <w:t xml:space="preserve">he OHRC vocally </w:t>
      </w:r>
      <w:hyperlink r:id="rId122" w:history="1">
        <w:r w:rsidR="00213708" w:rsidRPr="00872D32">
          <w:rPr>
            <w:rStyle w:val="Hyperlink"/>
          </w:rPr>
          <w:t>advocated</w:t>
        </w:r>
      </w:hyperlink>
      <w:r w:rsidR="00213708" w:rsidRPr="00872D32">
        <w:t xml:space="preserve"> </w:t>
      </w:r>
      <w:r w:rsidR="00537478" w:rsidRPr="00872D32">
        <w:t xml:space="preserve">for </w:t>
      </w:r>
      <w:r w:rsidR="00213708" w:rsidRPr="00872D32">
        <w:t>a human</w:t>
      </w:r>
      <w:r w:rsidR="00537478" w:rsidRPr="00872D32">
        <w:t xml:space="preserve"> </w:t>
      </w:r>
      <w:r w:rsidR="00213708" w:rsidRPr="00872D32">
        <w:t>rights</w:t>
      </w:r>
      <w:r w:rsidR="00537478" w:rsidRPr="00872D32">
        <w:t>-</w:t>
      </w:r>
      <w:r w:rsidR="00213708" w:rsidRPr="00872D32">
        <w:t xml:space="preserve">based approach to </w:t>
      </w:r>
      <w:hyperlink r:id="rId123" w:history="1">
        <w:r w:rsidR="00213708" w:rsidRPr="00872D32">
          <w:rPr>
            <w:rStyle w:val="Hyperlink"/>
          </w:rPr>
          <w:t>managing</w:t>
        </w:r>
      </w:hyperlink>
      <w:r w:rsidR="00213708" w:rsidRPr="00872D32">
        <w:t xml:space="preserve"> COVID-19 </w:t>
      </w:r>
      <w:hyperlink r:id="rId124" w:history="1">
        <w:r w:rsidR="00213708" w:rsidRPr="00872D32">
          <w:rPr>
            <w:rStyle w:val="Hyperlink"/>
          </w:rPr>
          <w:t>throughout the pandemic</w:t>
        </w:r>
      </w:hyperlink>
      <w:r w:rsidR="00F25AC3" w:rsidRPr="00872D32">
        <w:t>.</w:t>
      </w:r>
      <w:r w:rsidR="00213708" w:rsidRPr="00872D32">
        <w:t xml:space="preserve"> </w:t>
      </w:r>
    </w:p>
    <w:p w14:paraId="629A1F62" w14:textId="34B18901" w:rsidR="00D51955" w:rsidRPr="00872D32" w:rsidRDefault="00F25AC3">
      <w:r w:rsidRPr="00872D32">
        <w:t>For example, i</w:t>
      </w:r>
      <w:r w:rsidR="000C1129" w:rsidRPr="00872D32">
        <w:t>n 2020 and 2</w:t>
      </w:r>
      <w:r w:rsidR="00204951" w:rsidRPr="00872D32">
        <w:t xml:space="preserve">021, the OHRC expressed concern about COVID-19 </w:t>
      </w:r>
      <w:hyperlink r:id="rId125" w:history="1">
        <w:r w:rsidR="00204951" w:rsidRPr="00872D32">
          <w:rPr>
            <w:rStyle w:val="Hyperlink"/>
          </w:rPr>
          <w:t>transmission in correctional facilities</w:t>
        </w:r>
      </w:hyperlink>
      <w:r w:rsidR="00204951" w:rsidRPr="00872D32">
        <w:t xml:space="preserve">, related notably to </w:t>
      </w:r>
      <w:hyperlink r:id="rId126" w:history="1">
        <w:r w:rsidR="00204951" w:rsidRPr="00872D32">
          <w:rPr>
            <w:rStyle w:val="Hyperlink"/>
          </w:rPr>
          <w:t>overcrowding</w:t>
        </w:r>
      </w:hyperlink>
      <w:r w:rsidR="00991E4D" w:rsidRPr="00872D32">
        <w:t xml:space="preserve">, and the risks it presented for both inmates and correctional workers, </w:t>
      </w:r>
      <w:r w:rsidR="001B25A3" w:rsidRPr="00872D32">
        <w:t xml:space="preserve">as well as the </w:t>
      </w:r>
      <w:r w:rsidR="00991E4D" w:rsidRPr="00872D32">
        <w:t>broader community</w:t>
      </w:r>
      <w:r w:rsidR="00B22CF2" w:rsidRPr="00872D32">
        <w:t xml:space="preserve"> upon inmate release or when </w:t>
      </w:r>
      <w:r w:rsidR="00CE49B7" w:rsidRPr="00872D32">
        <w:t>workers return home at the end of their shifts</w:t>
      </w:r>
      <w:r w:rsidR="001B25A3" w:rsidRPr="00872D32">
        <w:t xml:space="preserve">. </w:t>
      </w:r>
      <w:r w:rsidR="00D51955" w:rsidRPr="00872D32">
        <w:t xml:space="preserve">Because people from </w:t>
      </w:r>
      <w:r w:rsidR="00D51955" w:rsidRPr="00872D32">
        <w:rPr>
          <w:i/>
          <w:iCs/>
        </w:rPr>
        <w:t>Code-</w:t>
      </w:r>
      <w:r w:rsidR="00D51955" w:rsidRPr="00872D32">
        <w:t>protected groups are over-represented in the prison population, people from these communities bore the brunt of risks within correctional institutions.</w:t>
      </w:r>
    </w:p>
    <w:p w14:paraId="61A8D894" w14:textId="33A1BCC3" w:rsidR="006967D8" w:rsidRPr="00872D32" w:rsidRDefault="006967D8">
      <w:r w:rsidRPr="00872D32">
        <w:t xml:space="preserve">In 2021, </w:t>
      </w:r>
      <w:r w:rsidR="00444ECF" w:rsidRPr="00872D32">
        <w:t>the OHRC</w:t>
      </w:r>
      <w:r w:rsidR="000C1129" w:rsidRPr="00872D32">
        <w:t xml:space="preserve"> </w:t>
      </w:r>
      <w:hyperlink r:id="rId127" w:history="1">
        <w:r w:rsidR="00444ECF" w:rsidRPr="00872D32">
          <w:rPr>
            <w:rStyle w:val="Hyperlink"/>
          </w:rPr>
          <w:t>expressed concern</w:t>
        </w:r>
      </w:hyperlink>
      <w:r w:rsidR="00444ECF" w:rsidRPr="00872D32">
        <w:t xml:space="preserve"> at the </w:t>
      </w:r>
      <w:r w:rsidR="00D2304A" w:rsidRPr="00872D32">
        <w:t>expansion of police discretionary power to enforce stay-at-home orders</w:t>
      </w:r>
      <w:r w:rsidR="00023CFB" w:rsidRPr="00872D32">
        <w:t xml:space="preserve"> and permit random stops. The OHRC highlighted that</w:t>
      </w:r>
      <w:r w:rsidR="000C1129" w:rsidRPr="00872D32">
        <w:t xml:space="preserve"> </w:t>
      </w:r>
      <w:r w:rsidR="00F164B8" w:rsidRPr="00872D32">
        <w:t>these</w:t>
      </w:r>
      <w:r w:rsidR="00023CFB" w:rsidRPr="00872D32">
        <w:t xml:space="preserve"> powers</w:t>
      </w:r>
      <w:r w:rsidR="00291147" w:rsidRPr="00872D32">
        <w:t xml:space="preserve"> risked disproportionately impacting members of marginalized and vulnerable communities</w:t>
      </w:r>
      <w:r w:rsidR="00051DF0" w:rsidRPr="00872D32">
        <w:t>.</w:t>
      </w:r>
      <w:r w:rsidR="00F164B8" w:rsidRPr="00872D32">
        <w:t xml:space="preserve"> </w:t>
      </w:r>
    </w:p>
    <w:p w14:paraId="7DA5F102" w14:textId="5F49BE68" w:rsidR="002F09E4" w:rsidRPr="00872D32" w:rsidRDefault="00405A69" w:rsidP="00B758FF">
      <w:r w:rsidRPr="00872D32">
        <w:t xml:space="preserve">The OHRC also </w:t>
      </w:r>
      <w:hyperlink r:id="rId128" w:history="1">
        <w:r w:rsidRPr="00872D32">
          <w:rPr>
            <w:rStyle w:val="Hyperlink"/>
          </w:rPr>
          <w:t>addressed</w:t>
        </w:r>
      </w:hyperlink>
      <w:r w:rsidRPr="00872D32">
        <w:t xml:space="preserve"> challenges to the right to privacy related to </w:t>
      </w:r>
      <w:r w:rsidR="00382AD2" w:rsidRPr="00872D32">
        <w:t xml:space="preserve">temporary measures that required people to be fully vaccinated </w:t>
      </w:r>
      <w:r w:rsidR="0027185A" w:rsidRPr="00872D32">
        <w:t xml:space="preserve">against COVID-19 </w:t>
      </w:r>
      <w:r w:rsidR="00382AD2" w:rsidRPr="00872D32">
        <w:t xml:space="preserve">and </w:t>
      </w:r>
      <w:r w:rsidR="0027185A" w:rsidRPr="00872D32">
        <w:t xml:space="preserve">to </w:t>
      </w:r>
      <w:r w:rsidR="00382AD2" w:rsidRPr="00872D32">
        <w:t>provide proof of vaccination along with photo ID to access certain public settings and facilities.</w:t>
      </w:r>
      <w:r w:rsidR="00082562" w:rsidRPr="00872D32">
        <w:rPr>
          <w:rFonts w:cs="Arial"/>
          <w:color w:val="000000"/>
        </w:rPr>
        <w:t xml:space="preserve"> </w:t>
      </w:r>
    </w:p>
    <w:p w14:paraId="68769899" w14:textId="2C78B93D" w:rsidR="00403D5E" w:rsidRPr="00872D32" w:rsidRDefault="006007CC" w:rsidP="00B758FF">
      <w:r w:rsidRPr="00872D32">
        <w:t>H</w:t>
      </w:r>
      <w:r w:rsidR="008820C1" w:rsidRPr="00872D32">
        <w:t xml:space="preserve">uman rights laws such as the </w:t>
      </w:r>
      <w:r w:rsidR="008820C1" w:rsidRPr="00872D32">
        <w:rPr>
          <w:i/>
          <w:iCs/>
        </w:rPr>
        <w:t xml:space="preserve">Code </w:t>
      </w:r>
      <w:r w:rsidR="008820C1" w:rsidRPr="00872D32">
        <w:t>take into consideration the importance of balancing people’s right to non-discrimination and civil liberties with public health and safety</w:t>
      </w:r>
      <w:r w:rsidRPr="00872D32">
        <w:t>. This</w:t>
      </w:r>
      <w:r w:rsidR="008820C1" w:rsidRPr="00872D32">
        <w:t xml:space="preserve"> includ</w:t>
      </w:r>
      <w:r w:rsidRPr="00872D32">
        <w:t>ed</w:t>
      </w:r>
      <w:r w:rsidR="008820C1" w:rsidRPr="00872D32">
        <w:t xml:space="preserve"> the need to address evidence-based risks associated with COVID-19. </w:t>
      </w:r>
      <w:r w:rsidR="00EE06BA" w:rsidRPr="00872D32">
        <w:t xml:space="preserve">The OHRC’s </w:t>
      </w:r>
      <w:r w:rsidR="00744745" w:rsidRPr="00872D32">
        <w:t xml:space="preserve">position </w:t>
      </w:r>
      <w:r w:rsidR="00C57A2B" w:rsidRPr="00872D32">
        <w:t>was</w:t>
      </w:r>
      <w:r w:rsidR="00744745" w:rsidRPr="00872D32">
        <w:t xml:space="preserve"> that</w:t>
      </w:r>
      <w:r w:rsidR="007E095F" w:rsidRPr="00872D32">
        <w:t xml:space="preserve"> </w:t>
      </w:r>
      <w:r w:rsidR="002F09E4" w:rsidRPr="00872D32">
        <w:t xml:space="preserve">mandating and requiring proof of </w:t>
      </w:r>
      <w:r w:rsidR="00C57A2B" w:rsidRPr="00872D32">
        <w:t xml:space="preserve">COVID-19 </w:t>
      </w:r>
      <w:r w:rsidR="002F09E4" w:rsidRPr="00872D32">
        <w:t>vaccination to protect people at work or when receiving services was generally permissible under the </w:t>
      </w:r>
      <w:r w:rsidR="002F09E4" w:rsidRPr="00872D32">
        <w:rPr>
          <w:i/>
          <w:iCs/>
        </w:rPr>
        <w:t>Code</w:t>
      </w:r>
      <w:r w:rsidR="002F09E4" w:rsidRPr="00872D32">
        <w:t xml:space="preserve">, </w:t>
      </w:r>
      <w:proofErr w:type="gramStart"/>
      <w:r w:rsidR="002F09E4" w:rsidRPr="00872D32">
        <w:t>as long as</w:t>
      </w:r>
      <w:proofErr w:type="gramEnd"/>
      <w:r w:rsidR="002F09E4" w:rsidRPr="00872D32">
        <w:t xml:space="preserve"> protections were put in place to make sure people who are unable to be vaccinated for </w:t>
      </w:r>
      <w:r w:rsidR="002F09E4" w:rsidRPr="00872D32">
        <w:rPr>
          <w:i/>
          <w:iCs/>
        </w:rPr>
        <w:t>Code</w:t>
      </w:r>
      <w:r w:rsidR="002F09E4" w:rsidRPr="00872D32">
        <w:t>-related reasons were reasonably accommodated. Additionally, the OHRC</w:t>
      </w:r>
      <w:r w:rsidR="008447D7">
        <w:t xml:space="preserve"> has determined that </w:t>
      </w:r>
      <w:r w:rsidR="002F09E4" w:rsidRPr="00872D32">
        <w:t xml:space="preserve">people </w:t>
      </w:r>
      <w:r w:rsidR="007E095F" w:rsidRPr="00872D32">
        <w:t xml:space="preserve">who </w:t>
      </w:r>
      <w:r w:rsidR="002F09E4" w:rsidRPr="00872D32">
        <w:t>chose</w:t>
      </w:r>
      <w:r w:rsidR="007E095F" w:rsidRPr="00872D32">
        <w:t xml:space="preserve"> not to be vaccinated based on personal preference </w:t>
      </w:r>
      <w:r w:rsidR="002F09E4" w:rsidRPr="00872D32">
        <w:t>did</w:t>
      </w:r>
      <w:r w:rsidR="007E095F" w:rsidRPr="00872D32">
        <w:t xml:space="preserve"> not have the right to </w:t>
      </w:r>
      <w:r w:rsidR="00C57A2B" w:rsidRPr="00872D32">
        <w:t xml:space="preserve">creed-based </w:t>
      </w:r>
      <w:r w:rsidR="007E095F" w:rsidRPr="00872D32">
        <w:t>accommodation under the </w:t>
      </w:r>
      <w:r w:rsidR="007E095F" w:rsidRPr="00872D32">
        <w:rPr>
          <w:i/>
          <w:iCs/>
        </w:rPr>
        <w:t>Code</w:t>
      </w:r>
      <w:r w:rsidR="00881E4B" w:rsidRPr="00872D32">
        <w:rPr>
          <w:i/>
          <w:iCs/>
        </w:rPr>
        <w:t xml:space="preserve"> </w:t>
      </w:r>
      <w:r w:rsidR="00881E4B" w:rsidRPr="00872D32">
        <w:t>because personal preferences or singular beliefs do not amount to a creed for the purposes of the </w:t>
      </w:r>
      <w:r w:rsidR="00881E4B" w:rsidRPr="00872D32">
        <w:rPr>
          <w:i/>
          <w:iCs/>
        </w:rPr>
        <w:t>Code</w:t>
      </w:r>
      <w:r w:rsidR="00881E4B" w:rsidRPr="00872D32">
        <w:t>.</w:t>
      </w:r>
    </w:p>
    <w:p w14:paraId="74D8D37E" w14:textId="60D1D306" w:rsidR="00B758FF" w:rsidRPr="00872D32" w:rsidRDefault="00245A67" w:rsidP="00B758FF">
      <w:r w:rsidRPr="00872D32">
        <w:t>T</w:t>
      </w:r>
      <w:r w:rsidR="00E273A9" w:rsidRPr="00872D32">
        <w:t xml:space="preserve">he OHRC also </w:t>
      </w:r>
      <w:r w:rsidR="00B33417">
        <w:t xml:space="preserve">released a statement on </w:t>
      </w:r>
      <w:hyperlink r:id="rId129" w:history="1">
        <w:r w:rsidR="00EA0FFC" w:rsidRPr="00872D32">
          <w:rPr>
            <w:rStyle w:val="Hyperlink"/>
          </w:rPr>
          <w:t>growing</w:t>
        </w:r>
        <w:r w:rsidR="00FF5A6E" w:rsidRPr="00872D32">
          <w:rPr>
            <w:rStyle w:val="Hyperlink"/>
          </w:rPr>
          <w:t xml:space="preserve"> hate</w:t>
        </w:r>
      </w:hyperlink>
      <w:r w:rsidR="00FF5A6E" w:rsidRPr="00872D32">
        <w:t xml:space="preserve"> </w:t>
      </w:r>
      <w:r w:rsidR="006F050F" w:rsidRPr="00872D32">
        <w:t>and</w:t>
      </w:r>
      <w:r w:rsidR="00EA0FFC" w:rsidRPr="00872D32">
        <w:t xml:space="preserve"> </w:t>
      </w:r>
      <w:r w:rsidR="00EC2D8A" w:rsidRPr="00872D32">
        <w:t>an increase in</w:t>
      </w:r>
      <w:r w:rsidR="0094514D" w:rsidRPr="00872D32">
        <w:t xml:space="preserve"> racist sentime</w:t>
      </w:r>
      <w:r w:rsidR="000A7CC3" w:rsidRPr="00872D32">
        <w:t>nts</w:t>
      </w:r>
      <w:r w:rsidR="00CC534C" w:rsidRPr="00872D32">
        <w:t xml:space="preserve">, </w:t>
      </w:r>
      <w:r w:rsidR="00694505" w:rsidRPr="00872D32">
        <w:t xml:space="preserve">racist </w:t>
      </w:r>
      <w:r w:rsidR="003B10CA" w:rsidRPr="00872D32">
        <w:t>behavior</w:t>
      </w:r>
      <w:r w:rsidR="00E705D0" w:rsidRPr="00872D32">
        <w:t>,</w:t>
      </w:r>
      <w:r w:rsidR="00CC534C" w:rsidRPr="00872D32">
        <w:t xml:space="preserve"> and violence </w:t>
      </w:r>
      <w:r w:rsidR="000A7CC3" w:rsidRPr="00872D32">
        <w:t xml:space="preserve">against </w:t>
      </w:r>
      <w:hyperlink r:id="rId130" w:history="1">
        <w:r w:rsidR="000A7CC3" w:rsidRPr="00872D32">
          <w:rPr>
            <w:rStyle w:val="Hyperlink"/>
          </w:rPr>
          <w:t>East Asians</w:t>
        </w:r>
      </w:hyperlink>
      <w:r w:rsidR="000A7CC3" w:rsidRPr="00872D32">
        <w:t xml:space="preserve">, </w:t>
      </w:r>
      <w:hyperlink r:id="rId131" w:history="1">
        <w:r w:rsidR="000A7CC3" w:rsidRPr="00872D32">
          <w:rPr>
            <w:rStyle w:val="Hyperlink"/>
          </w:rPr>
          <w:t>South Asians</w:t>
        </w:r>
      </w:hyperlink>
      <w:r w:rsidR="000A7CC3" w:rsidRPr="00872D32">
        <w:t xml:space="preserve">, and </w:t>
      </w:r>
      <w:hyperlink r:id="rId132" w:history="1">
        <w:r w:rsidR="000A7CC3" w:rsidRPr="00872D32">
          <w:rPr>
            <w:rStyle w:val="Hyperlink"/>
          </w:rPr>
          <w:t>Indigenous peoples</w:t>
        </w:r>
      </w:hyperlink>
      <w:r w:rsidR="00EA0FFC" w:rsidRPr="00872D32">
        <w:t xml:space="preserve"> </w:t>
      </w:r>
      <w:r w:rsidR="000A7CC3" w:rsidRPr="00872D32">
        <w:t xml:space="preserve">resulting from the </w:t>
      </w:r>
      <w:r w:rsidR="009C1280" w:rsidRPr="00872D32">
        <w:t xml:space="preserve">COVID-19 </w:t>
      </w:r>
      <w:r w:rsidR="00993C6E" w:rsidRPr="00872D32">
        <w:t xml:space="preserve">pandemic. </w:t>
      </w:r>
      <w:r w:rsidR="00766A9A" w:rsidRPr="00872D32">
        <w:t>T</w:t>
      </w:r>
      <w:r w:rsidR="00DB484B" w:rsidRPr="00872D32">
        <w:t xml:space="preserve">he COVID-19 pandemic led to widespread distress </w:t>
      </w:r>
      <w:r w:rsidR="00C00533" w:rsidRPr="00872D32">
        <w:t xml:space="preserve">and legitimate health-related anxieties </w:t>
      </w:r>
      <w:r w:rsidR="00DB484B" w:rsidRPr="00872D32">
        <w:t>across communities in Ontario</w:t>
      </w:r>
      <w:r w:rsidR="00766A9A" w:rsidRPr="00872D32">
        <w:t xml:space="preserve">. </w:t>
      </w:r>
      <w:r w:rsidR="00E705D0" w:rsidRPr="00872D32">
        <w:t>Nonetheless</w:t>
      </w:r>
      <w:r w:rsidR="00766A9A" w:rsidRPr="00872D32">
        <w:t xml:space="preserve">, </w:t>
      </w:r>
      <w:r w:rsidR="00D621CC" w:rsidRPr="00872D32">
        <w:t>reactions based on stereotypes</w:t>
      </w:r>
      <w:r w:rsidR="00004D9F" w:rsidRPr="00872D32">
        <w:t>, personal biases, or misinformation</w:t>
      </w:r>
      <w:r w:rsidR="00D621CC" w:rsidRPr="00872D32">
        <w:t xml:space="preserve"> should not replace responsible actions based on evidence.</w:t>
      </w:r>
      <w:r w:rsidR="00C00533" w:rsidRPr="00872D32">
        <w:t xml:space="preserve"> </w:t>
      </w:r>
    </w:p>
    <w:p w14:paraId="6A65896D" w14:textId="30D66EBF" w:rsidR="001D6AE1" w:rsidRPr="00872D32" w:rsidRDefault="001D6AE1"/>
    <w:p w14:paraId="55FF6E29" w14:textId="24AE5969" w:rsidR="00C811A8" w:rsidRPr="00872D32" w:rsidRDefault="00C811A8" w:rsidP="00C811A8">
      <w:pPr>
        <w:pStyle w:val="Heading2"/>
      </w:pPr>
      <w:bookmarkStart w:id="54" w:name="_Encampments_and_shelters"/>
      <w:bookmarkStart w:id="55" w:name="_Toc217480201"/>
      <w:bookmarkEnd w:id="54"/>
      <w:r w:rsidRPr="00872D32">
        <w:t>Encampments</w:t>
      </w:r>
      <w:r w:rsidR="00D46B7F" w:rsidRPr="00872D32">
        <w:t xml:space="preserve"> and shelters</w:t>
      </w:r>
      <w:r w:rsidRPr="00872D32">
        <w:t xml:space="preserve"> </w:t>
      </w:r>
      <w:bookmarkEnd w:id="55"/>
    </w:p>
    <w:p w14:paraId="433211A8" w14:textId="77777777" w:rsidR="00C811A8" w:rsidRPr="00872D32" w:rsidRDefault="00C811A8" w:rsidP="00C811A8">
      <w:pPr>
        <w:rPr>
          <w:i/>
        </w:rPr>
      </w:pPr>
      <w:r w:rsidRPr="00872D32">
        <w:rPr>
          <w:i/>
        </w:rPr>
        <w:t>Responding to the following sections of the Committee’s LOIPR:</w:t>
      </w:r>
    </w:p>
    <w:p w14:paraId="5ACE090F" w14:textId="77777777" w:rsidR="00084153" w:rsidRPr="00084153" w:rsidRDefault="00C811A8" w:rsidP="00084153">
      <w:pPr>
        <w:pStyle w:val="ListParagraph"/>
        <w:numPr>
          <w:ilvl w:val="0"/>
          <w:numId w:val="9"/>
        </w:numPr>
      </w:pPr>
      <w:r w:rsidRPr="00872D32">
        <w:rPr>
          <w:i/>
          <w:iCs/>
        </w:rPr>
        <w:t>Non-discrimination (para. 4)</w:t>
      </w:r>
    </w:p>
    <w:p w14:paraId="028D8B15" w14:textId="77777777" w:rsidR="00084153" w:rsidRPr="00084153" w:rsidRDefault="00C811A8" w:rsidP="00084153">
      <w:pPr>
        <w:pStyle w:val="ListParagraph"/>
        <w:numPr>
          <w:ilvl w:val="0"/>
          <w:numId w:val="9"/>
        </w:numPr>
      </w:pPr>
      <w:r w:rsidRPr="00084153">
        <w:rPr>
          <w:i/>
          <w:iCs/>
        </w:rPr>
        <w:t>Right to life (para. 13)</w:t>
      </w:r>
    </w:p>
    <w:p w14:paraId="2CB63CFB" w14:textId="5DA448E6" w:rsidR="77EF9A88" w:rsidRPr="00084153" w:rsidRDefault="77EF9A88" w:rsidP="00084153">
      <w:pPr>
        <w:pStyle w:val="ListParagraph"/>
        <w:numPr>
          <w:ilvl w:val="0"/>
          <w:numId w:val="9"/>
        </w:numPr>
      </w:pPr>
      <w:r w:rsidRPr="00084153">
        <w:rPr>
          <w:i/>
          <w:iCs/>
        </w:rPr>
        <w:t>Freedoms of expression and assembly (para</w:t>
      </w:r>
      <w:r w:rsidR="4BAE3D95" w:rsidRPr="00084153">
        <w:rPr>
          <w:i/>
          <w:iCs/>
        </w:rPr>
        <w:t>.</w:t>
      </w:r>
      <w:r w:rsidRPr="00084153">
        <w:rPr>
          <w:i/>
          <w:iCs/>
        </w:rPr>
        <w:t xml:space="preserve"> 22) </w:t>
      </w:r>
    </w:p>
    <w:p w14:paraId="2C4A60E6" w14:textId="476DFE15" w:rsidR="00344341" w:rsidRPr="00872D32" w:rsidRDefault="00F83D16" w:rsidP="00C811A8">
      <w:r w:rsidRPr="00872D32">
        <w:t xml:space="preserve">As is true for </w:t>
      </w:r>
      <w:hyperlink r:id="rId133">
        <w:r w:rsidR="04806263" w:rsidRPr="00872D32">
          <w:rPr>
            <w:rStyle w:val="Hyperlink"/>
          </w:rPr>
          <w:t>Canada as a whole</w:t>
        </w:r>
      </w:hyperlink>
      <w:r w:rsidRPr="00872D32">
        <w:t xml:space="preserve">, </w:t>
      </w:r>
      <w:r w:rsidR="009F4327" w:rsidRPr="00872D32">
        <w:t xml:space="preserve">Ontario is facing a </w:t>
      </w:r>
      <w:r w:rsidR="00C202C9" w:rsidRPr="00872D32">
        <w:t>housing</w:t>
      </w:r>
      <w:r w:rsidR="009F4327" w:rsidRPr="00872D32">
        <w:t xml:space="preserve"> crisis that is leading to profound and devastating impacts </w:t>
      </w:r>
      <w:r w:rsidR="00B96703" w:rsidRPr="00872D32">
        <w:t xml:space="preserve">and </w:t>
      </w:r>
      <w:r w:rsidR="1E59C6EB" w:rsidRPr="00872D32">
        <w:t xml:space="preserve">which </w:t>
      </w:r>
      <w:r w:rsidR="00B96703" w:rsidRPr="00872D32">
        <w:t>direct</w:t>
      </w:r>
      <w:r w:rsidRPr="00872D32">
        <w:t>ly</w:t>
      </w:r>
      <w:r w:rsidR="00B96703" w:rsidRPr="00872D32">
        <w:t xml:space="preserve"> threat</w:t>
      </w:r>
      <w:r w:rsidRPr="00872D32">
        <w:t>ens</w:t>
      </w:r>
      <w:r w:rsidR="00B96703" w:rsidRPr="00872D32">
        <w:t xml:space="preserve"> the right to life</w:t>
      </w:r>
      <w:r w:rsidR="55947AC6" w:rsidRPr="00872D32">
        <w:t>, liberty and security of the person</w:t>
      </w:r>
      <w:r w:rsidR="63CAA541" w:rsidRPr="00872D32">
        <w:t>.</w:t>
      </w:r>
      <w:r w:rsidR="004A60F3" w:rsidRPr="00872D32">
        <w:t xml:space="preserve"> </w:t>
      </w:r>
      <w:r w:rsidR="00344341" w:rsidRPr="00872D32">
        <w:rPr>
          <w:i/>
          <w:iCs/>
        </w:rPr>
        <w:t>Code-</w:t>
      </w:r>
      <w:r w:rsidR="00344341" w:rsidRPr="00872D32">
        <w:t xml:space="preserve">protected groups are especially impacted as they disproportionately experience </w:t>
      </w:r>
      <w:hyperlink r:id="rId134">
        <w:r w:rsidR="602725AE" w:rsidRPr="00872D32">
          <w:rPr>
            <w:rStyle w:val="Hyperlink"/>
          </w:rPr>
          <w:t>poverty</w:t>
        </w:r>
      </w:hyperlink>
      <w:r w:rsidR="48F99D38" w:rsidRPr="00872D32">
        <w:rPr>
          <w:rStyle w:val="Hyperlink"/>
        </w:rPr>
        <w:t xml:space="preserve">, </w:t>
      </w:r>
      <w:r w:rsidR="00344341" w:rsidRPr="00872D32">
        <w:t>are disproportionately represented in the unhoused population</w:t>
      </w:r>
      <w:r w:rsidR="48F99D38" w:rsidRPr="00872D32">
        <w:t xml:space="preserve"> and can experience unique harms from </w:t>
      </w:r>
      <w:r w:rsidRPr="00872D32">
        <w:t>homelessnes</w:t>
      </w:r>
      <w:r w:rsidR="55711422" w:rsidRPr="00872D32">
        <w:t>s</w:t>
      </w:r>
      <w:r w:rsidR="602725AE" w:rsidRPr="00872D32">
        <w:t>.</w:t>
      </w:r>
      <w:r w:rsidR="00344341" w:rsidRPr="00872D32">
        <w:t xml:space="preserve"> </w:t>
      </w:r>
      <w:r w:rsidR="009267A5" w:rsidRPr="00872D32">
        <w:t>This includes people receiving public assistance, Indigenous people, racialized people, 2SLGBTQ+ people, youth, women and children fleeing domestic violence</w:t>
      </w:r>
      <w:r w:rsidR="007F08B7" w:rsidRPr="00872D32">
        <w:t>,</w:t>
      </w:r>
      <w:r w:rsidR="009267A5" w:rsidRPr="00872D32">
        <w:t xml:space="preserve"> and people living with disabilities</w:t>
      </w:r>
      <w:r w:rsidR="007F08B7" w:rsidRPr="00872D32">
        <w:t>,</w:t>
      </w:r>
      <w:r w:rsidR="009267A5" w:rsidRPr="00872D32">
        <w:t xml:space="preserve"> including mental health disabilities, addictions, and complex trauma.</w:t>
      </w:r>
    </w:p>
    <w:p w14:paraId="695031CD" w14:textId="57DA2384" w:rsidR="00550BD2" w:rsidRPr="00872D32" w:rsidRDefault="00FB3EA8" w:rsidP="00C811A8">
      <w:r w:rsidRPr="00872D32">
        <w:t>Informal encampments and unsheltered homelessness</w:t>
      </w:r>
      <w:r w:rsidR="00486B7C" w:rsidRPr="00872D32">
        <w:t xml:space="preserve"> </w:t>
      </w:r>
      <w:r w:rsidR="00C55DEC" w:rsidRPr="00872D32">
        <w:t xml:space="preserve">are a stark </w:t>
      </w:r>
      <w:r w:rsidR="002E1659" w:rsidRPr="00872D32">
        <w:t>consequence</w:t>
      </w:r>
      <w:r w:rsidR="00C55DEC" w:rsidRPr="00872D32">
        <w:t xml:space="preserve"> of this crisis. </w:t>
      </w:r>
      <w:r w:rsidR="002A2C6F" w:rsidRPr="00872D32">
        <w:t xml:space="preserve">As precarious </w:t>
      </w:r>
      <w:r w:rsidR="00FF4395" w:rsidRPr="00872D32">
        <w:t xml:space="preserve">as encampments are, </w:t>
      </w:r>
      <w:r w:rsidR="00B52E08" w:rsidRPr="00872D32">
        <w:t xml:space="preserve">however, </w:t>
      </w:r>
      <w:r w:rsidR="00FF4395" w:rsidRPr="00872D32">
        <w:t>t</w:t>
      </w:r>
      <w:r w:rsidR="002E2429" w:rsidRPr="00872D32">
        <w:t xml:space="preserve">he OHRC has also made clear that </w:t>
      </w:r>
      <w:r w:rsidR="34AE36E6" w:rsidRPr="00872D32">
        <w:t xml:space="preserve">overcrowded, inaccessible and unsafe </w:t>
      </w:r>
      <w:r w:rsidR="00E24F37" w:rsidRPr="00872D32">
        <w:t xml:space="preserve">single-night shelters </w:t>
      </w:r>
      <w:r w:rsidR="002A2C6F" w:rsidRPr="00872D32">
        <w:t xml:space="preserve">are </w:t>
      </w:r>
      <w:hyperlink r:id="rId135">
        <w:r w:rsidR="101F72E5" w:rsidRPr="00872D32">
          <w:rPr>
            <w:rStyle w:val="Hyperlink"/>
          </w:rPr>
          <w:t>not a viable</w:t>
        </w:r>
        <w:r w:rsidR="2AE74232" w:rsidRPr="00872D32">
          <w:rPr>
            <w:rStyle w:val="Hyperlink"/>
          </w:rPr>
          <w:t xml:space="preserve"> alternative </w:t>
        </w:r>
        <w:r w:rsidR="652BFCC9" w:rsidRPr="00872D32">
          <w:rPr>
            <w:rStyle w:val="Hyperlink"/>
          </w:rPr>
          <w:t>as they often fail to</w:t>
        </w:r>
        <w:r w:rsidR="2AE74232" w:rsidRPr="00872D32">
          <w:rPr>
            <w:rStyle w:val="Hyperlink"/>
          </w:rPr>
          <w:t xml:space="preserve"> respect people’s human rights</w:t>
        </w:r>
      </w:hyperlink>
      <w:r w:rsidR="00E24F37" w:rsidRPr="00872D32">
        <w:t>.</w:t>
      </w:r>
      <w:r w:rsidR="00A83D54" w:rsidRPr="00872D32">
        <w:t xml:space="preserve"> </w:t>
      </w:r>
    </w:p>
    <w:p w14:paraId="2EF8D2F2" w14:textId="3EE38E79" w:rsidR="003001CA" w:rsidRPr="00872D32" w:rsidRDefault="00440BFB" w:rsidP="00C811A8">
      <w:r w:rsidRPr="00872D32">
        <w:t>The conditions within encampments must be addressed</w:t>
      </w:r>
      <w:r w:rsidR="00027D4D" w:rsidRPr="00872D32">
        <w:t xml:space="preserve"> by the Government of Ontario, municipalities, and any </w:t>
      </w:r>
      <w:r w:rsidR="007449EA" w:rsidRPr="00872D32">
        <w:t xml:space="preserve">relevant </w:t>
      </w:r>
      <w:r w:rsidR="00027D4D" w:rsidRPr="00872D32">
        <w:t xml:space="preserve">private stakeholder </w:t>
      </w:r>
      <w:r w:rsidRPr="00872D32">
        <w:t>to protect rights</w:t>
      </w:r>
      <w:r w:rsidR="00B8527D">
        <w:t>-</w:t>
      </w:r>
      <w:r w:rsidRPr="00872D32">
        <w:t>holders</w:t>
      </w:r>
      <w:r w:rsidR="1693B9B4" w:rsidRPr="00872D32">
        <w:t xml:space="preserve">. These entities must also address </w:t>
      </w:r>
      <w:r w:rsidRPr="00872D32">
        <w:t>the conditions in shelters. Access to basic services necessary to life,</w:t>
      </w:r>
      <w:r w:rsidR="00CF0562">
        <w:t xml:space="preserve"> liberty, and security of the person– such </w:t>
      </w:r>
      <w:r w:rsidRPr="00872D32">
        <w:t>as clean water, sanitation facilities, electricity, and heat</w:t>
      </w:r>
      <w:r w:rsidR="00CF0562">
        <w:t xml:space="preserve"> – </w:t>
      </w:r>
      <w:r w:rsidRPr="00872D32">
        <w:t xml:space="preserve">is required. </w:t>
      </w:r>
      <w:r w:rsidR="7E3532A3" w:rsidRPr="00872D32">
        <w:t xml:space="preserve">Shelters must also be “truly accessible” and </w:t>
      </w:r>
      <w:r w:rsidR="001D2311" w:rsidRPr="00872D32">
        <w:t>should not</w:t>
      </w:r>
      <w:r w:rsidR="7E3532A3" w:rsidRPr="00872D32">
        <w:t xml:space="preserve"> prevent individuals from accessing services because of their age, gender, addictions or mental health disabilities, or previous service restrictions.</w:t>
      </w:r>
    </w:p>
    <w:p w14:paraId="3AA72630" w14:textId="224DD9A1" w:rsidR="003001CA" w:rsidRPr="00872D32" w:rsidRDefault="00BD101D" w:rsidP="003001CA">
      <w:r w:rsidRPr="00872D32">
        <w:t>Some c</w:t>
      </w:r>
      <w:r w:rsidR="00440BFB" w:rsidRPr="00872D32">
        <w:t xml:space="preserve">ourts have recognized that, where </w:t>
      </w:r>
      <w:r w:rsidR="007F51DC" w:rsidRPr="00872D32">
        <w:t>appropriate</w:t>
      </w:r>
      <w:r w:rsidR="00440BFB" w:rsidRPr="00872D32">
        <w:t xml:space="preserve"> and accessible shelter beds are unavailable to meet the diverse needs of </w:t>
      </w:r>
      <w:r w:rsidR="003001CA" w:rsidRPr="00872D32">
        <w:t>unhoused individuals</w:t>
      </w:r>
      <w:r w:rsidR="00440BFB" w:rsidRPr="00872D32">
        <w:t xml:space="preserve">, </w:t>
      </w:r>
      <w:r w:rsidRPr="00872D32">
        <w:t>the state cannot prevent people from taking steps to safeguard their own well-being such as by erecting shelter</w:t>
      </w:r>
      <w:r w:rsidR="00265CB2" w:rsidRPr="00872D32">
        <w:t xml:space="preserve"> or encamping</w:t>
      </w:r>
      <w:r w:rsidR="00440BFB" w:rsidRPr="00872D32">
        <w:t>.</w:t>
      </w:r>
      <w:r w:rsidR="003001CA" w:rsidRPr="00872D32">
        <w:t xml:space="preserve"> </w:t>
      </w:r>
      <w:r w:rsidR="00A83D54" w:rsidRPr="00872D32">
        <w:t xml:space="preserve">The forcible eviction of people living in encampments </w:t>
      </w:r>
      <w:r w:rsidR="004E5ABC" w:rsidRPr="00872D32">
        <w:t>through trespass orders, by</w:t>
      </w:r>
      <w:r w:rsidR="00A62CCD" w:rsidRPr="00872D32">
        <w:t>-</w:t>
      </w:r>
      <w:r w:rsidR="004E5ABC" w:rsidRPr="00872D32">
        <w:t>law</w:t>
      </w:r>
      <w:r w:rsidR="00265CB2" w:rsidRPr="00872D32">
        <w:t xml:space="preserve"> enforcement</w:t>
      </w:r>
      <w:r w:rsidR="004E5ABC" w:rsidRPr="00872D32">
        <w:t>, and policing is contrary to a human rights-based approach to solving the housing crisis</w:t>
      </w:r>
      <w:r w:rsidR="00550BD2" w:rsidRPr="00872D32">
        <w:t xml:space="preserve">. </w:t>
      </w:r>
      <w:r w:rsidR="00395898">
        <w:t>M</w:t>
      </w:r>
      <w:r w:rsidR="00395898" w:rsidRPr="00872D32">
        <w:t>arginalized</w:t>
      </w:r>
      <w:r w:rsidR="00FC6AE2" w:rsidRPr="00872D32">
        <w:t xml:space="preserve"> individuals are</w:t>
      </w:r>
      <w:r w:rsidR="009F28B3" w:rsidRPr="00872D32">
        <w:t xml:space="preserve"> </w:t>
      </w:r>
      <w:r w:rsidR="00FC2026" w:rsidRPr="00872D32">
        <w:t xml:space="preserve">left </w:t>
      </w:r>
      <w:r w:rsidR="008447D7">
        <w:t xml:space="preserve">more vulnerable. </w:t>
      </w:r>
      <w:r w:rsidR="003001CA" w:rsidRPr="00872D32">
        <w:t xml:space="preserve">The OHRC regularly engages with </w:t>
      </w:r>
      <w:hyperlink r:id="rId136" w:history="1">
        <w:r w:rsidR="003001CA" w:rsidRPr="00872D32">
          <w:rPr>
            <w:rStyle w:val="Hyperlink"/>
          </w:rPr>
          <w:t>municipalities</w:t>
        </w:r>
      </w:hyperlink>
      <w:r w:rsidR="003001CA" w:rsidRPr="00872D32">
        <w:t xml:space="preserve"> on this issue as they are often on the front lines of addressing the housing crisis. </w:t>
      </w:r>
      <w:r w:rsidR="006F5B49" w:rsidRPr="00872D32">
        <w:t xml:space="preserve">Municipalities face many challenges in </w:t>
      </w:r>
      <w:r w:rsidR="006F5B49" w:rsidRPr="00872D32">
        <w:lastRenderedPageBreak/>
        <w:t xml:space="preserve">addressing the </w:t>
      </w:r>
      <w:r w:rsidR="00D65F6F" w:rsidRPr="00872D32">
        <w:t>intersecting needs of</w:t>
      </w:r>
      <w:r w:rsidR="00F6153C" w:rsidRPr="00872D32">
        <w:t xml:space="preserve"> people who are unhoused.</w:t>
      </w:r>
      <w:r w:rsidR="006F5B49" w:rsidRPr="00872D32">
        <w:t xml:space="preserve"> </w:t>
      </w:r>
      <w:r w:rsidR="005F34DA" w:rsidRPr="00872D32">
        <w:t xml:space="preserve">At the same time, </w:t>
      </w:r>
      <w:r w:rsidR="003001CA" w:rsidRPr="00872D32">
        <w:t xml:space="preserve">municipalities </w:t>
      </w:r>
      <w:r w:rsidR="00B8426F" w:rsidRPr="00872D32">
        <w:t xml:space="preserve">are responsible for ensuring they do not </w:t>
      </w:r>
      <w:r w:rsidR="003001CA" w:rsidRPr="00872D32">
        <w:t>violat</w:t>
      </w:r>
      <w:r w:rsidR="009F666E" w:rsidRPr="00872D32">
        <w:t xml:space="preserve">e people’s </w:t>
      </w:r>
      <w:r w:rsidR="003001CA" w:rsidRPr="00872D32">
        <w:t xml:space="preserve">human rights under the </w:t>
      </w:r>
      <w:r w:rsidR="003001CA" w:rsidRPr="00872D32">
        <w:rPr>
          <w:i/>
          <w:iCs/>
        </w:rPr>
        <w:t>Code</w:t>
      </w:r>
      <w:r w:rsidR="00A0149C" w:rsidRPr="00872D32">
        <w:rPr>
          <w:i/>
          <w:iCs/>
        </w:rPr>
        <w:t xml:space="preserve"> </w:t>
      </w:r>
      <w:r w:rsidR="00B33FAE" w:rsidRPr="00872D32">
        <w:t>or</w:t>
      </w:r>
      <w:r w:rsidR="00B33FAE" w:rsidRPr="00872D32">
        <w:rPr>
          <w:i/>
          <w:iCs/>
        </w:rPr>
        <w:t xml:space="preserve"> </w:t>
      </w:r>
      <w:r w:rsidR="00A0149C" w:rsidRPr="00872D32">
        <w:t>th</w:t>
      </w:r>
      <w:r w:rsidR="00CD7FFA" w:rsidRPr="00872D32">
        <w:t>reaten the right to life</w:t>
      </w:r>
      <w:r w:rsidR="00265CB2" w:rsidRPr="00872D32">
        <w:t xml:space="preserve"> and security of the person</w:t>
      </w:r>
      <w:r w:rsidR="00B33FAE" w:rsidRPr="00872D32">
        <w:t xml:space="preserve">. This includes </w:t>
      </w:r>
      <w:r w:rsidR="00207870" w:rsidRPr="00872D32">
        <w:t>refraining from</w:t>
      </w:r>
      <w:r w:rsidR="00B33FAE" w:rsidRPr="00872D32">
        <w:t xml:space="preserve"> </w:t>
      </w:r>
      <w:r w:rsidR="00C86872" w:rsidRPr="00872D32">
        <w:t xml:space="preserve">forcibly evicting </w:t>
      </w:r>
      <w:r w:rsidR="00F45F2E" w:rsidRPr="00872D32">
        <w:t>individuals from encampments</w:t>
      </w:r>
      <w:r w:rsidR="00F16C15" w:rsidRPr="00872D32">
        <w:t xml:space="preserve">, </w:t>
      </w:r>
      <w:hyperlink r:id="rId137" w:history="1">
        <w:r w:rsidR="00E12A91" w:rsidRPr="00872D32">
          <w:rPr>
            <w:rStyle w:val="Hyperlink"/>
          </w:rPr>
          <w:t xml:space="preserve">failing to </w:t>
        </w:r>
        <w:r w:rsidR="00F6143A" w:rsidRPr="00872D32">
          <w:rPr>
            <w:rStyle w:val="Hyperlink"/>
          </w:rPr>
          <w:t>approve</w:t>
        </w:r>
      </w:hyperlink>
      <w:r w:rsidR="00F6143A" w:rsidRPr="00872D32">
        <w:t xml:space="preserve"> new </w:t>
      </w:r>
      <w:r w:rsidR="00FA218A" w:rsidRPr="00872D32">
        <w:t>emergency and transitional housing projects</w:t>
      </w:r>
      <w:r w:rsidR="00F16C15" w:rsidRPr="00872D32">
        <w:t xml:space="preserve">, or </w:t>
      </w:r>
      <w:hyperlink r:id="rId138" w:history="1">
        <w:r w:rsidR="00F16C15" w:rsidRPr="00872D32">
          <w:rPr>
            <w:rStyle w:val="Hyperlink"/>
          </w:rPr>
          <w:t>imposing unnecessary restrictions</w:t>
        </w:r>
      </w:hyperlink>
      <w:r w:rsidR="00F16C15" w:rsidRPr="00872D32">
        <w:t xml:space="preserve"> </w:t>
      </w:r>
      <w:r w:rsidR="002C0685" w:rsidRPr="00872D32">
        <w:t xml:space="preserve">or </w:t>
      </w:r>
      <w:hyperlink r:id="rId139" w:history="1">
        <w:r w:rsidR="002C0685" w:rsidRPr="00872D32">
          <w:rPr>
            <w:rStyle w:val="Hyperlink"/>
          </w:rPr>
          <w:t>prohibitions</w:t>
        </w:r>
      </w:hyperlink>
      <w:r w:rsidR="002C0685" w:rsidRPr="00872D32">
        <w:t xml:space="preserve"> </w:t>
      </w:r>
      <w:r w:rsidR="00F16C15" w:rsidRPr="00872D32">
        <w:t>on emergency and transitional housing</w:t>
      </w:r>
      <w:r w:rsidR="00F45F2E" w:rsidRPr="00872D32">
        <w:t xml:space="preserve">. </w:t>
      </w:r>
    </w:p>
    <w:p w14:paraId="3F017083" w14:textId="2494FEFC" w:rsidR="00C202C9" w:rsidRPr="00872D32" w:rsidRDefault="00FF4395" w:rsidP="00C811A8">
      <w:r w:rsidRPr="00872D32">
        <w:t>The OHRC has</w:t>
      </w:r>
      <w:r w:rsidR="003001CA" w:rsidRPr="00872D32">
        <w:t xml:space="preserve"> also</w:t>
      </w:r>
      <w:r w:rsidRPr="00872D32">
        <w:t xml:space="preserve"> </w:t>
      </w:r>
      <w:hyperlink r:id="rId140">
        <w:r w:rsidRPr="00872D32">
          <w:rPr>
            <w:rStyle w:val="Hyperlink"/>
          </w:rPr>
          <w:t>engaged</w:t>
        </w:r>
      </w:hyperlink>
      <w:r w:rsidRPr="00872D32">
        <w:t xml:space="preserve"> with the Government of Ontario on proposed legislation and steps to address this crisis and has made clear that a </w:t>
      </w:r>
      <w:hyperlink r:id="rId141">
        <w:r w:rsidRPr="00872D32">
          <w:rPr>
            <w:rStyle w:val="Hyperlink"/>
          </w:rPr>
          <w:t xml:space="preserve">human rights-based </w:t>
        </w:r>
        <w:r w:rsidR="002F5887" w:rsidRPr="00872D32">
          <w:rPr>
            <w:rStyle w:val="Hyperlink"/>
          </w:rPr>
          <w:t>approach</w:t>
        </w:r>
      </w:hyperlink>
      <w:r w:rsidR="002F5887" w:rsidRPr="00872D32">
        <w:t xml:space="preserve"> </w:t>
      </w:r>
      <w:r w:rsidRPr="00872D32">
        <w:t>to housing law, policies, programs</w:t>
      </w:r>
      <w:r w:rsidR="00DC550D">
        <w:t>,</w:t>
      </w:r>
      <w:r w:rsidRPr="00872D32">
        <w:t xml:space="preserve"> and by</w:t>
      </w:r>
      <w:r w:rsidR="00CE1B9B" w:rsidRPr="00872D32">
        <w:t>-</w:t>
      </w:r>
      <w:r w:rsidRPr="00872D32">
        <w:t>laws is vital to appropriately increase housing supply and provide increased housing options.</w:t>
      </w:r>
      <w:r w:rsidR="001C1D28" w:rsidRPr="00872D32">
        <w:t xml:space="preserve"> </w:t>
      </w:r>
    </w:p>
    <w:p w14:paraId="36383EC5" w14:textId="6444007C" w:rsidR="3B50C912" w:rsidRPr="00872D32" w:rsidRDefault="3B50C912" w:rsidP="005F4028">
      <w:pPr>
        <w:spacing w:after="160"/>
        <w:rPr>
          <w:rFonts w:cs="Arial"/>
        </w:rPr>
      </w:pPr>
      <w:r w:rsidRPr="00872D32">
        <w:rPr>
          <w:rFonts w:cs="Arial"/>
        </w:rPr>
        <w:t xml:space="preserve">The OHRC also </w:t>
      </w:r>
      <w:hyperlink r:id="rId142" w:history="1">
        <w:r w:rsidRPr="00CA68A3">
          <w:rPr>
            <w:rStyle w:val="Hyperlink"/>
            <w:rFonts w:cs="Arial"/>
          </w:rPr>
          <w:t>intervened</w:t>
        </w:r>
      </w:hyperlink>
      <w:r w:rsidRPr="00872D32">
        <w:rPr>
          <w:rFonts w:cs="Arial"/>
        </w:rPr>
        <w:t xml:space="preserve"> </w:t>
      </w:r>
      <w:r w:rsidR="004117AE">
        <w:rPr>
          <w:rFonts w:cs="Arial"/>
        </w:rPr>
        <w:t>before the</w:t>
      </w:r>
      <w:r w:rsidR="004117AE" w:rsidRPr="004117AE">
        <w:rPr>
          <w:rFonts w:cs="Arial"/>
          <w:color w:val="000000"/>
        </w:rPr>
        <w:t xml:space="preserve"> </w:t>
      </w:r>
      <w:r w:rsidR="004117AE" w:rsidRPr="004117AE">
        <w:rPr>
          <w:rFonts w:cs="Arial"/>
        </w:rPr>
        <w:t>Ontario Superior Court of Justice</w:t>
      </w:r>
      <w:r w:rsidR="004117AE">
        <w:rPr>
          <w:rFonts w:cs="Arial"/>
        </w:rPr>
        <w:t xml:space="preserve"> </w:t>
      </w:r>
      <w:r w:rsidRPr="00872D32">
        <w:rPr>
          <w:rFonts w:cs="Arial"/>
        </w:rPr>
        <w:t xml:space="preserve">in a constitutional challenge to Ontario’s </w:t>
      </w:r>
      <w:r w:rsidRPr="00872D32">
        <w:rPr>
          <w:rFonts w:cs="Arial"/>
          <w:i/>
          <w:iCs/>
        </w:rPr>
        <w:t>Safe Streets Act</w:t>
      </w:r>
      <w:r w:rsidR="00AD66F6" w:rsidRPr="00872D32">
        <w:rPr>
          <w:rFonts w:cs="Arial"/>
        </w:rPr>
        <w:t>,</w:t>
      </w:r>
      <w:r w:rsidRPr="00872D32">
        <w:rPr>
          <w:rFonts w:cs="Arial"/>
        </w:rPr>
        <w:t xml:space="preserve"> which prohibit</w:t>
      </w:r>
      <w:r w:rsidR="52FE3754" w:rsidRPr="00872D32">
        <w:rPr>
          <w:rFonts w:cs="Arial"/>
        </w:rPr>
        <w:t>s</w:t>
      </w:r>
      <w:r w:rsidRPr="00872D32">
        <w:rPr>
          <w:rFonts w:cs="Arial"/>
        </w:rPr>
        <w:t xml:space="preserve"> panhandling in certain circumstances. This law ha</w:t>
      </w:r>
      <w:r w:rsidR="281E18C1" w:rsidRPr="00872D32">
        <w:rPr>
          <w:rFonts w:cs="Arial"/>
        </w:rPr>
        <w:t>s</w:t>
      </w:r>
      <w:r w:rsidRPr="00872D32">
        <w:rPr>
          <w:rFonts w:cs="Arial"/>
        </w:rPr>
        <w:t xml:space="preserve"> a serious and negative impact on</w:t>
      </w:r>
      <w:r w:rsidR="001016D4" w:rsidRPr="00872D32">
        <w:rPr>
          <w:rFonts w:cs="Arial"/>
        </w:rPr>
        <w:t xml:space="preserve"> people experiencing</w:t>
      </w:r>
      <w:r w:rsidRPr="00872D32">
        <w:rPr>
          <w:rFonts w:cs="Arial"/>
        </w:rPr>
        <w:t xml:space="preserve"> homeless and </w:t>
      </w:r>
      <w:r w:rsidR="001016D4" w:rsidRPr="00872D32">
        <w:rPr>
          <w:rFonts w:cs="Arial"/>
        </w:rPr>
        <w:t>poverty</w:t>
      </w:r>
      <w:r w:rsidRPr="00872D32">
        <w:rPr>
          <w:rFonts w:cs="Arial"/>
        </w:rPr>
        <w:t xml:space="preserve"> who often turn to panhandling as the only way to survive. The OHRC argued that </w:t>
      </w:r>
      <w:r w:rsidR="727B422C" w:rsidRPr="00872D32">
        <w:rPr>
          <w:rFonts w:cs="Arial"/>
        </w:rPr>
        <w:t xml:space="preserve">sections of </w:t>
      </w:r>
      <w:r w:rsidRPr="00872D32">
        <w:rPr>
          <w:rFonts w:cs="Arial"/>
        </w:rPr>
        <w:t xml:space="preserve">this law violate the </w:t>
      </w:r>
      <w:r w:rsidRPr="00872D32">
        <w:rPr>
          <w:rFonts w:cs="Arial"/>
          <w:i/>
          <w:iCs/>
        </w:rPr>
        <w:t xml:space="preserve">Charter </w:t>
      </w:r>
      <w:r w:rsidRPr="00872D32">
        <w:rPr>
          <w:rFonts w:cs="Arial"/>
        </w:rPr>
        <w:t>guarantees to freedom of expression (s</w:t>
      </w:r>
      <w:r w:rsidR="00DC550D">
        <w:rPr>
          <w:rFonts w:cs="Arial"/>
        </w:rPr>
        <w:t xml:space="preserve">ection </w:t>
      </w:r>
      <w:r w:rsidRPr="00872D32">
        <w:rPr>
          <w:rFonts w:cs="Arial"/>
        </w:rPr>
        <w:t>2(b)), the right to life, liberty and security of the person (s</w:t>
      </w:r>
      <w:r w:rsidR="00DC550D">
        <w:rPr>
          <w:rFonts w:cs="Arial"/>
        </w:rPr>
        <w:t xml:space="preserve">ection </w:t>
      </w:r>
      <w:r w:rsidRPr="00872D32">
        <w:rPr>
          <w:rFonts w:cs="Arial"/>
        </w:rPr>
        <w:t>7), and to equality (s</w:t>
      </w:r>
      <w:r w:rsidR="00DC550D">
        <w:rPr>
          <w:rFonts w:cs="Arial"/>
        </w:rPr>
        <w:t xml:space="preserve">ection </w:t>
      </w:r>
      <w:r w:rsidRPr="00872D32">
        <w:rPr>
          <w:rFonts w:cs="Arial"/>
        </w:rPr>
        <w:t xml:space="preserve">15). </w:t>
      </w:r>
      <w:r w:rsidR="30864B6A" w:rsidRPr="00872D32">
        <w:rPr>
          <w:rFonts w:cs="Arial"/>
        </w:rPr>
        <w:t>Although</w:t>
      </w:r>
      <w:r w:rsidRPr="00872D32">
        <w:rPr>
          <w:rFonts w:cs="Arial"/>
        </w:rPr>
        <w:t xml:space="preserve"> the court did not find that the law infringe</w:t>
      </w:r>
      <w:r w:rsidR="1205D4BE" w:rsidRPr="00872D32">
        <w:rPr>
          <w:rFonts w:cs="Arial"/>
        </w:rPr>
        <w:t>s</w:t>
      </w:r>
      <w:r w:rsidRPr="00872D32">
        <w:rPr>
          <w:rFonts w:cs="Arial"/>
        </w:rPr>
        <w:t xml:space="preserve"> the rights contained in s</w:t>
      </w:r>
      <w:r w:rsidR="00DC550D">
        <w:rPr>
          <w:rFonts w:cs="Arial"/>
        </w:rPr>
        <w:t xml:space="preserve">ection </w:t>
      </w:r>
      <w:r w:rsidRPr="00872D32">
        <w:rPr>
          <w:rFonts w:cs="Arial"/>
        </w:rPr>
        <w:t>7 and s</w:t>
      </w:r>
      <w:r w:rsidR="00DC550D">
        <w:rPr>
          <w:rFonts w:cs="Arial"/>
        </w:rPr>
        <w:t xml:space="preserve">ection </w:t>
      </w:r>
      <w:r w:rsidRPr="00872D32">
        <w:rPr>
          <w:rFonts w:cs="Arial"/>
        </w:rPr>
        <w:t xml:space="preserve">15 of the </w:t>
      </w:r>
      <w:r w:rsidRPr="00872D32">
        <w:rPr>
          <w:rFonts w:cs="Arial"/>
          <w:i/>
          <w:iCs/>
        </w:rPr>
        <w:t>Charter</w:t>
      </w:r>
      <w:r w:rsidRPr="00872D32">
        <w:rPr>
          <w:rFonts w:cs="Arial"/>
        </w:rPr>
        <w:t xml:space="preserve">, </w:t>
      </w:r>
      <w:r w:rsidR="6914E5F4" w:rsidRPr="00872D32">
        <w:rPr>
          <w:rFonts w:cs="Arial"/>
        </w:rPr>
        <w:t>it</w:t>
      </w:r>
      <w:r w:rsidRPr="00872D32">
        <w:rPr>
          <w:rFonts w:cs="Arial"/>
        </w:rPr>
        <w:t xml:space="preserve"> found that asking for money </w:t>
      </w:r>
      <w:r w:rsidR="6B0127CE" w:rsidRPr="00872D32">
        <w:rPr>
          <w:rFonts w:cs="Arial"/>
        </w:rPr>
        <w:t>i</w:t>
      </w:r>
      <w:r w:rsidRPr="00872D32">
        <w:rPr>
          <w:rFonts w:cs="Arial"/>
        </w:rPr>
        <w:t xml:space="preserve">s a profound and important form of social interaction. It further found that </w:t>
      </w:r>
      <w:r w:rsidR="64EAC172" w:rsidRPr="00872D32">
        <w:rPr>
          <w:rFonts w:cs="Arial"/>
        </w:rPr>
        <w:t xml:space="preserve">sections of the law </w:t>
      </w:r>
      <w:r w:rsidR="0217566B" w:rsidRPr="00872D32">
        <w:rPr>
          <w:rFonts w:cs="Arial"/>
        </w:rPr>
        <w:t xml:space="preserve">prohibiting </w:t>
      </w:r>
      <w:r w:rsidRPr="00872D32">
        <w:rPr>
          <w:rFonts w:cs="Arial"/>
        </w:rPr>
        <w:t>panhandling that d</w:t>
      </w:r>
      <w:r w:rsidR="3B3697F6" w:rsidRPr="00872D32">
        <w:rPr>
          <w:rFonts w:cs="Arial"/>
        </w:rPr>
        <w:t>oes</w:t>
      </w:r>
      <w:r w:rsidRPr="00872D32">
        <w:rPr>
          <w:rFonts w:cs="Arial"/>
        </w:rPr>
        <w:t xml:space="preserve"> not cause a public danger </w:t>
      </w:r>
      <w:r w:rsidR="00E32BB2">
        <w:rPr>
          <w:rFonts w:cs="Arial"/>
        </w:rPr>
        <w:t>are</w:t>
      </w:r>
      <w:r w:rsidR="00E32BB2" w:rsidRPr="00872D32">
        <w:rPr>
          <w:rFonts w:cs="Arial"/>
        </w:rPr>
        <w:t xml:space="preserve"> </w:t>
      </w:r>
      <w:r w:rsidRPr="00872D32">
        <w:rPr>
          <w:rFonts w:cs="Arial"/>
        </w:rPr>
        <w:t>an unjustifiabl</w:t>
      </w:r>
      <w:r w:rsidR="6343D1DB" w:rsidRPr="00872D32">
        <w:rPr>
          <w:rFonts w:cs="Arial"/>
        </w:rPr>
        <w:t>e</w:t>
      </w:r>
      <w:r w:rsidRPr="00872D32">
        <w:rPr>
          <w:rFonts w:cs="Arial"/>
        </w:rPr>
        <w:t xml:space="preserve"> limit on the </w:t>
      </w:r>
      <w:r w:rsidRPr="00872D32">
        <w:rPr>
          <w:rFonts w:cs="Arial"/>
          <w:i/>
          <w:iCs/>
        </w:rPr>
        <w:t xml:space="preserve">Charter </w:t>
      </w:r>
      <w:r w:rsidRPr="00872D32">
        <w:rPr>
          <w:rFonts w:cs="Arial"/>
        </w:rPr>
        <w:t>right to free expression under s</w:t>
      </w:r>
      <w:r w:rsidR="00DC550D">
        <w:rPr>
          <w:rFonts w:cs="Arial"/>
        </w:rPr>
        <w:t xml:space="preserve">ection </w:t>
      </w:r>
      <w:r w:rsidRPr="00872D32">
        <w:rPr>
          <w:rFonts w:cs="Arial"/>
        </w:rPr>
        <w:t>2(b).</w:t>
      </w:r>
    </w:p>
    <w:p w14:paraId="2C47D274" w14:textId="619DE27F" w:rsidR="00C11C0B" w:rsidRDefault="00C11C0B" w:rsidP="00C11C0B">
      <w:pPr>
        <w:spacing w:after="160"/>
        <w:rPr>
          <w:rFonts w:cs="Arial"/>
        </w:rPr>
      </w:pPr>
      <w:r w:rsidRPr="0B7B1854">
        <w:rPr>
          <w:rFonts w:cs="Arial"/>
        </w:rPr>
        <w:t xml:space="preserve">In December 2025, the Court of Appeal for Ontario granted the OHRC </w:t>
      </w:r>
      <w:hyperlink r:id="rId143" w:history="1">
        <w:r w:rsidRPr="00C11C0B">
          <w:rPr>
            <w:rStyle w:val="Hyperlink"/>
            <w:rFonts w:cs="Arial"/>
          </w:rPr>
          <w:t>leave to intervene</w:t>
        </w:r>
      </w:hyperlink>
      <w:r w:rsidRPr="0B7B1854">
        <w:rPr>
          <w:rFonts w:cs="Arial"/>
        </w:rPr>
        <w:t xml:space="preserve"> in </w:t>
      </w:r>
      <w:r w:rsidRPr="0B7B1854">
        <w:rPr>
          <w:rFonts w:cs="Arial"/>
          <w:i/>
          <w:iCs/>
        </w:rPr>
        <w:t>Heegsma et al v City of Hamilton</w:t>
      </w:r>
      <w:r w:rsidRPr="0B7B1854">
        <w:rPr>
          <w:rFonts w:cs="Arial"/>
        </w:rPr>
        <w:t xml:space="preserve">. This is an appeal of a </w:t>
      </w:r>
      <w:hyperlink r:id="rId144" w:history="1">
        <w:r w:rsidRPr="00C11C0B">
          <w:rPr>
            <w:rStyle w:val="Hyperlink"/>
            <w:rFonts w:cs="Arial"/>
          </w:rPr>
          <w:t>decision</w:t>
        </w:r>
      </w:hyperlink>
      <w:r w:rsidRPr="0B7B1854">
        <w:rPr>
          <w:rFonts w:cs="Arial"/>
        </w:rPr>
        <w:t xml:space="preserve"> dismissing a constitutional challenge to a municipality’s by-laws which prohibit encampments in municipal parks. The encampment residents alleged that the laws and their enforcement, through evictions from encampments, violated their right to life, liberty and security of the person under s.7 and equality under s.15 of the </w:t>
      </w:r>
      <w:r w:rsidRPr="0B7B1854">
        <w:rPr>
          <w:rFonts w:cs="Arial"/>
          <w:i/>
          <w:iCs/>
        </w:rPr>
        <w:t>Charter</w:t>
      </w:r>
      <w:r w:rsidRPr="0B7B1854">
        <w:rPr>
          <w:rFonts w:cs="Arial"/>
        </w:rPr>
        <w:t xml:space="preserve">. </w:t>
      </w:r>
    </w:p>
    <w:p w14:paraId="330A5B58" w14:textId="220B4208" w:rsidR="0073682C" w:rsidRPr="0073682C" w:rsidRDefault="00C11C0B" w:rsidP="00231A73">
      <w:pPr>
        <w:spacing w:after="160"/>
        <w:rPr>
          <w:rFonts w:cs="Arial"/>
        </w:rPr>
      </w:pPr>
      <w:r w:rsidRPr="0B7B1854">
        <w:rPr>
          <w:rFonts w:cs="Arial"/>
        </w:rPr>
        <w:t xml:space="preserve">With respect to the s.7 analysis, the OHRC will argue that the Court should consider how the Appellants’ social circumstances constrain their access to alternative shelter. The Court should also </w:t>
      </w:r>
      <w:r w:rsidR="0045070A" w:rsidRPr="0B7B1854">
        <w:rPr>
          <w:rFonts w:cs="Arial"/>
        </w:rPr>
        <w:t>consider</w:t>
      </w:r>
      <w:r w:rsidRPr="0B7B1854">
        <w:rPr>
          <w:rFonts w:cs="Arial"/>
        </w:rPr>
        <w:t xml:space="preserve"> the unique challenges faced by people with disabilities in complying with a ban on daytime encampments, as they must dismantle and re-establish their shelter every night. Regarding s.15, the OHRC will assist the Court </w:t>
      </w:r>
      <w:r w:rsidR="00543888">
        <w:rPr>
          <w:rFonts w:cs="Arial"/>
        </w:rPr>
        <w:t xml:space="preserve">to </w:t>
      </w:r>
      <w:r w:rsidRPr="0B7B1854">
        <w:rPr>
          <w:rFonts w:cs="Arial"/>
        </w:rPr>
        <w:t xml:space="preserve">analyze how encampment bans adversely affect unhoused persons based on their sex, disability, and/or race (including Indigeneity). In other encampment decisions, lower courts have either failed to consider the s.15 claim or have dismissed it saying that homelessness is not a protected ground under the </w:t>
      </w:r>
      <w:r w:rsidRPr="0B7B1854">
        <w:rPr>
          <w:rFonts w:cs="Arial"/>
          <w:i/>
          <w:iCs/>
        </w:rPr>
        <w:t>Charter</w:t>
      </w:r>
      <w:r w:rsidRPr="0B7B1854">
        <w:rPr>
          <w:rFonts w:cs="Arial"/>
        </w:rPr>
        <w:t>. This case will therefore be a novel opportunity for the Court of Appeal to thoroughly consider this s.15 claim.</w:t>
      </w:r>
    </w:p>
    <w:p w14:paraId="03510695" w14:textId="4E41DE5D" w:rsidR="00121516" w:rsidRPr="00872D32" w:rsidRDefault="004C55F6" w:rsidP="00C811A8">
      <w:r w:rsidRPr="00872D32">
        <w:t>U</w:t>
      </w:r>
      <w:r w:rsidR="00215735" w:rsidRPr="00872D32">
        <w:t>nhoused people in Ontario face an additional layer of vulnerability tied to extreme weather</w:t>
      </w:r>
      <w:r w:rsidR="00820E81" w:rsidRPr="00872D32">
        <w:t xml:space="preserve"> </w:t>
      </w:r>
      <w:r w:rsidR="00CE1B9B" w:rsidRPr="00872D32">
        <w:t>conditions</w:t>
      </w:r>
      <w:r w:rsidR="00215735" w:rsidRPr="00872D32">
        <w:t xml:space="preserve">. The OHRC has expressed serious concerns about the </w:t>
      </w:r>
      <w:r w:rsidR="005A1974" w:rsidRPr="00872D32">
        <w:t xml:space="preserve">significant </w:t>
      </w:r>
      <w:hyperlink r:id="rId145" w:history="1">
        <w:r w:rsidR="005A1974" w:rsidRPr="00872D32">
          <w:rPr>
            <w:rStyle w:val="Hyperlink"/>
          </w:rPr>
          <w:t>lack of cold weather services</w:t>
        </w:r>
      </w:hyperlink>
      <w:r w:rsidR="005A1974" w:rsidRPr="00872D32">
        <w:t xml:space="preserve"> across the province for people experiencing homelessness</w:t>
      </w:r>
      <w:r w:rsidR="001C1D28" w:rsidRPr="00872D32">
        <w:t xml:space="preserve">. It has </w:t>
      </w:r>
      <w:r w:rsidR="005A1974" w:rsidRPr="00872D32">
        <w:t xml:space="preserve">also spoken out about the </w:t>
      </w:r>
      <w:hyperlink r:id="rId146" w:history="1">
        <w:r w:rsidR="005A1974" w:rsidRPr="00872D32">
          <w:rPr>
            <w:rStyle w:val="Hyperlink"/>
          </w:rPr>
          <w:t>dangers of extreme heat waves</w:t>
        </w:r>
      </w:hyperlink>
      <w:r w:rsidR="005A1974" w:rsidRPr="00872D32">
        <w:t xml:space="preserve"> on people without appropriate and sustainable access to temperature controlled or air-conditioned shelters.</w:t>
      </w:r>
      <w:r w:rsidR="003001CA" w:rsidRPr="00872D32">
        <w:t xml:space="preserve"> </w:t>
      </w:r>
      <w:r w:rsidR="00E866EF" w:rsidRPr="00872D32">
        <w:t xml:space="preserve">These </w:t>
      </w:r>
      <w:r w:rsidR="00DF77CC" w:rsidRPr="00872D32">
        <w:t>impacts</w:t>
      </w:r>
      <w:r w:rsidR="005E6548" w:rsidRPr="00872D32">
        <w:t xml:space="preserve"> are becoming more common </w:t>
      </w:r>
      <w:r w:rsidR="0045070A" w:rsidRPr="00872D32">
        <w:t>because of</w:t>
      </w:r>
      <w:r w:rsidR="005E6548" w:rsidRPr="00872D32">
        <w:t xml:space="preserve"> climate change</w:t>
      </w:r>
      <w:r w:rsidR="00DF77CC" w:rsidRPr="00872D32">
        <w:t>. As such, t</w:t>
      </w:r>
      <w:r w:rsidR="00895D4A" w:rsidRPr="00872D32">
        <w:t>he OHRC invites the Committee</w:t>
      </w:r>
      <w:r w:rsidR="00AD02CD" w:rsidRPr="00872D32">
        <w:t xml:space="preserve"> to include considerations related to Canada’s environment and climate as part of any discussion about </w:t>
      </w:r>
      <w:r w:rsidR="009D3CAB" w:rsidRPr="00872D32">
        <w:t xml:space="preserve">housing, poverty, homelessness and the intersection with the right to life. </w:t>
      </w:r>
    </w:p>
    <w:p w14:paraId="4BFEAA5D" w14:textId="77777777" w:rsidR="00C811A8" w:rsidRPr="00872D32" w:rsidRDefault="00C811A8" w:rsidP="00C811A8"/>
    <w:p w14:paraId="514A228A" w14:textId="6C9967C4" w:rsidR="00641B4F" w:rsidRPr="00872D32" w:rsidRDefault="004C633C" w:rsidP="002C41EC">
      <w:pPr>
        <w:pStyle w:val="Heading2"/>
      </w:pPr>
      <w:bookmarkStart w:id="56" w:name="_Toc217480202"/>
      <w:r>
        <w:t>Additional Considerations</w:t>
      </w:r>
      <w:r w:rsidRPr="00872D32">
        <w:t xml:space="preserve"> </w:t>
      </w:r>
      <w:r w:rsidR="00641B4F" w:rsidRPr="00872D32">
        <w:t>to the Committee</w:t>
      </w:r>
      <w:bookmarkEnd w:id="56"/>
    </w:p>
    <w:p w14:paraId="252EAD38" w14:textId="05D5BAFF" w:rsidR="00641B4F" w:rsidRPr="00872D32" w:rsidRDefault="002C41EC">
      <w:r w:rsidRPr="00872D32">
        <w:t>In addition to</w:t>
      </w:r>
      <w:r w:rsidR="009C61A8" w:rsidRPr="00872D32">
        <w:t xml:space="preserve"> </w:t>
      </w:r>
      <w:r w:rsidR="00CA4E70" w:rsidRPr="00872D32">
        <w:t xml:space="preserve">the information </w:t>
      </w:r>
      <w:r w:rsidR="00EF7894" w:rsidRPr="00872D32">
        <w:t>provided</w:t>
      </w:r>
      <w:r w:rsidR="00CA4E70" w:rsidRPr="00872D32">
        <w:t xml:space="preserve"> in </w:t>
      </w:r>
      <w:r w:rsidR="00FC5AEA" w:rsidRPr="00872D32">
        <w:t>this submission</w:t>
      </w:r>
      <w:r w:rsidR="00953879" w:rsidRPr="00872D32">
        <w:t xml:space="preserve">, the OHRC </w:t>
      </w:r>
      <w:r w:rsidR="00037427">
        <w:t xml:space="preserve">is outlining the following consideration to </w:t>
      </w:r>
      <w:r w:rsidR="001F37BC">
        <w:t>the Committee</w:t>
      </w:r>
      <w:r w:rsidR="00037427">
        <w:t>:</w:t>
      </w:r>
      <w:r w:rsidR="00953879" w:rsidRPr="00872D32">
        <w:t xml:space="preserve"> </w:t>
      </w:r>
    </w:p>
    <w:p w14:paraId="17BD5781" w14:textId="33053855" w:rsidR="00D46E5A" w:rsidRPr="00872D32" w:rsidRDefault="001B6A20" w:rsidP="00097D21">
      <w:pPr>
        <w:pStyle w:val="ListParagraph"/>
        <w:numPr>
          <w:ilvl w:val="1"/>
          <w:numId w:val="15"/>
        </w:numPr>
        <w:contextualSpacing w:val="0"/>
      </w:pPr>
      <w:r>
        <w:t>Discrimination</w:t>
      </w:r>
      <w:r w:rsidR="00562DA6">
        <w:t xml:space="preserve"> in Canada</w:t>
      </w:r>
      <w:r>
        <w:t xml:space="preserve">, particularly racial discrimination, </w:t>
      </w:r>
      <w:r w:rsidR="00562DA6">
        <w:t>is</w:t>
      </w:r>
      <w:r w:rsidR="00D46E5A" w:rsidRPr="00872D32">
        <w:t xml:space="preserve"> </w:t>
      </w:r>
      <w:r w:rsidR="00E95987" w:rsidRPr="00872D32">
        <w:t xml:space="preserve">systemic </w:t>
      </w:r>
      <w:r w:rsidR="00562DA6">
        <w:t xml:space="preserve">in </w:t>
      </w:r>
      <w:r w:rsidR="00E95987" w:rsidRPr="00872D32">
        <w:t>nature</w:t>
      </w:r>
      <w:r w:rsidR="00562DA6">
        <w:t xml:space="preserve">, </w:t>
      </w:r>
      <w:r w:rsidR="00395898">
        <w:t>with,</w:t>
      </w:r>
      <w:r w:rsidR="006E26FB" w:rsidRPr="00872D32">
        <w:t xml:space="preserve"> often hard-to-measure </w:t>
      </w:r>
      <w:r w:rsidR="00562DA6">
        <w:t>effects</w:t>
      </w:r>
      <w:r w:rsidR="00562DA6" w:rsidRPr="00872D32">
        <w:t xml:space="preserve"> </w:t>
      </w:r>
      <w:r w:rsidR="00562DA6">
        <w:t xml:space="preserve">that </w:t>
      </w:r>
      <w:r w:rsidR="006E26FB" w:rsidRPr="00872D32">
        <w:t>impac</w:t>
      </w:r>
      <w:r w:rsidR="00562DA6">
        <w:t>t</w:t>
      </w:r>
      <w:r w:rsidR="006E26FB" w:rsidRPr="00872D32">
        <w:t xml:space="preserve"> the free and equal enjoyment of civil and political rights by all</w:t>
      </w:r>
      <w:r w:rsidR="00C847D6" w:rsidRPr="00872D32">
        <w:t xml:space="preserve">. </w:t>
      </w:r>
    </w:p>
    <w:p w14:paraId="6DB4FB6D" w14:textId="3BC79274" w:rsidR="00D83840" w:rsidRPr="00872D32" w:rsidRDefault="00F2629F" w:rsidP="00097D21">
      <w:pPr>
        <w:pStyle w:val="ListParagraph"/>
        <w:numPr>
          <w:ilvl w:val="1"/>
          <w:numId w:val="15"/>
        </w:numPr>
        <w:contextualSpacing w:val="0"/>
      </w:pPr>
      <w:r>
        <w:t>P</w:t>
      </w:r>
      <w:r w:rsidR="00C21386" w:rsidRPr="00872D32">
        <w:t xml:space="preserve">rovincial/territorial </w:t>
      </w:r>
      <w:r w:rsidR="00444062" w:rsidRPr="00872D32">
        <w:t>human rights institutions (including judiciary bodies)</w:t>
      </w:r>
      <w:r w:rsidR="00C21386" w:rsidRPr="00872D32">
        <w:t xml:space="preserve"> </w:t>
      </w:r>
      <w:r>
        <w:t xml:space="preserve">play a </w:t>
      </w:r>
      <w:r w:rsidR="00AA778B">
        <w:t>vital</w:t>
      </w:r>
      <w:r>
        <w:t xml:space="preserve"> role in the protection and advancement of human rights in Canada. A review of how </w:t>
      </w:r>
      <w:r w:rsidR="002B461E">
        <w:t>these institutions have been resourced</w:t>
      </w:r>
      <w:r>
        <w:t xml:space="preserve"> </w:t>
      </w:r>
      <w:r w:rsidR="00444062" w:rsidRPr="00872D32">
        <w:t>over the past decade</w:t>
      </w:r>
      <w:r w:rsidR="00CF3916">
        <w:t>,</w:t>
      </w:r>
      <w:r w:rsidR="00444062" w:rsidRPr="00872D32">
        <w:t xml:space="preserve"> and how this has </w:t>
      </w:r>
      <w:r w:rsidR="00D9737B" w:rsidRPr="00872D32">
        <w:t>affected</w:t>
      </w:r>
      <w:r w:rsidR="00444062" w:rsidRPr="00872D32">
        <w:t xml:space="preserve"> </w:t>
      </w:r>
      <w:r w:rsidR="00D9737B" w:rsidRPr="00872D32">
        <w:t xml:space="preserve">their </w:t>
      </w:r>
      <w:r w:rsidR="00444062" w:rsidRPr="00872D32">
        <w:t>effectiveness</w:t>
      </w:r>
      <w:r w:rsidR="00C21386" w:rsidRPr="00872D32">
        <w:t xml:space="preserve"> and rights-holders</w:t>
      </w:r>
      <w:r w:rsidR="00A456BA" w:rsidRPr="00872D32">
        <w:t>’</w:t>
      </w:r>
      <w:r w:rsidR="00C21386" w:rsidRPr="00872D32">
        <w:t xml:space="preserve"> access to justice</w:t>
      </w:r>
      <w:r w:rsidR="00CF3916">
        <w:t xml:space="preserve"> </w:t>
      </w:r>
      <w:r w:rsidR="00071847" w:rsidRPr="00872D32">
        <w:t xml:space="preserve">per article 2.3 of the </w:t>
      </w:r>
      <w:r w:rsidR="00071847" w:rsidRPr="00872D32">
        <w:rPr>
          <w:i/>
          <w:iCs/>
        </w:rPr>
        <w:t>Covenant</w:t>
      </w:r>
      <w:r w:rsidR="00910220">
        <w:t xml:space="preserve">, would be </w:t>
      </w:r>
      <w:r w:rsidR="0000208C">
        <w:t xml:space="preserve">significant in understanding the human rights </w:t>
      </w:r>
      <w:r w:rsidR="00AA778B">
        <w:t>landscape in Canada</w:t>
      </w:r>
      <w:r w:rsidR="00C21386" w:rsidRPr="00872D32">
        <w:t xml:space="preserve">. </w:t>
      </w:r>
    </w:p>
    <w:p w14:paraId="65DC1542" w14:textId="51A75ECF" w:rsidR="000A531A" w:rsidRPr="00872D32" w:rsidRDefault="00E23A64" w:rsidP="00097D21">
      <w:pPr>
        <w:pStyle w:val="ListParagraph"/>
        <w:numPr>
          <w:ilvl w:val="1"/>
          <w:numId w:val="15"/>
        </w:numPr>
        <w:contextualSpacing w:val="0"/>
      </w:pPr>
      <w:r>
        <w:t>A</w:t>
      </w:r>
      <w:r w:rsidR="00243243" w:rsidRPr="00872D32">
        <w:t>ppropriate representation of the diverse groups most marginalized and most impacted by human rights violations and systemic discrimination in Canada during the constructive dialogue</w:t>
      </w:r>
      <w:r w:rsidR="00083FE6">
        <w:t xml:space="preserve"> is important and encouraged</w:t>
      </w:r>
      <w:r w:rsidR="00243243" w:rsidRPr="00872D32">
        <w:t>. This notably includes, but is not limited to: Black, Indigenous,</w:t>
      </w:r>
      <w:r w:rsidR="00907BB8" w:rsidRPr="00872D32">
        <w:t xml:space="preserve"> </w:t>
      </w:r>
      <w:r w:rsidR="00243243" w:rsidRPr="00872D32">
        <w:t>racialized</w:t>
      </w:r>
      <w:r w:rsidR="004F71F5" w:rsidRPr="00872D32">
        <w:t xml:space="preserve"> </w:t>
      </w:r>
      <w:r w:rsidR="00243243" w:rsidRPr="00872D32">
        <w:t>and gender-</w:t>
      </w:r>
      <w:r w:rsidR="004F71F5" w:rsidRPr="00872D32">
        <w:t>non-conforming</w:t>
      </w:r>
      <w:r w:rsidR="00243243" w:rsidRPr="00872D32">
        <w:t xml:space="preserve"> people, people with diverse disabilities, people who have experienced homelessness, people who have experienced incarceration, women, youth, and elders.</w:t>
      </w:r>
    </w:p>
    <w:p w14:paraId="2F5DD609" w14:textId="6FB6AEFC" w:rsidR="00243243" w:rsidRDefault="00B30698" w:rsidP="005F4028">
      <w:pPr>
        <w:pStyle w:val="ListParagraph"/>
        <w:numPr>
          <w:ilvl w:val="1"/>
          <w:numId w:val="15"/>
        </w:numPr>
        <w:contextualSpacing w:val="0"/>
      </w:pPr>
      <w:r>
        <w:t>A clear</w:t>
      </w:r>
      <w:r w:rsidR="00216A4E" w:rsidRPr="00872D32">
        <w:t xml:space="preserve"> delineat</w:t>
      </w:r>
      <w:r>
        <w:t>ion of</w:t>
      </w:r>
      <w:r w:rsidR="00B3086B" w:rsidRPr="00872D32">
        <w:t xml:space="preserve"> </w:t>
      </w:r>
      <w:r w:rsidR="00BE212C" w:rsidRPr="00872D32">
        <w:t xml:space="preserve">the distinct obligations </w:t>
      </w:r>
      <w:r w:rsidR="00293E3E" w:rsidRPr="00872D32">
        <w:t xml:space="preserve">under the </w:t>
      </w:r>
      <w:r w:rsidR="00293E3E" w:rsidRPr="00872D32">
        <w:rPr>
          <w:i/>
          <w:iCs/>
        </w:rPr>
        <w:t>Covenant</w:t>
      </w:r>
      <w:r w:rsidR="00293E3E">
        <w:rPr>
          <w:i/>
          <w:iCs/>
        </w:rPr>
        <w:t xml:space="preserve"> </w:t>
      </w:r>
      <w:r w:rsidR="008A4365">
        <w:t>that apply</w:t>
      </w:r>
      <w:r w:rsidR="00293E3E">
        <w:t xml:space="preserve"> to</w:t>
      </w:r>
      <w:r w:rsidR="00AD781E" w:rsidRPr="00AD781E">
        <w:t xml:space="preserve"> </w:t>
      </w:r>
      <w:r w:rsidR="00BE212C" w:rsidRPr="00872D32">
        <w:t>the federal government</w:t>
      </w:r>
      <w:r w:rsidR="00293E3E">
        <w:t xml:space="preserve">, </w:t>
      </w:r>
      <w:r w:rsidR="00BE212C" w:rsidRPr="00872D32">
        <w:t>provincial/territorial governments</w:t>
      </w:r>
      <w:r w:rsidR="00A510A3">
        <w:t xml:space="preserve">, as well as </w:t>
      </w:r>
      <w:r w:rsidR="0095357B" w:rsidRPr="00872D32">
        <w:t>delegated governments</w:t>
      </w:r>
      <w:r w:rsidR="00293E3E">
        <w:t xml:space="preserve"> such as </w:t>
      </w:r>
      <w:r w:rsidR="0095357B" w:rsidRPr="00872D32">
        <w:t>municipalities</w:t>
      </w:r>
      <w:r w:rsidR="0095357B">
        <w:t xml:space="preserve"> </w:t>
      </w:r>
      <w:r w:rsidR="00293E3E">
        <w:t xml:space="preserve">would </w:t>
      </w:r>
      <w:r w:rsidR="00C95F45">
        <w:t xml:space="preserve">help </w:t>
      </w:r>
      <w:r w:rsidR="00C77D5B">
        <w:t>with</w:t>
      </w:r>
      <w:r w:rsidR="00C95F45">
        <w:t xml:space="preserve"> </w:t>
      </w:r>
      <w:r w:rsidR="00C77D5B">
        <w:t xml:space="preserve">the effective implementation and monitoring of the </w:t>
      </w:r>
      <w:r w:rsidR="008A4365" w:rsidRPr="00872D32">
        <w:t>concluding observations</w:t>
      </w:r>
      <w:r w:rsidR="00C77D5B">
        <w:t>.</w:t>
      </w:r>
    </w:p>
    <w:p w14:paraId="0AE46214" w14:textId="504769AF" w:rsidR="00243243" w:rsidRPr="00872D32" w:rsidRDefault="00DC2448" w:rsidP="004130DB">
      <w:pPr>
        <w:pStyle w:val="ListParagraph"/>
        <w:numPr>
          <w:ilvl w:val="0"/>
          <w:numId w:val="0"/>
        </w:numPr>
        <w:ind w:left="1440"/>
        <w:contextualSpacing w:val="0"/>
      </w:pPr>
      <w:r>
        <w:t>New</w:t>
      </w:r>
      <w:r w:rsidR="009A1242" w:rsidRPr="00872D32">
        <w:t xml:space="preserve"> issue</w:t>
      </w:r>
      <w:r>
        <w:t>s</w:t>
      </w:r>
      <w:r w:rsidR="009A1242" w:rsidRPr="00872D32">
        <w:t xml:space="preserve"> may </w:t>
      </w:r>
      <w:r w:rsidR="00775053" w:rsidRPr="00872D32">
        <w:t>emerge</w:t>
      </w:r>
      <w:r w:rsidR="009A1242" w:rsidRPr="00872D32">
        <w:t xml:space="preserve"> between this submission and the scheduled constructive dialogue with Canada</w:t>
      </w:r>
      <w:r w:rsidR="004C5A69">
        <w:t xml:space="preserve"> that may require further exploration</w:t>
      </w:r>
      <w:r w:rsidR="009A1242" w:rsidRPr="00872D32">
        <w:t>.</w:t>
      </w:r>
    </w:p>
    <w:sectPr w:rsidR="00243243" w:rsidRPr="00872D32" w:rsidSect="00734024">
      <w:headerReference w:type="even" r:id="rId147"/>
      <w:headerReference w:type="default" r:id="rId148"/>
      <w:footerReference w:type="default" r:id="rId149"/>
      <w:footerReference w:type="first" r:id="rId150"/>
      <w:type w:val="continuous"/>
      <w:pgSz w:w="12240" w:h="15840" w:code="1"/>
      <w:pgMar w:top="1094" w:right="1440" w:bottom="1440" w:left="1440" w:header="706" w:footer="3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95A49" w14:textId="77777777" w:rsidR="00E52035" w:rsidRDefault="00E52035" w:rsidP="003B2A26">
      <w:r>
        <w:separator/>
      </w:r>
    </w:p>
  </w:endnote>
  <w:endnote w:type="continuationSeparator" w:id="0">
    <w:p w14:paraId="33F9E635" w14:textId="77777777" w:rsidR="00E52035" w:rsidRDefault="00E52035" w:rsidP="003B2A26">
      <w:r>
        <w:continuationSeparator/>
      </w:r>
    </w:p>
  </w:endnote>
  <w:endnote w:type="continuationNotice" w:id="1">
    <w:p w14:paraId="6C5FA672" w14:textId="77777777" w:rsidR="00E52035" w:rsidRDefault="00E52035" w:rsidP="003B2A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leway">
    <w:panose1 w:val="00000500000000000000"/>
    <w:charset w:val="00"/>
    <w:family w:val="modern"/>
    <w:notTrueType/>
    <w:pitch w:val="variable"/>
    <w:sig w:usb0="20000207"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Times New Roman (Body CS)">
    <w:altName w:val="Times New Roman"/>
    <w:charset w:val="00"/>
    <w:family w:val="roman"/>
    <w:pitch w:val="default"/>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2DB9F" w14:textId="5F861412" w:rsidR="0048255E" w:rsidRPr="0074330D" w:rsidRDefault="00DB5F8E" w:rsidP="00DB5F8E">
    <w:pPr>
      <w:pStyle w:val="Footer"/>
      <w:jc w:val="center"/>
      <w:rPr>
        <w:cs/>
      </w:rPr>
    </w:pPr>
    <w:r>
      <w:t>Ontario Human Rights Commission</w:t>
    </w:r>
    <w:r w:rsidR="002B2A14">
      <w:t xml:space="preserve"> | </w:t>
    </w:r>
    <w:r w:rsidR="002B2A14">
      <w:fldChar w:fldCharType="begin"/>
    </w:r>
    <w:r w:rsidR="002B2A14">
      <w:instrText xml:space="preserve"> PAGE   \* MERGEFORMAT </w:instrText>
    </w:r>
    <w:r w:rsidR="002B2A14">
      <w:fldChar w:fldCharType="separate"/>
    </w:r>
    <w:r w:rsidR="002B2A14">
      <w:rPr>
        <w:noProof/>
      </w:rPr>
      <w:t>2</w:t>
    </w:r>
    <w:r w:rsidR="002B2A1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4A20A" w14:textId="4EA058AE" w:rsidR="0048255E" w:rsidRPr="002B2A14" w:rsidRDefault="00DB5F8E" w:rsidP="00DB5F8E">
    <w:pPr>
      <w:pStyle w:val="Footer"/>
      <w:jc w:val="center"/>
    </w:pPr>
    <w:r>
      <w:t>Ontario Human Rights Commission</w:t>
    </w:r>
    <w:r w:rsidR="002B2A14">
      <w:t xml:space="preserve"> | </w:t>
    </w:r>
    <w:r w:rsidR="002B2A14">
      <w:fldChar w:fldCharType="begin"/>
    </w:r>
    <w:r w:rsidR="002B2A14">
      <w:instrText xml:space="preserve"> PAGE   \* MERGEFORMAT </w:instrText>
    </w:r>
    <w:r w:rsidR="002B2A14">
      <w:fldChar w:fldCharType="separate"/>
    </w:r>
    <w:r w:rsidR="002B2A14">
      <w:t>5</w:t>
    </w:r>
    <w:r w:rsidR="002B2A1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7D2E6" w14:textId="77777777" w:rsidR="00E52035" w:rsidRDefault="00E52035" w:rsidP="003B2A26">
      <w:r>
        <w:separator/>
      </w:r>
    </w:p>
  </w:footnote>
  <w:footnote w:type="continuationSeparator" w:id="0">
    <w:p w14:paraId="056933D9" w14:textId="77777777" w:rsidR="00E52035" w:rsidRDefault="00E52035" w:rsidP="003B2A26">
      <w:r>
        <w:continuationSeparator/>
      </w:r>
    </w:p>
  </w:footnote>
  <w:footnote w:type="continuationNotice" w:id="1">
    <w:p w14:paraId="28A5C4E8" w14:textId="77777777" w:rsidR="00E52035" w:rsidRDefault="00E52035" w:rsidP="003B2A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B9A73" w14:textId="77777777" w:rsidR="0048255E" w:rsidRDefault="002022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E732E">
      <w:rPr>
        <w:rStyle w:val="PageNumber"/>
        <w:noProof/>
      </w:rPr>
      <w:t>5</w:t>
    </w:r>
    <w:r>
      <w:rPr>
        <w:rStyle w:val="PageNumber"/>
      </w:rPr>
      <w:fldChar w:fldCharType="end"/>
    </w:r>
  </w:p>
  <w:p w14:paraId="4201055E" w14:textId="77777777" w:rsidR="0048255E" w:rsidRDefault="0048255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4C535" w14:textId="490153D2" w:rsidR="0048255E" w:rsidRDefault="0048255E" w:rsidP="00D33A71">
    <w:pPr>
      <w:pStyle w:val="Header"/>
      <w:ind w:right="360"/>
    </w:pPr>
  </w:p>
  <w:p w14:paraId="18BC397A" w14:textId="77777777" w:rsidR="0063293D" w:rsidRDefault="0063293D" w:rsidP="00D33A71">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24ACAFE"/>
    <w:lvl w:ilvl="0">
      <w:start w:val="1"/>
      <w:numFmt w:val="decimal"/>
      <w:pStyle w:val="ListNumber3"/>
      <w:lvlText w:val="%1."/>
      <w:lvlJc w:val="left"/>
      <w:pPr>
        <w:tabs>
          <w:tab w:val="num" w:pos="1080"/>
        </w:tabs>
        <w:ind w:left="1080" w:hanging="360"/>
      </w:pPr>
    </w:lvl>
  </w:abstractNum>
  <w:abstractNum w:abstractNumId="1" w15:restartNumberingAfterBreak="0">
    <w:nsid w:val="FFFFFF82"/>
    <w:multiLevelType w:val="singleLevel"/>
    <w:tmpl w:val="60C497E6"/>
    <w:lvl w:ilvl="0">
      <w:start w:val="1"/>
      <w:numFmt w:val="bullet"/>
      <w:pStyle w:val="ListBullet3"/>
      <w:lvlText w:val=""/>
      <w:lvlJc w:val="left"/>
      <w:pPr>
        <w:ind w:left="1080" w:hanging="360"/>
      </w:pPr>
      <w:rPr>
        <w:rFonts w:ascii="Wingdings" w:hAnsi="Wingdings" w:hint="default"/>
      </w:rPr>
    </w:lvl>
  </w:abstractNum>
  <w:abstractNum w:abstractNumId="2" w15:restartNumberingAfterBreak="0">
    <w:nsid w:val="0A242D3D"/>
    <w:multiLevelType w:val="multilevel"/>
    <w:tmpl w:val="6CE0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841D1C"/>
    <w:multiLevelType w:val="hybridMultilevel"/>
    <w:tmpl w:val="DAB013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1683416D"/>
    <w:multiLevelType w:val="multilevel"/>
    <w:tmpl w:val="576E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4F1DF6"/>
    <w:multiLevelType w:val="multilevel"/>
    <w:tmpl w:val="354A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A1722A"/>
    <w:multiLevelType w:val="multilevel"/>
    <w:tmpl w:val="EA127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6429F9"/>
    <w:multiLevelType w:val="multilevel"/>
    <w:tmpl w:val="DB98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BA4130"/>
    <w:multiLevelType w:val="hybridMultilevel"/>
    <w:tmpl w:val="9522A7D0"/>
    <w:lvl w:ilvl="0" w:tplc="6D8865C6">
      <w:numFmt w:val="bullet"/>
      <w:lvlText w:val=""/>
      <w:lvlJc w:val="left"/>
      <w:pPr>
        <w:ind w:left="720" w:hanging="360"/>
      </w:pPr>
      <w:rPr>
        <w:rFonts w:ascii="Symbol" w:eastAsia="Arial" w:hAnsi="Symbol" w:cs="Times New Roman" w:hint="default"/>
      </w:rPr>
    </w:lvl>
    <w:lvl w:ilvl="1" w:tplc="70AC0F00">
      <w:start w:val="1"/>
      <w:numFmt w:val="bullet"/>
      <w:pStyle w:val="ListBullet2"/>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1F6722"/>
    <w:multiLevelType w:val="multilevel"/>
    <w:tmpl w:val="7E1EC60E"/>
    <w:lvl w:ilvl="0">
      <w:start w:val="1"/>
      <w:numFmt w:val="decimal"/>
      <w:lvlText w:val="%1)"/>
      <w:lvlJc w:val="left"/>
      <w:pPr>
        <w:ind w:left="567" w:hanging="567"/>
      </w:pPr>
      <w:rPr>
        <w:rFonts w:hint="default"/>
      </w:rPr>
    </w:lvl>
    <w:lvl w:ilvl="1">
      <w:start w:val="1"/>
      <w:numFmt w:val="lowerLetter"/>
      <w:pStyle w:val="ListNumber2"/>
      <w:lvlText w:val="%2)"/>
      <w:lvlJc w:val="left"/>
      <w:pPr>
        <w:ind w:left="1021" w:hanging="567"/>
      </w:pPr>
      <w:rPr>
        <w:rFonts w:hint="default"/>
      </w:rPr>
    </w:lvl>
    <w:lvl w:ilvl="2">
      <w:start w:val="1"/>
      <w:numFmt w:val="lowerRoman"/>
      <w:lvlText w:val="%3)"/>
      <w:lvlJc w:val="left"/>
      <w:pPr>
        <w:ind w:left="1475" w:hanging="567"/>
      </w:pPr>
      <w:rPr>
        <w:rFonts w:hint="default"/>
      </w:rPr>
    </w:lvl>
    <w:lvl w:ilvl="3">
      <w:start w:val="1"/>
      <w:numFmt w:val="decimal"/>
      <w:lvlText w:val="(%4)"/>
      <w:lvlJc w:val="left"/>
      <w:pPr>
        <w:ind w:left="1929" w:hanging="567"/>
      </w:pPr>
      <w:rPr>
        <w:rFonts w:hint="default"/>
      </w:rPr>
    </w:lvl>
    <w:lvl w:ilvl="4">
      <w:start w:val="1"/>
      <w:numFmt w:val="lowerLetter"/>
      <w:lvlText w:val="(%5)"/>
      <w:lvlJc w:val="left"/>
      <w:pPr>
        <w:ind w:left="2383" w:hanging="567"/>
      </w:pPr>
      <w:rPr>
        <w:rFonts w:hint="default"/>
      </w:rPr>
    </w:lvl>
    <w:lvl w:ilvl="5">
      <w:start w:val="1"/>
      <w:numFmt w:val="lowerRoman"/>
      <w:lvlText w:val="(%6)"/>
      <w:lvlJc w:val="left"/>
      <w:pPr>
        <w:ind w:left="2837" w:hanging="567"/>
      </w:pPr>
      <w:rPr>
        <w:rFonts w:hint="default"/>
      </w:rPr>
    </w:lvl>
    <w:lvl w:ilvl="6">
      <w:start w:val="1"/>
      <w:numFmt w:val="decimal"/>
      <w:lvlText w:val="%7."/>
      <w:lvlJc w:val="left"/>
      <w:pPr>
        <w:ind w:left="3291" w:hanging="567"/>
      </w:pPr>
      <w:rPr>
        <w:rFonts w:hint="default"/>
      </w:rPr>
    </w:lvl>
    <w:lvl w:ilvl="7">
      <w:start w:val="1"/>
      <w:numFmt w:val="lowerLetter"/>
      <w:lvlText w:val="%8."/>
      <w:lvlJc w:val="left"/>
      <w:pPr>
        <w:ind w:left="3745" w:hanging="567"/>
      </w:pPr>
      <w:rPr>
        <w:rFonts w:hint="default"/>
      </w:rPr>
    </w:lvl>
    <w:lvl w:ilvl="8">
      <w:start w:val="1"/>
      <w:numFmt w:val="lowerRoman"/>
      <w:lvlText w:val="%9."/>
      <w:lvlJc w:val="left"/>
      <w:pPr>
        <w:ind w:left="4199" w:hanging="567"/>
      </w:pPr>
      <w:rPr>
        <w:rFonts w:hint="default"/>
      </w:rPr>
    </w:lvl>
  </w:abstractNum>
  <w:abstractNum w:abstractNumId="10" w15:restartNumberingAfterBreak="0">
    <w:nsid w:val="2B0E7ECE"/>
    <w:multiLevelType w:val="multilevel"/>
    <w:tmpl w:val="1228C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F11B1C"/>
    <w:multiLevelType w:val="hybridMultilevel"/>
    <w:tmpl w:val="D0E2FFC8"/>
    <w:lvl w:ilvl="0" w:tplc="422878D6">
      <w:start w:val="1"/>
      <w:numFmt w:val="bullet"/>
      <w:lvlText w:val=""/>
      <w:lvlJc w:val="left"/>
      <w:pPr>
        <w:ind w:left="720" w:hanging="360"/>
      </w:pPr>
      <w:rPr>
        <w:rFonts w:ascii="Symbol" w:hAnsi="Symbol" w:hint="default"/>
      </w:rPr>
    </w:lvl>
    <w:lvl w:ilvl="1" w:tplc="13980678">
      <w:start w:val="1"/>
      <w:numFmt w:val="bullet"/>
      <w:lvlText w:val="o"/>
      <w:lvlJc w:val="left"/>
      <w:pPr>
        <w:ind w:left="1440" w:hanging="360"/>
      </w:pPr>
      <w:rPr>
        <w:rFonts w:ascii="Courier New" w:hAnsi="Courier New" w:hint="default"/>
      </w:rPr>
    </w:lvl>
    <w:lvl w:ilvl="2" w:tplc="AA9EE6D8">
      <w:start w:val="1"/>
      <w:numFmt w:val="bullet"/>
      <w:lvlText w:val=""/>
      <w:lvlJc w:val="left"/>
      <w:pPr>
        <w:ind w:left="2160" w:hanging="360"/>
      </w:pPr>
      <w:rPr>
        <w:rFonts w:ascii="Wingdings" w:hAnsi="Wingdings" w:hint="default"/>
      </w:rPr>
    </w:lvl>
    <w:lvl w:ilvl="3" w:tplc="A6BAD71E">
      <w:start w:val="1"/>
      <w:numFmt w:val="bullet"/>
      <w:lvlText w:val=""/>
      <w:lvlJc w:val="left"/>
      <w:pPr>
        <w:ind w:left="2880" w:hanging="360"/>
      </w:pPr>
      <w:rPr>
        <w:rFonts w:ascii="Symbol" w:hAnsi="Symbol" w:hint="default"/>
      </w:rPr>
    </w:lvl>
    <w:lvl w:ilvl="4" w:tplc="35FA3D66">
      <w:start w:val="1"/>
      <w:numFmt w:val="bullet"/>
      <w:lvlText w:val="o"/>
      <w:lvlJc w:val="left"/>
      <w:pPr>
        <w:ind w:left="3600" w:hanging="360"/>
      </w:pPr>
      <w:rPr>
        <w:rFonts w:ascii="Courier New" w:hAnsi="Courier New" w:hint="default"/>
      </w:rPr>
    </w:lvl>
    <w:lvl w:ilvl="5" w:tplc="E43A1816">
      <w:start w:val="1"/>
      <w:numFmt w:val="bullet"/>
      <w:lvlText w:val=""/>
      <w:lvlJc w:val="left"/>
      <w:pPr>
        <w:ind w:left="4320" w:hanging="360"/>
      </w:pPr>
      <w:rPr>
        <w:rFonts w:ascii="Wingdings" w:hAnsi="Wingdings" w:hint="default"/>
      </w:rPr>
    </w:lvl>
    <w:lvl w:ilvl="6" w:tplc="5E20645A">
      <w:start w:val="1"/>
      <w:numFmt w:val="bullet"/>
      <w:lvlText w:val=""/>
      <w:lvlJc w:val="left"/>
      <w:pPr>
        <w:ind w:left="5040" w:hanging="360"/>
      </w:pPr>
      <w:rPr>
        <w:rFonts w:ascii="Symbol" w:hAnsi="Symbol" w:hint="default"/>
      </w:rPr>
    </w:lvl>
    <w:lvl w:ilvl="7" w:tplc="3D28AD84">
      <w:start w:val="1"/>
      <w:numFmt w:val="bullet"/>
      <w:lvlText w:val="o"/>
      <w:lvlJc w:val="left"/>
      <w:pPr>
        <w:ind w:left="5760" w:hanging="360"/>
      </w:pPr>
      <w:rPr>
        <w:rFonts w:ascii="Courier New" w:hAnsi="Courier New" w:hint="default"/>
      </w:rPr>
    </w:lvl>
    <w:lvl w:ilvl="8" w:tplc="1786F160">
      <w:start w:val="1"/>
      <w:numFmt w:val="bullet"/>
      <w:lvlText w:val=""/>
      <w:lvlJc w:val="left"/>
      <w:pPr>
        <w:ind w:left="6480" w:hanging="360"/>
      </w:pPr>
      <w:rPr>
        <w:rFonts w:ascii="Wingdings" w:hAnsi="Wingdings" w:hint="default"/>
      </w:rPr>
    </w:lvl>
  </w:abstractNum>
  <w:abstractNum w:abstractNumId="12" w15:restartNumberingAfterBreak="0">
    <w:nsid w:val="2F7548FE"/>
    <w:multiLevelType w:val="multilevel"/>
    <w:tmpl w:val="FA90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C25F60"/>
    <w:multiLevelType w:val="multilevel"/>
    <w:tmpl w:val="84D8E6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eastAsia="Arial" w:hAnsi="Wingdings" w:cs="Segoe U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C55BBD"/>
    <w:multiLevelType w:val="hybridMultilevel"/>
    <w:tmpl w:val="760E8422"/>
    <w:lvl w:ilvl="0" w:tplc="896C5728">
      <w:start w:val="1"/>
      <w:numFmt w:val="decimal"/>
      <w:pStyle w:val="ListNumber"/>
      <w:lvlText w:val="%1."/>
      <w:lvlJc w:val="righ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7DF291A"/>
    <w:multiLevelType w:val="hybridMultilevel"/>
    <w:tmpl w:val="1F2E98A6"/>
    <w:lvl w:ilvl="0" w:tplc="A1EC84EE">
      <w:start w:val="1"/>
      <w:numFmt w:val="bullet"/>
      <w:lvlText w:val=""/>
      <w:lvlJc w:val="left"/>
      <w:pPr>
        <w:ind w:left="1560" w:hanging="360"/>
      </w:pPr>
      <w:rPr>
        <w:rFonts w:ascii="Symbol" w:hAnsi="Symbol"/>
      </w:rPr>
    </w:lvl>
    <w:lvl w:ilvl="1" w:tplc="203AB6C2">
      <w:start w:val="1"/>
      <w:numFmt w:val="bullet"/>
      <w:lvlText w:val=""/>
      <w:lvlJc w:val="left"/>
      <w:pPr>
        <w:ind w:left="1560" w:hanging="360"/>
      </w:pPr>
      <w:rPr>
        <w:rFonts w:ascii="Symbol" w:hAnsi="Symbol"/>
      </w:rPr>
    </w:lvl>
    <w:lvl w:ilvl="2" w:tplc="ABD45500">
      <w:start w:val="1"/>
      <w:numFmt w:val="bullet"/>
      <w:lvlText w:val=""/>
      <w:lvlJc w:val="left"/>
      <w:pPr>
        <w:ind w:left="1560" w:hanging="360"/>
      </w:pPr>
      <w:rPr>
        <w:rFonts w:ascii="Symbol" w:hAnsi="Symbol"/>
      </w:rPr>
    </w:lvl>
    <w:lvl w:ilvl="3" w:tplc="38EAC76A">
      <w:start w:val="1"/>
      <w:numFmt w:val="bullet"/>
      <w:lvlText w:val=""/>
      <w:lvlJc w:val="left"/>
      <w:pPr>
        <w:ind w:left="1560" w:hanging="360"/>
      </w:pPr>
      <w:rPr>
        <w:rFonts w:ascii="Symbol" w:hAnsi="Symbol"/>
      </w:rPr>
    </w:lvl>
    <w:lvl w:ilvl="4" w:tplc="E7D0BE1E">
      <w:start w:val="1"/>
      <w:numFmt w:val="bullet"/>
      <w:lvlText w:val=""/>
      <w:lvlJc w:val="left"/>
      <w:pPr>
        <w:ind w:left="1560" w:hanging="360"/>
      </w:pPr>
      <w:rPr>
        <w:rFonts w:ascii="Symbol" w:hAnsi="Symbol"/>
      </w:rPr>
    </w:lvl>
    <w:lvl w:ilvl="5" w:tplc="3908610E">
      <w:start w:val="1"/>
      <w:numFmt w:val="bullet"/>
      <w:lvlText w:val=""/>
      <w:lvlJc w:val="left"/>
      <w:pPr>
        <w:ind w:left="1560" w:hanging="360"/>
      </w:pPr>
      <w:rPr>
        <w:rFonts w:ascii="Symbol" w:hAnsi="Symbol"/>
      </w:rPr>
    </w:lvl>
    <w:lvl w:ilvl="6" w:tplc="CD3E825E">
      <w:start w:val="1"/>
      <w:numFmt w:val="bullet"/>
      <w:lvlText w:val=""/>
      <w:lvlJc w:val="left"/>
      <w:pPr>
        <w:ind w:left="1560" w:hanging="360"/>
      </w:pPr>
      <w:rPr>
        <w:rFonts w:ascii="Symbol" w:hAnsi="Symbol"/>
      </w:rPr>
    </w:lvl>
    <w:lvl w:ilvl="7" w:tplc="F376C068">
      <w:start w:val="1"/>
      <w:numFmt w:val="bullet"/>
      <w:lvlText w:val=""/>
      <w:lvlJc w:val="left"/>
      <w:pPr>
        <w:ind w:left="1560" w:hanging="360"/>
      </w:pPr>
      <w:rPr>
        <w:rFonts w:ascii="Symbol" w:hAnsi="Symbol"/>
      </w:rPr>
    </w:lvl>
    <w:lvl w:ilvl="8" w:tplc="057CC98E">
      <w:start w:val="1"/>
      <w:numFmt w:val="bullet"/>
      <w:lvlText w:val=""/>
      <w:lvlJc w:val="left"/>
      <w:pPr>
        <w:ind w:left="1560" w:hanging="360"/>
      </w:pPr>
      <w:rPr>
        <w:rFonts w:ascii="Symbol" w:hAnsi="Symbol"/>
      </w:rPr>
    </w:lvl>
  </w:abstractNum>
  <w:abstractNum w:abstractNumId="16" w15:restartNumberingAfterBreak="0">
    <w:nsid w:val="384C0166"/>
    <w:multiLevelType w:val="hybridMultilevel"/>
    <w:tmpl w:val="0BE0EC62"/>
    <w:lvl w:ilvl="0" w:tplc="C792CED2">
      <w:start w:val="1"/>
      <w:numFmt w:val="bullet"/>
      <w:lvlText w:val=""/>
      <w:lvlJc w:val="left"/>
      <w:pPr>
        <w:ind w:left="720" w:hanging="360"/>
      </w:pPr>
      <w:rPr>
        <w:rFonts w:ascii="Symbol" w:eastAsia="Arial" w:hAnsi="Symbo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3E643115"/>
    <w:multiLevelType w:val="hybridMultilevel"/>
    <w:tmpl w:val="64FEBEB0"/>
    <w:lvl w:ilvl="0" w:tplc="F56A73D4">
      <w:start w:val="1"/>
      <w:numFmt w:val="bullet"/>
      <w:lvlText w:val=""/>
      <w:lvlJc w:val="left"/>
      <w:pPr>
        <w:ind w:left="1560" w:hanging="360"/>
      </w:pPr>
      <w:rPr>
        <w:rFonts w:ascii="Symbol" w:hAnsi="Symbol"/>
      </w:rPr>
    </w:lvl>
    <w:lvl w:ilvl="1" w:tplc="012C36A6">
      <w:start w:val="1"/>
      <w:numFmt w:val="bullet"/>
      <w:lvlText w:val=""/>
      <w:lvlJc w:val="left"/>
      <w:pPr>
        <w:ind w:left="1560" w:hanging="360"/>
      </w:pPr>
      <w:rPr>
        <w:rFonts w:ascii="Symbol" w:hAnsi="Symbol"/>
      </w:rPr>
    </w:lvl>
    <w:lvl w:ilvl="2" w:tplc="08608AA0">
      <w:start w:val="1"/>
      <w:numFmt w:val="bullet"/>
      <w:lvlText w:val=""/>
      <w:lvlJc w:val="left"/>
      <w:pPr>
        <w:ind w:left="1560" w:hanging="360"/>
      </w:pPr>
      <w:rPr>
        <w:rFonts w:ascii="Symbol" w:hAnsi="Symbol"/>
      </w:rPr>
    </w:lvl>
    <w:lvl w:ilvl="3" w:tplc="C0ECC386">
      <w:start w:val="1"/>
      <w:numFmt w:val="bullet"/>
      <w:lvlText w:val=""/>
      <w:lvlJc w:val="left"/>
      <w:pPr>
        <w:ind w:left="1560" w:hanging="360"/>
      </w:pPr>
      <w:rPr>
        <w:rFonts w:ascii="Symbol" w:hAnsi="Symbol"/>
      </w:rPr>
    </w:lvl>
    <w:lvl w:ilvl="4" w:tplc="8462350C">
      <w:start w:val="1"/>
      <w:numFmt w:val="bullet"/>
      <w:lvlText w:val=""/>
      <w:lvlJc w:val="left"/>
      <w:pPr>
        <w:ind w:left="1560" w:hanging="360"/>
      </w:pPr>
      <w:rPr>
        <w:rFonts w:ascii="Symbol" w:hAnsi="Symbol"/>
      </w:rPr>
    </w:lvl>
    <w:lvl w:ilvl="5" w:tplc="6B70176C">
      <w:start w:val="1"/>
      <w:numFmt w:val="bullet"/>
      <w:lvlText w:val=""/>
      <w:lvlJc w:val="left"/>
      <w:pPr>
        <w:ind w:left="1560" w:hanging="360"/>
      </w:pPr>
      <w:rPr>
        <w:rFonts w:ascii="Symbol" w:hAnsi="Symbol"/>
      </w:rPr>
    </w:lvl>
    <w:lvl w:ilvl="6" w:tplc="0540C640">
      <w:start w:val="1"/>
      <w:numFmt w:val="bullet"/>
      <w:lvlText w:val=""/>
      <w:lvlJc w:val="left"/>
      <w:pPr>
        <w:ind w:left="1560" w:hanging="360"/>
      </w:pPr>
      <w:rPr>
        <w:rFonts w:ascii="Symbol" w:hAnsi="Symbol"/>
      </w:rPr>
    </w:lvl>
    <w:lvl w:ilvl="7" w:tplc="050CE0A6">
      <w:start w:val="1"/>
      <w:numFmt w:val="bullet"/>
      <w:lvlText w:val=""/>
      <w:lvlJc w:val="left"/>
      <w:pPr>
        <w:ind w:left="1560" w:hanging="360"/>
      </w:pPr>
      <w:rPr>
        <w:rFonts w:ascii="Symbol" w:hAnsi="Symbol"/>
      </w:rPr>
    </w:lvl>
    <w:lvl w:ilvl="8" w:tplc="CA303C76">
      <w:start w:val="1"/>
      <w:numFmt w:val="bullet"/>
      <w:lvlText w:val=""/>
      <w:lvlJc w:val="left"/>
      <w:pPr>
        <w:ind w:left="1560" w:hanging="360"/>
      </w:pPr>
      <w:rPr>
        <w:rFonts w:ascii="Symbol" w:hAnsi="Symbol"/>
      </w:rPr>
    </w:lvl>
  </w:abstractNum>
  <w:abstractNum w:abstractNumId="18" w15:restartNumberingAfterBreak="0">
    <w:nsid w:val="40263C9F"/>
    <w:multiLevelType w:val="multilevel"/>
    <w:tmpl w:val="527CED50"/>
    <w:lvl w:ilvl="0">
      <w:start w:val="1"/>
      <w:numFmt w:val="decimal"/>
      <w:pStyle w:val="ListContinue"/>
      <w:lvlText w:val="%1)"/>
      <w:lvlJc w:val="left"/>
      <w:pPr>
        <w:ind w:left="360" w:hanging="360"/>
      </w:pPr>
    </w:lvl>
    <w:lvl w:ilvl="1">
      <w:start w:val="1"/>
      <w:numFmt w:val="lowerLetter"/>
      <w:pStyle w:val="ListContinue2"/>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09F1CA0"/>
    <w:multiLevelType w:val="hybridMultilevel"/>
    <w:tmpl w:val="B88C79EA"/>
    <w:lvl w:ilvl="0" w:tplc="7CBA88C4">
      <w:start w:val="1"/>
      <w:numFmt w:val="bullet"/>
      <w:lvlText w:val=""/>
      <w:lvlJc w:val="left"/>
      <w:pPr>
        <w:ind w:left="1440" w:hanging="360"/>
      </w:pPr>
      <w:rPr>
        <w:rFonts w:ascii="Symbol" w:hAnsi="Symbol"/>
      </w:rPr>
    </w:lvl>
    <w:lvl w:ilvl="1" w:tplc="63D41470">
      <w:start w:val="1"/>
      <w:numFmt w:val="bullet"/>
      <w:lvlText w:val=""/>
      <w:lvlJc w:val="left"/>
      <w:pPr>
        <w:ind w:left="1440" w:hanging="360"/>
      </w:pPr>
      <w:rPr>
        <w:rFonts w:ascii="Symbol" w:hAnsi="Symbol"/>
      </w:rPr>
    </w:lvl>
    <w:lvl w:ilvl="2" w:tplc="4AC87176">
      <w:start w:val="1"/>
      <w:numFmt w:val="bullet"/>
      <w:lvlText w:val=""/>
      <w:lvlJc w:val="left"/>
      <w:pPr>
        <w:ind w:left="1440" w:hanging="360"/>
      </w:pPr>
      <w:rPr>
        <w:rFonts w:ascii="Symbol" w:hAnsi="Symbol"/>
      </w:rPr>
    </w:lvl>
    <w:lvl w:ilvl="3" w:tplc="3E3E2576">
      <w:start w:val="1"/>
      <w:numFmt w:val="bullet"/>
      <w:lvlText w:val=""/>
      <w:lvlJc w:val="left"/>
      <w:pPr>
        <w:ind w:left="1440" w:hanging="360"/>
      </w:pPr>
      <w:rPr>
        <w:rFonts w:ascii="Symbol" w:hAnsi="Symbol"/>
      </w:rPr>
    </w:lvl>
    <w:lvl w:ilvl="4" w:tplc="A4BE8CF0">
      <w:start w:val="1"/>
      <w:numFmt w:val="bullet"/>
      <w:lvlText w:val=""/>
      <w:lvlJc w:val="left"/>
      <w:pPr>
        <w:ind w:left="1440" w:hanging="360"/>
      </w:pPr>
      <w:rPr>
        <w:rFonts w:ascii="Symbol" w:hAnsi="Symbol"/>
      </w:rPr>
    </w:lvl>
    <w:lvl w:ilvl="5" w:tplc="7BB6880C">
      <w:start w:val="1"/>
      <w:numFmt w:val="bullet"/>
      <w:lvlText w:val=""/>
      <w:lvlJc w:val="left"/>
      <w:pPr>
        <w:ind w:left="1440" w:hanging="360"/>
      </w:pPr>
      <w:rPr>
        <w:rFonts w:ascii="Symbol" w:hAnsi="Symbol"/>
      </w:rPr>
    </w:lvl>
    <w:lvl w:ilvl="6" w:tplc="BEA0AE86">
      <w:start w:val="1"/>
      <w:numFmt w:val="bullet"/>
      <w:lvlText w:val=""/>
      <w:lvlJc w:val="left"/>
      <w:pPr>
        <w:ind w:left="1440" w:hanging="360"/>
      </w:pPr>
      <w:rPr>
        <w:rFonts w:ascii="Symbol" w:hAnsi="Symbol"/>
      </w:rPr>
    </w:lvl>
    <w:lvl w:ilvl="7" w:tplc="CE32CD0A">
      <w:start w:val="1"/>
      <w:numFmt w:val="bullet"/>
      <w:lvlText w:val=""/>
      <w:lvlJc w:val="left"/>
      <w:pPr>
        <w:ind w:left="1440" w:hanging="360"/>
      </w:pPr>
      <w:rPr>
        <w:rFonts w:ascii="Symbol" w:hAnsi="Symbol"/>
      </w:rPr>
    </w:lvl>
    <w:lvl w:ilvl="8" w:tplc="8C90F696">
      <w:start w:val="1"/>
      <w:numFmt w:val="bullet"/>
      <w:lvlText w:val=""/>
      <w:lvlJc w:val="left"/>
      <w:pPr>
        <w:ind w:left="1440" w:hanging="360"/>
      </w:pPr>
      <w:rPr>
        <w:rFonts w:ascii="Symbol" w:hAnsi="Symbol"/>
      </w:rPr>
    </w:lvl>
  </w:abstractNum>
  <w:abstractNum w:abstractNumId="20" w15:restartNumberingAfterBreak="0">
    <w:nsid w:val="5401711D"/>
    <w:multiLevelType w:val="multilevel"/>
    <w:tmpl w:val="60E47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FF75CD"/>
    <w:multiLevelType w:val="hybridMultilevel"/>
    <w:tmpl w:val="1A187D36"/>
    <w:lvl w:ilvl="0" w:tplc="1E761E3A">
      <w:start w:val="1"/>
      <w:numFmt w:val="bullet"/>
      <w:lvlText w:val=""/>
      <w:lvlJc w:val="left"/>
      <w:pPr>
        <w:ind w:left="1560" w:hanging="360"/>
      </w:pPr>
      <w:rPr>
        <w:rFonts w:ascii="Symbol" w:hAnsi="Symbol"/>
      </w:rPr>
    </w:lvl>
    <w:lvl w:ilvl="1" w:tplc="FCF84100">
      <w:start w:val="1"/>
      <w:numFmt w:val="bullet"/>
      <w:lvlText w:val=""/>
      <w:lvlJc w:val="left"/>
      <w:pPr>
        <w:ind w:left="1560" w:hanging="360"/>
      </w:pPr>
      <w:rPr>
        <w:rFonts w:ascii="Symbol" w:hAnsi="Symbol"/>
      </w:rPr>
    </w:lvl>
    <w:lvl w:ilvl="2" w:tplc="2E725822">
      <w:start w:val="1"/>
      <w:numFmt w:val="bullet"/>
      <w:lvlText w:val=""/>
      <w:lvlJc w:val="left"/>
      <w:pPr>
        <w:ind w:left="1560" w:hanging="360"/>
      </w:pPr>
      <w:rPr>
        <w:rFonts w:ascii="Symbol" w:hAnsi="Symbol"/>
      </w:rPr>
    </w:lvl>
    <w:lvl w:ilvl="3" w:tplc="9914188C">
      <w:start w:val="1"/>
      <w:numFmt w:val="bullet"/>
      <w:lvlText w:val=""/>
      <w:lvlJc w:val="left"/>
      <w:pPr>
        <w:ind w:left="1560" w:hanging="360"/>
      </w:pPr>
      <w:rPr>
        <w:rFonts w:ascii="Symbol" w:hAnsi="Symbol"/>
      </w:rPr>
    </w:lvl>
    <w:lvl w:ilvl="4" w:tplc="FA6C9BD2">
      <w:start w:val="1"/>
      <w:numFmt w:val="bullet"/>
      <w:lvlText w:val=""/>
      <w:lvlJc w:val="left"/>
      <w:pPr>
        <w:ind w:left="1560" w:hanging="360"/>
      </w:pPr>
      <w:rPr>
        <w:rFonts w:ascii="Symbol" w:hAnsi="Symbol"/>
      </w:rPr>
    </w:lvl>
    <w:lvl w:ilvl="5" w:tplc="4A52AF06">
      <w:start w:val="1"/>
      <w:numFmt w:val="bullet"/>
      <w:lvlText w:val=""/>
      <w:lvlJc w:val="left"/>
      <w:pPr>
        <w:ind w:left="1560" w:hanging="360"/>
      </w:pPr>
      <w:rPr>
        <w:rFonts w:ascii="Symbol" w:hAnsi="Symbol"/>
      </w:rPr>
    </w:lvl>
    <w:lvl w:ilvl="6" w:tplc="FC20148C">
      <w:start w:val="1"/>
      <w:numFmt w:val="bullet"/>
      <w:lvlText w:val=""/>
      <w:lvlJc w:val="left"/>
      <w:pPr>
        <w:ind w:left="1560" w:hanging="360"/>
      </w:pPr>
      <w:rPr>
        <w:rFonts w:ascii="Symbol" w:hAnsi="Symbol"/>
      </w:rPr>
    </w:lvl>
    <w:lvl w:ilvl="7" w:tplc="96B87EBC">
      <w:start w:val="1"/>
      <w:numFmt w:val="bullet"/>
      <w:lvlText w:val=""/>
      <w:lvlJc w:val="left"/>
      <w:pPr>
        <w:ind w:left="1560" w:hanging="360"/>
      </w:pPr>
      <w:rPr>
        <w:rFonts w:ascii="Symbol" w:hAnsi="Symbol"/>
      </w:rPr>
    </w:lvl>
    <w:lvl w:ilvl="8" w:tplc="683AF988">
      <w:start w:val="1"/>
      <w:numFmt w:val="bullet"/>
      <w:lvlText w:val=""/>
      <w:lvlJc w:val="left"/>
      <w:pPr>
        <w:ind w:left="1560" w:hanging="360"/>
      </w:pPr>
      <w:rPr>
        <w:rFonts w:ascii="Symbol" w:hAnsi="Symbol"/>
      </w:rPr>
    </w:lvl>
  </w:abstractNum>
  <w:abstractNum w:abstractNumId="22" w15:restartNumberingAfterBreak="0">
    <w:nsid w:val="557521FD"/>
    <w:multiLevelType w:val="hybridMultilevel"/>
    <w:tmpl w:val="45B21AC6"/>
    <w:lvl w:ilvl="0" w:tplc="9D58E76E">
      <w:start w:val="1"/>
      <w:numFmt w:val="bullet"/>
      <w:lvlText w:val=""/>
      <w:lvlJc w:val="left"/>
      <w:pPr>
        <w:ind w:left="720" w:hanging="360"/>
      </w:pPr>
      <w:rPr>
        <w:rFonts w:ascii="Symbol" w:hAnsi="Symbol"/>
      </w:rPr>
    </w:lvl>
    <w:lvl w:ilvl="1" w:tplc="000AFECC">
      <w:start w:val="1"/>
      <w:numFmt w:val="bullet"/>
      <w:lvlText w:val=""/>
      <w:lvlJc w:val="left"/>
      <w:pPr>
        <w:ind w:left="720" w:hanging="360"/>
      </w:pPr>
      <w:rPr>
        <w:rFonts w:ascii="Symbol" w:hAnsi="Symbol"/>
      </w:rPr>
    </w:lvl>
    <w:lvl w:ilvl="2" w:tplc="6B006324">
      <w:start w:val="1"/>
      <w:numFmt w:val="bullet"/>
      <w:lvlText w:val=""/>
      <w:lvlJc w:val="left"/>
      <w:pPr>
        <w:ind w:left="720" w:hanging="360"/>
      </w:pPr>
      <w:rPr>
        <w:rFonts w:ascii="Symbol" w:hAnsi="Symbol"/>
      </w:rPr>
    </w:lvl>
    <w:lvl w:ilvl="3" w:tplc="D67AB7DE">
      <w:start w:val="1"/>
      <w:numFmt w:val="bullet"/>
      <w:lvlText w:val=""/>
      <w:lvlJc w:val="left"/>
      <w:pPr>
        <w:ind w:left="720" w:hanging="360"/>
      </w:pPr>
      <w:rPr>
        <w:rFonts w:ascii="Symbol" w:hAnsi="Symbol"/>
      </w:rPr>
    </w:lvl>
    <w:lvl w:ilvl="4" w:tplc="5A3AF174">
      <w:start w:val="1"/>
      <w:numFmt w:val="bullet"/>
      <w:lvlText w:val=""/>
      <w:lvlJc w:val="left"/>
      <w:pPr>
        <w:ind w:left="720" w:hanging="360"/>
      </w:pPr>
      <w:rPr>
        <w:rFonts w:ascii="Symbol" w:hAnsi="Symbol"/>
      </w:rPr>
    </w:lvl>
    <w:lvl w:ilvl="5" w:tplc="8CE482AC">
      <w:start w:val="1"/>
      <w:numFmt w:val="bullet"/>
      <w:lvlText w:val=""/>
      <w:lvlJc w:val="left"/>
      <w:pPr>
        <w:ind w:left="720" w:hanging="360"/>
      </w:pPr>
      <w:rPr>
        <w:rFonts w:ascii="Symbol" w:hAnsi="Symbol"/>
      </w:rPr>
    </w:lvl>
    <w:lvl w:ilvl="6" w:tplc="71380DC2">
      <w:start w:val="1"/>
      <w:numFmt w:val="bullet"/>
      <w:lvlText w:val=""/>
      <w:lvlJc w:val="left"/>
      <w:pPr>
        <w:ind w:left="720" w:hanging="360"/>
      </w:pPr>
      <w:rPr>
        <w:rFonts w:ascii="Symbol" w:hAnsi="Symbol"/>
      </w:rPr>
    </w:lvl>
    <w:lvl w:ilvl="7" w:tplc="1BC6BBAE">
      <w:start w:val="1"/>
      <w:numFmt w:val="bullet"/>
      <w:lvlText w:val=""/>
      <w:lvlJc w:val="left"/>
      <w:pPr>
        <w:ind w:left="720" w:hanging="360"/>
      </w:pPr>
      <w:rPr>
        <w:rFonts w:ascii="Symbol" w:hAnsi="Symbol"/>
      </w:rPr>
    </w:lvl>
    <w:lvl w:ilvl="8" w:tplc="AA4EF672">
      <w:start w:val="1"/>
      <w:numFmt w:val="bullet"/>
      <w:lvlText w:val=""/>
      <w:lvlJc w:val="left"/>
      <w:pPr>
        <w:ind w:left="720" w:hanging="360"/>
      </w:pPr>
      <w:rPr>
        <w:rFonts w:ascii="Symbol" w:hAnsi="Symbol"/>
      </w:rPr>
    </w:lvl>
  </w:abstractNum>
  <w:abstractNum w:abstractNumId="23" w15:restartNumberingAfterBreak="0">
    <w:nsid w:val="582C4B79"/>
    <w:multiLevelType w:val="multilevel"/>
    <w:tmpl w:val="4210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DD15C01"/>
    <w:multiLevelType w:val="multilevel"/>
    <w:tmpl w:val="CFD85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1C0C3B"/>
    <w:multiLevelType w:val="multilevel"/>
    <w:tmpl w:val="B2A2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554AD8"/>
    <w:multiLevelType w:val="multilevel"/>
    <w:tmpl w:val="1D16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5857065"/>
    <w:multiLevelType w:val="multilevel"/>
    <w:tmpl w:val="37F0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73C2CE5"/>
    <w:multiLevelType w:val="hybridMultilevel"/>
    <w:tmpl w:val="2E2CD086"/>
    <w:lvl w:ilvl="0" w:tplc="5804F9FC">
      <w:start w:val="1"/>
      <w:numFmt w:val="bullet"/>
      <w:lvlText w:val=""/>
      <w:lvlJc w:val="left"/>
      <w:pPr>
        <w:ind w:left="1560" w:hanging="360"/>
      </w:pPr>
      <w:rPr>
        <w:rFonts w:ascii="Symbol" w:hAnsi="Symbol"/>
      </w:rPr>
    </w:lvl>
    <w:lvl w:ilvl="1" w:tplc="D9ECE766">
      <w:start w:val="1"/>
      <w:numFmt w:val="bullet"/>
      <w:lvlText w:val=""/>
      <w:lvlJc w:val="left"/>
      <w:pPr>
        <w:ind w:left="1560" w:hanging="360"/>
      </w:pPr>
      <w:rPr>
        <w:rFonts w:ascii="Symbol" w:hAnsi="Symbol"/>
      </w:rPr>
    </w:lvl>
    <w:lvl w:ilvl="2" w:tplc="DD269C78">
      <w:start w:val="1"/>
      <w:numFmt w:val="bullet"/>
      <w:lvlText w:val=""/>
      <w:lvlJc w:val="left"/>
      <w:pPr>
        <w:ind w:left="1560" w:hanging="360"/>
      </w:pPr>
      <w:rPr>
        <w:rFonts w:ascii="Symbol" w:hAnsi="Symbol"/>
      </w:rPr>
    </w:lvl>
    <w:lvl w:ilvl="3" w:tplc="3F003960">
      <w:start w:val="1"/>
      <w:numFmt w:val="bullet"/>
      <w:lvlText w:val=""/>
      <w:lvlJc w:val="left"/>
      <w:pPr>
        <w:ind w:left="1560" w:hanging="360"/>
      </w:pPr>
      <w:rPr>
        <w:rFonts w:ascii="Symbol" w:hAnsi="Symbol"/>
      </w:rPr>
    </w:lvl>
    <w:lvl w:ilvl="4" w:tplc="7D2A3DF4">
      <w:start w:val="1"/>
      <w:numFmt w:val="bullet"/>
      <w:lvlText w:val=""/>
      <w:lvlJc w:val="left"/>
      <w:pPr>
        <w:ind w:left="1560" w:hanging="360"/>
      </w:pPr>
      <w:rPr>
        <w:rFonts w:ascii="Symbol" w:hAnsi="Symbol"/>
      </w:rPr>
    </w:lvl>
    <w:lvl w:ilvl="5" w:tplc="13D8CA42">
      <w:start w:val="1"/>
      <w:numFmt w:val="bullet"/>
      <w:lvlText w:val=""/>
      <w:lvlJc w:val="left"/>
      <w:pPr>
        <w:ind w:left="1560" w:hanging="360"/>
      </w:pPr>
      <w:rPr>
        <w:rFonts w:ascii="Symbol" w:hAnsi="Symbol"/>
      </w:rPr>
    </w:lvl>
    <w:lvl w:ilvl="6" w:tplc="F08CF22C">
      <w:start w:val="1"/>
      <w:numFmt w:val="bullet"/>
      <w:lvlText w:val=""/>
      <w:lvlJc w:val="left"/>
      <w:pPr>
        <w:ind w:left="1560" w:hanging="360"/>
      </w:pPr>
      <w:rPr>
        <w:rFonts w:ascii="Symbol" w:hAnsi="Symbol"/>
      </w:rPr>
    </w:lvl>
    <w:lvl w:ilvl="7" w:tplc="27F09D14">
      <w:start w:val="1"/>
      <w:numFmt w:val="bullet"/>
      <w:lvlText w:val=""/>
      <w:lvlJc w:val="left"/>
      <w:pPr>
        <w:ind w:left="1560" w:hanging="360"/>
      </w:pPr>
      <w:rPr>
        <w:rFonts w:ascii="Symbol" w:hAnsi="Symbol"/>
      </w:rPr>
    </w:lvl>
    <w:lvl w:ilvl="8" w:tplc="8A5EBC10">
      <w:start w:val="1"/>
      <w:numFmt w:val="bullet"/>
      <w:lvlText w:val=""/>
      <w:lvlJc w:val="left"/>
      <w:pPr>
        <w:ind w:left="1560" w:hanging="360"/>
      </w:pPr>
      <w:rPr>
        <w:rFonts w:ascii="Symbol" w:hAnsi="Symbol"/>
      </w:rPr>
    </w:lvl>
  </w:abstractNum>
  <w:abstractNum w:abstractNumId="29" w15:restartNumberingAfterBreak="0">
    <w:nsid w:val="68C22620"/>
    <w:multiLevelType w:val="hybridMultilevel"/>
    <w:tmpl w:val="5FC6C768"/>
    <w:lvl w:ilvl="0" w:tplc="6B66B1B6">
      <w:start w:val="1"/>
      <w:numFmt w:val="bullet"/>
      <w:pStyle w:val="ListParagraph"/>
      <w:lvlText w:val="•"/>
      <w:lvlJc w:val="left"/>
      <w:pPr>
        <w:ind w:left="644" w:hanging="360"/>
      </w:pPr>
      <w:rPr>
        <w:rFonts w:ascii="Arial" w:hAnsi="Arial" w:hint="default"/>
        <w:caps w:val="0"/>
        <w:color w:val="002147"/>
        <w:sz w:val="28"/>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A5747C3"/>
    <w:multiLevelType w:val="multilevel"/>
    <w:tmpl w:val="95DE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6751EE"/>
    <w:multiLevelType w:val="hybridMultilevel"/>
    <w:tmpl w:val="F51001FC"/>
    <w:lvl w:ilvl="0" w:tplc="5D4473F0">
      <w:start w:val="1"/>
      <w:numFmt w:val="bullet"/>
      <w:pStyle w:val="List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AE94A72"/>
    <w:multiLevelType w:val="hybridMultilevel"/>
    <w:tmpl w:val="73E6E050"/>
    <w:lvl w:ilvl="0" w:tplc="F9386D8A">
      <w:start w:val="1"/>
      <w:numFmt w:val="bullet"/>
      <w:lvlText w:val=""/>
      <w:lvlJc w:val="left"/>
      <w:pPr>
        <w:ind w:left="720" w:hanging="360"/>
      </w:pPr>
      <w:rPr>
        <w:rFonts w:ascii="Symbol" w:hAnsi="Symbol"/>
      </w:rPr>
    </w:lvl>
    <w:lvl w:ilvl="1" w:tplc="CF48B048">
      <w:start w:val="1"/>
      <w:numFmt w:val="bullet"/>
      <w:lvlText w:val=""/>
      <w:lvlJc w:val="left"/>
      <w:pPr>
        <w:ind w:left="720" w:hanging="360"/>
      </w:pPr>
      <w:rPr>
        <w:rFonts w:ascii="Symbol" w:hAnsi="Symbol"/>
      </w:rPr>
    </w:lvl>
    <w:lvl w:ilvl="2" w:tplc="6EA635F4">
      <w:start w:val="1"/>
      <w:numFmt w:val="bullet"/>
      <w:lvlText w:val=""/>
      <w:lvlJc w:val="left"/>
      <w:pPr>
        <w:ind w:left="720" w:hanging="360"/>
      </w:pPr>
      <w:rPr>
        <w:rFonts w:ascii="Symbol" w:hAnsi="Symbol"/>
      </w:rPr>
    </w:lvl>
    <w:lvl w:ilvl="3" w:tplc="3018642E">
      <w:start w:val="1"/>
      <w:numFmt w:val="bullet"/>
      <w:lvlText w:val=""/>
      <w:lvlJc w:val="left"/>
      <w:pPr>
        <w:ind w:left="720" w:hanging="360"/>
      </w:pPr>
      <w:rPr>
        <w:rFonts w:ascii="Symbol" w:hAnsi="Symbol"/>
      </w:rPr>
    </w:lvl>
    <w:lvl w:ilvl="4" w:tplc="A8DA33E8">
      <w:start w:val="1"/>
      <w:numFmt w:val="bullet"/>
      <w:lvlText w:val=""/>
      <w:lvlJc w:val="left"/>
      <w:pPr>
        <w:ind w:left="720" w:hanging="360"/>
      </w:pPr>
      <w:rPr>
        <w:rFonts w:ascii="Symbol" w:hAnsi="Symbol"/>
      </w:rPr>
    </w:lvl>
    <w:lvl w:ilvl="5" w:tplc="CF42D1D8">
      <w:start w:val="1"/>
      <w:numFmt w:val="bullet"/>
      <w:lvlText w:val=""/>
      <w:lvlJc w:val="left"/>
      <w:pPr>
        <w:ind w:left="720" w:hanging="360"/>
      </w:pPr>
      <w:rPr>
        <w:rFonts w:ascii="Symbol" w:hAnsi="Symbol"/>
      </w:rPr>
    </w:lvl>
    <w:lvl w:ilvl="6" w:tplc="DA2AFABC">
      <w:start w:val="1"/>
      <w:numFmt w:val="bullet"/>
      <w:lvlText w:val=""/>
      <w:lvlJc w:val="left"/>
      <w:pPr>
        <w:ind w:left="720" w:hanging="360"/>
      </w:pPr>
      <w:rPr>
        <w:rFonts w:ascii="Symbol" w:hAnsi="Symbol"/>
      </w:rPr>
    </w:lvl>
    <w:lvl w:ilvl="7" w:tplc="9202FB3E">
      <w:start w:val="1"/>
      <w:numFmt w:val="bullet"/>
      <w:lvlText w:val=""/>
      <w:lvlJc w:val="left"/>
      <w:pPr>
        <w:ind w:left="720" w:hanging="360"/>
      </w:pPr>
      <w:rPr>
        <w:rFonts w:ascii="Symbol" w:hAnsi="Symbol"/>
      </w:rPr>
    </w:lvl>
    <w:lvl w:ilvl="8" w:tplc="36224078">
      <w:start w:val="1"/>
      <w:numFmt w:val="bullet"/>
      <w:lvlText w:val=""/>
      <w:lvlJc w:val="left"/>
      <w:pPr>
        <w:ind w:left="720" w:hanging="360"/>
      </w:pPr>
      <w:rPr>
        <w:rFonts w:ascii="Symbol" w:hAnsi="Symbol"/>
      </w:rPr>
    </w:lvl>
  </w:abstractNum>
  <w:abstractNum w:abstractNumId="33" w15:restartNumberingAfterBreak="0">
    <w:nsid w:val="7226771C"/>
    <w:multiLevelType w:val="hybridMultilevel"/>
    <w:tmpl w:val="7FFEC5F4"/>
    <w:lvl w:ilvl="0" w:tplc="B91E53B2">
      <w:start w:val="1"/>
      <w:numFmt w:val="bullet"/>
      <w:lvlText w:val=""/>
      <w:lvlJc w:val="left"/>
      <w:pPr>
        <w:ind w:left="1560" w:hanging="360"/>
      </w:pPr>
      <w:rPr>
        <w:rFonts w:ascii="Symbol" w:hAnsi="Symbol"/>
      </w:rPr>
    </w:lvl>
    <w:lvl w:ilvl="1" w:tplc="5AAA8C3A">
      <w:start w:val="1"/>
      <w:numFmt w:val="bullet"/>
      <w:lvlText w:val=""/>
      <w:lvlJc w:val="left"/>
      <w:pPr>
        <w:ind w:left="1560" w:hanging="360"/>
      </w:pPr>
      <w:rPr>
        <w:rFonts w:ascii="Symbol" w:hAnsi="Symbol"/>
      </w:rPr>
    </w:lvl>
    <w:lvl w:ilvl="2" w:tplc="2AFC71BA">
      <w:start w:val="1"/>
      <w:numFmt w:val="bullet"/>
      <w:lvlText w:val=""/>
      <w:lvlJc w:val="left"/>
      <w:pPr>
        <w:ind w:left="1560" w:hanging="360"/>
      </w:pPr>
      <w:rPr>
        <w:rFonts w:ascii="Symbol" w:hAnsi="Symbol"/>
      </w:rPr>
    </w:lvl>
    <w:lvl w:ilvl="3" w:tplc="48B0F148">
      <w:start w:val="1"/>
      <w:numFmt w:val="bullet"/>
      <w:lvlText w:val=""/>
      <w:lvlJc w:val="left"/>
      <w:pPr>
        <w:ind w:left="1560" w:hanging="360"/>
      </w:pPr>
      <w:rPr>
        <w:rFonts w:ascii="Symbol" w:hAnsi="Symbol"/>
      </w:rPr>
    </w:lvl>
    <w:lvl w:ilvl="4" w:tplc="0B36979A">
      <w:start w:val="1"/>
      <w:numFmt w:val="bullet"/>
      <w:lvlText w:val=""/>
      <w:lvlJc w:val="left"/>
      <w:pPr>
        <w:ind w:left="1560" w:hanging="360"/>
      </w:pPr>
      <w:rPr>
        <w:rFonts w:ascii="Symbol" w:hAnsi="Symbol"/>
      </w:rPr>
    </w:lvl>
    <w:lvl w:ilvl="5" w:tplc="762A8F26">
      <w:start w:val="1"/>
      <w:numFmt w:val="bullet"/>
      <w:lvlText w:val=""/>
      <w:lvlJc w:val="left"/>
      <w:pPr>
        <w:ind w:left="1560" w:hanging="360"/>
      </w:pPr>
      <w:rPr>
        <w:rFonts w:ascii="Symbol" w:hAnsi="Symbol"/>
      </w:rPr>
    </w:lvl>
    <w:lvl w:ilvl="6" w:tplc="0D08610E">
      <w:start w:val="1"/>
      <w:numFmt w:val="bullet"/>
      <w:lvlText w:val=""/>
      <w:lvlJc w:val="left"/>
      <w:pPr>
        <w:ind w:left="1560" w:hanging="360"/>
      </w:pPr>
      <w:rPr>
        <w:rFonts w:ascii="Symbol" w:hAnsi="Symbol"/>
      </w:rPr>
    </w:lvl>
    <w:lvl w:ilvl="7" w:tplc="DF507FDC">
      <w:start w:val="1"/>
      <w:numFmt w:val="bullet"/>
      <w:lvlText w:val=""/>
      <w:lvlJc w:val="left"/>
      <w:pPr>
        <w:ind w:left="1560" w:hanging="360"/>
      </w:pPr>
      <w:rPr>
        <w:rFonts w:ascii="Symbol" w:hAnsi="Symbol"/>
      </w:rPr>
    </w:lvl>
    <w:lvl w:ilvl="8" w:tplc="9CF4D9A0">
      <w:start w:val="1"/>
      <w:numFmt w:val="bullet"/>
      <w:lvlText w:val=""/>
      <w:lvlJc w:val="left"/>
      <w:pPr>
        <w:ind w:left="1560" w:hanging="360"/>
      </w:pPr>
      <w:rPr>
        <w:rFonts w:ascii="Symbol" w:hAnsi="Symbol"/>
      </w:rPr>
    </w:lvl>
  </w:abstractNum>
  <w:abstractNum w:abstractNumId="34" w15:restartNumberingAfterBreak="0">
    <w:nsid w:val="78785447"/>
    <w:multiLevelType w:val="multilevel"/>
    <w:tmpl w:val="F85C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AA4CF7"/>
    <w:multiLevelType w:val="hybridMultilevel"/>
    <w:tmpl w:val="C394A7E6"/>
    <w:lvl w:ilvl="0" w:tplc="C1D20F04">
      <w:start w:val="1"/>
      <w:numFmt w:val="bullet"/>
      <w:lvlText w:val=""/>
      <w:lvlJc w:val="left"/>
      <w:pPr>
        <w:ind w:left="720" w:hanging="360"/>
      </w:pPr>
      <w:rPr>
        <w:rFonts w:ascii="Symbol" w:hAnsi="Symbol"/>
      </w:rPr>
    </w:lvl>
    <w:lvl w:ilvl="1" w:tplc="535411EC">
      <w:start w:val="1"/>
      <w:numFmt w:val="bullet"/>
      <w:lvlText w:val=""/>
      <w:lvlJc w:val="left"/>
      <w:pPr>
        <w:ind w:left="720" w:hanging="360"/>
      </w:pPr>
      <w:rPr>
        <w:rFonts w:ascii="Symbol" w:hAnsi="Symbol"/>
      </w:rPr>
    </w:lvl>
    <w:lvl w:ilvl="2" w:tplc="F800B682">
      <w:start w:val="1"/>
      <w:numFmt w:val="bullet"/>
      <w:lvlText w:val=""/>
      <w:lvlJc w:val="left"/>
      <w:pPr>
        <w:ind w:left="720" w:hanging="360"/>
      </w:pPr>
      <w:rPr>
        <w:rFonts w:ascii="Symbol" w:hAnsi="Symbol"/>
      </w:rPr>
    </w:lvl>
    <w:lvl w:ilvl="3" w:tplc="3014FA82">
      <w:start w:val="1"/>
      <w:numFmt w:val="bullet"/>
      <w:lvlText w:val=""/>
      <w:lvlJc w:val="left"/>
      <w:pPr>
        <w:ind w:left="720" w:hanging="360"/>
      </w:pPr>
      <w:rPr>
        <w:rFonts w:ascii="Symbol" w:hAnsi="Symbol"/>
      </w:rPr>
    </w:lvl>
    <w:lvl w:ilvl="4" w:tplc="1A92D124">
      <w:start w:val="1"/>
      <w:numFmt w:val="bullet"/>
      <w:lvlText w:val=""/>
      <w:lvlJc w:val="left"/>
      <w:pPr>
        <w:ind w:left="720" w:hanging="360"/>
      </w:pPr>
      <w:rPr>
        <w:rFonts w:ascii="Symbol" w:hAnsi="Symbol"/>
      </w:rPr>
    </w:lvl>
    <w:lvl w:ilvl="5" w:tplc="E43EA2CA">
      <w:start w:val="1"/>
      <w:numFmt w:val="bullet"/>
      <w:lvlText w:val=""/>
      <w:lvlJc w:val="left"/>
      <w:pPr>
        <w:ind w:left="720" w:hanging="360"/>
      </w:pPr>
      <w:rPr>
        <w:rFonts w:ascii="Symbol" w:hAnsi="Symbol"/>
      </w:rPr>
    </w:lvl>
    <w:lvl w:ilvl="6" w:tplc="D046A4C8">
      <w:start w:val="1"/>
      <w:numFmt w:val="bullet"/>
      <w:lvlText w:val=""/>
      <w:lvlJc w:val="left"/>
      <w:pPr>
        <w:ind w:left="720" w:hanging="360"/>
      </w:pPr>
      <w:rPr>
        <w:rFonts w:ascii="Symbol" w:hAnsi="Symbol"/>
      </w:rPr>
    </w:lvl>
    <w:lvl w:ilvl="7" w:tplc="32822AAC">
      <w:start w:val="1"/>
      <w:numFmt w:val="bullet"/>
      <w:lvlText w:val=""/>
      <w:lvlJc w:val="left"/>
      <w:pPr>
        <w:ind w:left="720" w:hanging="360"/>
      </w:pPr>
      <w:rPr>
        <w:rFonts w:ascii="Symbol" w:hAnsi="Symbol"/>
      </w:rPr>
    </w:lvl>
    <w:lvl w:ilvl="8" w:tplc="606A2062">
      <w:start w:val="1"/>
      <w:numFmt w:val="bullet"/>
      <w:lvlText w:val=""/>
      <w:lvlJc w:val="left"/>
      <w:pPr>
        <w:ind w:left="720" w:hanging="360"/>
      </w:pPr>
      <w:rPr>
        <w:rFonts w:ascii="Symbol" w:hAnsi="Symbol"/>
      </w:rPr>
    </w:lvl>
  </w:abstractNum>
  <w:abstractNum w:abstractNumId="36" w15:restartNumberingAfterBreak="0">
    <w:nsid w:val="7B542596"/>
    <w:multiLevelType w:val="hybridMultilevel"/>
    <w:tmpl w:val="314242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15:restartNumberingAfterBreak="0">
    <w:nsid w:val="7B815851"/>
    <w:multiLevelType w:val="hybridMultilevel"/>
    <w:tmpl w:val="B7D4D074"/>
    <w:lvl w:ilvl="0" w:tplc="6CA21A08">
      <w:start w:val="1"/>
      <w:numFmt w:val="bullet"/>
      <w:lvlText w:val=""/>
      <w:lvlJc w:val="left"/>
      <w:pPr>
        <w:ind w:left="720" w:hanging="360"/>
      </w:pPr>
      <w:rPr>
        <w:rFonts w:ascii="Symbol" w:hAnsi="Symbol"/>
      </w:rPr>
    </w:lvl>
    <w:lvl w:ilvl="1" w:tplc="2CCA8550">
      <w:start w:val="1"/>
      <w:numFmt w:val="bullet"/>
      <w:lvlText w:val=""/>
      <w:lvlJc w:val="left"/>
      <w:pPr>
        <w:ind w:left="720" w:hanging="360"/>
      </w:pPr>
      <w:rPr>
        <w:rFonts w:ascii="Symbol" w:hAnsi="Symbol"/>
      </w:rPr>
    </w:lvl>
    <w:lvl w:ilvl="2" w:tplc="EA6601C0">
      <w:start w:val="1"/>
      <w:numFmt w:val="bullet"/>
      <w:lvlText w:val=""/>
      <w:lvlJc w:val="left"/>
      <w:pPr>
        <w:ind w:left="720" w:hanging="360"/>
      </w:pPr>
      <w:rPr>
        <w:rFonts w:ascii="Symbol" w:hAnsi="Symbol"/>
      </w:rPr>
    </w:lvl>
    <w:lvl w:ilvl="3" w:tplc="99B2E2EA">
      <w:start w:val="1"/>
      <w:numFmt w:val="bullet"/>
      <w:lvlText w:val=""/>
      <w:lvlJc w:val="left"/>
      <w:pPr>
        <w:ind w:left="720" w:hanging="360"/>
      </w:pPr>
      <w:rPr>
        <w:rFonts w:ascii="Symbol" w:hAnsi="Symbol"/>
      </w:rPr>
    </w:lvl>
    <w:lvl w:ilvl="4" w:tplc="CFACB758">
      <w:start w:val="1"/>
      <w:numFmt w:val="bullet"/>
      <w:lvlText w:val=""/>
      <w:lvlJc w:val="left"/>
      <w:pPr>
        <w:ind w:left="720" w:hanging="360"/>
      </w:pPr>
      <w:rPr>
        <w:rFonts w:ascii="Symbol" w:hAnsi="Symbol"/>
      </w:rPr>
    </w:lvl>
    <w:lvl w:ilvl="5" w:tplc="2604E5C2">
      <w:start w:val="1"/>
      <w:numFmt w:val="bullet"/>
      <w:lvlText w:val=""/>
      <w:lvlJc w:val="left"/>
      <w:pPr>
        <w:ind w:left="720" w:hanging="360"/>
      </w:pPr>
      <w:rPr>
        <w:rFonts w:ascii="Symbol" w:hAnsi="Symbol"/>
      </w:rPr>
    </w:lvl>
    <w:lvl w:ilvl="6" w:tplc="D60297E2">
      <w:start w:val="1"/>
      <w:numFmt w:val="bullet"/>
      <w:lvlText w:val=""/>
      <w:lvlJc w:val="left"/>
      <w:pPr>
        <w:ind w:left="720" w:hanging="360"/>
      </w:pPr>
      <w:rPr>
        <w:rFonts w:ascii="Symbol" w:hAnsi="Symbol"/>
      </w:rPr>
    </w:lvl>
    <w:lvl w:ilvl="7" w:tplc="5150D148">
      <w:start w:val="1"/>
      <w:numFmt w:val="bullet"/>
      <w:lvlText w:val=""/>
      <w:lvlJc w:val="left"/>
      <w:pPr>
        <w:ind w:left="720" w:hanging="360"/>
      </w:pPr>
      <w:rPr>
        <w:rFonts w:ascii="Symbol" w:hAnsi="Symbol"/>
      </w:rPr>
    </w:lvl>
    <w:lvl w:ilvl="8" w:tplc="36CEEC88">
      <w:start w:val="1"/>
      <w:numFmt w:val="bullet"/>
      <w:lvlText w:val=""/>
      <w:lvlJc w:val="left"/>
      <w:pPr>
        <w:ind w:left="720" w:hanging="360"/>
      </w:pPr>
      <w:rPr>
        <w:rFonts w:ascii="Symbol" w:hAnsi="Symbol"/>
      </w:rPr>
    </w:lvl>
  </w:abstractNum>
  <w:abstractNum w:abstractNumId="38" w15:restartNumberingAfterBreak="0">
    <w:nsid w:val="7C2F5C6B"/>
    <w:multiLevelType w:val="multilevel"/>
    <w:tmpl w:val="0B3A13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307851"/>
    <w:multiLevelType w:val="hybridMultilevel"/>
    <w:tmpl w:val="256E4590"/>
    <w:lvl w:ilvl="0" w:tplc="3C5293D0">
      <w:start w:val="1"/>
      <w:numFmt w:val="bullet"/>
      <w:lvlText w:val=""/>
      <w:lvlJc w:val="left"/>
      <w:pPr>
        <w:ind w:left="720" w:hanging="360"/>
      </w:pPr>
      <w:rPr>
        <w:rFonts w:ascii="Symbol" w:hAnsi="Symbol"/>
      </w:rPr>
    </w:lvl>
    <w:lvl w:ilvl="1" w:tplc="0BB6BBC8">
      <w:start w:val="1"/>
      <w:numFmt w:val="bullet"/>
      <w:lvlText w:val=""/>
      <w:lvlJc w:val="left"/>
      <w:pPr>
        <w:ind w:left="720" w:hanging="360"/>
      </w:pPr>
      <w:rPr>
        <w:rFonts w:ascii="Symbol" w:hAnsi="Symbol"/>
      </w:rPr>
    </w:lvl>
    <w:lvl w:ilvl="2" w:tplc="942CF7A2">
      <w:start w:val="1"/>
      <w:numFmt w:val="bullet"/>
      <w:lvlText w:val=""/>
      <w:lvlJc w:val="left"/>
      <w:pPr>
        <w:ind w:left="720" w:hanging="360"/>
      </w:pPr>
      <w:rPr>
        <w:rFonts w:ascii="Symbol" w:hAnsi="Symbol"/>
      </w:rPr>
    </w:lvl>
    <w:lvl w:ilvl="3" w:tplc="87ECF16E">
      <w:start w:val="1"/>
      <w:numFmt w:val="bullet"/>
      <w:lvlText w:val=""/>
      <w:lvlJc w:val="left"/>
      <w:pPr>
        <w:ind w:left="720" w:hanging="360"/>
      </w:pPr>
      <w:rPr>
        <w:rFonts w:ascii="Symbol" w:hAnsi="Symbol"/>
      </w:rPr>
    </w:lvl>
    <w:lvl w:ilvl="4" w:tplc="CC58056A">
      <w:start w:val="1"/>
      <w:numFmt w:val="bullet"/>
      <w:lvlText w:val=""/>
      <w:lvlJc w:val="left"/>
      <w:pPr>
        <w:ind w:left="720" w:hanging="360"/>
      </w:pPr>
      <w:rPr>
        <w:rFonts w:ascii="Symbol" w:hAnsi="Symbol"/>
      </w:rPr>
    </w:lvl>
    <w:lvl w:ilvl="5" w:tplc="2D767014">
      <w:start w:val="1"/>
      <w:numFmt w:val="bullet"/>
      <w:lvlText w:val=""/>
      <w:lvlJc w:val="left"/>
      <w:pPr>
        <w:ind w:left="720" w:hanging="360"/>
      </w:pPr>
      <w:rPr>
        <w:rFonts w:ascii="Symbol" w:hAnsi="Symbol"/>
      </w:rPr>
    </w:lvl>
    <w:lvl w:ilvl="6" w:tplc="25E88F32">
      <w:start w:val="1"/>
      <w:numFmt w:val="bullet"/>
      <w:lvlText w:val=""/>
      <w:lvlJc w:val="left"/>
      <w:pPr>
        <w:ind w:left="720" w:hanging="360"/>
      </w:pPr>
      <w:rPr>
        <w:rFonts w:ascii="Symbol" w:hAnsi="Symbol"/>
      </w:rPr>
    </w:lvl>
    <w:lvl w:ilvl="7" w:tplc="0F966AD4">
      <w:start w:val="1"/>
      <w:numFmt w:val="bullet"/>
      <w:lvlText w:val=""/>
      <w:lvlJc w:val="left"/>
      <w:pPr>
        <w:ind w:left="720" w:hanging="360"/>
      </w:pPr>
      <w:rPr>
        <w:rFonts w:ascii="Symbol" w:hAnsi="Symbol"/>
      </w:rPr>
    </w:lvl>
    <w:lvl w:ilvl="8" w:tplc="A6EA0238">
      <w:start w:val="1"/>
      <w:numFmt w:val="bullet"/>
      <w:lvlText w:val=""/>
      <w:lvlJc w:val="left"/>
      <w:pPr>
        <w:ind w:left="720" w:hanging="360"/>
      </w:pPr>
      <w:rPr>
        <w:rFonts w:ascii="Symbol" w:hAnsi="Symbol"/>
      </w:rPr>
    </w:lvl>
  </w:abstractNum>
  <w:abstractNum w:abstractNumId="40" w15:restartNumberingAfterBreak="0">
    <w:nsid w:val="7E380624"/>
    <w:multiLevelType w:val="multilevel"/>
    <w:tmpl w:val="8C4E1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5A1B56"/>
    <w:multiLevelType w:val="hybridMultilevel"/>
    <w:tmpl w:val="C3E0F7EE"/>
    <w:lvl w:ilvl="0" w:tplc="0BF89D8C">
      <w:start w:val="1"/>
      <w:numFmt w:val="bullet"/>
      <w:lvlText w:val=""/>
      <w:lvlJc w:val="left"/>
      <w:pPr>
        <w:ind w:left="1560" w:hanging="360"/>
      </w:pPr>
      <w:rPr>
        <w:rFonts w:ascii="Symbol" w:hAnsi="Symbol"/>
      </w:rPr>
    </w:lvl>
    <w:lvl w:ilvl="1" w:tplc="8D927B5C">
      <w:start w:val="1"/>
      <w:numFmt w:val="bullet"/>
      <w:lvlText w:val=""/>
      <w:lvlJc w:val="left"/>
      <w:pPr>
        <w:ind w:left="1560" w:hanging="360"/>
      </w:pPr>
      <w:rPr>
        <w:rFonts w:ascii="Symbol" w:hAnsi="Symbol"/>
      </w:rPr>
    </w:lvl>
    <w:lvl w:ilvl="2" w:tplc="E1700960">
      <w:start w:val="1"/>
      <w:numFmt w:val="bullet"/>
      <w:lvlText w:val=""/>
      <w:lvlJc w:val="left"/>
      <w:pPr>
        <w:ind w:left="1560" w:hanging="360"/>
      </w:pPr>
      <w:rPr>
        <w:rFonts w:ascii="Symbol" w:hAnsi="Symbol"/>
      </w:rPr>
    </w:lvl>
    <w:lvl w:ilvl="3" w:tplc="256621CA">
      <w:start w:val="1"/>
      <w:numFmt w:val="bullet"/>
      <w:lvlText w:val=""/>
      <w:lvlJc w:val="left"/>
      <w:pPr>
        <w:ind w:left="1560" w:hanging="360"/>
      </w:pPr>
      <w:rPr>
        <w:rFonts w:ascii="Symbol" w:hAnsi="Symbol"/>
      </w:rPr>
    </w:lvl>
    <w:lvl w:ilvl="4" w:tplc="9AC87E32">
      <w:start w:val="1"/>
      <w:numFmt w:val="bullet"/>
      <w:lvlText w:val=""/>
      <w:lvlJc w:val="left"/>
      <w:pPr>
        <w:ind w:left="1560" w:hanging="360"/>
      </w:pPr>
      <w:rPr>
        <w:rFonts w:ascii="Symbol" w:hAnsi="Symbol"/>
      </w:rPr>
    </w:lvl>
    <w:lvl w:ilvl="5" w:tplc="D1D43D94">
      <w:start w:val="1"/>
      <w:numFmt w:val="bullet"/>
      <w:lvlText w:val=""/>
      <w:lvlJc w:val="left"/>
      <w:pPr>
        <w:ind w:left="1560" w:hanging="360"/>
      </w:pPr>
      <w:rPr>
        <w:rFonts w:ascii="Symbol" w:hAnsi="Symbol"/>
      </w:rPr>
    </w:lvl>
    <w:lvl w:ilvl="6" w:tplc="EB98A4BE">
      <w:start w:val="1"/>
      <w:numFmt w:val="bullet"/>
      <w:lvlText w:val=""/>
      <w:lvlJc w:val="left"/>
      <w:pPr>
        <w:ind w:left="1560" w:hanging="360"/>
      </w:pPr>
      <w:rPr>
        <w:rFonts w:ascii="Symbol" w:hAnsi="Symbol"/>
      </w:rPr>
    </w:lvl>
    <w:lvl w:ilvl="7" w:tplc="B94C1024">
      <w:start w:val="1"/>
      <w:numFmt w:val="bullet"/>
      <w:lvlText w:val=""/>
      <w:lvlJc w:val="left"/>
      <w:pPr>
        <w:ind w:left="1560" w:hanging="360"/>
      </w:pPr>
      <w:rPr>
        <w:rFonts w:ascii="Symbol" w:hAnsi="Symbol"/>
      </w:rPr>
    </w:lvl>
    <w:lvl w:ilvl="8" w:tplc="A3A0A152">
      <w:start w:val="1"/>
      <w:numFmt w:val="bullet"/>
      <w:lvlText w:val=""/>
      <w:lvlJc w:val="left"/>
      <w:pPr>
        <w:ind w:left="1560" w:hanging="360"/>
      </w:pPr>
      <w:rPr>
        <w:rFonts w:ascii="Symbol" w:hAnsi="Symbol"/>
      </w:rPr>
    </w:lvl>
  </w:abstractNum>
  <w:num w:numId="1" w16cid:durableId="1658682732">
    <w:abstractNumId w:val="29"/>
  </w:num>
  <w:num w:numId="2" w16cid:durableId="1724719523">
    <w:abstractNumId w:val="8"/>
  </w:num>
  <w:num w:numId="3" w16cid:durableId="845825799">
    <w:abstractNumId w:val="18"/>
  </w:num>
  <w:num w:numId="4" w16cid:durableId="269433489">
    <w:abstractNumId w:val="9"/>
  </w:num>
  <w:num w:numId="5" w16cid:durableId="289282881">
    <w:abstractNumId w:val="1"/>
  </w:num>
  <w:num w:numId="6" w16cid:durableId="967319369">
    <w:abstractNumId w:val="0"/>
  </w:num>
  <w:num w:numId="7" w16cid:durableId="1443765394">
    <w:abstractNumId w:val="14"/>
  </w:num>
  <w:num w:numId="8" w16cid:durableId="875241211">
    <w:abstractNumId w:val="31"/>
  </w:num>
  <w:num w:numId="9" w16cid:durableId="174466878">
    <w:abstractNumId w:val="26"/>
  </w:num>
  <w:num w:numId="10" w16cid:durableId="1198934633">
    <w:abstractNumId w:val="16"/>
  </w:num>
  <w:num w:numId="11" w16cid:durableId="269513244">
    <w:abstractNumId w:val="27"/>
  </w:num>
  <w:num w:numId="12" w16cid:durableId="964503814">
    <w:abstractNumId w:val="34"/>
  </w:num>
  <w:num w:numId="13" w16cid:durableId="644159457">
    <w:abstractNumId w:val="2"/>
  </w:num>
  <w:num w:numId="14" w16cid:durableId="213660209">
    <w:abstractNumId w:val="13"/>
  </w:num>
  <w:num w:numId="15" w16cid:durableId="16011426">
    <w:abstractNumId w:val="38"/>
  </w:num>
  <w:num w:numId="16" w16cid:durableId="298608044">
    <w:abstractNumId w:val="12"/>
  </w:num>
  <w:num w:numId="17" w16cid:durableId="1164736595">
    <w:abstractNumId w:val="23"/>
  </w:num>
  <w:num w:numId="18" w16cid:durableId="1388839977">
    <w:abstractNumId w:val="30"/>
  </w:num>
  <w:num w:numId="19" w16cid:durableId="2056075376">
    <w:abstractNumId w:val="22"/>
  </w:num>
  <w:num w:numId="20" w16cid:durableId="1374495952">
    <w:abstractNumId w:val="37"/>
  </w:num>
  <w:num w:numId="21" w16cid:durableId="1524590382">
    <w:abstractNumId w:val="32"/>
  </w:num>
  <w:num w:numId="22" w16cid:durableId="1083769196">
    <w:abstractNumId w:val="39"/>
  </w:num>
  <w:num w:numId="23" w16cid:durableId="1223518855">
    <w:abstractNumId w:val="35"/>
  </w:num>
  <w:num w:numId="24" w16cid:durableId="491022696">
    <w:abstractNumId w:val="6"/>
  </w:num>
  <w:num w:numId="25" w16cid:durableId="1833597238">
    <w:abstractNumId w:val="11"/>
  </w:num>
  <w:num w:numId="26" w16cid:durableId="1723214710">
    <w:abstractNumId w:val="15"/>
  </w:num>
  <w:num w:numId="27" w16cid:durableId="450048960">
    <w:abstractNumId w:val="41"/>
  </w:num>
  <w:num w:numId="28" w16cid:durableId="766393123">
    <w:abstractNumId w:val="28"/>
  </w:num>
  <w:num w:numId="29" w16cid:durableId="1754157297">
    <w:abstractNumId w:val="17"/>
  </w:num>
  <w:num w:numId="30" w16cid:durableId="1268585634">
    <w:abstractNumId w:val="21"/>
  </w:num>
  <w:num w:numId="31" w16cid:durableId="1073431863">
    <w:abstractNumId w:val="33"/>
  </w:num>
  <w:num w:numId="32" w16cid:durableId="2078360502">
    <w:abstractNumId w:val="25"/>
  </w:num>
  <w:num w:numId="33" w16cid:durableId="1136530482">
    <w:abstractNumId w:val="20"/>
  </w:num>
  <w:num w:numId="34" w16cid:durableId="1096633127">
    <w:abstractNumId w:val="4"/>
  </w:num>
  <w:num w:numId="35" w16cid:durableId="593369000">
    <w:abstractNumId w:val="40"/>
  </w:num>
  <w:num w:numId="36" w16cid:durableId="1024672892">
    <w:abstractNumId w:val="7"/>
  </w:num>
  <w:num w:numId="37" w16cid:durableId="489058512">
    <w:abstractNumId w:val="10"/>
  </w:num>
  <w:num w:numId="38" w16cid:durableId="1625959317">
    <w:abstractNumId w:val="24"/>
  </w:num>
  <w:num w:numId="39" w16cid:durableId="994793953">
    <w:abstractNumId w:val="19"/>
  </w:num>
  <w:num w:numId="40" w16cid:durableId="140468220">
    <w:abstractNumId w:val="5"/>
  </w:num>
  <w:num w:numId="41" w16cid:durableId="308050718">
    <w:abstractNumId w:val="36"/>
  </w:num>
  <w:num w:numId="42" w16cid:durableId="99837632">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Q0NTEzNDIxMDI3MTFV0lEKTi0uzszPAykwrQUAh6UZhywAAAA="/>
  </w:docVars>
  <w:rsids>
    <w:rsidRoot w:val="005366DF"/>
    <w:rsid w:val="00000451"/>
    <w:rsid w:val="00001F6A"/>
    <w:rsid w:val="0000208C"/>
    <w:rsid w:val="000027F4"/>
    <w:rsid w:val="00003A2F"/>
    <w:rsid w:val="00004D9F"/>
    <w:rsid w:val="000051C5"/>
    <w:rsid w:val="000058D6"/>
    <w:rsid w:val="00007176"/>
    <w:rsid w:val="00007C73"/>
    <w:rsid w:val="000103D3"/>
    <w:rsid w:val="00010D99"/>
    <w:rsid w:val="00011377"/>
    <w:rsid w:val="00011602"/>
    <w:rsid w:val="000135CF"/>
    <w:rsid w:val="00014A3C"/>
    <w:rsid w:val="000155D4"/>
    <w:rsid w:val="000156CA"/>
    <w:rsid w:val="000156DD"/>
    <w:rsid w:val="00016700"/>
    <w:rsid w:val="00016F29"/>
    <w:rsid w:val="000177B5"/>
    <w:rsid w:val="00020372"/>
    <w:rsid w:val="000206FB"/>
    <w:rsid w:val="00020FE4"/>
    <w:rsid w:val="00022808"/>
    <w:rsid w:val="00022C43"/>
    <w:rsid w:val="00022EC9"/>
    <w:rsid w:val="00023CFB"/>
    <w:rsid w:val="00023F3D"/>
    <w:rsid w:val="00025097"/>
    <w:rsid w:val="00025FB4"/>
    <w:rsid w:val="0002669B"/>
    <w:rsid w:val="00026FC9"/>
    <w:rsid w:val="00027237"/>
    <w:rsid w:val="000274BF"/>
    <w:rsid w:val="00027A2C"/>
    <w:rsid w:val="00027D4D"/>
    <w:rsid w:val="00027F17"/>
    <w:rsid w:val="000305DD"/>
    <w:rsid w:val="0003220C"/>
    <w:rsid w:val="00032C50"/>
    <w:rsid w:val="00033834"/>
    <w:rsid w:val="00034599"/>
    <w:rsid w:val="00034A9C"/>
    <w:rsid w:val="00036179"/>
    <w:rsid w:val="00036D30"/>
    <w:rsid w:val="00037427"/>
    <w:rsid w:val="000403EE"/>
    <w:rsid w:val="0004125D"/>
    <w:rsid w:val="0004131E"/>
    <w:rsid w:val="00041446"/>
    <w:rsid w:val="00041DBD"/>
    <w:rsid w:val="00042CE8"/>
    <w:rsid w:val="00042E33"/>
    <w:rsid w:val="00043132"/>
    <w:rsid w:val="00044004"/>
    <w:rsid w:val="0004412F"/>
    <w:rsid w:val="000444BF"/>
    <w:rsid w:val="00044A21"/>
    <w:rsid w:val="000461E8"/>
    <w:rsid w:val="0004641C"/>
    <w:rsid w:val="0004712F"/>
    <w:rsid w:val="000506D2"/>
    <w:rsid w:val="000512CE"/>
    <w:rsid w:val="00051564"/>
    <w:rsid w:val="00051DF0"/>
    <w:rsid w:val="00051E24"/>
    <w:rsid w:val="000521DA"/>
    <w:rsid w:val="0005284C"/>
    <w:rsid w:val="00052891"/>
    <w:rsid w:val="00052FA3"/>
    <w:rsid w:val="000546A1"/>
    <w:rsid w:val="00054BDF"/>
    <w:rsid w:val="0005648F"/>
    <w:rsid w:val="00056919"/>
    <w:rsid w:val="000569E8"/>
    <w:rsid w:val="00056BDD"/>
    <w:rsid w:val="000606F0"/>
    <w:rsid w:val="000606F5"/>
    <w:rsid w:val="00060D8A"/>
    <w:rsid w:val="00061664"/>
    <w:rsid w:val="00062ED3"/>
    <w:rsid w:val="00062F2C"/>
    <w:rsid w:val="000636FE"/>
    <w:rsid w:val="00065BAB"/>
    <w:rsid w:val="00065BE3"/>
    <w:rsid w:val="00066773"/>
    <w:rsid w:val="00066CB1"/>
    <w:rsid w:val="0006741D"/>
    <w:rsid w:val="00067FC7"/>
    <w:rsid w:val="000706F4"/>
    <w:rsid w:val="00071488"/>
    <w:rsid w:val="00071847"/>
    <w:rsid w:val="00071A44"/>
    <w:rsid w:val="00071DDB"/>
    <w:rsid w:val="000720DB"/>
    <w:rsid w:val="00073ECD"/>
    <w:rsid w:val="00073FCF"/>
    <w:rsid w:val="00074395"/>
    <w:rsid w:val="00075355"/>
    <w:rsid w:val="00075AE1"/>
    <w:rsid w:val="00076EC3"/>
    <w:rsid w:val="00077657"/>
    <w:rsid w:val="00077D70"/>
    <w:rsid w:val="00080490"/>
    <w:rsid w:val="00080B95"/>
    <w:rsid w:val="00081B3A"/>
    <w:rsid w:val="00082562"/>
    <w:rsid w:val="0008272E"/>
    <w:rsid w:val="00083C44"/>
    <w:rsid w:val="00083FE6"/>
    <w:rsid w:val="00084153"/>
    <w:rsid w:val="00084740"/>
    <w:rsid w:val="000870DC"/>
    <w:rsid w:val="00087B0A"/>
    <w:rsid w:val="00087CD2"/>
    <w:rsid w:val="0009025A"/>
    <w:rsid w:val="000904D6"/>
    <w:rsid w:val="00090EA1"/>
    <w:rsid w:val="00090F25"/>
    <w:rsid w:val="00090F5E"/>
    <w:rsid w:val="00093B3A"/>
    <w:rsid w:val="00093D20"/>
    <w:rsid w:val="0009432D"/>
    <w:rsid w:val="000946BD"/>
    <w:rsid w:val="0009487B"/>
    <w:rsid w:val="00094C95"/>
    <w:rsid w:val="000950A8"/>
    <w:rsid w:val="00095122"/>
    <w:rsid w:val="00095A49"/>
    <w:rsid w:val="00095C97"/>
    <w:rsid w:val="00095E28"/>
    <w:rsid w:val="00096A2B"/>
    <w:rsid w:val="000973A5"/>
    <w:rsid w:val="000973CB"/>
    <w:rsid w:val="00097967"/>
    <w:rsid w:val="00097985"/>
    <w:rsid w:val="00097D21"/>
    <w:rsid w:val="000A07CC"/>
    <w:rsid w:val="000A0972"/>
    <w:rsid w:val="000A1A3D"/>
    <w:rsid w:val="000A1C09"/>
    <w:rsid w:val="000A2104"/>
    <w:rsid w:val="000A2326"/>
    <w:rsid w:val="000A293D"/>
    <w:rsid w:val="000A2AB7"/>
    <w:rsid w:val="000A37D4"/>
    <w:rsid w:val="000A3C5F"/>
    <w:rsid w:val="000A457F"/>
    <w:rsid w:val="000A531A"/>
    <w:rsid w:val="000A61D0"/>
    <w:rsid w:val="000A6BE3"/>
    <w:rsid w:val="000A7916"/>
    <w:rsid w:val="000A7CC3"/>
    <w:rsid w:val="000B00DD"/>
    <w:rsid w:val="000B02AC"/>
    <w:rsid w:val="000B096D"/>
    <w:rsid w:val="000B1131"/>
    <w:rsid w:val="000B282D"/>
    <w:rsid w:val="000B2AA0"/>
    <w:rsid w:val="000B3B5B"/>
    <w:rsid w:val="000B3D39"/>
    <w:rsid w:val="000B4AD8"/>
    <w:rsid w:val="000B5597"/>
    <w:rsid w:val="000B5CEC"/>
    <w:rsid w:val="000B5DE1"/>
    <w:rsid w:val="000B6138"/>
    <w:rsid w:val="000B649A"/>
    <w:rsid w:val="000C0156"/>
    <w:rsid w:val="000C02CD"/>
    <w:rsid w:val="000C0322"/>
    <w:rsid w:val="000C0497"/>
    <w:rsid w:val="000C0C6E"/>
    <w:rsid w:val="000C1129"/>
    <w:rsid w:val="000C1E9B"/>
    <w:rsid w:val="000C21CC"/>
    <w:rsid w:val="000C2C75"/>
    <w:rsid w:val="000C3E90"/>
    <w:rsid w:val="000C4816"/>
    <w:rsid w:val="000C4844"/>
    <w:rsid w:val="000C5E00"/>
    <w:rsid w:val="000C62E3"/>
    <w:rsid w:val="000C63B7"/>
    <w:rsid w:val="000C6790"/>
    <w:rsid w:val="000C695D"/>
    <w:rsid w:val="000D022D"/>
    <w:rsid w:val="000D1CEC"/>
    <w:rsid w:val="000D1D6F"/>
    <w:rsid w:val="000D3018"/>
    <w:rsid w:val="000D3651"/>
    <w:rsid w:val="000D4506"/>
    <w:rsid w:val="000D52A8"/>
    <w:rsid w:val="000D5C32"/>
    <w:rsid w:val="000D7563"/>
    <w:rsid w:val="000E04DA"/>
    <w:rsid w:val="000E0DC9"/>
    <w:rsid w:val="000E17DD"/>
    <w:rsid w:val="000E1C53"/>
    <w:rsid w:val="000E22D0"/>
    <w:rsid w:val="000E37C9"/>
    <w:rsid w:val="000E4E8C"/>
    <w:rsid w:val="000E6C58"/>
    <w:rsid w:val="000E7624"/>
    <w:rsid w:val="000E79F2"/>
    <w:rsid w:val="000F0797"/>
    <w:rsid w:val="000F07B8"/>
    <w:rsid w:val="000F0AEF"/>
    <w:rsid w:val="000F0B12"/>
    <w:rsid w:val="000F163E"/>
    <w:rsid w:val="000F1A4A"/>
    <w:rsid w:val="000F2398"/>
    <w:rsid w:val="000F2416"/>
    <w:rsid w:val="000F3928"/>
    <w:rsid w:val="000F3CA6"/>
    <w:rsid w:val="000F4925"/>
    <w:rsid w:val="000F4EA3"/>
    <w:rsid w:val="000F5879"/>
    <w:rsid w:val="000F6000"/>
    <w:rsid w:val="000F64D9"/>
    <w:rsid w:val="000F6862"/>
    <w:rsid w:val="000F70E0"/>
    <w:rsid w:val="000F7D5E"/>
    <w:rsid w:val="00100B54"/>
    <w:rsid w:val="001016D4"/>
    <w:rsid w:val="00101F6E"/>
    <w:rsid w:val="001024C2"/>
    <w:rsid w:val="001026AF"/>
    <w:rsid w:val="00102F04"/>
    <w:rsid w:val="001039EC"/>
    <w:rsid w:val="00103C11"/>
    <w:rsid w:val="00103F72"/>
    <w:rsid w:val="00104108"/>
    <w:rsid w:val="0010432F"/>
    <w:rsid w:val="00105262"/>
    <w:rsid w:val="00105C7D"/>
    <w:rsid w:val="00106D08"/>
    <w:rsid w:val="00107811"/>
    <w:rsid w:val="001127D2"/>
    <w:rsid w:val="00113834"/>
    <w:rsid w:val="00113BD7"/>
    <w:rsid w:val="00114CF5"/>
    <w:rsid w:val="00114D30"/>
    <w:rsid w:val="0011586A"/>
    <w:rsid w:val="00116B30"/>
    <w:rsid w:val="00116D72"/>
    <w:rsid w:val="00116F0D"/>
    <w:rsid w:val="001176CF"/>
    <w:rsid w:val="00120976"/>
    <w:rsid w:val="00121516"/>
    <w:rsid w:val="00123B81"/>
    <w:rsid w:val="00123D49"/>
    <w:rsid w:val="00123FD0"/>
    <w:rsid w:val="00124AFA"/>
    <w:rsid w:val="00124CFF"/>
    <w:rsid w:val="001251BC"/>
    <w:rsid w:val="00126464"/>
    <w:rsid w:val="001270D3"/>
    <w:rsid w:val="001272AD"/>
    <w:rsid w:val="00127C5A"/>
    <w:rsid w:val="0013041E"/>
    <w:rsid w:val="00130982"/>
    <w:rsid w:val="00130F3A"/>
    <w:rsid w:val="001312FA"/>
    <w:rsid w:val="00131907"/>
    <w:rsid w:val="0013203F"/>
    <w:rsid w:val="00132C8F"/>
    <w:rsid w:val="0013576B"/>
    <w:rsid w:val="001357C1"/>
    <w:rsid w:val="00135A6F"/>
    <w:rsid w:val="00140B21"/>
    <w:rsid w:val="001417B7"/>
    <w:rsid w:val="0014206C"/>
    <w:rsid w:val="00145725"/>
    <w:rsid w:val="001459B5"/>
    <w:rsid w:val="001468A7"/>
    <w:rsid w:val="00146D0F"/>
    <w:rsid w:val="00147515"/>
    <w:rsid w:val="00150B93"/>
    <w:rsid w:val="00152ABC"/>
    <w:rsid w:val="0015343D"/>
    <w:rsid w:val="001536C5"/>
    <w:rsid w:val="00153921"/>
    <w:rsid w:val="001544D6"/>
    <w:rsid w:val="0015460F"/>
    <w:rsid w:val="00154E5A"/>
    <w:rsid w:val="001552CB"/>
    <w:rsid w:val="00155D82"/>
    <w:rsid w:val="00155E4D"/>
    <w:rsid w:val="001561F9"/>
    <w:rsid w:val="001568EA"/>
    <w:rsid w:val="00156BCB"/>
    <w:rsid w:val="00157EE8"/>
    <w:rsid w:val="00160512"/>
    <w:rsid w:val="00160561"/>
    <w:rsid w:val="0016124C"/>
    <w:rsid w:val="00163A68"/>
    <w:rsid w:val="00163C04"/>
    <w:rsid w:val="00164344"/>
    <w:rsid w:val="001645F5"/>
    <w:rsid w:val="0016603F"/>
    <w:rsid w:val="00166BA5"/>
    <w:rsid w:val="0017028F"/>
    <w:rsid w:val="0017122F"/>
    <w:rsid w:val="00171727"/>
    <w:rsid w:val="001717F6"/>
    <w:rsid w:val="00172161"/>
    <w:rsid w:val="00172D82"/>
    <w:rsid w:val="00172E0D"/>
    <w:rsid w:val="001736EE"/>
    <w:rsid w:val="00173F25"/>
    <w:rsid w:val="0017482C"/>
    <w:rsid w:val="00175729"/>
    <w:rsid w:val="00177313"/>
    <w:rsid w:val="00177D17"/>
    <w:rsid w:val="00180D39"/>
    <w:rsid w:val="00181B1B"/>
    <w:rsid w:val="00182304"/>
    <w:rsid w:val="001826EC"/>
    <w:rsid w:val="001828EA"/>
    <w:rsid w:val="00182CAC"/>
    <w:rsid w:val="00182FBB"/>
    <w:rsid w:val="00183C09"/>
    <w:rsid w:val="00184102"/>
    <w:rsid w:val="001847B9"/>
    <w:rsid w:val="00184CD1"/>
    <w:rsid w:val="00184FC9"/>
    <w:rsid w:val="001863D0"/>
    <w:rsid w:val="001869C8"/>
    <w:rsid w:val="0019070C"/>
    <w:rsid w:val="00190B0E"/>
    <w:rsid w:val="00190E95"/>
    <w:rsid w:val="00191CBB"/>
    <w:rsid w:val="00191EC5"/>
    <w:rsid w:val="00192226"/>
    <w:rsid w:val="001925B6"/>
    <w:rsid w:val="001936A4"/>
    <w:rsid w:val="00193DB4"/>
    <w:rsid w:val="00195198"/>
    <w:rsid w:val="0019613D"/>
    <w:rsid w:val="0019639B"/>
    <w:rsid w:val="00196A65"/>
    <w:rsid w:val="00197367"/>
    <w:rsid w:val="00197716"/>
    <w:rsid w:val="001A0F27"/>
    <w:rsid w:val="001A10F5"/>
    <w:rsid w:val="001A30E8"/>
    <w:rsid w:val="001A3881"/>
    <w:rsid w:val="001A45D9"/>
    <w:rsid w:val="001A5662"/>
    <w:rsid w:val="001A57ED"/>
    <w:rsid w:val="001A5843"/>
    <w:rsid w:val="001A6C97"/>
    <w:rsid w:val="001A6D8C"/>
    <w:rsid w:val="001A7D61"/>
    <w:rsid w:val="001B006B"/>
    <w:rsid w:val="001B09E3"/>
    <w:rsid w:val="001B0BF4"/>
    <w:rsid w:val="001B25A3"/>
    <w:rsid w:val="001B2F02"/>
    <w:rsid w:val="001B3561"/>
    <w:rsid w:val="001B5509"/>
    <w:rsid w:val="001B5F64"/>
    <w:rsid w:val="001B6023"/>
    <w:rsid w:val="001B6A20"/>
    <w:rsid w:val="001B79E6"/>
    <w:rsid w:val="001C0E8A"/>
    <w:rsid w:val="001C1D28"/>
    <w:rsid w:val="001C2531"/>
    <w:rsid w:val="001C25EB"/>
    <w:rsid w:val="001C2ED7"/>
    <w:rsid w:val="001C3A6C"/>
    <w:rsid w:val="001C3FFD"/>
    <w:rsid w:val="001C4564"/>
    <w:rsid w:val="001C461D"/>
    <w:rsid w:val="001C5BB0"/>
    <w:rsid w:val="001C691A"/>
    <w:rsid w:val="001C765D"/>
    <w:rsid w:val="001D0184"/>
    <w:rsid w:val="001D0729"/>
    <w:rsid w:val="001D20DF"/>
    <w:rsid w:val="001D2311"/>
    <w:rsid w:val="001D2631"/>
    <w:rsid w:val="001D2B24"/>
    <w:rsid w:val="001D4282"/>
    <w:rsid w:val="001D47DA"/>
    <w:rsid w:val="001D533A"/>
    <w:rsid w:val="001D68B4"/>
    <w:rsid w:val="001D6AE1"/>
    <w:rsid w:val="001D76C7"/>
    <w:rsid w:val="001E00C5"/>
    <w:rsid w:val="001E052C"/>
    <w:rsid w:val="001E068D"/>
    <w:rsid w:val="001E1369"/>
    <w:rsid w:val="001E193A"/>
    <w:rsid w:val="001E1EA3"/>
    <w:rsid w:val="001E1FD1"/>
    <w:rsid w:val="001E25A1"/>
    <w:rsid w:val="001E2BF2"/>
    <w:rsid w:val="001E33DC"/>
    <w:rsid w:val="001E40CC"/>
    <w:rsid w:val="001E4168"/>
    <w:rsid w:val="001E55CB"/>
    <w:rsid w:val="001E63EA"/>
    <w:rsid w:val="001E6420"/>
    <w:rsid w:val="001E7D76"/>
    <w:rsid w:val="001F1B0C"/>
    <w:rsid w:val="001F1D97"/>
    <w:rsid w:val="001F2A82"/>
    <w:rsid w:val="001F3453"/>
    <w:rsid w:val="001F37BC"/>
    <w:rsid w:val="001F4CE9"/>
    <w:rsid w:val="001F6BE6"/>
    <w:rsid w:val="001F6FC4"/>
    <w:rsid w:val="00200719"/>
    <w:rsid w:val="00200DB6"/>
    <w:rsid w:val="00200E05"/>
    <w:rsid w:val="002022C3"/>
    <w:rsid w:val="00202AF1"/>
    <w:rsid w:val="00203068"/>
    <w:rsid w:val="00203344"/>
    <w:rsid w:val="00203751"/>
    <w:rsid w:val="002045CA"/>
    <w:rsid w:val="00204951"/>
    <w:rsid w:val="00204D60"/>
    <w:rsid w:val="00205A0D"/>
    <w:rsid w:val="002064FA"/>
    <w:rsid w:val="00207567"/>
    <w:rsid w:val="00207870"/>
    <w:rsid w:val="00210074"/>
    <w:rsid w:val="00210774"/>
    <w:rsid w:val="0021155B"/>
    <w:rsid w:val="00211C73"/>
    <w:rsid w:val="00212789"/>
    <w:rsid w:val="002131A2"/>
    <w:rsid w:val="00213708"/>
    <w:rsid w:val="00213732"/>
    <w:rsid w:val="00214056"/>
    <w:rsid w:val="002141D0"/>
    <w:rsid w:val="002145B5"/>
    <w:rsid w:val="00215506"/>
    <w:rsid w:val="00215735"/>
    <w:rsid w:val="002163DC"/>
    <w:rsid w:val="00216A4E"/>
    <w:rsid w:val="002177EA"/>
    <w:rsid w:val="00220887"/>
    <w:rsid w:val="0022097C"/>
    <w:rsid w:val="00220A1A"/>
    <w:rsid w:val="0022196E"/>
    <w:rsid w:val="00221A64"/>
    <w:rsid w:val="00221A99"/>
    <w:rsid w:val="0022230C"/>
    <w:rsid w:val="00222320"/>
    <w:rsid w:val="002228E2"/>
    <w:rsid w:val="00222A30"/>
    <w:rsid w:val="0022325D"/>
    <w:rsid w:val="00223794"/>
    <w:rsid w:val="0022407D"/>
    <w:rsid w:val="0022415F"/>
    <w:rsid w:val="00224958"/>
    <w:rsid w:val="00225042"/>
    <w:rsid w:val="002250D2"/>
    <w:rsid w:val="002254FE"/>
    <w:rsid w:val="00225564"/>
    <w:rsid w:val="00225BA1"/>
    <w:rsid w:val="00226F1E"/>
    <w:rsid w:val="002274D0"/>
    <w:rsid w:val="00230879"/>
    <w:rsid w:val="00230AD4"/>
    <w:rsid w:val="00230D86"/>
    <w:rsid w:val="00231A73"/>
    <w:rsid w:val="00231D9A"/>
    <w:rsid w:val="002324BC"/>
    <w:rsid w:val="00232ECD"/>
    <w:rsid w:val="002333D3"/>
    <w:rsid w:val="00234B2D"/>
    <w:rsid w:val="00234E43"/>
    <w:rsid w:val="002354BB"/>
    <w:rsid w:val="0023621B"/>
    <w:rsid w:val="002362AD"/>
    <w:rsid w:val="00237800"/>
    <w:rsid w:val="002401A3"/>
    <w:rsid w:val="002405B7"/>
    <w:rsid w:val="00240D3A"/>
    <w:rsid w:val="00240D7A"/>
    <w:rsid w:val="00240E34"/>
    <w:rsid w:val="002414F1"/>
    <w:rsid w:val="002415A1"/>
    <w:rsid w:val="00241BF4"/>
    <w:rsid w:val="00242212"/>
    <w:rsid w:val="00242703"/>
    <w:rsid w:val="00242777"/>
    <w:rsid w:val="0024302D"/>
    <w:rsid w:val="00243243"/>
    <w:rsid w:val="00244240"/>
    <w:rsid w:val="00244835"/>
    <w:rsid w:val="002449AA"/>
    <w:rsid w:val="0024506B"/>
    <w:rsid w:val="002459B8"/>
    <w:rsid w:val="00245A2A"/>
    <w:rsid w:val="00245A67"/>
    <w:rsid w:val="00245E04"/>
    <w:rsid w:val="002468EB"/>
    <w:rsid w:val="00246D8A"/>
    <w:rsid w:val="002477F5"/>
    <w:rsid w:val="00247CC1"/>
    <w:rsid w:val="00250AAC"/>
    <w:rsid w:val="00252AD2"/>
    <w:rsid w:val="00252DD1"/>
    <w:rsid w:val="00254B1A"/>
    <w:rsid w:val="00254F5D"/>
    <w:rsid w:val="002564EB"/>
    <w:rsid w:val="00256DFA"/>
    <w:rsid w:val="00257658"/>
    <w:rsid w:val="00257E84"/>
    <w:rsid w:val="0026078F"/>
    <w:rsid w:val="002610C5"/>
    <w:rsid w:val="00262C0D"/>
    <w:rsid w:val="00262DE8"/>
    <w:rsid w:val="002638C5"/>
    <w:rsid w:val="002648F6"/>
    <w:rsid w:val="00264CD5"/>
    <w:rsid w:val="0026505A"/>
    <w:rsid w:val="00265CB2"/>
    <w:rsid w:val="00266CC9"/>
    <w:rsid w:val="00266D6E"/>
    <w:rsid w:val="00266FB5"/>
    <w:rsid w:val="00267E5D"/>
    <w:rsid w:val="00270F61"/>
    <w:rsid w:val="0027185A"/>
    <w:rsid w:val="00272EF7"/>
    <w:rsid w:val="0027303B"/>
    <w:rsid w:val="0027341C"/>
    <w:rsid w:val="0027410D"/>
    <w:rsid w:val="00275B06"/>
    <w:rsid w:val="0027698A"/>
    <w:rsid w:val="00277508"/>
    <w:rsid w:val="0028052B"/>
    <w:rsid w:val="002820E2"/>
    <w:rsid w:val="002821E1"/>
    <w:rsid w:val="002831D4"/>
    <w:rsid w:val="00283DB7"/>
    <w:rsid w:val="00283E38"/>
    <w:rsid w:val="0028548C"/>
    <w:rsid w:val="00285A24"/>
    <w:rsid w:val="00285A34"/>
    <w:rsid w:val="00286428"/>
    <w:rsid w:val="002867DA"/>
    <w:rsid w:val="00290741"/>
    <w:rsid w:val="002909E1"/>
    <w:rsid w:val="00291147"/>
    <w:rsid w:val="0029128C"/>
    <w:rsid w:val="00291FCA"/>
    <w:rsid w:val="002920E4"/>
    <w:rsid w:val="00292BB7"/>
    <w:rsid w:val="0029324F"/>
    <w:rsid w:val="00293A25"/>
    <w:rsid w:val="00293E3E"/>
    <w:rsid w:val="00294148"/>
    <w:rsid w:val="00294E13"/>
    <w:rsid w:val="00294F35"/>
    <w:rsid w:val="00295191"/>
    <w:rsid w:val="00295BCF"/>
    <w:rsid w:val="002A06D9"/>
    <w:rsid w:val="002A0A3F"/>
    <w:rsid w:val="002A0BB3"/>
    <w:rsid w:val="002A0D8D"/>
    <w:rsid w:val="002A1127"/>
    <w:rsid w:val="002A2C6F"/>
    <w:rsid w:val="002A354C"/>
    <w:rsid w:val="002A3EA3"/>
    <w:rsid w:val="002A4C18"/>
    <w:rsid w:val="002A4E0D"/>
    <w:rsid w:val="002A53E6"/>
    <w:rsid w:val="002A5723"/>
    <w:rsid w:val="002B0DBB"/>
    <w:rsid w:val="002B1285"/>
    <w:rsid w:val="002B19C1"/>
    <w:rsid w:val="002B1BEA"/>
    <w:rsid w:val="002B225E"/>
    <w:rsid w:val="002B2A14"/>
    <w:rsid w:val="002B2A54"/>
    <w:rsid w:val="002B3805"/>
    <w:rsid w:val="002B3DBC"/>
    <w:rsid w:val="002B461E"/>
    <w:rsid w:val="002B4C63"/>
    <w:rsid w:val="002B4F1B"/>
    <w:rsid w:val="002B6A7F"/>
    <w:rsid w:val="002B709D"/>
    <w:rsid w:val="002B78D8"/>
    <w:rsid w:val="002B7956"/>
    <w:rsid w:val="002B7ED8"/>
    <w:rsid w:val="002C0019"/>
    <w:rsid w:val="002C0685"/>
    <w:rsid w:val="002C102B"/>
    <w:rsid w:val="002C17C1"/>
    <w:rsid w:val="002C1935"/>
    <w:rsid w:val="002C26D6"/>
    <w:rsid w:val="002C2C1A"/>
    <w:rsid w:val="002C2F4A"/>
    <w:rsid w:val="002C41EC"/>
    <w:rsid w:val="002C4359"/>
    <w:rsid w:val="002C4C7F"/>
    <w:rsid w:val="002C4F33"/>
    <w:rsid w:val="002C51C4"/>
    <w:rsid w:val="002C5C01"/>
    <w:rsid w:val="002C6A08"/>
    <w:rsid w:val="002C7469"/>
    <w:rsid w:val="002C7F3C"/>
    <w:rsid w:val="002D154C"/>
    <w:rsid w:val="002D1A4B"/>
    <w:rsid w:val="002D2272"/>
    <w:rsid w:val="002D2FFA"/>
    <w:rsid w:val="002D3169"/>
    <w:rsid w:val="002D31AB"/>
    <w:rsid w:val="002D365F"/>
    <w:rsid w:val="002D3F50"/>
    <w:rsid w:val="002D45DF"/>
    <w:rsid w:val="002D5470"/>
    <w:rsid w:val="002D5B60"/>
    <w:rsid w:val="002D63A3"/>
    <w:rsid w:val="002D771B"/>
    <w:rsid w:val="002E00DD"/>
    <w:rsid w:val="002E02D2"/>
    <w:rsid w:val="002E0B56"/>
    <w:rsid w:val="002E0EAE"/>
    <w:rsid w:val="002E1386"/>
    <w:rsid w:val="002E1572"/>
    <w:rsid w:val="002E1659"/>
    <w:rsid w:val="002E20B7"/>
    <w:rsid w:val="002E2429"/>
    <w:rsid w:val="002E303F"/>
    <w:rsid w:val="002E489F"/>
    <w:rsid w:val="002E4F66"/>
    <w:rsid w:val="002E60E0"/>
    <w:rsid w:val="002E6723"/>
    <w:rsid w:val="002E67A9"/>
    <w:rsid w:val="002F0777"/>
    <w:rsid w:val="002F09E4"/>
    <w:rsid w:val="002F1310"/>
    <w:rsid w:val="002F1B87"/>
    <w:rsid w:val="002F1E2E"/>
    <w:rsid w:val="002F3477"/>
    <w:rsid w:val="002F361F"/>
    <w:rsid w:val="002F3AC8"/>
    <w:rsid w:val="002F3C8D"/>
    <w:rsid w:val="002F4692"/>
    <w:rsid w:val="002F559F"/>
    <w:rsid w:val="002F5802"/>
    <w:rsid w:val="002F5887"/>
    <w:rsid w:val="002F5DEC"/>
    <w:rsid w:val="002F61AE"/>
    <w:rsid w:val="002F6889"/>
    <w:rsid w:val="002F7287"/>
    <w:rsid w:val="002F768D"/>
    <w:rsid w:val="002F7825"/>
    <w:rsid w:val="003001CA"/>
    <w:rsid w:val="0030127F"/>
    <w:rsid w:val="003015A1"/>
    <w:rsid w:val="00302790"/>
    <w:rsid w:val="00303254"/>
    <w:rsid w:val="00303C42"/>
    <w:rsid w:val="0030415D"/>
    <w:rsid w:val="00307AB2"/>
    <w:rsid w:val="00307F41"/>
    <w:rsid w:val="00310545"/>
    <w:rsid w:val="0031178D"/>
    <w:rsid w:val="00311B73"/>
    <w:rsid w:val="00311D76"/>
    <w:rsid w:val="003123F8"/>
    <w:rsid w:val="0031261A"/>
    <w:rsid w:val="003127E0"/>
    <w:rsid w:val="00312997"/>
    <w:rsid w:val="00313A29"/>
    <w:rsid w:val="00314655"/>
    <w:rsid w:val="00314AF8"/>
    <w:rsid w:val="0031519A"/>
    <w:rsid w:val="00315D0E"/>
    <w:rsid w:val="00317715"/>
    <w:rsid w:val="00317B51"/>
    <w:rsid w:val="00317C47"/>
    <w:rsid w:val="0032180B"/>
    <w:rsid w:val="00321E63"/>
    <w:rsid w:val="003228C9"/>
    <w:rsid w:val="00322952"/>
    <w:rsid w:val="00323F65"/>
    <w:rsid w:val="00326661"/>
    <w:rsid w:val="003277E7"/>
    <w:rsid w:val="00327997"/>
    <w:rsid w:val="00327EEB"/>
    <w:rsid w:val="00330C43"/>
    <w:rsid w:val="00330F65"/>
    <w:rsid w:val="003314E2"/>
    <w:rsid w:val="0033291A"/>
    <w:rsid w:val="00332CF9"/>
    <w:rsid w:val="00332F08"/>
    <w:rsid w:val="00333321"/>
    <w:rsid w:val="003339B3"/>
    <w:rsid w:val="00333D3C"/>
    <w:rsid w:val="00333EF4"/>
    <w:rsid w:val="003353FD"/>
    <w:rsid w:val="003359EB"/>
    <w:rsid w:val="00335E73"/>
    <w:rsid w:val="00337356"/>
    <w:rsid w:val="003375E8"/>
    <w:rsid w:val="00340DD6"/>
    <w:rsid w:val="003410CC"/>
    <w:rsid w:val="0034117F"/>
    <w:rsid w:val="003415E5"/>
    <w:rsid w:val="00341C8C"/>
    <w:rsid w:val="00342463"/>
    <w:rsid w:val="00342BC1"/>
    <w:rsid w:val="00343BF7"/>
    <w:rsid w:val="00344341"/>
    <w:rsid w:val="003467D0"/>
    <w:rsid w:val="00346B16"/>
    <w:rsid w:val="00346F6B"/>
    <w:rsid w:val="00347684"/>
    <w:rsid w:val="00350595"/>
    <w:rsid w:val="00351624"/>
    <w:rsid w:val="0035190C"/>
    <w:rsid w:val="003528E0"/>
    <w:rsid w:val="003537CD"/>
    <w:rsid w:val="00353B6D"/>
    <w:rsid w:val="003540D6"/>
    <w:rsid w:val="0035458F"/>
    <w:rsid w:val="00354735"/>
    <w:rsid w:val="00354CB4"/>
    <w:rsid w:val="00355DE2"/>
    <w:rsid w:val="0035647F"/>
    <w:rsid w:val="00356CC6"/>
    <w:rsid w:val="00356D4D"/>
    <w:rsid w:val="003578C1"/>
    <w:rsid w:val="003578DE"/>
    <w:rsid w:val="003579FB"/>
    <w:rsid w:val="00357C0A"/>
    <w:rsid w:val="00361625"/>
    <w:rsid w:val="003625AB"/>
    <w:rsid w:val="00364958"/>
    <w:rsid w:val="00364A5E"/>
    <w:rsid w:val="00365143"/>
    <w:rsid w:val="0036563F"/>
    <w:rsid w:val="00365D0A"/>
    <w:rsid w:val="00366275"/>
    <w:rsid w:val="003709CA"/>
    <w:rsid w:val="0037181C"/>
    <w:rsid w:val="00372573"/>
    <w:rsid w:val="00373335"/>
    <w:rsid w:val="003741FC"/>
    <w:rsid w:val="003744D1"/>
    <w:rsid w:val="00375A27"/>
    <w:rsid w:val="003778F9"/>
    <w:rsid w:val="00380801"/>
    <w:rsid w:val="00381DB8"/>
    <w:rsid w:val="00382330"/>
    <w:rsid w:val="00382601"/>
    <w:rsid w:val="00382AD2"/>
    <w:rsid w:val="003834FC"/>
    <w:rsid w:val="00383886"/>
    <w:rsid w:val="00384024"/>
    <w:rsid w:val="00385434"/>
    <w:rsid w:val="00385559"/>
    <w:rsid w:val="0038615C"/>
    <w:rsid w:val="00386C49"/>
    <w:rsid w:val="00386DB2"/>
    <w:rsid w:val="0038709F"/>
    <w:rsid w:val="0038791E"/>
    <w:rsid w:val="003909C7"/>
    <w:rsid w:val="00390A98"/>
    <w:rsid w:val="003912CD"/>
    <w:rsid w:val="00391D3A"/>
    <w:rsid w:val="0039253A"/>
    <w:rsid w:val="003951B4"/>
    <w:rsid w:val="00395834"/>
    <w:rsid w:val="00395898"/>
    <w:rsid w:val="003977F3"/>
    <w:rsid w:val="00397A08"/>
    <w:rsid w:val="00397A10"/>
    <w:rsid w:val="00397C33"/>
    <w:rsid w:val="003A0964"/>
    <w:rsid w:val="003A09D9"/>
    <w:rsid w:val="003A11B6"/>
    <w:rsid w:val="003A1B1B"/>
    <w:rsid w:val="003A1B36"/>
    <w:rsid w:val="003A265B"/>
    <w:rsid w:val="003A29E6"/>
    <w:rsid w:val="003A2D6E"/>
    <w:rsid w:val="003A3D9D"/>
    <w:rsid w:val="003A41A8"/>
    <w:rsid w:val="003A48C9"/>
    <w:rsid w:val="003A4F65"/>
    <w:rsid w:val="003A6A8E"/>
    <w:rsid w:val="003A78C1"/>
    <w:rsid w:val="003A7E68"/>
    <w:rsid w:val="003B0021"/>
    <w:rsid w:val="003B0166"/>
    <w:rsid w:val="003B0867"/>
    <w:rsid w:val="003B10CA"/>
    <w:rsid w:val="003B16D3"/>
    <w:rsid w:val="003B19FD"/>
    <w:rsid w:val="003B28B6"/>
    <w:rsid w:val="003B2A26"/>
    <w:rsid w:val="003B358C"/>
    <w:rsid w:val="003B3C9A"/>
    <w:rsid w:val="003B4119"/>
    <w:rsid w:val="003B4354"/>
    <w:rsid w:val="003B55DC"/>
    <w:rsid w:val="003B5B9D"/>
    <w:rsid w:val="003B5EAE"/>
    <w:rsid w:val="003B658F"/>
    <w:rsid w:val="003B69B0"/>
    <w:rsid w:val="003B786F"/>
    <w:rsid w:val="003C0D56"/>
    <w:rsid w:val="003C1221"/>
    <w:rsid w:val="003C141A"/>
    <w:rsid w:val="003C166C"/>
    <w:rsid w:val="003C1BE5"/>
    <w:rsid w:val="003C385F"/>
    <w:rsid w:val="003C4022"/>
    <w:rsid w:val="003C48ED"/>
    <w:rsid w:val="003C61B2"/>
    <w:rsid w:val="003C61DF"/>
    <w:rsid w:val="003C61F2"/>
    <w:rsid w:val="003C685D"/>
    <w:rsid w:val="003C724A"/>
    <w:rsid w:val="003D270D"/>
    <w:rsid w:val="003D2F9D"/>
    <w:rsid w:val="003D32B5"/>
    <w:rsid w:val="003D3A7E"/>
    <w:rsid w:val="003D58BC"/>
    <w:rsid w:val="003D62E9"/>
    <w:rsid w:val="003D709C"/>
    <w:rsid w:val="003D755F"/>
    <w:rsid w:val="003D7BF1"/>
    <w:rsid w:val="003D7FD7"/>
    <w:rsid w:val="003E05CA"/>
    <w:rsid w:val="003E1C6C"/>
    <w:rsid w:val="003E347B"/>
    <w:rsid w:val="003E368D"/>
    <w:rsid w:val="003E3983"/>
    <w:rsid w:val="003E4193"/>
    <w:rsid w:val="003E45DC"/>
    <w:rsid w:val="003E4BDD"/>
    <w:rsid w:val="003E5EC5"/>
    <w:rsid w:val="003E6C78"/>
    <w:rsid w:val="003E6E7C"/>
    <w:rsid w:val="003E7619"/>
    <w:rsid w:val="003F0157"/>
    <w:rsid w:val="003F041D"/>
    <w:rsid w:val="003F0944"/>
    <w:rsid w:val="003F09D1"/>
    <w:rsid w:val="003F0F7E"/>
    <w:rsid w:val="003F1052"/>
    <w:rsid w:val="003F15B2"/>
    <w:rsid w:val="003F176B"/>
    <w:rsid w:val="003F2B97"/>
    <w:rsid w:val="003F42E4"/>
    <w:rsid w:val="003F5E09"/>
    <w:rsid w:val="003F748A"/>
    <w:rsid w:val="00400EEC"/>
    <w:rsid w:val="004016E7"/>
    <w:rsid w:val="00401B0D"/>
    <w:rsid w:val="00401C81"/>
    <w:rsid w:val="00401F5A"/>
    <w:rsid w:val="0040289E"/>
    <w:rsid w:val="0040300A"/>
    <w:rsid w:val="00403023"/>
    <w:rsid w:val="00403960"/>
    <w:rsid w:val="00403AB1"/>
    <w:rsid w:val="00403D5E"/>
    <w:rsid w:val="00403F48"/>
    <w:rsid w:val="004046BA"/>
    <w:rsid w:val="00405052"/>
    <w:rsid w:val="0040574E"/>
    <w:rsid w:val="00405A69"/>
    <w:rsid w:val="00406E2C"/>
    <w:rsid w:val="004077FA"/>
    <w:rsid w:val="004110DD"/>
    <w:rsid w:val="004117AE"/>
    <w:rsid w:val="00411C0F"/>
    <w:rsid w:val="00411F45"/>
    <w:rsid w:val="00413062"/>
    <w:rsid w:val="004130DB"/>
    <w:rsid w:val="0041328F"/>
    <w:rsid w:val="004150E5"/>
    <w:rsid w:val="00415A6F"/>
    <w:rsid w:val="004176AB"/>
    <w:rsid w:val="0041780E"/>
    <w:rsid w:val="00421FD2"/>
    <w:rsid w:val="004222CB"/>
    <w:rsid w:val="0042422E"/>
    <w:rsid w:val="00426476"/>
    <w:rsid w:val="00427246"/>
    <w:rsid w:val="00427C6C"/>
    <w:rsid w:val="00431699"/>
    <w:rsid w:val="00431A02"/>
    <w:rsid w:val="004321E9"/>
    <w:rsid w:val="0043373F"/>
    <w:rsid w:val="004337DF"/>
    <w:rsid w:val="00433C05"/>
    <w:rsid w:val="004348F5"/>
    <w:rsid w:val="0043611D"/>
    <w:rsid w:val="00436E6F"/>
    <w:rsid w:val="00437138"/>
    <w:rsid w:val="004379BF"/>
    <w:rsid w:val="0044090F"/>
    <w:rsid w:val="00440AA5"/>
    <w:rsid w:val="00440BFB"/>
    <w:rsid w:val="00441B15"/>
    <w:rsid w:val="00443A9A"/>
    <w:rsid w:val="00444062"/>
    <w:rsid w:val="00444087"/>
    <w:rsid w:val="004441B2"/>
    <w:rsid w:val="0044449B"/>
    <w:rsid w:val="0044472E"/>
    <w:rsid w:val="00444ECF"/>
    <w:rsid w:val="00445CF1"/>
    <w:rsid w:val="004460A0"/>
    <w:rsid w:val="00446880"/>
    <w:rsid w:val="00446939"/>
    <w:rsid w:val="00446C2D"/>
    <w:rsid w:val="00446DFA"/>
    <w:rsid w:val="00447037"/>
    <w:rsid w:val="0045070A"/>
    <w:rsid w:val="00450916"/>
    <w:rsid w:val="0045199E"/>
    <w:rsid w:val="00451BE4"/>
    <w:rsid w:val="004528EF"/>
    <w:rsid w:val="0045359E"/>
    <w:rsid w:val="00454817"/>
    <w:rsid w:val="00454CCE"/>
    <w:rsid w:val="0045519A"/>
    <w:rsid w:val="00455608"/>
    <w:rsid w:val="00456993"/>
    <w:rsid w:val="004570AA"/>
    <w:rsid w:val="00460880"/>
    <w:rsid w:val="00460887"/>
    <w:rsid w:val="00461A1F"/>
    <w:rsid w:val="00462DC1"/>
    <w:rsid w:val="004639CF"/>
    <w:rsid w:val="00463EBD"/>
    <w:rsid w:val="00465278"/>
    <w:rsid w:val="00465506"/>
    <w:rsid w:val="00465556"/>
    <w:rsid w:val="00465D63"/>
    <w:rsid w:val="00467F56"/>
    <w:rsid w:val="00470DC1"/>
    <w:rsid w:val="00472499"/>
    <w:rsid w:val="0047264E"/>
    <w:rsid w:val="00472C8F"/>
    <w:rsid w:val="00472E36"/>
    <w:rsid w:val="00474579"/>
    <w:rsid w:val="00474A66"/>
    <w:rsid w:val="00475F2E"/>
    <w:rsid w:val="00476986"/>
    <w:rsid w:val="00476A53"/>
    <w:rsid w:val="00477D85"/>
    <w:rsid w:val="00480147"/>
    <w:rsid w:val="00480C87"/>
    <w:rsid w:val="00480F8B"/>
    <w:rsid w:val="00481113"/>
    <w:rsid w:val="0048255E"/>
    <w:rsid w:val="0048271D"/>
    <w:rsid w:val="00482F6B"/>
    <w:rsid w:val="00484AC2"/>
    <w:rsid w:val="00485E58"/>
    <w:rsid w:val="00486B7C"/>
    <w:rsid w:val="0049050C"/>
    <w:rsid w:val="004912F7"/>
    <w:rsid w:val="00493CCA"/>
    <w:rsid w:val="00494380"/>
    <w:rsid w:val="00494B28"/>
    <w:rsid w:val="0049620A"/>
    <w:rsid w:val="00497136"/>
    <w:rsid w:val="00497A9D"/>
    <w:rsid w:val="004A1050"/>
    <w:rsid w:val="004A1B7F"/>
    <w:rsid w:val="004A1C72"/>
    <w:rsid w:val="004A26D9"/>
    <w:rsid w:val="004A2C4A"/>
    <w:rsid w:val="004A39FC"/>
    <w:rsid w:val="004A4204"/>
    <w:rsid w:val="004A554D"/>
    <w:rsid w:val="004A577A"/>
    <w:rsid w:val="004A5D9F"/>
    <w:rsid w:val="004A60F3"/>
    <w:rsid w:val="004A63F4"/>
    <w:rsid w:val="004B06B8"/>
    <w:rsid w:val="004B0FB6"/>
    <w:rsid w:val="004B2BAA"/>
    <w:rsid w:val="004B3395"/>
    <w:rsid w:val="004B4441"/>
    <w:rsid w:val="004B4F44"/>
    <w:rsid w:val="004B6DF2"/>
    <w:rsid w:val="004B7F3D"/>
    <w:rsid w:val="004C013B"/>
    <w:rsid w:val="004C2301"/>
    <w:rsid w:val="004C246F"/>
    <w:rsid w:val="004C2F7E"/>
    <w:rsid w:val="004C3430"/>
    <w:rsid w:val="004C35AB"/>
    <w:rsid w:val="004C37F3"/>
    <w:rsid w:val="004C3EF3"/>
    <w:rsid w:val="004C434D"/>
    <w:rsid w:val="004C55F6"/>
    <w:rsid w:val="004C5A69"/>
    <w:rsid w:val="004C633C"/>
    <w:rsid w:val="004C64A6"/>
    <w:rsid w:val="004D0BDA"/>
    <w:rsid w:val="004D1790"/>
    <w:rsid w:val="004D19A9"/>
    <w:rsid w:val="004D28F8"/>
    <w:rsid w:val="004D37EF"/>
    <w:rsid w:val="004D3ABD"/>
    <w:rsid w:val="004D4645"/>
    <w:rsid w:val="004D482E"/>
    <w:rsid w:val="004D4EC9"/>
    <w:rsid w:val="004D5FC5"/>
    <w:rsid w:val="004D625E"/>
    <w:rsid w:val="004D67A8"/>
    <w:rsid w:val="004D72B1"/>
    <w:rsid w:val="004D7407"/>
    <w:rsid w:val="004E0F4B"/>
    <w:rsid w:val="004E3C6E"/>
    <w:rsid w:val="004E4B32"/>
    <w:rsid w:val="004E5740"/>
    <w:rsid w:val="004E5ABC"/>
    <w:rsid w:val="004E60FB"/>
    <w:rsid w:val="004E6722"/>
    <w:rsid w:val="004E7745"/>
    <w:rsid w:val="004E786A"/>
    <w:rsid w:val="004E7F29"/>
    <w:rsid w:val="004E7F70"/>
    <w:rsid w:val="004F0218"/>
    <w:rsid w:val="004F0C4F"/>
    <w:rsid w:val="004F1202"/>
    <w:rsid w:val="004F1417"/>
    <w:rsid w:val="004F1E2D"/>
    <w:rsid w:val="004F2AC6"/>
    <w:rsid w:val="004F49CC"/>
    <w:rsid w:val="004F4B42"/>
    <w:rsid w:val="004F552C"/>
    <w:rsid w:val="004F58EE"/>
    <w:rsid w:val="004F59E3"/>
    <w:rsid w:val="004F5D2D"/>
    <w:rsid w:val="004F63B0"/>
    <w:rsid w:val="004F69D5"/>
    <w:rsid w:val="004F6B66"/>
    <w:rsid w:val="004F71DB"/>
    <w:rsid w:val="004F71F5"/>
    <w:rsid w:val="00500C14"/>
    <w:rsid w:val="00501314"/>
    <w:rsid w:val="00501798"/>
    <w:rsid w:val="00503DD7"/>
    <w:rsid w:val="005057F4"/>
    <w:rsid w:val="00505CEF"/>
    <w:rsid w:val="00505F08"/>
    <w:rsid w:val="00506040"/>
    <w:rsid w:val="0050689C"/>
    <w:rsid w:val="00506A76"/>
    <w:rsid w:val="0050766D"/>
    <w:rsid w:val="0050777C"/>
    <w:rsid w:val="00507C91"/>
    <w:rsid w:val="005113E6"/>
    <w:rsid w:val="00511622"/>
    <w:rsid w:val="00511993"/>
    <w:rsid w:val="005121DC"/>
    <w:rsid w:val="00512320"/>
    <w:rsid w:val="00512342"/>
    <w:rsid w:val="00512C9A"/>
    <w:rsid w:val="0051305B"/>
    <w:rsid w:val="00513102"/>
    <w:rsid w:val="00513340"/>
    <w:rsid w:val="005156AA"/>
    <w:rsid w:val="005163DE"/>
    <w:rsid w:val="0051676A"/>
    <w:rsid w:val="00516AA8"/>
    <w:rsid w:val="00516B89"/>
    <w:rsid w:val="005177A7"/>
    <w:rsid w:val="00521813"/>
    <w:rsid w:val="00525020"/>
    <w:rsid w:val="0052542A"/>
    <w:rsid w:val="00525C67"/>
    <w:rsid w:val="00526553"/>
    <w:rsid w:val="00526AB4"/>
    <w:rsid w:val="00526D53"/>
    <w:rsid w:val="00526E4A"/>
    <w:rsid w:val="00530016"/>
    <w:rsid w:val="00530FA8"/>
    <w:rsid w:val="00531AE8"/>
    <w:rsid w:val="00531F3C"/>
    <w:rsid w:val="00532041"/>
    <w:rsid w:val="00532888"/>
    <w:rsid w:val="005330EA"/>
    <w:rsid w:val="00533537"/>
    <w:rsid w:val="005338F3"/>
    <w:rsid w:val="00533F96"/>
    <w:rsid w:val="00534454"/>
    <w:rsid w:val="0053572C"/>
    <w:rsid w:val="00535DD3"/>
    <w:rsid w:val="005366DF"/>
    <w:rsid w:val="00537478"/>
    <w:rsid w:val="00537684"/>
    <w:rsid w:val="00540287"/>
    <w:rsid w:val="005404A9"/>
    <w:rsid w:val="005408D9"/>
    <w:rsid w:val="005420F6"/>
    <w:rsid w:val="0054228B"/>
    <w:rsid w:val="00543001"/>
    <w:rsid w:val="005430C3"/>
    <w:rsid w:val="00543786"/>
    <w:rsid w:val="00543888"/>
    <w:rsid w:val="00543ECE"/>
    <w:rsid w:val="005444CD"/>
    <w:rsid w:val="00544933"/>
    <w:rsid w:val="00545693"/>
    <w:rsid w:val="00546779"/>
    <w:rsid w:val="00550076"/>
    <w:rsid w:val="00550724"/>
    <w:rsid w:val="00550BD2"/>
    <w:rsid w:val="005512E1"/>
    <w:rsid w:val="00551536"/>
    <w:rsid w:val="005524DD"/>
    <w:rsid w:val="00552A96"/>
    <w:rsid w:val="00552B0B"/>
    <w:rsid w:val="00553779"/>
    <w:rsid w:val="00553C85"/>
    <w:rsid w:val="00554AAE"/>
    <w:rsid w:val="00554FE3"/>
    <w:rsid w:val="00555268"/>
    <w:rsid w:val="00555A10"/>
    <w:rsid w:val="00556348"/>
    <w:rsid w:val="005563F7"/>
    <w:rsid w:val="005600A9"/>
    <w:rsid w:val="00560452"/>
    <w:rsid w:val="005605EC"/>
    <w:rsid w:val="005610B0"/>
    <w:rsid w:val="00561EA3"/>
    <w:rsid w:val="00562DA6"/>
    <w:rsid w:val="00563779"/>
    <w:rsid w:val="00563BD5"/>
    <w:rsid w:val="00564F0A"/>
    <w:rsid w:val="00565322"/>
    <w:rsid w:val="00565587"/>
    <w:rsid w:val="005663AA"/>
    <w:rsid w:val="005665DD"/>
    <w:rsid w:val="0056719D"/>
    <w:rsid w:val="00567B24"/>
    <w:rsid w:val="00567E6C"/>
    <w:rsid w:val="00570351"/>
    <w:rsid w:val="00570AAD"/>
    <w:rsid w:val="0057111F"/>
    <w:rsid w:val="00572089"/>
    <w:rsid w:val="005722C8"/>
    <w:rsid w:val="00573F55"/>
    <w:rsid w:val="005749E5"/>
    <w:rsid w:val="00574F0B"/>
    <w:rsid w:val="00576C0A"/>
    <w:rsid w:val="00577E9C"/>
    <w:rsid w:val="005802DB"/>
    <w:rsid w:val="00582ECD"/>
    <w:rsid w:val="00583954"/>
    <w:rsid w:val="00583FE0"/>
    <w:rsid w:val="00584A64"/>
    <w:rsid w:val="00585B2A"/>
    <w:rsid w:val="00586069"/>
    <w:rsid w:val="00587A31"/>
    <w:rsid w:val="00590C1C"/>
    <w:rsid w:val="0059126B"/>
    <w:rsid w:val="0059166D"/>
    <w:rsid w:val="0059244B"/>
    <w:rsid w:val="00592806"/>
    <w:rsid w:val="005929DD"/>
    <w:rsid w:val="00592E58"/>
    <w:rsid w:val="00593A38"/>
    <w:rsid w:val="00594C45"/>
    <w:rsid w:val="005954D9"/>
    <w:rsid w:val="00595F99"/>
    <w:rsid w:val="00596B0D"/>
    <w:rsid w:val="00597C08"/>
    <w:rsid w:val="00597C16"/>
    <w:rsid w:val="00597D79"/>
    <w:rsid w:val="005A1974"/>
    <w:rsid w:val="005A1B26"/>
    <w:rsid w:val="005A2F27"/>
    <w:rsid w:val="005A3C2C"/>
    <w:rsid w:val="005A4212"/>
    <w:rsid w:val="005A4262"/>
    <w:rsid w:val="005A4982"/>
    <w:rsid w:val="005A53E7"/>
    <w:rsid w:val="005A5B51"/>
    <w:rsid w:val="005A5FDD"/>
    <w:rsid w:val="005A6A17"/>
    <w:rsid w:val="005A6C0A"/>
    <w:rsid w:val="005A6D50"/>
    <w:rsid w:val="005A6FFD"/>
    <w:rsid w:val="005A7BA4"/>
    <w:rsid w:val="005B1112"/>
    <w:rsid w:val="005B21B1"/>
    <w:rsid w:val="005B2BD4"/>
    <w:rsid w:val="005B2DF6"/>
    <w:rsid w:val="005B3BE2"/>
    <w:rsid w:val="005B3D92"/>
    <w:rsid w:val="005B433F"/>
    <w:rsid w:val="005B49BB"/>
    <w:rsid w:val="005B52FF"/>
    <w:rsid w:val="005B58CE"/>
    <w:rsid w:val="005B63F2"/>
    <w:rsid w:val="005B6449"/>
    <w:rsid w:val="005B6DC0"/>
    <w:rsid w:val="005B7084"/>
    <w:rsid w:val="005C0A1D"/>
    <w:rsid w:val="005C15B1"/>
    <w:rsid w:val="005C20A3"/>
    <w:rsid w:val="005C2CD1"/>
    <w:rsid w:val="005C2EDF"/>
    <w:rsid w:val="005C342D"/>
    <w:rsid w:val="005C3A08"/>
    <w:rsid w:val="005C3C50"/>
    <w:rsid w:val="005C7B1B"/>
    <w:rsid w:val="005C7F36"/>
    <w:rsid w:val="005D0283"/>
    <w:rsid w:val="005D0451"/>
    <w:rsid w:val="005D11C1"/>
    <w:rsid w:val="005D21DA"/>
    <w:rsid w:val="005D26D2"/>
    <w:rsid w:val="005D3185"/>
    <w:rsid w:val="005D32A3"/>
    <w:rsid w:val="005D3529"/>
    <w:rsid w:val="005D375D"/>
    <w:rsid w:val="005D3DC4"/>
    <w:rsid w:val="005D3F4B"/>
    <w:rsid w:val="005D479B"/>
    <w:rsid w:val="005D6C28"/>
    <w:rsid w:val="005D6D93"/>
    <w:rsid w:val="005D775D"/>
    <w:rsid w:val="005E05D5"/>
    <w:rsid w:val="005E2111"/>
    <w:rsid w:val="005E24F7"/>
    <w:rsid w:val="005E2BCD"/>
    <w:rsid w:val="005E2C35"/>
    <w:rsid w:val="005E3447"/>
    <w:rsid w:val="005E3D2A"/>
    <w:rsid w:val="005E4783"/>
    <w:rsid w:val="005E5FCA"/>
    <w:rsid w:val="005E6548"/>
    <w:rsid w:val="005E670B"/>
    <w:rsid w:val="005E6EBE"/>
    <w:rsid w:val="005F0460"/>
    <w:rsid w:val="005F0D56"/>
    <w:rsid w:val="005F1870"/>
    <w:rsid w:val="005F1B3C"/>
    <w:rsid w:val="005F20B7"/>
    <w:rsid w:val="005F2281"/>
    <w:rsid w:val="005F2704"/>
    <w:rsid w:val="005F2E30"/>
    <w:rsid w:val="005F312B"/>
    <w:rsid w:val="005F34DA"/>
    <w:rsid w:val="005F35C6"/>
    <w:rsid w:val="005F37AF"/>
    <w:rsid w:val="005F4028"/>
    <w:rsid w:val="005F519A"/>
    <w:rsid w:val="005F577B"/>
    <w:rsid w:val="005F6406"/>
    <w:rsid w:val="005F6BBB"/>
    <w:rsid w:val="005F72E3"/>
    <w:rsid w:val="005F76C6"/>
    <w:rsid w:val="006001A2"/>
    <w:rsid w:val="00600366"/>
    <w:rsid w:val="006007CC"/>
    <w:rsid w:val="00600D22"/>
    <w:rsid w:val="00601611"/>
    <w:rsid w:val="0060357E"/>
    <w:rsid w:val="00603A0E"/>
    <w:rsid w:val="00603F9A"/>
    <w:rsid w:val="006041C4"/>
    <w:rsid w:val="00604D4C"/>
    <w:rsid w:val="00604D79"/>
    <w:rsid w:val="006061E4"/>
    <w:rsid w:val="00607D5C"/>
    <w:rsid w:val="00610735"/>
    <w:rsid w:val="00610ED3"/>
    <w:rsid w:val="00611F82"/>
    <w:rsid w:val="006126F2"/>
    <w:rsid w:val="00613334"/>
    <w:rsid w:val="006136E0"/>
    <w:rsid w:val="00613D33"/>
    <w:rsid w:val="00616C4F"/>
    <w:rsid w:val="00616EAC"/>
    <w:rsid w:val="00620582"/>
    <w:rsid w:val="006215C6"/>
    <w:rsid w:val="0062171B"/>
    <w:rsid w:val="00621A75"/>
    <w:rsid w:val="00621E02"/>
    <w:rsid w:val="00621F58"/>
    <w:rsid w:val="00622704"/>
    <w:rsid w:val="00624140"/>
    <w:rsid w:val="00625617"/>
    <w:rsid w:val="00626416"/>
    <w:rsid w:val="00626664"/>
    <w:rsid w:val="00626786"/>
    <w:rsid w:val="00626BA0"/>
    <w:rsid w:val="00626DCD"/>
    <w:rsid w:val="00627B24"/>
    <w:rsid w:val="006306E2"/>
    <w:rsid w:val="00631522"/>
    <w:rsid w:val="0063293D"/>
    <w:rsid w:val="00633905"/>
    <w:rsid w:val="00633C0C"/>
    <w:rsid w:val="00634B37"/>
    <w:rsid w:val="00635325"/>
    <w:rsid w:val="006357E4"/>
    <w:rsid w:val="00635D08"/>
    <w:rsid w:val="00635D9F"/>
    <w:rsid w:val="0063613E"/>
    <w:rsid w:val="00636A34"/>
    <w:rsid w:val="00640683"/>
    <w:rsid w:val="00640ED5"/>
    <w:rsid w:val="006412DA"/>
    <w:rsid w:val="0064171D"/>
    <w:rsid w:val="00641B4F"/>
    <w:rsid w:val="00642B5E"/>
    <w:rsid w:val="00644D8A"/>
    <w:rsid w:val="00651244"/>
    <w:rsid w:val="00651E5E"/>
    <w:rsid w:val="00652C8C"/>
    <w:rsid w:val="00652D1B"/>
    <w:rsid w:val="00653967"/>
    <w:rsid w:val="00653FDB"/>
    <w:rsid w:val="00654084"/>
    <w:rsid w:val="00655472"/>
    <w:rsid w:val="006560FD"/>
    <w:rsid w:val="00656D94"/>
    <w:rsid w:val="00657032"/>
    <w:rsid w:val="00657AF7"/>
    <w:rsid w:val="00657C88"/>
    <w:rsid w:val="00657CB5"/>
    <w:rsid w:val="00657CBF"/>
    <w:rsid w:val="00657E90"/>
    <w:rsid w:val="006609A1"/>
    <w:rsid w:val="00661223"/>
    <w:rsid w:val="00662784"/>
    <w:rsid w:val="00662DD1"/>
    <w:rsid w:val="0066495A"/>
    <w:rsid w:val="006649C0"/>
    <w:rsid w:val="006656F8"/>
    <w:rsid w:val="0066593E"/>
    <w:rsid w:val="00667A82"/>
    <w:rsid w:val="006704B2"/>
    <w:rsid w:val="006718E2"/>
    <w:rsid w:val="00673721"/>
    <w:rsid w:val="00674607"/>
    <w:rsid w:val="00675B4A"/>
    <w:rsid w:val="00676B9E"/>
    <w:rsid w:val="0068193B"/>
    <w:rsid w:val="00682342"/>
    <w:rsid w:val="00683618"/>
    <w:rsid w:val="0068402F"/>
    <w:rsid w:val="00686C19"/>
    <w:rsid w:val="00687473"/>
    <w:rsid w:val="00690FF0"/>
    <w:rsid w:val="0069203B"/>
    <w:rsid w:val="00693DDA"/>
    <w:rsid w:val="00694505"/>
    <w:rsid w:val="006967D8"/>
    <w:rsid w:val="006969B7"/>
    <w:rsid w:val="006969E3"/>
    <w:rsid w:val="00697312"/>
    <w:rsid w:val="0069767D"/>
    <w:rsid w:val="006A008F"/>
    <w:rsid w:val="006A0B21"/>
    <w:rsid w:val="006A2310"/>
    <w:rsid w:val="006A32C9"/>
    <w:rsid w:val="006A36F7"/>
    <w:rsid w:val="006A3DED"/>
    <w:rsid w:val="006A4640"/>
    <w:rsid w:val="006A47FD"/>
    <w:rsid w:val="006A489A"/>
    <w:rsid w:val="006A4EB7"/>
    <w:rsid w:val="006A539D"/>
    <w:rsid w:val="006A563C"/>
    <w:rsid w:val="006A5E84"/>
    <w:rsid w:val="006A6835"/>
    <w:rsid w:val="006B0596"/>
    <w:rsid w:val="006B152D"/>
    <w:rsid w:val="006B1694"/>
    <w:rsid w:val="006B1ED5"/>
    <w:rsid w:val="006B2672"/>
    <w:rsid w:val="006B2946"/>
    <w:rsid w:val="006B2DB8"/>
    <w:rsid w:val="006B3FE4"/>
    <w:rsid w:val="006B4F5D"/>
    <w:rsid w:val="006B5A43"/>
    <w:rsid w:val="006B641B"/>
    <w:rsid w:val="006B7464"/>
    <w:rsid w:val="006C0A2C"/>
    <w:rsid w:val="006C0AF2"/>
    <w:rsid w:val="006C2955"/>
    <w:rsid w:val="006C2ACD"/>
    <w:rsid w:val="006C48F0"/>
    <w:rsid w:val="006C5E7B"/>
    <w:rsid w:val="006C6C41"/>
    <w:rsid w:val="006C7365"/>
    <w:rsid w:val="006C776D"/>
    <w:rsid w:val="006D0654"/>
    <w:rsid w:val="006D1056"/>
    <w:rsid w:val="006D2344"/>
    <w:rsid w:val="006D33B5"/>
    <w:rsid w:val="006D40E1"/>
    <w:rsid w:val="006D4177"/>
    <w:rsid w:val="006D490D"/>
    <w:rsid w:val="006D49AA"/>
    <w:rsid w:val="006D4AAA"/>
    <w:rsid w:val="006D54FD"/>
    <w:rsid w:val="006D59D6"/>
    <w:rsid w:val="006D70F4"/>
    <w:rsid w:val="006D7818"/>
    <w:rsid w:val="006E083C"/>
    <w:rsid w:val="006E1806"/>
    <w:rsid w:val="006E20C6"/>
    <w:rsid w:val="006E26FB"/>
    <w:rsid w:val="006E2BEE"/>
    <w:rsid w:val="006E3EE4"/>
    <w:rsid w:val="006E64F3"/>
    <w:rsid w:val="006E6B3A"/>
    <w:rsid w:val="006E6FFA"/>
    <w:rsid w:val="006E6FFE"/>
    <w:rsid w:val="006F050F"/>
    <w:rsid w:val="006F4766"/>
    <w:rsid w:val="006F49C8"/>
    <w:rsid w:val="006F4A47"/>
    <w:rsid w:val="006F5062"/>
    <w:rsid w:val="006F5927"/>
    <w:rsid w:val="006F5B49"/>
    <w:rsid w:val="006F5C9F"/>
    <w:rsid w:val="006F7467"/>
    <w:rsid w:val="006F76D0"/>
    <w:rsid w:val="006F79F7"/>
    <w:rsid w:val="00701990"/>
    <w:rsid w:val="00702381"/>
    <w:rsid w:val="00703008"/>
    <w:rsid w:val="00704471"/>
    <w:rsid w:val="00704674"/>
    <w:rsid w:val="0070495F"/>
    <w:rsid w:val="007054B0"/>
    <w:rsid w:val="00706011"/>
    <w:rsid w:val="00706F21"/>
    <w:rsid w:val="00707490"/>
    <w:rsid w:val="00711A91"/>
    <w:rsid w:val="00712057"/>
    <w:rsid w:val="007122B0"/>
    <w:rsid w:val="00712A0E"/>
    <w:rsid w:val="007157B0"/>
    <w:rsid w:val="00716191"/>
    <w:rsid w:val="007169CC"/>
    <w:rsid w:val="00720574"/>
    <w:rsid w:val="007209A5"/>
    <w:rsid w:val="00721342"/>
    <w:rsid w:val="00722646"/>
    <w:rsid w:val="00723BEA"/>
    <w:rsid w:val="00724874"/>
    <w:rsid w:val="00724897"/>
    <w:rsid w:val="00724BB5"/>
    <w:rsid w:val="007252D5"/>
    <w:rsid w:val="0072577A"/>
    <w:rsid w:val="00725F11"/>
    <w:rsid w:val="0072626B"/>
    <w:rsid w:val="007266F8"/>
    <w:rsid w:val="007269FC"/>
    <w:rsid w:val="007272CE"/>
    <w:rsid w:val="00727BAC"/>
    <w:rsid w:val="00730132"/>
    <w:rsid w:val="0073027B"/>
    <w:rsid w:val="007308AE"/>
    <w:rsid w:val="00733A62"/>
    <w:rsid w:val="00733AC2"/>
    <w:rsid w:val="00733C37"/>
    <w:rsid w:val="00734024"/>
    <w:rsid w:val="007353BE"/>
    <w:rsid w:val="00736323"/>
    <w:rsid w:val="0073682C"/>
    <w:rsid w:val="00737DCB"/>
    <w:rsid w:val="00740477"/>
    <w:rsid w:val="00740EE2"/>
    <w:rsid w:val="00741A80"/>
    <w:rsid w:val="007421B9"/>
    <w:rsid w:val="00742A16"/>
    <w:rsid w:val="00742CD8"/>
    <w:rsid w:val="00742E3B"/>
    <w:rsid w:val="0074330D"/>
    <w:rsid w:val="00743409"/>
    <w:rsid w:val="00743853"/>
    <w:rsid w:val="00744745"/>
    <w:rsid w:val="007449EA"/>
    <w:rsid w:val="007454AB"/>
    <w:rsid w:val="00746479"/>
    <w:rsid w:val="007473D2"/>
    <w:rsid w:val="00750C96"/>
    <w:rsid w:val="00751AA4"/>
    <w:rsid w:val="0075212F"/>
    <w:rsid w:val="00752CB3"/>
    <w:rsid w:val="00754AB3"/>
    <w:rsid w:val="00754E48"/>
    <w:rsid w:val="007550BC"/>
    <w:rsid w:val="007552EF"/>
    <w:rsid w:val="007563BF"/>
    <w:rsid w:val="007566F4"/>
    <w:rsid w:val="007568D3"/>
    <w:rsid w:val="00756E58"/>
    <w:rsid w:val="0075773E"/>
    <w:rsid w:val="00757E06"/>
    <w:rsid w:val="00760D43"/>
    <w:rsid w:val="00761C72"/>
    <w:rsid w:val="00761CEA"/>
    <w:rsid w:val="00761D5D"/>
    <w:rsid w:val="007628A1"/>
    <w:rsid w:val="00762F44"/>
    <w:rsid w:val="00763451"/>
    <w:rsid w:val="007646AA"/>
    <w:rsid w:val="00764986"/>
    <w:rsid w:val="00764FB8"/>
    <w:rsid w:val="00766122"/>
    <w:rsid w:val="00766A9A"/>
    <w:rsid w:val="00767C00"/>
    <w:rsid w:val="007715BC"/>
    <w:rsid w:val="007715EE"/>
    <w:rsid w:val="00771EAD"/>
    <w:rsid w:val="0077248E"/>
    <w:rsid w:val="007736AC"/>
    <w:rsid w:val="00774028"/>
    <w:rsid w:val="007747A1"/>
    <w:rsid w:val="00775053"/>
    <w:rsid w:val="00775505"/>
    <w:rsid w:val="00775BD3"/>
    <w:rsid w:val="0077701E"/>
    <w:rsid w:val="007776AF"/>
    <w:rsid w:val="00780A80"/>
    <w:rsid w:val="00781ADA"/>
    <w:rsid w:val="007824EA"/>
    <w:rsid w:val="00783516"/>
    <w:rsid w:val="007835FA"/>
    <w:rsid w:val="00783B1B"/>
    <w:rsid w:val="00784571"/>
    <w:rsid w:val="00786FA1"/>
    <w:rsid w:val="0079053E"/>
    <w:rsid w:val="00791B69"/>
    <w:rsid w:val="0079292F"/>
    <w:rsid w:val="00793B95"/>
    <w:rsid w:val="00794524"/>
    <w:rsid w:val="00795254"/>
    <w:rsid w:val="00795701"/>
    <w:rsid w:val="00795ABE"/>
    <w:rsid w:val="007960A9"/>
    <w:rsid w:val="00796BD1"/>
    <w:rsid w:val="007971D9"/>
    <w:rsid w:val="007974E2"/>
    <w:rsid w:val="00797751"/>
    <w:rsid w:val="0079784E"/>
    <w:rsid w:val="007A0273"/>
    <w:rsid w:val="007A1232"/>
    <w:rsid w:val="007A1345"/>
    <w:rsid w:val="007A1462"/>
    <w:rsid w:val="007A2555"/>
    <w:rsid w:val="007A28EB"/>
    <w:rsid w:val="007A2C8F"/>
    <w:rsid w:val="007A2E86"/>
    <w:rsid w:val="007A2F91"/>
    <w:rsid w:val="007A2FEC"/>
    <w:rsid w:val="007A323E"/>
    <w:rsid w:val="007A6E4F"/>
    <w:rsid w:val="007A7308"/>
    <w:rsid w:val="007A7D7C"/>
    <w:rsid w:val="007B051C"/>
    <w:rsid w:val="007B0EE5"/>
    <w:rsid w:val="007B10A8"/>
    <w:rsid w:val="007B2DFC"/>
    <w:rsid w:val="007B329A"/>
    <w:rsid w:val="007B3456"/>
    <w:rsid w:val="007B34C4"/>
    <w:rsid w:val="007B4602"/>
    <w:rsid w:val="007B4E23"/>
    <w:rsid w:val="007B521C"/>
    <w:rsid w:val="007B64A0"/>
    <w:rsid w:val="007B6531"/>
    <w:rsid w:val="007B6615"/>
    <w:rsid w:val="007B715F"/>
    <w:rsid w:val="007C079F"/>
    <w:rsid w:val="007C08A4"/>
    <w:rsid w:val="007C0E41"/>
    <w:rsid w:val="007C3374"/>
    <w:rsid w:val="007C5AB8"/>
    <w:rsid w:val="007C5C51"/>
    <w:rsid w:val="007C5E54"/>
    <w:rsid w:val="007C63B3"/>
    <w:rsid w:val="007C687C"/>
    <w:rsid w:val="007C6EB1"/>
    <w:rsid w:val="007D012E"/>
    <w:rsid w:val="007D04C1"/>
    <w:rsid w:val="007D094F"/>
    <w:rsid w:val="007D11E5"/>
    <w:rsid w:val="007D29D9"/>
    <w:rsid w:val="007D2A80"/>
    <w:rsid w:val="007D2E0A"/>
    <w:rsid w:val="007D3E94"/>
    <w:rsid w:val="007D4E2C"/>
    <w:rsid w:val="007D4EB1"/>
    <w:rsid w:val="007D5730"/>
    <w:rsid w:val="007D5F45"/>
    <w:rsid w:val="007D6F57"/>
    <w:rsid w:val="007E095F"/>
    <w:rsid w:val="007E0C54"/>
    <w:rsid w:val="007E0D04"/>
    <w:rsid w:val="007E1CF9"/>
    <w:rsid w:val="007E354A"/>
    <w:rsid w:val="007E3C29"/>
    <w:rsid w:val="007E3FC7"/>
    <w:rsid w:val="007E5020"/>
    <w:rsid w:val="007E510B"/>
    <w:rsid w:val="007E59BA"/>
    <w:rsid w:val="007E5AC1"/>
    <w:rsid w:val="007E6215"/>
    <w:rsid w:val="007E6DA0"/>
    <w:rsid w:val="007F08B7"/>
    <w:rsid w:val="007F14D5"/>
    <w:rsid w:val="007F1A41"/>
    <w:rsid w:val="007F50A3"/>
    <w:rsid w:val="007F51DC"/>
    <w:rsid w:val="007F52EB"/>
    <w:rsid w:val="007F5541"/>
    <w:rsid w:val="007F5D02"/>
    <w:rsid w:val="007F62A2"/>
    <w:rsid w:val="007F769D"/>
    <w:rsid w:val="007F7CFD"/>
    <w:rsid w:val="008008BA"/>
    <w:rsid w:val="008009A7"/>
    <w:rsid w:val="00801A57"/>
    <w:rsid w:val="008031F3"/>
    <w:rsid w:val="00803A10"/>
    <w:rsid w:val="0080431E"/>
    <w:rsid w:val="008044C6"/>
    <w:rsid w:val="008047CA"/>
    <w:rsid w:val="00807F6A"/>
    <w:rsid w:val="00810143"/>
    <w:rsid w:val="008101D1"/>
    <w:rsid w:val="008108E4"/>
    <w:rsid w:val="00810E7C"/>
    <w:rsid w:val="0081237A"/>
    <w:rsid w:val="00813715"/>
    <w:rsid w:val="00814514"/>
    <w:rsid w:val="00814AEB"/>
    <w:rsid w:val="008155E7"/>
    <w:rsid w:val="00816186"/>
    <w:rsid w:val="00816CCC"/>
    <w:rsid w:val="00817044"/>
    <w:rsid w:val="008175BF"/>
    <w:rsid w:val="00817C60"/>
    <w:rsid w:val="00820989"/>
    <w:rsid w:val="00820DDA"/>
    <w:rsid w:val="00820E81"/>
    <w:rsid w:val="00821E23"/>
    <w:rsid w:val="00822750"/>
    <w:rsid w:val="00822D4C"/>
    <w:rsid w:val="0082327D"/>
    <w:rsid w:val="0082399E"/>
    <w:rsid w:val="00824E5D"/>
    <w:rsid w:val="00824FBB"/>
    <w:rsid w:val="008253F7"/>
    <w:rsid w:val="00825AF1"/>
    <w:rsid w:val="00825BCD"/>
    <w:rsid w:val="0082631F"/>
    <w:rsid w:val="00826523"/>
    <w:rsid w:val="008271A1"/>
    <w:rsid w:val="008278AA"/>
    <w:rsid w:val="00831131"/>
    <w:rsid w:val="008323A9"/>
    <w:rsid w:val="008325FA"/>
    <w:rsid w:val="0083328A"/>
    <w:rsid w:val="0083339C"/>
    <w:rsid w:val="00834012"/>
    <w:rsid w:val="008363D9"/>
    <w:rsid w:val="00837BDE"/>
    <w:rsid w:val="008402D6"/>
    <w:rsid w:val="00840A84"/>
    <w:rsid w:val="00840C05"/>
    <w:rsid w:val="00842C81"/>
    <w:rsid w:val="00844186"/>
    <w:rsid w:val="008447D7"/>
    <w:rsid w:val="00844B12"/>
    <w:rsid w:val="008459BD"/>
    <w:rsid w:val="008472C1"/>
    <w:rsid w:val="00850F09"/>
    <w:rsid w:val="0085217D"/>
    <w:rsid w:val="00852306"/>
    <w:rsid w:val="00852A44"/>
    <w:rsid w:val="00853A2B"/>
    <w:rsid w:val="0085417C"/>
    <w:rsid w:val="00854B50"/>
    <w:rsid w:val="00855FE8"/>
    <w:rsid w:val="008566B5"/>
    <w:rsid w:val="0085674B"/>
    <w:rsid w:val="008578F2"/>
    <w:rsid w:val="0085797F"/>
    <w:rsid w:val="008605CB"/>
    <w:rsid w:val="008605FB"/>
    <w:rsid w:val="00860B87"/>
    <w:rsid w:val="00860C35"/>
    <w:rsid w:val="00861465"/>
    <w:rsid w:val="00861CA5"/>
    <w:rsid w:val="00863101"/>
    <w:rsid w:val="008639DE"/>
    <w:rsid w:val="00864933"/>
    <w:rsid w:val="00864947"/>
    <w:rsid w:val="00864DB6"/>
    <w:rsid w:val="0086505B"/>
    <w:rsid w:val="00866127"/>
    <w:rsid w:val="0086727E"/>
    <w:rsid w:val="008679F8"/>
    <w:rsid w:val="00867ADF"/>
    <w:rsid w:val="00870494"/>
    <w:rsid w:val="008704DE"/>
    <w:rsid w:val="00870F3C"/>
    <w:rsid w:val="008712DF"/>
    <w:rsid w:val="008729C0"/>
    <w:rsid w:val="008729DF"/>
    <w:rsid w:val="00872B56"/>
    <w:rsid w:val="00872D32"/>
    <w:rsid w:val="00872D85"/>
    <w:rsid w:val="0087319D"/>
    <w:rsid w:val="008732D5"/>
    <w:rsid w:val="008738F5"/>
    <w:rsid w:val="00873951"/>
    <w:rsid w:val="008746C9"/>
    <w:rsid w:val="00874839"/>
    <w:rsid w:val="008754E4"/>
    <w:rsid w:val="0087589A"/>
    <w:rsid w:val="00876D9A"/>
    <w:rsid w:val="00876F8A"/>
    <w:rsid w:val="008770E2"/>
    <w:rsid w:val="00880068"/>
    <w:rsid w:val="008805EA"/>
    <w:rsid w:val="00880B73"/>
    <w:rsid w:val="00881E4B"/>
    <w:rsid w:val="008820C1"/>
    <w:rsid w:val="0088309B"/>
    <w:rsid w:val="00884289"/>
    <w:rsid w:val="00884604"/>
    <w:rsid w:val="0088492A"/>
    <w:rsid w:val="008849D4"/>
    <w:rsid w:val="00884B4C"/>
    <w:rsid w:val="00886B58"/>
    <w:rsid w:val="00886DBE"/>
    <w:rsid w:val="008874C1"/>
    <w:rsid w:val="0088760B"/>
    <w:rsid w:val="008879CE"/>
    <w:rsid w:val="00890044"/>
    <w:rsid w:val="008904F5"/>
    <w:rsid w:val="008909EB"/>
    <w:rsid w:val="00890F89"/>
    <w:rsid w:val="008919DD"/>
    <w:rsid w:val="00893963"/>
    <w:rsid w:val="00893C5E"/>
    <w:rsid w:val="00893FB2"/>
    <w:rsid w:val="008951E8"/>
    <w:rsid w:val="00895D4A"/>
    <w:rsid w:val="00896DC1"/>
    <w:rsid w:val="00897C84"/>
    <w:rsid w:val="008A1BE5"/>
    <w:rsid w:val="008A2493"/>
    <w:rsid w:val="008A2642"/>
    <w:rsid w:val="008A28C3"/>
    <w:rsid w:val="008A3013"/>
    <w:rsid w:val="008A4365"/>
    <w:rsid w:val="008A4527"/>
    <w:rsid w:val="008A4BB9"/>
    <w:rsid w:val="008A5A0D"/>
    <w:rsid w:val="008B0788"/>
    <w:rsid w:val="008B08F1"/>
    <w:rsid w:val="008B114E"/>
    <w:rsid w:val="008B2145"/>
    <w:rsid w:val="008B354F"/>
    <w:rsid w:val="008B3B54"/>
    <w:rsid w:val="008B3D0B"/>
    <w:rsid w:val="008B52CA"/>
    <w:rsid w:val="008B572D"/>
    <w:rsid w:val="008B6040"/>
    <w:rsid w:val="008B6793"/>
    <w:rsid w:val="008B6E00"/>
    <w:rsid w:val="008B6E14"/>
    <w:rsid w:val="008B6ED2"/>
    <w:rsid w:val="008B725F"/>
    <w:rsid w:val="008B77F1"/>
    <w:rsid w:val="008C2A57"/>
    <w:rsid w:val="008C41C5"/>
    <w:rsid w:val="008C45CC"/>
    <w:rsid w:val="008C4867"/>
    <w:rsid w:val="008C6221"/>
    <w:rsid w:val="008C6B3F"/>
    <w:rsid w:val="008C6CC3"/>
    <w:rsid w:val="008D0CAE"/>
    <w:rsid w:val="008D10E1"/>
    <w:rsid w:val="008D155C"/>
    <w:rsid w:val="008D2132"/>
    <w:rsid w:val="008D2749"/>
    <w:rsid w:val="008D2C8B"/>
    <w:rsid w:val="008D3499"/>
    <w:rsid w:val="008D377C"/>
    <w:rsid w:val="008D3A2F"/>
    <w:rsid w:val="008D3FFA"/>
    <w:rsid w:val="008D4740"/>
    <w:rsid w:val="008D4D7D"/>
    <w:rsid w:val="008D500D"/>
    <w:rsid w:val="008D54E2"/>
    <w:rsid w:val="008D576D"/>
    <w:rsid w:val="008D60BD"/>
    <w:rsid w:val="008D65E7"/>
    <w:rsid w:val="008D664D"/>
    <w:rsid w:val="008D6C4B"/>
    <w:rsid w:val="008D7061"/>
    <w:rsid w:val="008D7164"/>
    <w:rsid w:val="008D7E11"/>
    <w:rsid w:val="008E04F2"/>
    <w:rsid w:val="008E1A18"/>
    <w:rsid w:val="008E2C1A"/>
    <w:rsid w:val="008E3164"/>
    <w:rsid w:val="008E4EDA"/>
    <w:rsid w:val="008E5192"/>
    <w:rsid w:val="008E6B2C"/>
    <w:rsid w:val="008E732E"/>
    <w:rsid w:val="008E779F"/>
    <w:rsid w:val="008F0DE9"/>
    <w:rsid w:val="008F1977"/>
    <w:rsid w:val="008F29CC"/>
    <w:rsid w:val="008F2D7A"/>
    <w:rsid w:val="008F3626"/>
    <w:rsid w:val="008F3745"/>
    <w:rsid w:val="008F5368"/>
    <w:rsid w:val="008F62F4"/>
    <w:rsid w:val="008F6CD6"/>
    <w:rsid w:val="008F7969"/>
    <w:rsid w:val="0090174B"/>
    <w:rsid w:val="00903476"/>
    <w:rsid w:val="0090557F"/>
    <w:rsid w:val="00907569"/>
    <w:rsid w:val="00907A11"/>
    <w:rsid w:val="00907BB8"/>
    <w:rsid w:val="00910220"/>
    <w:rsid w:val="0091067C"/>
    <w:rsid w:val="009125FC"/>
    <w:rsid w:val="0091311A"/>
    <w:rsid w:val="009133B2"/>
    <w:rsid w:val="00913414"/>
    <w:rsid w:val="00914EC1"/>
    <w:rsid w:val="009156A2"/>
    <w:rsid w:val="0091599A"/>
    <w:rsid w:val="009159A9"/>
    <w:rsid w:val="0091698F"/>
    <w:rsid w:val="009177E8"/>
    <w:rsid w:val="009179A4"/>
    <w:rsid w:val="00917B27"/>
    <w:rsid w:val="00920513"/>
    <w:rsid w:val="00920708"/>
    <w:rsid w:val="00920B83"/>
    <w:rsid w:val="009210C8"/>
    <w:rsid w:val="00921CE3"/>
    <w:rsid w:val="00922862"/>
    <w:rsid w:val="00922D2B"/>
    <w:rsid w:val="00923D03"/>
    <w:rsid w:val="00925030"/>
    <w:rsid w:val="009257EE"/>
    <w:rsid w:val="00925F49"/>
    <w:rsid w:val="009267A5"/>
    <w:rsid w:val="00926918"/>
    <w:rsid w:val="00926D02"/>
    <w:rsid w:val="00927AB4"/>
    <w:rsid w:val="009311C6"/>
    <w:rsid w:val="00931C42"/>
    <w:rsid w:val="009320EA"/>
    <w:rsid w:val="00932D59"/>
    <w:rsid w:val="0093381F"/>
    <w:rsid w:val="009348BC"/>
    <w:rsid w:val="00934D0C"/>
    <w:rsid w:val="00934E11"/>
    <w:rsid w:val="00935A0F"/>
    <w:rsid w:val="00935CCB"/>
    <w:rsid w:val="00936E0A"/>
    <w:rsid w:val="009409F6"/>
    <w:rsid w:val="00941012"/>
    <w:rsid w:val="009418DA"/>
    <w:rsid w:val="009422B3"/>
    <w:rsid w:val="00943F73"/>
    <w:rsid w:val="0094514D"/>
    <w:rsid w:val="00945218"/>
    <w:rsid w:val="00945C31"/>
    <w:rsid w:val="0094616A"/>
    <w:rsid w:val="00946B14"/>
    <w:rsid w:val="009471A4"/>
    <w:rsid w:val="00951316"/>
    <w:rsid w:val="0095357B"/>
    <w:rsid w:val="00953879"/>
    <w:rsid w:val="00953AF6"/>
    <w:rsid w:val="009550B9"/>
    <w:rsid w:val="00956407"/>
    <w:rsid w:val="00956A79"/>
    <w:rsid w:val="0095704D"/>
    <w:rsid w:val="0095726B"/>
    <w:rsid w:val="009577ED"/>
    <w:rsid w:val="009606D6"/>
    <w:rsid w:val="0096190C"/>
    <w:rsid w:val="00961A6F"/>
    <w:rsid w:val="00961B5D"/>
    <w:rsid w:val="00961BE7"/>
    <w:rsid w:val="0096237F"/>
    <w:rsid w:val="00966102"/>
    <w:rsid w:val="00966808"/>
    <w:rsid w:val="00966A62"/>
    <w:rsid w:val="00966E18"/>
    <w:rsid w:val="009670DE"/>
    <w:rsid w:val="00967B00"/>
    <w:rsid w:val="00973155"/>
    <w:rsid w:val="00976F9F"/>
    <w:rsid w:val="0098000B"/>
    <w:rsid w:val="00980066"/>
    <w:rsid w:val="009807F2"/>
    <w:rsid w:val="00981BEB"/>
    <w:rsid w:val="00981DE5"/>
    <w:rsid w:val="00982233"/>
    <w:rsid w:val="00983C71"/>
    <w:rsid w:val="00984D22"/>
    <w:rsid w:val="0098559D"/>
    <w:rsid w:val="00985666"/>
    <w:rsid w:val="00985FB4"/>
    <w:rsid w:val="00986396"/>
    <w:rsid w:val="00986658"/>
    <w:rsid w:val="00987373"/>
    <w:rsid w:val="0098752B"/>
    <w:rsid w:val="00987B29"/>
    <w:rsid w:val="00987E57"/>
    <w:rsid w:val="00987FB7"/>
    <w:rsid w:val="009902DF"/>
    <w:rsid w:val="00991059"/>
    <w:rsid w:val="00991E4D"/>
    <w:rsid w:val="0099254B"/>
    <w:rsid w:val="00993C6E"/>
    <w:rsid w:val="00993C76"/>
    <w:rsid w:val="0099452A"/>
    <w:rsid w:val="00994D23"/>
    <w:rsid w:val="009969F5"/>
    <w:rsid w:val="00996A1B"/>
    <w:rsid w:val="009972D3"/>
    <w:rsid w:val="00997329"/>
    <w:rsid w:val="00997706"/>
    <w:rsid w:val="00997C08"/>
    <w:rsid w:val="009A0031"/>
    <w:rsid w:val="009A0072"/>
    <w:rsid w:val="009A0D98"/>
    <w:rsid w:val="009A104E"/>
    <w:rsid w:val="009A1242"/>
    <w:rsid w:val="009A4BDB"/>
    <w:rsid w:val="009A736E"/>
    <w:rsid w:val="009B0D0D"/>
    <w:rsid w:val="009B23DD"/>
    <w:rsid w:val="009B2612"/>
    <w:rsid w:val="009B2ACB"/>
    <w:rsid w:val="009B3096"/>
    <w:rsid w:val="009B31F7"/>
    <w:rsid w:val="009B4528"/>
    <w:rsid w:val="009B4AD8"/>
    <w:rsid w:val="009B4B41"/>
    <w:rsid w:val="009B4D2B"/>
    <w:rsid w:val="009B5431"/>
    <w:rsid w:val="009B5A72"/>
    <w:rsid w:val="009C00B6"/>
    <w:rsid w:val="009C0299"/>
    <w:rsid w:val="009C1280"/>
    <w:rsid w:val="009C1DDA"/>
    <w:rsid w:val="009C2EF7"/>
    <w:rsid w:val="009C33E2"/>
    <w:rsid w:val="009C349E"/>
    <w:rsid w:val="009C42A8"/>
    <w:rsid w:val="009C4987"/>
    <w:rsid w:val="009C6167"/>
    <w:rsid w:val="009C61A8"/>
    <w:rsid w:val="009C7334"/>
    <w:rsid w:val="009C73D8"/>
    <w:rsid w:val="009C73EB"/>
    <w:rsid w:val="009D00DE"/>
    <w:rsid w:val="009D06DA"/>
    <w:rsid w:val="009D0E6F"/>
    <w:rsid w:val="009D26DE"/>
    <w:rsid w:val="009D2A43"/>
    <w:rsid w:val="009D2AC7"/>
    <w:rsid w:val="009D350F"/>
    <w:rsid w:val="009D3CAB"/>
    <w:rsid w:val="009D5F65"/>
    <w:rsid w:val="009D6271"/>
    <w:rsid w:val="009D6CA3"/>
    <w:rsid w:val="009D790A"/>
    <w:rsid w:val="009E0632"/>
    <w:rsid w:val="009E092F"/>
    <w:rsid w:val="009E3E5B"/>
    <w:rsid w:val="009E3F43"/>
    <w:rsid w:val="009E402C"/>
    <w:rsid w:val="009E43F9"/>
    <w:rsid w:val="009E4808"/>
    <w:rsid w:val="009E4ECA"/>
    <w:rsid w:val="009E4F3D"/>
    <w:rsid w:val="009E55BF"/>
    <w:rsid w:val="009E7D16"/>
    <w:rsid w:val="009F032D"/>
    <w:rsid w:val="009F2395"/>
    <w:rsid w:val="009F28B3"/>
    <w:rsid w:val="009F31FA"/>
    <w:rsid w:val="009F3DF0"/>
    <w:rsid w:val="009F4327"/>
    <w:rsid w:val="009F44B0"/>
    <w:rsid w:val="009F4A59"/>
    <w:rsid w:val="009F54F4"/>
    <w:rsid w:val="009F5E6E"/>
    <w:rsid w:val="009F5F1F"/>
    <w:rsid w:val="009F666E"/>
    <w:rsid w:val="009F69D6"/>
    <w:rsid w:val="009F7059"/>
    <w:rsid w:val="009F7957"/>
    <w:rsid w:val="009F7B79"/>
    <w:rsid w:val="009F7B9B"/>
    <w:rsid w:val="009F7D60"/>
    <w:rsid w:val="00A001E5"/>
    <w:rsid w:val="00A003BE"/>
    <w:rsid w:val="00A010DF"/>
    <w:rsid w:val="00A0149C"/>
    <w:rsid w:val="00A014D9"/>
    <w:rsid w:val="00A01556"/>
    <w:rsid w:val="00A01F1B"/>
    <w:rsid w:val="00A020F3"/>
    <w:rsid w:val="00A02407"/>
    <w:rsid w:val="00A027A6"/>
    <w:rsid w:val="00A0306F"/>
    <w:rsid w:val="00A03A64"/>
    <w:rsid w:val="00A04A68"/>
    <w:rsid w:val="00A053F3"/>
    <w:rsid w:val="00A05952"/>
    <w:rsid w:val="00A05B85"/>
    <w:rsid w:val="00A06592"/>
    <w:rsid w:val="00A0739F"/>
    <w:rsid w:val="00A07DD8"/>
    <w:rsid w:val="00A07ED0"/>
    <w:rsid w:val="00A10319"/>
    <w:rsid w:val="00A11E2A"/>
    <w:rsid w:val="00A12855"/>
    <w:rsid w:val="00A12C7F"/>
    <w:rsid w:val="00A13DC2"/>
    <w:rsid w:val="00A14154"/>
    <w:rsid w:val="00A15DDD"/>
    <w:rsid w:val="00A16138"/>
    <w:rsid w:val="00A167D7"/>
    <w:rsid w:val="00A16BFA"/>
    <w:rsid w:val="00A16DCA"/>
    <w:rsid w:val="00A17464"/>
    <w:rsid w:val="00A20A5C"/>
    <w:rsid w:val="00A212DF"/>
    <w:rsid w:val="00A219B5"/>
    <w:rsid w:val="00A21D28"/>
    <w:rsid w:val="00A223E4"/>
    <w:rsid w:val="00A22697"/>
    <w:rsid w:val="00A22F6A"/>
    <w:rsid w:val="00A23556"/>
    <w:rsid w:val="00A236E3"/>
    <w:rsid w:val="00A23D72"/>
    <w:rsid w:val="00A23E62"/>
    <w:rsid w:val="00A2415E"/>
    <w:rsid w:val="00A242ED"/>
    <w:rsid w:val="00A25916"/>
    <w:rsid w:val="00A262B2"/>
    <w:rsid w:val="00A265D9"/>
    <w:rsid w:val="00A26931"/>
    <w:rsid w:val="00A27FBF"/>
    <w:rsid w:val="00A30CF0"/>
    <w:rsid w:val="00A31322"/>
    <w:rsid w:val="00A31903"/>
    <w:rsid w:val="00A32D7A"/>
    <w:rsid w:val="00A33637"/>
    <w:rsid w:val="00A33A7E"/>
    <w:rsid w:val="00A33CB9"/>
    <w:rsid w:val="00A34130"/>
    <w:rsid w:val="00A3418C"/>
    <w:rsid w:val="00A34EBA"/>
    <w:rsid w:val="00A35051"/>
    <w:rsid w:val="00A36769"/>
    <w:rsid w:val="00A40150"/>
    <w:rsid w:val="00A401DC"/>
    <w:rsid w:val="00A40DCB"/>
    <w:rsid w:val="00A412B1"/>
    <w:rsid w:val="00A41578"/>
    <w:rsid w:val="00A41600"/>
    <w:rsid w:val="00A4188D"/>
    <w:rsid w:val="00A4311E"/>
    <w:rsid w:val="00A4347F"/>
    <w:rsid w:val="00A43D4E"/>
    <w:rsid w:val="00A44AC3"/>
    <w:rsid w:val="00A4563E"/>
    <w:rsid w:val="00A456BA"/>
    <w:rsid w:val="00A4674B"/>
    <w:rsid w:val="00A47A85"/>
    <w:rsid w:val="00A50663"/>
    <w:rsid w:val="00A510A3"/>
    <w:rsid w:val="00A51655"/>
    <w:rsid w:val="00A51B2A"/>
    <w:rsid w:val="00A5221E"/>
    <w:rsid w:val="00A54003"/>
    <w:rsid w:val="00A5405B"/>
    <w:rsid w:val="00A54199"/>
    <w:rsid w:val="00A54603"/>
    <w:rsid w:val="00A54C59"/>
    <w:rsid w:val="00A56A42"/>
    <w:rsid w:val="00A56C7B"/>
    <w:rsid w:val="00A5725A"/>
    <w:rsid w:val="00A57765"/>
    <w:rsid w:val="00A61582"/>
    <w:rsid w:val="00A61E3E"/>
    <w:rsid w:val="00A61F3E"/>
    <w:rsid w:val="00A62101"/>
    <w:rsid w:val="00A622F5"/>
    <w:rsid w:val="00A62419"/>
    <w:rsid w:val="00A62CCD"/>
    <w:rsid w:val="00A62DCF"/>
    <w:rsid w:val="00A63572"/>
    <w:rsid w:val="00A64B8C"/>
    <w:rsid w:val="00A65CC5"/>
    <w:rsid w:val="00A660F7"/>
    <w:rsid w:val="00A667BF"/>
    <w:rsid w:val="00A66A51"/>
    <w:rsid w:val="00A671B2"/>
    <w:rsid w:val="00A6766D"/>
    <w:rsid w:val="00A67E17"/>
    <w:rsid w:val="00A70224"/>
    <w:rsid w:val="00A70364"/>
    <w:rsid w:val="00A7085A"/>
    <w:rsid w:val="00A72B49"/>
    <w:rsid w:val="00A73D07"/>
    <w:rsid w:val="00A73D45"/>
    <w:rsid w:val="00A74B1C"/>
    <w:rsid w:val="00A767F8"/>
    <w:rsid w:val="00A76C0F"/>
    <w:rsid w:val="00A76DE2"/>
    <w:rsid w:val="00A776E6"/>
    <w:rsid w:val="00A82341"/>
    <w:rsid w:val="00A83D54"/>
    <w:rsid w:val="00A84018"/>
    <w:rsid w:val="00A841FB"/>
    <w:rsid w:val="00A85C4C"/>
    <w:rsid w:val="00A86E03"/>
    <w:rsid w:val="00A92043"/>
    <w:rsid w:val="00A922F6"/>
    <w:rsid w:val="00A9350A"/>
    <w:rsid w:val="00A9468A"/>
    <w:rsid w:val="00A94733"/>
    <w:rsid w:val="00A94ACF"/>
    <w:rsid w:val="00A9629C"/>
    <w:rsid w:val="00A969EB"/>
    <w:rsid w:val="00A96E24"/>
    <w:rsid w:val="00A9781A"/>
    <w:rsid w:val="00A97C02"/>
    <w:rsid w:val="00AA0919"/>
    <w:rsid w:val="00AA0E94"/>
    <w:rsid w:val="00AA1A1A"/>
    <w:rsid w:val="00AA21AD"/>
    <w:rsid w:val="00AA347C"/>
    <w:rsid w:val="00AA3862"/>
    <w:rsid w:val="00AA3C04"/>
    <w:rsid w:val="00AA46C0"/>
    <w:rsid w:val="00AA5286"/>
    <w:rsid w:val="00AA6D3E"/>
    <w:rsid w:val="00AA7197"/>
    <w:rsid w:val="00AA7516"/>
    <w:rsid w:val="00AA778B"/>
    <w:rsid w:val="00AA7EAE"/>
    <w:rsid w:val="00AB0E8E"/>
    <w:rsid w:val="00AB1AB6"/>
    <w:rsid w:val="00AB2F46"/>
    <w:rsid w:val="00AB3387"/>
    <w:rsid w:val="00AB51B9"/>
    <w:rsid w:val="00AB627D"/>
    <w:rsid w:val="00AB66A4"/>
    <w:rsid w:val="00AB6D8A"/>
    <w:rsid w:val="00AB7225"/>
    <w:rsid w:val="00AB7730"/>
    <w:rsid w:val="00AB7EA1"/>
    <w:rsid w:val="00AC035B"/>
    <w:rsid w:val="00AC0565"/>
    <w:rsid w:val="00AC1DBE"/>
    <w:rsid w:val="00AC1FD6"/>
    <w:rsid w:val="00AC4359"/>
    <w:rsid w:val="00AC57FD"/>
    <w:rsid w:val="00AC5F54"/>
    <w:rsid w:val="00AC63BE"/>
    <w:rsid w:val="00AC6734"/>
    <w:rsid w:val="00AC6874"/>
    <w:rsid w:val="00AC6AD1"/>
    <w:rsid w:val="00AC7157"/>
    <w:rsid w:val="00AC7DFA"/>
    <w:rsid w:val="00AC7E07"/>
    <w:rsid w:val="00AD02CD"/>
    <w:rsid w:val="00AD101B"/>
    <w:rsid w:val="00AD1968"/>
    <w:rsid w:val="00AD1C9C"/>
    <w:rsid w:val="00AD2567"/>
    <w:rsid w:val="00AD37B8"/>
    <w:rsid w:val="00AD38B7"/>
    <w:rsid w:val="00AD3A6E"/>
    <w:rsid w:val="00AD4331"/>
    <w:rsid w:val="00AD45F7"/>
    <w:rsid w:val="00AD66F6"/>
    <w:rsid w:val="00AD7743"/>
    <w:rsid w:val="00AD781E"/>
    <w:rsid w:val="00AE100D"/>
    <w:rsid w:val="00AE17D6"/>
    <w:rsid w:val="00AE243C"/>
    <w:rsid w:val="00AE2C01"/>
    <w:rsid w:val="00AE2C96"/>
    <w:rsid w:val="00AE2DFD"/>
    <w:rsid w:val="00AE369A"/>
    <w:rsid w:val="00AE3F54"/>
    <w:rsid w:val="00AE72DF"/>
    <w:rsid w:val="00AE7694"/>
    <w:rsid w:val="00AF0490"/>
    <w:rsid w:val="00AF04EB"/>
    <w:rsid w:val="00AF0520"/>
    <w:rsid w:val="00AF14F2"/>
    <w:rsid w:val="00AF203C"/>
    <w:rsid w:val="00AF215F"/>
    <w:rsid w:val="00AF2577"/>
    <w:rsid w:val="00AF284A"/>
    <w:rsid w:val="00AF3160"/>
    <w:rsid w:val="00AF34E0"/>
    <w:rsid w:val="00AF3850"/>
    <w:rsid w:val="00AF473F"/>
    <w:rsid w:val="00AF4A1A"/>
    <w:rsid w:val="00AF4B40"/>
    <w:rsid w:val="00AF5CD3"/>
    <w:rsid w:val="00AF7A78"/>
    <w:rsid w:val="00B00249"/>
    <w:rsid w:val="00B005BA"/>
    <w:rsid w:val="00B00878"/>
    <w:rsid w:val="00B00D0B"/>
    <w:rsid w:val="00B011E2"/>
    <w:rsid w:val="00B0198E"/>
    <w:rsid w:val="00B03AB7"/>
    <w:rsid w:val="00B03C81"/>
    <w:rsid w:val="00B043C7"/>
    <w:rsid w:val="00B04A9F"/>
    <w:rsid w:val="00B052EE"/>
    <w:rsid w:val="00B06E30"/>
    <w:rsid w:val="00B106D3"/>
    <w:rsid w:val="00B10702"/>
    <w:rsid w:val="00B10DCC"/>
    <w:rsid w:val="00B13769"/>
    <w:rsid w:val="00B15057"/>
    <w:rsid w:val="00B1535D"/>
    <w:rsid w:val="00B16279"/>
    <w:rsid w:val="00B1627F"/>
    <w:rsid w:val="00B16A8B"/>
    <w:rsid w:val="00B20569"/>
    <w:rsid w:val="00B20619"/>
    <w:rsid w:val="00B21165"/>
    <w:rsid w:val="00B2123E"/>
    <w:rsid w:val="00B21592"/>
    <w:rsid w:val="00B21F4F"/>
    <w:rsid w:val="00B22CF2"/>
    <w:rsid w:val="00B23FAC"/>
    <w:rsid w:val="00B2424C"/>
    <w:rsid w:val="00B242B0"/>
    <w:rsid w:val="00B25616"/>
    <w:rsid w:val="00B26208"/>
    <w:rsid w:val="00B265DA"/>
    <w:rsid w:val="00B272D3"/>
    <w:rsid w:val="00B30698"/>
    <w:rsid w:val="00B3086B"/>
    <w:rsid w:val="00B30A68"/>
    <w:rsid w:val="00B3121D"/>
    <w:rsid w:val="00B31CF0"/>
    <w:rsid w:val="00B32C35"/>
    <w:rsid w:val="00B32F88"/>
    <w:rsid w:val="00B33417"/>
    <w:rsid w:val="00B33FAE"/>
    <w:rsid w:val="00B36A63"/>
    <w:rsid w:val="00B3761A"/>
    <w:rsid w:val="00B40225"/>
    <w:rsid w:val="00B40645"/>
    <w:rsid w:val="00B40FD5"/>
    <w:rsid w:val="00B422DF"/>
    <w:rsid w:val="00B42D43"/>
    <w:rsid w:val="00B43676"/>
    <w:rsid w:val="00B43C11"/>
    <w:rsid w:val="00B43C6B"/>
    <w:rsid w:val="00B449A0"/>
    <w:rsid w:val="00B44C0E"/>
    <w:rsid w:val="00B452D1"/>
    <w:rsid w:val="00B45364"/>
    <w:rsid w:val="00B45A77"/>
    <w:rsid w:val="00B45CDF"/>
    <w:rsid w:val="00B47E5E"/>
    <w:rsid w:val="00B50378"/>
    <w:rsid w:val="00B503C7"/>
    <w:rsid w:val="00B50B3B"/>
    <w:rsid w:val="00B515F9"/>
    <w:rsid w:val="00B5200E"/>
    <w:rsid w:val="00B523D7"/>
    <w:rsid w:val="00B525A3"/>
    <w:rsid w:val="00B52E08"/>
    <w:rsid w:val="00B52F8F"/>
    <w:rsid w:val="00B53C58"/>
    <w:rsid w:val="00B54853"/>
    <w:rsid w:val="00B56414"/>
    <w:rsid w:val="00B566EB"/>
    <w:rsid w:val="00B57D87"/>
    <w:rsid w:val="00B60351"/>
    <w:rsid w:val="00B603D9"/>
    <w:rsid w:val="00B60A89"/>
    <w:rsid w:val="00B61786"/>
    <w:rsid w:val="00B61EF9"/>
    <w:rsid w:val="00B6240E"/>
    <w:rsid w:val="00B62655"/>
    <w:rsid w:val="00B626FA"/>
    <w:rsid w:val="00B64315"/>
    <w:rsid w:val="00B6459A"/>
    <w:rsid w:val="00B647B9"/>
    <w:rsid w:val="00B659A9"/>
    <w:rsid w:val="00B65FEC"/>
    <w:rsid w:val="00B662A4"/>
    <w:rsid w:val="00B66CB7"/>
    <w:rsid w:val="00B66F44"/>
    <w:rsid w:val="00B67FCB"/>
    <w:rsid w:val="00B70559"/>
    <w:rsid w:val="00B706EC"/>
    <w:rsid w:val="00B7093C"/>
    <w:rsid w:val="00B70FAA"/>
    <w:rsid w:val="00B72242"/>
    <w:rsid w:val="00B72727"/>
    <w:rsid w:val="00B73728"/>
    <w:rsid w:val="00B73FAE"/>
    <w:rsid w:val="00B74D25"/>
    <w:rsid w:val="00B758FF"/>
    <w:rsid w:val="00B760E6"/>
    <w:rsid w:val="00B76A20"/>
    <w:rsid w:val="00B7776D"/>
    <w:rsid w:val="00B779A3"/>
    <w:rsid w:val="00B77B1E"/>
    <w:rsid w:val="00B80AB8"/>
    <w:rsid w:val="00B80CA0"/>
    <w:rsid w:val="00B81609"/>
    <w:rsid w:val="00B81C18"/>
    <w:rsid w:val="00B81DEE"/>
    <w:rsid w:val="00B83C5D"/>
    <w:rsid w:val="00B8426F"/>
    <w:rsid w:val="00B84EEA"/>
    <w:rsid w:val="00B8527D"/>
    <w:rsid w:val="00B85513"/>
    <w:rsid w:val="00B8565C"/>
    <w:rsid w:val="00B85B4E"/>
    <w:rsid w:val="00B86862"/>
    <w:rsid w:val="00B86F35"/>
    <w:rsid w:val="00B87B1E"/>
    <w:rsid w:val="00B9023E"/>
    <w:rsid w:val="00B90456"/>
    <w:rsid w:val="00B92643"/>
    <w:rsid w:val="00B92BEF"/>
    <w:rsid w:val="00B92F94"/>
    <w:rsid w:val="00B9372A"/>
    <w:rsid w:val="00B944FB"/>
    <w:rsid w:val="00B94E85"/>
    <w:rsid w:val="00B9501C"/>
    <w:rsid w:val="00B9623E"/>
    <w:rsid w:val="00B965A8"/>
    <w:rsid w:val="00B965A9"/>
    <w:rsid w:val="00B96703"/>
    <w:rsid w:val="00B967E0"/>
    <w:rsid w:val="00BA07CE"/>
    <w:rsid w:val="00BA3308"/>
    <w:rsid w:val="00BA3B2D"/>
    <w:rsid w:val="00BA3CDB"/>
    <w:rsid w:val="00BA651E"/>
    <w:rsid w:val="00BA67A7"/>
    <w:rsid w:val="00BA69A3"/>
    <w:rsid w:val="00BA79DE"/>
    <w:rsid w:val="00BA7ABC"/>
    <w:rsid w:val="00BA7D4B"/>
    <w:rsid w:val="00BA7E3F"/>
    <w:rsid w:val="00BB0376"/>
    <w:rsid w:val="00BB039A"/>
    <w:rsid w:val="00BB0EEB"/>
    <w:rsid w:val="00BB2625"/>
    <w:rsid w:val="00BB2E35"/>
    <w:rsid w:val="00BB367C"/>
    <w:rsid w:val="00BB3B01"/>
    <w:rsid w:val="00BB639D"/>
    <w:rsid w:val="00BB6B2A"/>
    <w:rsid w:val="00BB6EA8"/>
    <w:rsid w:val="00BB76A6"/>
    <w:rsid w:val="00BB79D6"/>
    <w:rsid w:val="00BC0667"/>
    <w:rsid w:val="00BC0F15"/>
    <w:rsid w:val="00BC2175"/>
    <w:rsid w:val="00BC37A7"/>
    <w:rsid w:val="00BC3CCF"/>
    <w:rsid w:val="00BC4B32"/>
    <w:rsid w:val="00BC5458"/>
    <w:rsid w:val="00BC59E5"/>
    <w:rsid w:val="00BC7888"/>
    <w:rsid w:val="00BC7E67"/>
    <w:rsid w:val="00BD0BD0"/>
    <w:rsid w:val="00BD0CD8"/>
    <w:rsid w:val="00BD0D53"/>
    <w:rsid w:val="00BD101D"/>
    <w:rsid w:val="00BD143B"/>
    <w:rsid w:val="00BD1777"/>
    <w:rsid w:val="00BD2F3D"/>
    <w:rsid w:val="00BD3D66"/>
    <w:rsid w:val="00BD430F"/>
    <w:rsid w:val="00BD5CF2"/>
    <w:rsid w:val="00BD6B89"/>
    <w:rsid w:val="00BE07B1"/>
    <w:rsid w:val="00BE0E75"/>
    <w:rsid w:val="00BE212C"/>
    <w:rsid w:val="00BE3051"/>
    <w:rsid w:val="00BE44D5"/>
    <w:rsid w:val="00BE50A5"/>
    <w:rsid w:val="00BE530B"/>
    <w:rsid w:val="00BE5DAE"/>
    <w:rsid w:val="00BE5E7A"/>
    <w:rsid w:val="00BE624F"/>
    <w:rsid w:val="00BE65B6"/>
    <w:rsid w:val="00BE66FE"/>
    <w:rsid w:val="00BF0FA9"/>
    <w:rsid w:val="00BF194D"/>
    <w:rsid w:val="00BF1977"/>
    <w:rsid w:val="00BF1C25"/>
    <w:rsid w:val="00BF2831"/>
    <w:rsid w:val="00BF2929"/>
    <w:rsid w:val="00BF2EA4"/>
    <w:rsid w:val="00BF3528"/>
    <w:rsid w:val="00BF43A8"/>
    <w:rsid w:val="00BF551D"/>
    <w:rsid w:val="00BF5F0E"/>
    <w:rsid w:val="00BF6D91"/>
    <w:rsid w:val="00C00533"/>
    <w:rsid w:val="00C021CB"/>
    <w:rsid w:val="00C02300"/>
    <w:rsid w:val="00C03367"/>
    <w:rsid w:val="00C03403"/>
    <w:rsid w:val="00C041F9"/>
    <w:rsid w:val="00C057E6"/>
    <w:rsid w:val="00C05820"/>
    <w:rsid w:val="00C06A51"/>
    <w:rsid w:val="00C07DAD"/>
    <w:rsid w:val="00C10DFB"/>
    <w:rsid w:val="00C10FE5"/>
    <w:rsid w:val="00C11220"/>
    <w:rsid w:val="00C113F6"/>
    <w:rsid w:val="00C11C0B"/>
    <w:rsid w:val="00C11F02"/>
    <w:rsid w:val="00C11FB5"/>
    <w:rsid w:val="00C129E1"/>
    <w:rsid w:val="00C12CD3"/>
    <w:rsid w:val="00C12DB8"/>
    <w:rsid w:val="00C131C9"/>
    <w:rsid w:val="00C15E36"/>
    <w:rsid w:val="00C17B80"/>
    <w:rsid w:val="00C202C9"/>
    <w:rsid w:val="00C202DF"/>
    <w:rsid w:val="00C20CFB"/>
    <w:rsid w:val="00C20F32"/>
    <w:rsid w:val="00C21386"/>
    <w:rsid w:val="00C23217"/>
    <w:rsid w:val="00C2340D"/>
    <w:rsid w:val="00C23CE4"/>
    <w:rsid w:val="00C25053"/>
    <w:rsid w:val="00C25F98"/>
    <w:rsid w:val="00C27114"/>
    <w:rsid w:val="00C27A52"/>
    <w:rsid w:val="00C30D31"/>
    <w:rsid w:val="00C31FC4"/>
    <w:rsid w:val="00C324F5"/>
    <w:rsid w:val="00C3353D"/>
    <w:rsid w:val="00C33FFD"/>
    <w:rsid w:val="00C340F9"/>
    <w:rsid w:val="00C35AC2"/>
    <w:rsid w:val="00C366DD"/>
    <w:rsid w:val="00C371F2"/>
    <w:rsid w:val="00C40ABA"/>
    <w:rsid w:val="00C4195B"/>
    <w:rsid w:val="00C42028"/>
    <w:rsid w:val="00C42CA6"/>
    <w:rsid w:val="00C4385F"/>
    <w:rsid w:val="00C46168"/>
    <w:rsid w:val="00C50067"/>
    <w:rsid w:val="00C507EE"/>
    <w:rsid w:val="00C518D3"/>
    <w:rsid w:val="00C52143"/>
    <w:rsid w:val="00C524D3"/>
    <w:rsid w:val="00C52AF5"/>
    <w:rsid w:val="00C543D2"/>
    <w:rsid w:val="00C5443A"/>
    <w:rsid w:val="00C545C4"/>
    <w:rsid w:val="00C54687"/>
    <w:rsid w:val="00C55DEC"/>
    <w:rsid w:val="00C55DF3"/>
    <w:rsid w:val="00C55F36"/>
    <w:rsid w:val="00C56018"/>
    <w:rsid w:val="00C57202"/>
    <w:rsid w:val="00C57A2B"/>
    <w:rsid w:val="00C603A2"/>
    <w:rsid w:val="00C60FB2"/>
    <w:rsid w:val="00C62042"/>
    <w:rsid w:val="00C62EB0"/>
    <w:rsid w:val="00C62F50"/>
    <w:rsid w:val="00C64049"/>
    <w:rsid w:val="00C6479B"/>
    <w:rsid w:val="00C65C64"/>
    <w:rsid w:val="00C66481"/>
    <w:rsid w:val="00C708B8"/>
    <w:rsid w:val="00C70B50"/>
    <w:rsid w:val="00C712A6"/>
    <w:rsid w:val="00C71368"/>
    <w:rsid w:val="00C714D1"/>
    <w:rsid w:val="00C72983"/>
    <w:rsid w:val="00C72BB2"/>
    <w:rsid w:val="00C72C53"/>
    <w:rsid w:val="00C72DB9"/>
    <w:rsid w:val="00C73B5F"/>
    <w:rsid w:val="00C74ECE"/>
    <w:rsid w:val="00C751A2"/>
    <w:rsid w:val="00C75E17"/>
    <w:rsid w:val="00C76392"/>
    <w:rsid w:val="00C77D5B"/>
    <w:rsid w:val="00C77FCA"/>
    <w:rsid w:val="00C811A8"/>
    <w:rsid w:val="00C81A4B"/>
    <w:rsid w:val="00C8265A"/>
    <w:rsid w:val="00C83AAF"/>
    <w:rsid w:val="00C847D6"/>
    <w:rsid w:val="00C848BE"/>
    <w:rsid w:val="00C86872"/>
    <w:rsid w:val="00C86F04"/>
    <w:rsid w:val="00C86FBC"/>
    <w:rsid w:val="00C87881"/>
    <w:rsid w:val="00C87969"/>
    <w:rsid w:val="00C903D2"/>
    <w:rsid w:val="00C90AC9"/>
    <w:rsid w:val="00C912BA"/>
    <w:rsid w:val="00C926F3"/>
    <w:rsid w:val="00C92CAC"/>
    <w:rsid w:val="00C93156"/>
    <w:rsid w:val="00C93D12"/>
    <w:rsid w:val="00C94432"/>
    <w:rsid w:val="00C94683"/>
    <w:rsid w:val="00C94C96"/>
    <w:rsid w:val="00C955D2"/>
    <w:rsid w:val="00C957E9"/>
    <w:rsid w:val="00C95902"/>
    <w:rsid w:val="00C95B1C"/>
    <w:rsid w:val="00C95F45"/>
    <w:rsid w:val="00C96C40"/>
    <w:rsid w:val="00C97E18"/>
    <w:rsid w:val="00CA01C6"/>
    <w:rsid w:val="00CA0B6D"/>
    <w:rsid w:val="00CA0C45"/>
    <w:rsid w:val="00CA127F"/>
    <w:rsid w:val="00CA12DC"/>
    <w:rsid w:val="00CA1512"/>
    <w:rsid w:val="00CA215A"/>
    <w:rsid w:val="00CA2169"/>
    <w:rsid w:val="00CA291E"/>
    <w:rsid w:val="00CA2B2F"/>
    <w:rsid w:val="00CA2CD3"/>
    <w:rsid w:val="00CA2EFC"/>
    <w:rsid w:val="00CA3678"/>
    <w:rsid w:val="00CA36E5"/>
    <w:rsid w:val="00CA3AC4"/>
    <w:rsid w:val="00CA47EE"/>
    <w:rsid w:val="00CA4E70"/>
    <w:rsid w:val="00CA62B6"/>
    <w:rsid w:val="00CA652E"/>
    <w:rsid w:val="00CA68A3"/>
    <w:rsid w:val="00CA6AAA"/>
    <w:rsid w:val="00CA6E04"/>
    <w:rsid w:val="00CA7BC1"/>
    <w:rsid w:val="00CA7C3A"/>
    <w:rsid w:val="00CB0489"/>
    <w:rsid w:val="00CB13F2"/>
    <w:rsid w:val="00CB1413"/>
    <w:rsid w:val="00CB192B"/>
    <w:rsid w:val="00CB1A7A"/>
    <w:rsid w:val="00CB247E"/>
    <w:rsid w:val="00CB2C65"/>
    <w:rsid w:val="00CB2E97"/>
    <w:rsid w:val="00CB2F05"/>
    <w:rsid w:val="00CB3407"/>
    <w:rsid w:val="00CB4D3E"/>
    <w:rsid w:val="00CB5807"/>
    <w:rsid w:val="00CB5BFE"/>
    <w:rsid w:val="00CB6461"/>
    <w:rsid w:val="00CB666F"/>
    <w:rsid w:val="00CB6B89"/>
    <w:rsid w:val="00CB75E0"/>
    <w:rsid w:val="00CB7DB5"/>
    <w:rsid w:val="00CC0914"/>
    <w:rsid w:val="00CC1BEB"/>
    <w:rsid w:val="00CC2231"/>
    <w:rsid w:val="00CC25C7"/>
    <w:rsid w:val="00CC2A9D"/>
    <w:rsid w:val="00CC35BB"/>
    <w:rsid w:val="00CC3637"/>
    <w:rsid w:val="00CC37AE"/>
    <w:rsid w:val="00CC389C"/>
    <w:rsid w:val="00CC3DE8"/>
    <w:rsid w:val="00CC4AFE"/>
    <w:rsid w:val="00CC534C"/>
    <w:rsid w:val="00CC701F"/>
    <w:rsid w:val="00CC70A5"/>
    <w:rsid w:val="00CC7D63"/>
    <w:rsid w:val="00CD07D3"/>
    <w:rsid w:val="00CD0D6F"/>
    <w:rsid w:val="00CD1D6A"/>
    <w:rsid w:val="00CD3A9B"/>
    <w:rsid w:val="00CD3D79"/>
    <w:rsid w:val="00CD4B3A"/>
    <w:rsid w:val="00CD5502"/>
    <w:rsid w:val="00CD61A3"/>
    <w:rsid w:val="00CD7BA6"/>
    <w:rsid w:val="00CD7FFA"/>
    <w:rsid w:val="00CE0D65"/>
    <w:rsid w:val="00CE1238"/>
    <w:rsid w:val="00CE1815"/>
    <w:rsid w:val="00CE1A5B"/>
    <w:rsid w:val="00CE1B37"/>
    <w:rsid w:val="00CE1B9B"/>
    <w:rsid w:val="00CE2AC3"/>
    <w:rsid w:val="00CE2F64"/>
    <w:rsid w:val="00CE3BD7"/>
    <w:rsid w:val="00CE4676"/>
    <w:rsid w:val="00CE49B7"/>
    <w:rsid w:val="00CE60BE"/>
    <w:rsid w:val="00CE64B1"/>
    <w:rsid w:val="00CE6B36"/>
    <w:rsid w:val="00CF0562"/>
    <w:rsid w:val="00CF2586"/>
    <w:rsid w:val="00CF25E7"/>
    <w:rsid w:val="00CF2B4F"/>
    <w:rsid w:val="00CF3850"/>
    <w:rsid w:val="00CF385C"/>
    <w:rsid w:val="00CF3916"/>
    <w:rsid w:val="00CF52FA"/>
    <w:rsid w:val="00CF53A1"/>
    <w:rsid w:val="00CF5DF9"/>
    <w:rsid w:val="00CF656F"/>
    <w:rsid w:val="00CF6CB9"/>
    <w:rsid w:val="00D00286"/>
    <w:rsid w:val="00D00491"/>
    <w:rsid w:val="00D01F0B"/>
    <w:rsid w:val="00D04191"/>
    <w:rsid w:val="00D0450E"/>
    <w:rsid w:val="00D0455E"/>
    <w:rsid w:val="00D04E3F"/>
    <w:rsid w:val="00D05A32"/>
    <w:rsid w:val="00D06751"/>
    <w:rsid w:val="00D07874"/>
    <w:rsid w:val="00D07A74"/>
    <w:rsid w:val="00D103E5"/>
    <w:rsid w:val="00D10AAD"/>
    <w:rsid w:val="00D10D1E"/>
    <w:rsid w:val="00D11C73"/>
    <w:rsid w:val="00D11CDB"/>
    <w:rsid w:val="00D1243A"/>
    <w:rsid w:val="00D127C9"/>
    <w:rsid w:val="00D12C94"/>
    <w:rsid w:val="00D12D1A"/>
    <w:rsid w:val="00D12F2A"/>
    <w:rsid w:val="00D13567"/>
    <w:rsid w:val="00D136CE"/>
    <w:rsid w:val="00D138C9"/>
    <w:rsid w:val="00D143C9"/>
    <w:rsid w:val="00D146EB"/>
    <w:rsid w:val="00D148D5"/>
    <w:rsid w:val="00D15957"/>
    <w:rsid w:val="00D15E27"/>
    <w:rsid w:val="00D161EE"/>
    <w:rsid w:val="00D1788D"/>
    <w:rsid w:val="00D17E10"/>
    <w:rsid w:val="00D20388"/>
    <w:rsid w:val="00D20D59"/>
    <w:rsid w:val="00D20FE4"/>
    <w:rsid w:val="00D21AF3"/>
    <w:rsid w:val="00D225E4"/>
    <w:rsid w:val="00D22A43"/>
    <w:rsid w:val="00D2304A"/>
    <w:rsid w:val="00D2346B"/>
    <w:rsid w:val="00D24E47"/>
    <w:rsid w:val="00D257B7"/>
    <w:rsid w:val="00D264C3"/>
    <w:rsid w:val="00D2660F"/>
    <w:rsid w:val="00D26672"/>
    <w:rsid w:val="00D26E2D"/>
    <w:rsid w:val="00D2712E"/>
    <w:rsid w:val="00D27D90"/>
    <w:rsid w:val="00D30528"/>
    <w:rsid w:val="00D309F8"/>
    <w:rsid w:val="00D30D34"/>
    <w:rsid w:val="00D31511"/>
    <w:rsid w:val="00D31CED"/>
    <w:rsid w:val="00D323B2"/>
    <w:rsid w:val="00D324B8"/>
    <w:rsid w:val="00D33075"/>
    <w:rsid w:val="00D33A71"/>
    <w:rsid w:val="00D3462D"/>
    <w:rsid w:val="00D34A01"/>
    <w:rsid w:val="00D351D9"/>
    <w:rsid w:val="00D36C13"/>
    <w:rsid w:val="00D3751C"/>
    <w:rsid w:val="00D37813"/>
    <w:rsid w:val="00D407A1"/>
    <w:rsid w:val="00D40CC4"/>
    <w:rsid w:val="00D41701"/>
    <w:rsid w:val="00D4216C"/>
    <w:rsid w:val="00D42458"/>
    <w:rsid w:val="00D42E73"/>
    <w:rsid w:val="00D42EBC"/>
    <w:rsid w:val="00D4305F"/>
    <w:rsid w:val="00D43909"/>
    <w:rsid w:val="00D45BE0"/>
    <w:rsid w:val="00D46B7F"/>
    <w:rsid w:val="00D46E5A"/>
    <w:rsid w:val="00D5076A"/>
    <w:rsid w:val="00D508C2"/>
    <w:rsid w:val="00D509AB"/>
    <w:rsid w:val="00D5161B"/>
    <w:rsid w:val="00D51955"/>
    <w:rsid w:val="00D51E22"/>
    <w:rsid w:val="00D52355"/>
    <w:rsid w:val="00D53540"/>
    <w:rsid w:val="00D53902"/>
    <w:rsid w:val="00D54C44"/>
    <w:rsid w:val="00D55BC9"/>
    <w:rsid w:val="00D55D0B"/>
    <w:rsid w:val="00D55F54"/>
    <w:rsid w:val="00D56D38"/>
    <w:rsid w:val="00D56DD1"/>
    <w:rsid w:val="00D576DC"/>
    <w:rsid w:val="00D601FF"/>
    <w:rsid w:val="00D60FED"/>
    <w:rsid w:val="00D621CC"/>
    <w:rsid w:val="00D630C1"/>
    <w:rsid w:val="00D63542"/>
    <w:rsid w:val="00D63745"/>
    <w:rsid w:val="00D64545"/>
    <w:rsid w:val="00D64C93"/>
    <w:rsid w:val="00D65011"/>
    <w:rsid w:val="00D6510C"/>
    <w:rsid w:val="00D6520A"/>
    <w:rsid w:val="00D65785"/>
    <w:rsid w:val="00D65F6F"/>
    <w:rsid w:val="00D664C1"/>
    <w:rsid w:val="00D66E25"/>
    <w:rsid w:val="00D672CB"/>
    <w:rsid w:val="00D67E95"/>
    <w:rsid w:val="00D7068B"/>
    <w:rsid w:val="00D71A6B"/>
    <w:rsid w:val="00D71D99"/>
    <w:rsid w:val="00D73C62"/>
    <w:rsid w:val="00D743C9"/>
    <w:rsid w:val="00D74655"/>
    <w:rsid w:val="00D7471C"/>
    <w:rsid w:val="00D7560D"/>
    <w:rsid w:val="00D7579E"/>
    <w:rsid w:val="00D75A23"/>
    <w:rsid w:val="00D77BDD"/>
    <w:rsid w:val="00D806BA"/>
    <w:rsid w:val="00D807F4"/>
    <w:rsid w:val="00D81C8D"/>
    <w:rsid w:val="00D821BF"/>
    <w:rsid w:val="00D82350"/>
    <w:rsid w:val="00D83261"/>
    <w:rsid w:val="00D8334F"/>
    <w:rsid w:val="00D83840"/>
    <w:rsid w:val="00D8399F"/>
    <w:rsid w:val="00D839AE"/>
    <w:rsid w:val="00D83B15"/>
    <w:rsid w:val="00D8604C"/>
    <w:rsid w:val="00D861B6"/>
    <w:rsid w:val="00D87262"/>
    <w:rsid w:val="00D9046F"/>
    <w:rsid w:val="00D90736"/>
    <w:rsid w:val="00D915FA"/>
    <w:rsid w:val="00D91812"/>
    <w:rsid w:val="00D91FA5"/>
    <w:rsid w:val="00D92DCD"/>
    <w:rsid w:val="00D933A2"/>
    <w:rsid w:val="00D952EF"/>
    <w:rsid w:val="00D959F0"/>
    <w:rsid w:val="00D9656D"/>
    <w:rsid w:val="00D969BF"/>
    <w:rsid w:val="00D96C1A"/>
    <w:rsid w:val="00D9737B"/>
    <w:rsid w:val="00D97C89"/>
    <w:rsid w:val="00DA18B4"/>
    <w:rsid w:val="00DA1E11"/>
    <w:rsid w:val="00DA28C7"/>
    <w:rsid w:val="00DA3A9C"/>
    <w:rsid w:val="00DA3FDC"/>
    <w:rsid w:val="00DA42C3"/>
    <w:rsid w:val="00DA435F"/>
    <w:rsid w:val="00DA4519"/>
    <w:rsid w:val="00DA5450"/>
    <w:rsid w:val="00DA6565"/>
    <w:rsid w:val="00DA6C21"/>
    <w:rsid w:val="00DA7214"/>
    <w:rsid w:val="00DA74D0"/>
    <w:rsid w:val="00DA75D7"/>
    <w:rsid w:val="00DA7ECE"/>
    <w:rsid w:val="00DB04E4"/>
    <w:rsid w:val="00DB0A0E"/>
    <w:rsid w:val="00DB10E0"/>
    <w:rsid w:val="00DB12A7"/>
    <w:rsid w:val="00DB1BED"/>
    <w:rsid w:val="00DB1C47"/>
    <w:rsid w:val="00DB33EF"/>
    <w:rsid w:val="00DB41DE"/>
    <w:rsid w:val="00DB484B"/>
    <w:rsid w:val="00DB5F8E"/>
    <w:rsid w:val="00DB6713"/>
    <w:rsid w:val="00DB682A"/>
    <w:rsid w:val="00DB6AE3"/>
    <w:rsid w:val="00DB748C"/>
    <w:rsid w:val="00DB7BE4"/>
    <w:rsid w:val="00DC036B"/>
    <w:rsid w:val="00DC0526"/>
    <w:rsid w:val="00DC05A5"/>
    <w:rsid w:val="00DC0600"/>
    <w:rsid w:val="00DC0A9B"/>
    <w:rsid w:val="00DC1419"/>
    <w:rsid w:val="00DC1610"/>
    <w:rsid w:val="00DC19B5"/>
    <w:rsid w:val="00DC2084"/>
    <w:rsid w:val="00DC2448"/>
    <w:rsid w:val="00DC3D28"/>
    <w:rsid w:val="00DC4338"/>
    <w:rsid w:val="00DC53B6"/>
    <w:rsid w:val="00DC550D"/>
    <w:rsid w:val="00DC63CE"/>
    <w:rsid w:val="00DC6C42"/>
    <w:rsid w:val="00DC73A6"/>
    <w:rsid w:val="00DD00D1"/>
    <w:rsid w:val="00DD16D7"/>
    <w:rsid w:val="00DD382A"/>
    <w:rsid w:val="00DD3B0C"/>
    <w:rsid w:val="00DD3EC3"/>
    <w:rsid w:val="00DD4111"/>
    <w:rsid w:val="00DD4203"/>
    <w:rsid w:val="00DD427F"/>
    <w:rsid w:val="00DD43FE"/>
    <w:rsid w:val="00DD4438"/>
    <w:rsid w:val="00DD5938"/>
    <w:rsid w:val="00DD62D3"/>
    <w:rsid w:val="00DD63D0"/>
    <w:rsid w:val="00DD6C82"/>
    <w:rsid w:val="00DD6C9E"/>
    <w:rsid w:val="00DE2A15"/>
    <w:rsid w:val="00DE2E1F"/>
    <w:rsid w:val="00DE302B"/>
    <w:rsid w:val="00DE3197"/>
    <w:rsid w:val="00DE363E"/>
    <w:rsid w:val="00DE3A2E"/>
    <w:rsid w:val="00DE5F8A"/>
    <w:rsid w:val="00DE6E36"/>
    <w:rsid w:val="00DE7476"/>
    <w:rsid w:val="00DE7CEA"/>
    <w:rsid w:val="00DF01F2"/>
    <w:rsid w:val="00DF02EC"/>
    <w:rsid w:val="00DF0D3E"/>
    <w:rsid w:val="00DF24BC"/>
    <w:rsid w:val="00DF3977"/>
    <w:rsid w:val="00DF3EF0"/>
    <w:rsid w:val="00DF4A14"/>
    <w:rsid w:val="00DF4C5B"/>
    <w:rsid w:val="00DF5606"/>
    <w:rsid w:val="00DF6244"/>
    <w:rsid w:val="00DF6B2D"/>
    <w:rsid w:val="00DF77CC"/>
    <w:rsid w:val="00DF7A0E"/>
    <w:rsid w:val="00DF7AE8"/>
    <w:rsid w:val="00DF7D9E"/>
    <w:rsid w:val="00E00423"/>
    <w:rsid w:val="00E01006"/>
    <w:rsid w:val="00E0169C"/>
    <w:rsid w:val="00E0192B"/>
    <w:rsid w:val="00E03D95"/>
    <w:rsid w:val="00E05013"/>
    <w:rsid w:val="00E0509D"/>
    <w:rsid w:val="00E05387"/>
    <w:rsid w:val="00E05C3E"/>
    <w:rsid w:val="00E05D0F"/>
    <w:rsid w:val="00E0634B"/>
    <w:rsid w:val="00E07024"/>
    <w:rsid w:val="00E07B77"/>
    <w:rsid w:val="00E07EC0"/>
    <w:rsid w:val="00E104EE"/>
    <w:rsid w:val="00E10D2A"/>
    <w:rsid w:val="00E11EB5"/>
    <w:rsid w:val="00E12A91"/>
    <w:rsid w:val="00E12B3E"/>
    <w:rsid w:val="00E12F3A"/>
    <w:rsid w:val="00E13200"/>
    <w:rsid w:val="00E137F2"/>
    <w:rsid w:val="00E13EE2"/>
    <w:rsid w:val="00E14E5E"/>
    <w:rsid w:val="00E15EEB"/>
    <w:rsid w:val="00E2013C"/>
    <w:rsid w:val="00E20D9C"/>
    <w:rsid w:val="00E2149E"/>
    <w:rsid w:val="00E21F67"/>
    <w:rsid w:val="00E229CE"/>
    <w:rsid w:val="00E23704"/>
    <w:rsid w:val="00E23A64"/>
    <w:rsid w:val="00E24670"/>
    <w:rsid w:val="00E24F37"/>
    <w:rsid w:val="00E25D06"/>
    <w:rsid w:val="00E26474"/>
    <w:rsid w:val="00E2671E"/>
    <w:rsid w:val="00E26EEE"/>
    <w:rsid w:val="00E26FA6"/>
    <w:rsid w:val="00E272E2"/>
    <w:rsid w:val="00E273A9"/>
    <w:rsid w:val="00E30272"/>
    <w:rsid w:val="00E302D2"/>
    <w:rsid w:val="00E30380"/>
    <w:rsid w:val="00E31583"/>
    <w:rsid w:val="00E31BCE"/>
    <w:rsid w:val="00E32BB2"/>
    <w:rsid w:val="00E32C8A"/>
    <w:rsid w:val="00E33A8B"/>
    <w:rsid w:val="00E33D03"/>
    <w:rsid w:val="00E34087"/>
    <w:rsid w:val="00E3417D"/>
    <w:rsid w:val="00E3448B"/>
    <w:rsid w:val="00E34D1A"/>
    <w:rsid w:val="00E356A8"/>
    <w:rsid w:val="00E361BA"/>
    <w:rsid w:val="00E36874"/>
    <w:rsid w:val="00E3714D"/>
    <w:rsid w:val="00E373EB"/>
    <w:rsid w:val="00E37911"/>
    <w:rsid w:val="00E37A5B"/>
    <w:rsid w:val="00E37FAD"/>
    <w:rsid w:val="00E406A6"/>
    <w:rsid w:val="00E408EE"/>
    <w:rsid w:val="00E41110"/>
    <w:rsid w:val="00E41556"/>
    <w:rsid w:val="00E42663"/>
    <w:rsid w:val="00E42CF6"/>
    <w:rsid w:val="00E42F99"/>
    <w:rsid w:val="00E43B7A"/>
    <w:rsid w:val="00E44131"/>
    <w:rsid w:val="00E44845"/>
    <w:rsid w:val="00E454B6"/>
    <w:rsid w:val="00E4570B"/>
    <w:rsid w:val="00E46168"/>
    <w:rsid w:val="00E4646D"/>
    <w:rsid w:val="00E478A4"/>
    <w:rsid w:val="00E47E99"/>
    <w:rsid w:val="00E5004B"/>
    <w:rsid w:val="00E507AA"/>
    <w:rsid w:val="00E518A5"/>
    <w:rsid w:val="00E51B09"/>
    <w:rsid w:val="00E51C1E"/>
    <w:rsid w:val="00E52035"/>
    <w:rsid w:val="00E534F5"/>
    <w:rsid w:val="00E53C5D"/>
    <w:rsid w:val="00E53D79"/>
    <w:rsid w:val="00E53F02"/>
    <w:rsid w:val="00E551C0"/>
    <w:rsid w:val="00E5784A"/>
    <w:rsid w:val="00E60144"/>
    <w:rsid w:val="00E60C08"/>
    <w:rsid w:val="00E61278"/>
    <w:rsid w:val="00E617E0"/>
    <w:rsid w:val="00E62305"/>
    <w:rsid w:val="00E6370F"/>
    <w:rsid w:val="00E64563"/>
    <w:rsid w:val="00E65483"/>
    <w:rsid w:val="00E65AAA"/>
    <w:rsid w:val="00E675D3"/>
    <w:rsid w:val="00E705D0"/>
    <w:rsid w:val="00E70D96"/>
    <w:rsid w:val="00E71CE4"/>
    <w:rsid w:val="00E72268"/>
    <w:rsid w:val="00E72E70"/>
    <w:rsid w:val="00E73082"/>
    <w:rsid w:val="00E736EB"/>
    <w:rsid w:val="00E73721"/>
    <w:rsid w:val="00E73DA0"/>
    <w:rsid w:val="00E73E20"/>
    <w:rsid w:val="00E73F00"/>
    <w:rsid w:val="00E74419"/>
    <w:rsid w:val="00E74541"/>
    <w:rsid w:val="00E751FA"/>
    <w:rsid w:val="00E75719"/>
    <w:rsid w:val="00E758D7"/>
    <w:rsid w:val="00E76A03"/>
    <w:rsid w:val="00E76F34"/>
    <w:rsid w:val="00E77932"/>
    <w:rsid w:val="00E80C50"/>
    <w:rsid w:val="00E81EEE"/>
    <w:rsid w:val="00E82103"/>
    <w:rsid w:val="00E82805"/>
    <w:rsid w:val="00E828C6"/>
    <w:rsid w:val="00E83FE2"/>
    <w:rsid w:val="00E84556"/>
    <w:rsid w:val="00E84BCD"/>
    <w:rsid w:val="00E85F3E"/>
    <w:rsid w:val="00E866EF"/>
    <w:rsid w:val="00E877DF"/>
    <w:rsid w:val="00E87C36"/>
    <w:rsid w:val="00E907C9"/>
    <w:rsid w:val="00E9187F"/>
    <w:rsid w:val="00E91B7A"/>
    <w:rsid w:val="00E91CE2"/>
    <w:rsid w:val="00E92384"/>
    <w:rsid w:val="00E92583"/>
    <w:rsid w:val="00E93642"/>
    <w:rsid w:val="00E95277"/>
    <w:rsid w:val="00E953A9"/>
    <w:rsid w:val="00E956BB"/>
    <w:rsid w:val="00E95987"/>
    <w:rsid w:val="00E96248"/>
    <w:rsid w:val="00E96256"/>
    <w:rsid w:val="00E966EB"/>
    <w:rsid w:val="00EA0A92"/>
    <w:rsid w:val="00EA0FFC"/>
    <w:rsid w:val="00EA1AD1"/>
    <w:rsid w:val="00EA2C02"/>
    <w:rsid w:val="00EA49F9"/>
    <w:rsid w:val="00EA545D"/>
    <w:rsid w:val="00EA6549"/>
    <w:rsid w:val="00EA6818"/>
    <w:rsid w:val="00EA6C8D"/>
    <w:rsid w:val="00EA6F7F"/>
    <w:rsid w:val="00EA7164"/>
    <w:rsid w:val="00EA779E"/>
    <w:rsid w:val="00EB0617"/>
    <w:rsid w:val="00EB0DDC"/>
    <w:rsid w:val="00EB13E9"/>
    <w:rsid w:val="00EB175A"/>
    <w:rsid w:val="00EB1B70"/>
    <w:rsid w:val="00EB21BB"/>
    <w:rsid w:val="00EB247A"/>
    <w:rsid w:val="00EB2658"/>
    <w:rsid w:val="00EB49AC"/>
    <w:rsid w:val="00EB4CA5"/>
    <w:rsid w:val="00EB5EC1"/>
    <w:rsid w:val="00EB6B61"/>
    <w:rsid w:val="00EB7943"/>
    <w:rsid w:val="00EB7F46"/>
    <w:rsid w:val="00EC04C9"/>
    <w:rsid w:val="00EC0C6A"/>
    <w:rsid w:val="00EC13FE"/>
    <w:rsid w:val="00EC153A"/>
    <w:rsid w:val="00EC1A31"/>
    <w:rsid w:val="00EC23BD"/>
    <w:rsid w:val="00EC284F"/>
    <w:rsid w:val="00EC2862"/>
    <w:rsid w:val="00EC2A35"/>
    <w:rsid w:val="00EC2D8A"/>
    <w:rsid w:val="00EC33D7"/>
    <w:rsid w:val="00EC3AC8"/>
    <w:rsid w:val="00EC3DE1"/>
    <w:rsid w:val="00EC43DC"/>
    <w:rsid w:val="00EC46E1"/>
    <w:rsid w:val="00EC4BE9"/>
    <w:rsid w:val="00EC50B6"/>
    <w:rsid w:val="00EC6A99"/>
    <w:rsid w:val="00EC7C7B"/>
    <w:rsid w:val="00EC7D51"/>
    <w:rsid w:val="00ED1E1D"/>
    <w:rsid w:val="00ED2233"/>
    <w:rsid w:val="00ED318A"/>
    <w:rsid w:val="00ED3376"/>
    <w:rsid w:val="00ED38EC"/>
    <w:rsid w:val="00ED3DE6"/>
    <w:rsid w:val="00ED4604"/>
    <w:rsid w:val="00ED4796"/>
    <w:rsid w:val="00ED4E31"/>
    <w:rsid w:val="00ED4FB6"/>
    <w:rsid w:val="00ED5063"/>
    <w:rsid w:val="00ED5550"/>
    <w:rsid w:val="00ED7679"/>
    <w:rsid w:val="00ED7B7F"/>
    <w:rsid w:val="00ED7D61"/>
    <w:rsid w:val="00EE06BA"/>
    <w:rsid w:val="00EE0C0D"/>
    <w:rsid w:val="00EE3059"/>
    <w:rsid w:val="00EE35C3"/>
    <w:rsid w:val="00EE6114"/>
    <w:rsid w:val="00EE7918"/>
    <w:rsid w:val="00EE7B4C"/>
    <w:rsid w:val="00EE7D3B"/>
    <w:rsid w:val="00EF0375"/>
    <w:rsid w:val="00EF08F2"/>
    <w:rsid w:val="00EF0C30"/>
    <w:rsid w:val="00EF1032"/>
    <w:rsid w:val="00EF26B9"/>
    <w:rsid w:val="00EF2FEA"/>
    <w:rsid w:val="00EF42B9"/>
    <w:rsid w:val="00EF5B1C"/>
    <w:rsid w:val="00EF688E"/>
    <w:rsid w:val="00EF6B45"/>
    <w:rsid w:val="00EF6D92"/>
    <w:rsid w:val="00EF6EA6"/>
    <w:rsid w:val="00EF7894"/>
    <w:rsid w:val="00EF7944"/>
    <w:rsid w:val="00EF7BA9"/>
    <w:rsid w:val="00F0033D"/>
    <w:rsid w:val="00F00886"/>
    <w:rsid w:val="00F01055"/>
    <w:rsid w:val="00F015E7"/>
    <w:rsid w:val="00F018AB"/>
    <w:rsid w:val="00F01F1B"/>
    <w:rsid w:val="00F03A1D"/>
    <w:rsid w:val="00F04007"/>
    <w:rsid w:val="00F04322"/>
    <w:rsid w:val="00F053A4"/>
    <w:rsid w:val="00F06AF2"/>
    <w:rsid w:val="00F1252A"/>
    <w:rsid w:val="00F129C6"/>
    <w:rsid w:val="00F129FC"/>
    <w:rsid w:val="00F152BA"/>
    <w:rsid w:val="00F1579A"/>
    <w:rsid w:val="00F164B8"/>
    <w:rsid w:val="00F169BE"/>
    <w:rsid w:val="00F16C15"/>
    <w:rsid w:val="00F1751E"/>
    <w:rsid w:val="00F177CD"/>
    <w:rsid w:val="00F20591"/>
    <w:rsid w:val="00F23335"/>
    <w:rsid w:val="00F23432"/>
    <w:rsid w:val="00F234C6"/>
    <w:rsid w:val="00F23B8F"/>
    <w:rsid w:val="00F2441D"/>
    <w:rsid w:val="00F249E7"/>
    <w:rsid w:val="00F256E5"/>
    <w:rsid w:val="00F2584D"/>
    <w:rsid w:val="00F25AC3"/>
    <w:rsid w:val="00F2629F"/>
    <w:rsid w:val="00F27518"/>
    <w:rsid w:val="00F302EC"/>
    <w:rsid w:val="00F30379"/>
    <w:rsid w:val="00F30BC0"/>
    <w:rsid w:val="00F31114"/>
    <w:rsid w:val="00F33545"/>
    <w:rsid w:val="00F364ED"/>
    <w:rsid w:val="00F3677B"/>
    <w:rsid w:val="00F36E15"/>
    <w:rsid w:val="00F37F0D"/>
    <w:rsid w:val="00F405A1"/>
    <w:rsid w:val="00F4062D"/>
    <w:rsid w:val="00F427D1"/>
    <w:rsid w:val="00F43071"/>
    <w:rsid w:val="00F43176"/>
    <w:rsid w:val="00F437CD"/>
    <w:rsid w:val="00F43CE2"/>
    <w:rsid w:val="00F43CEC"/>
    <w:rsid w:val="00F43E34"/>
    <w:rsid w:val="00F44834"/>
    <w:rsid w:val="00F452A1"/>
    <w:rsid w:val="00F4532F"/>
    <w:rsid w:val="00F457AD"/>
    <w:rsid w:val="00F45F2E"/>
    <w:rsid w:val="00F466B9"/>
    <w:rsid w:val="00F46888"/>
    <w:rsid w:val="00F479F8"/>
    <w:rsid w:val="00F51B73"/>
    <w:rsid w:val="00F51FCC"/>
    <w:rsid w:val="00F54796"/>
    <w:rsid w:val="00F54CFE"/>
    <w:rsid w:val="00F55034"/>
    <w:rsid w:val="00F553A7"/>
    <w:rsid w:val="00F55876"/>
    <w:rsid w:val="00F55BB7"/>
    <w:rsid w:val="00F56B36"/>
    <w:rsid w:val="00F57248"/>
    <w:rsid w:val="00F57757"/>
    <w:rsid w:val="00F57E1D"/>
    <w:rsid w:val="00F607F2"/>
    <w:rsid w:val="00F613B0"/>
    <w:rsid w:val="00F6143A"/>
    <w:rsid w:val="00F6153C"/>
    <w:rsid w:val="00F62229"/>
    <w:rsid w:val="00F63ACC"/>
    <w:rsid w:val="00F6479C"/>
    <w:rsid w:val="00F65914"/>
    <w:rsid w:val="00F65E51"/>
    <w:rsid w:val="00F664D8"/>
    <w:rsid w:val="00F66535"/>
    <w:rsid w:val="00F66888"/>
    <w:rsid w:val="00F66EBC"/>
    <w:rsid w:val="00F67866"/>
    <w:rsid w:val="00F712A5"/>
    <w:rsid w:val="00F72B76"/>
    <w:rsid w:val="00F75A8E"/>
    <w:rsid w:val="00F75FCD"/>
    <w:rsid w:val="00F82071"/>
    <w:rsid w:val="00F8284C"/>
    <w:rsid w:val="00F82A9C"/>
    <w:rsid w:val="00F83655"/>
    <w:rsid w:val="00F83BA2"/>
    <w:rsid w:val="00F83D16"/>
    <w:rsid w:val="00F851D9"/>
    <w:rsid w:val="00F8615F"/>
    <w:rsid w:val="00F86548"/>
    <w:rsid w:val="00F86B5B"/>
    <w:rsid w:val="00F86BE1"/>
    <w:rsid w:val="00F870E8"/>
    <w:rsid w:val="00F92036"/>
    <w:rsid w:val="00F92EF6"/>
    <w:rsid w:val="00F9300C"/>
    <w:rsid w:val="00F939E9"/>
    <w:rsid w:val="00F94412"/>
    <w:rsid w:val="00F94F2B"/>
    <w:rsid w:val="00F94FD1"/>
    <w:rsid w:val="00F95359"/>
    <w:rsid w:val="00F95B62"/>
    <w:rsid w:val="00F96C3B"/>
    <w:rsid w:val="00F978D4"/>
    <w:rsid w:val="00F978F7"/>
    <w:rsid w:val="00F97EE5"/>
    <w:rsid w:val="00FA03F3"/>
    <w:rsid w:val="00FA1853"/>
    <w:rsid w:val="00FA189F"/>
    <w:rsid w:val="00FA218A"/>
    <w:rsid w:val="00FA26F0"/>
    <w:rsid w:val="00FA2FE6"/>
    <w:rsid w:val="00FA33D8"/>
    <w:rsid w:val="00FA3495"/>
    <w:rsid w:val="00FA3767"/>
    <w:rsid w:val="00FA3E2B"/>
    <w:rsid w:val="00FA49E0"/>
    <w:rsid w:val="00FA5F50"/>
    <w:rsid w:val="00FB03DF"/>
    <w:rsid w:val="00FB0AD5"/>
    <w:rsid w:val="00FB0DFC"/>
    <w:rsid w:val="00FB1144"/>
    <w:rsid w:val="00FB24B4"/>
    <w:rsid w:val="00FB2A67"/>
    <w:rsid w:val="00FB2C6F"/>
    <w:rsid w:val="00FB3C30"/>
    <w:rsid w:val="00FB3EA8"/>
    <w:rsid w:val="00FB3F3B"/>
    <w:rsid w:val="00FB4001"/>
    <w:rsid w:val="00FB4244"/>
    <w:rsid w:val="00FB647E"/>
    <w:rsid w:val="00FB69DF"/>
    <w:rsid w:val="00FB757E"/>
    <w:rsid w:val="00FB7BAA"/>
    <w:rsid w:val="00FB7EE5"/>
    <w:rsid w:val="00FC19EB"/>
    <w:rsid w:val="00FC1E17"/>
    <w:rsid w:val="00FC2026"/>
    <w:rsid w:val="00FC5AEA"/>
    <w:rsid w:val="00FC6A9D"/>
    <w:rsid w:val="00FC6AE2"/>
    <w:rsid w:val="00FC7699"/>
    <w:rsid w:val="00FC7A7B"/>
    <w:rsid w:val="00FC7D35"/>
    <w:rsid w:val="00FD14DA"/>
    <w:rsid w:val="00FD1F71"/>
    <w:rsid w:val="00FD2030"/>
    <w:rsid w:val="00FD285E"/>
    <w:rsid w:val="00FD31A0"/>
    <w:rsid w:val="00FD359F"/>
    <w:rsid w:val="00FD36C0"/>
    <w:rsid w:val="00FD3DEB"/>
    <w:rsid w:val="00FD4D31"/>
    <w:rsid w:val="00FD4D3A"/>
    <w:rsid w:val="00FD5508"/>
    <w:rsid w:val="00FD58BE"/>
    <w:rsid w:val="00FD757B"/>
    <w:rsid w:val="00FE2E52"/>
    <w:rsid w:val="00FE3AAA"/>
    <w:rsid w:val="00FE4247"/>
    <w:rsid w:val="00FE5324"/>
    <w:rsid w:val="00FE65B8"/>
    <w:rsid w:val="00FE6688"/>
    <w:rsid w:val="00FE79D9"/>
    <w:rsid w:val="00FF0137"/>
    <w:rsid w:val="00FF1F9C"/>
    <w:rsid w:val="00FF1FD7"/>
    <w:rsid w:val="00FF2138"/>
    <w:rsid w:val="00FF430A"/>
    <w:rsid w:val="00FF4395"/>
    <w:rsid w:val="00FF487B"/>
    <w:rsid w:val="00FF4DB8"/>
    <w:rsid w:val="00FF5A6E"/>
    <w:rsid w:val="00FF6120"/>
    <w:rsid w:val="00FF7819"/>
    <w:rsid w:val="00FF7997"/>
    <w:rsid w:val="0217566B"/>
    <w:rsid w:val="02998EBC"/>
    <w:rsid w:val="040F04E0"/>
    <w:rsid w:val="04806263"/>
    <w:rsid w:val="0529EA17"/>
    <w:rsid w:val="05AEC516"/>
    <w:rsid w:val="05EED215"/>
    <w:rsid w:val="07354AA6"/>
    <w:rsid w:val="08411801"/>
    <w:rsid w:val="08534823"/>
    <w:rsid w:val="099F3770"/>
    <w:rsid w:val="0A07E8DA"/>
    <w:rsid w:val="0B7FD888"/>
    <w:rsid w:val="0BDE8746"/>
    <w:rsid w:val="0CF78043"/>
    <w:rsid w:val="0DAC4351"/>
    <w:rsid w:val="0F31196A"/>
    <w:rsid w:val="0F58F367"/>
    <w:rsid w:val="0F7E281D"/>
    <w:rsid w:val="0FC8C293"/>
    <w:rsid w:val="101F72E5"/>
    <w:rsid w:val="107113A2"/>
    <w:rsid w:val="11246821"/>
    <w:rsid w:val="11B9B46C"/>
    <w:rsid w:val="1205D4BE"/>
    <w:rsid w:val="12C8E8D5"/>
    <w:rsid w:val="14A6BE4A"/>
    <w:rsid w:val="15C22BE0"/>
    <w:rsid w:val="1625A1EA"/>
    <w:rsid w:val="162C9C01"/>
    <w:rsid w:val="1659502F"/>
    <w:rsid w:val="1693B9B4"/>
    <w:rsid w:val="18CBCB01"/>
    <w:rsid w:val="1B0856BD"/>
    <w:rsid w:val="1BF06F57"/>
    <w:rsid w:val="1C6A4596"/>
    <w:rsid w:val="1E59C6EB"/>
    <w:rsid w:val="1F5A3EC0"/>
    <w:rsid w:val="1F8A4FA1"/>
    <w:rsid w:val="20DA7EEC"/>
    <w:rsid w:val="217D62A6"/>
    <w:rsid w:val="21DCBBB0"/>
    <w:rsid w:val="23F92FF8"/>
    <w:rsid w:val="24949CB6"/>
    <w:rsid w:val="24E633D7"/>
    <w:rsid w:val="250823E9"/>
    <w:rsid w:val="25C29F0C"/>
    <w:rsid w:val="26794FF9"/>
    <w:rsid w:val="26E3274A"/>
    <w:rsid w:val="281E18C1"/>
    <w:rsid w:val="28232F28"/>
    <w:rsid w:val="289A7041"/>
    <w:rsid w:val="28BB1939"/>
    <w:rsid w:val="2AE74232"/>
    <w:rsid w:val="2B21B287"/>
    <w:rsid w:val="2BDF3C7B"/>
    <w:rsid w:val="2C1B106E"/>
    <w:rsid w:val="2D5E6CAB"/>
    <w:rsid w:val="2F87C7FD"/>
    <w:rsid w:val="30864B6A"/>
    <w:rsid w:val="33E7973A"/>
    <w:rsid w:val="34AE36E6"/>
    <w:rsid w:val="3614BD04"/>
    <w:rsid w:val="373F5898"/>
    <w:rsid w:val="37A3E576"/>
    <w:rsid w:val="38AE8521"/>
    <w:rsid w:val="3A0C1CAB"/>
    <w:rsid w:val="3A5E0870"/>
    <w:rsid w:val="3AD3DA83"/>
    <w:rsid w:val="3B3697F6"/>
    <w:rsid w:val="3B50C912"/>
    <w:rsid w:val="3BBDFF50"/>
    <w:rsid w:val="3BF5435C"/>
    <w:rsid w:val="3CB0B70C"/>
    <w:rsid w:val="3CF8DA34"/>
    <w:rsid w:val="3F22EB65"/>
    <w:rsid w:val="3F41A0C5"/>
    <w:rsid w:val="3FC7C481"/>
    <w:rsid w:val="4026A319"/>
    <w:rsid w:val="41B9FE8C"/>
    <w:rsid w:val="41FFBF9F"/>
    <w:rsid w:val="4289473C"/>
    <w:rsid w:val="42D184BD"/>
    <w:rsid w:val="43481276"/>
    <w:rsid w:val="4404BDA0"/>
    <w:rsid w:val="443028E3"/>
    <w:rsid w:val="44A27D76"/>
    <w:rsid w:val="457A69E5"/>
    <w:rsid w:val="48F99D38"/>
    <w:rsid w:val="48FAF623"/>
    <w:rsid w:val="493C6A5A"/>
    <w:rsid w:val="4BAE3D95"/>
    <w:rsid w:val="4C834BF4"/>
    <w:rsid w:val="4C8BD6E8"/>
    <w:rsid w:val="4D14DCE8"/>
    <w:rsid w:val="4EBA7BF8"/>
    <w:rsid w:val="4FEA95A9"/>
    <w:rsid w:val="5077DF5E"/>
    <w:rsid w:val="5124C314"/>
    <w:rsid w:val="52FE3754"/>
    <w:rsid w:val="531AF944"/>
    <w:rsid w:val="531D81EA"/>
    <w:rsid w:val="53548439"/>
    <w:rsid w:val="5434485A"/>
    <w:rsid w:val="544FDC9D"/>
    <w:rsid w:val="5495947E"/>
    <w:rsid w:val="55711422"/>
    <w:rsid w:val="55947AC6"/>
    <w:rsid w:val="55FE7166"/>
    <w:rsid w:val="57143A91"/>
    <w:rsid w:val="572F6DE7"/>
    <w:rsid w:val="591649C2"/>
    <w:rsid w:val="5A555BEB"/>
    <w:rsid w:val="5C124FF7"/>
    <w:rsid w:val="5EBB6664"/>
    <w:rsid w:val="5FCA5261"/>
    <w:rsid w:val="602725AE"/>
    <w:rsid w:val="60831BF8"/>
    <w:rsid w:val="60E2BFD3"/>
    <w:rsid w:val="61ADE0C5"/>
    <w:rsid w:val="61DF070F"/>
    <w:rsid w:val="62C78ED6"/>
    <w:rsid w:val="62D1296E"/>
    <w:rsid w:val="630CB3FD"/>
    <w:rsid w:val="6343D1DB"/>
    <w:rsid w:val="63CAA541"/>
    <w:rsid w:val="647FFEF6"/>
    <w:rsid w:val="64EAC172"/>
    <w:rsid w:val="64EF0E40"/>
    <w:rsid w:val="652BFCC9"/>
    <w:rsid w:val="6556E7E2"/>
    <w:rsid w:val="656F0740"/>
    <w:rsid w:val="65DB297C"/>
    <w:rsid w:val="666D2589"/>
    <w:rsid w:val="67097B5C"/>
    <w:rsid w:val="688E3B20"/>
    <w:rsid w:val="68A1E2C8"/>
    <w:rsid w:val="6914E5F4"/>
    <w:rsid w:val="6A9A76A1"/>
    <w:rsid w:val="6B0127CE"/>
    <w:rsid w:val="6C45DE74"/>
    <w:rsid w:val="6F664C68"/>
    <w:rsid w:val="714CC708"/>
    <w:rsid w:val="727B422C"/>
    <w:rsid w:val="729158DE"/>
    <w:rsid w:val="748743EE"/>
    <w:rsid w:val="750F1316"/>
    <w:rsid w:val="75429886"/>
    <w:rsid w:val="77036A40"/>
    <w:rsid w:val="7716153B"/>
    <w:rsid w:val="77EF9A88"/>
    <w:rsid w:val="79E5F030"/>
    <w:rsid w:val="7A55CD4B"/>
    <w:rsid w:val="7A635C03"/>
    <w:rsid w:val="7B1F0078"/>
    <w:rsid w:val="7C22BE94"/>
    <w:rsid w:val="7E3532A3"/>
    <w:rsid w:val="7EC49982"/>
    <w:rsid w:val="7FBA1986"/>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5F675"/>
  <w15:docId w15:val="{F00E9DDC-286E-4A27-829A-9EE9F50BB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A29"/>
    <w:pPr>
      <w:spacing w:after="120" w:line="276" w:lineRule="auto"/>
    </w:pPr>
    <w:rPr>
      <w:rFonts w:cs="Segoe UI"/>
      <w:sz w:val="24"/>
      <w:lang w:eastAsia="en-US"/>
    </w:rPr>
  </w:style>
  <w:style w:type="paragraph" w:styleId="Heading1">
    <w:name w:val="heading 1"/>
    <w:basedOn w:val="Normal"/>
    <w:next w:val="Normal"/>
    <w:link w:val="Heading1Char"/>
    <w:uiPriority w:val="9"/>
    <w:qFormat/>
    <w:rsid w:val="00D20D59"/>
    <w:pPr>
      <w:pBdr>
        <w:bottom w:val="single" w:sz="4" w:space="1" w:color="auto"/>
      </w:pBdr>
      <w:spacing w:before="480" w:line="240" w:lineRule="auto"/>
      <w:outlineLvl w:val="0"/>
    </w:pPr>
    <w:rPr>
      <w:rFonts w:ascii="Raleway" w:eastAsia="Times New Roman" w:hAnsi="Raleway" w:cs="Times New Roman"/>
      <w:b/>
      <w:bCs/>
      <w:sz w:val="44"/>
      <w:szCs w:val="28"/>
    </w:rPr>
  </w:style>
  <w:style w:type="paragraph" w:styleId="Heading2">
    <w:name w:val="heading 2"/>
    <w:basedOn w:val="BodyText"/>
    <w:next w:val="Normal"/>
    <w:link w:val="Heading2Char"/>
    <w:autoRedefine/>
    <w:uiPriority w:val="9"/>
    <w:unhideWhenUsed/>
    <w:qFormat/>
    <w:rsid w:val="00AA0919"/>
    <w:pPr>
      <w:keepNext/>
      <w:spacing w:before="120" w:after="0"/>
      <w:outlineLvl w:val="1"/>
    </w:pPr>
    <w:rPr>
      <w:rFonts w:ascii="Raleway" w:eastAsia="Times New Roman" w:hAnsi="Raleway" w:cs="Times New Roman"/>
      <w:b/>
      <w:bCs/>
      <w:sz w:val="36"/>
      <w:szCs w:val="28"/>
      <w:lang w:val="en-CA"/>
    </w:rPr>
  </w:style>
  <w:style w:type="paragraph" w:styleId="Heading3">
    <w:name w:val="heading 3"/>
    <w:basedOn w:val="Normal"/>
    <w:next w:val="Normal"/>
    <w:link w:val="Heading3Char"/>
    <w:autoRedefine/>
    <w:uiPriority w:val="9"/>
    <w:unhideWhenUsed/>
    <w:qFormat/>
    <w:rsid w:val="00D20D59"/>
    <w:pPr>
      <w:spacing w:before="240" w:line="23" w:lineRule="atLeast"/>
      <w:outlineLvl w:val="2"/>
    </w:pPr>
    <w:rPr>
      <w:rFonts w:ascii="Raleway" w:eastAsia="Times New Roman" w:hAnsi="Raleway" w:cs="Arial"/>
      <w:b/>
      <w:bCs/>
      <w:sz w:val="30"/>
      <w:szCs w:val="28"/>
    </w:rPr>
  </w:style>
  <w:style w:type="paragraph" w:styleId="Heading4">
    <w:name w:val="heading 4"/>
    <w:basedOn w:val="Normal"/>
    <w:next w:val="Normal"/>
    <w:link w:val="Heading4Char"/>
    <w:uiPriority w:val="9"/>
    <w:unhideWhenUsed/>
    <w:qFormat/>
    <w:rsid w:val="008D60BD"/>
    <w:pPr>
      <w:spacing w:before="240" w:line="240" w:lineRule="auto"/>
      <w:outlineLvl w:val="3"/>
    </w:pPr>
    <w:rPr>
      <w:rFonts w:ascii="Raleway" w:eastAsia="Times New Roman" w:hAnsi="Raleway" w:cs="Times New Roman"/>
      <w:b/>
      <w:bCs/>
      <w:iCs/>
    </w:rPr>
  </w:style>
  <w:style w:type="paragraph" w:styleId="Heading5">
    <w:name w:val="heading 5"/>
    <w:basedOn w:val="Normal"/>
    <w:next w:val="Normal"/>
    <w:link w:val="Heading5Char"/>
    <w:uiPriority w:val="9"/>
    <w:unhideWhenUsed/>
    <w:qFormat/>
    <w:rsid w:val="00D20D59"/>
    <w:pPr>
      <w:spacing w:before="40" w:after="0"/>
      <w:outlineLvl w:val="4"/>
    </w:pPr>
    <w:rPr>
      <w:rFonts w:ascii="Raleway" w:eastAsia="Times New Roman" w:hAnsi="Raleway"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6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4B1"/>
  </w:style>
  <w:style w:type="paragraph" w:styleId="Footer">
    <w:name w:val="footer"/>
    <w:basedOn w:val="Normal"/>
    <w:link w:val="FooterChar"/>
    <w:uiPriority w:val="99"/>
    <w:unhideWhenUsed/>
    <w:rsid w:val="00BA651E"/>
    <w:pPr>
      <w:tabs>
        <w:tab w:val="center" w:pos="4513"/>
        <w:tab w:val="right" w:pos="9026"/>
      </w:tabs>
      <w:spacing w:after="0" w:line="240" w:lineRule="auto"/>
      <w:jc w:val="right"/>
    </w:pPr>
    <w:rPr>
      <w:rFonts w:cs="Arial"/>
    </w:rPr>
  </w:style>
  <w:style w:type="character" w:customStyle="1" w:styleId="FooterChar">
    <w:name w:val="Footer Char"/>
    <w:link w:val="Footer"/>
    <w:uiPriority w:val="99"/>
    <w:rsid w:val="00BA651E"/>
    <w:rPr>
      <w:rFonts w:ascii="Arial" w:hAnsi="Arial" w:cs="Arial"/>
      <w:sz w:val="26"/>
      <w:szCs w:val="20"/>
    </w:rPr>
  </w:style>
  <w:style w:type="paragraph" w:styleId="BalloonText">
    <w:name w:val="Balloon Text"/>
    <w:basedOn w:val="Normal"/>
    <w:link w:val="BalloonTextChar"/>
    <w:uiPriority w:val="99"/>
    <w:semiHidden/>
    <w:unhideWhenUsed/>
    <w:rsid w:val="00CE64B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E64B1"/>
    <w:rPr>
      <w:rFonts w:ascii="Tahoma" w:hAnsi="Tahoma" w:cs="Tahoma"/>
      <w:sz w:val="16"/>
      <w:szCs w:val="16"/>
    </w:rPr>
  </w:style>
  <w:style w:type="character" w:customStyle="1" w:styleId="Heading1Char">
    <w:name w:val="Heading 1 Char"/>
    <w:link w:val="Heading1"/>
    <w:uiPriority w:val="9"/>
    <w:rsid w:val="00D20D59"/>
    <w:rPr>
      <w:rFonts w:ascii="Raleway" w:eastAsia="Times New Roman" w:hAnsi="Raleway" w:cs="Times New Roman"/>
      <w:b/>
      <w:bCs/>
      <w:sz w:val="44"/>
      <w:szCs w:val="28"/>
      <w:lang w:val="en-CA"/>
    </w:rPr>
  </w:style>
  <w:style w:type="character" w:customStyle="1" w:styleId="Heading2Char">
    <w:name w:val="Heading 2 Char"/>
    <w:link w:val="Heading2"/>
    <w:uiPriority w:val="9"/>
    <w:rsid w:val="00AA0919"/>
    <w:rPr>
      <w:rFonts w:ascii="Raleway" w:eastAsia="Times New Roman" w:hAnsi="Raleway"/>
      <w:b/>
      <w:bCs/>
      <w:sz w:val="36"/>
      <w:szCs w:val="28"/>
      <w:lang w:eastAsia="en-US"/>
    </w:rPr>
  </w:style>
  <w:style w:type="character" w:customStyle="1" w:styleId="Heading3Char">
    <w:name w:val="Heading 3 Char"/>
    <w:link w:val="Heading3"/>
    <w:uiPriority w:val="9"/>
    <w:rsid w:val="00D20D59"/>
    <w:rPr>
      <w:rFonts w:ascii="Raleway" w:eastAsia="Times New Roman" w:hAnsi="Raleway" w:cs="Arial"/>
      <w:b/>
      <w:bCs/>
      <w:sz w:val="30"/>
      <w:szCs w:val="28"/>
      <w:lang w:val="en-CA"/>
    </w:rPr>
  </w:style>
  <w:style w:type="paragraph" w:styleId="NoSpacing">
    <w:name w:val="No Spacing"/>
    <w:basedOn w:val="Normal"/>
    <w:uiPriority w:val="1"/>
    <w:qFormat/>
    <w:rsid w:val="00E44845"/>
    <w:pPr>
      <w:spacing w:after="0" w:line="240" w:lineRule="auto"/>
    </w:pPr>
  </w:style>
  <w:style w:type="character" w:customStyle="1" w:styleId="Heading4Char">
    <w:name w:val="Heading 4 Char"/>
    <w:link w:val="Heading4"/>
    <w:uiPriority w:val="9"/>
    <w:rsid w:val="008D60BD"/>
    <w:rPr>
      <w:rFonts w:ascii="Raleway" w:eastAsia="Times New Roman" w:hAnsi="Raleway"/>
      <w:b/>
      <w:bCs/>
      <w:iCs/>
      <w:sz w:val="24"/>
      <w:lang w:eastAsia="en-US"/>
    </w:rPr>
  </w:style>
  <w:style w:type="table" w:styleId="TableGrid">
    <w:name w:val="Table Grid"/>
    <w:basedOn w:val="TableNormal"/>
    <w:uiPriority w:val="39"/>
    <w:rsid w:val="00B944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B944FB"/>
    <w:rPr>
      <w:color w:val="0563C1"/>
      <w:u w:val="single"/>
    </w:rPr>
  </w:style>
  <w:style w:type="character" w:styleId="FollowedHyperlink">
    <w:name w:val="FollowedHyperlink"/>
    <w:uiPriority w:val="99"/>
    <w:semiHidden/>
    <w:unhideWhenUsed/>
    <w:rsid w:val="005A53E7"/>
    <w:rPr>
      <w:color w:val="954F72"/>
      <w:u w:val="single"/>
    </w:rPr>
  </w:style>
  <w:style w:type="paragraph" w:styleId="ListParagraph">
    <w:name w:val="List Paragraph"/>
    <w:basedOn w:val="Normal"/>
    <w:uiPriority w:val="34"/>
    <w:qFormat/>
    <w:rsid w:val="008D65E7"/>
    <w:pPr>
      <w:numPr>
        <w:numId w:val="1"/>
      </w:numPr>
      <w:spacing w:before="120"/>
      <w:contextualSpacing/>
    </w:pPr>
  </w:style>
  <w:style w:type="paragraph" w:styleId="Title">
    <w:name w:val="Title"/>
    <w:basedOn w:val="Normal"/>
    <w:next w:val="Normal"/>
    <w:link w:val="TitleChar"/>
    <w:uiPriority w:val="10"/>
    <w:qFormat/>
    <w:rsid w:val="00D20D59"/>
    <w:pPr>
      <w:spacing w:before="360" w:after="240" w:line="240" w:lineRule="auto"/>
      <w:contextualSpacing/>
    </w:pPr>
    <w:rPr>
      <w:rFonts w:ascii="Raleway" w:eastAsia="Times New Roman" w:hAnsi="Raleway" w:cs="Times New Roman"/>
      <w:b/>
      <w:color w:val="002147"/>
      <w:spacing w:val="-10"/>
      <w:kern w:val="28"/>
      <w:sz w:val="56"/>
      <w:szCs w:val="56"/>
    </w:rPr>
  </w:style>
  <w:style w:type="character" w:customStyle="1" w:styleId="TitleChar">
    <w:name w:val="Title Char"/>
    <w:link w:val="Title"/>
    <w:uiPriority w:val="10"/>
    <w:rsid w:val="00D20D59"/>
    <w:rPr>
      <w:rFonts w:ascii="Raleway" w:eastAsia="Times New Roman" w:hAnsi="Raleway" w:cs="Times New Roman"/>
      <w:b/>
      <w:color w:val="002147"/>
      <w:spacing w:val="-10"/>
      <w:kern w:val="28"/>
      <w:sz w:val="56"/>
      <w:szCs w:val="56"/>
      <w:lang w:val="en-CA"/>
    </w:rPr>
  </w:style>
  <w:style w:type="paragraph" w:customStyle="1" w:styleId="HeaderTop">
    <w:name w:val="Header Top"/>
    <w:basedOn w:val="Normal"/>
    <w:link w:val="HeaderTopChar"/>
    <w:rsid w:val="000F0B12"/>
    <w:pPr>
      <w:spacing w:before="60" w:after="0" w:line="240" w:lineRule="auto"/>
    </w:pPr>
    <w:rPr>
      <w:rFonts w:cs="Times New Roman"/>
      <w:b/>
      <w:color w:val="002147"/>
      <w:sz w:val="32"/>
    </w:rPr>
  </w:style>
  <w:style w:type="paragraph" w:customStyle="1" w:styleId="HeaderBottom">
    <w:name w:val="Header Bottom"/>
    <w:basedOn w:val="Normal"/>
    <w:link w:val="HeaderBottomChar"/>
    <w:rsid w:val="000F0B12"/>
    <w:pPr>
      <w:spacing w:before="60" w:after="0" w:line="240" w:lineRule="auto"/>
    </w:pPr>
    <w:rPr>
      <w:rFonts w:cs="Times New Roman"/>
      <w:color w:val="002147"/>
    </w:rPr>
  </w:style>
  <w:style w:type="character" w:customStyle="1" w:styleId="HeaderTopChar">
    <w:name w:val="Header Top Char"/>
    <w:link w:val="HeaderTop"/>
    <w:rsid w:val="000F0B12"/>
    <w:rPr>
      <w:rFonts w:ascii="Arial" w:hAnsi="Arial" w:cs="Times New Roman"/>
      <w:b/>
      <w:color w:val="002147"/>
      <w:sz w:val="32"/>
    </w:rPr>
  </w:style>
  <w:style w:type="character" w:customStyle="1" w:styleId="HeaderBottomChar">
    <w:name w:val="Header Bottom Char"/>
    <w:link w:val="HeaderBottom"/>
    <w:rsid w:val="000F0B12"/>
    <w:rPr>
      <w:rFonts w:ascii="Arial" w:hAnsi="Arial" w:cs="Times New Roman"/>
      <w:color w:val="002147"/>
      <w:sz w:val="24"/>
    </w:rPr>
  </w:style>
  <w:style w:type="character" w:styleId="UnresolvedMention">
    <w:name w:val="Unresolved Mention"/>
    <w:uiPriority w:val="99"/>
    <w:semiHidden/>
    <w:unhideWhenUsed/>
    <w:rsid w:val="00375A27"/>
    <w:rPr>
      <w:color w:val="605E5C"/>
      <w:shd w:val="clear" w:color="auto" w:fill="E1DFDD"/>
    </w:rPr>
  </w:style>
  <w:style w:type="table" w:styleId="ListTable4-Accent1">
    <w:name w:val="List Table 4 Accent 1"/>
    <w:basedOn w:val="TableNormal"/>
    <w:uiPriority w:val="49"/>
    <w:rsid w:val="00D0450E"/>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shd w:val="clear" w:color="auto" w:fill="002060"/>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Heading5Char">
    <w:name w:val="Heading 5 Char"/>
    <w:link w:val="Heading5"/>
    <w:uiPriority w:val="9"/>
    <w:rsid w:val="00D20D59"/>
    <w:rPr>
      <w:rFonts w:ascii="Raleway" w:eastAsia="Times New Roman" w:hAnsi="Raleway" w:cs="Times New Roman"/>
      <w:b/>
      <w:sz w:val="24"/>
      <w:szCs w:val="20"/>
      <w:lang w:val="en-CA"/>
    </w:rPr>
  </w:style>
  <w:style w:type="paragraph" w:styleId="Quote">
    <w:name w:val="Quote"/>
    <w:basedOn w:val="Normal"/>
    <w:next w:val="Normal"/>
    <w:link w:val="QuoteChar"/>
    <w:uiPriority w:val="29"/>
    <w:qFormat/>
    <w:rsid w:val="000F0B12"/>
    <w:pPr>
      <w:spacing w:before="180" w:after="180"/>
      <w:ind w:left="567" w:right="567"/>
    </w:pPr>
    <w:rPr>
      <w:iCs/>
      <w:color w:val="404040"/>
    </w:rPr>
  </w:style>
  <w:style w:type="character" w:customStyle="1" w:styleId="QuoteChar">
    <w:name w:val="Quote Char"/>
    <w:link w:val="Quote"/>
    <w:uiPriority w:val="29"/>
    <w:rsid w:val="000F0B12"/>
    <w:rPr>
      <w:rFonts w:ascii="Arial" w:hAnsi="Arial"/>
      <w:iCs/>
      <w:color w:val="404040"/>
      <w:sz w:val="26"/>
    </w:rPr>
  </w:style>
  <w:style w:type="paragraph" w:styleId="IntenseQuote">
    <w:name w:val="Intense Quote"/>
    <w:basedOn w:val="Normal"/>
    <w:next w:val="Normal"/>
    <w:link w:val="IntenseQuoteChar"/>
    <w:uiPriority w:val="30"/>
    <w:qFormat/>
    <w:rsid w:val="000F0B12"/>
    <w:pPr>
      <w:pBdr>
        <w:top w:val="single" w:sz="6" w:space="10" w:color="002147"/>
        <w:bottom w:val="single" w:sz="6" w:space="10" w:color="002147"/>
      </w:pBdr>
      <w:spacing w:before="240" w:after="240"/>
      <w:ind w:left="567" w:right="567"/>
    </w:pPr>
    <w:rPr>
      <w:iCs/>
    </w:rPr>
  </w:style>
  <w:style w:type="character" w:customStyle="1" w:styleId="IntenseQuoteChar">
    <w:name w:val="Intense Quote Char"/>
    <w:link w:val="IntenseQuote"/>
    <w:uiPriority w:val="30"/>
    <w:rsid w:val="000F0B12"/>
    <w:rPr>
      <w:rFonts w:ascii="Arial" w:hAnsi="Arial"/>
      <w:iCs/>
      <w:sz w:val="26"/>
    </w:rPr>
  </w:style>
  <w:style w:type="paragraph" w:styleId="Subtitle">
    <w:name w:val="Subtitle"/>
    <w:basedOn w:val="Title"/>
    <w:next w:val="Normal"/>
    <w:link w:val="SubtitleChar"/>
    <w:uiPriority w:val="11"/>
    <w:qFormat/>
    <w:rsid w:val="00FE6688"/>
    <w:pPr>
      <w:numPr>
        <w:ilvl w:val="1"/>
      </w:numPr>
      <w:spacing w:after="160"/>
    </w:pPr>
    <w:rPr>
      <w:bCs/>
      <w:spacing w:val="0"/>
      <w:kern w:val="32"/>
      <w:sz w:val="32"/>
    </w:rPr>
  </w:style>
  <w:style w:type="character" w:customStyle="1" w:styleId="SubtitleChar">
    <w:name w:val="Subtitle Char"/>
    <w:link w:val="Subtitle"/>
    <w:uiPriority w:val="11"/>
    <w:rsid w:val="00FE6688"/>
    <w:rPr>
      <w:rFonts w:ascii="Arial" w:eastAsia="Times New Roman" w:hAnsi="Arial" w:cs="Times New Roman"/>
      <w:b/>
      <w:bCs/>
      <w:color w:val="002147"/>
      <w:kern w:val="32"/>
      <w:sz w:val="32"/>
      <w:szCs w:val="56"/>
    </w:rPr>
  </w:style>
  <w:style w:type="character" w:styleId="Emphasis">
    <w:name w:val="Emphasis"/>
    <w:uiPriority w:val="20"/>
    <w:qFormat/>
    <w:rsid w:val="000F0B12"/>
    <w:rPr>
      <w:b/>
      <w:i w:val="0"/>
      <w:iCs/>
    </w:rPr>
  </w:style>
  <w:style w:type="character" w:styleId="IntenseEmphasis">
    <w:name w:val="Intense Emphasis"/>
    <w:uiPriority w:val="21"/>
    <w:qFormat/>
    <w:rsid w:val="00BA651E"/>
    <w:rPr>
      <w:b/>
      <w:i w:val="0"/>
      <w:iCs/>
      <w:color w:val="002060"/>
    </w:rPr>
  </w:style>
  <w:style w:type="character" w:styleId="SubtleEmphasis">
    <w:name w:val="Subtle Emphasis"/>
    <w:uiPriority w:val="19"/>
    <w:qFormat/>
    <w:rsid w:val="00BA651E"/>
    <w:rPr>
      <w:i w:val="0"/>
      <w:iCs/>
      <w:color w:val="002060"/>
      <w:spacing w:val="6"/>
    </w:rPr>
  </w:style>
  <w:style w:type="paragraph" w:styleId="TOCHeading">
    <w:name w:val="TOC Heading"/>
    <w:basedOn w:val="Heading1"/>
    <w:next w:val="Normal"/>
    <w:uiPriority w:val="39"/>
    <w:unhideWhenUsed/>
    <w:qFormat/>
    <w:rsid w:val="000F0B12"/>
    <w:pPr>
      <w:spacing w:before="120" w:line="259" w:lineRule="auto"/>
      <w:outlineLvl w:val="9"/>
    </w:pPr>
    <w:rPr>
      <w:bCs w:val="0"/>
      <w:sz w:val="36"/>
      <w:szCs w:val="32"/>
      <w:lang w:val="en-US"/>
    </w:rPr>
  </w:style>
  <w:style w:type="paragraph" w:styleId="TOC1">
    <w:name w:val="toc 1"/>
    <w:basedOn w:val="Normal"/>
    <w:next w:val="Normal"/>
    <w:autoRedefine/>
    <w:uiPriority w:val="39"/>
    <w:unhideWhenUsed/>
    <w:rsid w:val="00AD37B8"/>
    <w:pPr>
      <w:spacing w:before="240"/>
    </w:pPr>
    <w:rPr>
      <w:rFonts w:asciiTheme="minorHAnsi" w:hAnsiTheme="minorHAnsi"/>
      <w:b/>
      <w:bCs/>
      <w:sz w:val="20"/>
    </w:rPr>
  </w:style>
  <w:style w:type="paragraph" w:styleId="TOC2">
    <w:name w:val="toc 2"/>
    <w:basedOn w:val="Normal"/>
    <w:next w:val="Normal"/>
    <w:autoRedefine/>
    <w:uiPriority w:val="39"/>
    <w:unhideWhenUsed/>
    <w:rsid w:val="00A30CF0"/>
    <w:pPr>
      <w:spacing w:before="120" w:after="0"/>
      <w:ind w:left="240"/>
    </w:pPr>
    <w:rPr>
      <w:rFonts w:asciiTheme="minorHAnsi" w:hAnsiTheme="minorHAnsi"/>
      <w:i/>
      <w:iCs/>
      <w:sz w:val="20"/>
    </w:rPr>
  </w:style>
  <w:style w:type="paragraph" w:styleId="TOC3">
    <w:name w:val="toc 3"/>
    <w:basedOn w:val="Normal"/>
    <w:next w:val="Normal"/>
    <w:autoRedefine/>
    <w:uiPriority w:val="39"/>
    <w:unhideWhenUsed/>
    <w:rsid w:val="00E81EEE"/>
    <w:pPr>
      <w:spacing w:after="0"/>
      <w:ind w:left="480"/>
    </w:pPr>
    <w:rPr>
      <w:rFonts w:asciiTheme="minorHAnsi" w:hAnsiTheme="minorHAnsi"/>
      <w:sz w:val="20"/>
    </w:rPr>
  </w:style>
  <w:style w:type="table" w:styleId="GridTable5Dark-Accent2">
    <w:name w:val="Grid Table 5 Dark Accent 2"/>
    <w:basedOn w:val="TableNormal"/>
    <w:uiPriority w:val="50"/>
    <w:rsid w:val="000F0B1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shd w:val="clear" w:color="auto" w:fill="C45911"/>
      </w:tcPr>
    </w:tblStylePr>
    <w:tblStylePr w:type="lastRow">
      <w:rPr>
        <w:b/>
        <w:bCs/>
        <w:color w:val="FFFFFF"/>
      </w:rPr>
      <w:tblPr/>
      <w:tcPr>
        <w:shd w:val="clear" w:color="auto" w:fill="C45911"/>
      </w:tcPr>
    </w:tblStylePr>
    <w:tblStylePr w:type="firstCol">
      <w:rPr>
        <w:b/>
        <w:bCs/>
        <w:color w:val="FFFFFF"/>
      </w:rPr>
      <w:tblPr/>
      <w:tcPr>
        <w:shd w:val="clear" w:color="auto" w:fill="C4591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4-Accent6">
    <w:name w:val="Grid Table 4 Accent 6"/>
    <w:basedOn w:val="TableNormal"/>
    <w:uiPriority w:val="49"/>
    <w:rsid w:val="000F0B1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shd w:val="clear" w:color="auto" w:fill="C45911"/>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4">
    <w:name w:val="Grid Table 4 Accent 4"/>
    <w:basedOn w:val="TableNormal"/>
    <w:uiPriority w:val="49"/>
    <w:rsid w:val="000F0B1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3">
    <w:name w:val="Grid Table 4 Accent 3"/>
    <w:basedOn w:val="TableNormal"/>
    <w:uiPriority w:val="49"/>
    <w:rsid w:val="000F0B1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shd w:val="clear" w:color="auto" w:fill="7B7B7B"/>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2">
    <w:name w:val="Grid Table 4 Accent 2"/>
    <w:basedOn w:val="TableNormal"/>
    <w:uiPriority w:val="49"/>
    <w:rsid w:val="000F0B1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shd w:val="clear" w:color="auto" w:fill="C4591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
    <w:name w:val="Grid Table 4"/>
    <w:basedOn w:val="TableNormal"/>
    <w:uiPriority w:val="49"/>
    <w:rsid w:val="002F1310"/>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57" w:type="dxa"/>
        <w:bottom w:w="57"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val="0"/>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5">
    <w:name w:val="Grid Table 4 Accent 5"/>
    <w:basedOn w:val="TableNormal"/>
    <w:uiPriority w:val="49"/>
    <w:rsid w:val="00A236E3"/>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shd w:val="clear" w:color="auto" w:fill="767676"/>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5Dark-Accent5">
    <w:name w:val="Grid Table 5 Dark Accent 5"/>
    <w:basedOn w:val="TableNormal"/>
    <w:uiPriority w:val="50"/>
    <w:rsid w:val="00A236E3"/>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shd w:val="clear" w:color="auto" w:fill="767676"/>
      </w:tcPr>
    </w:tblStylePr>
    <w:tblStylePr w:type="lastRow">
      <w:rPr>
        <w:b/>
        <w:bCs/>
        <w:color w:val="FFFFFF"/>
      </w:rPr>
      <w:tblPr/>
      <w:tcPr>
        <w:shd w:val="clear" w:color="auto" w:fill="767676"/>
      </w:tcPr>
    </w:tblStylePr>
    <w:tblStylePr w:type="firstCol">
      <w:rPr>
        <w:b/>
        <w:bCs/>
        <w:color w:val="FFFFFF"/>
      </w:rPr>
      <w:tblPr/>
      <w:tcPr>
        <w:shd w:val="clear" w:color="auto" w:fill="767676"/>
      </w:tcPr>
    </w:tblStylePr>
    <w:tblStylePr w:type="lastCol">
      <w:rPr>
        <w:b/>
        <w:bCs/>
        <w:color w:val="FFFFFF"/>
      </w:rPr>
      <w:tblPr/>
      <w:tcPr>
        <w:shd w:val="clear" w:color="auto" w:fill="767676"/>
      </w:tcPr>
    </w:tblStylePr>
    <w:tblStylePr w:type="band1Vert">
      <w:tblPr/>
      <w:tcPr>
        <w:shd w:val="clear" w:color="auto" w:fill="BDD6EE"/>
      </w:tcPr>
    </w:tblStylePr>
    <w:tblStylePr w:type="band1Horz">
      <w:tblPr/>
      <w:tcPr>
        <w:shd w:val="clear" w:color="auto" w:fill="BDD6EE"/>
      </w:tcPr>
    </w:tblStylePr>
  </w:style>
  <w:style w:type="table" w:styleId="GridTable5Dark-Accent4">
    <w:name w:val="Grid Table 5 Dark Accent 4"/>
    <w:basedOn w:val="TableNormal"/>
    <w:uiPriority w:val="50"/>
    <w:rsid w:val="000F0B1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3">
    <w:name w:val="Grid Table 5 Dark Accent 3"/>
    <w:basedOn w:val="TableNormal"/>
    <w:uiPriority w:val="50"/>
    <w:rsid w:val="000F0B1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shd w:val="clear" w:color="auto" w:fill="7B7B7B"/>
      </w:tcPr>
    </w:tblStylePr>
    <w:tblStylePr w:type="lastRow">
      <w:rPr>
        <w:b/>
        <w:bCs/>
        <w:color w:val="FFFFFF"/>
      </w:rPr>
      <w:tblPr/>
      <w:tcPr>
        <w:shd w:val="clear" w:color="auto" w:fill="7B7B7B"/>
      </w:tcPr>
    </w:tblStylePr>
    <w:tblStylePr w:type="firstCol">
      <w:rPr>
        <w:b/>
        <w:bCs/>
        <w:color w:val="FFFFFF"/>
      </w:rPr>
      <w:tblPr/>
      <w:tcPr>
        <w:shd w:val="clear" w:color="auto" w:fill="7B7B7B"/>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5Dark">
    <w:name w:val="Grid Table 5 Dark"/>
    <w:basedOn w:val="TableNormal"/>
    <w:uiPriority w:val="50"/>
    <w:rsid w:val="000F0B1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ListTable4-Accent2">
    <w:name w:val="List Table 4 Accent 2"/>
    <w:basedOn w:val="TableNormal"/>
    <w:uiPriority w:val="49"/>
    <w:rsid w:val="00A236E3"/>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4-Accent3">
    <w:name w:val="List Table 4 Accent 3"/>
    <w:basedOn w:val="TableNormal"/>
    <w:uiPriority w:val="49"/>
    <w:rsid w:val="00A236E3"/>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4-Accent4">
    <w:name w:val="List Table 4 Accent 4"/>
    <w:basedOn w:val="TableNormal"/>
    <w:uiPriority w:val="49"/>
    <w:rsid w:val="00A236E3"/>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4-Accent5">
    <w:name w:val="List Table 4 Accent 5"/>
    <w:basedOn w:val="TableNormal"/>
    <w:uiPriority w:val="49"/>
    <w:rsid w:val="00A236E3"/>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shd w:val="clear" w:color="auto" w:fill="767676"/>
      </w:tcPr>
    </w:tblStylePr>
    <w:tblStylePr w:type="lastRow">
      <w:rPr>
        <w:b/>
        <w:bCs/>
      </w:rPr>
      <w:tblPr/>
      <w:tcPr>
        <w:shd w:val="clear" w:color="auto" w:fill="767676"/>
      </w:tcPr>
    </w:tblStylePr>
    <w:tblStylePr w:type="firstCol">
      <w:rPr>
        <w:rFonts w:ascii="Arial" w:hAnsi="Arial"/>
        <w:b/>
        <w:bCs/>
        <w:color w:val="FFFFFF"/>
        <w:sz w:val="26"/>
      </w:rPr>
      <w:tblPr/>
      <w:tcPr>
        <w:shd w:val="clear" w:color="auto" w:fill="767676"/>
      </w:tc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4-Accent6">
    <w:name w:val="List Table 4 Accent 6"/>
    <w:basedOn w:val="TableNormal"/>
    <w:uiPriority w:val="49"/>
    <w:rsid w:val="00A236E3"/>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4">
    <w:name w:val="List Table 4"/>
    <w:basedOn w:val="TableNormal"/>
    <w:uiPriority w:val="49"/>
    <w:rsid w:val="00A236E3"/>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3-Accent6">
    <w:name w:val="List Table 3 Accent 6"/>
    <w:basedOn w:val="TableNormal"/>
    <w:uiPriority w:val="48"/>
    <w:rsid w:val="00A236E3"/>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ListTable3-Accent5">
    <w:name w:val="List Table 3 Accent 5"/>
    <w:basedOn w:val="TableNormal"/>
    <w:uiPriority w:val="48"/>
    <w:rsid w:val="00A236E3"/>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ListTable3-Accent4">
    <w:name w:val="List Table 3 Accent 4"/>
    <w:basedOn w:val="TableNormal"/>
    <w:uiPriority w:val="48"/>
    <w:rsid w:val="00A236E3"/>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styleId="ListTable3-Accent2">
    <w:name w:val="List Table 3 Accent 2"/>
    <w:basedOn w:val="TableNormal"/>
    <w:uiPriority w:val="48"/>
    <w:rsid w:val="00A236E3"/>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ListTable3-Accent3">
    <w:name w:val="List Table 3 Accent 3"/>
    <w:basedOn w:val="TableNormal"/>
    <w:uiPriority w:val="48"/>
    <w:rsid w:val="00A236E3"/>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styleId="ListTable5Dark-Accent2">
    <w:name w:val="List Table 5 Dark Accent 2"/>
    <w:basedOn w:val="TableNormal"/>
    <w:uiPriority w:val="50"/>
    <w:rsid w:val="00A236E3"/>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auto" w:fill="ED7D3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1Light-Accent1">
    <w:name w:val="Grid Table 1 Light Accent 1"/>
    <w:basedOn w:val="TableNormal"/>
    <w:uiPriority w:val="46"/>
    <w:rsid w:val="00A236E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A236E3"/>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Reference">
    <w:name w:val="Reference"/>
    <w:basedOn w:val="Normal"/>
    <w:uiPriority w:val="28"/>
    <w:qFormat/>
    <w:rsid w:val="00BA651E"/>
    <w:pPr>
      <w:ind w:left="720" w:hanging="720"/>
    </w:pPr>
  </w:style>
  <w:style w:type="character" w:styleId="SubtleReference">
    <w:name w:val="Subtle Reference"/>
    <w:aliases w:val="Notes"/>
    <w:uiPriority w:val="31"/>
    <w:qFormat/>
    <w:rsid w:val="00BA651E"/>
    <w:rPr>
      <w:caps w:val="0"/>
      <w:smallCaps w:val="0"/>
      <w:color w:val="5A5A5A"/>
      <w:spacing w:val="6"/>
    </w:rPr>
  </w:style>
  <w:style w:type="character" w:styleId="BookTitle">
    <w:name w:val="Book Title"/>
    <w:uiPriority w:val="33"/>
    <w:rsid w:val="00BA651E"/>
    <w:rPr>
      <w:b/>
      <w:bCs/>
      <w:i w:val="0"/>
      <w:iCs/>
      <w:spacing w:val="5"/>
    </w:rPr>
  </w:style>
  <w:style w:type="table" w:styleId="GridTable1Light">
    <w:name w:val="Grid Table 1 Light"/>
    <w:basedOn w:val="TableNormal"/>
    <w:uiPriority w:val="46"/>
    <w:rsid w:val="00621A75"/>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NormalTableContent">
    <w:name w:val="Normal Table Content"/>
    <w:basedOn w:val="Normal"/>
    <w:uiPriority w:val="29"/>
    <w:qFormat/>
    <w:rsid w:val="003B786F"/>
    <w:pPr>
      <w:spacing w:after="0" w:line="240" w:lineRule="auto"/>
    </w:pPr>
    <w:rPr>
      <w:bCs/>
      <w:szCs w:val="24"/>
    </w:rPr>
  </w:style>
  <w:style w:type="paragraph" w:styleId="ListContinue">
    <w:name w:val="List Continue"/>
    <w:basedOn w:val="ListParagraph"/>
    <w:uiPriority w:val="99"/>
    <w:unhideWhenUsed/>
    <w:rsid w:val="00C87881"/>
    <w:pPr>
      <w:numPr>
        <w:numId w:val="3"/>
      </w:numPr>
    </w:pPr>
  </w:style>
  <w:style w:type="paragraph" w:styleId="ListContinue2">
    <w:name w:val="List Continue 2"/>
    <w:basedOn w:val="ListParagraph"/>
    <w:uiPriority w:val="99"/>
    <w:unhideWhenUsed/>
    <w:rsid w:val="00C87881"/>
    <w:pPr>
      <w:numPr>
        <w:ilvl w:val="1"/>
        <w:numId w:val="3"/>
      </w:numPr>
    </w:pPr>
  </w:style>
  <w:style w:type="paragraph" w:styleId="ListNumber">
    <w:name w:val="List Number"/>
    <w:basedOn w:val="ListParagraph"/>
    <w:autoRedefine/>
    <w:uiPriority w:val="99"/>
    <w:unhideWhenUsed/>
    <w:rsid w:val="00923D03"/>
    <w:pPr>
      <w:numPr>
        <w:numId w:val="7"/>
      </w:numPr>
      <w:spacing w:before="0"/>
    </w:pPr>
  </w:style>
  <w:style w:type="character" w:styleId="LineNumber">
    <w:name w:val="line number"/>
    <w:basedOn w:val="DefaultParagraphFont"/>
    <w:uiPriority w:val="99"/>
    <w:unhideWhenUsed/>
    <w:rsid w:val="00FB757E"/>
  </w:style>
  <w:style w:type="character" w:styleId="CommentReference">
    <w:name w:val="annotation reference"/>
    <w:uiPriority w:val="99"/>
    <w:semiHidden/>
    <w:unhideWhenUsed/>
    <w:rsid w:val="003E3983"/>
    <w:rPr>
      <w:sz w:val="16"/>
      <w:szCs w:val="16"/>
    </w:rPr>
  </w:style>
  <w:style w:type="paragraph" w:styleId="CommentText">
    <w:name w:val="annotation text"/>
    <w:basedOn w:val="Normal"/>
    <w:link w:val="CommentTextChar"/>
    <w:uiPriority w:val="99"/>
    <w:unhideWhenUsed/>
    <w:rsid w:val="003E3983"/>
    <w:pPr>
      <w:spacing w:line="240" w:lineRule="auto"/>
    </w:pPr>
    <w:rPr>
      <w:sz w:val="20"/>
    </w:rPr>
  </w:style>
  <w:style w:type="character" w:customStyle="1" w:styleId="CommentTextChar">
    <w:name w:val="Comment Text Char"/>
    <w:link w:val="CommentText"/>
    <w:uiPriority w:val="99"/>
    <w:rsid w:val="003E398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E3983"/>
    <w:rPr>
      <w:b/>
      <w:bCs/>
    </w:rPr>
  </w:style>
  <w:style w:type="character" w:customStyle="1" w:styleId="CommentSubjectChar">
    <w:name w:val="Comment Subject Char"/>
    <w:link w:val="CommentSubject"/>
    <w:uiPriority w:val="99"/>
    <w:semiHidden/>
    <w:rsid w:val="003E3983"/>
    <w:rPr>
      <w:rFonts w:ascii="Arial" w:hAnsi="Arial"/>
      <w:b/>
      <w:bCs/>
      <w:sz w:val="20"/>
      <w:szCs w:val="20"/>
    </w:rPr>
  </w:style>
  <w:style w:type="paragraph" w:styleId="ListBullet">
    <w:name w:val="List Bullet"/>
    <w:basedOn w:val="BodyText"/>
    <w:autoRedefine/>
    <w:uiPriority w:val="99"/>
    <w:unhideWhenUsed/>
    <w:rsid w:val="007D2E0A"/>
    <w:pPr>
      <w:numPr>
        <w:numId w:val="8"/>
      </w:numPr>
      <w:spacing w:before="0"/>
    </w:pPr>
  </w:style>
  <w:style w:type="paragraph" w:styleId="ListBullet2">
    <w:name w:val="List Bullet 2"/>
    <w:basedOn w:val="ListParagraph"/>
    <w:autoRedefine/>
    <w:uiPriority w:val="99"/>
    <w:unhideWhenUsed/>
    <w:rsid w:val="00BB6B2A"/>
    <w:pPr>
      <w:numPr>
        <w:ilvl w:val="1"/>
        <w:numId w:val="2"/>
      </w:numPr>
      <w:spacing w:before="0" w:line="240" w:lineRule="auto"/>
      <w:ind w:left="1134" w:hanging="357"/>
      <w:contextualSpacing w:val="0"/>
    </w:pPr>
  </w:style>
  <w:style w:type="paragraph" w:styleId="ListNumber2">
    <w:name w:val="List Number 2"/>
    <w:basedOn w:val="ListParagraph"/>
    <w:autoRedefine/>
    <w:uiPriority w:val="99"/>
    <w:unhideWhenUsed/>
    <w:rsid w:val="00C81A4B"/>
    <w:pPr>
      <w:numPr>
        <w:ilvl w:val="1"/>
        <w:numId w:val="4"/>
      </w:numPr>
      <w:spacing w:before="0"/>
      <w:contextualSpacing w:val="0"/>
    </w:pPr>
  </w:style>
  <w:style w:type="table" w:styleId="GridTable4-Accent1">
    <w:name w:val="Grid Table 4 Accent 1"/>
    <w:basedOn w:val="TableNormal"/>
    <w:uiPriority w:val="49"/>
    <w:rsid w:val="005B3D9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BodyText">
    <w:name w:val="Body Text"/>
    <w:basedOn w:val="Normal"/>
    <w:link w:val="BodyTextChar"/>
    <w:autoRedefine/>
    <w:uiPriority w:val="99"/>
    <w:unhideWhenUsed/>
    <w:rsid w:val="008B6040"/>
    <w:pPr>
      <w:spacing w:before="240"/>
    </w:pPr>
    <w:rPr>
      <w:lang w:val="fr-CA"/>
    </w:rPr>
  </w:style>
  <w:style w:type="character" w:customStyle="1" w:styleId="BodyTextChar">
    <w:name w:val="Body Text Char"/>
    <w:link w:val="BodyText"/>
    <w:uiPriority w:val="99"/>
    <w:rsid w:val="008B6040"/>
    <w:rPr>
      <w:rFonts w:ascii="Arial" w:hAnsi="Arial" w:cs="Segoe UI"/>
      <w:sz w:val="24"/>
      <w:szCs w:val="20"/>
      <w:lang w:val="fr-CA"/>
    </w:rPr>
  </w:style>
  <w:style w:type="paragraph" w:styleId="ListBullet3">
    <w:name w:val="List Bullet 3"/>
    <w:basedOn w:val="Normal"/>
    <w:autoRedefine/>
    <w:uiPriority w:val="99"/>
    <w:unhideWhenUsed/>
    <w:rsid w:val="007D2E0A"/>
    <w:pPr>
      <w:numPr>
        <w:numId w:val="5"/>
      </w:numPr>
      <w:ind w:left="1560"/>
      <w:contextualSpacing/>
    </w:pPr>
  </w:style>
  <w:style w:type="paragraph" w:styleId="ListNumber3">
    <w:name w:val="List Number 3"/>
    <w:basedOn w:val="Normal"/>
    <w:uiPriority w:val="99"/>
    <w:unhideWhenUsed/>
    <w:rsid w:val="00230D86"/>
    <w:pPr>
      <w:numPr>
        <w:numId w:val="6"/>
      </w:numPr>
      <w:tabs>
        <w:tab w:val="clear" w:pos="1080"/>
      </w:tabs>
      <w:contextualSpacing/>
    </w:pPr>
  </w:style>
  <w:style w:type="paragraph" w:customStyle="1" w:styleId="TableHeaderRow">
    <w:name w:val="Table Header Row"/>
    <w:basedOn w:val="Normal"/>
    <w:link w:val="TableHeaderRowChar"/>
    <w:qFormat/>
    <w:rsid w:val="00C11F02"/>
    <w:pPr>
      <w:spacing w:before="120"/>
    </w:pPr>
    <w:rPr>
      <w:rFonts w:ascii="Calibri" w:eastAsia="Times New Roman" w:hAnsi="Calibri" w:cs="Open Sans"/>
      <w:b/>
      <w:color w:val="000000"/>
      <w:szCs w:val="24"/>
    </w:rPr>
  </w:style>
  <w:style w:type="character" w:customStyle="1" w:styleId="TableHeaderRowChar">
    <w:name w:val="Table Header Row Char"/>
    <w:link w:val="TableHeaderRow"/>
    <w:rsid w:val="00C11F02"/>
    <w:rPr>
      <w:rFonts w:ascii="Calibri" w:eastAsia="Times New Roman" w:hAnsi="Calibri" w:cs="Open Sans"/>
      <w:b/>
      <w:color w:val="000000"/>
      <w:sz w:val="24"/>
      <w:szCs w:val="24"/>
      <w:lang w:val="en-CA"/>
    </w:rPr>
  </w:style>
  <w:style w:type="paragraph" w:customStyle="1" w:styleId="Footnote">
    <w:name w:val="Footnote"/>
    <w:basedOn w:val="Normal"/>
    <w:link w:val="FootnoteChar"/>
    <w:qFormat/>
    <w:rsid w:val="00C11F02"/>
    <w:pPr>
      <w:shd w:val="clear" w:color="auto" w:fill="FFFFFF"/>
      <w:spacing w:before="120" w:after="240"/>
    </w:pPr>
    <w:rPr>
      <w:rFonts w:ascii="Calibri" w:eastAsia="Times New Roman" w:hAnsi="Calibri" w:cs="Open Sans"/>
      <w:i/>
      <w:color w:val="000000"/>
      <w:sz w:val="16"/>
      <w:szCs w:val="16"/>
    </w:rPr>
  </w:style>
  <w:style w:type="character" w:customStyle="1" w:styleId="FootnoteChar">
    <w:name w:val="Footnote Char"/>
    <w:link w:val="Footnote"/>
    <w:rsid w:val="00C11F02"/>
    <w:rPr>
      <w:rFonts w:ascii="Calibri" w:eastAsia="Times New Roman" w:hAnsi="Calibri" w:cs="Open Sans"/>
      <w:i/>
      <w:color w:val="000000"/>
      <w:sz w:val="16"/>
      <w:szCs w:val="16"/>
      <w:shd w:val="clear" w:color="auto" w:fill="FFFFFF"/>
      <w:lang w:val="en-CA"/>
    </w:rPr>
  </w:style>
  <w:style w:type="paragraph" w:customStyle="1" w:styleId="PhotoCaptions">
    <w:name w:val="Photo Captions"/>
    <w:basedOn w:val="Normal"/>
    <w:qFormat/>
    <w:rsid w:val="00C11F02"/>
    <w:pPr>
      <w:shd w:val="clear" w:color="auto" w:fill="FFFFFF"/>
      <w:spacing w:before="120" w:after="0"/>
    </w:pPr>
    <w:rPr>
      <w:rFonts w:ascii="Calibri" w:eastAsia="Times New Roman" w:hAnsi="Calibri" w:cs="Open Sans"/>
      <w:i/>
      <w:color w:val="000000"/>
      <w:szCs w:val="24"/>
    </w:rPr>
  </w:style>
  <w:style w:type="paragraph" w:customStyle="1" w:styleId="Default">
    <w:name w:val="Default"/>
    <w:rsid w:val="008E732E"/>
    <w:pPr>
      <w:autoSpaceDE w:val="0"/>
      <w:autoSpaceDN w:val="0"/>
      <w:adjustRightInd w:val="0"/>
    </w:pPr>
    <w:rPr>
      <w:rFonts w:ascii="Raleway" w:hAnsi="Raleway" w:cs="Raleway"/>
      <w:color w:val="000000"/>
      <w:sz w:val="24"/>
      <w:szCs w:val="24"/>
      <w:lang w:eastAsia="en-US"/>
    </w:rPr>
  </w:style>
  <w:style w:type="paragraph" w:styleId="Caption">
    <w:name w:val="caption"/>
    <w:basedOn w:val="Normal"/>
    <w:next w:val="Normal"/>
    <w:uiPriority w:val="35"/>
    <w:unhideWhenUsed/>
    <w:rsid w:val="008E732E"/>
    <w:pPr>
      <w:widowControl w:val="0"/>
      <w:spacing w:after="200" w:line="240" w:lineRule="auto"/>
    </w:pPr>
    <w:rPr>
      <w:rFonts w:cs="Times New Roman (Body CS)"/>
      <w:i/>
      <w:iCs/>
      <w:color w:val="44546A"/>
      <w:sz w:val="18"/>
      <w:szCs w:val="18"/>
    </w:rPr>
  </w:style>
  <w:style w:type="character" w:styleId="PageNumber">
    <w:name w:val="page number"/>
    <w:basedOn w:val="DefaultParagraphFont"/>
    <w:uiPriority w:val="99"/>
    <w:semiHidden/>
    <w:unhideWhenUsed/>
    <w:rsid w:val="008E732E"/>
  </w:style>
  <w:style w:type="character" w:customStyle="1" w:styleId="cf01">
    <w:name w:val="cf01"/>
    <w:rsid w:val="003E6C78"/>
    <w:rPr>
      <w:rFonts w:ascii="Segoe UI" w:hAnsi="Segoe UI" w:cs="Segoe UI" w:hint="default"/>
      <w:sz w:val="18"/>
      <w:szCs w:val="18"/>
    </w:rPr>
  </w:style>
  <w:style w:type="paragraph" w:styleId="BlockText">
    <w:name w:val="Block Text"/>
    <w:basedOn w:val="Normal"/>
    <w:uiPriority w:val="99"/>
    <w:unhideWhenUsed/>
    <w:rsid w:val="007A2C8F"/>
    <w:pPr>
      <w:pBdr>
        <w:top w:val="single" w:sz="2" w:space="10" w:color="4472C4"/>
        <w:left w:val="single" w:sz="2" w:space="10" w:color="4472C4"/>
        <w:bottom w:val="single" w:sz="2" w:space="10" w:color="4472C4"/>
        <w:right w:val="single" w:sz="2" w:space="10" w:color="4472C4"/>
      </w:pBdr>
      <w:ind w:left="1152" w:right="1152"/>
    </w:pPr>
    <w:rPr>
      <w:rFonts w:eastAsia="Times New Roman" w:cs="Times New Roman"/>
      <w:i/>
      <w:iCs/>
      <w:color w:val="4472C4"/>
    </w:rPr>
  </w:style>
  <w:style w:type="paragraph" w:styleId="Revision">
    <w:name w:val="Revision"/>
    <w:hidden/>
    <w:uiPriority w:val="99"/>
    <w:semiHidden/>
    <w:rsid w:val="007C0E41"/>
    <w:rPr>
      <w:rFonts w:cs="Segoe UI"/>
      <w:sz w:val="24"/>
      <w:lang w:eastAsia="en-US"/>
    </w:rPr>
  </w:style>
  <w:style w:type="paragraph" w:styleId="NormalWeb">
    <w:name w:val="Normal (Web)"/>
    <w:basedOn w:val="Normal"/>
    <w:uiPriority w:val="99"/>
    <w:semiHidden/>
    <w:unhideWhenUsed/>
    <w:rsid w:val="00616EAC"/>
    <w:rPr>
      <w:rFonts w:ascii="Times New Roman" w:hAnsi="Times New Roman" w:cs="Times New Roman"/>
      <w:szCs w:val="24"/>
    </w:rPr>
  </w:style>
  <w:style w:type="paragraph" w:styleId="TOC4">
    <w:name w:val="toc 4"/>
    <w:basedOn w:val="Normal"/>
    <w:next w:val="Normal"/>
    <w:autoRedefine/>
    <w:uiPriority w:val="39"/>
    <w:unhideWhenUsed/>
    <w:rsid w:val="00935CCB"/>
    <w:pPr>
      <w:spacing w:after="0"/>
      <w:ind w:left="720"/>
    </w:pPr>
    <w:rPr>
      <w:rFonts w:asciiTheme="minorHAnsi" w:hAnsiTheme="minorHAnsi"/>
      <w:sz w:val="20"/>
    </w:rPr>
  </w:style>
  <w:style w:type="paragraph" w:styleId="TOC5">
    <w:name w:val="toc 5"/>
    <w:basedOn w:val="Normal"/>
    <w:next w:val="Normal"/>
    <w:autoRedefine/>
    <w:uiPriority w:val="39"/>
    <w:unhideWhenUsed/>
    <w:rsid w:val="00D26672"/>
    <w:pPr>
      <w:spacing w:after="0"/>
      <w:ind w:left="960"/>
    </w:pPr>
    <w:rPr>
      <w:rFonts w:asciiTheme="minorHAnsi" w:hAnsiTheme="minorHAnsi"/>
      <w:sz w:val="20"/>
    </w:rPr>
  </w:style>
  <w:style w:type="paragraph" w:styleId="TOC6">
    <w:name w:val="toc 6"/>
    <w:basedOn w:val="Normal"/>
    <w:next w:val="Normal"/>
    <w:autoRedefine/>
    <w:uiPriority w:val="39"/>
    <w:unhideWhenUsed/>
    <w:rsid w:val="00D26672"/>
    <w:pPr>
      <w:spacing w:after="0"/>
      <w:ind w:left="1200"/>
    </w:pPr>
    <w:rPr>
      <w:rFonts w:asciiTheme="minorHAnsi" w:hAnsiTheme="minorHAnsi"/>
      <w:sz w:val="20"/>
    </w:rPr>
  </w:style>
  <w:style w:type="paragraph" w:styleId="TOC7">
    <w:name w:val="toc 7"/>
    <w:basedOn w:val="Normal"/>
    <w:next w:val="Normal"/>
    <w:autoRedefine/>
    <w:uiPriority w:val="39"/>
    <w:unhideWhenUsed/>
    <w:rsid w:val="00D26672"/>
    <w:pPr>
      <w:spacing w:after="0"/>
      <w:ind w:left="1440"/>
    </w:pPr>
    <w:rPr>
      <w:rFonts w:asciiTheme="minorHAnsi" w:hAnsiTheme="minorHAnsi"/>
      <w:sz w:val="20"/>
    </w:rPr>
  </w:style>
  <w:style w:type="paragraph" w:styleId="TOC8">
    <w:name w:val="toc 8"/>
    <w:basedOn w:val="Normal"/>
    <w:next w:val="Normal"/>
    <w:autoRedefine/>
    <w:uiPriority w:val="39"/>
    <w:unhideWhenUsed/>
    <w:rsid w:val="00D26672"/>
    <w:pPr>
      <w:spacing w:after="0"/>
      <w:ind w:left="1680"/>
    </w:pPr>
    <w:rPr>
      <w:rFonts w:asciiTheme="minorHAnsi" w:hAnsiTheme="minorHAnsi"/>
      <w:sz w:val="20"/>
    </w:rPr>
  </w:style>
  <w:style w:type="paragraph" w:styleId="TOC9">
    <w:name w:val="toc 9"/>
    <w:basedOn w:val="Normal"/>
    <w:next w:val="Normal"/>
    <w:autoRedefine/>
    <w:uiPriority w:val="39"/>
    <w:unhideWhenUsed/>
    <w:rsid w:val="00D26672"/>
    <w:pPr>
      <w:spacing w:after="0"/>
      <w:ind w:left="1920"/>
    </w:pPr>
    <w:rPr>
      <w:rFonts w:asciiTheme="minorHAnsi" w:hAnsiTheme="minorHAnsi"/>
      <w:sz w:val="20"/>
    </w:rPr>
  </w:style>
  <w:style w:type="character" w:styleId="Mention">
    <w:name w:val="Mention"/>
    <w:basedOn w:val="DefaultParagraphFont"/>
    <w:uiPriority w:val="99"/>
    <w:unhideWhenUsed/>
    <w:rsid w:val="00FA5F5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6271">
      <w:bodyDiv w:val="1"/>
      <w:marLeft w:val="0"/>
      <w:marRight w:val="0"/>
      <w:marTop w:val="0"/>
      <w:marBottom w:val="0"/>
      <w:divBdr>
        <w:top w:val="none" w:sz="0" w:space="0" w:color="auto"/>
        <w:left w:val="none" w:sz="0" w:space="0" w:color="auto"/>
        <w:bottom w:val="none" w:sz="0" w:space="0" w:color="auto"/>
        <w:right w:val="none" w:sz="0" w:space="0" w:color="auto"/>
      </w:divBdr>
    </w:div>
    <w:div w:id="8456355">
      <w:bodyDiv w:val="1"/>
      <w:marLeft w:val="0"/>
      <w:marRight w:val="0"/>
      <w:marTop w:val="0"/>
      <w:marBottom w:val="0"/>
      <w:divBdr>
        <w:top w:val="none" w:sz="0" w:space="0" w:color="auto"/>
        <w:left w:val="none" w:sz="0" w:space="0" w:color="auto"/>
        <w:bottom w:val="none" w:sz="0" w:space="0" w:color="auto"/>
        <w:right w:val="none" w:sz="0" w:space="0" w:color="auto"/>
      </w:divBdr>
    </w:div>
    <w:div w:id="11952639">
      <w:bodyDiv w:val="1"/>
      <w:marLeft w:val="0"/>
      <w:marRight w:val="0"/>
      <w:marTop w:val="0"/>
      <w:marBottom w:val="0"/>
      <w:divBdr>
        <w:top w:val="none" w:sz="0" w:space="0" w:color="auto"/>
        <w:left w:val="none" w:sz="0" w:space="0" w:color="auto"/>
        <w:bottom w:val="none" w:sz="0" w:space="0" w:color="auto"/>
        <w:right w:val="none" w:sz="0" w:space="0" w:color="auto"/>
      </w:divBdr>
    </w:div>
    <w:div w:id="12462669">
      <w:bodyDiv w:val="1"/>
      <w:marLeft w:val="0"/>
      <w:marRight w:val="0"/>
      <w:marTop w:val="0"/>
      <w:marBottom w:val="0"/>
      <w:divBdr>
        <w:top w:val="none" w:sz="0" w:space="0" w:color="auto"/>
        <w:left w:val="none" w:sz="0" w:space="0" w:color="auto"/>
        <w:bottom w:val="none" w:sz="0" w:space="0" w:color="auto"/>
        <w:right w:val="none" w:sz="0" w:space="0" w:color="auto"/>
      </w:divBdr>
    </w:div>
    <w:div w:id="28335746">
      <w:bodyDiv w:val="1"/>
      <w:marLeft w:val="0"/>
      <w:marRight w:val="0"/>
      <w:marTop w:val="0"/>
      <w:marBottom w:val="0"/>
      <w:divBdr>
        <w:top w:val="none" w:sz="0" w:space="0" w:color="auto"/>
        <w:left w:val="none" w:sz="0" w:space="0" w:color="auto"/>
        <w:bottom w:val="none" w:sz="0" w:space="0" w:color="auto"/>
        <w:right w:val="none" w:sz="0" w:space="0" w:color="auto"/>
      </w:divBdr>
    </w:div>
    <w:div w:id="30888825">
      <w:bodyDiv w:val="1"/>
      <w:marLeft w:val="0"/>
      <w:marRight w:val="0"/>
      <w:marTop w:val="0"/>
      <w:marBottom w:val="0"/>
      <w:divBdr>
        <w:top w:val="none" w:sz="0" w:space="0" w:color="auto"/>
        <w:left w:val="none" w:sz="0" w:space="0" w:color="auto"/>
        <w:bottom w:val="none" w:sz="0" w:space="0" w:color="auto"/>
        <w:right w:val="none" w:sz="0" w:space="0" w:color="auto"/>
      </w:divBdr>
    </w:div>
    <w:div w:id="44179123">
      <w:bodyDiv w:val="1"/>
      <w:marLeft w:val="0"/>
      <w:marRight w:val="0"/>
      <w:marTop w:val="0"/>
      <w:marBottom w:val="0"/>
      <w:divBdr>
        <w:top w:val="none" w:sz="0" w:space="0" w:color="auto"/>
        <w:left w:val="none" w:sz="0" w:space="0" w:color="auto"/>
        <w:bottom w:val="none" w:sz="0" w:space="0" w:color="auto"/>
        <w:right w:val="none" w:sz="0" w:space="0" w:color="auto"/>
      </w:divBdr>
    </w:div>
    <w:div w:id="45569787">
      <w:bodyDiv w:val="1"/>
      <w:marLeft w:val="0"/>
      <w:marRight w:val="0"/>
      <w:marTop w:val="0"/>
      <w:marBottom w:val="0"/>
      <w:divBdr>
        <w:top w:val="none" w:sz="0" w:space="0" w:color="auto"/>
        <w:left w:val="none" w:sz="0" w:space="0" w:color="auto"/>
        <w:bottom w:val="none" w:sz="0" w:space="0" w:color="auto"/>
        <w:right w:val="none" w:sz="0" w:space="0" w:color="auto"/>
      </w:divBdr>
      <w:divsChild>
        <w:div w:id="102384694">
          <w:marLeft w:val="0"/>
          <w:marRight w:val="0"/>
          <w:marTop w:val="0"/>
          <w:marBottom w:val="0"/>
          <w:divBdr>
            <w:top w:val="none" w:sz="0" w:space="0" w:color="auto"/>
            <w:left w:val="none" w:sz="0" w:space="0" w:color="auto"/>
            <w:bottom w:val="none" w:sz="0" w:space="0" w:color="auto"/>
            <w:right w:val="none" w:sz="0" w:space="0" w:color="auto"/>
          </w:divBdr>
        </w:div>
        <w:div w:id="201288902">
          <w:marLeft w:val="0"/>
          <w:marRight w:val="0"/>
          <w:marTop w:val="0"/>
          <w:marBottom w:val="0"/>
          <w:divBdr>
            <w:top w:val="none" w:sz="0" w:space="0" w:color="auto"/>
            <w:left w:val="none" w:sz="0" w:space="0" w:color="auto"/>
            <w:bottom w:val="none" w:sz="0" w:space="0" w:color="auto"/>
            <w:right w:val="none" w:sz="0" w:space="0" w:color="auto"/>
          </w:divBdr>
        </w:div>
        <w:div w:id="1845507699">
          <w:marLeft w:val="0"/>
          <w:marRight w:val="0"/>
          <w:marTop w:val="0"/>
          <w:marBottom w:val="0"/>
          <w:divBdr>
            <w:top w:val="none" w:sz="0" w:space="0" w:color="auto"/>
            <w:left w:val="none" w:sz="0" w:space="0" w:color="auto"/>
            <w:bottom w:val="none" w:sz="0" w:space="0" w:color="auto"/>
            <w:right w:val="none" w:sz="0" w:space="0" w:color="auto"/>
          </w:divBdr>
        </w:div>
        <w:div w:id="1919708351">
          <w:marLeft w:val="0"/>
          <w:marRight w:val="0"/>
          <w:marTop w:val="0"/>
          <w:marBottom w:val="0"/>
          <w:divBdr>
            <w:top w:val="none" w:sz="0" w:space="0" w:color="auto"/>
            <w:left w:val="none" w:sz="0" w:space="0" w:color="auto"/>
            <w:bottom w:val="none" w:sz="0" w:space="0" w:color="auto"/>
            <w:right w:val="none" w:sz="0" w:space="0" w:color="auto"/>
          </w:divBdr>
        </w:div>
      </w:divsChild>
    </w:div>
    <w:div w:id="87317431">
      <w:bodyDiv w:val="1"/>
      <w:marLeft w:val="0"/>
      <w:marRight w:val="0"/>
      <w:marTop w:val="0"/>
      <w:marBottom w:val="0"/>
      <w:divBdr>
        <w:top w:val="none" w:sz="0" w:space="0" w:color="auto"/>
        <w:left w:val="none" w:sz="0" w:space="0" w:color="auto"/>
        <w:bottom w:val="none" w:sz="0" w:space="0" w:color="auto"/>
        <w:right w:val="none" w:sz="0" w:space="0" w:color="auto"/>
      </w:divBdr>
    </w:div>
    <w:div w:id="136268655">
      <w:bodyDiv w:val="1"/>
      <w:marLeft w:val="0"/>
      <w:marRight w:val="0"/>
      <w:marTop w:val="0"/>
      <w:marBottom w:val="0"/>
      <w:divBdr>
        <w:top w:val="none" w:sz="0" w:space="0" w:color="auto"/>
        <w:left w:val="none" w:sz="0" w:space="0" w:color="auto"/>
        <w:bottom w:val="none" w:sz="0" w:space="0" w:color="auto"/>
        <w:right w:val="none" w:sz="0" w:space="0" w:color="auto"/>
      </w:divBdr>
    </w:div>
    <w:div w:id="139884808">
      <w:bodyDiv w:val="1"/>
      <w:marLeft w:val="0"/>
      <w:marRight w:val="0"/>
      <w:marTop w:val="0"/>
      <w:marBottom w:val="0"/>
      <w:divBdr>
        <w:top w:val="none" w:sz="0" w:space="0" w:color="auto"/>
        <w:left w:val="none" w:sz="0" w:space="0" w:color="auto"/>
        <w:bottom w:val="none" w:sz="0" w:space="0" w:color="auto"/>
        <w:right w:val="none" w:sz="0" w:space="0" w:color="auto"/>
      </w:divBdr>
    </w:div>
    <w:div w:id="148250688">
      <w:bodyDiv w:val="1"/>
      <w:marLeft w:val="0"/>
      <w:marRight w:val="0"/>
      <w:marTop w:val="0"/>
      <w:marBottom w:val="0"/>
      <w:divBdr>
        <w:top w:val="none" w:sz="0" w:space="0" w:color="auto"/>
        <w:left w:val="none" w:sz="0" w:space="0" w:color="auto"/>
        <w:bottom w:val="none" w:sz="0" w:space="0" w:color="auto"/>
        <w:right w:val="none" w:sz="0" w:space="0" w:color="auto"/>
      </w:divBdr>
    </w:div>
    <w:div w:id="148638882">
      <w:bodyDiv w:val="1"/>
      <w:marLeft w:val="0"/>
      <w:marRight w:val="0"/>
      <w:marTop w:val="0"/>
      <w:marBottom w:val="0"/>
      <w:divBdr>
        <w:top w:val="none" w:sz="0" w:space="0" w:color="auto"/>
        <w:left w:val="none" w:sz="0" w:space="0" w:color="auto"/>
        <w:bottom w:val="none" w:sz="0" w:space="0" w:color="auto"/>
        <w:right w:val="none" w:sz="0" w:space="0" w:color="auto"/>
      </w:divBdr>
    </w:div>
    <w:div w:id="161164045">
      <w:bodyDiv w:val="1"/>
      <w:marLeft w:val="0"/>
      <w:marRight w:val="0"/>
      <w:marTop w:val="0"/>
      <w:marBottom w:val="0"/>
      <w:divBdr>
        <w:top w:val="none" w:sz="0" w:space="0" w:color="auto"/>
        <w:left w:val="none" w:sz="0" w:space="0" w:color="auto"/>
        <w:bottom w:val="none" w:sz="0" w:space="0" w:color="auto"/>
        <w:right w:val="none" w:sz="0" w:space="0" w:color="auto"/>
      </w:divBdr>
    </w:div>
    <w:div w:id="162088500">
      <w:bodyDiv w:val="1"/>
      <w:marLeft w:val="0"/>
      <w:marRight w:val="0"/>
      <w:marTop w:val="0"/>
      <w:marBottom w:val="0"/>
      <w:divBdr>
        <w:top w:val="none" w:sz="0" w:space="0" w:color="auto"/>
        <w:left w:val="none" w:sz="0" w:space="0" w:color="auto"/>
        <w:bottom w:val="none" w:sz="0" w:space="0" w:color="auto"/>
        <w:right w:val="none" w:sz="0" w:space="0" w:color="auto"/>
      </w:divBdr>
    </w:div>
    <w:div w:id="176232464">
      <w:bodyDiv w:val="1"/>
      <w:marLeft w:val="0"/>
      <w:marRight w:val="0"/>
      <w:marTop w:val="0"/>
      <w:marBottom w:val="0"/>
      <w:divBdr>
        <w:top w:val="none" w:sz="0" w:space="0" w:color="auto"/>
        <w:left w:val="none" w:sz="0" w:space="0" w:color="auto"/>
        <w:bottom w:val="none" w:sz="0" w:space="0" w:color="auto"/>
        <w:right w:val="none" w:sz="0" w:space="0" w:color="auto"/>
      </w:divBdr>
    </w:div>
    <w:div w:id="192118423">
      <w:bodyDiv w:val="1"/>
      <w:marLeft w:val="0"/>
      <w:marRight w:val="0"/>
      <w:marTop w:val="0"/>
      <w:marBottom w:val="0"/>
      <w:divBdr>
        <w:top w:val="none" w:sz="0" w:space="0" w:color="auto"/>
        <w:left w:val="none" w:sz="0" w:space="0" w:color="auto"/>
        <w:bottom w:val="none" w:sz="0" w:space="0" w:color="auto"/>
        <w:right w:val="none" w:sz="0" w:space="0" w:color="auto"/>
      </w:divBdr>
    </w:div>
    <w:div w:id="228804843">
      <w:bodyDiv w:val="1"/>
      <w:marLeft w:val="0"/>
      <w:marRight w:val="0"/>
      <w:marTop w:val="0"/>
      <w:marBottom w:val="0"/>
      <w:divBdr>
        <w:top w:val="none" w:sz="0" w:space="0" w:color="auto"/>
        <w:left w:val="none" w:sz="0" w:space="0" w:color="auto"/>
        <w:bottom w:val="none" w:sz="0" w:space="0" w:color="auto"/>
        <w:right w:val="none" w:sz="0" w:space="0" w:color="auto"/>
      </w:divBdr>
    </w:div>
    <w:div w:id="229661941">
      <w:bodyDiv w:val="1"/>
      <w:marLeft w:val="0"/>
      <w:marRight w:val="0"/>
      <w:marTop w:val="0"/>
      <w:marBottom w:val="0"/>
      <w:divBdr>
        <w:top w:val="none" w:sz="0" w:space="0" w:color="auto"/>
        <w:left w:val="none" w:sz="0" w:space="0" w:color="auto"/>
        <w:bottom w:val="none" w:sz="0" w:space="0" w:color="auto"/>
        <w:right w:val="none" w:sz="0" w:space="0" w:color="auto"/>
      </w:divBdr>
      <w:divsChild>
        <w:div w:id="996499988">
          <w:marLeft w:val="0"/>
          <w:marRight w:val="0"/>
          <w:marTop w:val="0"/>
          <w:marBottom w:val="0"/>
          <w:divBdr>
            <w:top w:val="none" w:sz="0" w:space="0" w:color="auto"/>
            <w:left w:val="none" w:sz="0" w:space="0" w:color="auto"/>
            <w:bottom w:val="none" w:sz="0" w:space="0" w:color="auto"/>
            <w:right w:val="none" w:sz="0" w:space="0" w:color="auto"/>
          </w:divBdr>
        </w:div>
        <w:div w:id="1017000242">
          <w:marLeft w:val="0"/>
          <w:marRight w:val="0"/>
          <w:marTop w:val="0"/>
          <w:marBottom w:val="0"/>
          <w:divBdr>
            <w:top w:val="none" w:sz="0" w:space="0" w:color="auto"/>
            <w:left w:val="none" w:sz="0" w:space="0" w:color="auto"/>
            <w:bottom w:val="none" w:sz="0" w:space="0" w:color="auto"/>
            <w:right w:val="none" w:sz="0" w:space="0" w:color="auto"/>
          </w:divBdr>
        </w:div>
        <w:div w:id="1363821455">
          <w:marLeft w:val="0"/>
          <w:marRight w:val="0"/>
          <w:marTop w:val="0"/>
          <w:marBottom w:val="0"/>
          <w:divBdr>
            <w:top w:val="none" w:sz="0" w:space="0" w:color="auto"/>
            <w:left w:val="none" w:sz="0" w:space="0" w:color="auto"/>
            <w:bottom w:val="none" w:sz="0" w:space="0" w:color="auto"/>
            <w:right w:val="none" w:sz="0" w:space="0" w:color="auto"/>
          </w:divBdr>
        </w:div>
        <w:div w:id="1447770003">
          <w:marLeft w:val="0"/>
          <w:marRight w:val="0"/>
          <w:marTop w:val="0"/>
          <w:marBottom w:val="0"/>
          <w:divBdr>
            <w:top w:val="none" w:sz="0" w:space="0" w:color="auto"/>
            <w:left w:val="none" w:sz="0" w:space="0" w:color="auto"/>
            <w:bottom w:val="none" w:sz="0" w:space="0" w:color="auto"/>
            <w:right w:val="none" w:sz="0" w:space="0" w:color="auto"/>
          </w:divBdr>
        </w:div>
      </w:divsChild>
    </w:div>
    <w:div w:id="255140867">
      <w:bodyDiv w:val="1"/>
      <w:marLeft w:val="0"/>
      <w:marRight w:val="0"/>
      <w:marTop w:val="0"/>
      <w:marBottom w:val="0"/>
      <w:divBdr>
        <w:top w:val="none" w:sz="0" w:space="0" w:color="auto"/>
        <w:left w:val="none" w:sz="0" w:space="0" w:color="auto"/>
        <w:bottom w:val="none" w:sz="0" w:space="0" w:color="auto"/>
        <w:right w:val="none" w:sz="0" w:space="0" w:color="auto"/>
      </w:divBdr>
    </w:div>
    <w:div w:id="268701660">
      <w:bodyDiv w:val="1"/>
      <w:marLeft w:val="0"/>
      <w:marRight w:val="0"/>
      <w:marTop w:val="0"/>
      <w:marBottom w:val="0"/>
      <w:divBdr>
        <w:top w:val="none" w:sz="0" w:space="0" w:color="auto"/>
        <w:left w:val="none" w:sz="0" w:space="0" w:color="auto"/>
        <w:bottom w:val="none" w:sz="0" w:space="0" w:color="auto"/>
        <w:right w:val="none" w:sz="0" w:space="0" w:color="auto"/>
      </w:divBdr>
    </w:div>
    <w:div w:id="287467974">
      <w:bodyDiv w:val="1"/>
      <w:marLeft w:val="0"/>
      <w:marRight w:val="0"/>
      <w:marTop w:val="0"/>
      <w:marBottom w:val="0"/>
      <w:divBdr>
        <w:top w:val="none" w:sz="0" w:space="0" w:color="auto"/>
        <w:left w:val="none" w:sz="0" w:space="0" w:color="auto"/>
        <w:bottom w:val="none" w:sz="0" w:space="0" w:color="auto"/>
        <w:right w:val="none" w:sz="0" w:space="0" w:color="auto"/>
      </w:divBdr>
    </w:div>
    <w:div w:id="302546254">
      <w:bodyDiv w:val="1"/>
      <w:marLeft w:val="0"/>
      <w:marRight w:val="0"/>
      <w:marTop w:val="0"/>
      <w:marBottom w:val="0"/>
      <w:divBdr>
        <w:top w:val="none" w:sz="0" w:space="0" w:color="auto"/>
        <w:left w:val="none" w:sz="0" w:space="0" w:color="auto"/>
        <w:bottom w:val="none" w:sz="0" w:space="0" w:color="auto"/>
        <w:right w:val="none" w:sz="0" w:space="0" w:color="auto"/>
      </w:divBdr>
    </w:div>
    <w:div w:id="329137782">
      <w:bodyDiv w:val="1"/>
      <w:marLeft w:val="0"/>
      <w:marRight w:val="0"/>
      <w:marTop w:val="0"/>
      <w:marBottom w:val="0"/>
      <w:divBdr>
        <w:top w:val="none" w:sz="0" w:space="0" w:color="auto"/>
        <w:left w:val="none" w:sz="0" w:space="0" w:color="auto"/>
        <w:bottom w:val="none" w:sz="0" w:space="0" w:color="auto"/>
        <w:right w:val="none" w:sz="0" w:space="0" w:color="auto"/>
      </w:divBdr>
    </w:div>
    <w:div w:id="330182185">
      <w:bodyDiv w:val="1"/>
      <w:marLeft w:val="0"/>
      <w:marRight w:val="0"/>
      <w:marTop w:val="0"/>
      <w:marBottom w:val="0"/>
      <w:divBdr>
        <w:top w:val="none" w:sz="0" w:space="0" w:color="auto"/>
        <w:left w:val="none" w:sz="0" w:space="0" w:color="auto"/>
        <w:bottom w:val="none" w:sz="0" w:space="0" w:color="auto"/>
        <w:right w:val="none" w:sz="0" w:space="0" w:color="auto"/>
      </w:divBdr>
    </w:div>
    <w:div w:id="370543208">
      <w:bodyDiv w:val="1"/>
      <w:marLeft w:val="0"/>
      <w:marRight w:val="0"/>
      <w:marTop w:val="0"/>
      <w:marBottom w:val="0"/>
      <w:divBdr>
        <w:top w:val="none" w:sz="0" w:space="0" w:color="auto"/>
        <w:left w:val="none" w:sz="0" w:space="0" w:color="auto"/>
        <w:bottom w:val="none" w:sz="0" w:space="0" w:color="auto"/>
        <w:right w:val="none" w:sz="0" w:space="0" w:color="auto"/>
      </w:divBdr>
    </w:div>
    <w:div w:id="376928365">
      <w:bodyDiv w:val="1"/>
      <w:marLeft w:val="0"/>
      <w:marRight w:val="0"/>
      <w:marTop w:val="0"/>
      <w:marBottom w:val="0"/>
      <w:divBdr>
        <w:top w:val="none" w:sz="0" w:space="0" w:color="auto"/>
        <w:left w:val="none" w:sz="0" w:space="0" w:color="auto"/>
        <w:bottom w:val="none" w:sz="0" w:space="0" w:color="auto"/>
        <w:right w:val="none" w:sz="0" w:space="0" w:color="auto"/>
      </w:divBdr>
    </w:div>
    <w:div w:id="386489648">
      <w:bodyDiv w:val="1"/>
      <w:marLeft w:val="0"/>
      <w:marRight w:val="0"/>
      <w:marTop w:val="0"/>
      <w:marBottom w:val="0"/>
      <w:divBdr>
        <w:top w:val="none" w:sz="0" w:space="0" w:color="auto"/>
        <w:left w:val="none" w:sz="0" w:space="0" w:color="auto"/>
        <w:bottom w:val="none" w:sz="0" w:space="0" w:color="auto"/>
        <w:right w:val="none" w:sz="0" w:space="0" w:color="auto"/>
      </w:divBdr>
    </w:div>
    <w:div w:id="392848374">
      <w:bodyDiv w:val="1"/>
      <w:marLeft w:val="0"/>
      <w:marRight w:val="0"/>
      <w:marTop w:val="0"/>
      <w:marBottom w:val="0"/>
      <w:divBdr>
        <w:top w:val="none" w:sz="0" w:space="0" w:color="auto"/>
        <w:left w:val="none" w:sz="0" w:space="0" w:color="auto"/>
        <w:bottom w:val="none" w:sz="0" w:space="0" w:color="auto"/>
        <w:right w:val="none" w:sz="0" w:space="0" w:color="auto"/>
      </w:divBdr>
    </w:div>
    <w:div w:id="417217784">
      <w:bodyDiv w:val="1"/>
      <w:marLeft w:val="0"/>
      <w:marRight w:val="0"/>
      <w:marTop w:val="0"/>
      <w:marBottom w:val="0"/>
      <w:divBdr>
        <w:top w:val="none" w:sz="0" w:space="0" w:color="auto"/>
        <w:left w:val="none" w:sz="0" w:space="0" w:color="auto"/>
        <w:bottom w:val="none" w:sz="0" w:space="0" w:color="auto"/>
        <w:right w:val="none" w:sz="0" w:space="0" w:color="auto"/>
      </w:divBdr>
    </w:div>
    <w:div w:id="436215251">
      <w:bodyDiv w:val="1"/>
      <w:marLeft w:val="0"/>
      <w:marRight w:val="0"/>
      <w:marTop w:val="0"/>
      <w:marBottom w:val="0"/>
      <w:divBdr>
        <w:top w:val="none" w:sz="0" w:space="0" w:color="auto"/>
        <w:left w:val="none" w:sz="0" w:space="0" w:color="auto"/>
        <w:bottom w:val="none" w:sz="0" w:space="0" w:color="auto"/>
        <w:right w:val="none" w:sz="0" w:space="0" w:color="auto"/>
      </w:divBdr>
    </w:div>
    <w:div w:id="452098825">
      <w:bodyDiv w:val="1"/>
      <w:marLeft w:val="0"/>
      <w:marRight w:val="0"/>
      <w:marTop w:val="0"/>
      <w:marBottom w:val="0"/>
      <w:divBdr>
        <w:top w:val="none" w:sz="0" w:space="0" w:color="auto"/>
        <w:left w:val="none" w:sz="0" w:space="0" w:color="auto"/>
        <w:bottom w:val="none" w:sz="0" w:space="0" w:color="auto"/>
        <w:right w:val="none" w:sz="0" w:space="0" w:color="auto"/>
      </w:divBdr>
    </w:div>
    <w:div w:id="483476337">
      <w:bodyDiv w:val="1"/>
      <w:marLeft w:val="0"/>
      <w:marRight w:val="0"/>
      <w:marTop w:val="0"/>
      <w:marBottom w:val="0"/>
      <w:divBdr>
        <w:top w:val="none" w:sz="0" w:space="0" w:color="auto"/>
        <w:left w:val="none" w:sz="0" w:space="0" w:color="auto"/>
        <w:bottom w:val="none" w:sz="0" w:space="0" w:color="auto"/>
        <w:right w:val="none" w:sz="0" w:space="0" w:color="auto"/>
      </w:divBdr>
    </w:div>
    <w:div w:id="490605940">
      <w:bodyDiv w:val="1"/>
      <w:marLeft w:val="0"/>
      <w:marRight w:val="0"/>
      <w:marTop w:val="0"/>
      <w:marBottom w:val="0"/>
      <w:divBdr>
        <w:top w:val="none" w:sz="0" w:space="0" w:color="auto"/>
        <w:left w:val="none" w:sz="0" w:space="0" w:color="auto"/>
        <w:bottom w:val="none" w:sz="0" w:space="0" w:color="auto"/>
        <w:right w:val="none" w:sz="0" w:space="0" w:color="auto"/>
      </w:divBdr>
    </w:div>
    <w:div w:id="491455858">
      <w:bodyDiv w:val="1"/>
      <w:marLeft w:val="0"/>
      <w:marRight w:val="0"/>
      <w:marTop w:val="0"/>
      <w:marBottom w:val="0"/>
      <w:divBdr>
        <w:top w:val="none" w:sz="0" w:space="0" w:color="auto"/>
        <w:left w:val="none" w:sz="0" w:space="0" w:color="auto"/>
        <w:bottom w:val="none" w:sz="0" w:space="0" w:color="auto"/>
        <w:right w:val="none" w:sz="0" w:space="0" w:color="auto"/>
      </w:divBdr>
    </w:div>
    <w:div w:id="491682629">
      <w:bodyDiv w:val="1"/>
      <w:marLeft w:val="0"/>
      <w:marRight w:val="0"/>
      <w:marTop w:val="0"/>
      <w:marBottom w:val="0"/>
      <w:divBdr>
        <w:top w:val="none" w:sz="0" w:space="0" w:color="auto"/>
        <w:left w:val="none" w:sz="0" w:space="0" w:color="auto"/>
        <w:bottom w:val="none" w:sz="0" w:space="0" w:color="auto"/>
        <w:right w:val="none" w:sz="0" w:space="0" w:color="auto"/>
      </w:divBdr>
    </w:div>
    <w:div w:id="502551219">
      <w:bodyDiv w:val="1"/>
      <w:marLeft w:val="0"/>
      <w:marRight w:val="0"/>
      <w:marTop w:val="0"/>
      <w:marBottom w:val="0"/>
      <w:divBdr>
        <w:top w:val="none" w:sz="0" w:space="0" w:color="auto"/>
        <w:left w:val="none" w:sz="0" w:space="0" w:color="auto"/>
        <w:bottom w:val="none" w:sz="0" w:space="0" w:color="auto"/>
        <w:right w:val="none" w:sz="0" w:space="0" w:color="auto"/>
      </w:divBdr>
    </w:div>
    <w:div w:id="519778253">
      <w:bodyDiv w:val="1"/>
      <w:marLeft w:val="0"/>
      <w:marRight w:val="0"/>
      <w:marTop w:val="0"/>
      <w:marBottom w:val="0"/>
      <w:divBdr>
        <w:top w:val="none" w:sz="0" w:space="0" w:color="auto"/>
        <w:left w:val="none" w:sz="0" w:space="0" w:color="auto"/>
        <w:bottom w:val="none" w:sz="0" w:space="0" w:color="auto"/>
        <w:right w:val="none" w:sz="0" w:space="0" w:color="auto"/>
      </w:divBdr>
    </w:div>
    <w:div w:id="534391536">
      <w:bodyDiv w:val="1"/>
      <w:marLeft w:val="0"/>
      <w:marRight w:val="0"/>
      <w:marTop w:val="0"/>
      <w:marBottom w:val="0"/>
      <w:divBdr>
        <w:top w:val="none" w:sz="0" w:space="0" w:color="auto"/>
        <w:left w:val="none" w:sz="0" w:space="0" w:color="auto"/>
        <w:bottom w:val="none" w:sz="0" w:space="0" w:color="auto"/>
        <w:right w:val="none" w:sz="0" w:space="0" w:color="auto"/>
      </w:divBdr>
    </w:div>
    <w:div w:id="546574320">
      <w:bodyDiv w:val="1"/>
      <w:marLeft w:val="0"/>
      <w:marRight w:val="0"/>
      <w:marTop w:val="0"/>
      <w:marBottom w:val="0"/>
      <w:divBdr>
        <w:top w:val="none" w:sz="0" w:space="0" w:color="auto"/>
        <w:left w:val="none" w:sz="0" w:space="0" w:color="auto"/>
        <w:bottom w:val="none" w:sz="0" w:space="0" w:color="auto"/>
        <w:right w:val="none" w:sz="0" w:space="0" w:color="auto"/>
      </w:divBdr>
    </w:div>
    <w:div w:id="547689459">
      <w:bodyDiv w:val="1"/>
      <w:marLeft w:val="0"/>
      <w:marRight w:val="0"/>
      <w:marTop w:val="0"/>
      <w:marBottom w:val="0"/>
      <w:divBdr>
        <w:top w:val="none" w:sz="0" w:space="0" w:color="auto"/>
        <w:left w:val="none" w:sz="0" w:space="0" w:color="auto"/>
        <w:bottom w:val="none" w:sz="0" w:space="0" w:color="auto"/>
        <w:right w:val="none" w:sz="0" w:space="0" w:color="auto"/>
      </w:divBdr>
    </w:div>
    <w:div w:id="551775971">
      <w:bodyDiv w:val="1"/>
      <w:marLeft w:val="0"/>
      <w:marRight w:val="0"/>
      <w:marTop w:val="0"/>
      <w:marBottom w:val="0"/>
      <w:divBdr>
        <w:top w:val="none" w:sz="0" w:space="0" w:color="auto"/>
        <w:left w:val="none" w:sz="0" w:space="0" w:color="auto"/>
        <w:bottom w:val="none" w:sz="0" w:space="0" w:color="auto"/>
        <w:right w:val="none" w:sz="0" w:space="0" w:color="auto"/>
      </w:divBdr>
    </w:div>
    <w:div w:id="572202982">
      <w:bodyDiv w:val="1"/>
      <w:marLeft w:val="0"/>
      <w:marRight w:val="0"/>
      <w:marTop w:val="0"/>
      <w:marBottom w:val="0"/>
      <w:divBdr>
        <w:top w:val="none" w:sz="0" w:space="0" w:color="auto"/>
        <w:left w:val="none" w:sz="0" w:space="0" w:color="auto"/>
        <w:bottom w:val="none" w:sz="0" w:space="0" w:color="auto"/>
        <w:right w:val="none" w:sz="0" w:space="0" w:color="auto"/>
      </w:divBdr>
    </w:div>
    <w:div w:id="594435460">
      <w:bodyDiv w:val="1"/>
      <w:marLeft w:val="0"/>
      <w:marRight w:val="0"/>
      <w:marTop w:val="0"/>
      <w:marBottom w:val="0"/>
      <w:divBdr>
        <w:top w:val="none" w:sz="0" w:space="0" w:color="auto"/>
        <w:left w:val="none" w:sz="0" w:space="0" w:color="auto"/>
        <w:bottom w:val="none" w:sz="0" w:space="0" w:color="auto"/>
        <w:right w:val="none" w:sz="0" w:space="0" w:color="auto"/>
      </w:divBdr>
    </w:div>
    <w:div w:id="609700950">
      <w:bodyDiv w:val="1"/>
      <w:marLeft w:val="0"/>
      <w:marRight w:val="0"/>
      <w:marTop w:val="0"/>
      <w:marBottom w:val="0"/>
      <w:divBdr>
        <w:top w:val="none" w:sz="0" w:space="0" w:color="auto"/>
        <w:left w:val="none" w:sz="0" w:space="0" w:color="auto"/>
        <w:bottom w:val="none" w:sz="0" w:space="0" w:color="auto"/>
        <w:right w:val="none" w:sz="0" w:space="0" w:color="auto"/>
      </w:divBdr>
    </w:div>
    <w:div w:id="630329996">
      <w:bodyDiv w:val="1"/>
      <w:marLeft w:val="0"/>
      <w:marRight w:val="0"/>
      <w:marTop w:val="0"/>
      <w:marBottom w:val="0"/>
      <w:divBdr>
        <w:top w:val="none" w:sz="0" w:space="0" w:color="auto"/>
        <w:left w:val="none" w:sz="0" w:space="0" w:color="auto"/>
        <w:bottom w:val="none" w:sz="0" w:space="0" w:color="auto"/>
        <w:right w:val="none" w:sz="0" w:space="0" w:color="auto"/>
      </w:divBdr>
    </w:div>
    <w:div w:id="637997929">
      <w:bodyDiv w:val="1"/>
      <w:marLeft w:val="0"/>
      <w:marRight w:val="0"/>
      <w:marTop w:val="0"/>
      <w:marBottom w:val="0"/>
      <w:divBdr>
        <w:top w:val="none" w:sz="0" w:space="0" w:color="auto"/>
        <w:left w:val="none" w:sz="0" w:space="0" w:color="auto"/>
        <w:bottom w:val="none" w:sz="0" w:space="0" w:color="auto"/>
        <w:right w:val="none" w:sz="0" w:space="0" w:color="auto"/>
      </w:divBdr>
    </w:div>
    <w:div w:id="691419830">
      <w:bodyDiv w:val="1"/>
      <w:marLeft w:val="0"/>
      <w:marRight w:val="0"/>
      <w:marTop w:val="0"/>
      <w:marBottom w:val="0"/>
      <w:divBdr>
        <w:top w:val="none" w:sz="0" w:space="0" w:color="auto"/>
        <w:left w:val="none" w:sz="0" w:space="0" w:color="auto"/>
        <w:bottom w:val="none" w:sz="0" w:space="0" w:color="auto"/>
        <w:right w:val="none" w:sz="0" w:space="0" w:color="auto"/>
      </w:divBdr>
    </w:div>
    <w:div w:id="723454972">
      <w:bodyDiv w:val="1"/>
      <w:marLeft w:val="0"/>
      <w:marRight w:val="0"/>
      <w:marTop w:val="0"/>
      <w:marBottom w:val="0"/>
      <w:divBdr>
        <w:top w:val="none" w:sz="0" w:space="0" w:color="auto"/>
        <w:left w:val="none" w:sz="0" w:space="0" w:color="auto"/>
        <w:bottom w:val="none" w:sz="0" w:space="0" w:color="auto"/>
        <w:right w:val="none" w:sz="0" w:space="0" w:color="auto"/>
      </w:divBdr>
    </w:div>
    <w:div w:id="784733237">
      <w:bodyDiv w:val="1"/>
      <w:marLeft w:val="0"/>
      <w:marRight w:val="0"/>
      <w:marTop w:val="0"/>
      <w:marBottom w:val="0"/>
      <w:divBdr>
        <w:top w:val="none" w:sz="0" w:space="0" w:color="auto"/>
        <w:left w:val="none" w:sz="0" w:space="0" w:color="auto"/>
        <w:bottom w:val="none" w:sz="0" w:space="0" w:color="auto"/>
        <w:right w:val="none" w:sz="0" w:space="0" w:color="auto"/>
      </w:divBdr>
    </w:div>
    <w:div w:id="794173467">
      <w:bodyDiv w:val="1"/>
      <w:marLeft w:val="0"/>
      <w:marRight w:val="0"/>
      <w:marTop w:val="0"/>
      <w:marBottom w:val="0"/>
      <w:divBdr>
        <w:top w:val="none" w:sz="0" w:space="0" w:color="auto"/>
        <w:left w:val="none" w:sz="0" w:space="0" w:color="auto"/>
        <w:bottom w:val="none" w:sz="0" w:space="0" w:color="auto"/>
        <w:right w:val="none" w:sz="0" w:space="0" w:color="auto"/>
      </w:divBdr>
    </w:div>
    <w:div w:id="802389755">
      <w:bodyDiv w:val="1"/>
      <w:marLeft w:val="0"/>
      <w:marRight w:val="0"/>
      <w:marTop w:val="0"/>
      <w:marBottom w:val="0"/>
      <w:divBdr>
        <w:top w:val="none" w:sz="0" w:space="0" w:color="auto"/>
        <w:left w:val="none" w:sz="0" w:space="0" w:color="auto"/>
        <w:bottom w:val="none" w:sz="0" w:space="0" w:color="auto"/>
        <w:right w:val="none" w:sz="0" w:space="0" w:color="auto"/>
      </w:divBdr>
    </w:div>
    <w:div w:id="883710009">
      <w:bodyDiv w:val="1"/>
      <w:marLeft w:val="0"/>
      <w:marRight w:val="0"/>
      <w:marTop w:val="0"/>
      <w:marBottom w:val="0"/>
      <w:divBdr>
        <w:top w:val="none" w:sz="0" w:space="0" w:color="auto"/>
        <w:left w:val="none" w:sz="0" w:space="0" w:color="auto"/>
        <w:bottom w:val="none" w:sz="0" w:space="0" w:color="auto"/>
        <w:right w:val="none" w:sz="0" w:space="0" w:color="auto"/>
      </w:divBdr>
    </w:div>
    <w:div w:id="886647415">
      <w:bodyDiv w:val="1"/>
      <w:marLeft w:val="0"/>
      <w:marRight w:val="0"/>
      <w:marTop w:val="0"/>
      <w:marBottom w:val="0"/>
      <w:divBdr>
        <w:top w:val="none" w:sz="0" w:space="0" w:color="auto"/>
        <w:left w:val="none" w:sz="0" w:space="0" w:color="auto"/>
        <w:bottom w:val="none" w:sz="0" w:space="0" w:color="auto"/>
        <w:right w:val="none" w:sz="0" w:space="0" w:color="auto"/>
      </w:divBdr>
    </w:div>
    <w:div w:id="922762674">
      <w:bodyDiv w:val="1"/>
      <w:marLeft w:val="0"/>
      <w:marRight w:val="0"/>
      <w:marTop w:val="0"/>
      <w:marBottom w:val="0"/>
      <w:divBdr>
        <w:top w:val="none" w:sz="0" w:space="0" w:color="auto"/>
        <w:left w:val="none" w:sz="0" w:space="0" w:color="auto"/>
        <w:bottom w:val="none" w:sz="0" w:space="0" w:color="auto"/>
        <w:right w:val="none" w:sz="0" w:space="0" w:color="auto"/>
      </w:divBdr>
    </w:div>
    <w:div w:id="933824650">
      <w:bodyDiv w:val="1"/>
      <w:marLeft w:val="0"/>
      <w:marRight w:val="0"/>
      <w:marTop w:val="0"/>
      <w:marBottom w:val="0"/>
      <w:divBdr>
        <w:top w:val="none" w:sz="0" w:space="0" w:color="auto"/>
        <w:left w:val="none" w:sz="0" w:space="0" w:color="auto"/>
        <w:bottom w:val="none" w:sz="0" w:space="0" w:color="auto"/>
        <w:right w:val="none" w:sz="0" w:space="0" w:color="auto"/>
      </w:divBdr>
    </w:div>
    <w:div w:id="972246218">
      <w:bodyDiv w:val="1"/>
      <w:marLeft w:val="0"/>
      <w:marRight w:val="0"/>
      <w:marTop w:val="0"/>
      <w:marBottom w:val="0"/>
      <w:divBdr>
        <w:top w:val="none" w:sz="0" w:space="0" w:color="auto"/>
        <w:left w:val="none" w:sz="0" w:space="0" w:color="auto"/>
        <w:bottom w:val="none" w:sz="0" w:space="0" w:color="auto"/>
        <w:right w:val="none" w:sz="0" w:space="0" w:color="auto"/>
      </w:divBdr>
    </w:div>
    <w:div w:id="972713161">
      <w:bodyDiv w:val="1"/>
      <w:marLeft w:val="0"/>
      <w:marRight w:val="0"/>
      <w:marTop w:val="0"/>
      <w:marBottom w:val="0"/>
      <w:divBdr>
        <w:top w:val="none" w:sz="0" w:space="0" w:color="auto"/>
        <w:left w:val="none" w:sz="0" w:space="0" w:color="auto"/>
        <w:bottom w:val="none" w:sz="0" w:space="0" w:color="auto"/>
        <w:right w:val="none" w:sz="0" w:space="0" w:color="auto"/>
      </w:divBdr>
    </w:div>
    <w:div w:id="984973088">
      <w:bodyDiv w:val="1"/>
      <w:marLeft w:val="0"/>
      <w:marRight w:val="0"/>
      <w:marTop w:val="0"/>
      <w:marBottom w:val="0"/>
      <w:divBdr>
        <w:top w:val="none" w:sz="0" w:space="0" w:color="auto"/>
        <w:left w:val="none" w:sz="0" w:space="0" w:color="auto"/>
        <w:bottom w:val="none" w:sz="0" w:space="0" w:color="auto"/>
        <w:right w:val="none" w:sz="0" w:space="0" w:color="auto"/>
      </w:divBdr>
    </w:div>
    <w:div w:id="987973000">
      <w:bodyDiv w:val="1"/>
      <w:marLeft w:val="0"/>
      <w:marRight w:val="0"/>
      <w:marTop w:val="0"/>
      <w:marBottom w:val="0"/>
      <w:divBdr>
        <w:top w:val="none" w:sz="0" w:space="0" w:color="auto"/>
        <w:left w:val="none" w:sz="0" w:space="0" w:color="auto"/>
        <w:bottom w:val="none" w:sz="0" w:space="0" w:color="auto"/>
        <w:right w:val="none" w:sz="0" w:space="0" w:color="auto"/>
      </w:divBdr>
    </w:div>
    <w:div w:id="1008678367">
      <w:bodyDiv w:val="1"/>
      <w:marLeft w:val="0"/>
      <w:marRight w:val="0"/>
      <w:marTop w:val="0"/>
      <w:marBottom w:val="0"/>
      <w:divBdr>
        <w:top w:val="none" w:sz="0" w:space="0" w:color="auto"/>
        <w:left w:val="none" w:sz="0" w:space="0" w:color="auto"/>
        <w:bottom w:val="none" w:sz="0" w:space="0" w:color="auto"/>
        <w:right w:val="none" w:sz="0" w:space="0" w:color="auto"/>
      </w:divBdr>
    </w:div>
    <w:div w:id="1021511047">
      <w:bodyDiv w:val="1"/>
      <w:marLeft w:val="0"/>
      <w:marRight w:val="0"/>
      <w:marTop w:val="0"/>
      <w:marBottom w:val="0"/>
      <w:divBdr>
        <w:top w:val="none" w:sz="0" w:space="0" w:color="auto"/>
        <w:left w:val="none" w:sz="0" w:space="0" w:color="auto"/>
        <w:bottom w:val="none" w:sz="0" w:space="0" w:color="auto"/>
        <w:right w:val="none" w:sz="0" w:space="0" w:color="auto"/>
      </w:divBdr>
    </w:div>
    <w:div w:id="1029839268">
      <w:bodyDiv w:val="1"/>
      <w:marLeft w:val="0"/>
      <w:marRight w:val="0"/>
      <w:marTop w:val="0"/>
      <w:marBottom w:val="0"/>
      <w:divBdr>
        <w:top w:val="none" w:sz="0" w:space="0" w:color="auto"/>
        <w:left w:val="none" w:sz="0" w:space="0" w:color="auto"/>
        <w:bottom w:val="none" w:sz="0" w:space="0" w:color="auto"/>
        <w:right w:val="none" w:sz="0" w:space="0" w:color="auto"/>
      </w:divBdr>
    </w:div>
    <w:div w:id="1032415894">
      <w:bodyDiv w:val="1"/>
      <w:marLeft w:val="0"/>
      <w:marRight w:val="0"/>
      <w:marTop w:val="0"/>
      <w:marBottom w:val="0"/>
      <w:divBdr>
        <w:top w:val="none" w:sz="0" w:space="0" w:color="auto"/>
        <w:left w:val="none" w:sz="0" w:space="0" w:color="auto"/>
        <w:bottom w:val="none" w:sz="0" w:space="0" w:color="auto"/>
        <w:right w:val="none" w:sz="0" w:space="0" w:color="auto"/>
      </w:divBdr>
    </w:div>
    <w:div w:id="1034379267">
      <w:bodyDiv w:val="1"/>
      <w:marLeft w:val="0"/>
      <w:marRight w:val="0"/>
      <w:marTop w:val="0"/>
      <w:marBottom w:val="0"/>
      <w:divBdr>
        <w:top w:val="none" w:sz="0" w:space="0" w:color="auto"/>
        <w:left w:val="none" w:sz="0" w:space="0" w:color="auto"/>
        <w:bottom w:val="none" w:sz="0" w:space="0" w:color="auto"/>
        <w:right w:val="none" w:sz="0" w:space="0" w:color="auto"/>
      </w:divBdr>
    </w:div>
    <w:div w:id="1069377691">
      <w:bodyDiv w:val="1"/>
      <w:marLeft w:val="0"/>
      <w:marRight w:val="0"/>
      <w:marTop w:val="0"/>
      <w:marBottom w:val="0"/>
      <w:divBdr>
        <w:top w:val="none" w:sz="0" w:space="0" w:color="auto"/>
        <w:left w:val="none" w:sz="0" w:space="0" w:color="auto"/>
        <w:bottom w:val="none" w:sz="0" w:space="0" w:color="auto"/>
        <w:right w:val="none" w:sz="0" w:space="0" w:color="auto"/>
      </w:divBdr>
    </w:div>
    <w:div w:id="1069500823">
      <w:bodyDiv w:val="1"/>
      <w:marLeft w:val="0"/>
      <w:marRight w:val="0"/>
      <w:marTop w:val="0"/>
      <w:marBottom w:val="0"/>
      <w:divBdr>
        <w:top w:val="none" w:sz="0" w:space="0" w:color="auto"/>
        <w:left w:val="none" w:sz="0" w:space="0" w:color="auto"/>
        <w:bottom w:val="none" w:sz="0" w:space="0" w:color="auto"/>
        <w:right w:val="none" w:sz="0" w:space="0" w:color="auto"/>
      </w:divBdr>
    </w:div>
    <w:div w:id="1115826618">
      <w:bodyDiv w:val="1"/>
      <w:marLeft w:val="0"/>
      <w:marRight w:val="0"/>
      <w:marTop w:val="0"/>
      <w:marBottom w:val="0"/>
      <w:divBdr>
        <w:top w:val="none" w:sz="0" w:space="0" w:color="auto"/>
        <w:left w:val="none" w:sz="0" w:space="0" w:color="auto"/>
        <w:bottom w:val="none" w:sz="0" w:space="0" w:color="auto"/>
        <w:right w:val="none" w:sz="0" w:space="0" w:color="auto"/>
      </w:divBdr>
      <w:divsChild>
        <w:div w:id="686638615">
          <w:marLeft w:val="0"/>
          <w:marRight w:val="0"/>
          <w:marTop w:val="0"/>
          <w:marBottom w:val="0"/>
          <w:divBdr>
            <w:top w:val="none" w:sz="0" w:space="0" w:color="auto"/>
            <w:left w:val="none" w:sz="0" w:space="0" w:color="auto"/>
            <w:bottom w:val="none" w:sz="0" w:space="0" w:color="auto"/>
            <w:right w:val="none" w:sz="0" w:space="0" w:color="auto"/>
          </w:divBdr>
        </w:div>
        <w:div w:id="1238710837">
          <w:marLeft w:val="0"/>
          <w:marRight w:val="0"/>
          <w:marTop w:val="0"/>
          <w:marBottom w:val="0"/>
          <w:divBdr>
            <w:top w:val="none" w:sz="0" w:space="0" w:color="auto"/>
            <w:left w:val="none" w:sz="0" w:space="0" w:color="auto"/>
            <w:bottom w:val="none" w:sz="0" w:space="0" w:color="auto"/>
            <w:right w:val="none" w:sz="0" w:space="0" w:color="auto"/>
          </w:divBdr>
        </w:div>
        <w:div w:id="1296566244">
          <w:marLeft w:val="0"/>
          <w:marRight w:val="0"/>
          <w:marTop w:val="0"/>
          <w:marBottom w:val="0"/>
          <w:divBdr>
            <w:top w:val="none" w:sz="0" w:space="0" w:color="auto"/>
            <w:left w:val="none" w:sz="0" w:space="0" w:color="auto"/>
            <w:bottom w:val="none" w:sz="0" w:space="0" w:color="auto"/>
            <w:right w:val="none" w:sz="0" w:space="0" w:color="auto"/>
          </w:divBdr>
        </w:div>
        <w:div w:id="1745881260">
          <w:marLeft w:val="0"/>
          <w:marRight w:val="0"/>
          <w:marTop w:val="0"/>
          <w:marBottom w:val="0"/>
          <w:divBdr>
            <w:top w:val="none" w:sz="0" w:space="0" w:color="auto"/>
            <w:left w:val="none" w:sz="0" w:space="0" w:color="auto"/>
            <w:bottom w:val="none" w:sz="0" w:space="0" w:color="auto"/>
            <w:right w:val="none" w:sz="0" w:space="0" w:color="auto"/>
          </w:divBdr>
        </w:div>
      </w:divsChild>
    </w:div>
    <w:div w:id="1127234504">
      <w:bodyDiv w:val="1"/>
      <w:marLeft w:val="0"/>
      <w:marRight w:val="0"/>
      <w:marTop w:val="0"/>
      <w:marBottom w:val="0"/>
      <w:divBdr>
        <w:top w:val="none" w:sz="0" w:space="0" w:color="auto"/>
        <w:left w:val="none" w:sz="0" w:space="0" w:color="auto"/>
        <w:bottom w:val="none" w:sz="0" w:space="0" w:color="auto"/>
        <w:right w:val="none" w:sz="0" w:space="0" w:color="auto"/>
      </w:divBdr>
    </w:div>
    <w:div w:id="1131091106">
      <w:bodyDiv w:val="1"/>
      <w:marLeft w:val="0"/>
      <w:marRight w:val="0"/>
      <w:marTop w:val="0"/>
      <w:marBottom w:val="0"/>
      <w:divBdr>
        <w:top w:val="none" w:sz="0" w:space="0" w:color="auto"/>
        <w:left w:val="none" w:sz="0" w:space="0" w:color="auto"/>
        <w:bottom w:val="none" w:sz="0" w:space="0" w:color="auto"/>
        <w:right w:val="none" w:sz="0" w:space="0" w:color="auto"/>
      </w:divBdr>
    </w:div>
    <w:div w:id="1157920725">
      <w:bodyDiv w:val="1"/>
      <w:marLeft w:val="0"/>
      <w:marRight w:val="0"/>
      <w:marTop w:val="0"/>
      <w:marBottom w:val="0"/>
      <w:divBdr>
        <w:top w:val="none" w:sz="0" w:space="0" w:color="auto"/>
        <w:left w:val="none" w:sz="0" w:space="0" w:color="auto"/>
        <w:bottom w:val="none" w:sz="0" w:space="0" w:color="auto"/>
        <w:right w:val="none" w:sz="0" w:space="0" w:color="auto"/>
      </w:divBdr>
    </w:div>
    <w:div w:id="1193305131">
      <w:bodyDiv w:val="1"/>
      <w:marLeft w:val="0"/>
      <w:marRight w:val="0"/>
      <w:marTop w:val="0"/>
      <w:marBottom w:val="0"/>
      <w:divBdr>
        <w:top w:val="none" w:sz="0" w:space="0" w:color="auto"/>
        <w:left w:val="none" w:sz="0" w:space="0" w:color="auto"/>
        <w:bottom w:val="none" w:sz="0" w:space="0" w:color="auto"/>
        <w:right w:val="none" w:sz="0" w:space="0" w:color="auto"/>
      </w:divBdr>
    </w:div>
    <w:div w:id="1204437289">
      <w:bodyDiv w:val="1"/>
      <w:marLeft w:val="0"/>
      <w:marRight w:val="0"/>
      <w:marTop w:val="0"/>
      <w:marBottom w:val="0"/>
      <w:divBdr>
        <w:top w:val="none" w:sz="0" w:space="0" w:color="auto"/>
        <w:left w:val="none" w:sz="0" w:space="0" w:color="auto"/>
        <w:bottom w:val="none" w:sz="0" w:space="0" w:color="auto"/>
        <w:right w:val="none" w:sz="0" w:space="0" w:color="auto"/>
      </w:divBdr>
    </w:div>
    <w:div w:id="1237738533">
      <w:bodyDiv w:val="1"/>
      <w:marLeft w:val="0"/>
      <w:marRight w:val="0"/>
      <w:marTop w:val="0"/>
      <w:marBottom w:val="0"/>
      <w:divBdr>
        <w:top w:val="none" w:sz="0" w:space="0" w:color="auto"/>
        <w:left w:val="none" w:sz="0" w:space="0" w:color="auto"/>
        <w:bottom w:val="none" w:sz="0" w:space="0" w:color="auto"/>
        <w:right w:val="none" w:sz="0" w:space="0" w:color="auto"/>
      </w:divBdr>
    </w:div>
    <w:div w:id="1266498377">
      <w:bodyDiv w:val="1"/>
      <w:marLeft w:val="0"/>
      <w:marRight w:val="0"/>
      <w:marTop w:val="0"/>
      <w:marBottom w:val="0"/>
      <w:divBdr>
        <w:top w:val="none" w:sz="0" w:space="0" w:color="auto"/>
        <w:left w:val="none" w:sz="0" w:space="0" w:color="auto"/>
        <w:bottom w:val="none" w:sz="0" w:space="0" w:color="auto"/>
        <w:right w:val="none" w:sz="0" w:space="0" w:color="auto"/>
      </w:divBdr>
    </w:div>
    <w:div w:id="1282422418">
      <w:bodyDiv w:val="1"/>
      <w:marLeft w:val="0"/>
      <w:marRight w:val="0"/>
      <w:marTop w:val="0"/>
      <w:marBottom w:val="0"/>
      <w:divBdr>
        <w:top w:val="none" w:sz="0" w:space="0" w:color="auto"/>
        <w:left w:val="none" w:sz="0" w:space="0" w:color="auto"/>
        <w:bottom w:val="none" w:sz="0" w:space="0" w:color="auto"/>
        <w:right w:val="none" w:sz="0" w:space="0" w:color="auto"/>
      </w:divBdr>
    </w:div>
    <w:div w:id="1316183890">
      <w:bodyDiv w:val="1"/>
      <w:marLeft w:val="0"/>
      <w:marRight w:val="0"/>
      <w:marTop w:val="0"/>
      <w:marBottom w:val="0"/>
      <w:divBdr>
        <w:top w:val="none" w:sz="0" w:space="0" w:color="auto"/>
        <w:left w:val="none" w:sz="0" w:space="0" w:color="auto"/>
        <w:bottom w:val="none" w:sz="0" w:space="0" w:color="auto"/>
        <w:right w:val="none" w:sz="0" w:space="0" w:color="auto"/>
      </w:divBdr>
    </w:div>
    <w:div w:id="1340888500">
      <w:bodyDiv w:val="1"/>
      <w:marLeft w:val="0"/>
      <w:marRight w:val="0"/>
      <w:marTop w:val="0"/>
      <w:marBottom w:val="0"/>
      <w:divBdr>
        <w:top w:val="none" w:sz="0" w:space="0" w:color="auto"/>
        <w:left w:val="none" w:sz="0" w:space="0" w:color="auto"/>
        <w:bottom w:val="none" w:sz="0" w:space="0" w:color="auto"/>
        <w:right w:val="none" w:sz="0" w:space="0" w:color="auto"/>
      </w:divBdr>
    </w:div>
    <w:div w:id="1370646725">
      <w:bodyDiv w:val="1"/>
      <w:marLeft w:val="0"/>
      <w:marRight w:val="0"/>
      <w:marTop w:val="0"/>
      <w:marBottom w:val="0"/>
      <w:divBdr>
        <w:top w:val="none" w:sz="0" w:space="0" w:color="auto"/>
        <w:left w:val="none" w:sz="0" w:space="0" w:color="auto"/>
        <w:bottom w:val="none" w:sz="0" w:space="0" w:color="auto"/>
        <w:right w:val="none" w:sz="0" w:space="0" w:color="auto"/>
      </w:divBdr>
    </w:div>
    <w:div w:id="1393886375">
      <w:bodyDiv w:val="1"/>
      <w:marLeft w:val="0"/>
      <w:marRight w:val="0"/>
      <w:marTop w:val="0"/>
      <w:marBottom w:val="0"/>
      <w:divBdr>
        <w:top w:val="none" w:sz="0" w:space="0" w:color="auto"/>
        <w:left w:val="none" w:sz="0" w:space="0" w:color="auto"/>
        <w:bottom w:val="none" w:sz="0" w:space="0" w:color="auto"/>
        <w:right w:val="none" w:sz="0" w:space="0" w:color="auto"/>
      </w:divBdr>
    </w:div>
    <w:div w:id="1423720099">
      <w:bodyDiv w:val="1"/>
      <w:marLeft w:val="0"/>
      <w:marRight w:val="0"/>
      <w:marTop w:val="0"/>
      <w:marBottom w:val="0"/>
      <w:divBdr>
        <w:top w:val="none" w:sz="0" w:space="0" w:color="auto"/>
        <w:left w:val="none" w:sz="0" w:space="0" w:color="auto"/>
        <w:bottom w:val="none" w:sz="0" w:space="0" w:color="auto"/>
        <w:right w:val="none" w:sz="0" w:space="0" w:color="auto"/>
      </w:divBdr>
    </w:div>
    <w:div w:id="1427114753">
      <w:bodyDiv w:val="1"/>
      <w:marLeft w:val="0"/>
      <w:marRight w:val="0"/>
      <w:marTop w:val="0"/>
      <w:marBottom w:val="0"/>
      <w:divBdr>
        <w:top w:val="none" w:sz="0" w:space="0" w:color="auto"/>
        <w:left w:val="none" w:sz="0" w:space="0" w:color="auto"/>
        <w:bottom w:val="none" w:sz="0" w:space="0" w:color="auto"/>
        <w:right w:val="none" w:sz="0" w:space="0" w:color="auto"/>
      </w:divBdr>
    </w:div>
    <w:div w:id="1441604676">
      <w:bodyDiv w:val="1"/>
      <w:marLeft w:val="0"/>
      <w:marRight w:val="0"/>
      <w:marTop w:val="0"/>
      <w:marBottom w:val="0"/>
      <w:divBdr>
        <w:top w:val="none" w:sz="0" w:space="0" w:color="auto"/>
        <w:left w:val="none" w:sz="0" w:space="0" w:color="auto"/>
        <w:bottom w:val="none" w:sz="0" w:space="0" w:color="auto"/>
        <w:right w:val="none" w:sz="0" w:space="0" w:color="auto"/>
      </w:divBdr>
    </w:div>
    <w:div w:id="1444032929">
      <w:bodyDiv w:val="1"/>
      <w:marLeft w:val="0"/>
      <w:marRight w:val="0"/>
      <w:marTop w:val="0"/>
      <w:marBottom w:val="0"/>
      <w:divBdr>
        <w:top w:val="none" w:sz="0" w:space="0" w:color="auto"/>
        <w:left w:val="none" w:sz="0" w:space="0" w:color="auto"/>
        <w:bottom w:val="none" w:sz="0" w:space="0" w:color="auto"/>
        <w:right w:val="none" w:sz="0" w:space="0" w:color="auto"/>
      </w:divBdr>
    </w:div>
    <w:div w:id="1471092334">
      <w:bodyDiv w:val="1"/>
      <w:marLeft w:val="0"/>
      <w:marRight w:val="0"/>
      <w:marTop w:val="0"/>
      <w:marBottom w:val="0"/>
      <w:divBdr>
        <w:top w:val="none" w:sz="0" w:space="0" w:color="auto"/>
        <w:left w:val="none" w:sz="0" w:space="0" w:color="auto"/>
        <w:bottom w:val="none" w:sz="0" w:space="0" w:color="auto"/>
        <w:right w:val="none" w:sz="0" w:space="0" w:color="auto"/>
      </w:divBdr>
    </w:div>
    <w:div w:id="1507087680">
      <w:bodyDiv w:val="1"/>
      <w:marLeft w:val="0"/>
      <w:marRight w:val="0"/>
      <w:marTop w:val="0"/>
      <w:marBottom w:val="0"/>
      <w:divBdr>
        <w:top w:val="none" w:sz="0" w:space="0" w:color="auto"/>
        <w:left w:val="none" w:sz="0" w:space="0" w:color="auto"/>
        <w:bottom w:val="none" w:sz="0" w:space="0" w:color="auto"/>
        <w:right w:val="none" w:sz="0" w:space="0" w:color="auto"/>
      </w:divBdr>
    </w:div>
    <w:div w:id="1523398269">
      <w:bodyDiv w:val="1"/>
      <w:marLeft w:val="0"/>
      <w:marRight w:val="0"/>
      <w:marTop w:val="0"/>
      <w:marBottom w:val="0"/>
      <w:divBdr>
        <w:top w:val="none" w:sz="0" w:space="0" w:color="auto"/>
        <w:left w:val="none" w:sz="0" w:space="0" w:color="auto"/>
        <w:bottom w:val="none" w:sz="0" w:space="0" w:color="auto"/>
        <w:right w:val="none" w:sz="0" w:space="0" w:color="auto"/>
      </w:divBdr>
    </w:div>
    <w:div w:id="1527910811">
      <w:bodyDiv w:val="1"/>
      <w:marLeft w:val="0"/>
      <w:marRight w:val="0"/>
      <w:marTop w:val="0"/>
      <w:marBottom w:val="0"/>
      <w:divBdr>
        <w:top w:val="none" w:sz="0" w:space="0" w:color="auto"/>
        <w:left w:val="none" w:sz="0" w:space="0" w:color="auto"/>
        <w:bottom w:val="none" w:sz="0" w:space="0" w:color="auto"/>
        <w:right w:val="none" w:sz="0" w:space="0" w:color="auto"/>
      </w:divBdr>
    </w:div>
    <w:div w:id="1528367059">
      <w:bodyDiv w:val="1"/>
      <w:marLeft w:val="0"/>
      <w:marRight w:val="0"/>
      <w:marTop w:val="0"/>
      <w:marBottom w:val="0"/>
      <w:divBdr>
        <w:top w:val="none" w:sz="0" w:space="0" w:color="auto"/>
        <w:left w:val="none" w:sz="0" w:space="0" w:color="auto"/>
        <w:bottom w:val="none" w:sz="0" w:space="0" w:color="auto"/>
        <w:right w:val="none" w:sz="0" w:space="0" w:color="auto"/>
      </w:divBdr>
    </w:div>
    <w:div w:id="1559243662">
      <w:bodyDiv w:val="1"/>
      <w:marLeft w:val="0"/>
      <w:marRight w:val="0"/>
      <w:marTop w:val="0"/>
      <w:marBottom w:val="0"/>
      <w:divBdr>
        <w:top w:val="none" w:sz="0" w:space="0" w:color="auto"/>
        <w:left w:val="none" w:sz="0" w:space="0" w:color="auto"/>
        <w:bottom w:val="none" w:sz="0" w:space="0" w:color="auto"/>
        <w:right w:val="none" w:sz="0" w:space="0" w:color="auto"/>
      </w:divBdr>
    </w:div>
    <w:div w:id="1560164915">
      <w:bodyDiv w:val="1"/>
      <w:marLeft w:val="0"/>
      <w:marRight w:val="0"/>
      <w:marTop w:val="0"/>
      <w:marBottom w:val="0"/>
      <w:divBdr>
        <w:top w:val="none" w:sz="0" w:space="0" w:color="auto"/>
        <w:left w:val="none" w:sz="0" w:space="0" w:color="auto"/>
        <w:bottom w:val="none" w:sz="0" w:space="0" w:color="auto"/>
        <w:right w:val="none" w:sz="0" w:space="0" w:color="auto"/>
      </w:divBdr>
    </w:div>
    <w:div w:id="1591348280">
      <w:bodyDiv w:val="1"/>
      <w:marLeft w:val="0"/>
      <w:marRight w:val="0"/>
      <w:marTop w:val="0"/>
      <w:marBottom w:val="0"/>
      <w:divBdr>
        <w:top w:val="none" w:sz="0" w:space="0" w:color="auto"/>
        <w:left w:val="none" w:sz="0" w:space="0" w:color="auto"/>
        <w:bottom w:val="none" w:sz="0" w:space="0" w:color="auto"/>
        <w:right w:val="none" w:sz="0" w:space="0" w:color="auto"/>
      </w:divBdr>
    </w:div>
    <w:div w:id="1601138130">
      <w:bodyDiv w:val="1"/>
      <w:marLeft w:val="0"/>
      <w:marRight w:val="0"/>
      <w:marTop w:val="0"/>
      <w:marBottom w:val="0"/>
      <w:divBdr>
        <w:top w:val="none" w:sz="0" w:space="0" w:color="auto"/>
        <w:left w:val="none" w:sz="0" w:space="0" w:color="auto"/>
        <w:bottom w:val="none" w:sz="0" w:space="0" w:color="auto"/>
        <w:right w:val="none" w:sz="0" w:space="0" w:color="auto"/>
      </w:divBdr>
    </w:div>
    <w:div w:id="1667244779">
      <w:bodyDiv w:val="1"/>
      <w:marLeft w:val="0"/>
      <w:marRight w:val="0"/>
      <w:marTop w:val="0"/>
      <w:marBottom w:val="0"/>
      <w:divBdr>
        <w:top w:val="none" w:sz="0" w:space="0" w:color="auto"/>
        <w:left w:val="none" w:sz="0" w:space="0" w:color="auto"/>
        <w:bottom w:val="none" w:sz="0" w:space="0" w:color="auto"/>
        <w:right w:val="none" w:sz="0" w:space="0" w:color="auto"/>
      </w:divBdr>
    </w:div>
    <w:div w:id="1674599694">
      <w:bodyDiv w:val="1"/>
      <w:marLeft w:val="0"/>
      <w:marRight w:val="0"/>
      <w:marTop w:val="0"/>
      <w:marBottom w:val="0"/>
      <w:divBdr>
        <w:top w:val="none" w:sz="0" w:space="0" w:color="auto"/>
        <w:left w:val="none" w:sz="0" w:space="0" w:color="auto"/>
        <w:bottom w:val="none" w:sz="0" w:space="0" w:color="auto"/>
        <w:right w:val="none" w:sz="0" w:space="0" w:color="auto"/>
      </w:divBdr>
    </w:div>
    <w:div w:id="1679968977">
      <w:bodyDiv w:val="1"/>
      <w:marLeft w:val="0"/>
      <w:marRight w:val="0"/>
      <w:marTop w:val="0"/>
      <w:marBottom w:val="0"/>
      <w:divBdr>
        <w:top w:val="none" w:sz="0" w:space="0" w:color="auto"/>
        <w:left w:val="none" w:sz="0" w:space="0" w:color="auto"/>
        <w:bottom w:val="none" w:sz="0" w:space="0" w:color="auto"/>
        <w:right w:val="none" w:sz="0" w:space="0" w:color="auto"/>
      </w:divBdr>
    </w:div>
    <w:div w:id="1681468299">
      <w:bodyDiv w:val="1"/>
      <w:marLeft w:val="0"/>
      <w:marRight w:val="0"/>
      <w:marTop w:val="0"/>
      <w:marBottom w:val="0"/>
      <w:divBdr>
        <w:top w:val="none" w:sz="0" w:space="0" w:color="auto"/>
        <w:left w:val="none" w:sz="0" w:space="0" w:color="auto"/>
        <w:bottom w:val="none" w:sz="0" w:space="0" w:color="auto"/>
        <w:right w:val="none" w:sz="0" w:space="0" w:color="auto"/>
      </w:divBdr>
    </w:div>
    <w:div w:id="1688482936">
      <w:bodyDiv w:val="1"/>
      <w:marLeft w:val="0"/>
      <w:marRight w:val="0"/>
      <w:marTop w:val="0"/>
      <w:marBottom w:val="0"/>
      <w:divBdr>
        <w:top w:val="none" w:sz="0" w:space="0" w:color="auto"/>
        <w:left w:val="none" w:sz="0" w:space="0" w:color="auto"/>
        <w:bottom w:val="none" w:sz="0" w:space="0" w:color="auto"/>
        <w:right w:val="none" w:sz="0" w:space="0" w:color="auto"/>
      </w:divBdr>
    </w:div>
    <w:div w:id="1733234782">
      <w:bodyDiv w:val="1"/>
      <w:marLeft w:val="0"/>
      <w:marRight w:val="0"/>
      <w:marTop w:val="0"/>
      <w:marBottom w:val="0"/>
      <w:divBdr>
        <w:top w:val="none" w:sz="0" w:space="0" w:color="auto"/>
        <w:left w:val="none" w:sz="0" w:space="0" w:color="auto"/>
        <w:bottom w:val="none" w:sz="0" w:space="0" w:color="auto"/>
        <w:right w:val="none" w:sz="0" w:space="0" w:color="auto"/>
      </w:divBdr>
    </w:div>
    <w:div w:id="1747721465">
      <w:bodyDiv w:val="1"/>
      <w:marLeft w:val="0"/>
      <w:marRight w:val="0"/>
      <w:marTop w:val="0"/>
      <w:marBottom w:val="0"/>
      <w:divBdr>
        <w:top w:val="none" w:sz="0" w:space="0" w:color="auto"/>
        <w:left w:val="none" w:sz="0" w:space="0" w:color="auto"/>
        <w:bottom w:val="none" w:sz="0" w:space="0" w:color="auto"/>
        <w:right w:val="none" w:sz="0" w:space="0" w:color="auto"/>
      </w:divBdr>
    </w:div>
    <w:div w:id="1754082742">
      <w:bodyDiv w:val="1"/>
      <w:marLeft w:val="0"/>
      <w:marRight w:val="0"/>
      <w:marTop w:val="0"/>
      <w:marBottom w:val="0"/>
      <w:divBdr>
        <w:top w:val="none" w:sz="0" w:space="0" w:color="auto"/>
        <w:left w:val="none" w:sz="0" w:space="0" w:color="auto"/>
        <w:bottom w:val="none" w:sz="0" w:space="0" w:color="auto"/>
        <w:right w:val="none" w:sz="0" w:space="0" w:color="auto"/>
      </w:divBdr>
    </w:div>
    <w:div w:id="1773476789">
      <w:bodyDiv w:val="1"/>
      <w:marLeft w:val="0"/>
      <w:marRight w:val="0"/>
      <w:marTop w:val="0"/>
      <w:marBottom w:val="0"/>
      <w:divBdr>
        <w:top w:val="none" w:sz="0" w:space="0" w:color="auto"/>
        <w:left w:val="none" w:sz="0" w:space="0" w:color="auto"/>
        <w:bottom w:val="none" w:sz="0" w:space="0" w:color="auto"/>
        <w:right w:val="none" w:sz="0" w:space="0" w:color="auto"/>
      </w:divBdr>
    </w:div>
    <w:div w:id="1777292084">
      <w:bodyDiv w:val="1"/>
      <w:marLeft w:val="0"/>
      <w:marRight w:val="0"/>
      <w:marTop w:val="0"/>
      <w:marBottom w:val="0"/>
      <w:divBdr>
        <w:top w:val="none" w:sz="0" w:space="0" w:color="auto"/>
        <w:left w:val="none" w:sz="0" w:space="0" w:color="auto"/>
        <w:bottom w:val="none" w:sz="0" w:space="0" w:color="auto"/>
        <w:right w:val="none" w:sz="0" w:space="0" w:color="auto"/>
      </w:divBdr>
    </w:div>
    <w:div w:id="1825969598">
      <w:bodyDiv w:val="1"/>
      <w:marLeft w:val="0"/>
      <w:marRight w:val="0"/>
      <w:marTop w:val="0"/>
      <w:marBottom w:val="0"/>
      <w:divBdr>
        <w:top w:val="none" w:sz="0" w:space="0" w:color="auto"/>
        <w:left w:val="none" w:sz="0" w:space="0" w:color="auto"/>
        <w:bottom w:val="none" w:sz="0" w:space="0" w:color="auto"/>
        <w:right w:val="none" w:sz="0" w:space="0" w:color="auto"/>
      </w:divBdr>
    </w:div>
    <w:div w:id="1841113360">
      <w:bodyDiv w:val="1"/>
      <w:marLeft w:val="0"/>
      <w:marRight w:val="0"/>
      <w:marTop w:val="0"/>
      <w:marBottom w:val="0"/>
      <w:divBdr>
        <w:top w:val="none" w:sz="0" w:space="0" w:color="auto"/>
        <w:left w:val="none" w:sz="0" w:space="0" w:color="auto"/>
        <w:bottom w:val="none" w:sz="0" w:space="0" w:color="auto"/>
        <w:right w:val="none" w:sz="0" w:space="0" w:color="auto"/>
      </w:divBdr>
    </w:div>
    <w:div w:id="1869297587">
      <w:bodyDiv w:val="1"/>
      <w:marLeft w:val="0"/>
      <w:marRight w:val="0"/>
      <w:marTop w:val="0"/>
      <w:marBottom w:val="0"/>
      <w:divBdr>
        <w:top w:val="none" w:sz="0" w:space="0" w:color="auto"/>
        <w:left w:val="none" w:sz="0" w:space="0" w:color="auto"/>
        <w:bottom w:val="none" w:sz="0" w:space="0" w:color="auto"/>
        <w:right w:val="none" w:sz="0" w:space="0" w:color="auto"/>
      </w:divBdr>
    </w:div>
    <w:div w:id="1869752068">
      <w:bodyDiv w:val="1"/>
      <w:marLeft w:val="0"/>
      <w:marRight w:val="0"/>
      <w:marTop w:val="0"/>
      <w:marBottom w:val="0"/>
      <w:divBdr>
        <w:top w:val="none" w:sz="0" w:space="0" w:color="auto"/>
        <w:left w:val="none" w:sz="0" w:space="0" w:color="auto"/>
        <w:bottom w:val="none" w:sz="0" w:space="0" w:color="auto"/>
        <w:right w:val="none" w:sz="0" w:space="0" w:color="auto"/>
      </w:divBdr>
    </w:div>
    <w:div w:id="1871647589">
      <w:bodyDiv w:val="1"/>
      <w:marLeft w:val="0"/>
      <w:marRight w:val="0"/>
      <w:marTop w:val="0"/>
      <w:marBottom w:val="0"/>
      <w:divBdr>
        <w:top w:val="none" w:sz="0" w:space="0" w:color="auto"/>
        <w:left w:val="none" w:sz="0" w:space="0" w:color="auto"/>
        <w:bottom w:val="none" w:sz="0" w:space="0" w:color="auto"/>
        <w:right w:val="none" w:sz="0" w:space="0" w:color="auto"/>
      </w:divBdr>
    </w:div>
    <w:div w:id="1873688971">
      <w:bodyDiv w:val="1"/>
      <w:marLeft w:val="0"/>
      <w:marRight w:val="0"/>
      <w:marTop w:val="0"/>
      <w:marBottom w:val="0"/>
      <w:divBdr>
        <w:top w:val="none" w:sz="0" w:space="0" w:color="auto"/>
        <w:left w:val="none" w:sz="0" w:space="0" w:color="auto"/>
        <w:bottom w:val="none" w:sz="0" w:space="0" w:color="auto"/>
        <w:right w:val="none" w:sz="0" w:space="0" w:color="auto"/>
      </w:divBdr>
    </w:div>
    <w:div w:id="1901283008">
      <w:bodyDiv w:val="1"/>
      <w:marLeft w:val="0"/>
      <w:marRight w:val="0"/>
      <w:marTop w:val="0"/>
      <w:marBottom w:val="0"/>
      <w:divBdr>
        <w:top w:val="none" w:sz="0" w:space="0" w:color="auto"/>
        <w:left w:val="none" w:sz="0" w:space="0" w:color="auto"/>
        <w:bottom w:val="none" w:sz="0" w:space="0" w:color="auto"/>
        <w:right w:val="none" w:sz="0" w:space="0" w:color="auto"/>
      </w:divBdr>
    </w:div>
    <w:div w:id="1901332132">
      <w:bodyDiv w:val="1"/>
      <w:marLeft w:val="0"/>
      <w:marRight w:val="0"/>
      <w:marTop w:val="0"/>
      <w:marBottom w:val="0"/>
      <w:divBdr>
        <w:top w:val="none" w:sz="0" w:space="0" w:color="auto"/>
        <w:left w:val="none" w:sz="0" w:space="0" w:color="auto"/>
        <w:bottom w:val="none" w:sz="0" w:space="0" w:color="auto"/>
        <w:right w:val="none" w:sz="0" w:space="0" w:color="auto"/>
      </w:divBdr>
    </w:div>
    <w:div w:id="1902518328">
      <w:bodyDiv w:val="1"/>
      <w:marLeft w:val="0"/>
      <w:marRight w:val="0"/>
      <w:marTop w:val="0"/>
      <w:marBottom w:val="0"/>
      <w:divBdr>
        <w:top w:val="none" w:sz="0" w:space="0" w:color="auto"/>
        <w:left w:val="none" w:sz="0" w:space="0" w:color="auto"/>
        <w:bottom w:val="none" w:sz="0" w:space="0" w:color="auto"/>
        <w:right w:val="none" w:sz="0" w:space="0" w:color="auto"/>
      </w:divBdr>
    </w:div>
    <w:div w:id="1905991206">
      <w:bodyDiv w:val="1"/>
      <w:marLeft w:val="0"/>
      <w:marRight w:val="0"/>
      <w:marTop w:val="0"/>
      <w:marBottom w:val="0"/>
      <w:divBdr>
        <w:top w:val="none" w:sz="0" w:space="0" w:color="auto"/>
        <w:left w:val="none" w:sz="0" w:space="0" w:color="auto"/>
        <w:bottom w:val="none" w:sz="0" w:space="0" w:color="auto"/>
        <w:right w:val="none" w:sz="0" w:space="0" w:color="auto"/>
      </w:divBdr>
    </w:div>
    <w:div w:id="1919052036">
      <w:bodyDiv w:val="1"/>
      <w:marLeft w:val="0"/>
      <w:marRight w:val="0"/>
      <w:marTop w:val="0"/>
      <w:marBottom w:val="0"/>
      <w:divBdr>
        <w:top w:val="none" w:sz="0" w:space="0" w:color="auto"/>
        <w:left w:val="none" w:sz="0" w:space="0" w:color="auto"/>
        <w:bottom w:val="none" w:sz="0" w:space="0" w:color="auto"/>
        <w:right w:val="none" w:sz="0" w:space="0" w:color="auto"/>
      </w:divBdr>
    </w:div>
    <w:div w:id="1974599921">
      <w:bodyDiv w:val="1"/>
      <w:marLeft w:val="0"/>
      <w:marRight w:val="0"/>
      <w:marTop w:val="0"/>
      <w:marBottom w:val="0"/>
      <w:divBdr>
        <w:top w:val="none" w:sz="0" w:space="0" w:color="auto"/>
        <w:left w:val="none" w:sz="0" w:space="0" w:color="auto"/>
        <w:bottom w:val="none" w:sz="0" w:space="0" w:color="auto"/>
        <w:right w:val="none" w:sz="0" w:space="0" w:color="auto"/>
      </w:divBdr>
    </w:div>
    <w:div w:id="2004307859">
      <w:bodyDiv w:val="1"/>
      <w:marLeft w:val="0"/>
      <w:marRight w:val="0"/>
      <w:marTop w:val="0"/>
      <w:marBottom w:val="0"/>
      <w:divBdr>
        <w:top w:val="none" w:sz="0" w:space="0" w:color="auto"/>
        <w:left w:val="none" w:sz="0" w:space="0" w:color="auto"/>
        <w:bottom w:val="none" w:sz="0" w:space="0" w:color="auto"/>
        <w:right w:val="none" w:sz="0" w:space="0" w:color="auto"/>
      </w:divBdr>
    </w:div>
    <w:div w:id="2019305740">
      <w:bodyDiv w:val="1"/>
      <w:marLeft w:val="0"/>
      <w:marRight w:val="0"/>
      <w:marTop w:val="0"/>
      <w:marBottom w:val="0"/>
      <w:divBdr>
        <w:top w:val="none" w:sz="0" w:space="0" w:color="auto"/>
        <w:left w:val="none" w:sz="0" w:space="0" w:color="auto"/>
        <w:bottom w:val="none" w:sz="0" w:space="0" w:color="auto"/>
        <w:right w:val="none" w:sz="0" w:space="0" w:color="auto"/>
      </w:divBdr>
    </w:div>
    <w:div w:id="2050949894">
      <w:bodyDiv w:val="1"/>
      <w:marLeft w:val="0"/>
      <w:marRight w:val="0"/>
      <w:marTop w:val="0"/>
      <w:marBottom w:val="0"/>
      <w:divBdr>
        <w:top w:val="none" w:sz="0" w:space="0" w:color="auto"/>
        <w:left w:val="none" w:sz="0" w:space="0" w:color="auto"/>
        <w:bottom w:val="none" w:sz="0" w:space="0" w:color="auto"/>
        <w:right w:val="none" w:sz="0" w:space="0" w:color="auto"/>
      </w:divBdr>
    </w:div>
    <w:div w:id="2051105812">
      <w:bodyDiv w:val="1"/>
      <w:marLeft w:val="0"/>
      <w:marRight w:val="0"/>
      <w:marTop w:val="0"/>
      <w:marBottom w:val="0"/>
      <w:divBdr>
        <w:top w:val="none" w:sz="0" w:space="0" w:color="auto"/>
        <w:left w:val="none" w:sz="0" w:space="0" w:color="auto"/>
        <w:bottom w:val="none" w:sz="0" w:space="0" w:color="auto"/>
        <w:right w:val="none" w:sz="0" w:space="0" w:color="auto"/>
      </w:divBdr>
    </w:div>
    <w:div w:id="2063211324">
      <w:bodyDiv w:val="1"/>
      <w:marLeft w:val="0"/>
      <w:marRight w:val="0"/>
      <w:marTop w:val="0"/>
      <w:marBottom w:val="0"/>
      <w:divBdr>
        <w:top w:val="none" w:sz="0" w:space="0" w:color="auto"/>
        <w:left w:val="none" w:sz="0" w:space="0" w:color="auto"/>
        <w:bottom w:val="none" w:sz="0" w:space="0" w:color="auto"/>
        <w:right w:val="none" w:sz="0" w:space="0" w:color="auto"/>
      </w:divBdr>
    </w:div>
    <w:div w:id="2065827683">
      <w:bodyDiv w:val="1"/>
      <w:marLeft w:val="0"/>
      <w:marRight w:val="0"/>
      <w:marTop w:val="0"/>
      <w:marBottom w:val="0"/>
      <w:divBdr>
        <w:top w:val="none" w:sz="0" w:space="0" w:color="auto"/>
        <w:left w:val="none" w:sz="0" w:space="0" w:color="auto"/>
        <w:bottom w:val="none" w:sz="0" w:space="0" w:color="auto"/>
        <w:right w:val="none" w:sz="0" w:space="0" w:color="auto"/>
      </w:divBdr>
    </w:div>
    <w:div w:id="2080595112">
      <w:bodyDiv w:val="1"/>
      <w:marLeft w:val="0"/>
      <w:marRight w:val="0"/>
      <w:marTop w:val="0"/>
      <w:marBottom w:val="0"/>
      <w:divBdr>
        <w:top w:val="none" w:sz="0" w:space="0" w:color="auto"/>
        <w:left w:val="none" w:sz="0" w:space="0" w:color="auto"/>
        <w:bottom w:val="none" w:sz="0" w:space="0" w:color="auto"/>
        <w:right w:val="none" w:sz="0" w:space="0" w:color="auto"/>
      </w:divBdr>
    </w:div>
    <w:div w:id="2099015399">
      <w:bodyDiv w:val="1"/>
      <w:marLeft w:val="0"/>
      <w:marRight w:val="0"/>
      <w:marTop w:val="0"/>
      <w:marBottom w:val="0"/>
      <w:divBdr>
        <w:top w:val="none" w:sz="0" w:space="0" w:color="auto"/>
        <w:left w:val="none" w:sz="0" w:space="0" w:color="auto"/>
        <w:bottom w:val="none" w:sz="0" w:space="0" w:color="auto"/>
        <w:right w:val="none" w:sz="0" w:space="0" w:color="auto"/>
      </w:divBdr>
    </w:div>
    <w:div w:id="2144077363">
      <w:bodyDiv w:val="1"/>
      <w:marLeft w:val="0"/>
      <w:marRight w:val="0"/>
      <w:marTop w:val="0"/>
      <w:marBottom w:val="0"/>
      <w:divBdr>
        <w:top w:val="none" w:sz="0" w:space="0" w:color="auto"/>
        <w:left w:val="none" w:sz="0" w:space="0" w:color="auto"/>
        <w:bottom w:val="none" w:sz="0" w:space="0" w:color="auto"/>
        <w:right w:val="none" w:sz="0" w:space="0" w:color="auto"/>
      </w:divBdr>
      <w:divsChild>
        <w:div w:id="682636180">
          <w:marLeft w:val="0"/>
          <w:marRight w:val="0"/>
          <w:marTop w:val="0"/>
          <w:marBottom w:val="0"/>
          <w:divBdr>
            <w:top w:val="none" w:sz="0" w:space="0" w:color="auto"/>
            <w:left w:val="none" w:sz="0" w:space="0" w:color="auto"/>
            <w:bottom w:val="none" w:sz="0" w:space="0" w:color="auto"/>
            <w:right w:val="none" w:sz="0" w:space="0" w:color="auto"/>
          </w:divBdr>
        </w:div>
        <w:div w:id="1143621775">
          <w:marLeft w:val="0"/>
          <w:marRight w:val="0"/>
          <w:marTop w:val="0"/>
          <w:marBottom w:val="0"/>
          <w:divBdr>
            <w:top w:val="none" w:sz="0" w:space="0" w:color="auto"/>
            <w:left w:val="none" w:sz="0" w:space="0" w:color="auto"/>
            <w:bottom w:val="none" w:sz="0" w:space="0" w:color="auto"/>
            <w:right w:val="none" w:sz="0" w:space="0" w:color="auto"/>
          </w:divBdr>
        </w:div>
        <w:div w:id="1274559095">
          <w:marLeft w:val="0"/>
          <w:marRight w:val="0"/>
          <w:marTop w:val="0"/>
          <w:marBottom w:val="0"/>
          <w:divBdr>
            <w:top w:val="none" w:sz="0" w:space="0" w:color="auto"/>
            <w:left w:val="none" w:sz="0" w:space="0" w:color="auto"/>
            <w:bottom w:val="none" w:sz="0" w:space="0" w:color="auto"/>
            <w:right w:val="none" w:sz="0" w:space="0" w:color="auto"/>
          </w:divBdr>
        </w:div>
        <w:div w:id="136591096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twitter.com/OntHumanRights/status/1626623173914419200?cxt=HHwWgICziZLK9pItAAAA" TargetMode="External"/><Relationship Id="rId21" Type="http://schemas.openxmlformats.org/officeDocument/2006/relationships/hyperlink" Target="https://www3.ohrc.on.ca/en/human-rights-based-approach-policy-and-program-development" TargetMode="External"/><Relationship Id="rId42" Type="http://schemas.openxmlformats.org/officeDocument/2006/relationships/hyperlink" Target="https://www.ohrc.on.ca/en/dream-together-indigenous-peoples-and-human-rights-dialogue-report" TargetMode="External"/><Relationship Id="rId63" Type="http://schemas.openxmlformats.org/officeDocument/2006/relationships/hyperlink" Target="https://www.ohrc.on.ca/en/submission-ontario-human-rights-commission-modifications-equipment-and-use-force-regulation-under" TargetMode="External"/><Relationship Id="rId84" Type="http://schemas.openxmlformats.org/officeDocument/2006/relationships/hyperlink" Target="https://www.ohrc.on.ca/en/news-center/letter-solicitor-general-elimination-community-advisory-boards" TargetMode="External"/><Relationship Id="rId138" Type="http://schemas.openxmlformats.org/officeDocument/2006/relationships/hyperlink" Target="https://www.ohrc.on.ca/en/news-center/emergency-care-establishment-law-000-2024" TargetMode="External"/><Relationship Id="rId107" Type="http://schemas.openxmlformats.org/officeDocument/2006/relationships/hyperlink" Target="https://www.ohrc.on.ca/en/policy-ableism-and-discrimination-based-disability" TargetMode="External"/><Relationship Id="rId11" Type="http://schemas.openxmlformats.org/officeDocument/2006/relationships/hyperlink" Target="https://www.ohrc.on.ca/en/news_centre/ohrc-files-human-rights-application-related-deaths-joey-knapaysweet-agnes-sutherland-1" TargetMode="External"/><Relationship Id="rId32" Type="http://schemas.openxmlformats.org/officeDocument/2006/relationships/hyperlink" Target="https://www.itk.ca/wp-content/uploads/2024/11/20241108-Inuit-specific-child-welfare-data-discussion-paper-EN.pdf" TargetMode="External"/><Relationship Id="rId53" Type="http://schemas.openxmlformats.org/officeDocument/2006/relationships/hyperlink" Target="https://www.ohrc.on.ca/en/public-interest-inquiry-racial-profiling-and-discrimination-toronto-police-service/collective" TargetMode="External"/><Relationship Id="rId74" Type="http://schemas.openxmlformats.org/officeDocument/2006/relationships/hyperlink" Target="https://www.ohrc.on.ca/en/submission-ohrc-ministry-community-safety-and-correctional-services-provincial-segregation-review" TargetMode="External"/><Relationship Id="rId128" Type="http://schemas.openxmlformats.org/officeDocument/2006/relationships/hyperlink" Target="https://www.ohrc.on.ca/en/news-center/ohrc-policy-statement-covid-19-vaccine-mandates-and-proof-vaccine-certificates" TargetMode="External"/><Relationship Id="rId149" Type="http://schemas.openxmlformats.org/officeDocument/2006/relationships/footer" Target="footer1.xml"/><Relationship Id="rId5" Type="http://schemas.openxmlformats.org/officeDocument/2006/relationships/numbering" Target="numbering.xml"/><Relationship Id="rId95" Type="http://schemas.openxmlformats.org/officeDocument/2006/relationships/hyperlink" Target="https://www.ohrc.on.ca/en/news-center/submission-tpsb-use-artificial-intelligence-technologies-policy" TargetMode="External"/><Relationship Id="rId22" Type="http://schemas.openxmlformats.org/officeDocument/2006/relationships/hyperlink" Target="https://www.ohrc.on.ca/en/ontario-human-rights-commission-strategic-plan-2023-2025" TargetMode="External"/><Relationship Id="rId27" Type="http://schemas.openxmlformats.org/officeDocument/2006/relationships/hyperlink" Target="https://www.ontario.ca/page/indigenous-control-over-child-and-family-services" TargetMode="External"/><Relationship Id="rId43" Type="http://schemas.openxmlformats.org/officeDocument/2006/relationships/hyperlink" Target="https://www.ohrc.on.ca/en/news-center/statement-unmarked-graves-found-former-saskatchewan-residential-school-site-growing" TargetMode="External"/><Relationship Id="rId48" Type="http://schemas.openxmlformats.org/officeDocument/2006/relationships/hyperlink" Target="http://www.ohrc.on.ca/en/under-suspicion-research-and-consultation-report-racial-profiling-ontario" TargetMode="External"/><Relationship Id="rId64" Type="http://schemas.openxmlformats.org/officeDocument/2006/relationships/hyperlink" Target="https://www.ohrc.on.ca/en/news-center/deputation-toronto-police-services-board-conducted-energy-weapons" TargetMode="External"/><Relationship Id="rId69" Type="http://schemas.openxmlformats.org/officeDocument/2006/relationships/hyperlink" Target="https://www.ohrc.on.ca/sites/default/files/OHRC%20Contravention%20Application%20-%20Jahn%20v%20MCSCS%20-%20Sept%202017.pdf" TargetMode="External"/><Relationship Id="rId113" Type="http://schemas.openxmlformats.org/officeDocument/2006/relationships/hyperlink" Target="https://www.ohrc.on.ca/en/policy-preventing-discrimination-based-creed/11-indigenous-spiritual-practices" TargetMode="External"/><Relationship Id="rId118" Type="http://schemas.openxmlformats.org/officeDocument/2006/relationships/hyperlink" Target="https://www.ohrc.on.ca/en/policy-statement-religious-accommodation-schools" TargetMode="External"/><Relationship Id="rId134" Type="http://schemas.openxmlformats.org/officeDocument/2006/relationships/hyperlink" Target="https://www.ohrc.on.ca/sites/default/files/20221101%20OHRC%20Background%20Paper_Poverty%20and%20systemic%20discrimination_DESIGNED.pdf" TargetMode="External"/><Relationship Id="rId139" Type="http://schemas.openxmlformats.org/officeDocument/2006/relationships/hyperlink" Target="https://www.ohrc.on.ca/en/news-center/letter-mayor-and-council-township-brock-decisions-and-laws-supportive-housing" TargetMode="External"/><Relationship Id="rId80" Type="http://schemas.openxmlformats.org/officeDocument/2006/relationships/hyperlink" Target="https://www.ohrc.on.ca/en/news-center/submission-ontario-human-rights-commission-ministry-solicitor-general-proposed" TargetMode="External"/><Relationship Id="rId85" Type="http://schemas.openxmlformats.org/officeDocument/2006/relationships/hyperlink" Target="https://www.ohrc.on.ca/en/submission-ontario-human-rights-commission-ministry-solicitor-general-call-submissions-modernizing" TargetMode="External"/><Relationship Id="rId150" Type="http://schemas.openxmlformats.org/officeDocument/2006/relationships/footer" Target="footer2.xml"/><Relationship Id="rId12" Type="http://schemas.openxmlformats.org/officeDocument/2006/relationships/hyperlink" Target="https://www.ohrc.on.ca/en/submission-ohrc-regarding-canadas-fourth-universal-periodic-review-upr" TargetMode="External"/><Relationship Id="rId17" Type="http://schemas.openxmlformats.org/officeDocument/2006/relationships/hyperlink" Target="https://tribunalsontario.ca/" TargetMode="External"/><Relationship Id="rId33" Type="http://schemas.openxmlformats.org/officeDocument/2006/relationships/hyperlink" Target="https://www.ohrc.on.ca/en/under-suspicion-concerns-about-child-welfare" TargetMode="External"/><Relationship Id="rId38" Type="http://schemas.openxmlformats.org/officeDocument/2006/relationships/hyperlink" Target="https://www.ohrc.on.ca/en/news_centre/ohrc-files-human-rights-application-related-deaths-joey-knapaysweet-agnes-sutherland-1" TargetMode="External"/><Relationship Id="rId59" Type="http://schemas.openxmlformats.org/officeDocument/2006/relationships/hyperlink" Target="https://www.ohrc.on.ca/en/policy-eliminating-racial-profiling-law-enforcement" TargetMode="External"/><Relationship Id="rId103" Type="http://schemas.openxmlformats.org/officeDocument/2006/relationships/hyperlink" Target="https://www.ohrc.on.ca/en/backgrounder-talking-about-gender-identity-and-gender-expression" TargetMode="External"/><Relationship Id="rId108" Type="http://schemas.openxmlformats.org/officeDocument/2006/relationships/hyperlink" Target="https://www.ohrc.on.ca/en/poverty-point-view-pov" TargetMode="External"/><Relationship Id="rId124" Type="http://schemas.openxmlformats.org/officeDocument/2006/relationships/hyperlink" Target="https://www.ohrc.on.ca/en/human-rights-and-covid-19-statements-and-resources-canada-and-around-world" TargetMode="External"/><Relationship Id="rId129" Type="http://schemas.openxmlformats.org/officeDocument/2006/relationships/hyperlink" Target="https://www.ohrc.on.ca/en/news-center/critical-juncture-hate" TargetMode="External"/><Relationship Id="rId54" Type="http://schemas.openxmlformats.org/officeDocument/2006/relationships/hyperlink" Target="https://www.ohrc.on.ca/en/disparate-impact-second-interim-report-inquiry-racial-profiling-and-racial-discrimination-black" TargetMode="External"/><Relationship Id="rId70" Type="http://schemas.openxmlformats.org/officeDocument/2006/relationships/hyperlink" Target="https://www.ohrc.on.ca/en/segregation-and-mental-health-ontario%E2%80%99s-prisons-jahn-v-ministry-community-safety-and-correctional" TargetMode="External"/><Relationship Id="rId75" Type="http://schemas.openxmlformats.org/officeDocument/2006/relationships/hyperlink" Target="https://www.ohrc.on.ca/en/supplementary-submission-ohrc-mcscs-provincial-segregation-review" TargetMode="External"/><Relationship Id="rId91" Type="http://schemas.openxmlformats.org/officeDocument/2006/relationships/hyperlink" Target="https://www.ohrc.on.ca/en/news_centre/ohrc-statement-code-obligations-education-officials" TargetMode="External"/><Relationship Id="rId96" Type="http://schemas.openxmlformats.org/officeDocument/2006/relationships/hyperlink" Target="https://www.ohrc.on.ca/en/news-center/joint-statement-information-and-privacy-commissioner-ontario-and-ontario-human-rights" TargetMode="External"/><Relationship Id="rId140" Type="http://schemas.openxmlformats.org/officeDocument/2006/relationships/hyperlink" Target="https://www.ohrc.on.ca/en/more-homes-built-faster-act-ohrc-submissions" TargetMode="External"/><Relationship Id="rId145" Type="http://schemas.openxmlformats.org/officeDocument/2006/relationships/hyperlink" Target="https://www.ohrc.on.ca/en/news-center/ohrc-statement-human-rights-and-access-cold-weather-service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ohrc.on.ca/en/interrupted-childhoods-over-representation-indigenous-and-black-children-ontario-child-welfare" TargetMode="External"/><Relationship Id="rId28" Type="http://schemas.openxmlformats.org/officeDocument/2006/relationships/hyperlink" Target="https://laws-lois.justice.gc.ca/eng/acts/F-11.73/index.html" TargetMode="External"/><Relationship Id="rId49" Type="http://schemas.openxmlformats.org/officeDocument/2006/relationships/hyperlink" Target="https://www.ohrc.on.ca/en/framework-change-address-systemic-racism-policing" TargetMode="External"/><Relationship Id="rId114" Type="http://schemas.openxmlformats.org/officeDocument/2006/relationships/hyperlink" Target="https://www.ohrc.on.ca/en/news-center/history-teaches-us-difficult-conversations-about-religion-must-start-respect-and" TargetMode="External"/><Relationship Id="rId119" Type="http://schemas.openxmlformats.org/officeDocument/2006/relationships/hyperlink" Target="https://tbinternet.ohchr.org/_layouts/15/treatybodyexternal/Download.aspx?symbolno=INT%2FCERD%2FGEC%2F7501&amp;Lang=en" TargetMode="External"/><Relationship Id="rId44" Type="http://schemas.openxmlformats.org/officeDocument/2006/relationships/hyperlink" Target="https://www.ohrc.on.ca/en/news-center/ohrc-statement-unmarked-graves-found-former-ontario-residential-school-sites" TargetMode="External"/><Relationship Id="rId60" Type="http://schemas.openxmlformats.org/officeDocument/2006/relationships/hyperlink" Target="https://www.ohrc.on.ca/en/news-center/joint-statement-ontario-human-rights-commission-peel-regional-police-and-peel-police" TargetMode="External"/><Relationship Id="rId65" Type="http://schemas.openxmlformats.org/officeDocument/2006/relationships/hyperlink" Target="https://www.ohrc.on.ca/en/strategy-safer-ontario-ohrc-submission-mcscs" TargetMode="External"/><Relationship Id="rId81" Type="http://schemas.openxmlformats.org/officeDocument/2006/relationships/hyperlink" Target="https://www.ohrc.on.ca/en/submission-ontario-human-rights-commission-ministry-solicitor-general-proposed-amendments-regulation" TargetMode="External"/><Relationship Id="rId86" Type="http://schemas.openxmlformats.org/officeDocument/2006/relationships/hyperlink" Target="https://www.ohrc.on.ca/en/news-center/joint-submission-ontarios-consultation-2020-budget-necessary-investments-ontarios" TargetMode="External"/><Relationship Id="rId130" Type="http://schemas.openxmlformats.org/officeDocument/2006/relationships/hyperlink" Target="https://www.ohrc.on.ca/en/news-center/statement-ohrc-urges-respect-human-rights-during-coronavirus-health-event" TargetMode="External"/><Relationship Id="rId135" Type="http://schemas.openxmlformats.org/officeDocument/2006/relationships/hyperlink" Target="https://www.ohrc.on.ca/en/news-center/ohrc-statement-human-rights-and-encampments-and-shelter-closings" TargetMode="External"/><Relationship Id="rId151" Type="http://schemas.openxmlformats.org/officeDocument/2006/relationships/fontTable" Target="fontTable.xml"/><Relationship Id="rId13" Type="http://schemas.openxmlformats.org/officeDocument/2006/relationships/hyperlink" Target="https://www.ohchr.org/en/instruments-mechanisms/instruments/international-covenant-civil-and-political-rights" TargetMode="External"/><Relationship Id="rId18" Type="http://schemas.openxmlformats.org/officeDocument/2006/relationships/hyperlink" Target="https://www.ontario.ca/laws/statute/90h19" TargetMode="External"/><Relationship Id="rId39" Type="http://schemas.openxmlformats.org/officeDocument/2006/relationships/hyperlink" Target="https://www.ohrc.on.ca/en/guide-identifying-and-addressing-anti-indigenous-discrimination-retail-settings" TargetMode="External"/><Relationship Id="rId109" Type="http://schemas.openxmlformats.org/officeDocument/2006/relationships/hyperlink" Target="https://housingrightscanada.com/canada-must-have-a-more-inclusive-definition-of-homelessness-for-women-and-gender-diverse-people/" TargetMode="External"/><Relationship Id="rId34" Type="http://schemas.openxmlformats.org/officeDocument/2006/relationships/hyperlink" Target="https://www.ohrc.on.ca/en/news-center/letter-associate-minister-dunlop-child-welfare-system-consultation" TargetMode="External"/><Relationship Id="rId50" Type="http://schemas.openxmlformats.org/officeDocument/2006/relationships/hyperlink" Target="https://www.ohrc.on.ca/en/impact-action-final-report-anti-black-racism-toronto-police-service" TargetMode="External"/><Relationship Id="rId55" Type="http://schemas.openxmlformats.org/officeDocument/2006/relationships/hyperlink" Target="https://www.peelpolice.ca/en/who-we-are/resources/Documents/OHRP/2021-Community-Survey-on-Policing-in-Peel-Results-Rev1-Remediated.pdf" TargetMode="External"/><Relationship Id="rId76" Type="http://schemas.openxmlformats.org/officeDocument/2006/relationships/hyperlink" Target="https://www.ohrc.on.ca/en/news-center/end-segregation-says-ontario-human-rights-commission" TargetMode="External"/><Relationship Id="rId97" Type="http://schemas.openxmlformats.org/officeDocument/2006/relationships/hyperlink" Target="https://www.ohrc.on.ca/en/news-center/ontario-human-rights-commission-submission-standing-committee-social-policy-regarding" TargetMode="External"/><Relationship Id="rId104" Type="http://schemas.openxmlformats.org/officeDocument/2006/relationships/hyperlink" Target="https://www.ohrc.on.ca/en/policy-preventing-sexual-and-gender-based-harassment-0" TargetMode="External"/><Relationship Id="rId120" Type="http://schemas.openxmlformats.org/officeDocument/2006/relationships/hyperlink" Target="https://humanrights.gov.au/__data/assets/file/0028/46828/National_anti-racism_framework_scoping_report_2022.pdf" TargetMode="External"/><Relationship Id="rId125" Type="http://schemas.openxmlformats.org/officeDocument/2006/relationships/hyperlink" Target="https://www.ohrc.on.ca/en/ohrc-letter-solicitor-general-jones-covid-19-transmission-correctional-facilities" TargetMode="External"/><Relationship Id="rId141" Type="http://schemas.openxmlformats.org/officeDocument/2006/relationships/hyperlink" Target="https://www.ohrc.on.ca/en/human-rights-based-approach-policy-and-program-development-0" TargetMode="External"/><Relationship Id="rId146" Type="http://schemas.openxmlformats.org/officeDocument/2006/relationships/hyperlink" Target="https://www.ohrc.on.ca/en/news-center/ohrc-statement-human-rights-extreme-heat-waves-and-air-conditioning" TargetMode="External"/><Relationship Id="rId7" Type="http://schemas.openxmlformats.org/officeDocument/2006/relationships/settings" Target="settings.xml"/><Relationship Id="rId71" Type="http://schemas.openxmlformats.org/officeDocument/2006/relationships/hyperlink" Target="https://www.ohrc.on.ca/sites/default/files/OHRC%20v%20MCSCS_Consent%20Order%20_Jan2018_accessible.pdf" TargetMode="External"/><Relationship Id="rId92" Type="http://schemas.openxmlformats.org/officeDocument/2006/relationships/hyperlink" Target="https://www.ohrc.on.ca/en/opinion-editorial-tvoorg-anti-hate" TargetMode="External"/><Relationship Id="rId2" Type="http://schemas.openxmlformats.org/officeDocument/2006/relationships/customXml" Target="../customXml/item2.xml"/><Relationship Id="rId29" Type="http://schemas.openxmlformats.org/officeDocument/2006/relationships/hyperlink" Target="https://www.ontario.ca/document/open-data-guidebook-guide-open-data-directive-2019" TargetMode="External"/><Relationship Id="rId24" Type="http://schemas.openxmlformats.org/officeDocument/2006/relationships/hyperlink" Target="https://www.ontario.ca/laws/regulation/180267" TargetMode="External"/><Relationship Id="rId40" Type="http://schemas.openxmlformats.org/officeDocument/2006/relationships/hyperlink" Target="https://www.ohrc.on.ca/en/fact-sheet-recognizing-anti-indigenous-discrimination-and-harassment-retail-settings" TargetMode="External"/><Relationship Id="rId45" Type="http://schemas.openxmlformats.org/officeDocument/2006/relationships/hyperlink" Target="https://www.ohrc.on.ca/en/submission-united-nations-international-independent-expert-mechanism-advance-racial-justice-and" TargetMode="External"/><Relationship Id="rId66" Type="http://schemas.openxmlformats.org/officeDocument/2006/relationships/hyperlink" Target="https://www.ohrc.on.ca/en/ohrc-submission-ministry-solicitor-general-equipment-and-use-force-regulation-amendment-and" TargetMode="External"/><Relationship Id="rId87" Type="http://schemas.openxmlformats.org/officeDocument/2006/relationships/hyperlink" Target="https://www150.statcan.gc.ca/n1/daily-quotidien/250325/dq250325a-eng.htm" TargetMode="External"/><Relationship Id="rId110" Type="http://schemas.openxmlformats.org/officeDocument/2006/relationships/hyperlink" Target="https://www.ohrc.on.ca/en/news-center/emergency-care-establishment-law-000-2024" TargetMode="External"/><Relationship Id="rId115" Type="http://schemas.openxmlformats.org/officeDocument/2006/relationships/hyperlink" Target="https://www.ohrc.on.ca/en/news-center/ohrc-statement-national-summit-islamophobia" TargetMode="External"/><Relationship Id="rId131" Type="http://schemas.openxmlformats.org/officeDocument/2006/relationships/hyperlink" Target="https://www.ohrc.on.ca/en/news-center/ohrc-urges-ontarians-respect-human-rights-south-asian-communities" TargetMode="External"/><Relationship Id="rId136" Type="http://schemas.openxmlformats.org/officeDocument/2006/relationships/hyperlink" Target="https://www.ohrc.on.ca/en/ohrc-letter-city-kingston-regarding-encampments" TargetMode="External"/><Relationship Id="rId61" Type="http://schemas.openxmlformats.org/officeDocument/2006/relationships/hyperlink" Target="https://data.ontario.ca/dataset/police-use-of-force-race-based-data/resource/690d4c5e-095e-49a0-bbab-b7fc680f3c6b" TargetMode="External"/><Relationship Id="rId82" Type="http://schemas.openxmlformats.org/officeDocument/2006/relationships/hyperlink" Target="https://www.cbc.ca/news/canada/toronto/soleiman-faqiri-jail-death-9.7016459" TargetMode="External"/><Relationship Id="rId152" Type="http://schemas.openxmlformats.org/officeDocument/2006/relationships/theme" Target="theme/theme1.xml"/><Relationship Id="rId19" Type="http://schemas.openxmlformats.org/officeDocument/2006/relationships/hyperlink" Target="https://laws-lois.justice.gc.ca/eng/const/page-12.html" TargetMode="External"/><Relationship Id="rId14" Type="http://schemas.openxmlformats.org/officeDocument/2006/relationships/hyperlink" Target="https://tbinternet.ohchr.org/_layouts/15/treatybodyexternal/Download.aspx?symbolno=CCPR%2FC%2FCAN%2FQPR%2F7&amp;Lang=en" TargetMode="External"/><Relationship Id="rId30" Type="http://schemas.openxmlformats.org/officeDocument/2006/relationships/hyperlink" Target="https://www150.statcan.gc.ca/n1/pub/41-20-0002/412000022024001-eng.htm" TargetMode="External"/><Relationship Id="rId35" Type="http://schemas.openxmlformats.org/officeDocument/2006/relationships/hyperlink" Target="https://www.ohrc.on.ca/en/ontario-human-rights-commissions-ohrc-submission-legislated-review-child-youth-and-family-services" TargetMode="External"/><Relationship Id="rId56" Type="http://schemas.openxmlformats.org/officeDocument/2006/relationships/hyperlink" Target="https://www.peelpolice.ca/Modules/News/index.aspx?feedId=f812883f-9f6d-4ef7-a039-4f196f1f57eb,24cde32a-aa5c-4166-a2b3-26722a001fb4&amp;newsId=f43949d5-5868-48d6-846a-e14de78908fc" TargetMode="External"/><Relationship Id="rId77" Type="http://schemas.openxmlformats.org/officeDocument/2006/relationships/hyperlink" Target="https://www.ohrc.on.ca/en/letter-ministry-community-safety-and-correctional-services-re-findings-tour-vanier-centre-women" TargetMode="External"/><Relationship Id="rId100" Type="http://schemas.openxmlformats.org/officeDocument/2006/relationships/hyperlink" Target="https://www.ohrc.on.ca/en/informing-canadas-renewed-ai-strategy" TargetMode="External"/><Relationship Id="rId105" Type="http://schemas.openxmlformats.org/officeDocument/2006/relationships/hyperlink" Target="https://www.ohrc.on.ca/en/news-center/ohrc-statement-ontario-human-rights-commission-takes-action-respond-immiwg-calls" TargetMode="External"/><Relationship Id="rId126" Type="http://schemas.openxmlformats.org/officeDocument/2006/relationships/hyperlink" Target="https://www.ohrc.on.ca/en/news-center/ohrc-statement-calling-ontarios-justice-sector-fight-covid-19-keeping-prison-custody" TargetMode="External"/><Relationship Id="rId147"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150.statcan.gc.ca/t1/tbl1/en/cv!recreate.action?pid=3510007701&amp;selectedNodeIds=2D1,2D2,2D6&amp;checkedLevels=0D1&amp;refPeriods=20230101,20230101&amp;dimensionLayouts=layout3,layout2,layout2&amp;vectorDisplay=false" TargetMode="External"/><Relationship Id="rId72" Type="http://schemas.openxmlformats.org/officeDocument/2006/relationships/hyperlink" Target="https://www.canlii.org/en/on/onca/doc/2021/2021onca197/2021onca197.html" TargetMode="External"/><Relationship Id="rId93" Type="http://schemas.openxmlformats.org/officeDocument/2006/relationships/hyperlink" Target="https://www.ohrc.on.ca/en/news-center/opening-statement-standing-committee-canadian-heritage-systemic-racism-and-religious" TargetMode="External"/><Relationship Id="rId98" Type="http://schemas.openxmlformats.org/officeDocument/2006/relationships/hyperlink" Target="https://www.ohrc.on.ca/en/bill-194-strengthening-cyber-security-and-building-trust-public-sector-act-2024" TargetMode="External"/><Relationship Id="rId121" Type="http://schemas.openxmlformats.org/officeDocument/2006/relationships/hyperlink" Target="https://www.ohrc.on.ca/en/news-center/ohrcs-policy-position-caste-based-discrimination" TargetMode="External"/><Relationship Id="rId142" Type="http://schemas.openxmlformats.org/officeDocument/2006/relationships/hyperlink" Target="https://www.ohrc.on.ca/en/news-center/ohrc-statement-fair-change-v-ontario-safe-streets-act" TargetMode="External"/><Relationship Id="rId3" Type="http://schemas.openxmlformats.org/officeDocument/2006/relationships/customXml" Target="../customXml/item3.xml"/><Relationship Id="rId25" Type="http://schemas.openxmlformats.org/officeDocument/2006/relationships/hyperlink" Target="https://www.ontario.ca/laws/statute/17a15" TargetMode="External"/><Relationship Id="rId46" Type="http://schemas.openxmlformats.org/officeDocument/2006/relationships/hyperlink" Target="http://www.ohrc.on.ca/en/policy-eliminating-racial-profiling-law-enforcement" TargetMode="External"/><Relationship Id="rId67" Type="http://schemas.openxmlformats.org/officeDocument/2006/relationships/hyperlink" Target="https://www.ohrc.on.ca/en/news-center/landmark-settlement-addresses-needs-inmates-mental-health-issues-ontario-prisons" TargetMode="External"/><Relationship Id="rId116" Type="http://schemas.openxmlformats.org/officeDocument/2006/relationships/hyperlink" Target="https://www.ohrc.on.ca/en/news-center/ohrc-statement-national-summit-antisemitism" TargetMode="External"/><Relationship Id="rId137" Type="http://schemas.openxmlformats.org/officeDocument/2006/relationships/hyperlink" Target="https://www.ohrc.on.ca/en/follow-proposed-emergency-and-transitional-housing-project-14452-yonge-st" TargetMode="External"/><Relationship Id="rId20" Type="http://schemas.openxmlformats.org/officeDocument/2006/relationships/hyperlink" Target="https://www.un.org/development/desa/indigenouspeoples/wp-content/uploads/sites/19/2018/11/UNDRIP_E_web.pdf" TargetMode="External"/><Relationship Id="rId41" Type="http://schemas.openxmlformats.org/officeDocument/2006/relationships/hyperlink" Target="https://www.ohrc.on.ca/en/fact-sheet-preventing-anti-indigenous-discrimination-and-harassment-retail-settings" TargetMode="External"/><Relationship Id="rId62" Type="http://schemas.openxmlformats.org/officeDocument/2006/relationships/hyperlink" Target="https://www.ohrc.on.ca/en/report-ontario-human-rights-commission-police-use-force-and-mental-health" TargetMode="External"/><Relationship Id="rId83" Type="http://schemas.openxmlformats.org/officeDocument/2006/relationships/hyperlink" Target="https://www.ohrc.on.ca/en/report-conditions-confinement-toronto-south-detention-centre" TargetMode="External"/><Relationship Id="rId88" Type="http://schemas.openxmlformats.org/officeDocument/2006/relationships/hyperlink" Target="https://www150.statcan.gc.ca/n1/daily-quotidien/250325/cg-a002-eng.htm" TargetMode="External"/><Relationship Id="rId111" Type="http://schemas.openxmlformats.org/officeDocument/2006/relationships/hyperlink" Target="https://www.ohrc.on.ca/en/ohrc-letter-city-kingston-regarding-encampments" TargetMode="External"/><Relationship Id="rId132" Type="http://schemas.openxmlformats.org/officeDocument/2006/relationships/hyperlink" Target="https://www.ohrc.on.ca/en/news-center/opinion-editorial-tvoorg-covid-19-fears-are-fanning-flames-racism-kenora" TargetMode="External"/><Relationship Id="rId15" Type="http://schemas.openxmlformats.org/officeDocument/2006/relationships/hyperlink" Target="https://www.ohrc.on.ca/en" TargetMode="External"/><Relationship Id="rId36" Type="http://schemas.openxmlformats.org/officeDocument/2006/relationships/hyperlink" Target="https://www.ohrc.on.ca/en/combatting-anti-indigenous-discrimination-healthcare" TargetMode="External"/><Relationship Id="rId57" Type="http://schemas.openxmlformats.org/officeDocument/2006/relationships/hyperlink" Target="https://www.ohrc.on.ca/en/memorandum-understanding-between-ontario-human-rights-commission-and-peel-regional-police-and" TargetMode="External"/><Relationship Id="rId106" Type="http://schemas.openxmlformats.org/officeDocument/2006/relationships/hyperlink" Target="https://apnews.com/article/canada-indigenous-women-sterilization-apology-reparations-ebcacc0f27b8d4c12d8690718202531d" TargetMode="External"/><Relationship Id="rId127" Type="http://schemas.openxmlformats.org/officeDocument/2006/relationships/hyperlink" Target="https://www.ohrc.on.ca/en/news-center/ohrc-statement-governments-expansion-police-powers-during-covid-stay-home-order" TargetMode="External"/><Relationship Id="rId10" Type="http://schemas.openxmlformats.org/officeDocument/2006/relationships/endnotes" Target="endnotes.xml"/><Relationship Id="rId31" Type="http://schemas.openxmlformats.org/officeDocument/2006/relationships/hyperlink" Target="https://cwrp.ca/sites/default/files/publication/fnois2023.pdf" TargetMode="External"/><Relationship Id="rId52" Type="http://schemas.openxmlformats.org/officeDocument/2006/relationships/hyperlink" Target="https://www.ohrc.on.ca/sites/default/files/Use%20of%20force%20by%20the%20TPS%20report%20%28updated%20January%202023%29.pdf" TargetMode="External"/><Relationship Id="rId73" Type="http://schemas.openxmlformats.org/officeDocument/2006/relationships/hyperlink" Target="https://www.ontario.ca/document/2024-data-release-inmates-ontario/human-rights-based-data-collection-inmates-segregation" TargetMode="External"/><Relationship Id="rId78" Type="http://schemas.openxmlformats.org/officeDocument/2006/relationships/hyperlink" Target="https://www.ohrc.on.ca/en/news-center/letter-minister-community-safety-and-correctional-services-action-plan-end-segregation" TargetMode="External"/><Relationship Id="rId94" Type="http://schemas.openxmlformats.org/officeDocument/2006/relationships/hyperlink" Target="https://www.ohrc.on.ca/en/news-center/submission-ontarios-trustworthy-artificial-intelligence-ai-framework" TargetMode="External"/><Relationship Id="rId99" Type="http://schemas.openxmlformats.org/officeDocument/2006/relationships/hyperlink" Target="https://www.ohrc.on.ca/en/news-center/approval-high-risk-technologies-under-toronto-police-services-boards-policy-use" TargetMode="External"/><Relationship Id="rId101" Type="http://schemas.openxmlformats.org/officeDocument/2006/relationships/hyperlink" Target="https://www.ohrc.on.ca/en/human-rights-ai-impact-assessment" TargetMode="External"/><Relationship Id="rId122" Type="http://schemas.openxmlformats.org/officeDocument/2006/relationships/hyperlink" Target="https://www.ohrc.on.ca/en/news-center/ohrc-policy-statement-covid-19-pandemic" TargetMode="External"/><Relationship Id="rId143" Type="http://schemas.openxmlformats.org/officeDocument/2006/relationships/hyperlink" Target="https://canlii.ca/t/kh80q" TargetMode="External"/><Relationship Id="rId148"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ontario.ca/page/ontario-indigenous-children-and-youth-strategy" TargetMode="External"/><Relationship Id="rId47" Type="http://schemas.openxmlformats.org/officeDocument/2006/relationships/hyperlink" Target="https://www.ohrc.on.ca/en/paying-price-human-cost-racial-profiling" TargetMode="External"/><Relationship Id="rId68" Type="http://schemas.openxmlformats.org/officeDocument/2006/relationships/hyperlink" Target="https://www.ohrc.on.ca/en/news-center/ohrc-statement-independent-reviewers-report-compliance-jahn-v-mcscs-settlement-and-ohrc" TargetMode="External"/><Relationship Id="rId89" Type="http://schemas.openxmlformats.org/officeDocument/2006/relationships/hyperlink" Target="https://www.ohrc.on.ca/en/news_centre/ohrc-statement-mass-killings-london-ontario" TargetMode="External"/><Relationship Id="rId112" Type="http://schemas.openxmlformats.org/officeDocument/2006/relationships/hyperlink" Target="https://www.ohrc.on.ca/en/policy-preventing-discrimination-based-creed" TargetMode="External"/><Relationship Id="rId133" Type="http://schemas.openxmlformats.org/officeDocument/2006/relationships/hyperlink" Target="https://caeh.ca/wp-content/uploads/Homelessness-Prevention-and-Housing-Benefit-Policy-Whitepaper-CAEH.pdf" TargetMode="External"/><Relationship Id="rId16" Type="http://schemas.openxmlformats.org/officeDocument/2006/relationships/hyperlink" Target="https://www.ontario.ca/laws/statute/90h19" TargetMode="External"/><Relationship Id="rId37" Type="http://schemas.openxmlformats.org/officeDocument/2006/relationships/hyperlink" Target="https://wabano.com/sys/" TargetMode="External"/><Relationship Id="rId58" Type="http://schemas.openxmlformats.org/officeDocument/2006/relationships/hyperlink" Target="https://www.ohrc.on.ca/en/ontario-human-rights-commissions-work-peel-regional-police-and-peel-police-services-board" TargetMode="External"/><Relationship Id="rId79" Type="http://schemas.openxmlformats.org/officeDocument/2006/relationships/hyperlink" Target="https://www.ohrc.on.ca/en/news-center/adam-capay-case-shows-ontario-must-eliminate-inhumane-practice-segregation" TargetMode="External"/><Relationship Id="rId102" Type="http://schemas.openxmlformats.org/officeDocument/2006/relationships/hyperlink" Target="https://www.canada.ca/en/women-gender-equality/gender-based-violence/facts-stats.html" TargetMode="External"/><Relationship Id="rId123" Type="http://schemas.openxmlformats.org/officeDocument/2006/relationships/hyperlink" Target="https://www.ohrc.on.ca/en/policy-statement-human-rights-based-approach-managing-covid-19-pandemic" TargetMode="External"/><Relationship Id="rId144" Type="http://schemas.openxmlformats.org/officeDocument/2006/relationships/hyperlink" Target="https://www.canlii.org/en/on/onsc/doc/2024/2024onsc7154/2024onsc7154.html?resultId=83c8e9c217334a3ca64cfb873af31df7&amp;searchId=2026-01-12T15:59:56:475/748651d146134f32bb5968578775d4f5" TargetMode="External"/><Relationship Id="rId90" Type="http://schemas.openxmlformats.org/officeDocument/2006/relationships/hyperlink" Target="https://www.ohrc.on.ca/en/taking-action-build-awareness-and-challenge-hate-ontar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DD3D34E50B184AA99CF7029EEB4596" ma:contentTypeVersion="21" ma:contentTypeDescription="Create a new document." ma:contentTypeScope="" ma:versionID="d2113696d25abb01cb2f8398ecc5ed3e">
  <xsd:schema xmlns:xsd="http://www.w3.org/2001/XMLSchema" xmlns:xs="http://www.w3.org/2001/XMLSchema" xmlns:p="http://schemas.microsoft.com/office/2006/metadata/properties" xmlns:ns2="e9faa24e-88bd-42e4-9e83-c9cc15aebaeb" xmlns:ns3="2823c0ea-2219-48a9-8422-7b97b4be94e5" targetNamespace="http://schemas.microsoft.com/office/2006/metadata/properties" ma:root="true" ma:fieldsID="9719acd1a6ba34700e6699ce1bfa59a2" ns2:_="" ns3:_="">
    <xsd:import namespace="e9faa24e-88bd-42e4-9e83-c9cc15aebaeb"/>
    <xsd:import namespace="2823c0ea-2219-48a9-8422-7b97b4be94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2:FilePath"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faa24e-88bd-42e4-9e83-c9cc15aeb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03f8475-640f-4944-9dcc-2d3788384b7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FilePath" ma:index="23" nillable="true" ma:displayName="File Path" ma:description="File Path" ma:format="Dropdown" ma:internalName="FilePath">
      <xsd:simpleType>
        <xsd:restriction base="dms:Text">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23c0ea-2219-48a9-8422-7b97b4be94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397ce3f-eafd-4d9c-b40e-d705315239a4}" ma:internalName="TaxCatchAll" ma:showField="CatchAllData" ma:web="2823c0ea-2219-48a9-8422-7b97b4be94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23c0ea-2219-48a9-8422-7b97b4be94e5" xsi:nil="true"/>
    <lcf76f155ced4ddcb4097134ff3c332f xmlns="e9faa24e-88bd-42e4-9e83-c9cc15aebaeb">
      <Terms xmlns="http://schemas.microsoft.com/office/infopath/2007/PartnerControls"/>
    </lcf76f155ced4ddcb4097134ff3c332f>
    <FilePath xmlns="e9faa24e-88bd-42e4-9e83-c9cc15aebae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B0A674-2EFF-494C-A0B6-8E93D011D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faa24e-88bd-42e4-9e83-c9cc15aebaeb"/>
    <ds:schemaRef ds:uri="2823c0ea-2219-48a9-8422-7b97b4be94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8CFC06-CC79-4286-ACFD-DEFDAAB461F2}">
  <ds:schemaRefs>
    <ds:schemaRef ds:uri="http://schemas.microsoft.com/office/2006/metadata/properties"/>
    <ds:schemaRef ds:uri="http://schemas.microsoft.com/office/infopath/2007/PartnerControls"/>
    <ds:schemaRef ds:uri="2823c0ea-2219-48a9-8422-7b97b4be94e5"/>
    <ds:schemaRef ds:uri="e9faa24e-88bd-42e4-9e83-c9cc15aebaeb"/>
  </ds:schemaRefs>
</ds:datastoreItem>
</file>

<file path=customXml/itemProps3.xml><?xml version="1.0" encoding="utf-8"?>
<ds:datastoreItem xmlns:ds="http://schemas.openxmlformats.org/officeDocument/2006/customXml" ds:itemID="{7AFE094E-2DE7-4209-BE3D-E9463518F8E7}">
  <ds:schemaRefs>
    <ds:schemaRef ds:uri="http://schemas.openxmlformats.org/officeDocument/2006/bibliography"/>
  </ds:schemaRefs>
</ds:datastoreItem>
</file>

<file path=customXml/itemProps4.xml><?xml version="1.0" encoding="utf-8"?>
<ds:datastoreItem xmlns:ds="http://schemas.openxmlformats.org/officeDocument/2006/customXml" ds:itemID="{DB36CEDB-ED72-4410-BAE1-F85010878679}">
  <ds:schemaRefs>
    <ds:schemaRef ds:uri="http://schemas.microsoft.com/sharepoint/v3/contenttype/forms"/>
  </ds:schemaRefs>
</ds:datastoreItem>
</file>

<file path=docMetadata/LabelInfo.xml><?xml version="1.0" encoding="utf-8"?>
<clbl:labelList xmlns:clbl="http://schemas.microsoft.com/office/2020/mipLabelMetadata">
  <clbl:label id="{16861b73-5cbe-4d18-a20b-5e7c210021be}" enabled="1" method="Privileged" siteId="{cddc1229-ac2a-4b97-b78a-0e5cacb5865c}" removed="0"/>
</clbl:labelList>
</file>

<file path=docProps/app.xml><?xml version="1.0" encoding="utf-8"?>
<Properties xmlns="http://schemas.openxmlformats.org/officeDocument/2006/extended-properties" xmlns:vt="http://schemas.openxmlformats.org/officeDocument/2006/docPropsVTypes">
  <Template>Normal</Template>
  <TotalTime>13</TotalTime>
  <Pages>27</Pages>
  <Words>12251</Words>
  <Characters>69837</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Ontario Human Rights Commission Document Template</vt:lpstr>
    </vt:vector>
  </TitlesOfParts>
  <Company/>
  <LinksUpToDate>false</LinksUpToDate>
  <CharactersWithSpaces>81925</CharactersWithSpaces>
  <SharedDoc>false</SharedDoc>
  <HLinks>
    <vt:vector size="1008" baseType="variant">
      <vt:variant>
        <vt:i4>2949158</vt:i4>
      </vt:variant>
      <vt:variant>
        <vt:i4>594</vt:i4>
      </vt:variant>
      <vt:variant>
        <vt:i4>0</vt:i4>
      </vt:variant>
      <vt:variant>
        <vt:i4>5</vt:i4>
      </vt:variant>
      <vt:variant>
        <vt:lpwstr>https://www3.ohrc.on.ca/en/news-center/ohrc-statement-human-rights-extreme-heat-waves-and-air-conditioning</vt:lpwstr>
      </vt:variant>
      <vt:variant>
        <vt:lpwstr/>
      </vt:variant>
      <vt:variant>
        <vt:i4>8060969</vt:i4>
      </vt:variant>
      <vt:variant>
        <vt:i4>591</vt:i4>
      </vt:variant>
      <vt:variant>
        <vt:i4>0</vt:i4>
      </vt:variant>
      <vt:variant>
        <vt:i4>5</vt:i4>
      </vt:variant>
      <vt:variant>
        <vt:lpwstr>https://www3.ohrc.on.ca/en/news-center/ohrc-statement-human-rights-and-access-cold-weather-services</vt:lpwstr>
      </vt:variant>
      <vt:variant>
        <vt:lpwstr/>
      </vt:variant>
      <vt:variant>
        <vt:i4>5046366</vt:i4>
      </vt:variant>
      <vt:variant>
        <vt:i4>588</vt:i4>
      </vt:variant>
      <vt:variant>
        <vt:i4>0</vt:i4>
      </vt:variant>
      <vt:variant>
        <vt:i4>5</vt:i4>
      </vt:variant>
      <vt:variant>
        <vt:lpwstr>https://www.canlii.org/en/on/onsc/doc/2024/2024onsc7154/2024onsc7154.html?resultId=83c8e9c217334a3ca64cfb873af31df7&amp;searchId=2026-01-12T15:59:56:475/748651d146134f32bb5968578775d4f5</vt:lpwstr>
      </vt:variant>
      <vt:variant>
        <vt:lpwstr/>
      </vt:variant>
      <vt:variant>
        <vt:i4>5111884</vt:i4>
      </vt:variant>
      <vt:variant>
        <vt:i4>585</vt:i4>
      </vt:variant>
      <vt:variant>
        <vt:i4>0</vt:i4>
      </vt:variant>
      <vt:variant>
        <vt:i4>5</vt:i4>
      </vt:variant>
      <vt:variant>
        <vt:lpwstr>https://canlii.ca/t/kh80q</vt:lpwstr>
      </vt:variant>
      <vt:variant>
        <vt:lpwstr/>
      </vt:variant>
      <vt:variant>
        <vt:i4>5767185</vt:i4>
      </vt:variant>
      <vt:variant>
        <vt:i4>582</vt:i4>
      </vt:variant>
      <vt:variant>
        <vt:i4>0</vt:i4>
      </vt:variant>
      <vt:variant>
        <vt:i4>5</vt:i4>
      </vt:variant>
      <vt:variant>
        <vt:lpwstr>https://www3.ohrc.on.ca/en/news-center/ohrc-statement-fair-change-v-ontario-safe-streets-act</vt:lpwstr>
      </vt:variant>
      <vt:variant>
        <vt:lpwstr/>
      </vt:variant>
      <vt:variant>
        <vt:i4>2490468</vt:i4>
      </vt:variant>
      <vt:variant>
        <vt:i4>579</vt:i4>
      </vt:variant>
      <vt:variant>
        <vt:i4>0</vt:i4>
      </vt:variant>
      <vt:variant>
        <vt:i4>5</vt:i4>
      </vt:variant>
      <vt:variant>
        <vt:lpwstr>https://www3.ohrc.on.ca/en/human-rights-based-approach-policy-and-program-development-0</vt:lpwstr>
      </vt:variant>
      <vt:variant>
        <vt:lpwstr/>
      </vt:variant>
      <vt:variant>
        <vt:i4>2424944</vt:i4>
      </vt:variant>
      <vt:variant>
        <vt:i4>576</vt:i4>
      </vt:variant>
      <vt:variant>
        <vt:i4>0</vt:i4>
      </vt:variant>
      <vt:variant>
        <vt:i4>5</vt:i4>
      </vt:variant>
      <vt:variant>
        <vt:lpwstr>https://www3.ohrc.on.ca/en/more-homes-built-faster-act-ohrc-submissions</vt:lpwstr>
      </vt:variant>
      <vt:variant>
        <vt:lpwstr/>
      </vt:variant>
      <vt:variant>
        <vt:i4>4456457</vt:i4>
      </vt:variant>
      <vt:variant>
        <vt:i4>573</vt:i4>
      </vt:variant>
      <vt:variant>
        <vt:i4>0</vt:i4>
      </vt:variant>
      <vt:variant>
        <vt:i4>5</vt:i4>
      </vt:variant>
      <vt:variant>
        <vt:lpwstr>https://www3.ohrc.on.ca/en/news-center/letter-mayor-and-council-township-brock-decisions-and-laws-supportive-housing</vt:lpwstr>
      </vt:variant>
      <vt:variant>
        <vt:lpwstr/>
      </vt:variant>
      <vt:variant>
        <vt:i4>4653078</vt:i4>
      </vt:variant>
      <vt:variant>
        <vt:i4>570</vt:i4>
      </vt:variant>
      <vt:variant>
        <vt:i4>0</vt:i4>
      </vt:variant>
      <vt:variant>
        <vt:i4>5</vt:i4>
      </vt:variant>
      <vt:variant>
        <vt:lpwstr>https://www3.ohrc.on.ca/en/news-center/emergency-care-establishment-law-000-2024</vt:lpwstr>
      </vt:variant>
      <vt:variant>
        <vt:lpwstr/>
      </vt:variant>
      <vt:variant>
        <vt:i4>4653057</vt:i4>
      </vt:variant>
      <vt:variant>
        <vt:i4>567</vt:i4>
      </vt:variant>
      <vt:variant>
        <vt:i4>0</vt:i4>
      </vt:variant>
      <vt:variant>
        <vt:i4>5</vt:i4>
      </vt:variant>
      <vt:variant>
        <vt:lpwstr>https://www3.ohrc.on.ca/en/follow-proposed-emergency-and-transitional-housing-project-14452-yonge-st</vt:lpwstr>
      </vt:variant>
      <vt:variant>
        <vt:lpwstr/>
      </vt:variant>
      <vt:variant>
        <vt:i4>2424893</vt:i4>
      </vt:variant>
      <vt:variant>
        <vt:i4>564</vt:i4>
      </vt:variant>
      <vt:variant>
        <vt:i4>0</vt:i4>
      </vt:variant>
      <vt:variant>
        <vt:i4>5</vt:i4>
      </vt:variant>
      <vt:variant>
        <vt:lpwstr>https://www3.ohrc.on.ca/en/ohrc-letter-city-kingston-regarding-encampments</vt:lpwstr>
      </vt:variant>
      <vt:variant>
        <vt:lpwstr/>
      </vt:variant>
      <vt:variant>
        <vt:i4>2162794</vt:i4>
      </vt:variant>
      <vt:variant>
        <vt:i4>561</vt:i4>
      </vt:variant>
      <vt:variant>
        <vt:i4>0</vt:i4>
      </vt:variant>
      <vt:variant>
        <vt:i4>5</vt:i4>
      </vt:variant>
      <vt:variant>
        <vt:lpwstr>https://www3.ohrc.on.ca/en/news-center/ohrc-statement-human-rights-and-encampments-and-shelter-closings</vt:lpwstr>
      </vt:variant>
      <vt:variant>
        <vt:lpwstr/>
      </vt:variant>
      <vt:variant>
        <vt:i4>3145786</vt:i4>
      </vt:variant>
      <vt:variant>
        <vt:i4>558</vt:i4>
      </vt:variant>
      <vt:variant>
        <vt:i4>0</vt:i4>
      </vt:variant>
      <vt:variant>
        <vt:i4>5</vt:i4>
      </vt:variant>
      <vt:variant>
        <vt:lpwstr>https://www3.ohrc.on.ca/sites/default/files/20221101 OHRC Background Paper_Poverty and systemic discrimination_DESIGNED.pdf</vt:lpwstr>
      </vt:variant>
      <vt:variant>
        <vt:lpwstr/>
      </vt:variant>
      <vt:variant>
        <vt:i4>786461</vt:i4>
      </vt:variant>
      <vt:variant>
        <vt:i4>555</vt:i4>
      </vt:variant>
      <vt:variant>
        <vt:i4>0</vt:i4>
      </vt:variant>
      <vt:variant>
        <vt:i4>5</vt:i4>
      </vt:variant>
      <vt:variant>
        <vt:lpwstr>https://caeh.ca/wp-content/uploads/Homelessness-Prevention-and-Housing-Benefit-Policy-Whitepaper-CAEH.pdf</vt:lpwstr>
      </vt:variant>
      <vt:variant>
        <vt:lpwstr/>
      </vt:variant>
      <vt:variant>
        <vt:i4>6750241</vt:i4>
      </vt:variant>
      <vt:variant>
        <vt:i4>552</vt:i4>
      </vt:variant>
      <vt:variant>
        <vt:i4>0</vt:i4>
      </vt:variant>
      <vt:variant>
        <vt:i4>5</vt:i4>
      </vt:variant>
      <vt:variant>
        <vt:lpwstr>https://www3.ohrc.on.ca/en/news-center/opinion-editorial-tvoorg-covid-19-fears-are-fanning-flames-racism-kenora</vt:lpwstr>
      </vt:variant>
      <vt:variant>
        <vt:lpwstr/>
      </vt:variant>
      <vt:variant>
        <vt:i4>4325388</vt:i4>
      </vt:variant>
      <vt:variant>
        <vt:i4>549</vt:i4>
      </vt:variant>
      <vt:variant>
        <vt:i4>0</vt:i4>
      </vt:variant>
      <vt:variant>
        <vt:i4>5</vt:i4>
      </vt:variant>
      <vt:variant>
        <vt:lpwstr>https://www3.ohrc.on.ca/en/news-center/ohrc-urges-ontarians-respect-human-rights-south-asian-communities</vt:lpwstr>
      </vt:variant>
      <vt:variant>
        <vt:lpwstr/>
      </vt:variant>
      <vt:variant>
        <vt:i4>1114134</vt:i4>
      </vt:variant>
      <vt:variant>
        <vt:i4>546</vt:i4>
      </vt:variant>
      <vt:variant>
        <vt:i4>0</vt:i4>
      </vt:variant>
      <vt:variant>
        <vt:i4>5</vt:i4>
      </vt:variant>
      <vt:variant>
        <vt:lpwstr>https://www3.ohrc.on.ca/en/news-center/statement-ohrc-urges-respect-human-rights-during-coronavirus-health-event</vt:lpwstr>
      </vt:variant>
      <vt:variant>
        <vt:lpwstr/>
      </vt:variant>
      <vt:variant>
        <vt:i4>5898333</vt:i4>
      </vt:variant>
      <vt:variant>
        <vt:i4>543</vt:i4>
      </vt:variant>
      <vt:variant>
        <vt:i4>0</vt:i4>
      </vt:variant>
      <vt:variant>
        <vt:i4>5</vt:i4>
      </vt:variant>
      <vt:variant>
        <vt:lpwstr>https://www.ohrc.on.ca/en/news-center/critical-juncture-hate</vt:lpwstr>
      </vt:variant>
      <vt:variant>
        <vt:lpwstr/>
      </vt:variant>
      <vt:variant>
        <vt:i4>655450</vt:i4>
      </vt:variant>
      <vt:variant>
        <vt:i4>540</vt:i4>
      </vt:variant>
      <vt:variant>
        <vt:i4>0</vt:i4>
      </vt:variant>
      <vt:variant>
        <vt:i4>5</vt:i4>
      </vt:variant>
      <vt:variant>
        <vt:lpwstr>https://www3.ohrc.on.ca/en/news-center/ohrc-policy-statement-covid-19-vaccine-mandates-and-proof-vaccine-certificates</vt:lpwstr>
      </vt:variant>
      <vt:variant>
        <vt:lpwstr/>
      </vt:variant>
      <vt:variant>
        <vt:i4>7209019</vt:i4>
      </vt:variant>
      <vt:variant>
        <vt:i4>537</vt:i4>
      </vt:variant>
      <vt:variant>
        <vt:i4>0</vt:i4>
      </vt:variant>
      <vt:variant>
        <vt:i4>5</vt:i4>
      </vt:variant>
      <vt:variant>
        <vt:lpwstr>https://www3.ohrc.on.ca/en/news-center/ohrc-statement-governments-expansion-police-powers-during-covid-stay-home-order</vt:lpwstr>
      </vt:variant>
      <vt:variant>
        <vt:lpwstr/>
      </vt:variant>
      <vt:variant>
        <vt:i4>8323179</vt:i4>
      </vt:variant>
      <vt:variant>
        <vt:i4>534</vt:i4>
      </vt:variant>
      <vt:variant>
        <vt:i4>0</vt:i4>
      </vt:variant>
      <vt:variant>
        <vt:i4>5</vt:i4>
      </vt:variant>
      <vt:variant>
        <vt:lpwstr>https://www3.ohrc.on.ca/en/news-center/ohrc-statement-calling-ontarios-justice-sector-fight-covid-19-keeping-prison-custody</vt:lpwstr>
      </vt:variant>
      <vt:variant>
        <vt:lpwstr/>
      </vt:variant>
      <vt:variant>
        <vt:i4>5439571</vt:i4>
      </vt:variant>
      <vt:variant>
        <vt:i4>531</vt:i4>
      </vt:variant>
      <vt:variant>
        <vt:i4>0</vt:i4>
      </vt:variant>
      <vt:variant>
        <vt:i4>5</vt:i4>
      </vt:variant>
      <vt:variant>
        <vt:lpwstr>https://www3.ohrc.on.ca/en/ohrc-letter-solicitor-general-jones-covid-19-transmission-correctional-facilities</vt:lpwstr>
      </vt:variant>
      <vt:variant>
        <vt:lpwstr/>
      </vt:variant>
      <vt:variant>
        <vt:i4>5111900</vt:i4>
      </vt:variant>
      <vt:variant>
        <vt:i4>528</vt:i4>
      </vt:variant>
      <vt:variant>
        <vt:i4>0</vt:i4>
      </vt:variant>
      <vt:variant>
        <vt:i4>5</vt:i4>
      </vt:variant>
      <vt:variant>
        <vt:lpwstr>https://www3.ohrc.on.ca/en/human-rights-and-covid-19-statements-and-resources-canada-and-around-world</vt:lpwstr>
      </vt:variant>
      <vt:variant>
        <vt:lpwstr/>
      </vt:variant>
      <vt:variant>
        <vt:i4>3145780</vt:i4>
      </vt:variant>
      <vt:variant>
        <vt:i4>525</vt:i4>
      </vt:variant>
      <vt:variant>
        <vt:i4>0</vt:i4>
      </vt:variant>
      <vt:variant>
        <vt:i4>5</vt:i4>
      </vt:variant>
      <vt:variant>
        <vt:lpwstr>https://www3.ohrc.on.ca/en/policy-statement-human-rights-based-approach-managing-covid-19-pandemic</vt:lpwstr>
      </vt:variant>
      <vt:variant>
        <vt:lpwstr/>
      </vt:variant>
      <vt:variant>
        <vt:i4>3276841</vt:i4>
      </vt:variant>
      <vt:variant>
        <vt:i4>522</vt:i4>
      </vt:variant>
      <vt:variant>
        <vt:i4>0</vt:i4>
      </vt:variant>
      <vt:variant>
        <vt:i4>5</vt:i4>
      </vt:variant>
      <vt:variant>
        <vt:lpwstr>https://www3.ohrc.on.ca/en/news-center/ohrc-policy-statement-covid-19-pandemic</vt:lpwstr>
      </vt:variant>
      <vt:variant>
        <vt:lpwstr/>
      </vt:variant>
      <vt:variant>
        <vt:i4>3997729</vt:i4>
      </vt:variant>
      <vt:variant>
        <vt:i4>519</vt:i4>
      </vt:variant>
      <vt:variant>
        <vt:i4>0</vt:i4>
      </vt:variant>
      <vt:variant>
        <vt:i4>5</vt:i4>
      </vt:variant>
      <vt:variant>
        <vt:lpwstr>https://www3.ohrc.on.ca/en/news-center/ohrcs-policy-position-caste-based-discrimination</vt:lpwstr>
      </vt:variant>
      <vt:variant>
        <vt:lpwstr/>
      </vt:variant>
      <vt:variant>
        <vt:i4>4194404</vt:i4>
      </vt:variant>
      <vt:variant>
        <vt:i4>516</vt:i4>
      </vt:variant>
      <vt:variant>
        <vt:i4>0</vt:i4>
      </vt:variant>
      <vt:variant>
        <vt:i4>5</vt:i4>
      </vt:variant>
      <vt:variant>
        <vt:lpwstr>https://humanrights.gov.au/__data/assets/file/0028/46828/National_anti-racism_framework_scoping_report_2022.pdf</vt:lpwstr>
      </vt:variant>
      <vt:variant>
        <vt:lpwstr/>
      </vt:variant>
      <vt:variant>
        <vt:i4>5701758</vt:i4>
      </vt:variant>
      <vt:variant>
        <vt:i4>513</vt:i4>
      </vt:variant>
      <vt:variant>
        <vt:i4>0</vt:i4>
      </vt:variant>
      <vt:variant>
        <vt:i4>5</vt:i4>
      </vt:variant>
      <vt:variant>
        <vt:lpwstr>https://tbinternet.ohchr.org/_layouts/15/treatybodyexternal/Download.aspx?symbolno=INT%2FCERD%2FGEC%2F7501&amp;Lang=en</vt:lpwstr>
      </vt:variant>
      <vt:variant>
        <vt:lpwstr/>
      </vt:variant>
      <vt:variant>
        <vt:i4>3670113</vt:i4>
      </vt:variant>
      <vt:variant>
        <vt:i4>510</vt:i4>
      </vt:variant>
      <vt:variant>
        <vt:i4>0</vt:i4>
      </vt:variant>
      <vt:variant>
        <vt:i4>5</vt:i4>
      </vt:variant>
      <vt:variant>
        <vt:lpwstr>https://www3.ohrc.on.ca/en/policy-statement-religious-accommodation-schools</vt:lpwstr>
      </vt:variant>
      <vt:variant>
        <vt:lpwstr/>
      </vt:variant>
      <vt:variant>
        <vt:i4>7929905</vt:i4>
      </vt:variant>
      <vt:variant>
        <vt:i4>507</vt:i4>
      </vt:variant>
      <vt:variant>
        <vt:i4>0</vt:i4>
      </vt:variant>
      <vt:variant>
        <vt:i4>5</vt:i4>
      </vt:variant>
      <vt:variant>
        <vt:lpwstr>https://twitter.com/OntHumanRights/status/1626623173914419200?cxt=HHwWgICziZLK9pItAAAA</vt:lpwstr>
      </vt:variant>
      <vt:variant>
        <vt:lpwstr/>
      </vt:variant>
      <vt:variant>
        <vt:i4>4980804</vt:i4>
      </vt:variant>
      <vt:variant>
        <vt:i4>504</vt:i4>
      </vt:variant>
      <vt:variant>
        <vt:i4>0</vt:i4>
      </vt:variant>
      <vt:variant>
        <vt:i4>5</vt:i4>
      </vt:variant>
      <vt:variant>
        <vt:lpwstr>https://www.ohrc.on.ca/en/news-center/ohrc-statement-national-summit-antisemitism</vt:lpwstr>
      </vt:variant>
      <vt:variant>
        <vt:lpwstr/>
      </vt:variant>
      <vt:variant>
        <vt:i4>6160465</vt:i4>
      </vt:variant>
      <vt:variant>
        <vt:i4>501</vt:i4>
      </vt:variant>
      <vt:variant>
        <vt:i4>0</vt:i4>
      </vt:variant>
      <vt:variant>
        <vt:i4>5</vt:i4>
      </vt:variant>
      <vt:variant>
        <vt:lpwstr>https://www.ohrc.on.ca/en/news-center/ohrc-statement-national-summit-islamophobia</vt:lpwstr>
      </vt:variant>
      <vt:variant>
        <vt:lpwstr/>
      </vt:variant>
      <vt:variant>
        <vt:i4>2949154</vt:i4>
      </vt:variant>
      <vt:variant>
        <vt:i4>498</vt:i4>
      </vt:variant>
      <vt:variant>
        <vt:i4>0</vt:i4>
      </vt:variant>
      <vt:variant>
        <vt:i4>5</vt:i4>
      </vt:variant>
      <vt:variant>
        <vt:lpwstr>https://www.ohrc.on.ca/en/news-center/history-teaches-us-difficult-conversations-about-religion-must-start-respect-and</vt:lpwstr>
      </vt:variant>
      <vt:variant>
        <vt:lpwstr/>
      </vt:variant>
      <vt:variant>
        <vt:i4>1835070</vt:i4>
      </vt:variant>
      <vt:variant>
        <vt:i4>495</vt:i4>
      </vt:variant>
      <vt:variant>
        <vt:i4>0</vt:i4>
      </vt:variant>
      <vt:variant>
        <vt:i4>5</vt:i4>
      </vt:variant>
      <vt:variant>
        <vt:lpwstr/>
      </vt:variant>
      <vt:variant>
        <vt:lpwstr>_Hate</vt:lpwstr>
      </vt:variant>
      <vt:variant>
        <vt:i4>1507394</vt:i4>
      </vt:variant>
      <vt:variant>
        <vt:i4>492</vt:i4>
      </vt:variant>
      <vt:variant>
        <vt:i4>0</vt:i4>
      </vt:variant>
      <vt:variant>
        <vt:i4>5</vt:i4>
      </vt:variant>
      <vt:variant>
        <vt:lpwstr>https://www3.ohrc.on.ca/en/policy-preventing-discrimination-based-creed/11-indigenous-spiritual-practices</vt:lpwstr>
      </vt:variant>
      <vt:variant>
        <vt:lpwstr/>
      </vt:variant>
      <vt:variant>
        <vt:i4>7471144</vt:i4>
      </vt:variant>
      <vt:variant>
        <vt:i4>489</vt:i4>
      </vt:variant>
      <vt:variant>
        <vt:i4>0</vt:i4>
      </vt:variant>
      <vt:variant>
        <vt:i4>5</vt:i4>
      </vt:variant>
      <vt:variant>
        <vt:lpwstr>https://www3.ohrc.on.ca/en/policy-preventing-discrimination-based-creed</vt:lpwstr>
      </vt:variant>
      <vt:variant>
        <vt:lpwstr/>
      </vt:variant>
      <vt:variant>
        <vt:i4>917566</vt:i4>
      </vt:variant>
      <vt:variant>
        <vt:i4>486</vt:i4>
      </vt:variant>
      <vt:variant>
        <vt:i4>0</vt:i4>
      </vt:variant>
      <vt:variant>
        <vt:i4>5</vt:i4>
      </vt:variant>
      <vt:variant>
        <vt:lpwstr/>
      </vt:variant>
      <vt:variant>
        <vt:lpwstr>_Encampments_and_shelters</vt:lpwstr>
      </vt:variant>
      <vt:variant>
        <vt:i4>2424893</vt:i4>
      </vt:variant>
      <vt:variant>
        <vt:i4>483</vt:i4>
      </vt:variant>
      <vt:variant>
        <vt:i4>0</vt:i4>
      </vt:variant>
      <vt:variant>
        <vt:i4>5</vt:i4>
      </vt:variant>
      <vt:variant>
        <vt:lpwstr>https://www3.ohrc.on.ca/en/ohrc-letter-city-kingston-regarding-encampments</vt:lpwstr>
      </vt:variant>
      <vt:variant>
        <vt:lpwstr/>
      </vt:variant>
      <vt:variant>
        <vt:i4>4653078</vt:i4>
      </vt:variant>
      <vt:variant>
        <vt:i4>480</vt:i4>
      </vt:variant>
      <vt:variant>
        <vt:i4>0</vt:i4>
      </vt:variant>
      <vt:variant>
        <vt:i4>5</vt:i4>
      </vt:variant>
      <vt:variant>
        <vt:lpwstr>https://www3.ohrc.on.ca/en/news-center/emergency-care-establishment-law-000-2024</vt:lpwstr>
      </vt:variant>
      <vt:variant>
        <vt:lpwstr/>
      </vt:variant>
      <vt:variant>
        <vt:i4>1769502</vt:i4>
      </vt:variant>
      <vt:variant>
        <vt:i4>477</vt:i4>
      </vt:variant>
      <vt:variant>
        <vt:i4>0</vt:i4>
      </vt:variant>
      <vt:variant>
        <vt:i4>5</vt:i4>
      </vt:variant>
      <vt:variant>
        <vt:lpwstr>https://www3.ohrc.on.ca/en/poverty-point-view-pov</vt:lpwstr>
      </vt:variant>
      <vt:variant>
        <vt:lpwstr/>
      </vt:variant>
      <vt:variant>
        <vt:i4>1441805</vt:i4>
      </vt:variant>
      <vt:variant>
        <vt:i4>474</vt:i4>
      </vt:variant>
      <vt:variant>
        <vt:i4>0</vt:i4>
      </vt:variant>
      <vt:variant>
        <vt:i4>5</vt:i4>
      </vt:variant>
      <vt:variant>
        <vt:lpwstr>https://www3.ohrc.on.ca/en/policy-ableism-and-discrimination-based-disability</vt:lpwstr>
      </vt:variant>
      <vt:variant>
        <vt:lpwstr/>
      </vt:variant>
      <vt:variant>
        <vt:i4>6160455</vt:i4>
      </vt:variant>
      <vt:variant>
        <vt:i4>471</vt:i4>
      </vt:variant>
      <vt:variant>
        <vt:i4>0</vt:i4>
      </vt:variant>
      <vt:variant>
        <vt:i4>5</vt:i4>
      </vt:variant>
      <vt:variant>
        <vt:lpwstr>https://apnews.com/article/canada-indigenous-women-sterilization-apology-reparations-ebcacc0f27b8d4c12d8690718202531d</vt:lpwstr>
      </vt:variant>
      <vt:variant>
        <vt:lpwstr/>
      </vt:variant>
      <vt:variant>
        <vt:i4>2162789</vt:i4>
      </vt:variant>
      <vt:variant>
        <vt:i4>468</vt:i4>
      </vt:variant>
      <vt:variant>
        <vt:i4>0</vt:i4>
      </vt:variant>
      <vt:variant>
        <vt:i4>5</vt:i4>
      </vt:variant>
      <vt:variant>
        <vt:lpwstr>https://www3.ohrc.on.ca/en/news-center/ohrc-statement-ontario-human-rights-commission-takes-action-respond-immiwg-calls</vt:lpwstr>
      </vt:variant>
      <vt:variant>
        <vt:lpwstr/>
      </vt:variant>
      <vt:variant>
        <vt:i4>5832772</vt:i4>
      </vt:variant>
      <vt:variant>
        <vt:i4>465</vt:i4>
      </vt:variant>
      <vt:variant>
        <vt:i4>0</vt:i4>
      </vt:variant>
      <vt:variant>
        <vt:i4>5</vt:i4>
      </vt:variant>
      <vt:variant>
        <vt:lpwstr>https://www3.ohrc.on.ca/en/policy-preventing-sexual-and-gender-based-harassment-0</vt:lpwstr>
      </vt:variant>
      <vt:variant>
        <vt:lpwstr/>
      </vt:variant>
      <vt:variant>
        <vt:i4>4128877</vt:i4>
      </vt:variant>
      <vt:variant>
        <vt:i4>462</vt:i4>
      </vt:variant>
      <vt:variant>
        <vt:i4>0</vt:i4>
      </vt:variant>
      <vt:variant>
        <vt:i4>5</vt:i4>
      </vt:variant>
      <vt:variant>
        <vt:lpwstr>https://www.ohrc.on.ca/en/backgrounder-talking-about-gender-identity-and-gender-expression</vt:lpwstr>
      </vt:variant>
      <vt:variant>
        <vt:lpwstr/>
      </vt:variant>
      <vt:variant>
        <vt:i4>4849675</vt:i4>
      </vt:variant>
      <vt:variant>
        <vt:i4>459</vt:i4>
      </vt:variant>
      <vt:variant>
        <vt:i4>0</vt:i4>
      </vt:variant>
      <vt:variant>
        <vt:i4>5</vt:i4>
      </vt:variant>
      <vt:variant>
        <vt:lpwstr>https://www.canada.ca/en/women-gender-equality/gender-based-violence/facts-stats.html</vt:lpwstr>
      </vt:variant>
      <vt:variant>
        <vt:lpwstr/>
      </vt:variant>
      <vt:variant>
        <vt:i4>3407910</vt:i4>
      </vt:variant>
      <vt:variant>
        <vt:i4>456</vt:i4>
      </vt:variant>
      <vt:variant>
        <vt:i4>0</vt:i4>
      </vt:variant>
      <vt:variant>
        <vt:i4>5</vt:i4>
      </vt:variant>
      <vt:variant>
        <vt:lpwstr>https://www.ohrc.on.ca/en/human-rights-ai-impact-assessment</vt:lpwstr>
      </vt:variant>
      <vt:variant>
        <vt:lpwstr/>
      </vt:variant>
      <vt:variant>
        <vt:i4>589919</vt:i4>
      </vt:variant>
      <vt:variant>
        <vt:i4>453</vt:i4>
      </vt:variant>
      <vt:variant>
        <vt:i4>0</vt:i4>
      </vt:variant>
      <vt:variant>
        <vt:i4>5</vt:i4>
      </vt:variant>
      <vt:variant>
        <vt:lpwstr>https://www3.ohrc.on.ca/en/informing-canadas-renewed-ai-strategy</vt:lpwstr>
      </vt:variant>
      <vt:variant>
        <vt:lpwstr/>
      </vt:variant>
      <vt:variant>
        <vt:i4>6619183</vt:i4>
      </vt:variant>
      <vt:variant>
        <vt:i4>450</vt:i4>
      </vt:variant>
      <vt:variant>
        <vt:i4>0</vt:i4>
      </vt:variant>
      <vt:variant>
        <vt:i4>5</vt:i4>
      </vt:variant>
      <vt:variant>
        <vt:lpwstr>https://www3.ohrc.on.ca/en/news-center/approval-high-risk-technologies-under-toronto-police-services-boards-policy-use</vt:lpwstr>
      </vt:variant>
      <vt:variant>
        <vt:lpwstr/>
      </vt:variant>
      <vt:variant>
        <vt:i4>7864374</vt:i4>
      </vt:variant>
      <vt:variant>
        <vt:i4>447</vt:i4>
      </vt:variant>
      <vt:variant>
        <vt:i4>0</vt:i4>
      </vt:variant>
      <vt:variant>
        <vt:i4>5</vt:i4>
      </vt:variant>
      <vt:variant>
        <vt:lpwstr>https://www3.ohrc.on.ca/en/bill-194-strengthening-cyber-security-and-building-trust-public-sector-act-2024</vt:lpwstr>
      </vt:variant>
      <vt:variant>
        <vt:lpwstr/>
      </vt:variant>
      <vt:variant>
        <vt:i4>4915289</vt:i4>
      </vt:variant>
      <vt:variant>
        <vt:i4>444</vt:i4>
      </vt:variant>
      <vt:variant>
        <vt:i4>0</vt:i4>
      </vt:variant>
      <vt:variant>
        <vt:i4>5</vt:i4>
      </vt:variant>
      <vt:variant>
        <vt:lpwstr>https://www3.ohrc.on.ca/en/news-center/ontario-human-rights-commission-submission-standing-committee-social-policy-regarding</vt:lpwstr>
      </vt:variant>
      <vt:variant>
        <vt:lpwstr/>
      </vt:variant>
      <vt:variant>
        <vt:i4>4718596</vt:i4>
      </vt:variant>
      <vt:variant>
        <vt:i4>441</vt:i4>
      </vt:variant>
      <vt:variant>
        <vt:i4>0</vt:i4>
      </vt:variant>
      <vt:variant>
        <vt:i4>5</vt:i4>
      </vt:variant>
      <vt:variant>
        <vt:lpwstr>https://www3.ohrc.on.ca/en/news-center/joint-statement-information-and-privacy-commissioner-ontario-and-ontario-human-rights</vt:lpwstr>
      </vt:variant>
      <vt:variant>
        <vt:lpwstr/>
      </vt:variant>
      <vt:variant>
        <vt:i4>2359402</vt:i4>
      </vt:variant>
      <vt:variant>
        <vt:i4>438</vt:i4>
      </vt:variant>
      <vt:variant>
        <vt:i4>0</vt:i4>
      </vt:variant>
      <vt:variant>
        <vt:i4>5</vt:i4>
      </vt:variant>
      <vt:variant>
        <vt:lpwstr>https://www3.ohrc.on.ca/en/news-center/submission-tpsb-use-artificial-intelligence-technologies-policy</vt:lpwstr>
      </vt:variant>
      <vt:variant>
        <vt:lpwstr/>
      </vt:variant>
      <vt:variant>
        <vt:i4>3604600</vt:i4>
      </vt:variant>
      <vt:variant>
        <vt:i4>435</vt:i4>
      </vt:variant>
      <vt:variant>
        <vt:i4>0</vt:i4>
      </vt:variant>
      <vt:variant>
        <vt:i4>5</vt:i4>
      </vt:variant>
      <vt:variant>
        <vt:lpwstr>https://www3.ohrc.on.ca/en/news-center/submission-ontarios-trustworthy-artificial-intelligence-ai-framework</vt:lpwstr>
      </vt:variant>
      <vt:variant>
        <vt:lpwstr/>
      </vt:variant>
      <vt:variant>
        <vt:i4>6291517</vt:i4>
      </vt:variant>
      <vt:variant>
        <vt:i4>432</vt:i4>
      </vt:variant>
      <vt:variant>
        <vt:i4>0</vt:i4>
      </vt:variant>
      <vt:variant>
        <vt:i4>5</vt:i4>
      </vt:variant>
      <vt:variant>
        <vt:lpwstr>https://www.ohrc.on.ca/en/news-center/opening-statement-standing-committee-canadian-heritage-systemic-racism-and-religious</vt:lpwstr>
      </vt:variant>
      <vt:variant>
        <vt:lpwstr/>
      </vt:variant>
      <vt:variant>
        <vt:i4>1638407</vt:i4>
      </vt:variant>
      <vt:variant>
        <vt:i4>429</vt:i4>
      </vt:variant>
      <vt:variant>
        <vt:i4>0</vt:i4>
      </vt:variant>
      <vt:variant>
        <vt:i4>5</vt:i4>
      </vt:variant>
      <vt:variant>
        <vt:lpwstr>https://www.ohrc.on.ca/en/opinion-editorial-tvoorg-anti-hate</vt:lpwstr>
      </vt:variant>
      <vt:variant>
        <vt:lpwstr/>
      </vt:variant>
      <vt:variant>
        <vt:i4>5439592</vt:i4>
      </vt:variant>
      <vt:variant>
        <vt:i4>426</vt:i4>
      </vt:variant>
      <vt:variant>
        <vt:i4>0</vt:i4>
      </vt:variant>
      <vt:variant>
        <vt:i4>5</vt:i4>
      </vt:variant>
      <vt:variant>
        <vt:lpwstr>https://www.ohrc.on.ca/en/news_centre/ohrc-statement-code-obligations-education-officials</vt:lpwstr>
      </vt:variant>
      <vt:variant>
        <vt:lpwstr/>
      </vt:variant>
      <vt:variant>
        <vt:i4>3735603</vt:i4>
      </vt:variant>
      <vt:variant>
        <vt:i4>423</vt:i4>
      </vt:variant>
      <vt:variant>
        <vt:i4>0</vt:i4>
      </vt:variant>
      <vt:variant>
        <vt:i4>5</vt:i4>
      </vt:variant>
      <vt:variant>
        <vt:lpwstr>https://www3.ohrc.on.ca/en/taking-action-build-awareness-and-challenge-hate-ontario</vt:lpwstr>
      </vt:variant>
      <vt:variant>
        <vt:lpwstr/>
      </vt:variant>
      <vt:variant>
        <vt:i4>983081</vt:i4>
      </vt:variant>
      <vt:variant>
        <vt:i4>420</vt:i4>
      </vt:variant>
      <vt:variant>
        <vt:i4>0</vt:i4>
      </vt:variant>
      <vt:variant>
        <vt:i4>5</vt:i4>
      </vt:variant>
      <vt:variant>
        <vt:lpwstr>https://www.ohrc.on.ca/en/news_centre/ohrc-statement-mass-killings-london-ontario</vt:lpwstr>
      </vt:variant>
      <vt:variant>
        <vt:lpwstr/>
      </vt:variant>
      <vt:variant>
        <vt:i4>6684734</vt:i4>
      </vt:variant>
      <vt:variant>
        <vt:i4>417</vt:i4>
      </vt:variant>
      <vt:variant>
        <vt:i4>0</vt:i4>
      </vt:variant>
      <vt:variant>
        <vt:i4>5</vt:i4>
      </vt:variant>
      <vt:variant>
        <vt:lpwstr>https://www150.statcan.gc.ca/n1/daily-quotidien/250325/cg-a002-eng.htm</vt:lpwstr>
      </vt:variant>
      <vt:variant>
        <vt:lpwstr/>
      </vt:variant>
      <vt:variant>
        <vt:i4>2031690</vt:i4>
      </vt:variant>
      <vt:variant>
        <vt:i4>414</vt:i4>
      </vt:variant>
      <vt:variant>
        <vt:i4>0</vt:i4>
      </vt:variant>
      <vt:variant>
        <vt:i4>5</vt:i4>
      </vt:variant>
      <vt:variant>
        <vt:lpwstr>https://www150.statcan.gc.ca/n1/daily-quotidien/250325/dq250325a-eng.htm</vt:lpwstr>
      </vt:variant>
      <vt:variant>
        <vt:lpwstr/>
      </vt:variant>
      <vt:variant>
        <vt:i4>5374079</vt:i4>
      </vt:variant>
      <vt:variant>
        <vt:i4>411</vt:i4>
      </vt:variant>
      <vt:variant>
        <vt:i4>0</vt:i4>
      </vt:variant>
      <vt:variant>
        <vt:i4>5</vt:i4>
      </vt:variant>
      <vt:variant>
        <vt:lpwstr/>
      </vt:variant>
      <vt:variant>
        <vt:lpwstr>_The_impact_of</vt:lpwstr>
      </vt:variant>
      <vt:variant>
        <vt:i4>5767188</vt:i4>
      </vt:variant>
      <vt:variant>
        <vt:i4>408</vt:i4>
      </vt:variant>
      <vt:variant>
        <vt:i4>0</vt:i4>
      </vt:variant>
      <vt:variant>
        <vt:i4>5</vt:i4>
      </vt:variant>
      <vt:variant>
        <vt:lpwstr>https://www3.ohrc.on.ca/en/news-center/joint-submission-ontarios-consultation-2020-budget-necessary-investments-ontarios</vt:lpwstr>
      </vt:variant>
      <vt:variant>
        <vt:lpwstr/>
      </vt:variant>
      <vt:variant>
        <vt:i4>4587547</vt:i4>
      </vt:variant>
      <vt:variant>
        <vt:i4>405</vt:i4>
      </vt:variant>
      <vt:variant>
        <vt:i4>0</vt:i4>
      </vt:variant>
      <vt:variant>
        <vt:i4>5</vt:i4>
      </vt:variant>
      <vt:variant>
        <vt:lpwstr>https://www3.ohrc.on.ca/en/submission-ontario-human-rights-commission-ministry-solicitor-general-call-submissions-modernizing</vt:lpwstr>
      </vt:variant>
      <vt:variant>
        <vt:lpwstr/>
      </vt:variant>
      <vt:variant>
        <vt:i4>6029342</vt:i4>
      </vt:variant>
      <vt:variant>
        <vt:i4>402</vt:i4>
      </vt:variant>
      <vt:variant>
        <vt:i4>0</vt:i4>
      </vt:variant>
      <vt:variant>
        <vt:i4>5</vt:i4>
      </vt:variant>
      <vt:variant>
        <vt:lpwstr>https://www3.ohrc.on.ca/en/news-center/letter-solicitor-general-elimination-community-advisory-boards</vt:lpwstr>
      </vt:variant>
      <vt:variant>
        <vt:lpwstr/>
      </vt:variant>
      <vt:variant>
        <vt:i4>7012414</vt:i4>
      </vt:variant>
      <vt:variant>
        <vt:i4>399</vt:i4>
      </vt:variant>
      <vt:variant>
        <vt:i4>0</vt:i4>
      </vt:variant>
      <vt:variant>
        <vt:i4>5</vt:i4>
      </vt:variant>
      <vt:variant>
        <vt:lpwstr>https://www3.ohrc.on.ca/en/report-conditions-confinement-toronto-south-detention-centre</vt:lpwstr>
      </vt:variant>
      <vt:variant>
        <vt:lpwstr/>
      </vt:variant>
      <vt:variant>
        <vt:i4>6488169</vt:i4>
      </vt:variant>
      <vt:variant>
        <vt:i4>396</vt:i4>
      </vt:variant>
      <vt:variant>
        <vt:i4>0</vt:i4>
      </vt:variant>
      <vt:variant>
        <vt:i4>5</vt:i4>
      </vt:variant>
      <vt:variant>
        <vt:lpwstr>https://www.ohrc.on.ca/en/submission-ontario-human-rights-commission-ministry-solicitor-general-proposed-amendments-regulation</vt:lpwstr>
      </vt:variant>
      <vt:variant>
        <vt:lpwstr/>
      </vt:variant>
      <vt:variant>
        <vt:i4>1507418</vt:i4>
      </vt:variant>
      <vt:variant>
        <vt:i4>393</vt:i4>
      </vt:variant>
      <vt:variant>
        <vt:i4>0</vt:i4>
      </vt:variant>
      <vt:variant>
        <vt:i4>5</vt:i4>
      </vt:variant>
      <vt:variant>
        <vt:lpwstr>https://www3.ohrc.on.ca/en/news-center/submission-ontario-human-rights-commission-ministry-solicitor-general-proposed</vt:lpwstr>
      </vt:variant>
      <vt:variant>
        <vt:lpwstr/>
      </vt:variant>
      <vt:variant>
        <vt:i4>4849746</vt:i4>
      </vt:variant>
      <vt:variant>
        <vt:i4>390</vt:i4>
      </vt:variant>
      <vt:variant>
        <vt:i4>0</vt:i4>
      </vt:variant>
      <vt:variant>
        <vt:i4>5</vt:i4>
      </vt:variant>
      <vt:variant>
        <vt:lpwstr>https://www3.ohrc.on.ca/en/news-center/adam-capay-case-shows-ontario-must-eliminate-inhumane-practice-segregation</vt:lpwstr>
      </vt:variant>
      <vt:variant>
        <vt:lpwstr/>
      </vt:variant>
      <vt:variant>
        <vt:i4>655429</vt:i4>
      </vt:variant>
      <vt:variant>
        <vt:i4>387</vt:i4>
      </vt:variant>
      <vt:variant>
        <vt:i4>0</vt:i4>
      </vt:variant>
      <vt:variant>
        <vt:i4>5</vt:i4>
      </vt:variant>
      <vt:variant>
        <vt:lpwstr>https://www3.ohrc.on.ca/en/news-center/letter-minister-community-safety-and-correctional-services-action-plan-end-segregation</vt:lpwstr>
      </vt:variant>
      <vt:variant>
        <vt:lpwstr/>
      </vt:variant>
      <vt:variant>
        <vt:i4>2424943</vt:i4>
      </vt:variant>
      <vt:variant>
        <vt:i4>384</vt:i4>
      </vt:variant>
      <vt:variant>
        <vt:i4>0</vt:i4>
      </vt:variant>
      <vt:variant>
        <vt:i4>5</vt:i4>
      </vt:variant>
      <vt:variant>
        <vt:lpwstr>https://www3.ohrc.on.ca/en/letter-ministry-community-safety-and-correctional-services-re-findings-tour-vanier-centre-women</vt:lpwstr>
      </vt:variant>
      <vt:variant>
        <vt:lpwstr/>
      </vt:variant>
      <vt:variant>
        <vt:i4>3604592</vt:i4>
      </vt:variant>
      <vt:variant>
        <vt:i4>381</vt:i4>
      </vt:variant>
      <vt:variant>
        <vt:i4>0</vt:i4>
      </vt:variant>
      <vt:variant>
        <vt:i4>5</vt:i4>
      </vt:variant>
      <vt:variant>
        <vt:lpwstr>https://www3.ohrc.on.ca/en/news-center/end-segregation-says-ontario-human-rights-commission</vt:lpwstr>
      </vt:variant>
      <vt:variant>
        <vt:lpwstr/>
      </vt:variant>
      <vt:variant>
        <vt:i4>1376329</vt:i4>
      </vt:variant>
      <vt:variant>
        <vt:i4>378</vt:i4>
      </vt:variant>
      <vt:variant>
        <vt:i4>0</vt:i4>
      </vt:variant>
      <vt:variant>
        <vt:i4>5</vt:i4>
      </vt:variant>
      <vt:variant>
        <vt:lpwstr>https://www3.ohrc.on.ca/en/supplementary-submission-ohrc-mcscs-provincial-segregation-review</vt:lpwstr>
      </vt:variant>
      <vt:variant>
        <vt:lpwstr/>
      </vt:variant>
      <vt:variant>
        <vt:i4>5111830</vt:i4>
      </vt:variant>
      <vt:variant>
        <vt:i4>375</vt:i4>
      </vt:variant>
      <vt:variant>
        <vt:i4>0</vt:i4>
      </vt:variant>
      <vt:variant>
        <vt:i4>5</vt:i4>
      </vt:variant>
      <vt:variant>
        <vt:lpwstr>https://www3.ohrc.on.ca/en/submission-ohrc-ministry-community-safety-and-correctional-services-provincial-segregation-review</vt:lpwstr>
      </vt:variant>
      <vt:variant>
        <vt:lpwstr/>
      </vt:variant>
      <vt:variant>
        <vt:i4>5439565</vt:i4>
      </vt:variant>
      <vt:variant>
        <vt:i4>372</vt:i4>
      </vt:variant>
      <vt:variant>
        <vt:i4>0</vt:i4>
      </vt:variant>
      <vt:variant>
        <vt:i4>5</vt:i4>
      </vt:variant>
      <vt:variant>
        <vt:lpwstr>https://www.ontario.ca/document/2024-data-release-inmates-ontario/human-rights-based-data-collection-inmates-segregation</vt:lpwstr>
      </vt:variant>
      <vt:variant>
        <vt:lpwstr/>
      </vt:variant>
      <vt:variant>
        <vt:i4>6750251</vt:i4>
      </vt:variant>
      <vt:variant>
        <vt:i4>369</vt:i4>
      </vt:variant>
      <vt:variant>
        <vt:i4>0</vt:i4>
      </vt:variant>
      <vt:variant>
        <vt:i4>5</vt:i4>
      </vt:variant>
      <vt:variant>
        <vt:lpwstr>https://www.canlii.org/en/on/onca/doc/2021/2021onca197/2021onca197.html</vt:lpwstr>
      </vt:variant>
      <vt:variant>
        <vt:lpwstr/>
      </vt:variant>
      <vt:variant>
        <vt:i4>7864323</vt:i4>
      </vt:variant>
      <vt:variant>
        <vt:i4>366</vt:i4>
      </vt:variant>
      <vt:variant>
        <vt:i4>0</vt:i4>
      </vt:variant>
      <vt:variant>
        <vt:i4>5</vt:i4>
      </vt:variant>
      <vt:variant>
        <vt:lpwstr>https://www.ohrc.on.ca/sites/default/files/OHRC v MCSCS_Consent Order _Jan2018_accessible.pdf</vt:lpwstr>
      </vt:variant>
      <vt:variant>
        <vt:lpwstr/>
      </vt:variant>
      <vt:variant>
        <vt:i4>3014696</vt:i4>
      </vt:variant>
      <vt:variant>
        <vt:i4>363</vt:i4>
      </vt:variant>
      <vt:variant>
        <vt:i4>0</vt:i4>
      </vt:variant>
      <vt:variant>
        <vt:i4>5</vt:i4>
      </vt:variant>
      <vt:variant>
        <vt:lpwstr>https://www.ohrc.on.ca/en/segregation-and-mental-health-ontario%E2%80%99s-prisons-jahn-v-ministry-community-safety-and-correctional</vt:lpwstr>
      </vt:variant>
      <vt:variant>
        <vt:lpwstr/>
      </vt:variant>
      <vt:variant>
        <vt:i4>1769492</vt:i4>
      </vt:variant>
      <vt:variant>
        <vt:i4>360</vt:i4>
      </vt:variant>
      <vt:variant>
        <vt:i4>0</vt:i4>
      </vt:variant>
      <vt:variant>
        <vt:i4>5</vt:i4>
      </vt:variant>
      <vt:variant>
        <vt:lpwstr>https://www.ohrc.on.ca/sites/default/files/OHRC Contravention Application - Jahn v MCSCS - Sept 2017.pdf</vt:lpwstr>
      </vt:variant>
      <vt:variant>
        <vt:lpwstr/>
      </vt:variant>
      <vt:variant>
        <vt:i4>2359348</vt:i4>
      </vt:variant>
      <vt:variant>
        <vt:i4>357</vt:i4>
      </vt:variant>
      <vt:variant>
        <vt:i4>0</vt:i4>
      </vt:variant>
      <vt:variant>
        <vt:i4>5</vt:i4>
      </vt:variant>
      <vt:variant>
        <vt:lpwstr>https://www3.ohrc.on.ca/en/news-center/ohrc-statement-independent-reviewers-report-compliance-jahn-v-mcscs-settlement-and-ohrc</vt:lpwstr>
      </vt:variant>
      <vt:variant>
        <vt:lpwstr/>
      </vt:variant>
      <vt:variant>
        <vt:i4>7012474</vt:i4>
      </vt:variant>
      <vt:variant>
        <vt:i4>354</vt:i4>
      </vt:variant>
      <vt:variant>
        <vt:i4>0</vt:i4>
      </vt:variant>
      <vt:variant>
        <vt:i4>5</vt:i4>
      </vt:variant>
      <vt:variant>
        <vt:lpwstr>https://www3.ohrc.on.ca/en/news-center/landmark-settlement-addresses-needs-inmates-mental-health-issues-ontario-prisons</vt:lpwstr>
      </vt:variant>
      <vt:variant>
        <vt:lpwstr/>
      </vt:variant>
      <vt:variant>
        <vt:i4>3145780</vt:i4>
      </vt:variant>
      <vt:variant>
        <vt:i4>351</vt:i4>
      </vt:variant>
      <vt:variant>
        <vt:i4>0</vt:i4>
      </vt:variant>
      <vt:variant>
        <vt:i4>5</vt:i4>
      </vt:variant>
      <vt:variant>
        <vt:lpwstr>https://www3.ohrc.on.ca/en/ohrc-submission-ministry-solicitor-general-equipment-and-use-force-regulation-amendment-and</vt:lpwstr>
      </vt:variant>
      <vt:variant>
        <vt:lpwstr/>
      </vt:variant>
      <vt:variant>
        <vt:i4>3473445</vt:i4>
      </vt:variant>
      <vt:variant>
        <vt:i4>348</vt:i4>
      </vt:variant>
      <vt:variant>
        <vt:i4>0</vt:i4>
      </vt:variant>
      <vt:variant>
        <vt:i4>5</vt:i4>
      </vt:variant>
      <vt:variant>
        <vt:lpwstr>https://www3.ohrc.on.ca/en/strategy-safer-ontario-ohrc-submission-mcscs</vt:lpwstr>
      </vt:variant>
      <vt:variant>
        <vt:lpwstr/>
      </vt:variant>
      <vt:variant>
        <vt:i4>5111872</vt:i4>
      </vt:variant>
      <vt:variant>
        <vt:i4>345</vt:i4>
      </vt:variant>
      <vt:variant>
        <vt:i4>0</vt:i4>
      </vt:variant>
      <vt:variant>
        <vt:i4>5</vt:i4>
      </vt:variant>
      <vt:variant>
        <vt:lpwstr>https://www3.ohrc.on.ca/en/news-center/deputation-toronto-police-services-board-conducted-energy-weapons</vt:lpwstr>
      </vt:variant>
      <vt:variant>
        <vt:lpwstr/>
      </vt:variant>
      <vt:variant>
        <vt:i4>917505</vt:i4>
      </vt:variant>
      <vt:variant>
        <vt:i4>342</vt:i4>
      </vt:variant>
      <vt:variant>
        <vt:i4>0</vt:i4>
      </vt:variant>
      <vt:variant>
        <vt:i4>5</vt:i4>
      </vt:variant>
      <vt:variant>
        <vt:lpwstr>https://www3.ohrc.on.ca/en/submission-ontario-human-rights-commission-modifications-equipment-and-use-force-regulation-under</vt:lpwstr>
      </vt:variant>
      <vt:variant>
        <vt:lpwstr/>
      </vt:variant>
      <vt:variant>
        <vt:i4>524360</vt:i4>
      </vt:variant>
      <vt:variant>
        <vt:i4>339</vt:i4>
      </vt:variant>
      <vt:variant>
        <vt:i4>0</vt:i4>
      </vt:variant>
      <vt:variant>
        <vt:i4>5</vt:i4>
      </vt:variant>
      <vt:variant>
        <vt:lpwstr>https://www3.ohrc.on.ca/en/report-ontario-human-rights-commission-police-use-force-and-mental-health</vt:lpwstr>
      </vt:variant>
      <vt:variant>
        <vt:lpwstr/>
      </vt:variant>
      <vt:variant>
        <vt:i4>5963851</vt:i4>
      </vt:variant>
      <vt:variant>
        <vt:i4>333</vt:i4>
      </vt:variant>
      <vt:variant>
        <vt:i4>0</vt:i4>
      </vt:variant>
      <vt:variant>
        <vt:i4>5</vt:i4>
      </vt:variant>
      <vt:variant>
        <vt:lpwstr>https://data.ontario.ca/dataset/police-use-of-force-race-based-data/resource/690d4c5e-095e-49a0-bbab-b7fc680f3c6b</vt:lpwstr>
      </vt:variant>
      <vt:variant>
        <vt:lpwstr/>
      </vt:variant>
      <vt:variant>
        <vt:i4>6946925</vt:i4>
      </vt:variant>
      <vt:variant>
        <vt:i4>330</vt:i4>
      </vt:variant>
      <vt:variant>
        <vt:i4>0</vt:i4>
      </vt:variant>
      <vt:variant>
        <vt:i4>5</vt:i4>
      </vt:variant>
      <vt:variant>
        <vt:lpwstr>https://www3.ohrc.on.ca/en/news-center/joint-statement-ontario-human-rights-commission-peel-regional-police-and-peel-police</vt:lpwstr>
      </vt:variant>
      <vt:variant>
        <vt:lpwstr/>
      </vt:variant>
      <vt:variant>
        <vt:i4>5111928</vt:i4>
      </vt:variant>
      <vt:variant>
        <vt:i4>327</vt:i4>
      </vt:variant>
      <vt:variant>
        <vt:i4>0</vt:i4>
      </vt:variant>
      <vt:variant>
        <vt:i4>5</vt:i4>
      </vt:variant>
      <vt:variant>
        <vt:lpwstr>https://www.ohrc.on.ca/en/policy-eliminating-racial-profiling-law-enforcement</vt:lpwstr>
      </vt:variant>
      <vt:variant>
        <vt:lpwstr>_Toc17977381:~:text=Acknowledgement%3A%20Substantively%20acknowledging,all%20of%20these%20principles.</vt:lpwstr>
      </vt:variant>
      <vt:variant>
        <vt:i4>4980752</vt:i4>
      </vt:variant>
      <vt:variant>
        <vt:i4>324</vt:i4>
      </vt:variant>
      <vt:variant>
        <vt:i4>0</vt:i4>
      </vt:variant>
      <vt:variant>
        <vt:i4>5</vt:i4>
      </vt:variant>
      <vt:variant>
        <vt:lpwstr>https://www3.ohrc.on.ca/en/ontario-human-rights-commissions-work-peel-regional-police-and-peel-police-services-board</vt:lpwstr>
      </vt:variant>
      <vt:variant>
        <vt:lpwstr/>
      </vt:variant>
      <vt:variant>
        <vt:i4>65617</vt:i4>
      </vt:variant>
      <vt:variant>
        <vt:i4>321</vt:i4>
      </vt:variant>
      <vt:variant>
        <vt:i4>0</vt:i4>
      </vt:variant>
      <vt:variant>
        <vt:i4>5</vt:i4>
      </vt:variant>
      <vt:variant>
        <vt:lpwstr>https://www.ohrc.on.ca/en/memorandum-understanding-between-ontario-human-rights-commission-and-peel-regional-police-and</vt:lpwstr>
      </vt:variant>
      <vt:variant>
        <vt:lpwstr>overlay-context=en</vt:lpwstr>
      </vt:variant>
      <vt:variant>
        <vt:i4>7798832</vt:i4>
      </vt:variant>
      <vt:variant>
        <vt:i4>318</vt:i4>
      </vt:variant>
      <vt:variant>
        <vt:i4>0</vt:i4>
      </vt:variant>
      <vt:variant>
        <vt:i4>5</vt:i4>
      </vt:variant>
      <vt:variant>
        <vt:lpwstr>https://www.peelpolice.ca/Modules/News/index.aspx?feedId=f812883f-9f6d-4ef7-a039-4f196f1f57eb,24cde32a-aa5c-4166-a2b3-26722a001fb4&amp;newsId=f43949d5-5868-48d6-846a-e14de78908fc</vt:lpwstr>
      </vt:variant>
      <vt:variant>
        <vt:lpwstr/>
      </vt:variant>
      <vt:variant>
        <vt:i4>2883621</vt:i4>
      </vt:variant>
      <vt:variant>
        <vt:i4>315</vt:i4>
      </vt:variant>
      <vt:variant>
        <vt:i4>0</vt:i4>
      </vt:variant>
      <vt:variant>
        <vt:i4>5</vt:i4>
      </vt:variant>
      <vt:variant>
        <vt:lpwstr>https://www.peelpolice.ca/en/who-we-are/resources/Documents/OHRP/2021-Community-Survey-on-Policing-in-Peel-Results-Rev1-Remediated.pdf</vt:lpwstr>
      </vt:variant>
      <vt:variant>
        <vt:lpwstr/>
      </vt:variant>
      <vt:variant>
        <vt:i4>3801137</vt:i4>
      </vt:variant>
      <vt:variant>
        <vt:i4>312</vt:i4>
      </vt:variant>
      <vt:variant>
        <vt:i4>0</vt:i4>
      </vt:variant>
      <vt:variant>
        <vt:i4>5</vt:i4>
      </vt:variant>
      <vt:variant>
        <vt:lpwstr>https://www3.ohrc.on.ca/en/disparate-impact-second-interim-report-inquiry-racial-profiling-and-racial-discrimination-black</vt:lpwstr>
      </vt:variant>
      <vt:variant>
        <vt:lpwstr/>
      </vt:variant>
      <vt:variant>
        <vt:i4>4259862</vt:i4>
      </vt:variant>
      <vt:variant>
        <vt:i4>309</vt:i4>
      </vt:variant>
      <vt:variant>
        <vt:i4>0</vt:i4>
      </vt:variant>
      <vt:variant>
        <vt:i4>5</vt:i4>
      </vt:variant>
      <vt:variant>
        <vt:lpwstr>https://www3.ohrc.on.ca/en/public-interest-inquiry-racial-profiling-and-discrimination-toronto-police-service/collective</vt:lpwstr>
      </vt:variant>
      <vt:variant>
        <vt:lpwstr/>
      </vt:variant>
      <vt:variant>
        <vt:i4>262146</vt:i4>
      </vt:variant>
      <vt:variant>
        <vt:i4>306</vt:i4>
      </vt:variant>
      <vt:variant>
        <vt:i4>0</vt:i4>
      </vt:variant>
      <vt:variant>
        <vt:i4>5</vt:i4>
      </vt:variant>
      <vt:variant>
        <vt:lpwstr>https://www.ohrc.on.ca/sites/default/files/Use of force by the TPS report %28updated January 2023%29.pdf</vt:lpwstr>
      </vt:variant>
      <vt:variant>
        <vt:lpwstr/>
      </vt:variant>
      <vt:variant>
        <vt:i4>458823</vt:i4>
      </vt:variant>
      <vt:variant>
        <vt:i4>303</vt:i4>
      </vt:variant>
      <vt:variant>
        <vt:i4>0</vt:i4>
      </vt:variant>
      <vt:variant>
        <vt:i4>5</vt:i4>
      </vt:variant>
      <vt:variant>
        <vt:lpwstr>https://www.ohrc.on.ca/en/impact-action-final-report-anti-black-racism-toronto-police-service</vt:lpwstr>
      </vt:variant>
      <vt:variant>
        <vt:lpwstr/>
      </vt:variant>
      <vt:variant>
        <vt:i4>524317</vt:i4>
      </vt:variant>
      <vt:variant>
        <vt:i4>300</vt:i4>
      </vt:variant>
      <vt:variant>
        <vt:i4>0</vt:i4>
      </vt:variant>
      <vt:variant>
        <vt:i4>5</vt:i4>
      </vt:variant>
      <vt:variant>
        <vt:lpwstr>https://www3.ohrc.on.ca/en/framework-change-address-systemic-racism-policing</vt:lpwstr>
      </vt:variant>
      <vt:variant>
        <vt:lpwstr/>
      </vt:variant>
      <vt:variant>
        <vt:i4>6619240</vt:i4>
      </vt:variant>
      <vt:variant>
        <vt:i4>297</vt:i4>
      </vt:variant>
      <vt:variant>
        <vt:i4>0</vt:i4>
      </vt:variant>
      <vt:variant>
        <vt:i4>5</vt:i4>
      </vt:variant>
      <vt:variant>
        <vt:lpwstr>http://www.ohrc.on.ca/en/under-suspicion-research-and-consultation-report-racial-profiling-ontario</vt:lpwstr>
      </vt:variant>
      <vt:variant>
        <vt:lpwstr/>
      </vt:variant>
      <vt:variant>
        <vt:i4>1245232</vt:i4>
      </vt:variant>
      <vt:variant>
        <vt:i4>294</vt:i4>
      </vt:variant>
      <vt:variant>
        <vt:i4>0</vt:i4>
      </vt:variant>
      <vt:variant>
        <vt:i4>5</vt:i4>
      </vt:variant>
      <vt:variant>
        <vt:lpwstr/>
      </vt:variant>
      <vt:variant>
        <vt:lpwstr>_Public_inquiry_into</vt:lpwstr>
      </vt:variant>
      <vt:variant>
        <vt:i4>7340064</vt:i4>
      </vt:variant>
      <vt:variant>
        <vt:i4>291</vt:i4>
      </vt:variant>
      <vt:variant>
        <vt:i4>0</vt:i4>
      </vt:variant>
      <vt:variant>
        <vt:i4>5</vt:i4>
      </vt:variant>
      <vt:variant>
        <vt:lpwstr>https://www.ohrc.on.ca/en/paying-price-human-cost-racial-profiling</vt:lpwstr>
      </vt:variant>
      <vt:variant>
        <vt:lpwstr/>
      </vt:variant>
      <vt:variant>
        <vt:i4>6029327</vt:i4>
      </vt:variant>
      <vt:variant>
        <vt:i4>288</vt:i4>
      </vt:variant>
      <vt:variant>
        <vt:i4>0</vt:i4>
      </vt:variant>
      <vt:variant>
        <vt:i4>5</vt:i4>
      </vt:variant>
      <vt:variant>
        <vt:lpwstr>http://www.ohrc.on.ca/en/policy-eliminating-racial-profiling-law-enforcement</vt:lpwstr>
      </vt:variant>
      <vt:variant>
        <vt:lpwstr/>
      </vt:variant>
      <vt:variant>
        <vt:i4>4390981</vt:i4>
      </vt:variant>
      <vt:variant>
        <vt:i4>285</vt:i4>
      </vt:variant>
      <vt:variant>
        <vt:i4>0</vt:i4>
      </vt:variant>
      <vt:variant>
        <vt:i4>5</vt:i4>
      </vt:variant>
      <vt:variant>
        <vt:lpwstr>https://www.ohrc.on.ca/en/submission-united-nations-international-independent-expert-mechanism-advance-racial-justice-and</vt:lpwstr>
      </vt:variant>
      <vt:variant>
        <vt:lpwstr/>
      </vt:variant>
      <vt:variant>
        <vt:i4>2883632</vt:i4>
      </vt:variant>
      <vt:variant>
        <vt:i4>282</vt:i4>
      </vt:variant>
      <vt:variant>
        <vt:i4>0</vt:i4>
      </vt:variant>
      <vt:variant>
        <vt:i4>5</vt:i4>
      </vt:variant>
      <vt:variant>
        <vt:lpwstr>https://www3.ohrc.on.ca/en/news-center/ohrc-statement-unmarked-graves-found-former-ontario-residential-school-sites</vt:lpwstr>
      </vt:variant>
      <vt:variant>
        <vt:lpwstr/>
      </vt:variant>
      <vt:variant>
        <vt:i4>3604537</vt:i4>
      </vt:variant>
      <vt:variant>
        <vt:i4>279</vt:i4>
      </vt:variant>
      <vt:variant>
        <vt:i4>0</vt:i4>
      </vt:variant>
      <vt:variant>
        <vt:i4>5</vt:i4>
      </vt:variant>
      <vt:variant>
        <vt:lpwstr>https://www3.ohrc.on.ca/en/news-center/statement-unmarked-graves-found-former-saskatchewan-residential-school-site-growing</vt:lpwstr>
      </vt:variant>
      <vt:variant>
        <vt:lpwstr/>
      </vt:variant>
      <vt:variant>
        <vt:i4>4325392</vt:i4>
      </vt:variant>
      <vt:variant>
        <vt:i4>276</vt:i4>
      </vt:variant>
      <vt:variant>
        <vt:i4>0</vt:i4>
      </vt:variant>
      <vt:variant>
        <vt:i4>5</vt:i4>
      </vt:variant>
      <vt:variant>
        <vt:lpwstr>https://www3.ohrc.on.ca/en/dream-together-indigenous-peoples-and-human-rights-dialogue-report</vt:lpwstr>
      </vt:variant>
      <vt:variant>
        <vt:lpwstr/>
      </vt:variant>
      <vt:variant>
        <vt:i4>852057</vt:i4>
      </vt:variant>
      <vt:variant>
        <vt:i4>273</vt:i4>
      </vt:variant>
      <vt:variant>
        <vt:i4>0</vt:i4>
      </vt:variant>
      <vt:variant>
        <vt:i4>5</vt:i4>
      </vt:variant>
      <vt:variant>
        <vt:lpwstr>https://www.ohrc.on.ca/en/fact-sheet-preventing-anti-indigenous-discrimination-and-harassment-retail-settings</vt:lpwstr>
      </vt:variant>
      <vt:variant>
        <vt:lpwstr/>
      </vt:variant>
      <vt:variant>
        <vt:i4>3539070</vt:i4>
      </vt:variant>
      <vt:variant>
        <vt:i4>270</vt:i4>
      </vt:variant>
      <vt:variant>
        <vt:i4>0</vt:i4>
      </vt:variant>
      <vt:variant>
        <vt:i4>5</vt:i4>
      </vt:variant>
      <vt:variant>
        <vt:lpwstr>https://www.ohrc.on.ca/en/fact-sheet-recognizing-anti-indigenous-discrimination-and-harassment-retail-settings</vt:lpwstr>
      </vt:variant>
      <vt:variant>
        <vt:lpwstr/>
      </vt:variant>
      <vt:variant>
        <vt:i4>1245211</vt:i4>
      </vt:variant>
      <vt:variant>
        <vt:i4>267</vt:i4>
      </vt:variant>
      <vt:variant>
        <vt:i4>0</vt:i4>
      </vt:variant>
      <vt:variant>
        <vt:i4>5</vt:i4>
      </vt:variant>
      <vt:variant>
        <vt:lpwstr>https://www.ohrc.on.ca/en/guide-identifying-and-addressing-anti-indigenous-discrimination-retail-settings</vt:lpwstr>
      </vt:variant>
      <vt:variant>
        <vt:lpwstr/>
      </vt:variant>
      <vt:variant>
        <vt:i4>5439529</vt:i4>
      </vt:variant>
      <vt:variant>
        <vt:i4>264</vt:i4>
      </vt:variant>
      <vt:variant>
        <vt:i4>0</vt:i4>
      </vt:variant>
      <vt:variant>
        <vt:i4>5</vt:i4>
      </vt:variant>
      <vt:variant>
        <vt:lpwstr>https://www.ohrc.on.ca/en/news_centre/ohrc-files-human-rights-application-related-deaths-joey-knapaysweet-agnes-sutherland-1</vt:lpwstr>
      </vt:variant>
      <vt:variant>
        <vt:lpwstr/>
      </vt:variant>
      <vt:variant>
        <vt:i4>7340076</vt:i4>
      </vt:variant>
      <vt:variant>
        <vt:i4>261</vt:i4>
      </vt:variant>
      <vt:variant>
        <vt:i4>0</vt:i4>
      </vt:variant>
      <vt:variant>
        <vt:i4>5</vt:i4>
      </vt:variant>
      <vt:variant>
        <vt:lpwstr>https://wabano.com/sys/</vt:lpwstr>
      </vt:variant>
      <vt:variant>
        <vt:lpwstr/>
      </vt:variant>
      <vt:variant>
        <vt:i4>2687086</vt:i4>
      </vt:variant>
      <vt:variant>
        <vt:i4>258</vt:i4>
      </vt:variant>
      <vt:variant>
        <vt:i4>0</vt:i4>
      </vt:variant>
      <vt:variant>
        <vt:i4>5</vt:i4>
      </vt:variant>
      <vt:variant>
        <vt:lpwstr>https://www3.ohrc.on.ca/en/combatting-anti-indigenous-discrimination-healthcare</vt:lpwstr>
      </vt:variant>
      <vt:variant>
        <vt:lpwstr/>
      </vt:variant>
      <vt:variant>
        <vt:i4>1441917</vt:i4>
      </vt:variant>
      <vt:variant>
        <vt:i4>255</vt:i4>
      </vt:variant>
      <vt:variant>
        <vt:i4>0</vt:i4>
      </vt:variant>
      <vt:variant>
        <vt:i4>5</vt:i4>
      </vt:variant>
      <vt:variant>
        <vt:lpwstr>https://www3.ohrc.on.ca/en/ontario-human-rights-commissions-ohrc-submission-legislated-review-child-youth-and-family-services</vt:lpwstr>
      </vt:variant>
      <vt:variant>
        <vt:lpwstr>overlay-context=en/news_centre/ohrcs-submission-legislated-review-child-youth-and-family-services-act-cyfsa</vt:lpwstr>
      </vt:variant>
      <vt:variant>
        <vt:i4>5046360</vt:i4>
      </vt:variant>
      <vt:variant>
        <vt:i4>252</vt:i4>
      </vt:variant>
      <vt:variant>
        <vt:i4>0</vt:i4>
      </vt:variant>
      <vt:variant>
        <vt:i4>5</vt:i4>
      </vt:variant>
      <vt:variant>
        <vt:lpwstr>https://www3.ohrc.on.ca/en/news-center/letter-associate-minister-dunlop-child-welfare-system-consultation</vt:lpwstr>
      </vt:variant>
      <vt:variant>
        <vt:lpwstr/>
      </vt:variant>
      <vt:variant>
        <vt:i4>7209070</vt:i4>
      </vt:variant>
      <vt:variant>
        <vt:i4>249</vt:i4>
      </vt:variant>
      <vt:variant>
        <vt:i4>0</vt:i4>
      </vt:variant>
      <vt:variant>
        <vt:i4>5</vt:i4>
      </vt:variant>
      <vt:variant>
        <vt:lpwstr>https://www3.ohrc.on.ca/en/under-suspicion-concerns-about-child-welfare</vt:lpwstr>
      </vt:variant>
      <vt:variant>
        <vt:lpwstr/>
      </vt:variant>
      <vt:variant>
        <vt:i4>1310728</vt:i4>
      </vt:variant>
      <vt:variant>
        <vt:i4>246</vt:i4>
      </vt:variant>
      <vt:variant>
        <vt:i4>0</vt:i4>
      </vt:variant>
      <vt:variant>
        <vt:i4>5</vt:i4>
      </vt:variant>
      <vt:variant>
        <vt:lpwstr>https://www.itk.ca/wp-content/uploads/2024/11/20241108-Inuit-specific-child-welfare-data-discussion-paper-EN.pdf</vt:lpwstr>
      </vt:variant>
      <vt:variant>
        <vt:lpwstr/>
      </vt:variant>
      <vt:variant>
        <vt:i4>1966084</vt:i4>
      </vt:variant>
      <vt:variant>
        <vt:i4>243</vt:i4>
      </vt:variant>
      <vt:variant>
        <vt:i4>0</vt:i4>
      </vt:variant>
      <vt:variant>
        <vt:i4>5</vt:i4>
      </vt:variant>
      <vt:variant>
        <vt:lpwstr>https://cwrp.ca/sites/default/files/publication/fnois2023.pdf</vt:lpwstr>
      </vt:variant>
      <vt:variant>
        <vt:lpwstr/>
      </vt:variant>
      <vt:variant>
        <vt:i4>6750256</vt:i4>
      </vt:variant>
      <vt:variant>
        <vt:i4>240</vt:i4>
      </vt:variant>
      <vt:variant>
        <vt:i4>0</vt:i4>
      </vt:variant>
      <vt:variant>
        <vt:i4>5</vt:i4>
      </vt:variant>
      <vt:variant>
        <vt:lpwstr>https://www150.statcan.gc.ca/n1/pub/41-20-0002/412000022024001-eng.htm</vt:lpwstr>
      </vt:variant>
      <vt:variant>
        <vt:lpwstr/>
      </vt:variant>
      <vt:variant>
        <vt:i4>7143551</vt:i4>
      </vt:variant>
      <vt:variant>
        <vt:i4>237</vt:i4>
      </vt:variant>
      <vt:variant>
        <vt:i4>0</vt:i4>
      </vt:variant>
      <vt:variant>
        <vt:i4>5</vt:i4>
      </vt:variant>
      <vt:variant>
        <vt:lpwstr>https://www.ontario.ca/document/open-data-guidebook-guide-open-data-directive-2019</vt:lpwstr>
      </vt:variant>
      <vt:variant>
        <vt:lpwstr/>
      </vt:variant>
      <vt:variant>
        <vt:i4>2097210</vt:i4>
      </vt:variant>
      <vt:variant>
        <vt:i4>234</vt:i4>
      </vt:variant>
      <vt:variant>
        <vt:i4>0</vt:i4>
      </vt:variant>
      <vt:variant>
        <vt:i4>5</vt:i4>
      </vt:variant>
      <vt:variant>
        <vt:lpwstr>https://laws-lois.justice.gc.ca/eng/acts/F-11.73/index.html</vt:lpwstr>
      </vt:variant>
      <vt:variant>
        <vt:lpwstr/>
      </vt:variant>
      <vt:variant>
        <vt:i4>327774</vt:i4>
      </vt:variant>
      <vt:variant>
        <vt:i4>231</vt:i4>
      </vt:variant>
      <vt:variant>
        <vt:i4>0</vt:i4>
      </vt:variant>
      <vt:variant>
        <vt:i4>5</vt:i4>
      </vt:variant>
      <vt:variant>
        <vt:lpwstr>https://www.ontario.ca/page/indigenous-control-over-child-and-family-services</vt:lpwstr>
      </vt:variant>
      <vt:variant>
        <vt:lpwstr/>
      </vt:variant>
      <vt:variant>
        <vt:i4>3539007</vt:i4>
      </vt:variant>
      <vt:variant>
        <vt:i4>228</vt:i4>
      </vt:variant>
      <vt:variant>
        <vt:i4>0</vt:i4>
      </vt:variant>
      <vt:variant>
        <vt:i4>5</vt:i4>
      </vt:variant>
      <vt:variant>
        <vt:lpwstr>https://www.ontario.ca/page/ontario-indigenous-children-and-youth-strategy</vt:lpwstr>
      </vt:variant>
      <vt:variant>
        <vt:lpwstr/>
      </vt:variant>
      <vt:variant>
        <vt:i4>524362</vt:i4>
      </vt:variant>
      <vt:variant>
        <vt:i4>225</vt:i4>
      </vt:variant>
      <vt:variant>
        <vt:i4>0</vt:i4>
      </vt:variant>
      <vt:variant>
        <vt:i4>5</vt:i4>
      </vt:variant>
      <vt:variant>
        <vt:lpwstr>https://www.ontario.ca/laws/statute/17a15</vt:lpwstr>
      </vt:variant>
      <vt:variant>
        <vt:lpwstr/>
      </vt:variant>
      <vt:variant>
        <vt:i4>3670049</vt:i4>
      </vt:variant>
      <vt:variant>
        <vt:i4>222</vt:i4>
      </vt:variant>
      <vt:variant>
        <vt:i4>0</vt:i4>
      </vt:variant>
      <vt:variant>
        <vt:i4>5</vt:i4>
      </vt:variant>
      <vt:variant>
        <vt:lpwstr>https://www.ontario.ca/laws/regulation/180267</vt:lpwstr>
      </vt:variant>
      <vt:variant>
        <vt:lpwstr>act-verion</vt:lpwstr>
      </vt:variant>
      <vt:variant>
        <vt:i4>655426</vt:i4>
      </vt:variant>
      <vt:variant>
        <vt:i4>219</vt:i4>
      </vt:variant>
      <vt:variant>
        <vt:i4>0</vt:i4>
      </vt:variant>
      <vt:variant>
        <vt:i4>5</vt:i4>
      </vt:variant>
      <vt:variant>
        <vt:lpwstr>https://www3.ohrc.on.ca/en/interrupted-childhoods-over-representation-indigenous-and-black-children-ontario-child-welfare</vt:lpwstr>
      </vt:variant>
      <vt:variant>
        <vt:lpwstr/>
      </vt:variant>
      <vt:variant>
        <vt:i4>3342450</vt:i4>
      </vt:variant>
      <vt:variant>
        <vt:i4>216</vt:i4>
      </vt:variant>
      <vt:variant>
        <vt:i4>0</vt:i4>
      </vt:variant>
      <vt:variant>
        <vt:i4>5</vt:i4>
      </vt:variant>
      <vt:variant>
        <vt:lpwstr>https://www3.ohrc.on.ca/en/ontario-human-rights-commission-strategic-plan-2023-2025</vt:lpwstr>
      </vt:variant>
      <vt:variant>
        <vt:lpwstr/>
      </vt:variant>
      <vt:variant>
        <vt:i4>2490468</vt:i4>
      </vt:variant>
      <vt:variant>
        <vt:i4>213</vt:i4>
      </vt:variant>
      <vt:variant>
        <vt:i4>0</vt:i4>
      </vt:variant>
      <vt:variant>
        <vt:i4>5</vt:i4>
      </vt:variant>
      <vt:variant>
        <vt:lpwstr>https://www3.ohrc.on.ca/en/human-rights-based-approach-policy-and-program-development-0</vt:lpwstr>
      </vt:variant>
      <vt:variant>
        <vt:lpwstr/>
      </vt:variant>
      <vt:variant>
        <vt:i4>3735668</vt:i4>
      </vt:variant>
      <vt:variant>
        <vt:i4>210</vt:i4>
      </vt:variant>
      <vt:variant>
        <vt:i4>0</vt:i4>
      </vt:variant>
      <vt:variant>
        <vt:i4>5</vt:i4>
      </vt:variant>
      <vt:variant>
        <vt:lpwstr>https://www.un.org/development/desa/indigenouspeoples/wp-content/uploads/sites/19/2018/11/UNDRIP_E_web.pdf</vt:lpwstr>
      </vt:variant>
      <vt:variant>
        <vt:lpwstr/>
      </vt:variant>
      <vt:variant>
        <vt:i4>3801121</vt:i4>
      </vt:variant>
      <vt:variant>
        <vt:i4>207</vt:i4>
      </vt:variant>
      <vt:variant>
        <vt:i4>0</vt:i4>
      </vt:variant>
      <vt:variant>
        <vt:i4>5</vt:i4>
      </vt:variant>
      <vt:variant>
        <vt:lpwstr>https://laws-lois.justice.gc.ca/eng/const/page-12.html</vt:lpwstr>
      </vt:variant>
      <vt:variant>
        <vt:lpwstr/>
      </vt:variant>
      <vt:variant>
        <vt:i4>983115</vt:i4>
      </vt:variant>
      <vt:variant>
        <vt:i4>204</vt:i4>
      </vt:variant>
      <vt:variant>
        <vt:i4>0</vt:i4>
      </vt:variant>
      <vt:variant>
        <vt:i4>5</vt:i4>
      </vt:variant>
      <vt:variant>
        <vt:lpwstr>https://www.ontario.ca/laws/statute/90h19</vt:lpwstr>
      </vt:variant>
      <vt:variant>
        <vt:lpwstr/>
      </vt:variant>
      <vt:variant>
        <vt:i4>4784147</vt:i4>
      </vt:variant>
      <vt:variant>
        <vt:i4>201</vt:i4>
      </vt:variant>
      <vt:variant>
        <vt:i4>0</vt:i4>
      </vt:variant>
      <vt:variant>
        <vt:i4>5</vt:i4>
      </vt:variant>
      <vt:variant>
        <vt:lpwstr>https://tribunalsontario.ca/</vt:lpwstr>
      </vt:variant>
      <vt:variant>
        <vt:lpwstr/>
      </vt:variant>
      <vt:variant>
        <vt:i4>983115</vt:i4>
      </vt:variant>
      <vt:variant>
        <vt:i4>198</vt:i4>
      </vt:variant>
      <vt:variant>
        <vt:i4>0</vt:i4>
      </vt:variant>
      <vt:variant>
        <vt:i4>5</vt:i4>
      </vt:variant>
      <vt:variant>
        <vt:lpwstr>https://www.ontario.ca/laws/statute/90h19</vt:lpwstr>
      </vt:variant>
      <vt:variant>
        <vt:lpwstr/>
      </vt:variant>
      <vt:variant>
        <vt:i4>393297</vt:i4>
      </vt:variant>
      <vt:variant>
        <vt:i4>195</vt:i4>
      </vt:variant>
      <vt:variant>
        <vt:i4>0</vt:i4>
      </vt:variant>
      <vt:variant>
        <vt:i4>5</vt:i4>
      </vt:variant>
      <vt:variant>
        <vt:lpwstr>https://www.ohrc.on.ca/en</vt:lpwstr>
      </vt:variant>
      <vt:variant>
        <vt:lpwstr/>
      </vt:variant>
      <vt:variant>
        <vt:i4>1966176</vt:i4>
      </vt:variant>
      <vt:variant>
        <vt:i4>192</vt:i4>
      </vt:variant>
      <vt:variant>
        <vt:i4>0</vt:i4>
      </vt:variant>
      <vt:variant>
        <vt:i4>5</vt:i4>
      </vt:variant>
      <vt:variant>
        <vt:lpwstr>https://tbinternet.ohchr.org/_layouts/15/treatybodyexternal/Download.aspx?symbolno=CCPR%2FC%2FCAN%2FQPR%2F7&amp;Lang=en</vt:lpwstr>
      </vt:variant>
      <vt:variant>
        <vt:lpwstr/>
      </vt:variant>
      <vt:variant>
        <vt:i4>983109</vt:i4>
      </vt:variant>
      <vt:variant>
        <vt:i4>189</vt:i4>
      </vt:variant>
      <vt:variant>
        <vt:i4>0</vt:i4>
      </vt:variant>
      <vt:variant>
        <vt:i4>5</vt:i4>
      </vt:variant>
      <vt:variant>
        <vt:lpwstr>https://www.ohchr.org/en/instruments-mechanisms/instruments/international-covenant-civil-and-political-rights</vt:lpwstr>
      </vt:variant>
      <vt:variant>
        <vt:lpwstr/>
      </vt:variant>
      <vt:variant>
        <vt:i4>4194312</vt:i4>
      </vt:variant>
      <vt:variant>
        <vt:i4>186</vt:i4>
      </vt:variant>
      <vt:variant>
        <vt:i4>0</vt:i4>
      </vt:variant>
      <vt:variant>
        <vt:i4>5</vt:i4>
      </vt:variant>
      <vt:variant>
        <vt:lpwstr>https://www3.ohrc.on.ca/en/submission-ohrc-regarding-canadas-fourth-universal-periodic-review-upr</vt:lpwstr>
      </vt:variant>
      <vt:variant>
        <vt:lpwstr/>
      </vt:variant>
      <vt:variant>
        <vt:i4>5439529</vt:i4>
      </vt:variant>
      <vt:variant>
        <vt:i4>183</vt:i4>
      </vt:variant>
      <vt:variant>
        <vt:i4>0</vt:i4>
      </vt:variant>
      <vt:variant>
        <vt:i4>5</vt:i4>
      </vt:variant>
      <vt:variant>
        <vt:lpwstr>https://www.ohrc.on.ca/en/news_centre/ohrc-files-human-rights-application-related-deaths-joey-knapaysweet-agnes-sutherland-1</vt:lpwstr>
      </vt:variant>
      <vt:variant>
        <vt:lpwstr/>
      </vt:variant>
      <vt:variant>
        <vt:i4>1179711</vt:i4>
      </vt:variant>
      <vt:variant>
        <vt:i4>176</vt:i4>
      </vt:variant>
      <vt:variant>
        <vt:i4>0</vt:i4>
      </vt:variant>
      <vt:variant>
        <vt:i4>5</vt:i4>
      </vt:variant>
      <vt:variant>
        <vt:lpwstr/>
      </vt:variant>
      <vt:variant>
        <vt:lpwstr>_Toc217480202</vt:lpwstr>
      </vt:variant>
      <vt:variant>
        <vt:i4>1179711</vt:i4>
      </vt:variant>
      <vt:variant>
        <vt:i4>170</vt:i4>
      </vt:variant>
      <vt:variant>
        <vt:i4>0</vt:i4>
      </vt:variant>
      <vt:variant>
        <vt:i4>5</vt:i4>
      </vt:variant>
      <vt:variant>
        <vt:lpwstr/>
      </vt:variant>
      <vt:variant>
        <vt:lpwstr>_Toc217480201</vt:lpwstr>
      </vt:variant>
      <vt:variant>
        <vt:i4>1179711</vt:i4>
      </vt:variant>
      <vt:variant>
        <vt:i4>164</vt:i4>
      </vt:variant>
      <vt:variant>
        <vt:i4>0</vt:i4>
      </vt:variant>
      <vt:variant>
        <vt:i4>5</vt:i4>
      </vt:variant>
      <vt:variant>
        <vt:lpwstr/>
      </vt:variant>
      <vt:variant>
        <vt:lpwstr>_Toc217480200</vt:lpwstr>
      </vt:variant>
      <vt:variant>
        <vt:i4>1769532</vt:i4>
      </vt:variant>
      <vt:variant>
        <vt:i4>158</vt:i4>
      </vt:variant>
      <vt:variant>
        <vt:i4>0</vt:i4>
      </vt:variant>
      <vt:variant>
        <vt:i4>5</vt:i4>
      </vt:variant>
      <vt:variant>
        <vt:lpwstr/>
      </vt:variant>
      <vt:variant>
        <vt:lpwstr>_Toc217480199</vt:lpwstr>
      </vt:variant>
      <vt:variant>
        <vt:i4>1769532</vt:i4>
      </vt:variant>
      <vt:variant>
        <vt:i4>152</vt:i4>
      </vt:variant>
      <vt:variant>
        <vt:i4>0</vt:i4>
      </vt:variant>
      <vt:variant>
        <vt:i4>5</vt:i4>
      </vt:variant>
      <vt:variant>
        <vt:lpwstr/>
      </vt:variant>
      <vt:variant>
        <vt:lpwstr>_Toc217480198</vt:lpwstr>
      </vt:variant>
      <vt:variant>
        <vt:i4>1769532</vt:i4>
      </vt:variant>
      <vt:variant>
        <vt:i4>146</vt:i4>
      </vt:variant>
      <vt:variant>
        <vt:i4>0</vt:i4>
      </vt:variant>
      <vt:variant>
        <vt:i4>5</vt:i4>
      </vt:variant>
      <vt:variant>
        <vt:lpwstr/>
      </vt:variant>
      <vt:variant>
        <vt:lpwstr>_Toc217480197</vt:lpwstr>
      </vt:variant>
      <vt:variant>
        <vt:i4>1769532</vt:i4>
      </vt:variant>
      <vt:variant>
        <vt:i4>140</vt:i4>
      </vt:variant>
      <vt:variant>
        <vt:i4>0</vt:i4>
      </vt:variant>
      <vt:variant>
        <vt:i4>5</vt:i4>
      </vt:variant>
      <vt:variant>
        <vt:lpwstr/>
      </vt:variant>
      <vt:variant>
        <vt:lpwstr>_Toc217480196</vt:lpwstr>
      </vt:variant>
      <vt:variant>
        <vt:i4>1769532</vt:i4>
      </vt:variant>
      <vt:variant>
        <vt:i4>134</vt:i4>
      </vt:variant>
      <vt:variant>
        <vt:i4>0</vt:i4>
      </vt:variant>
      <vt:variant>
        <vt:i4>5</vt:i4>
      </vt:variant>
      <vt:variant>
        <vt:lpwstr/>
      </vt:variant>
      <vt:variant>
        <vt:lpwstr>_Toc217480195</vt:lpwstr>
      </vt:variant>
      <vt:variant>
        <vt:i4>1769532</vt:i4>
      </vt:variant>
      <vt:variant>
        <vt:i4>128</vt:i4>
      </vt:variant>
      <vt:variant>
        <vt:i4>0</vt:i4>
      </vt:variant>
      <vt:variant>
        <vt:i4>5</vt:i4>
      </vt:variant>
      <vt:variant>
        <vt:lpwstr/>
      </vt:variant>
      <vt:variant>
        <vt:lpwstr>_Toc217480194</vt:lpwstr>
      </vt:variant>
      <vt:variant>
        <vt:i4>1769532</vt:i4>
      </vt:variant>
      <vt:variant>
        <vt:i4>122</vt:i4>
      </vt:variant>
      <vt:variant>
        <vt:i4>0</vt:i4>
      </vt:variant>
      <vt:variant>
        <vt:i4>5</vt:i4>
      </vt:variant>
      <vt:variant>
        <vt:lpwstr/>
      </vt:variant>
      <vt:variant>
        <vt:lpwstr>_Toc217480193</vt:lpwstr>
      </vt:variant>
      <vt:variant>
        <vt:i4>1769532</vt:i4>
      </vt:variant>
      <vt:variant>
        <vt:i4>116</vt:i4>
      </vt:variant>
      <vt:variant>
        <vt:i4>0</vt:i4>
      </vt:variant>
      <vt:variant>
        <vt:i4>5</vt:i4>
      </vt:variant>
      <vt:variant>
        <vt:lpwstr/>
      </vt:variant>
      <vt:variant>
        <vt:lpwstr>_Toc217480192</vt:lpwstr>
      </vt:variant>
      <vt:variant>
        <vt:i4>1769532</vt:i4>
      </vt:variant>
      <vt:variant>
        <vt:i4>110</vt:i4>
      </vt:variant>
      <vt:variant>
        <vt:i4>0</vt:i4>
      </vt:variant>
      <vt:variant>
        <vt:i4>5</vt:i4>
      </vt:variant>
      <vt:variant>
        <vt:lpwstr/>
      </vt:variant>
      <vt:variant>
        <vt:lpwstr>_Toc217480191</vt:lpwstr>
      </vt:variant>
      <vt:variant>
        <vt:i4>1769532</vt:i4>
      </vt:variant>
      <vt:variant>
        <vt:i4>104</vt:i4>
      </vt:variant>
      <vt:variant>
        <vt:i4>0</vt:i4>
      </vt:variant>
      <vt:variant>
        <vt:i4>5</vt:i4>
      </vt:variant>
      <vt:variant>
        <vt:lpwstr/>
      </vt:variant>
      <vt:variant>
        <vt:lpwstr>_Toc217480190</vt:lpwstr>
      </vt:variant>
      <vt:variant>
        <vt:i4>1703996</vt:i4>
      </vt:variant>
      <vt:variant>
        <vt:i4>98</vt:i4>
      </vt:variant>
      <vt:variant>
        <vt:i4>0</vt:i4>
      </vt:variant>
      <vt:variant>
        <vt:i4>5</vt:i4>
      </vt:variant>
      <vt:variant>
        <vt:lpwstr/>
      </vt:variant>
      <vt:variant>
        <vt:lpwstr>_Toc217480189</vt:lpwstr>
      </vt:variant>
      <vt:variant>
        <vt:i4>1703996</vt:i4>
      </vt:variant>
      <vt:variant>
        <vt:i4>92</vt:i4>
      </vt:variant>
      <vt:variant>
        <vt:i4>0</vt:i4>
      </vt:variant>
      <vt:variant>
        <vt:i4>5</vt:i4>
      </vt:variant>
      <vt:variant>
        <vt:lpwstr/>
      </vt:variant>
      <vt:variant>
        <vt:lpwstr>_Toc217480188</vt:lpwstr>
      </vt:variant>
      <vt:variant>
        <vt:i4>1703996</vt:i4>
      </vt:variant>
      <vt:variant>
        <vt:i4>86</vt:i4>
      </vt:variant>
      <vt:variant>
        <vt:i4>0</vt:i4>
      </vt:variant>
      <vt:variant>
        <vt:i4>5</vt:i4>
      </vt:variant>
      <vt:variant>
        <vt:lpwstr/>
      </vt:variant>
      <vt:variant>
        <vt:lpwstr>_Toc217480187</vt:lpwstr>
      </vt:variant>
      <vt:variant>
        <vt:i4>1703996</vt:i4>
      </vt:variant>
      <vt:variant>
        <vt:i4>80</vt:i4>
      </vt:variant>
      <vt:variant>
        <vt:i4>0</vt:i4>
      </vt:variant>
      <vt:variant>
        <vt:i4>5</vt:i4>
      </vt:variant>
      <vt:variant>
        <vt:lpwstr/>
      </vt:variant>
      <vt:variant>
        <vt:lpwstr>_Toc217480186</vt:lpwstr>
      </vt:variant>
      <vt:variant>
        <vt:i4>1703996</vt:i4>
      </vt:variant>
      <vt:variant>
        <vt:i4>74</vt:i4>
      </vt:variant>
      <vt:variant>
        <vt:i4>0</vt:i4>
      </vt:variant>
      <vt:variant>
        <vt:i4>5</vt:i4>
      </vt:variant>
      <vt:variant>
        <vt:lpwstr/>
      </vt:variant>
      <vt:variant>
        <vt:lpwstr>_Toc217480185</vt:lpwstr>
      </vt:variant>
      <vt:variant>
        <vt:i4>1703996</vt:i4>
      </vt:variant>
      <vt:variant>
        <vt:i4>68</vt:i4>
      </vt:variant>
      <vt:variant>
        <vt:i4>0</vt:i4>
      </vt:variant>
      <vt:variant>
        <vt:i4>5</vt:i4>
      </vt:variant>
      <vt:variant>
        <vt:lpwstr/>
      </vt:variant>
      <vt:variant>
        <vt:lpwstr>_Toc217480184</vt:lpwstr>
      </vt:variant>
      <vt:variant>
        <vt:i4>1703996</vt:i4>
      </vt:variant>
      <vt:variant>
        <vt:i4>62</vt:i4>
      </vt:variant>
      <vt:variant>
        <vt:i4>0</vt:i4>
      </vt:variant>
      <vt:variant>
        <vt:i4>5</vt:i4>
      </vt:variant>
      <vt:variant>
        <vt:lpwstr/>
      </vt:variant>
      <vt:variant>
        <vt:lpwstr>_Toc217480183</vt:lpwstr>
      </vt:variant>
      <vt:variant>
        <vt:i4>1703996</vt:i4>
      </vt:variant>
      <vt:variant>
        <vt:i4>56</vt:i4>
      </vt:variant>
      <vt:variant>
        <vt:i4>0</vt:i4>
      </vt:variant>
      <vt:variant>
        <vt:i4>5</vt:i4>
      </vt:variant>
      <vt:variant>
        <vt:lpwstr/>
      </vt:variant>
      <vt:variant>
        <vt:lpwstr>_Toc217480182</vt:lpwstr>
      </vt:variant>
      <vt:variant>
        <vt:i4>1703996</vt:i4>
      </vt:variant>
      <vt:variant>
        <vt:i4>50</vt:i4>
      </vt:variant>
      <vt:variant>
        <vt:i4>0</vt:i4>
      </vt:variant>
      <vt:variant>
        <vt:i4>5</vt:i4>
      </vt:variant>
      <vt:variant>
        <vt:lpwstr/>
      </vt:variant>
      <vt:variant>
        <vt:lpwstr>_Toc217480181</vt:lpwstr>
      </vt:variant>
      <vt:variant>
        <vt:i4>1703996</vt:i4>
      </vt:variant>
      <vt:variant>
        <vt:i4>44</vt:i4>
      </vt:variant>
      <vt:variant>
        <vt:i4>0</vt:i4>
      </vt:variant>
      <vt:variant>
        <vt:i4>5</vt:i4>
      </vt:variant>
      <vt:variant>
        <vt:lpwstr/>
      </vt:variant>
      <vt:variant>
        <vt:lpwstr>_Toc217480180</vt:lpwstr>
      </vt:variant>
      <vt:variant>
        <vt:i4>1376316</vt:i4>
      </vt:variant>
      <vt:variant>
        <vt:i4>38</vt:i4>
      </vt:variant>
      <vt:variant>
        <vt:i4>0</vt:i4>
      </vt:variant>
      <vt:variant>
        <vt:i4>5</vt:i4>
      </vt:variant>
      <vt:variant>
        <vt:lpwstr/>
      </vt:variant>
      <vt:variant>
        <vt:lpwstr>_Toc217480179</vt:lpwstr>
      </vt:variant>
      <vt:variant>
        <vt:i4>1376316</vt:i4>
      </vt:variant>
      <vt:variant>
        <vt:i4>32</vt:i4>
      </vt:variant>
      <vt:variant>
        <vt:i4>0</vt:i4>
      </vt:variant>
      <vt:variant>
        <vt:i4>5</vt:i4>
      </vt:variant>
      <vt:variant>
        <vt:lpwstr/>
      </vt:variant>
      <vt:variant>
        <vt:lpwstr>_Toc217480178</vt:lpwstr>
      </vt:variant>
      <vt:variant>
        <vt:i4>1376316</vt:i4>
      </vt:variant>
      <vt:variant>
        <vt:i4>26</vt:i4>
      </vt:variant>
      <vt:variant>
        <vt:i4>0</vt:i4>
      </vt:variant>
      <vt:variant>
        <vt:i4>5</vt:i4>
      </vt:variant>
      <vt:variant>
        <vt:lpwstr/>
      </vt:variant>
      <vt:variant>
        <vt:lpwstr>_Toc217480177</vt:lpwstr>
      </vt:variant>
      <vt:variant>
        <vt:i4>1376316</vt:i4>
      </vt:variant>
      <vt:variant>
        <vt:i4>20</vt:i4>
      </vt:variant>
      <vt:variant>
        <vt:i4>0</vt:i4>
      </vt:variant>
      <vt:variant>
        <vt:i4>5</vt:i4>
      </vt:variant>
      <vt:variant>
        <vt:lpwstr/>
      </vt:variant>
      <vt:variant>
        <vt:lpwstr>_Toc217480176</vt:lpwstr>
      </vt:variant>
      <vt:variant>
        <vt:i4>1376316</vt:i4>
      </vt:variant>
      <vt:variant>
        <vt:i4>14</vt:i4>
      </vt:variant>
      <vt:variant>
        <vt:i4>0</vt:i4>
      </vt:variant>
      <vt:variant>
        <vt:i4>5</vt:i4>
      </vt:variant>
      <vt:variant>
        <vt:lpwstr/>
      </vt:variant>
      <vt:variant>
        <vt:lpwstr>_Toc217480175</vt:lpwstr>
      </vt:variant>
      <vt:variant>
        <vt:i4>1376316</vt:i4>
      </vt:variant>
      <vt:variant>
        <vt:i4>8</vt:i4>
      </vt:variant>
      <vt:variant>
        <vt:i4>0</vt:i4>
      </vt:variant>
      <vt:variant>
        <vt:i4>5</vt:i4>
      </vt:variant>
      <vt:variant>
        <vt:lpwstr/>
      </vt:variant>
      <vt:variant>
        <vt:lpwstr>_Toc217480174</vt:lpwstr>
      </vt:variant>
      <vt:variant>
        <vt:i4>1376316</vt:i4>
      </vt:variant>
      <vt:variant>
        <vt:i4>2</vt:i4>
      </vt:variant>
      <vt:variant>
        <vt:i4>0</vt:i4>
      </vt:variant>
      <vt:variant>
        <vt:i4>5</vt:i4>
      </vt:variant>
      <vt:variant>
        <vt:lpwstr/>
      </vt:variant>
      <vt:variant>
        <vt:lpwstr>_Toc217480173</vt:lpwstr>
      </vt:variant>
      <vt:variant>
        <vt:i4>2031660</vt:i4>
      </vt:variant>
      <vt:variant>
        <vt:i4>0</vt:i4>
      </vt:variant>
      <vt:variant>
        <vt:i4>0</vt:i4>
      </vt:variant>
      <vt:variant>
        <vt:i4>5</vt:i4>
      </vt:variant>
      <vt:variant>
        <vt:lpwstr>mailto:Reema.Khawja@ohrc.on.ca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Ontario Human Rights Commission Document Template</dc:title>
  <dc:subject/>
  <dc:creator>Singh, Monica (OHRC)</dc:creator>
  <cp:keywords/>
  <dc:description/>
  <cp:lastModifiedBy>Hingun, Tasneem (OHRC)</cp:lastModifiedBy>
  <cp:revision>5</cp:revision>
  <cp:lastPrinted>2018-05-11T16:33:00Z</cp:lastPrinted>
  <dcterms:created xsi:type="dcterms:W3CDTF">2026-01-29T20:46:00Z</dcterms:created>
  <dcterms:modified xsi:type="dcterms:W3CDTF">2026-01-29T20:54:00Z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0x010100F9DD3D34E50B184AA99CF7029EEB4596</vt:lpwstr>
  </property>
  <property fmtid="{D5CDD505-2E9C-101B-9397-08002B2CF9AE}" pid="3" name="MediaServiceImageTags">
    <vt:lpwstr/>
  </property>
  <property fmtid="{D5CDD505-2E9C-101B-9397-08002B2CF9AE}" pid="4" name="MSIP_Label_034a106e-6316-442c-ad35-738afd673d2b_Enabled">
    <vt:lpwstr>true</vt:lpwstr>
  </property>
  <property fmtid="{D5CDD505-2E9C-101B-9397-08002B2CF9AE}" pid="5" name="MSIP_Label_034a106e-6316-442c-ad35-738afd673d2b_SetDate">
    <vt:lpwstr>2023-07-13T16:02:16Z</vt:lpwstr>
  </property>
  <property fmtid="{D5CDD505-2E9C-101B-9397-08002B2CF9AE}" pid="6" name="MSIP_Label_034a106e-6316-442c-ad35-738afd673d2b_Method">
    <vt:lpwstr>Standard</vt:lpwstr>
  </property>
  <property fmtid="{D5CDD505-2E9C-101B-9397-08002B2CF9AE}" pid="7" name="MSIP_Label_034a106e-6316-442c-ad35-738afd673d2b_Name">
    <vt:lpwstr>034a106e-6316-442c-ad35-738afd673d2b</vt:lpwstr>
  </property>
  <property fmtid="{D5CDD505-2E9C-101B-9397-08002B2CF9AE}" pid="8" name="MSIP_Label_034a106e-6316-442c-ad35-738afd673d2b_SiteId">
    <vt:lpwstr>cddc1229-ac2a-4b97-b78a-0e5cacb5865c</vt:lpwstr>
  </property>
  <property fmtid="{D5CDD505-2E9C-101B-9397-08002B2CF9AE}" pid="9" name="MSIP_Label_034a106e-6316-442c-ad35-738afd673d2b_ActionId">
    <vt:lpwstr>4a18be93-2892-44eb-9bc5-8396624086f4</vt:lpwstr>
  </property>
  <property fmtid="{D5CDD505-2E9C-101B-9397-08002B2CF9AE}" pid="10" name="MSIP_Label_034a106e-6316-442c-ad35-738afd673d2b_ContentBits">
    <vt:lpwstr>0</vt:lpwstr>
  </property>
  <property fmtid="{D5CDD505-2E9C-101B-9397-08002B2CF9AE}" pid="11" name="GrammarlyDocumentId">
    <vt:lpwstr>7855f51a316ba67db5c02846c359c21ce46a55bafe28f7c6f6d62e29ba89ff08</vt:lpwstr>
  </property>
</Properties>
</file>