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2BE" w:rsidRPr="005A201D" w:rsidRDefault="00A172BE" w:rsidP="00A172BE">
      <w:pPr>
        <w:spacing w:line="240" w:lineRule="auto"/>
        <w:rPr>
          <w:sz w:val="6"/>
        </w:rPr>
        <w:sectPr w:rsidR="00A172BE" w:rsidRPr="005A201D" w:rsidSect="00CA5E4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p>
    <w:p w:rsidR="00A172BE" w:rsidRPr="005A201D" w:rsidRDefault="00A172BE" w:rsidP="00A172BE">
      <w:pPr>
        <w:pStyle w:val="H1"/>
      </w:pPr>
      <w:r w:rsidRPr="005A201D">
        <w:lastRenderedPageBreak/>
        <w:t>Comité de los Derechos del Niño</w:t>
      </w:r>
    </w:p>
    <w:p w:rsidR="0004144B" w:rsidRP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71</w:t>
      </w:r>
      <w:r w:rsidR="00FE3CE1" w:rsidRPr="00FE3CE1">
        <w:rPr>
          <w:vertAlign w:val="superscript"/>
        </w:rPr>
        <w:t>er</w:t>
      </w:r>
      <w:r w:rsidRPr="0004144B">
        <w:t xml:space="preserve"> período de sesiones</w:t>
      </w:r>
    </w:p>
    <w:p w:rsidR="0004144B" w:rsidRP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04144B">
        <w:rPr>
          <w:b w:val="0"/>
        </w:rPr>
        <w:t>11 a 29 de enero de 2016</w:t>
      </w:r>
      <w:bookmarkStart w:id="0" w:name="_GoBack"/>
      <w:bookmarkEnd w:id="0"/>
    </w:p>
    <w:p w:rsidR="0004144B" w:rsidRP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04144B">
        <w:rPr>
          <w:b w:val="0"/>
        </w:rPr>
        <w:t>Tema 4 del programa provisional</w:t>
      </w:r>
    </w:p>
    <w:p w:rsid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Examen de los informes de los Estados partes</w:t>
      </w:r>
    </w:p>
    <w:p w:rsidR="0004144B" w:rsidRPr="0004144B" w:rsidRDefault="0004144B" w:rsidP="0004144B">
      <w:pPr>
        <w:pStyle w:val="SingleTxt"/>
        <w:spacing w:after="0" w:line="120" w:lineRule="exact"/>
        <w:rPr>
          <w:sz w:val="10"/>
        </w:rPr>
      </w:pPr>
    </w:p>
    <w:p w:rsidR="0004144B" w:rsidRPr="0004144B" w:rsidRDefault="0004144B" w:rsidP="008172A6">
      <w:pPr>
        <w:pStyle w:val="SingleTxt"/>
        <w:spacing w:after="0" w:line="120" w:lineRule="exact"/>
        <w:jc w:val="center"/>
        <w:rPr>
          <w:sz w:val="10"/>
        </w:rPr>
      </w:pPr>
    </w:p>
    <w:p w:rsidR="0004144B" w:rsidRPr="0004144B" w:rsidRDefault="0004144B" w:rsidP="0004144B">
      <w:pPr>
        <w:pStyle w:val="SingleTxt"/>
        <w:spacing w:after="0" w:line="120" w:lineRule="exact"/>
        <w:rPr>
          <w:sz w:val="10"/>
        </w:rPr>
      </w:pPr>
    </w:p>
    <w:p w:rsidR="0004144B" w:rsidRDefault="0004144B" w:rsidP="000414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 xml:space="preserve">Lista de cuestiones relativa al informe presentado </w:t>
      </w:r>
      <w:r w:rsidRPr="0004144B">
        <w:br/>
        <w:t xml:space="preserve">por Letonia en virtud del artículo 8, párrafo 1, del Protocolo Facultativo de la Convención sobre los </w:t>
      </w:r>
      <w:r w:rsidRPr="0004144B">
        <w:br/>
        <w:t xml:space="preserve">Derechos del Niño relativo a la participación de </w:t>
      </w:r>
      <w:r w:rsidRPr="0004144B">
        <w:br/>
        <w:t>niños en los conflictos armados</w:t>
      </w:r>
    </w:p>
    <w:p w:rsidR="0004144B" w:rsidRPr="0004144B" w:rsidRDefault="0004144B" w:rsidP="0004144B">
      <w:pPr>
        <w:pStyle w:val="SingleTxt"/>
        <w:spacing w:after="0" w:line="120" w:lineRule="exact"/>
        <w:rPr>
          <w:sz w:val="10"/>
        </w:rPr>
      </w:pPr>
    </w:p>
    <w:p w:rsidR="0004144B" w:rsidRPr="0004144B" w:rsidRDefault="0004144B" w:rsidP="0004144B">
      <w:pPr>
        <w:pStyle w:val="SingleTxt"/>
        <w:spacing w:after="0" w:line="120" w:lineRule="exact"/>
        <w:rPr>
          <w:sz w:val="10"/>
        </w:rPr>
      </w:pPr>
    </w:p>
    <w:p w:rsid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Adición</w:t>
      </w:r>
    </w:p>
    <w:p w:rsidR="0004144B" w:rsidRPr="0004144B" w:rsidRDefault="0004144B" w:rsidP="0004144B">
      <w:pPr>
        <w:pStyle w:val="SingleTxt"/>
        <w:spacing w:after="0" w:line="120" w:lineRule="exact"/>
        <w:rPr>
          <w:sz w:val="10"/>
        </w:rPr>
      </w:pPr>
    </w:p>
    <w:p w:rsidR="0004144B" w:rsidRPr="0004144B" w:rsidRDefault="0004144B" w:rsidP="0004144B">
      <w:pPr>
        <w:pStyle w:val="SingleTxt"/>
        <w:spacing w:after="0" w:line="120" w:lineRule="exact"/>
        <w:rPr>
          <w:sz w:val="10"/>
        </w:rPr>
      </w:pPr>
    </w:p>
    <w:p w:rsidR="0004144B" w:rsidRDefault="0004144B" w:rsidP="000414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Respuestas de Letonia a la lista de cuestiones</w:t>
      </w:r>
      <w:r w:rsidRPr="0004144B">
        <w:rPr>
          <w:b w:val="0"/>
          <w:sz w:val="20"/>
          <w:szCs w:val="20"/>
        </w:rPr>
        <w:footnoteReference w:customMarkFollows="1" w:id="1"/>
        <w:t>*</w:t>
      </w:r>
    </w:p>
    <w:p w:rsidR="0004144B" w:rsidRPr="0004144B" w:rsidRDefault="0004144B" w:rsidP="0004144B">
      <w:pPr>
        <w:pStyle w:val="SingleTxt"/>
        <w:spacing w:after="0" w:line="120" w:lineRule="exact"/>
        <w:rPr>
          <w:sz w:val="10"/>
        </w:rPr>
      </w:pPr>
    </w:p>
    <w:p w:rsidR="0004144B" w:rsidRPr="0004144B" w:rsidRDefault="0004144B" w:rsidP="0004144B">
      <w:pPr>
        <w:pStyle w:val="SingleTxt"/>
        <w:spacing w:after="0" w:line="120" w:lineRule="exact"/>
        <w:rPr>
          <w:sz w:val="10"/>
        </w:rPr>
      </w:pPr>
    </w:p>
    <w:p w:rsidR="0004144B" w:rsidRDefault="0004144B" w:rsidP="0004144B">
      <w:pPr>
        <w:pStyle w:val="SingleTxt"/>
        <w:jc w:val="right"/>
      </w:pPr>
      <w:r w:rsidRPr="0004144B">
        <w:t>[Fecha de recepción: 16 de octubre de 2015]</w:t>
      </w:r>
    </w:p>
    <w:p w:rsidR="0004144B" w:rsidRPr="0004144B" w:rsidRDefault="0004144B" w:rsidP="0004144B">
      <w:pPr>
        <w:pStyle w:val="SingleTxt"/>
        <w:spacing w:after="0" w:line="120" w:lineRule="exact"/>
        <w:rPr>
          <w:sz w:val="10"/>
        </w:rPr>
      </w:pPr>
    </w:p>
    <w:p w:rsid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 a las cuestiones planteadas en el párrafo 1 de la lista de cuestiones (CRC/C/OPAC/LVA/Q/1)</w:t>
      </w:r>
    </w:p>
    <w:p w:rsidR="0004144B" w:rsidRPr="0004144B" w:rsidRDefault="0004144B" w:rsidP="0004144B">
      <w:pPr>
        <w:pStyle w:val="SingleTxt"/>
        <w:spacing w:after="0" w:line="120" w:lineRule="exact"/>
        <w:rPr>
          <w:sz w:val="10"/>
        </w:rPr>
      </w:pPr>
    </w:p>
    <w:p w:rsidR="0004144B" w:rsidRPr="0004144B" w:rsidRDefault="0004144B" w:rsidP="0004144B">
      <w:pPr>
        <w:pStyle w:val="SingleTxt"/>
      </w:pPr>
      <w:r w:rsidRPr="0004144B">
        <w:t>1.</w:t>
      </w:r>
      <w:r w:rsidRPr="0004144B">
        <w:tab/>
        <w:t xml:space="preserve">En virtud del artículo 2 de la Ley sobre el Protocolo Facultativo de la Convención sobre los Derechos del Niño relativo a la participación de niños en los conflictos armados, el Ministerio de Bienestar deberá coordinar el cumplimiento de las obligaciones establecidas en el Protocolo Facultativo de la Convención sobre los Derechos del Niño relativo a la participación de niños en los conflictos armados (en lo sucesivo, </w:t>
      </w:r>
      <w:r w:rsidR="00CC0778">
        <w:t>e</w:t>
      </w:r>
      <w:r w:rsidRPr="0004144B">
        <w:t>l Protocolo Facultativo). La responsabilidad de la coordinación se delega exclusivamente al Ministerio de Bienestar.</w:t>
      </w:r>
    </w:p>
    <w:p w:rsidR="0004144B" w:rsidRPr="0004144B" w:rsidRDefault="0004144B" w:rsidP="0004144B">
      <w:pPr>
        <w:pStyle w:val="SingleTxt"/>
      </w:pPr>
      <w:r w:rsidRPr="0004144B">
        <w:t>2.</w:t>
      </w:r>
      <w:r w:rsidRPr="0004144B">
        <w:tab/>
        <w:t>Eso significa que el Ministerio de Bienestar se ocupa de comprobar si las instituciones competentes aplican satisfactoriamente el Protocolo Facultativo en el país. El Ministerio de Bienestar se ocupa también de recopilar información de las autoridades competentes (Ministerio de Defensa, Ministerio del Interior y Ministerio de Justicia) y preparar un informe nacional sobre el cumplimiento del Protocolo Facultativo, según se estable</w:t>
      </w:r>
      <w:r w:rsidR="00CC0778">
        <w:t>ce</w:t>
      </w:r>
      <w:r w:rsidRPr="0004144B">
        <w:t xml:space="preserve"> en su artículo 8. </w:t>
      </w:r>
    </w:p>
    <w:p w:rsidR="0004144B" w:rsidRPr="0004144B" w:rsidRDefault="0004144B" w:rsidP="0004144B">
      <w:pPr>
        <w:pStyle w:val="SingleTxt"/>
      </w:pPr>
      <w:r w:rsidRPr="0004144B">
        <w:t>3.</w:t>
      </w:r>
      <w:r w:rsidRPr="0004144B">
        <w:tab/>
        <w:t>Las otras instituciones que se mencionaban en el párrafo 4 del informe nacional (el Ministerio de Defensa y el Ministerio de Interior) se ocupan del cumplimiento de las obligaciones establecidas en el Protocolo Facultativo. Sus competencias en cuanto a la aplicación del Protocolo Facultativo se definen en la legislación.</w:t>
      </w:r>
    </w:p>
    <w:p w:rsidR="0004144B" w:rsidRPr="0004144B" w:rsidRDefault="0004144B" w:rsidP="0004144B">
      <w:pPr>
        <w:pStyle w:val="SingleTxt"/>
      </w:pPr>
      <w:r w:rsidRPr="0004144B">
        <w:lastRenderedPageBreak/>
        <w:t>4.</w:t>
      </w:r>
      <w:r w:rsidRPr="0004144B">
        <w:tab/>
        <w:t>El Ministerio de Defensa se encarga de la aplicación del Protocolo Facultativo en el ámbito de la defensa del Estado (incluidas las esferas de la ciencia y la educación militar y el desarrollo a medio y largo plazo de la capacidad de las Fuerzas Armadas Nacionales, lo que comprende la infraestructura, el personal, la financiación y la facilitación de medios materiales y técnicos). El Ministerio de Defensa se encarga de la prevención de la incorporación de menores a las Fuerzas Armadas Nacionales</w:t>
      </w:r>
      <w:r w:rsidRPr="0004144B">
        <w:rPr>
          <w:vertAlign w:val="superscript"/>
        </w:rPr>
        <w:footnoteReference w:id="2"/>
      </w:r>
      <w:r w:rsidRPr="0004144B">
        <w:t>. La administración de las Fuerzas Armadas Nacionales corresponde a su Comandante, que depende jerárquicamente del Ministro de Defensa (artículo 13, párrafo 1, de la Ley de las Fuerzas Armadas Nacionales).</w:t>
      </w:r>
    </w:p>
    <w:p w:rsidR="0004144B" w:rsidRPr="0004144B" w:rsidRDefault="0004144B" w:rsidP="0004144B">
      <w:pPr>
        <w:pStyle w:val="SingleTxt"/>
      </w:pPr>
      <w:r w:rsidRPr="0004144B">
        <w:t>5.</w:t>
      </w:r>
      <w:r w:rsidRPr="0004144B">
        <w:tab/>
        <w:t>La principal institución que trabaja con los jóv</w:t>
      </w:r>
      <w:r>
        <w:t>enes (incluso los menores de 18 </w:t>
      </w:r>
      <w:r w:rsidRPr="0004144B">
        <w:t xml:space="preserve">años) es el Centro de Reclutamiento y de la Guardia Juvenil, dependiente del Ministerio de Defensa. Las funciones principales del Centro son: ocuparse del reclutamiento; formar a los jóvenes en lo que se refiere a la defensa nacional; fomentar el patriotismo y la conciencia cívica; y proporcionar al público los recursos informativos necesarios sobre temas relacionados con la defensa nacional. </w:t>
      </w:r>
    </w:p>
    <w:p w:rsidR="0004144B" w:rsidRPr="0004144B" w:rsidRDefault="0004144B" w:rsidP="0004144B">
      <w:pPr>
        <w:pStyle w:val="SingleTxt"/>
      </w:pPr>
      <w:r w:rsidRPr="0004144B">
        <w:t>6.</w:t>
      </w:r>
      <w:r w:rsidRPr="0004144B">
        <w:tab/>
        <w:t xml:space="preserve">Al Ministerio del Interior le corresponde la aplicación del Protocolo Facultativo en el ámbito de los asuntos internos, lo </w:t>
      </w:r>
      <w:r w:rsidR="00CC0778">
        <w:t xml:space="preserve">que </w:t>
      </w:r>
      <w:r w:rsidRPr="0004144B">
        <w:t xml:space="preserve">incluye la lucha contra la delincuencia, la protección de la seguridad y el orden públicos y de los derechos e intereses legítimos de las personas; la seguridad de las fronteras del Estado; la prevención y la lucha contra incendios; las operaciones de rescate; las actividades de protección civil; el mantenimiento de registros y la expedición de documentos para la población; y los asuntos relacionados con la migración y la ciudadanía. El Ministerio del Interior se ocupa de que los jóvenes (menores de 18 años) no se incorporen como empleados o de cualquier otra forma a los organismos gubernamentales armados y militarizados dependientes del Ministerio del Interior: la Policía Estatal, la Guardia de Fronteras y la Policía de la Seguridad. </w:t>
      </w:r>
    </w:p>
    <w:p w:rsidR="0004144B" w:rsidRPr="0004144B" w:rsidRDefault="0004144B" w:rsidP="0004144B">
      <w:pPr>
        <w:pStyle w:val="SingleTxt"/>
      </w:pPr>
      <w:r w:rsidRPr="0004144B">
        <w:t>7.</w:t>
      </w:r>
      <w:r w:rsidRPr="0004144B">
        <w:tab/>
        <w:t>Las fuerzas del orden están integradas por los organismos armados y militarizados dependientes del gobierno estatal o local, y su tarea es proteger de la delincuencia y otras amenazas la vida, la salud, los derechos y libertades, la propiedad y los intereses de la sociedad y del Estado (artículo 1 de la Ley de Policía, de 4 de junio de 1991).</w:t>
      </w:r>
    </w:p>
    <w:p w:rsidR="0004144B" w:rsidRPr="0004144B" w:rsidRDefault="0004144B" w:rsidP="0004144B">
      <w:pPr>
        <w:pStyle w:val="SingleTxt"/>
      </w:pPr>
      <w:r w:rsidRPr="0004144B">
        <w:t>8.</w:t>
      </w:r>
      <w:r w:rsidRPr="0004144B">
        <w:tab/>
        <w:t>La Guardia de Fronteras es un instituto armado encargado de garantizar la inviolabilidad de las fronteras del Estado y la prevención de la inmigración ilegal (artículo 2 de la Ley de la Guardia de Fronteras, de 16 de diciembre de 1997).</w:t>
      </w:r>
    </w:p>
    <w:p w:rsidR="0004144B" w:rsidRPr="0004144B" w:rsidRDefault="0004144B" w:rsidP="0004144B">
      <w:pPr>
        <w:pStyle w:val="SingleTxt"/>
      </w:pPr>
      <w:r w:rsidRPr="0004144B">
        <w:t>9.</w:t>
      </w:r>
      <w:r w:rsidRPr="0004144B">
        <w:tab/>
        <w:t>La Policía de la Seguridad es una institución dependiente del Ministerio del Interior que se ocupa de la aplicación de las políticas vigentes en el ámbito de la seguridad del Estado y es competente para realizar actividades de investigación (artículo 1 del Reglamento del Consejo de Ministros núm.</w:t>
      </w:r>
      <w:r w:rsidR="00FE3CE1">
        <w:t xml:space="preserve"> 934, de 16 de noviembre de </w:t>
      </w:r>
      <w:r w:rsidRPr="0004144B">
        <w:t>2004 “Reglamento de la Policía de la Seguridad”).</w:t>
      </w:r>
    </w:p>
    <w:p w:rsidR="0004144B" w:rsidRDefault="0004144B" w:rsidP="0004144B">
      <w:pPr>
        <w:pStyle w:val="SingleTxt"/>
      </w:pPr>
      <w:r w:rsidRPr="0004144B">
        <w:t>10.</w:t>
      </w:r>
      <w:r w:rsidRPr="0004144B">
        <w:tab/>
        <w:t>El Ministerio de Justicia se ocupa del mantenimiento del sistema jurídico que garantiza que quienes vulneren las disposiciones establecidas en el Protocolo Facultativo respondan por ello (adopción de las medidas legales necesarias para prohibir y castigar prácticas como el reclutamiento</w:t>
      </w:r>
      <w:r w:rsidR="00CC0778">
        <w:t xml:space="preserve"> o utilización de menores de 18 </w:t>
      </w:r>
      <w:r w:rsidRPr="0004144B">
        <w:t>años en hostilidades). El Ministerio de Justicia formula e implementa la política del Estado en lo que se refiere a la legislación estatal, el derecho administrativo, el derecho civil, el derecho comercial, el derecho penal y el derecho religioso, así como en lo que se refiere a los procedimientos judiciales (Reglamento del Consejo de Ministros núm. 243, de 29 de abril de 2004 “Decreto del Ministerio de Justicia”, párrafo 5.1.1).</w:t>
      </w:r>
    </w:p>
    <w:p w:rsidR="0004144B" w:rsidRPr="0004144B" w:rsidRDefault="0004144B" w:rsidP="0004144B">
      <w:pPr>
        <w:pStyle w:val="SingleTxt"/>
        <w:spacing w:after="0" w:line="120" w:lineRule="exact"/>
        <w:rPr>
          <w:sz w:val="10"/>
        </w:rPr>
      </w:pPr>
    </w:p>
    <w:p w:rsid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Información básica adicional</w:t>
      </w:r>
    </w:p>
    <w:p w:rsidR="0004144B" w:rsidRPr="0004144B" w:rsidRDefault="0004144B" w:rsidP="0004144B">
      <w:pPr>
        <w:pStyle w:val="SingleTxt"/>
        <w:spacing w:after="0" w:line="120" w:lineRule="exact"/>
        <w:rPr>
          <w:sz w:val="10"/>
        </w:rPr>
      </w:pPr>
    </w:p>
    <w:p w:rsidR="0004144B" w:rsidRPr="0004144B" w:rsidRDefault="0004144B" w:rsidP="0004144B">
      <w:pPr>
        <w:pStyle w:val="SingleTxt"/>
      </w:pPr>
      <w:r w:rsidRPr="0004144B">
        <w:t>11.</w:t>
      </w:r>
      <w:r w:rsidRPr="0004144B">
        <w:tab/>
        <w:t xml:space="preserve">Teniendo en cuenta que un niño es una persona física y mentalmente inmadura que tiene necesidad de protección y atención especial, en la Ley de Protección de los Derechos del Niño (en lo sucesivo, “la Ley”) se especifican los derechos y libertades de los niños y su protección (artículo 2, párr. 1, de la Ley). </w:t>
      </w:r>
    </w:p>
    <w:p w:rsidR="0004144B" w:rsidRPr="0004144B" w:rsidRDefault="0004144B" w:rsidP="0004144B">
      <w:pPr>
        <w:pStyle w:val="SingleTxt"/>
      </w:pPr>
      <w:r w:rsidRPr="0004144B">
        <w:t>12.</w:t>
      </w:r>
      <w:r w:rsidRPr="0004144B">
        <w:tab/>
        <w:t xml:space="preserve">En la Ley se regulan también los criterios para determinar si el comportamiento de un niño debe someterse a control y quién debe responsabilizarse de él, y los derechos y obligaciones de los padres y otras personas físicas y jurídicas, así como del Estado y las administraciones locales, para garantizar los derechos del niño, y se especifica el sistema para la protección de los derechos del niño y los principios jurídicos relativos a su aplicación. </w:t>
      </w:r>
    </w:p>
    <w:p w:rsidR="0004144B" w:rsidRPr="0004144B" w:rsidRDefault="0004144B" w:rsidP="0004144B">
      <w:pPr>
        <w:pStyle w:val="SingleTxt"/>
      </w:pPr>
      <w:r w:rsidRPr="0004144B">
        <w:t>13.</w:t>
      </w:r>
      <w:r w:rsidRPr="0004144B">
        <w:tab/>
        <w:t>La protección de los derechos del niño forma parte integrante de la política del Estado. El Estado y las administraciones locales deberán organizar y supervisar la protección de los derechos del niño en todo el territorio estatal (artículo 2 de la Ley). El Estado garantizará los derechos y libertades de todos los niños sin discriminación alguna (artículo 3, párr.</w:t>
      </w:r>
      <w:r w:rsidR="00CC0778">
        <w:t xml:space="preserve"> </w:t>
      </w:r>
      <w:r w:rsidRPr="0004144B">
        <w:t>2</w:t>
      </w:r>
      <w:r w:rsidR="00CC0778">
        <w:t>,</w:t>
      </w:r>
      <w:r w:rsidRPr="0004144B">
        <w:t xml:space="preserve"> de la Ley).</w:t>
      </w:r>
    </w:p>
    <w:p w:rsidR="0004144B" w:rsidRPr="0004144B" w:rsidRDefault="0004144B" w:rsidP="0004144B">
      <w:pPr>
        <w:pStyle w:val="SingleTxt"/>
      </w:pPr>
      <w:r w:rsidRPr="0004144B">
        <w:t>14.</w:t>
      </w:r>
      <w:r w:rsidRPr="0004144B">
        <w:tab/>
        <w:t>Uno de los objetivos de la protección de los derechos del niño es garantizar su seguridad, así como la mayor protección posible de su vida y su salud, y se presta especial atención a esos objetivos durante la celebración de acontecimientos públicos, la realización de actividades recreativas o deportivas o las visitas a lugares públicos de recreo accesibles a los niños, además de en casos de conflictos armados, incendios u otras situaciones de emergencia (como inundaciones, tormentas, altos niveles de radiación, etc.) (</w:t>
      </w:r>
      <w:proofErr w:type="gramStart"/>
      <w:r w:rsidRPr="0004144B">
        <w:t>artículo</w:t>
      </w:r>
      <w:proofErr w:type="gramEnd"/>
      <w:r w:rsidRPr="0004144B">
        <w:t xml:space="preserve"> 4, párrafo 5, de la Ley).</w:t>
      </w:r>
    </w:p>
    <w:p w:rsidR="0004144B" w:rsidRDefault="0004144B" w:rsidP="0004144B">
      <w:pPr>
        <w:pStyle w:val="SingleTxt"/>
      </w:pPr>
      <w:r w:rsidRPr="0004144B">
        <w:t>15.</w:t>
      </w:r>
      <w:r w:rsidRPr="0004144B">
        <w:tab/>
        <w:t>En Letonia, la protección de los derechos del niño en el Estado está garantizada por: los padres (incluso los padres adoptivos), las familias de acogida y los tutores; las instituciones educativas, culturales, de cuidado de la salud y de atención al menor; las instituciones gubernamentales de ámbito estatal y local relacionadas con los niños; las organizaciones públicas y demás personas físicas o jurídicas cuyas actividades guarden relación con la prestación de apoyo y asistencia a los niños; y quienes emplean a niños (artículo 5, párr. 1, de la Ley).</w:t>
      </w:r>
    </w:p>
    <w:p w:rsidR="0004144B" w:rsidRPr="0004144B" w:rsidRDefault="0004144B" w:rsidP="0004144B">
      <w:pPr>
        <w:pStyle w:val="SingleTxt"/>
        <w:spacing w:after="0" w:line="120" w:lineRule="exact"/>
        <w:rPr>
          <w:sz w:val="10"/>
        </w:rPr>
      </w:pPr>
    </w:p>
    <w:p w:rsid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 a las cuestiones planteadas en el párrafo</w:t>
      </w:r>
      <w:r w:rsidR="00CB766E">
        <w:t xml:space="preserve"> </w:t>
      </w:r>
      <w:r w:rsidRPr="0004144B">
        <w:t>2 de la lista de cuestiones</w:t>
      </w:r>
    </w:p>
    <w:p w:rsidR="0004144B" w:rsidRPr="0004144B" w:rsidRDefault="0004144B" w:rsidP="0004144B">
      <w:pPr>
        <w:pStyle w:val="SingleTxt"/>
        <w:spacing w:after="0" w:line="120" w:lineRule="exact"/>
        <w:rPr>
          <w:sz w:val="10"/>
        </w:rPr>
      </w:pPr>
    </w:p>
    <w:p w:rsidR="0004144B" w:rsidRPr="0004144B" w:rsidRDefault="0004144B" w:rsidP="0004144B">
      <w:pPr>
        <w:pStyle w:val="SingleTxt"/>
      </w:pPr>
      <w:r w:rsidRPr="0004144B">
        <w:t>16.</w:t>
      </w:r>
      <w:r w:rsidRPr="0004144B">
        <w:tab/>
        <w:t>Con el fin de divulgar información sobre el Protocolo Facultativo, el Ministerio de Bienestar ha publicado en la página web del Ministerio (</w:t>
      </w:r>
      <w:hyperlink r:id="rId15" w:history="1">
        <w:r w:rsidRPr="0004144B">
          <w:rPr>
            <w:rStyle w:val="Hyperlink"/>
            <w:color w:val="auto"/>
            <w:u w:val="none"/>
          </w:rPr>
          <w:t>http://www.lm.gov.lv/</w:t>
        </w:r>
        <w:r>
          <w:rPr>
            <w:rStyle w:val="Hyperlink"/>
            <w:color w:val="auto"/>
            <w:u w:val="none"/>
          </w:rPr>
          <w:t xml:space="preserve"> </w:t>
        </w:r>
        <w:r w:rsidRPr="0004144B">
          <w:rPr>
            <w:rStyle w:val="Hyperlink"/>
            <w:color w:val="auto"/>
            <w:u w:val="none"/>
          </w:rPr>
          <w:t>text/2876</w:t>
        </w:r>
      </w:hyperlink>
      <w:r w:rsidRPr="0004144B">
        <w:t>) el informe inicial de la República de Letonia sobre la aplicación del Protocolo Facultativo de la Convención sobre los Derechos del Niño relativo a la participación de los niños en conflictos armados en el período 2006-2011 (tanto en idioma letón como en inglés). El informe inicial de la República de L</w:t>
      </w:r>
      <w:r w:rsidR="007D4B78">
        <w:t>etonia</w:t>
      </w:r>
      <w:r w:rsidRPr="0004144B">
        <w:t xml:space="preserve"> se ha publicado también en la página web del Consejo de Ministros (</w:t>
      </w:r>
      <w:hyperlink r:id="rId16" w:history="1">
        <w:r w:rsidRPr="0004144B">
          <w:rPr>
            <w:rStyle w:val="Hyperlink"/>
            <w:color w:val="auto"/>
            <w:u w:val="none"/>
          </w:rPr>
          <w:t>http://tap.mk.gov.lv/lv/</w:t>
        </w:r>
        <w:r>
          <w:rPr>
            <w:rStyle w:val="Hyperlink"/>
            <w:color w:val="auto"/>
            <w:u w:val="none"/>
          </w:rPr>
          <w:t xml:space="preserve"> </w:t>
        </w:r>
        <w:r w:rsidRPr="0004144B">
          <w:rPr>
            <w:rStyle w:val="Hyperlink"/>
            <w:color w:val="auto"/>
            <w:u w:val="none"/>
          </w:rPr>
          <w:t>mk/tap/?pid=40258141</w:t>
        </w:r>
      </w:hyperlink>
      <w:r w:rsidR="00CC0778">
        <w:t>)</w:t>
      </w:r>
      <w:r w:rsidRPr="0004144B">
        <w:t xml:space="preserve">. El Protocolo Facultativo se ha traducido al idioma letón y puede consultarse en la </w:t>
      </w:r>
      <w:r w:rsidR="00CC0778">
        <w:t>I</w:t>
      </w:r>
      <w:r w:rsidRPr="0004144B">
        <w:t>nternet</w:t>
      </w:r>
      <w:r w:rsidR="00CC0778">
        <w:t>:</w:t>
      </w:r>
      <w:r w:rsidRPr="0004144B">
        <w:t xml:space="preserve"> </w:t>
      </w:r>
      <w:hyperlink r:id="rId17" w:history="1">
        <w:r w:rsidRPr="0004144B">
          <w:rPr>
            <w:rStyle w:val="Hyperlink"/>
            <w:color w:val="auto"/>
            <w:u w:val="none"/>
          </w:rPr>
          <w:t>http://likumi.lv/doc.php?id=118415</w:t>
        </w:r>
      </w:hyperlink>
      <w:r w:rsidRPr="0004144B">
        <w:t xml:space="preserve">. </w:t>
      </w:r>
    </w:p>
    <w:p w:rsidR="0004144B" w:rsidRPr="0004144B" w:rsidRDefault="0004144B" w:rsidP="0004144B">
      <w:pPr>
        <w:pStyle w:val="SingleTxt"/>
      </w:pPr>
      <w:r w:rsidRPr="0004144B">
        <w:t>17.</w:t>
      </w:r>
      <w:r w:rsidRPr="0004144B">
        <w:tab/>
        <w:t>No se ha puesto en marcha ninguna campaña de concienciación sobre el Protocolo Facultativo dirigida a la sociedad en general y a los niños y sus padres en particular.</w:t>
      </w:r>
    </w:p>
    <w:p w:rsidR="0004144B" w:rsidRPr="0004144B" w:rsidRDefault="0004144B" w:rsidP="0004144B">
      <w:pPr>
        <w:pStyle w:val="SingleTxt"/>
      </w:pPr>
      <w:r w:rsidRPr="0004144B">
        <w:t>18.</w:t>
      </w:r>
      <w:r w:rsidRPr="0004144B">
        <w:tab/>
        <w:t>No obstante, la Policía estatal organiza periódicamente y presta apoyo a diferentes medidas preventivas, elabora material informativo con el fin de reducir el consumo de drogas y alcohol y de tabaco, y presta atención a las relaciones entre los niños, la seguridad vial, la preparación de los niños para una vida ordenada y el respeto hacia los derechos humanos y libertades fundamentales.</w:t>
      </w:r>
    </w:p>
    <w:p w:rsidR="0004144B" w:rsidRDefault="0004144B" w:rsidP="0004144B">
      <w:pPr>
        <w:pStyle w:val="SingleTxt"/>
      </w:pPr>
      <w:r w:rsidRPr="0004144B">
        <w:t>19.</w:t>
      </w:r>
      <w:r w:rsidRPr="0004144B">
        <w:tab/>
        <w:t>En 2014, por ejemplo, se adoptaron en diferentes instituciones educativas de Letonia 3.412 medidas preventivas relacionadas con temas como la violencia escolar, la violencia doméstica, la violencia y la responsabilidad que esta lleva asociada, el maltrato emocional, la responsabilidad penal y administrativa, los efectos de las drogas, los efectos nocivos del alcohol y el tabaco, la seguridad vial, la seguridad en el hogar y en la calle, la seguridad en la Internet, etc.</w:t>
      </w:r>
    </w:p>
    <w:p w:rsidR="0004144B" w:rsidRPr="0004144B" w:rsidRDefault="0004144B" w:rsidP="0004144B">
      <w:pPr>
        <w:pStyle w:val="SingleTxt"/>
        <w:spacing w:after="0" w:line="120" w:lineRule="exact"/>
        <w:rPr>
          <w:sz w:val="10"/>
        </w:rPr>
      </w:pPr>
    </w:p>
    <w:p w:rsidR="0004144B" w:rsidRDefault="0004144B" w:rsidP="00041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 a las cuestiones planteadas en el párrafo</w:t>
      </w:r>
      <w:r w:rsidR="00CB766E">
        <w:t xml:space="preserve"> </w:t>
      </w:r>
      <w:r w:rsidRPr="0004144B">
        <w:t>3 de la lista de cuestiones</w:t>
      </w:r>
    </w:p>
    <w:p w:rsidR="0004144B" w:rsidRPr="0004144B" w:rsidRDefault="0004144B" w:rsidP="0004144B">
      <w:pPr>
        <w:pStyle w:val="SingleTxt"/>
        <w:spacing w:after="0" w:line="120" w:lineRule="exact"/>
        <w:rPr>
          <w:sz w:val="10"/>
        </w:rPr>
      </w:pPr>
    </w:p>
    <w:p w:rsidR="0004144B" w:rsidRPr="0004144B" w:rsidRDefault="0004144B" w:rsidP="0004144B">
      <w:pPr>
        <w:pStyle w:val="SingleTxt"/>
      </w:pPr>
      <w:r w:rsidRPr="0004144B">
        <w:t>20.</w:t>
      </w:r>
      <w:r w:rsidRPr="0004144B">
        <w:tab/>
        <w:t>En el artículo 5</w:t>
      </w:r>
      <w:r w:rsidRPr="0004144B">
        <w:rPr>
          <w:vertAlign w:val="superscript"/>
        </w:rPr>
        <w:t>1</w:t>
      </w:r>
      <w:r w:rsidRPr="0004144B">
        <w:t xml:space="preserve">, párrafo 1, de la Ley de Protección de los Derechos del Niño se especifica qué personas deben tener conocimientos específicos en el ámbito de la protección de los derechos del niño: </w:t>
      </w:r>
    </w:p>
    <w:p w:rsidR="0004144B" w:rsidRPr="0004144B" w:rsidRDefault="0004144B" w:rsidP="0004144B">
      <w:pPr>
        <w:pStyle w:val="SingleTxt"/>
      </w:pPr>
      <w:r>
        <w:tab/>
      </w:r>
      <w:r w:rsidRPr="0004144B">
        <w:t>1)</w:t>
      </w:r>
      <w:r w:rsidRPr="0004144B">
        <w:tab/>
        <w:t>Directores de las instituciones de atención fuera de la familia, los trabajadores sociales y los expertos en rehabilitación social;</w:t>
      </w:r>
    </w:p>
    <w:p w:rsidR="0004144B" w:rsidRPr="0004144B" w:rsidRDefault="0004144B" w:rsidP="0004144B">
      <w:pPr>
        <w:pStyle w:val="SingleTxt"/>
      </w:pPr>
      <w:r>
        <w:tab/>
      </w:r>
      <w:r w:rsidRPr="0004144B">
        <w:t>2)</w:t>
      </w:r>
      <w:r w:rsidRPr="0004144B">
        <w:tab/>
        <w:t>Presidentes, vicepresidentes y miembros de los tribunales de huérfanos:</w:t>
      </w:r>
    </w:p>
    <w:p w:rsidR="0004144B" w:rsidRPr="0004144B" w:rsidRDefault="0004144B" w:rsidP="0004144B">
      <w:pPr>
        <w:pStyle w:val="SingleTxt"/>
      </w:pPr>
      <w:r>
        <w:tab/>
      </w:r>
      <w:r w:rsidRPr="0004144B">
        <w:t>3)</w:t>
      </w:r>
      <w:r w:rsidRPr="0004144B">
        <w:tab/>
        <w:t>Directores y directores adjuntos de las instituciones educativas;</w:t>
      </w:r>
    </w:p>
    <w:p w:rsidR="0004144B" w:rsidRPr="0004144B" w:rsidRDefault="0004144B" w:rsidP="0004144B">
      <w:pPr>
        <w:pStyle w:val="SingleTxt"/>
      </w:pPr>
      <w:r>
        <w:tab/>
      </w:r>
      <w:r w:rsidRPr="0004144B">
        <w:t>4)</w:t>
      </w:r>
      <w:r w:rsidRPr="0004144B">
        <w:tab/>
        <w:t>Especialistas del Servicio Estatal de Calidad de la Enseñanza;</w:t>
      </w:r>
    </w:p>
    <w:p w:rsidR="0004144B" w:rsidRPr="0004144B" w:rsidRDefault="0004144B" w:rsidP="0004144B">
      <w:pPr>
        <w:pStyle w:val="SingleTxt"/>
      </w:pPr>
      <w:r>
        <w:tab/>
      </w:r>
      <w:r w:rsidRPr="0004144B">
        <w:t>5)</w:t>
      </w:r>
      <w:r w:rsidRPr="0004144B">
        <w:tab/>
        <w:t>Especialistas en asuntos de la juventud;</w:t>
      </w:r>
    </w:p>
    <w:p w:rsidR="0004144B" w:rsidRPr="0004144B" w:rsidRDefault="0004144B" w:rsidP="0004144B">
      <w:pPr>
        <w:pStyle w:val="SingleTxt"/>
      </w:pPr>
      <w:r>
        <w:tab/>
      </w:r>
      <w:r w:rsidRPr="0004144B">
        <w:t>6)</w:t>
      </w:r>
      <w:r w:rsidRPr="0004144B">
        <w:tab/>
        <w:t>Empleados de prisiones que trabajen con menores;</w:t>
      </w:r>
    </w:p>
    <w:p w:rsidR="0004144B" w:rsidRPr="0004144B" w:rsidRDefault="0004144B" w:rsidP="0004144B">
      <w:pPr>
        <w:pStyle w:val="SingleTxt"/>
      </w:pPr>
      <w:r>
        <w:tab/>
      </w:r>
      <w:r w:rsidRPr="0004144B">
        <w:t>7)</w:t>
      </w:r>
      <w:r w:rsidRPr="0004144B">
        <w:tab/>
        <w:t>Presidentes de los comités administrativos del gobierno local y sus subcomités encargados de asuntos de la infancia;</w:t>
      </w:r>
    </w:p>
    <w:p w:rsidR="0004144B" w:rsidRPr="0004144B" w:rsidRDefault="0004144B" w:rsidP="0004144B">
      <w:pPr>
        <w:pStyle w:val="SingleTxt"/>
      </w:pPr>
      <w:r>
        <w:tab/>
      </w:r>
      <w:r w:rsidRPr="0004144B">
        <w:t>8)</w:t>
      </w:r>
      <w:r w:rsidRPr="0004144B">
        <w:tab/>
        <w:t>Presidentes de las comisiones médicas pedagógicas de los gobiernos locales;</w:t>
      </w:r>
    </w:p>
    <w:p w:rsidR="0004144B" w:rsidRPr="0004144B" w:rsidRDefault="0004144B" w:rsidP="0004144B">
      <w:pPr>
        <w:pStyle w:val="SingleTxt"/>
      </w:pPr>
      <w:r>
        <w:tab/>
      </w:r>
      <w:r w:rsidRPr="0004144B">
        <w:t>9)</w:t>
      </w:r>
      <w:r w:rsidRPr="0004144B">
        <w:tab/>
        <w:t>Empleados de la policía municipal que trabajen con niños y sus familias;</w:t>
      </w:r>
    </w:p>
    <w:p w:rsidR="0004144B" w:rsidRPr="0004144B" w:rsidRDefault="0004144B" w:rsidP="0004144B">
      <w:pPr>
        <w:pStyle w:val="SingleTxt"/>
      </w:pPr>
      <w:r>
        <w:tab/>
      </w:r>
      <w:r w:rsidRPr="0004144B">
        <w:t>10)</w:t>
      </w:r>
      <w:r w:rsidRPr="0004144B">
        <w:tab/>
        <w:t>Empleados de los servicios sociales prestados por los gobiernos locales que trabajen con niños y sus familias;</w:t>
      </w:r>
    </w:p>
    <w:p w:rsidR="0004144B" w:rsidRPr="0004144B" w:rsidRDefault="0004144B" w:rsidP="0004144B">
      <w:pPr>
        <w:pStyle w:val="SingleTxt"/>
      </w:pPr>
      <w:r>
        <w:tab/>
      </w:r>
      <w:r w:rsidRPr="0004144B">
        <w:t>11)</w:t>
      </w:r>
      <w:r w:rsidRPr="0004144B">
        <w:tab/>
        <w:t>Fiscales;</w:t>
      </w:r>
    </w:p>
    <w:p w:rsidR="0004144B" w:rsidRPr="0004144B" w:rsidRDefault="0004144B" w:rsidP="0004144B">
      <w:pPr>
        <w:pStyle w:val="SingleTxt"/>
      </w:pPr>
      <w:r>
        <w:tab/>
      </w:r>
      <w:r w:rsidRPr="0004144B">
        <w:t>12)</w:t>
      </w:r>
      <w:r w:rsidRPr="0004144B">
        <w:tab/>
        <w:t>Psicólogos y pedagogos sociales que trabajen con niños;</w:t>
      </w:r>
    </w:p>
    <w:p w:rsidR="0004144B" w:rsidRPr="0004144B" w:rsidRDefault="0004144B" w:rsidP="0004144B">
      <w:pPr>
        <w:pStyle w:val="SingleTxt"/>
      </w:pPr>
      <w:r>
        <w:tab/>
      </w:r>
      <w:r w:rsidRPr="0004144B">
        <w:t>13)</w:t>
      </w:r>
      <w:r w:rsidRPr="0004144B">
        <w:tab/>
        <w:t>Directores de las oficinas de servicios sociales;</w:t>
      </w:r>
    </w:p>
    <w:p w:rsidR="0004144B" w:rsidRPr="0004144B" w:rsidRDefault="0004144B" w:rsidP="0004144B">
      <w:pPr>
        <w:pStyle w:val="SingleTxt"/>
      </w:pPr>
      <w:r>
        <w:tab/>
      </w:r>
      <w:r w:rsidRPr="0004144B">
        <w:t>14)</w:t>
      </w:r>
      <w:r w:rsidRPr="0004144B">
        <w:tab/>
        <w:t>Jueces;</w:t>
      </w:r>
    </w:p>
    <w:p w:rsidR="0004144B" w:rsidRPr="0004144B" w:rsidRDefault="0004144B" w:rsidP="0004144B">
      <w:pPr>
        <w:pStyle w:val="SingleTxt"/>
      </w:pPr>
      <w:r>
        <w:tab/>
      </w:r>
      <w:r w:rsidRPr="0004144B">
        <w:t>15)</w:t>
      </w:r>
      <w:r w:rsidRPr="0004144B">
        <w:tab/>
        <w:t>Inspectores de los servicios estatales de protección de los derechos del niño;</w:t>
      </w:r>
    </w:p>
    <w:p w:rsidR="0004144B" w:rsidRPr="0004144B" w:rsidRDefault="0004144B" w:rsidP="0004144B">
      <w:pPr>
        <w:pStyle w:val="SingleTxt"/>
      </w:pPr>
      <w:r>
        <w:tab/>
      </w:r>
      <w:r w:rsidRPr="0004144B">
        <w:t>16)</w:t>
      </w:r>
      <w:r w:rsidRPr="0004144B">
        <w:tab/>
        <w:t>Presidentes de las comisiones estatales médicas y pedagógicas;</w:t>
      </w:r>
    </w:p>
    <w:p w:rsidR="0004144B" w:rsidRPr="0004144B" w:rsidRDefault="0004144B" w:rsidP="0004144B">
      <w:pPr>
        <w:pStyle w:val="SingleTxt"/>
      </w:pPr>
      <w:r>
        <w:tab/>
      </w:r>
      <w:r w:rsidRPr="0004144B">
        <w:t>17)</w:t>
      </w:r>
      <w:r w:rsidRPr="0004144B">
        <w:tab/>
        <w:t>Miembros de la policía estatal que trabajen con niños;</w:t>
      </w:r>
    </w:p>
    <w:p w:rsidR="0004144B" w:rsidRPr="0004144B" w:rsidRDefault="0004144B" w:rsidP="0004144B">
      <w:pPr>
        <w:pStyle w:val="SingleTxt"/>
      </w:pPr>
      <w:r>
        <w:tab/>
      </w:r>
      <w:r w:rsidRPr="0004144B">
        <w:t>18)</w:t>
      </w:r>
      <w:r w:rsidRPr="0004144B">
        <w:tab/>
        <w:t>Pedagogos dedicados a la educación general, la formación profesional y la educación extraescolar;</w:t>
      </w:r>
    </w:p>
    <w:p w:rsidR="0004144B" w:rsidRPr="0004144B" w:rsidRDefault="0004144B" w:rsidP="0004144B">
      <w:pPr>
        <w:pStyle w:val="SingleTxt"/>
      </w:pPr>
      <w:r>
        <w:tab/>
      </w:r>
      <w:r w:rsidRPr="0004144B">
        <w:t>19)</w:t>
      </w:r>
      <w:r w:rsidRPr="0004144B">
        <w:tab/>
        <w:t>Empleados del Servicio Estatal de Libertad Condicional;</w:t>
      </w:r>
    </w:p>
    <w:p w:rsidR="0004144B" w:rsidRPr="0004144B" w:rsidRDefault="0004144B" w:rsidP="0004144B">
      <w:pPr>
        <w:pStyle w:val="SingleTxt"/>
      </w:pPr>
      <w:r>
        <w:tab/>
      </w:r>
      <w:r w:rsidRPr="0004144B">
        <w:t>19</w:t>
      </w:r>
      <w:r w:rsidRPr="0004144B">
        <w:rPr>
          <w:vertAlign w:val="superscript"/>
        </w:rPr>
        <w:t>1</w:t>
      </w:r>
      <w:r w:rsidRPr="00FE3CE1">
        <w:t>)</w:t>
      </w:r>
      <w:r w:rsidRPr="0004144B">
        <w:rPr>
          <w:vertAlign w:val="superscript"/>
        </w:rPr>
        <w:tab/>
      </w:r>
      <w:r w:rsidRPr="0004144B">
        <w:t>Abogados;</w:t>
      </w:r>
    </w:p>
    <w:p w:rsidR="0004144B" w:rsidRPr="0004144B" w:rsidRDefault="0004144B" w:rsidP="0004144B">
      <w:pPr>
        <w:pStyle w:val="SingleTxt"/>
      </w:pPr>
      <w:r>
        <w:tab/>
      </w:r>
      <w:r w:rsidRPr="0004144B">
        <w:t>20)</w:t>
      </w:r>
      <w:r w:rsidRPr="0004144B">
        <w:tab/>
        <w:t>Cualesquiera otras personas cuyas decisiones administrativas, actos, actividades, trabajo o servicios de otro tipo puedan afectar a los derechos e intereses legítimos de los niños.</w:t>
      </w:r>
    </w:p>
    <w:p w:rsidR="0004144B" w:rsidRPr="0004144B" w:rsidRDefault="0004144B" w:rsidP="0004144B">
      <w:pPr>
        <w:pStyle w:val="SingleTxt"/>
      </w:pPr>
      <w:r w:rsidRPr="0004144B">
        <w:t>21.</w:t>
      </w:r>
      <w:r w:rsidRPr="0004144B">
        <w:tab/>
        <w:t>Con el fin de que las personas que se enumeran en el artículo 5</w:t>
      </w:r>
      <w:r w:rsidRPr="0004144B">
        <w:rPr>
          <w:vertAlign w:val="superscript"/>
        </w:rPr>
        <w:t>1</w:t>
      </w:r>
      <w:r w:rsidRPr="0004144B">
        <w:t>, párrafo 1, apartados 6, 11, 14, 17 y 19</w:t>
      </w:r>
      <w:r w:rsidRPr="0004144B">
        <w:rPr>
          <w:vertAlign w:val="superscript"/>
        </w:rPr>
        <w:t>1</w:t>
      </w:r>
      <w:r w:rsidRPr="0004144B">
        <w:t xml:space="preserve"> de la Ley de Protección de los Derechos del Niño puedan adquirir conocimientos específicos en el ámbito de la protección de los derechos del niño, incluida la comunicación con los menores durante un proceso penal, la Inspección Estatal para la Protección de los Derechos del Niño organizará cursos de formación con sujeción a los fondos que se asignen para ello en el presupuesto del Estado.</w:t>
      </w:r>
    </w:p>
    <w:p w:rsidR="0004144B" w:rsidRPr="0004144B" w:rsidRDefault="0004144B" w:rsidP="0004144B">
      <w:pPr>
        <w:pStyle w:val="SingleTxt"/>
      </w:pPr>
      <w:r w:rsidRPr="0004144B">
        <w:t>22.</w:t>
      </w:r>
      <w:r w:rsidRPr="0004144B">
        <w:tab/>
        <w:t>El Consejo de Ministros determina los procedimientos para obtener los conocimientos específicos en el ámbito de la protección de los derechos del niño, así como el contenido y la extensión de dichos conocimientos.</w:t>
      </w:r>
    </w:p>
    <w:p w:rsidR="0004144B" w:rsidRPr="0004144B" w:rsidRDefault="0004144B" w:rsidP="0004144B">
      <w:pPr>
        <w:pStyle w:val="SingleTxt"/>
      </w:pPr>
      <w:r w:rsidRPr="0004144B">
        <w:t>23.</w:t>
      </w:r>
      <w:r w:rsidRPr="0004144B">
        <w:tab/>
        <w:t>Los temas y la amplitud del programa de formación se fijan teniendo en cuenta la profesión y la labor específica que hayan de desempeñar quienes participen en él. Los temas que se incluyen en el programa son los siguientes: sistema para la protección de los derechos del niño, normativa sobre el terreno, aplicación del derecho internacional; derechos de los padres y los hijos; la violencia contra los niños, sus tipos e indicadores, la violencia contra los niños en el medio familiar; cooperación interdisciplinar; principios de la comunicación con los niños; y los menores en los procedimientos penales, civiles o de infracción administrativa. La aprobación de los modelos del programa de formación corresponde al Ministro de Bienestar. Los programas de formación elaborados por las instituciones docentes han de estar armonizados por la Inspección Estatal para la Protección de los Derechos del Niño.</w:t>
      </w:r>
    </w:p>
    <w:p w:rsidR="0004144B" w:rsidRPr="0004144B" w:rsidRDefault="0004144B" w:rsidP="0004144B">
      <w:pPr>
        <w:pStyle w:val="SingleTxt"/>
      </w:pPr>
      <w:r w:rsidRPr="0004144B">
        <w:t>24.</w:t>
      </w:r>
      <w:r w:rsidRPr="0004144B">
        <w:tab/>
        <w:t>Cada año se imparte formación a un promedio de 600 profesionales con arreglo a los programas de formación mencionados anteriormente. La formación de esos profesionales se financia con cargo al presupuesto del Estado y de su organización se encarga la Inspección Estatal para la Protección de los Derechos del Niño.</w:t>
      </w:r>
    </w:p>
    <w:p w:rsidR="0004144B" w:rsidRDefault="0004144B" w:rsidP="0004144B">
      <w:pPr>
        <w:pStyle w:val="SingleTxt"/>
      </w:pPr>
      <w:r w:rsidRPr="0004144B">
        <w:t>25.</w:t>
      </w:r>
      <w:r w:rsidRPr="0004144B">
        <w:tab/>
        <w:t xml:space="preserve">La Academia Estatal de Policía ha elaborado nuevos programas de educación no oficial para adultos denominados “Protección de los derechos del niño”, con un total de 40 horas lectivas, y “Protección de los derechos del niño 2”, con un total de 24 horas lectivas, de conformidad con lo establecido en el Reglamento del Consejo de Ministros núm. 173, de 1 de abril de 2014 “Disposiciones sobre el procedimiento para adquirir los conocimientos específicos necesarios en el ámbito de la protección de los derechos del niño, esencia y amplitud de esos conocimientos”. Ambos programas educativos fueron armonizados por la Inspección Estatal para la Protección de los Derechos del Niño el 16 de enero de 2015. Con arreglo a todas las leyes y demás instrumentos jurídicos vinculantes, la Academia Estatal de Policía imparte educación continua para los funcionarios de la Policía Estatal en el ámbito de la protección de los derechos del niño. Además, cabe mencionar que el curso sobre “Protección de los derechos del niño”, con un total de 52 horas lectivas, se ha incluido en la lista de cursos obligatorios del primer nivel del programa de enseñanza superior denominado “Trabajo policial”. El tema relacionado con la participación de los niños en conflictos armados se aborda en el marco de los programas de educación no oficial para adultos en los cursos “Los derechos humanos en el trabajo policial”, “Primeros auxilios en el trabajo policial”, “Derechos de la policía” (acerca de la actuación de la policía en la esfera de los derechos humanos y los derechos del niño), y en el curso “Derecho penal” (sobre los crímenes contra la humanidad y contra la paz, los crímenes de guerra y el genocidio). </w:t>
      </w:r>
    </w:p>
    <w:p w:rsidR="00CB766E" w:rsidRPr="00CB766E" w:rsidRDefault="00CB766E" w:rsidP="00CB766E">
      <w:pPr>
        <w:pStyle w:val="SingleTxt"/>
        <w:spacing w:after="0" w:line="120" w:lineRule="exact"/>
        <w:rPr>
          <w:sz w:val="10"/>
        </w:rPr>
      </w:pPr>
    </w:p>
    <w:p w:rsidR="0004144B" w:rsidRDefault="0004144B" w:rsidP="00CB7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 a las cuestiones planteadas en el párrafo</w:t>
      </w:r>
      <w:r w:rsidR="00CB766E">
        <w:t xml:space="preserve"> </w:t>
      </w:r>
      <w:r w:rsidRPr="0004144B">
        <w:t>4 de la lista de cuestiones</w:t>
      </w:r>
    </w:p>
    <w:p w:rsidR="00CB766E" w:rsidRPr="00CB766E" w:rsidRDefault="00CB766E" w:rsidP="00CB766E">
      <w:pPr>
        <w:pStyle w:val="SingleTxt"/>
        <w:keepNext/>
        <w:spacing w:after="0" w:line="120" w:lineRule="exact"/>
        <w:rPr>
          <w:sz w:val="10"/>
        </w:rPr>
      </w:pPr>
    </w:p>
    <w:p w:rsidR="0004144B" w:rsidRPr="0004144B" w:rsidRDefault="0004144B" w:rsidP="0004144B">
      <w:pPr>
        <w:pStyle w:val="SingleTxt"/>
      </w:pPr>
      <w:r w:rsidRPr="0004144B">
        <w:t>26.</w:t>
      </w:r>
      <w:r w:rsidRPr="0004144B">
        <w:tab/>
        <w:t>En el artículo 74 del Código Penal se establece la responsabilidad penal por los crímenes de guerra. En esa norma se establece que por la comisión d</w:t>
      </w:r>
      <w:r w:rsidR="007D4B78">
        <w:t xml:space="preserve">e crímenes de guerra, es decir </w:t>
      </w:r>
      <w:r w:rsidRPr="0004144B">
        <w:t xml:space="preserve">por la violación de las disposiciones relativas a conductas prohibidas en tiempo de guerra en virtud del derecho internacional que obliga a la República de Letonia o del derecho humanitario internacional, como el asesinato, la tortura de una persona protegida por el derecho humanitario o el trato inhumano de dicha persona, la toma de rehenes, la deportación ilícita, el traslado, la limitación de la libertad, la destrucción injustificada de ciudades y otras entidades u otras actividades prohibidas, la pena correspondiente es la de cadena perpetua o privación de libertad de 3 a 20 años. La responsabilidad penal por crímenes de guerra que se establece en el artículo </w:t>
      </w:r>
      <w:r w:rsidR="00CC0778">
        <w:t>8</w:t>
      </w:r>
      <w:r w:rsidRPr="0004144B">
        <w:t xml:space="preserve"> del Estatuto de Roma de la Corte Penal Internacional, en el que se tipifica como crimen de guerra el hecho de reclutar o alistar a niños menores de 15 años en las fuerzas armadas nacionales o utilizarlos para participar activamente en hostilidades en el marco de conflictos armados tanto internos como internacionales (inciso xxvi) del apartado b) del párrafo 2 del artículo 8 e inciso vii) del apartado e) del párrafo 2 del artículo 8), se ha incluido en el artículo 74 del Código Penal. Tanto el mencionado artículo 8 del Estatuto de Roma de la Corte Penal Internacional como el artículo 74 del Código Penal se aplican no s</w:t>
      </w:r>
      <w:r w:rsidR="00CC0778">
        <w:t>o</w:t>
      </w:r>
      <w:r w:rsidRPr="0004144B">
        <w:t>lo a las fuerzas armadas de un Estado, sino también a los grupos armados no estatales.</w:t>
      </w:r>
    </w:p>
    <w:p w:rsidR="0004144B" w:rsidRPr="0004144B" w:rsidRDefault="0004144B" w:rsidP="0004144B">
      <w:pPr>
        <w:pStyle w:val="SingleTxt"/>
      </w:pPr>
      <w:r w:rsidRPr="0004144B">
        <w:t>27.</w:t>
      </w:r>
      <w:r w:rsidRPr="0004144B">
        <w:tab/>
        <w:t>En el artículo 77</w:t>
      </w:r>
      <w:r w:rsidRPr="0004144B">
        <w:rPr>
          <w:vertAlign w:val="superscript"/>
        </w:rPr>
        <w:t>3</w:t>
      </w:r>
      <w:r w:rsidRPr="0004144B">
        <w:t xml:space="preserve"> del Código Penal se contempla la responsabilidad penal de quien reclute, entrene o envíe a una persona a participar ilegalmente en un conflicto armado fuera del territorio de la República de Letonia. Ese acto se castiga con una pena de prisión de hasta ocho años, seguida de un período de libertad provisional de hasta tres años. En ese artículo se contempla también la responsabilidad que incumbe a quien reclute, entrene o envíe a un niño a participar en un conflicto armado en el extranjero (aunque en la norma no se menciona expresamente a los niños). </w:t>
      </w:r>
    </w:p>
    <w:p w:rsidR="0004144B" w:rsidRDefault="0004144B" w:rsidP="0004144B">
      <w:pPr>
        <w:pStyle w:val="SingleTxt"/>
      </w:pPr>
      <w:r w:rsidRPr="0004144B">
        <w:t>28.</w:t>
      </w:r>
      <w:r w:rsidRPr="0004144B">
        <w:tab/>
        <w:t>Recientemente se han incluido en el Código Penal el artículo 77</w:t>
      </w:r>
      <w:r w:rsidRPr="0004144B">
        <w:rPr>
          <w:vertAlign w:val="superscript"/>
        </w:rPr>
        <w:t>3</w:t>
      </w:r>
      <w:r w:rsidRPr="0004144B">
        <w:t>, así como el artículo 77</w:t>
      </w:r>
      <w:r w:rsidRPr="0004144B">
        <w:rPr>
          <w:vertAlign w:val="superscript"/>
        </w:rPr>
        <w:t>1</w:t>
      </w:r>
      <w:r w:rsidRPr="0004144B">
        <w:t xml:space="preserve"> (participación ilícita en un conflicto armado) y el artículo 77</w:t>
      </w:r>
      <w:r w:rsidRPr="0004144B">
        <w:rPr>
          <w:vertAlign w:val="superscript"/>
        </w:rPr>
        <w:t>2</w:t>
      </w:r>
      <w:r w:rsidRPr="0004144B">
        <w:t xml:space="preserve"> (financiación de un conflicto armado), en virtud de las enmiendas aprobadas por el Parlamento el 12 de febrero de 2015 (que entraron en vigor el 19 de febrero de 2015). Dichas enmiendas se introdujeron con el fin de impedir cualquier participación de los ciudadanos de Letonia en conflictos armados que tengan lugar fuera del territorio del país y estén dirigidos contra la integridad territorial o la independencia política de un Estado o sean de cualquier otro modo contrarios a las normas jurídicas y acuerdos internacionales que obligan a Letonia. Las enmiendas mencionadas se introdujeron también con el fin de limitar la financiación de los conflictos armados, las campañas informativas y otros tipos de apoyo a las personas que puedan tomar parte en un conflicto armado en el extranjero. </w:t>
      </w:r>
    </w:p>
    <w:p w:rsidR="00CB766E" w:rsidRPr="00CB766E" w:rsidRDefault="00CB766E" w:rsidP="00CB766E">
      <w:pPr>
        <w:pStyle w:val="SingleTxt"/>
        <w:spacing w:after="0" w:line="120" w:lineRule="exact"/>
        <w:rPr>
          <w:sz w:val="10"/>
        </w:rPr>
      </w:pPr>
    </w:p>
    <w:p w:rsidR="0004144B" w:rsidRDefault="0004144B" w:rsidP="00CB7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 a las cuestiones planteadas en el párrafo</w:t>
      </w:r>
      <w:r w:rsidR="00CB766E">
        <w:t xml:space="preserve"> </w:t>
      </w:r>
      <w:r w:rsidRPr="0004144B">
        <w:t>5 de la lista de cuestiones</w:t>
      </w:r>
    </w:p>
    <w:p w:rsidR="00CB766E" w:rsidRPr="00CB766E" w:rsidRDefault="00CB766E" w:rsidP="00CB766E">
      <w:pPr>
        <w:pStyle w:val="SingleTxt"/>
        <w:spacing w:after="0" w:line="120" w:lineRule="exact"/>
        <w:rPr>
          <w:sz w:val="10"/>
        </w:rPr>
      </w:pPr>
    </w:p>
    <w:p w:rsidR="0004144B" w:rsidRPr="00CB766E" w:rsidRDefault="0004144B" w:rsidP="0004144B">
      <w:pPr>
        <w:pStyle w:val="SingleTxt"/>
      </w:pPr>
      <w:r w:rsidRPr="0004144B">
        <w:t>29.</w:t>
      </w:r>
      <w:r w:rsidRPr="0004144B">
        <w:tab/>
        <w:t>La Guardia Juvenil ha venido funcionando desde 1992. Se trata de una forma de educación juvenil extraacadémica</w:t>
      </w:r>
      <w:r w:rsidRPr="0004144B">
        <w:rPr>
          <w:vertAlign w:val="superscript"/>
        </w:rPr>
        <w:footnoteReference w:id="3"/>
      </w:r>
      <w:r w:rsidRPr="0004144B">
        <w:t xml:space="preserve"> organizada y administrada por el Ministerio de Defensa. Su objetivo es la educación de los jóvenes en los ámbitos de la defensa nacional, el patriotismo, la conciencia cívica, el compañerismo, el valor, la capacidad física y la disciplina. Al mismo tiempo, en la Guardia Juvenil se pretende fomentar el interés de los jóvenes por el servicio militar, ampliando así las posibilidades de seleccionar personal para un servicio profesional motivado. La participación en la Guardia Juvenil es voluntaria. En la Guardia Juvenil no se aplican castigos</w:t>
      </w:r>
      <w:r w:rsidR="00CB766E">
        <w:t> </w:t>
      </w:r>
      <w:r w:rsidRPr="0004144B">
        <w:t>disciplinarios de ninguna clase. Los principios básicos y las normas éticas de la Guardia Juvenil que han de cumplir sus miembros figuran en su</w:t>
      </w:r>
      <w:r w:rsidR="00CB766E">
        <w:t xml:space="preserve"> Código de Ética </w:t>
      </w:r>
      <w:r w:rsidRPr="0004144B">
        <w:t xml:space="preserve">(puede consultarse en </w:t>
      </w:r>
      <w:hyperlink r:id="rId18" w:history="1">
        <w:r w:rsidRPr="00CB766E">
          <w:rPr>
            <w:rStyle w:val="Hyperlink"/>
            <w:color w:val="auto"/>
            <w:u w:val="none"/>
          </w:rPr>
          <w:t>http://www.rjc.gov.lv/~/media/RJC/Jaunsardze/Kodekss_</w:t>
        </w:r>
        <w:r w:rsidR="00CB766E">
          <w:rPr>
            <w:rStyle w:val="Hyperlink"/>
            <w:color w:val="auto"/>
            <w:u w:val="none"/>
          </w:rPr>
          <w:t xml:space="preserve"> </w:t>
        </w:r>
        <w:r w:rsidRPr="00CB766E">
          <w:rPr>
            <w:rStyle w:val="Hyperlink"/>
            <w:color w:val="auto"/>
            <w:u w:val="none"/>
          </w:rPr>
          <w:t>apstiprinashanai.ashx</w:t>
        </w:r>
      </w:hyperlink>
      <w:r w:rsidRPr="00CB766E">
        <w:t xml:space="preserve">). </w:t>
      </w:r>
    </w:p>
    <w:p w:rsidR="0004144B" w:rsidRPr="0004144B" w:rsidRDefault="0004144B" w:rsidP="0004144B">
      <w:pPr>
        <w:pStyle w:val="SingleTxt"/>
      </w:pPr>
      <w:r w:rsidRPr="0004144B">
        <w:t>30.</w:t>
      </w:r>
      <w:r w:rsidRPr="0004144B">
        <w:tab/>
        <w:t>En el proceso de formación que se si</w:t>
      </w:r>
      <w:r w:rsidR="00CC0778">
        <w:t>gue en la Guardia Juvenil tan so</w:t>
      </w:r>
      <w:r w:rsidRPr="0004144B">
        <w:t>lo se utilizan armas de aire comprimido y de pequeño calibre. El Consejo de Ministros determina los procedimientos para la adquisición y el uso de armas por el Centro de Reclutamiento y de la Guardia Juvenil.</w:t>
      </w:r>
    </w:p>
    <w:p w:rsidR="0004144B" w:rsidRPr="0004144B" w:rsidRDefault="0004144B" w:rsidP="0004144B">
      <w:pPr>
        <w:pStyle w:val="SingleTxt"/>
      </w:pPr>
      <w:r w:rsidRPr="0004144B">
        <w:t>31.</w:t>
      </w:r>
      <w:r w:rsidRPr="0004144B">
        <w:tab/>
        <w:t>Según el artículo 50</w:t>
      </w:r>
      <w:r w:rsidRPr="0004144B">
        <w:rPr>
          <w:vertAlign w:val="superscript"/>
        </w:rPr>
        <w:t>1</w:t>
      </w:r>
      <w:r w:rsidRPr="0004144B">
        <w:t>, párrafo 1, de la Ley de Protección de los Derechos del Niño, los menores pueden participar en diferentes actividades (eventos) si ello no dificulta su educación ni supone una amenaza para su seguridad, salud, moral u otros intereses importantes. Según el artículo 72, párrafo 1, de la Ley de Protección de los Derechos del Niño, los administradores y empleados de las instituciones donde se alojan niños, los organizadores de eventos para niños y eventos en los que participan niños y las personas que realizan trabajos de voluntariado en las instituciones y eventos mencionados o que proporcionan algún servicio en el marco de un acuerdo concertado con esas instituciones, son responsables de proteger la salud y la vida de los niños, de que los niños se mantengan siempre en condiciones de seguridad, de que se les presten servicios cualificados y de que se respeten sus demás derechos.</w:t>
      </w:r>
    </w:p>
    <w:p w:rsidR="0004144B" w:rsidRPr="0004144B" w:rsidRDefault="0004144B" w:rsidP="0004144B">
      <w:pPr>
        <w:pStyle w:val="SingleTxt"/>
      </w:pPr>
      <w:r w:rsidRPr="0004144B">
        <w:t>32.</w:t>
      </w:r>
      <w:r w:rsidRPr="0004144B">
        <w:tab/>
        <w:t>En el artículo 34, párrafo 6</w:t>
      </w:r>
      <w:r w:rsidR="00CC0778">
        <w:t>,</w:t>
      </w:r>
      <w:r w:rsidRPr="0004144B">
        <w:t xml:space="preserve"> de la Ley sobre el Manejo de Armas y Medios Especiales se establece la edad mínima que figura a continuación para quienes practiquen el tiro o participen en competiciones de tiro en galerías (cabinas de tiro): para disparar armas de aire comprimido de alta energía o armas de fuego de pequeño calibre y cañón estriado destinadas a la caza o el tiro deportivo de categoría B y C con munición metálica de fuego lateral, 12 años; para disparar armas de fuego de categoría D, 12 años; para disparar armas de fuego de categoría B y C, 16 años; para disparar armas de fuego automáticas de categoría A, 18 años.</w:t>
      </w:r>
    </w:p>
    <w:p w:rsidR="0004144B" w:rsidRPr="0004144B" w:rsidRDefault="0004144B" w:rsidP="0004144B">
      <w:pPr>
        <w:pStyle w:val="SingleTxt"/>
      </w:pPr>
      <w:r w:rsidRPr="0004144B">
        <w:t>33.</w:t>
      </w:r>
      <w:r w:rsidRPr="0004144B">
        <w:tab/>
        <w:t>Además, por lo que se refiere a los miembros de la Guardia Juvenil, cabe mencionar que, con arreglo a lo dispuesto en el artículo 17</w:t>
      </w:r>
      <w:r w:rsidRPr="0004144B">
        <w:rPr>
          <w:vertAlign w:val="superscript"/>
        </w:rPr>
        <w:t>1</w:t>
      </w:r>
      <w:r w:rsidRPr="0004144B">
        <w:t xml:space="preserve">, párrafo 3, de la Ley del Servicio Militar, al principio de cada año escolar el Centro de Reclutamiento y de la Guardia Juvenil firma un contrato con los representantes legales de los niños acerca de su participación en la Guardia Juvenil. Si el joven ha alcanzado los 18 años, es el mismo quien firma el contrato. </w:t>
      </w:r>
    </w:p>
    <w:p w:rsidR="0004144B" w:rsidRPr="0004144B" w:rsidRDefault="0004144B" w:rsidP="0004144B">
      <w:pPr>
        <w:pStyle w:val="SingleTxt"/>
      </w:pPr>
      <w:r w:rsidRPr="0004144B">
        <w:t>34.</w:t>
      </w:r>
      <w:r w:rsidRPr="0004144B">
        <w:tab/>
        <w:t>A partir del 1 de enero de 2016, los miembros de la Guardia Juvenil serán elegibles para recibir servicios de cuidado de la salud financiados por el Estado (con arreglo a lo establecido en el artículo 17</w:t>
      </w:r>
      <w:r w:rsidRPr="0004144B">
        <w:rPr>
          <w:vertAlign w:val="superscript"/>
        </w:rPr>
        <w:t>1</w:t>
      </w:r>
      <w:r w:rsidRPr="0004144B">
        <w:t xml:space="preserve">, párrafo 5, de la Ley del Servicio Militar). </w:t>
      </w:r>
    </w:p>
    <w:p w:rsidR="0004144B" w:rsidRPr="0004144B" w:rsidRDefault="0004144B" w:rsidP="0004144B">
      <w:pPr>
        <w:pStyle w:val="SingleTxt"/>
      </w:pPr>
      <w:r w:rsidRPr="0004144B">
        <w:t>35.</w:t>
      </w:r>
      <w:r w:rsidRPr="0004144B">
        <w:tab/>
        <w:t>El proceso de formación de la Guardia Juvenil se imparte en el Centro de Reclutamiento y de la Guardia Juvenil (una institución estatal). Los procedimientos para impugnar los actos administrativos y la actividad del Centro de Reclutamiento y de la Guardia Juvenil se establecen en la sección IV del Reglamento del Consejo de Ministros núm. 1419, de 15 de diciembre de 2009 “Decreto del Centro de Reclutamiento y de la Guardia Juvenil”. Al mismo tiempo, conviene hacer hincapié en que en el artículo 71, párrafo 1, de la Ley de Protección de los Derechos del Niño se establece que la información relativa a un niño que los empleados de las instituciones de atención, educación, asistencia social o de otro tipo dedicadas a los niños o los empleados de las instituciones del gobierno estatal o local puedan obtener en cumplimiento de sus funciones, será confidencial, y la información que pueda perjudicar de cualquier modo el futuro desarrollo del niño o su equilibrio sicológico no podrá ser divulgada.</w:t>
      </w:r>
    </w:p>
    <w:p w:rsidR="0004144B" w:rsidRDefault="0004144B" w:rsidP="0004144B">
      <w:pPr>
        <w:pStyle w:val="SingleTxt"/>
      </w:pPr>
      <w:r w:rsidRPr="0004144B">
        <w:t>36.</w:t>
      </w:r>
      <w:r w:rsidRPr="0004144B">
        <w:tab/>
        <w:t xml:space="preserve">Además, los niños y adolescentes pueden solicitar apoyo psicológico confidencial en el Teléfono de Emergencia para Niños y Adolescentes 116111. En ese teléfono de emergencia se ofrece apoyo psicológico a los niños que se encuentren en cualquier tipo de circunstancia difícil. De ser necesario, la información sobre la violación de los derechos del niño se remite a la Inspección Estatal para la Protección de los Derechos del Niño y demás profesionales competentes, según sea el caso. El funcionamiento del teléfono de emergencia está a cargo de la Inspección Estatal para la Protección de los Derechos del Niño. Su utilización es gratuita desde cualquier teléfono tanto fijo como móvil. Ese teléfono de emergencia funciona 24 horas al día los </w:t>
      </w:r>
      <w:r w:rsidR="00CC0778">
        <w:t>7</w:t>
      </w:r>
      <w:r w:rsidRPr="0004144B">
        <w:t xml:space="preserve"> días de la semana. Los niños también pueden formular consultas de manera </w:t>
      </w:r>
      <w:r w:rsidRPr="00CB766E">
        <w:t>presencial o a través del correo electrónico (</w:t>
      </w:r>
      <w:hyperlink r:id="rId19" w:history="1">
        <w:r w:rsidRPr="00CB766E">
          <w:rPr>
            <w:rStyle w:val="Hyperlink"/>
            <w:color w:val="auto"/>
            <w:u w:val="none"/>
          </w:rPr>
          <w:t>http://www.bti.gov.lv/lat/lietotaju_</w:t>
        </w:r>
        <w:r w:rsidR="00CB766E">
          <w:rPr>
            <w:rStyle w:val="Hyperlink"/>
            <w:color w:val="auto"/>
            <w:u w:val="none"/>
          </w:rPr>
          <w:t xml:space="preserve"> </w:t>
        </w:r>
        <w:proofErr w:type="spellStart"/>
        <w:r w:rsidRPr="00CB766E">
          <w:rPr>
            <w:rStyle w:val="Hyperlink"/>
            <w:color w:val="auto"/>
            <w:u w:val="none"/>
          </w:rPr>
          <w:t>ertibam</w:t>
        </w:r>
        <w:proofErr w:type="spellEnd"/>
        <w:r w:rsidRPr="00CB766E">
          <w:rPr>
            <w:rStyle w:val="Hyperlink"/>
            <w:color w:val="auto"/>
            <w:u w:val="none"/>
          </w:rPr>
          <w:t>/</w:t>
        </w:r>
        <w:proofErr w:type="spellStart"/>
        <w:r w:rsidRPr="00CB766E">
          <w:rPr>
            <w:rStyle w:val="Hyperlink"/>
            <w:color w:val="auto"/>
            <w:u w:val="none"/>
          </w:rPr>
          <w:t>uzdod_jautajumu</w:t>
        </w:r>
        <w:proofErr w:type="spellEnd"/>
      </w:hyperlink>
      <w:r w:rsidRPr="00CB766E">
        <w:t xml:space="preserve">). Las consultas formuladas por los niños a través del correo electrónico se contestan </w:t>
      </w:r>
      <w:r w:rsidRPr="0004144B">
        <w:t>en un plazo máximo de tres días laborables.</w:t>
      </w:r>
    </w:p>
    <w:p w:rsidR="00CB766E" w:rsidRPr="00CB766E" w:rsidRDefault="00CB766E" w:rsidP="00CB766E">
      <w:pPr>
        <w:pStyle w:val="SingleTxt"/>
        <w:spacing w:after="0" w:line="120" w:lineRule="exact"/>
        <w:rPr>
          <w:sz w:val="10"/>
        </w:rPr>
      </w:pPr>
    </w:p>
    <w:p w:rsidR="0004144B" w:rsidRDefault="0004144B" w:rsidP="00CB7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 a las cuestiones planteadas en el párrafo 6 de la lista de cuestiones</w:t>
      </w:r>
    </w:p>
    <w:p w:rsidR="00CB766E" w:rsidRPr="00CB766E" w:rsidRDefault="00CB766E" w:rsidP="00CB766E">
      <w:pPr>
        <w:pStyle w:val="SingleTxt"/>
        <w:spacing w:after="0" w:line="120" w:lineRule="exact"/>
        <w:rPr>
          <w:sz w:val="10"/>
        </w:rPr>
      </w:pPr>
    </w:p>
    <w:p w:rsidR="0004144B" w:rsidRPr="0004144B" w:rsidRDefault="0004144B" w:rsidP="0004144B">
      <w:pPr>
        <w:pStyle w:val="SingleTxt"/>
      </w:pPr>
      <w:r w:rsidRPr="0004144B">
        <w:t>37.</w:t>
      </w:r>
      <w:r w:rsidRPr="0004144B">
        <w:tab/>
        <w:t>Según la Oficina de Asuntos de Ciudadanía y Migración, hasta ahora no se han encontrado casos, en el contexto de las solicitudes de asilo y la migración, que puedan indicar que se han reclutado o utilizado niños en hostilidades en el extranjero. Así pues, en Letonia no se han establecido arreglos o procedimientos específicos para la identificación de esos niños.</w:t>
      </w:r>
    </w:p>
    <w:p w:rsidR="0004144B" w:rsidRPr="0004144B" w:rsidRDefault="0004144B" w:rsidP="0004144B">
      <w:pPr>
        <w:pStyle w:val="SingleTxt"/>
      </w:pPr>
      <w:r w:rsidRPr="0004144B">
        <w:t>38.</w:t>
      </w:r>
      <w:r w:rsidRPr="0004144B">
        <w:tab/>
        <w:t xml:space="preserve">El Estado garantiza la rehabilitación social de las víctimas de la trata de personas. El Consejo de Ministros se encarga de determinar los procedimientos para la obtención de servicios de rehabilitación social y los criterios para el reconocimiento de una persona como víctima de la trata (artículo 1, párrafo 1, apartado 7, de la Ley de Servicios y Asistencia Sociales). </w:t>
      </w:r>
    </w:p>
    <w:p w:rsidR="0004144B" w:rsidRPr="0004144B" w:rsidRDefault="0004144B" w:rsidP="0004144B">
      <w:pPr>
        <w:pStyle w:val="SingleTxt"/>
      </w:pPr>
      <w:r w:rsidRPr="0004144B">
        <w:t>39.</w:t>
      </w:r>
      <w:r w:rsidRPr="0004144B">
        <w:tab/>
        <w:t>El Estado garantiza la rehabilitación social de los niños que hayan sido víctimas de la violencia. Si existieran dudas sobre la edad de un niño que haya sido víctima de la violencia, se le prestarán servicios de rehabilitación social hasta que su edad quede establecida (artículo 13, párrafo 1</w:t>
      </w:r>
      <w:r w:rsidRPr="0004144B">
        <w:rPr>
          <w:vertAlign w:val="superscript"/>
        </w:rPr>
        <w:t>2</w:t>
      </w:r>
      <w:r w:rsidRPr="0004144B">
        <w:t>) de la Ley de Servicios y Asistencia Sociales.</w:t>
      </w:r>
    </w:p>
    <w:p w:rsidR="0004144B" w:rsidRDefault="0004144B" w:rsidP="0004144B">
      <w:pPr>
        <w:pStyle w:val="SingleTxt"/>
      </w:pPr>
      <w:r w:rsidRPr="0004144B">
        <w:t>40.</w:t>
      </w:r>
      <w:r w:rsidRPr="0004144B">
        <w:tab/>
        <w:t>En relación con la prestación de los servicios sociales mencionados anteriormente, hasta la fecha no se han identificado niños refugiados, solicitantes de asilo o migrantes que hayan sido reclutados o utilizados en hostilidades en el extranjero o corran peligro de serlo.</w:t>
      </w:r>
    </w:p>
    <w:p w:rsidR="00CB766E" w:rsidRPr="00CB766E" w:rsidRDefault="00CB766E" w:rsidP="00CB766E">
      <w:pPr>
        <w:pStyle w:val="SingleTxt"/>
        <w:spacing w:after="0" w:line="120" w:lineRule="exact"/>
        <w:rPr>
          <w:sz w:val="10"/>
        </w:rPr>
      </w:pPr>
    </w:p>
    <w:p w:rsidR="0004144B" w:rsidRDefault="0004144B" w:rsidP="00CB7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144B">
        <w:tab/>
      </w:r>
      <w:r w:rsidRPr="0004144B">
        <w:tab/>
        <w:t>Respuesta a las cuestiones planteadas en el párrafo 7 de la lista de cuestiones</w:t>
      </w:r>
    </w:p>
    <w:p w:rsidR="00CB766E" w:rsidRPr="00CB766E" w:rsidRDefault="00CB766E" w:rsidP="00CB766E">
      <w:pPr>
        <w:pStyle w:val="SingleTxt"/>
        <w:spacing w:after="0" w:line="120" w:lineRule="exact"/>
        <w:rPr>
          <w:sz w:val="10"/>
        </w:rPr>
      </w:pPr>
    </w:p>
    <w:p w:rsidR="0004144B" w:rsidRPr="00AF65A1" w:rsidRDefault="0004144B" w:rsidP="0004144B">
      <w:pPr>
        <w:pStyle w:val="SingleTxt"/>
        <w:rPr>
          <w:spacing w:val="2"/>
        </w:rPr>
      </w:pPr>
      <w:r w:rsidRPr="0004144B">
        <w:t>41.</w:t>
      </w:r>
      <w:r w:rsidRPr="0004144B">
        <w:tab/>
        <w:t xml:space="preserve">Existe una legislación expresa sobre el comercio y la explotación de armas y asistencia militar: la Ley sobre la Circulación de Mercaderías de Importancia Estratégica y la Ley sobre el Manejo de Armas y Medios Especiales. Uno de los elementos más importantes de la política exterior y de la política de seguridad de Letonia es la actuación responsable en lo que se refiere al control de las armas y la prevención de la proliferación de las armas de destrucción masiva. En consecuencia, Letonia es parte en los convenios y acuerdos </w:t>
      </w:r>
      <w:r w:rsidR="00AF65A1">
        <w:t xml:space="preserve">internacionales más importantes </w:t>
      </w:r>
      <w:r w:rsidRPr="00CB766E">
        <w:t xml:space="preserve">orientados al control de las armas convencionales: </w:t>
      </w:r>
      <w:hyperlink r:id="rId20" w:history="1">
        <w:r w:rsidRPr="00AF65A1">
          <w:rPr>
            <w:spacing w:val="2"/>
          </w:rPr>
          <w:t>http://www.mfa.gov.lv/arpolitika/</w:t>
        </w:r>
        <w:r w:rsidR="00CB766E" w:rsidRPr="00AF65A1">
          <w:rPr>
            <w:spacing w:val="2"/>
          </w:rPr>
          <w:t xml:space="preserve"> </w:t>
        </w:r>
        <w:r w:rsidRPr="00AF65A1">
          <w:rPr>
            <w:spacing w:val="2"/>
          </w:rPr>
          <w:t>drosibas-politika/drosibas-politikas-virzieni/brunojuma-kontrole-un-masu-iznicinasanas-</w:t>
        </w:r>
        <w:r w:rsidR="00AF65A1" w:rsidRPr="00AF65A1">
          <w:rPr>
            <w:spacing w:val="2"/>
          </w:rPr>
          <w:t xml:space="preserve"> </w:t>
        </w:r>
        <w:proofErr w:type="spellStart"/>
        <w:r w:rsidRPr="00AF65A1">
          <w:rPr>
            <w:spacing w:val="2"/>
          </w:rPr>
          <w:t>ierocu-izplatisanas-ierobezosana</w:t>
        </w:r>
        <w:proofErr w:type="spellEnd"/>
      </w:hyperlink>
      <w:r w:rsidRPr="00AF65A1">
        <w:rPr>
          <w:spacing w:val="2"/>
        </w:rPr>
        <w:t>.</w:t>
      </w:r>
    </w:p>
    <w:p w:rsidR="00CB766E" w:rsidRPr="0004144B" w:rsidRDefault="00CB766E" w:rsidP="0004144B">
      <w:pPr>
        <w:pStyle w:val="SingleTxt"/>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B766E" w:rsidRPr="0004144B" w:rsidSect="00CA5E44">
      <w:endnotePr>
        <w:numFmt w:val="decimal"/>
      </w:endnotePr>
      <w:type w:val="continuous"/>
      <w:pgSz w:w="11909" w:h="16834" w:code="1"/>
      <w:pgMar w:top="1742" w:right="936" w:bottom="1898" w:left="936"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376" w:rsidRDefault="006A3376" w:rsidP="008F1E8F">
      <w:pPr>
        <w:spacing w:line="240" w:lineRule="auto"/>
      </w:pPr>
      <w:r>
        <w:separator/>
      </w:r>
    </w:p>
  </w:endnote>
  <w:endnote w:type="continuationSeparator" w:id="0">
    <w:p w:rsidR="006A3376" w:rsidRDefault="006A337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172BE" w:rsidTr="00A172BE">
      <w:trPr>
        <w:jc w:val="center"/>
      </w:trPr>
      <w:tc>
        <w:tcPr>
          <w:tcW w:w="5126" w:type="dxa"/>
          <w:shd w:val="clear" w:color="auto" w:fill="auto"/>
        </w:tcPr>
        <w:p w:rsidR="00A172BE" w:rsidRPr="00A172BE" w:rsidRDefault="00A172BE" w:rsidP="00A172B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F26E1">
            <w:rPr>
              <w:b w:val="0"/>
              <w:color w:val="000000"/>
              <w:w w:val="103"/>
              <w:sz w:val="14"/>
            </w:rPr>
            <w:t>GE.15-19722</w:t>
          </w:r>
          <w:r>
            <w:rPr>
              <w:b w:val="0"/>
              <w:color w:val="000000"/>
              <w:w w:val="103"/>
              <w:sz w:val="14"/>
            </w:rPr>
            <w:fldChar w:fldCharType="end"/>
          </w:r>
        </w:p>
      </w:tc>
      <w:tc>
        <w:tcPr>
          <w:tcW w:w="5127" w:type="dxa"/>
          <w:shd w:val="clear" w:color="auto" w:fill="auto"/>
        </w:tcPr>
        <w:p w:rsidR="00A172BE" w:rsidRPr="00A172BE" w:rsidRDefault="00A172BE" w:rsidP="00A172B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172A6">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172A6">
            <w:rPr>
              <w:color w:val="000000"/>
              <w:w w:val="103"/>
            </w:rPr>
            <w:t>8</w:t>
          </w:r>
          <w:r>
            <w:rPr>
              <w:color w:val="000000"/>
              <w:w w:val="103"/>
            </w:rPr>
            <w:fldChar w:fldCharType="end"/>
          </w:r>
        </w:p>
      </w:tc>
    </w:tr>
  </w:tbl>
  <w:p w:rsidR="00A172BE" w:rsidRPr="00A172BE" w:rsidRDefault="00A172BE" w:rsidP="00A172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172BE" w:rsidTr="00A172BE">
      <w:trPr>
        <w:jc w:val="center"/>
      </w:trPr>
      <w:tc>
        <w:tcPr>
          <w:tcW w:w="5126" w:type="dxa"/>
          <w:shd w:val="clear" w:color="auto" w:fill="auto"/>
        </w:tcPr>
        <w:p w:rsidR="00A172BE" w:rsidRPr="00A172BE" w:rsidRDefault="00A172BE" w:rsidP="00A172B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172A6">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172A6">
            <w:rPr>
              <w:color w:val="000000"/>
              <w:w w:val="103"/>
            </w:rPr>
            <w:t>8</w:t>
          </w:r>
          <w:r>
            <w:rPr>
              <w:color w:val="000000"/>
              <w:w w:val="103"/>
            </w:rPr>
            <w:fldChar w:fldCharType="end"/>
          </w:r>
        </w:p>
      </w:tc>
      <w:tc>
        <w:tcPr>
          <w:tcW w:w="5127" w:type="dxa"/>
          <w:shd w:val="clear" w:color="auto" w:fill="auto"/>
        </w:tcPr>
        <w:p w:rsidR="00A172BE" w:rsidRPr="00A172BE" w:rsidRDefault="00A172BE" w:rsidP="00A172B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F26E1">
            <w:rPr>
              <w:b w:val="0"/>
              <w:color w:val="000000"/>
              <w:w w:val="103"/>
              <w:sz w:val="14"/>
            </w:rPr>
            <w:t>GE.15-19722</w:t>
          </w:r>
          <w:r>
            <w:rPr>
              <w:b w:val="0"/>
              <w:color w:val="000000"/>
              <w:w w:val="103"/>
              <w:sz w:val="14"/>
            </w:rPr>
            <w:fldChar w:fldCharType="end"/>
          </w:r>
        </w:p>
      </w:tc>
    </w:tr>
  </w:tbl>
  <w:p w:rsidR="00A172BE" w:rsidRPr="00A172BE" w:rsidRDefault="00A172BE" w:rsidP="00A172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BE" w:rsidRPr="00A172BE" w:rsidRDefault="00A172BE" w:rsidP="00A172BE">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60FD3E59" wp14:editId="6E4DC08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OPAC/LVA/Q/1/Add.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AC/LVA/Q/1/Add.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172BE" w:rsidTr="00A172BE">
      <w:tc>
        <w:tcPr>
          <w:tcW w:w="3859" w:type="dxa"/>
        </w:tcPr>
        <w:p w:rsidR="00A172BE" w:rsidRDefault="0004144B" w:rsidP="00A172BE">
          <w:pPr>
            <w:pStyle w:val="ReleaseDate"/>
          </w:pPr>
          <w:r>
            <w:t>GE.15-19722 (S)    17</w:t>
          </w:r>
          <w:r w:rsidR="00A172BE">
            <w:t>1115    2</w:t>
          </w:r>
          <w:r w:rsidR="005C7EEF">
            <w:t>3</w:t>
          </w:r>
          <w:r w:rsidR="00A172BE">
            <w:t>1115</w:t>
          </w:r>
        </w:p>
        <w:p w:rsidR="00A172BE" w:rsidRPr="00A172BE" w:rsidRDefault="00A172BE" w:rsidP="00A172B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*1519722*</w:t>
          </w:r>
        </w:p>
      </w:tc>
      <w:tc>
        <w:tcPr>
          <w:tcW w:w="5127" w:type="dxa"/>
        </w:tcPr>
        <w:p w:rsidR="00A172BE" w:rsidRDefault="00A172BE" w:rsidP="00A172BE">
          <w:pPr>
            <w:pStyle w:val="Footer"/>
            <w:jc w:val="right"/>
            <w:rPr>
              <w:b w:val="0"/>
              <w:sz w:val="20"/>
            </w:rPr>
          </w:pPr>
          <w:r>
            <w:rPr>
              <w:b w:val="0"/>
              <w:sz w:val="20"/>
              <w:lang w:val="en-GB" w:eastAsia="en-GB"/>
            </w:rPr>
            <w:drawing>
              <wp:inline distT="0" distB="0" distL="0" distR="0" wp14:anchorId="37DF35CF" wp14:editId="0920265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172BE" w:rsidRPr="00A172BE" w:rsidRDefault="00A172BE" w:rsidP="00A172B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376" w:rsidRPr="0004144B" w:rsidRDefault="0004144B" w:rsidP="0004144B">
      <w:pPr>
        <w:pStyle w:val="Footer"/>
        <w:spacing w:after="80"/>
        <w:ind w:left="792"/>
        <w:rPr>
          <w:sz w:val="16"/>
        </w:rPr>
      </w:pPr>
      <w:r w:rsidRPr="0004144B">
        <w:rPr>
          <w:sz w:val="16"/>
        </w:rPr>
        <w:t>__________________</w:t>
      </w:r>
    </w:p>
  </w:footnote>
  <w:footnote w:type="continuationSeparator" w:id="0">
    <w:p w:rsidR="006A3376" w:rsidRPr="0004144B" w:rsidRDefault="0004144B" w:rsidP="0004144B">
      <w:pPr>
        <w:pStyle w:val="Footer"/>
        <w:spacing w:after="80"/>
        <w:ind w:left="792"/>
        <w:rPr>
          <w:sz w:val="16"/>
        </w:rPr>
      </w:pPr>
      <w:r w:rsidRPr="0004144B">
        <w:rPr>
          <w:sz w:val="16"/>
        </w:rPr>
        <w:t>__________________</w:t>
      </w:r>
    </w:p>
  </w:footnote>
  <w:footnote w:id="1">
    <w:p w:rsidR="0004144B" w:rsidRPr="002C16A8" w:rsidRDefault="0004144B" w:rsidP="0004144B">
      <w:pPr>
        <w:pStyle w:val="FootnoteText"/>
        <w:tabs>
          <w:tab w:val="clear" w:pos="418"/>
          <w:tab w:val="right" w:pos="1195"/>
          <w:tab w:val="left" w:pos="1267"/>
          <w:tab w:val="left" w:pos="1742"/>
          <w:tab w:val="left" w:pos="2218"/>
          <w:tab w:val="left" w:pos="2693"/>
        </w:tabs>
        <w:ind w:left="1267" w:right="1267" w:hanging="432"/>
      </w:pPr>
      <w:r w:rsidRPr="002C16A8">
        <w:tab/>
      </w:r>
      <w:r w:rsidRPr="002C16A8">
        <w:rPr>
          <w:rStyle w:val="FootnoteReference"/>
          <w:w w:val="104"/>
          <w:vertAlign w:val="baseline"/>
        </w:rPr>
        <w:t>*</w:t>
      </w:r>
      <w:r w:rsidRPr="002C16A8">
        <w:tab/>
        <w:t>El presente documento se publica sin haber sido objeto de revisión editorial oficial.</w:t>
      </w:r>
    </w:p>
  </w:footnote>
  <w:footnote w:id="2">
    <w:p w:rsidR="0004144B" w:rsidRPr="002C16A8" w:rsidRDefault="0004144B" w:rsidP="0004144B">
      <w:pPr>
        <w:pStyle w:val="FootnoteText"/>
        <w:tabs>
          <w:tab w:val="clear" w:pos="418"/>
          <w:tab w:val="right" w:pos="1195"/>
          <w:tab w:val="left" w:pos="1267"/>
          <w:tab w:val="left" w:pos="1742"/>
          <w:tab w:val="left" w:pos="2218"/>
          <w:tab w:val="left" w:pos="2693"/>
        </w:tabs>
        <w:ind w:left="1267" w:right="1267" w:hanging="432"/>
      </w:pPr>
      <w:r w:rsidRPr="002C16A8">
        <w:tab/>
      </w:r>
      <w:r w:rsidRPr="002C16A8">
        <w:rPr>
          <w:rStyle w:val="FootnoteReference"/>
          <w:w w:val="104"/>
        </w:rPr>
        <w:footnoteRef/>
      </w:r>
      <w:r w:rsidRPr="002C16A8">
        <w:t xml:space="preserve"> </w:t>
      </w:r>
      <w:r w:rsidRPr="002C16A8">
        <w:tab/>
        <w:t>Según lo establecido en el artículo 19, párr. 1, de la Ley del Servicio Militar, solo los ciudadanos de Letonia mayores de 18 años pueden incorporarse al servicio profesional. En el párr. 7 de ese artículo se establece que quien no haya recibido anteriormente formación para el servicio militar deberá, una vez aceptado en el servicio profesional, realizar un curso de formación militar específico para el puesto que vaya a ocupar de conformidad con los procedimientos determinados por el Ministro de Defensa.</w:t>
      </w:r>
    </w:p>
  </w:footnote>
  <w:footnote w:id="3">
    <w:p w:rsidR="0004144B" w:rsidRPr="002C16A8" w:rsidRDefault="0004144B" w:rsidP="0004144B">
      <w:pPr>
        <w:pStyle w:val="FootnoteText"/>
        <w:tabs>
          <w:tab w:val="clear" w:pos="418"/>
          <w:tab w:val="right" w:pos="1195"/>
          <w:tab w:val="left" w:pos="1267"/>
          <w:tab w:val="left" w:pos="1742"/>
          <w:tab w:val="left" w:pos="2218"/>
          <w:tab w:val="left" w:pos="2693"/>
        </w:tabs>
        <w:ind w:left="1267" w:right="1267" w:hanging="432"/>
      </w:pPr>
      <w:r w:rsidRPr="002C16A8">
        <w:tab/>
      </w:r>
      <w:r w:rsidRPr="002C16A8">
        <w:rPr>
          <w:rStyle w:val="FootnoteReference"/>
          <w:w w:val="104"/>
        </w:rPr>
        <w:footnoteRef/>
      </w:r>
      <w:r w:rsidRPr="002C16A8">
        <w:tab/>
        <w:t>La educación extraacadémica es la que está orientada a atender las necesidades y deseos formativos individuales de una persona, cualesquiera que sean su edad y su educación anterior (artículo 1, párrafo 3, de la Ley de Educación).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172BE" w:rsidRPr="00E036D6" w:rsidTr="00A172BE">
      <w:trPr>
        <w:trHeight w:hRule="exact" w:val="864"/>
        <w:jc w:val="center"/>
      </w:trPr>
      <w:tc>
        <w:tcPr>
          <w:tcW w:w="4882" w:type="dxa"/>
          <w:shd w:val="clear" w:color="auto" w:fill="auto"/>
          <w:vAlign w:val="bottom"/>
        </w:tcPr>
        <w:p w:rsidR="00A172BE" w:rsidRPr="00A172BE" w:rsidRDefault="00A172BE" w:rsidP="00A172B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26E1">
            <w:rPr>
              <w:b/>
              <w:color w:val="000000"/>
            </w:rPr>
            <w:t>CRC/C/OPAC/LVA/Q/1/Add.1</w:t>
          </w:r>
          <w:r>
            <w:rPr>
              <w:b/>
              <w:color w:val="000000"/>
            </w:rPr>
            <w:fldChar w:fldCharType="end"/>
          </w:r>
        </w:p>
      </w:tc>
      <w:tc>
        <w:tcPr>
          <w:tcW w:w="5127" w:type="dxa"/>
          <w:shd w:val="clear" w:color="auto" w:fill="auto"/>
          <w:vAlign w:val="bottom"/>
        </w:tcPr>
        <w:p w:rsidR="00A172BE" w:rsidRDefault="00A172BE" w:rsidP="00A172BE">
          <w:pPr>
            <w:pStyle w:val="Header"/>
          </w:pPr>
        </w:p>
      </w:tc>
    </w:tr>
  </w:tbl>
  <w:p w:rsidR="00A172BE" w:rsidRPr="00A172BE" w:rsidRDefault="00A172BE" w:rsidP="00A172B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172BE" w:rsidRPr="00E036D6" w:rsidTr="00A172BE">
      <w:trPr>
        <w:trHeight w:hRule="exact" w:val="864"/>
        <w:jc w:val="center"/>
      </w:trPr>
      <w:tc>
        <w:tcPr>
          <w:tcW w:w="4882" w:type="dxa"/>
          <w:shd w:val="clear" w:color="auto" w:fill="auto"/>
          <w:vAlign w:val="bottom"/>
        </w:tcPr>
        <w:p w:rsidR="00A172BE" w:rsidRDefault="00A172BE" w:rsidP="00A172BE">
          <w:pPr>
            <w:pStyle w:val="Header"/>
          </w:pPr>
        </w:p>
      </w:tc>
      <w:tc>
        <w:tcPr>
          <w:tcW w:w="5127" w:type="dxa"/>
          <w:shd w:val="clear" w:color="auto" w:fill="auto"/>
          <w:vAlign w:val="bottom"/>
        </w:tcPr>
        <w:p w:rsidR="00A172BE" w:rsidRPr="00A172BE" w:rsidRDefault="00A172BE" w:rsidP="00A172B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26E1">
            <w:rPr>
              <w:b/>
              <w:color w:val="000000"/>
            </w:rPr>
            <w:t>CRC/C/OPAC/LVA/Q/1/Add.1</w:t>
          </w:r>
          <w:r>
            <w:rPr>
              <w:b/>
              <w:color w:val="000000"/>
            </w:rPr>
            <w:fldChar w:fldCharType="end"/>
          </w:r>
        </w:p>
      </w:tc>
    </w:tr>
  </w:tbl>
  <w:p w:rsidR="00A172BE" w:rsidRPr="00A172BE" w:rsidRDefault="00A172BE" w:rsidP="00A172B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172BE" w:rsidRPr="005C7EEF" w:rsidTr="00A172BE">
      <w:trPr>
        <w:trHeight w:hRule="exact" w:val="864"/>
      </w:trPr>
      <w:tc>
        <w:tcPr>
          <w:tcW w:w="1267" w:type="dxa"/>
          <w:tcBorders>
            <w:bottom w:val="single" w:sz="4" w:space="0" w:color="auto"/>
          </w:tcBorders>
          <w:shd w:val="clear" w:color="auto" w:fill="auto"/>
          <w:vAlign w:val="bottom"/>
        </w:tcPr>
        <w:p w:rsidR="00A172BE" w:rsidRDefault="00A172BE" w:rsidP="00A172BE">
          <w:pPr>
            <w:pStyle w:val="Header"/>
            <w:spacing w:after="120"/>
          </w:pPr>
        </w:p>
      </w:tc>
      <w:tc>
        <w:tcPr>
          <w:tcW w:w="2059" w:type="dxa"/>
          <w:tcBorders>
            <w:bottom w:val="single" w:sz="4" w:space="0" w:color="auto"/>
          </w:tcBorders>
          <w:shd w:val="clear" w:color="auto" w:fill="auto"/>
          <w:vAlign w:val="bottom"/>
        </w:tcPr>
        <w:p w:rsidR="00A172BE" w:rsidRPr="00A172BE" w:rsidRDefault="00A172BE" w:rsidP="00A172B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172BE" w:rsidRDefault="00A172BE" w:rsidP="00A172BE">
          <w:pPr>
            <w:pStyle w:val="Header"/>
            <w:spacing w:after="120"/>
          </w:pPr>
        </w:p>
      </w:tc>
      <w:tc>
        <w:tcPr>
          <w:tcW w:w="6653" w:type="dxa"/>
          <w:gridSpan w:val="4"/>
          <w:tcBorders>
            <w:bottom w:val="single" w:sz="4" w:space="0" w:color="auto"/>
          </w:tcBorders>
          <w:shd w:val="clear" w:color="auto" w:fill="auto"/>
          <w:vAlign w:val="bottom"/>
        </w:tcPr>
        <w:p w:rsidR="00A172BE" w:rsidRPr="005A201D" w:rsidRDefault="00A172BE" w:rsidP="00A172BE">
          <w:pPr>
            <w:spacing w:after="80" w:line="240" w:lineRule="auto"/>
            <w:jc w:val="right"/>
            <w:rPr>
              <w:position w:val="-4"/>
              <w:lang w:val="en-US"/>
            </w:rPr>
          </w:pPr>
          <w:r w:rsidRPr="005A201D">
            <w:rPr>
              <w:position w:val="-4"/>
              <w:sz w:val="40"/>
              <w:lang w:val="en-US"/>
            </w:rPr>
            <w:t>CRC</w:t>
          </w:r>
          <w:r w:rsidRPr="005A201D">
            <w:rPr>
              <w:position w:val="-4"/>
              <w:lang w:val="en-US"/>
            </w:rPr>
            <w:t>/C/OPAC/LVA/Q/1/Add.1</w:t>
          </w:r>
        </w:p>
      </w:tc>
    </w:tr>
    <w:tr w:rsidR="00A172BE" w:rsidRPr="00A172BE" w:rsidTr="00A172BE">
      <w:trPr>
        <w:gridAfter w:val="1"/>
        <w:wAfter w:w="18" w:type="dxa"/>
        <w:trHeight w:hRule="exact" w:val="2880"/>
      </w:trPr>
      <w:tc>
        <w:tcPr>
          <w:tcW w:w="1267" w:type="dxa"/>
          <w:tcBorders>
            <w:top w:val="single" w:sz="4" w:space="0" w:color="auto"/>
            <w:bottom w:val="single" w:sz="12" w:space="0" w:color="auto"/>
          </w:tcBorders>
          <w:shd w:val="clear" w:color="auto" w:fill="auto"/>
        </w:tcPr>
        <w:p w:rsidR="00A172BE" w:rsidRPr="00A172BE" w:rsidRDefault="00A172BE" w:rsidP="00A172BE">
          <w:pPr>
            <w:pStyle w:val="Header"/>
            <w:spacing w:before="120"/>
            <w:jc w:val="center"/>
          </w:pPr>
          <w:r>
            <w:t xml:space="preserve"> </w:t>
          </w:r>
          <w:r>
            <w:rPr>
              <w:lang w:val="en-GB" w:eastAsia="en-GB"/>
            </w:rPr>
            <w:drawing>
              <wp:inline distT="0" distB="0" distL="0" distR="0" wp14:anchorId="49125684" wp14:editId="5F8DE0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172BE" w:rsidRPr="00A172BE" w:rsidRDefault="00A172BE" w:rsidP="00A172BE">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A172BE" w:rsidRPr="005A201D" w:rsidRDefault="00A172BE" w:rsidP="00A172BE">
          <w:pPr>
            <w:pStyle w:val="Header"/>
            <w:spacing w:before="109"/>
            <w:rPr>
              <w:lang w:val="es-ES"/>
            </w:rPr>
          </w:pPr>
        </w:p>
      </w:tc>
      <w:tc>
        <w:tcPr>
          <w:tcW w:w="3280" w:type="dxa"/>
          <w:tcBorders>
            <w:top w:val="single" w:sz="4" w:space="0" w:color="auto"/>
            <w:bottom w:val="single" w:sz="12" w:space="0" w:color="auto"/>
          </w:tcBorders>
          <w:shd w:val="clear" w:color="auto" w:fill="auto"/>
        </w:tcPr>
        <w:p w:rsidR="00A172BE" w:rsidRDefault="00A172BE" w:rsidP="00A172BE">
          <w:pPr>
            <w:pStyle w:val="Distribution"/>
            <w:spacing w:before="240"/>
          </w:pPr>
          <w:proofErr w:type="spellStart"/>
          <w:r>
            <w:t>Distr</w:t>
          </w:r>
          <w:proofErr w:type="spellEnd"/>
          <w:r>
            <w:t>. general</w:t>
          </w:r>
        </w:p>
        <w:p w:rsidR="00A172BE" w:rsidRDefault="00A172BE" w:rsidP="00A172BE">
          <w:pPr>
            <w:pStyle w:val="Publication"/>
          </w:pPr>
          <w:r>
            <w:t>11 de noviembre de 2015</w:t>
          </w:r>
        </w:p>
        <w:p w:rsidR="00A172BE" w:rsidRDefault="00A172BE" w:rsidP="00A172BE">
          <w:r>
            <w:t>Español</w:t>
          </w:r>
        </w:p>
        <w:p w:rsidR="00A172BE" w:rsidRDefault="00A172BE" w:rsidP="00A172BE">
          <w:pPr>
            <w:pStyle w:val="Original"/>
          </w:pPr>
          <w:r>
            <w:t>Original: inglés</w:t>
          </w:r>
        </w:p>
        <w:p w:rsidR="00556CA3" w:rsidRPr="00556CA3" w:rsidRDefault="00556CA3" w:rsidP="00556CA3">
          <w:r>
            <w:t>Español, francés e inglés únicamente</w:t>
          </w:r>
        </w:p>
        <w:p w:rsidR="00A172BE" w:rsidRPr="00A172BE" w:rsidRDefault="00A172BE" w:rsidP="00A172BE"/>
      </w:tc>
    </w:tr>
  </w:tbl>
  <w:p w:rsidR="00A172BE" w:rsidRPr="005C7EEF" w:rsidRDefault="00A172BE" w:rsidP="00A172B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722*"/>
    <w:docVar w:name="CreationDt" w:val="11/20/2015 11:49 AM"/>
    <w:docVar w:name="DocCategory" w:val="Doc"/>
    <w:docVar w:name="DocType" w:val="Final"/>
    <w:docVar w:name="DutyStation" w:val="Geneva"/>
    <w:docVar w:name="FooterJN" w:val="GE.15-19722"/>
    <w:docVar w:name="jobn" w:val="GE.15-19722 (S)"/>
    <w:docVar w:name="jobnDT" w:val="GE.15-19722 (S)   201115"/>
    <w:docVar w:name="jobnDTDT" w:val="GE.15-19722 (S)   201115   201115"/>
    <w:docVar w:name="JobNo" w:val="GE.1519722S"/>
    <w:docVar w:name="JobNo2" w:val="152586011:49 AM"/>
    <w:docVar w:name="LocalDrive" w:val="0"/>
    <w:docVar w:name="OandT" w:val="JR"/>
    <w:docVar w:name="PaperSize" w:val="A4"/>
    <w:docVar w:name="sss1" w:val="CRC/C/OPAC/LVA/Q/1/Add.1"/>
    <w:docVar w:name="sss2" w:val="-"/>
    <w:docVar w:name="Symbol1" w:val="CRC/C/OPAC/LVA/Q/1/Add.1"/>
    <w:docVar w:name="Symbol2" w:val="-"/>
  </w:docVars>
  <w:rsids>
    <w:rsidRoot w:val="006A3376"/>
    <w:rsid w:val="000009C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44B"/>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6CE3"/>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A3"/>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201D"/>
    <w:rsid w:val="005A651B"/>
    <w:rsid w:val="005B68DB"/>
    <w:rsid w:val="005C547D"/>
    <w:rsid w:val="005C7EEF"/>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37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4B78"/>
    <w:rsid w:val="007D59F4"/>
    <w:rsid w:val="007E282F"/>
    <w:rsid w:val="007E31CA"/>
    <w:rsid w:val="007E322D"/>
    <w:rsid w:val="007E4015"/>
    <w:rsid w:val="007E4B86"/>
    <w:rsid w:val="007E5F23"/>
    <w:rsid w:val="007E647A"/>
    <w:rsid w:val="007E671C"/>
    <w:rsid w:val="007F26E1"/>
    <w:rsid w:val="007F42D3"/>
    <w:rsid w:val="007F5AF9"/>
    <w:rsid w:val="00801B3F"/>
    <w:rsid w:val="00813690"/>
    <w:rsid w:val="00813C40"/>
    <w:rsid w:val="00815287"/>
    <w:rsid w:val="00815EA8"/>
    <w:rsid w:val="008172A6"/>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2BE"/>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304C"/>
    <w:rsid w:val="00AB7836"/>
    <w:rsid w:val="00AC3F53"/>
    <w:rsid w:val="00AC5CBF"/>
    <w:rsid w:val="00AC6AD9"/>
    <w:rsid w:val="00AC71F8"/>
    <w:rsid w:val="00AD0BE5"/>
    <w:rsid w:val="00AD37F0"/>
    <w:rsid w:val="00AD5D6A"/>
    <w:rsid w:val="00AD778A"/>
    <w:rsid w:val="00AE52EC"/>
    <w:rsid w:val="00AE6D02"/>
    <w:rsid w:val="00AF0741"/>
    <w:rsid w:val="00AF1C63"/>
    <w:rsid w:val="00AF65A1"/>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52E"/>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46900"/>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E44"/>
    <w:rsid w:val="00CB5C47"/>
    <w:rsid w:val="00CB766E"/>
    <w:rsid w:val="00CC0778"/>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36D6"/>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3CE1"/>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172BE"/>
    <w:pPr>
      <w:spacing w:line="240" w:lineRule="auto"/>
    </w:pPr>
    <w:rPr>
      <w:szCs w:val="20"/>
    </w:rPr>
  </w:style>
  <w:style w:type="character" w:customStyle="1" w:styleId="CommentTextChar">
    <w:name w:val="Comment Text Char"/>
    <w:basedOn w:val="DefaultParagraphFont"/>
    <w:link w:val="CommentText"/>
    <w:rsid w:val="00A172BE"/>
    <w:rPr>
      <w:rFonts w:ascii="Times New Roman" w:hAnsi="Times New Roman"/>
      <w:spacing w:val="4"/>
      <w:w w:val="103"/>
      <w:lang w:val="es-ES"/>
    </w:rPr>
  </w:style>
  <w:style w:type="paragraph" w:styleId="CommentSubject">
    <w:name w:val="annotation subject"/>
    <w:basedOn w:val="CommentText"/>
    <w:next w:val="CommentText"/>
    <w:link w:val="CommentSubjectChar"/>
    <w:rsid w:val="00A172BE"/>
    <w:rPr>
      <w:b/>
      <w:bCs/>
    </w:rPr>
  </w:style>
  <w:style w:type="character" w:customStyle="1" w:styleId="CommentSubjectChar">
    <w:name w:val="Comment Subject Char"/>
    <w:basedOn w:val="CommentTextChar"/>
    <w:link w:val="CommentSubject"/>
    <w:rsid w:val="00A172BE"/>
    <w:rPr>
      <w:rFonts w:ascii="Times New Roman" w:hAnsi="Times New Roman"/>
      <w:b/>
      <w:bCs/>
      <w:spacing w:val="4"/>
      <w:w w:val="103"/>
      <w:lang w:val="es-ES"/>
    </w:rPr>
  </w:style>
  <w:style w:type="character" w:styleId="Hyperlink">
    <w:name w:val="Hyperlink"/>
    <w:basedOn w:val="DefaultParagraphFont"/>
    <w:rsid w:val="0004144B"/>
    <w:rPr>
      <w:color w:val="0000FF" w:themeColor="hyperlink"/>
      <w:u w:val="single"/>
    </w:rPr>
  </w:style>
  <w:style w:type="paragraph" w:styleId="Revision">
    <w:name w:val="Revision"/>
    <w:hidden/>
    <w:uiPriority w:val="99"/>
    <w:semiHidden/>
    <w:rsid w:val="00E036D6"/>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172BE"/>
    <w:pPr>
      <w:spacing w:line="240" w:lineRule="auto"/>
    </w:pPr>
    <w:rPr>
      <w:szCs w:val="20"/>
    </w:rPr>
  </w:style>
  <w:style w:type="character" w:customStyle="1" w:styleId="CommentTextChar">
    <w:name w:val="Comment Text Char"/>
    <w:basedOn w:val="DefaultParagraphFont"/>
    <w:link w:val="CommentText"/>
    <w:rsid w:val="00A172BE"/>
    <w:rPr>
      <w:rFonts w:ascii="Times New Roman" w:hAnsi="Times New Roman"/>
      <w:spacing w:val="4"/>
      <w:w w:val="103"/>
      <w:lang w:val="es-ES"/>
    </w:rPr>
  </w:style>
  <w:style w:type="paragraph" w:styleId="CommentSubject">
    <w:name w:val="annotation subject"/>
    <w:basedOn w:val="CommentText"/>
    <w:next w:val="CommentText"/>
    <w:link w:val="CommentSubjectChar"/>
    <w:rsid w:val="00A172BE"/>
    <w:rPr>
      <w:b/>
      <w:bCs/>
    </w:rPr>
  </w:style>
  <w:style w:type="character" w:customStyle="1" w:styleId="CommentSubjectChar">
    <w:name w:val="Comment Subject Char"/>
    <w:basedOn w:val="CommentTextChar"/>
    <w:link w:val="CommentSubject"/>
    <w:rsid w:val="00A172BE"/>
    <w:rPr>
      <w:rFonts w:ascii="Times New Roman" w:hAnsi="Times New Roman"/>
      <w:b/>
      <w:bCs/>
      <w:spacing w:val="4"/>
      <w:w w:val="103"/>
      <w:lang w:val="es-ES"/>
    </w:rPr>
  </w:style>
  <w:style w:type="character" w:styleId="Hyperlink">
    <w:name w:val="Hyperlink"/>
    <w:basedOn w:val="DefaultParagraphFont"/>
    <w:rsid w:val="0004144B"/>
    <w:rPr>
      <w:color w:val="0000FF" w:themeColor="hyperlink"/>
      <w:u w:val="single"/>
    </w:rPr>
  </w:style>
  <w:style w:type="paragraph" w:styleId="Revision">
    <w:name w:val="Revision"/>
    <w:hidden/>
    <w:uiPriority w:val="99"/>
    <w:semiHidden/>
    <w:rsid w:val="00E036D6"/>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rjc.gov.lv/~/media/RJC/Jaunsardze/Kodekss_apstiprinashanai.ash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likumi.lv/doc.php?id=118415"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tap.mk.gov.lv/lv/mk/tap/?pid=40258141" TargetMode="External"/><Relationship Id="rId20" Type="http://schemas.openxmlformats.org/officeDocument/2006/relationships/hyperlink" Target="http://www.mfa.gov.lv/arpolitika/drosibas-politika/drosibas-politikas-virzieni/brunojuma-kontrole-un-masu-iznicinasanas-ierocu-izplatisanas-ierobezosan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www.lm.gov.lv/text/2876" TargetMode="External"/><Relationship Id="rId23"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hyperlink" Target="http://www.bti.gov.lv/lat/lietotaju_ertibam/uzdod_jautajum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A23D97-74B8-41D9-ACB8-FAD027E903A9}"/>
</file>

<file path=customXml/itemProps2.xml><?xml version="1.0" encoding="utf-8"?>
<ds:datastoreItem xmlns:ds="http://schemas.openxmlformats.org/officeDocument/2006/customXml" ds:itemID="{7A33F2BB-E7B8-42DE-9900-A0CA704E049D}"/>
</file>

<file path=customXml/itemProps3.xml><?xml version="1.0" encoding="utf-8"?>
<ds:datastoreItem xmlns:ds="http://schemas.openxmlformats.org/officeDocument/2006/customXml" ds:itemID="{0284685D-99C9-41C0-8678-B2D8A1F18C0A}"/>
</file>

<file path=customXml/itemProps4.xml><?xml version="1.0" encoding="utf-8"?>
<ds:datastoreItem xmlns:ds="http://schemas.openxmlformats.org/officeDocument/2006/customXml" ds:itemID="{5AA1BD86-648C-4FD0-BF65-2D23A64A2567}"/>
</file>

<file path=docProps/app.xml><?xml version="1.0" encoding="utf-8"?>
<Properties xmlns="http://schemas.openxmlformats.org/officeDocument/2006/extended-properties" xmlns:vt="http://schemas.openxmlformats.org/officeDocument/2006/docPropsVTypes">
  <Template>Normal</Template>
  <TotalTime>0</TotalTime>
  <Pages>8</Pages>
  <Words>4033</Words>
  <Characters>22990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Boit James</cp:lastModifiedBy>
  <cp:revision>4</cp:revision>
  <cp:lastPrinted>2015-11-23T10:45:00Z</cp:lastPrinted>
  <dcterms:created xsi:type="dcterms:W3CDTF">2015-11-23T10:45:00Z</dcterms:created>
  <dcterms:modified xsi:type="dcterms:W3CDTF">2015-11-25T17:05:00Z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1519722</vt:lpwstr>
  </property>
  <property fmtid="{D5CDD505-2E9C-101B-9397-08002B2CF9AE}" pid="3" name="ODSRefJobNo">
    <vt:lpwstr>1525860</vt:lpwstr>
  </property>
  <property fmtid="{D5CDD505-2E9C-101B-9397-08002B2CF9AE}" pid="4" name="Symbol1">
    <vt:lpwstr>CRC/C/OPAC/LVA/Q/1/Add.1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noviembre de 2015</vt:lpwstr>
  </property>
  <property fmtid="{D5CDD505-2E9C-101B-9397-08002B2CF9AE}" pid="8" name="Original">
    <vt:lpwstr>inglés</vt:lpwstr>
  </property>
  <property fmtid="{D5CDD505-2E9C-101B-9397-08002B2CF9AE}" pid="9" name="Release Date">
    <vt:lpwstr>201115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y fmtid="{D5CDD505-2E9C-101B-9397-08002B2CF9AE}" pid="14" name="ContentTypeId">
    <vt:lpwstr>0x010100918922F1BC617348B61FCCCA89710F1F</vt:lpwstr>
  </property>
</Properties>
</file>