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0B64" w:rsidRPr="009F0B64" w:rsidRDefault="009F0B64" w:rsidP="009F0B64">
      <w:pPr>
        <w:jc w:val="center"/>
        <w:rPr>
          <w:rFonts w:asciiTheme="majorBidi" w:hAnsiTheme="majorBidi" w:cstheme="majorBidi"/>
          <w:b/>
          <w:bCs/>
          <w:sz w:val="28"/>
          <w:szCs w:val="28"/>
          <w:rtl/>
          <w:lang w:bidi="ar-EG"/>
        </w:rPr>
      </w:pPr>
      <w:bookmarkStart w:id="0" w:name="_GoBack"/>
      <w:bookmarkEnd w:id="0"/>
      <w:r w:rsidRPr="009F0B64">
        <w:rPr>
          <w:rFonts w:asciiTheme="majorBidi" w:hAnsiTheme="majorBidi" w:cstheme="majorBidi"/>
          <w:b/>
          <w:bCs/>
          <w:sz w:val="28"/>
          <w:szCs w:val="28"/>
          <w:rtl/>
          <w:lang w:bidi="ar-EG"/>
        </w:rPr>
        <w:t xml:space="preserve">معلومات مقدمة من المجلس القومي لحقوق الإنسان </w:t>
      </w:r>
    </w:p>
    <w:p w:rsidR="009F0B64" w:rsidRPr="009F0B64" w:rsidRDefault="009F0B64" w:rsidP="009F0B64">
      <w:pPr>
        <w:jc w:val="center"/>
        <w:rPr>
          <w:rFonts w:asciiTheme="majorBidi" w:hAnsiTheme="majorBidi" w:cstheme="majorBidi"/>
          <w:b/>
          <w:bCs/>
          <w:sz w:val="28"/>
          <w:szCs w:val="28"/>
          <w:rtl/>
          <w:lang w:bidi="ar-EG"/>
        </w:rPr>
      </w:pPr>
      <w:r w:rsidRPr="009F0B64">
        <w:rPr>
          <w:rFonts w:asciiTheme="majorBidi" w:hAnsiTheme="majorBidi" w:cstheme="majorBidi"/>
          <w:b/>
          <w:bCs/>
          <w:sz w:val="28"/>
          <w:szCs w:val="28"/>
          <w:rtl/>
          <w:lang w:bidi="ar-EG"/>
        </w:rPr>
        <w:t>بجمهورية مصر العربية</w:t>
      </w:r>
    </w:p>
    <w:p w:rsidR="009F0B64" w:rsidRPr="009F0B64" w:rsidRDefault="009F0B64" w:rsidP="009F0B64">
      <w:pPr>
        <w:pStyle w:val="SingleTxtGA"/>
        <w:spacing w:before="120"/>
        <w:ind w:left="0" w:right="0"/>
        <w:jc w:val="center"/>
        <w:rPr>
          <w:rFonts w:asciiTheme="majorBidi" w:hAnsiTheme="majorBidi" w:cstheme="majorBidi"/>
          <w:b/>
          <w:bCs/>
          <w:sz w:val="28"/>
          <w:szCs w:val="28"/>
          <w:rtl/>
        </w:rPr>
      </w:pPr>
      <w:r w:rsidRPr="009F0B64">
        <w:rPr>
          <w:rFonts w:asciiTheme="majorBidi" w:hAnsiTheme="majorBidi" w:cstheme="majorBidi"/>
          <w:b/>
          <w:bCs/>
          <w:sz w:val="28"/>
          <w:szCs w:val="28"/>
          <w:rtl/>
        </w:rPr>
        <w:t>لجنة القضاء على التمييز العنصري</w:t>
      </w:r>
    </w:p>
    <w:p w:rsidR="009F0B64" w:rsidRPr="009F0B64" w:rsidRDefault="009F0B64" w:rsidP="009F0B64">
      <w:pPr>
        <w:pStyle w:val="HMGA"/>
        <w:jc w:val="center"/>
        <w:rPr>
          <w:rFonts w:asciiTheme="majorBidi" w:hAnsiTheme="majorBidi" w:cstheme="majorBidi"/>
          <w:sz w:val="28"/>
          <w:szCs w:val="28"/>
          <w:rtl/>
        </w:rPr>
      </w:pPr>
      <w:r>
        <w:rPr>
          <w:rFonts w:asciiTheme="majorBidi" w:hAnsiTheme="majorBidi" w:cstheme="majorBidi"/>
          <w:sz w:val="28"/>
          <w:szCs w:val="28"/>
        </w:rPr>
        <w:t xml:space="preserve">                    </w:t>
      </w:r>
      <w:r w:rsidRPr="009F0B64">
        <w:rPr>
          <w:rFonts w:asciiTheme="majorBidi" w:hAnsiTheme="majorBidi" w:cstheme="majorBidi"/>
          <w:sz w:val="28"/>
          <w:szCs w:val="28"/>
          <w:rtl/>
        </w:rPr>
        <w:t>النظر في التقارير المقدمة من الدول الأطراف بموجب المادة 9 من اتفاقية القضاء على جميع أشكال التمييز العنصري</w:t>
      </w:r>
    </w:p>
    <w:p w:rsidR="009F0B64" w:rsidRPr="009F0B64" w:rsidRDefault="009F0B64" w:rsidP="009F0B64">
      <w:pPr>
        <w:jc w:val="both"/>
        <w:rPr>
          <w:rFonts w:asciiTheme="majorBidi" w:hAnsiTheme="majorBidi" w:cstheme="majorBidi"/>
          <w:b/>
          <w:bCs/>
          <w:sz w:val="28"/>
          <w:szCs w:val="28"/>
          <w:rtl/>
          <w:lang w:bidi="ar-EG"/>
        </w:rPr>
      </w:pP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rtl/>
          <w:lang w:bidi="ar-EG"/>
        </w:rPr>
      </w:pPr>
      <w:r w:rsidRPr="009F0B64">
        <w:rPr>
          <w:rFonts w:asciiTheme="majorBidi" w:hAnsiTheme="majorBidi" w:cstheme="majorBidi"/>
          <w:sz w:val="28"/>
          <w:szCs w:val="28"/>
          <w:rtl/>
          <w:lang w:bidi="ar-EG"/>
        </w:rPr>
        <w:t>يود المجلس القومي لحقوق الإنسان في مصر، وهو المؤسسة الوطنية لحقوق الإنسان - بمناسبة انعقاد الجلسة المخصصة لاستعراض التقارير الدورية من السابع عشر إلى الثاني والعشرين لمصر يومي 30/11 و 1/12/2015 في إطار الجلسة (88) للجنة القضاء على التمييز العنصري- التنويه إلى الرسالة الهامة التي يضطلع بها لتعزيز وحماية حقوق الإنسان في مصر، في إطار ولايته بمقتضي القانون رقم (94) لسنة 2003 المنشئ له، لا سيما وأن تعزيز وحماية حقوق الإنسان أصبحت مطلباً شعبياً تم التعبير عنه بقوة وإصرار في ثورتي 25 يناير 2011 و30 يونيو 2013.</w:t>
      </w:r>
    </w:p>
    <w:p w:rsidR="009F0B64" w:rsidRPr="009F0B64" w:rsidRDefault="009F0B64" w:rsidP="009F0B64">
      <w:pPr>
        <w:jc w:val="both"/>
        <w:rPr>
          <w:rFonts w:asciiTheme="majorBidi" w:hAnsiTheme="majorBidi" w:cstheme="majorBidi"/>
          <w:b/>
          <w:bCs/>
          <w:sz w:val="28"/>
          <w:szCs w:val="28"/>
          <w:rtl/>
          <w:lang w:bidi="ar-EG"/>
        </w:rPr>
      </w:pPr>
    </w:p>
    <w:p w:rsidR="009F0B64" w:rsidRPr="009F0B64" w:rsidRDefault="009F0B64" w:rsidP="009F0B64">
      <w:pPr>
        <w:jc w:val="both"/>
        <w:rPr>
          <w:rFonts w:asciiTheme="majorBidi" w:hAnsiTheme="majorBidi" w:cstheme="majorBidi"/>
          <w:b/>
          <w:bCs/>
          <w:sz w:val="28"/>
          <w:szCs w:val="28"/>
          <w:rtl/>
          <w:lang w:bidi="ar-EG"/>
        </w:rPr>
      </w:pPr>
      <w:r w:rsidRPr="009F0B64">
        <w:rPr>
          <w:rFonts w:asciiTheme="majorBidi" w:hAnsiTheme="majorBidi" w:cstheme="majorBidi"/>
          <w:b/>
          <w:bCs/>
          <w:sz w:val="28"/>
          <w:szCs w:val="28"/>
          <w:rtl/>
          <w:lang w:bidi="ar-EG"/>
        </w:rPr>
        <w:t>التطورات الدستورية:</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rtl/>
          <w:lang w:bidi="ar-EG"/>
        </w:rPr>
      </w:pPr>
      <w:r w:rsidRPr="009F0B64">
        <w:rPr>
          <w:rFonts w:asciiTheme="majorBidi" w:hAnsiTheme="majorBidi" w:cstheme="majorBidi"/>
          <w:sz w:val="28"/>
          <w:szCs w:val="28"/>
          <w:rtl/>
          <w:lang w:bidi="ar-EG"/>
        </w:rPr>
        <w:t>جاء الدستور الجديد الصادر في 18 يناير 2014 معبراً عن هذه المطالب التي نادت بالحياة الكريمة والحرية والعدالة الإجتماعية والكرامة الإنسانية، وهو الدستور الذي يشكل نقلة نوعية، ويعد دستوراً غير مسبوق بين الدساتير المصرية في التأكيد على الحقوق والحريات، وضمان الوفاء بها وحمايتها، وبخاصة النصوص المتعلقة بالقضاء على جميع أشكال التمييز العنصري وبما يتماشي مع أحكامها.</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rtl/>
          <w:lang w:bidi="ar-EG"/>
        </w:rPr>
      </w:pPr>
      <w:r w:rsidRPr="009F0B64">
        <w:rPr>
          <w:rFonts w:asciiTheme="majorBidi" w:hAnsiTheme="majorBidi" w:cstheme="majorBidi"/>
          <w:sz w:val="28"/>
          <w:szCs w:val="28"/>
          <w:rtl/>
          <w:lang w:bidi="ar-EG"/>
        </w:rPr>
        <w:t>إذ  يؤكد الدستور في المادة الأولي منه على أن نظام الدولة جمهوري ديمقراطي يقوم علي أساس المواطنة وسيادة القانون.</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rtl/>
          <w:lang w:bidi="ar-EG"/>
        </w:rPr>
      </w:pPr>
      <w:r w:rsidRPr="009F0B64">
        <w:rPr>
          <w:rFonts w:asciiTheme="majorBidi" w:hAnsiTheme="majorBidi" w:cstheme="majorBidi"/>
          <w:sz w:val="28"/>
          <w:szCs w:val="28"/>
          <w:rtl/>
          <w:lang w:bidi="ar-EG"/>
        </w:rPr>
        <w:t>ويؤكد في المادة (9) علي أن تلتزم الدولة بتحقيق تكافؤ الفرص بين جميع المواطنين دون تمييز.</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rtl/>
          <w:lang w:bidi="ar-EG"/>
        </w:rPr>
      </w:pPr>
      <w:r w:rsidRPr="009F0B64">
        <w:rPr>
          <w:rFonts w:asciiTheme="majorBidi" w:hAnsiTheme="majorBidi" w:cstheme="majorBidi"/>
          <w:sz w:val="28"/>
          <w:szCs w:val="28"/>
          <w:rtl/>
          <w:lang w:bidi="ar-EG"/>
        </w:rPr>
        <w:t>ويقضي بالمساوة بين المرأة والرجل في المادة (11) في جميع الحقوق المدنية والسياسية والاقتصادية والاجتماعية والثاقفية، وحماية المرأة من كل أشكال العنف.</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rtl/>
          <w:lang w:bidi="ar-EG"/>
        </w:rPr>
      </w:pPr>
      <w:r w:rsidRPr="009F0B64">
        <w:rPr>
          <w:rFonts w:asciiTheme="majorBidi" w:hAnsiTheme="majorBidi" w:cstheme="majorBidi"/>
          <w:sz w:val="28"/>
          <w:szCs w:val="28"/>
          <w:rtl/>
          <w:lang w:bidi="ar-EG"/>
        </w:rPr>
        <w:t>كما تقضي المادة (19) أن من أهداف التعليم إرساء مفاهيم المواطنة والتسامح وعدم التمييز .</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rtl/>
          <w:lang w:bidi="ar-EG"/>
        </w:rPr>
      </w:pPr>
      <w:r w:rsidRPr="009F0B64">
        <w:rPr>
          <w:rFonts w:asciiTheme="majorBidi" w:hAnsiTheme="majorBidi" w:cstheme="majorBidi"/>
          <w:sz w:val="28"/>
          <w:szCs w:val="28"/>
          <w:rtl/>
          <w:lang w:bidi="ar-EG"/>
        </w:rPr>
        <w:lastRenderedPageBreak/>
        <w:t>والتزام الدولة بالحفاظ على الهوية الثقافية المصرية بروافدها الحضارية المتنوعة في المادة (47).</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rtl/>
          <w:lang w:bidi="ar-EG"/>
        </w:rPr>
      </w:pPr>
      <w:r w:rsidRPr="009F0B64">
        <w:rPr>
          <w:rFonts w:asciiTheme="majorBidi" w:hAnsiTheme="majorBidi" w:cstheme="majorBidi"/>
          <w:sz w:val="28"/>
          <w:szCs w:val="28"/>
          <w:rtl/>
          <w:lang w:bidi="ar-EG"/>
        </w:rPr>
        <w:t>ويؤكد في المادة (48) علي أن الثقافة حق لكل مواطن وأن علي الدولة الإلتزام بإتاحة ودعم المواد الثقافية بجميع أنواعها لمختلف فئات الشعب ودون تمييز بسبب القدرة المالية أو الموقع الجغرافي أو غير ذلك من الأسباب، وأن تولي اهتماماً خاصاً بالمناطق النائية والفئات الأكثر احتياجاً.</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rtl/>
          <w:lang w:bidi="ar-EG"/>
        </w:rPr>
      </w:pPr>
      <w:r w:rsidRPr="009F0B64">
        <w:rPr>
          <w:rFonts w:asciiTheme="majorBidi" w:hAnsiTheme="majorBidi" w:cstheme="majorBidi"/>
          <w:sz w:val="28"/>
          <w:szCs w:val="28"/>
          <w:rtl/>
          <w:lang w:bidi="ar-EG"/>
        </w:rPr>
        <w:t xml:space="preserve">ويقر الدستور مبدأ المساواة أمام القانون وحظر التمييز الحض علي الكراهية في المادة (53) واعتبارهما جريمة يعاقب عليها القانون، كما تلزم ذات المادة الدولة بإتخاذ التدابير اللازمة للقضاء على كافة أشكال التمييز وإنشاء مفوضية مستقلة لهذا الغرض. </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lang w:bidi="ar-EG"/>
        </w:rPr>
      </w:pPr>
      <w:r w:rsidRPr="009F0B64">
        <w:rPr>
          <w:rFonts w:asciiTheme="majorBidi" w:hAnsiTheme="majorBidi" w:cstheme="majorBidi"/>
          <w:sz w:val="28"/>
          <w:szCs w:val="28"/>
          <w:rtl/>
          <w:lang w:bidi="ar-EG"/>
        </w:rPr>
        <w:t xml:space="preserve">كما تقضي المادة (81) من الدستور بأن على الدولة ضمان الحقوق المدنية والسياسية والاقتصادية والاجتماعية والثقافية للأشخاص ذوي الإعاقة والأقزام. </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rtl/>
          <w:lang w:bidi="ar-EG"/>
        </w:rPr>
      </w:pPr>
      <w:r w:rsidRPr="009F0B64">
        <w:rPr>
          <w:rFonts w:asciiTheme="majorBidi" w:hAnsiTheme="majorBidi" w:cstheme="majorBidi"/>
          <w:sz w:val="28"/>
          <w:szCs w:val="28"/>
          <w:rtl/>
          <w:lang w:bidi="ar-EG"/>
        </w:rPr>
        <w:t xml:space="preserve">ومن النصوص الداعمة لانفاذ اتفاقيات حقوق الإنسان في مصر، هو نص المادة (93) من الدستور والتي الزمت الدولة بالاتفاقيات والعهود والمواثيق الدولية لحقوق الإنسان والتي تصدق عليها مصر واعتبارها في مرتبة القانون. </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rtl/>
          <w:lang w:bidi="ar-EG"/>
        </w:rPr>
      </w:pPr>
      <w:r w:rsidRPr="009F0B64">
        <w:rPr>
          <w:rFonts w:asciiTheme="majorBidi" w:hAnsiTheme="majorBidi" w:cstheme="majorBidi"/>
          <w:sz w:val="28"/>
          <w:szCs w:val="28"/>
          <w:rtl/>
          <w:lang w:bidi="ar-EG"/>
        </w:rPr>
        <w:t xml:space="preserve">وتنص المادة (177) من الدستور علي التزام الدولة بضمان التوزيع العادل للمرافق والخدمات والموارد وتقريب مستويات التنمية وتحقيق العدالة الاجتماعية بين الوحدات المحلية. </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rtl/>
          <w:lang w:bidi="ar-EG"/>
        </w:rPr>
      </w:pPr>
      <w:r w:rsidRPr="009F0B64">
        <w:rPr>
          <w:rFonts w:asciiTheme="majorBidi" w:hAnsiTheme="majorBidi" w:cstheme="majorBidi"/>
          <w:sz w:val="28"/>
          <w:szCs w:val="28"/>
          <w:rtl/>
          <w:lang w:bidi="ar-EG"/>
        </w:rPr>
        <w:t xml:space="preserve">ولعل واحد من أهم النصوص المستحدثة في الدستور المصري هو نص المادة (236) الخاص بكفالة الدولة وضع وتنفيذ خطة للتنمية الاقتصادية والعمرانية الشاملة خلال عشر سنوات للمناطق الحدودية والمحرومة ومنها الصعيد وسيناء ومطروح ومناطق النوبة، مع مراعاة الأنماط الثقافية والبيئية للمجتمع المحلي، وكذلك الزمت ذات المادة الدولة بوضع وتنفيذ مشروعات تعيد سكان النوبة إلى مناطقهم الأصلية وتنميتها خلال عشر سنوات. </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rtl/>
          <w:lang w:bidi="ar-EG"/>
        </w:rPr>
      </w:pPr>
      <w:r w:rsidRPr="009F0B64">
        <w:rPr>
          <w:rFonts w:asciiTheme="majorBidi" w:hAnsiTheme="majorBidi" w:cstheme="majorBidi"/>
          <w:sz w:val="28"/>
          <w:szCs w:val="28"/>
          <w:rtl/>
          <w:lang w:bidi="ar-EG"/>
        </w:rPr>
        <w:t>وأبدى الدستور اهتماما كبيرا بضمان الحقوق الاقتصادية والاجتماعية والثقافية ، حيث ينص لأول مرة على نسبة حدّدها الدستور من الناتج القومي  الإجمالي تتصاعد تدريجيا لتصل الي المعدلات العالمية للإنفاق على الصحة ، والتعليم ، والبحث العلمي.</w:t>
      </w:r>
    </w:p>
    <w:p w:rsidR="009F0B64" w:rsidRPr="009F0B64" w:rsidRDefault="009F0B64" w:rsidP="009F0B64">
      <w:pPr>
        <w:jc w:val="both"/>
        <w:rPr>
          <w:rFonts w:asciiTheme="majorBidi" w:hAnsiTheme="majorBidi" w:cstheme="majorBidi"/>
          <w:sz w:val="28"/>
          <w:szCs w:val="28"/>
          <w:rtl/>
          <w:lang w:bidi="ar-EG"/>
        </w:rPr>
      </w:pPr>
    </w:p>
    <w:p w:rsidR="009F0B64" w:rsidRPr="009F0B64" w:rsidRDefault="009F0B64" w:rsidP="009F0B64">
      <w:pPr>
        <w:jc w:val="both"/>
        <w:rPr>
          <w:rFonts w:asciiTheme="majorBidi" w:hAnsiTheme="majorBidi" w:cstheme="majorBidi"/>
          <w:b/>
          <w:bCs/>
          <w:sz w:val="28"/>
          <w:szCs w:val="28"/>
          <w:rtl/>
          <w:lang w:bidi="ar-EG"/>
        </w:rPr>
      </w:pPr>
      <w:r w:rsidRPr="009F0B64">
        <w:rPr>
          <w:rFonts w:asciiTheme="majorBidi" w:hAnsiTheme="majorBidi" w:cstheme="majorBidi"/>
          <w:b/>
          <w:bCs/>
          <w:sz w:val="28"/>
          <w:szCs w:val="28"/>
          <w:rtl/>
          <w:lang w:bidi="ar-EG"/>
        </w:rPr>
        <w:t>التشريعات:</w:t>
      </w:r>
    </w:p>
    <w:p w:rsidR="009F0B64" w:rsidRPr="009F0B64" w:rsidRDefault="009F0B64" w:rsidP="009F0B64">
      <w:pPr>
        <w:jc w:val="both"/>
        <w:rPr>
          <w:rFonts w:asciiTheme="majorBidi" w:hAnsiTheme="majorBidi" w:cstheme="majorBidi"/>
          <w:b/>
          <w:bCs/>
          <w:sz w:val="28"/>
          <w:szCs w:val="28"/>
          <w:rtl/>
          <w:lang w:bidi="ar-EG"/>
        </w:rPr>
      </w:pPr>
      <w:r w:rsidRPr="009F0B64">
        <w:rPr>
          <w:rFonts w:asciiTheme="majorBidi" w:hAnsiTheme="majorBidi" w:cstheme="majorBidi"/>
          <w:b/>
          <w:bCs/>
          <w:sz w:val="28"/>
          <w:szCs w:val="28"/>
          <w:rtl/>
          <w:lang w:bidi="ar-EG"/>
        </w:rPr>
        <w:t>التدابير التشريعية الإيجابية</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lang w:bidi="ar-EG"/>
        </w:rPr>
      </w:pPr>
      <w:r w:rsidRPr="009F0B64">
        <w:rPr>
          <w:rFonts w:asciiTheme="majorBidi" w:hAnsiTheme="majorBidi" w:cstheme="majorBidi"/>
          <w:sz w:val="28"/>
          <w:szCs w:val="28"/>
          <w:rtl/>
          <w:lang w:bidi="ar-EG"/>
        </w:rPr>
        <w:t>يُثنى المجلس</w:t>
      </w:r>
      <w:r w:rsidRPr="009F0B64">
        <w:rPr>
          <w:rFonts w:asciiTheme="majorBidi" w:hAnsiTheme="majorBidi" w:cstheme="majorBidi"/>
          <w:sz w:val="28"/>
          <w:szCs w:val="28"/>
          <w:lang w:bidi="ar-EG"/>
        </w:rPr>
        <w:t xml:space="preserve"> </w:t>
      </w:r>
      <w:r w:rsidRPr="009F0B64">
        <w:rPr>
          <w:rFonts w:asciiTheme="majorBidi" w:hAnsiTheme="majorBidi" w:cstheme="majorBidi"/>
          <w:sz w:val="28"/>
          <w:szCs w:val="28"/>
          <w:rtl/>
          <w:lang w:bidi="ar-EG"/>
        </w:rPr>
        <w:t xml:space="preserve">على الإجراءات التي اتخذتها الحكومة المصرية لتعزيز وحماية حقوق الإنسان ، ومن بينها إجراء الانتخابات النيابية خلال الفترة من أكتوبر وإلي ديسمبر2015 والتي تتولى تنظيمها والإشراف عليها اللجنة العليا للانتخابات وهى هيئة مستقلة , لحين إنشاء " الهيئة الوطنية للانتخابات"  التي ينص عليها الدستور الجديد لدي </w:t>
      </w:r>
      <w:r w:rsidRPr="009F0B64">
        <w:rPr>
          <w:rFonts w:asciiTheme="majorBidi" w:hAnsiTheme="majorBidi" w:cstheme="majorBidi"/>
          <w:sz w:val="28"/>
          <w:szCs w:val="28"/>
          <w:rtl/>
          <w:lang w:bidi="ar-EG"/>
        </w:rPr>
        <w:lastRenderedPageBreak/>
        <w:t xml:space="preserve">تشكيل مجلس النواب ، ويشترك المجلس القومي لحقوق الإنسان في مراقبتها ، فضلا عن السماح لمنظمات غير حكومية مصرية وأجنبية بمراقبة هذه الانتخابات ، واشتراك المصريين في الخارج فيها . </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lang w:bidi="ar-EG"/>
        </w:rPr>
      </w:pPr>
      <w:r w:rsidRPr="009F0B64">
        <w:rPr>
          <w:rFonts w:asciiTheme="majorBidi" w:hAnsiTheme="majorBidi" w:cstheme="majorBidi"/>
          <w:sz w:val="28"/>
          <w:szCs w:val="28"/>
          <w:rtl/>
          <w:lang w:bidi="ar-EG"/>
        </w:rPr>
        <w:t xml:space="preserve">يذكر أنه بموجب الدستور المصري الجديد ونصوص قانون مباشرة الحقوق السياسية رقم (45) لسنة 2014 وقانون مجلس النواب رقم (46) لسنة 2014 وقانون الدوائر الانتخابية رقم (202) لسنة 2014 وتعديلاتهم يخصص كوتة كحد أدني في مجلس النواب لصالح النساء (56 مقعد) والشباب (26 مقعد) والعمال والفلاحين (26 مقعد) والمسيحين (24 مقعد) والأشخاص ذوي الإعاقة (9 مقاعد) والمصريين في الخارج (9 مقاعد) بالإضافة إلى تخصيص دائرة انتخابية مستقلة لأهالي النوبة ثمثل بمرشح منهم بعكس ما كان متبع مسبقاً، وهذه التدابير من شأنها أن تسهم في تعزيز الحقوق والحريات المنصوص عليها في الاتفاقية. </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lang w:bidi="ar-EG"/>
        </w:rPr>
      </w:pPr>
      <w:r w:rsidRPr="009F0B64">
        <w:rPr>
          <w:rFonts w:asciiTheme="majorBidi" w:hAnsiTheme="majorBidi" w:cstheme="majorBidi"/>
          <w:sz w:val="28"/>
          <w:szCs w:val="28"/>
          <w:rtl/>
          <w:lang w:bidi="ar-EG"/>
        </w:rPr>
        <w:t>صدور قانون تجريم التحرش بالمــــرأة, وصدور قانــــون تشــــــديد العقوبات على جرائم العنف ضد المرأة (القانون رقم 50 لسنة2014) , وتعديل قانــــــون العقوبات (المادة 306 مكرراً أ,ب) ، وقانون حظر تعارض مصالح المسؤولين بالدولة (القانون 106 لسنة 2013) في إطار إجراءات مكافحة الفساد.</w:t>
      </w:r>
    </w:p>
    <w:p w:rsidR="009F0B64" w:rsidRPr="009F0B64" w:rsidRDefault="009F0B64" w:rsidP="009F0B64">
      <w:pPr>
        <w:jc w:val="both"/>
        <w:rPr>
          <w:rFonts w:asciiTheme="majorBidi" w:hAnsiTheme="majorBidi" w:cstheme="majorBidi"/>
          <w:b/>
          <w:bCs/>
          <w:sz w:val="28"/>
          <w:szCs w:val="28"/>
          <w:rtl/>
          <w:lang w:bidi="ar-EG"/>
        </w:rPr>
      </w:pPr>
    </w:p>
    <w:p w:rsidR="009F0B64" w:rsidRPr="009F0B64" w:rsidRDefault="009F0B64" w:rsidP="009F0B64">
      <w:pPr>
        <w:jc w:val="both"/>
        <w:rPr>
          <w:rFonts w:asciiTheme="majorBidi" w:hAnsiTheme="majorBidi" w:cstheme="majorBidi"/>
          <w:b/>
          <w:bCs/>
          <w:sz w:val="28"/>
          <w:szCs w:val="28"/>
          <w:rtl/>
          <w:lang w:bidi="ar-EG"/>
        </w:rPr>
      </w:pPr>
      <w:r w:rsidRPr="009F0B64">
        <w:rPr>
          <w:rFonts w:asciiTheme="majorBidi" w:hAnsiTheme="majorBidi" w:cstheme="majorBidi"/>
          <w:b/>
          <w:bCs/>
          <w:sz w:val="28"/>
          <w:szCs w:val="28"/>
          <w:rtl/>
          <w:lang w:bidi="ar-EG"/>
        </w:rPr>
        <w:t>التدابير التشريعية السلبية</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lang w:bidi="ar-EG"/>
        </w:rPr>
      </w:pPr>
      <w:r w:rsidRPr="009F0B64">
        <w:rPr>
          <w:rFonts w:asciiTheme="majorBidi" w:hAnsiTheme="majorBidi" w:cstheme="majorBidi"/>
          <w:sz w:val="28"/>
          <w:szCs w:val="28"/>
          <w:rtl/>
          <w:lang w:bidi="ar-EG"/>
        </w:rPr>
        <w:t>علي الرغم من النص علي التزام الدولة بموجب المادة (68) بتوفير واتاحة المعلومات والبيانات والاحصاءات والوثائق الرسمية للمواطنين، الا أن الحق في حرية تداول المعلومات مازال مقيداً بالعديد من التشريعات التي لا تتوافق مع الدستور في هذا الشان، مثل القانون رقم (121) لسنة 1975 بشأن صيانة الوثائق الرسمية للدولة وتنظيم وسائل نشرها.</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lang w:bidi="ar-EG"/>
        </w:rPr>
      </w:pPr>
      <w:r w:rsidRPr="009F0B64">
        <w:rPr>
          <w:rFonts w:asciiTheme="majorBidi" w:hAnsiTheme="majorBidi" w:cstheme="majorBidi"/>
          <w:sz w:val="28"/>
          <w:szCs w:val="28"/>
          <w:rtl/>
          <w:lang w:bidi="ar-EG"/>
        </w:rPr>
        <w:t>أصدر المشرع القانون (84) لسنة 2002 بشأن الجمعيات والمؤسسات الأهلية، وهو القانون الذي يضع قيوداً مبالغ فيها على تأسيس الجمعيات ويسمح كذلك بحل الجمعيات والمؤسسات بموجب قرارات إدارية على نحو يخالف الدستور المصري لعام 2014 والمعايير الدولية ذات الصلة.</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rtl/>
          <w:lang w:bidi="ar-EG"/>
        </w:rPr>
      </w:pPr>
      <w:r w:rsidRPr="009F0B64">
        <w:rPr>
          <w:rFonts w:asciiTheme="majorBidi" w:hAnsiTheme="majorBidi" w:cstheme="majorBidi"/>
          <w:sz w:val="28"/>
          <w:szCs w:val="28"/>
          <w:rtl/>
          <w:lang w:bidi="ar-EG"/>
        </w:rPr>
        <w:t>صدور القانون رقم (17) لسنة 2013 بتنظيم الحق في الاجتماعات العامة والمواكب والتظاهرات السلمية، الذي كان المجلس قد أبدي مجموعة كبيرة من الملاحظات عليه منذ أن كان مشروعاً، حيث يري المجلس أن القانون قد خلط بين تنظيم حق التظاهر السلمي وبين ما تتعرض له البلاد من جرائم عنف وإرهاب، وكذلك خلطه بين الحق في التظاهر والحق في الإضراب الذي ينظمه قانون العمل، والعديد من الملاحظات الأخري</w:t>
      </w:r>
      <w:r w:rsidRPr="009F0B64">
        <w:rPr>
          <w:rStyle w:val="FootnoteReference"/>
          <w:rFonts w:asciiTheme="majorBidi" w:hAnsiTheme="majorBidi" w:cstheme="majorBidi"/>
          <w:sz w:val="28"/>
          <w:szCs w:val="28"/>
          <w:rtl/>
          <w:lang w:bidi="ar-EG"/>
        </w:rPr>
        <w:footnoteReference w:id="1"/>
      </w:r>
      <w:r w:rsidRPr="009F0B64">
        <w:rPr>
          <w:rFonts w:asciiTheme="majorBidi" w:hAnsiTheme="majorBidi" w:cstheme="majorBidi"/>
          <w:sz w:val="28"/>
          <w:szCs w:val="28"/>
          <w:rtl/>
          <w:lang w:bidi="ar-EG"/>
        </w:rPr>
        <w:t>.</w:t>
      </w:r>
    </w:p>
    <w:p w:rsidR="009F0B64" w:rsidRPr="009F0B64" w:rsidRDefault="009F0B64" w:rsidP="009F0B64">
      <w:pPr>
        <w:jc w:val="both"/>
        <w:rPr>
          <w:rFonts w:asciiTheme="majorBidi" w:hAnsiTheme="majorBidi" w:cstheme="majorBidi"/>
          <w:sz w:val="28"/>
          <w:szCs w:val="28"/>
          <w:rtl/>
          <w:lang w:bidi="ar-EG"/>
        </w:rPr>
      </w:pPr>
    </w:p>
    <w:p w:rsidR="009F0B64" w:rsidRPr="009F0B64" w:rsidRDefault="009F0B64" w:rsidP="009F0B64">
      <w:pPr>
        <w:jc w:val="both"/>
        <w:rPr>
          <w:rFonts w:asciiTheme="majorBidi" w:hAnsiTheme="majorBidi" w:cstheme="majorBidi"/>
          <w:b/>
          <w:bCs/>
          <w:sz w:val="28"/>
          <w:szCs w:val="28"/>
          <w:rtl/>
          <w:lang w:bidi="ar-EG"/>
        </w:rPr>
      </w:pPr>
      <w:r w:rsidRPr="009F0B64">
        <w:rPr>
          <w:rFonts w:asciiTheme="majorBidi" w:hAnsiTheme="majorBidi" w:cstheme="majorBidi"/>
          <w:b/>
          <w:bCs/>
          <w:sz w:val="28"/>
          <w:szCs w:val="28"/>
          <w:rtl/>
          <w:lang w:bidi="ar-EG"/>
        </w:rPr>
        <w:t>تعليق المجلس القومي لحقوق الإنسان علي مدي تنفيذ الحكومة المصرية للتوصيات الختامية للجنة القضاء على التمييز العنصري بتاريخ 15 أغسطس 2001:</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lang w:bidi="ar-EG"/>
        </w:rPr>
      </w:pPr>
      <w:r w:rsidRPr="009F0B64">
        <w:rPr>
          <w:rFonts w:asciiTheme="majorBidi" w:hAnsiTheme="majorBidi" w:cstheme="majorBidi"/>
          <w:sz w:val="28"/>
          <w:szCs w:val="28"/>
          <w:rtl/>
          <w:lang w:bidi="ar-EG"/>
        </w:rPr>
        <w:t>على الرغم من النصوص الدستورية الجيدة سابق الإشارة اليها وخاصة نص المادة (53)، إلا أن القانون المصري لا يزال يخلو من أي أحكام يجعل من الداوفع الأثنية أو العرقية ظرفاً مشدداً على  الأعمال المحظورة بموجب الفقرة (أ) من المادة (4) من اتفاقية القضاء على جميع أشكال التمييز العنصري.</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lang w:bidi="ar-EG"/>
        </w:rPr>
      </w:pPr>
      <w:r w:rsidRPr="009F0B64">
        <w:rPr>
          <w:rFonts w:asciiTheme="majorBidi" w:hAnsiTheme="majorBidi" w:cstheme="majorBidi"/>
          <w:sz w:val="28"/>
          <w:szCs w:val="28"/>
          <w:rtl/>
          <w:lang w:bidi="ar-EG"/>
        </w:rPr>
        <w:t>استجابت الحكومة المصرية للتوصية المتعلقة بجنسية أبناء الأم المصرية، حيث تم السماح بمنح الجنسية المصرية لأبناء الأم المصرية المتزوجة من أجنبي بموجب تعديل قانون الجنسية بالقانون رقم (154) لسنة 2004، وتم تأكيد ذلك الحكم بالنص في المادة (6) من الدستور الجديد</w:t>
      </w:r>
      <w:r w:rsidRPr="009F0B64">
        <w:rPr>
          <w:rStyle w:val="FootnoteReference"/>
          <w:rFonts w:asciiTheme="majorBidi" w:hAnsiTheme="majorBidi" w:cstheme="majorBidi"/>
          <w:sz w:val="28"/>
          <w:szCs w:val="28"/>
          <w:rtl/>
          <w:lang w:bidi="ar-EG"/>
        </w:rPr>
        <w:footnoteReference w:id="2"/>
      </w:r>
      <w:r w:rsidRPr="009F0B64">
        <w:rPr>
          <w:rFonts w:asciiTheme="majorBidi" w:hAnsiTheme="majorBidi" w:cstheme="majorBidi"/>
          <w:sz w:val="28"/>
          <w:szCs w:val="28"/>
          <w:rtl/>
          <w:lang w:bidi="ar-EG"/>
        </w:rPr>
        <w:t xml:space="preserve"> على أن الجنسية المصرية حق لمن يولد لأب مصري أو لأم مصرية، كما سحبت الحكومة المصرية في العام 2007 تحفظها على الفقرة (2) من المادة (9) من اتفاقية القضاء على جميع أشكال التمييز ضد المرأة.</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lang w:bidi="ar-EG"/>
        </w:rPr>
      </w:pPr>
      <w:r w:rsidRPr="009F0B64">
        <w:rPr>
          <w:rFonts w:asciiTheme="majorBidi" w:hAnsiTheme="majorBidi" w:cstheme="majorBidi"/>
          <w:sz w:val="28"/>
          <w:szCs w:val="28"/>
          <w:rtl/>
          <w:lang w:bidi="ar-EG"/>
        </w:rPr>
        <w:t>وفيما يتعلق بالتوصية المتعلقة بالعمل علي إزالة الصعوبات المتصلة بتسجيل بعض المنظمات غير الحكومية المعنية بتعزيز وحماية حقوق الإنسان، فقد سبق الإشارة في الفقرة (19) من التقرير إلي صدور قانون الجمعيات والمؤسسات الأهلية رقم (84) لسنة 2002، والذي يتعارض مع أحكام الدستور المصري والمعايير الدولية.</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rtl/>
          <w:lang w:bidi="ar-EG"/>
        </w:rPr>
      </w:pPr>
      <w:r w:rsidRPr="009F0B64">
        <w:rPr>
          <w:rFonts w:asciiTheme="majorBidi" w:hAnsiTheme="majorBidi" w:cstheme="majorBidi"/>
          <w:sz w:val="28"/>
          <w:szCs w:val="28"/>
          <w:rtl/>
          <w:lang w:bidi="ar-EG"/>
        </w:rPr>
        <w:t>أما التوصية الخاصة بالتعجيل في إنشاء مؤسسة وطنية لحقوق الإنسان وفقاً لمبادئ باريس بشأن إنشاء وعمل المؤسسات الوطنية لحقوق الإنسان، فقد تم  إنشاء المجلس القومي لحقوق الإنسان بجمهورية مصر العربية بموجب القانون رقم (94) لسنة 2003، والمجلس معتمد من لجنة التنسيق الدولية للمؤسسات الوطنية لتعزيز وحماية حقوق الإنسان ضمن الفئة "</w:t>
      </w:r>
      <w:r w:rsidRPr="009F0B64">
        <w:rPr>
          <w:rFonts w:asciiTheme="majorBidi" w:hAnsiTheme="majorBidi" w:cstheme="majorBidi"/>
          <w:sz w:val="28"/>
          <w:szCs w:val="28"/>
          <w:lang w:bidi="ar-EG"/>
        </w:rPr>
        <w:t>A</w:t>
      </w:r>
      <w:r w:rsidRPr="009F0B64">
        <w:rPr>
          <w:rFonts w:asciiTheme="majorBidi" w:hAnsiTheme="majorBidi" w:cstheme="majorBidi"/>
          <w:sz w:val="28"/>
          <w:szCs w:val="28"/>
          <w:rtl/>
          <w:lang w:bidi="ar-EG"/>
        </w:rPr>
        <w:t>".</w:t>
      </w:r>
    </w:p>
    <w:p w:rsidR="009F0B64" w:rsidRPr="009F0B64" w:rsidRDefault="009F0B64" w:rsidP="009F0B64">
      <w:pPr>
        <w:jc w:val="both"/>
        <w:rPr>
          <w:rFonts w:asciiTheme="majorBidi" w:hAnsiTheme="majorBidi" w:cstheme="majorBidi"/>
          <w:b/>
          <w:bCs/>
          <w:sz w:val="28"/>
          <w:szCs w:val="28"/>
          <w:rtl/>
          <w:lang w:bidi="ar-EG"/>
        </w:rPr>
      </w:pPr>
    </w:p>
    <w:p w:rsidR="009F0B64" w:rsidRPr="009F0B64" w:rsidRDefault="009F0B64" w:rsidP="009F0B64">
      <w:pPr>
        <w:jc w:val="both"/>
        <w:rPr>
          <w:rFonts w:asciiTheme="majorBidi" w:hAnsiTheme="majorBidi" w:cstheme="majorBidi"/>
          <w:b/>
          <w:bCs/>
          <w:sz w:val="28"/>
          <w:szCs w:val="28"/>
          <w:rtl/>
          <w:lang w:bidi="ar-EG"/>
        </w:rPr>
      </w:pPr>
      <w:r w:rsidRPr="009F0B64">
        <w:rPr>
          <w:rFonts w:asciiTheme="majorBidi" w:hAnsiTheme="majorBidi" w:cstheme="majorBidi"/>
          <w:b/>
          <w:bCs/>
          <w:sz w:val="28"/>
          <w:szCs w:val="28"/>
          <w:rtl/>
          <w:lang w:bidi="ar-EG"/>
        </w:rPr>
        <w:t>التوصيات:</w:t>
      </w:r>
    </w:p>
    <w:p w:rsidR="009F0B64" w:rsidRPr="009F0B64" w:rsidRDefault="009F0B64" w:rsidP="009F0B64">
      <w:pPr>
        <w:jc w:val="both"/>
        <w:rPr>
          <w:rFonts w:asciiTheme="majorBidi" w:hAnsiTheme="majorBidi" w:cstheme="majorBidi"/>
          <w:b/>
          <w:bCs/>
          <w:sz w:val="28"/>
          <w:szCs w:val="28"/>
          <w:rtl/>
          <w:lang w:bidi="ar-EG"/>
        </w:rPr>
      </w:pPr>
      <w:r w:rsidRPr="009F0B64">
        <w:rPr>
          <w:rFonts w:asciiTheme="majorBidi" w:hAnsiTheme="majorBidi" w:cstheme="majorBidi"/>
          <w:b/>
          <w:bCs/>
          <w:sz w:val="28"/>
          <w:szCs w:val="28"/>
          <w:rtl/>
          <w:lang w:bidi="ar-EG"/>
        </w:rPr>
        <w:t>يجدد المجلس القومي لحقوق الإنسان توصياته للحكومة المصرية والتي وردت في تقاريره السنوية الصادرة منذ إنشائه، ويخص المجلس بالذكر هنا التوصيات التي يراها قد تساهم في تحسين إنفاذ الحكومة لإلتزمات الدولة الواردة في  أحكام الاتفاقية الدولية للقضاء على جميع أشكال التمييز العنصري.</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lang w:bidi="ar-EG"/>
        </w:rPr>
      </w:pPr>
      <w:r w:rsidRPr="009F0B64">
        <w:rPr>
          <w:rFonts w:asciiTheme="majorBidi" w:hAnsiTheme="majorBidi" w:cstheme="majorBidi"/>
          <w:sz w:val="28"/>
          <w:szCs w:val="28"/>
          <w:rtl/>
          <w:lang w:bidi="ar-EG"/>
        </w:rPr>
        <w:t>يوصي المجلس القومي لحقوق الإنسان بضرورة اتخاذ كافة التدابير اللازمة لضمان إقرار قانون لحظر التمييز والحض على الكراهية وانشاء المفوضية المستقلة إعمالا لأحكام المادة (53) من الدستور، ويذكر المجلس في هذا الشأن بمشروع القانون</w:t>
      </w:r>
      <w:r w:rsidRPr="009F0B64">
        <w:rPr>
          <w:rStyle w:val="FootnoteReference"/>
          <w:rFonts w:asciiTheme="majorBidi" w:hAnsiTheme="majorBidi" w:cstheme="majorBidi"/>
          <w:sz w:val="28"/>
          <w:szCs w:val="28"/>
          <w:rtl/>
          <w:lang w:bidi="ar-EG"/>
        </w:rPr>
        <w:footnoteReference w:id="3"/>
      </w:r>
      <w:r w:rsidRPr="009F0B64">
        <w:rPr>
          <w:rFonts w:asciiTheme="majorBidi" w:hAnsiTheme="majorBidi" w:cstheme="majorBidi"/>
          <w:sz w:val="28"/>
          <w:szCs w:val="28"/>
          <w:rtl/>
          <w:lang w:bidi="ar-EG"/>
        </w:rPr>
        <w:t xml:space="preserve"> الذي أعده لتكافؤ الفرص وحظر التمييز بين المواطنين، حيث قد بدأ المجلس حواره المجتمعي حول هذا القانون منذ العام 2008.</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lang w:bidi="ar-EG"/>
        </w:rPr>
      </w:pPr>
      <w:r w:rsidRPr="009F0B64">
        <w:rPr>
          <w:rFonts w:asciiTheme="majorBidi" w:hAnsiTheme="majorBidi" w:cstheme="majorBidi"/>
          <w:sz w:val="28"/>
          <w:szCs w:val="28"/>
          <w:rtl/>
          <w:lang w:bidi="ar-EG"/>
        </w:rPr>
        <w:t>يوصي المجلس بضرورة تيسير اتاحة الأوراق الرسمية المثبتة للبيانات الشخصية لكافة المواطنين بغض النظر هن عقيدتهم الدينية وإصدار القرارات اللازمة في هذا الشأن إعمالاً للمادة (6) من الدستور.</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rtl/>
          <w:lang w:bidi="ar-EG"/>
        </w:rPr>
      </w:pPr>
      <w:r w:rsidRPr="009F0B64">
        <w:rPr>
          <w:rFonts w:asciiTheme="majorBidi" w:hAnsiTheme="majorBidi" w:cstheme="majorBidi"/>
          <w:sz w:val="28"/>
          <w:szCs w:val="28"/>
          <w:rtl/>
          <w:lang w:bidi="ar-EG"/>
        </w:rPr>
        <w:t>ويوصي المجلس بأن تتخذ الدولة التدابير التنفيذية والإدارية اللازمة لتهيئة المرافق العامة والبيئية المحيطة بالأشخاص ذوي الإعاقة والأقزام ودمجهم مع غيرهم من المواطنين إعمالا لمبادئ المساواة والعدالة وتكافؤ الفرص المنصوص عليها في المادة (81) الدستور.</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lang w:bidi="ar-EG"/>
        </w:rPr>
      </w:pPr>
      <w:r w:rsidRPr="009F0B64">
        <w:rPr>
          <w:rFonts w:asciiTheme="majorBidi" w:hAnsiTheme="majorBidi" w:cstheme="majorBidi"/>
          <w:sz w:val="28"/>
          <w:szCs w:val="28"/>
          <w:rtl/>
          <w:lang w:bidi="ar-EG"/>
        </w:rPr>
        <w:t>و يوصي المجلس الحكومة المصرية بأن توضع خطة زمنية بناء علي أولوية الاحتياجات المجتمعية لمواءمة التشريعات الوطنية مع الالتزامات الدولية ذات الصلة بحقوق الإنسان التي قبلتها مصر وفقاً لنظامها الدستوري، إعمالاً لنص المادة (93) من الدستور وتنفيذاً للتعهدات التي قبلتها مصر أمام مجلس حقوق الإنسان خلال الاستعراض الدوري الشامل الأخير.</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lang w:bidi="ar-EG"/>
        </w:rPr>
      </w:pPr>
      <w:r w:rsidRPr="009F0B64">
        <w:rPr>
          <w:rFonts w:asciiTheme="majorBidi" w:hAnsiTheme="majorBidi" w:cstheme="majorBidi"/>
          <w:sz w:val="28"/>
          <w:szCs w:val="28"/>
          <w:rtl/>
          <w:lang w:bidi="ar-EG"/>
        </w:rPr>
        <w:t>ويوصي المجلس بتعديل أحكام قانون الإدارة المحلية رقم (43) لسنة 1979 لضمان تحقيق اللامركزية الفعلية وكذلك تدبير الموارد المالية اللازمة لتقريب مستويات التنمية بين المناطق الحضرية والريفية والمناطق الحضرية والصحراوية، إعمالاً لأحكام المادة (177) من الدستور.</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rtl/>
          <w:lang w:bidi="ar-EG"/>
        </w:rPr>
      </w:pPr>
      <w:r w:rsidRPr="009F0B64">
        <w:rPr>
          <w:rFonts w:asciiTheme="majorBidi" w:hAnsiTheme="majorBidi" w:cstheme="majorBidi"/>
          <w:sz w:val="28"/>
          <w:szCs w:val="28"/>
          <w:rtl/>
          <w:lang w:bidi="ar-EG"/>
        </w:rPr>
        <w:t>ويوصي المجلس بضرورة الشروع في اتخاذ الخطوات التنفيذية اللازمة لوضع وتنفيذ الخطط والمشروعات المشار اليها في المادة (236) من الدستور وعبر مشاركة مجتمعية واسعة للسكان المحليين للمناطق الحدودية والمحرومة، وكذلك العمل علي تفعيل أحكام القانون رقم (14) لسنة 2012 بشأن التنمية المتكاملة في شبه جزيرة سيناء، مع الوضع في عين الاعتبار أن الإرهاب الذي يواجهه الدولة والمجتمع في سيناء يمثل عائق كبيراً في تحقيق فرص التنمية وتمتع جميع المواطنين بحقوقهم الأساسية.</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lang w:bidi="ar-EG"/>
        </w:rPr>
      </w:pPr>
      <w:r w:rsidRPr="009F0B64">
        <w:rPr>
          <w:rFonts w:asciiTheme="majorBidi" w:hAnsiTheme="majorBidi" w:cstheme="majorBidi"/>
          <w:sz w:val="28"/>
          <w:szCs w:val="28"/>
          <w:rtl/>
          <w:lang w:bidi="ar-EG"/>
        </w:rPr>
        <w:t>يوصي المجلس بتعديل التشريعات المصرية لضمان اتاحة المعلومات للمواطنين وبخاصة القانون رقم (35) لسنة 1960 بشأن الأحصاء والتعداد والقانون رقم (121) لسنة 1975 بشأن صيانة الوثائق الرسمية للدولة وتنظيم وسائل نشرها، بما يتوافق مع أحكام الدستور الجديد والمعايير الدولية ذات الصلة.</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lang w:bidi="ar-EG"/>
        </w:rPr>
      </w:pPr>
      <w:r w:rsidRPr="009F0B64">
        <w:rPr>
          <w:rFonts w:asciiTheme="majorBidi" w:hAnsiTheme="majorBidi" w:cstheme="majorBidi"/>
          <w:sz w:val="28"/>
          <w:szCs w:val="28"/>
          <w:rtl/>
          <w:lang w:bidi="ar-EG"/>
        </w:rPr>
        <w:t xml:space="preserve">ويري المجلس أنه بالرغم من الخطوات الإيجابية التي أشارت لها الحكومة المصرية في تقريرها الرسمي المؤرخ 30 يونيو 2014 (الوثيقة </w:t>
      </w:r>
      <w:r w:rsidRPr="009F0B64">
        <w:rPr>
          <w:rFonts w:asciiTheme="majorBidi" w:hAnsiTheme="majorBidi" w:cstheme="majorBidi"/>
          <w:sz w:val="28"/>
          <w:szCs w:val="28"/>
          <w:lang w:bidi="ar-EG"/>
        </w:rPr>
        <w:t>CERD/C/EGY/17-22</w:t>
      </w:r>
      <w:r w:rsidRPr="009F0B64">
        <w:rPr>
          <w:rFonts w:asciiTheme="majorBidi" w:hAnsiTheme="majorBidi" w:cstheme="majorBidi"/>
          <w:sz w:val="28"/>
          <w:szCs w:val="28"/>
          <w:rtl/>
          <w:lang w:bidi="ar-EG"/>
        </w:rPr>
        <w:t>)، إلا أنه أنه يتعين على الحكومة مضاعفة جهودها في مجال حقوق الإنسان ، وفى هذا السياق يوصي المجلس الحكومة المصرية بتعديل قانون تنظيم الحق في الاجتماعات العامة والمواكب والمظاهرات السلمية بما يتفق مع دستور 2014 ومع ما أبداه المجلس القومي لحقوق الإنســـان من تحفظـــــات علي مشروع القانون ، وكذلك علي القانون بعد صدوره ، كما يُطالب بتعديل قانون الجمعيات الأهليـــــــــة (القانون رقم 84 لسنة2002) بما يتيح لها العمل  بمجرد الإخطار على نحو ما يقضي به الدستور، وهو ما يحرص عليه المجلس القومي لحقوق الانسان لتعزيز دور المنظمات غير الحكومية ، فضلا عن قيامه بدور فاعل لتحقيق ذلك  بالتقريب بين موقف الحكومة وموقف الجمعيات الأهلية من أجل التوصل الي القانون المُعدّل المنشود .</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lang w:bidi="ar-EG"/>
        </w:rPr>
      </w:pPr>
      <w:r w:rsidRPr="009F0B64">
        <w:rPr>
          <w:rFonts w:asciiTheme="majorBidi" w:hAnsiTheme="majorBidi" w:cstheme="majorBidi"/>
          <w:sz w:val="28"/>
          <w:szCs w:val="28"/>
          <w:rtl/>
          <w:lang w:bidi="ar-EG"/>
        </w:rPr>
        <w:t>ويوصي المجلس بأهمية تضافر جهود أجهزة الدولة المعنية بالثقافة والإعلام والأوقاف والمؤسسات الدينية وبالتعاون مع المجتمع المدني لإرساء قيم المواطنة والمساواة وعدم التمييز والتعددية الدينية والثقافية، ونبذ التكفير والتحريض علي الكراهية ونشر ثقافة التسامح وقبول الأخر.</w:t>
      </w:r>
    </w:p>
    <w:p w:rsidR="009F0B64" w:rsidRPr="009F0B64" w:rsidRDefault="009F0B64" w:rsidP="009F0B64">
      <w:pPr>
        <w:pStyle w:val="ListParagraph"/>
        <w:numPr>
          <w:ilvl w:val="0"/>
          <w:numId w:val="1"/>
        </w:numPr>
        <w:spacing w:after="0" w:line="240" w:lineRule="atLeast"/>
        <w:jc w:val="both"/>
        <w:rPr>
          <w:rFonts w:asciiTheme="majorBidi" w:hAnsiTheme="majorBidi" w:cstheme="majorBidi"/>
          <w:sz w:val="28"/>
          <w:szCs w:val="28"/>
          <w:rtl/>
          <w:lang w:bidi="ar-EG"/>
        </w:rPr>
      </w:pPr>
      <w:r w:rsidRPr="009F0B64">
        <w:rPr>
          <w:rFonts w:asciiTheme="majorBidi" w:hAnsiTheme="majorBidi" w:cstheme="majorBidi"/>
          <w:sz w:val="28"/>
          <w:szCs w:val="28"/>
          <w:rtl/>
          <w:lang w:bidi="ar-EG"/>
        </w:rPr>
        <w:t>كما يُحث المجلس القومي لحقوق الإنسان الحكومة المصرية على اتخاذ خطوات لتعديل وتطوير قانوني العقوبات والإجراءات الجنائية وتعزيز الحريات العامة . ويدعو الحكومة الى مضاعفة جهودها من أجل القضاء على الفقر، ومحو الامية، ورفع جودة الصحة، والتعليم ، وإعداد التشريعات الجديدة والتعديلات التشريعية اللازمة للوفاء بما ينص عليه دستور 2014 من حقوق اقتصادية واجتماعية وثقافية بما في ذلك حقوق المرأة ، والشباب ، والاشخاص ذو الإعاقة، والفقراء وسكان المناطق النائية والحدودية.</w:t>
      </w:r>
    </w:p>
    <w:p w:rsidR="009F0B64" w:rsidRPr="009F0B64" w:rsidRDefault="009F0B64" w:rsidP="009F0B64">
      <w:pPr>
        <w:jc w:val="both"/>
        <w:rPr>
          <w:rFonts w:asciiTheme="majorBidi" w:hAnsiTheme="majorBidi" w:cstheme="majorBidi"/>
          <w:sz w:val="28"/>
          <w:szCs w:val="28"/>
          <w:rtl/>
          <w:lang w:bidi="ar-EG"/>
        </w:rPr>
      </w:pPr>
    </w:p>
    <w:p w:rsidR="009F0B64" w:rsidRPr="009F0B64" w:rsidRDefault="009F0B64" w:rsidP="009F0B64">
      <w:pPr>
        <w:jc w:val="both"/>
        <w:rPr>
          <w:rFonts w:asciiTheme="majorBidi" w:hAnsiTheme="majorBidi" w:cstheme="majorBidi"/>
          <w:sz w:val="28"/>
          <w:szCs w:val="28"/>
          <w:rtl/>
          <w:lang w:bidi="ar-EG"/>
        </w:rPr>
      </w:pPr>
    </w:p>
    <w:p w:rsidR="009F0B64" w:rsidRPr="009F0B64" w:rsidRDefault="009F0B64" w:rsidP="009F0B64">
      <w:pPr>
        <w:jc w:val="both"/>
        <w:rPr>
          <w:rFonts w:asciiTheme="majorBidi" w:hAnsiTheme="majorBidi" w:cstheme="majorBidi"/>
          <w:b/>
          <w:bCs/>
          <w:sz w:val="28"/>
          <w:szCs w:val="28"/>
          <w:lang w:bidi="ar-EG"/>
        </w:rPr>
      </w:pPr>
    </w:p>
    <w:p w:rsidR="00623777" w:rsidRPr="009F0B64" w:rsidRDefault="00623777" w:rsidP="00032EB5">
      <w:pPr>
        <w:ind w:left="-341"/>
        <w:rPr>
          <w:rFonts w:asciiTheme="majorBidi" w:hAnsiTheme="majorBidi" w:cstheme="majorBidi"/>
          <w:sz w:val="28"/>
          <w:szCs w:val="28"/>
          <w:lang w:bidi="ar-EG"/>
        </w:rPr>
      </w:pPr>
      <w:r w:rsidRPr="009F0B64">
        <w:rPr>
          <w:rFonts w:asciiTheme="majorBidi" w:hAnsiTheme="majorBidi" w:cstheme="majorBidi"/>
          <w:sz w:val="28"/>
          <w:szCs w:val="28"/>
          <w:rtl/>
          <w:lang w:bidi="ar-EG"/>
        </w:rPr>
        <w:t xml:space="preserve"> </w:t>
      </w:r>
    </w:p>
    <w:sectPr w:rsidR="00623777" w:rsidRPr="009F0B64" w:rsidSect="00454539">
      <w:headerReference w:type="default" r:id="rId9"/>
      <w:footerReference w:type="default" r:id="rId1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379A" w:rsidRDefault="009F379A" w:rsidP="00703349">
      <w:pPr>
        <w:spacing w:after="0" w:line="240" w:lineRule="auto"/>
      </w:pPr>
      <w:r>
        <w:separator/>
      </w:r>
    </w:p>
  </w:endnote>
  <w:endnote w:type="continuationSeparator" w:id="0">
    <w:p w:rsidR="009F379A" w:rsidRDefault="009F379A" w:rsidP="007033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Koufi">
    <w:altName w:val="MS Mincho"/>
    <w:charset w:val="B2"/>
    <w:family w:val="auto"/>
    <w:pitch w:val="variable"/>
    <w:sig w:usb0="00002000" w:usb1="03D40006" w:usb2="02620000" w:usb3="00000000" w:csb0="00000040"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928079512"/>
      <w:docPartObj>
        <w:docPartGallery w:val="Page Numbers (Bottom of Page)"/>
        <w:docPartUnique/>
      </w:docPartObj>
    </w:sdtPr>
    <w:sdtEndPr>
      <w:rPr>
        <w:noProof/>
      </w:rPr>
    </w:sdtEndPr>
    <w:sdtContent>
      <w:p w:rsidR="009F0B64" w:rsidRDefault="009F0B64">
        <w:pPr>
          <w:pStyle w:val="Footer"/>
          <w:jc w:val="center"/>
        </w:pPr>
        <w:r>
          <w:fldChar w:fldCharType="begin"/>
        </w:r>
        <w:r>
          <w:instrText xml:space="preserve"> PAGE   \* MERGEFORMAT </w:instrText>
        </w:r>
        <w:r>
          <w:fldChar w:fldCharType="separate"/>
        </w:r>
        <w:r w:rsidR="00FE5CFC">
          <w:rPr>
            <w:noProof/>
          </w:rPr>
          <w:t>1</w:t>
        </w:r>
        <w:r>
          <w:rPr>
            <w:noProof/>
          </w:rPr>
          <w:fldChar w:fldCharType="end"/>
        </w:r>
      </w:p>
    </w:sdtContent>
  </w:sdt>
  <w:p w:rsidR="009F0B64" w:rsidRDefault="009F0B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379A" w:rsidRDefault="009F379A" w:rsidP="00703349">
      <w:pPr>
        <w:spacing w:after="0" w:line="240" w:lineRule="auto"/>
      </w:pPr>
      <w:r>
        <w:separator/>
      </w:r>
    </w:p>
  </w:footnote>
  <w:footnote w:type="continuationSeparator" w:id="0">
    <w:p w:rsidR="009F379A" w:rsidRDefault="009F379A" w:rsidP="00703349">
      <w:pPr>
        <w:spacing w:after="0" w:line="240" w:lineRule="auto"/>
      </w:pPr>
      <w:r>
        <w:continuationSeparator/>
      </w:r>
    </w:p>
  </w:footnote>
  <w:footnote w:id="1">
    <w:p w:rsidR="009F0B64" w:rsidRDefault="009F0B64" w:rsidP="009F0B64">
      <w:pPr>
        <w:pStyle w:val="FootnoteText"/>
        <w:rPr>
          <w:lang w:bidi="ar-EG"/>
        </w:rPr>
      </w:pPr>
      <w:r>
        <w:rPr>
          <w:rStyle w:val="FootnoteReference"/>
        </w:rPr>
        <w:footnoteRef/>
      </w:r>
      <w:r>
        <w:rPr>
          <w:rtl/>
        </w:rPr>
        <w:t xml:space="preserve"> </w:t>
      </w:r>
      <w:r>
        <w:rPr>
          <w:rFonts w:hint="cs"/>
          <w:rtl/>
          <w:lang w:bidi="ar-EG"/>
        </w:rPr>
        <w:t>لمزيد من المعلومات يمكن الرجوع إلى تقرير المجلس القومي لحقوق الإنسان عن الفترة 2013 - 2014.</w:t>
      </w:r>
    </w:p>
  </w:footnote>
  <w:footnote w:id="2">
    <w:p w:rsidR="009F0B64" w:rsidRDefault="009F0B64" w:rsidP="009F0B64">
      <w:pPr>
        <w:pStyle w:val="FootnoteText"/>
        <w:rPr>
          <w:lang w:bidi="ar-EG"/>
        </w:rPr>
      </w:pPr>
      <w:r>
        <w:rPr>
          <w:rStyle w:val="FootnoteReference"/>
        </w:rPr>
        <w:footnoteRef/>
      </w:r>
      <w:r>
        <w:rPr>
          <w:rtl/>
        </w:rPr>
        <w:t xml:space="preserve"> </w:t>
      </w:r>
      <w:r>
        <w:rPr>
          <w:rFonts w:hint="cs"/>
          <w:rtl/>
          <w:lang w:bidi="ar-EG"/>
        </w:rPr>
        <w:t>الصادر في العام 2014.</w:t>
      </w:r>
    </w:p>
  </w:footnote>
  <w:footnote w:id="3">
    <w:p w:rsidR="009F0B64" w:rsidRDefault="009F0B64" w:rsidP="009F0B64">
      <w:pPr>
        <w:pStyle w:val="FootnoteText"/>
        <w:rPr>
          <w:rtl/>
          <w:lang w:bidi="ar-EG"/>
        </w:rPr>
      </w:pPr>
      <w:r>
        <w:rPr>
          <w:rStyle w:val="FootnoteReference"/>
        </w:rPr>
        <w:footnoteRef/>
      </w:r>
      <w:r>
        <w:rPr>
          <w:rtl/>
        </w:rPr>
        <w:t xml:space="preserve"> </w:t>
      </w:r>
      <w:r>
        <w:rPr>
          <w:rFonts w:hint="cs"/>
          <w:rtl/>
          <w:lang w:bidi="ar-EG"/>
        </w:rPr>
        <w:t>للاطلاع علي مشروع القانون يمكن مراجعة تقرير المجلس القومي لحقوق الإنسان عن الفترة 2013 - 2014 علي الرابط التالي :</w:t>
      </w:r>
    </w:p>
    <w:p w:rsidR="009F0B64" w:rsidRDefault="009F0B64" w:rsidP="009F0B64">
      <w:pPr>
        <w:pStyle w:val="FootnoteText"/>
        <w:bidi w:val="0"/>
        <w:jc w:val="both"/>
        <w:rPr>
          <w:rtl/>
          <w:lang w:bidi="ar-EG"/>
        </w:rPr>
      </w:pPr>
      <w:r>
        <w:rPr>
          <w:rFonts w:hint="cs"/>
          <w:rtl/>
          <w:lang w:bidi="ar-EG"/>
        </w:rPr>
        <w:t xml:space="preserve"> </w:t>
      </w:r>
      <w:r w:rsidRPr="00FE6CBF">
        <w:rPr>
          <w:lang w:bidi="ar-EG"/>
        </w:rPr>
        <w:t>http://www.nchregypt.org/index.php/activities/2010-02-07-16-22-57/2010-02-07-16-23-32/1586-annual-report-10.html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539" w:rsidRPr="00CD71B7" w:rsidRDefault="00663283" w:rsidP="00454539">
    <w:pPr>
      <w:pStyle w:val="Heading1"/>
      <w:ind w:right="-334" w:hanging="154"/>
      <w:jc w:val="right"/>
      <w:rPr>
        <w:b w:val="0"/>
        <w:bCs w:val="0"/>
        <w:sz w:val="36"/>
        <w:szCs w:val="36"/>
        <w:rtl/>
        <w:lang w:bidi="ar-EG"/>
      </w:rPr>
    </w:pPr>
    <w:r>
      <w:rPr>
        <w:noProof/>
        <w:lang w:val="en-GB" w:eastAsia="en-GB"/>
      </w:rPr>
      <w:drawing>
        <wp:inline distT="0" distB="0" distL="0" distR="0" wp14:anchorId="4270823A" wp14:editId="7140C309">
          <wp:extent cx="1314450" cy="1009650"/>
          <wp:effectExtent l="0" t="0" r="0" b="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4450" cy="1009650"/>
                  </a:xfrm>
                  <a:prstGeom prst="rect">
                    <a:avLst/>
                  </a:prstGeom>
                  <a:noFill/>
                  <a:ln>
                    <a:noFill/>
                  </a:ln>
                </pic:spPr>
              </pic:pic>
            </a:graphicData>
          </a:graphic>
        </wp:inline>
      </w:drawing>
    </w:r>
  </w:p>
  <w:p w:rsidR="00454539" w:rsidRDefault="00454539" w:rsidP="00454539">
    <w:pPr>
      <w:pStyle w:val="Heading2"/>
      <w:tabs>
        <w:tab w:val="left" w:pos="720"/>
      </w:tabs>
      <w:spacing w:line="216" w:lineRule="auto"/>
      <w:ind w:right="0"/>
      <w:jc w:val="both"/>
      <w:rPr>
        <w:rFonts w:cs="Times New Roman"/>
        <w:b/>
        <w:bCs/>
        <w:noProof w:val="0"/>
        <w:sz w:val="10"/>
        <w:szCs w:val="20"/>
        <w:rtl/>
      </w:rPr>
    </w:pPr>
  </w:p>
  <w:p w:rsidR="00454539" w:rsidRDefault="00454539" w:rsidP="008E25B5">
    <w:pPr>
      <w:pStyle w:val="Heading2"/>
      <w:tabs>
        <w:tab w:val="left" w:pos="720"/>
      </w:tabs>
      <w:spacing w:line="216" w:lineRule="auto"/>
      <w:ind w:left="-199" w:right="0" w:hanging="142"/>
      <w:jc w:val="both"/>
      <w:rPr>
        <w:rFonts w:cs="Times New Roman"/>
        <w:b/>
        <w:bCs/>
        <w:noProof w:val="0"/>
        <w:sz w:val="10"/>
        <w:szCs w:val="20"/>
        <w:rtl/>
      </w:rPr>
    </w:pPr>
    <w:r w:rsidRPr="00BB4B76">
      <w:rPr>
        <w:rFonts w:cs="Times New Roman"/>
        <w:b/>
        <w:bCs/>
        <w:noProof w:val="0"/>
        <w:sz w:val="10"/>
        <w:szCs w:val="20"/>
        <w:rtl/>
      </w:rPr>
      <w:t>المجلس القومي  لحقوق الإنسان</w:t>
    </w:r>
    <w:r>
      <w:rPr>
        <w:rFonts w:cs="Times New Roman" w:hint="cs"/>
        <w:b/>
        <w:bCs/>
        <w:noProof w:val="0"/>
        <w:sz w:val="10"/>
        <w:szCs w:val="20"/>
        <w:rtl/>
      </w:rPr>
      <w:t xml:space="preserve">                                                                                          </w:t>
    </w:r>
    <w:r>
      <w:rPr>
        <w:rFonts w:cs="Times New Roman"/>
        <w:b/>
        <w:bCs/>
        <w:noProof w:val="0"/>
        <w:sz w:val="10"/>
        <w:szCs w:val="20"/>
        <w:rtl/>
      </w:rPr>
      <w:t xml:space="preserve">معاً لتعزيز مسيرة حقوق الإنسان  </w:t>
    </w:r>
  </w:p>
  <w:p w:rsidR="00454539" w:rsidRPr="00BB4B76" w:rsidRDefault="00454539" w:rsidP="008E25B5">
    <w:pPr>
      <w:pStyle w:val="Heading2"/>
      <w:tabs>
        <w:tab w:val="left" w:pos="720"/>
      </w:tabs>
      <w:spacing w:line="216" w:lineRule="auto"/>
      <w:ind w:right="0"/>
      <w:jc w:val="both"/>
      <w:rPr>
        <w:rFonts w:cs="Times New Roman"/>
        <w:b/>
        <w:bCs/>
        <w:noProof w:val="0"/>
        <w:sz w:val="10"/>
        <w:szCs w:val="20"/>
        <w:rtl/>
      </w:rPr>
    </w:pPr>
    <w:r>
      <w:rPr>
        <w:rFonts w:cs="Times New Roman"/>
        <w:b/>
        <w:bCs/>
        <w:noProof w:val="0"/>
        <w:sz w:val="10"/>
        <w:szCs w:val="20"/>
        <w:rtl/>
      </w:rPr>
      <w:t xml:space="preserve">                                                                                         </w:t>
    </w:r>
    <w:r>
      <w:rPr>
        <w:rFonts w:cs="Times New Roman" w:hint="cs"/>
        <w:b/>
        <w:bCs/>
        <w:noProof w:val="0"/>
        <w:sz w:val="10"/>
        <w:szCs w:val="20"/>
        <w:rtl/>
      </w:rPr>
      <w:t xml:space="preserve">                                 </w:t>
    </w:r>
  </w:p>
  <w:p w:rsidR="00454539" w:rsidRPr="00657331" w:rsidRDefault="00454539" w:rsidP="00454539">
    <w:pPr>
      <w:pStyle w:val="Header"/>
      <w:jc w:val="both"/>
      <w:rPr>
        <w:b/>
        <w:bCs/>
        <w:sz w:val="20"/>
        <w:szCs w:val="20"/>
        <w:lang w:bidi="ar-EG"/>
      </w:rPr>
    </w:pPr>
    <w:r>
      <w:rPr>
        <w:b/>
        <w:bCs/>
        <w:rtl/>
        <w:lang w:bidi="ar-EG"/>
      </w:rPr>
      <w:t xml:space="preserve">   </w:t>
    </w:r>
  </w:p>
  <w:p w:rsidR="00454539" w:rsidRDefault="0045453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933AC5"/>
    <w:multiLevelType w:val="hybridMultilevel"/>
    <w:tmpl w:val="CDC46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622F"/>
    <w:rsid w:val="00032EB5"/>
    <w:rsid w:val="00040637"/>
    <w:rsid w:val="0005622F"/>
    <w:rsid w:val="000777E8"/>
    <w:rsid w:val="000856C0"/>
    <w:rsid w:val="00172106"/>
    <w:rsid w:val="00185D54"/>
    <w:rsid w:val="0019606F"/>
    <w:rsid w:val="001E170F"/>
    <w:rsid w:val="0022765D"/>
    <w:rsid w:val="002762AD"/>
    <w:rsid w:val="002D7A81"/>
    <w:rsid w:val="003428B7"/>
    <w:rsid w:val="00343884"/>
    <w:rsid w:val="00345221"/>
    <w:rsid w:val="003E79BC"/>
    <w:rsid w:val="003F3C18"/>
    <w:rsid w:val="00454539"/>
    <w:rsid w:val="004D7810"/>
    <w:rsid w:val="004F7EBA"/>
    <w:rsid w:val="00511BC3"/>
    <w:rsid w:val="00586B82"/>
    <w:rsid w:val="005A359D"/>
    <w:rsid w:val="005A6B35"/>
    <w:rsid w:val="005B3C84"/>
    <w:rsid w:val="00623777"/>
    <w:rsid w:val="00635A9E"/>
    <w:rsid w:val="006579D7"/>
    <w:rsid w:val="00663283"/>
    <w:rsid w:val="00703349"/>
    <w:rsid w:val="007112A4"/>
    <w:rsid w:val="00781483"/>
    <w:rsid w:val="00785B04"/>
    <w:rsid w:val="007B02BA"/>
    <w:rsid w:val="007C0560"/>
    <w:rsid w:val="007E34E8"/>
    <w:rsid w:val="00837E9A"/>
    <w:rsid w:val="008401A7"/>
    <w:rsid w:val="00852EE8"/>
    <w:rsid w:val="008E25B5"/>
    <w:rsid w:val="008E4CC6"/>
    <w:rsid w:val="009658BB"/>
    <w:rsid w:val="009C1A64"/>
    <w:rsid w:val="009F0B64"/>
    <w:rsid w:val="009F379A"/>
    <w:rsid w:val="00A2260E"/>
    <w:rsid w:val="00A600BF"/>
    <w:rsid w:val="00AE6E4C"/>
    <w:rsid w:val="00B05901"/>
    <w:rsid w:val="00B408DE"/>
    <w:rsid w:val="00B47B8A"/>
    <w:rsid w:val="00B5033D"/>
    <w:rsid w:val="00B7560E"/>
    <w:rsid w:val="00BC6682"/>
    <w:rsid w:val="00C25520"/>
    <w:rsid w:val="00C32D55"/>
    <w:rsid w:val="00C72B37"/>
    <w:rsid w:val="00CC5F86"/>
    <w:rsid w:val="00CC6128"/>
    <w:rsid w:val="00CD72D1"/>
    <w:rsid w:val="00CD7ACD"/>
    <w:rsid w:val="00CE1DB1"/>
    <w:rsid w:val="00CE5C27"/>
    <w:rsid w:val="00D74908"/>
    <w:rsid w:val="00DA087D"/>
    <w:rsid w:val="00DF05DB"/>
    <w:rsid w:val="00DF3E1D"/>
    <w:rsid w:val="00E53A69"/>
    <w:rsid w:val="00E74F04"/>
    <w:rsid w:val="00EA1AF0"/>
    <w:rsid w:val="00EB7E87"/>
    <w:rsid w:val="00F367BA"/>
    <w:rsid w:val="00F42607"/>
    <w:rsid w:val="00F442F7"/>
    <w:rsid w:val="00F86742"/>
    <w:rsid w:val="00FE11E5"/>
    <w:rsid w:val="00FE5C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622F"/>
    <w:pPr>
      <w:bidi/>
    </w:pPr>
    <w:rPr>
      <w:rFonts w:ascii="Calibri" w:eastAsia="Calibri" w:hAnsi="Calibri" w:cs="Arial"/>
    </w:rPr>
  </w:style>
  <w:style w:type="paragraph" w:styleId="Heading1">
    <w:name w:val="heading 1"/>
    <w:basedOn w:val="Normal"/>
    <w:next w:val="Normal"/>
    <w:link w:val="Heading1Char"/>
    <w:uiPriority w:val="99"/>
    <w:qFormat/>
    <w:rsid w:val="0005622F"/>
    <w:pPr>
      <w:keepNext/>
      <w:keepLines/>
      <w:bidi w:val="0"/>
      <w:spacing w:before="480" w:after="0" w:line="240" w:lineRule="auto"/>
      <w:outlineLvl w:val="0"/>
    </w:pPr>
    <w:rPr>
      <w:rFonts w:ascii="Verdana" w:eastAsia="Times New Roman" w:hAnsi="Verdana" w:cs="Tahoma"/>
      <w:b/>
      <w:bCs/>
      <w:color w:val="B35E06"/>
      <w:sz w:val="28"/>
      <w:szCs w:val="28"/>
    </w:rPr>
  </w:style>
  <w:style w:type="paragraph" w:styleId="Heading2">
    <w:name w:val="heading 2"/>
    <w:basedOn w:val="Normal"/>
    <w:next w:val="Normal"/>
    <w:link w:val="Heading2Char"/>
    <w:uiPriority w:val="99"/>
    <w:qFormat/>
    <w:rsid w:val="0005622F"/>
    <w:pPr>
      <w:keepNext/>
      <w:tabs>
        <w:tab w:val="left" w:pos="3780"/>
      </w:tabs>
      <w:spacing w:after="0" w:line="240" w:lineRule="auto"/>
      <w:ind w:right="5812"/>
      <w:jc w:val="center"/>
      <w:outlineLvl w:val="1"/>
    </w:pPr>
    <w:rPr>
      <w:rFonts w:ascii="Times New Roman" w:eastAsia="Times New Roman" w:hAnsi="Times New Roman" w:cs="Monotype Koufi"/>
      <w:noProof/>
      <w:sz w:val="20"/>
      <w:szCs w:val="30"/>
      <w:lang w:eastAsia="ar-SA" w:bidi="ar-E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5622F"/>
    <w:rPr>
      <w:rFonts w:ascii="Verdana" w:eastAsia="Times New Roman" w:hAnsi="Verdana" w:cs="Tahoma"/>
      <w:b/>
      <w:bCs/>
      <w:color w:val="B35E06"/>
      <w:sz w:val="28"/>
      <w:szCs w:val="28"/>
    </w:rPr>
  </w:style>
  <w:style w:type="character" w:customStyle="1" w:styleId="Heading2Char">
    <w:name w:val="Heading 2 Char"/>
    <w:basedOn w:val="DefaultParagraphFont"/>
    <w:link w:val="Heading2"/>
    <w:uiPriority w:val="99"/>
    <w:rsid w:val="0005622F"/>
    <w:rPr>
      <w:rFonts w:ascii="Times New Roman" w:eastAsia="Times New Roman" w:hAnsi="Times New Roman" w:cs="Monotype Koufi"/>
      <w:noProof/>
      <w:sz w:val="20"/>
      <w:szCs w:val="30"/>
      <w:lang w:eastAsia="ar-SA" w:bidi="ar-EG"/>
    </w:rPr>
  </w:style>
  <w:style w:type="paragraph" w:styleId="ListParagraph">
    <w:name w:val="List Paragraph"/>
    <w:basedOn w:val="Normal"/>
    <w:uiPriority w:val="34"/>
    <w:qFormat/>
    <w:rsid w:val="0005622F"/>
    <w:pPr>
      <w:ind w:left="720"/>
      <w:contextualSpacing/>
    </w:pPr>
  </w:style>
  <w:style w:type="paragraph" w:styleId="Header">
    <w:name w:val="header"/>
    <w:basedOn w:val="Normal"/>
    <w:link w:val="HeaderChar"/>
    <w:rsid w:val="0005622F"/>
    <w:pPr>
      <w:tabs>
        <w:tab w:val="center" w:pos="4153"/>
        <w:tab w:val="right" w:pos="8306"/>
      </w:tabs>
      <w:spacing w:after="0" w:line="240" w:lineRule="auto"/>
    </w:pPr>
  </w:style>
  <w:style w:type="character" w:customStyle="1" w:styleId="HeaderChar">
    <w:name w:val="Header Char"/>
    <w:basedOn w:val="DefaultParagraphFont"/>
    <w:link w:val="Header"/>
    <w:uiPriority w:val="99"/>
    <w:rsid w:val="0005622F"/>
    <w:rPr>
      <w:rFonts w:ascii="Calibri" w:eastAsia="Calibri" w:hAnsi="Calibri" w:cs="Arial"/>
    </w:rPr>
  </w:style>
  <w:style w:type="paragraph" w:styleId="Footer">
    <w:name w:val="footer"/>
    <w:basedOn w:val="Normal"/>
    <w:link w:val="FooterChar"/>
    <w:uiPriority w:val="99"/>
    <w:rsid w:val="0005622F"/>
    <w:pPr>
      <w:tabs>
        <w:tab w:val="center" w:pos="4153"/>
        <w:tab w:val="right" w:pos="8306"/>
      </w:tabs>
      <w:spacing w:after="0" w:line="240" w:lineRule="auto"/>
    </w:pPr>
  </w:style>
  <w:style w:type="character" w:customStyle="1" w:styleId="FooterChar">
    <w:name w:val="Footer Char"/>
    <w:basedOn w:val="DefaultParagraphFont"/>
    <w:link w:val="Footer"/>
    <w:uiPriority w:val="99"/>
    <w:rsid w:val="0005622F"/>
    <w:rPr>
      <w:rFonts w:ascii="Calibri" w:eastAsia="Calibri" w:hAnsi="Calibri" w:cs="Arial"/>
    </w:rPr>
  </w:style>
  <w:style w:type="paragraph" w:styleId="BalloonText">
    <w:name w:val="Balloon Text"/>
    <w:basedOn w:val="Normal"/>
    <w:link w:val="BalloonTextChar"/>
    <w:uiPriority w:val="99"/>
    <w:semiHidden/>
    <w:unhideWhenUsed/>
    <w:rsid w:val="006632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3283"/>
    <w:rPr>
      <w:rFonts w:ascii="Tahoma" w:eastAsia="Calibri" w:hAnsi="Tahoma" w:cs="Tahoma"/>
      <w:sz w:val="16"/>
      <w:szCs w:val="16"/>
    </w:rPr>
  </w:style>
  <w:style w:type="paragraph" w:customStyle="1" w:styleId="HMGA">
    <w:name w:val="_ H __M_GA"/>
    <w:basedOn w:val="Normal"/>
    <w:next w:val="Normal"/>
    <w:rsid w:val="009F0B64"/>
    <w:pPr>
      <w:keepNext/>
      <w:keepLines/>
      <w:tabs>
        <w:tab w:val="right" w:pos="1021"/>
      </w:tabs>
      <w:suppressAutoHyphens/>
      <w:spacing w:before="360" w:after="240" w:line="480" w:lineRule="exact"/>
      <w:ind w:left="1247" w:right="1247" w:hanging="1247"/>
      <w:jc w:val="lowKashida"/>
    </w:pPr>
    <w:rPr>
      <w:rFonts w:ascii="Times New Roman" w:eastAsia="Times New Roman" w:hAnsi="Times New Roman" w:cs="Traditional Arabic"/>
      <w:b/>
      <w:bCs/>
      <w:sz w:val="34"/>
      <w:szCs w:val="44"/>
    </w:rPr>
  </w:style>
  <w:style w:type="paragraph" w:customStyle="1" w:styleId="SingleTxtGA">
    <w:name w:val="_ Single Txt_GA"/>
    <w:basedOn w:val="Normal"/>
    <w:rsid w:val="009F0B64"/>
    <w:pPr>
      <w:tabs>
        <w:tab w:val="left" w:pos="1928"/>
        <w:tab w:val="left" w:pos="2608"/>
        <w:tab w:val="left" w:pos="3289"/>
        <w:tab w:val="left" w:pos="3969"/>
        <w:tab w:val="left" w:pos="4649"/>
        <w:tab w:val="left" w:pos="5330"/>
      </w:tabs>
      <w:spacing w:after="120" w:line="380" w:lineRule="exact"/>
      <w:ind w:left="1247" w:right="1247"/>
      <w:jc w:val="lowKashida"/>
    </w:pPr>
    <w:rPr>
      <w:rFonts w:ascii="Times New Roman" w:eastAsia="Times New Roman" w:hAnsi="Times New Roman" w:cs="Traditional Arabic"/>
      <w:sz w:val="20"/>
      <w:szCs w:val="30"/>
    </w:rPr>
  </w:style>
  <w:style w:type="paragraph" w:styleId="FootnoteText">
    <w:name w:val="footnote text"/>
    <w:basedOn w:val="Normal"/>
    <w:link w:val="FootnoteTextChar"/>
    <w:uiPriority w:val="99"/>
    <w:semiHidden/>
    <w:unhideWhenUsed/>
    <w:rsid w:val="009F0B64"/>
    <w:pPr>
      <w:spacing w:after="0" w:line="240" w:lineRule="auto"/>
      <w:jc w:val="lowKashida"/>
    </w:pPr>
    <w:rPr>
      <w:rFonts w:ascii="Times New Roman" w:eastAsia="Times New Roman" w:hAnsi="Times New Roman" w:cs="Traditional Arabic"/>
      <w:sz w:val="20"/>
      <w:szCs w:val="20"/>
    </w:rPr>
  </w:style>
  <w:style w:type="character" w:customStyle="1" w:styleId="FootnoteTextChar">
    <w:name w:val="Footnote Text Char"/>
    <w:basedOn w:val="DefaultParagraphFont"/>
    <w:link w:val="FootnoteText"/>
    <w:uiPriority w:val="99"/>
    <w:semiHidden/>
    <w:rsid w:val="009F0B64"/>
    <w:rPr>
      <w:rFonts w:ascii="Times New Roman" w:eastAsia="Times New Roman" w:hAnsi="Times New Roman" w:cs="Traditional Arabic"/>
      <w:sz w:val="20"/>
      <w:szCs w:val="20"/>
    </w:rPr>
  </w:style>
  <w:style w:type="character" w:styleId="FootnoteReference">
    <w:name w:val="footnote reference"/>
    <w:basedOn w:val="DefaultParagraphFont"/>
    <w:uiPriority w:val="99"/>
    <w:semiHidden/>
    <w:unhideWhenUsed/>
    <w:rsid w:val="009F0B6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622F"/>
    <w:pPr>
      <w:bidi/>
    </w:pPr>
    <w:rPr>
      <w:rFonts w:ascii="Calibri" w:eastAsia="Calibri" w:hAnsi="Calibri" w:cs="Arial"/>
    </w:rPr>
  </w:style>
  <w:style w:type="paragraph" w:styleId="Heading1">
    <w:name w:val="heading 1"/>
    <w:basedOn w:val="Normal"/>
    <w:next w:val="Normal"/>
    <w:link w:val="Heading1Char"/>
    <w:uiPriority w:val="99"/>
    <w:qFormat/>
    <w:rsid w:val="0005622F"/>
    <w:pPr>
      <w:keepNext/>
      <w:keepLines/>
      <w:bidi w:val="0"/>
      <w:spacing w:before="480" w:after="0" w:line="240" w:lineRule="auto"/>
      <w:outlineLvl w:val="0"/>
    </w:pPr>
    <w:rPr>
      <w:rFonts w:ascii="Verdana" w:eastAsia="Times New Roman" w:hAnsi="Verdana" w:cs="Tahoma"/>
      <w:b/>
      <w:bCs/>
      <w:color w:val="B35E06"/>
      <w:sz w:val="28"/>
      <w:szCs w:val="28"/>
    </w:rPr>
  </w:style>
  <w:style w:type="paragraph" w:styleId="Heading2">
    <w:name w:val="heading 2"/>
    <w:basedOn w:val="Normal"/>
    <w:next w:val="Normal"/>
    <w:link w:val="Heading2Char"/>
    <w:uiPriority w:val="99"/>
    <w:qFormat/>
    <w:rsid w:val="0005622F"/>
    <w:pPr>
      <w:keepNext/>
      <w:tabs>
        <w:tab w:val="left" w:pos="3780"/>
      </w:tabs>
      <w:spacing w:after="0" w:line="240" w:lineRule="auto"/>
      <w:ind w:right="5812"/>
      <w:jc w:val="center"/>
      <w:outlineLvl w:val="1"/>
    </w:pPr>
    <w:rPr>
      <w:rFonts w:ascii="Times New Roman" w:eastAsia="Times New Roman" w:hAnsi="Times New Roman" w:cs="Monotype Koufi"/>
      <w:noProof/>
      <w:sz w:val="20"/>
      <w:szCs w:val="30"/>
      <w:lang w:eastAsia="ar-SA" w:bidi="ar-E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5622F"/>
    <w:rPr>
      <w:rFonts w:ascii="Verdana" w:eastAsia="Times New Roman" w:hAnsi="Verdana" w:cs="Tahoma"/>
      <w:b/>
      <w:bCs/>
      <w:color w:val="B35E06"/>
      <w:sz w:val="28"/>
      <w:szCs w:val="28"/>
    </w:rPr>
  </w:style>
  <w:style w:type="character" w:customStyle="1" w:styleId="Heading2Char">
    <w:name w:val="Heading 2 Char"/>
    <w:basedOn w:val="DefaultParagraphFont"/>
    <w:link w:val="Heading2"/>
    <w:uiPriority w:val="99"/>
    <w:rsid w:val="0005622F"/>
    <w:rPr>
      <w:rFonts w:ascii="Times New Roman" w:eastAsia="Times New Roman" w:hAnsi="Times New Roman" w:cs="Monotype Koufi"/>
      <w:noProof/>
      <w:sz w:val="20"/>
      <w:szCs w:val="30"/>
      <w:lang w:eastAsia="ar-SA" w:bidi="ar-EG"/>
    </w:rPr>
  </w:style>
  <w:style w:type="paragraph" w:styleId="ListParagraph">
    <w:name w:val="List Paragraph"/>
    <w:basedOn w:val="Normal"/>
    <w:uiPriority w:val="34"/>
    <w:qFormat/>
    <w:rsid w:val="0005622F"/>
    <w:pPr>
      <w:ind w:left="720"/>
      <w:contextualSpacing/>
    </w:pPr>
  </w:style>
  <w:style w:type="paragraph" w:styleId="Header">
    <w:name w:val="header"/>
    <w:basedOn w:val="Normal"/>
    <w:link w:val="HeaderChar"/>
    <w:rsid w:val="0005622F"/>
    <w:pPr>
      <w:tabs>
        <w:tab w:val="center" w:pos="4153"/>
        <w:tab w:val="right" w:pos="8306"/>
      </w:tabs>
      <w:spacing w:after="0" w:line="240" w:lineRule="auto"/>
    </w:pPr>
  </w:style>
  <w:style w:type="character" w:customStyle="1" w:styleId="HeaderChar">
    <w:name w:val="Header Char"/>
    <w:basedOn w:val="DefaultParagraphFont"/>
    <w:link w:val="Header"/>
    <w:uiPriority w:val="99"/>
    <w:rsid w:val="0005622F"/>
    <w:rPr>
      <w:rFonts w:ascii="Calibri" w:eastAsia="Calibri" w:hAnsi="Calibri" w:cs="Arial"/>
    </w:rPr>
  </w:style>
  <w:style w:type="paragraph" w:styleId="Footer">
    <w:name w:val="footer"/>
    <w:basedOn w:val="Normal"/>
    <w:link w:val="FooterChar"/>
    <w:uiPriority w:val="99"/>
    <w:rsid w:val="0005622F"/>
    <w:pPr>
      <w:tabs>
        <w:tab w:val="center" w:pos="4153"/>
        <w:tab w:val="right" w:pos="8306"/>
      </w:tabs>
      <w:spacing w:after="0" w:line="240" w:lineRule="auto"/>
    </w:pPr>
  </w:style>
  <w:style w:type="character" w:customStyle="1" w:styleId="FooterChar">
    <w:name w:val="Footer Char"/>
    <w:basedOn w:val="DefaultParagraphFont"/>
    <w:link w:val="Footer"/>
    <w:uiPriority w:val="99"/>
    <w:rsid w:val="0005622F"/>
    <w:rPr>
      <w:rFonts w:ascii="Calibri" w:eastAsia="Calibri" w:hAnsi="Calibri" w:cs="Arial"/>
    </w:rPr>
  </w:style>
  <w:style w:type="paragraph" w:styleId="BalloonText">
    <w:name w:val="Balloon Text"/>
    <w:basedOn w:val="Normal"/>
    <w:link w:val="BalloonTextChar"/>
    <w:uiPriority w:val="99"/>
    <w:semiHidden/>
    <w:unhideWhenUsed/>
    <w:rsid w:val="006632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3283"/>
    <w:rPr>
      <w:rFonts w:ascii="Tahoma" w:eastAsia="Calibri" w:hAnsi="Tahoma" w:cs="Tahoma"/>
      <w:sz w:val="16"/>
      <w:szCs w:val="16"/>
    </w:rPr>
  </w:style>
  <w:style w:type="paragraph" w:customStyle="1" w:styleId="HMGA">
    <w:name w:val="_ H __M_GA"/>
    <w:basedOn w:val="Normal"/>
    <w:next w:val="Normal"/>
    <w:rsid w:val="009F0B64"/>
    <w:pPr>
      <w:keepNext/>
      <w:keepLines/>
      <w:tabs>
        <w:tab w:val="right" w:pos="1021"/>
      </w:tabs>
      <w:suppressAutoHyphens/>
      <w:spacing w:before="360" w:after="240" w:line="480" w:lineRule="exact"/>
      <w:ind w:left="1247" w:right="1247" w:hanging="1247"/>
      <w:jc w:val="lowKashida"/>
    </w:pPr>
    <w:rPr>
      <w:rFonts w:ascii="Times New Roman" w:eastAsia="Times New Roman" w:hAnsi="Times New Roman" w:cs="Traditional Arabic"/>
      <w:b/>
      <w:bCs/>
      <w:sz w:val="34"/>
      <w:szCs w:val="44"/>
    </w:rPr>
  </w:style>
  <w:style w:type="paragraph" w:customStyle="1" w:styleId="SingleTxtGA">
    <w:name w:val="_ Single Txt_GA"/>
    <w:basedOn w:val="Normal"/>
    <w:rsid w:val="009F0B64"/>
    <w:pPr>
      <w:tabs>
        <w:tab w:val="left" w:pos="1928"/>
        <w:tab w:val="left" w:pos="2608"/>
        <w:tab w:val="left" w:pos="3289"/>
        <w:tab w:val="left" w:pos="3969"/>
        <w:tab w:val="left" w:pos="4649"/>
        <w:tab w:val="left" w:pos="5330"/>
      </w:tabs>
      <w:spacing w:after="120" w:line="380" w:lineRule="exact"/>
      <w:ind w:left="1247" w:right="1247"/>
      <w:jc w:val="lowKashida"/>
    </w:pPr>
    <w:rPr>
      <w:rFonts w:ascii="Times New Roman" w:eastAsia="Times New Roman" w:hAnsi="Times New Roman" w:cs="Traditional Arabic"/>
      <w:sz w:val="20"/>
      <w:szCs w:val="30"/>
    </w:rPr>
  </w:style>
  <w:style w:type="paragraph" w:styleId="FootnoteText">
    <w:name w:val="footnote text"/>
    <w:basedOn w:val="Normal"/>
    <w:link w:val="FootnoteTextChar"/>
    <w:uiPriority w:val="99"/>
    <w:semiHidden/>
    <w:unhideWhenUsed/>
    <w:rsid w:val="009F0B64"/>
    <w:pPr>
      <w:spacing w:after="0" w:line="240" w:lineRule="auto"/>
      <w:jc w:val="lowKashida"/>
    </w:pPr>
    <w:rPr>
      <w:rFonts w:ascii="Times New Roman" w:eastAsia="Times New Roman" w:hAnsi="Times New Roman" w:cs="Traditional Arabic"/>
      <w:sz w:val="20"/>
      <w:szCs w:val="20"/>
    </w:rPr>
  </w:style>
  <w:style w:type="character" w:customStyle="1" w:styleId="FootnoteTextChar">
    <w:name w:val="Footnote Text Char"/>
    <w:basedOn w:val="DefaultParagraphFont"/>
    <w:link w:val="FootnoteText"/>
    <w:uiPriority w:val="99"/>
    <w:semiHidden/>
    <w:rsid w:val="009F0B64"/>
    <w:rPr>
      <w:rFonts w:ascii="Times New Roman" w:eastAsia="Times New Roman" w:hAnsi="Times New Roman" w:cs="Traditional Arabic"/>
      <w:sz w:val="20"/>
      <w:szCs w:val="20"/>
    </w:rPr>
  </w:style>
  <w:style w:type="character" w:styleId="FootnoteReference">
    <w:name w:val="footnote reference"/>
    <w:basedOn w:val="DefaultParagraphFont"/>
    <w:uiPriority w:val="99"/>
    <w:semiHidden/>
    <w:unhideWhenUsed/>
    <w:rsid w:val="009F0B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1A3B91-1782-46C6-951A-FF5E22D87276}"/>
</file>

<file path=customXml/itemProps2.xml><?xml version="1.0" encoding="utf-8"?>
<ds:datastoreItem xmlns:ds="http://schemas.openxmlformats.org/officeDocument/2006/customXml" ds:itemID="{94D0BD42-15CB-48F6-AB69-A46FD31B2A89}"/>
</file>

<file path=customXml/itemProps3.xml><?xml version="1.0" encoding="utf-8"?>
<ds:datastoreItem xmlns:ds="http://schemas.openxmlformats.org/officeDocument/2006/customXml" ds:itemID="{624DDC9D-2518-4A16-A4A5-56259DE13B76}"/>
</file>

<file path=customXml/itemProps4.xml><?xml version="1.0" encoding="utf-8"?>
<ds:datastoreItem xmlns:ds="http://schemas.openxmlformats.org/officeDocument/2006/customXml" ds:itemID="{90CB9614-E5F9-4144-B094-1F3F7D18A4A6}"/>
</file>

<file path=docProps/app.xml><?xml version="1.0" encoding="utf-8"?>
<Properties xmlns="http://schemas.openxmlformats.org/officeDocument/2006/extended-properties" xmlns:vt="http://schemas.openxmlformats.org/officeDocument/2006/docPropsVTypes">
  <Template>Normal.dotm</Template>
  <TotalTime>2</TotalTime>
  <Pages>6</Pages>
  <Words>1641</Words>
  <Characters>9356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Kalpana Singh</cp:lastModifiedBy>
  <cp:revision>2</cp:revision>
  <cp:lastPrinted>2015-09-30T11:57:00Z</cp:lastPrinted>
  <dcterms:created xsi:type="dcterms:W3CDTF">2015-11-02T13:47:00Z</dcterms:created>
  <dcterms:modified xsi:type="dcterms:W3CDTF">2015-11-02T13:47:00Z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