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89A183" w14:textId="77777777" w:rsidR="00414CF6" w:rsidRPr="00414CF6" w:rsidRDefault="00414CF6" w:rsidP="00414CF6">
      <w:pPr>
        <w:spacing w:after="0" w:line="240" w:lineRule="auto"/>
        <w:jc w:val="center"/>
        <w:rPr>
          <w:rFonts w:eastAsia="MS Mincho"/>
          <w:b/>
          <w:sz w:val="56"/>
          <w:szCs w:val="56"/>
        </w:rPr>
      </w:pPr>
      <w:bookmarkStart w:id="0" w:name="_GoBack"/>
      <w:bookmarkEnd w:id="0"/>
    </w:p>
    <w:p w14:paraId="040609D1" w14:textId="77777777" w:rsidR="00414CF6" w:rsidRPr="00414CF6" w:rsidRDefault="00414CF6" w:rsidP="00414CF6">
      <w:pPr>
        <w:spacing w:after="0" w:line="240" w:lineRule="auto"/>
        <w:jc w:val="center"/>
        <w:rPr>
          <w:rFonts w:eastAsia="MS Mincho"/>
          <w:b/>
          <w:sz w:val="56"/>
          <w:szCs w:val="56"/>
        </w:rPr>
      </w:pPr>
    </w:p>
    <w:p w14:paraId="76B347A0" w14:textId="77777777" w:rsidR="00414CF6" w:rsidRPr="00414CF6" w:rsidRDefault="00414CF6" w:rsidP="00414CF6">
      <w:pPr>
        <w:spacing w:after="0" w:line="240" w:lineRule="auto"/>
        <w:jc w:val="center"/>
        <w:rPr>
          <w:rFonts w:eastAsia="MS Mincho"/>
          <w:b/>
          <w:sz w:val="72"/>
          <w:szCs w:val="72"/>
        </w:rPr>
      </w:pPr>
      <w:r w:rsidRPr="00414CF6">
        <w:rPr>
          <w:rFonts w:eastAsia="MS Mincho"/>
          <w:b/>
          <w:sz w:val="72"/>
          <w:szCs w:val="72"/>
        </w:rPr>
        <w:t>Tunisie</w:t>
      </w:r>
    </w:p>
    <w:p w14:paraId="56CFC7E0" w14:textId="77777777" w:rsidR="00414CF6" w:rsidRPr="00414CF6" w:rsidRDefault="00414CF6" w:rsidP="00414CF6">
      <w:pPr>
        <w:spacing w:after="0" w:line="240" w:lineRule="auto"/>
        <w:rPr>
          <w:rFonts w:eastAsia="MS Mincho"/>
          <w:sz w:val="24"/>
          <w:szCs w:val="24"/>
        </w:rPr>
      </w:pPr>
    </w:p>
    <w:p w14:paraId="7C33B4DD" w14:textId="77777777" w:rsidR="00414CF6" w:rsidRPr="00414CF6" w:rsidRDefault="00414CF6" w:rsidP="00414CF6">
      <w:pPr>
        <w:spacing w:after="0" w:line="240" w:lineRule="auto"/>
        <w:rPr>
          <w:rFonts w:eastAsia="MS Mincho"/>
          <w:sz w:val="24"/>
          <w:szCs w:val="24"/>
        </w:rPr>
      </w:pPr>
    </w:p>
    <w:p w14:paraId="66AE6FFA" w14:textId="77777777" w:rsidR="00414CF6" w:rsidRPr="00414CF6" w:rsidRDefault="00414CF6" w:rsidP="00414CF6">
      <w:pPr>
        <w:spacing w:after="0" w:line="240" w:lineRule="auto"/>
        <w:rPr>
          <w:rFonts w:eastAsia="MS Mincho"/>
          <w:sz w:val="24"/>
          <w:szCs w:val="24"/>
        </w:rPr>
      </w:pPr>
    </w:p>
    <w:p w14:paraId="4D0AC706" w14:textId="77777777" w:rsidR="00414CF6" w:rsidRPr="00414CF6" w:rsidRDefault="00414CF6" w:rsidP="00414CF6">
      <w:pPr>
        <w:spacing w:after="0" w:line="240" w:lineRule="auto"/>
        <w:jc w:val="center"/>
        <w:rPr>
          <w:rFonts w:eastAsia="MS Mincho"/>
          <w:b/>
          <w:sz w:val="32"/>
          <w:szCs w:val="32"/>
        </w:rPr>
      </w:pPr>
      <w:r w:rsidRPr="00414CF6">
        <w:rPr>
          <w:rFonts w:eastAsia="MS Mincho"/>
          <w:b/>
          <w:sz w:val="32"/>
          <w:szCs w:val="32"/>
        </w:rPr>
        <w:t>Rapport au Comité contre la torture des Nations unies</w:t>
      </w:r>
    </w:p>
    <w:p w14:paraId="31821F07" w14:textId="77777777" w:rsidR="00414CF6" w:rsidRPr="00414CF6" w:rsidRDefault="00414CF6" w:rsidP="00414CF6">
      <w:pPr>
        <w:spacing w:after="0" w:line="240" w:lineRule="auto"/>
        <w:jc w:val="center"/>
        <w:rPr>
          <w:rFonts w:eastAsia="MS Mincho"/>
          <w:sz w:val="24"/>
          <w:szCs w:val="24"/>
        </w:rPr>
      </w:pPr>
    </w:p>
    <w:p w14:paraId="67ED0DF5" w14:textId="77777777" w:rsidR="00414CF6" w:rsidRPr="00414CF6" w:rsidRDefault="00414CF6" w:rsidP="00414CF6">
      <w:pPr>
        <w:spacing w:after="0" w:line="240" w:lineRule="auto"/>
        <w:jc w:val="center"/>
        <w:rPr>
          <w:rFonts w:eastAsia="MS Mincho"/>
          <w:b/>
          <w:sz w:val="24"/>
          <w:szCs w:val="24"/>
        </w:rPr>
      </w:pPr>
      <w:r w:rsidRPr="00414CF6">
        <w:rPr>
          <w:rFonts w:eastAsia="MS Mincho"/>
          <w:b/>
          <w:sz w:val="24"/>
          <w:szCs w:val="24"/>
        </w:rPr>
        <w:t>Cinquante-septième session, 18 avril-13 mai 2016</w:t>
      </w:r>
    </w:p>
    <w:p w14:paraId="0C3D559C" w14:textId="77777777" w:rsidR="00414CF6" w:rsidRPr="00414CF6" w:rsidRDefault="00414CF6" w:rsidP="00414CF6">
      <w:pPr>
        <w:spacing w:after="0" w:line="240" w:lineRule="auto"/>
        <w:rPr>
          <w:rFonts w:eastAsia="MS Mincho"/>
          <w:sz w:val="24"/>
          <w:szCs w:val="24"/>
        </w:rPr>
      </w:pPr>
    </w:p>
    <w:p w14:paraId="280A00D7" w14:textId="77777777" w:rsidR="00414CF6" w:rsidRPr="00414CF6" w:rsidRDefault="00414CF6" w:rsidP="00414CF6">
      <w:pPr>
        <w:spacing w:after="0" w:line="240" w:lineRule="auto"/>
        <w:rPr>
          <w:rFonts w:eastAsia="MS Mincho"/>
          <w:sz w:val="24"/>
          <w:szCs w:val="24"/>
        </w:rPr>
      </w:pPr>
    </w:p>
    <w:p w14:paraId="22CEF04E" w14:textId="77777777" w:rsidR="00414CF6" w:rsidRPr="00414CF6" w:rsidRDefault="00414CF6" w:rsidP="00414CF6">
      <w:pPr>
        <w:spacing w:after="0" w:line="240" w:lineRule="auto"/>
        <w:rPr>
          <w:rFonts w:eastAsia="MS Mincho"/>
          <w:sz w:val="24"/>
          <w:szCs w:val="24"/>
        </w:rPr>
      </w:pPr>
    </w:p>
    <w:p w14:paraId="77E59CA6" w14:textId="77777777" w:rsidR="00414CF6" w:rsidRPr="00414CF6" w:rsidRDefault="00414CF6" w:rsidP="00414CF6">
      <w:pPr>
        <w:spacing w:after="0" w:line="240" w:lineRule="auto"/>
        <w:rPr>
          <w:rFonts w:eastAsia="MS Mincho"/>
          <w:sz w:val="24"/>
          <w:szCs w:val="24"/>
        </w:rPr>
      </w:pPr>
    </w:p>
    <w:p w14:paraId="3EB794F9" w14:textId="77777777" w:rsidR="00414CF6" w:rsidRPr="00414CF6" w:rsidRDefault="00414CF6" w:rsidP="00414CF6">
      <w:pPr>
        <w:spacing w:after="0" w:line="240" w:lineRule="auto"/>
        <w:jc w:val="center"/>
        <w:rPr>
          <w:rFonts w:eastAsia="MS Mincho"/>
          <w:sz w:val="24"/>
          <w:szCs w:val="24"/>
        </w:rPr>
      </w:pPr>
      <w:r w:rsidRPr="00414CF6">
        <w:rPr>
          <w:rFonts w:eastAsia="MS Mincho"/>
          <w:sz w:val="24"/>
          <w:szCs w:val="24"/>
        </w:rPr>
        <w:t>Soumis par</w:t>
      </w:r>
    </w:p>
    <w:p w14:paraId="23DAFA49" w14:textId="77777777" w:rsidR="00414CF6" w:rsidRPr="00414CF6" w:rsidRDefault="00414CF6" w:rsidP="00414CF6">
      <w:pPr>
        <w:spacing w:after="0" w:line="240" w:lineRule="auto"/>
        <w:rPr>
          <w:rFonts w:eastAsia="MS Mincho"/>
          <w:sz w:val="24"/>
          <w:szCs w:val="24"/>
        </w:rPr>
      </w:pPr>
    </w:p>
    <w:tbl>
      <w:tblPr>
        <w:tblW w:w="8472" w:type="dxa"/>
        <w:tblBorders>
          <w:left w:val="nil"/>
          <w:right w:val="nil"/>
        </w:tblBorders>
        <w:tblLayout w:type="fixed"/>
        <w:tblLook w:val="0000" w:firstRow="0" w:lastRow="0" w:firstColumn="0" w:lastColumn="0" w:noHBand="0" w:noVBand="0"/>
      </w:tblPr>
      <w:tblGrid>
        <w:gridCol w:w="6972"/>
        <w:gridCol w:w="1500"/>
      </w:tblGrid>
      <w:tr w:rsidR="00414CF6" w:rsidRPr="00414CF6" w14:paraId="1BF56388" w14:textId="77777777" w:rsidTr="0050124F">
        <w:tc>
          <w:tcPr>
            <w:tcW w:w="6972" w:type="dxa"/>
            <w:tcMar>
              <w:top w:w="144" w:type="nil"/>
              <w:right w:w="144" w:type="nil"/>
            </w:tcMar>
          </w:tcPr>
          <w:p w14:paraId="22C09697" w14:textId="77777777" w:rsidR="00414CF6" w:rsidRPr="00414CF6" w:rsidRDefault="00414CF6" w:rsidP="00414CF6">
            <w:pPr>
              <w:widowControl w:val="0"/>
              <w:autoSpaceDE w:val="0"/>
              <w:autoSpaceDN w:val="0"/>
              <w:adjustRightInd w:val="0"/>
              <w:spacing w:after="0" w:line="288" w:lineRule="auto"/>
              <w:rPr>
                <w:rFonts w:ascii="Tahoma" w:eastAsia="MS Mincho" w:hAnsi="Tahoma" w:cs="Tahoma"/>
              </w:rPr>
            </w:pPr>
            <w:r w:rsidRPr="00414CF6">
              <w:rPr>
                <w:rFonts w:eastAsia="MS Mincho" w:cs="Calibri"/>
              </w:rPr>
              <w:t>Association pour la Justice et la Réhabilitation</w:t>
            </w:r>
          </w:p>
        </w:tc>
        <w:tc>
          <w:tcPr>
            <w:tcW w:w="1500" w:type="dxa"/>
            <w:tcMar>
              <w:top w:w="144" w:type="nil"/>
              <w:right w:w="144" w:type="nil"/>
            </w:tcMar>
          </w:tcPr>
          <w:p w14:paraId="515DF10D" w14:textId="77777777" w:rsidR="00414CF6" w:rsidRPr="00414CF6" w:rsidRDefault="00414CF6" w:rsidP="00414CF6">
            <w:pPr>
              <w:widowControl w:val="0"/>
              <w:autoSpaceDE w:val="0"/>
              <w:autoSpaceDN w:val="0"/>
              <w:adjustRightInd w:val="0"/>
              <w:spacing w:after="0" w:line="288" w:lineRule="auto"/>
              <w:rPr>
                <w:rFonts w:eastAsia="MS Mincho" w:cs="Tahoma"/>
              </w:rPr>
            </w:pPr>
            <w:r w:rsidRPr="00414CF6">
              <w:rPr>
                <w:rFonts w:eastAsia="MS Mincho" w:cs="Calibri"/>
                <w:bCs/>
              </w:rPr>
              <w:t>AJR</w:t>
            </w:r>
          </w:p>
        </w:tc>
      </w:tr>
      <w:tr w:rsidR="00414CF6" w:rsidRPr="00414CF6" w14:paraId="58462661" w14:textId="77777777" w:rsidTr="0050124F">
        <w:tc>
          <w:tcPr>
            <w:tcW w:w="6972" w:type="dxa"/>
            <w:tcMar>
              <w:top w:w="144" w:type="nil"/>
              <w:right w:w="144" w:type="nil"/>
            </w:tcMar>
          </w:tcPr>
          <w:p w14:paraId="2FF809C9" w14:textId="77777777" w:rsidR="00414CF6" w:rsidRPr="00414CF6" w:rsidRDefault="00414CF6" w:rsidP="00414CF6">
            <w:pPr>
              <w:widowControl w:val="0"/>
              <w:autoSpaceDE w:val="0"/>
              <w:autoSpaceDN w:val="0"/>
              <w:adjustRightInd w:val="0"/>
              <w:spacing w:after="0" w:line="288" w:lineRule="auto"/>
              <w:rPr>
                <w:rFonts w:ascii="Tahoma" w:eastAsia="MS Mincho" w:hAnsi="Tahoma" w:cs="Tahoma"/>
              </w:rPr>
            </w:pPr>
            <w:r w:rsidRPr="00414CF6">
              <w:rPr>
                <w:rFonts w:eastAsia="MS Mincho" w:cs="Calibri"/>
              </w:rPr>
              <w:t>Association Al Karama</w:t>
            </w:r>
          </w:p>
        </w:tc>
        <w:tc>
          <w:tcPr>
            <w:tcW w:w="1500" w:type="dxa"/>
            <w:tcMar>
              <w:top w:w="144" w:type="nil"/>
              <w:right w:w="144" w:type="nil"/>
            </w:tcMar>
          </w:tcPr>
          <w:p w14:paraId="599C3265" w14:textId="77777777" w:rsidR="00414CF6" w:rsidRPr="00414CF6" w:rsidRDefault="00414CF6" w:rsidP="00414CF6">
            <w:pPr>
              <w:widowControl w:val="0"/>
              <w:autoSpaceDE w:val="0"/>
              <w:autoSpaceDN w:val="0"/>
              <w:adjustRightInd w:val="0"/>
              <w:spacing w:after="0" w:line="288" w:lineRule="auto"/>
              <w:rPr>
                <w:rFonts w:eastAsia="MS Mincho" w:cs="Tahoma"/>
              </w:rPr>
            </w:pPr>
            <w:r w:rsidRPr="00414CF6">
              <w:rPr>
                <w:rFonts w:eastAsia="MS Mincho" w:cs="Calibri"/>
                <w:bCs/>
              </w:rPr>
              <w:t>AL KARAMA</w:t>
            </w:r>
          </w:p>
        </w:tc>
      </w:tr>
      <w:tr w:rsidR="00414CF6" w:rsidRPr="00414CF6" w14:paraId="79259BD9" w14:textId="77777777" w:rsidTr="0050124F">
        <w:tc>
          <w:tcPr>
            <w:tcW w:w="6972" w:type="dxa"/>
            <w:tcMar>
              <w:top w:w="144" w:type="nil"/>
              <w:right w:w="144" w:type="nil"/>
            </w:tcMar>
          </w:tcPr>
          <w:p w14:paraId="163B4157" w14:textId="77777777" w:rsidR="00414CF6" w:rsidRPr="00414CF6" w:rsidRDefault="00414CF6" w:rsidP="00414CF6">
            <w:pPr>
              <w:widowControl w:val="0"/>
              <w:autoSpaceDE w:val="0"/>
              <w:autoSpaceDN w:val="0"/>
              <w:adjustRightInd w:val="0"/>
              <w:spacing w:after="0" w:line="288" w:lineRule="auto"/>
              <w:rPr>
                <w:rFonts w:ascii="Tahoma" w:eastAsia="MS Mincho" w:hAnsi="Tahoma" w:cs="Tahoma"/>
              </w:rPr>
            </w:pPr>
            <w:r w:rsidRPr="00414CF6">
              <w:rPr>
                <w:rFonts w:eastAsia="MS Mincho" w:cs="Calibri"/>
              </w:rPr>
              <w:t>Association Tunisienne des Jeunes Avocats</w:t>
            </w:r>
          </w:p>
        </w:tc>
        <w:tc>
          <w:tcPr>
            <w:tcW w:w="1500" w:type="dxa"/>
            <w:tcMar>
              <w:top w:w="144" w:type="nil"/>
              <w:right w:w="144" w:type="nil"/>
            </w:tcMar>
          </w:tcPr>
          <w:p w14:paraId="7A4661DF" w14:textId="77777777" w:rsidR="00414CF6" w:rsidRPr="00414CF6" w:rsidRDefault="00414CF6" w:rsidP="00414CF6">
            <w:pPr>
              <w:widowControl w:val="0"/>
              <w:autoSpaceDE w:val="0"/>
              <w:autoSpaceDN w:val="0"/>
              <w:adjustRightInd w:val="0"/>
              <w:spacing w:after="0" w:line="288" w:lineRule="auto"/>
              <w:rPr>
                <w:rFonts w:eastAsia="MS Mincho" w:cs="Tahoma"/>
              </w:rPr>
            </w:pPr>
            <w:r w:rsidRPr="00414CF6">
              <w:rPr>
                <w:rFonts w:eastAsia="MS Mincho" w:cs="Calibri"/>
                <w:bCs/>
              </w:rPr>
              <w:t>ATJA</w:t>
            </w:r>
          </w:p>
        </w:tc>
      </w:tr>
      <w:tr w:rsidR="00414CF6" w:rsidRPr="00414CF6" w14:paraId="15097EDF" w14:textId="77777777" w:rsidTr="0050124F">
        <w:tc>
          <w:tcPr>
            <w:tcW w:w="6972" w:type="dxa"/>
            <w:tcMar>
              <w:top w:w="144" w:type="nil"/>
              <w:right w:w="144" w:type="nil"/>
            </w:tcMar>
          </w:tcPr>
          <w:p w14:paraId="32D8CD24" w14:textId="77777777" w:rsidR="00414CF6" w:rsidRPr="00414CF6" w:rsidRDefault="00414CF6" w:rsidP="00414CF6">
            <w:pPr>
              <w:widowControl w:val="0"/>
              <w:autoSpaceDE w:val="0"/>
              <w:autoSpaceDN w:val="0"/>
              <w:adjustRightInd w:val="0"/>
              <w:spacing w:after="0" w:line="288" w:lineRule="auto"/>
              <w:rPr>
                <w:rFonts w:eastAsia="MS Mincho" w:cs="Calibri"/>
              </w:rPr>
            </w:pPr>
            <w:r w:rsidRPr="00414CF6">
              <w:rPr>
                <w:rFonts w:eastAsia="MS Mincho" w:cs="Calibri"/>
              </w:rPr>
              <w:t>Association Internationale pour le Soutien des Prisonniers Politiques</w:t>
            </w:r>
          </w:p>
        </w:tc>
        <w:tc>
          <w:tcPr>
            <w:tcW w:w="1500" w:type="dxa"/>
            <w:tcMar>
              <w:top w:w="144" w:type="nil"/>
              <w:right w:w="144" w:type="nil"/>
            </w:tcMar>
          </w:tcPr>
          <w:p w14:paraId="4242BAEA" w14:textId="77777777" w:rsidR="00414CF6" w:rsidRPr="00414CF6" w:rsidRDefault="00414CF6" w:rsidP="00414CF6">
            <w:pPr>
              <w:widowControl w:val="0"/>
              <w:autoSpaceDE w:val="0"/>
              <w:autoSpaceDN w:val="0"/>
              <w:adjustRightInd w:val="0"/>
              <w:spacing w:after="0" w:line="288" w:lineRule="auto"/>
              <w:rPr>
                <w:rFonts w:eastAsia="MS Mincho" w:cs="Tahoma"/>
              </w:rPr>
            </w:pPr>
            <w:r w:rsidRPr="00414CF6">
              <w:rPr>
                <w:rFonts w:eastAsia="MS Mincho" w:cs="Tahoma"/>
              </w:rPr>
              <w:t>AISPP</w:t>
            </w:r>
          </w:p>
        </w:tc>
      </w:tr>
      <w:tr w:rsidR="00414CF6" w:rsidRPr="00414CF6" w14:paraId="14CDA951" w14:textId="77777777" w:rsidTr="0050124F">
        <w:tc>
          <w:tcPr>
            <w:tcW w:w="6972" w:type="dxa"/>
            <w:tcMar>
              <w:top w:w="144" w:type="nil"/>
              <w:right w:w="144" w:type="nil"/>
            </w:tcMar>
          </w:tcPr>
          <w:p w14:paraId="2854FF04" w14:textId="77777777" w:rsidR="00414CF6" w:rsidRPr="00414CF6" w:rsidRDefault="00414CF6" w:rsidP="00414CF6">
            <w:pPr>
              <w:widowControl w:val="0"/>
              <w:autoSpaceDE w:val="0"/>
              <w:autoSpaceDN w:val="0"/>
              <w:adjustRightInd w:val="0"/>
              <w:spacing w:after="0" w:line="288" w:lineRule="auto"/>
              <w:rPr>
                <w:rFonts w:eastAsia="MS Mincho" w:cs="Calibri"/>
              </w:rPr>
            </w:pPr>
            <w:r w:rsidRPr="00414CF6">
              <w:rPr>
                <w:rFonts w:eastAsia="MS Mincho" w:cs="Calibri"/>
              </w:rPr>
              <w:t>Damj, l’association Tunisienne pour la justice et l’égalité</w:t>
            </w:r>
          </w:p>
        </w:tc>
        <w:tc>
          <w:tcPr>
            <w:tcW w:w="1500" w:type="dxa"/>
            <w:tcMar>
              <w:top w:w="144" w:type="nil"/>
              <w:right w:w="144" w:type="nil"/>
            </w:tcMar>
          </w:tcPr>
          <w:p w14:paraId="5FC7F34D" w14:textId="77777777" w:rsidR="00414CF6" w:rsidRPr="00414CF6" w:rsidRDefault="00414CF6" w:rsidP="00414CF6">
            <w:pPr>
              <w:widowControl w:val="0"/>
              <w:autoSpaceDE w:val="0"/>
              <w:autoSpaceDN w:val="0"/>
              <w:adjustRightInd w:val="0"/>
              <w:spacing w:after="0" w:line="288" w:lineRule="auto"/>
              <w:rPr>
                <w:rFonts w:eastAsia="MS Mincho" w:cs="Tahoma"/>
              </w:rPr>
            </w:pPr>
            <w:r w:rsidRPr="00414CF6">
              <w:rPr>
                <w:rFonts w:eastAsia="MS Mincho" w:cs="Tahoma"/>
              </w:rPr>
              <w:t>DAMJ</w:t>
            </w:r>
          </w:p>
        </w:tc>
      </w:tr>
      <w:tr w:rsidR="00414CF6" w:rsidRPr="00414CF6" w14:paraId="331DCD9C" w14:textId="77777777" w:rsidTr="0050124F">
        <w:tc>
          <w:tcPr>
            <w:tcW w:w="6972" w:type="dxa"/>
            <w:tcMar>
              <w:top w:w="144" w:type="nil"/>
              <w:right w:w="144" w:type="nil"/>
            </w:tcMar>
          </w:tcPr>
          <w:p w14:paraId="30E541D2" w14:textId="77777777" w:rsidR="00414CF6" w:rsidRPr="00414CF6" w:rsidRDefault="00414CF6" w:rsidP="00414CF6">
            <w:pPr>
              <w:widowControl w:val="0"/>
              <w:autoSpaceDE w:val="0"/>
              <w:autoSpaceDN w:val="0"/>
              <w:adjustRightInd w:val="0"/>
              <w:spacing w:after="0" w:line="288" w:lineRule="auto"/>
              <w:rPr>
                <w:rFonts w:eastAsia="MS Mincho" w:cs="Calibri"/>
              </w:rPr>
            </w:pPr>
            <w:r w:rsidRPr="00414CF6">
              <w:rPr>
                <w:rFonts w:eastAsia="MS Mincho" w:cs="Calibri"/>
              </w:rPr>
              <w:t>Fondation Tunisienne pour la Réforme Judiciaire et de Sécurité</w:t>
            </w:r>
          </w:p>
        </w:tc>
        <w:tc>
          <w:tcPr>
            <w:tcW w:w="1500" w:type="dxa"/>
            <w:tcMar>
              <w:top w:w="144" w:type="nil"/>
              <w:right w:w="144" w:type="nil"/>
            </w:tcMar>
          </w:tcPr>
          <w:p w14:paraId="661AF45F" w14:textId="77777777" w:rsidR="00414CF6" w:rsidRPr="00414CF6" w:rsidRDefault="00414CF6" w:rsidP="00414CF6">
            <w:pPr>
              <w:widowControl w:val="0"/>
              <w:autoSpaceDE w:val="0"/>
              <w:autoSpaceDN w:val="0"/>
              <w:adjustRightInd w:val="0"/>
              <w:spacing w:after="0" w:line="288" w:lineRule="auto"/>
              <w:rPr>
                <w:rFonts w:eastAsia="MS Mincho" w:cs="Tahoma"/>
              </w:rPr>
            </w:pPr>
            <w:r w:rsidRPr="00414CF6">
              <w:rPr>
                <w:rFonts w:eastAsia="MS Mincho" w:cs="Calibri"/>
                <w:bCs/>
              </w:rPr>
              <w:t>FTRJS</w:t>
            </w:r>
          </w:p>
        </w:tc>
      </w:tr>
      <w:tr w:rsidR="00414CF6" w:rsidRPr="00414CF6" w14:paraId="2F22B378" w14:textId="77777777" w:rsidTr="0050124F">
        <w:tc>
          <w:tcPr>
            <w:tcW w:w="6972" w:type="dxa"/>
            <w:tcMar>
              <w:top w:w="144" w:type="nil"/>
              <w:right w:w="144" w:type="nil"/>
            </w:tcMar>
          </w:tcPr>
          <w:p w14:paraId="19659F22" w14:textId="77777777" w:rsidR="00414CF6" w:rsidRPr="00414CF6" w:rsidRDefault="00414CF6" w:rsidP="00414CF6">
            <w:pPr>
              <w:widowControl w:val="0"/>
              <w:autoSpaceDE w:val="0"/>
              <w:autoSpaceDN w:val="0"/>
              <w:adjustRightInd w:val="0"/>
              <w:spacing w:after="0" w:line="288" w:lineRule="auto"/>
              <w:rPr>
                <w:rFonts w:eastAsia="MS Mincho" w:cs="Calibri"/>
              </w:rPr>
            </w:pPr>
            <w:r w:rsidRPr="00414CF6">
              <w:rPr>
                <w:rFonts w:eastAsia="MS Mincho" w:cs="Calibri"/>
              </w:rPr>
              <w:t>Justice pour les Anciens Militaires</w:t>
            </w:r>
          </w:p>
        </w:tc>
        <w:tc>
          <w:tcPr>
            <w:tcW w:w="1500" w:type="dxa"/>
            <w:tcMar>
              <w:top w:w="144" w:type="nil"/>
              <w:right w:w="144" w:type="nil"/>
            </w:tcMar>
          </w:tcPr>
          <w:p w14:paraId="6A969D70" w14:textId="77777777" w:rsidR="00414CF6" w:rsidRPr="00414CF6" w:rsidRDefault="00414CF6" w:rsidP="00414CF6">
            <w:pPr>
              <w:widowControl w:val="0"/>
              <w:autoSpaceDE w:val="0"/>
              <w:autoSpaceDN w:val="0"/>
              <w:adjustRightInd w:val="0"/>
              <w:spacing w:after="0" w:line="288" w:lineRule="auto"/>
              <w:rPr>
                <w:rFonts w:eastAsia="MS Mincho" w:cs="Tahoma"/>
              </w:rPr>
            </w:pPr>
            <w:r w:rsidRPr="00414CF6">
              <w:rPr>
                <w:rFonts w:eastAsia="MS Mincho" w:cs="Calibri"/>
                <w:bCs/>
              </w:rPr>
              <w:t>INSAF</w:t>
            </w:r>
          </w:p>
        </w:tc>
      </w:tr>
      <w:tr w:rsidR="00414CF6" w:rsidRPr="00414CF6" w14:paraId="69BA42BA" w14:textId="77777777" w:rsidTr="0050124F">
        <w:tc>
          <w:tcPr>
            <w:tcW w:w="6972" w:type="dxa"/>
            <w:tcMar>
              <w:top w:w="144" w:type="nil"/>
              <w:right w:w="144" w:type="nil"/>
            </w:tcMar>
          </w:tcPr>
          <w:p w14:paraId="614BDE01" w14:textId="77777777" w:rsidR="00414CF6" w:rsidRPr="00414CF6" w:rsidRDefault="00414CF6" w:rsidP="00414CF6">
            <w:pPr>
              <w:widowControl w:val="0"/>
              <w:tabs>
                <w:tab w:val="left" w:pos="2170"/>
              </w:tabs>
              <w:autoSpaceDE w:val="0"/>
              <w:autoSpaceDN w:val="0"/>
              <w:adjustRightInd w:val="0"/>
              <w:spacing w:after="0" w:line="288" w:lineRule="auto"/>
              <w:rPr>
                <w:rFonts w:ascii="Tahoma" w:eastAsia="MS Mincho" w:hAnsi="Tahoma" w:cs="Tahoma"/>
              </w:rPr>
            </w:pPr>
            <w:r w:rsidRPr="00414CF6">
              <w:rPr>
                <w:rFonts w:eastAsia="MS Mincho" w:cs="Calibri"/>
              </w:rPr>
              <w:t>Liberté et Équité</w:t>
            </w:r>
            <w:r w:rsidRPr="00414CF6">
              <w:rPr>
                <w:rFonts w:eastAsia="MS Mincho" w:cs="Calibri"/>
              </w:rPr>
              <w:tab/>
            </w:r>
          </w:p>
        </w:tc>
        <w:tc>
          <w:tcPr>
            <w:tcW w:w="1500" w:type="dxa"/>
            <w:tcMar>
              <w:top w:w="144" w:type="nil"/>
              <w:right w:w="144" w:type="nil"/>
            </w:tcMar>
          </w:tcPr>
          <w:p w14:paraId="3690BD48" w14:textId="77777777" w:rsidR="00414CF6" w:rsidRPr="00414CF6" w:rsidRDefault="00414CF6" w:rsidP="00414CF6">
            <w:pPr>
              <w:widowControl w:val="0"/>
              <w:autoSpaceDE w:val="0"/>
              <w:autoSpaceDN w:val="0"/>
              <w:adjustRightInd w:val="0"/>
              <w:spacing w:after="0" w:line="288" w:lineRule="auto"/>
              <w:rPr>
                <w:rFonts w:eastAsia="MS Mincho" w:cs="Tahoma"/>
              </w:rPr>
            </w:pPr>
            <w:r w:rsidRPr="00414CF6">
              <w:rPr>
                <w:rFonts w:eastAsia="MS Mincho" w:cs="Calibri"/>
                <w:bCs/>
              </w:rPr>
              <w:t>L&amp;E</w:t>
            </w:r>
          </w:p>
        </w:tc>
      </w:tr>
      <w:tr w:rsidR="00414CF6" w:rsidRPr="00414CF6" w14:paraId="194E08CE" w14:textId="77777777" w:rsidTr="0050124F">
        <w:tc>
          <w:tcPr>
            <w:tcW w:w="6972" w:type="dxa"/>
            <w:tcMar>
              <w:top w:w="144" w:type="nil"/>
              <w:right w:w="144" w:type="nil"/>
            </w:tcMar>
          </w:tcPr>
          <w:p w14:paraId="299ED607" w14:textId="77777777" w:rsidR="00414CF6" w:rsidRPr="00414CF6" w:rsidRDefault="00414CF6" w:rsidP="00414CF6">
            <w:pPr>
              <w:widowControl w:val="0"/>
              <w:autoSpaceDE w:val="0"/>
              <w:autoSpaceDN w:val="0"/>
              <w:adjustRightInd w:val="0"/>
              <w:spacing w:after="0" w:line="288" w:lineRule="auto"/>
              <w:rPr>
                <w:rFonts w:ascii="Tahoma" w:eastAsia="MS Mincho" w:hAnsi="Tahoma" w:cs="Tahoma"/>
              </w:rPr>
            </w:pPr>
            <w:r w:rsidRPr="00414CF6">
              <w:rPr>
                <w:rFonts w:eastAsia="MS Mincho" w:cs="Calibri"/>
              </w:rPr>
              <w:t>Ligue Tunisienne pour la Défense des Droits de l’Homme</w:t>
            </w:r>
          </w:p>
        </w:tc>
        <w:tc>
          <w:tcPr>
            <w:tcW w:w="1500" w:type="dxa"/>
            <w:tcMar>
              <w:top w:w="144" w:type="nil"/>
              <w:right w:w="144" w:type="nil"/>
            </w:tcMar>
          </w:tcPr>
          <w:p w14:paraId="4D859911" w14:textId="77777777" w:rsidR="00414CF6" w:rsidRPr="00414CF6" w:rsidRDefault="00414CF6" w:rsidP="00414CF6">
            <w:pPr>
              <w:widowControl w:val="0"/>
              <w:autoSpaceDE w:val="0"/>
              <w:autoSpaceDN w:val="0"/>
              <w:adjustRightInd w:val="0"/>
              <w:spacing w:after="0" w:line="288" w:lineRule="auto"/>
              <w:rPr>
                <w:rFonts w:eastAsia="MS Mincho" w:cs="Tahoma"/>
              </w:rPr>
            </w:pPr>
            <w:r w:rsidRPr="00414CF6">
              <w:rPr>
                <w:rFonts w:eastAsia="MS Mincho" w:cs="Calibri"/>
                <w:bCs/>
              </w:rPr>
              <w:t>LTDH</w:t>
            </w:r>
          </w:p>
        </w:tc>
      </w:tr>
      <w:tr w:rsidR="00414CF6" w:rsidRPr="00414CF6" w14:paraId="33F3E7FD" w14:textId="77777777" w:rsidTr="0050124F">
        <w:tc>
          <w:tcPr>
            <w:tcW w:w="6972" w:type="dxa"/>
            <w:tcMar>
              <w:top w:w="144" w:type="nil"/>
              <w:right w:w="144" w:type="nil"/>
            </w:tcMar>
          </w:tcPr>
          <w:p w14:paraId="61B48254" w14:textId="77777777" w:rsidR="00414CF6" w:rsidRPr="00414CF6" w:rsidRDefault="00414CF6" w:rsidP="00414CF6">
            <w:pPr>
              <w:widowControl w:val="0"/>
              <w:autoSpaceDE w:val="0"/>
              <w:autoSpaceDN w:val="0"/>
              <w:adjustRightInd w:val="0"/>
              <w:spacing w:after="0" w:line="288" w:lineRule="auto"/>
              <w:rPr>
                <w:rFonts w:ascii="Tahoma" w:eastAsia="MS Mincho" w:hAnsi="Tahoma" w:cs="Tahoma"/>
              </w:rPr>
            </w:pPr>
            <w:r w:rsidRPr="00414CF6">
              <w:rPr>
                <w:rFonts w:eastAsia="MS Mincho" w:cs="Calibri"/>
              </w:rPr>
              <w:t>Observatoire Chahed</w:t>
            </w:r>
          </w:p>
        </w:tc>
        <w:tc>
          <w:tcPr>
            <w:tcW w:w="1500" w:type="dxa"/>
            <w:tcMar>
              <w:top w:w="144" w:type="nil"/>
              <w:right w:w="144" w:type="nil"/>
            </w:tcMar>
          </w:tcPr>
          <w:p w14:paraId="64F8B2E5" w14:textId="77777777" w:rsidR="00414CF6" w:rsidRPr="00414CF6" w:rsidRDefault="00414CF6" w:rsidP="00414CF6">
            <w:pPr>
              <w:widowControl w:val="0"/>
              <w:autoSpaceDE w:val="0"/>
              <w:autoSpaceDN w:val="0"/>
              <w:adjustRightInd w:val="0"/>
              <w:spacing w:after="0" w:line="288" w:lineRule="auto"/>
              <w:rPr>
                <w:rFonts w:eastAsia="MS Mincho" w:cs="Tahoma"/>
              </w:rPr>
            </w:pPr>
            <w:r w:rsidRPr="00414CF6">
              <w:rPr>
                <w:rFonts w:eastAsia="MS Mincho" w:cs="Tahoma"/>
              </w:rPr>
              <w:t>CHAHED</w:t>
            </w:r>
          </w:p>
        </w:tc>
      </w:tr>
      <w:tr w:rsidR="00414CF6" w:rsidRPr="00414CF6" w14:paraId="1061E80F" w14:textId="77777777" w:rsidTr="0050124F">
        <w:tc>
          <w:tcPr>
            <w:tcW w:w="6972" w:type="dxa"/>
            <w:tcMar>
              <w:top w:w="144" w:type="nil"/>
              <w:right w:w="144" w:type="nil"/>
            </w:tcMar>
          </w:tcPr>
          <w:p w14:paraId="2F17A4DC" w14:textId="77777777" w:rsidR="00414CF6" w:rsidRPr="00414CF6" w:rsidRDefault="00414CF6" w:rsidP="00414CF6">
            <w:pPr>
              <w:widowControl w:val="0"/>
              <w:autoSpaceDE w:val="0"/>
              <w:autoSpaceDN w:val="0"/>
              <w:adjustRightInd w:val="0"/>
              <w:spacing w:after="0" w:line="288" w:lineRule="auto"/>
              <w:rPr>
                <w:rFonts w:eastAsia="MS Mincho" w:cs="Calibri"/>
              </w:rPr>
            </w:pPr>
            <w:r w:rsidRPr="00414CF6">
              <w:rPr>
                <w:rFonts w:eastAsia="MS Mincho" w:cs="Calibri"/>
              </w:rPr>
              <w:t>Organisation Mondiale Contre la Torture</w:t>
            </w:r>
          </w:p>
        </w:tc>
        <w:tc>
          <w:tcPr>
            <w:tcW w:w="1500" w:type="dxa"/>
            <w:tcMar>
              <w:top w:w="144" w:type="nil"/>
              <w:right w:w="144" w:type="nil"/>
            </w:tcMar>
          </w:tcPr>
          <w:p w14:paraId="391C5E7E" w14:textId="77777777" w:rsidR="00414CF6" w:rsidRPr="00414CF6" w:rsidRDefault="00414CF6" w:rsidP="00414CF6">
            <w:pPr>
              <w:widowControl w:val="0"/>
              <w:autoSpaceDE w:val="0"/>
              <w:autoSpaceDN w:val="0"/>
              <w:adjustRightInd w:val="0"/>
              <w:spacing w:after="0" w:line="288" w:lineRule="auto"/>
              <w:rPr>
                <w:rFonts w:eastAsia="MS Mincho" w:cs="Tahoma"/>
              </w:rPr>
            </w:pPr>
            <w:r w:rsidRPr="00414CF6">
              <w:rPr>
                <w:rFonts w:eastAsia="MS Mincho" w:cs="Calibri"/>
                <w:bCs/>
              </w:rPr>
              <w:t>OMCT</w:t>
            </w:r>
          </w:p>
        </w:tc>
      </w:tr>
      <w:tr w:rsidR="00414CF6" w:rsidRPr="00414CF6" w14:paraId="0C633D1C" w14:textId="77777777" w:rsidTr="0050124F">
        <w:tc>
          <w:tcPr>
            <w:tcW w:w="6972" w:type="dxa"/>
            <w:tcMar>
              <w:top w:w="144" w:type="nil"/>
              <w:right w:w="144" w:type="nil"/>
            </w:tcMar>
          </w:tcPr>
          <w:p w14:paraId="17104A96" w14:textId="77777777" w:rsidR="00414CF6" w:rsidRPr="00414CF6" w:rsidRDefault="00414CF6" w:rsidP="00414CF6">
            <w:pPr>
              <w:widowControl w:val="0"/>
              <w:autoSpaceDE w:val="0"/>
              <w:autoSpaceDN w:val="0"/>
              <w:adjustRightInd w:val="0"/>
              <w:spacing w:after="0" w:line="288" w:lineRule="auto"/>
              <w:rPr>
                <w:rFonts w:eastAsia="MS Mincho" w:cs="Calibri"/>
              </w:rPr>
            </w:pPr>
            <w:r w:rsidRPr="00414CF6">
              <w:rPr>
                <w:rFonts w:eastAsia="MS Mincho" w:cs="Calibri"/>
              </w:rPr>
              <w:t xml:space="preserve">Observatoire </w:t>
            </w:r>
            <w:r w:rsidRPr="00414CF6">
              <w:rPr>
                <w:rFonts w:eastAsia="MS Mincho"/>
              </w:rPr>
              <w:t>Tunisien pour l’Indépendance de la Magistrature</w:t>
            </w:r>
          </w:p>
        </w:tc>
        <w:tc>
          <w:tcPr>
            <w:tcW w:w="1500" w:type="dxa"/>
            <w:tcMar>
              <w:top w:w="144" w:type="nil"/>
              <w:right w:w="144" w:type="nil"/>
            </w:tcMar>
          </w:tcPr>
          <w:p w14:paraId="670A2CBD" w14:textId="77777777" w:rsidR="00414CF6" w:rsidRPr="00414CF6" w:rsidRDefault="00414CF6" w:rsidP="00414CF6">
            <w:pPr>
              <w:widowControl w:val="0"/>
              <w:autoSpaceDE w:val="0"/>
              <w:autoSpaceDN w:val="0"/>
              <w:adjustRightInd w:val="0"/>
              <w:spacing w:after="0" w:line="288" w:lineRule="auto"/>
              <w:rPr>
                <w:rFonts w:eastAsia="MS Mincho" w:cs="Calibri"/>
                <w:bCs/>
              </w:rPr>
            </w:pPr>
            <w:r w:rsidRPr="00414CF6">
              <w:rPr>
                <w:rFonts w:eastAsia="MS Mincho" w:cs="Calibri"/>
                <w:bCs/>
              </w:rPr>
              <w:t>OTIM</w:t>
            </w:r>
          </w:p>
        </w:tc>
      </w:tr>
      <w:tr w:rsidR="00414CF6" w:rsidRPr="00414CF6" w14:paraId="783B2DDC" w14:textId="77777777" w:rsidTr="0050124F">
        <w:tc>
          <w:tcPr>
            <w:tcW w:w="6972" w:type="dxa"/>
            <w:tcBorders>
              <w:bottom w:val="nil"/>
            </w:tcBorders>
            <w:tcMar>
              <w:top w:w="144" w:type="nil"/>
              <w:right w:w="144" w:type="nil"/>
            </w:tcMar>
          </w:tcPr>
          <w:p w14:paraId="562C049B" w14:textId="77777777" w:rsidR="00414CF6" w:rsidRPr="00414CF6" w:rsidRDefault="00414CF6" w:rsidP="00414CF6">
            <w:pPr>
              <w:widowControl w:val="0"/>
              <w:autoSpaceDE w:val="0"/>
              <w:autoSpaceDN w:val="0"/>
              <w:adjustRightInd w:val="0"/>
              <w:spacing w:after="0" w:line="288" w:lineRule="auto"/>
              <w:rPr>
                <w:rFonts w:ascii="Tahoma" w:eastAsia="MS Mincho" w:hAnsi="Tahoma" w:cs="Tahoma"/>
              </w:rPr>
            </w:pPr>
            <w:r w:rsidRPr="00414CF6">
              <w:rPr>
                <w:rFonts w:eastAsia="MS Mincho" w:cs="Calibri"/>
              </w:rPr>
              <w:t>Observatoire Tunisien des Prisons</w:t>
            </w:r>
          </w:p>
        </w:tc>
        <w:tc>
          <w:tcPr>
            <w:tcW w:w="1500" w:type="dxa"/>
            <w:tcBorders>
              <w:bottom w:val="nil"/>
            </w:tcBorders>
            <w:tcMar>
              <w:top w:w="144" w:type="nil"/>
              <w:right w:w="144" w:type="nil"/>
            </w:tcMar>
          </w:tcPr>
          <w:p w14:paraId="71B9994E" w14:textId="77777777" w:rsidR="00414CF6" w:rsidRPr="00414CF6" w:rsidRDefault="00414CF6" w:rsidP="00414CF6">
            <w:pPr>
              <w:widowControl w:val="0"/>
              <w:autoSpaceDE w:val="0"/>
              <w:autoSpaceDN w:val="0"/>
              <w:adjustRightInd w:val="0"/>
              <w:spacing w:after="0" w:line="288" w:lineRule="auto"/>
              <w:rPr>
                <w:rFonts w:eastAsia="MS Mincho" w:cs="Tahoma"/>
              </w:rPr>
            </w:pPr>
            <w:r w:rsidRPr="00414CF6">
              <w:rPr>
                <w:rFonts w:eastAsia="MS Mincho" w:cs="Calibri"/>
                <w:bCs/>
              </w:rPr>
              <w:t>OTP</w:t>
            </w:r>
          </w:p>
        </w:tc>
      </w:tr>
      <w:tr w:rsidR="00414CF6" w:rsidRPr="00414CF6" w14:paraId="227DB0FC" w14:textId="77777777" w:rsidTr="0050124F">
        <w:tc>
          <w:tcPr>
            <w:tcW w:w="6972" w:type="dxa"/>
            <w:tcMar>
              <w:top w:w="144" w:type="nil"/>
              <w:right w:w="144" w:type="nil"/>
            </w:tcMar>
          </w:tcPr>
          <w:p w14:paraId="115B39C0" w14:textId="77777777" w:rsidR="00414CF6" w:rsidRPr="00414CF6" w:rsidRDefault="00414CF6" w:rsidP="00414CF6">
            <w:pPr>
              <w:widowControl w:val="0"/>
              <w:autoSpaceDE w:val="0"/>
              <w:autoSpaceDN w:val="0"/>
              <w:adjustRightInd w:val="0"/>
              <w:spacing w:after="0" w:line="288" w:lineRule="auto"/>
              <w:rPr>
                <w:rFonts w:eastAsia="MS Mincho" w:cs="Calibri"/>
              </w:rPr>
            </w:pPr>
          </w:p>
        </w:tc>
        <w:tc>
          <w:tcPr>
            <w:tcW w:w="1500" w:type="dxa"/>
            <w:tcMar>
              <w:top w:w="144" w:type="nil"/>
              <w:right w:w="144" w:type="nil"/>
            </w:tcMar>
          </w:tcPr>
          <w:p w14:paraId="73C332B8" w14:textId="77777777" w:rsidR="00414CF6" w:rsidRPr="00414CF6" w:rsidRDefault="00414CF6" w:rsidP="00414CF6">
            <w:pPr>
              <w:widowControl w:val="0"/>
              <w:autoSpaceDE w:val="0"/>
              <w:autoSpaceDN w:val="0"/>
              <w:adjustRightInd w:val="0"/>
              <w:spacing w:after="0" w:line="288" w:lineRule="auto"/>
              <w:rPr>
                <w:rFonts w:eastAsia="MS Mincho" w:cs="Tahoma"/>
              </w:rPr>
            </w:pPr>
          </w:p>
        </w:tc>
      </w:tr>
      <w:tr w:rsidR="00414CF6" w:rsidRPr="00414CF6" w14:paraId="68C5AFF8" w14:textId="77777777" w:rsidTr="0050124F">
        <w:tc>
          <w:tcPr>
            <w:tcW w:w="6972" w:type="dxa"/>
            <w:tcMar>
              <w:top w:w="144" w:type="nil"/>
              <w:right w:w="144" w:type="nil"/>
            </w:tcMar>
          </w:tcPr>
          <w:p w14:paraId="4AFB7C01" w14:textId="77777777" w:rsidR="00414CF6" w:rsidRPr="00414CF6" w:rsidRDefault="00414CF6" w:rsidP="00414CF6">
            <w:pPr>
              <w:widowControl w:val="0"/>
              <w:autoSpaceDE w:val="0"/>
              <w:autoSpaceDN w:val="0"/>
              <w:adjustRightInd w:val="0"/>
              <w:spacing w:after="0" w:line="288" w:lineRule="auto"/>
              <w:rPr>
                <w:rFonts w:ascii="Tahoma" w:eastAsia="MS Mincho" w:hAnsi="Tahoma" w:cs="Tahoma"/>
              </w:rPr>
            </w:pPr>
          </w:p>
        </w:tc>
        <w:tc>
          <w:tcPr>
            <w:tcW w:w="1500" w:type="dxa"/>
            <w:tcMar>
              <w:top w:w="144" w:type="nil"/>
              <w:right w:w="144" w:type="nil"/>
            </w:tcMar>
          </w:tcPr>
          <w:p w14:paraId="2CD0FEA4" w14:textId="77777777" w:rsidR="00414CF6" w:rsidRPr="00414CF6" w:rsidRDefault="00414CF6" w:rsidP="00414CF6">
            <w:pPr>
              <w:widowControl w:val="0"/>
              <w:autoSpaceDE w:val="0"/>
              <w:autoSpaceDN w:val="0"/>
              <w:adjustRightInd w:val="0"/>
              <w:spacing w:after="0" w:line="288" w:lineRule="auto"/>
              <w:rPr>
                <w:rFonts w:eastAsia="MS Mincho" w:cs="Tahoma"/>
              </w:rPr>
            </w:pPr>
          </w:p>
        </w:tc>
      </w:tr>
      <w:tr w:rsidR="00414CF6" w:rsidRPr="00414CF6" w14:paraId="23AFEB5E" w14:textId="77777777" w:rsidTr="0050124F">
        <w:tc>
          <w:tcPr>
            <w:tcW w:w="6972" w:type="dxa"/>
            <w:tcMar>
              <w:top w:w="144" w:type="nil"/>
              <w:right w:w="144" w:type="nil"/>
            </w:tcMar>
          </w:tcPr>
          <w:p w14:paraId="02FCA77F" w14:textId="77777777" w:rsidR="00414CF6" w:rsidRPr="00414CF6" w:rsidRDefault="00414CF6" w:rsidP="00414CF6">
            <w:pPr>
              <w:widowControl w:val="0"/>
              <w:autoSpaceDE w:val="0"/>
              <w:autoSpaceDN w:val="0"/>
              <w:adjustRightInd w:val="0"/>
              <w:spacing w:after="0" w:line="288" w:lineRule="auto"/>
              <w:rPr>
                <w:rFonts w:ascii="Tahoma" w:eastAsia="MS Mincho" w:hAnsi="Tahoma" w:cs="Tahoma"/>
              </w:rPr>
            </w:pPr>
          </w:p>
        </w:tc>
        <w:tc>
          <w:tcPr>
            <w:tcW w:w="1500" w:type="dxa"/>
            <w:tcMar>
              <w:top w:w="144" w:type="nil"/>
              <w:right w:w="144" w:type="nil"/>
            </w:tcMar>
          </w:tcPr>
          <w:p w14:paraId="31B263EB" w14:textId="77777777" w:rsidR="00414CF6" w:rsidRPr="00414CF6" w:rsidRDefault="00414CF6" w:rsidP="00414CF6">
            <w:pPr>
              <w:widowControl w:val="0"/>
              <w:autoSpaceDE w:val="0"/>
              <w:autoSpaceDN w:val="0"/>
              <w:adjustRightInd w:val="0"/>
              <w:spacing w:after="0" w:line="288" w:lineRule="auto"/>
              <w:rPr>
                <w:rFonts w:eastAsia="MS Mincho" w:cs="Tahoma"/>
              </w:rPr>
            </w:pPr>
          </w:p>
        </w:tc>
      </w:tr>
      <w:tr w:rsidR="00414CF6" w:rsidRPr="00414CF6" w14:paraId="2435F306" w14:textId="77777777" w:rsidTr="0050124F">
        <w:tc>
          <w:tcPr>
            <w:tcW w:w="6972" w:type="dxa"/>
            <w:tcBorders>
              <w:bottom w:val="single" w:sz="4" w:space="0" w:color="auto"/>
            </w:tcBorders>
            <w:tcMar>
              <w:top w:w="144" w:type="nil"/>
              <w:right w:w="144" w:type="nil"/>
            </w:tcMar>
          </w:tcPr>
          <w:p w14:paraId="2EE53A15" w14:textId="77777777" w:rsidR="00414CF6" w:rsidRPr="00414CF6" w:rsidRDefault="00414CF6" w:rsidP="00414CF6">
            <w:pPr>
              <w:widowControl w:val="0"/>
              <w:autoSpaceDE w:val="0"/>
              <w:autoSpaceDN w:val="0"/>
              <w:adjustRightInd w:val="0"/>
              <w:spacing w:after="0" w:line="240" w:lineRule="auto"/>
              <w:rPr>
                <w:rFonts w:eastAsia="MS Mincho" w:cs="Calibri"/>
                <w:sz w:val="20"/>
                <w:szCs w:val="20"/>
              </w:rPr>
            </w:pPr>
          </w:p>
        </w:tc>
        <w:tc>
          <w:tcPr>
            <w:tcW w:w="1500" w:type="dxa"/>
            <w:tcBorders>
              <w:bottom w:val="single" w:sz="4" w:space="0" w:color="auto"/>
            </w:tcBorders>
            <w:tcMar>
              <w:top w:w="144" w:type="nil"/>
              <w:right w:w="144" w:type="nil"/>
            </w:tcMar>
          </w:tcPr>
          <w:p w14:paraId="2AF215AA" w14:textId="77777777" w:rsidR="00414CF6" w:rsidRPr="00414CF6" w:rsidRDefault="00414CF6" w:rsidP="00414CF6">
            <w:pPr>
              <w:widowControl w:val="0"/>
              <w:autoSpaceDE w:val="0"/>
              <w:autoSpaceDN w:val="0"/>
              <w:adjustRightInd w:val="0"/>
              <w:spacing w:after="0" w:line="240" w:lineRule="auto"/>
              <w:rPr>
                <w:rFonts w:eastAsia="MS Mincho" w:cs="Calibri"/>
                <w:bCs/>
                <w:sz w:val="20"/>
                <w:szCs w:val="20"/>
              </w:rPr>
            </w:pPr>
          </w:p>
        </w:tc>
      </w:tr>
    </w:tbl>
    <w:p w14:paraId="44B905F8" w14:textId="77777777" w:rsidR="00414CF6" w:rsidRPr="00414CF6" w:rsidRDefault="00414CF6" w:rsidP="00414CF6">
      <w:pPr>
        <w:spacing w:after="0" w:line="240" w:lineRule="auto"/>
        <w:rPr>
          <w:rFonts w:ascii="Verdana" w:eastAsia="MS Mincho" w:hAnsi="Verdana" w:cs="Verdana"/>
          <w:color w:val="420178"/>
          <w:sz w:val="26"/>
          <w:szCs w:val="26"/>
        </w:rPr>
      </w:pPr>
    </w:p>
    <w:tbl>
      <w:tblPr>
        <w:tblW w:w="0" w:type="auto"/>
        <w:jc w:val="center"/>
        <w:tblLook w:val="04A0" w:firstRow="1" w:lastRow="0" w:firstColumn="1" w:lastColumn="0" w:noHBand="0" w:noVBand="1"/>
      </w:tblPr>
      <w:tblGrid>
        <w:gridCol w:w="1267"/>
        <w:gridCol w:w="1296"/>
        <w:gridCol w:w="1216"/>
        <w:gridCol w:w="1368"/>
        <w:gridCol w:w="1217"/>
        <w:gridCol w:w="1626"/>
        <w:gridCol w:w="1217"/>
      </w:tblGrid>
      <w:tr w:rsidR="00414CF6" w:rsidRPr="00414CF6" w14:paraId="5AA9C055" w14:textId="77777777" w:rsidTr="0050124F">
        <w:trPr>
          <w:jc w:val="center"/>
        </w:trPr>
        <w:tc>
          <w:tcPr>
            <w:tcW w:w="1216" w:type="dxa"/>
            <w:shd w:val="clear" w:color="auto" w:fill="auto"/>
          </w:tcPr>
          <w:p w14:paraId="0926DE4D" w14:textId="77777777" w:rsidR="00414CF6" w:rsidRPr="00414CF6" w:rsidRDefault="00414CF6" w:rsidP="0050124F">
            <w:pPr>
              <w:spacing w:after="0" w:line="240" w:lineRule="auto"/>
              <w:rPr>
                <w:rFonts w:ascii="Cambria" w:eastAsia="MS Mincho" w:hAnsi="Cambria"/>
                <w:sz w:val="16"/>
                <w:szCs w:val="16"/>
              </w:rPr>
            </w:pPr>
          </w:p>
          <w:p w14:paraId="332AF655" w14:textId="77777777" w:rsidR="00414CF6" w:rsidRPr="00414CF6" w:rsidRDefault="00414CF6" w:rsidP="0050124F">
            <w:pPr>
              <w:spacing w:after="0" w:line="240" w:lineRule="auto"/>
              <w:rPr>
                <w:rFonts w:ascii="Cambria" w:eastAsia="MS Mincho" w:hAnsi="Cambria"/>
                <w:sz w:val="16"/>
                <w:szCs w:val="16"/>
              </w:rPr>
            </w:pPr>
          </w:p>
          <w:p w14:paraId="1238E3DD" w14:textId="77777777" w:rsidR="00414CF6" w:rsidRPr="00414CF6" w:rsidRDefault="002A2033" w:rsidP="0050124F">
            <w:pPr>
              <w:spacing w:after="0" w:line="240" w:lineRule="auto"/>
              <w:rPr>
                <w:rFonts w:ascii="Cambria" w:eastAsia="MS Mincho" w:hAnsi="Cambria"/>
                <w:sz w:val="24"/>
                <w:szCs w:val="24"/>
              </w:rPr>
            </w:pPr>
            <w:r>
              <w:rPr>
                <w:rFonts w:ascii="Cambria" w:eastAsia="MS Mincho" w:hAnsi="Cambria"/>
                <w:i/>
                <w:iCs/>
                <w:noProof/>
                <w:sz w:val="20"/>
                <w:szCs w:val="20"/>
                <w:lang w:eastAsia="fr-FR"/>
              </w:rPr>
              <w:drawing>
                <wp:inline distT="0" distB="0" distL="0" distR="0" wp14:anchorId="7C3B5233" wp14:editId="0ACD5CE6">
                  <wp:extent cx="648335" cy="382905"/>
                  <wp:effectExtent l="19050" t="0" r="0" b="0"/>
                  <wp:docPr id="60" name="Image 1" descr="Description : F:\26 JUIN LOGOS\602337_310235332424718_49798669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F:\26 JUIN LOGOS\602337_310235332424718_497986698_n.jpg"/>
                          <pic:cNvPicPr>
                            <a:picLocks noChangeAspect="1" noChangeArrowheads="1"/>
                          </pic:cNvPicPr>
                        </pic:nvPicPr>
                        <pic:blipFill>
                          <a:blip r:embed="rId9"/>
                          <a:srcRect/>
                          <a:stretch>
                            <a:fillRect/>
                          </a:stretch>
                        </pic:blipFill>
                        <pic:spPr bwMode="auto">
                          <a:xfrm>
                            <a:off x="0" y="0"/>
                            <a:ext cx="648335" cy="382905"/>
                          </a:xfrm>
                          <a:prstGeom prst="rect">
                            <a:avLst/>
                          </a:prstGeom>
                          <a:noFill/>
                          <a:ln w="9525">
                            <a:noFill/>
                            <a:miter lim="800000"/>
                            <a:headEnd/>
                            <a:tailEnd/>
                          </a:ln>
                        </pic:spPr>
                      </pic:pic>
                    </a:graphicData>
                  </a:graphic>
                </wp:inline>
              </w:drawing>
            </w:r>
          </w:p>
        </w:tc>
        <w:tc>
          <w:tcPr>
            <w:tcW w:w="1216" w:type="dxa"/>
            <w:shd w:val="clear" w:color="auto" w:fill="auto"/>
          </w:tcPr>
          <w:p w14:paraId="2B8A459E" w14:textId="77777777" w:rsidR="00414CF6" w:rsidRPr="00414CF6" w:rsidRDefault="00414CF6" w:rsidP="0050124F">
            <w:pPr>
              <w:spacing w:after="0" w:line="240" w:lineRule="auto"/>
              <w:rPr>
                <w:rFonts w:ascii="Cambria" w:eastAsia="MS Mincho" w:hAnsi="Cambria"/>
                <w:sz w:val="24"/>
                <w:szCs w:val="24"/>
              </w:rPr>
            </w:pPr>
          </w:p>
          <w:p w14:paraId="729D77F1" w14:textId="77777777" w:rsidR="00414CF6" w:rsidRPr="00414CF6" w:rsidRDefault="002A2033" w:rsidP="0050124F">
            <w:pPr>
              <w:spacing w:after="0" w:line="240" w:lineRule="auto"/>
              <w:rPr>
                <w:rFonts w:ascii="Cambria" w:eastAsia="MS Mincho" w:hAnsi="Cambria"/>
                <w:sz w:val="24"/>
                <w:szCs w:val="24"/>
              </w:rPr>
            </w:pPr>
            <w:r>
              <w:rPr>
                <w:rFonts w:ascii="Cambria" w:eastAsia="MS Mincho" w:hAnsi="Cambria"/>
                <w:i/>
                <w:iCs/>
                <w:noProof/>
                <w:sz w:val="20"/>
                <w:szCs w:val="20"/>
                <w:lang w:eastAsia="fr-FR"/>
              </w:rPr>
              <w:drawing>
                <wp:inline distT="0" distB="0" distL="0" distR="0" wp14:anchorId="0371AC77" wp14:editId="3AF1FA97">
                  <wp:extent cx="659130" cy="478155"/>
                  <wp:effectExtent l="19050" t="0" r="7620" b="0"/>
                  <wp:docPr id="59" name="Image 2" descr="Description : Macintosh HD:Users:admin:Desktop:ais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Description : Macintosh HD:Users:admin:Desktop:aispp.jpg"/>
                          <pic:cNvPicPr>
                            <a:picLocks noChangeAspect="1" noChangeArrowheads="1"/>
                          </pic:cNvPicPr>
                        </pic:nvPicPr>
                        <pic:blipFill>
                          <a:blip r:embed="rId10"/>
                          <a:srcRect/>
                          <a:stretch>
                            <a:fillRect/>
                          </a:stretch>
                        </pic:blipFill>
                        <pic:spPr bwMode="auto">
                          <a:xfrm>
                            <a:off x="0" y="0"/>
                            <a:ext cx="659130" cy="478155"/>
                          </a:xfrm>
                          <a:prstGeom prst="rect">
                            <a:avLst/>
                          </a:prstGeom>
                          <a:noFill/>
                          <a:ln w="9525">
                            <a:noFill/>
                            <a:miter lim="800000"/>
                            <a:headEnd/>
                            <a:tailEnd/>
                          </a:ln>
                        </pic:spPr>
                      </pic:pic>
                    </a:graphicData>
                  </a:graphic>
                </wp:inline>
              </w:drawing>
            </w:r>
          </w:p>
        </w:tc>
        <w:tc>
          <w:tcPr>
            <w:tcW w:w="1216" w:type="dxa"/>
            <w:shd w:val="clear" w:color="auto" w:fill="auto"/>
          </w:tcPr>
          <w:p w14:paraId="1E0F4593" w14:textId="77777777" w:rsidR="00414CF6" w:rsidRPr="00414CF6" w:rsidRDefault="00414CF6" w:rsidP="0050124F">
            <w:pPr>
              <w:spacing w:after="0" w:line="240" w:lineRule="auto"/>
              <w:rPr>
                <w:rFonts w:ascii="Cambria" w:eastAsia="MS Mincho" w:hAnsi="Cambria"/>
                <w:sz w:val="20"/>
                <w:szCs w:val="20"/>
              </w:rPr>
            </w:pPr>
          </w:p>
          <w:p w14:paraId="4AECD6F8" w14:textId="77777777" w:rsidR="00414CF6" w:rsidRPr="00414CF6" w:rsidRDefault="002A2033" w:rsidP="0050124F">
            <w:pPr>
              <w:spacing w:after="0" w:line="240" w:lineRule="auto"/>
              <w:rPr>
                <w:rFonts w:ascii="Cambria" w:eastAsia="MS Mincho" w:hAnsi="Cambria"/>
                <w:sz w:val="20"/>
                <w:szCs w:val="20"/>
              </w:rPr>
            </w:pPr>
            <w:r>
              <w:rPr>
                <w:rFonts w:ascii="Cambria" w:eastAsia="MS Mincho" w:hAnsi="Cambria"/>
                <w:i/>
                <w:iCs/>
                <w:noProof/>
                <w:sz w:val="20"/>
                <w:szCs w:val="20"/>
                <w:lang w:eastAsia="fr-FR"/>
              </w:rPr>
              <w:drawing>
                <wp:inline distT="0" distB="0" distL="0" distR="0" wp14:anchorId="702756E2" wp14:editId="303D08C0">
                  <wp:extent cx="478155" cy="499745"/>
                  <wp:effectExtent l="19050" t="0" r="0" b="0"/>
                  <wp:docPr id="58" name="Image 6" descr="Description : F:\26 JUIN LOGOS\logoInsa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Description : F:\26 JUIN LOGOS\logoInsaf.png"/>
                          <pic:cNvPicPr>
                            <a:picLocks noChangeAspect="1" noChangeArrowheads="1"/>
                          </pic:cNvPicPr>
                        </pic:nvPicPr>
                        <pic:blipFill>
                          <a:blip r:embed="rId11"/>
                          <a:srcRect/>
                          <a:stretch>
                            <a:fillRect/>
                          </a:stretch>
                        </pic:blipFill>
                        <pic:spPr bwMode="auto">
                          <a:xfrm>
                            <a:off x="0" y="0"/>
                            <a:ext cx="478155" cy="499745"/>
                          </a:xfrm>
                          <a:prstGeom prst="rect">
                            <a:avLst/>
                          </a:prstGeom>
                          <a:noFill/>
                          <a:ln w="9525">
                            <a:noFill/>
                            <a:miter lim="800000"/>
                            <a:headEnd/>
                            <a:tailEnd/>
                          </a:ln>
                        </pic:spPr>
                      </pic:pic>
                    </a:graphicData>
                  </a:graphic>
                </wp:inline>
              </w:drawing>
            </w:r>
          </w:p>
        </w:tc>
        <w:tc>
          <w:tcPr>
            <w:tcW w:w="1217" w:type="dxa"/>
            <w:shd w:val="clear" w:color="auto" w:fill="auto"/>
          </w:tcPr>
          <w:p w14:paraId="7AFFB544" w14:textId="77777777" w:rsidR="00414CF6" w:rsidRPr="00414CF6" w:rsidRDefault="00414CF6" w:rsidP="0050124F">
            <w:pPr>
              <w:spacing w:after="0" w:line="240" w:lineRule="auto"/>
              <w:rPr>
                <w:rFonts w:ascii="Cambria" w:eastAsia="MS Mincho" w:hAnsi="Cambria"/>
                <w:sz w:val="20"/>
                <w:szCs w:val="20"/>
              </w:rPr>
            </w:pPr>
          </w:p>
          <w:p w14:paraId="3ED9F55A" w14:textId="77777777" w:rsidR="00414CF6" w:rsidRPr="00414CF6" w:rsidRDefault="002A2033" w:rsidP="0050124F">
            <w:pPr>
              <w:spacing w:after="0" w:line="240" w:lineRule="auto"/>
              <w:rPr>
                <w:rFonts w:ascii="Cambria" w:eastAsia="MS Mincho" w:hAnsi="Cambria"/>
                <w:sz w:val="20"/>
                <w:szCs w:val="20"/>
              </w:rPr>
            </w:pPr>
            <w:r>
              <w:rPr>
                <w:rFonts w:ascii="Cambria" w:eastAsia="MS Mincho" w:hAnsi="Cambria"/>
                <w:i/>
                <w:iCs/>
                <w:noProof/>
                <w:sz w:val="20"/>
                <w:szCs w:val="20"/>
                <w:lang w:eastAsia="fr-FR"/>
              </w:rPr>
              <w:drawing>
                <wp:inline distT="0" distB="0" distL="0" distR="0" wp14:anchorId="30856FEA" wp14:editId="0A232666">
                  <wp:extent cx="712470" cy="425450"/>
                  <wp:effectExtent l="19050" t="0" r="0" b="0"/>
                  <wp:docPr id="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712470" cy="425450"/>
                          </a:xfrm>
                          <a:prstGeom prst="rect">
                            <a:avLst/>
                          </a:prstGeom>
                          <a:noFill/>
                          <a:ln w="9525">
                            <a:noFill/>
                            <a:miter lim="800000"/>
                            <a:headEnd/>
                            <a:tailEnd/>
                          </a:ln>
                        </pic:spPr>
                      </pic:pic>
                    </a:graphicData>
                  </a:graphic>
                </wp:inline>
              </w:drawing>
            </w:r>
          </w:p>
        </w:tc>
        <w:tc>
          <w:tcPr>
            <w:tcW w:w="1217" w:type="dxa"/>
            <w:shd w:val="clear" w:color="auto" w:fill="auto"/>
          </w:tcPr>
          <w:p w14:paraId="4AA65D14" w14:textId="77777777" w:rsidR="00414CF6" w:rsidRPr="00414CF6" w:rsidRDefault="00414CF6" w:rsidP="0050124F">
            <w:pPr>
              <w:spacing w:after="0" w:line="240" w:lineRule="auto"/>
              <w:rPr>
                <w:rFonts w:ascii="Cambria" w:eastAsia="MS Mincho" w:hAnsi="Cambria"/>
                <w:sz w:val="24"/>
                <w:szCs w:val="24"/>
              </w:rPr>
            </w:pPr>
          </w:p>
          <w:p w14:paraId="6B4DAADE" w14:textId="77777777" w:rsidR="00414CF6" w:rsidRPr="00414CF6" w:rsidRDefault="002A2033" w:rsidP="0050124F">
            <w:pPr>
              <w:spacing w:after="0" w:line="240" w:lineRule="auto"/>
              <w:rPr>
                <w:rFonts w:ascii="Cambria" w:eastAsia="MS Mincho" w:hAnsi="Cambria"/>
                <w:sz w:val="24"/>
                <w:szCs w:val="24"/>
              </w:rPr>
            </w:pPr>
            <w:r>
              <w:rPr>
                <w:rFonts w:ascii="Cambria" w:eastAsia="MS Mincho" w:hAnsi="Cambria"/>
                <w:noProof/>
                <w:sz w:val="24"/>
                <w:szCs w:val="24"/>
                <w:lang w:eastAsia="fr-FR"/>
              </w:rPr>
              <w:drawing>
                <wp:inline distT="0" distB="0" distL="0" distR="0" wp14:anchorId="0184C7FD" wp14:editId="5DF8D979">
                  <wp:extent cx="446405" cy="499745"/>
                  <wp:effectExtent l="19050" t="0" r="0" b="0"/>
                  <wp:docPr id="56" name="Image 3" descr="Description : C:\Users\HALIMM~1\AppData\Local\Temp\damj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Description : C:\Users\HALIMM~1\AppData\Local\Temp\damj logo.jpg"/>
                          <pic:cNvPicPr>
                            <a:picLocks noChangeAspect="1" noChangeArrowheads="1"/>
                          </pic:cNvPicPr>
                        </pic:nvPicPr>
                        <pic:blipFill>
                          <a:blip r:embed="rId13"/>
                          <a:srcRect/>
                          <a:stretch>
                            <a:fillRect/>
                          </a:stretch>
                        </pic:blipFill>
                        <pic:spPr bwMode="auto">
                          <a:xfrm>
                            <a:off x="0" y="0"/>
                            <a:ext cx="446405" cy="499745"/>
                          </a:xfrm>
                          <a:prstGeom prst="rect">
                            <a:avLst/>
                          </a:prstGeom>
                          <a:noFill/>
                          <a:ln w="9525">
                            <a:noFill/>
                            <a:miter lim="800000"/>
                            <a:headEnd/>
                            <a:tailEnd/>
                          </a:ln>
                        </pic:spPr>
                      </pic:pic>
                    </a:graphicData>
                  </a:graphic>
                </wp:inline>
              </w:drawing>
            </w:r>
          </w:p>
        </w:tc>
        <w:tc>
          <w:tcPr>
            <w:tcW w:w="1217" w:type="dxa"/>
            <w:shd w:val="clear" w:color="auto" w:fill="auto"/>
          </w:tcPr>
          <w:p w14:paraId="1DA1085A" w14:textId="77777777" w:rsidR="00414CF6" w:rsidRPr="00414CF6" w:rsidRDefault="00414CF6" w:rsidP="0050124F">
            <w:pPr>
              <w:spacing w:after="0" w:line="240" w:lineRule="auto"/>
              <w:jc w:val="center"/>
              <w:rPr>
                <w:rFonts w:ascii="Cambria" w:eastAsia="MS Mincho" w:hAnsi="Cambria"/>
                <w:sz w:val="16"/>
                <w:szCs w:val="16"/>
              </w:rPr>
            </w:pPr>
          </w:p>
          <w:p w14:paraId="45CA285B" w14:textId="77777777" w:rsidR="00414CF6" w:rsidRPr="00414CF6" w:rsidRDefault="002A2033" w:rsidP="0050124F">
            <w:pPr>
              <w:spacing w:after="0" w:line="240" w:lineRule="auto"/>
              <w:jc w:val="center"/>
              <w:rPr>
                <w:rFonts w:ascii="Cambria" w:eastAsia="MS Mincho" w:hAnsi="Cambria"/>
                <w:sz w:val="24"/>
                <w:szCs w:val="24"/>
              </w:rPr>
            </w:pPr>
            <w:r>
              <w:rPr>
                <w:rFonts w:ascii="Cambria" w:eastAsia="MS Mincho" w:hAnsi="Cambria"/>
                <w:noProof/>
                <w:sz w:val="20"/>
                <w:szCs w:val="20"/>
                <w:lang w:eastAsia="fr-FR"/>
              </w:rPr>
              <w:drawing>
                <wp:inline distT="0" distB="0" distL="0" distR="0" wp14:anchorId="2EBBE960" wp14:editId="79F4D4D3">
                  <wp:extent cx="478155" cy="605790"/>
                  <wp:effectExtent l="19050" t="0" r="0" b="0"/>
                  <wp:docPr id="55" name="Image 4" descr="Description : F:\26 JUIN LOGOS\LOGO AT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Description : F:\26 JUIN LOGOS\LOGO ATJA.jpg"/>
                          <pic:cNvPicPr>
                            <a:picLocks noChangeAspect="1" noChangeArrowheads="1"/>
                          </pic:cNvPicPr>
                        </pic:nvPicPr>
                        <pic:blipFill>
                          <a:blip r:embed="rId14"/>
                          <a:srcRect/>
                          <a:stretch>
                            <a:fillRect/>
                          </a:stretch>
                        </pic:blipFill>
                        <pic:spPr bwMode="auto">
                          <a:xfrm>
                            <a:off x="0" y="0"/>
                            <a:ext cx="478155" cy="605790"/>
                          </a:xfrm>
                          <a:prstGeom prst="rect">
                            <a:avLst/>
                          </a:prstGeom>
                          <a:noFill/>
                          <a:ln w="9525">
                            <a:noFill/>
                            <a:miter lim="800000"/>
                            <a:headEnd/>
                            <a:tailEnd/>
                          </a:ln>
                        </pic:spPr>
                      </pic:pic>
                    </a:graphicData>
                  </a:graphic>
                </wp:inline>
              </w:drawing>
            </w:r>
          </w:p>
        </w:tc>
        <w:tc>
          <w:tcPr>
            <w:tcW w:w="1217" w:type="dxa"/>
            <w:shd w:val="clear" w:color="auto" w:fill="auto"/>
          </w:tcPr>
          <w:p w14:paraId="777B05B8" w14:textId="77777777" w:rsidR="00414CF6" w:rsidRPr="00414CF6" w:rsidRDefault="002A2033" w:rsidP="0050124F">
            <w:pPr>
              <w:spacing w:after="0" w:line="240" w:lineRule="auto"/>
              <w:jc w:val="center"/>
              <w:rPr>
                <w:rFonts w:ascii="Cambria" w:eastAsia="MS Mincho" w:hAnsi="Cambria"/>
                <w:sz w:val="24"/>
                <w:szCs w:val="24"/>
              </w:rPr>
            </w:pPr>
            <w:r>
              <w:rPr>
                <w:rFonts w:ascii="Cambria" w:eastAsia="MS Mincho" w:hAnsi="Cambria"/>
                <w:i/>
                <w:iCs/>
                <w:noProof/>
                <w:sz w:val="20"/>
                <w:szCs w:val="20"/>
                <w:lang w:eastAsia="fr-FR"/>
              </w:rPr>
              <w:drawing>
                <wp:inline distT="0" distB="0" distL="0" distR="0" wp14:anchorId="40959166" wp14:editId="44F7BB83">
                  <wp:extent cx="510540" cy="733425"/>
                  <wp:effectExtent l="19050" t="0" r="3810" b="0"/>
                  <wp:docPr id="54" name="Image 5" descr="Description : F:\26 JUIN LOGOS\ltdh 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Description : F:\26 JUIN LOGOS\ltdh 2012.png"/>
                          <pic:cNvPicPr>
                            <a:picLocks noChangeAspect="1" noChangeArrowheads="1"/>
                          </pic:cNvPicPr>
                        </pic:nvPicPr>
                        <pic:blipFill>
                          <a:blip r:embed="rId15"/>
                          <a:srcRect/>
                          <a:stretch>
                            <a:fillRect/>
                          </a:stretch>
                        </pic:blipFill>
                        <pic:spPr bwMode="auto">
                          <a:xfrm>
                            <a:off x="0" y="0"/>
                            <a:ext cx="510540" cy="733425"/>
                          </a:xfrm>
                          <a:prstGeom prst="rect">
                            <a:avLst/>
                          </a:prstGeom>
                          <a:noFill/>
                          <a:ln w="9525">
                            <a:noFill/>
                            <a:miter lim="800000"/>
                            <a:headEnd/>
                            <a:tailEnd/>
                          </a:ln>
                        </pic:spPr>
                      </pic:pic>
                    </a:graphicData>
                  </a:graphic>
                </wp:inline>
              </w:drawing>
            </w:r>
          </w:p>
          <w:p w14:paraId="45975BCE" w14:textId="77777777" w:rsidR="00414CF6" w:rsidRPr="00414CF6" w:rsidRDefault="00414CF6" w:rsidP="0050124F">
            <w:pPr>
              <w:spacing w:after="0" w:line="240" w:lineRule="auto"/>
              <w:jc w:val="center"/>
              <w:rPr>
                <w:rFonts w:ascii="Cambria" w:eastAsia="MS Mincho" w:hAnsi="Cambria"/>
                <w:sz w:val="16"/>
                <w:szCs w:val="16"/>
              </w:rPr>
            </w:pPr>
          </w:p>
        </w:tc>
      </w:tr>
      <w:tr w:rsidR="00414CF6" w:rsidRPr="00414CF6" w14:paraId="22AF3C9F" w14:textId="77777777" w:rsidTr="0050124F">
        <w:trPr>
          <w:jc w:val="center"/>
        </w:trPr>
        <w:tc>
          <w:tcPr>
            <w:tcW w:w="1216" w:type="dxa"/>
            <w:shd w:val="clear" w:color="auto" w:fill="auto"/>
          </w:tcPr>
          <w:p w14:paraId="3D445632" w14:textId="77777777" w:rsidR="00414CF6" w:rsidRPr="00414CF6" w:rsidRDefault="00414CF6" w:rsidP="0050124F">
            <w:pPr>
              <w:tabs>
                <w:tab w:val="left" w:pos="560"/>
              </w:tabs>
              <w:spacing w:after="0" w:line="240" w:lineRule="auto"/>
              <w:rPr>
                <w:rFonts w:ascii="Cambria" w:eastAsia="MS Mincho" w:hAnsi="Cambria"/>
                <w:sz w:val="24"/>
                <w:szCs w:val="24"/>
              </w:rPr>
            </w:pPr>
          </w:p>
        </w:tc>
        <w:tc>
          <w:tcPr>
            <w:tcW w:w="1216" w:type="dxa"/>
            <w:shd w:val="clear" w:color="auto" w:fill="auto"/>
          </w:tcPr>
          <w:p w14:paraId="01AB836D" w14:textId="77777777" w:rsidR="00414CF6" w:rsidRPr="00414CF6" w:rsidRDefault="00414CF6" w:rsidP="0050124F">
            <w:pPr>
              <w:spacing w:after="0" w:line="240" w:lineRule="auto"/>
              <w:rPr>
                <w:rFonts w:ascii="Cambria" w:eastAsia="MS Mincho" w:hAnsi="Cambria"/>
                <w:sz w:val="12"/>
                <w:szCs w:val="12"/>
              </w:rPr>
            </w:pPr>
          </w:p>
          <w:p w14:paraId="2BDD961C" w14:textId="77777777" w:rsidR="00414CF6" w:rsidRPr="00414CF6" w:rsidRDefault="002A2033" w:rsidP="0050124F">
            <w:pPr>
              <w:spacing w:after="0" w:line="240" w:lineRule="auto"/>
              <w:rPr>
                <w:rFonts w:ascii="Cambria" w:eastAsia="MS Mincho" w:hAnsi="Cambria"/>
                <w:sz w:val="24"/>
                <w:szCs w:val="24"/>
              </w:rPr>
            </w:pPr>
            <w:r>
              <w:rPr>
                <w:rFonts w:ascii="Cambria" w:eastAsia="MS Mincho" w:hAnsi="Cambria"/>
                <w:i/>
                <w:iCs/>
                <w:noProof/>
                <w:sz w:val="20"/>
                <w:szCs w:val="20"/>
                <w:lang w:eastAsia="fr-FR"/>
              </w:rPr>
              <w:drawing>
                <wp:inline distT="0" distB="0" distL="0" distR="0" wp14:anchorId="6EE1790A" wp14:editId="5AED566A">
                  <wp:extent cx="382905" cy="351155"/>
                  <wp:effectExtent l="19050" t="0" r="0" b="0"/>
                  <wp:docPr id="53" name="Image 7" descr="Description : F:\26 JUIN LOGO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Description : F:\26 JUIN LOGOS\image.png"/>
                          <pic:cNvPicPr>
                            <a:picLocks noChangeAspect="1" noChangeArrowheads="1"/>
                          </pic:cNvPicPr>
                        </pic:nvPicPr>
                        <pic:blipFill>
                          <a:blip r:embed="rId16"/>
                          <a:srcRect/>
                          <a:stretch>
                            <a:fillRect/>
                          </a:stretch>
                        </pic:blipFill>
                        <pic:spPr bwMode="auto">
                          <a:xfrm>
                            <a:off x="0" y="0"/>
                            <a:ext cx="382905" cy="351155"/>
                          </a:xfrm>
                          <a:prstGeom prst="rect">
                            <a:avLst/>
                          </a:prstGeom>
                          <a:noFill/>
                          <a:ln w="9525">
                            <a:noFill/>
                            <a:miter lim="800000"/>
                            <a:headEnd/>
                            <a:tailEnd/>
                          </a:ln>
                        </pic:spPr>
                      </pic:pic>
                    </a:graphicData>
                  </a:graphic>
                </wp:inline>
              </w:drawing>
            </w:r>
          </w:p>
        </w:tc>
        <w:tc>
          <w:tcPr>
            <w:tcW w:w="1216" w:type="dxa"/>
            <w:shd w:val="clear" w:color="auto" w:fill="auto"/>
          </w:tcPr>
          <w:p w14:paraId="6ED47BC6" w14:textId="77777777" w:rsidR="00414CF6" w:rsidRPr="00414CF6" w:rsidRDefault="002A2033" w:rsidP="0050124F">
            <w:pPr>
              <w:spacing w:after="0" w:line="240" w:lineRule="auto"/>
              <w:rPr>
                <w:rFonts w:ascii="Cambria" w:eastAsia="MS Mincho" w:hAnsi="Cambria"/>
                <w:sz w:val="24"/>
                <w:szCs w:val="24"/>
              </w:rPr>
            </w:pPr>
            <w:r>
              <w:rPr>
                <w:rFonts w:ascii="Cambria" w:eastAsia="MS Mincho" w:hAnsi="Cambria"/>
                <w:i/>
                <w:iCs/>
                <w:noProof/>
                <w:sz w:val="20"/>
                <w:szCs w:val="20"/>
                <w:lang w:eastAsia="fr-FR"/>
              </w:rPr>
              <w:drawing>
                <wp:inline distT="0" distB="0" distL="0" distR="0" wp14:anchorId="5E18FBFE" wp14:editId="7F883728">
                  <wp:extent cx="436245" cy="467995"/>
                  <wp:effectExtent l="19050" t="0" r="1905" b="0"/>
                  <wp:docPr id="52" name="Image 8" descr="Description : F:\26 JUIN LOGOS\301326_350562988377448_3017262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Description : F:\26 JUIN LOGOS\301326_350562988377448_301726220_n.jpg"/>
                          <pic:cNvPicPr>
                            <a:picLocks noChangeAspect="1" noChangeArrowheads="1"/>
                          </pic:cNvPicPr>
                        </pic:nvPicPr>
                        <pic:blipFill>
                          <a:blip r:embed="rId17"/>
                          <a:srcRect/>
                          <a:stretch>
                            <a:fillRect/>
                          </a:stretch>
                        </pic:blipFill>
                        <pic:spPr bwMode="auto">
                          <a:xfrm>
                            <a:off x="0" y="0"/>
                            <a:ext cx="436245" cy="467995"/>
                          </a:xfrm>
                          <a:prstGeom prst="rect">
                            <a:avLst/>
                          </a:prstGeom>
                          <a:noFill/>
                          <a:ln w="9525">
                            <a:noFill/>
                            <a:miter lim="800000"/>
                            <a:headEnd/>
                            <a:tailEnd/>
                          </a:ln>
                        </pic:spPr>
                      </pic:pic>
                    </a:graphicData>
                  </a:graphic>
                </wp:inline>
              </w:drawing>
            </w:r>
          </w:p>
        </w:tc>
        <w:tc>
          <w:tcPr>
            <w:tcW w:w="1217" w:type="dxa"/>
            <w:shd w:val="clear" w:color="auto" w:fill="auto"/>
          </w:tcPr>
          <w:p w14:paraId="689D5656" w14:textId="77777777" w:rsidR="00414CF6" w:rsidRPr="00414CF6" w:rsidRDefault="002A2033" w:rsidP="0050124F">
            <w:pPr>
              <w:spacing w:after="0" w:line="240" w:lineRule="auto"/>
              <w:rPr>
                <w:rFonts w:ascii="Cambria" w:eastAsia="MS Mincho" w:hAnsi="Cambria"/>
                <w:sz w:val="24"/>
                <w:szCs w:val="24"/>
              </w:rPr>
            </w:pPr>
            <w:r>
              <w:rPr>
                <w:rFonts w:ascii="Cambria" w:eastAsia="MS Mincho" w:hAnsi="Cambria"/>
                <w:i/>
                <w:iCs/>
                <w:noProof/>
                <w:sz w:val="20"/>
                <w:szCs w:val="20"/>
                <w:lang w:eastAsia="fr-FR"/>
              </w:rPr>
              <w:drawing>
                <wp:inline distT="0" distB="0" distL="0" distR="0" wp14:anchorId="27B8EB59" wp14:editId="7C298BDF">
                  <wp:extent cx="393700" cy="510540"/>
                  <wp:effectExtent l="19050" t="0" r="6350" b="0"/>
                  <wp:docPr id="51" name="Image 9" descr="Description : F:\26 JUIN LOGOS\1172_517457604952968_35237168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Description : F:\26 JUIN LOGOS\1172_517457604952968_352371680_n.png"/>
                          <pic:cNvPicPr>
                            <a:picLocks noChangeAspect="1" noChangeArrowheads="1"/>
                          </pic:cNvPicPr>
                        </pic:nvPicPr>
                        <pic:blipFill>
                          <a:blip r:embed="rId18"/>
                          <a:srcRect/>
                          <a:stretch>
                            <a:fillRect/>
                          </a:stretch>
                        </pic:blipFill>
                        <pic:spPr bwMode="auto">
                          <a:xfrm>
                            <a:off x="0" y="0"/>
                            <a:ext cx="393700" cy="510540"/>
                          </a:xfrm>
                          <a:prstGeom prst="rect">
                            <a:avLst/>
                          </a:prstGeom>
                          <a:noFill/>
                          <a:ln w="9525">
                            <a:noFill/>
                            <a:miter lim="800000"/>
                            <a:headEnd/>
                            <a:tailEnd/>
                          </a:ln>
                        </pic:spPr>
                      </pic:pic>
                    </a:graphicData>
                  </a:graphic>
                </wp:inline>
              </w:drawing>
            </w:r>
          </w:p>
        </w:tc>
        <w:tc>
          <w:tcPr>
            <w:tcW w:w="1217" w:type="dxa"/>
            <w:shd w:val="clear" w:color="auto" w:fill="auto"/>
          </w:tcPr>
          <w:p w14:paraId="7706015F" w14:textId="77777777" w:rsidR="00414CF6" w:rsidRPr="00414CF6" w:rsidRDefault="002A2033" w:rsidP="0050124F">
            <w:pPr>
              <w:spacing w:after="0" w:line="240" w:lineRule="auto"/>
              <w:rPr>
                <w:rFonts w:ascii="Cambria" w:eastAsia="MS Mincho" w:hAnsi="Cambria"/>
                <w:sz w:val="24"/>
                <w:szCs w:val="24"/>
              </w:rPr>
            </w:pPr>
            <w:r>
              <w:rPr>
                <w:rFonts w:ascii="Cambria" w:eastAsia="MS Mincho" w:hAnsi="Cambria"/>
                <w:i/>
                <w:iCs/>
                <w:noProof/>
                <w:sz w:val="20"/>
                <w:szCs w:val="20"/>
                <w:lang w:eastAsia="fr-FR"/>
              </w:rPr>
              <w:drawing>
                <wp:inline distT="0" distB="0" distL="0" distR="0" wp14:anchorId="60E7E258" wp14:editId="3AE33F62">
                  <wp:extent cx="563245" cy="574040"/>
                  <wp:effectExtent l="19050" t="0" r="8255" b="0"/>
                  <wp:docPr id="50" name="Image 10" descr="Description : F:\26 JUIN LOGOS\logo.OTR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descr="Description : F:\26 JUIN LOGOS\logo.OTRPS.jpg"/>
                          <pic:cNvPicPr>
                            <a:picLocks noChangeAspect="1" noChangeArrowheads="1"/>
                          </pic:cNvPicPr>
                        </pic:nvPicPr>
                        <pic:blipFill>
                          <a:blip r:embed="rId19"/>
                          <a:srcRect/>
                          <a:stretch>
                            <a:fillRect/>
                          </a:stretch>
                        </pic:blipFill>
                        <pic:spPr bwMode="auto">
                          <a:xfrm>
                            <a:off x="0" y="0"/>
                            <a:ext cx="563245" cy="574040"/>
                          </a:xfrm>
                          <a:prstGeom prst="rect">
                            <a:avLst/>
                          </a:prstGeom>
                          <a:noFill/>
                          <a:ln w="9525">
                            <a:noFill/>
                            <a:miter lim="800000"/>
                            <a:headEnd/>
                            <a:tailEnd/>
                          </a:ln>
                        </pic:spPr>
                      </pic:pic>
                    </a:graphicData>
                  </a:graphic>
                </wp:inline>
              </w:drawing>
            </w:r>
          </w:p>
        </w:tc>
        <w:tc>
          <w:tcPr>
            <w:tcW w:w="1217" w:type="dxa"/>
            <w:shd w:val="clear" w:color="auto" w:fill="auto"/>
          </w:tcPr>
          <w:p w14:paraId="3C6F9B70" w14:textId="77777777" w:rsidR="00414CF6" w:rsidRPr="00414CF6" w:rsidRDefault="00414CF6" w:rsidP="0050124F">
            <w:pPr>
              <w:spacing w:after="0" w:line="240" w:lineRule="auto"/>
              <w:rPr>
                <w:rFonts w:ascii="Cambria" w:eastAsia="MS Mincho" w:hAnsi="Cambria"/>
                <w:sz w:val="8"/>
                <w:szCs w:val="8"/>
              </w:rPr>
            </w:pPr>
          </w:p>
          <w:p w14:paraId="20AAF054" w14:textId="77777777" w:rsidR="00414CF6" w:rsidRPr="00414CF6" w:rsidRDefault="002A2033" w:rsidP="0050124F">
            <w:pPr>
              <w:spacing w:after="0" w:line="240" w:lineRule="auto"/>
              <w:rPr>
                <w:rFonts w:ascii="Cambria" w:eastAsia="MS Mincho" w:hAnsi="Cambria"/>
                <w:sz w:val="24"/>
                <w:szCs w:val="24"/>
              </w:rPr>
            </w:pPr>
            <w:r>
              <w:rPr>
                <w:rFonts w:ascii="Cambria" w:eastAsia="MS Mincho" w:hAnsi="Cambria"/>
                <w:noProof/>
                <w:sz w:val="20"/>
                <w:szCs w:val="20"/>
                <w:lang w:eastAsia="fr-FR"/>
              </w:rPr>
              <w:drawing>
                <wp:inline distT="0" distB="0" distL="0" distR="0" wp14:anchorId="3B035E48" wp14:editId="0B44B52B">
                  <wp:extent cx="871855" cy="403860"/>
                  <wp:effectExtent l="19050" t="0" r="4445"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871855" cy="403860"/>
                          </a:xfrm>
                          <a:prstGeom prst="rect">
                            <a:avLst/>
                          </a:prstGeom>
                          <a:noFill/>
                          <a:ln w="9525">
                            <a:noFill/>
                            <a:miter lim="800000"/>
                            <a:headEnd/>
                            <a:tailEnd/>
                          </a:ln>
                        </pic:spPr>
                      </pic:pic>
                    </a:graphicData>
                  </a:graphic>
                </wp:inline>
              </w:drawing>
            </w:r>
          </w:p>
        </w:tc>
        <w:tc>
          <w:tcPr>
            <w:tcW w:w="1217" w:type="dxa"/>
            <w:shd w:val="clear" w:color="auto" w:fill="auto"/>
          </w:tcPr>
          <w:p w14:paraId="58D29BC8" w14:textId="77777777" w:rsidR="00414CF6" w:rsidRPr="00414CF6" w:rsidRDefault="00414CF6" w:rsidP="0050124F">
            <w:pPr>
              <w:spacing w:after="0" w:line="240" w:lineRule="auto"/>
              <w:rPr>
                <w:rFonts w:ascii="Cambria" w:eastAsia="MS Mincho" w:hAnsi="Cambria"/>
                <w:sz w:val="24"/>
                <w:szCs w:val="24"/>
              </w:rPr>
            </w:pPr>
          </w:p>
        </w:tc>
      </w:tr>
    </w:tbl>
    <w:p w14:paraId="37B567FE" w14:textId="77777777" w:rsidR="00414CF6" w:rsidRPr="00414CF6" w:rsidRDefault="00414CF6" w:rsidP="00414CF6">
      <w:pPr>
        <w:spacing w:after="0" w:line="240" w:lineRule="auto"/>
        <w:rPr>
          <w:rFonts w:ascii="Cambria" w:eastAsia="MS Mincho" w:hAnsi="Cambria"/>
          <w:sz w:val="24"/>
          <w:szCs w:val="24"/>
        </w:rPr>
      </w:pPr>
    </w:p>
    <w:p w14:paraId="45635902" w14:textId="77777777" w:rsidR="00414CF6" w:rsidRDefault="00414CF6" w:rsidP="00414CF6">
      <w:pPr>
        <w:spacing w:after="0" w:line="240" w:lineRule="auto"/>
        <w:rPr>
          <w:rFonts w:eastAsia="MS Mincho"/>
          <w:b/>
        </w:rPr>
      </w:pPr>
    </w:p>
    <w:p w14:paraId="0F5A847C" w14:textId="77777777" w:rsidR="00414CF6" w:rsidRPr="00414CF6" w:rsidRDefault="00414CF6" w:rsidP="00414CF6">
      <w:pPr>
        <w:spacing w:after="0" w:line="240" w:lineRule="auto"/>
        <w:rPr>
          <w:rFonts w:eastAsia="MS Mincho"/>
          <w:b/>
        </w:rPr>
      </w:pPr>
      <w:r w:rsidRPr="00414CF6">
        <w:rPr>
          <w:rFonts w:eastAsia="MS Mincho"/>
          <w:b/>
        </w:rPr>
        <w:t>Table des matières</w:t>
      </w:r>
    </w:p>
    <w:p w14:paraId="1E994BF6" w14:textId="77777777" w:rsidR="00414CF6" w:rsidRPr="00414CF6" w:rsidRDefault="00414CF6" w:rsidP="00414CF6">
      <w:pPr>
        <w:spacing w:after="0" w:line="240" w:lineRule="auto"/>
        <w:rPr>
          <w:rFonts w:eastAsia="MS Mincho"/>
          <w:sz w:val="24"/>
          <w:szCs w:val="24"/>
        </w:rPr>
      </w:pPr>
    </w:p>
    <w:p w14:paraId="7A03D7B5" w14:textId="77777777" w:rsidR="00414CF6" w:rsidRPr="00414CF6" w:rsidRDefault="00414CF6" w:rsidP="00414CF6">
      <w:pPr>
        <w:spacing w:after="0" w:line="240" w:lineRule="auto"/>
        <w:rPr>
          <w:rFonts w:eastAsia="MS Mincho"/>
          <w:sz w:val="24"/>
          <w:szCs w:val="24"/>
        </w:rPr>
      </w:pPr>
    </w:p>
    <w:p w14:paraId="00773591" w14:textId="77777777" w:rsidR="00414CF6" w:rsidRPr="00B30CC5" w:rsidRDefault="00414CF6" w:rsidP="00414CF6">
      <w:pPr>
        <w:spacing w:after="0" w:line="240" w:lineRule="auto"/>
        <w:rPr>
          <w:rFonts w:asciiTheme="minorHAnsi" w:eastAsia="MS Mincho" w:hAnsiTheme="minorHAnsi"/>
          <w:sz w:val="24"/>
          <w:szCs w:val="24"/>
        </w:rPr>
      </w:pPr>
    </w:p>
    <w:tbl>
      <w:tblPr>
        <w:tblW w:w="8755" w:type="dxa"/>
        <w:tblLook w:val="04A0" w:firstRow="1" w:lastRow="0" w:firstColumn="1" w:lastColumn="0" w:noHBand="0" w:noVBand="1"/>
      </w:tblPr>
      <w:tblGrid>
        <w:gridCol w:w="675"/>
        <w:gridCol w:w="7640"/>
        <w:gridCol w:w="440"/>
      </w:tblGrid>
      <w:tr w:rsidR="00414CF6" w:rsidRPr="00B30CC5" w14:paraId="734E6D82" w14:textId="77777777" w:rsidTr="0050124F">
        <w:tc>
          <w:tcPr>
            <w:tcW w:w="8315" w:type="dxa"/>
            <w:gridSpan w:val="2"/>
            <w:shd w:val="clear" w:color="auto" w:fill="auto"/>
          </w:tcPr>
          <w:p w14:paraId="784EA40F" w14:textId="77777777" w:rsidR="00414CF6" w:rsidRPr="00B30CC5" w:rsidRDefault="00414CF6" w:rsidP="0050124F">
            <w:pPr>
              <w:spacing w:after="0" w:line="312" w:lineRule="auto"/>
              <w:rPr>
                <w:rFonts w:asciiTheme="minorHAnsi" w:eastAsia="MS Mincho" w:hAnsiTheme="minorHAnsi"/>
              </w:rPr>
            </w:pPr>
            <w:r w:rsidRPr="00B30CC5">
              <w:rPr>
                <w:rFonts w:asciiTheme="minorHAnsi" w:eastAsia="MS Mincho" w:hAnsiTheme="minorHAnsi"/>
              </w:rPr>
              <w:t>Introduction</w:t>
            </w:r>
          </w:p>
          <w:p w14:paraId="7BF8CFFA" w14:textId="77777777" w:rsidR="00414CF6" w:rsidRPr="00B30CC5" w:rsidRDefault="00414CF6" w:rsidP="0050124F">
            <w:pPr>
              <w:spacing w:after="0" w:line="312" w:lineRule="auto"/>
              <w:rPr>
                <w:rFonts w:asciiTheme="minorHAnsi" w:eastAsia="MS Mincho" w:hAnsiTheme="minorHAnsi"/>
              </w:rPr>
            </w:pPr>
          </w:p>
        </w:tc>
        <w:tc>
          <w:tcPr>
            <w:tcW w:w="440" w:type="dxa"/>
            <w:shd w:val="clear" w:color="auto" w:fill="auto"/>
          </w:tcPr>
          <w:p w14:paraId="134FB138" w14:textId="77777777" w:rsidR="00414CF6" w:rsidRPr="00B30CC5" w:rsidRDefault="00414CF6" w:rsidP="0050124F">
            <w:pPr>
              <w:spacing w:after="0" w:line="312" w:lineRule="auto"/>
              <w:jc w:val="right"/>
              <w:rPr>
                <w:rFonts w:asciiTheme="minorHAnsi" w:eastAsia="MS Mincho" w:hAnsiTheme="minorHAnsi"/>
                <w:sz w:val="20"/>
                <w:szCs w:val="20"/>
              </w:rPr>
            </w:pPr>
            <w:r w:rsidRPr="00B30CC5">
              <w:rPr>
                <w:rFonts w:asciiTheme="minorHAnsi" w:eastAsia="MS Mincho" w:hAnsiTheme="minorHAnsi"/>
                <w:sz w:val="20"/>
                <w:szCs w:val="20"/>
              </w:rPr>
              <w:t>3</w:t>
            </w:r>
          </w:p>
        </w:tc>
      </w:tr>
      <w:tr w:rsidR="00414CF6" w:rsidRPr="00B30CC5" w14:paraId="45295AF7" w14:textId="77777777" w:rsidTr="0050124F">
        <w:tc>
          <w:tcPr>
            <w:tcW w:w="8315" w:type="dxa"/>
            <w:gridSpan w:val="2"/>
            <w:shd w:val="clear" w:color="auto" w:fill="auto"/>
          </w:tcPr>
          <w:p w14:paraId="22CC0EF6" w14:textId="77777777" w:rsidR="00414CF6" w:rsidRPr="00B30CC5" w:rsidRDefault="00414CF6" w:rsidP="0050124F">
            <w:pPr>
              <w:spacing w:after="0" w:line="312" w:lineRule="auto"/>
              <w:rPr>
                <w:rFonts w:asciiTheme="minorHAnsi" w:eastAsia="MS Mincho" w:hAnsiTheme="minorHAnsi"/>
              </w:rPr>
            </w:pPr>
            <w:r w:rsidRPr="00B30CC5">
              <w:rPr>
                <w:rFonts w:asciiTheme="minorHAnsi" w:eastAsia="MS Mincho" w:hAnsiTheme="minorHAnsi"/>
              </w:rPr>
              <w:t>1. L’interdiction de la torture : entre théorie et pratique</w:t>
            </w:r>
          </w:p>
        </w:tc>
        <w:tc>
          <w:tcPr>
            <w:tcW w:w="440" w:type="dxa"/>
            <w:shd w:val="clear" w:color="auto" w:fill="auto"/>
          </w:tcPr>
          <w:p w14:paraId="0966BB3A" w14:textId="77777777" w:rsidR="00414CF6" w:rsidRPr="00B30CC5" w:rsidRDefault="00414CF6" w:rsidP="0050124F">
            <w:pPr>
              <w:spacing w:after="0" w:line="312" w:lineRule="auto"/>
              <w:jc w:val="right"/>
              <w:rPr>
                <w:rFonts w:asciiTheme="minorHAnsi" w:eastAsia="MS Mincho" w:hAnsiTheme="minorHAnsi"/>
                <w:sz w:val="20"/>
                <w:szCs w:val="20"/>
              </w:rPr>
            </w:pPr>
            <w:r w:rsidRPr="00B30CC5">
              <w:rPr>
                <w:rFonts w:asciiTheme="minorHAnsi" w:eastAsia="MS Mincho" w:hAnsiTheme="minorHAnsi"/>
                <w:sz w:val="20"/>
                <w:szCs w:val="20"/>
              </w:rPr>
              <w:t>4</w:t>
            </w:r>
          </w:p>
        </w:tc>
      </w:tr>
      <w:tr w:rsidR="00414CF6" w:rsidRPr="00B30CC5" w14:paraId="1F622187" w14:textId="77777777" w:rsidTr="0050124F">
        <w:tc>
          <w:tcPr>
            <w:tcW w:w="675" w:type="dxa"/>
            <w:shd w:val="clear" w:color="auto" w:fill="auto"/>
          </w:tcPr>
          <w:p w14:paraId="5E9386BA" w14:textId="77777777" w:rsidR="00414CF6" w:rsidRPr="00B30CC5" w:rsidRDefault="00414CF6" w:rsidP="0050124F">
            <w:pPr>
              <w:spacing w:after="0" w:line="312" w:lineRule="auto"/>
              <w:rPr>
                <w:rFonts w:asciiTheme="minorHAnsi" w:eastAsia="MS Mincho" w:hAnsiTheme="minorHAnsi"/>
              </w:rPr>
            </w:pPr>
          </w:p>
        </w:tc>
        <w:tc>
          <w:tcPr>
            <w:tcW w:w="7640" w:type="dxa"/>
            <w:shd w:val="clear" w:color="auto" w:fill="auto"/>
          </w:tcPr>
          <w:p w14:paraId="5CA474F8" w14:textId="77777777" w:rsidR="00414CF6" w:rsidRPr="00B30CC5" w:rsidRDefault="00414CF6" w:rsidP="0050124F">
            <w:pPr>
              <w:spacing w:after="0" w:line="312" w:lineRule="auto"/>
              <w:rPr>
                <w:rFonts w:asciiTheme="minorHAnsi" w:eastAsia="MS Mincho" w:hAnsiTheme="minorHAnsi"/>
              </w:rPr>
            </w:pPr>
            <w:r w:rsidRPr="00B30CC5">
              <w:rPr>
                <w:rFonts w:asciiTheme="minorHAnsi" w:eastAsia="MS Mincho" w:hAnsiTheme="minorHAnsi"/>
              </w:rPr>
              <w:t>a. Du point de vue législatif</w:t>
            </w:r>
          </w:p>
        </w:tc>
        <w:tc>
          <w:tcPr>
            <w:tcW w:w="440" w:type="dxa"/>
            <w:shd w:val="clear" w:color="auto" w:fill="auto"/>
          </w:tcPr>
          <w:p w14:paraId="2C284169" w14:textId="77777777" w:rsidR="00414CF6" w:rsidRPr="00B30CC5" w:rsidRDefault="00414CF6" w:rsidP="0050124F">
            <w:pPr>
              <w:spacing w:after="0" w:line="312" w:lineRule="auto"/>
              <w:jc w:val="right"/>
              <w:rPr>
                <w:rFonts w:asciiTheme="minorHAnsi" w:eastAsia="MS Mincho" w:hAnsiTheme="minorHAnsi"/>
                <w:sz w:val="20"/>
                <w:szCs w:val="20"/>
              </w:rPr>
            </w:pPr>
            <w:r w:rsidRPr="00B30CC5">
              <w:rPr>
                <w:rFonts w:asciiTheme="minorHAnsi" w:eastAsia="MS Mincho" w:hAnsiTheme="minorHAnsi"/>
                <w:sz w:val="20"/>
                <w:szCs w:val="20"/>
              </w:rPr>
              <w:t>4</w:t>
            </w:r>
          </w:p>
        </w:tc>
      </w:tr>
      <w:tr w:rsidR="00414CF6" w:rsidRPr="00B30CC5" w14:paraId="46EB531A" w14:textId="77777777" w:rsidTr="0050124F">
        <w:tc>
          <w:tcPr>
            <w:tcW w:w="675" w:type="dxa"/>
            <w:shd w:val="clear" w:color="auto" w:fill="auto"/>
          </w:tcPr>
          <w:p w14:paraId="12ACFD5B" w14:textId="77777777" w:rsidR="00414CF6" w:rsidRPr="00B30CC5" w:rsidRDefault="00414CF6" w:rsidP="0050124F">
            <w:pPr>
              <w:spacing w:after="0" w:line="312" w:lineRule="auto"/>
              <w:rPr>
                <w:rFonts w:asciiTheme="minorHAnsi" w:eastAsia="MS Mincho" w:hAnsiTheme="minorHAnsi"/>
              </w:rPr>
            </w:pPr>
          </w:p>
        </w:tc>
        <w:tc>
          <w:tcPr>
            <w:tcW w:w="7640" w:type="dxa"/>
            <w:shd w:val="clear" w:color="auto" w:fill="auto"/>
          </w:tcPr>
          <w:p w14:paraId="11804036" w14:textId="77777777" w:rsidR="00414CF6" w:rsidRPr="00B30CC5" w:rsidRDefault="00414CF6" w:rsidP="0050124F">
            <w:pPr>
              <w:spacing w:after="0" w:line="312" w:lineRule="auto"/>
              <w:rPr>
                <w:rFonts w:asciiTheme="minorHAnsi" w:eastAsia="MS Mincho" w:hAnsiTheme="minorHAnsi"/>
              </w:rPr>
            </w:pPr>
            <w:r w:rsidRPr="00B30CC5">
              <w:rPr>
                <w:rFonts w:asciiTheme="minorHAnsi" w:eastAsia="MS Mincho" w:hAnsiTheme="minorHAnsi"/>
              </w:rPr>
              <w:t>b. Les obstacles aux poursuites</w:t>
            </w:r>
          </w:p>
          <w:p w14:paraId="002C1B48" w14:textId="77777777" w:rsidR="00414CF6" w:rsidRPr="00B30CC5" w:rsidRDefault="00414CF6" w:rsidP="0050124F">
            <w:pPr>
              <w:spacing w:after="0" w:line="312" w:lineRule="auto"/>
              <w:rPr>
                <w:rFonts w:asciiTheme="minorHAnsi" w:eastAsia="MS Mincho" w:hAnsiTheme="minorHAnsi"/>
              </w:rPr>
            </w:pPr>
          </w:p>
        </w:tc>
        <w:tc>
          <w:tcPr>
            <w:tcW w:w="440" w:type="dxa"/>
            <w:shd w:val="clear" w:color="auto" w:fill="auto"/>
          </w:tcPr>
          <w:p w14:paraId="371F4D75" w14:textId="77777777" w:rsidR="00414CF6" w:rsidRPr="00B30CC5" w:rsidRDefault="00414CF6" w:rsidP="0050124F">
            <w:pPr>
              <w:spacing w:after="0" w:line="312" w:lineRule="auto"/>
              <w:jc w:val="right"/>
              <w:rPr>
                <w:rFonts w:asciiTheme="minorHAnsi" w:eastAsia="MS Mincho" w:hAnsiTheme="minorHAnsi"/>
                <w:sz w:val="20"/>
                <w:szCs w:val="20"/>
              </w:rPr>
            </w:pPr>
            <w:r w:rsidRPr="00B30CC5">
              <w:rPr>
                <w:rFonts w:asciiTheme="minorHAnsi" w:eastAsia="MS Mincho" w:hAnsiTheme="minorHAnsi"/>
                <w:sz w:val="20"/>
                <w:szCs w:val="20"/>
              </w:rPr>
              <w:t>6</w:t>
            </w:r>
          </w:p>
        </w:tc>
      </w:tr>
      <w:tr w:rsidR="00414CF6" w:rsidRPr="00B30CC5" w14:paraId="2F59E5E2" w14:textId="77777777" w:rsidTr="0050124F">
        <w:tc>
          <w:tcPr>
            <w:tcW w:w="8315" w:type="dxa"/>
            <w:gridSpan w:val="2"/>
            <w:shd w:val="clear" w:color="auto" w:fill="auto"/>
          </w:tcPr>
          <w:p w14:paraId="4CDFED41" w14:textId="77777777" w:rsidR="00414CF6" w:rsidRPr="00B30CC5" w:rsidRDefault="00414CF6" w:rsidP="0050124F">
            <w:pPr>
              <w:spacing w:after="0" w:line="312" w:lineRule="auto"/>
              <w:rPr>
                <w:rFonts w:asciiTheme="minorHAnsi" w:eastAsia="MS Mincho" w:hAnsiTheme="minorHAnsi"/>
              </w:rPr>
            </w:pPr>
            <w:r w:rsidRPr="00B30CC5">
              <w:rPr>
                <w:rFonts w:asciiTheme="minorHAnsi" w:eastAsia="MS Mincho" w:hAnsiTheme="minorHAnsi"/>
              </w:rPr>
              <w:t>2. La persistance de la torture nourrie par l’impunité</w:t>
            </w:r>
          </w:p>
          <w:p w14:paraId="459DA42A" w14:textId="77777777" w:rsidR="00414CF6" w:rsidRPr="00B30CC5" w:rsidRDefault="00414CF6" w:rsidP="0050124F">
            <w:pPr>
              <w:spacing w:after="0" w:line="312" w:lineRule="auto"/>
              <w:rPr>
                <w:rFonts w:asciiTheme="minorHAnsi" w:eastAsia="MS Mincho" w:hAnsiTheme="minorHAnsi"/>
              </w:rPr>
            </w:pPr>
          </w:p>
        </w:tc>
        <w:tc>
          <w:tcPr>
            <w:tcW w:w="440" w:type="dxa"/>
            <w:shd w:val="clear" w:color="auto" w:fill="auto"/>
          </w:tcPr>
          <w:p w14:paraId="4BAFB906" w14:textId="77777777" w:rsidR="00414CF6" w:rsidRPr="00B30CC5" w:rsidRDefault="00414CF6" w:rsidP="0050124F">
            <w:pPr>
              <w:spacing w:after="0" w:line="312" w:lineRule="auto"/>
              <w:jc w:val="right"/>
              <w:rPr>
                <w:rFonts w:asciiTheme="minorHAnsi" w:eastAsia="MS Mincho" w:hAnsiTheme="minorHAnsi"/>
                <w:sz w:val="20"/>
                <w:szCs w:val="20"/>
              </w:rPr>
            </w:pPr>
            <w:r w:rsidRPr="00B30CC5">
              <w:rPr>
                <w:rFonts w:asciiTheme="minorHAnsi" w:eastAsia="MS Mincho" w:hAnsiTheme="minorHAnsi"/>
                <w:sz w:val="20"/>
                <w:szCs w:val="20"/>
              </w:rPr>
              <w:t>9</w:t>
            </w:r>
          </w:p>
        </w:tc>
      </w:tr>
      <w:tr w:rsidR="00414CF6" w:rsidRPr="00B30CC5" w14:paraId="1F42A3BE" w14:textId="77777777" w:rsidTr="0050124F">
        <w:tc>
          <w:tcPr>
            <w:tcW w:w="8315" w:type="dxa"/>
            <w:gridSpan w:val="2"/>
            <w:shd w:val="clear" w:color="auto" w:fill="auto"/>
          </w:tcPr>
          <w:p w14:paraId="26D4EC9D" w14:textId="77777777" w:rsidR="00414CF6" w:rsidRPr="00B30CC5" w:rsidRDefault="00414CF6" w:rsidP="0050124F">
            <w:pPr>
              <w:spacing w:after="0" w:line="312" w:lineRule="auto"/>
              <w:rPr>
                <w:rFonts w:asciiTheme="minorHAnsi" w:eastAsia="MS Mincho" w:hAnsiTheme="minorHAnsi"/>
              </w:rPr>
            </w:pPr>
            <w:r w:rsidRPr="00B30CC5">
              <w:rPr>
                <w:rFonts w:asciiTheme="minorHAnsi" w:eastAsia="MS Mincho" w:hAnsiTheme="minorHAnsi"/>
              </w:rPr>
              <w:t>3. Lieux de privation de liberté</w:t>
            </w:r>
          </w:p>
        </w:tc>
        <w:tc>
          <w:tcPr>
            <w:tcW w:w="440" w:type="dxa"/>
            <w:shd w:val="clear" w:color="auto" w:fill="auto"/>
          </w:tcPr>
          <w:p w14:paraId="518610E3" w14:textId="77777777" w:rsidR="00414CF6" w:rsidRPr="00B30CC5" w:rsidRDefault="00414CF6" w:rsidP="0050124F">
            <w:pPr>
              <w:spacing w:after="0" w:line="312" w:lineRule="auto"/>
              <w:jc w:val="right"/>
              <w:rPr>
                <w:rFonts w:asciiTheme="minorHAnsi" w:eastAsia="MS Mincho" w:hAnsiTheme="minorHAnsi"/>
                <w:sz w:val="20"/>
                <w:szCs w:val="20"/>
              </w:rPr>
            </w:pPr>
            <w:r w:rsidRPr="00B30CC5">
              <w:rPr>
                <w:rFonts w:asciiTheme="minorHAnsi" w:eastAsia="MS Mincho" w:hAnsiTheme="minorHAnsi"/>
                <w:sz w:val="20"/>
                <w:szCs w:val="20"/>
              </w:rPr>
              <w:t>11</w:t>
            </w:r>
          </w:p>
        </w:tc>
      </w:tr>
      <w:tr w:rsidR="00414CF6" w:rsidRPr="00B30CC5" w14:paraId="140F5F6D" w14:textId="77777777" w:rsidTr="0050124F">
        <w:tc>
          <w:tcPr>
            <w:tcW w:w="675" w:type="dxa"/>
            <w:shd w:val="clear" w:color="auto" w:fill="auto"/>
          </w:tcPr>
          <w:p w14:paraId="5A906A3E" w14:textId="77777777" w:rsidR="00414CF6" w:rsidRPr="00B30CC5" w:rsidRDefault="00414CF6" w:rsidP="0050124F">
            <w:pPr>
              <w:spacing w:after="0" w:line="312" w:lineRule="auto"/>
              <w:rPr>
                <w:rFonts w:asciiTheme="minorHAnsi" w:eastAsia="MS Mincho" w:hAnsiTheme="minorHAnsi"/>
              </w:rPr>
            </w:pPr>
          </w:p>
        </w:tc>
        <w:tc>
          <w:tcPr>
            <w:tcW w:w="7640" w:type="dxa"/>
            <w:shd w:val="clear" w:color="auto" w:fill="auto"/>
          </w:tcPr>
          <w:p w14:paraId="7148AB88" w14:textId="77777777" w:rsidR="00414CF6" w:rsidRPr="00B30CC5" w:rsidRDefault="00414CF6" w:rsidP="0050124F">
            <w:pPr>
              <w:spacing w:after="0" w:line="312" w:lineRule="auto"/>
              <w:rPr>
                <w:rFonts w:asciiTheme="minorHAnsi" w:eastAsia="MS Mincho" w:hAnsiTheme="minorHAnsi"/>
              </w:rPr>
            </w:pPr>
            <w:r w:rsidRPr="00B30CC5">
              <w:rPr>
                <w:rFonts w:asciiTheme="minorHAnsi" w:eastAsia="MS Mincho" w:hAnsiTheme="minorHAnsi"/>
              </w:rPr>
              <w:t>a. Conditions de vie</w:t>
            </w:r>
          </w:p>
        </w:tc>
        <w:tc>
          <w:tcPr>
            <w:tcW w:w="440" w:type="dxa"/>
            <w:shd w:val="clear" w:color="auto" w:fill="auto"/>
          </w:tcPr>
          <w:p w14:paraId="0BE96689" w14:textId="77777777" w:rsidR="00414CF6" w:rsidRPr="00B30CC5" w:rsidRDefault="00414CF6" w:rsidP="0050124F">
            <w:pPr>
              <w:spacing w:after="0" w:line="312" w:lineRule="auto"/>
              <w:jc w:val="right"/>
              <w:rPr>
                <w:rFonts w:asciiTheme="minorHAnsi" w:eastAsia="MS Mincho" w:hAnsiTheme="minorHAnsi"/>
                <w:sz w:val="20"/>
                <w:szCs w:val="20"/>
              </w:rPr>
            </w:pPr>
            <w:r w:rsidRPr="00B30CC5">
              <w:rPr>
                <w:rFonts w:asciiTheme="minorHAnsi" w:eastAsia="MS Mincho" w:hAnsiTheme="minorHAnsi"/>
                <w:sz w:val="20"/>
                <w:szCs w:val="20"/>
              </w:rPr>
              <w:t>11</w:t>
            </w:r>
          </w:p>
        </w:tc>
      </w:tr>
      <w:tr w:rsidR="00414CF6" w:rsidRPr="00B30CC5" w14:paraId="00A0795C" w14:textId="77777777" w:rsidTr="0050124F">
        <w:tc>
          <w:tcPr>
            <w:tcW w:w="675" w:type="dxa"/>
            <w:shd w:val="clear" w:color="auto" w:fill="auto"/>
          </w:tcPr>
          <w:p w14:paraId="2CCCA148" w14:textId="77777777" w:rsidR="00414CF6" w:rsidRPr="00B30CC5" w:rsidRDefault="00414CF6" w:rsidP="0050124F">
            <w:pPr>
              <w:spacing w:after="0" w:line="312" w:lineRule="auto"/>
              <w:rPr>
                <w:rFonts w:asciiTheme="minorHAnsi" w:eastAsia="MS Mincho" w:hAnsiTheme="minorHAnsi"/>
              </w:rPr>
            </w:pPr>
          </w:p>
        </w:tc>
        <w:tc>
          <w:tcPr>
            <w:tcW w:w="7640" w:type="dxa"/>
            <w:shd w:val="clear" w:color="auto" w:fill="auto"/>
          </w:tcPr>
          <w:p w14:paraId="415401FA" w14:textId="77777777" w:rsidR="00414CF6" w:rsidRPr="00B30CC5" w:rsidRDefault="00414CF6" w:rsidP="0050124F">
            <w:pPr>
              <w:spacing w:after="0" w:line="312" w:lineRule="auto"/>
              <w:rPr>
                <w:rFonts w:asciiTheme="minorHAnsi" w:eastAsia="MS Mincho" w:hAnsiTheme="minorHAnsi"/>
              </w:rPr>
            </w:pPr>
            <w:r w:rsidRPr="00B30CC5">
              <w:rPr>
                <w:rFonts w:asciiTheme="minorHAnsi" w:eastAsia="MS Mincho" w:hAnsiTheme="minorHAnsi"/>
              </w:rPr>
              <w:t>b. Monitoring des lieux de privation de liberté</w:t>
            </w:r>
          </w:p>
        </w:tc>
        <w:tc>
          <w:tcPr>
            <w:tcW w:w="440" w:type="dxa"/>
            <w:shd w:val="clear" w:color="auto" w:fill="auto"/>
          </w:tcPr>
          <w:p w14:paraId="4EDC9DD9" w14:textId="77777777" w:rsidR="00414CF6" w:rsidRPr="00B30CC5" w:rsidRDefault="00414CF6" w:rsidP="0050124F">
            <w:pPr>
              <w:spacing w:after="0" w:line="312" w:lineRule="auto"/>
              <w:jc w:val="right"/>
              <w:rPr>
                <w:rFonts w:asciiTheme="minorHAnsi" w:eastAsia="MS Mincho" w:hAnsiTheme="minorHAnsi"/>
                <w:sz w:val="20"/>
                <w:szCs w:val="20"/>
              </w:rPr>
            </w:pPr>
            <w:r w:rsidRPr="00B30CC5">
              <w:rPr>
                <w:rFonts w:asciiTheme="minorHAnsi" w:eastAsia="MS Mincho" w:hAnsiTheme="minorHAnsi"/>
                <w:sz w:val="20"/>
                <w:szCs w:val="20"/>
              </w:rPr>
              <w:t>14</w:t>
            </w:r>
          </w:p>
        </w:tc>
      </w:tr>
      <w:tr w:rsidR="00414CF6" w:rsidRPr="00B30CC5" w14:paraId="3E646B6A" w14:textId="77777777" w:rsidTr="0050124F">
        <w:tc>
          <w:tcPr>
            <w:tcW w:w="675" w:type="dxa"/>
            <w:shd w:val="clear" w:color="auto" w:fill="auto"/>
          </w:tcPr>
          <w:p w14:paraId="275C64A3" w14:textId="77777777" w:rsidR="00414CF6" w:rsidRPr="00B30CC5" w:rsidRDefault="00414CF6" w:rsidP="0050124F">
            <w:pPr>
              <w:spacing w:after="0" w:line="312" w:lineRule="auto"/>
              <w:rPr>
                <w:rFonts w:asciiTheme="minorHAnsi" w:eastAsia="MS Mincho" w:hAnsiTheme="minorHAnsi"/>
              </w:rPr>
            </w:pPr>
          </w:p>
        </w:tc>
        <w:tc>
          <w:tcPr>
            <w:tcW w:w="7640" w:type="dxa"/>
            <w:shd w:val="clear" w:color="auto" w:fill="auto"/>
          </w:tcPr>
          <w:p w14:paraId="1E8D8D1F" w14:textId="77777777" w:rsidR="00414CF6" w:rsidRPr="00B30CC5" w:rsidRDefault="00414CF6" w:rsidP="0050124F">
            <w:pPr>
              <w:spacing w:after="0" w:line="312" w:lineRule="auto"/>
              <w:rPr>
                <w:rFonts w:asciiTheme="minorHAnsi" w:eastAsia="MS Mincho" w:hAnsiTheme="minorHAnsi"/>
              </w:rPr>
            </w:pPr>
            <w:r w:rsidRPr="00B30CC5">
              <w:rPr>
                <w:rFonts w:asciiTheme="minorHAnsi" w:eastAsia="MS Mincho" w:hAnsiTheme="minorHAnsi"/>
              </w:rPr>
              <w:t>c. Traitement des réclamations et plaintes des personnes privées de liberté</w:t>
            </w:r>
          </w:p>
          <w:p w14:paraId="376B9D51" w14:textId="77777777" w:rsidR="00414CF6" w:rsidRPr="00B30CC5" w:rsidRDefault="00414CF6" w:rsidP="0050124F">
            <w:pPr>
              <w:spacing w:after="0" w:line="312" w:lineRule="auto"/>
              <w:rPr>
                <w:rFonts w:asciiTheme="minorHAnsi" w:eastAsia="MS Mincho" w:hAnsiTheme="minorHAnsi"/>
              </w:rPr>
            </w:pPr>
          </w:p>
        </w:tc>
        <w:tc>
          <w:tcPr>
            <w:tcW w:w="440" w:type="dxa"/>
            <w:shd w:val="clear" w:color="auto" w:fill="auto"/>
          </w:tcPr>
          <w:p w14:paraId="367EED5A" w14:textId="77777777" w:rsidR="00414CF6" w:rsidRPr="00B30CC5" w:rsidRDefault="00414CF6" w:rsidP="0050124F">
            <w:pPr>
              <w:spacing w:after="0" w:line="312" w:lineRule="auto"/>
              <w:jc w:val="right"/>
              <w:rPr>
                <w:rFonts w:asciiTheme="minorHAnsi" w:eastAsia="MS Mincho" w:hAnsiTheme="minorHAnsi"/>
                <w:sz w:val="20"/>
                <w:szCs w:val="20"/>
              </w:rPr>
            </w:pPr>
            <w:r w:rsidRPr="00B30CC5">
              <w:rPr>
                <w:rFonts w:asciiTheme="minorHAnsi" w:eastAsia="MS Mincho" w:hAnsiTheme="minorHAnsi"/>
                <w:sz w:val="20"/>
                <w:szCs w:val="20"/>
              </w:rPr>
              <w:t>16</w:t>
            </w:r>
          </w:p>
        </w:tc>
      </w:tr>
      <w:tr w:rsidR="00414CF6" w:rsidRPr="00B30CC5" w14:paraId="1A453741" w14:textId="77777777" w:rsidTr="0050124F">
        <w:tc>
          <w:tcPr>
            <w:tcW w:w="8315" w:type="dxa"/>
            <w:gridSpan w:val="2"/>
            <w:shd w:val="clear" w:color="auto" w:fill="auto"/>
          </w:tcPr>
          <w:p w14:paraId="2D79938E" w14:textId="77777777" w:rsidR="00414CF6" w:rsidRPr="00B30CC5" w:rsidRDefault="00414CF6" w:rsidP="0050124F">
            <w:pPr>
              <w:spacing w:after="0" w:line="312" w:lineRule="auto"/>
              <w:rPr>
                <w:rFonts w:asciiTheme="minorHAnsi" w:eastAsia="MS Mincho" w:hAnsiTheme="minorHAnsi"/>
              </w:rPr>
            </w:pPr>
            <w:r w:rsidRPr="00B30CC5">
              <w:rPr>
                <w:rFonts w:asciiTheme="minorHAnsi" w:eastAsia="MS Mincho" w:hAnsiTheme="minorHAnsi"/>
              </w:rPr>
              <w:t>4. Les victimes de torture et autres peines ou traitements cruels, inhumains ou dégradants</w:t>
            </w:r>
          </w:p>
          <w:p w14:paraId="2C1E8475" w14:textId="77777777" w:rsidR="00414CF6" w:rsidRPr="00B30CC5" w:rsidRDefault="00414CF6" w:rsidP="0050124F">
            <w:pPr>
              <w:spacing w:after="0" w:line="312" w:lineRule="auto"/>
              <w:rPr>
                <w:rFonts w:asciiTheme="minorHAnsi" w:eastAsia="MS Mincho" w:hAnsiTheme="minorHAnsi"/>
              </w:rPr>
            </w:pPr>
          </w:p>
        </w:tc>
        <w:tc>
          <w:tcPr>
            <w:tcW w:w="440" w:type="dxa"/>
            <w:shd w:val="clear" w:color="auto" w:fill="auto"/>
          </w:tcPr>
          <w:p w14:paraId="29CC3620" w14:textId="77777777" w:rsidR="00414CF6" w:rsidRPr="00B30CC5" w:rsidRDefault="00414CF6" w:rsidP="0050124F">
            <w:pPr>
              <w:spacing w:after="0" w:line="312" w:lineRule="auto"/>
              <w:jc w:val="right"/>
              <w:rPr>
                <w:rFonts w:asciiTheme="minorHAnsi" w:eastAsia="MS Mincho" w:hAnsiTheme="minorHAnsi"/>
                <w:sz w:val="20"/>
                <w:szCs w:val="20"/>
              </w:rPr>
            </w:pPr>
            <w:r w:rsidRPr="00B30CC5">
              <w:rPr>
                <w:rFonts w:asciiTheme="minorHAnsi" w:eastAsia="MS Mincho" w:hAnsiTheme="minorHAnsi"/>
                <w:sz w:val="20"/>
                <w:szCs w:val="20"/>
              </w:rPr>
              <w:t>18</w:t>
            </w:r>
          </w:p>
        </w:tc>
      </w:tr>
      <w:tr w:rsidR="00414CF6" w:rsidRPr="00B30CC5" w14:paraId="0BBA7407" w14:textId="77777777" w:rsidTr="0050124F">
        <w:tc>
          <w:tcPr>
            <w:tcW w:w="8315" w:type="dxa"/>
            <w:gridSpan w:val="2"/>
            <w:shd w:val="clear" w:color="auto" w:fill="auto"/>
          </w:tcPr>
          <w:p w14:paraId="6C6572FB" w14:textId="77777777" w:rsidR="00414CF6" w:rsidRPr="00B30CC5" w:rsidRDefault="00414CF6" w:rsidP="0050124F">
            <w:pPr>
              <w:spacing w:after="0" w:line="312" w:lineRule="auto"/>
              <w:rPr>
                <w:rFonts w:asciiTheme="minorHAnsi" w:eastAsia="MS Mincho" w:hAnsiTheme="minorHAnsi"/>
              </w:rPr>
            </w:pPr>
            <w:r w:rsidRPr="00B30CC5">
              <w:rPr>
                <w:rFonts w:asciiTheme="minorHAnsi" w:eastAsia="MS Mincho" w:hAnsiTheme="minorHAnsi"/>
              </w:rPr>
              <w:t>Conclusions et recommandations</w:t>
            </w:r>
          </w:p>
        </w:tc>
        <w:tc>
          <w:tcPr>
            <w:tcW w:w="440" w:type="dxa"/>
            <w:shd w:val="clear" w:color="auto" w:fill="auto"/>
          </w:tcPr>
          <w:p w14:paraId="0AF8F422" w14:textId="77777777" w:rsidR="00414CF6" w:rsidRPr="00B30CC5" w:rsidRDefault="00414CF6" w:rsidP="0050124F">
            <w:pPr>
              <w:spacing w:after="0" w:line="312" w:lineRule="auto"/>
              <w:jc w:val="right"/>
              <w:rPr>
                <w:rFonts w:asciiTheme="minorHAnsi" w:eastAsia="MS Mincho" w:hAnsiTheme="minorHAnsi"/>
                <w:sz w:val="20"/>
                <w:szCs w:val="20"/>
              </w:rPr>
            </w:pPr>
            <w:r w:rsidRPr="00B30CC5">
              <w:rPr>
                <w:rFonts w:asciiTheme="minorHAnsi" w:eastAsia="MS Mincho" w:hAnsiTheme="minorHAnsi"/>
                <w:sz w:val="20"/>
                <w:szCs w:val="20"/>
              </w:rPr>
              <w:t>22</w:t>
            </w:r>
          </w:p>
        </w:tc>
      </w:tr>
    </w:tbl>
    <w:p w14:paraId="0B01E273" w14:textId="77777777" w:rsidR="00414CF6" w:rsidRPr="00B30CC5" w:rsidRDefault="00414CF6" w:rsidP="00414CF6">
      <w:pPr>
        <w:spacing w:after="0" w:line="240" w:lineRule="auto"/>
        <w:rPr>
          <w:rFonts w:asciiTheme="minorHAnsi" w:eastAsia="MS Mincho" w:hAnsiTheme="minorHAnsi"/>
          <w:sz w:val="24"/>
          <w:szCs w:val="24"/>
        </w:rPr>
      </w:pPr>
    </w:p>
    <w:p w14:paraId="62590834" w14:textId="77777777" w:rsidR="00414CF6" w:rsidRPr="00B30CC5" w:rsidRDefault="00414CF6" w:rsidP="00FD2029">
      <w:pPr>
        <w:jc w:val="both"/>
        <w:rPr>
          <w:rFonts w:asciiTheme="minorHAnsi" w:hAnsiTheme="minorHAnsi"/>
          <w:b/>
          <w:bCs/>
        </w:rPr>
      </w:pPr>
    </w:p>
    <w:p w14:paraId="0C9C9619" w14:textId="77777777" w:rsidR="00414CF6" w:rsidRPr="00B30CC5" w:rsidRDefault="00414CF6" w:rsidP="00FD2029">
      <w:pPr>
        <w:jc w:val="both"/>
        <w:rPr>
          <w:rFonts w:asciiTheme="minorHAnsi" w:hAnsiTheme="minorHAnsi"/>
          <w:b/>
          <w:bCs/>
        </w:rPr>
      </w:pPr>
    </w:p>
    <w:p w14:paraId="6E370370" w14:textId="77777777" w:rsidR="00414CF6" w:rsidRDefault="00414CF6" w:rsidP="00FD2029">
      <w:pPr>
        <w:jc w:val="both"/>
        <w:rPr>
          <w:b/>
          <w:bCs/>
        </w:rPr>
      </w:pPr>
    </w:p>
    <w:p w14:paraId="4F8BCF08" w14:textId="77777777" w:rsidR="00414CF6" w:rsidRDefault="00414CF6" w:rsidP="00FD2029">
      <w:pPr>
        <w:jc w:val="both"/>
        <w:rPr>
          <w:b/>
          <w:bCs/>
        </w:rPr>
      </w:pPr>
    </w:p>
    <w:p w14:paraId="41923CC0" w14:textId="77777777" w:rsidR="00414CF6" w:rsidRDefault="00414CF6" w:rsidP="00FD2029">
      <w:pPr>
        <w:jc w:val="both"/>
        <w:rPr>
          <w:b/>
          <w:bCs/>
        </w:rPr>
      </w:pPr>
    </w:p>
    <w:p w14:paraId="2231593C" w14:textId="77777777" w:rsidR="00414CF6" w:rsidRDefault="00414CF6" w:rsidP="00FD2029">
      <w:pPr>
        <w:jc w:val="both"/>
        <w:rPr>
          <w:b/>
          <w:bCs/>
        </w:rPr>
      </w:pPr>
    </w:p>
    <w:p w14:paraId="5A391136" w14:textId="77777777" w:rsidR="00414CF6" w:rsidRDefault="00414CF6" w:rsidP="00FD2029">
      <w:pPr>
        <w:jc w:val="both"/>
        <w:rPr>
          <w:b/>
          <w:bCs/>
        </w:rPr>
      </w:pPr>
    </w:p>
    <w:p w14:paraId="5A562A38" w14:textId="77777777" w:rsidR="00414CF6" w:rsidRDefault="00414CF6" w:rsidP="00FD2029">
      <w:pPr>
        <w:jc w:val="both"/>
        <w:rPr>
          <w:b/>
          <w:bCs/>
        </w:rPr>
      </w:pPr>
    </w:p>
    <w:p w14:paraId="369E8BDF" w14:textId="77777777" w:rsidR="00414CF6" w:rsidRDefault="00414CF6" w:rsidP="00FD2029">
      <w:pPr>
        <w:jc w:val="both"/>
        <w:rPr>
          <w:b/>
          <w:bCs/>
        </w:rPr>
      </w:pPr>
    </w:p>
    <w:p w14:paraId="7B68C891" w14:textId="77777777" w:rsidR="00414CF6" w:rsidRDefault="00414CF6" w:rsidP="00FD2029">
      <w:pPr>
        <w:jc w:val="both"/>
        <w:rPr>
          <w:b/>
          <w:bCs/>
        </w:rPr>
      </w:pPr>
    </w:p>
    <w:p w14:paraId="7DE36BB7" w14:textId="77777777" w:rsidR="00414CF6" w:rsidRDefault="00414CF6" w:rsidP="00FD2029">
      <w:pPr>
        <w:jc w:val="both"/>
        <w:rPr>
          <w:b/>
          <w:bCs/>
        </w:rPr>
      </w:pPr>
    </w:p>
    <w:p w14:paraId="18A8543A" w14:textId="77777777" w:rsidR="00414CF6" w:rsidRDefault="00414CF6" w:rsidP="00FD2029">
      <w:pPr>
        <w:jc w:val="both"/>
        <w:rPr>
          <w:b/>
          <w:bCs/>
        </w:rPr>
      </w:pPr>
    </w:p>
    <w:p w14:paraId="0CB3FB95" w14:textId="77777777" w:rsidR="00414CF6" w:rsidRDefault="00414CF6" w:rsidP="00FD2029">
      <w:pPr>
        <w:jc w:val="both"/>
        <w:rPr>
          <w:b/>
          <w:bCs/>
        </w:rPr>
      </w:pPr>
    </w:p>
    <w:p w14:paraId="6FC733AE" w14:textId="77777777" w:rsidR="00E82BC1" w:rsidRPr="00656B81" w:rsidRDefault="00E82BC1" w:rsidP="00FD2029">
      <w:pPr>
        <w:jc w:val="both"/>
        <w:rPr>
          <w:b/>
          <w:bCs/>
        </w:rPr>
      </w:pPr>
      <w:r w:rsidRPr="00656B81">
        <w:rPr>
          <w:b/>
          <w:bCs/>
        </w:rPr>
        <w:lastRenderedPageBreak/>
        <w:t>Les auteurs du Rapport </w:t>
      </w:r>
    </w:p>
    <w:p w14:paraId="48168F06" w14:textId="77777777" w:rsidR="00413BC1" w:rsidRDefault="00413BC1" w:rsidP="00FD2029">
      <w:pPr>
        <w:jc w:val="both"/>
      </w:pPr>
      <w:r w:rsidRPr="00656B81">
        <w:t xml:space="preserve">Ce rapport </w:t>
      </w:r>
      <w:r w:rsidR="005A73AA" w:rsidRPr="00656B81">
        <w:t>est</w:t>
      </w:r>
      <w:r w:rsidRPr="00656B81">
        <w:t xml:space="preserve"> l’œuvre des associations et ONG locales et internationales suivantes :</w:t>
      </w:r>
    </w:p>
    <w:p w14:paraId="2479B9EA" w14:textId="77777777" w:rsidR="0094374A" w:rsidRPr="00656B81" w:rsidRDefault="0094374A" w:rsidP="0094374A">
      <w:pPr>
        <w:jc w:val="both"/>
      </w:pPr>
      <w:r>
        <w:t>Association pour la Justice et la Réhabilitation</w:t>
      </w:r>
      <w:r>
        <w:tab/>
        <w:t>(AJR) ; Association Al Karama (AL KARAMA), Association Tunisienne des Jeunes Avocats(ATJA) ; Association Internationale pour le Soutien des Prisonniers Politiques (AISPP) ; Damj, l’association Tunisienne pour la justice et l’égalité</w:t>
      </w:r>
      <w:r>
        <w:tab/>
        <w:t xml:space="preserve"> (DAMJ) ; Fondation Tunisienne pour la Réforme Judiciaire et de Sécurité (FTRJS) ; Justice pour les Anciens Militaires (INSAF) ; Liberté et Équité (L&amp;E) ; Ligue Tunisienne pour la Défense des Droits de l’Homme (LTDH) ; Observatoire Chahed (CHAHED) ; Organisation Mondiale Contre la Torture (OMCT) ; Observatoire Tunisien pour l’Indépendance de la Magistrature</w:t>
      </w:r>
      <w:r>
        <w:tab/>
        <w:t>(OTIM) ; Observatoire Tunisien des Prisons</w:t>
      </w:r>
      <w:r>
        <w:tab/>
        <w:t>(OTP).</w:t>
      </w:r>
    </w:p>
    <w:p w14:paraId="6CDE0C96" w14:textId="77777777" w:rsidR="00413BC1" w:rsidRPr="00656B81" w:rsidRDefault="00F65A33" w:rsidP="00296A93">
      <w:pPr>
        <w:jc w:val="both"/>
      </w:pPr>
      <w:r w:rsidRPr="00656B81">
        <w:t xml:space="preserve">Ces </w:t>
      </w:r>
      <w:r w:rsidR="003758A3" w:rsidRPr="00656B81">
        <w:t xml:space="preserve">organisations </w:t>
      </w:r>
      <w:r w:rsidRPr="00656B81">
        <w:t xml:space="preserve">de la société civile </w:t>
      </w:r>
      <w:r w:rsidR="003758A3" w:rsidRPr="00656B81">
        <w:t xml:space="preserve">se mobilisent </w:t>
      </w:r>
      <w:r w:rsidRPr="00656B81">
        <w:t xml:space="preserve">dans la lutte et la prévention contre la torture, la promotion de la démocratie et </w:t>
      </w:r>
      <w:r w:rsidR="0045177D" w:rsidRPr="00656B81">
        <w:t xml:space="preserve">de </w:t>
      </w:r>
      <w:r w:rsidRPr="00656B81">
        <w:t>la justice transition</w:t>
      </w:r>
      <w:r w:rsidR="0045177D" w:rsidRPr="00656B81">
        <w:t>nelle</w:t>
      </w:r>
      <w:r w:rsidR="003758A3" w:rsidRPr="00656B81">
        <w:t>. Leurs moyens d’actions comprennent :</w:t>
      </w:r>
      <w:r w:rsidR="0045177D" w:rsidRPr="00656B81">
        <w:t xml:space="preserve"> des programmes</w:t>
      </w:r>
      <w:r w:rsidRPr="00656B81">
        <w:t xml:space="preserve"> </w:t>
      </w:r>
      <w:r w:rsidR="0045177D" w:rsidRPr="00656B81">
        <w:t>d’assistance aux victimes de</w:t>
      </w:r>
      <w:r w:rsidRPr="00656B81">
        <w:t xml:space="preserve"> torture et </w:t>
      </w:r>
      <w:r w:rsidR="00296A93" w:rsidRPr="00656B81">
        <w:t>d</w:t>
      </w:r>
      <w:r w:rsidR="003758A3" w:rsidRPr="00656B81">
        <w:t>’</w:t>
      </w:r>
      <w:r w:rsidRPr="00656B81">
        <w:t>autres peines</w:t>
      </w:r>
      <w:r w:rsidR="005B2264" w:rsidRPr="00656B81">
        <w:t xml:space="preserve"> ou traitements</w:t>
      </w:r>
      <w:r w:rsidRPr="00656B81">
        <w:t xml:space="preserve"> cruels, inhumains</w:t>
      </w:r>
      <w:r w:rsidR="00E37544" w:rsidRPr="00656B81">
        <w:t xml:space="preserve"> ou</w:t>
      </w:r>
      <w:r w:rsidRPr="00656B81">
        <w:t xml:space="preserve"> dégradants</w:t>
      </w:r>
      <w:r w:rsidR="003758A3" w:rsidRPr="00656B81">
        <w:t> ;</w:t>
      </w:r>
      <w:r w:rsidR="0045177D" w:rsidRPr="00656B81">
        <w:t xml:space="preserve"> </w:t>
      </w:r>
      <w:r w:rsidR="003758A3" w:rsidRPr="00656B81">
        <w:t>la</w:t>
      </w:r>
      <w:r w:rsidR="0045177D" w:rsidRPr="00656B81">
        <w:t xml:space="preserve"> </w:t>
      </w:r>
      <w:r w:rsidR="00296A93" w:rsidRPr="00656B81">
        <w:t>sensibilisation</w:t>
      </w:r>
      <w:r w:rsidR="003758A3" w:rsidRPr="00656B81">
        <w:t> ;</w:t>
      </w:r>
      <w:r w:rsidR="00296A93" w:rsidRPr="00656B81">
        <w:t xml:space="preserve"> </w:t>
      </w:r>
      <w:r w:rsidR="005A73AA" w:rsidRPr="00656B81">
        <w:t>l’appui des réformes législatives et institutionnelles, et</w:t>
      </w:r>
      <w:r w:rsidR="00296A93" w:rsidRPr="00656B81">
        <w:t xml:space="preserve"> le </w:t>
      </w:r>
      <w:r w:rsidR="0045177D" w:rsidRPr="00656B81">
        <w:t xml:space="preserve">plaidoyer pour </w:t>
      </w:r>
      <w:r w:rsidR="005A73AA" w:rsidRPr="00656B81">
        <w:t xml:space="preserve">leur mise en </w:t>
      </w:r>
      <w:r w:rsidR="00656B81" w:rsidRPr="00656B81">
        <w:t>œuvre</w:t>
      </w:r>
      <w:r w:rsidRPr="00656B81">
        <w:t>.</w:t>
      </w:r>
    </w:p>
    <w:p w14:paraId="1D95DABE" w14:textId="77777777" w:rsidR="00AE38CC" w:rsidRPr="00656B81" w:rsidRDefault="00AE38CC" w:rsidP="00296A93">
      <w:pPr>
        <w:jc w:val="both"/>
      </w:pPr>
    </w:p>
    <w:p w14:paraId="18F5756E" w14:textId="77777777" w:rsidR="00E82BC1" w:rsidRPr="00656B81" w:rsidRDefault="00E82BC1" w:rsidP="00FD2029">
      <w:pPr>
        <w:jc w:val="both"/>
        <w:rPr>
          <w:b/>
          <w:bCs/>
        </w:rPr>
      </w:pPr>
      <w:r w:rsidRPr="00656B81">
        <w:rPr>
          <w:b/>
          <w:bCs/>
        </w:rPr>
        <w:t>Introduction</w:t>
      </w:r>
      <w:r w:rsidR="00AE38CC" w:rsidRPr="00656B81">
        <w:rPr>
          <w:b/>
          <w:bCs/>
        </w:rPr>
        <w:t> </w:t>
      </w:r>
    </w:p>
    <w:p w14:paraId="1BA6BE9A" w14:textId="77777777" w:rsidR="00E94C97" w:rsidRPr="00656B81" w:rsidRDefault="009C2524" w:rsidP="00FD2029">
      <w:pPr>
        <w:jc w:val="both"/>
      </w:pPr>
      <w:r w:rsidRPr="00656B81">
        <w:t xml:space="preserve">La prévention de la torture et des mauvais traitements en Tunisie </w:t>
      </w:r>
      <w:r w:rsidR="003758A3" w:rsidRPr="00656B81">
        <w:t xml:space="preserve">revêt </w:t>
      </w:r>
      <w:r w:rsidRPr="00656B81">
        <w:t xml:space="preserve">une importance particulière en raison de l’ampleur de ces pratiques </w:t>
      </w:r>
      <w:r w:rsidR="003758A3" w:rsidRPr="00656B81">
        <w:t xml:space="preserve">ayant été utilisées de manière </w:t>
      </w:r>
      <w:r w:rsidRPr="00656B81">
        <w:t xml:space="preserve">systématique avant la révolution </w:t>
      </w:r>
      <w:r w:rsidR="00FD2029" w:rsidRPr="00656B81">
        <w:t>e</w:t>
      </w:r>
      <w:r w:rsidRPr="00656B81">
        <w:t xml:space="preserve">t </w:t>
      </w:r>
      <w:r w:rsidR="003758A3" w:rsidRPr="00656B81">
        <w:t>persistant</w:t>
      </w:r>
      <w:r w:rsidRPr="00656B81">
        <w:t xml:space="preserve"> </w:t>
      </w:r>
      <w:r w:rsidR="00B317B6" w:rsidRPr="00656B81">
        <w:t xml:space="preserve">encore </w:t>
      </w:r>
      <w:r w:rsidRPr="00656B81">
        <w:t>aujourd’hui</w:t>
      </w:r>
      <w:r w:rsidR="005B2264" w:rsidRPr="00656B81">
        <w:t xml:space="preserve"> </w:t>
      </w:r>
      <w:r w:rsidRPr="00656B81">
        <w:t>malgré l’avènement du 14 janvier 2011.</w:t>
      </w:r>
    </w:p>
    <w:p w14:paraId="66EAD1EA" w14:textId="77777777" w:rsidR="009C2524" w:rsidRPr="00656B81" w:rsidRDefault="003758A3" w:rsidP="00FD2029">
      <w:pPr>
        <w:jc w:val="both"/>
      </w:pPr>
      <w:r w:rsidRPr="00656B81">
        <w:t>L</w:t>
      </w:r>
      <w:r w:rsidR="009C2524" w:rsidRPr="00656B81">
        <w:t xml:space="preserve">e troisième rapport périodique de la Tunisie présenté au Comité contre la torture, </w:t>
      </w:r>
      <w:r w:rsidRPr="00656B81">
        <w:t>bien que</w:t>
      </w:r>
      <w:r w:rsidR="009C2524" w:rsidRPr="00656B81">
        <w:t xml:space="preserve"> largement en retard par rapport à la périodicité de quatre ans </w:t>
      </w:r>
      <w:r w:rsidRPr="00656B81">
        <w:t xml:space="preserve">requise </w:t>
      </w:r>
      <w:r w:rsidR="009C2524" w:rsidRPr="00656B81">
        <w:t xml:space="preserve">par </w:t>
      </w:r>
      <w:r w:rsidR="002B2B17" w:rsidRPr="00656B81">
        <w:t xml:space="preserve">l’article 19 de </w:t>
      </w:r>
      <w:r w:rsidR="009C2524" w:rsidRPr="00656B81">
        <w:t>la Convention contre la torture et autres peines ou traitements cruels, inhumains ou dégradants</w:t>
      </w:r>
      <w:r w:rsidR="00830A9C" w:rsidRPr="00656B81">
        <w:t xml:space="preserve"> (CAT)</w:t>
      </w:r>
      <w:r w:rsidR="009C2524" w:rsidRPr="00656B81">
        <w:t xml:space="preserve">, </w:t>
      </w:r>
      <w:r w:rsidRPr="00656B81">
        <w:t>est l’occasion</w:t>
      </w:r>
      <w:r w:rsidR="009C2524" w:rsidRPr="00656B81">
        <w:t xml:space="preserve"> </w:t>
      </w:r>
      <w:r w:rsidR="00B576FE" w:rsidRPr="00656B81">
        <w:t xml:space="preserve">de </w:t>
      </w:r>
      <w:r w:rsidR="009C2524" w:rsidRPr="00656B81">
        <w:t>faire le point sur le respect des engagements internationaux par l’Etat partie et d</w:t>
      </w:r>
      <w:r w:rsidR="00656B81">
        <w:t>’établir de nouvelles</w:t>
      </w:r>
      <w:r w:rsidR="009C2524" w:rsidRPr="00656B81">
        <w:t xml:space="preserve"> recommandations </w:t>
      </w:r>
      <w:r w:rsidR="00B317B6" w:rsidRPr="00656B81">
        <w:t>pour</w:t>
      </w:r>
      <w:r w:rsidR="009C2524" w:rsidRPr="00656B81">
        <w:t xml:space="preserve"> mieux lutter contre la torture et les mauvais traitements.</w:t>
      </w:r>
    </w:p>
    <w:p w14:paraId="5983F225" w14:textId="77777777" w:rsidR="00541748" w:rsidRPr="00656B81" w:rsidRDefault="00541748" w:rsidP="00161942">
      <w:pPr>
        <w:jc w:val="both"/>
      </w:pPr>
      <w:r w:rsidRPr="00656B81">
        <w:t xml:space="preserve">Depuis 1997, date du dernier rapport périodique présenté par l’Etat partie, la torture a été incriminée dans le Code pénal, article 101 bis, </w:t>
      </w:r>
      <w:r w:rsidR="00B317B6" w:rsidRPr="00656B81">
        <w:t xml:space="preserve">sans que </w:t>
      </w:r>
      <w:r w:rsidRPr="00656B81">
        <w:t xml:space="preserve">cela </w:t>
      </w:r>
      <w:r w:rsidR="00B317B6" w:rsidRPr="00656B81">
        <w:t>n’</w:t>
      </w:r>
      <w:r w:rsidRPr="00656B81">
        <w:t>engendr</w:t>
      </w:r>
      <w:r w:rsidR="00B317B6" w:rsidRPr="00656B81">
        <w:t>e</w:t>
      </w:r>
      <w:r w:rsidRPr="00656B81">
        <w:t xml:space="preserve"> </w:t>
      </w:r>
      <w:r w:rsidR="00B317B6" w:rsidRPr="00656B81">
        <w:t>d’</w:t>
      </w:r>
      <w:r w:rsidRPr="00656B81">
        <w:t>incidence pratique</w:t>
      </w:r>
      <w:r w:rsidR="00B317B6" w:rsidRPr="00656B81">
        <w:t xml:space="preserve">, </w:t>
      </w:r>
      <w:r w:rsidRPr="00656B81">
        <w:t>notamment jusqu’à la fuite du Président Ben Ali</w:t>
      </w:r>
      <w:r w:rsidR="00D906FF" w:rsidRPr="00656B81">
        <w:t>,</w:t>
      </w:r>
      <w:r w:rsidRPr="00656B81">
        <w:t xml:space="preserve"> le 14 janvier 2011.</w:t>
      </w:r>
    </w:p>
    <w:p w14:paraId="35ED641D" w14:textId="77777777" w:rsidR="00541748" w:rsidRPr="00656B81" w:rsidRDefault="00541748" w:rsidP="00656B81">
      <w:pPr>
        <w:jc w:val="both"/>
      </w:pPr>
      <w:r w:rsidRPr="00656B81">
        <w:t>Depuis cette date, la Tunisie vit un processus de transition démocratique</w:t>
      </w:r>
      <w:r w:rsidR="000007B4" w:rsidRPr="00656B81">
        <w:t xml:space="preserve"> </w:t>
      </w:r>
      <w:r w:rsidRPr="00656B81">
        <w:t>marqué par l’adoption</w:t>
      </w:r>
      <w:r w:rsidR="00B317B6" w:rsidRPr="00656B81">
        <w:t xml:space="preserve">, le 27 janvier 2014, </w:t>
      </w:r>
      <w:r w:rsidRPr="00656B81">
        <w:t>d’une nouvelle Constitution</w:t>
      </w:r>
      <w:r w:rsidR="009C19D4" w:rsidRPr="00656B81">
        <w:t xml:space="preserve">, </w:t>
      </w:r>
      <w:r w:rsidRPr="00656B81">
        <w:t>dont les plus importants mécanismes et institution</w:t>
      </w:r>
      <w:r w:rsidR="00796DC7" w:rsidRPr="00656B81">
        <w:t>s</w:t>
      </w:r>
      <w:r w:rsidRPr="00656B81">
        <w:t xml:space="preserve"> sont en cours </w:t>
      </w:r>
      <w:r w:rsidR="000007B4" w:rsidRPr="00656B81">
        <w:t xml:space="preserve"> </w:t>
      </w:r>
      <w:r w:rsidR="00B317B6" w:rsidRPr="00656B81">
        <w:t xml:space="preserve">de mise en </w:t>
      </w:r>
      <w:r w:rsidR="00161942" w:rsidRPr="00656B81">
        <w:t>œuvre</w:t>
      </w:r>
      <w:r w:rsidR="00656B81">
        <w:rPr>
          <w:rStyle w:val="FootnoteReference"/>
        </w:rPr>
        <w:footnoteReference w:id="1"/>
      </w:r>
      <w:r w:rsidRPr="00656B81">
        <w:t>.</w:t>
      </w:r>
      <w:r w:rsidR="00C46173" w:rsidRPr="00656B81">
        <w:t xml:space="preserve"> </w:t>
      </w:r>
    </w:p>
    <w:p w14:paraId="6F266ADF" w14:textId="77777777" w:rsidR="00804BC5" w:rsidRPr="00656B81" w:rsidRDefault="00541748" w:rsidP="00656B81">
      <w:pPr>
        <w:jc w:val="both"/>
      </w:pPr>
      <w:r w:rsidRPr="00656B81">
        <w:t xml:space="preserve">Durant cette phase de </w:t>
      </w:r>
      <w:r w:rsidR="00420F81" w:rsidRPr="00656B81">
        <w:t>transition, certaines</w:t>
      </w:r>
      <w:r w:rsidRPr="00656B81">
        <w:t xml:space="preserve"> </w:t>
      </w:r>
      <w:r w:rsidR="00B317B6" w:rsidRPr="00656B81">
        <w:t>avancées</w:t>
      </w:r>
      <w:r w:rsidR="00804BC5" w:rsidRPr="00656B81">
        <w:t xml:space="preserve"> ont été réalisé</w:t>
      </w:r>
      <w:r w:rsidR="00B317B6" w:rsidRPr="00656B81">
        <w:t>e</w:t>
      </w:r>
      <w:r w:rsidR="00804BC5" w:rsidRPr="00656B81">
        <w:t>s, telle</w:t>
      </w:r>
      <w:r w:rsidRPr="00656B81">
        <w:t xml:space="preserve"> l’</w:t>
      </w:r>
      <w:r w:rsidR="00804BC5" w:rsidRPr="00656B81">
        <w:t>adoption de nouvelles conv</w:t>
      </w:r>
      <w:r w:rsidRPr="00656B81">
        <w:t>entions internationales</w:t>
      </w:r>
      <w:r w:rsidR="00804BC5" w:rsidRPr="00656B81">
        <w:rPr>
          <w:rStyle w:val="FootnoteReference"/>
        </w:rPr>
        <w:footnoteReference w:id="2"/>
      </w:r>
      <w:r w:rsidRPr="00656B81">
        <w:t xml:space="preserve">, </w:t>
      </w:r>
      <w:r w:rsidR="00B317B6" w:rsidRPr="00656B81">
        <w:t xml:space="preserve">l’émergence de </w:t>
      </w:r>
      <w:r w:rsidRPr="00656B81">
        <w:t>la liberté d’expression ou</w:t>
      </w:r>
      <w:r w:rsidR="00E87F7C" w:rsidRPr="00656B81">
        <w:t xml:space="preserve"> encore</w:t>
      </w:r>
      <w:r w:rsidRPr="00656B81">
        <w:t xml:space="preserve"> le rôle p</w:t>
      </w:r>
      <w:r w:rsidR="00656B81">
        <w:t xml:space="preserve">lus actif et participatif de la </w:t>
      </w:r>
      <w:r w:rsidRPr="00656B81">
        <w:t>société civile</w:t>
      </w:r>
      <w:r w:rsidR="00863BC1">
        <w:rPr>
          <w:rStyle w:val="FootnoteReference"/>
        </w:rPr>
        <w:footnoteReference w:id="3"/>
      </w:r>
      <w:r w:rsidRPr="00656B81">
        <w:t>.</w:t>
      </w:r>
      <w:r w:rsidR="00804BC5" w:rsidRPr="00656B81">
        <w:t xml:space="preserve"> Mais des freins </w:t>
      </w:r>
      <w:r w:rsidR="00420F81" w:rsidRPr="00656B81">
        <w:t>entravent</w:t>
      </w:r>
      <w:r w:rsidR="00FD2029" w:rsidRPr="00656B81">
        <w:t xml:space="preserve"> ce processus</w:t>
      </w:r>
      <w:r w:rsidR="00B317B6" w:rsidRPr="00656B81">
        <w:t xml:space="preserve"> de démocratisation</w:t>
      </w:r>
      <w:r w:rsidR="00804BC5" w:rsidRPr="00656B81">
        <w:t>, telle la persistance de la torture et de l’impunité</w:t>
      </w:r>
      <w:r w:rsidR="00B317B6" w:rsidRPr="00656B81">
        <w:t>,</w:t>
      </w:r>
      <w:r w:rsidR="00804BC5" w:rsidRPr="00656B81">
        <w:t xml:space="preserve"> et l’absence de planification de réformes institutionnelles pour lutter spécifiquement contre </w:t>
      </w:r>
      <w:r w:rsidR="00B317B6" w:rsidRPr="00656B81">
        <w:t xml:space="preserve">ces </w:t>
      </w:r>
      <w:r w:rsidR="00804BC5" w:rsidRPr="00656B81">
        <w:t>fléau</w:t>
      </w:r>
      <w:r w:rsidR="00B317B6" w:rsidRPr="00656B81">
        <w:t>x</w:t>
      </w:r>
      <w:r w:rsidR="00804BC5" w:rsidRPr="00656B81">
        <w:t>.</w:t>
      </w:r>
    </w:p>
    <w:p w14:paraId="2FDEF203" w14:textId="77777777" w:rsidR="00D0161B" w:rsidRPr="00656B81" w:rsidRDefault="00D0161B" w:rsidP="00E87F7C">
      <w:pPr>
        <w:jc w:val="both"/>
      </w:pPr>
      <w:r w:rsidRPr="00656B81">
        <w:t xml:space="preserve">Presque tous les volets de la lutte ou la prévention contre la torture sont traités ou abordés par les autorités (incrimination de la torture, réparation et </w:t>
      </w:r>
      <w:r w:rsidR="002B2B17" w:rsidRPr="00656B81">
        <w:t>réhabilitation</w:t>
      </w:r>
      <w:r w:rsidRPr="00656B81">
        <w:t xml:space="preserve"> des victimes, mécanismes de préventions, </w:t>
      </w:r>
      <w:r w:rsidR="002B2B17" w:rsidRPr="00656B81">
        <w:t>etc.</w:t>
      </w:r>
      <w:r w:rsidRPr="00656B81">
        <w:t xml:space="preserve">), mais ils </w:t>
      </w:r>
      <w:r w:rsidR="00B317B6" w:rsidRPr="00656B81">
        <w:t xml:space="preserve">ne </w:t>
      </w:r>
      <w:r w:rsidRPr="00656B81">
        <w:t xml:space="preserve">le sont </w:t>
      </w:r>
      <w:r w:rsidR="00B317B6" w:rsidRPr="00656B81">
        <w:t xml:space="preserve">que </w:t>
      </w:r>
      <w:r w:rsidRPr="00656B81">
        <w:t>d</w:t>
      </w:r>
      <w:r w:rsidR="00656B81">
        <w:t xml:space="preserve">e façon sporadique laissant </w:t>
      </w:r>
      <w:r w:rsidRPr="00656B81">
        <w:t>un grand fossé entre la théorie et la pratique</w:t>
      </w:r>
      <w:r w:rsidR="00E87F7C" w:rsidRPr="00656B81">
        <w:t>.</w:t>
      </w:r>
    </w:p>
    <w:p w14:paraId="16F72074" w14:textId="77777777" w:rsidR="007352D4" w:rsidRPr="00656B81" w:rsidRDefault="00C7326A" w:rsidP="00656B81">
      <w:pPr>
        <w:jc w:val="both"/>
      </w:pPr>
      <w:r w:rsidRPr="00656B81">
        <w:t>L</w:t>
      </w:r>
      <w:r w:rsidR="00D0161B" w:rsidRPr="00656B81">
        <w:t xml:space="preserve">es </w:t>
      </w:r>
      <w:r w:rsidR="00B317B6" w:rsidRPr="00656B81">
        <w:t xml:space="preserve">défis </w:t>
      </w:r>
      <w:r w:rsidR="00D0161B" w:rsidRPr="00656B81">
        <w:t xml:space="preserve">de la transition démocratique sont </w:t>
      </w:r>
      <w:r w:rsidR="00DD368E">
        <w:t>énormes</w:t>
      </w:r>
      <w:r w:rsidRPr="00656B81">
        <w:t xml:space="preserve"> : </w:t>
      </w:r>
      <w:r w:rsidR="00D0161B" w:rsidRPr="00656B81">
        <w:t xml:space="preserve">lourdeur de l’héritage de l’ancien régime, absence </w:t>
      </w:r>
      <w:r w:rsidR="007352D4" w:rsidRPr="00656B81">
        <w:t xml:space="preserve">de </w:t>
      </w:r>
      <w:r w:rsidR="00D0161B" w:rsidRPr="00656B81">
        <w:t xml:space="preserve">politique gouvernementale déterminée à lutter contre la torture, résistances </w:t>
      </w:r>
      <w:r w:rsidR="007352D4" w:rsidRPr="00656B81">
        <w:t xml:space="preserve">au changement </w:t>
      </w:r>
      <w:r w:rsidR="00D0161B" w:rsidRPr="00656B81">
        <w:t>des corps institutionnels</w:t>
      </w:r>
      <w:r w:rsidR="00B317B6" w:rsidRPr="00656B81">
        <w:t>,</w:t>
      </w:r>
      <w:r w:rsidR="00D0161B" w:rsidRPr="00656B81">
        <w:t xml:space="preserve"> et menaces de terrorisme et de sécurité </w:t>
      </w:r>
      <w:r w:rsidR="007352D4" w:rsidRPr="00656B81">
        <w:t>basculant</w:t>
      </w:r>
      <w:r w:rsidR="00D0161B" w:rsidRPr="00656B81">
        <w:t xml:space="preserve"> </w:t>
      </w:r>
      <w:r w:rsidR="007352D4" w:rsidRPr="00656B81">
        <w:t>soudainement</w:t>
      </w:r>
      <w:r w:rsidR="00D0161B" w:rsidRPr="00656B81">
        <w:t xml:space="preserve"> les agen</w:t>
      </w:r>
      <w:r w:rsidR="00CE77DC" w:rsidRPr="00656B81">
        <w:t>das et les priorités politiques.</w:t>
      </w:r>
    </w:p>
    <w:p w14:paraId="21A4C0EF" w14:textId="77777777" w:rsidR="00CE77DC" w:rsidRPr="00656B81" w:rsidRDefault="00CE77DC" w:rsidP="00FD2029">
      <w:pPr>
        <w:jc w:val="both"/>
        <w:rPr>
          <w:b/>
          <w:bCs/>
        </w:rPr>
      </w:pPr>
      <w:r w:rsidRPr="00656B81">
        <w:rPr>
          <w:b/>
          <w:bCs/>
        </w:rPr>
        <w:t xml:space="preserve">1/ </w:t>
      </w:r>
      <w:r w:rsidR="002B2B17" w:rsidRPr="00656B81">
        <w:rPr>
          <w:b/>
          <w:bCs/>
        </w:rPr>
        <w:t>L’interdiction</w:t>
      </w:r>
      <w:r w:rsidRPr="00656B81">
        <w:rPr>
          <w:b/>
          <w:bCs/>
        </w:rPr>
        <w:t xml:space="preserve"> de la torture</w:t>
      </w:r>
      <w:r w:rsidR="00AE38CC" w:rsidRPr="00656B81">
        <w:rPr>
          <w:b/>
          <w:bCs/>
        </w:rPr>
        <w:t xml:space="preserve"> : </w:t>
      </w:r>
      <w:r w:rsidRPr="00656B81">
        <w:rPr>
          <w:b/>
          <w:bCs/>
        </w:rPr>
        <w:t>entre théorie et pratique</w:t>
      </w:r>
    </w:p>
    <w:p w14:paraId="488A4C8B" w14:textId="77777777" w:rsidR="00CE77DC" w:rsidRPr="00656B81" w:rsidRDefault="00E87F7C" w:rsidP="00E87F7C">
      <w:pPr>
        <w:pStyle w:val="ColorfulList-Accent11"/>
        <w:numPr>
          <w:ilvl w:val="0"/>
          <w:numId w:val="1"/>
        </w:numPr>
        <w:jc w:val="both"/>
        <w:rPr>
          <w:b/>
          <w:bCs/>
        </w:rPr>
      </w:pPr>
      <w:r w:rsidRPr="00656B81">
        <w:rPr>
          <w:b/>
          <w:bCs/>
        </w:rPr>
        <w:t xml:space="preserve">Du </w:t>
      </w:r>
      <w:r w:rsidR="00CE77DC" w:rsidRPr="00656B81">
        <w:rPr>
          <w:b/>
          <w:bCs/>
        </w:rPr>
        <w:t>point de vue législatif</w:t>
      </w:r>
    </w:p>
    <w:p w14:paraId="7CA7416A" w14:textId="77777777" w:rsidR="00AE38CC" w:rsidRPr="00656B81" w:rsidRDefault="00CE77DC" w:rsidP="007F01AC">
      <w:pPr>
        <w:jc w:val="both"/>
      </w:pPr>
      <w:r w:rsidRPr="00656B81">
        <w:t>En 1999, le législateur a introduit dans le Code pénal un article 101 bis qui incrimine la torture. Cet article a été modifié suite à un décret-loi n°106 en date du 22 octobre 2011</w:t>
      </w:r>
      <w:r w:rsidR="002B2B17" w:rsidRPr="00656B81">
        <w:t>, modifiant et complétant le Code pénal et le Code de procédure pénale</w:t>
      </w:r>
      <w:r w:rsidRPr="00656B81">
        <w:t xml:space="preserve">. Cette réforme n’ayant pas fait l’objet de consultations de la société civile, contrairement aux autres projets de lois postrévolutionnaires, </w:t>
      </w:r>
      <w:r w:rsidR="00AE38CC" w:rsidRPr="00656B81">
        <w:t xml:space="preserve">elle </w:t>
      </w:r>
      <w:r w:rsidRPr="00656B81">
        <w:t>n’a pas rendu la législation anti</w:t>
      </w:r>
      <w:r w:rsidR="00AE38CC" w:rsidRPr="00656B81">
        <w:t>-</w:t>
      </w:r>
      <w:r w:rsidRPr="00656B81">
        <w:t>torture conforme aux dispositions de la Convention contre la torture. En effet</w:t>
      </w:r>
      <w:r w:rsidR="00AE38CC" w:rsidRPr="00656B81">
        <w:t>,</w:t>
      </w:r>
      <w:r w:rsidRPr="00656B81">
        <w:t xml:space="preserve"> l’actuel article 101 bis du Code pénal  dispose que</w:t>
      </w:r>
      <w:r w:rsidR="00AE38CC" w:rsidRPr="00656B81">
        <w:t> :</w:t>
      </w:r>
    </w:p>
    <w:p w14:paraId="3785864E" w14:textId="77777777" w:rsidR="00CE77DC" w:rsidRPr="00656B81" w:rsidRDefault="00CE77DC" w:rsidP="007F01AC">
      <w:pPr>
        <w:jc w:val="both"/>
        <w:rPr>
          <w:i/>
          <w:iCs/>
        </w:rPr>
      </w:pPr>
      <w:r w:rsidRPr="00656B81">
        <w:t>« </w:t>
      </w:r>
      <w:r w:rsidRPr="00656B81">
        <w:rPr>
          <w:i/>
          <w:iCs/>
        </w:rPr>
        <w:t xml:space="preserve">Le terme torture désigne tout acte par lequel une douleur ou une souffrance aiguë physique ou mentale, sont intentionnellement infligées à une personne aux fins d'obtenir d'elle ou d'une tierce personne des renseignements ou des aveux d'un acte qu'elle ou une tierce personne a commis ou est soupçonnée d'avoir commis. </w:t>
      </w:r>
    </w:p>
    <w:p w14:paraId="187E2F7C" w14:textId="77777777" w:rsidR="00CE77DC" w:rsidRPr="00656B81" w:rsidRDefault="00CE77DC" w:rsidP="00CE77DC">
      <w:pPr>
        <w:jc w:val="both"/>
        <w:rPr>
          <w:i/>
          <w:iCs/>
        </w:rPr>
      </w:pPr>
      <w:r w:rsidRPr="00656B81">
        <w:rPr>
          <w:i/>
          <w:iCs/>
        </w:rPr>
        <w:t xml:space="preserve">Est considéré comme torture le fait d'intimider ou de faire pression sur une personne ou d'intimider ou de faire pression sur une tierce personne aux fins d'obtenir des renseignements ou des aveux. </w:t>
      </w:r>
    </w:p>
    <w:p w14:paraId="3BF07706" w14:textId="77777777" w:rsidR="00CE77DC" w:rsidRPr="00656B81" w:rsidRDefault="00CE77DC" w:rsidP="00CE77DC">
      <w:pPr>
        <w:jc w:val="both"/>
        <w:rPr>
          <w:i/>
          <w:iCs/>
        </w:rPr>
      </w:pPr>
      <w:r w:rsidRPr="00656B81">
        <w:rPr>
          <w:i/>
          <w:iCs/>
        </w:rPr>
        <w:t xml:space="preserve">Entre dans le cadre de la torture, la douleur, la souffrance, l'intimidation ou la contrainte infligées pour tout autre motif fondé sur la discrimination raciale. </w:t>
      </w:r>
    </w:p>
    <w:p w14:paraId="1312E5E4" w14:textId="77777777" w:rsidR="00CE77DC" w:rsidRPr="00656B81" w:rsidRDefault="00CE77DC" w:rsidP="002B2B17">
      <w:pPr>
        <w:jc w:val="both"/>
        <w:rPr>
          <w:i/>
          <w:iCs/>
        </w:rPr>
      </w:pPr>
      <w:r w:rsidRPr="00656B81">
        <w:rPr>
          <w:i/>
          <w:iCs/>
        </w:rPr>
        <w:t>Est considéré comme tortionnaire, le fonctionnaire public ou assimilé qui ordonne, incite, approuve ou garde le silence sur la torture, dans l'exercice ou à l'occasion de l'exercice de ses fonctions.</w:t>
      </w:r>
    </w:p>
    <w:p w14:paraId="570A24F5" w14:textId="77777777" w:rsidR="00044DEA" w:rsidRPr="00656B81" w:rsidRDefault="00CE77DC" w:rsidP="002B2B17">
      <w:pPr>
        <w:jc w:val="both"/>
      </w:pPr>
      <w:r w:rsidRPr="00656B81">
        <w:rPr>
          <w:i/>
          <w:iCs/>
        </w:rPr>
        <w:t xml:space="preserve">N'est pas considéré comme torture, la souffrance résultant des peines légales, entraînée par </w:t>
      </w:r>
      <w:r w:rsidR="002B2B17" w:rsidRPr="00656B81">
        <w:rPr>
          <w:i/>
          <w:iCs/>
        </w:rPr>
        <w:t>ces peines ou inhérente à elles »</w:t>
      </w:r>
      <w:r w:rsidR="00044DEA" w:rsidRPr="00656B81">
        <w:t xml:space="preserve">. </w:t>
      </w:r>
    </w:p>
    <w:p w14:paraId="3B38AFA2" w14:textId="77777777" w:rsidR="00CE77DC" w:rsidRPr="00656B81" w:rsidRDefault="00044DEA" w:rsidP="002B2B17">
      <w:pPr>
        <w:jc w:val="both"/>
      </w:pPr>
      <w:r w:rsidRPr="00656B81">
        <w:t>C</w:t>
      </w:r>
      <w:r w:rsidR="002B2B17" w:rsidRPr="00656B81">
        <w:t>ette disposition n’est pas conforme à la définition de l’article premier de la Convention contre la torture.</w:t>
      </w:r>
    </w:p>
    <w:p w14:paraId="08B6B185" w14:textId="77777777" w:rsidR="00693756" w:rsidRPr="00656B81" w:rsidRDefault="00693756" w:rsidP="002B2B17">
      <w:pPr>
        <w:jc w:val="both"/>
      </w:pPr>
      <w:r w:rsidRPr="00656B81">
        <w:t xml:space="preserve">Pour qu’il y ait crime de torture, il faut </w:t>
      </w:r>
      <w:r w:rsidR="00AE38CC" w:rsidRPr="00656B81">
        <w:t xml:space="preserve">donc </w:t>
      </w:r>
      <w:r w:rsidRPr="00656B81">
        <w:t>que l’auteur, en plus de son intention criminelle</w:t>
      </w:r>
      <w:r w:rsidR="00AE38CC" w:rsidRPr="00656B81">
        <w:t>,</w:t>
      </w:r>
      <w:r w:rsidRPr="00656B81">
        <w:t xml:space="preserve"> ait une volonté de parvenir à un résultat déterminé. Ce dol spécial se trouve réduit dans la version actuelle « </w:t>
      </w:r>
      <w:r w:rsidRPr="00656B81">
        <w:rPr>
          <w:i/>
          <w:iCs/>
        </w:rPr>
        <w:t>aux fins d’obtenir des renseignements ou des aveux</w:t>
      </w:r>
      <w:r w:rsidRPr="00656B81">
        <w:t> », contrairement à la version de 1999 qui prévoyait aussi le but de punir comme autre possible élément constitutif de l’infraction.</w:t>
      </w:r>
    </w:p>
    <w:p w14:paraId="63C502B9" w14:textId="77777777" w:rsidR="00F81EC7" w:rsidRPr="00656B81" w:rsidRDefault="00DD368E" w:rsidP="002B2B17">
      <w:pPr>
        <w:jc w:val="both"/>
      </w:pPr>
      <w:r>
        <w:t>Ni</w:t>
      </w:r>
      <w:r w:rsidR="00F81EC7" w:rsidRPr="00656B81">
        <w:t xml:space="preserve"> la version de 1999</w:t>
      </w:r>
      <w:r>
        <w:t>,</w:t>
      </w:r>
      <w:r w:rsidR="00F81EC7" w:rsidRPr="00656B81">
        <w:t xml:space="preserve"> </w:t>
      </w:r>
      <w:r>
        <w:t>ni</w:t>
      </w:r>
      <w:r w:rsidR="00F81EC7" w:rsidRPr="00656B81">
        <w:t xml:space="preserve"> la version actuelle du Code pénal ne sont  conformes à l’article premier de la Convention contre la torture, qui liste des buts recherchés par l’auteur du crime, et ce, à titre indicatif et non limitatif. Alors que la version de 1999 incrimine la torture </w:t>
      </w:r>
      <w:r w:rsidR="00F81EC7" w:rsidRPr="000A7CA8">
        <w:rPr>
          <w:i/>
          <w:iCs/>
        </w:rPr>
        <w:t>« fondé</w:t>
      </w:r>
      <w:r>
        <w:rPr>
          <w:i/>
          <w:iCs/>
        </w:rPr>
        <w:t>e</w:t>
      </w:r>
      <w:r w:rsidR="00F81EC7" w:rsidRPr="000A7CA8">
        <w:rPr>
          <w:i/>
          <w:iCs/>
        </w:rPr>
        <w:t xml:space="preserve"> sur une discrimination quelle qu’elle soit »</w:t>
      </w:r>
      <w:r w:rsidR="00F81EC7" w:rsidRPr="00656B81">
        <w:t xml:space="preserve">, l’actuelle version la limite aux motifs de </w:t>
      </w:r>
      <w:r w:rsidR="00F81EC7" w:rsidRPr="000A7CA8">
        <w:rPr>
          <w:i/>
          <w:iCs/>
        </w:rPr>
        <w:t>« discrimination raciale.»</w:t>
      </w:r>
    </w:p>
    <w:p w14:paraId="18065105" w14:textId="77777777" w:rsidR="00693756" w:rsidRPr="00656B81" w:rsidRDefault="00693756" w:rsidP="002B2B17">
      <w:pPr>
        <w:jc w:val="both"/>
      </w:pPr>
      <w:r w:rsidRPr="00656B81">
        <w:t xml:space="preserve">Certains discours officiels et </w:t>
      </w:r>
      <w:r w:rsidR="00044DEA" w:rsidRPr="00656B81">
        <w:t>d’</w:t>
      </w:r>
      <w:r w:rsidRPr="00656B81">
        <w:t xml:space="preserve">autres officieux se basent sur la définition actuelle de l’article 101 bis du Code pénal pour considérer qu’il n’y a pas </w:t>
      </w:r>
      <w:r w:rsidR="00044DEA" w:rsidRPr="00656B81">
        <w:t xml:space="preserve">de </w:t>
      </w:r>
      <w:r w:rsidRPr="00656B81">
        <w:t>torture dans les prisons</w:t>
      </w:r>
      <w:r w:rsidR="000A7CA8">
        <w:t xml:space="preserve"> </w:t>
      </w:r>
      <w:r w:rsidR="00F623E6" w:rsidRPr="00656B81">
        <w:t xml:space="preserve">dans la mesure où les </w:t>
      </w:r>
      <w:r w:rsidRPr="00656B81">
        <w:t>actes</w:t>
      </w:r>
      <w:r w:rsidR="00F623E6" w:rsidRPr="00656B81">
        <w:t xml:space="preserve"> en question ne visent pas </w:t>
      </w:r>
      <w:r w:rsidRPr="00656B81">
        <w:t xml:space="preserve"> à extraire des aveux.</w:t>
      </w:r>
    </w:p>
    <w:p w14:paraId="455EF02D" w14:textId="77777777" w:rsidR="00A03348" w:rsidRPr="00656B81" w:rsidRDefault="00A03348" w:rsidP="00DD368E">
      <w:pPr>
        <w:jc w:val="both"/>
      </w:pPr>
      <w:r w:rsidRPr="00656B81">
        <w:t>Sont satisfaisantes les dispositions issues de la réforme de 2011</w:t>
      </w:r>
      <w:r w:rsidR="005063AB" w:rsidRPr="00656B81">
        <w:t>, notamment celles</w:t>
      </w:r>
      <w:r w:rsidRPr="00656B81">
        <w:t xml:space="preserve"> de l’article 101 bis §4 qui considère </w:t>
      </w:r>
      <w:r w:rsidRPr="000A7CA8">
        <w:rPr>
          <w:i/>
          <w:iCs/>
        </w:rPr>
        <w:t>« comme tortionnaire, le fonctionnaire public ou assimilé qui ordonne, incite, approuve ou garde le silence sur la torture, dans l’exercice ou à l’occasion de l’exercice de ses fonctions »</w:t>
      </w:r>
      <w:r w:rsidRPr="00656B81">
        <w:t>, les circonstances aggravantes de l’article 101</w:t>
      </w:r>
      <w:r w:rsidR="00DA2BC3">
        <w:t>.</w:t>
      </w:r>
      <w:r w:rsidR="00DD368E">
        <w:t>2è</w:t>
      </w:r>
      <w:r w:rsidRPr="00656B81">
        <w:t>, le nouveau §2 de l’article 155 du Code de procédure pénale qui, désormais, répute comme nul</w:t>
      </w:r>
      <w:r w:rsidR="005063AB" w:rsidRPr="00656B81">
        <w:t>s</w:t>
      </w:r>
      <w:r w:rsidRPr="00656B81">
        <w:t xml:space="preserve"> les aveux et les dires de l’inculpé ou des déclarations des témoins, s’il est établi qu’ils ont été obtenus sous la tortu</w:t>
      </w:r>
      <w:r w:rsidR="005063AB" w:rsidRPr="00656B81">
        <w:t>re ou la contrainte. L</w:t>
      </w:r>
      <w:r w:rsidRPr="00656B81">
        <w:t xml:space="preserve">e nouveau §3 de l’article 313 du Code de procédure pénale qui interdit l’extradition </w:t>
      </w:r>
      <w:r w:rsidRPr="000A7CA8">
        <w:rPr>
          <w:i/>
          <w:iCs/>
        </w:rPr>
        <w:t>« lorsque la personne faisant l’objet de la demande d’extradition risque d’être exposé à la torture»</w:t>
      </w:r>
      <w:r w:rsidR="005063AB" w:rsidRPr="00656B81">
        <w:t xml:space="preserve"> est lui aussi satisfaisant.</w:t>
      </w:r>
    </w:p>
    <w:p w14:paraId="6630D380" w14:textId="77777777" w:rsidR="000A7CA8" w:rsidRDefault="005063AB" w:rsidP="003F4A89">
      <w:pPr>
        <w:pStyle w:val="ColorfulList-Accent11"/>
        <w:ind w:left="0"/>
        <w:jc w:val="both"/>
      </w:pPr>
      <w:r w:rsidRPr="00656B81">
        <w:t>A ce sujet, l’extradition le 24 juin 2012 de l’ancien Premier ministre libyen, Mahmoudi Baghdadi, pour la Libye a fait l’objet d’une grande polémique dans l’opinion publique et au sein même des autorités tunisiennes. Les avocats de Mahmoudi Baghdadi avaient saisi la Cour africaine des droits de l’</w:t>
      </w:r>
      <w:r w:rsidR="00044DEA" w:rsidRPr="00656B81">
        <w:t>H</w:t>
      </w:r>
      <w:r w:rsidRPr="00656B81">
        <w:t>omme et des peuples pour contester</w:t>
      </w:r>
      <w:r w:rsidR="003F4A89">
        <w:t xml:space="preserve"> cette extradition</w:t>
      </w:r>
      <w:r w:rsidRPr="00656B81">
        <w:t>. Cette saisine a été rejetée par la Cour en raison de son incompétence</w:t>
      </w:r>
      <w:r w:rsidRPr="00656B81">
        <w:rPr>
          <w:rStyle w:val="FootnoteReference"/>
        </w:rPr>
        <w:footnoteReference w:id="4"/>
      </w:r>
      <w:r w:rsidRPr="00656B81">
        <w:t xml:space="preserve"> : la Tunisie n’a pas fait la déclaration facultative d’acceptation de la juridiction obligatoire de la Cour africaine pour connaitre des requêtes émanant des individus ou d’ONG comme l’exigent les articles 5(3) et 34(6) du Protocole relatif à la Charte africaine des droits de l’Homme et des peuples portant création d’une Cour africaine des droits de l’Homme et des peuples.</w:t>
      </w:r>
    </w:p>
    <w:p w14:paraId="7A2EB794" w14:textId="77777777" w:rsidR="000A7CA8" w:rsidRPr="00656B81" w:rsidRDefault="000A7CA8" w:rsidP="000A7CA8">
      <w:pPr>
        <w:pStyle w:val="ColorfulList-Accent11"/>
        <w:ind w:left="0"/>
        <w:jc w:val="both"/>
      </w:pPr>
    </w:p>
    <w:p w14:paraId="6D45A00D" w14:textId="77777777" w:rsidR="00E43019" w:rsidRDefault="00F12D14" w:rsidP="000A7CA8">
      <w:pPr>
        <w:pStyle w:val="ColorfulList-Accent11"/>
        <w:ind w:left="0"/>
        <w:jc w:val="both"/>
      </w:pPr>
      <w:r w:rsidRPr="00656B81">
        <w:t>Le</w:t>
      </w:r>
      <w:r w:rsidR="00B96D5D" w:rsidRPr="00656B81">
        <w:t xml:space="preserve"> Code pénal réprime les violences non légitimes </w:t>
      </w:r>
      <w:r w:rsidRPr="00656B81">
        <w:t xml:space="preserve">et les mauvais traitements  </w:t>
      </w:r>
      <w:r w:rsidR="00B96D5D" w:rsidRPr="00656B81">
        <w:t xml:space="preserve">perpétrés par </w:t>
      </w:r>
      <w:r w:rsidRPr="00656B81">
        <w:t xml:space="preserve">des </w:t>
      </w:r>
      <w:r w:rsidR="00B96D5D" w:rsidRPr="00656B81">
        <w:t>fonctionnaire</w:t>
      </w:r>
      <w:r w:rsidRPr="00656B81">
        <w:t>s</w:t>
      </w:r>
      <w:r w:rsidR="00B96D5D" w:rsidRPr="00656B81">
        <w:t xml:space="preserve"> public</w:t>
      </w:r>
      <w:r w:rsidRPr="00656B81">
        <w:t>s</w:t>
      </w:r>
      <w:r w:rsidR="004501C0" w:rsidRPr="00656B81">
        <w:t xml:space="preserve"> </w:t>
      </w:r>
      <w:r w:rsidR="00B96D5D" w:rsidRPr="00656B81">
        <w:t>ou assimilés (Art. 101</w:t>
      </w:r>
      <w:r w:rsidR="00DD368E">
        <w:t xml:space="preserve"> et 103</w:t>
      </w:r>
      <w:r w:rsidR="00B96D5D" w:rsidRPr="00656B81">
        <w:t xml:space="preserve"> du CP). </w:t>
      </w:r>
      <w:r w:rsidRPr="00656B81">
        <w:t>Les</w:t>
      </w:r>
      <w:r w:rsidR="00B96D5D" w:rsidRPr="00656B81">
        <w:t xml:space="preserve"> violences </w:t>
      </w:r>
      <w:r w:rsidRPr="00656B81">
        <w:t xml:space="preserve">ainsi </w:t>
      </w:r>
      <w:r w:rsidR="00B96D5D" w:rsidRPr="00656B81">
        <w:t>que les mauvais traitements sont considérés</w:t>
      </w:r>
      <w:r w:rsidR="00F406E0" w:rsidRPr="00656B81">
        <w:t xml:space="preserve"> comme</w:t>
      </w:r>
      <w:r w:rsidR="00B96D5D" w:rsidRPr="00656B81">
        <w:t xml:space="preserve"> des délits punis de cinq (5) ans d’emprisonnement</w:t>
      </w:r>
      <w:r w:rsidR="00B96D5D" w:rsidRPr="00656B81">
        <w:rPr>
          <w:rStyle w:val="FootnoteReference"/>
        </w:rPr>
        <w:footnoteReference w:id="5"/>
      </w:r>
      <w:r w:rsidR="00B96D5D" w:rsidRPr="00656B81">
        <w:t>.</w:t>
      </w:r>
    </w:p>
    <w:p w14:paraId="2319F328" w14:textId="77777777" w:rsidR="000A7CA8" w:rsidRPr="00656B81" w:rsidRDefault="000A7CA8" w:rsidP="000A7CA8">
      <w:pPr>
        <w:pStyle w:val="ColorfulList-Accent11"/>
        <w:ind w:left="0"/>
        <w:jc w:val="both"/>
      </w:pPr>
    </w:p>
    <w:p w14:paraId="359216AE" w14:textId="77777777" w:rsidR="00E43019" w:rsidRPr="00656B81" w:rsidRDefault="00F12D14" w:rsidP="000A7CA8">
      <w:pPr>
        <w:pStyle w:val="ColorfulList-Accent11"/>
        <w:ind w:left="0"/>
        <w:jc w:val="both"/>
      </w:pPr>
      <w:r w:rsidRPr="00656B81">
        <w:t>Les</w:t>
      </w:r>
      <w:r w:rsidR="00B96D5D" w:rsidRPr="00656B81">
        <w:t xml:space="preserve"> dispositions législatives ne </w:t>
      </w:r>
      <w:r w:rsidR="006E51F8" w:rsidRPr="00656B81">
        <w:t>prévoient</w:t>
      </w:r>
      <w:r w:rsidR="000A7CA8">
        <w:t xml:space="preserve"> pas de loi</w:t>
      </w:r>
      <w:r w:rsidR="00B96D5D" w:rsidRPr="00656B81">
        <w:t>s spéci</w:t>
      </w:r>
      <w:r w:rsidR="006E51F8" w:rsidRPr="00656B81">
        <w:t xml:space="preserve">fiques pour la protection des témoins et des victimes de torture. </w:t>
      </w:r>
      <w:r w:rsidRPr="00656B81">
        <w:t>En revanche</w:t>
      </w:r>
      <w:r w:rsidR="006E51F8" w:rsidRPr="00656B81">
        <w:t>, l’</w:t>
      </w:r>
      <w:r w:rsidR="009C19D4" w:rsidRPr="00656B81">
        <w:t>article</w:t>
      </w:r>
      <w:r w:rsidR="006E51F8" w:rsidRPr="00656B81">
        <w:t xml:space="preserve"> 103 du </w:t>
      </w:r>
      <w:r w:rsidR="00A03348" w:rsidRPr="00656B81">
        <w:t xml:space="preserve">Code pénal </w:t>
      </w:r>
      <w:r w:rsidR="006E51F8" w:rsidRPr="00656B81">
        <w:t>incrim</w:t>
      </w:r>
      <w:r w:rsidR="009C19D4" w:rsidRPr="00656B81">
        <w:t>in</w:t>
      </w:r>
      <w:r w:rsidR="006E51F8" w:rsidRPr="00656B81">
        <w:t xml:space="preserve">e les mauvais traitements </w:t>
      </w:r>
      <w:r w:rsidR="009C19D4" w:rsidRPr="00656B81">
        <w:t>perpétrés</w:t>
      </w:r>
      <w:r w:rsidR="006E51F8" w:rsidRPr="00656B81">
        <w:t xml:space="preserve"> contre les témoins en raison de leurs déclarations ou pour en obtenir</w:t>
      </w:r>
      <w:r w:rsidR="000A7CA8">
        <w:t xml:space="preserve"> des aveux ou des déclarations.</w:t>
      </w:r>
    </w:p>
    <w:p w14:paraId="407CE030" w14:textId="77777777" w:rsidR="00A03348" w:rsidRPr="007949FC" w:rsidRDefault="000A7CA8" w:rsidP="007949FC">
      <w:pPr>
        <w:pStyle w:val="ColorfulList-Accent11"/>
        <w:ind w:left="0"/>
        <w:jc w:val="both"/>
      </w:pPr>
      <w:r>
        <w:t>En outre,</w:t>
      </w:r>
      <w:r w:rsidR="00F12D14" w:rsidRPr="00656B81">
        <w:t xml:space="preserve"> l</w:t>
      </w:r>
      <w:r w:rsidR="006E51F8" w:rsidRPr="00656B81">
        <w:t>’article 40 de la loi organique n°2013-53 du 24 décembre 2013 relative à l’instauration de la justice transitionnelle et à son organisation donne comme prérogatives à l’instance de la Vérité et de Dignité</w:t>
      </w:r>
      <w:r w:rsidR="00B52617" w:rsidRPr="00656B81">
        <w:t xml:space="preserve"> (</w:t>
      </w:r>
      <w:r w:rsidR="00AD5CFC" w:rsidRPr="00656B81">
        <w:t xml:space="preserve">IVD, </w:t>
      </w:r>
      <w:r w:rsidR="00B52617" w:rsidRPr="00656B81">
        <w:t>voir infra) de « </w:t>
      </w:r>
      <w:r w:rsidR="00B52617" w:rsidRPr="00656B81">
        <w:rPr>
          <w:i/>
          <w:iCs/>
        </w:rPr>
        <w:t xml:space="preserve">protéger les témoins, les victimes, les experts et tous ceux qu’elle auditionne, </w:t>
      </w:r>
      <w:r w:rsidR="009C19D4" w:rsidRPr="00656B81">
        <w:rPr>
          <w:i/>
          <w:iCs/>
        </w:rPr>
        <w:t>quel que</w:t>
      </w:r>
      <w:r w:rsidR="00B52617" w:rsidRPr="00656B81">
        <w:rPr>
          <w:i/>
          <w:iCs/>
        </w:rPr>
        <w:t xml:space="preserve"> soit leur statut…</w:t>
      </w:r>
      <w:r w:rsidR="009C19D4" w:rsidRPr="00656B81">
        <w:rPr>
          <w:i/>
          <w:iCs/>
        </w:rPr>
        <w:t>, et ce, e</w:t>
      </w:r>
      <w:r w:rsidR="00B52617" w:rsidRPr="00656B81">
        <w:rPr>
          <w:i/>
          <w:iCs/>
        </w:rPr>
        <w:t>n assurant les précautions sécuritaires, la protection contre l’incrimination et les agressions, et, la préservation de la confidentialité.</w:t>
      </w:r>
      <w:r w:rsidR="00B52617" w:rsidRPr="00656B81">
        <w:t> »</w:t>
      </w:r>
    </w:p>
    <w:p w14:paraId="11B15626" w14:textId="77777777" w:rsidR="005063AB" w:rsidRPr="00656B81" w:rsidRDefault="00B52617" w:rsidP="004501C0">
      <w:pPr>
        <w:jc w:val="both"/>
      </w:pPr>
      <w:r w:rsidRPr="00656B81">
        <w:t xml:space="preserve">Malgré </w:t>
      </w:r>
      <w:r w:rsidR="00F12D14" w:rsidRPr="00656B81">
        <w:t xml:space="preserve">leurs </w:t>
      </w:r>
      <w:r w:rsidRPr="00656B81">
        <w:t xml:space="preserve">insuffisances, ces </w:t>
      </w:r>
      <w:r w:rsidR="00A03348" w:rsidRPr="00656B81">
        <w:t xml:space="preserve">dispositions </w:t>
      </w:r>
      <w:r w:rsidRPr="00656B81">
        <w:t xml:space="preserve">auraient pu en théorie </w:t>
      </w:r>
      <w:r w:rsidR="00F12D14" w:rsidRPr="00656B81">
        <w:t>limiter</w:t>
      </w:r>
      <w:r w:rsidRPr="00656B81">
        <w:t xml:space="preserve">, </w:t>
      </w:r>
      <w:r w:rsidR="00F12D14" w:rsidRPr="00656B81">
        <w:t xml:space="preserve">un </w:t>
      </w:r>
      <w:r w:rsidRPr="00656B81">
        <w:t>tant soit peu, le recours à la torture</w:t>
      </w:r>
      <w:r w:rsidR="00BE4BE4" w:rsidRPr="00656B81">
        <w:t xml:space="preserve">. </w:t>
      </w:r>
    </w:p>
    <w:p w14:paraId="5B42B8EF" w14:textId="77777777" w:rsidR="005063AB" w:rsidRPr="00656B81" w:rsidRDefault="005063AB" w:rsidP="000A7CA8">
      <w:pPr>
        <w:pStyle w:val="ColorfulList-Accent11"/>
        <w:ind w:left="0"/>
        <w:jc w:val="both"/>
      </w:pPr>
      <w:r w:rsidRPr="00656B81">
        <w:t xml:space="preserve">A noter en tant que point positif, selon l’article 5 du Code de procédure pénale, la prescription de dix (10) années révolues d’une action publique qui résulte d’un crime a été </w:t>
      </w:r>
      <w:r w:rsidR="00DD368E">
        <w:t>étendue</w:t>
      </w:r>
      <w:r w:rsidRPr="00656B81">
        <w:t xml:space="preserve"> par le décret susmentionné à quinze (15) ans en matière de crime de torture. Cette nouvelle disposition de l’article 5 §4 du Code de procédure pénale a été abrogée par l’article 24 de la loi organique n°2013-43 du 23 octobre 2013 relative à l’instance nationale pour la prévention de la torture, qui considère que l’action publique se rapportant aux crimes de torture est imprescriptible. Cette imprescriptibilité des poursuites a été confirmée par l’article 23 de la Constitution tunisienne</w:t>
      </w:r>
      <w:r w:rsidRPr="00656B81">
        <w:rPr>
          <w:rStyle w:val="FootnoteReference"/>
        </w:rPr>
        <w:footnoteReference w:id="6"/>
      </w:r>
      <w:r w:rsidRPr="00656B81">
        <w:t>.</w:t>
      </w:r>
    </w:p>
    <w:p w14:paraId="29BD8D74" w14:textId="77777777" w:rsidR="00FB291A" w:rsidRPr="00656B81" w:rsidRDefault="00BE4BE4" w:rsidP="002937A5">
      <w:pPr>
        <w:jc w:val="both"/>
      </w:pPr>
      <w:r w:rsidRPr="00656B81">
        <w:t xml:space="preserve">Et pourtant, depuis </w:t>
      </w:r>
      <w:r w:rsidR="00DD368E">
        <w:t>l’</w:t>
      </w:r>
      <w:r w:rsidR="00CC7925" w:rsidRPr="00656B81">
        <w:t>incrimination</w:t>
      </w:r>
      <w:r w:rsidR="00DD368E">
        <w:t xml:space="preserve"> de la torture</w:t>
      </w:r>
      <w:r w:rsidRPr="00656B81">
        <w:t xml:space="preserve"> en </w:t>
      </w:r>
      <w:r w:rsidR="00FB291A" w:rsidRPr="00656B81">
        <w:t>1999, aucun fonctionnaire public n’a été condamné en vertu de l’article 101 bis du Code pénal</w:t>
      </w:r>
      <w:r w:rsidR="002937A5">
        <w:rPr>
          <w:rStyle w:val="FootnoteReference"/>
        </w:rPr>
        <w:footnoteReference w:id="7"/>
      </w:r>
      <w:r w:rsidR="00FB291A" w:rsidRPr="00656B81">
        <w:t xml:space="preserve"> </w:t>
      </w:r>
      <w:r w:rsidRPr="00656B81">
        <w:t>du fait d</w:t>
      </w:r>
      <w:r w:rsidR="00DD368E">
        <w:t>u</w:t>
      </w:r>
      <w:r w:rsidRPr="00656B81">
        <w:t xml:space="preserve"> nombre d’obstacles aux poursuites</w:t>
      </w:r>
      <w:r w:rsidR="00FB291A" w:rsidRPr="00656B81">
        <w:t xml:space="preserve">. </w:t>
      </w:r>
    </w:p>
    <w:p w14:paraId="67E872CE" w14:textId="77777777" w:rsidR="00B52617" w:rsidRPr="00656B81" w:rsidRDefault="00256C8A" w:rsidP="004501C0">
      <w:pPr>
        <w:jc w:val="both"/>
        <w:rPr>
          <w:b/>
          <w:bCs/>
        </w:rPr>
      </w:pPr>
      <w:r w:rsidRPr="00656B81">
        <w:rPr>
          <w:b/>
          <w:bCs/>
        </w:rPr>
        <w:t>b</w:t>
      </w:r>
      <w:r w:rsidR="00B52617" w:rsidRPr="00656B81">
        <w:rPr>
          <w:b/>
          <w:bCs/>
        </w:rPr>
        <w:t xml:space="preserve">) </w:t>
      </w:r>
      <w:r w:rsidR="00BE4BE4" w:rsidRPr="00656B81">
        <w:rPr>
          <w:b/>
          <w:bCs/>
        </w:rPr>
        <w:t>L</w:t>
      </w:r>
      <w:r w:rsidR="00B52617" w:rsidRPr="00656B81">
        <w:rPr>
          <w:b/>
          <w:bCs/>
        </w:rPr>
        <w:t>es obstacle</w:t>
      </w:r>
      <w:r w:rsidR="00DC56AE" w:rsidRPr="00656B81">
        <w:rPr>
          <w:b/>
          <w:bCs/>
        </w:rPr>
        <w:t>s</w:t>
      </w:r>
      <w:r w:rsidR="00B52617" w:rsidRPr="00656B81">
        <w:rPr>
          <w:b/>
          <w:bCs/>
        </w:rPr>
        <w:t xml:space="preserve"> aux poursuites </w:t>
      </w:r>
    </w:p>
    <w:p w14:paraId="5B89369B" w14:textId="77777777" w:rsidR="00CC7925" w:rsidRPr="00656B81" w:rsidRDefault="00ED0DFB" w:rsidP="00414E6D">
      <w:pPr>
        <w:jc w:val="both"/>
      </w:pPr>
      <w:r w:rsidRPr="00656B81">
        <w:t xml:space="preserve">Les tribunaux sous l’ancien régime refusaient généralement </w:t>
      </w:r>
      <w:r w:rsidR="00A03348" w:rsidRPr="00656B81">
        <w:t>d’enregistrer d</w:t>
      </w:r>
      <w:r w:rsidRPr="00656B81">
        <w:t>es plaintes pour torture sauf dans les rares cas où il y a</w:t>
      </w:r>
      <w:r w:rsidR="00A03348" w:rsidRPr="00656B81">
        <w:t>vait</w:t>
      </w:r>
      <w:r w:rsidRPr="00656B81">
        <w:t xml:space="preserve"> eu pression de la société civile et l’insistance de la part d</w:t>
      </w:r>
      <w:r w:rsidR="00F81EC7" w:rsidRPr="00656B81">
        <w:t>’</w:t>
      </w:r>
      <w:r w:rsidRPr="00656B81">
        <w:t xml:space="preserve">avocats bien connus </w:t>
      </w:r>
      <w:r w:rsidR="00B24264" w:rsidRPr="00656B81">
        <w:t>pour</w:t>
      </w:r>
      <w:r w:rsidRPr="00656B81">
        <w:t xml:space="preserve"> leur défense des droits de </w:t>
      </w:r>
      <w:r w:rsidR="00F81EC7" w:rsidRPr="00656B81">
        <w:t>l’Homme</w:t>
      </w:r>
      <w:r w:rsidRPr="00656B81">
        <w:t xml:space="preserve">. Ces affaires </w:t>
      </w:r>
      <w:r w:rsidR="00934EB0" w:rsidRPr="00656B81">
        <w:t>enrôlées</w:t>
      </w:r>
      <w:r w:rsidRPr="00656B81">
        <w:t xml:space="preserve"> n’ont </w:t>
      </w:r>
      <w:r w:rsidR="000F48F2" w:rsidRPr="00656B81">
        <w:t xml:space="preserve">pas </w:t>
      </w:r>
      <w:r w:rsidRPr="00656B81">
        <w:t>donné lieu à des enquêtes sérieuses et effectives.</w:t>
      </w:r>
      <w:r w:rsidR="009F1BEF">
        <w:t xml:space="preserve"> </w:t>
      </w:r>
      <w:r w:rsidR="00414E6D" w:rsidRPr="00656B81">
        <w:t xml:space="preserve">Cet obstacle créant un déni de justice </w:t>
      </w:r>
      <w:r w:rsidR="00934EB0" w:rsidRPr="00656B81">
        <w:t>a amené l</w:t>
      </w:r>
      <w:r w:rsidR="00414E6D" w:rsidRPr="00656B81">
        <w:t>e</w:t>
      </w:r>
      <w:r w:rsidR="00934EB0" w:rsidRPr="00656B81">
        <w:t xml:space="preserve"> Comité contre la torture à prononcer des décisions en faveur de victimes tunisiennes qui </w:t>
      </w:r>
      <w:r w:rsidR="00CC7925" w:rsidRPr="00656B81">
        <w:t>avaient saisi</w:t>
      </w:r>
      <w:r w:rsidR="00934EB0" w:rsidRPr="00656B81">
        <w:t xml:space="preserve"> ce mécanisme onusien :</w:t>
      </w:r>
      <w:r w:rsidR="00B52617" w:rsidRPr="00656B81">
        <w:t xml:space="preserve"> </w:t>
      </w:r>
    </w:p>
    <w:p w14:paraId="3A00B61F" w14:textId="77777777" w:rsidR="00CC7925" w:rsidRPr="00656B81" w:rsidRDefault="00CA0023" w:rsidP="007949FC">
      <w:pPr>
        <w:pStyle w:val="ColorfulList-Accent11"/>
        <w:numPr>
          <w:ilvl w:val="0"/>
          <w:numId w:val="6"/>
        </w:numPr>
        <w:jc w:val="both"/>
      </w:pPr>
      <w:r w:rsidRPr="00656B81">
        <w:t>Communication n°291/2006, requête déposée par Saadia Ali le 2 mars 2006, décision du Comité en date du 21 novembre 2008 (CAT/C/41/D291/2006, 26 novembre 2008),</w:t>
      </w:r>
    </w:p>
    <w:p w14:paraId="4857869F" w14:textId="77777777" w:rsidR="00CC7925" w:rsidRPr="00656B81" w:rsidRDefault="00CA0023" w:rsidP="007949FC">
      <w:pPr>
        <w:pStyle w:val="ColorfulList-Accent11"/>
        <w:numPr>
          <w:ilvl w:val="0"/>
          <w:numId w:val="6"/>
        </w:numPr>
        <w:jc w:val="both"/>
      </w:pPr>
      <w:r w:rsidRPr="00656B81">
        <w:t>Communication n°269/2005, requête déposée par Ali Ben Salem le 2 mai 2005, décision du Comité le 7 novembre 2007 (CAT/C/39/D/269/2005, 27 novembre 2007),</w:t>
      </w:r>
    </w:p>
    <w:p w14:paraId="60D466EA" w14:textId="77777777" w:rsidR="00CC7925" w:rsidRPr="00656B81" w:rsidRDefault="00CA0023" w:rsidP="007949FC">
      <w:pPr>
        <w:pStyle w:val="ColorfulList-Accent11"/>
        <w:numPr>
          <w:ilvl w:val="0"/>
          <w:numId w:val="6"/>
        </w:numPr>
        <w:jc w:val="both"/>
      </w:pPr>
      <w:r w:rsidRPr="00656B81">
        <w:t>Communication n°187/2001, Dhaou Belgacem Thabti, décision du Comité le 14 novembre 2003 (CAT/C/31/D187/2001</w:t>
      </w:r>
      <w:r w:rsidR="00DA0788" w:rsidRPr="00656B81">
        <w:t xml:space="preserve">, 20 novembre 2003), </w:t>
      </w:r>
    </w:p>
    <w:p w14:paraId="4F7D0117" w14:textId="77777777" w:rsidR="00CC7925" w:rsidRPr="00656B81" w:rsidRDefault="00DA0788" w:rsidP="007949FC">
      <w:pPr>
        <w:pStyle w:val="ColorfulList-Accent11"/>
        <w:numPr>
          <w:ilvl w:val="0"/>
          <w:numId w:val="6"/>
        </w:numPr>
        <w:jc w:val="both"/>
      </w:pPr>
      <w:r w:rsidRPr="00656B81">
        <w:t>Communication n°18</w:t>
      </w:r>
      <w:r w:rsidR="00DD368E">
        <w:t>9</w:t>
      </w:r>
      <w:r w:rsidRPr="00656B81">
        <w:t xml:space="preserve">/2001, Bouabdallah Ltaïef, le 30 juin 2000, décision du Comité le 14 novembre 2003 (CAT/C/31/D/189/2001, 20 novembre 2003), </w:t>
      </w:r>
    </w:p>
    <w:p w14:paraId="099FA048" w14:textId="77777777" w:rsidR="00CC7925" w:rsidRPr="00656B81" w:rsidRDefault="00DA0788" w:rsidP="007949FC">
      <w:pPr>
        <w:pStyle w:val="ColorfulList-Accent11"/>
        <w:numPr>
          <w:ilvl w:val="0"/>
          <w:numId w:val="6"/>
        </w:numPr>
        <w:jc w:val="both"/>
      </w:pPr>
      <w:r w:rsidRPr="00656B81">
        <w:t xml:space="preserve">Communication n°188/2001, Imed Abdelli, 29 juin 2000, décision du Comité le 14 novembre 2002 (CAT/C/31/D/188/2001, 20 novembre 2003), </w:t>
      </w:r>
    </w:p>
    <w:p w14:paraId="4BD4A43A" w14:textId="77777777" w:rsidR="00B96D5D" w:rsidRPr="00656B81" w:rsidRDefault="00DA0788" w:rsidP="007949FC">
      <w:pPr>
        <w:pStyle w:val="ColorfulList-Accent11"/>
        <w:numPr>
          <w:ilvl w:val="0"/>
          <w:numId w:val="6"/>
        </w:numPr>
        <w:jc w:val="both"/>
      </w:pPr>
      <w:r w:rsidRPr="00656B81">
        <w:t>Communication n°60/1996, Fa</w:t>
      </w:r>
      <w:r w:rsidR="001B5245">
        <w:t>y</w:t>
      </w:r>
      <w:r w:rsidRPr="00656B81">
        <w:t>çal Baraket, le 6 novembre 1996, constatation du Comité en date du 10 novembre 1999 (CAT/C/23/D/60/1996, 24 janvier 2000).</w:t>
      </w:r>
    </w:p>
    <w:p w14:paraId="37AD1625" w14:textId="77777777" w:rsidR="00DA0788" w:rsidRPr="00656B81" w:rsidRDefault="00856D0F" w:rsidP="009F1BEF">
      <w:pPr>
        <w:jc w:val="both"/>
      </w:pPr>
      <w:r w:rsidRPr="00656B81">
        <w:t>Q</w:t>
      </w:r>
      <w:r w:rsidR="00B21E13" w:rsidRPr="00656B81">
        <w:t xml:space="preserve">uelques fonctionnaires publics ont </w:t>
      </w:r>
      <w:r w:rsidR="00CC7925" w:rsidRPr="00656B81">
        <w:t xml:space="preserve">pourtant </w:t>
      </w:r>
      <w:r w:rsidR="00B21E13" w:rsidRPr="00656B81">
        <w:t>été condamnés pour violences avant la révolution</w:t>
      </w:r>
      <w:r w:rsidR="009F1BEF">
        <w:rPr>
          <w:rStyle w:val="FootnoteReference"/>
        </w:rPr>
        <w:footnoteReference w:id="8"/>
      </w:r>
      <w:r w:rsidR="009F1BEF">
        <w:t>,</w:t>
      </w:r>
      <w:r w:rsidR="00B21E13" w:rsidRPr="00656B81">
        <w:t xml:space="preserve"> mais ces verdicts n’étaient </w:t>
      </w:r>
      <w:r w:rsidRPr="00656B81">
        <w:t xml:space="preserve">généralement </w:t>
      </w:r>
      <w:r w:rsidR="00B21E13" w:rsidRPr="00656B81">
        <w:t>pas à la hauteur des dommages subis par les victimes</w:t>
      </w:r>
      <w:r w:rsidRPr="00656B81">
        <w:t xml:space="preserve">. Ils </w:t>
      </w:r>
      <w:r w:rsidR="009F1BEF">
        <w:t>ne peuvent</w:t>
      </w:r>
      <w:r w:rsidRPr="00656B81">
        <w:t xml:space="preserve"> </w:t>
      </w:r>
      <w:r w:rsidR="00B21E13" w:rsidRPr="00656B81">
        <w:t>pas</w:t>
      </w:r>
      <w:r w:rsidR="009F1BEF">
        <w:t>, non plus,</w:t>
      </w:r>
      <w:r w:rsidR="00B21E13" w:rsidRPr="00656B81">
        <w:t xml:space="preserve"> être considérés comme</w:t>
      </w:r>
      <w:r w:rsidR="00414E6D" w:rsidRPr="00656B81">
        <w:t xml:space="preserve"> un indicateur</w:t>
      </w:r>
      <w:r w:rsidR="00B21E13" w:rsidRPr="00656B81">
        <w:t xml:space="preserve"> </w:t>
      </w:r>
      <w:r w:rsidRPr="00656B81">
        <w:t>de</w:t>
      </w:r>
      <w:r w:rsidR="00B21E13" w:rsidRPr="00656B81">
        <w:t xml:space="preserve"> réponse</w:t>
      </w:r>
      <w:r w:rsidRPr="00656B81">
        <w:t>s</w:t>
      </w:r>
      <w:r w:rsidR="00B21E13" w:rsidRPr="00656B81">
        <w:t xml:space="preserve"> aux actes de torture et de mauvais traitements systématiques.</w:t>
      </w:r>
    </w:p>
    <w:p w14:paraId="06375174" w14:textId="77777777" w:rsidR="00B21E13" w:rsidRPr="00656B81" w:rsidRDefault="00B21E13" w:rsidP="00414E6D">
      <w:pPr>
        <w:jc w:val="both"/>
      </w:pPr>
      <w:r w:rsidRPr="00656B81">
        <w:t>Suite à la révolution, l’</w:t>
      </w:r>
      <w:r w:rsidR="009C19D4" w:rsidRPr="00656B81">
        <w:t>obstacle</w:t>
      </w:r>
      <w:r w:rsidRPr="00656B81">
        <w:t xml:space="preserve"> de saisine de la justice a été </w:t>
      </w:r>
      <w:r w:rsidR="00414E6D" w:rsidRPr="00656B81">
        <w:t>levé</w:t>
      </w:r>
      <w:r w:rsidRPr="00656B81">
        <w:t xml:space="preserve"> et des centaines de plaintes </w:t>
      </w:r>
      <w:r w:rsidR="00CC7925" w:rsidRPr="00656B81">
        <w:t xml:space="preserve">pour torture </w:t>
      </w:r>
      <w:r w:rsidR="00D51CEE" w:rsidRPr="00656B81">
        <w:t>ont été enregistrées par les tribunaux</w:t>
      </w:r>
      <w:r w:rsidR="00D51CEE" w:rsidRPr="00656B81">
        <w:rPr>
          <w:rStyle w:val="FootnoteReference"/>
        </w:rPr>
        <w:footnoteReference w:id="9"/>
      </w:r>
      <w:r w:rsidR="00D51CEE" w:rsidRPr="00656B81">
        <w:t>. Malheureusement, à ce jour aucune de ces affaires n’a donné lieu à une réponse judicaire satisfaisante</w:t>
      </w:r>
      <w:r w:rsidR="00414E6D" w:rsidRPr="00656B81">
        <w:t xml:space="preserve">. </w:t>
      </w:r>
      <w:r w:rsidR="00D51CEE" w:rsidRPr="00656B81">
        <w:t>La plupart de ces affaires n’ont pas donné lieu à des actes d’instruction les plus élémentaires tendant à la recherche de la vérité.</w:t>
      </w:r>
    </w:p>
    <w:p w14:paraId="133C719C" w14:textId="77777777" w:rsidR="00D51CEE" w:rsidRPr="00656B81" w:rsidRDefault="00CC7925" w:rsidP="00DA0788">
      <w:pPr>
        <w:jc w:val="both"/>
      </w:pPr>
      <w:r w:rsidRPr="00656B81">
        <w:t xml:space="preserve">Nombre </w:t>
      </w:r>
      <w:r w:rsidR="00E84696" w:rsidRPr="00656B81">
        <w:t>de cas o</w:t>
      </w:r>
      <w:r w:rsidR="00D51CEE" w:rsidRPr="00656B81">
        <w:t>nt été classés sans suite ou ont engendré un désistement des victimes notamment en raison du non sérieux des enquêtes et/ou des harcèlements et représailles des agents de sécurité.</w:t>
      </w:r>
    </w:p>
    <w:p w14:paraId="10DF366E" w14:textId="77777777" w:rsidR="00E84696" w:rsidRPr="00656B81" w:rsidRDefault="00E84696" w:rsidP="00414E6D">
      <w:pPr>
        <w:jc w:val="both"/>
      </w:pPr>
      <w:r w:rsidRPr="00656B81">
        <w:t xml:space="preserve">Alors que l’article 28 du CPP requiert du </w:t>
      </w:r>
      <w:r w:rsidR="00414E6D" w:rsidRPr="00656B81">
        <w:t>p</w:t>
      </w:r>
      <w:r w:rsidRPr="00656B81">
        <w:t xml:space="preserve">rocureur de la </w:t>
      </w:r>
      <w:r w:rsidR="00414E6D" w:rsidRPr="00656B81">
        <w:t>R</w:t>
      </w:r>
      <w:r w:rsidRPr="00656B81">
        <w:t>épublique, en cas de crime, de désigner sans délai un juge d’instruction de son ressort pour information régulière, nombre</w:t>
      </w:r>
      <w:r w:rsidR="00D51CEE" w:rsidRPr="00656B81">
        <w:t xml:space="preserve"> d’affaires </w:t>
      </w:r>
      <w:r w:rsidRPr="00656B81">
        <w:t xml:space="preserve">de </w:t>
      </w:r>
      <w:r w:rsidR="00D51CEE" w:rsidRPr="00656B81">
        <w:t xml:space="preserve">torture sont transmises aux </w:t>
      </w:r>
      <w:r w:rsidRPr="00656B81">
        <w:t xml:space="preserve">Officiers </w:t>
      </w:r>
      <w:r w:rsidR="00D51CEE" w:rsidRPr="00656B81">
        <w:t>de police judiciaire (OPJ) pour complément d’</w:t>
      </w:r>
      <w:r w:rsidR="009C19D4" w:rsidRPr="00656B81">
        <w:t>enquête</w:t>
      </w:r>
      <w:r w:rsidRPr="00656B81">
        <w:t>. Les affaires</w:t>
      </w:r>
      <w:r w:rsidR="00D51CEE" w:rsidRPr="00656B81">
        <w:t xml:space="preserve"> trainent </w:t>
      </w:r>
      <w:r w:rsidRPr="00656B81">
        <w:t xml:space="preserve">alors </w:t>
      </w:r>
      <w:r w:rsidR="00D51CEE" w:rsidRPr="00656B81">
        <w:t xml:space="preserve">longtemps sans qu’il y ait </w:t>
      </w:r>
      <w:r w:rsidR="00414E6D" w:rsidRPr="00656B81">
        <w:t xml:space="preserve">des enquêtes préliminaires </w:t>
      </w:r>
      <w:r w:rsidR="00D51CEE" w:rsidRPr="00656B81">
        <w:t xml:space="preserve"> sérieuse</w:t>
      </w:r>
      <w:r w:rsidR="00414E6D" w:rsidRPr="00656B81">
        <w:t>s</w:t>
      </w:r>
      <w:r w:rsidRPr="00656B81">
        <w:t>.</w:t>
      </w:r>
    </w:p>
    <w:p w14:paraId="5E37DBBF" w14:textId="77777777" w:rsidR="00B968CA" w:rsidRPr="00656B81" w:rsidRDefault="009F1BEF" w:rsidP="00065BAF">
      <w:pPr>
        <w:jc w:val="both"/>
      </w:pPr>
      <w:r>
        <w:t xml:space="preserve"> I</w:t>
      </w:r>
      <w:r w:rsidR="00B968CA" w:rsidRPr="00656B81">
        <w:t>ssus le plus souvent de quartier</w:t>
      </w:r>
      <w:r w:rsidR="00AF3485">
        <w:t>s</w:t>
      </w:r>
      <w:r w:rsidR="00B968CA" w:rsidRPr="00656B81">
        <w:t xml:space="preserve"> défavor</w:t>
      </w:r>
      <w:r w:rsidR="00AF3485">
        <w:t>isés</w:t>
      </w:r>
      <w:r w:rsidR="00B968CA" w:rsidRPr="00656B81">
        <w:t xml:space="preserve"> où sévit la délinquance, certaines victimes de torture et/ou</w:t>
      </w:r>
      <w:r w:rsidR="00017642" w:rsidRPr="00656B81">
        <w:t xml:space="preserve"> leurs proches se </w:t>
      </w:r>
      <w:r w:rsidR="00E84696" w:rsidRPr="00656B81">
        <w:t xml:space="preserve">retrouvent rapidement </w:t>
      </w:r>
      <w:r w:rsidR="00017642" w:rsidRPr="00656B81">
        <w:t xml:space="preserve">poursuivis pour des délits à la suite du dépôt </w:t>
      </w:r>
      <w:r w:rsidR="00DF24E2" w:rsidRPr="00656B81">
        <w:t>d’une</w:t>
      </w:r>
      <w:r w:rsidR="00017642" w:rsidRPr="00656B81">
        <w:t xml:space="preserve"> plainte pour torture. </w:t>
      </w:r>
      <w:r w:rsidR="00565EC7" w:rsidRPr="00656B81">
        <w:t>C’était</w:t>
      </w:r>
      <w:r w:rsidR="00017642" w:rsidRPr="00656B81">
        <w:t xml:space="preserve"> le cas</w:t>
      </w:r>
      <w:r w:rsidR="00E84696" w:rsidRPr="00656B81">
        <w:t xml:space="preserve"> </w:t>
      </w:r>
      <w:r w:rsidR="00017642" w:rsidRPr="00656B81">
        <w:t>des proches de Walid Denguir, décédé durant sa garde à vue le</w:t>
      </w:r>
      <w:r w:rsidR="00FA639F" w:rsidRPr="00656B81">
        <w:t xml:space="preserve"> 2 novembre 201</w:t>
      </w:r>
      <w:r w:rsidR="00065BAF">
        <w:t>3</w:t>
      </w:r>
      <w:r w:rsidR="00E84696" w:rsidRPr="00656B81">
        <w:t>,</w:t>
      </w:r>
      <w:r w:rsidR="00FA639F" w:rsidRPr="00656B81">
        <w:t xml:space="preserve"> </w:t>
      </w:r>
      <w:r w:rsidR="009C19D4" w:rsidRPr="00656B81">
        <w:t>et de Samir Metoui</w:t>
      </w:r>
      <w:r>
        <w:t>, qui s’est retrouvé durant son incarcération poursuivi dans de nouvelles affaires</w:t>
      </w:r>
      <w:r w:rsidR="00DF24E2" w:rsidRPr="00656B81">
        <w:t>.</w:t>
      </w:r>
      <w:r w:rsidRPr="00656B81">
        <w:t xml:space="preserve"> </w:t>
      </w:r>
    </w:p>
    <w:p w14:paraId="1FF61AA9" w14:textId="77777777" w:rsidR="00E84696" w:rsidRPr="00656B81" w:rsidRDefault="00017642" w:rsidP="00DF24E2">
      <w:pPr>
        <w:jc w:val="both"/>
      </w:pPr>
      <w:r w:rsidRPr="00656B81">
        <w:t xml:space="preserve">Bien rares sont les mesures privatives de liberté prises à l’encontre des agents soupçonnés d’avoir commis des actes de torture ou autres crimes. </w:t>
      </w:r>
    </w:p>
    <w:p w14:paraId="3F698AEE" w14:textId="77777777" w:rsidR="00565EC7" w:rsidRPr="00656B81" w:rsidRDefault="00017642" w:rsidP="00FA639F">
      <w:pPr>
        <w:jc w:val="both"/>
      </w:pPr>
      <w:r w:rsidRPr="00656B81">
        <w:t xml:space="preserve">Trois agents de l’ordre ont </w:t>
      </w:r>
      <w:r w:rsidR="00E84696" w:rsidRPr="00656B81">
        <w:t xml:space="preserve">par exemple </w:t>
      </w:r>
      <w:r w:rsidRPr="00656B81">
        <w:t>été détenus préventivement dans</w:t>
      </w:r>
      <w:r w:rsidR="00FA639F" w:rsidRPr="00656B81">
        <w:t xml:space="preserve"> l’affaire, bien médiatisée, de </w:t>
      </w:r>
      <w:r w:rsidRPr="00656B81">
        <w:t>On</w:t>
      </w:r>
      <w:r w:rsidR="00FA639F" w:rsidRPr="00656B81">
        <w:t>s et Ahlem Dalhoumi, décédées la nuit du 23 a</w:t>
      </w:r>
      <w:r w:rsidRPr="00656B81">
        <w:t>out 2014 suite à des coups de feu venant d’une patrouille des forces de l’ordre alors qu’elles étaient en route en voiture accompagnées de leurs proches. Les syndicats des forces de l’ordre ont organisé des sit-in devant le tribunal de première instance de Kasserine pour soutenir les 13 agents impliqués dans cette affaire et faire pression sur le juge d’instruction chargé de cette affaire</w:t>
      </w:r>
      <w:r w:rsidR="00FA639F" w:rsidRPr="00656B81">
        <w:t xml:space="preserve">. Suite à cette pression, </w:t>
      </w:r>
      <w:r w:rsidRPr="00656B81">
        <w:t>deux agents</w:t>
      </w:r>
      <w:r w:rsidR="00FA639F" w:rsidRPr="00656B81">
        <w:t xml:space="preserve"> ont été libérés, et </w:t>
      </w:r>
      <w:r w:rsidRPr="00656B81">
        <w:t xml:space="preserve">l’affaire a été transférée au </w:t>
      </w:r>
      <w:r w:rsidR="00E84696" w:rsidRPr="00656B81">
        <w:t>T</w:t>
      </w:r>
      <w:r w:rsidRPr="00656B81">
        <w:t>ribunal</w:t>
      </w:r>
      <w:r w:rsidR="00B24264" w:rsidRPr="00656B81">
        <w:t xml:space="preserve"> de première instance</w:t>
      </w:r>
      <w:r w:rsidRPr="00656B81">
        <w:t xml:space="preserve"> de Sfa</w:t>
      </w:r>
      <w:r w:rsidR="00B24264" w:rsidRPr="00656B81">
        <w:t>x</w:t>
      </w:r>
      <w:r w:rsidR="00FA639F" w:rsidRPr="00656B81">
        <w:t xml:space="preserve"> en raison des tensions</w:t>
      </w:r>
      <w:r w:rsidRPr="00656B81">
        <w:t xml:space="preserve">. </w:t>
      </w:r>
      <w:r w:rsidR="00FA639F" w:rsidRPr="00656B81">
        <w:t>Puis e</w:t>
      </w:r>
      <w:r w:rsidRPr="00656B81">
        <w:t xml:space="preserve">n janvier 2016, le seul agent détenu préventivement a été </w:t>
      </w:r>
      <w:r w:rsidR="00565EC7" w:rsidRPr="00656B81">
        <w:t>relâché.</w:t>
      </w:r>
    </w:p>
    <w:p w14:paraId="4F039584" w14:textId="77777777" w:rsidR="00565EC7" w:rsidRPr="00656B81" w:rsidRDefault="00565EC7" w:rsidP="00B20EA8">
      <w:pPr>
        <w:jc w:val="both"/>
      </w:pPr>
      <w:r w:rsidRPr="00656B81">
        <w:t>Dans les six affaires qui ont fait l’objet d’une décision du Comité contre la torture, seule l’affaire de Fa</w:t>
      </w:r>
      <w:r w:rsidR="001B5245">
        <w:t>y</w:t>
      </w:r>
      <w:r w:rsidRPr="00656B81">
        <w:t xml:space="preserve">çal Baraket, décédé en octobre 1991, suite à son arrestation par le poste de </w:t>
      </w:r>
      <w:r w:rsidR="00B20EA8">
        <w:t>Garde nationale</w:t>
      </w:r>
      <w:r w:rsidRPr="00656B81">
        <w:t xml:space="preserve"> à Nabeul, a enregistré un acte significatif après la révolution. En effet, suite à la pression de la société civile, le corps de Fa</w:t>
      </w:r>
      <w:r w:rsidR="001B5245">
        <w:t>y</w:t>
      </w:r>
      <w:r w:rsidRPr="00656B81">
        <w:t>çal Baraket a été exhumé en mars 2013</w:t>
      </w:r>
      <w:r w:rsidR="00B20EA8">
        <w:rPr>
          <w:rStyle w:val="FootnoteReference"/>
        </w:rPr>
        <w:footnoteReference w:id="10"/>
      </w:r>
      <w:r w:rsidRPr="00656B81">
        <w:t xml:space="preserve">, soit 22 ans après son décès et une contre-expertise a prouvé que son décès est </w:t>
      </w:r>
      <w:r w:rsidR="002A04DF" w:rsidRPr="00656B81">
        <w:t>dû</w:t>
      </w:r>
      <w:r w:rsidRPr="00656B81">
        <w:t xml:space="preserve"> à la torture qu’il a subie durant la garde à vue et non suite à un accident de la cir</w:t>
      </w:r>
      <w:r w:rsidR="00FA639F" w:rsidRPr="00656B81">
        <w:t>culation comme avait conclu le p</w:t>
      </w:r>
      <w:r w:rsidRPr="00656B81">
        <w:t xml:space="preserve">rocureur de la </w:t>
      </w:r>
      <w:r w:rsidR="00FA639F" w:rsidRPr="00656B81">
        <w:t>R</w:t>
      </w:r>
      <w:r w:rsidRPr="00656B81">
        <w:t>épublique en 1991.</w:t>
      </w:r>
    </w:p>
    <w:p w14:paraId="578BC69D" w14:textId="77777777" w:rsidR="006963D1" w:rsidRPr="00656B81" w:rsidRDefault="006B5963" w:rsidP="00565EC7">
      <w:pPr>
        <w:jc w:val="both"/>
      </w:pPr>
      <w:r w:rsidRPr="00656B81">
        <w:t xml:space="preserve">A la suite de ce </w:t>
      </w:r>
      <w:r w:rsidR="006963D1" w:rsidRPr="00656B81">
        <w:t>revirement</w:t>
      </w:r>
      <w:r w:rsidRPr="00656B81">
        <w:t xml:space="preserve"> tant attendu, le juge d’instruction du tribunal de première instance de Grombalia a procédé à quelques actes d’information et ordonné des mandats d’amener</w:t>
      </w:r>
      <w:r w:rsidR="006963D1" w:rsidRPr="00656B81">
        <w:t xml:space="preserve"> à l’encontre des agents de l’ordre</w:t>
      </w:r>
      <w:r w:rsidRPr="00656B81">
        <w:t xml:space="preserve"> </w:t>
      </w:r>
      <w:r w:rsidR="00AB73C4" w:rsidRPr="00656B81">
        <w:t>sans qu’</w:t>
      </w:r>
      <w:r w:rsidRPr="00656B81">
        <w:t xml:space="preserve">aucun </w:t>
      </w:r>
      <w:r w:rsidR="00AB73C4" w:rsidRPr="00656B81">
        <w:t xml:space="preserve">de ceux-ci </w:t>
      </w:r>
      <w:r w:rsidRPr="00656B81">
        <w:t xml:space="preserve">n’a été </w:t>
      </w:r>
      <w:r w:rsidR="006963D1" w:rsidRPr="00656B81">
        <w:t>exécuté</w:t>
      </w:r>
      <w:r w:rsidRPr="00656B81">
        <w:t>.</w:t>
      </w:r>
      <w:r w:rsidR="00B20EA8">
        <w:t xml:space="preserve"> </w:t>
      </w:r>
      <w:r w:rsidR="001B5245">
        <w:t>A ce jour, l’affaire Fayçal Baraket reste sans réponse judiciaire.</w:t>
      </w:r>
    </w:p>
    <w:p w14:paraId="284F50D3" w14:textId="77777777" w:rsidR="00065BAF" w:rsidRDefault="006963D1" w:rsidP="00AB1815">
      <w:pPr>
        <w:jc w:val="both"/>
      </w:pPr>
      <w:r w:rsidRPr="00656B81">
        <w:t xml:space="preserve">Dans une autre affaire ayant des faits similaires, celle de Rachid Chammakhi, décédé en 1991, le juge d’instruction au </w:t>
      </w:r>
      <w:r w:rsidR="00AB73C4" w:rsidRPr="00656B81">
        <w:t>T</w:t>
      </w:r>
      <w:r w:rsidRPr="00656B81">
        <w:t>ribunal de première instance de Grombalia avait ordonné des mandats de dépôt à l’encontre d</w:t>
      </w:r>
      <w:r w:rsidR="00AB1815">
        <w:t xml:space="preserve">e </w:t>
      </w:r>
      <w:r w:rsidRPr="00656B81">
        <w:t>deux médecins</w:t>
      </w:r>
      <w:r w:rsidR="00AB1815">
        <w:t>, un directeur d’hôpital et un ancien ministre de l’Intérieur</w:t>
      </w:r>
      <w:r w:rsidRPr="00656B81">
        <w:t xml:space="preserve"> mais la Chambre d’accusation, en tant qu’instance d’appel aux ordonnances émises par le juge d’instruction, a relâché tous les a</w:t>
      </w:r>
      <w:r w:rsidR="0006510F" w:rsidRPr="00656B81">
        <w:t>ccusés.</w:t>
      </w:r>
      <w:r w:rsidR="00AB1815">
        <w:t xml:space="preserve"> Un agent de l’ordre a été arrêté puis rel</w:t>
      </w:r>
      <w:r w:rsidR="00D42D55">
        <w:t>âché</w:t>
      </w:r>
      <w:r w:rsidR="00AB1815">
        <w:t xml:space="preserve"> à </w:t>
      </w:r>
      <w:r w:rsidR="00D42D55">
        <w:t>la fin de la durée de la détention préventive.</w:t>
      </w:r>
      <w:r w:rsidR="0006510F" w:rsidRPr="00656B81">
        <w:t xml:space="preserve"> </w:t>
      </w:r>
      <w:r w:rsidR="00065BAF">
        <w:t>Des mandats d’amener contre d’autres accusés demeurent non exécutés.</w:t>
      </w:r>
      <w:r w:rsidR="001B5245">
        <w:t xml:space="preserve"> Un principal accusé qui fait aujourd’hui l’objet d’un mandat d’amener, s’est enfui durant son audition en 2012 par le juge d’instruction.</w:t>
      </w:r>
    </w:p>
    <w:p w14:paraId="05DC75B0" w14:textId="77777777" w:rsidR="00AB73C4" w:rsidRPr="00656B81" w:rsidRDefault="00901CCD" w:rsidP="00065BAF">
      <w:pPr>
        <w:jc w:val="both"/>
      </w:pPr>
      <w:r w:rsidRPr="00656B81">
        <w:t>On peut citer, en outre, plusieurs cas d’</w:t>
      </w:r>
      <w:r w:rsidR="00AF7CF4" w:rsidRPr="00656B81">
        <w:t>enquêtes ouvertes pour mort suspecte</w:t>
      </w:r>
      <w:r w:rsidR="00DF24E2" w:rsidRPr="00656B81">
        <w:t xml:space="preserve"> qui n’ont pas </w:t>
      </w:r>
      <w:r w:rsidR="00AB73C4" w:rsidRPr="00656B81">
        <w:t>donné lieu à une réponse judiciaire satisfaisante</w:t>
      </w:r>
      <w:r w:rsidR="00DF24E2" w:rsidRPr="00656B81">
        <w:t xml:space="preserve"> jusqu’à présent</w:t>
      </w:r>
      <w:r w:rsidR="00AF3485">
        <w:t xml:space="preserve"> celles</w:t>
      </w:r>
      <w:r w:rsidRPr="00656B81">
        <w:t xml:space="preserve"> : </w:t>
      </w:r>
    </w:p>
    <w:p w14:paraId="759B9BE7" w14:textId="77777777" w:rsidR="00901CCD" w:rsidRDefault="00FA4E38" w:rsidP="00FA4E38">
      <w:pPr>
        <w:pStyle w:val="ColorfulList-Accent11"/>
        <w:numPr>
          <w:ilvl w:val="0"/>
          <w:numId w:val="4"/>
        </w:numPr>
        <w:jc w:val="both"/>
      </w:pPr>
      <w:r>
        <w:t xml:space="preserve">de Riadh Bouslama, décédé en 2000 </w:t>
      </w:r>
      <w:r w:rsidR="00AF7CF4" w:rsidRPr="00656B81">
        <w:t>durant son incarcération à la prison de Monastir</w:t>
      </w:r>
      <w:r w:rsidR="00901CCD" w:rsidRPr="00656B81">
        <w:t> ;</w:t>
      </w:r>
    </w:p>
    <w:p w14:paraId="6DB8EB3F" w14:textId="77777777" w:rsidR="005038E5" w:rsidRPr="00656B81" w:rsidRDefault="005038E5" w:rsidP="007949FC">
      <w:pPr>
        <w:pStyle w:val="ColorfulList-Accent11"/>
        <w:numPr>
          <w:ilvl w:val="0"/>
          <w:numId w:val="4"/>
        </w:numPr>
        <w:jc w:val="both"/>
      </w:pPr>
      <w:r>
        <w:t>de Abderraouf Khammassi, décédé le 8 septembre 2012, durant sa garde à vue ;</w:t>
      </w:r>
    </w:p>
    <w:p w14:paraId="6A25B350" w14:textId="77777777" w:rsidR="00AB73C4" w:rsidRPr="00656B81" w:rsidRDefault="00AF7CF4" w:rsidP="007949FC">
      <w:pPr>
        <w:pStyle w:val="ColorfulList-Accent11"/>
        <w:numPr>
          <w:ilvl w:val="0"/>
          <w:numId w:val="4"/>
        </w:numPr>
        <w:jc w:val="both"/>
      </w:pPr>
      <w:r w:rsidRPr="00656B81">
        <w:t>de Mohamed Ali Snoussi décédé le 3 octobre 2014 durant sa ga</w:t>
      </w:r>
      <w:r w:rsidR="005038E5">
        <w:t>r</w:t>
      </w:r>
      <w:r w:rsidRPr="00656B81">
        <w:t>de à vue</w:t>
      </w:r>
      <w:r w:rsidR="00901CCD" w:rsidRPr="00656B81">
        <w:t> ;</w:t>
      </w:r>
      <w:r w:rsidRPr="00656B81">
        <w:t xml:space="preserve"> </w:t>
      </w:r>
    </w:p>
    <w:p w14:paraId="435D05C3" w14:textId="77777777" w:rsidR="005038E5" w:rsidRDefault="00AF7CF4" w:rsidP="005038E5">
      <w:pPr>
        <w:pStyle w:val="ColorfulList-Accent11"/>
        <w:numPr>
          <w:ilvl w:val="0"/>
          <w:numId w:val="4"/>
        </w:numPr>
        <w:jc w:val="both"/>
      </w:pPr>
      <w:r w:rsidRPr="00656B81">
        <w:t>de Walid Denguir décédé le 2 novembre 201</w:t>
      </w:r>
      <w:r w:rsidR="005038E5">
        <w:t>3</w:t>
      </w:r>
      <w:r w:rsidRPr="00656B81">
        <w:t xml:space="preserve"> durant sa garde à </w:t>
      </w:r>
      <w:r w:rsidR="00501000" w:rsidRPr="00656B81">
        <w:t>vue</w:t>
      </w:r>
      <w:r w:rsidR="00901CCD" w:rsidRPr="00656B81">
        <w:t> ;</w:t>
      </w:r>
      <w:r w:rsidR="00501000" w:rsidRPr="00656B81">
        <w:t xml:space="preserve"> </w:t>
      </w:r>
    </w:p>
    <w:p w14:paraId="62B2F3C9" w14:textId="77777777" w:rsidR="005038E5" w:rsidRPr="00656B81" w:rsidRDefault="005038E5" w:rsidP="005038E5">
      <w:pPr>
        <w:pStyle w:val="ColorfulList-Accent11"/>
        <w:numPr>
          <w:ilvl w:val="0"/>
          <w:numId w:val="4"/>
        </w:numPr>
        <w:jc w:val="both"/>
      </w:pPr>
      <w:r>
        <w:t>d</w:t>
      </w:r>
      <w:r w:rsidRPr="005038E5">
        <w:t>e Makram El Chérif, décédé le 14 décembre 2014 durant son incarcération à la prison de Messadine ;</w:t>
      </w:r>
    </w:p>
    <w:p w14:paraId="063F6015" w14:textId="77777777" w:rsidR="005038E5" w:rsidRDefault="00AF7CF4" w:rsidP="005038E5">
      <w:pPr>
        <w:pStyle w:val="ColorfulList-Accent11"/>
        <w:numPr>
          <w:ilvl w:val="0"/>
          <w:numId w:val="4"/>
        </w:numPr>
        <w:jc w:val="both"/>
      </w:pPr>
      <w:r w:rsidRPr="00656B81">
        <w:t>de Sof</w:t>
      </w:r>
      <w:r w:rsidR="005038E5">
        <w:t>i</w:t>
      </w:r>
      <w:r w:rsidRPr="00656B81">
        <w:t>ène Dridi, décédé le</w:t>
      </w:r>
      <w:r w:rsidR="00501000" w:rsidRPr="00656B81">
        <w:t xml:space="preserve"> 17 septembre 2015 </w:t>
      </w:r>
      <w:r w:rsidRPr="00656B81">
        <w:t>durant sa détention dans la prison de Mornaguia</w:t>
      </w:r>
      <w:r w:rsidR="00901CCD" w:rsidRPr="00656B81">
        <w:t> ;</w:t>
      </w:r>
    </w:p>
    <w:p w14:paraId="4855B4FC" w14:textId="77777777" w:rsidR="005038E5" w:rsidRPr="00656B81" w:rsidRDefault="005038E5" w:rsidP="005038E5">
      <w:pPr>
        <w:pStyle w:val="ColorfulList-Accent11"/>
        <w:numPr>
          <w:ilvl w:val="0"/>
          <w:numId w:val="4"/>
        </w:numPr>
        <w:jc w:val="both"/>
      </w:pPr>
      <w:r w:rsidRPr="005038E5">
        <w:t>de Kais Berrhouma décédé la nuit du 4 octobre 2015 suite à une arrestation violente de la part d’une brigade de la garde nationale ;</w:t>
      </w:r>
    </w:p>
    <w:p w14:paraId="1B0CF999" w14:textId="77777777" w:rsidR="00AB73C4" w:rsidRPr="00656B81" w:rsidRDefault="00627004" w:rsidP="007949FC">
      <w:pPr>
        <w:pStyle w:val="ColorfulList-Accent11"/>
        <w:numPr>
          <w:ilvl w:val="0"/>
          <w:numId w:val="4"/>
        </w:numPr>
        <w:jc w:val="both"/>
      </w:pPr>
      <w:r w:rsidRPr="00656B81">
        <w:t>d</w:t>
      </w:r>
      <w:r w:rsidR="00901CCD" w:rsidRPr="00656B81">
        <w:t>’</w:t>
      </w:r>
      <w:r w:rsidRPr="00656B81">
        <w:t>Abdelmajid Jedday</w:t>
      </w:r>
      <w:r w:rsidRPr="00656B81">
        <w:rPr>
          <w:rStyle w:val="FootnoteReference"/>
        </w:rPr>
        <w:footnoteReference w:id="11"/>
      </w:r>
      <w:r w:rsidRPr="00656B81">
        <w:t>, décédé le 13 mai 2015 à l</w:t>
      </w:r>
      <w:r w:rsidR="005038E5">
        <w:t>a suite de son arrestation par les forces de l’ordre</w:t>
      </w:r>
      <w:r w:rsidRPr="00656B81">
        <w:t xml:space="preserve"> à Sidi Bouzid</w:t>
      </w:r>
      <w:r w:rsidR="00AB73C4" w:rsidRPr="00656B81">
        <w:t>.</w:t>
      </w:r>
      <w:r w:rsidRPr="00656B81">
        <w:t xml:space="preserve"> </w:t>
      </w:r>
    </w:p>
    <w:p w14:paraId="5BD01216" w14:textId="77777777" w:rsidR="00901CCD" w:rsidRPr="00656B81" w:rsidRDefault="00901CCD" w:rsidP="007949FC">
      <w:pPr>
        <w:pStyle w:val="ColorfulList-Accent11"/>
        <w:jc w:val="both"/>
      </w:pPr>
    </w:p>
    <w:p w14:paraId="5852B5F9" w14:textId="77777777" w:rsidR="00AB73C4" w:rsidRPr="00656B81" w:rsidRDefault="00901CCD" w:rsidP="005038E5">
      <w:pPr>
        <w:pStyle w:val="ColorfulList-Accent11"/>
        <w:ind w:left="0"/>
        <w:jc w:val="both"/>
      </w:pPr>
      <w:r w:rsidRPr="00656B81">
        <w:t>P</w:t>
      </w:r>
      <w:r w:rsidR="00627004" w:rsidRPr="00656B81">
        <w:t>ourtant</w:t>
      </w:r>
      <w:r w:rsidRPr="00656B81">
        <w:t>,</w:t>
      </w:r>
      <w:r w:rsidR="00627004" w:rsidRPr="00656B81">
        <w:t xml:space="preserve"> dans le cas de Ryadh Bouslama, le juge d’instruction après la révolution a pu constituer un solide dossier qui laisserait supposer que la cause du décès n’était pas naturelle</w:t>
      </w:r>
      <w:r w:rsidR="0006510F" w:rsidRPr="00656B81">
        <w:t xml:space="preserve"> mais la clôture de l’instruction n’a jusqu’à ce jour pas été décidée</w:t>
      </w:r>
      <w:r w:rsidR="00627004" w:rsidRPr="00656B81">
        <w:t xml:space="preserve">. </w:t>
      </w:r>
    </w:p>
    <w:p w14:paraId="781C0571" w14:textId="77777777" w:rsidR="006963D1" w:rsidRPr="00656B81" w:rsidRDefault="00627004" w:rsidP="005038E5">
      <w:pPr>
        <w:pStyle w:val="ColorfulList-Accent11"/>
        <w:ind w:left="0"/>
        <w:jc w:val="both"/>
      </w:pPr>
      <w:r w:rsidRPr="00656B81">
        <w:t xml:space="preserve">Pour les autres cas, les </w:t>
      </w:r>
      <w:r w:rsidR="00DC56AE" w:rsidRPr="00656B81">
        <w:t>enquêtes</w:t>
      </w:r>
      <w:r w:rsidRPr="00656B81">
        <w:t xml:space="preserve"> n</w:t>
      </w:r>
      <w:r w:rsidR="00501000" w:rsidRPr="00656B81">
        <w:t xml:space="preserve">’étaient pas du tout sérieuses : </w:t>
      </w:r>
      <w:r w:rsidR="00AB73C4" w:rsidRPr="00656B81">
        <w:t>p</w:t>
      </w:r>
      <w:r w:rsidRPr="00656B81">
        <w:t>resqu’aucune convocation pour audition en dehors des</w:t>
      </w:r>
      <w:r w:rsidR="00501000" w:rsidRPr="00656B81">
        <w:t xml:space="preserve"> auditions des</w:t>
      </w:r>
      <w:r w:rsidRPr="00656B81">
        <w:t xml:space="preserve"> proch</w:t>
      </w:r>
      <w:r w:rsidR="0006510F" w:rsidRPr="00656B81">
        <w:t xml:space="preserve">es des victimes, pas </w:t>
      </w:r>
      <w:r w:rsidRPr="00656B81">
        <w:t>de mandats de dépôt ni d’amener</w:t>
      </w:r>
      <w:r w:rsidR="00705D58" w:rsidRPr="00656B81">
        <w:t>.</w:t>
      </w:r>
    </w:p>
    <w:p w14:paraId="6609C725" w14:textId="77777777" w:rsidR="005038E5" w:rsidRDefault="00627004" w:rsidP="00AF3485">
      <w:pPr>
        <w:pStyle w:val="ColorfulList-Accent11"/>
        <w:ind w:left="0"/>
        <w:jc w:val="both"/>
      </w:pPr>
      <w:r w:rsidRPr="00656B81">
        <w:t>Dans les cas de W.Denguir, de M.A.Snoussi et de S.Dridi</w:t>
      </w:r>
      <w:r w:rsidR="00DC56AE" w:rsidRPr="00656B81">
        <w:t xml:space="preserve">, les autorités avaient avancé </w:t>
      </w:r>
      <w:r w:rsidR="00705D58" w:rsidRPr="00656B81">
        <w:t xml:space="preserve">des hypothèses concernant </w:t>
      </w:r>
      <w:r w:rsidR="00DC56AE" w:rsidRPr="00656B81">
        <w:t>la cause du décès</w:t>
      </w:r>
      <w:r w:rsidR="00705D58" w:rsidRPr="00656B81">
        <w:t xml:space="preserve">, </w:t>
      </w:r>
      <w:r w:rsidR="00334AF3" w:rsidRPr="00656B81">
        <w:t>l</w:t>
      </w:r>
      <w:r w:rsidR="00AF3485">
        <w:t>e</w:t>
      </w:r>
      <w:r w:rsidR="00334AF3" w:rsidRPr="00656B81">
        <w:t xml:space="preserve"> considérant</w:t>
      </w:r>
      <w:r w:rsidR="00334AF3">
        <w:t xml:space="preserve"> naturel</w:t>
      </w:r>
      <w:r w:rsidR="00AF3485">
        <w:t>le</w:t>
      </w:r>
      <w:r w:rsidR="00DC56AE" w:rsidRPr="00656B81">
        <w:t xml:space="preserve"> avant même que les médecins légistes établissent l’autopsie.</w:t>
      </w:r>
      <w:r w:rsidR="005038E5">
        <w:t xml:space="preserve"> </w:t>
      </w:r>
      <w:r w:rsidR="00DC56AE" w:rsidRPr="00656B81">
        <w:t>Dans l’affaire de W.Denguir et celle de M.A.Snoussi, les avocats et les familles des victimes n’ont pu se constituer partie civile sous prétexte que l’enquête est provisoire et ouverte contre inconnu conformément à l’article 31 du CPP</w:t>
      </w:r>
      <w:r w:rsidR="00DC56AE" w:rsidRPr="00656B81">
        <w:rPr>
          <w:rStyle w:val="FootnoteReference"/>
        </w:rPr>
        <w:footnoteReference w:id="12"/>
      </w:r>
      <w:r w:rsidR="00DC56AE" w:rsidRPr="00656B81">
        <w:t>. Cette interprétation n’a aucun fondement juridique, d’ailleurs dans le cas de A.Jedday, l’avocat de la famille de la victime a pu entamer avec succès les procédures de constitution de partie civile et avoir accès au dossier.</w:t>
      </w:r>
    </w:p>
    <w:p w14:paraId="2029C377" w14:textId="77777777" w:rsidR="00AB73C4" w:rsidRPr="00656B81" w:rsidRDefault="00DC56AE" w:rsidP="00476A57">
      <w:pPr>
        <w:pStyle w:val="ColorfulList-Accent11"/>
        <w:ind w:left="0"/>
        <w:jc w:val="both"/>
      </w:pPr>
      <w:r w:rsidRPr="00656B81">
        <w:t>L’affaire de Barraket Essahel, bien médiatisée, qui concerne</w:t>
      </w:r>
      <w:r w:rsidR="004900E5" w:rsidRPr="00656B81">
        <w:t>,</w:t>
      </w:r>
      <w:r w:rsidRPr="00656B81">
        <w:t xml:space="preserve"> selon une list</w:t>
      </w:r>
      <w:r w:rsidR="004900E5" w:rsidRPr="00656B81">
        <w:t xml:space="preserve">e établie par le </w:t>
      </w:r>
      <w:r w:rsidR="00705D58" w:rsidRPr="00656B81">
        <w:t>m</w:t>
      </w:r>
      <w:r w:rsidR="004900E5" w:rsidRPr="00656B81">
        <w:t xml:space="preserve">inistère de la </w:t>
      </w:r>
      <w:r w:rsidR="00705D58" w:rsidRPr="00656B81">
        <w:t>D</w:t>
      </w:r>
      <w:r w:rsidR="004900E5" w:rsidRPr="00656B81">
        <w:t xml:space="preserve">éfense, 244 militaires </w:t>
      </w:r>
      <w:r w:rsidR="00476A57">
        <w:t>ayant subis des actes de torture</w:t>
      </w:r>
      <w:r w:rsidR="004900E5" w:rsidRPr="00656B81">
        <w:t xml:space="preserve"> en 1991</w:t>
      </w:r>
      <w:r w:rsidR="00A222C2">
        <w:rPr>
          <w:rStyle w:val="FootnoteReference"/>
        </w:rPr>
        <w:footnoteReference w:id="13"/>
      </w:r>
      <w:r w:rsidR="004900E5" w:rsidRPr="00656B81">
        <w:t>, a donné lieu à des verdicts de 2 à 5 ans d’emprisonnement pour dél</w:t>
      </w:r>
      <w:r w:rsidR="00501000" w:rsidRPr="00656B81">
        <w:t>it de violences à l’encontre de</w:t>
      </w:r>
      <w:r w:rsidR="004900E5" w:rsidRPr="00656B81">
        <w:t xml:space="preserve"> Be</w:t>
      </w:r>
      <w:r w:rsidR="00E46A1F" w:rsidRPr="00656B81">
        <w:t xml:space="preserve">n Ali et quelques </w:t>
      </w:r>
      <w:r w:rsidR="004900E5" w:rsidRPr="00656B81">
        <w:t xml:space="preserve">hauts </w:t>
      </w:r>
      <w:r w:rsidR="00E46A1F" w:rsidRPr="00656B81">
        <w:t>responsables</w:t>
      </w:r>
      <w:r w:rsidR="004900E5" w:rsidRPr="00656B81">
        <w:t xml:space="preserve"> et agents.</w:t>
      </w:r>
      <w:r w:rsidR="00E46A1F" w:rsidRPr="00656B81">
        <w:t xml:space="preserve"> </w:t>
      </w:r>
    </w:p>
    <w:p w14:paraId="7D3C6AB8" w14:textId="77777777" w:rsidR="00AB73C4" w:rsidRDefault="00E46A1F" w:rsidP="005038E5">
      <w:pPr>
        <w:pStyle w:val="ColorfulList-Accent11"/>
        <w:ind w:left="0"/>
        <w:jc w:val="both"/>
      </w:pPr>
      <w:r w:rsidRPr="00656B81">
        <w:t xml:space="preserve">Certes le crime de torture n’existait pas en 1991, mais le procès qui a eu lieu au tribunal militaire après </w:t>
      </w:r>
      <w:r w:rsidR="00CA0903" w:rsidRPr="00656B81">
        <w:t>dessaisissement</w:t>
      </w:r>
      <w:r w:rsidRPr="00656B81">
        <w:t xml:space="preserve"> du tribunal ordinaire a </w:t>
      </w:r>
      <w:r w:rsidR="00AB73C4" w:rsidRPr="00656B81">
        <w:t xml:space="preserve">présenté </w:t>
      </w:r>
      <w:r w:rsidRPr="00656B81">
        <w:t>plusieurs failles qui rendent ce jugement non satisfaisant. Certaines demandes des avocats n’ont pas été prises en considération, certains accusés n’on</w:t>
      </w:r>
      <w:r w:rsidR="00C952CC" w:rsidRPr="00656B81">
        <w:t>t</w:t>
      </w:r>
      <w:r w:rsidRPr="00656B81">
        <w:t xml:space="preserve"> pas été cités à comparaitre, d’autres ont échappé totalement aux poursuites et les expertises médicales n’ont pas permis de déterminer toutes les </w:t>
      </w:r>
      <w:r w:rsidR="00C952CC" w:rsidRPr="00656B81">
        <w:t>séquelles</w:t>
      </w:r>
      <w:r w:rsidRPr="00656B81">
        <w:t xml:space="preserve"> et </w:t>
      </w:r>
      <w:r w:rsidR="00C952CC" w:rsidRPr="00656B81">
        <w:t>incapacités</w:t>
      </w:r>
      <w:r w:rsidRPr="00656B81">
        <w:t xml:space="preserve"> permanentes des victimes et qui auraient permis de retenir d’autres charges et accusations contre les inculpés</w:t>
      </w:r>
      <w:r w:rsidR="00501000" w:rsidRPr="00656B81">
        <w:t>,</w:t>
      </w:r>
      <w:r w:rsidRPr="00656B81">
        <w:t xml:space="preserve"> tel</w:t>
      </w:r>
      <w:r w:rsidR="00C974B7" w:rsidRPr="00656B81">
        <w:t>s</w:t>
      </w:r>
      <w:r w:rsidRPr="00656B81">
        <w:t xml:space="preserve"> les circonst</w:t>
      </w:r>
      <w:r w:rsidR="00C974B7" w:rsidRPr="00656B81">
        <w:t>ances aggravantes du délit de violence</w:t>
      </w:r>
      <w:r w:rsidR="00501000" w:rsidRPr="00656B81">
        <w:t>s</w:t>
      </w:r>
      <w:r w:rsidR="00C974B7" w:rsidRPr="00656B81">
        <w:t xml:space="preserve"> prévu</w:t>
      </w:r>
      <w:r w:rsidR="00501000" w:rsidRPr="00656B81">
        <w:t>s</w:t>
      </w:r>
      <w:r w:rsidR="00C974B7" w:rsidRPr="00656B81">
        <w:t xml:space="preserve"> à l’article 219 du Code pénal</w:t>
      </w:r>
      <w:r w:rsidRPr="00656B81">
        <w:rPr>
          <w:rStyle w:val="FootnoteReference"/>
        </w:rPr>
        <w:footnoteReference w:id="14"/>
      </w:r>
      <w:r w:rsidRPr="00656B81">
        <w:t>.</w:t>
      </w:r>
    </w:p>
    <w:p w14:paraId="11D7016B" w14:textId="77777777" w:rsidR="00476A57" w:rsidRPr="00656B81" w:rsidRDefault="00476A57" w:rsidP="005038E5">
      <w:pPr>
        <w:pStyle w:val="ColorfulList-Accent11"/>
        <w:ind w:left="0"/>
        <w:jc w:val="both"/>
      </w:pPr>
      <w:r>
        <w:t>Une autre affaire similaire qui a concerné des militaires</w:t>
      </w:r>
      <w:r w:rsidR="00BB24AE">
        <w:t xml:space="preserve"> ayant subis des actes de torture en 1987 ne semble pas aller sur le chemin d’un verdict juste et équitable par le tribunal militaire vu les différents dysfonctionnements qui accompagnent ce procès. </w:t>
      </w:r>
    </w:p>
    <w:p w14:paraId="005E20FE" w14:textId="77777777" w:rsidR="00C974B7" w:rsidRPr="00656B81" w:rsidRDefault="00C974B7" w:rsidP="007949FC">
      <w:pPr>
        <w:pStyle w:val="ColorfulList-Accent11"/>
        <w:ind w:left="0"/>
        <w:jc w:val="both"/>
      </w:pPr>
      <w:r w:rsidRPr="00656B81">
        <w:t xml:space="preserve">Aussi dans l’affaire de Rached Jaidane, victime de torture </w:t>
      </w:r>
      <w:r w:rsidR="00361F68" w:rsidRPr="00656B81">
        <w:t>durant son arrestation</w:t>
      </w:r>
      <w:r w:rsidR="005038E5">
        <w:t xml:space="preserve"> au ministère de l’Intérieure</w:t>
      </w:r>
      <w:r w:rsidR="00361F68" w:rsidRPr="00656B81">
        <w:t xml:space="preserve"> en juillet 1993 et durant ses 13 ans de prison</w:t>
      </w:r>
      <w:r w:rsidRPr="00656B81">
        <w:t xml:space="preserve">, le </w:t>
      </w:r>
      <w:r w:rsidR="00AB73C4" w:rsidRPr="00656B81">
        <w:t>T</w:t>
      </w:r>
      <w:r w:rsidRPr="00656B81">
        <w:t xml:space="preserve">ribunal de première instance de Tunis n’a retenu que le délit de violence à l’encontre de Ben Ali alors que les séquelles de torture sont </w:t>
      </w:r>
      <w:r w:rsidR="00E37887" w:rsidRPr="00656B81">
        <w:t>très</w:t>
      </w:r>
      <w:r w:rsidRPr="00656B81">
        <w:t xml:space="preserve"> importantes et qu’il y a plusieurs suspects, auteurs directs des actes de torture, qui auraient pu faire l’objet de poursuite</w:t>
      </w:r>
      <w:r w:rsidR="0006510F" w:rsidRPr="00656B81">
        <w:t>s</w:t>
      </w:r>
      <w:r w:rsidRPr="00656B81">
        <w:rPr>
          <w:rStyle w:val="FootnoteReference"/>
        </w:rPr>
        <w:footnoteReference w:id="15"/>
      </w:r>
      <w:r w:rsidRPr="00656B81">
        <w:t>.</w:t>
      </w:r>
    </w:p>
    <w:p w14:paraId="36246FD0" w14:textId="77777777" w:rsidR="00AB73C4" w:rsidRPr="00656B81" w:rsidRDefault="00AB73C4" w:rsidP="007949FC">
      <w:pPr>
        <w:pStyle w:val="ColorfulList-Accent11"/>
        <w:jc w:val="both"/>
      </w:pPr>
    </w:p>
    <w:p w14:paraId="2EE2599A" w14:textId="77777777" w:rsidR="00256C8A" w:rsidRPr="00656B81" w:rsidRDefault="00256C8A" w:rsidP="00E37887">
      <w:pPr>
        <w:jc w:val="both"/>
        <w:rPr>
          <w:b/>
          <w:bCs/>
        </w:rPr>
      </w:pPr>
      <w:r w:rsidRPr="00656B81">
        <w:rPr>
          <w:b/>
          <w:bCs/>
        </w:rPr>
        <w:t xml:space="preserve">2) La persistance de la </w:t>
      </w:r>
      <w:r w:rsidR="00AB73C4" w:rsidRPr="00656B81">
        <w:rPr>
          <w:b/>
          <w:bCs/>
        </w:rPr>
        <w:t>t</w:t>
      </w:r>
      <w:r w:rsidRPr="00656B81">
        <w:rPr>
          <w:b/>
          <w:bCs/>
        </w:rPr>
        <w:t xml:space="preserve">orture </w:t>
      </w:r>
      <w:r w:rsidR="00E37887" w:rsidRPr="00656B81">
        <w:rPr>
          <w:b/>
          <w:bCs/>
        </w:rPr>
        <w:t xml:space="preserve">nourrie </w:t>
      </w:r>
      <w:r w:rsidRPr="00656B81">
        <w:rPr>
          <w:b/>
          <w:bCs/>
        </w:rPr>
        <w:t>par l’impunité</w:t>
      </w:r>
    </w:p>
    <w:p w14:paraId="3C944568" w14:textId="77777777" w:rsidR="00256C8A" w:rsidRPr="00656B81" w:rsidRDefault="00256C8A" w:rsidP="00501000">
      <w:pPr>
        <w:jc w:val="both"/>
      </w:pPr>
      <w:r w:rsidRPr="00656B81">
        <w:t>Tous ces cas mentionnés</w:t>
      </w:r>
      <w:r w:rsidR="00E37887" w:rsidRPr="00656B81">
        <w:t>,</w:t>
      </w:r>
      <w:r w:rsidRPr="00656B81">
        <w:t xml:space="preserve"> mais aussi les centaines d’affaires et plaintes pour torture qui restent depuis des années dans les </w:t>
      </w:r>
      <w:r w:rsidR="00501000" w:rsidRPr="00656B81">
        <w:t>tiroir</w:t>
      </w:r>
      <w:r w:rsidRPr="00656B81">
        <w:t>s des procureurs de la République ou des juges d’instruction sans sérieuses investigation</w:t>
      </w:r>
      <w:r w:rsidR="00E37887" w:rsidRPr="00656B81">
        <w:t>s</w:t>
      </w:r>
      <w:r w:rsidRPr="00656B81">
        <w:t xml:space="preserve"> ou classées sans suite, nous amènent à faire le constat que la torture et les mauvais traitements demeurent encore des crimes impunis.</w:t>
      </w:r>
    </w:p>
    <w:p w14:paraId="1F37862B" w14:textId="77777777" w:rsidR="001E25DF" w:rsidRPr="00656B81" w:rsidRDefault="00256C8A" w:rsidP="00C43D96">
      <w:pPr>
        <w:jc w:val="both"/>
      </w:pPr>
      <w:r w:rsidRPr="00656B81">
        <w:t>Des rapport</w:t>
      </w:r>
      <w:r w:rsidR="00CA0903" w:rsidRPr="00656B81">
        <w:t>s</w:t>
      </w:r>
      <w:r w:rsidRPr="00656B81">
        <w:t xml:space="preserve"> et communiqués établis par les observateurs locaux et internationaux </w:t>
      </w:r>
      <w:r w:rsidR="00CA0903" w:rsidRPr="00656B81">
        <w:t>démontr</w:t>
      </w:r>
      <w:r w:rsidR="00AF3485">
        <w:t>e</w:t>
      </w:r>
      <w:r w:rsidR="00CA0903" w:rsidRPr="00656B81">
        <w:t>nt</w:t>
      </w:r>
      <w:r w:rsidRPr="00656B81">
        <w:t xml:space="preserve"> </w:t>
      </w:r>
      <w:r w:rsidR="002C308B" w:rsidRPr="00656B81">
        <w:t>que</w:t>
      </w:r>
      <w:r w:rsidRPr="00656B81">
        <w:t xml:space="preserve"> la torture </w:t>
      </w:r>
      <w:r w:rsidR="002C308B" w:rsidRPr="00656B81">
        <w:t xml:space="preserve">est encore utilisée </w:t>
      </w:r>
      <w:r w:rsidRPr="00656B81">
        <w:t>après la révolution</w:t>
      </w:r>
      <w:r w:rsidR="002C308B" w:rsidRPr="00656B81">
        <w:t>, tant</w:t>
      </w:r>
      <w:r w:rsidRPr="00656B81">
        <w:t xml:space="preserve"> </w:t>
      </w:r>
      <w:r w:rsidR="002C308B" w:rsidRPr="00656B81">
        <w:t xml:space="preserve">durant </w:t>
      </w:r>
      <w:r w:rsidRPr="00656B81">
        <w:t xml:space="preserve">l’arrestation, </w:t>
      </w:r>
      <w:r w:rsidR="002C308B" w:rsidRPr="00656B81">
        <w:t xml:space="preserve">que </w:t>
      </w:r>
      <w:r w:rsidRPr="00656B81">
        <w:t xml:space="preserve">la garde à vue ou la détention. </w:t>
      </w:r>
    </w:p>
    <w:p w14:paraId="3022DBDD" w14:textId="77777777" w:rsidR="00256C8A" w:rsidRPr="00656B81" w:rsidRDefault="00256C8A" w:rsidP="00AF3485">
      <w:pPr>
        <w:jc w:val="both"/>
      </w:pPr>
      <w:r w:rsidRPr="00656B81">
        <w:t>Il ne s’agit pas de cas isolé</w:t>
      </w:r>
      <w:r w:rsidR="002C308B" w:rsidRPr="00656B81">
        <w:t>s,</w:t>
      </w:r>
      <w:r w:rsidRPr="00656B81">
        <w:t xml:space="preserve"> </w:t>
      </w:r>
      <w:r w:rsidR="002C308B" w:rsidRPr="00656B81">
        <w:t xml:space="preserve">contrairement à ce que maintiennent </w:t>
      </w:r>
      <w:r w:rsidRPr="00656B81">
        <w:t>les autorités</w:t>
      </w:r>
      <w:r w:rsidR="002C308B" w:rsidRPr="00656B81">
        <w:t>. La torture est au contraire répandue, dans</w:t>
      </w:r>
      <w:r w:rsidRPr="00656B81">
        <w:t xml:space="preserve"> tou</w:t>
      </w:r>
      <w:r w:rsidR="002C308B" w:rsidRPr="00656B81">
        <w:t>s</w:t>
      </w:r>
      <w:r w:rsidRPr="00656B81">
        <w:t xml:space="preserve"> genre</w:t>
      </w:r>
      <w:r w:rsidR="002C308B" w:rsidRPr="00656B81">
        <w:t>s</w:t>
      </w:r>
      <w:r w:rsidRPr="00656B81">
        <w:t xml:space="preserve"> d’affaires</w:t>
      </w:r>
      <w:r w:rsidR="002C308B" w:rsidRPr="00656B81">
        <w:t xml:space="preserve">, et </w:t>
      </w:r>
      <w:r w:rsidR="00E37887" w:rsidRPr="00656B81">
        <w:t>sa</w:t>
      </w:r>
      <w:r w:rsidR="002C308B" w:rsidRPr="00656B81">
        <w:t xml:space="preserve"> pratique</w:t>
      </w:r>
      <w:r w:rsidRPr="00656B81">
        <w:t xml:space="preserve"> </w:t>
      </w:r>
      <w:r w:rsidR="00E37887" w:rsidRPr="00656B81">
        <w:t>a tendance à s’accentuer</w:t>
      </w:r>
      <w:r w:rsidR="005038E5">
        <w:t xml:space="preserve"> </w:t>
      </w:r>
      <w:r w:rsidRPr="00656B81">
        <w:t xml:space="preserve">à l’issue de chaque </w:t>
      </w:r>
      <w:r w:rsidR="002C308B" w:rsidRPr="00656B81">
        <w:t xml:space="preserve">attentat ou </w:t>
      </w:r>
      <w:r w:rsidRPr="00656B81">
        <w:t xml:space="preserve">attaque terroriste. </w:t>
      </w:r>
      <w:r w:rsidR="00E95AA3" w:rsidRPr="00656B81">
        <w:t xml:space="preserve">En effet, </w:t>
      </w:r>
      <w:r w:rsidR="002C308B" w:rsidRPr="00656B81">
        <w:t>ceux-ci</w:t>
      </w:r>
      <w:r w:rsidR="00E95AA3" w:rsidRPr="00656B81">
        <w:t xml:space="preserve"> ont déclenché</w:t>
      </w:r>
      <w:r w:rsidR="005038E5">
        <w:t>,</w:t>
      </w:r>
      <w:r w:rsidR="00E95AA3" w:rsidRPr="00656B81">
        <w:t xml:space="preserve"> des arrestations en masse</w:t>
      </w:r>
      <w:r w:rsidR="002C308B" w:rsidRPr="00656B81">
        <w:t xml:space="preserve"> </w:t>
      </w:r>
      <w:r w:rsidR="00E95AA3" w:rsidRPr="00656B81">
        <w:t>et musclées, des réactions souvent humiliantes et punitives à l’égard des personnes détenues sous le coup de la loi anti-terroriste et leurs familles</w:t>
      </w:r>
      <w:r w:rsidR="001E25DF" w:rsidRPr="00656B81">
        <w:t>, l’apparition de projets de loi</w:t>
      </w:r>
      <w:r w:rsidR="00501000" w:rsidRPr="00656B81">
        <w:t>s</w:t>
      </w:r>
      <w:r w:rsidR="001E25DF" w:rsidRPr="00656B81">
        <w:t xml:space="preserve"> et </w:t>
      </w:r>
      <w:r w:rsidR="00AF3485">
        <w:t>l’</w:t>
      </w:r>
      <w:r w:rsidR="001E25DF" w:rsidRPr="00656B81">
        <w:t>adoption de lois liberticides</w:t>
      </w:r>
      <w:r w:rsidR="001E25DF" w:rsidRPr="00656B81">
        <w:rPr>
          <w:rStyle w:val="FootnoteReference"/>
        </w:rPr>
        <w:footnoteReference w:id="16"/>
      </w:r>
      <w:r w:rsidR="001E25DF" w:rsidRPr="00656B81">
        <w:t xml:space="preserve">, des discours et campagnes </w:t>
      </w:r>
      <w:r w:rsidR="005038E5" w:rsidRPr="00656B81">
        <w:t>stigmatisant</w:t>
      </w:r>
      <w:r w:rsidR="001E25DF" w:rsidRPr="00656B81">
        <w:t xml:space="preserve"> et diffamant les défenseu</w:t>
      </w:r>
      <w:r w:rsidR="0006510F" w:rsidRPr="00656B81">
        <w:t>rs des droits de l’</w:t>
      </w:r>
      <w:r w:rsidR="00E37887" w:rsidRPr="00656B81">
        <w:t>H</w:t>
      </w:r>
      <w:r w:rsidR="0006510F" w:rsidRPr="00656B81">
        <w:t xml:space="preserve">omme et </w:t>
      </w:r>
      <w:r w:rsidR="001E25DF" w:rsidRPr="00656B81">
        <w:t xml:space="preserve">la société civile qui </w:t>
      </w:r>
      <w:r w:rsidR="002C308B" w:rsidRPr="00656B81">
        <w:t xml:space="preserve">invoque </w:t>
      </w:r>
      <w:r w:rsidR="001E25DF" w:rsidRPr="00656B81">
        <w:t xml:space="preserve">l’interdiction de la torture et des mauvais traitements en toutes circonstances, des entraves au travail </w:t>
      </w:r>
      <w:r w:rsidR="002C308B" w:rsidRPr="00656B81">
        <w:t xml:space="preserve">des journalistes voire à </w:t>
      </w:r>
      <w:r w:rsidR="001E25DF" w:rsidRPr="00656B81">
        <w:t xml:space="preserve">des agressions de journalistes qui ont </w:t>
      </w:r>
      <w:r w:rsidR="00E37887" w:rsidRPr="00656B81">
        <w:t xml:space="preserve">cherché à </w:t>
      </w:r>
      <w:r w:rsidR="001E25DF" w:rsidRPr="00656B81">
        <w:t xml:space="preserve">couvrir </w:t>
      </w:r>
      <w:r w:rsidR="002C308B" w:rsidRPr="00656B81">
        <w:t>les</w:t>
      </w:r>
      <w:r w:rsidR="001E25DF" w:rsidRPr="00656B81">
        <w:t xml:space="preserve"> attaques terroristes.</w:t>
      </w:r>
    </w:p>
    <w:p w14:paraId="4459889F" w14:textId="77777777" w:rsidR="001E25DF" w:rsidRPr="00656B81" w:rsidRDefault="002C308B" w:rsidP="00256C8A">
      <w:pPr>
        <w:jc w:val="both"/>
      </w:pPr>
      <w:r w:rsidRPr="00656B81">
        <w:t xml:space="preserve">Pour expliquer </w:t>
      </w:r>
      <w:r w:rsidR="001E25DF" w:rsidRPr="00656B81">
        <w:t>l’impunité, les autorités évoquent souvent la lenteur de la justice qui est due à la surcharge des dossiers chez les magistrats et le manque de moyens. Certes il faudrait qu’il y ait des mesures en profondeur pour améliorer les conditions de travail de ceux qui sont chargés de l’application de la loi, mais cette excuse avancée par les autorités n’est qu’une fuite vers l’avant puisque il est constaté que les autres affaires criminelles et délictuelles sont généralement bien traité</w:t>
      </w:r>
      <w:r w:rsidR="00CD495B" w:rsidRPr="00656B81">
        <w:t>e</w:t>
      </w:r>
      <w:r w:rsidR="001E25DF" w:rsidRPr="00656B81">
        <w:t>s et trouvent une réponse pénale dans des délais plus ou moins raisonnables.</w:t>
      </w:r>
    </w:p>
    <w:p w14:paraId="39DB25B6" w14:textId="77777777" w:rsidR="001E25DF" w:rsidRPr="00656B81" w:rsidRDefault="001E25DF" w:rsidP="00256C8A">
      <w:pPr>
        <w:jc w:val="both"/>
      </w:pPr>
      <w:r w:rsidRPr="00656B81">
        <w:t>La persistance de la torture est un lourd héritage de l’ancien régime qu’il faudrait liquider par des mesures concomitantes et spécifiques</w:t>
      </w:r>
      <w:r w:rsidR="00D20A89" w:rsidRPr="00656B81">
        <w:t>.</w:t>
      </w:r>
    </w:p>
    <w:p w14:paraId="27428AD0" w14:textId="77777777" w:rsidR="00562527" w:rsidRPr="00656B81" w:rsidRDefault="00562527" w:rsidP="00D20A89">
      <w:pPr>
        <w:jc w:val="both"/>
      </w:pPr>
      <w:r w:rsidRPr="007949FC">
        <w:t>Le fait de désigner un substitut du procureur de la République au</w:t>
      </w:r>
      <w:r w:rsidR="00D20A89" w:rsidRPr="007949FC">
        <w:t xml:space="preserve"> sein du</w:t>
      </w:r>
      <w:r w:rsidRPr="007949FC">
        <w:t xml:space="preserve"> tribun</w:t>
      </w:r>
      <w:r w:rsidR="00C952CC" w:rsidRPr="007949FC">
        <w:t>al de première instance de Tunis</w:t>
      </w:r>
      <w:r w:rsidRPr="008952BD">
        <w:t xml:space="preserve"> chargé d</w:t>
      </w:r>
      <w:r w:rsidRPr="00656B81">
        <w:t xml:space="preserve">es dossiers de torture </w:t>
      </w:r>
      <w:r w:rsidR="006E0039" w:rsidRPr="00656B81">
        <w:t>aurait pu être considéré comme une bonne mesure si elle a</w:t>
      </w:r>
      <w:r w:rsidR="00D20A89" w:rsidRPr="00656B81">
        <w:t>vait</w:t>
      </w:r>
      <w:r w:rsidR="006E0039" w:rsidRPr="00656B81">
        <w:t xml:space="preserve"> été généralisé</w:t>
      </w:r>
      <w:r w:rsidR="00C952CC" w:rsidRPr="00656B81">
        <w:t>e</w:t>
      </w:r>
      <w:r w:rsidR="006E0039" w:rsidRPr="00656B81">
        <w:t xml:space="preserve"> au sein de tous les tribunaux de première instance et si on avait octroyé à ce substitut </w:t>
      </w:r>
      <w:r w:rsidR="00D20A89" w:rsidRPr="00656B81">
        <w:t xml:space="preserve">les moyens d’une véritable institution </w:t>
      </w:r>
      <w:r w:rsidR="002C308B" w:rsidRPr="00656B81">
        <w:t xml:space="preserve">effectivement </w:t>
      </w:r>
      <w:r w:rsidR="006E0039" w:rsidRPr="00656B81">
        <w:t>indépendante</w:t>
      </w:r>
      <w:r w:rsidR="002C308B" w:rsidRPr="00656B81">
        <w:t xml:space="preserve">, </w:t>
      </w:r>
      <w:r w:rsidR="006E0039" w:rsidRPr="00656B81">
        <w:t>protégée</w:t>
      </w:r>
      <w:r w:rsidR="002C308B" w:rsidRPr="00656B81">
        <w:t xml:space="preserve">, </w:t>
      </w:r>
      <w:r w:rsidR="006E0039" w:rsidRPr="00656B81">
        <w:t xml:space="preserve">transparente, </w:t>
      </w:r>
      <w:r w:rsidR="002C308B" w:rsidRPr="00656B81">
        <w:t xml:space="preserve">et </w:t>
      </w:r>
      <w:r w:rsidR="006E0039" w:rsidRPr="00656B81">
        <w:t>accessible à toute personne morale ou physique.</w:t>
      </w:r>
    </w:p>
    <w:p w14:paraId="3ED42348" w14:textId="77777777" w:rsidR="009A675B" w:rsidRPr="00656B81" w:rsidRDefault="006E0039" w:rsidP="007949FC">
      <w:pPr>
        <w:pStyle w:val="ColorfulList-Accent11"/>
        <w:ind w:left="0"/>
        <w:jc w:val="both"/>
      </w:pPr>
      <w:r w:rsidRPr="00656B81">
        <w:t>Les magistrats qui sont tenus de diligenter des promptes enquêtes et de « </w:t>
      </w:r>
      <w:r w:rsidRPr="00656B81">
        <w:rPr>
          <w:i/>
          <w:iCs/>
        </w:rPr>
        <w:t>dénoncer au procureur de la République les infractions qui sont parvenu</w:t>
      </w:r>
      <w:r w:rsidR="002C308B" w:rsidRPr="00656B81">
        <w:rPr>
          <w:i/>
          <w:iCs/>
        </w:rPr>
        <w:t>e</w:t>
      </w:r>
      <w:r w:rsidRPr="00656B81">
        <w:rPr>
          <w:i/>
          <w:iCs/>
        </w:rPr>
        <w:t>s à leur connaissance dans l’exercice de leurs fonctions</w:t>
      </w:r>
      <w:r w:rsidRPr="00656B81">
        <w:t xml:space="preserve"> » (Art. 29 CPP), doivent avoir les moyens et protections nécessaires pour effectuer leur travail en toute quiétude. </w:t>
      </w:r>
    </w:p>
    <w:p w14:paraId="6B5A5333" w14:textId="77777777" w:rsidR="006E0039" w:rsidRPr="00656B81" w:rsidRDefault="004328DB" w:rsidP="007949FC">
      <w:pPr>
        <w:jc w:val="both"/>
      </w:pPr>
      <w:r w:rsidRPr="00656B81">
        <w:t>Il est en outre important de garder à l’esprit</w:t>
      </w:r>
      <w:r w:rsidR="006E0039" w:rsidRPr="00656B81">
        <w:t xml:space="preserve"> que le déni de justice est une faute professionnelle  grave qui pourrait faire l’objet de poursuites disciplinaires et judiciaires. En effet l’article 101 bis §4 du CP considère comme tortionnaire, le fonctionnaire public qui « </w:t>
      </w:r>
      <w:r w:rsidR="006E0039" w:rsidRPr="00656B81">
        <w:rPr>
          <w:i/>
          <w:iCs/>
        </w:rPr>
        <w:t xml:space="preserve">approuve ou garde </w:t>
      </w:r>
      <w:r w:rsidR="007F3C3A" w:rsidRPr="00656B81">
        <w:rPr>
          <w:i/>
          <w:iCs/>
        </w:rPr>
        <w:t>le silence sur la</w:t>
      </w:r>
      <w:r w:rsidR="007F3C3A" w:rsidRPr="00656B81">
        <w:t xml:space="preserve"> </w:t>
      </w:r>
      <w:r w:rsidR="007F3C3A" w:rsidRPr="00656B81">
        <w:rPr>
          <w:i/>
          <w:iCs/>
        </w:rPr>
        <w:t>torture</w:t>
      </w:r>
      <w:r w:rsidR="007F3C3A" w:rsidRPr="00656B81">
        <w:t> »</w:t>
      </w:r>
      <w:r w:rsidRPr="00656B81">
        <w:t>. L</w:t>
      </w:r>
      <w:r w:rsidR="007F3C3A" w:rsidRPr="00656B81">
        <w:t>’article 32-4 du CP considère</w:t>
      </w:r>
      <w:r w:rsidRPr="00656B81">
        <w:t xml:space="preserve"> quant à lui comme</w:t>
      </w:r>
      <w:r w:rsidR="007F3C3A" w:rsidRPr="00656B81">
        <w:t xml:space="preserve"> complice « </w:t>
      </w:r>
      <w:r w:rsidR="007F3C3A" w:rsidRPr="00656B81">
        <w:rPr>
          <w:i/>
          <w:iCs/>
        </w:rPr>
        <w:t>celui qui a prêté, sciemment son concours aux malfaiteurs pour assurer, par recel ou tous autres moyens, le profit de l’infraction ou l’impunité à ses auteurs</w:t>
      </w:r>
      <w:r w:rsidR="007F3C3A" w:rsidRPr="00656B81">
        <w:t>. »</w:t>
      </w:r>
    </w:p>
    <w:p w14:paraId="0336C7C3" w14:textId="77777777" w:rsidR="008C2854" w:rsidRPr="00656B81" w:rsidRDefault="008C2854" w:rsidP="007F3C3A">
      <w:pPr>
        <w:jc w:val="both"/>
      </w:pPr>
      <w:r w:rsidRPr="00656B81">
        <w:t xml:space="preserve">Aussi, malgré </w:t>
      </w:r>
      <w:r w:rsidR="00AF3485">
        <w:t xml:space="preserve">le fait </w:t>
      </w:r>
      <w:r w:rsidRPr="00656B81">
        <w:t>que l’article 14 du CPP impose au juge d’instruction de « </w:t>
      </w:r>
      <w:r w:rsidRPr="00656B81">
        <w:rPr>
          <w:i/>
          <w:iCs/>
        </w:rPr>
        <w:t xml:space="preserve">constater toute infraction qui serait commisse en sa présence dans l’exercice de ses fonctions ou dont l’existence lui serait </w:t>
      </w:r>
      <w:r w:rsidR="00C952CC" w:rsidRPr="00656B81">
        <w:rPr>
          <w:i/>
          <w:iCs/>
        </w:rPr>
        <w:t>réelle</w:t>
      </w:r>
      <w:r w:rsidRPr="00656B81">
        <w:rPr>
          <w:i/>
          <w:iCs/>
        </w:rPr>
        <w:t xml:space="preserve"> au cours d’une information régulière</w:t>
      </w:r>
      <w:r w:rsidRPr="00656B81">
        <w:t> », rares sont les juges d’instruction, qui</w:t>
      </w:r>
      <w:r w:rsidR="004328DB" w:rsidRPr="00656B81">
        <w:t>,</w:t>
      </w:r>
      <w:r w:rsidRPr="00656B81">
        <w:t xml:space="preserve"> en présence d’un prévenu ayant des traces de coups et blessures ou qui évoque des actes de torture</w:t>
      </w:r>
      <w:r w:rsidR="004328DB" w:rsidRPr="00656B81">
        <w:t>,</w:t>
      </w:r>
      <w:r w:rsidRPr="00656B81">
        <w:t xml:space="preserve"> donnen</w:t>
      </w:r>
      <w:r w:rsidR="00096C0B" w:rsidRPr="00656B81">
        <w:t>t suite ipso facto à ces faits.</w:t>
      </w:r>
    </w:p>
    <w:p w14:paraId="679A3D9C" w14:textId="77777777" w:rsidR="009A675B" w:rsidRPr="00656B81" w:rsidRDefault="007F3C3A" w:rsidP="00863BC1">
      <w:pPr>
        <w:pStyle w:val="ColorfulList-Accent11"/>
        <w:ind w:left="0"/>
        <w:jc w:val="both"/>
      </w:pPr>
      <w:r w:rsidRPr="00656B81">
        <w:t xml:space="preserve">Les médecins légistes et autres médecins experts judiciaires, habitués à établir des rapports légistes et médicaux très sommaires devraient suivre </w:t>
      </w:r>
      <w:r w:rsidR="00C952CC" w:rsidRPr="00656B81">
        <w:t>les consignes du Pro</w:t>
      </w:r>
      <w:r w:rsidR="00CA0903" w:rsidRPr="00656B81">
        <w:t>to</w:t>
      </w:r>
      <w:r w:rsidR="00C952CC" w:rsidRPr="00656B81">
        <w:t>cole d’Istan</w:t>
      </w:r>
      <w:r w:rsidRPr="00656B81">
        <w:t xml:space="preserve">bul et </w:t>
      </w:r>
      <w:r w:rsidR="00B9130A" w:rsidRPr="00656B81">
        <w:t>dénoncer</w:t>
      </w:r>
      <w:r w:rsidRPr="00656B81">
        <w:t xml:space="preserve"> toute pression ou entraves à leur code </w:t>
      </w:r>
      <w:r w:rsidR="0006510F" w:rsidRPr="00656B81">
        <w:t xml:space="preserve">de </w:t>
      </w:r>
      <w:r w:rsidRPr="00656B81">
        <w:t xml:space="preserve">déontologie et </w:t>
      </w:r>
      <w:r w:rsidR="0006510F" w:rsidRPr="00656B81">
        <w:t xml:space="preserve">à </w:t>
      </w:r>
      <w:r w:rsidRPr="00656B81">
        <w:t>leur libre pratique. A titre d’exemple, dans des affaires de consommation de stupéfiants réprimée par la loi n°52 du 18 mai 1992 relative aux stupéfiants,</w:t>
      </w:r>
      <w:r w:rsidR="008C2854" w:rsidRPr="00656B81">
        <w:t xml:space="preserve"> </w:t>
      </w:r>
      <w:r w:rsidR="005D6068">
        <w:t>il est parfois</w:t>
      </w:r>
      <w:r w:rsidR="00D96FFC">
        <w:t xml:space="preserve"> constaté, contrairement aux lois</w:t>
      </w:r>
      <w:r w:rsidR="005D6068">
        <w:t xml:space="preserve"> en vigueur, que les échantillons urinaires sont </w:t>
      </w:r>
      <w:r w:rsidR="00D96FFC">
        <w:t>prélevés par des agents de l’ord</w:t>
      </w:r>
      <w:r w:rsidR="00863BC1">
        <w:t>r</w:t>
      </w:r>
      <w:r w:rsidR="00D96FFC">
        <w:t>e</w:t>
      </w:r>
      <w:r w:rsidR="008C2854" w:rsidRPr="00656B81">
        <w:t xml:space="preserve">; des prélèvements </w:t>
      </w:r>
      <w:r w:rsidR="005D6068">
        <w:t>parfois</w:t>
      </w:r>
      <w:r w:rsidR="008C2854" w:rsidRPr="00656B81">
        <w:t xml:space="preserve"> précédés d’humiliations et accompagné</w:t>
      </w:r>
      <w:r w:rsidR="00C952CC" w:rsidRPr="00656B81">
        <w:t>s</w:t>
      </w:r>
      <w:r w:rsidR="008C2854" w:rsidRPr="00656B81">
        <w:t xml:space="preserve"> d’agressions physiques.</w:t>
      </w:r>
    </w:p>
    <w:p w14:paraId="233A653D" w14:textId="77777777" w:rsidR="009A675B" w:rsidRPr="00656B81" w:rsidRDefault="00B9130A" w:rsidP="001C6664">
      <w:pPr>
        <w:jc w:val="both"/>
      </w:pPr>
      <w:r w:rsidRPr="00656B81">
        <w:t xml:space="preserve">Après la révolution les autorités </w:t>
      </w:r>
      <w:r w:rsidR="00AF3485">
        <w:t>ont pris conscience</w:t>
      </w:r>
      <w:r w:rsidRPr="00656B81">
        <w:t xml:space="preserve"> de la nécessité de </w:t>
      </w:r>
      <w:r w:rsidR="004328DB" w:rsidRPr="00656B81">
        <w:t xml:space="preserve">lutter </w:t>
      </w:r>
      <w:r w:rsidRPr="00656B81">
        <w:t xml:space="preserve">contre la torture et d’entreprendre des réformes systémiques. Ainsi ont été </w:t>
      </w:r>
      <w:r w:rsidRPr="007949FC">
        <w:t>émis</w:t>
      </w:r>
      <w:r w:rsidR="005F41F4" w:rsidRPr="007949FC">
        <w:t>es</w:t>
      </w:r>
      <w:r w:rsidRPr="007949FC">
        <w:t xml:space="preserve"> des circulaires et </w:t>
      </w:r>
      <w:r w:rsidR="003D0EDF" w:rsidRPr="007949FC">
        <w:t>recommandations</w:t>
      </w:r>
      <w:r w:rsidRPr="007949FC">
        <w:t xml:space="preserve"> contre ce fléa</w:t>
      </w:r>
      <w:r w:rsidRPr="008952BD">
        <w:t xml:space="preserve">u, </w:t>
      </w:r>
      <w:r w:rsidR="001C6664" w:rsidRPr="001C6664">
        <w:t xml:space="preserve">ont été programmées </w:t>
      </w:r>
      <w:r w:rsidRPr="008952BD">
        <w:t>des formations en matière des droits de l’</w:t>
      </w:r>
      <w:r w:rsidR="004328DB" w:rsidRPr="00656B81">
        <w:t>H</w:t>
      </w:r>
      <w:r w:rsidRPr="00656B81">
        <w:t xml:space="preserve">omme pour les agents et cadres </w:t>
      </w:r>
      <w:r w:rsidR="003D0EDF" w:rsidRPr="00656B81">
        <w:t>chargés</w:t>
      </w:r>
      <w:r w:rsidRPr="00656B81">
        <w:t xml:space="preserve"> de l’application de la loi et les magistrats, </w:t>
      </w:r>
      <w:r w:rsidR="001C6664">
        <w:t xml:space="preserve">ont été établis </w:t>
      </w:r>
      <w:r w:rsidRPr="00656B81">
        <w:t>des consultations</w:t>
      </w:r>
      <w:r w:rsidR="001C6664">
        <w:t xml:space="preserve"> et des projets </w:t>
      </w:r>
      <w:r w:rsidRPr="00656B81">
        <w:t>avec l’appui d</w:t>
      </w:r>
      <w:r w:rsidR="004328DB" w:rsidRPr="00656B81">
        <w:t>’</w:t>
      </w:r>
      <w:r w:rsidRPr="00656B81">
        <w:t>organisations internationales et</w:t>
      </w:r>
      <w:r w:rsidR="004328DB" w:rsidRPr="00656B81">
        <w:t xml:space="preserve"> d’</w:t>
      </w:r>
      <w:r w:rsidRPr="00656B81">
        <w:t>associations pour la mise en place des nouveaux standards</w:t>
      </w:r>
      <w:r w:rsidR="007F3C3A" w:rsidRPr="00656B81">
        <w:t xml:space="preserve"> </w:t>
      </w:r>
      <w:r w:rsidRPr="00656B81">
        <w:t xml:space="preserve">(Code de </w:t>
      </w:r>
      <w:r w:rsidR="00093580" w:rsidRPr="00656B81">
        <w:t>conduite de l’agent public</w:t>
      </w:r>
      <w:r w:rsidR="00093580" w:rsidRPr="00656B81">
        <w:rPr>
          <w:rStyle w:val="FootnoteReference"/>
        </w:rPr>
        <w:footnoteReference w:id="17"/>
      </w:r>
      <w:r w:rsidRPr="00656B81">
        <w:t xml:space="preserve">, </w:t>
      </w:r>
      <w:r w:rsidR="00093580" w:rsidRPr="00656B81">
        <w:t xml:space="preserve">Code de conduite des forces de sécurité intérieure, </w:t>
      </w:r>
      <w:r w:rsidRPr="00656B81">
        <w:t>réforme de la garde à vue, etc.)</w:t>
      </w:r>
      <w:r w:rsidR="005F41F4" w:rsidRPr="00656B81">
        <w:t xml:space="preserve">, une commission pour la réforme du Code pénal </w:t>
      </w:r>
      <w:r w:rsidR="004328DB" w:rsidRPr="00656B81">
        <w:t xml:space="preserve">mais aussi </w:t>
      </w:r>
      <w:r w:rsidR="005F41F4" w:rsidRPr="00656B81">
        <w:t xml:space="preserve"> une vision stratégique de la réforme du système judiciaire </w:t>
      </w:r>
      <w:r w:rsidR="001C6664">
        <w:t xml:space="preserve">a été </w:t>
      </w:r>
      <w:r w:rsidR="005F41F4" w:rsidRPr="00656B81">
        <w:t xml:space="preserve">adoptée par le </w:t>
      </w:r>
      <w:r w:rsidR="004328DB" w:rsidRPr="00656B81">
        <w:t>m</w:t>
      </w:r>
      <w:r w:rsidR="005F41F4" w:rsidRPr="00656B81">
        <w:t xml:space="preserve">inistère de la </w:t>
      </w:r>
      <w:r w:rsidR="004328DB" w:rsidRPr="00656B81">
        <w:t>J</w:t>
      </w:r>
      <w:r w:rsidR="005F41F4" w:rsidRPr="00656B81">
        <w:t xml:space="preserve">ustice. </w:t>
      </w:r>
    </w:p>
    <w:p w14:paraId="124A9E4B" w14:textId="77777777" w:rsidR="00E344CB" w:rsidRDefault="00444722" w:rsidP="00953743">
      <w:pPr>
        <w:pStyle w:val="ColorfulList-Accent11"/>
        <w:ind w:left="0"/>
        <w:jc w:val="both"/>
      </w:pPr>
      <w:r w:rsidRPr="007949FC">
        <w:t>T</w:t>
      </w:r>
      <w:r w:rsidR="005F41F4" w:rsidRPr="007949FC">
        <w:t>out</w:t>
      </w:r>
      <w:r w:rsidR="001C6664">
        <w:t xml:space="preserve">es ces mesures ne semblent pas </w:t>
      </w:r>
      <w:r w:rsidR="005F41F4" w:rsidRPr="007949FC">
        <w:t xml:space="preserve">entrer dans le cadre d’une stratégie globale pour la lutte contre la </w:t>
      </w:r>
      <w:r w:rsidRPr="008952BD">
        <w:t>torture. Certaines</w:t>
      </w:r>
      <w:r w:rsidR="005F41F4" w:rsidRPr="00656B81">
        <w:t xml:space="preserve"> mesures </w:t>
      </w:r>
      <w:r w:rsidR="00C952CC" w:rsidRPr="00656B81">
        <w:t>semblent</w:t>
      </w:r>
      <w:r w:rsidR="005F41F4" w:rsidRPr="00656B81">
        <w:t xml:space="preserve"> être inefficaces en </w:t>
      </w:r>
      <w:r w:rsidR="00C952CC" w:rsidRPr="00656B81">
        <w:t>l’absence</w:t>
      </w:r>
      <w:r w:rsidR="00953743">
        <w:t xml:space="preserve"> de suivi et de planification</w:t>
      </w:r>
      <w:r w:rsidR="005F41F4" w:rsidRPr="00656B81">
        <w:t xml:space="preserve"> stratégique.</w:t>
      </w:r>
      <w:r w:rsidR="00E344CB">
        <w:t xml:space="preserve"> </w:t>
      </w:r>
    </w:p>
    <w:p w14:paraId="53A76183" w14:textId="77777777" w:rsidR="00E344CB" w:rsidRDefault="00E344CB" w:rsidP="007949FC">
      <w:pPr>
        <w:pStyle w:val="ColorfulList-Accent11"/>
        <w:ind w:left="0"/>
        <w:jc w:val="both"/>
      </w:pPr>
    </w:p>
    <w:p w14:paraId="5754B641" w14:textId="77777777" w:rsidR="005F41F4" w:rsidRPr="00656B81" w:rsidRDefault="005F41F4" w:rsidP="007949FC">
      <w:pPr>
        <w:pStyle w:val="ColorfulList-Accent11"/>
        <w:ind w:left="0"/>
        <w:jc w:val="both"/>
      </w:pPr>
      <w:r w:rsidRPr="00656B81">
        <w:t xml:space="preserve">La torture s’exerce le plus souvent dans des endroits clos, loin de toute supervision et </w:t>
      </w:r>
      <w:r w:rsidR="00E707F3" w:rsidRPr="00656B81">
        <w:t>à l’abri des</w:t>
      </w:r>
      <w:r w:rsidRPr="00656B81">
        <w:t xml:space="preserve"> regard</w:t>
      </w:r>
      <w:r w:rsidR="00E707F3" w:rsidRPr="00656B81">
        <w:t>s</w:t>
      </w:r>
      <w:r w:rsidRPr="00656B81">
        <w:t xml:space="preserve">. Il est </w:t>
      </w:r>
      <w:r w:rsidR="009A675B" w:rsidRPr="00656B81">
        <w:t xml:space="preserve">donc </w:t>
      </w:r>
      <w:r w:rsidRPr="00656B81">
        <w:t>urgent que les lieux de privation de liberté en Tunisie s’ouvrent au monde extérieur.</w:t>
      </w:r>
    </w:p>
    <w:p w14:paraId="67E0C962" w14:textId="77777777" w:rsidR="00E707F3" w:rsidRPr="00656B81" w:rsidRDefault="00E707F3" w:rsidP="007949FC">
      <w:pPr>
        <w:pStyle w:val="ColorfulList-Accent11"/>
        <w:jc w:val="both"/>
      </w:pPr>
    </w:p>
    <w:p w14:paraId="359A926A" w14:textId="77777777" w:rsidR="005F41F4" w:rsidRPr="00656B81" w:rsidRDefault="005F41F4" w:rsidP="005F41F4">
      <w:pPr>
        <w:jc w:val="both"/>
        <w:rPr>
          <w:b/>
          <w:bCs/>
        </w:rPr>
      </w:pPr>
      <w:r w:rsidRPr="00656B81">
        <w:rPr>
          <w:b/>
          <w:bCs/>
        </w:rPr>
        <w:t>3)</w:t>
      </w:r>
      <w:r w:rsidR="00CA0903" w:rsidRPr="00656B81">
        <w:rPr>
          <w:b/>
          <w:bCs/>
        </w:rPr>
        <w:t xml:space="preserve"> </w:t>
      </w:r>
      <w:r w:rsidRPr="00656B81">
        <w:rPr>
          <w:b/>
          <w:bCs/>
        </w:rPr>
        <w:t>Lieux de privation de liberté</w:t>
      </w:r>
    </w:p>
    <w:p w14:paraId="05EFAFDF" w14:textId="77777777" w:rsidR="005F41F4" w:rsidRPr="00656B81" w:rsidRDefault="005F41F4" w:rsidP="005F41F4">
      <w:pPr>
        <w:jc w:val="both"/>
        <w:rPr>
          <w:b/>
          <w:bCs/>
        </w:rPr>
      </w:pPr>
      <w:r w:rsidRPr="00656B81">
        <w:rPr>
          <w:b/>
          <w:bCs/>
        </w:rPr>
        <w:t xml:space="preserve">a) </w:t>
      </w:r>
      <w:r w:rsidR="004F1EDA" w:rsidRPr="00656B81">
        <w:rPr>
          <w:b/>
          <w:bCs/>
        </w:rPr>
        <w:t>C</w:t>
      </w:r>
      <w:r w:rsidRPr="00656B81">
        <w:rPr>
          <w:b/>
          <w:bCs/>
        </w:rPr>
        <w:t>onditions de vie </w:t>
      </w:r>
    </w:p>
    <w:p w14:paraId="573ABCCD" w14:textId="77777777" w:rsidR="005F41F4" w:rsidRPr="00656B81" w:rsidRDefault="000E5F37" w:rsidP="005F41F4">
      <w:pPr>
        <w:jc w:val="both"/>
      </w:pPr>
      <w:r w:rsidRPr="00656B81">
        <w:t>L</w:t>
      </w:r>
      <w:r w:rsidR="005F41F4" w:rsidRPr="00656B81">
        <w:t xml:space="preserve">a première chose que pourrait constater un observateur en </w:t>
      </w:r>
      <w:r w:rsidR="004D51DD" w:rsidRPr="00656B81">
        <w:t>accédant</w:t>
      </w:r>
      <w:r w:rsidR="005F41F4" w:rsidRPr="00656B81">
        <w:t xml:space="preserve"> à un lieu de privation de liberté </w:t>
      </w:r>
      <w:r w:rsidR="00E707F3" w:rsidRPr="00656B81">
        <w:t xml:space="preserve">en Tunisie </w:t>
      </w:r>
      <w:r w:rsidR="005F41F4" w:rsidRPr="00656B81">
        <w:t xml:space="preserve">est l’infrastructure désuète, le </w:t>
      </w:r>
      <w:r w:rsidR="004D51DD" w:rsidRPr="00656B81">
        <w:t>surpeuplement</w:t>
      </w:r>
      <w:r w:rsidR="005F41F4" w:rsidRPr="00656B81">
        <w:t xml:space="preserve"> carcéral et les visages très pâles et fatigués</w:t>
      </w:r>
      <w:r w:rsidR="00E707F3" w:rsidRPr="00656B81">
        <w:t>,</w:t>
      </w:r>
      <w:r w:rsidR="005F41F4" w:rsidRPr="00656B81">
        <w:t xml:space="preserve"> </w:t>
      </w:r>
      <w:r w:rsidR="00E707F3" w:rsidRPr="00656B81">
        <w:t>tant</w:t>
      </w:r>
      <w:r w:rsidR="005F41F4" w:rsidRPr="00656B81">
        <w:t xml:space="preserve"> chez les personnes détenues que chez les agents chargés de la sécurité.</w:t>
      </w:r>
    </w:p>
    <w:p w14:paraId="0369E68F" w14:textId="77777777" w:rsidR="005F41F4" w:rsidRPr="00656B81" w:rsidRDefault="005F41F4" w:rsidP="00B973C3">
      <w:pPr>
        <w:jc w:val="both"/>
      </w:pPr>
      <w:r w:rsidRPr="00656B81">
        <w:t xml:space="preserve">Il existe en Tunisie 27 établissements pénitentiaires et </w:t>
      </w:r>
      <w:r w:rsidR="000E5F37" w:rsidRPr="00656B81">
        <w:t xml:space="preserve">six </w:t>
      </w:r>
      <w:r w:rsidRPr="00656B81">
        <w:t>cent</w:t>
      </w:r>
      <w:r w:rsidR="004D51DD" w:rsidRPr="00656B81">
        <w:t>r</w:t>
      </w:r>
      <w:r w:rsidRPr="00656B81">
        <w:t>es de rééducation</w:t>
      </w:r>
      <w:r w:rsidR="004D51DD" w:rsidRPr="00656B81">
        <w:rPr>
          <w:rStyle w:val="FootnoteReference"/>
        </w:rPr>
        <w:footnoteReference w:id="18"/>
      </w:r>
      <w:r w:rsidRPr="00656B81">
        <w:t xml:space="preserve"> </w:t>
      </w:r>
      <w:r w:rsidR="004D51DD" w:rsidRPr="00656B81">
        <w:t xml:space="preserve">dont certains n’étaient pas destinés à servir comme lieux de privation de liberté. Parmi les établissements pénitentiaires, il y a en théorie 19 prisons de détention et </w:t>
      </w:r>
      <w:r w:rsidR="000E5F37" w:rsidRPr="00656B81">
        <w:t xml:space="preserve">huit </w:t>
      </w:r>
      <w:r w:rsidR="004D51DD" w:rsidRPr="00656B81">
        <w:t>prisons d’exécution des peines, mais en pratique</w:t>
      </w:r>
      <w:r w:rsidR="00B973C3">
        <w:t xml:space="preserve">, cette séparation n’est pas respectée, et on y trouve dans une même prison </w:t>
      </w:r>
      <w:r w:rsidR="004D51DD" w:rsidRPr="00656B81">
        <w:t xml:space="preserve">des personnes détenues à titre préventif </w:t>
      </w:r>
      <w:r w:rsidR="00E707F3" w:rsidRPr="00656B81">
        <w:t xml:space="preserve">ainsi </w:t>
      </w:r>
      <w:r w:rsidR="004D51DD" w:rsidRPr="00656B81">
        <w:t>que des personnes condamnées qui exécutent leurs peines.</w:t>
      </w:r>
    </w:p>
    <w:p w14:paraId="10BEA683" w14:textId="77777777" w:rsidR="004D51DD" w:rsidRPr="00656B81" w:rsidRDefault="004D51DD" w:rsidP="005F41F4">
      <w:pPr>
        <w:jc w:val="both"/>
      </w:pPr>
      <w:r w:rsidRPr="00656B81">
        <w:t xml:space="preserve">Selon le </w:t>
      </w:r>
      <w:r w:rsidR="00444722" w:rsidRPr="00656B81">
        <w:t>m</w:t>
      </w:r>
      <w:r w:rsidR="000E5F37" w:rsidRPr="00656B81">
        <w:t xml:space="preserve">inistère </w:t>
      </w:r>
      <w:r w:rsidRPr="00656B81">
        <w:t xml:space="preserve">de la </w:t>
      </w:r>
      <w:r w:rsidR="00444722" w:rsidRPr="00656B81">
        <w:t>J</w:t>
      </w:r>
      <w:r w:rsidRPr="00656B81">
        <w:t>ustice</w:t>
      </w:r>
      <w:r w:rsidR="00EF697D" w:rsidRPr="00656B81">
        <w:rPr>
          <w:rStyle w:val="FootnoteReference"/>
        </w:rPr>
        <w:footnoteReference w:id="19"/>
      </w:r>
      <w:r w:rsidRPr="00656B81">
        <w:t>, au 31 décembre 2013, il y avait plus de 25</w:t>
      </w:r>
      <w:r w:rsidR="000E5F37" w:rsidRPr="00656B81">
        <w:t xml:space="preserve"> </w:t>
      </w:r>
      <w:r w:rsidRPr="00656B81">
        <w:t>000  détenus</w:t>
      </w:r>
      <w:r w:rsidR="000E5F37" w:rsidRPr="00656B81">
        <w:t xml:space="preserve">, </w:t>
      </w:r>
      <w:r w:rsidRPr="00656B81">
        <w:t>pour une population de 10</w:t>
      </w:r>
      <w:r w:rsidR="000E5F37" w:rsidRPr="00656B81">
        <w:t xml:space="preserve"> </w:t>
      </w:r>
      <w:r w:rsidRPr="00656B81">
        <w:t>886</w:t>
      </w:r>
      <w:r w:rsidR="000E5F37" w:rsidRPr="00656B81">
        <w:t xml:space="preserve"> </w:t>
      </w:r>
      <w:r w:rsidRPr="00656B81">
        <w:t>500 personnes</w:t>
      </w:r>
      <w:r w:rsidRPr="00656B81">
        <w:rPr>
          <w:rStyle w:val="FootnoteReference"/>
        </w:rPr>
        <w:footnoteReference w:id="20"/>
      </w:r>
      <w:r w:rsidRPr="00656B81">
        <w:t>, ce qui équivaut à un taux d’incarcération d’</w:t>
      </w:r>
      <w:r w:rsidR="00EF697D" w:rsidRPr="00656B81">
        <w:t>environ</w:t>
      </w:r>
      <w:r w:rsidRPr="00656B81">
        <w:t xml:space="preserve"> de 230 pour 100</w:t>
      </w:r>
      <w:r w:rsidR="000E5F37" w:rsidRPr="00656B81">
        <w:t xml:space="preserve"> </w:t>
      </w:r>
      <w:r w:rsidRPr="00656B81">
        <w:t>000 habitants.</w:t>
      </w:r>
    </w:p>
    <w:p w14:paraId="7D06A9A8" w14:textId="77777777" w:rsidR="00E707F3" w:rsidRPr="00656B81" w:rsidRDefault="004D51DD" w:rsidP="005F41F4">
      <w:pPr>
        <w:jc w:val="both"/>
      </w:pPr>
      <w:r w:rsidRPr="00656B81">
        <w:t xml:space="preserve">Selon un rapport établi par le </w:t>
      </w:r>
      <w:r w:rsidR="00EF697D" w:rsidRPr="00656B81">
        <w:t>Haut-Commissariat des Nations Unies pour les droits de l’</w:t>
      </w:r>
      <w:r w:rsidR="00444722" w:rsidRPr="00656B81">
        <w:t>H</w:t>
      </w:r>
      <w:r w:rsidR="00EF697D" w:rsidRPr="00656B81">
        <w:t xml:space="preserve">omme en mars 2014, 58% des détenus sont en détention préventive dans l’attente de leur jugement malgré que cette mesure coercitive </w:t>
      </w:r>
      <w:r w:rsidR="00B558AB" w:rsidRPr="00656B81">
        <w:t>soit</w:t>
      </w:r>
      <w:r w:rsidR="00EF697D" w:rsidRPr="00656B81">
        <w:t xml:space="preserve"> considérée par l’article 84 du CPP comme étant une mesure exceptionnelle. </w:t>
      </w:r>
    </w:p>
    <w:p w14:paraId="03A78979" w14:textId="77777777" w:rsidR="00B558AB" w:rsidRPr="00656B81" w:rsidRDefault="00E707F3" w:rsidP="00953743">
      <w:pPr>
        <w:jc w:val="both"/>
      </w:pPr>
      <w:r w:rsidRPr="00656B81">
        <w:t xml:space="preserve">En outre, </w:t>
      </w:r>
      <w:r w:rsidR="00EF697D" w:rsidRPr="00656B81">
        <w:t xml:space="preserve">la population carcérale </w:t>
      </w:r>
      <w:r w:rsidRPr="00656B81">
        <w:t>est</w:t>
      </w:r>
      <w:r w:rsidR="00B558AB" w:rsidRPr="00656B81">
        <w:t xml:space="preserve"> jeune</w:t>
      </w:r>
      <w:r w:rsidRPr="00656B81">
        <w:t xml:space="preserve"> en moyenne</w:t>
      </w:r>
      <w:r w:rsidR="00B558AB" w:rsidRPr="00656B81">
        <w:t xml:space="preserve">, </w:t>
      </w:r>
      <w:r w:rsidRPr="00656B81">
        <w:t xml:space="preserve">avec </w:t>
      </w:r>
      <w:r w:rsidR="00B558AB" w:rsidRPr="00656B81">
        <w:t xml:space="preserve">environ 30% </w:t>
      </w:r>
      <w:r w:rsidRPr="00656B81">
        <w:t>de détenus</w:t>
      </w:r>
      <w:r w:rsidR="00B558AB" w:rsidRPr="00656B81">
        <w:t xml:space="preserve"> incarcérés pour de courtes peines ne dépassant pas un an</w:t>
      </w:r>
      <w:r w:rsidR="00937395" w:rsidRPr="00656B81">
        <w:t>,</w:t>
      </w:r>
      <w:r w:rsidR="00B558AB" w:rsidRPr="00656B81">
        <w:t xml:space="preserve"> et environ 26% pour consommation de stupéfiants</w:t>
      </w:r>
      <w:r w:rsidR="00B558AB" w:rsidRPr="00656B81">
        <w:rPr>
          <w:rStyle w:val="FootnoteReference"/>
        </w:rPr>
        <w:footnoteReference w:id="21"/>
      </w:r>
      <w:r w:rsidR="00B558AB" w:rsidRPr="00656B81">
        <w:t xml:space="preserve">.  </w:t>
      </w:r>
    </w:p>
    <w:p w14:paraId="4D5188C0" w14:textId="77777777" w:rsidR="00937395" w:rsidRPr="00656B81" w:rsidRDefault="000E5F37" w:rsidP="00C43D96">
      <w:pPr>
        <w:jc w:val="both"/>
      </w:pPr>
      <w:r w:rsidRPr="00656B81">
        <w:t xml:space="preserve">Cette </w:t>
      </w:r>
      <w:r w:rsidR="00EF697D" w:rsidRPr="00656B81">
        <w:t>politique pénale répressive</w:t>
      </w:r>
      <w:r w:rsidRPr="00656B81">
        <w:t xml:space="preserve"> </w:t>
      </w:r>
      <w:r w:rsidR="00937395" w:rsidRPr="00656B81">
        <w:t>engendre</w:t>
      </w:r>
      <w:r w:rsidR="00457A79" w:rsidRPr="00656B81">
        <w:t xml:space="preserve"> une surpopulation carcérale qui dépasse </w:t>
      </w:r>
      <w:r w:rsidRPr="00656B81">
        <w:t xml:space="preserve">de </w:t>
      </w:r>
      <w:r w:rsidR="00457A79" w:rsidRPr="00656B81">
        <w:t>150% la capacité d’</w:t>
      </w:r>
      <w:r w:rsidR="00540106" w:rsidRPr="00656B81">
        <w:t>accueil</w:t>
      </w:r>
      <w:r w:rsidR="00457A79" w:rsidRPr="00656B81">
        <w:t xml:space="preserve"> dans certains prisons et pavillons où des détenus sont obligés de dormir par</w:t>
      </w:r>
      <w:r w:rsidR="00E344CB">
        <w:t xml:space="preserve"> </w:t>
      </w:r>
      <w:r w:rsidR="00457A79" w:rsidRPr="00656B81">
        <w:t xml:space="preserve">terre à côté des toilettes ou de partager à trois un même lit. </w:t>
      </w:r>
    </w:p>
    <w:p w14:paraId="4BF80484" w14:textId="77777777" w:rsidR="00457A79" w:rsidRPr="00656B81" w:rsidRDefault="00937395" w:rsidP="00C43D96">
      <w:pPr>
        <w:jc w:val="both"/>
      </w:pPr>
      <w:r w:rsidRPr="00656B81">
        <w:t xml:space="preserve">Il est donc plus que nécessaire que </w:t>
      </w:r>
      <w:r w:rsidRPr="00656B81" w:rsidDel="00937395">
        <w:t xml:space="preserve"> </w:t>
      </w:r>
      <w:r w:rsidRPr="00656B81">
        <w:t>des</w:t>
      </w:r>
      <w:r w:rsidR="00457A79" w:rsidRPr="00656B81">
        <w:t xml:space="preserve"> directiv</w:t>
      </w:r>
      <w:r w:rsidR="00BD50F7" w:rsidRPr="00656B81">
        <w:t xml:space="preserve">es </w:t>
      </w:r>
      <w:r w:rsidRPr="00656B81">
        <w:t>encouragent l’</w:t>
      </w:r>
      <w:r w:rsidR="00BD50F7" w:rsidRPr="00656B81">
        <w:t>application de sanctions pénales alternatives à la prison</w:t>
      </w:r>
      <w:r w:rsidR="00E344CB">
        <w:t>,</w:t>
      </w:r>
      <w:r w:rsidR="00BD50F7" w:rsidRPr="00656B81">
        <w:t xml:space="preserve"> telles les réparations pénales ou le travail d’intérêt général</w:t>
      </w:r>
      <w:r w:rsidR="00BD50F7" w:rsidRPr="00656B81">
        <w:rPr>
          <w:rStyle w:val="FootnoteReference"/>
        </w:rPr>
        <w:footnoteReference w:id="22"/>
      </w:r>
      <w:r w:rsidRPr="00656B81">
        <w:t xml:space="preserve">, qui ne dépassent pas </w:t>
      </w:r>
      <w:r w:rsidR="00BD50F7" w:rsidRPr="00656B81">
        <w:t>la vingtaine d’affaires chaque année</w:t>
      </w:r>
      <w:r w:rsidRPr="00656B81">
        <w:t xml:space="preserve"> à l’heure actuelle, selon le </w:t>
      </w:r>
      <w:r w:rsidR="00444722" w:rsidRPr="00656B81">
        <w:t>m</w:t>
      </w:r>
      <w:r w:rsidRPr="00656B81">
        <w:t xml:space="preserve">inistère de la </w:t>
      </w:r>
      <w:r w:rsidR="00444722" w:rsidRPr="00656B81">
        <w:t>J</w:t>
      </w:r>
      <w:r w:rsidRPr="00656B81">
        <w:t>ustice</w:t>
      </w:r>
      <w:r w:rsidR="00BD50F7" w:rsidRPr="00656B81">
        <w:t>.</w:t>
      </w:r>
    </w:p>
    <w:p w14:paraId="04D222D5" w14:textId="77777777" w:rsidR="000E5F37" w:rsidRPr="00656B81" w:rsidRDefault="00BD50F7" w:rsidP="00481D84">
      <w:pPr>
        <w:jc w:val="both"/>
      </w:pPr>
      <w:r w:rsidRPr="00656B81">
        <w:t xml:space="preserve">Cette surpopulation carcérale affecte </w:t>
      </w:r>
      <w:r w:rsidR="000E5F37" w:rsidRPr="00656B81">
        <w:t xml:space="preserve">autant </w:t>
      </w:r>
      <w:r w:rsidRPr="00656B81">
        <w:t xml:space="preserve">les détenus que les agents ou le personnel opérationnel dans les prisons. </w:t>
      </w:r>
      <w:r w:rsidR="00567AF1" w:rsidRPr="00656B81">
        <w:t>L</w:t>
      </w:r>
      <w:r w:rsidR="00ED3A23">
        <w:t xml:space="preserve">a gestion </w:t>
      </w:r>
      <w:r w:rsidR="00481D84">
        <w:t>des</w:t>
      </w:r>
      <w:r w:rsidR="00953743">
        <w:t xml:space="preserve"> prisons et de la surpopulation</w:t>
      </w:r>
      <w:r w:rsidR="00481D84">
        <w:t xml:space="preserve"> carcérale sont devenus plus critiques après la révolution</w:t>
      </w:r>
      <w:r w:rsidR="00567AF1" w:rsidRPr="00656B81">
        <w:t xml:space="preserve"> en raison</w:t>
      </w:r>
      <w:r w:rsidRPr="00656B81">
        <w:t xml:space="preserve"> </w:t>
      </w:r>
      <w:r w:rsidR="00567AF1" w:rsidRPr="00656B81">
        <w:t>des nombreux</w:t>
      </w:r>
      <w:r w:rsidRPr="00656B81">
        <w:t xml:space="preserve"> </w:t>
      </w:r>
      <w:r w:rsidR="000E5F37" w:rsidRPr="00656B81">
        <w:t>incendies</w:t>
      </w:r>
      <w:r w:rsidRPr="00656B81">
        <w:t xml:space="preserve"> qui ont eu lieu dans </w:t>
      </w:r>
      <w:r w:rsidR="00567AF1" w:rsidRPr="00656B81">
        <w:t xml:space="preserve">des </w:t>
      </w:r>
      <w:r w:rsidRPr="00656B81">
        <w:t xml:space="preserve">prisons </w:t>
      </w:r>
      <w:r w:rsidR="00567AF1" w:rsidRPr="00656B81">
        <w:t>ainsi que</w:t>
      </w:r>
      <w:r w:rsidRPr="00656B81">
        <w:t xml:space="preserve"> de la promotion d’un grand nombre d’agents</w:t>
      </w:r>
      <w:r w:rsidR="00567AF1" w:rsidRPr="00656B81">
        <w:t xml:space="preserve"> qui a réduit</w:t>
      </w:r>
      <w:r w:rsidRPr="00656B81">
        <w:t xml:space="preserve"> le nombre </w:t>
      </w:r>
      <w:r w:rsidR="00567AF1" w:rsidRPr="00656B81">
        <w:t xml:space="preserve">de personnes affectées aux </w:t>
      </w:r>
      <w:r w:rsidRPr="00656B81">
        <w:t>postes de surveillance</w:t>
      </w:r>
      <w:r w:rsidR="000E5F37" w:rsidRPr="00656B81">
        <w:t>.</w:t>
      </w:r>
    </w:p>
    <w:p w14:paraId="0C8F07EB" w14:textId="77777777" w:rsidR="00AF4343" w:rsidRPr="00656B81" w:rsidRDefault="00AF4343" w:rsidP="00955225">
      <w:pPr>
        <w:jc w:val="both"/>
      </w:pPr>
      <w:r w:rsidRPr="00656B81">
        <w:t xml:space="preserve">Tandis que </w:t>
      </w:r>
      <w:r w:rsidR="00B0168C" w:rsidRPr="00656B81">
        <w:t xml:space="preserve">les </w:t>
      </w:r>
      <w:r w:rsidR="00F537D4" w:rsidRPr="00656B81">
        <w:t>besoins des détenus sont nombreux</w:t>
      </w:r>
      <w:r w:rsidRPr="00656B81">
        <w:t xml:space="preserve">, </w:t>
      </w:r>
      <w:r w:rsidR="00F537D4" w:rsidRPr="00656B81">
        <w:t xml:space="preserve">les moyens à </w:t>
      </w:r>
      <w:r w:rsidRPr="00656B81">
        <w:t xml:space="preserve">disposition </w:t>
      </w:r>
      <w:r w:rsidR="00F537D4" w:rsidRPr="00656B81">
        <w:t>sont limités</w:t>
      </w:r>
      <w:r w:rsidRPr="00656B81">
        <w:t xml:space="preserve">, surtout </w:t>
      </w:r>
      <w:r w:rsidR="00B0168C" w:rsidRPr="00656B81">
        <w:t xml:space="preserve">en </w:t>
      </w:r>
      <w:r w:rsidRPr="00656B81">
        <w:t>ce qui concerne le</w:t>
      </w:r>
      <w:r w:rsidR="00F537D4" w:rsidRPr="00656B81">
        <w:t xml:space="preserve"> </w:t>
      </w:r>
      <w:r w:rsidR="00F537D4" w:rsidRPr="00481D84">
        <w:rPr>
          <w:bCs/>
        </w:rPr>
        <w:t>suivi médical</w:t>
      </w:r>
      <w:r w:rsidRPr="00656B81">
        <w:t>,</w:t>
      </w:r>
      <w:r w:rsidR="00F537D4" w:rsidRPr="00656B81">
        <w:t xml:space="preserve"> </w:t>
      </w:r>
      <w:r w:rsidRPr="00656B81">
        <w:t xml:space="preserve">à cause du faible </w:t>
      </w:r>
      <w:r w:rsidR="00F537D4" w:rsidRPr="00656B81">
        <w:t xml:space="preserve">effectif </w:t>
      </w:r>
      <w:r w:rsidRPr="00656B81">
        <w:t>de</w:t>
      </w:r>
      <w:r w:rsidR="00F537D4" w:rsidRPr="00656B81">
        <w:t xml:space="preserve"> médecins opérationnels</w:t>
      </w:r>
      <w:r w:rsidR="000E5F37" w:rsidRPr="00656B81">
        <w:t>.</w:t>
      </w:r>
      <w:r w:rsidR="00955225" w:rsidRPr="00656B81">
        <w:t xml:space="preserve"> </w:t>
      </w:r>
    </w:p>
    <w:p w14:paraId="662F813C" w14:textId="77777777" w:rsidR="00955225" w:rsidRPr="00656B81" w:rsidRDefault="00955225" w:rsidP="00481D84">
      <w:pPr>
        <w:jc w:val="both"/>
      </w:pPr>
      <w:r w:rsidRPr="00656B81">
        <w:t xml:space="preserve">Lors de sa visite en Tunisie en juin 2014, le Rapporteur spécial des Nations Unies sur la torture et autres peines ou traitements cruels, inhumains ou dégradants, Juan E. Méndez, avait </w:t>
      </w:r>
      <w:r w:rsidR="00481D84">
        <w:t xml:space="preserve">signalé </w:t>
      </w:r>
      <w:r w:rsidR="00B0168C" w:rsidRPr="00656B81">
        <w:t xml:space="preserve">que seulement </w:t>
      </w:r>
      <w:r w:rsidRPr="00656B81">
        <w:t>24 médecins travaill</w:t>
      </w:r>
      <w:r w:rsidR="00B0168C" w:rsidRPr="00656B81">
        <w:t>aien</w:t>
      </w:r>
      <w:r w:rsidRPr="00656B81">
        <w:t>t à temps plein dans les prisons</w:t>
      </w:r>
      <w:r w:rsidR="00B0168C" w:rsidRPr="00656B81">
        <w:t xml:space="preserve"> pour répondre aux besoins des</w:t>
      </w:r>
      <w:r w:rsidR="00481D84">
        <w:t xml:space="preserve"> </w:t>
      </w:r>
      <w:r w:rsidRPr="00656B81">
        <w:t xml:space="preserve">24000 </w:t>
      </w:r>
      <w:r w:rsidR="00B0168C" w:rsidRPr="00656B81">
        <w:t xml:space="preserve">détenus. </w:t>
      </w:r>
      <w:r w:rsidRPr="00656B81">
        <w:t xml:space="preserve">La </w:t>
      </w:r>
      <w:r w:rsidR="000E5F37" w:rsidRPr="00656B81">
        <w:t xml:space="preserve">Direction </w:t>
      </w:r>
      <w:r w:rsidRPr="00656B81">
        <w:t xml:space="preserve">générale des prisons et de </w:t>
      </w:r>
      <w:r w:rsidR="00B0168C" w:rsidRPr="00656B81">
        <w:t xml:space="preserve">la </w:t>
      </w:r>
      <w:r w:rsidRPr="00656B81">
        <w:t xml:space="preserve">rééducation explique ce </w:t>
      </w:r>
      <w:r w:rsidR="00A65D6F" w:rsidRPr="00656B81">
        <w:t xml:space="preserve">faible </w:t>
      </w:r>
      <w:r w:rsidRPr="00656B81">
        <w:t>effectif par le manque d’enthousiasme chez les médecins pour travailler dans les établissements pénitentiaires</w:t>
      </w:r>
      <w:r w:rsidR="003638FB">
        <w:t>, et ce en raison des difficiles conditions de travail</w:t>
      </w:r>
      <w:r w:rsidRPr="00656B81">
        <w:t>.</w:t>
      </w:r>
    </w:p>
    <w:p w14:paraId="477DC3D9" w14:textId="77777777" w:rsidR="00757C01" w:rsidRPr="00656B81" w:rsidRDefault="00AF4343" w:rsidP="009F5B3D">
      <w:pPr>
        <w:jc w:val="both"/>
      </w:pPr>
      <w:r w:rsidRPr="00656B81">
        <w:t>C</w:t>
      </w:r>
      <w:r w:rsidR="00D85E79" w:rsidRPr="00656B81">
        <w:t xml:space="preserve">es médecins </w:t>
      </w:r>
      <w:r w:rsidRPr="00656B81">
        <w:t xml:space="preserve">des prisons </w:t>
      </w:r>
      <w:r w:rsidR="00D85E79" w:rsidRPr="00656B81">
        <w:t xml:space="preserve">arrivent à peine à satisfaire à l’exigence </w:t>
      </w:r>
      <w:r w:rsidRPr="00656B81">
        <w:t xml:space="preserve">de la soumission à une visite médicale dès l’incarcération </w:t>
      </w:r>
      <w:r w:rsidR="00D85E79" w:rsidRPr="00656B81">
        <w:t>de l’article 13 de la loi n°2001-52 du 14 mai 2001 relative à l’organisation des prisons.</w:t>
      </w:r>
      <w:r w:rsidR="003638FB">
        <w:t xml:space="preserve"> Cette visite médicale est parfois assurée par des agents pénitentiaires ayant effectué à peine deux ou trois mois de formation médicale.</w:t>
      </w:r>
      <w:r w:rsidR="00D85E79" w:rsidRPr="00656B81">
        <w:t xml:space="preserve"> </w:t>
      </w:r>
    </w:p>
    <w:p w14:paraId="3ECF28A2" w14:textId="77777777" w:rsidR="00D85E79" w:rsidRPr="00656B81" w:rsidRDefault="00757C01" w:rsidP="00B0168C">
      <w:pPr>
        <w:jc w:val="both"/>
        <w:rPr>
          <w:rtl/>
        </w:rPr>
      </w:pPr>
      <w:r w:rsidRPr="00656B81">
        <w:t>Etant donné</w:t>
      </w:r>
      <w:r w:rsidR="00D85E79" w:rsidRPr="00656B81">
        <w:t xml:space="preserve"> l</w:t>
      </w:r>
      <w:r w:rsidR="00AF4343" w:rsidRPr="00656B81">
        <w:t>’important</w:t>
      </w:r>
      <w:r w:rsidR="00D85E79" w:rsidRPr="00656B81">
        <w:t xml:space="preserve"> flux </w:t>
      </w:r>
      <w:r w:rsidR="00AF4343" w:rsidRPr="00656B81">
        <w:t xml:space="preserve">quotidien </w:t>
      </w:r>
      <w:r w:rsidR="00D85E79" w:rsidRPr="00656B81">
        <w:t>d’entrée</w:t>
      </w:r>
      <w:r w:rsidR="00AF4343" w:rsidRPr="00656B81">
        <w:t>s</w:t>
      </w:r>
      <w:r w:rsidR="00D85E79" w:rsidRPr="00656B81">
        <w:t xml:space="preserve"> aux prison</w:t>
      </w:r>
      <w:r w:rsidR="00CA0903" w:rsidRPr="00656B81">
        <w:t>s</w:t>
      </w:r>
      <w:r w:rsidR="00D85E79" w:rsidRPr="00656B81">
        <w:t>, cette visite médicale est sommaire</w:t>
      </w:r>
      <w:r w:rsidR="00AF4343" w:rsidRPr="00656B81">
        <w:t xml:space="preserve">, </w:t>
      </w:r>
      <w:r w:rsidR="00D85E79" w:rsidRPr="00481D84">
        <w:rPr>
          <w:bCs/>
        </w:rPr>
        <w:t>ne permet</w:t>
      </w:r>
      <w:r w:rsidR="00AF4343" w:rsidRPr="00481D84">
        <w:rPr>
          <w:bCs/>
        </w:rPr>
        <w:t>tant</w:t>
      </w:r>
      <w:r w:rsidR="00D85E79" w:rsidRPr="00481D84">
        <w:rPr>
          <w:bCs/>
        </w:rPr>
        <w:t xml:space="preserve"> pas de </w:t>
      </w:r>
      <w:r w:rsidR="00AF4343" w:rsidRPr="00481D84">
        <w:rPr>
          <w:bCs/>
        </w:rPr>
        <w:t xml:space="preserve">constater d’éventuelles </w:t>
      </w:r>
      <w:r w:rsidR="00D85E79" w:rsidRPr="00481D84">
        <w:rPr>
          <w:bCs/>
        </w:rPr>
        <w:t>traces de coups et blessures</w:t>
      </w:r>
      <w:r w:rsidR="00D85E79" w:rsidRPr="00656B81">
        <w:t xml:space="preserve"> sur les corps des </w:t>
      </w:r>
      <w:r w:rsidR="00AF4343" w:rsidRPr="00656B81">
        <w:t>détenus</w:t>
      </w:r>
      <w:r w:rsidR="00D85E79" w:rsidRPr="00656B81">
        <w:t xml:space="preserve">. </w:t>
      </w:r>
      <w:r w:rsidR="00E82BC1" w:rsidRPr="00656B81">
        <w:t xml:space="preserve">Les quelques rapports médicaux parvenus à la justice </w:t>
      </w:r>
      <w:r w:rsidR="00AF4343" w:rsidRPr="00656B81">
        <w:t>font état d’</w:t>
      </w:r>
      <w:r w:rsidR="00E82BC1" w:rsidRPr="00656B81">
        <w:t>indications superf</w:t>
      </w:r>
      <w:r w:rsidR="009F5B3D" w:rsidRPr="00656B81">
        <w:t>iciell</w:t>
      </w:r>
      <w:r w:rsidR="00E82BC1" w:rsidRPr="00656B81">
        <w:t>es et non développées</w:t>
      </w:r>
      <w:r w:rsidR="00B0168C" w:rsidRPr="00656B81">
        <w:t>.</w:t>
      </w:r>
      <w:r w:rsidR="00E82BC1" w:rsidRPr="00656B81">
        <w:t xml:space="preserve"> </w:t>
      </w:r>
      <w:r w:rsidR="00B0168C" w:rsidRPr="00656B81">
        <w:t xml:space="preserve">A </w:t>
      </w:r>
      <w:r w:rsidR="00E82BC1" w:rsidRPr="00656B81">
        <w:t>notre connaissance, il n’</w:t>
      </w:r>
      <w:r w:rsidR="00B0168C" w:rsidRPr="00656B81">
        <w:t>existe pas de</w:t>
      </w:r>
      <w:r w:rsidR="00E82BC1" w:rsidRPr="00656B81">
        <w:t xml:space="preserve"> cas où à la suite de la première consultation médicale en prison, l’administration pénitentiaire ait saisi le procureur de la République en raison des traces de torture constaté</w:t>
      </w:r>
      <w:r w:rsidR="00AF4343" w:rsidRPr="00656B81">
        <w:t>e</w:t>
      </w:r>
      <w:r w:rsidR="00E82BC1" w:rsidRPr="00656B81">
        <w:t>s</w:t>
      </w:r>
      <w:r w:rsidR="00D85E79" w:rsidRPr="00656B81">
        <w:t xml:space="preserve"> sur les corps des détenus.</w:t>
      </w:r>
    </w:p>
    <w:p w14:paraId="2C56AFA9" w14:textId="77777777" w:rsidR="00D61E58" w:rsidRPr="00656B81" w:rsidRDefault="00D61E58" w:rsidP="00E82BC1">
      <w:pPr>
        <w:jc w:val="both"/>
      </w:pPr>
      <w:r w:rsidRPr="00656B81">
        <w:t>Ensuite</w:t>
      </w:r>
      <w:r w:rsidR="00873A5C" w:rsidRPr="00656B81">
        <w:t>,</w:t>
      </w:r>
      <w:r w:rsidRPr="00656B81">
        <w:t xml:space="preserve"> </w:t>
      </w:r>
      <w:r w:rsidRPr="00481D84">
        <w:t>le suivi médical est généralement mal assuré</w:t>
      </w:r>
      <w:r w:rsidRPr="00656B81">
        <w:t xml:space="preserve">, entres autres </w:t>
      </w:r>
      <w:r w:rsidR="00873A5C" w:rsidRPr="00656B81">
        <w:t xml:space="preserve">raisons – mais </w:t>
      </w:r>
      <w:r w:rsidRPr="00656B81">
        <w:t>pas uniquement</w:t>
      </w:r>
      <w:r w:rsidR="00873A5C" w:rsidRPr="00656B81">
        <w:t xml:space="preserve"> – f</w:t>
      </w:r>
      <w:r w:rsidRPr="00656B81">
        <w:t>aute de moyens</w:t>
      </w:r>
      <w:r w:rsidR="00873A5C" w:rsidRPr="00656B81">
        <w:t>.</w:t>
      </w:r>
      <w:r w:rsidR="00C24535" w:rsidRPr="00656B81">
        <w:t xml:space="preserve"> </w:t>
      </w:r>
    </w:p>
    <w:p w14:paraId="149DB3F3" w14:textId="77777777" w:rsidR="00D85E79" w:rsidRPr="00656B81" w:rsidRDefault="00B57DA6" w:rsidP="00C24535">
      <w:pPr>
        <w:jc w:val="both"/>
      </w:pPr>
      <w:r w:rsidRPr="00656B81">
        <w:t>En outre</w:t>
      </w:r>
      <w:r w:rsidR="00D61E58" w:rsidRPr="00656B81">
        <w:t xml:space="preserve">, </w:t>
      </w:r>
      <w:r w:rsidRPr="00656B81">
        <w:t>le fonctionnement</w:t>
      </w:r>
      <w:r w:rsidR="00D85E79" w:rsidRPr="00656B81">
        <w:t xml:space="preserve"> quasi-militaire </w:t>
      </w:r>
      <w:r w:rsidR="00873A5C" w:rsidRPr="00656B81">
        <w:t>des</w:t>
      </w:r>
      <w:r w:rsidR="00D85E79" w:rsidRPr="00656B81">
        <w:t xml:space="preserve"> prisons</w:t>
      </w:r>
      <w:r w:rsidR="00873A5C" w:rsidRPr="00656B81">
        <w:t xml:space="preserve">, où </w:t>
      </w:r>
      <w:r w:rsidRPr="00656B81">
        <w:t xml:space="preserve">notamment </w:t>
      </w:r>
      <w:r w:rsidR="00873A5C" w:rsidRPr="00656B81">
        <w:t xml:space="preserve">les détenus sont </w:t>
      </w:r>
      <w:r w:rsidRPr="00656B81">
        <w:t>à ce jour</w:t>
      </w:r>
      <w:r w:rsidR="00873A5C" w:rsidRPr="00656B81">
        <w:t xml:space="preserve"> obligés de faire le salut militaire à chaque passage d’un agent ou un cadre de l’administration pénitentiaire</w:t>
      </w:r>
      <w:r w:rsidR="00873A5C" w:rsidRPr="007949FC">
        <w:t>,</w:t>
      </w:r>
      <w:r w:rsidR="00953743">
        <w:t xml:space="preserve"> fait que</w:t>
      </w:r>
      <w:r w:rsidRPr="007949FC">
        <w:t xml:space="preserve"> </w:t>
      </w:r>
      <w:r w:rsidR="00C24535" w:rsidRPr="007949FC">
        <w:t xml:space="preserve">les médecins </w:t>
      </w:r>
      <w:r w:rsidR="00953743">
        <w:t xml:space="preserve">se </w:t>
      </w:r>
      <w:r w:rsidR="00E82BC1" w:rsidRPr="00656B81">
        <w:t>trouvent ipso-facto subordonnés à des directives générales qui leur font perdre leur indépendance.</w:t>
      </w:r>
    </w:p>
    <w:p w14:paraId="010D24AF" w14:textId="77777777" w:rsidR="004D51DD" w:rsidRPr="00656B81" w:rsidRDefault="00E82BC1" w:rsidP="00C24535">
      <w:pPr>
        <w:jc w:val="both"/>
      </w:pPr>
      <w:r w:rsidRPr="00656B81">
        <w:t xml:space="preserve">Le renforcement de l’effectif des professionnels de santé au sein des établissements pénitentiaires est une priorité. Il est recommandé </w:t>
      </w:r>
      <w:r w:rsidR="00C24535" w:rsidRPr="00656B81">
        <w:t>que</w:t>
      </w:r>
      <w:r w:rsidR="00481D84">
        <w:t xml:space="preserve"> </w:t>
      </w:r>
      <w:r w:rsidR="00B57DA6" w:rsidRPr="00656B81">
        <w:t xml:space="preserve">ces professionnels de santé dépendent </w:t>
      </w:r>
      <w:r w:rsidR="00C24535" w:rsidRPr="00656B81">
        <w:t>uniquement</w:t>
      </w:r>
      <w:r w:rsidR="00B57DA6" w:rsidRPr="00656B81">
        <w:t xml:space="preserve"> de leur</w:t>
      </w:r>
      <w:r w:rsidRPr="00656B81">
        <w:t xml:space="preserve"> ministère de tutelle, le </w:t>
      </w:r>
      <w:r w:rsidR="00C24535" w:rsidRPr="00656B81">
        <w:t>m</w:t>
      </w:r>
      <w:r w:rsidRPr="00656B81">
        <w:t xml:space="preserve">inistère de la </w:t>
      </w:r>
      <w:r w:rsidR="00C24535" w:rsidRPr="00656B81">
        <w:t>S</w:t>
      </w:r>
      <w:r w:rsidRPr="00656B81">
        <w:t xml:space="preserve">anté. La </w:t>
      </w:r>
      <w:r w:rsidR="00E707F3" w:rsidRPr="00656B81">
        <w:t>D</w:t>
      </w:r>
      <w:r w:rsidRPr="00656B81">
        <w:t>irection générale des prisons</w:t>
      </w:r>
      <w:r w:rsidR="00C24535" w:rsidRPr="00656B81">
        <w:t xml:space="preserve"> et de la rééducation</w:t>
      </w:r>
      <w:r w:rsidRPr="00656B81">
        <w:t xml:space="preserve"> semble être favorable à cette idée.</w:t>
      </w:r>
    </w:p>
    <w:p w14:paraId="7044F1E9" w14:textId="77777777" w:rsidR="00B57DA6" w:rsidRPr="00656B81" w:rsidRDefault="00B57DA6" w:rsidP="00E82BC1">
      <w:pPr>
        <w:jc w:val="both"/>
      </w:pPr>
      <w:r w:rsidRPr="00656B81">
        <w:t xml:space="preserve">La surpopulation carcérale affecte aussi les </w:t>
      </w:r>
      <w:r w:rsidRPr="00481D84">
        <w:rPr>
          <w:bCs/>
        </w:rPr>
        <w:t>conditions d’hygiène</w:t>
      </w:r>
      <w:r w:rsidRPr="00656B81">
        <w:t xml:space="preserve">. Ce sont les familles des détenus qui compensent la qualité de la </w:t>
      </w:r>
      <w:r w:rsidRPr="00481D84">
        <w:rPr>
          <w:bCs/>
        </w:rPr>
        <w:t>nourriture</w:t>
      </w:r>
      <w:r w:rsidRPr="00656B81">
        <w:t xml:space="preserve"> par l’envoi, souvent dans des conditions difficiles, de </w:t>
      </w:r>
      <w:r w:rsidR="00A571F0" w:rsidRPr="00656B81">
        <w:t>couffins.</w:t>
      </w:r>
    </w:p>
    <w:p w14:paraId="20017B86" w14:textId="77777777" w:rsidR="00757C01" w:rsidRPr="00656B81" w:rsidRDefault="00B57DA6" w:rsidP="00757C01">
      <w:pPr>
        <w:jc w:val="both"/>
      </w:pPr>
      <w:r w:rsidRPr="00656B81">
        <w:t xml:space="preserve">Par ailleurs, cette </w:t>
      </w:r>
      <w:r w:rsidR="00D61E58" w:rsidRPr="00656B81">
        <w:t xml:space="preserve">surpopulation carcérale engendre un climat de </w:t>
      </w:r>
      <w:r w:rsidR="00D61E58" w:rsidRPr="002F540A">
        <w:rPr>
          <w:bCs/>
        </w:rPr>
        <w:t>contraintes, de tensions, d’agressivité et de violence</w:t>
      </w:r>
      <w:r w:rsidR="002230BB" w:rsidRPr="002F540A">
        <w:rPr>
          <w:bCs/>
        </w:rPr>
        <w:t xml:space="preserve"> créant des</w:t>
      </w:r>
      <w:r w:rsidR="00D61E58" w:rsidRPr="00656B81">
        <w:t xml:space="preserve"> </w:t>
      </w:r>
      <w:r w:rsidR="00E707F3" w:rsidRPr="00656B81">
        <w:t>circonstances</w:t>
      </w:r>
      <w:r w:rsidR="00D61E58" w:rsidRPr="00656B81">
        <w:t xml:space="preserve"> propice</w:t>
      </w:r>
      <w:r w:rsidR="00E707F3" w:rsidRPr="00656B81">
        <w:t>s</w:t>
      </w:r>
      <w:r w:rsidR="00D61E58" w:rsidRPr="00656B81">
        <w:t xml:space="preserve"> </w:t>
      </w:r>
      <w:r w:rsidR="00E707F3" w:rsidRPr="00656B81">
        <w:t>aux</w:t>
      </w:r>
      <w:r w:rsidR="00D61E58" w:rsidRPr="00656B81">
        <w:t xml:space="preserve"> rapports de faveur, </w:t>
      </w:r>
      <w:r w:rsidR="00E707F3" w:rsidRPr="00656B81">
        <w:t xml:space="preserve">à la </w:t>
      </w:r>
      <w:r w:rsidR="00D61E58" w:rsidRPr="00656B81">
        <w:t>corruption</w:t>
      </w:r>
      <w:r w:rsidR="00E707F3" w:rsidRPr="00656B81">
        <w:t>,</w:t>
      </w:r>
      <w:r w:rsidR="00D61E58" w:rsidRPr="00656B81">
        <w:t xml:space="preserve"> et </w:t>
      </w:r>
      <w:r w:rsidR="00E707F3" w:rsidRPr="00656B81">
        <w:t>à la</w:t>
      </w:r>
      <w:r w:rsidR="00D61E58" w:rsidRPr="00656B81">
        <w:t xml:space="preserve"> discrimination.</w:t>
      </w:r>
      <w:r w:rsidR="00757C01" w:rsidRPr="00656B81">
        <w:t xml:space="preserve"> </w:t>
      </w:r>
    </w:p>
    <w:p w14:paraId="73EC76B4" w14:textId="77777777" w:rsidR="00D61E58" w:rsidRPr="00656B81" w:rsidRDefault="00B973C3" w:rsidP="002F540A">
      <w:pPr>
        <w:jc w:val="both"/>
      </w:pPr>
      <w:r>
        <w:t>Il est constaté dans les prisons</w:t>
      </w:r>
      <w:r w:rsidR="00757C01" w:rsidRPr="00656B81">
        <w:t xml:space="preserve"> une délégation de pouvoir informelle à certains détenus, qui, ayant une bonne relation avec la direction de la prison, sont chargés d’assurer l’ordre et l’exécution des tâches quotidiennes dans les cellules. Ces « détenus-surveillants », appelés « </w:t>
      </w:r>
      <w:r w:rsidR="002F540A">
        <w:t>Cabran</w:t>
      </w:r>
      <w:r w:rsidR="00757C01" w:rsidRPr="00656B81">
        <w:t> », ont parfois des pouvoirs supérieurs aux agents les moins gradés et sont souvent des intermédiaires dans la corruption, sources des inégalités entre détenus et des conflits dans les prisons.</w:t>
      </w:r>
    </w:p>
    <w:p w14:paraId="5192CBFA" w14:textId="77777777" w:rsidR="003E705F" w:rsidRPr="00656B81" w:rsidRDefault="00757C01" w:rsidP="003E705F">
      <w:pPr>
        <w:jc w:val="both"/>
      </w:pPr>
      <w:r w:rsidRPr="00656B81">
        <w:t>En outre, c</w:t>
      </w:r>
      <w:r w:rsidR="00E707F3" w:rsidRPr="00656B81">
        <w:t xml:space="preserve">ette surpopulation </w:t>
      </w:r>
      <w:r w:rsidR="00D61E58" w:rsidRPr="00656B81">
        <w:t xml:space="preserve">ne permet pas l’individualisation </w:t>
      </w:r>
      <w:r w:rsidR="003E705F" w:rsidRPr="00656B81">
        <w:t xml:space="preserve">de l’exécution </w:t>
      </w:r>
      <w:r w:rsidR="00D61E58" w:rsidRPr="00656B81">
        <w:t>de la peine</w:t>
      </w:r>
      <w:r w:rsidR="003E705F" w:rsidRPr="00656B81">
        <w:t xml:space="preserve"> et </w:t>
      </w:r>
      <w:r w:rsidR="00E707F3" w:rsidRPr="00656B81">
        <w:t xml:space="preserve">constitue </w:t>
      </w:r>
      <w:r w:rsidR="003E705F" w:rsidRPr="00656B81">
        <w:t xml:space="preserve">un </w:t>
      </w:r>
      <w:r w:rsidR="003E705F" w:rsidRPr="002F540A">
        <w:rPr>
          <w:bCs/>
        </w:rPr>
        <w:t>obstacle à la réinsertion</w:t>
      </w:r>
      <w:r w:rsidR="00D61E58" w:rsidRPr="002F540A">
        <w:rPr>
          <w:bCs/>
        </w:rPr>
        <w:t xml:space="preserve"> </w:t>
      </w:r>
      <w:r w:rsidR="00E707F3" w:rsidRPr="002F540A">
        <w:rPr>
          <w:bCs/>
        </w:rPr>
        <w:t>sociale</w:t>
      </w:r>
      <w:r w:rsidR="00E707F3" w:rsidRPr="00656B81">
        <w:t xml:space="preserve">, </w:t>
      </w:r>
      <w:r w:rsidR="00D61E58" w:rsidRPr="00656B81">
        <w:t xml:space="preserve">ce qui explique </w:t>
      </w:r>
      <w:r w:rsidR="00A7519C" w:rsidRPr="00656B81">
        <w:t>un taux de récidive assez élevé</w:t>
      </w:r>
      <w:r w:rsidR="00D61E58" w:rsidRPr="00656B81">
        <w:t xml:space="preserve"> parmi les détenus</w:t>
      </w:r>
      <w:r w:rsidR="00D61E58" w:rsidRPr="00656B81">
        <w:rPr>
          <w:rStyle w:val="FootnoteReference"/>
        </w:rPr>
        <w:footnoteReference w:id="23"/>
      </w:r>
      <w:r w:rsidR="00D61E58" w:rsidRPr="00656B81">
        <w:t>.</w:t>
      </w:r>
    </w:p>
    <w:p w14:paraId="07A827F1" w14:textId="77777777" w:rsidR="00E707F3" w:rsidRPr="00656B81" w:rsidRDefault="004F1EDA" w:rsidP="003E705F">
      <w:pPr>
        <w:jc w:val="both"/>
      </w:pPr>
      <w:r w:rsidRPr="00656B81">
        <w:t>Enfin, l</w:t>
      </w:r>
      <w:r w:rsidR="00A7519C" w:rsidRPr="00656B81">
        <w:t xml:space="preserve">es prisons souffrent aussi d’un manque de mécanismes efficaces pour le traitement des </w:t>
      </w:r>
      <w:r w:rsidR="00A7519C" w:rsidRPr="002F540A">
        <w:rPr>
          <w:bCs/>
        </w:rPr>
        <w:t>griefs et plaintes</w:t>
      </w:r>
      <w:r w:rsidR="00A7519C" w:rsidRPr="00656B81">
        <w:t>.</w:t>
      </w:r>
      <w:r w:rsidR="003E705F" w:rsidRPr="00656B81">
        <w:t xml:space="preserve"> </w:t>
      </w:r>
      <w:r w:rsidRPr="00656B81">
        <w:t>(</w:t>
      </w:r>
      <w:r w:rsidR="003E705F" w:rsidRPr="00656B81">
        <w:t>Ces défaillances concernent aussi d’autres lieux de privation de liberté, tels les lieux de garde à vue.</w:t>
      </w:r>
      <w:r w:rsidRPr="00656B81">
        <w:t xml:space="preserve">) Les griefs et doléances des détenus parviennent aux observateurs locaux et internationaux essentiellement à travers les familles et leurs avocats. </w:t>
      </w:r>
    </w:p>
    <w:p w14:paraId="5910EE2A" w14:textId="77777777" w:rsidR="004F1EDA" w:rsidRPr="00656B81" w:rsidRDefault="004F1EDA" w:rsidP="003E705F">
      <w:pPr>
        <w:jc w:val="both"/>
      </w:pPr>
    </w:p>
    <w:p w14:paraId="798DA223" w14:textId="77777777" w:rsidR="003E705F" w:rsidRPr="00656B81" w:rsidRDefault="003E705F" w:rsidP="00DE173C">
      <w:pPr>
        <w:jc w:val="both"/>
        <w:rPr>
          <w:b/>
          <w:bCs/>
        </w:rPr>
      </w:pPr>
      <w:r w:rsidRPr="00656B81">
        <w:rPr>
          <w:b/>
          <w:bCs/>
        </w:rPr>
        <w:t>b)</w:t>
      </w:r>
      <w:r w:rsidR="000E5F37" w:rsidRPr="00656B81">
        <w:rPr>
          <w:b/>
          <w:bCs/>
        </w:rPr>
        <w:t xml:space="preserve"> </w:t>
      </w:r>
      <w:r w:rsidRPr="00656B81">
        <w:rPr>
          <w:b/>
          <w:bCs/>
        </w:rPr>
        <w:t xml:space="preserve">Monitoring des lieux de privation de liberté </w:t>
      </w:r>
    </w:p>
    <w:p w14:paraId="49921399" w14:textId="77777777" w:rsidR="003E705F" w:rsidRPr="00656B81" w:rsidRDefault="003341C9" w:rsidP="003E705F">
      <w:pPr>
        <w:jc w:val="both"/>
      </w:pPr>
      <w:r w:rsidRPr="00656B81">
        <w:t>Avant le 14 janvier</w:t>
      </w:r>
      <w:r w:rsidR="004F1EDA" w:rsidRPr="00656B81">
        <w:t xml:space="preserve"> 201</w:t>
      </w:r>
      <w:r w:rsidR="00A571F0" w:rsidRPr="00656B81">
        <w:t>1</w:t>
      </w:r>
      <w:r w:rsidRPr="00656B81">
        <w:t>, les association</w:t>
      </w:r>
      <w:r w:rsidR="004F1EDA" w:rsidRPr="00656B81">
        <w:t>s</w:t>
      </w:r>
      <w:r w:rsidRPr="00656B81">
        <w:t xml:space="preserve"> et organisations locales</w:t>
      </w:r>
      <w:r w:rsidR="003F4A89">
        <w:t xml:space="preserve"> et internationales</w:t>
      </w:r>
      <w:r w:rsidRPr="00656B81">
        <w:t xml:space="preserve"> étaient interdites d’accès aux lieux de privation de liberté.</w:t>
      </w:r>
    </w:p>
    <w:p w14:paraId="0406AA3B" w14:textId="77777777" w:rsidR="004F1EDA" w:rsidRPr="00656B81" w:rsidRDefault="00953743" w:rsidP="003341C9">
      <w:pPr>
        <w:jc w:val="both"/>
      </w:pPr>
      <w:r>
        <w:t>En tant qu’entité locale</w:t>
      </w:r>
      <w:r w:rsidR="003341C9" w:rsidRPr="00656B81">
        <w:t>, seul le Comité supérieur des droits de l’</w:t>
      </w:r>
      <w:r w:rsidR="002230BB" w:rsidRPr="00656B81">
        <w:t>H</w:t>
      </w:r>
      <w:r w:rsidR="003341C9" w:rsidRPr="00656B81">
        <w:t>omme et des libertés fondamentales faisait des visites. Mais cette institution nationale, régie par un cadre juridique non conforme aux principes de Paris, n’a aucunement les qualités d’indépendance et d’impartialité</w:t>
      </w:r>
      <w:r w:rsidR="004F1EDA" w:rsidRPr="00656B81">
        <w:t xml:space="preserve"> requises</w:t>
      </w:r>
      <w:r w:rsidR="003341C9" w:rsidRPr="00656B81">
        <w:t xml:space="preserve">. </w:t>
      </w:r>
    </w:p>
    <w:p w14:paraId="0EBD3E27" w14:textId="77777777" w:rsidR="002F540A" w:rsidRDefault="003341C9" w:rsidP="00CF0E35">
      <w:pPr>
        <w:jc w:val="both"/>
      </w:pPr>
      <w:r w:rsidRPr="00656B81">
        <w:t>Ceci devrait changer</w:t>
      </w:r>
      <w:r w:rsidR="001A0E76" w:rsidRPr="00656B81">
        <w:t xml:space="preserve"> incessamment, puisque la Constitution du 27 janvier 2014 a prévu un chapitre pour les instances constitutionnelles ayant toutes les qualités d’indépendance et d’autonomie financière et administrative (Art. 125 à 130 de la Constitution)</w:t>
      </w:r>
      <w:r w:rsidR="001A0E76" w:rsidRPr="00656B81">
        <w:rPr>
          <w:rStyle w:val="FootnoteReference"/>
        </w:rPr>
        <w:footnoteReference w:id="24"/>
      </w:r>
      <w:r w:rsidR="001A0E76" w:rsidRPr="00656B81">
        <w:t>.</w:t>
      </w:r>
      <w:r w:rsidR="00CE0895" w:rsidRPr="00656B81">
        <w:t xml:space="preserve"> </w:t>
      </w:r>
      <w:r w:rsidR="004F1EDA" w:rsidRPr="00656B81">
        <w:t xml:space="preserve">En outre, un </w:t>
      </w:r>
      <w:r w:rsidR="00CE0895" w:rsidRPr="00656B81">
        <w:t>projet de loi organique relatif à l’instance des droits de l’</w:t>
      </w:r>
      <w:r w:rsidR="002230BB" w:rsidRPr="00656B81">
        <w:t>H</w:t>
      </w:r>
      <w:r w:rsidR="00CE0895" w:rsidRPr="00656B81">
        <w:t xml:space="preserve">omme conforme aux principes de Paris et à l’article 128 de la Constitution tunisienne devrait être </w:t>
      </w:r>
      <w:r w:rsidR="002230BB" w:rsidRPr="00656B81">
        <w:t>très prochainement</w:t>
      </w:r>
      <w:r w:rsidR="00CE0895" w:rsidRPr="00656B81">
        <w:t xml:space="preserve"> transmis à l’Assemblée des Représentants du Peuple (ARP) pour servir de nouveau cadre juridique à ce</w:t>
      </w:r>
      <w:r w:rsidR="0043776B" w:rsidRPr="00656B81">
        <w:t xml:space="preserve">tte instance, </w:t>
      </w:r>
      <w:r w:rsidR="004F1EDA" w:rsidRPr="00656B81">
        <w:t xml:space="preserve">en </w:t>
      </w:r>
      <w:r w:rsidR="0043776B" w:rsidRPr="00656B81">
        <w:t>lieu et place de</w:t>
      </w:r>
      <w:r w:rsidR="00CE0895" w:rsidRPr="00656B81">
        <w:t xml:space="preserve"> la loi n°37-2008 du 16 juin 2008, relative au Comité supérieur des droits de l’</w:t>
      </w:r>
      <w:r w:rsidR="002230BB" w:rsidRPr="00656B81">
        <w:t>H</w:t>
      </w:r>
      <w:r w:rsidR="00CE0895" w:rsidRPr="00656B81">
        <w:t>omme et des libertés fondamentales.</w:t>
      </w:r>
      <w:r w:rsidR="002F540A">
        <w:t xml:space="preserve"> </w:t>
      </w:r>
    </w:p>
    <w:p w14:paraId="0D0611CC" w14:textId="77777777" w:rsidR="002F540A" w:rsidRDefault="002230BB" w:rsidP="002F540A">
      <w:pPr>
        <w:jc w:val="both"/>
      </w:pPr>
      <w:r w:rsidRPr="00656B81">
        <w:t>A l’</w:t>
      </w:r>
      <w:r w:rsidR="00EA1800" w:rsidRPr="00656B81">
        <w:t>échelle des entités</w:t>
      </w:r>
      <w:r w:rsidRPr="00656B81">
        <w:t xml:space="preserve"> internationales</w:t>
      </w:r>
      <w:r w:rsidR="00EA1800" w:rsidRPr="00656B81">
        <w:t xml:space="preserve">, </w:t>
      </w:r>
      <w:r w:rsidR="00CF0E35" w:rsidRPr="00656B81">
        <w:t xml:space="preserve">seul le Comité international de la croix rouge (CICR) avait l’autorisation de visiter les lieux de détention en vertu d’un </w:t>
      </w:r>
      <w:r w:rsidRPr="00656B81">
        <w:t xml:space="preserve">accord conclu </w:t>
      </w:r>
      <w:r w:rsidR="00EA1800" w:rsidRPr="00656B81">
        <w:t xml:space="preserve">en 2005 </w:t>
      </w:r>
      <w:r w:rsidR="00CF0E35" w:rsidRPr="00656B81">
        <w:t>avec</w:t>
      </w:r>
      <w:r w:rsidR="00EA1800" w:rsidRPr="00656B81">
        <w:t xml:space="preserve"> le ministère de</w:t>
      </w:r>
      <w:r w:rsidR="002F540A">
        <w:t xml:space="preserve"> la</w:t>
      </w:r>
      <w:r w:rsidR="00EA1800" w:rsidRPr="00656B81">
        <w:t xml:space="preserve"> </w:t>
      </w:r>
      <w:r w:rsidR="00CF0E35" w:rsidRPr="00656B81">
        <w:t>Justice.</w:t>
      </w:r>
    </w:p>
    <w:p w14:paraId="3CE5785B" w14:textId="77777777" w:rsidR="00855201" w:rsidRPr="00656B81" w:rsidRDefault="00E14E33" w:rsidP="002F540A">
      <w:pPr>
        <w:jc w:val="both"/>
      </w:pPr>
      <w:r w:rsidRPr="00656B81">
        <w:t xml:space="preserve">Après le 14 janvier 2011, les lieux de privation de liberté sont devenus plus accessibles aux </w:t>
      </w:r>
      <w:r w:rsidR="00855201" w:rsidRPr="00656B81">
        <w:t>intervenants</w:t>
      </w:r>
      <w:r w:rsidR="00CF0E35" w:rsidRPr="00656B81">
        <w:t xml:space="preserve"> extérieurs</w:t>
      </w:r>
      <w:r w:rsidR="00855201" w:rsidRPr="00656B81">
        <w:t>.</w:t>
      </w:r>
      <w:r w:rsidRPr="00656B81">
        <w:t xml:space="preserve"> </w:t>
      </w:r>
    </w:p>
    <w:p w14:paraId="4A470C35" w14:textId="77777777" w:rsidR="0043776B" w:rsidRPr="00656B81" w:rsidRDefault="00E14E33" w:rsidP="00855201">
      <w:pPr>
        <w:jc w:val="both"/>
      </w:pPr>
      <w:r w:rsidRPr="00656B81">
        <w:t xml:space="preserve">Le </w:t>
      </w:r>
      <w:r w:rsidR="00BA1983" w:rsidRPr="00656B81">
        <w:t>Haut-Commissariat</w:t>
      </w:r>
      <w:r w:rsidRPr="00656B81">
        <w:t xml:space="preserve"> des droits de l’</w:t>
      </w:r>
      <w:r w:rsidR="00855201" w:rsidRPr="00656B81">
        <w:t>H</w:t>
      </w:r>
      <w:r w:rsidRPr="00656B81">
        <w:t>omme qui a conclu un accord en 2011 avec le gouvernement tunisien</w:t>
      </w:r>
      <w:r w:rsidRPr="00656B81">
        <w:rPr>
          <w:rStyle w:val="FootnoteReference"/>
        </w:rPr>
        <w:footnoteReference w:id="25"/>
      </w:r>
      <w:r w:rsidRPr="00656B81">
        <w:t xml:space="preserve"> pour l’ouverture d’un bureau en Tunisie, effectue des visites dans les lieux de privation de liberté.</w:t>
      </w:r>
    </w:p>
    <w:p w14:paraId="22AC1C3B" w14:textId="77777777" w:rsidR="00855201" w:rsidRPr="00656B81" w:rsidRDefault="00855201" w:rsidP="002F540A">
      <w:pPr>
        <w:jc w:val="both"/>
      </w:pPr>
      <w:r w:rsidRPr="00656B81">
        <w:t>La Ligue Tunisienne des Droits de l’Homme (LTDH) a conclu un accord en ju</w:t>
      </w:r>
      <w:r w:rsidR="002F540A">
        <w:t>in 2015 avec le ministère de la J</w:t>
      </w:r>
      <w:r w:rsidRPr="00656B81">
        <w:t>ustice lui autorisant d</w:t>
      </w:r>
      <w:r w:rsidR="00C974BA">
        <w:t>’effectuer des visites inopinées aux</w:t>
      </w:r>
      <w:r w:rsidRPr="00656B81">
        <w:t xml:space="preserve"> lieux de détention.</w:t>
      </w:r>
      <w:r w:rsidR="00C974BA">
        <w:t xml:space="preserve"> En février 2016, la LTDH a conclu un accord avec le ministère des Affaires Sociales pour la visite des centres de retraite. Puis en mars 2016, a été conclu un accord avec le ministère de l’Education pour la visite des internats.</w:t>
      </w:r>
    </w:p>
    <w:p w14:paraId="3FC3C825" w14:textId="77777777" w:rsidR="00BA1983" w:rsidRPr="00656B81" w:rsidRDefault="00BA1983" w:rsidP="00953743">
      <w:pPr>
        <w:jc w:val="both"/>
      </w:pPr>
      <w:r w:rsidRPr="00656B81">
        <w:t xml:space="preserve">En 2013, Human Rights Watch a </w:t>
      </w:r>
      <w:r w:rsidR="00A37829" w:rsidRPr="00656B81">
        <w:t xml:space="preserve">obtenu </w:t>
      </w:r>
      <w:r w:rsidRPr="00656B81">
        <w:t xml:space="preserve">une autorisation de la part du </w:t>
      </w:r>
      <w:r w:rsidR="00855201" w:rsidRPr="00656B81">
        <w:t>m</w:t>
      </w:r>
      <w:r w:rsidRPr="00656B81">
        <w:t>inistère de l’</w:t>
      </w:r>
      <w:r w:rsidR="00855201" w:rsidRPr="00656B81">
        <w:t>I</w:t>
      </w:r>
      <w:r w:rsidRPr="00656B81">
        <w:t xml:space="preserve">ntérieur pour effectuer pendant deux mois la visite de quelques centres et postes de garde à vue et d’investigation. </w:t>
      </w:r>
      <w:r w:rsidR="00A37829" w:rsidRPr="00656B81">
        <w:t>Ce</w:t>
      </w:r>
      <w:r w:rsidR="00855201" w:rsidRPr="00656B81">
        <w:t xml:space="preserve"> type d’</w:t>
      </w:r>
      <w:r w:rsidRPr="00656B81">
        <w:t>accord sans précédent</w:t>
      </w:r>
      <w:r w:rsidR="00855201" w:rsidRPr="00656B81">
        <w:t xml:space="preserve"> devrait être suivi par d’a</w:t>
      </w:r>
      <w:r w:rsidR="00953743">
        <w:t>utres accords du même genr</w:t>
      </w:r>
      <w:r w:rsidR="00855201" w:rsidRPr="00656B81">
        <w:t>e</w:t>
      </w:r>
      <w:r w:rsidR="00953743">
        <w:t xml:space="preserve"> qui seraient à même de contribuer à</w:t>
      </w:r>
      <w:r w:rsidR="00B06608" w:rsidRPr="00656B81">
        <w:t xml:space="preserve"> lutter contre les</w:t>
      </w:r>
      <w:r w:rsidR="002F540A">
        <w:t xml:space="preserve"> </w:t>
      </w:r>
      <w:r w:rsidRPr="00656B81">
        <w:t xml:space="preserve">multiples défaillances et abus exercés </w:t>
      </w:r>
      <w:r w:rsidR="00A37829" w:rsidRPr="00656B81">
        <w:t>au cours</w:t>
      </w:r>
      <w:r w:rsidRPr="00656B81">
        <w:t xml:space="preserve"> </w:t>
      </w:r>
      <w:r w:rsidR="00A37829" w:rsidRPr="00656B81">
        <w:t>d</w:t>
      </w:r>
      <w:r w:rsidR="00BD49E4">
        <w:t>e l</w:t>
      </w:r>
      <w:r w:rsidR="00A37829" w:rsidRPr="00656B81">
        <w:t>’</w:t>
      </w:r>
      <w:r w:rsidRPr="00656B81">
        <w:t xml:space="preserve">arrestation </w:t>
      </w:r>
      <w:r w:rsidR="00A37829" w:rsidRPr="00656B81">
        <w:t xml:space="preserve">de </w:t>
      </w:r>
      <w:r w:rsidRPr="00656B81">
        <w:t xml:space="preserve">suspects </w:t>
      </w:r>
      <w:r w:rsidR="00A37829" w:rsidRPr="00656B81">
        <w:t xml:space="preserve">par les forces de l’ordre </w:t>
      </w:r>
      <w:r w:rsidRPr="00656B81">
        <w:t>ou durant l</w:t>
      </w:r>
      <w:r w:rsidR="00A37829" w:rsidRPr="00656B81">
        <w:t xml:space="preserve">es </w:t>
      </w:r>
      <w:r w:rsidRPr="00656B81">
        <w:t>enquête</w:t>
      </w:r>
      <w:r w:rsidR="00A37829" w:rsidRPr="00656B81">
        <w:t>s</w:t>
      </w:r>
      <w:r w:rsidRPr="00656B81">
        <w:t xml:space="preserve"> préliminaire</w:t>
      </w:r>
      <w:r w:rsidR="00A37829" w:rsidRPr="00656B81">
        <w:t>s</w:t>
      </w:r>
      <w:r w:rsidRPr="00656B81">
        <w:t>.</w:t>
      </w:r>
    </w:p>
    <w:p w14:paraId="54E1FC92" w14:textId="77777777" w:rsidR="00BA1983" w:rsidRPr="00656B81" w:rsidRDefault="00BA1983" w:rsidP="00B06608">
      <w:pPr>
        <w:jc w:val="both"/>
      </w:pPr>
      <w:r w:rsidRPr="00656B81">
        <w:t xml:space="preserve">Le </w:t>
      </w:r>
      <w:r w:rsidR="00A37829" w:rsidRPr="00656B81">
        <w:t>R</w:t>
      </w:r>
      <w:r w:rsidRPr="00656B81">
        <w:t xml:space="preserve">apporteur spécial des Nations Unies sur la torture Juan E. Méndez, lors de sa visite en Tunisie en juin 2014, </w:t>
      </w:r>
      <w:r w:rsidR="00A37829" w:rsidRPr="00656B81">
        <w:t>s’est vu refuser l’</w:t>
      </w:r>
      <w:r w:rsidRPr="00656B81">
        <w:t xml:space="preserve">accès au centre de Gorjani sous prétexte qu’il s’agit d’un centre d’investigation et non d’un centre de garde à vue. </w:t>
      </w:r>
      <w:r w:rsidR="00A37829" w:rsidRPr="00656B81">
        <w:t xml:space="preserve">Or dans </w:t>
      </w:r>
      <w:r w:rsidR="005537FE" w:rsidRPr="00656B81">
        <w:t xml:space="preserve">ce centre </w:t>
      </w:r>
      <w:r w:rsidR="00A37829" w:rsidRPr="00656B81">
        <w:t xml:space="preserve">se </w:t>
      </w:r>
      <w:r w:rsidR="005537FE" w:rsidRPr="00656B81">
        <w:t>trouve</w:t>
      </w:r>
      <w:r w:rsidR="00A37829" w:rsidRPr="00656B81">
        <w:t>nt</w:t>
      </w:r>
      <w:r w:rsidR="005537FE" w:rsidRPr="00656B81">
        <w:t xml:space="preserve"> les principales brigades spécialisées</w:t>
      </w:r>
      <w:r w:rsidR="00B06608" w:rsidRPr="00656B81">
        <w:t xml:space="preserve"> de la sécurité nationale.</w:t>
      </w:r>
    </w:p>
    <w:p w14:paraId="7CA351AA" w14:textId="77777777" w:rsidR="008B3A12" w:rsidRPr="00656B81" w:rsidRDefault="008B3A12" w:rsidP="002F540A">
      <w:pPr>
        <w:jc w:val="both"/>
      </w:pPr>
      <w:r w:rsidRPr="00656B81">
        <w:t xml:space="preserve">Durant </w:t>
      </w:r>
      <w:r w:rsidR="00BE229B" w:rsidRPr="00656B81">
        <w:t xml:space="preserve">une </w:t>
      </w:r>
      <w:r w:rsidRPr="00656B81">
        <w:t xml:space="preserve">enquête préliminaire, le prévenu est dans une situation vulnérable, </w:t>
      </w:r>
      <w:r w:rsidR="00BE229B" w:rsidRPr="00656B81">
        <w:t>seul</w:t>
      </w:r>
      <w:r w:rsidRPr="00656B81">
        <w:t xml:space="preserve"> face aux enquêteurs sans qu’il puisse s’entretenir avec un avocat ou avoir la visite de ses proches. En effet, les dispositions actuel</w:t>
      </w:r>
      <w:r w:rsidR="002F540A">
        <w:t xml:space="preserve">les du Code de procédure pénale </w:t>
      </w:r>
      <w:r w:rsidRPr="00656B81">
        <w:t>n’autorise</w:t>
      </w:r>
      <w:r w:rsidR="009F5B3D" w:rsidRPr="00656B81">
        <w:t>nt</w:t>
      </w:r>
      <w:r w:rsidRPr="00656B81">
        <w:t xml:space="preserve"> l’accès à l’avocat durant des</w:t>
      </w:r>
      <w:r w:rsidR="00953743">
        <w:t xml:space="preserve"> enquêtes préliminaires</w:t>
      </w:r>
      <w:r w:rsidRPr="00656B81">
        <w:t xml:space="preserve"> que dans le cadre d’une commission rogatoire</w:t>
      </w:r>
      <w:r w:rsidR="00B06608" w:rsidRPr="00656B81">
        <w:rPr>
          <w:rStyle w:val="FootnoteReference"/>
        </w:rPr>
        <w:footnoteReference w:id="26"/>
      </w:r>
      <w:r w:rsidRPr="00656B81">
        <w:t xml:space="preserve"> ordonnée par le juge d’instruction chargé de l’affaire.</w:t>
      </w:r>
    </w:p>
    <w:p w14:paraId="2080E4CA" w14:textId="77777777" w:rsidR="00DC56AE" w:rsidRPr="00656B81" w:rsidRDefault="00B06608" w:rsidP="00BD49E4">
      <w:pPr>
        <w:jc w:val="both"/>
      </w:pPr>
      <w:r w:rsidRPr="00656B81">
        <w:t>L</w:t>
      </w:r>
      <w:r w:rsidR="003A2B71" w:rsidRPr="00656B81">
        <w:t>a récente réforme du régime de la garde à vue</w:t>
      </w:r>
      <w:r w:rsidR="00BE229B" w:rsidRPr="00656B81">
        <w:t>,</w:t>
      </w:r>
      <w:r w:rsidR="003A2B71" w:rsidRPr="00656B81">
        <w:t xml:space="preserve"> qui va entrer en vigueur le 1</w:t>
      </w:r>
      <w:r w:rsidR="003A2B71" w:rsidRPr="00656B81">
        <w:rPr>
          <w:vertAlign w:val="superscript"/>
        </w:rPr>
        <w:t>er</w:t>
      </w:r>
      <w:r w:rsidR="003A2B71" w:rsidRPr="00656B81">
        <w:t xml:space="preserve"> juin 2016, </w:t>
      </w:r>
      <w:r w:rsidRPr="00656B81">
        <w:t xml:space="preserve">va cependant </w:t>
      </w:r>
      <w:r w:rsidRPr="00A726E2">
        <w:t xml:space="preserve">permettre </w:t>
      </w:r>
      <w:r w:rsidR="003A2B71" w:rsidRPr="00A726E2">
        <w:t xml:space="preserve"> l’accès à l’avocat</w:t>
      </w:r>
      <w:r w:rsidR="003A2B71" w:rsidRPr="00656B81">
        <w:t xml:space="preserve"> </w:t>
      </w:r>
      <w:r w:rsidRPr="00656B81">
        <w:t xml:space="preserve">avec un rôle actif </w:t>
      </w:r>
      <w:r w:rsidR="003A2B71" w:rsidRPr="00656B81">
        <w:t>durant la garde à vue</w:t>
      </w:r>
      <w:r w:rsidR="00A726E2">
        <w:t xml:space="preserve">. </w:t>
      </w:r>
      <w:r w:rsidR="00BD49E4">
        <w:t xml:space="preserve">Cette réduction de </w:t>
      </w:r>
      <w:r w:rsidR="009415F0" w:rsidRPr="00656B81">
        <w:t xml:space="preserve">la </w:t>
      </w:r>
      <w:r w:rsidR="009E6F05" w:rsidRPr="00A726E2">
        <w:rPr>
          <w:bCs/>
        </w:rPr>
        <w:t>durée de la garde à vue</w:t>
      </w:r>
      <w:r w:rsidR="007C64FD" w:rsidRPr="00A726E2">
        <w:rPr>
          <w:bCs/>
        </w:rPr>
        <w:t>,</w:t>
      </w:r>
      <w:r w:rsidR="007C64FD" w:rsidRPr="00656B81">
        <w:t xml:space="preserve"> </w:t>
      </w:r>
      <w:r w:rsidR="009415F0" w:rsidRPr="00656B81">
        <w:rPr>
          <w:rStyle w:val="FootnoteReference"/>
        </w:rPr>
        <w:footnoteReference w:id="27"/>
      </w:r>
      <w:r w:rsidR="007C64FD" w:rsidRPr="00656B81">
        <w:t xml:space="preserve"> bien qu’elle se situe en deçà des 48 heures recommandées aussi bien par le</w:t>
      </w:r>
      <w:r w:rsidRPr="00656B81">
        <w:t xml:space="preserve"> </w:t>
      </w:r>
      <w:r w:rsidR="007C64FD" w:rsidRPr="00656B81">
        <w:t>Rapporteur Spécial sur la torture, M. Juan E. Méndez, que</w:t>
      </w:r>
      <w:r w:rsidR="00BD49E4">
        <w:t xml:space="preserve"> par</w:t>
      </w:r>
      <w:r w:rsidR="007C64FD" w:rsidRPr="00656B81">
        <w:t xml:space="preserve"> le Comité contre la torture</w:t>
      </w:r>
      <w:r w:rsidR="007C64FD" w:rsidRPr="00656B81">
        <w:rPr>
          <w:rStyle w:val="FootnoteReference"/>
        </w:rPr>
        <w:footnoteReference w:id="28"/>
      </w:r>
      <w:r w:rsidR="007C64FD" w:rsidRPr="00656B81">
        <w:t>,</w:t>
      </w:r>
      <w:r w:rsidRPr="00656B81">
        <w:t xml:space="preserve"> </w:t>
      </w:r>
      <w:r w:rsidR="007C64FD" w:rsidRPr="00656B81">
        <w:t>constitue</w:t>
      </w:r>
      <w:r w:rsidR="00A726E2">
        <w:t xml:space="preserve"> </w:t>
      </w:r>
      <w:r w:rsidR="009415F0" w:rsidRPr="00656B81">
        <w:t>un pas en avant dans l’attente d’ultérieures réformes conformes aux standards internationaux</w:t>
      </w:r>
      <w:r w:rsidR="007C64FD" w:rsidRPr="00656B81">
        <w:t>.</w:t>
      </w:r>
      <w:r w:rsidR="00A726E2">
        <w:t xml:space="preserve"> </w:t>
      </w:r>
      <w:r w:rsidR="009E6F05" w:rsidRPr="00656B81">
        <w:t xml:space="preserve">Il est </w:t>
      </w:r>
      <w:r w:rsidR="009415F0" w:rsidRPr="00656B81">
        <w:t xml:space="preserve">également à espérer </w:t>
      </w:r>
      <w:r w:rsidR="009E6F05" w:rsidRPr="00656B81">
        <w:t xml:space="preserve">que cette réforme puisse assurer le droit à une visite médicale si le suspect le souhaite, un droit souvent bafoué </w:t>
      </w:r>
      <w:r w:rsidR="00FC311C" w:rsidRPr="00656B81">
        <w:t xml:space="preserve">bien </w:t>
      </w:r>
      <w:r w:rsidR="009E6F05" w:rsidRPr="00656B81">
        <w:t xml:space="preserve">que l’article 13 bis du CPP relatif à la garde à vue </w:t>
      </w:r>
      <w:r w:rsidR="00FC311C" w:rsidRPr="00656B81">
        <w:t xml:space="preserve">le </w:t>
      </w:r>
      <w:r w:rsidR="009E6F05" w:rsidRPr="00656B81">
        <w:t>mentionne comme un droit.</w:t>
      </w:r>
    </w:p>
    <w:p w14:paraId="0BD5E0F1" w14:textId="77777777" w:rsidR="00583A83" w:rsidRPr="00656B81" w:rsidRDefault="00FC311C" w:rsidP="007C64FD">
      <w:pPr>
        <w:jc w:val="both"/>
      </w:pPr>
      <w:r w:rsidRPr="00656B81">
        <w:t>La mise en œuvre de cette réforme exigeant l’implication de tous les acteurs concernés – avocats, force</w:t>
      </w:r>
      <w:r w:rsidR="00BD49E4">
        <w:t>s de sécurité</w:t>
      </w:r>
      <w:r w:rsidR="00A726E2">
        <w:t xml:space="preserve">, procureurs, etc. – </w:t>
      </w:r>
      <w:r w:rsidRPr="00656B81">
        <w:t xml:space="preserve">il est essentiel qu’il y ait une coordination et une réflexion conjointe sur l’application pratique </w:t>
      </w:r>
      <w:r w:rsidR="00583A83" w:rsidRPr="00656B81">
        <w:t xml:space="preserve">de cette réforme </w:t>
      </w:r>
      <w:r w:rsidRPr="00656B81">
        <w:t>dès avant</w:t>
      </w:r>
      <w:r w:rsidR="00583A83" w:rsidRPr="00656B81">
        <w:t xml:space="preserve"> son entrée en vigueur</w:t>
      </w:r>
      <w:r w:rsidR="007C64FD" w:rsidRPr="00656B81">
        <w:t xml:space="preserve"> au</w:t>
      </w:r>
      <w:r w:rsidR="00A726E2">
        <w:t xml:space="preserve"> </w:t>
      </w:r>
      <w:r w:rsidR="00583A83" w:rsidRPr="00656B81">
        <w:t>1</w:t>
      </w:r>
      <w:r w:rsidR="00583A83" w:rsidRPr="00656B81">
        <w:rPr>
          <w:vertAlign w:val="superscript"/>
        </w:rPr>
        <w:t>er</w:t>
      </w:r>
      <w:r w:rsidR="00583A83" w:rsidRPr="00656B81">
        <w:t xml:space="preserve"> juin 2016.</w:t>
      </w:r>
    </w:p>
    <w:p w14:paraId="272342F0" w14:textId="77777777" w:rsidR="00A726E2" w:rsidRDefault="00583A83" w:rsidP="00F37249">
      <w:pPr>
        <w:jc w:val="both"/>
      </w:pPr>
      <w:r w:rsidRPr="00656B81">
        <w:t xml:space="preserve">Les observateurs locaux et internationaux comptent beaucoup sur la future </w:t>
      </w:r>
      <w:r w:rsidR="00CC4C86" w:rsidRPr="00656B81">
        <w:t>I</w:t>
      </w:r>
      <w:r w:rsidRPr="00656B81">
        <w:t>nstance nationale pour la prévention de la torture afin qu’elle puisse  inspecter les lie</w:t>
      </w:r>
      <w:r w:rsidR="00BD49E4">
        <w:t>ux de privation de liberté et</w:t>
      </w:r>
      <w:r w:rsidRPr="00656B81">
        <w:t xml:space="preserve"> établir les recommandations nécessaires pour la lutte contre la torture et les mauvais traitements. </w:t>
      </w:r>
    </w:p>
    <w:p w14:paraId="0ECBAC4F" w14:textId="77777777" w:rsidR="00583A83" w:rsidRPr="00656B81" w:rsidRDefault="00583A83" w:rsidP="00F37249">
      <w:pPr>
        <w:jc w:val="both"/>
      </w:pPr>
      <w:r w:rsidRPr="00656B81">
        <w:t>En effet</w:t>
      </w:r>
      <w:r w:rsidR="00CC4C86" w:rsidRPr="00656B81">
        <w:t>,</w:t>
      </w:r>
      <w:r w:rsidRPr="00656B81">
        <w:t xml:space="preserve"> depuis la ratification du Protocole facultatif à la Convention contre la torture par la Tunisie en juillet 2011,</w:t>
      </w:r>
      <w:r w:rsidR="001E7D16" w:rsidRPr="00656B81">
        <w:t xml:space="preserve"> </w:t>
      </w:r>
      <w:r w:rsidRPr="00656B81">
        <w:t>la société civile</w:t>
      </w:r>
      <w:r w:rsidR="00F37249" w:rsidRPr="00656B81">
        <w:t>, grâce à l’approche collaborative des autorités,</w:t>
      </w:r>
      <w:r w:rsidRPr="00656B81">
        <w:t xml:space="preserve"> s’est beaucoup investie dans la mise en place d’un cadre juridique </w:t>
      </w:r>
      <w:r w:rsidR="00F37249" w:rsidRPr="00656B81">
        <w:t>pour</w:t>
      </w:r>
      <w:r w:rsidR="007448B6" w:rsidRPr="00656B81">
        <w:t xml:space="preserve"> ce mécanisme </w:t>
      </w:r>
      <w:r w:rsidR="00F37249" w:rsidRPr="00656B81">
        <w:t xml:space="preserve">qui soit </w:t>
      </w:r>
      <w:r w:rsidRPr="00656B81">
        <w:t>conforme aux directives de l’OPCAT.</w:t>
      </w:r>
    </w:p>
    <w:p w14:paraId="369E123D" w14:textId="77777777" w:rsidR="00873380" w:rsidRPr="00656B81" w:rsidRDefault="00873380" w:rsidP="00583A83">
      <w:pPr>
        <w:jc w:val="both"/>
      </w:pPr>
      <w:r w:rsidRPr="00656B81">
        <w:t>A la suite d’un long processus de consultations, une loi organique n°2013-43 du 23 octobre 2013 relative à l’</w:t>
      </w:r>
      <w:r w:rsidR="005F3664" w:rsidRPr="00656B81">
        <w:t>I</w:t>
      </w:r>
      <w:r w:rsidRPr="00656B81">
        <w:t>nstance nationale pour la prévention de la torture a été adoptée. Ce cadre juridique est dans son ensemble satisfaisant</w:t>
      </w:r>
      <w:r w:rsidR="005F3664" w:rsidRPr="00656B81">
        <w:t xml:space="preserve"> </w:t>
      </w:r>
      <w:r w:rsidRPr="00656B81">
        <w:t xml:space="preserve">hormis quelques imprécisions </w:t>
      </w:r>
      <w:r w:rsidR="005F3664" w:rsidRPr="00656B81">
        <w:t>(</w:t>
      </w:r>
      <w:r w:rsidRPr="00656B81">
        <w:t>qui peuvent être dépassées par la pratique ou à travers des décrets d’application</w:t>
      </w:r>
      <w:r w:rsidR="005F3664" w:rsidRPr="00656B81">
        <w:t>)</w:t>
      </w:r>
      <w:r w:rsidRPr="00656B81">
        <w:t xml:space="preserve"> et </w:t>
      </w:r>
      <w:r w:rsidR="00F37249" w:rsidRPr="00656B81">
        <w:t>des</w:t>
      </w:r>
      <w:r w:rsidRPr="00656B81">
        <w:t xml:space="preserve"> risques d’entraves aux visites si les dispositions de l’article 13</w:t>
      </w:r>
      <w:r w:rsidRPr="00656B81">
        <w:rPr>
          <w:rStyle w:val="FootnoteReference"/>
        </w:rPr>
        <w:footnoteReference w:id="29"/>
      </w:r>
      <w:r w:rsidRPr="00656B81">
        <w:t xml:space="preserve"> de ladite loi organique se retrouvent appliquées à mauvais escient.</w:t>
      </w:r>
    </w:p>
    <w:p w14:paraId="692E8932" w14:textId="77777777" w:rsidR="00873380" w:rsidRPr="00656B81" w:rsidRDefault="005F3664" w:rsidP="00873380">
      <w:pPr>
        <w:jc w:val="both"/>
      </w:pPr>
      <w:r w:rsidRPr="00656B81">
        <w:t xml:space="preserve">Cette instance n’étant </w:t>
      </w:r>
      <w:r w:rsidR="00873380" w:rsidRPr="00656B81">
        <w:t xml:space="preserve">pas à ce jour </w:t>
      </w:r>
      <w:r w:rsidRPr="00656B81">
        <w:t>mise en place</w:t>
      </w:r>
      <w:r w:rsidR="00873380" w:rsidRPr="00656B81">
        <w:t>, les autorités sont appelé</w:t>
      </w:r>
      <w:r w:rsidRPr="00656B81">
        <w:t>e</w:t>
      </w:r>
      <w:r w:rsidR="00873380" w:rsidRPr="00656B81">
        <w:t xml:space="preserve">s à accélérer le processus et </w:t>
      </w:r>
      <w:r w:rsidR="00F37249" w:rsidRPr="00656B81">
        <w:t>à</w:t>
      </w:r>
      <w:r w:rsidR="00873380" w:rsidRPr="00656B81">
        <w:t xml:space="preserve"> lui accorder toutes les facilités et les moyens nécessaires pour son bon fonctionnement.</w:t>
      </w:r>
    </w:p>
    <w:p w14:paraId="3952379A" w14:textId="77777777" w:rsidR="00B528E5" w:rsidRPr="00656B81" w:rsidRDefault="00873380" w:rsidP="0093497E">
      <w:pPr>
        <w:jc w:val="both"/>
      </w:pPr>
      <w:r w:rsidRPr="00656B81">
        <w:t xml:space="preserve">Aussi, les autorités ne doivent pas considérer </w:t>
      </w:r>
      <w:r w:rsidR="005F3664" w:rsidRPr="00656B81">
        <w:t xml:space="preserve">que </w:t>
      </w:r>
      <w:r w:rsidRPr="00656B81">
        <w:t xml:space="preserve">cette instance </w:t>
      </w:r>
      <w:r w:rsidR="005F3664" w:rsidRPr="00656B81">
        <w:t>se substitue</w:t>
      </w:r>
      <w:r w:rsidRPr="00656B81">
        <w:t xml:space="preserve"> à la société civile</w:t>
      </w:r>
      <w:r w:rsidR="005F3664" w:rsidRPr="00656B81">
        <w:t> ; celle-ci</w:t>
      </w:r>
      <w:r w:rsidRPr="00656B81">
        <w:t xml:space="preserve"> doit continuer </w:t>
      </w:r>
      <w:r w:rsidR="00B528E5" w:rsidRPr="00656B81">
        <w:t>à avoir accès aux lieux de privation de liberté et</w:t>
      </w:r>
      <w:r w:rsidRPr="00656B81">
        <w:t xml:space="preserve"> jouer pleinement son rôle de monitoring</w:t>
      </w:r>
      <w:r w:rsidR="00B528E5" w:rsidRPr="00656B81">
        <w:t xml:space="preserve">. En effet, un accord a été conclu en décembre 2012 </w:t>
      </w:r>
      <w:r w:rsidR="005F3664" w:rsidRPr="00656B81">
        <w:t xml:space="preserve">avec </w:t>
      </w:r>
      <w:r w:rsidR="00B528E5" w:rsidRPr="00656B81">
        <w:t xml:space="preserve">le </w:t>
      </w:r>
      <w:r w:rsidR="00F37249" w:rsidRPr="00656B81">
        <w:t>m</w:t>
      </w:r>
      <w:r w:rsidR="00B528E5" w:rsidRPr="00656B81">
        <w:t xml:space="preserve">inistère de la </w:t>
      </w:r>
      <w:r w:rsidR="00F37249" w:rsidRPr="00656B81">
        <w:t>J</w:t>
      </w:r>
      <w:r w:rsidR="00B528E5" w:rsidRPr="00656B81">
        <w:t xml:space="preserve">ustice </w:t>
      </w:r>
      <w:r w:rsidR="005F3664" w:rsidRPr="00656B81">
        <w:t xml:space="preserve"> autoris</w:t>
      </w:r>
      <w:r w:rsidR="00F37249" w:rsidRPr="00656B81">
        <w:t>ant</w:t>
      </w:r>
      <w:r w:rsidR="005F3664" w:rsidRPr="00656B81">
        <w:t xml:space="preserve"> </w:t>
      </w:r>
      <w:r w:rsidR="00B528E5" w:rsidRPr="00656B81">
        <w:t xml:space="preserve">quelques associations et ONG à </w:t>
      </w:r>
      <w:r w:rsidR="0093497E" w:rsidRPr="00656B81">
        <w:t>effectuer des</w:t>
      </w:r>
      <w:r w:rsidR="00B528E5" w:rsidRPr="00656B81">
        <w:t xml:space="preserve"> visite</w:t>
      </w:r>
      <w:r w:rsidR="0093497E" w:rsidRPr="00656B81">
        <w:t>s</w:t>
      </w:r>
      <w:r w:rsidR="00B528E5" w:rsidRPr="00656B81">
        <w:t xml:space="preserve"> aux prisons </w:t>
      </w:r>
      <w:r w:rsidR="005F3664" w:rsidRPr="00656B81">
        <w:t>jusqu’à</w:t>
      </w:r>
      <w:r w:rsidR="00B528E5" w:rsidRPr="00656B81">
        <w:t xml:space="preserve"> l’adoption de la loi organique relative à l’</w:t>
      </w:r>
      <w:r w:rsidR="00F37249" w:rsidRPr="00656B81">
        <w:t>I</w:t>
      </w:r>
      <w:r w:rsidR="00B528E5" w:rsidRPr="00656B81">
        <w:t>nstance nationale pour la prévention de la torture.</w:t>
      </w:r>
    </w:p>
    <w:p w14:paraId="222BF320" w14:textId="77777777" w:rsidR="00E30F43" w:rsidRPr="00656B81" w:rsidRDefault="005F3664" w:rsidP="005868E1">
      <w:pPr>
        <w:jc w:val="both"/>
      </w:pPr>
      <w:r w:rsidRPr="00656B81">
        <w:t>Cet</w:t>
      </w:r>
      <w:r w:rsidR="00B528E5" w:rsidRPr="00656B81">
        <w:t xml:space="preserve"> accord a été conclu juste après le décès à la prison de Morna</w:t>
      </w:r>
      <w:r w:rsidR="005868E1" w:rsidRPr="00656B81">
        <w:t>g</w:t>
      </w:r>
      <w:r w:rsidR="00B528E5" w:rsidRPr="00656B81">
        <w:t>uia de Béchir Golli, le 15</w:t>
      </w:r>
      <w:r w:rsidR="00E30F43" w:rsidRPr="00656B81">
        <w:t xml:space="preserve"> novembre 2012, et de Mohamed Bakhti, le 17 novembre 2012</w:t>
      </w:r>
      <w:r w:rsidR="005868E1" w:rsidRPr="00656B81">
        <w:t>.</w:t>
      </w:r>
      <w:r w:rsidR="00E30F43" w:rsidRPr="00656B81">
        <w:t xml:space="preserve"> Ces deux détenus </w:t>
      </w:r>
      <w:r w:rsidR="00763F17" w:rsidRPr="00656B81">
        <w:t xml:space="preserve">avaient été </w:t>
      </w:r>
      <w:r w:rsidR="00E30F43" w:rsidRPr="00656B81">
        <w:t xml:space="preserve">arrêtés suite aux attaques contre </w:t>
      </w:r>
      <w:r w:rsidRPr="00656B81">
        <w:t xml:space="preserve">l’Ambassade </w:t>
      </w:r>
      <w:r w:rsidR="00E30F43" w:rsidRPr="00656B81">
        <w:t>américaine du 14 septembre 2012</w:t>
      </w:r>
      <w:r w:rsidR="00763F17" w:rsidRPr="00656B81">
        <w:t xml:space="preserve">. Afin de dénoncer les mauvais traitements et de proclamer leur innocence, ils avaient entamé avec d’autres codétenus une grève de la faim qui a duré plus de 57 jours </w:t>
      </w:r>
      <w:r w:rsidR="00E30F43" w:rsidRPr="00656B81">
        <w:t>jusqu’à l’annonce de leur décès.</w:t>
      </w:r>
    </w:p>
    <w:p w14:paraId="0B1AE6D9" w14:textId="77777777" w:rsidR="0046022D" w:rsidRPr="00656B81" w:rsidRDefault="00E30F43" w:rsidP="0046022D">
      <w:pPr>
        <w:jc w:val="both"/>
      </w:pPr>
      <w:r w:rsidRPr="00656B81">
        <w:t xml:space="preserve">En décembre 2014, le </w:t>
      </w:r>
      <w:r w:rsidR="005868E1" w:rsidRPr="00656B81">
        <w:t>m</w:t>
      </w:r>
      <w:r w:rsidRPr="00656B81">
        <w:t xml:space="preserve">inistère de la </w:t>
      </w:r>
      <w:r w:rsidR="005868E1" w:rsidRPr="00656B81">
        <w:t>J</w:t>
      </w:r>
      <w:r w:rsidRPr="00656B81">
        <w:t xml:space="preserve">ustice et le CICR ont </w:t>
      </w:r>
      <w:r w:rsidR="00763F17" w:rsidRPr="00656B81">
        <w:t xml:space="preserve"> </w:t>
      </w:r>
      <w:r w:rsidRPr="00656B81">
        <w:t xml:space="preserve">signé un protocole relatif au suivi médical des prisonniers en grève de la faim. Mais </w:t>
      </w:r>
      <w:r w:rsidR="00763F17" w:rsidRPr="00656B81">
        <w:t>la mort de ces deux détenus,</w:t>
      </w:r>
      <w:r w:rsidRPr="00656B81">
        <w:t xml:space="preserve"> et tant d’autres malheureux évènements</w:t>
      </w:r>
      <w:r w:rsidR="00763F17" w:rsidRPr="00656B81">
        <w:t>,</w:t>
      </w:r>
      <w:r w:rsidRPr="00656B81">
        <w:t xml:space="preserve"> appellent à une réflexion sur les mécanismes permettant aux personnes privées de liberté un meilleur traitement de leurs doléances, réclamations et plaintes.</w:t>
      </w:r>
    </w:p>
    <w:p w14:paraId="2216CC9B" w14:textId="77777777" w:rsidR="00763F17" w:rsidRPr="00656B81" w:rsidRDefault="00763F17" w:rsidP="0046022D">
      <w:pPr>
        <w:jc w:val="both"/>
      </w:pPr>
    </w:p>
    <w:p w14:paraId="5FB40B82" w14:textId="77777777" w:rsidR="008E19BB" w:rsidRPr="00656B81" w:rsidRDefault="008E19BB" w:rsidP="0046022D">
      <w:pPr>
        <w:jc w:val="both"/>
        <w:rPr>
          <w:b/>
          <w:bCs/>
        </w:rPr>
      </w:pPr>
      <w:r w:rsidRPr="00656B81">
        <w:rPr>
          <w:b/>
          <w:bCs/>
        </w:rPr>
        <w:t>c)</w:t>
      </w:r>
      <w:r w:rsidR="005F3664" w:rsidRPr="00656B81">
        <w:rPr>
          <w:b/>
          <w:bCs/>
        </w:rPr>
        <w:t xml:space="preserve"> </w:t>
      </w:r>
      <w:r w:rsidRPr="00656B81">
        <w:rPr>
          <w:b/>
          <w:bCs/>
        </w:rPr>
        <w:t>Traitement des réclamations et plaintes des personnes privées de liberté </w:t>
      </w:r>
    </w:p>
    <w:p w14:paraId="192A52B8" w14:textId="77777777" w:rsidR="008E19BB" w:rsidRPr="00656B81" w:rsidRDefault="008E19BB" w:rsidP="0046022D">
      <w:pPr>
        <w:jc w:val="both"/>
      </w:pPr>
      <w:r w:rsidRPr="00656B81">
        <w:t xml:space="preserve">En théorie, il existe plusieurs moyens qui permettent à une personne privée de liberté de présenter des réclamations et plaintes. Mais généralement, le traitement de ces plaintes </w:t>
      </w:r>
      <w:r w:rsidR="0093497E" w:rsidRPr="00656B81">
        <w:t>souffre</w:t>
      </w:r>
      <w:r w:rsidRPr="00656B81">
        <w:t xml:space="preserve"> d</w:t>
      </w:r>
      <w:r w:rsidR="005868E1" w:rsidRPr="00656B81">
        <w:t>e l’absence d</w:t>
      </w:r>
      <w:r w:rsidR="00A726E2">
        <w:t>’</w:t>
      </w:r>
      <w:r w:rsidRPr="00656B81">
        <w:t>efficacité et de transparence.</w:t>
      </w:r>
    </w:p>
    <w:p w14:paraId="07B4242E" w14:textId="77777777" w:rsidR="00763F17" w:rsidRPr="00656B81" w:rsidRDefault="008E19BB" w:rsidP="0046022D">
      <w:pPr>
        <w:jc w:val="both"/>
      </w:pPr>
      <w:r w:rsidRPr="00656B81">
        <w:t>Ainsi, une personne détenue peut en théorie s’adresser au juge d’</w:t>
      </w:r>
      <w:r w:rsidR="0093497E" w:rsidRPr="00656B81">
        <w:t>exécution</w:t>
      </w:r>
      <w:r w:rsidRPr="00656B81">
        <w:t xml:space="preserve"> des peines pour évoquer des doléances ou</w:t>
      </w:r>
      <w:r w:rsidR="005868E1" w:rsidRPr="00656B81">
        <w:t xml:space="preserve"> </w:t>
      </w:r>
      <w:r w:rsidRPr="00656B81">
        <w:t>de mauvais traitements</w:t>
      </w:r>
      <w:r w:rsidR="005868E1" w:rsidRPr="00656B81">
        <w:t xml:space="preserve"> subis</w:t>
      </w:r>
      <w:r w:rsidRPr="00656B81">
        <w:t>, mais les champs d’intervention et les pouvoirs de cette institution, créée par la loi n°2000-77 du 23 juillet 2000, modifiée par la loi n°2002-92 du 22 octobre 2002 en vue de renforcer les prérogatives du juge d’</w:t>
      </w:r>
      <w:r w:rsidR="0093497E" w:rsidRPr="00656B81">
        <w:t>exécution</w:t>
      </w:r>
      <w:r w:rsidRPr="00656B81">
        <w:t xml:space="preserve"> des peines, sont limités. </w:t>
      </w:r>
    </w:p>
    <w:p w14:paraId="24DCA931" w14:textId="77777777" w:rsidR="00AB1ED1" w:rsidRPr="00656B81" w:rsidRDefault="00763F17" w:rsidP="0046022D">
      <w:pPr>
        <w:jc w:val="both"/>
      </w:pPr>
      <w:r w:rsidRPr="00656B81">
        <w:t xml:space="preserve">Le juge d’exécution des peines </w:t>
      </w:r>
      <w:r w:rsidR="008E19BB" w:rsidRPr="00656B81">
        <w:t>a</w:t>
      </w:r>
      <w:r w:rsidR="00AB1ED1" w:rsidRPr="00656B81">
        <w:t xml:space="preserve"> le</w:t>
      </w:r>
      <w:r w:rsidR="008E19BB" w:rsidRPr="00656B81">
        <w:t xml:space="preserve"> droit de </w:t>
      </w:r>
      <w:r w:rsidRPr="00656B81">
        <w:t xml:space="preserve">rendre visite à </w:t>
      </w:r>
      <w:r w:rsidR="00AB1ED1" w:rsidRPr="00656B81">
        <w:t>l’établissement pénitentiaire au moins une fois tous les deux mois (Art. 342-3 CPP)</w:t>
      </w:r>
      <w:r w:rsidR="00FE3000" w:rsidRPr="00656B81">
        <w:t xml:space="preserve"> et de s’entret</w:t>
      </w:r>
      <w:r w:rsidR="00BD49E4">
        <w:t xml:space="preserve">enir avec les détenus faisant </w:t>
      </w:r>
      <w:r w:rsidR="00FE3000" w:rsidRPr="00656B81">
        <w:t>objet d’une condamnation (Art. 17-7 de la loi n°2001-52 du 14 mai 2001, relative à l’organisation des prisons)</w:t>
      </w:r>
      <w:r w:rsidRPr="00656B81">
        <w:t>.</w:t>
      </w:r>
      <w:r w:rsidR="00AB1ED1" w:rsidRPr="00656B81">
        <w:t xml:space="preserve"> </w:t>
      </w:r>
      <w:r w:rsidRPr="00656B81">
        <w:t>I</w:t>
      </w:r>
      <w:r w:rsidR="00AB1ED1" w:rsidRPr="00656B81">
        <w:t xml:space="preserve">l est informé par le médecin de l’établissement pénitentiaire </w:t>
      </w:r>
      <w:r w:rsidR="00AB1ED1" w:rsidRPr="00656B81">
        <w:rPr>
          <w:i/>
          <w:iCs/>
        </w:rPr>
        <w:t>« des cas graves »,</w:t>
      </w:r>
      <w:r w:rsidR="00AB1ED1" w:rsidRPr="00656B81">
        <w:t xml:space="preserve"> reçoit un rapport annuel établit par l’administration pénitentiaire portant sur l’activité sociale</w:t>
      </w:r>
      <w:r w:rsidRPr="00656B81">
        <w:t>,</w:t>
      </w:r>
      <w:r w:rsidR="00BD49E4">
        <w:t xml:space="preserve"> et il </w:t>
      </w:r>
      <w:r w:rsidR="00803B5E">
        <w:t>établit</w:t>
      </w:r>
      <w:r w:rsidR="00AB1ED1" w:rsidRPr="00656B81">
        <w:t xml:space="preserve"> lui-même un rapport annuel qu’il soumet au </w:t>
      </w:r>
      <w:r w:rsidR="005868E1" w:rsidRPr="00656B81">
        <w:t>m</w:t>
      </w:r>
      <w:r w:rsidRPr="00656B81">
        <w:t xml:space="preserve">inistère </w:t>
      </w:r>
      <w:r w:rsidR="00AB1ED1" w:rsidRPr="00656B81">
        <w:t xml:space="preserve">de la </w:t>
      </w:r>
      <w:r w:rsidR="005868E1" w:rsidRPr="00656B81">
        <w:t>J</w:t>
      </w:r>
      <w:r w:rsidR="00AB1ED1" w:rsidRPr="00656B81">
        <w:t>ustice (Art. 342-4 CPP).</w:t>
      </w:r>
    </w:p>
    <w:p w14:paraId="40538448" w14:textId="77777777" w:rsidR="00FE3000" w:rsidRPr="00656B81" w:rsidRDefault="00AB1ED1" w:rsidP="0046022D">
      <w:pPr>
        <w:jc w:val="both"/>
      </w:pPr>
      <w:r w:rsidRPr="00656B81">
        <w:t xml:space="preserve">Mais malgré ces éléments positifs, </w:t>
      </w:r>
      <w:r w:rsidR="00763F17" w:rsidRPr="00656B81">
        <w:t xml:space="preserve">le </w:t>
      </w:r>
      <w:r w:rsidRPr="00656B81">
        <w:t xml:space="preserve">juge d’exécution des peines, qui n’est pas dédié à temps plein </w:t>
      </w:r>
      <w:r w:rsidR="00763F17" w:rsidRPr="00656B81">
        <w:t xml:space="preserve">à </w:t>
      </w:r>
      <w:r w:rsidRPr="00656B81">
        <w:t xml:space="preserve">cette fonction en raison de la surcharge de travail </w:t>
      </w:r>
      <w:r w:rsidR="005868E1" w:rsidRPr="00656B81">
        <w:t xml:space="preserve">et </w:t>
      </w:r>
      <w:r w:rsidR="00763F17" w:rsidRPr="00656B81">
        <w:t>pour les</w:t>
      </w:r>
      <w:r w:rsidRPr="00656B81">
        <w:t xml:space="preserve"> mêmes raisons évoquées concernant </w:t>
      </w:r>
      <w:r w:rsidR="005868E1" w:rsidRPr="00656B81">
        <w:t xml:space="preserve">les </w:t>
      </w:r>
      <w:r w:rsidRPr="00656B81">
        <w:t>médecins contractuels</w:t>
      </w:r>
      <w:r w:rsidR="00763F17" w:rsidRPr="00656B81">
        <w:t>.</w:t>
      </w:r>
      <w:r w:rsidRPr="00656B81">
        <w:t xml:space="preserve"> </w:t>
      </w:r>
      <w:r w:rsidR="00763F17" w:rsidRPr="00656B81">
        <w:t>S</w:t>
      </w:r>
      <w:r w:rsidRPr="00656B81">
        <w:t xml:space="preserve">on rôle se retrouve </w:t>
      </w:r>
      <w:r w:rsidR="00763F17" w:rsidRPr="00656B81">
        <w:t xml:space="preserve">limité </w:t>
      </w:r>
      <w:r w:rsidRPr="00656B81">
        <w:t>à sa mission principale proprement judiciaire, celle de décider en matière de libération conditionnelle ou d’</w:t>
      </w:r>
      <w:r w:rsidR="00FE3000" w:rsidRPr="00656B81">
        <w:t>autorisation de sortie.</w:t>
      </w:r>
    </w:p>
    <w:p w14:paraId="5F06A2EF" w14:textId="77777777" w:rsidR="00E51E38" w:rsidRDefault="00FE3000" w:rsidP="00A726E2">
      <w:pPr>
        <w:jc w:val="both"/>
      </w:pPr>
      <w:r w:rsidRPr="00656B81">
        <w:t>En théorie, toute personne a le droit d’introduire un recours administratif pour contester un agissement ou une décision lui faisant grief. Ainsi, un détenu ou une personne ayant fait l’objet d’une garde à vue peuvent saisi</w:t>
      </w:r>
      <w:r w:rsidR="00EA7394" w:rsidRPr="00656B81">
        <w:t>r l</w:t>
      </w:r>
      <w:r w:rsidRPr="00656B81">
        <w:t>es services administratifs</w:t>
      </w:r>
      <w:r w:rsidR="00EA7394" w:rsidRPr="00656B81">
        <w:t xml:space="preserve"> concernés</w:t>
      </w:r>
      <w:r w:rsidR="00A726E2">
        <w:t>,</w:t>
      </w:r>
      <w:r w:rsidRPr="00656B81">
        <w:t xml:space="preserve"> tels les inspections générales au sein du </w:t>
      </w:r>
      <w:r w:rsidR="00A726E2">
        <w:t>m</w:t>
      </w:r>
      <w:r w:rsidRPr="00656B81">
        <w:t>inistère de l’</w:t>
      </w:r>
      <w:r w:rsidR="008B0384" w:rsidRPr="00656B81">
        <w:t>I</w:t>
      </w:r>
      <w:r w:rsidRPr="00656B81">
        <w:t>ntérieur</w:t>
      </w:r>
      <w:r w:rsidR="00EA7394" w:rsidRPr="00656B81">
        <w:t>, l’</w:t>
      </w:r>
      <w:r w:rsidR="0035441C" w:rsidRPr="00656B81">
        <w:t>I</w:t>
      </w:r>
      <w:r w:rsidR="00EA7394" w:rsidRPr="00656B81">
        <w:t>nspection générale des prisons</w:t>
      </w:r>
      <w:r w:rsidR="002B1A99" w:rsidRPr="00656B81">
        <w:t xml:space="preserve"> ou la </w:t>
      </w:r>
      <w:r w:rsidR="0035441C" w:rsidRPr="00656B81">
        <w:t>D</w:t>
      </w:r>
      <w:r w:rsidR="002B1A99" w:rsidRPr="00656B81">
        <w:t>irection des prisons</w:t>
      </w:r>
      <w:r w:rsidR="00A726E2">
        <w:rPr>
          <w:rStyle w:val="FootnoteReference"/>
        </w:rPr>
        <w:footnoteReference w:id="30"/>
      </w:r>
      <w:r w:rsidR="00A726E2">
        <w:t>.</w:t>
      </w:r>
    </w:p>
    <w:p w14:paraId="1CA5906E" w14:textId="77777777" w:rsidR="00142D9F" w:rsidRDefault="00E51E38" w:rsidP="00BD49E4">
      <w:pPr>
        <w:jc w:val="both"/>
      </w:pPr>
      <w:r>
        <w:t>Toutefois, on note l’absence d’un</w:t>
      </w:r>
      <w:r w:rsidR="00ED6ABB">
        <w:t xml:space="preserve"> cadre législatif </w:t>
      </w:r>
      <w:r w:rsidR="00BD49E4">
        <w:t xml:space="preserve">relatif au </w:t>
      </w:r>
      <w:r w:rsidR="00ED6ABB">
        <w:t>statut des</w:t>
      </w:r>
      <w:r>
        <w:t xml:space="preserve"> réfugiés</w:t>
      </w:r>
      <w:r w:rsidR="00ED6ABB">
        <w:t xml:space="preserve"> et au droit d’asile. C’est le Haut-Commissariat pour les réfugiés</w:t>
      </w:r>
      <w:r w:rsidR="001258EF">
        <w:t xml:space="preserve"> (HCR)</w:t>
      </w:r>
      <w:r w:rsidR="00ED6ABB">
        <w:t xml:space="preserve"> qui traite les dossiers des réfugiés et demandeurs d’asile.</w:t>
      </w:r>
      <w:r w:rsidR="001258EF">
        <w:t xml:space="preserve"> L</w:t>
      </w:r>
      <w:r w:rsidR="001258EF" w:rsidRPr="001258EF">
        <w:t>es mesures de rétention des étrangers en situation irrégulière</w:t>
      </w:r>
      <w:r w:rsidR="001258EF">
        <w:t xml:space="preserve"> nécessitent également l’élaboration d’une législation spécifique</w:t>
      </w:r>
      <w:r w:rsidR="001258EF" w:rsidRPr="001258EF">
        <w:t>.</w:t>
      </w:r>
    </w:p>
    <w:p w14:paraId="16A28B21" w14:textId="77777777" w:rsidR="007949FC" w:rsidRDefault="00340CFD" w:rsidP="00340CFD">
      <w:pPr>
        <w:jc w:val="both"/>
      </w:pPr>
      <w:r>
        <w:t>Quant aux auto-saisines du pouvoir exécutif</w:t>
      </w:r>
      <w:r w:rsidR="00A36449">
        <w:t xml:space="preserve">, </w:t>
      </w:r>
      <w:r w:rsidR="007949FC">
        <w:t>le Ministère des droits de l’homme et de la justice transitionnelle</w:t>
      </w:r>
      <w:r w:rsidR="008952BD">
        <w:rPr>
          <w:rStyle w:val="FootnoteReference"/>
        </w:rPr>
        <w:footnoteReference w:id="31"/>
      </w:r>
      <w:r>
        <w:t xml:space="preserve">, </w:t>
      </w:r>
      <w:r w:rsidR="007949FC">
        <w:t xml:space="preserve"> </w:t>
      </w:r>
      <w:r>
        <w:t>dans le cadre d’</w:t>
      </w:r>
      <w:r w:rsidRPr="00340CFD">
        <w:t>une affaire de terrorisme qui remonte à février 2012, connue sous le nom de Bir Ali Ben Khalifa</w:t>
      </w:r>
      <w:r>
        <w:t>,</w:t>
      </w:r>
      <w:r w:rsidR="007949FC">
        <w:t xml:space="preserve"> a ordonné l’ouverture d’une enq</w:t>
      </w:r>
      <w:r w:rsidR="00A726E2">
        <w:t>uête pour faire la lumière sur « </w:t>
      </w:r>
      <w:r w:rsidR="007949FC">
        <w:t>la forte</w:t>
      </w:r>
      <w:r w:rsidR="00A726E2">
        <w:t xml:space="preserve"> éventualité d’actes de torture »</w:t>
      </w:r>
      <w:r w:rsidR="007949FC">
        <w:t xml:space="preserve"> dans cette affaire. La commission d’investigation du </w:t>
      </w:r>
      <w:r w:rsidR="00A726E2">
        <w:t>ministère a conclu</w:t>
      </w:r>
      <w:r w:rsidR="00BD49E4">
        <w:t xml:space="preserve"> à</w:t>
      </w:r>
      <w:r w:rsidR="00A726E2">
        <w:t xml:space="preserve"> l’existence « </w:t>
      </w:r>
      <w:r w:rsidR="007949FC">
        <w:t>de fortes possibilités d’usage de moyens illégaux et de mauvais traitements lor</w:t>
      </w:r>
      <w:r w:rsidR="00A726E2">
        <w:t>s de l’instruction de l’enquête »</w:t>
      </w:r>
      <w:r w:rsidR="007949FC">
        <w:t xml:space="preserve"> dans cette affaire. Mais cette conclusion n’a pas été suivie d’annonce de mesures à l’encontre des auteurs de ces actes.</w:t>
      </w:r>
    </w:p>
    <w:p w14:paraId="74C0292E" w14:textId="77777777" w:rsidR="00340CFD" w:rsidRDefault="00340CFD" w:rsidP="00340CFD">
      <w:pPr>
        <w:jc w:val="both"/>
      </w:pPr>
      <w:r>
        <w:t>Le pouvoir législatif a eu l’occasion</w:t>
      </w:r>
      <w:r w:rsidR="007949FC">
        <w:t xml:space="preserve"> en 2012</w:t>
      </w:r>
      <w:r>
        <w:t xml:space="preserve"> de créer une commission spéciale</w:t>
      </w:r>
      <w:r w:rsidR="007949FC">
        <w:t xml:space="preserve"> pour enquêter sur l’usage excessif de la</w:t>
      </w:r>
      <w:r w:rsidR="0064145F">
        <w:t xml:space="preserve"> force contre des manifestants </w:t>
      </w:r>
      <w:r w:rsidR="007949FC">
        <w:t>le 9 avril 2012.</w:t>
      </w:r>
      <w:r>
        <w:t xml:space="preserve"> Mais cette commission n’a pas à ce jour rendu ses conclusions. </w:t>
      </w:r>
      <w:r w:rsidR="007949FC">
        <w:t xml:space="preserve"> </w:t>
      </w:r>
    </w:p>
    <w:p w14:paraId="0AF8D2C2" w14:textId="77777777" w:rsidR="007949FC" w:rsidRPr="00656B81" w:rsidRDefault="007949FC" w:rsidP="00BD49E4">
      <w:pPr>
        <w:jc w:val="both"/>
      </w:pPr>
      <w:r>
        <w:t>D’autres enquêtes administratives et/ou judiciaires ont été ouvertes, tel</w:t>
      </w:r>
      <w:r w:rsidR="00BD49E4">
        <w:t>le celle relative aux viol</w:t>
      </w:r>
      <w:r>
        <w:t>ences et usages excessifs de la force  en novembre 2012 contre des manifestants à Siliana, mais les résultats de ces enquêtes tardent à venir.</w:t>
      </w:r>
    </w:p>
    <w:p w14:paraId="06BA187F" w14:textId="77777777" w:rsidR="00EA7394" w:rsidRPr="00656B81" w:rsidRDefault="001258EF" w:rsidP="001258EF">
      <w:pPr>
        <w:jc w:val="both"/>
      </w:pPr>
      <w:r>
        <w:t>E</w:t>
      </w:r>
      <w:r w:rsidR="00EA7394" w:rsidRPr="00656B81">
        <w:t>n l’absenc</w:t>
      </w:r>
      <w:r w:rsidR="00E2482F" w:rsidRPr="00656B81">
        <w:t xml:space="preserve">e </w:t>
      </w:r>
      <w:r w:rsidR="00EA7394" w:rsidRPr="00656B81">
        <w:t>d’un état des lieux sur le nombre et l’issue de ces requêtes</w:t>
      </w:r>
      <w:r w:rsidR="00BD49E4">
        <w:t xml:space="preserve"> et enquêtes</w:t>
      </w:r>
      <w:r w:rsidR="008B0384" w:rsidRPr="00656B81">
        <w:t>,</w:t>
      </w:r>
      <w:r w:rsidR="00EA7394" w:rsidRPr="00656B81">
        <w:t xml:space="preserve"> et à défaut de données bien précises démontrant </w:t>
      </w:r>
      <w:r w:rsidR="008B0384" w:rsidRPr="00656B81">
        <w:t>le lien de causalité entre l</w:t>
      </w:r>
      <w:r w:rsidR="00EA7394" w:rsidRPr="00656B81">
        <w:t xml:space="preserve">es requêtes et </w:t>
      </w:r>
      <w:r w:rsidR="008B0384" w:rsidRPr="00656B81">
        <w:t>l</w:t>
      </w:r>
      <w:r w:rsidR="00EA7394" w:rsidRPr="00656B81">
        <w:t>es mesures disciplinaires prises à l’encontre des agents de force de l’ordre ou de saisine des autorités judiciaires, on ne peut qu</w:t>
      </w:r>
      <w:r w:rsidR="008B0384" w:rsidRPr="00656B81">
        <w:t>’</w:t>
      </w:r>
      <w:r w:rsidR="00EA7394" w:rsidRPr="00656B81">
        <w:t xml:space="preserve">émettre des doutes et des réserves sur l’efficacité des </w:t>
      </w:r>
      <w:r w:rsidR="00E2482F" w:rsidRPr="00656B81">
        <w:t>traitements</w:t>
      </w:r>
      <w:r w:rsidR="00EA7394" w:rsidRPr="00656B81">
        <w:t xml:space="preserve"> des plaintes par l’administration.</w:t>
      </w:r>
      <w:r w:rsidR="0064145F">
        <w:t xml:space="preserve"> </w:t>
      </w:r>
      <w:r w:rsidR="00C66C7C" w:rsidRPr="00656B81">
        <w:t>Ce manque de données</w:t>
      </w:r>
      <w:r w:rsidR="00EA7394" w:rsidRPr="00656B81">
        <w:t xml:space="preserve"> concerne </w:t>
      </w:r>
      <w:r w:rsidR="00C66C7C" w:rsidRPr="00656B81">
        <w:t xml:space="preserve">non seulement les services judiciaires à proprement parler mais </w:t>
      </w:r>
      <w:r w:rsidR="00EA7394" w:rsidRPr="00656B81">
        <w:t>aussi les directions administratives</w:t>
      </w:r>
      <w:r w:rsidR="0064145F">
        <w:t>,</w:t>
      </w:r>
      <w:r w:rsidR="00EA7394" w:rsidRPr="00656B81">
        <w:t xml:space="preserve"> tels la </w:t>
      </w:r>
      <w:r w:rsidR="0035441C" w:rsidRPr="00656B81">
        <w:t>D</w:t>
      </w:r>
      <w:r w:rsidR="00EA7394" w:rsidRPr="00656B81">
        <w:t xml:space="preserve">irection </w:t>
      </w:r>
      <w:r w:rsidR="00E2482F" w:rsidRPr="00656B81">
        <w:t>générale</w:t>
      </w:r>
      <w:r w:rsidR="00EA7394" w:rsidRPr="00656B81">
        <w:t xml:space="preserve"> des affaires pénales au sein du </w:t>
      </w:r>
      <w:r w:rsidR="00834854" w:rsidRPr="00656B81">
        <w:t>m</w:t>
      </w:r>
      <w:r w:rsidR="00EA7394" w:rsidRPr="00656B81">
        <w:t xml:space="preserve">inistère de la </w:t>
      </w:r>
      <w:r w:rsidR="00834854" w:rsidRPr="00656B81">
        <w:t>J</w:t>
      </w:r>
      <w:r w:rsidR="00EA7394" w:rsidRPr="00656B81">
        <w:t>ustice ou</w:t>
      </w:r>
      <w:r w:rsidR="00834854" w:rsidRPr="00656B81">
        <w:t xml:space="preserve"> les </w:t>
      </w:r>
      <w:r w:rsidR="00EA7394" w:rsidRPr="00656B81">
        <w:t xml:space="preserve"> tribunaux ordinaires ou</w:t>
      </w:r>
      <w:r w:rsidR="00834854" w:rsidRPr="00656B81">
        <w:t xml:space="preserve"> encore</w:t>
      </w:r>
      <w:r w:rsidR="00EA7394" w:rsidRPr="00656B81">
        <w:t xml:space="preserve"> militaires.</w:t>
      </w:r>
    </w:p>
    <w:p w14:paraId="2C4A8692" w14:textId="77777777" w:rsidR="003B4EF6" w:rsidRPr="00656B81" w:rsidRDefault="00EA7394" w:rsidP="002A04DF">
      <w:pPr>
        <w:jc w:val="both"/>
        <w:rPr>
          <w:i/>
          <w:iCs/>
        </w:rPr>
      </w:pPr>
      <w:r w:rsidRPr="00656B81">
        <w:t xml:space="preserve">Le </w:t>
      </w:r>
      <w:r w:rsidR="00C66C7C" w:rsidRPr="00656B81">
        <w:t>R</w:t>
      </w:r>
      <w:r w:rsidRPr="00656B81">
        <w:t>apporteur spécial des Nations Unies sur l’indépen</w:t>
      </w:r>
      <w:r w:rsidR="0064145F">
        <w:t>dance des juges et des av</w:t>
      </w:r>
      <w:r w:rsidR="002A04DF">
        <w:t>ocats, Gabriela Knaul,</w:t>
      </w:r>
      <w:r w:rsidRPr="00656B81">
        <w:t xml:space="preserve"> avait indiqué</w:t>
      </w:r>
      <w:r w:rsidR="003B4EF6" w:rsidRPr="00656B81">
        <w:t xml:space="preserve"> dans son rapport </w:t>
      </w:r>
      <w:r w:rsidR="002113A9">
        <w:t>publié</w:t>
      </w:r>
      <w:r w:rsidR="00834854" w:rsidRPr="00656B81">
        <w:t xml:space="preserve"> </w:t>
      </w:r>
      <w:r w:rsidR="003B4EF6" w:rsidRPr="00656B81">
        <w:t>suite à sa mission en Tunisie</w:t>
      </w:r>
      <w:r w:rsidR="00834854" w:rsidRPr="00656B81">
        <w:t>, en date</w:t>
      </w:r>
      <w:r w:rsidR="003B4EF6" w:rsidRPr="00656B81">
        <w:t xml:space="preserve"> du 27 novembre au 5 décembre 2014</w:t>
      </w:r>
      <w:r w:rsidR="00834854" w:rsidRPr="00656B81">
        <w:t>,</w:t>
      </w:r>
      <w:r w:rsidR="0064145F">
        <w:t xml:space="preserve"> </w:t>
      </w:r>
      <w:r w:rsidR="003B4EF6" w:rsidRPr="00656B81">
        <w:rPr>
          <w:i/>
          <w:iCs/>
        </w:rPr>
        <w:t>« qu’elle a été informée qu’il n’y avait aucune infrastructure de technologie de l’information pour l’attribution automatique ou la gestion des cas, aucune base de données qui enregistre le nombre, le type et l’état des cas devant les tribunaux ou des statistiques produites sur celui-ci ou publiées.</w:t>
      </w:r>
      <w:r w:rsidR="003B4EF6" w:rsidRPr="00656B81">
        <w:rPr>
          <w:rStyle w:val="FootnoteReference"/>
          <w:i/>
          <w:iCs/>
        </w:rPr>
        <w:footnoteReference w:id="32"/>
      </w:r>
      <w:r w:rsidR="003B4EF6" w:rsidRPr="00656B81">
        <w:rPr>
          <w:i/>
          <w:iCs/>
        </w:rPr>
        <w:t> »</w:t>
      </w:r>
    </w:p>
    <w:p w14:paraId="42195EFD" w14:textId="77777777" w:rsidR="00C3679F" w:rsidRPr="00656B81" w:rsidRDefault="00F87423" w:rsidP="002113A9">
      <w:pPr>
        <w:jc w:val="both"/>
      </w:pPr>
      <w:r w:rsidRPr="00656B81">
        <w:t>Or l’accès aux données et aux archives est une condition essentielle</w:t>
      </w:r>
      <w:r w:rsidR="00C3679F" w:rsidRPr="00656B81">
        <w:t xml:space="preserve"> de</w:t>
      </w:r>
      <w:r w:rsidRPr="00656B81">
        <w:t xml:space="preserve"> la bonne documentation des cas d’</w:t>
      </w:r>
      <w:r w:rsidR="00C3679F" w:rsidRPr="00656B81">
        <w:t>atteintes</w:t>
      </w:r>
      <w:r w:rsidRPr="00656B81">
        <w:t xml:space="preserve"> aux droits de </w:t>
      </w:r>
      <w:r w:rsidR="00C66C7C" w:rsidRPr="00656B81">
        <w:t xml:space="preserve">l’Homme </w:t>
      </w:r>
      <w:r w:rsidRPr="00656B81">
        <w:t xml:space="preserve">et </w:t>
      </w:r>
      <w:r w:rsidR="00834854" w:rsidRPr="00656B81">
        <w:t xml:space="preserve">de </w:t>
      </w:r>
      <w:r w:rsidRPr="00656B81">
        <w:t xml:space="preserve">leur traitement. Sans coopération et facilitation des tâches de la part des autorités, les victimes de violations graves des droits de </w:t>
      </w:r>
      <w:r w:rsidR="00C66C7C" w:rsidRPr="00656B81">
        <w:t xml:space="preserve">l’Homme, </w:t>
      </w:r>
      <w:r w:rsidRPr="00656B81">
        <w:t xml:space="preserve">dont la torture et </w:t>
      </w:r>
      <w:r w:rsidR="00C3679F" w:rsidRPr="00656B81">
        <w:t>les mauvais traitements</w:t>
      </w:r>
      <w:r w:rsidR="00C66C7C" w:rsidRPr="00656B81">
        <w:t>,</w:t>
      </w:r>
      <w:r w:rsidR="00C3679F" w:rsidRPr="00656B81">
        <w:t xml:space="preserve"> ne vont jamais pouvoir obtenir réparation et réhabilitation conformément aux dispositions de l’article 14 de la Convention contre la torture.</w:t>
      </w:r>
    </w:p>
    <w:p w14:paraId="625DE27B" w14:textId="77777777" w:rsidR="00C3679F" w:rsidRPr="00656B81" w:rsidRDefault="00C3679F" w:rsidP="003B4EF6">
      <w:pPr>
        <w:jc w:val="both"/>
        <w:rPr>
          <w:b/>
          <w:bCs/>
        </w:rPr>
      </w:pPr>
      <w:r w:rsidRPr="00656B81">
        <w:rPr>
          <w:b/>
          <w:bCs/>
        </w:rPr>
        <w:t>4)</w:t>
      </w:r>
      <w:r w:rsidR="00C66C7C" w:rsidRPr="00656B81">
        <w:rPr>
          <w:b/>
          <w:bCs/>
        </w:rPr>
        <w:t xml:space="preserve"> </w:t>
      </w:r>
      <w:r w:rsidRPr="00656B81">
        <w:rPr>
          <w:b/>
          <w:bCs/>
        </w:rPr>
        <w:t>Les victimes de torture et autres peines ou traitements cruels, inhumains ou dégradants </w:t>
      </w:r>
    </w:p>
    <w:p w14:paraId="46C668F7" w14:textId="77777777" w:rsidR="00C3679F" w:rsidRPr="00656B81" w:rsidRDefault="00C3679F" w:rsidP="003B4EF6">
      <w:pPr>
        <w:jc w:val="both"/>
      </w:pPr>
      <w:r w:rsidRPr="00656B81">
        <w:t>Avant le 14 janvier 2011, les victimes de torture et des autres violations graves des droits de l’</w:t>
      </w:r>
      <w:r w:rsidR="00834854" w:rsidRPr="00656B81">
        <w:t>H</w:t>
      </w:r>
      <w:r w:rsidRPr="00656B81">
        <w:t xml:space="preserve">omme étaient livrées à elles-mêmes. Les plus </w:t>
      </w:r>
      <w:r w:rsidR="00C66C7C" w:rsidRPr="00656B81">
        <w:t xml:space="preserve">chanceuses </w:t>
      </w:r>
      <w:r w:rsidRPr="00656B81">
        <w:t xml:space="preserve">ont </w:t>
      </w:r>
      <w:r w:rsidR="00C66C7C" w:rsidRPr="00656B81">
        <w:t>été</w:t>
      </w:r>
      <w:r w:rsidRPr="00656B81">
        <w:t xml:space="preserve"> entendue</w:t>
      </w:r>
      <w:r w:rsidR="00C66C7C" w:rsidRPr="00656B81">
        <w:t>s</w:t>
      </w:r>
      <w:r w:rsidRPr="00656B81">
        <w:t xml:space="preserve"> par les acteurs de la société civile et les observateurs internationaux.</w:t>
      </w:r>
    </w:p>
    <w:p w14:paraId="44B5B53B" w14:textId="77777777" w:rsidR="00F9560E" w:rsidRPr="00656B81" w:rsidRDefault="00C66C7C" w:rsidP="00F77CDA">
      <w:pPr>
        <w:jc w:val="both"/>
      </w:pPr>
      <w:r w:rsidRPr="00656B81">
        <w:t xml:space="preserve">Les événements </w:t>
      </w:r>
      <w:r w:rsidR="00C3679F" w:rsidRPr="00656B81">
        <w:t xml:space="preserve">du 14 janvier </w:t>
      </w:r>
      <w:r w:rsidRPr="00656B81">
        <w:t xml:space="preserve">ont </w:t>
      </w:r>
      <w:r w:rsidR="00074A61" w:rsidRPr="00656B81">
        <w:t>redonné espoir quant à la capacité de</w:t>
      </w:r>
      <w:r w:rsidR="00C3679F" w:rsidRPr="00656B81">
        <w:t xml:space="preserve"> la Tunisie </w:t>
      </w:r>
      <w:r w:rsidR="00074A61" w:rsidRPr="00656B81">
        <w:t xml:space="preserve">à </w:t>
      </w:r>
      <w:r w:rsidRPr="00656B81">
        <w:t xml:space="preserve">avancer </w:t>
      </w:r>
      <w:r w:rsidR="00C3679F" w:rsidRPr="00656B81">
        <w:t xml:space="preserve">en matière de droits de </w:t>
      </w:r>
      <w:r w:rsidRPr="00656B81">
        <w:t>l’Homme. M</w:t>
      </w:r>
      <w:r w:rsidR="00F9560E" w:rsidRPr="00656B81">
        <w:t>ais</w:t>
      </w:r>
      <w:r w:rsidR="00C3679F" w:rsidRPr="00656B81">
        <w:t xml:space="preserve"> </w:t>
      </w:r>
      <w:r w:rsidRPr="00656B81">
        <w:t xml:space="preserve">de tels progrès </w:t>
      </w:r>
      <w:r w:rsidR="00C3679F" w:rsidRPr="00656B81">
        <w:t xml:space="preserve">ne </w:t>
      </w:r>
      <w:r w:rsidRPr="00656B81">
        <w:t>prendront forme</w:t>
      </w:r>
      <w:r w:rsidR="00C3679F" w:rsidRPr="00656B81">
        <w:t xml:space="preserve"> qu’à travers des mesures concrètes </w:t>
      </w:r>
      <w:r w:rsidRPr="00656B81">
        <w:t xml:space="preserve">et </w:t>
      </w:r>
      <w:r w:rsidR="00834854" w:rsidRPr="00656B81">
        <w:t xml:space="preserve">un </w:t>
      </w:r>
      <w:r w:rsidR="00F9560E" w:rsidRPr="00656B81">
        <w:t>accompagnement individualisé</w:t>
      </w:r>
      <w:r w:rsidR="00F77CDA" w:rsidRPr="00656B81">
        <w:t xml:space="preserve"> des victimes.</w:t>
      </w:r>
    </w:p>
    <w:p w14:paraId="09F668AF" w14:textId="77777777" w:rsidR="00302B13" w:rsidRPr="00656B81" w:rsidRDefault="00F9560E" w:rsidP="003B4EF6">
      <w:pPr>
        <w:jc w:val="both"/>
      </w:pPr>
      <w:r w:rsidRPr="00656B81">
        <w:t>Comme déjà évoqué en supra, à la suite de l</w:t>
      </w:r>
      <w:r w:rsidR="00302B13" w:rsidRPr="00656B81">
        <w:t xml:space="preserve">a fuite de Ben Ali, le premier gouvernement provisoire a ratifié en février 2011 des nouvelles </w:t>
      </w:r>
      <w:r w:rsidR="00C66C7C" w:rsidRPr="00656B81">
        <w:t xml:space="preserve">Conventions </w:t>
      </w:r>
      <w:r w:rsidR="00302B13" w:rsidRPr="00656B81">
        <w:t xml:space="preserve">internationales relatives aux droits de </w:t>
      </w:r>
      <w:r w:rsidR="00C66C7C" w:rsidRPr="00656B81">
        <w:t>l’Homme</w:t>
      </w:r>
      <w:r w:rsidR="00302B13" w:rsidRPr="00656B81">
        <w:t xml:space="preserve">, notamment l’OPCAT, la Convention internationale pour la protection de toutes les personnes contre les disparitions forcées, le </w:t>
      </w:r>
      <w:r w:rsidR="00C66C7C" w:rsidRPr="00656B81">
        <w:t xml:space="preserve">Protocole </w:t>
      </w:r>
      <w:r w:rsidR="00302B13" w:rsidRPr="00656B81">
        <w:t xml:space="preserve">facultatif se rapportant au Pacte international relatif aux droits civils et politiques </w:t>
      </w:r>
      <w:r w:rsidR="002113A9">
        <w:t>(</w:t>
      </w:r>
      <w:r w:rsidR="00302B13" w:rsidRPr="00656B81">
        <w:t>autorisant ainsi le comité des droits de l’homme à recevoir des communications individuelles</w:t>
      </w:r>
      <w:r w:rsidR="002113A9">
        <w:t>)</w:t>
      </w:r>
      <w:r w:rsidR="00302B13" w:rsidRPr="00656B81">
        <w:t>, et le statut de Rome créant la Cour pénale internationale.</w:t>
      </w:r>
    </w:p>
    <w:p w14:paraId="4D1AC9A8" w14:textId="77777777" w:rsidR="00F87423" w:rsidRPr="00656B81" w:rsidRDefault="00302B13" w:rsidP="00F77CDA">
      <w:pPr>
        <w:jc w:val="both"/>
      </w:pPr>
      <w:r w:rsidRPr="00656B81">
        <w:t>Puis vi</w:t>
      </w:r>
      <w:r w:rsidR="00F77CDA" w:rsidRPr="00656B81">
        <w:t>n</w:t>
      </w:r>
      <w:r w:rsidR="00C66C7C" w:rsidRPr="00656B81">
        <w:t>re</w:t>
      </w:r>
      <w:r w:rsidRPr="00656B81">
        <w:t>nt des décrets lois</w:t>
      </w:r>
      <w:r w:rsidRPr="00656B81">
        <w:rPr>
          <w:rStyle w:val="FootnoteReference"/>
        </w:rPr>
        <w:footnoteReference w:id="33"/>
      </w:r>
      <w:r w:rsidR="007E4764" w:rsidRPr="00656B81">
        <w:t xml:space="preserve">qui ont concerné des victimes de l’ancien régime, </w:t>
      </w:r>
      <w:r w:rsidR="00F77CDA" w:rsidRPr="00656B81">
        <w:t>ces derniers</w:t>
      </w:r>
      <w:r w:rsidR="0064145F">
        <w:t xml:space="preserve"> </w:t>
      </w:r>
      <w:r w:rsidR="00C66C7C" w:rsidRPr="00656B81">
        <w:t xml:space="preserve">n’étaient </w:t>
      </w:r>
      <w:r w:rsidR="007E4764" w:rsidRPr="00656B81">
        <w:t>certes pas spécifiques à la torture et aux mauvais traitements</w:t>
      </w:r>
      <w:r w:rsidR="00C66C7C" w:rsidRPr="00656B81">
        <w:t>,</w:t>
      </w:r>
      <w:r w:rsidR="007E4764" w:rsidRPr="00656B81">
        <w:t xml:space="preserve"> mais </w:t>
      </w:r>
      <w:r w:rsidR="00F77CDA" w:rsidRPr="00656B81">
        <w:t>certaines de leurs</w:t>
      </w:r>
      <w:r w:rsidR="00CE7960" w:rsidRPr="00656B81">
        <w:t xml:space="preserve"> </w:t>
      </w:r>
      <w:r w:rsidR="00F77CDA" w:rsidRPr="00656B81">
        <w:t xml:space="preserve">dispositions ont pu </w:t>
      </w:r>
      <w:r w:rsidR="00CE7960" w:rsidRPr="00656B81">
        <w:t>s’</w:t>
      </w:r>
      <w:r w:rsidR="00C66C7C" w:rsidRPr="00656B81">
        <w:t>appliqu</w:t>
      </w:r>
      <w:r w:rsidR="00CE7960" w:rsidRPr="00656B81">
        <w:t>er</w:t>
      </w:r>
      <w:r w:rsidR="00C66C7C" w:rsidRPr="00656B81">
        <w:t xml:space="preserve"> à </w:t>
      </w:r>
      <w:r w:rsidR="007E4764" w:rsidRPr="00656B81">
        <w:t>quelques victimes.</w:t>
      </w:r>
    </w:p>
    <w:p w14:paraId="17B701D5" w14:textId="77777777" w:rsidR="007E4764" w:rsidRPr="00656B81" w:rsidRDefault="007E4764" w:rsidP="007E4764">
      <w:pPr>
        <w:jc w:val="both"/>
      </w:pPr>
      <w:r w:rsidRPr="00656B81">
        <w:t>Ainsi a été adopté un décret-loi n°2011-1 du 19 février 2011</w:t>
      </w:r>
      <w:r w:rsidRPr="00656B81">
        <w:rPr>
          <w:rStyle w:val="FootnoteReference"/>
        </w:rPr>
        <w:footnoteReference w:id="34"/>
      </w:r>
      <w:r w:rsidRPr="00656B81">
        <w:t xml:space="preserve"> portant amnistie pour ceux qui ont été condamnés ou ayant fait l’objet de poursuites judiciaires pour des infractions bien spécifiques mais aussi </w:t>
      </w:r>
      <w:r w:rsidRPr="00656B81">
        <w:rPr>
          <w:i/>
          <w:iCs/>
        </w:rPr>
        <w:t>« pour des infractions de droit commun ou militaires lorsque les poursuites ont été faites sur la base d’une activité syndicale ou politique. »</w:t>
      </w:r>
      <w:r w:rsidR="00472D8C" w:rsidRPr="00656B81">
        <w:rPr>
          <w:i/>
          <w:iCs/>
        </w:rPr>
        <w:t xml:space="preserve"> </w:t>
      </w:r>
      <w:r w:rsidR="00472D8C" w:rsidRPr="00656B81">
        <w:t>Ce décret-loi donne droit à la réintégration à l’emploi et à la demande de réparation (Art.2).</w:t>
      </w:r>
    </w:p>
    <w:p w14:paraId="62CE0D03" w14:textId="77777777" w:rsidR="00472D8C" w:rsidRPr="00656B81" w:rsidRDefault="00472D8C" w:rsidP="007E4764">
      <w:pPr>
        <w:jc w:val="both"/>
      </w:pPr>
      <w:r w:rsidRPr="00656B81">
        <w:t xml:space="preserve">Puis un décret-loi n°2011-97 a été adopté le 24 octobre 2011, portant indemnisation des martyrs et blessés de la révolution du 14 janvier 2011. Parallèlement, une </w:t>
      </w:r>
      <w:r w:rsidR="00CE7960" w:rsidRPr="00656B81">
        <w:t>C</w:t>
      </w:r>
      <w:r w:rsidRPr="00656B81">
        <w:t>ommission nationale d’investigation sur les abus enregistrés au cours de la période allant du 17 décembre 2010 jusqu’à l’accomplissement de son objet a été créé</w:t>
      </w:r>
      <w:r w:rsidR="002113A9">
        <w:t>e</w:t>
      </w:r>
      <w:r w:rsidRPr="00656B81">
        <w:t xml:space="preserve"> par un décret-loi n°2011-8 du 18 février 2011.</w:t>
      </w:r>
    </w:p>
    <w:p w14:paraId="15D6149E" w14:textId="77777777" w:rsidR="00472D8C" w:rsidRPr="00656B81" w:rsidRDefault="00472D8C" w:rsidP="007E4764">
      <w:pPr>
        <w:jc w:val="both"/>
        <w:rPr>
          <w:i/>
          <w:iCs/>
        </w:rPr>
      </w:pPr>
      <w:r w:rsidRPr="00656B81">
        <w:t xml:space="preserve">Certaines victimes ont pu bénéficier de quelques indemnisations et mesures provisoires. Mais comme l’avait attesté dans son rapport le </w:t>
      </w:r>
      <w:r w:rsidR="00CE7960" w:rsidRPr="00656B81">
        <w:t>R</w:t>
      </w:r>
      <w:r w:rsidRPr="00656B81">
        <w:t xml:space="preserve">apporteur spécial sur la promotion de la vérité, de la justice, de la réparation et des </w:t>
      </w:r>
      <w:r w:rsidR="00D65C24" w:rsidRPr="00656B81">
        <w:t>garanties</w:t>
      </w:r>
      <w:r w:rsidRPr="00656B81">
        <w:t xml:space="preserve"> </w:t>
      </w:r>
      <w:r w:rsidR="00D65C24" w:rsidRPr="00656B81">
        <w:t>de non répétition, Pablo de Grei</w:t>
      </w:r>
      <w:r w:rsidRPr="00656B81">
        <w:t>ff</w:t>
      </w:r>
      <w:r w:rsidR="00D65C24" w:rsidRPr="00656B81">
        <w:t>, à la suite de sa mission du 11-16 novembre 2012 en Tunisie</w:t>
      </w:r>
      <w:r w:rsidR="00CE7960" w:rsidRPr="00656B81">
        <w:t xml:space="preserve"> : </w:t>
      </w:r>
      <w:r w:rsidR="00D65C24" w:rsidRPr="00656B81">
        <w:t xml:space="preserve">malgré </w:t>
      </w:r>
      <w:r w:rsidR="00D65C24" w:rsidRPr="00656B81">
        <w:rPr>
          <w:i/>
          <w:iCs/>
        </w:rPr>
        <w:t>« les efforts louables »</w:t>
      </w:r>
      <w:r w:rsidR="00D65C24" w:rsidRPr="00656B81">
        <w:t xml:space="preserve"> déployées pour répondre rapidement aux demandes des victimes, </w:t>
      </w:r>
      <w:r w:rsidR="00D65C24" w:rsidRPr="00656B81">
        <w:rPr>
          <w:i/>
          <w:iCs/>
        </w:rPr>
        <w:t>« ces mesures prises jusqu’à présent, qui sont pour la plupart ponctuelles et dissociées, doivent être d’urgence intégrées dans un cadre global. »</w:t>
      </w:r>
    </w:p>
    <w:p w14:paraId="50E1B3C9" w14:textId="77777777" w:rsidR="008E700B" w:rsidRPr="00656B81" w:rsidRDefault="00CE7960" w:rsidP="002113A9">
      <w:pPr>
        <w:jc w:val="both"/>
        <w:rPr>
          <w:i/>
          <w:iCs/>
        </w:rPr>
      </w:pPr>
      <w:r w:rsidRPr="00656B81">
        <w:t xml:space="preserve">Le Rapporteur </w:t>
      </w:r>
      <w:r w:rsidR="008E700B" w:rsidRPr="00656B81">
        <w:t xml:space="preserve">a </w:t>
      </w:r>
      <w:r w:rsidR="002113A9">
        <w:t xml:space="preserve">ensuite conclu </w:t>
      </w:r>
      <w:r w:rsidR="008E700B" w:rsidRPr="00656B81">
        <w:t>que</w:t>
      </w:r>
      <w:r w:rsidR="008E700B" w:rsidRPr="00656B81">
        <w:rPr>
          <w:i/>
          <w:iCs/>
        </w:rPr>
        <w:t xml:space="preserve"> « les mesures prises jusqu’à présent ont été principalement conçues selon une approche fondée sur des évènements ou sur des périodes, ce qui a conduit à classer les victimes en différentes </w:t>
      </w:r>
      <w:r w:rsidR="002A5567" w:rsidRPr="00656B81">
        <w:rPr>
          <w:i/>
          <w:iCs/>
        </w:rPr>
        <w:t>catégories et, partant, a abouti</w:t>
      </w:r>
      <w:r w:rsidR="008E700B" w:rsidRPr="00656B81">
        <w:rPr>
          <w:i/>
          <w:iCs/>
        </w:rPr>
        <w:t xml:space="preserve"> à une fragmentation préoccupante entre les différents groupes de victimes</w:t>
      </w:r>
      <w:r w:rsidR="002A5567" w:rsidRPr="00656B81">
        <w:rPr>
          <w:i/>
          <w:iCs/>
        </w:rPr>
        <w:t>, ainsi qu’au sein de la société, y compris les acteurs de la société civile. »</w:t>
      </w:r>
    </w:p>
    <w:p w14:paraId="7DBAFD4F" w14:textId="77777777" w:rsidR="00E2482F" w:rsidRPr="00656B81" w:rsidRDefault="00F77CDA" w:rsidP="00F77CDA">
      <w:pPr>
        <w:jc w:val="both"/>
      </w:pPr>
      <w:r w:rsidRPr="00656B81">
        <w:t>A titre d’exemple, et p</w:t>
      </w:r>
      <w:r w:rsidR="00CE7960" w:rsidRPr="00656B81">
        <w:t>armi l</w:t>
      </w:r>
      <w:r w:rsidR="00E2482F" w:rsidRPr="00656B81">
        <w:t>es victimes de Barraket Essahel</w:t>
      </w:r>
      <w:r w:rsidR="00CE7960" w:rsidRPr="00656B81">
        <w:t>,</w:t>
      </w:r>
      <w:r w:rsidR="00E2482F" w:rsidRPr="00656B81">
        <w:t xml:space="preserve"> qui peinent jusqu’à présent à </w:t>
      </w:r>
      <w:r w:rsidR="00CE7960" w:rsidRPr="00656B81">
        <w:t xml:space="preserve">obtenir </w:t>
      </w:r>
      <w:r w:rsidR="00E2482F" w:rsidRPr="00656B81">
        <w:t xml:space="preserve">pleine reconnaissance de leurs droits, certaines se sont retrouvées exclues du bénéfice de l’amnistie </w:t>
      </w:r>
      <w:r w:rsidR="00CE7960" w:rsidRPr="00656B81">
        <w:t xml:space="preserve">parce </w:t>
      </w:r>
      <w:r w:rsidR="00E2482F" w:rsidRPr="00656B81">
        <w:t xml:space="preserve">qu’elles </w:t>
      </w:r>
      <w:r w:rsidR="00CE7960" w:rsidRPr="00656B81">
        <w:t xml:space="preserve">avaient été </w:t>
      </w:r>
      <w:r w:rsidR="00E2482F" w:rsidRPr="00656B81">
        <w:t>tortur</w:t>
      </w:r>
      <w:r w:rsidR="00142D9F" w:rsidRPr="00656B81">
        <w:t xml:space="preserve">ées sans qu’il y ait des </w:t>
      </w:r>
      <w:r w:rsidR="00E2482F" w:rsidRPr="00656B81">
        <w:t xml:space="preserve">poursuites judiciaires ou </w:t>
      </w:r>
      <w:r w:rsidR="00CE7960" w:rsidRPr="00656B81">
        <w:t xml:space="preserve">de </w:t>
      </w:r>
      <w:r w:rsidR="00E2482F" w:rsidRPr="00656B81">
        <w:t xml:space="preserve">condamnations. Toutefois, </w:t>
      </w:r>
      <w:r w:rsidR="00CE7960" w:rsidRPr="00656B81">
        <w:t xml:space="preserve">la </w:t>
      </w:r>
      <w:r w:rsidR="00E2482F" w:rsidRPr="00656B81">
        <w:t xml:space="preserve">loi n°2014-28 du 19 juin 2014, portant règlement de la situation des militaires lésés par l’affaire dite de </w:t>
      </w:r>
      <w:r w:rsidR="00E2482F" w:rsidRPr="00656B81">
        <w:rPr>
          <w:i/>
          <w:iCs/>
        </w:rPr>
        <w:t>« Barraket Essahel »</w:t>
      </w:r>
      <w:r w:rsidR="00E2482F" w:rsidRPr="00656B81">
        <w:t>, a permis d’étendre le bénéfice de l’amnistie à toutes les victimes de cette affaire.</w:t>
      </w:r>
      <w:r w:rsidR="00902008" w:rsidRPr="00656B81">
        <w:t xml:space="preserve"> </w:t>
      </w:r>
      <w:r w:rsidR="00CE7960" w:rsidRPr="00656B81">
        <w:t xml:space="preserve">Mais </w:t>
      </w:r>
      <w:r w:rsidR="00902008" w:rsidRPr="00656B81">
        <w:t>ces mesures, à elles seules, ne vont pas permettre de rendre justice à ces victimes</w:t>
      </w:r>
      <w:r w:rsidR="00CE7960" w:rsidRPr="00656B81">
        <w:t xml:space="preserve"> dont les carrières ont été brisées et </w:t>
      </w:r>
      <w:r w:rsidR="002113A9">
        <w:t xml:space="preserve">qui </w:t>
      </w:r>
      <w:r w:rsidR="00CE7960" w:rsidRPr="00656B81">
        <w:t>garderont à vie de graves séquelles de torture</w:t>
      </w:r>
      <w:r w:rsidR="00902008" w:rsidRPr="00656B81">
        <w:t>.</w:t>
      </w:r>
    </w:p>
    <w:p w14:paraId="0994B0FF" w14:textId="77777777" w:rsidR="00902008" w:rsidRPr="00656B81" w:rsidRDefault="00902008" w:rsidP="007E4764">
      <w:pPr>
        <w:jc w:val="both"/>
        <w:rPr>
          <w:i/>
          <w:iCs/>
        </w:rPr>
      </w:pPr>
      <w:r w:rsidRPr="00656B81">
        <w:t>Il faudrait pou</w:t>
      </w:r>
      <w:r w:rsidR="002113A9">
        <w:t>r les victimes de torture et de</w:t>
      </w:r>
      <w:r w:rsidRPr="00656B81">
        <w:t xml:space="preserve"> grandes violations des droits de l’</w:t>
      </w:r>
      <w:r w:rsidR="00330CA1" w:rsidRPr="00656B81">
        <w:t>H</w:t>
      </w:r>
      <w:r w:rsidRPr="00656B81">
        <w:t xml:space="preserve">omme, comme l’a </w:t>
      </w:r>
      <w:r w:rsidR="00330CA1" w:rsidRPr="00656B81">
        <w:t>souligné</w:t>
      </w:r>
      <w:r w:rsidRPr="00656B81">
        <w:t xml:space="preserve"> </w:t>
      </w:r>
      <w:r w:rsidR="00330CA1" w:rsidRPr="00656B81">
        <w:t xml:space="preserve">le Rapporteur spécial </w:t>
      </w:r>
      <w:r w:rsidRPr="00656B81">
        <w:t xml:space="preserve">de Greiff, </w:t>
      </w:r>
      <w:r w:rsidRPr="00656B81">
        <w:rPr>
          <w:i/>
          <w:iCs/>
        </w:rPr>
        <w:t xml:space="preserve">« une vraie politique d’ensemble, comprenant les </w:t>
      </w:r>
      <w:r w:rsidR="00B73A5D" w:rsidRPr="00656B81">
        <w:rPr>
          <w:i/>
          <w:iCs/>
        </w:rPr>
        <w:t>quatre</w:t>
      </w:r>
      <w:r w:rsidRPr="00656B81">
        <w:rPr>
          <w:i/>
          <w:iCs/>
        </w:rPr>
        <w:t xml:space="preserve"> volets de la justice transitionnelle (vérité, justice pénale, réparation et garanties de non répétition). »</w:t>
      </w:r>
    </w:p>
    <w:p w14:paraId="2856CC54" w14:textId="77777777" w:rsidR="00902008" w:rsidRPr="00656B81" w:rsidRDefault="00330CA1" w:rsidP="007E4764">
      <w:pPr>
        <w:jc w:val="both"/>
      </w:pPr>
      <w:r w:rsidRPr="00656B81">
        <w:t>C’est</w:t>
      </w:r>
      <w:r w:rsidR="00902008" w:rsidRPr="00656B81">
        <w:t xml:space="preserve"> dans ce cadre qu’a été adoptée</w:t>
      </w:r>
      <w:r w:rsidRPr="00656B81">
        <w:t xml:space="preserve"> par l’Assemblée Nationale Constituante </w:t>
      </w:r>
      <w:r w:rsidR="00902008" w:rsidRPr="00656B81">
        <w:t>la loi organique 2013-53 du 24 décembre 2013, relative à l’instauration de la justice transitionnelle et à son organisation.</w:t>
      </w:r>
    </w:p>
    <w:p w14:paraId="24E97401" w14:textId="77777777" w:rsidR="0055116B" w:rsidRPr="00656B81" w:rsidRDefault="00902008" w:rsidP="007E4764">
      <w:pPr>
        <w:jc w:val="both"/>
      </w:pPr>
      <w:r w:rsidRPr="00656B81">
        <w:t>Cette loi organique</w:t>
      </w:r>
      <w:r w:rsidR="00B73A5D" w:rsidRPr="00656B81">
        <w:t>,</w:t>
      </w:r>
      <w:r w:rsidRPr="00656B81">
        <w:t xml:space="preserve"> qui évoque dans son article premier</w:t>
      </w:r>
      <w:r w:rsidR="00B73A5D" w:rsidRPr="00656B81">
        <w:t xml:space="preserve"> les quatre volets de la justice transitionnelle, a créé l’</w:t>
      </w:r>
      <w:r w:rsidR="00F77CDA" w:rsidRPr="00656B81">
        <w:t>I</w:t>
      </w:r>
      <w:r w:rsidR="00B73A5D" w:rsidRPr="00656B81">
        <w:t xml:space="preserve">nstance de la Vérité et de la Dignité (IVD), pour </w:t>
      </w:r>
      <w:r w:rsidR="001B4502" w:rsidRPr="00656B81">
        <w:t xml:space="preserve">enquêter sur </w:t>
      </w:r>
      <w:r w:rsidR="00B73A5D" w:rsidRPr="00656B81">
        <w:t>les grandes violations des droits de l’</w:t>
      </w:r>
      <w:r w:rsidR="00F77CDA" w:rsidRPr="00656B81">
        <w:t>H</w:t>
      </w:r>
      <w:r w:rsidR="00B73A5D" w:rsidRPr="00656B81">
        <w:t>omme qui ont eu lieu à partir du 1</w:t>
      </w:r>
      <w:r w:rsidR="00B73A5D" w:rsidRPr="00656B81">
        <w:rPr>
          <w:vertAlign w:val="superscript"/>
        </w:rPr>
        <w:t>er</w:t>
      </w:r>
      <w:r w:rsidR="00B73A5D" w:rsidRPr="00656B81">
        <w:t xml:space="preserve"> juillet 1955 jusqu’à la promulgation de cette loi (Art.</w:t>
      </w:r>
      <w:r w:rsidR="0055116B" w:rsidRPr="00656B81">
        <w:t xml:space="preserve"> 17).</w:t>
      </w:r>
    </w:p>
    <w:p w14:paraId="2B141AC3" w14:textId="77777777" w:rsidR="00EF2F89" w:rsidRPr="00656B81" w:rsidRDefault="00EF2F89" w:rsidP="007E4764">
      <w:pPr>
        <w:jc w:val="both"/>
        <w:rPr>
          <w:i/>
          <w:iCs/>
        </w:rPr>
      </w:pPr>
      <w:r w:rsidRPr="00656B81">
        <w:t>Ce processus de justice transitionnelle, qui a commencé de facto depuis la constitution du premier gouvernement provisoire</w:t>
      </w:r>
      <w:r w:rsidR="002113A9">
        <w:t xml:space="preserve"> formé</w:t>
      </w:r>
      <w:r w:rsidRPr="00656B81">
        <w:t xml:space="preserve"> après la fuite de Ben Ali, a été confirmé par l’article 148-9 de la Constitution du 27 janvier 2014 qui dispose </w:t>
      </w:r>
      <w:r w:rsidRPr="00656B81">
        <w:rPr>
          <w:i/>
          <w:iCs/>
        </w:rPr>
        <w:t>« : L’Etat s’engage à appliquer le système de la justice transitionnelle dans tous ses domaines et dans les délais prescrits par la législation qui s’y rapporte. Sont irrecevables dans ce contexte l’évocation de la non-rétroactivité des lois, de l’existence d’une amnistie antérieure, de l’autorité de la chose jugée, ou de la prescription du crime ou de la peine. »</w:t>
      </w:r>
    </w:p>
    <w:p w14:paraId="3D5380DC" w14:textId="77777777" w:rsidR="00EF2F89" w:rsidRPr="00656B81" w:rsidRDefault="002113A9" w:rsidP="00803B5E">
      <w:pPr>
        <w:jc w:val="both"/>
      </w:pPr>
      <w:r>
        <w:t>Depuis sa mise en place</w:t>
      </w:r>
      <w:r w:rsidR="00EF2F89" w:rsidRPr="00656B81">
        <w:t xml:space="preserve"> l’IVD</w:t>
      </w:r>
      <w:r w:rsidR="00095AA3" w:rsidRPr="00656B81">
        <w:t>,</w:t>
      </w:r>
      <w:r w:rsidR="00EF2F89" w:rsidRPr="00656B81">
        <w:t xml:space="preserve"> dont les membres ont été élus par l’ANC et qui aura une durée d’activité de 4 ans prorogeable d’une année par décision motivée de </w:t>
      </w:r>
      <w:r w:rsidR="00803B5E">
        <w:t xml:space="preserve">l’instance (Art. 18), n’a pas bénéficié des atouts et </w:t>
      </w:r>
      <w:r w:rsidR="00EF2F89" w:rsidRPr="00656B81">
        <w:t>appuis des autorités qui lui permettent de bien accomplir ses prérogatives et missions.</w:t>
      </w:r>
    </w:p>
    <w:p w14:paraId="47833F7A" w14:textId="77777777" w:rsidR="005527A1" w:rsidRDefault="00EF2F89" w:rsidP="00803B5E">
      <w:pPr>
        <w:jc w:val="both"/>
      </w:pPr>
      <w:r w:rsidRPr="00656B81">
        <w:t>En effet, l’IVD a du entamer des négociations pour bénéficier des facilités d’installation et d’un budget qui lui permet de couvrir les besoins de fonctionnement. Elle mène encore un combat pour</w:t>
      </w:r>
      <w:r w:rsidR="00803B5E">
        <w:t xml:space="preserve"> l’obtention</w:t>
      </w:r>
      <w:r w:rsidR="005527A1" w:rsidRPr="00656B81">
        <w:t xml:space="preserve"> des données, informations et archives en possession de l’Etat. Le fonds dénommé ‘Fonds de dignité et de réhabilitation des victimes de la dictature ’ (Art. 41)</w:t>
      </w:r>
      <w:r w:rsidR="00095AA3" w:rsidRPr="00656B81">
        <w:t>,</w:t>
      </w:r>
      <w:r w:rsidR="005527A1" w:rsidRPr="00656B81">
        <w:t xml:space="preserve"> qui va servir pour les réparations et dédommagements aux victimes</w:t>
      </w:r>
      <w:r w:rsidR="00095AA3" w:rsidRPr="00656B81">
        <w:t>,</w:t>
      </w:r>
      <w:r w:rsidR="005527A1" w:rsidRPr="00656B81">
        <w:t xml:space="preserve"> n’a à ce jour pas encore été réglementé</w:t>
      </w:r>
      <w:r w:rsidR="00803B5E">
        <w:t xml:space="preserve"> et donc pas</w:t>
      </w:r>
      <w:r w:rsidR="00C24FCB" w:rsidRPr="00656B81">
        <w:t xml:space="preserve"> encore approvisionné</w:t>
      </w:r>
      <w:r w:rsidR="005527A1" w:rsidRPr="00656B81">
        <w:t>.</w:t>
      </w:r>
    </w:p>
    <w:p w14:paraId="11271712" w14:textId="77777777" w:rsidR="004F6977" w:rsidRDefault="004F6977" w:rsidP="00C24FCB">
      <w:pPr>
        <w:jc w:val="both"/>
      </w:pPr>
      <w:r w:rsidRPr="004F6977">
        <w:t xml:space="preserve">La communication entre l’IVD et le pouvoir exécutif laisse à désirer. Un projet de loi organique relatif aux procédures spéciales de réconciliation dans le </w:t>
      </w:r>
      <w:r w:rsidR="00803B5E">
        <w:t xml:space="preserve">domaine économique et </w:t>
      </w:r>
      <w:r w:rsidR="002A04DF">
        <w:t>financier</w:t>
      </w:r>
      <w:r w:rsidRPr="004F6977">
        <w:t>, désapprou</w:t>
      </w:r>
      <w:r w:rsidR="00037A74">
        <w:t xml:space="preserve">vé par la Commission de Venise </w:t>
      </w:r>
      <w:r w:rsidRPr="004F6977">
        <w:t>car ne répondant pas aux critères de la justice transitionnelle, a été adopté en conseil ministériel sans véritable concertation avec l’IVD.</w:t>
      </w:r>
    </w:p>
    <w:p w14:paraId="23ACC8A9" w14:textId="77777777" w:rsidR="00C974BA" w:rsidRPr="00656B81" w:rsidRDefault="00C974BA" w:rsidP="00C24FCB">
      <w:pPr>
        <w:jc w:val="both"/>
      </w:pPr>
    </w:p>
    <w:p w14:paraId="369ABAEF" w14:textId="77777777" w:rsidR="00703598" w:rsidRPr="00656B81" w:rsidRDefault="00D64BA4" w:rsidP="007E4764">
      <w:pPr>
        <w:jc w:val="both"/>
      </w:pPr>
      <w:r w:rsidRPr="00656B81">
        <w:t>Des chambres spécialisées au sein des tribunaux de première instance siégeant dans les cours d’appel auront pour charge de statuer sur les affaires relatives aux atteintes graves aux droits de l’</w:t>
      </w:r>
      <w:r w:rsidR="00095AA3" w:rsidRPr="00656B81">
        <w:t>H</w:t>
      </w:r>
      <w:r w:rsidRPr="00656B81">
        <w:t>omme, transmises par l’IVD, dont notamment :</w:t>
      </w:r>
      <w:r w:rsidR="001B722E" w:rsidRPr="00656B81">
        <w:t xml:space="preserve"> </w:t>
      </w:r>
      <w:r w:rsidR="00703598" w:rsidRPr="00656B81">
        <w:t xml:space="preserve">l’homicide </w:t>
      </w:r>
      <w:r w:rsidR="001B722E" w:rsidRPr="00656B81">
        <w:t xml:space="preserve">volontaire, le viol et toutes autres formes de violences sexuelles, la torture, la disparition forcée, la peine de mort sans garanties d’un procès équitable et puis les violations liées à la fraude électorale et la corruption financière, le détournement de deniers publics et la contrainte à migration forcée pour des raisons politiques. </w:t>
      </w:r>
    </w:p>
    <w:p w14:paraId="69023DDC" w14:textId="77777777" w:rsidR="001B722E" w:rsidRPr="00656B81" w:rsidRDefault="00703598" w:rsidP="007E4764">
      <w:pPr>
        <w:jc w:val="both"/>
      </w:pPr>
      <w:r w:rsidRPr="00656B81">
        <w:t xml:space="preserve">Le </w:t>
      </w:r>
      <w:r w:rsidR="001B722E" w:rsidRPr="00656B81">
        <w:t>décret n°2014-2887 du 8 ao</w:t>
      </w:r>
      <w:r w:rsidR="00095AA3" w:rsidRPr="00656B81">
        <w:t>û</w:t>
      </w:r>
      <w:r w:rsidR="001B722E" w:rsidRPr="00656B81">
        <w:t>t 2014</w:t>
      </w:r>
      <w:r w:rsidRPr="00656B81">
        <w:t>,</w:t>
      </w:r>
      <w:r w:rsidR="001B722E" w:rsidRPr="00656B81">
        <w:t xml:space="preserve"> portant création de ces chambres criminelles spécialisées dans le domaine de la justice transitionnelle au sein des tribunaux de première instance siégeant dans les cours d’appel de Tunis, Sfax, Gafsa, Gabès, Sousse et Le Kef, a été adopté et des magistrats ont été nommés à cet effet.</w:t>
      </w:r>
    </w:p>
    <w:p w14:paraId="160C155D" w14:textId="77777777" w:rsidR="001B722E" w:rsidRPr="00656B81" w:rsidRDefault="001B722E" w:rsidP="007E4764">
      <w:pPr>
        <w:jc w:val="both"/>
      </w:pPr>
      <w:r w:rsidRPr="00656B81">
        <w:t>Malgré toutes les difficultés de fonctionnement et le</w:t>
      </w:r>
      <w:r w:rsidR="00684013" w:rsidRPr="00656B81">
        <w:t>s</w:t>
      </w:r>
      <w:r w:rsidRPr="00656B81">
        <w:t xml:space="preserve"> positions politiques divergentes sur ce processus de justice transitionnelle, l’IVD </w:t>
      </w:r>
      <w:r w:rsidR="00095AA3" w:rsidRPr="00656B81">
        <w:t>a</w:t>
      </w:r>
      <w:r w:rsidRPr="00656B81">
        <w:t xml:space="preserve"> déclaré en mars 2016 avoir reçu 27 800 plaintes</w:t>
      </w:r>
      <w:r w:rsidRPr="00656B81">
        <w:rPr>
          <w:rStyle w:val="FootnoteReference"/>
        </w:rPr>
        <w:footnoteReference w:id="35"/>
      </w:r>
      <w:r w:rsidRPr="00656B81">
        <w:t xml:space="preserve"> dont 36 cas de disparitions forcées recensés durant la période 1991</w:t>
      </w:r>
      <w:r w:rsidR="00703598" w:rsidRPr="00656B81">
        <w:t>–</w:t>
      </w:r>
      <w:r w:rsidRPr="00656B81">
        <w:t>2008.</w:t>
      </w:r>
    </w:p>
    <w:p w14:paraId="689C4E99" w14:textId="77777777" w:rsidR="008311EF" w:rsidRPr="00656B81" w:rsidRDefault="00703598" w:rsidP="003232C2">
      <w:pPr>
        <w:jc w:val="both"/>
      </w:pPr>
      <w:r w:rsidRPr="00656B81">
        <w:t xml:space="preserve">Il est à </w:t>
      </w:r>
      <w:r w:rsidR="00684013" w:rsidRPr="00656B81">
        <w:t>noter que</w:t>
      </w:r>
      <w:r w:rsidRPr="00656B81">
        <w:t>,</w:t>
      </w:r>
      <w:r w:rsidR="00684013" w:rsidRPr="00656B81">
        <w:t xml:space="preserve"> malgré l’adoption de la Convention internationale pour la protection de toutes les personnes contre les disparitions forcées, la législation nationale n’a pas encore</w:t>
      </w:r>
      <w:r w:rsidR="008311EF" w:rsidRPr="00656B81">
        <w:t xml:space="preserve"> un dispositif incriminant les pratiques de disparitions</w:t>
      </w:r>
      <w:r w:rsidR="00C24FCB" w:rsidRPr="00656B81">
        <w:t xml:space="preserve"> forcées mais un projet de loi </w:t>
      </w:r>
      <w:r w:rsidR="008311EF" w:rsidRPr="00656B81">
        <w:t>es</w:t>
      </w:r>
      <w:r w:rsidR="00C24FCB" w:rsidRPr="00656B81">
        <w:t>t</w:t>
      </w:r>
      <w:r w:rsidR="008311EF" w:rsidRPr="00656B81">
        <w:t xml:space="preserve"> en cours de préparation par le pouvoir exécutif.</w:t>
      </w:r>
      <w:r w:rsidR="00CA7CF8">
        <w:t xml:space="preserve"> Ce dispositif permettra</w:t>
      </w:r>
      <w:r w:rsidR="003232C2">
        <w:t>it</w:t>
      </w:r>
      <w:r w:rsidR="00CA7CF8">
        <w:t xml:space="preserve"> de</w:t>
      </w:r>
      <w:r w:rsidR="003232C2">
        <w:t xml:space="preserve"> mieux</w:t>
      </w:r>
      <w:r w:rsidR="00CA7CF8">
        <w:t xml:space="preserve"> traiter juridiquement les affaires de disparition forcées, </w:t>
      </w:r>
      <w:r w:rsidR="003232C2">
        <w:t>tel</w:t>
      </w:r>
      <w:r w:rsidR="00CA7CF8">
        <w:t xml:space="preserve"> le cas de Kamel Matmati</w:t>
      </w:r>
      <w:r w:rsidR="003232C2">
        <w:t>, disparu en 1991,</w:t>
      </w:r>
      <w:r w:rsidR="00CA7CF8">
        <w:t xml:space="preserve"> et</w:t>
      </w:r>
      <w:r w:rsidR="003B6CB6">
        <w:t xml:space="preserve"> celui</w:t>
      </w:r>
      <w:r w:rsidR="00692667">
        <w:t xml:space="preserve"> </w:t>
      </w:r>
      <w:r w:rsidR="00CA7CF8">
        <w:t xml:space="preserve">d’autres </w:t>
      </w:r>
      <w:r w:rsidR="003232C2">
        <w:t>victimes</w:t>
      </w:r>
      <w:r w:rsidR="00CA7CF8">
        <w:t>.</w:t>
      </w:r>
    </w:p>
    <w:p w14:paraId="4F803E2A" w14:textId="77777777" w:rsidR="00684013" w:rsidRDefault="008311EF" w:rsidP="007E4764">
      <w:pPr>
        <w:jc w:val="both"/>
      </w:pPr>
      <w:r w:rsidRPr="00656B81">
        <w:t xml:space="preserve">Le processus de justice transitionnelle serait une chance pour les victimes de graves violations des droits de </w:t>
      </w:r>
      <w:r w:rsidR="00703598" w:rsidRPr="00656B81">
        <w:t xml:space="preserve">l’Homme </w:t>
      </w:r>
      <w:r w:rsidRPr="00656B81">
        <w:t xml:space="preserve">mais aussi une étape importante pour la </w:t>
      </w:r>
      <w:r w:rsidR="003440D5" w:rsidRPr="00656B81">
        <w:t>réussite</w:t>
      </w:r>
      <w:r w:rsidRPr="00656B81">
        <w:t xml:space="preserve"> de la transition démocratique.</w:t>
      </w:r>
    </w:p>
    <w:p w14:paraId="05DDB165" w14:textId="77777777" w:rsidR="00C974BA" w:rsidRPr="00656B81" w:rsidRDefault="00C974BA" w:rsidP="007E4764">
      <w:pPr>
        <w:jc w:val="both"/>
      </w:pPr>
      <w:r>
        <w:t>L’IVD devrait améliorer ses techniques de communication et</w:t>
      </w:r>
      <w:r w:rsidR="00B20EA8">
        <w:t xml:space="preserve"> assurer</w:t>
      </w:r>
      <w:r>
        <w:t xml:space="preserve"> une meilleure transparence de</w:t>
      </w:r>
      <w:r w:rsidR="00742559">
        <w:t xml:space="preserve"> ses activités et </w:t>
      </w:r>
      <w:r w:rsidR="00B20EA8">
        <w:t xml:space="preserve">de </w:t>
      </w:r>
      <w:r w:rsidR="00742559">
        <w:t>ses avancées dans le traitement des dossiers des victimes.</w:t>
      </w:r>
    </w:p>
    <w:p w14:paraId="24EB24E4" w14:textId="77777777" w:rsidR="003440D5" w:rsidRPr="00656B81" w:rsidRDefault="003440D5" w:rsidP="00803B5E">
      <w:pPr>
        <w:jc w:val="both"/>
      </w:pPr>
      <w:r w:rsidRPr="00656B81">
        <w:t>Les autorités devraient appuyer ce processus et accorder une attention particulière aux situations urgentes chez les victimes notamment en matière d’assistance psychologique et médicale. En effet, beaucoup de défaillances ont été constaté</w:t>
      </w:r>
      <w:r w:rsidR="00C24FCB" w:rsidRPr="00656B81">
        <w:t>es</w:t>
      </w:r>
      <w:r w:rsidRPr="00656B81">
        <w:t xml:space="preserve"> dans ce domaine et l</w:t>
      </w:r>
      <w:r w:rsidR="00C24FCB" w:rsidRPr="00656B81">
        <w:t xml:space="preserve">es victimes de torture et </w:t>
      </w:r>
      <w:r w:rsidRPr="00656B81">
        <w:t xml:space="preserve">les blessés de la révolution se sont retrouvés en combat avec </w:t>
      </w:r>
      <w:r w:rsidR="00703598" w:rsidRPr="00656B81">
        <w:t xml:space="preserve">l’Administration </w:t>
      </w:r>
      <w:r w:rsidRPr="00656B81">
        <w:t>pour bénéficier d'une assi</w:t>
      </w:r>
      <w:r w:rsidR="00803B5E">
        <w:t>stance médicale adéquate. Il y a bien eu</w:t>
      </w:r>
      <w:r w:rsidRPr="00656B81">
        <w:t xml:space="preserve"> des initiatives de la part de la société civile</w:t>
      </w:r>
      <w:r w:rsidRPr="00656B81">
        <w:rPr>
          <w:rStyle w:val="FootnoteReference"/>
        </w:rPr>
        <w:footnoteReference w:id="36"/>
      </w:r>
      <w:r w:rsidRPr="00656B81">
        <w:t>, mais celle</w:t>
      </w:r>
      <w:r w:rsidR="00803B5E">
        <w:t>s-ci ne peuvent remplacer les</w:t>
      </w:r>
      <w:r w:rsidR="00703598" w:rsidRPr="00656B81">
        <w:t xml:space="preserve"> </w:t>
      </w:r>
      <w:r w:rsidRPr="00656B81">
        <w:t xml:space="preserve">obligations de l’Etat. Les autorités avaient annoncé la création d’un </w:t>
      </w:r>
      <w:r w:rsidR="00703598" w:rsidRPr="00656B81">
        <w:t xml:space="preserve">Centre </w:t>
      </w:r>
      <w:r w:rsidRPr="00656B81">
        <w:t xml:space="preserve">pour la réhabilitation des victimes des violations des droits de </w:t>
      </w:r>
      <w:r w:rsidR="00703598" w:rsidRPr="00656B81">
        <w:t>l’Homme</w:t>
      </w:r>
      <w:r w:rsidRPr="00656B81">
        <w:t>, mais à ce jour rien n’a été fait.</w:t>
      </w:r>
    </w:p>
    <w:p w14:paraId="6BF31751" w14:textId="77777777" w:rsidR="00037A74" w:rsidRDefault="00803B5E" w:rsidP="00803B5E">
      <w:pPr>
        <w:jc w:val="both"/>
      </w:pPr>
      <w:r>
        <w:t>L</w:t>
      </w:r>
      <w:r w:rsidR="00482DAA" w:rsidRPr="00656B81">
        <w:t>es autorités devraient aussi donner une réponse aux problèmes de dysfonctionnem</w:t>
      </w:r>
      <w:r>
        <w:t>ent de la justice en matière d’affaires de torture et</w:t>
      </w:r>
      <w:r w:rsidR="00482DAA" w:rsidRPr="00656B81">
        <w:t xml:space="preserve"> autres violations des droits de </w:t>
      </w:r>
      <w:r w:rsidR="00640721" w:rsidRPr="00656B81">
        <w:t>l’Homme</w:t>
      </w:r>
      <w:r w:rsidR="00482DAA" w:rsidRPr="00656B81">
        <w:t>.</w:t>
      </w:r>
      <w:r w:rsidR="00AE0CD0" w:rsidRPr="00656B81">
        <w:t xml:space="preserve"> </w:t>
      </w:r>
    </w:p>
    <w:p w14:paraId="67D26C1E" w14:textId="77777777" w:rsidR="00BE392A" w:rsidRPr="00656B81" w:rsidRDefault="00AE0CD0" w:rsidP="00BE392A">
      <w:pPr>
        <w:jc w:val="both"/>
      </w:pPr>
      <w:r w:rsidRPr="00656B81">
        <w:t xml:space="preserve">Quasiment toutes les victimes de la torture, celles qui rentrent dans le cadre de justice transitionnelle ou celles qui </w:t>
      </w:r>
      <w:r w:rsidR="00BE392A" w:rsidRPr="00656B81">
        <w:t>sont hors cadre, ont eu des épisodes décevants avec la justice ordinaire ou la justice militaire. Les affaires de martyrs et blessés de la révolution finalement traités par la justice militaire ont connu beaucoup d’incidents judiciaires et extra</w:t>
      </w:r>
      <w:r w:rsidR="00640721" w:rsidRPr="00656B81">
        <w:t>-</w:t>
      </w:r>
      <w:r w:rsidR="00BE392A" w:rsidRPr="00656B81">
        <w:t>judiciaires.</w:t>
      </w:r>
    </w:p>
    <w:p w14:paraId="0E8AB81B" w14:textId="77777777" w:rsidR="00B078C9" w:rsidRDefault="00803B5E" w:rsidP="00B078C9">
      <w:pPr>
        <w:jc w:val="both"/>
      </w:pPr>
      <w:r>
        <w:t>Le désenchantement</w:t>
      </w:r>
      <w:r w:rsidR="00BE392A" w:rsidRPr="00656B81">
        <w:t xml:space="preserve"> des victimes de la torture, des blessés de la révolution ou des familles des martyrs est d’au</w:t>
      </w:r>
      <w:r>
        <w:t>tant plus fort</w:t>
      </w:r>
      <w:r w:rsidR="00B078C9">
        <w:t xml:space="preserve"> qu’ils constatent</w:t>
      </w:r>
      <w:r w:rsidR="00BE392A" w:rsidRPr="00656B81">
        <w:t xml:space="preserve"> que certains de leurs avocats, tels Me Leila Haddad, Me Najet Laabidi, Me Abderraouf Ayadi, Me Charfeddine Kellil, Me Abdennaceur Aouini</w:t>
      </w:r>
      <w:r w:rsidR="00C90A67" w:rsidRPr="00656B81">
        <w:t xml:space="preserve"> </w:t>
      </w:r>
      <w:r w:rsidR="00BE392A" w:rsidRPr="00656B81">
        <w:t xml:space="preserve">se sont retrouvés sur le banc des accusés au tribunal ordinaire ou au tribunal militaire, poursuivis pour </w:t>
      </w:r>
      <w:r w:rsidR="006C6FD1" w:rsidRPr="00656B81">
        <w:t xml:space="preserve">outrage à fonctionnaire public </w:t>
      </w:r>
      <w:r w:rsidR="0057580C" w:rsidRPr="00656B81">
        <w:t>ou outrage à fonctionnaire de l’ordre judiciaire (Art. 125 et 126 du Code pénal) ou autres accusations graves souvent utilisé</w:t>
      </w:r>
      <w:r w:rsidR="00656B81">
        <w:t>e</w:t>
      </w:r>
      <w:r w:rsidR="0057580C" w:rsidRPr="00656B81">
        <w:t>s par l’ancien régime à titre de représailles contre</w:t>
      </w:r>
      <w:r>
        <w:t xml:space="preserve"> ses</w:t>
      </w:r>
      <w:r w:rsidR="0057580C" w:rsidRPr="00656B81">
        <w:t xml:space="preserve"> opposants et détracteurs.</w:t>
      </w:r>
      <w:r w:rsidR="00037A74">
        <w:t xml:space="preserve"> </w:t>
      </w:r>
      <w:r w:rsidR="00C90A67" w:rsidRPr="00656B81">
        <w:t>Une plainte a été d</w:t>
      </w:r>
      <w:r w:rsidR="002A04DF">
        <w:t>éposée</w:t>
      </w:r>
      <w:r w:rsidR="00C90A67" w:rsidRPr="00656B81">
        <w:t xml:space="preserve"> à l’encontre </w:t>
      </w:r>
      <w:r w:rsidR="00B078C9">
        <w:t xml:space="preserve">de </w:t>
      </w:r>
      <w:r w:rsidR="00C90A67" w:rsidRPr="00656B81">
        <w:t>Me Imen Triki, Me Samir Ben amor, Me Samia Abbou et Me Anouar Ouled Ali sui</w:t>
      </w:r>
      <w:r w:rsidR="006E38F0">
        <w:t>te à leur dénonciation d’abus</w:t>
      </w:r>
      <w:r w:rsidR="00C90A67" w:rsidRPr="00656B81">
        <w:t xml:space="preserve"> de pouvoir et de grands soupçons d’actes de torture perpétrés par la brigade antiterr</w:t>
      </w:r>
      <w:r w:rsidR="00B078C9">
        <w:t xml:space="preserve">oriste du Centre Gorjani. </w:t>
      </w:r>
    </w:p>
    <w:p w14:paraId="7AC5AB49" w14:textId="77777777" w:rsidR="00B078C9" w:rsidRPr="00656B81" w:rsidRDefault="00C90A67" w:rsidP="00B078C9">
      <w:pPr>
        <w:jc w:val="both"/>
      </w:pPr>
      <w:r w:rsidRPr="00656B81">
        <w:t>Me Radhia Nasraoui a fait l’objet d’une plainte suite à ses déclarations d</w:t>
      </w:r>
      <w:r w:rsidR="006E38F0">
        <w:t>énonçant certaines pratiques de</w:t>
      </w:r>
      <w:r w:rsidRPr="00656B81">
        <w:t xml:space="preserve"> médecins légistes dans</w:t>
      </w:r>
      <w:r w:rsidR="00656B81">
        <w:t xml:space="preserve"> le cadre</w:t>
      </w:r>
      <w:r w:rsidRPr="00656B81">
        <w:t xml:space="preserve"> des affaires de torture, en particulier certaines autopsies jugées</w:t>
      </w:r>
      <w:r w:rsidR="00062C56" w:rsidRPr="00656B81">
        <w:t xml:space="preserve"> excessivement</w:t>
      </w:r>
      <w:r w:rsidRPr="00656B81">
        <w:t xml:space="preserve"> sommaires.</w:t>
      </w:r>
    </w:p>
    <w:p w14:paraId="0C491AAA" w14:textId="77777777" w:rsidR="00C90A67" w:rsidRPr="00656B81" w:rsidRDefault="006E38F0" w:rsidP="006E38F0">
      <w:pPr>
        <w:jc w:val="both"/>
      </w:pPr>
      <w:r>
        <w:t>La désenchantement</w:t>
      </w:r>
      <w:r w:rsidR="00C90A67" w:rsidRPr="00656B81">
        <w:t xml:space="preserve"> des </w:t>
      </w:r>
      <w:r>
        <w:t>victimes est d’autant plus fort</w:t>
      </w:r>
      <w:r w:rsidR="00C90A67" w:rsidRPr="00656B81">
        <w:t xml:space="preserve"> lorsqu’elles constatent </w:t>
      </w:r>
      <w:r>
        <w:t xml:space="preserve">des campagnes </w:t>
      </w:r>
      <w:r w:rsidR="00C90A67" w:rsidRPr="00656B81">
        <w:t>de diffamations à l’encontre des défenseurs des droits de l’Homme allant parfois jusqu’à l’agression</w:t>
      </w:r>
      <w:r>
        <w:t>, comme a été le cas pour</w:t>
      </w:r>
      <w:r w:rsidR="00742559">
        <w:t xml:space="preserve"> Mohamed Attia et Chokri Dhouibi, membres du comité directeur </w:t>
      </w:r>
      <w:r w:rsidR="00702170">
        <w:t xml:space="preserve">de la LTDH, agressés respectivement en avril 2012 et en mai 2014 lors des manifestations, </w:t>
      </w:r>
      <w:r>
        <w:t xml:space="preserve"> pour</w:t>
      </w:r>
      <w:r w:rsidR="00C90A67" w:rsidRPr="00656B81">
        <w:t xml:space="preserve"> Héla Boujenah, agressée dans la nuit du 24 au 25 août 2014 à Sou</w:t>
      </w:r>
      <w:r>
        <w:t>sse par des agents de police, pour</w:t>
      </w:r>
      <w:r w:rsidR="00C90A67" w:rsidRPr="00656B81">
        <w:t xml:space="preserve"> Ahmed Kaâniche, agressé par des agents de polic</w:t>
      </w:r>
      <w:r>
        <w:t>e le 8 juillet 2014 à Sfax ou pour</w:t>
      </w:r>
      <w:r w:rsidR="00C90A67" w:rsidRPr="00656B81">
        <w:t xml:space="preserve"> </w:t>
      </w:r>
      <w:r>
        <w:t>l’activiste Sadok Ben Mhenni et</w:t>
      </w:r>
      <w:r w:rsidR="00037A74">
        <w:t xml:space="preserve"> </w:t>
      </w:r>
      <w:r w:rsidR="00C90A67" w:rsidRPr="00656B81">
        <w:t>sa fille</w:t>
      </w:r>
      <w:r>
        <w:t xml:space="preserve">, </w:t>
      </w:r>
      <w:r w:rsidR="00C90A67" w:rsidRPr="00656B81">
        <w:t>la blogu</w:t>
      </w:r>
      <w:r>
        <w:t>euse Lina Ben Mhenni (</w:t>
      </w:r>
      <w:r w:rsidR="00C90A67" w:rsidRPr="00656B81">
        <w:t>pourtant sous escorte policière</w:t>
      </w:r>
      <w:r>
        <w:t>)</w:t>
      </w:r>
      <w:r w:rsidR="00C90A67" w:rsidRPr="00656B81">
        <w:t xml:space="preserve"> agressés le 30 août 2014 à Djerba par des agents de police. La société civile est aussi souvent accusée de ‘sympathie ave</w:t>
      </w:r>
      <w:r>
        <w:t>c les terroristes’ en raison de sa dénonciation</w:t>
      </w:r>
      <w:r w:rsidR="00C90A67" w:rsidRPr="00656B81">
        <w:t xml:space="preserve"> de la torture et des autres attei</w:t>
      </w:r>
      <w:r>
        <w:t>ntes aux</w:t>
      </w:r>
      <w:r w:rsidR="00C90A67" w:rsidRPr="00656B81">
        <w:t xml:space="preserve"> droits de l’Homme dans le cadre des affaires de terrorisme.</w:t>
      </w:r>
    </w:p>
    <w:p w14:paraId="6B90AB12" w14:textId="77777777" w:rsidR="006D1220" w:rsidRPr="00656B81" w:rsidRDefault="00A04380" w:rsidP="005C4D2A">
      <w:pPr>
        <w:jc w:val="both"/>
      </w:pPr>
      <w:r w:rsidRPr="00656B81">
        <w:t xml:space="preserve">Les autorités devraient veiller à mettre fin à tous ces dérapages car ils constituent des freins </w:t>
      </w:r>
      <w:r w:rsidR="00640721" w:rsidRPr="00656B81">
        <w:t>au</w:t>
      </w:r>
      <w:r w:rsidRPr="00656B81">
        <w:t xml:space="preserve"> rétablissement de la confiance </w:t>
      </w:r>
      <w:r w:rsidR="00062C56" w:rsidRPr="00656B81">
        <w:t>dans les</w:t>
      </w:r>
      <w:r w:rsidRPr="00656B81">
        <w:t xml:space="preserve"> institutions de l’Etat et à la réussite de la transition démocratique</w:t>
      </w:r>
      <w:r w:rsidR="005C4D2A" w:rsidRPr="00656B81">
        <w:t>. L’enracinement d’un Etat de droit permettrait au</w:t>
      </w:r>
      <w:r w:rsidR="00247CD5" w:rsidRPr="00656B81">
        <w:t>s</w:t>
      </w:r>
      <w:r w:rsidR="005C4D2A" w:rsidRPr="00656B81">
        <w:t>si à la Tunisie de promouvoir son modèle dans la région et de mieux lutter contre les menaces de terrorisme et de déstabilisation du pays.</w:t>
      </w:r>
    </w:p>
    <w:p w14:paraId="27FFBE09" w14:textId="77777777" w:rsidR="006D1220" w:rsidRPr="00656B81" w:rsidRDefault="006D1220" w:rsidP="00BE392A">
      <w:pPr>
        <w:jc w:val="both"/>
      </w:pPr>
    </w:p>
    <w:p w14:paraId="192A39B6" w14:textId="77777777" w:rsidR="0057580C" w:rsidRPr="00656B81" w:rsidRDefault="006D1220" w:rsidP="00BE392A">
      <w:pPr>
        <w:jc w:val="both"/>
        <w:rPr>
          <w:b/>
          <w:bCs/>
        </w:rPr>
      </w:pPr>
      <w:r w:rsidRPr="00656B81">
        <w:rPr>
          <w:b/>
          <w:bCs/>
        </w:rPr>
        <w:t xml:space="preserve">Conclusion et </w:t>
      </w:r>
      <w:r w:rsidR="002821B2" w:rsidRPr="00656B81">
        <w:rPr>
          <w:b/>
          <w:bCs/>
        </w:rPr>
        <w:t>recommandations </w:t>
      </w:r>
    </w:p>
    <w:p w14:paraId="03F4B7D0" w14:textId="77777777" w:rsidR="000325DD" w:rsidRPr="00656B81" w:rsidRDefault="002821B2" w:rsidP="00BE392A">
      <w:pPr>
        <w:jc w:val="both"/>
      </w:pPr>
      <w:r w:rsidRPr="00656B81">
        <w:t xml:space="preserve">Dans ce </w:t>
      </w:r>
      <w:r w:rsidR="00367111" w:rsidRPr="00656B81">
        <w:t>contexte agité</w:t>
      </w:r>
      <w:r w:rsidR="00247CD5" w:rsidRPr="00656B81">
        <w:t>,</w:t>
      </w:r>
      <w:r w:rsidRPr="00656B81">
        <w:t xml:space="preserve"> au bilan mitigé</w:t>
      </w:r>
      <w:r w:rsidR="00367111" w:rsidRPr="00656B81">
        <w:t xml:space="preserve">, il est difficile de faire un constat catégorique sur la situation actuelle </w:t>
      </w:r>
      <w:r w:rsidRPr="00656B81">
        <w:t xml:space="preserve">en Tunisie </w:t>
      </w:r>
      <w:r w:rsidR="00367111" w:rsidRPr="00656B81">
        <w:t>et sur la prévention de la torture et des mauvais traitements.</w:t>
      </w:r>
    </w:p>
    <w:p w14:paraId="5E3C5EFB" w14:textId="77777777" w:rsidR="00367111" w:rsidRPr="00656B81" w:rsidRDefault="006E38F0" w:rsidP="00BE392A">
      <w:pPr>
        <w:jc w:val="both"/>
      </w:pPr>
      <w:r>
        <w:t>L</w:t>
      </w:r>
      <w:r w:rsidR="00367111" w:rsidRPr="00656B81">
        <w:t>a situation a</w:t>
      </w:r>
      <w:r>
        <w:t xml:space="preserve"> certes</w:t>
      </w:r>
      <w:r w:rsidR="00367111" w:rsidRPr="00656B81">
        <w:t xml:space="preserve"> changé depuis le 14 janvier 2011, mais les </w:t>
      </w:r>
      <w:r w:rsidR="002821B2" w:rsidRPr="00656B81">
        <w:t xml:space="preserve">défis </w:t>
      </w:r>
      <w:r w:rsidR="00367111" w:rsidRPr="00656B81">
        <w:t xml:space="preserve">de la lutte contre la torture et de la réussite de la transition démocratique </w:t>
      </w:r>
      <w:r>
        <w:t>continuent à être</w:t>
      </w:r>
      <w:r w:rsidR="002821B2" w:rsidRPr="00656B81">
        <w:t xml:space="preserve"> nombreux et complexes. Rien n’est</w:t>
      </w:r>
      <w:r w:rsidR="00367111" w:rsidRPr="00656B81">
        <w:t xml:space="preserve"> </w:t>
      </w:r>
      <w:r w:rsidR="002821B2" w:rsidRPr="00656B81">
        <w:t>« </w:t>
      </w:r>
      <w:r>
        <w:t>totalement</w:t>
      </w:r>
      <w:r w:rsidR="00367111" w:rsidRPr="00656B81">
        <w:t xml:space="preserve"> gagné</w:t>
      </w:r>
      <w:r w:rsidR="002821B2" w:rsidRPr="00656B81">
        <w:t> »</w:t>
      </w:r>
      <w:r w:rsidR="00367111" w:rsidRPr="00656B81">
        <w:t xml:space="preserve"> ou </w:t>
      </w:r>
      <w:r w:rsidR="002821B2" w:rsidRPr="00656B81">
        <w:t>« </w:t>
      </w:r>
      <w:r>
        <w:t>totalement</w:t>
      </w:r>
      <w:r w:rsidR="00367111" w:rsidRPr="00656B81">
        <w:t xml:space="preserve"> perdu</w:t>
      </w:r>
      <w:r w:rsidR="002821B2" w:rsidRPr="00656B81">
        <w:t> »</w:t>
      </w:r>
      <w:r w:rsidR="00367111" w:rsidRPr="00656B81">
        <w:t>.</w:t>
      </w:r>
    </w:p>
    <w:p w14:paraId="4D14BAC5" w14:textId="77777777" w:rsidR="000E46F0" w:rsidRPr="00656B81" w:rsidRDefault="00367111" w:rsidP="00B93227">
      <w:pPr>
        <w:jc w:val="both"/>
      </w:pPr>
      <w:r w:rsidRPr="00656B81">
        <w:t>Cet</w:t>
      </w:r>
      <w:r w:rsidR="000E46F0" w:rsidRPr="00656B81">
        <w:t xml:space="preserve"> examen périodique devrait être exploité au mieux par l’Etat partie </w:t>
      </w:r>
      <w:r w:rsidR="00B93227" w:rsidRPr="00656B81">
        <w:t>pour</w:t>
      </w:r>
      <w:r w:rsidR="000E46F0" w:rsidRPr="00656B81">
        <w:t xml:space="preserve"> identifi</w:t>
      </w:r>
      <w:r w:rsidR="00B93227" w:rsidRPr="00656B81">
        <w:t>er</w:t>
      </w:r>
      <w:r w:rsidR="000E46F0" w:rsidRPr="00656B81">
        <w:t xml:space="preserve"> les obstacles afin de les éliminer</w:t>
      </w:r>
      <w:r w:rsidR="002B2416" w:rsidRPr="00656B81">
        <w:t>,</w:t>
      </w:r>
      <w:r w:rsidR="000E46F0" w:rsidRPr="00656B81">
        <w:t xml:space="preserve"> et les acquis afin de les renforcer.</w:t>
      </w:r>
    </w:p>
    <w:p w14:paraId="2F4DED83" w14:textId="77777777" w:rsidR="000E46F0" w:rsidRPr="00656B81" w:rsidRDefault="002821B2" w:rsidP="006E38F0">
      <w:pPr>
        <w:jc w:val="both"/>
      </w:pPr>
      <w:r w:rsidRPr="00656B81">
        <w:t xml:space="preserve">La société civile ne peut que recommander instamment à la Tunisie de </w:t>
      </w:r>
      <w:r w:rsidR="006E38F0">
        <w:t>gard</w:t>
      </w:r>
      <w:r w:rsidR="002B2416" w:rsidRPr="00656B81">
        <w:t xml:space="preserve">er en permanence </w:t>
      </w:r>
      <w:r w:rsidR="000E46F0" w:rsidRPr="00656B81">
        <w:t>comme référence les standards internationaux, les bonnes pratiques en matière des droits de l’</w:t>
      </w:r>
      <w:r w:rsidR="002B2416" w:rsidRPr="00656B81">
        <w:t>H</w:t>
      </w:r>
      <w:r w:rsidR="000E46F0" w:rsidRPr="00656B81">
        <w:t>omme et les dispositions de la nouvelle Constitution tunisienne.</w:t>
      </w:r>
      <w:r w:rsidR="002B2416" w:rsidRPr="00656B81">
        <w:t xml:space="preserve"> </w:t>
      </w:r>
      <w:r w:rsidR="000E46F0" w:rsidRPr="00656B81">
        <w:t>L’esprit et la lettre de la Constitutio</w:t>
      </w:r>
      <w:r w:rsidR="006E38F0">
        <w:t>n devraient être mis en œuvre dans la</w:t>
      </w:r>
      <w:r w:rsidR="000E46F0" w:rsidRPr="00656B81">
        <w:t xml:space="preserve"> pratique et dans les meilleurs délais.</w:t>
      </w:r>
    </w:p>
    <w:p w14:paraId="5B9D7B2D" w14:textId="77777777" w:rsidR="00A60EEC" w:rsidRPr="00656B81" w:rsidRDefault="000E46F0" w:rsidP="00987BD0">
      <w:pPr>
        <w:jc w:val="both"/>
      </w:pPr>
      <w:r w:rsidRPr="00656B81">
        <w:t>Ainsi,  nous recommandons à l’Etat partie ce qui suit :</w:t>
      </w:r>
    </w:p>
    <w:p w14:paraId="438B5D37" w14:textId="77777777" w:rsidR="00A60EEC" w:rsidRPr="00656B81" w:rsidRDefault="00A60EEC" w:rsidP="00A60EEC">
      <w:pPr>
        <w:pStyle w:val="ColorfulList-Accent11"/>
        <w:numPr>
          <w:ilvl w:val="0"/>
          <w:numId w:val="2"/>
        </w:numPr>
        <w:jc w:val="both"/>
        <w:rPr>
          <w:b/>
          <w:bCs/>
        </w:rPr>
      </w:pPr>
      <w:r w:rsidRPr="00656B81">
        <w:rPr>
          <w:b/>
          <w:bCs/>
        </w:rPr>
        <w:t>Mettre en conformité l’article 101 bis du Code pénal avec l’article premier de la Convention contre la torture et autres peines ou traitements cruels, inhumains ou dégradants.</w:t>
      </w:r>
    </w:p>
    <w:p w14:paraId="5483E816" w14:textId="77777777" w:rsidR="00A60EEC" w:rsidRPr="00656B81" w:rsidRDefault="006E38F0" w:rsidP="00A60EEC">
      <w:pPr>
        <w:pStyle w:val="ColorfulList-Accent11"/>
        <w:numPr>
          <w:ilvl w:val="0"/>
          <w:numId w:val="2"/>
        </w:numPr>
        <w:jc w:val="both"/>
        <w:rPr>
          <w:b/>
          <w:bCs/>
        </w:rPr>
      </w:pPr>
      <w:r>
        <w:rPr>
          <w:b/>
          <w:bCs/>
        </w:rPr>
        <w:t>Déclarer</w:t>
      </w:r>
      <w:r w:rsidR="00A60EEC" w:rsidRPr="00656B81">
        <w:rPr>
          <w:b/>
          <w:bCs/>
        </w:rPr>
        <w:t xml:space="preserve"> la pratique des disparitions forcées un crime puni par la loi.</w:t>
      </w:r>
    </w:p>
    <w:p w14:paraId="636B7D6A" w14:textId="77777777" w:rsidR="00A60EEC" w:rsidRDefault="00A60EEC" w:rsidP="00A60EEC">
      <w:pPr>
        <w:pStyle w:val="ColorfulList-Accent11"/>
        <w:numPr>
          <w:ilvl w:val="0"/>
          <w:numId w:val="2"/>
        </w:numPr>
        <w:jc w:val="both"/>
        <w:rPr>
          <w:b/>
          <w:bCs/>
        </w:rPr>
      </w:pPr>
      <w:r w:rsidRPr="00656B81">
        <w:rPr>
          <w:b/>
          <w:bCs/>
        </w:rPr>
        <w:t xml:space="preserve">Continuer le moratoire sur la peine capitale et ratifier le deuxième protocole facultatif </w:t>
      </w:r>
      <w:r w:rsidR="00864E75" w:rsidRPr="00656B81">
        <w:rPr>
          <w:b/>
          <w:bCs/>
        </w:rPr>
        <w:t>au pacte international relatif aux droits civils et politiques sur la peine de mort.</w:t>
      </w:r>
    </w:p>
    <w:p w14:paraId="2DB73B27" w14:textId="77777777" w:rsidR="00EA2623" w:rsidRDefault="006E38F0" w:rsidP="006E38F0">
      <w:pPr>
        <w:pStyle w:val="ColorfulList-Accent11"/>
        <w:numPr>
          <w:ilvl w:val="0"/>
          <w:numId w:val="2"/>
        </w:numPr>
        <w:jc w:val="both"/>
        <w:rPr>
          <w:b/>
          <w:bCs/>
        </w:rPr>
      </w:pPr>
      <w:r>
        <w:rPr>
          <w:b/>
          <w:bCs/>
        </w:rPr>
        <w:t>Procéde</w:t>
      </w:r>
      <w:r w:rsidR="00EA2623">
        <w:rPr>
          <w:b/>
          <w:bCs/>
        </w:rPr>
        <w:t xml:space="preserve">r </w:t>
      </w:r>
      <w:r w:rsidR="00EA2623" w:rsidRPr="00EA2623">
        <w:rPr>
          <w:b/>
          <w:bCs/>
        </w:rPr>
        <w:t>la déclaration facultative d’acceptation de la juridiction obligatoire de la Cour africaine pour connaitre des r</w:t>
      </w:r>
      <w:r>
        <w:rPr>
          <w:b/>
          <w:bCs/>
        </w:rPr>
        <w:t>equêtes émanant d’</w:t>
      </w:r>
      <w:r w:rsidR="00EA2623" w:rsidRPr="00EA2623">
        <w:rPr>
          <w:b/>
          <w:bCs/>
        </w:rPr>
        <w:t>individus ou d’ONG</w:t>
      </w:r>
      <w:r w:rsidR="00EA2623">
        <w:rPr>
          <w:b/>
          <w:bCs/>
        </w:rPr>
        <w:t>.</w:t>
      </w:r>
    </w:p>
    <w:p w14:paraId="6965135E" w14:textId="77777777" w:rsidR="00EA2623" w:rsidRPr="00656B81" w:rsidRDefault="00EA2623" w:rsidP="00334AF3">
      <w:pPr>
        <w:pStyle w:val="ColorfulList-Accent11"/>
        <w:numPr>
          <w:ilvl w:val="0"/>
          <w:numId w:val="2"/>
        </w:numPr>
        <w:jc w:val="both"/>
        <w:rPr>
          <w:b/>
          <w:bCs/>
        </w:rPr>
      </w:pPr>
      <w:r>
        <w:rPr>
          <w:b/>
          <w:bCs/>
        </w:rPr>
        <w:t>Respecter les décisi</w:t>
      </w:r>
      <w:r w:rsidR="00963454">
        <w:rPr>
          <w:b/>
          <w:bCs/>
        </w:rPr>
        <w:t>ons du Comité contre la torture et la périodicité de quatre ans</w:t>
      </w:r>
      <w:r w:rsidR="006E38F0">
        <w:rPr>
          <w:b/>
          <w:bCs/>
        </w:rPr>
        <w:t xml:space="preserve"> pour l’établissement</w:t>
      </w:r>
      <w:r w:rsidR="00963454">
        <w:rPr>
          <w:b/>
          <w:bCs/>
        </w:rPr>
        <w:t xml:space="preserve"> des rapports périodiques.</w:t>
      </w:r>
    </w:p>
    <w:p w14:paraId="65A4F2EF" w14:textId="77777777" w:rsidR="00864E75" w:rsidRPr="00656B81" w:rsidRDefault="00864E75" w:rsidP="00A60EEC">
      <w:pPr>
        <w:pStyle w:val="ColorfulList-Accent11"/>
        <w:numPr>
          <w:ilvl w:val="0"/>
          <w:numId w:val="2"/>
        </w:numPr>
        <w:jc w:val="both"/>
        <w:rPr>
          <w:b/>
          <w:bCs/>
        </w:rPr>
      </w:pPr>
      <w:r w:rsidRPr="00656B81">
        <w:rPr>
          <w:b/>
          <w:bCs/>
        </w:rPr>
        <w:t>Effectuer un audit spécifique sur les affaires de torture et de mauvais traitements afin de déceler les raisons de dysfonctionnement de la justice.</w:t>
      </w:r>
    </w:p>
    <w:p w14:paraId="0408A959" w14:textId="77777777" w:rsidR="00B77614" w:rsidRPr="00656B81" w:rsidRDefault="00B77614" w:rsidP="006E38F0">
      <w:pPr>
        <w:pStyle w:val="ColorfulList-Accent11"/>
        <w:numPr>
          <w:ilvl w:val="0"/>
          <w:numId w:val="2"/>
        </w:numPr>
        <w:jc w:val="both"/>
        <w:rPr>
          <w:b/>
          <w:bCs/>
        </w:rPr>
      </w:pPr>
      <w:r w:rsidRPr="00656B81">
        <w:rPr>
          <w:b/>
          <w:bCs/>
        </w:rPr>
        <w:t>Mettre</w:t>
      </w:r>
      <w:r w:rsidR="006E38F0">
        <w:rPr>
          <w:b/>
          <w:bCs/>
        </w:rPr>
        <w:t xml:space="preserve"> en place </w:t>
      </w:r>
      <w:r w:rsidRPr="00656B81">
        <w:rPr>
          <w:b/>
          <w:bCs/>
        </w:rPr>
        <w:t>un dis</w:t>
      </w:r>
      <w:r w:rsidR="006E38F0">
        <w:rPr>
          <w:b/>
          <w:bCs/>
        </w:rPr>
        <w:t>positif numérique permettant la</w:t>
      </w:r>
      <w:r w:rsidRPr="00656B81">
        <w:rPr>
          <w:b/>
          <w:bCs/>
        </w:rPr>
        <w:t xml:space="preserve"> visibilité et </w:t>
      </w:r>
      <w:r w:rsidR="006E38F0">
        <w:rPr>
          <w:b/>
          <w:bCs/>
        </w:rPr>
        <w:t>l’</w:t>
      </w:r>
      <w:r w:rsidRPr="00656B81">
        <w:rPr>
          <w:b/>
          <w:bCs/>
        </w:rPr>
        <w:t xml:space="preserve">accessibilité </w:t>
      </w:r>
      <w:r w:rsidR="00DB484D" w:rsidRPr="00656B81">
        <w:rPr>
          <w:b/>
          <w:bCs/>
        </w:rPr>
        <w:t>des affaires traité</w:t>
      </w:r>
      <w:r w:rsidR="00F57A65" w:rsidRPr="00656B81">
        <w:rPr>
          <w:b/>
          <w:bCs/>
        </w:rPr>
        <w:t>e</w:t>
      </w:r>
      <w:r w:rsidR="00DB484D" w:rsidRPr="00656B81">
        <w:rPr>
          <w:b/>
          <w:bCs/>
        </w:rPr>
        <w:t xml:space="preserve">s par les </w:t>
      </w:r>
      <w:r w:rsidRPr="00656B81">
        <w:rPr>
          <w:b/>
          <w:bCs/>
        </w:rPr>
        <w:t xml:space="preserve">tribunaux. </w:t>
      </w:r>
    </w:p>
    <w:p w14:paraId="5B556BBC" w14:textId="77777777" w:rsidR="00B77614" w:rsidRPr="00656B81" w:rsidRDefault="006E38F0" w:rsidP="006E38F0">
      <w:pPr>
        <w:pStyle w:val="ColorfulList-Accent11"/>
        <w:numPr>
          <w:ilvl w:val="0"/>
          <w:numId w:val="2"/>
        </w:numPr>
        <w:jc w:val="both"/>
        <w:rPr>
          <w:b/>
          <w:bCs/>
        </w:rPr>
      </w:pPr>
      <w:r>
        <w:rPr>
          <w:b/>
          <w:bCs/>
        </w:rPr>
        <w:t xml:space="preserve">Généraliser </w:t>
      </w:r>
      <w:r w:rsidR="00B77614" w:rsidRPr="00656B81">
        <w:rPr>
          <w:b/>
          <w:bCs/>
        </w:rPr>
        <w:t>l’institution du substitut du procureur chargé des</w:t>
      </w:r>
      <w:r>
        <w:rPr>
          <w:b/>
          <w:bCs/>
        </w:rPr>
        <w:t xml:space="preserve"> affaires de torture dans tous les tribunaux</w:t>
      </w:r>
      <w:r w:rsidR="00B77614" w:rsidRPr="00656B81">
        <w:rPr>
          <w:b/>
          <w:bCs/>
        </w:rPr>
        <w:t xml:space="preserve"> de première instance.</w:t>
      </w:r>
    </w:p>
    <w:p w14:paraId="7712F22C" w14:textId="77777777" w:rsidR="003458BD" w:rsidRPr="00656B81" w:rsidRDefault="003458BD" w:rsidP="00A60EEC">
      <w:pPr>
        <w:pStyle w:val="ColorfulList-Accent11"/>
        <w:numPr>
          <w:ilvl w:val="0"/>
          <w:numId w:val="2"/>
        </w:numPr>
        <w:jc w:val="both"/>
        <w:rPr>
          <w:b/>
          <w:bCs/>
        </w:rPr>
      </w:pPr>
      <w:r w:rsidRPr="00656B81">
        <w:rPr>
          <w:b/>
          <w:bCs/>
        </w:rPr>
        <w:t>Prévoir une législation pour la protection des témoins et des victimes.</w:t>
      </w:r>
    </w:p>
    <w:p w14:paraId="2CE16AE3" w14:textId="77777777" w:rsidR="00B77614" w:rsidRPr="00656B81" w:rsidRDefault="006E38F0" w:rsidP="00A60EEC">
      <w:pPr>
        <w:pStyle w:val="ColorfulList-Accent11"/>
        <w:numPr>
          <w:ilvl w:val="0"/>
          <w:numId w:val="2"/>
        </w:numPr>
        <w:jc w:val="both"/>
        <w:rPr>
          <w:b/>
          <w:bCs/>
        </w:rPr>
      </w:pPr>
      <w:r>
        <w:rPr>
          <w:b/>
          <w:bCs/>
        </w:rPr>
        <w:t>Instituer</w:t>
      </w:r>
      <w:r w:rsidR="00B77614" w:rsidRPr="00656B81">
        <w:rPr>
          <w:b/>
          <w:bCs/>
        </w:rPr>
        <w:t xml:space="preserve"> l’accès à l’avocat dès les premières heures de la garde à vue et assurer une bonne application de la réforme du régime de la garde à vue.</w:t>
      </w:r>
    </w:p>
    <w:p w14:paraId="5ECE4554" w14:textId="77777777" w:rsidR="001C3EB0" w:rsidRPr="00656B81" w:rsidRDefault="006E38F0" w:rsidP="00A60EEC">
      <w:pPr>
        <w:pStyle w:val="ColorfulList-Accent11"/>
        <w:numPr>
          <w:ilvl w:val="0"/>
          <w:numId w:val="2"/>
        </w:numPr>
        <w:jc w:val="both"/>
        <w:rPr>
          <w:b/>
          <w:bCs/>
        </w:rPr>
      </w:pPr>
      <w:r>
        <w:rPr>
          <w:b/>
          <w:bCs/>
        </w:rPr>
        <w:t>Rattacher</w:t>
      </w:r>
      <w:r w:rsidR="001C3EB0" w:rsidRPr="00656B81">
        <w:rPr>
          <w:b/>
          <w:bCs/>
        </w:rPr>
        <w:t xml:space="preserve"> la poli</w:t>
      </w:r>
      <w:r>
        <w:rPr>
          <w:b/>
          <w:bCs/>
        </w:rPr>
        <w:t>ce judiciaire à</w:t>
      </w:r>
      <w:r w:rsidR="001C3EB0" w:rsidRPr="00656B81">
        <w:rPr>
          <w:b/>
          <w:bCs/>
        </w:rPr>
        <w:t xml:space="preserve"> la tutelle du pouvoir judiciaire.</w:t>
      </w:r>
    </w:p>
    <w:p w14:paraId="2A469091" w14:textId="77777777" w:rsidR="001C3EB0" w:rsidRPr="00656B81" w:rsidRDefault="001C3EB0" w:rsidP="00A60EEC">
      <w:pPr>
        <w:pStyle w:val="ColorfulList-Accent11"/>
        <w:numPr>
          <w:ilvl w:val="0"/>
          <w:numId w:val="2"/>
        </w:numPr>
        <w:jc w:val="both"/>
        <w:rPr>
          <w:b/>
          <w:bCs/>
        </w:rPr>
      </w:pPr>
      <w:r w:rsidRPr="00656B81">
        <w:rPr>
          <w:b/>
          <w:bCs/>
        </w:rPr>
        <w:t>Assurer un contrôle sur les enquêtes de la police judiciaire notamment par</w:t>
      </w:r>
      <w:r w:rsidR="00D40A34">
        <w:rPr>
          <w:b/>
          <w:bCs/>
        </w:rPr>
        <w:t xml:space="preserve"> le biais des procureurs de la R</w:t>
      </w:r>
      <w:r w:rsidRPr="00656B81">
        <w:rPr>
          <w:b/>
          <w:bCs/>
        </w:rPr>
        <w:t>épublique, q</w:t>
      </w:r>
      <w:r w:rsidR="006E38F0">
        <w:rPr>
          <w:b/>
          <w:bCs/>
        </w:rPr>
        <w:t>ui doivent eux même être indépendants</w:t>
      </w:r>
      <w:r w:rsidRPr="00656B81">
        <w:rPr>
          <w:b/>
          <w:bCs/>
        </w:rPr>
        <w:t xml:space="preserve"> par rapport au pouvoir exécutif. </w:t>
      </w:r>
    </w:p>
    <w:p w14:paraId="7024D77A" w14:textId="77777777" w:rsidR="00864E75" w:rsidRPr="00656B81" w:rsidRDefault="00864E75" w:rsidP="00A60EEC">
      <w:pPr>
        <w:pStyle w:val="ColorfulList-Accent11"/>
        <w:numPr>
          <w:ilvl w:val="0"/>
          <w:numId w:val="2"/>
        </w:numPr>
        <w:jc w:val="both"/>
        <w:rPr>
          <w:b/>
          <w:bCs/>
        </w:rPr>
      </w:pPr>
      <w:r w:rsidRPr="00656B81">
        <w:rPr>
          <w:b/>
          <w:bCs/>
        </w:rPr>
        <w:t xml:space="preserve">Mettre en place l’instance nationale pour la prévention de la torture et lui assurer tous les moyens </w:t>
      </w:r>
      <w:r w:rsidR="00B93227" w:rsidRPr="00656B81">
        <w:rPr>
          <w:b/>
          <w:bCs/>
        </w:rPr>
        <w:t>nécessaires</w:t>
      </w:r>
      <w:r w:rsidRPr="00656B81">
        <w:rPr>
          <w:b/>
          <w:bCs/>
        </w:rPr>
        <w:t xml:space="preserve"> pour son bon fonctionnement.</w:t>
      </w:r>
    </w:p>
    <w:p w14:paraId="506B4421" w14:textId="77777777" w:rsidR="00864E75" w:rsidRPr="00656B81" w:rsidRDefault="00864E75" w:rsidP="00A60EEC">
      <w:pPr>
        <w:pStyle w:val="ColorfulList-Accent11"/>
        <w:numPr>
          <w:ilvl w:val="0"/>
          <w:numId w:val="2"/>
        </w:numPr>
        <w:jc w:val="both"/>
        <w:rPr>
          <w:b/>
          <w:bCs/>
        </w:rPr>
      </w:pPr>
      <w:r w:rsidRPr="00656B81">
        <w:rPr>
          <w:b/>
          <w:bCs/>
        </w:rPr>
        <w:t>Mettre en place l’instance des droits de l’homme conformément aux dispositions de la Constitution et aux principes de Paris.</w:t>
      </w:r>
    </w:p>
    <w:p w14:paraId="3E21738A" w14:textId="77777777" w:rsidR="00864E75" w:rsidRPr="00656B81" w:rsidRDefault="00864E75" w:rsidP="00CA302E">
      <w:pPr>
        <w:pStyle w:val="ColorfulList-Accent11"/>
        <w:numPr>
          <w:ilvl w:val="0"/>
          <w:numId w:val="2"/>
        </w:numPr>
        <w:jc w:val="both"/>
        <w:rPr>
          <w:b/>
          <w:bCs/>
        </w:rPr>
      </w:pPr>
      <w:r w:rsidRPr="00656B81">
        <w:rPr>
          <w:b/>
          <w:bCs/>
        </w:rPr>
        <w:t>Réformer la loi organique organisant</w:t>
      </w:r>
      <w:r w:rsidR="006E38F0">
        <w:rPr>
          <w:b/>
          <w:bCs/>
        </w:rPr>
        <w:t xml:space="preserve"> les prisons qu’il y soit inclue des mécanismes assurant le</w:t>
      </w:r>
      <w:r w:rsidRPr="00656B81">
        <w:rPr>
          <w:b/>
          <w:bCs/>
        </w:rPr>
        <w:t xml:space="preserve"> traitement des réclamati</w:t>
      </w:r>
      <w:r w:rsidR="006E38F0">
        <w:rPr>
          <w:b/>
          <w:bCs/>
        </w:rPr>
        <w:t>ons des détenus, qu’elle élargisse</w:t>
      </w:r>
      <w:r w:rsidRPr="00656B81">
        <w:rPr>
          <w:b/>
          <w:bCs/>
        </w:rPr>
        <w:t xml:space="preserve"> la liste des personnes </w:t>
      </w:r>
      <w:r w:rsidR="00CA302E">
        <w:rPr>
          <w:b/>
          <w:bCs/>
        </w:rPr>
        <w:t>bénéficiaires du droit</w:t>
      </w:r>
      <w:r w:rsidRPr="00656B81">
        <w:rPr>
          <w:b/>
          <w:bCs/>
        </w:rPr>
        <w:t xml:space="preserve"> à visite</w:t>
      </w:r>
      <w:r w:rsidR="00CA302E">
        <w:rPr>
          <w:b/>
          <w:bCs/>
        </w:rPr>
        <w:t>r les détenus et qu’elle garantisse le droit d</w:t>
      </w:r>
      <w:r w:rsidRPr="00656B81">
        <w:rPr>
          <w:b/>
          <w:bCs/>
        </w:rPr>
        <w:t>’accès à l’avocat pour le détenu en cours d’exécution de sa peine sans autorisation préalable.</w:t>
      </w:r>
    </w:p>
    <w:p w14:paraId="245A4EE6" w14:textId="77777777" w:rsidR="00DB484D" w:rsidRPr="00656B81" w:rsidRDefault="00CA302E" w:rsidP="00CA302E">
      <w:pPr>
        <w:pStyle w:val="ColorfulList-Accent11"/>
        <w:numPr>
          <w:ilvl w:val="0"/>
          <w:numId w:val="2"/>
        </w:numPr>
        <w:jc w:val="both"/>
        <w:rPr>
          <w:b/>
          <w:bCs/>
        </w:rPr>
      </w:pPr>
      <w:r>
        <w:rPr>
          <w:b/>
          <w:bCs/>
        </w:rPr>
        <w:t xml:space="preserve">Mobiliser </w:t>
      </w:r>
      <w:r w:rsidR="00963454">
        <w:rPr>
          <w:b/>
          <w:bCs/>
        </w:rPr>
        <w:t>les moyens</w:t>
      </w:r>
      <w:r>
        <w:rPr>
          <w:b/>
          <w:bCs/>
        </w:rPr>
        <w:t xml:space="preserve"> nécessaires</w:t>
      </w:r>
      <w:r w:rsidR="00963454">
        <w:rPr>
          <w:b/>
          <w:bCs/>
        </w:rPr>
        <w:t xml:space="preserve"> pour </w:t>
      </w:r>
      <w:r w:rsidR="00DB484D" w:rsidRPr="00656B81">
        <w:rPr>
          <w:b/>
          <w:bCs/>
        </w:rPr>
        <w:t>améliorer les conditions de travail, l’infrastructure et les services offerts aux détenus dans les prisons.</w:t>
      </w:r>
    </w:p>
    <w:p w14:paraId="37919842" w14:textId="77777777" w:rsidR="00F57A65" w:rsidRPr="00656B81" w:rsidRDefault="00D86712" w:rsidP="00F57A65">
      <w:pPr>
        <w:pStyle w:val="ColorfulList-Accent11"/>
        <w:numPr>
          <w:ilvl w:val="0"/>
          <w:numId w:val="2"/>
        </w:numPr>
        <w:rPr>
          <w:b/>
          <w:bCs/>
        </w:rPr>
      </w:pPr>
      <w:r w:rsidRPr="00656B81">
        <w:rPr>
          <w:b/>
          <w:bCs/>
        </w:rPr>
        <w:t xml:space="preserve">Mettre le </w:t>
      </w:r>
      <w:r w:rsidR="00F57A65" w:rsidRPr="00656B81">
        <w:rPr>
          <w:b/>
          <w:bCs/>
        </w:rPr>
        <w:t xml:space="preserve">personnel médical opérationnel dans les prisons sous la tutelle du </w:t>
      </w:r>
      <w:r w:rsidR="00D40A34">
        <w:rPr>
          <w:b/>
          <w:bCs/>
        </w:rPr>
        <w:t>m</w:t>
      </w:r>
      <w:r w:rsidRPr="00656B81">
        <w:rPr>
          <w:b/>
          <w:bCs/>
        </w:rPr>
        <w:t xml:space="preserve">inistère </w:t>
      </w:r>
      <w:r w:rsidR="00D40A34">
        <w:rPr>
          <w:b/>
          <w:bCs/>
        </w:rPr>
        <w:t>de la S</w:t>
      </w:r>
      <w:r w:rsidR="00F57A65" w:rsidRPr="00656B81">
        <w:rPr>
          <w:b/>
          <w:bCs/>
        </w:rPr>
        <w:t>anté</w:t>
      </w:r>
      <w:r w:rsidRPr="00656B81">
        <w:rPr>
          <w:b/>
          <w:bCs/>
        </w:rPr>
        <w:t>, qui</w:t>
      </w:r>
      <w:r w:rsidR="00F57A65" w:rsidRPr="00656B81">
        <w:rPr>
          <w:b/>
          <w:bCs/>
        </w:rPr>
        <w:t xml:space="preserve"> doit avoir la charge de la santé pénitentiaire.</w:t>
      </w:r>
    </w:p>
    <w:p w14:paraId="678AF97C" w14:textId="77777777" w:rsidR="00864E75" w:rsidRPr="00656B81" w:rsidRDefault="00864E75" w:rsidP="00D86712">
      <w:pPr>
        <w:pStyle w:val="ColorfulList-Accent11"/>
        <w:numPr>
          <w:ilvl w:val="0"/>
          <w:numId w:val="2"/>
        </w:numPr>
        <w:jc w:val="both"/>
        <w:rPr>
          <w:b/>
          <w:bCs/>
        </w:rPr>
      </w:pPr>
      <w:r w:rsidRPr="00656B81">
        <w:rPr>
          <w:b/>
          <w:bCs/>
        </w:rPr>
        <w:t>Rendre les lieux de privation de liberté des endroits plus ouverts au monde extérieur et aux interventions de la société civile.</w:t>
      </w:r>
    </w:p>
    <w:p w14:paraId="5991FE42" w14:textId="77777777" w:rsidR="00DB484D" w:rsidRPr="00656B81" w:rsidRDefault="005643C4" w:rsidP="005643C4">
      <w:pPr>
        <w:pStyle w:val="ColorfulList-Accent11"/>
        <w:numPr>
          <w:ilvl w:val="0"/>
          <w:numId w:val="2"/>
        </w:numPr>
        <w:jc w:val="both"/>
        <w:rPr>
          <w:b/>
          <w:bCs/>
        </w:rPr>
      </w:pPr>
      <w:r>
        <w:rPr>
          <w:b/>
          <w:bCs/>
        </w:rPr>
        <w:t>Renforcer l’effectif des</w:t>
      </w:r>
      <w:r w:rsidR="00DB484D" w:rsidRPr="00656B81">
        <w:rPr>
          <w:b/>
          <w:bCs/>
        </w:rPr>
        <w:t xml:space="preserve"> juge</w:t>
      </w:r>
      <w:r>
        <w:rPr>
          <w:b/>
          <w:bCs/>
        </w:rPr>
        <w:t>s</w:t>
      </w:r>
      <w:r w:rsidR="00DB484D" w:rsidRPr="00656B81">
        <w:rPr>
          <w:b/>
          <w:bCs/>
        </w:rPr>
        <w:t xml:space="preserve"> d’exécution des peines</w:t>
      </w:r>
      <w:r>
        <w:rPr>
          <w:b/>
          <w:bCs/>
        </w:rPr>
        <w:t xml:space="preserve"> (JEP) et élargir leurs prérogatives. L’activité du JEP</w:t>
      </w:r>
      <w:r w:rsidR="00DB484D" w:rsidRPr="00656B81">
        <w:rPr>
          <w:b/>
          <w:bCs/>
        </w:rPr>
        <w:t xml:space="preserve"> doit être dédié</w:t>
      </w:r>
      <w:r>
        <w:rPr>
          <w:b/>
          <w:bCs/>
        </w:rPr>
        <w:t>e</w:t>
      </w:r>
      <w:r w:rsidR="00DB484D" w:rsidRPr="00656B81">
        <w:rPr>
          <w:b/>
          <w:bCs/>
        </w:rPr>
        <w:t xml:space="preserve"> à cette fonction.</w:t>
      </w:r>
    </w:p>
    <w:p w14:paraId="50D41F9D" w14:textId="77777777" w:rsidR="00DB484D" w:rsidRDefault="00DB484D" w:rsidP="00A60EEC">
      <w:pPr>
        <w:pStyle w:val="ColorfulList-Accent11"/>
        <w:numPr>
          <w:ilvl w:val="0"/>
          <w:numId w:val="2"/>
        </w:numPr>
        <w:jc w:val="both"/>
        <w:rPr>
          <w:b/>
          <w:bCs/>
        </w:rPr>
      </w:pPr>
      <w:r w:rsidRPr="00656B81">
        <w:rPr>
          <w:b/>
          <w:bCs/>
        </w:rPr>
        <w:t xml:space="preserve">Lutter contre la surpopulation carcérale notamment en limitant le recours aux détentions préventives, en ayant recours aux peines alternatives et en réformant la loi </w:t>
      </w:r>
      <w:r w:rsidR="002034D5" w:rsidRPr="00656B81">
        <w:rPr>
          <w:b/>
          <w:bCs/>
        </w:rPr>
        <w:t xml:space="preserve">52 </w:t>
      </w:r>
      <w:r w:rsidRPr="00656B81">
        <w:rPr>
          <w:b/>
          <w:bCs/>
        </w:rPr>
        <w:t>relative aux stu</w:t>
      </w:r>
      <w:r w:rsidR="002034D5" w:rsidRPr="00656B81">
        <w:rPr>
          <w:b/>
          <w:bCs/>
        </w:rPr>
        <w:t>péfiants.</w:t>
      </w:r>
    </w:p>
    <w:p w14:paraId="74CDAA9D" w14:textId="77777777" w:rsidR="00963454" w:rsidRPr="00656B81" w:rsidRDefault="00963454" w:rsidP="00963454">
      <w:pPr>
        <w:pStyle w:val="ColorfulList-Accent11"/>
        <w:numPr>
          <w:ilvl w:val="0"/>
          <w:numId w:val="2"/>
        </w:numPr>
        <w:jc w:val="both"/>
        <w:rPr>
          <w:b/>
          <w:bCs/>
        </w:rPr>
      </w:pPr>
      <w:r w:rsidRPr="00963454">
        <w:rPr>
          <w:b/>
          <w:bCs/>
        </w:rPr>
        <w:t>Assurer la sécurité et la protection des magistrats</w:t>
      </w:r>
      <w:r>
        <w:rPr>
          <w:b/>
          <w:bCs/>
        </w:rPr>
        <w:t>.</w:t>
      </w:r>
    </w:p>
    <w:p w14:paraId="11174E69" w14:textId="77777777" w:rsidR="00DB484D" w:rsidRPr="00656B81" w:rsidRDefault="00DB484D" w:rsidP="00A60EEC">
      <w:pPr>
        <w:pStyle w:val="ColorfulList-Accent11"/>
        <w:numPr>
          <w:ilvl w:val="0"/>
          <w:numId w:val="2"/>
        </w:numPr>
        <w:jc w:val="both"/>
        <w:rPr>
          <w:b/>
          <w:bCs/>
        </w:rPr>
      </w:pPr>
      <w:r w:rsidRPr="00656B81">
        <w:rPr>
          <w:b/>
          <w:bCs/>
        </w:rPr>
        <w:t>Prévoir des formations continues</w:t>
      </w:r>
      <w:r w:rsidR="00CA302E">
        <w:rPr>
          <w:b/>
          <w:bCs/>
        </w:rPr>
        <w:t xml:space="preserve"> sur le Protocole d’Istanbul</w:t>
      </w:r>
      <w:r w:rsidRPr="00656B81">
        <w:rPr>
          <w:b/>
          <w:bCs/>
        </w:rPr>
        <w:t xml:space="preserve"> </w:t>
      </w:r>
      <w:r w:rsidR="00D86712" w:rsidRPr="00656B81">
        <w:rPr>
          <w:b/>
          <w:bCs/>
        </w:rPr>
        <w:t>pour</w:t>
      </w:r>
      <w:r w:rsidR="00CA302E">
        <w:rPr>
          <w:b/>
          <w:bCs/>
        </w:rPr>
        <w:t xml:space="preserve"> les</w:t>
      </w:r>
      <w:r w:rsidR="00D86712" w:rsidRPr="00656B81">
        <w:rPr>
          <w:b/>
          <w:bCs/>
        </w:rPr>
        <w:t xml:space="preserve"> </w:t>
      </w:r>
      <w:r w:rsidRPr="00656B81">
        <w:rPr>
          <w:b/>
          <w:bCs/>
        </w:rPr>
        <w:t xml:space="preserve">procureurs, </w:t>
      </w:r>
      <w:r w:rsidR="00CA302E">
        <w:rPr>
          <w:b/>
          <w:bCs/>
        </w:rPr>
        <w:t xml:space="preserve">les </w:t>
      </w:r>
      <w:r w:rsidRPr="00656B81">
        <w:rPr>
          <w:b/>
          <w:bCs/>
        </w:rPr>
        <w:t xml:space="preserve">magistrats, </w:t>
      </w:r>
      <w:r w:rsidR="00CA302E">
        <w:rPr>
          <w:b/>
          <w:bCs/>
        </w:rPr>
        <w:t xml:space="preserve"> les médecins légistes et les </w:t>
      </w:r>
      <w:r w:rsidRPr="00656B81">
        <w:rPr>
          <w:b/>
          <w:bCs/>
        </w:rPr>
        <w:t>médec</w:t>
      </w:r>
      <w:r w:rsidR="00CA302E">
        <w:rPr>
          <w:b/>
          <w:bCs/>
        </w:rPr>
        <w:t>ins experts judiciaires</w:t>
      </w:r>
      <w:r w:rsidRPr="00656B81">
        <w:rPr>
          <w:b/>
          <w:bCs/>
        </w:rPr>
        <w:t>.</w:t>
      </w:r>
    </w:p>
    <w:p w14:paraId="4627D1E9" w14:textId="77777777" w:rsidR="00DB484D" w:rsidRPr="00656B81" w:rsidRDefault="00DB484D" w:rsidP="00A60EEC">
      <w:pPr>
        <w:pStyle w:val="ColorfulList-Accent11"/>
        <w:numPr>
          <w:ilvl w:val="0"/>
          <w:numId w:val="2"/>
        </w:numPr>
        <w:jc w:val="both"/>
        <w:rPr>
          <w:b/>
          <w:bCs/>
        </w:rPr>
      </w:pPr>
      <w:r w:rsidRPr="00656B81">
        <w:rPr>
          <w:b/>
          <w:bCs/>
        </w:rPr>
        <w:t>Encourager les magistrats à toujours se référer au Conven</w:t>
      </w:r>
      <w:r w:rsidR="00CA302E">
        <w:rPr>
          <w:b/>
          <w:bCs/>
        </w:rPr>
        <w:t>tions internationales dûment</w:t>
      </w:r>
      <w:r w:rsidRPr="00656B81">
        <w:rPr>
          <w:b/>
          <w:bCs/>
        </w:rPr>
        <w:t xml:space="preserve"> ratifié</w:t>
      </w:r>
      <w:r w:rsidR="00D40A34">
        <w:rPr>
          <w:b/>
          <w:bCs/>
        </w:rPr>
        <w:t>e</w:t>
      </w:r>
      <w:r w:rsidRPr="00656B81">
        <w:rPr>
          <w:b/>
          <w:bCs/>
        </w:rPr>
        <w:t>s par la Tunisie.</w:t>
      </w:r>
    </w:p>
    <w:p w14:paraId="00ACA13A" w14:textId="77777777" w:rsidR="00B77614" w:rsidRPr="00656B81" w:rsidRDefault="00CA302E" w:rsidP="00CA302E">
      <w:pPr>
        <w:pStyle w:val="ColorfulList-Accent11"/>
        <w:numPr>
          <w:ilvl w:val="0"/>
          <w:numId w:val="2"/>
        </w:numPr>
        <w:jc w:val="both"/>
        <w:rPr>
          <w:b/>
          <w:bCs/>
        </w:rPr>
      </w:pPr>
      <w:r>
        <w:rPr>
          <w:b/>
          <w:bCs/>
        </w:rPr>
        <w:t xml:space="preserve">Instituer </w:t>
      </w:r>
      <w:r w:rsidR="00B77614" w:rsidRPr="00656B81">
        <w:rPr>
          <w:b/>
          <w:bCs/>
        </w:rPr>
        <w:t>une législatio</w:t>
      </w:r>
      <w:r>
        <w:rPr>
          <w:b/>
          <w:bCs/>
        </w:rPr>
        <w:t>n spécifique au droit d’asile,</w:t>
      </w:r>
      <w:r w:rsidR="00B77614" w:rsidRPr="00656B81">
        <w:rPr>
          <w:b/>
          <w:bCs/>
        </w:rPr>
        <w:t xml:space="preserve"> au statut de</w:t>
      </w:r>
      <w:r>
        <w:rPr>
          <w:b/>
          <w:bCs/>
        </w:rPr>
        <w:t xml:space="preserve"> réfugié et aux</w:t>
      </w:r>
      <w:r w:rsidR="00B77614" w:rsidRPr="00656B81">
        <w:rPr>
          <w:b/>
          <w:bCs/>
        </w:rPr>
        <w:t xml:space="preserve"> mesures de rétention des étranger</w:t>
      </w:r>
      <w:r w:rsidR="00D86712" w:rsidRPr="00656B81">
        <w:rPr>
          <w:b/>
          <w:bCs/>
        </w:rPr>
        <w:t>s</w:t>
      </w:r>
      <w:r w:rsidR="00B77614" w:rsidRPr="00656B81">
        <w:rPr>
          <w:b/>
          <w:bCs/>
        </w:rPr>
        <w:t xml:space="preserve"> en situation irrégulière.</w:t>
      </w:r>
    </w:p>
    <w:p w14:paraId="79B1EFC7" w14:textId="77777777" w:rsidR="00864E75" w:rsidRPr="00656B81" w:rsidRDefault="00CA302E" w:rsidP="00CA302E">
      <w:pPr>
        <w:pStyle w:val="ColorfulList-Accent11"/>
        <w:numPr>
          <w:ilvl w:val="0"/>
          <w:numId w:val="2"/>
        </w:numPr>
        <w:jc w:val="both"/>
        <w:rPr>
          <w:b/>
          <w:bCs/>
        </w:rPr>
      </w:pPr>
      <w:r>
        <w:rPr>
          <w:b/>
          <w:bCs/>
        </w:rPr>
        <w:t>Encourager la société civile à jouer pleinement son rôle de partenaire pour ce qui concerne l</w:t>
      </w:r>
      <w:r w:rsidR="00CA2033" w:rsidRPr="00656B81">
        <w:rPr>
          <w:b/>
          <w:bCs/>
        </w:rPr>
        <w:t>’élaboration des réformes législatives et institutionnelles.</w:t>
      </w:r>
    </w:p>
    <w:p w14:paraId="3A48B0F6" w14:textId="77777777" w:rsidR="00CA2033" w:rsidRPr="00656B81" w:rsidRDefault="00CA2033" w:rsidP="00A60EEC">
      <w:pPr>
        <w:pStyle w:val="ColorfulList-Accent11"/>
        <w:numPr>
          <w:ilvl w:val="0"/>
          <w:numId w:val="2"/>
        </w:numPr>
        <w:jc w:val="both"/>
        <w:rPr>
          <w:b/>
          <w:bCs/>
        </w:rPr>
      </w:pPr>
      <w:r w:rsidRPr="00656B81">
        <w:rPr>
          <w:b/>
          <w:bCs/>
        </w:rPr>
        <w:t xml:space="preserve">Assurer la séparation des pouvoirs et mettre en place un Conseil </w:t>
      </w:r>
      <w:r w:rsidR="00B93227" w:rsidRPr="00656B81">
        <w:rPr>
          <w:b/>
          <w:bCs/>
        </w:rPr>
        <w:t>supérieur</w:t>
      </w:r>
      <w:r w:rsidRPr="00656B81">
        <w:rPr>
          <w:b/>
          <w:bCs/>
        </w:rPr>
        <w:t xml:space="preserve"> de la magistrature autonome et indépendant.</w:t>
      </w:r>
    </w:p>
    <w:p w14:paraId="11B9A290" w14:textId="77777777" w:rsidR="00CA2033" w:rsidRDefault="005D6068" w:rsidP="005D6068">
      <w:pPr>
        <w:pStyle w:val="ColorfulList-Accent11"/>
        <w:numPr>
          <w:ilvl w:val="0"/>
          <w:numId w:val="2"/>
        </w:numPr>
        <w:jc w:val="both"/>
        <w:rPr>
          <w:b/>
          <w:bCs/>
        </w:rPr>
      </w:pPr>
      <w:r>
        <w:rPr>
          <w:b/>
          <w:bCs/>
        </w:rPr>
        <w:t xml:space="preserve"> Accélérer le processus de la mise en place de la Cour constitutionnelle tout en assurant son impartialité et con indépendance</w:t>
      </w:r>
      <w:r w:rsidR="00CA2033" w:rsidRPr="00656B81">
        <w:rPr>
          <w:b/>
          <w:bCs/>
        </w:rPr>
        <w:t>.</w:t>
      </w:r>
    </w:p>
    <w:p w14:paraId="199E35F2" w14:textId="77777777" w:rsidR="00A222C2" w:rsidRDefault="00A222C2" w:rsidP="00CA302E">
      <w:pPr>
        <w:pStyle w:val="ColorfulList-Accent11"/>
        <w:numPr>
          <w:ilvl w:val="0"/>
          <w:numId w:val="2"/>
        </w:numPr>
        <w:jc w:val="both"/>
        <w:rPr>
          <w:b/>
          <w:bCs/>
        </w:rPr>
      </w:pPr>
      <w:r>
        <w:rPr>
          <w:b/>
          <w:bCs/>
        </w:rPr>
        <w:t>Limiter la compétence des tribunaux militaires aux seules in</w:t>
      </w:r>
      <w:r w:rsidR="00CA302E">
        <w:rPr>
          <w:b/>
          <w:bCs/>
        </w:rPr>
        <w:t>fractions d’ordre militaire, comme en</w:t>
      </w:r>
      <w:r>
        <w:rPr>
          <w:b/>
          <w:bCs/>
        </w:rPr>
        <w:t xml:space="preserve"> dispose l’article 110 de la Constitution.</w:t>
      </w:r>
    </w:p>
    <w:p w14:paraId="65885144" w14:textId="77777777" w:rsidR="00A222C2" w:rsidRPr="00656B81" w:rsidRDefault="00A222C2" w:rsidP="00A222C2">
      <w:pPr>
        <w:pStyle w:val="ColorfulList-Accent11"/>
        <w:numPr>
          <w:ilvl w:val="0"/>
          <w:numId w:val="2"/>
        </w:numPr>
        <w:jc w:val="both"/>
        <w:rPr>
          <w:b/>
          <w:bCs/>
        </w:rPr>
      </w:pPr>
      <w:r>
        <w:rPr>
          <w:b/>
          <w:bCs/>
        </w:rPr>
        <w:t>Garantir le bon fonctionnement des chambres spécialisées relatives à la justice transitionnelle.</w:t>
      </w:r>
    </w:p>
    <w:p w14:paraId="39A27B11" w14:textId="77777777" w:rsidR="00CA2033" w:rsidRPr="00656B81" w:rsidRDefault="00CA2033" w:rsidP="00A60EEC">
      <w:pPr>
        <w:pStyle w:val="ColorfulList-Accent11"/>
        <w:numPr>
          <w:ilvl w:val="0"/>
          <w:numId w:val="2"/>
        </w:numPr>
        <w:jc w:val="both"/>
        <w:rPr>
          <w:b/>
          <w:bCs/>
        </w:rPr>
      </w:pPr>
      <w:r w:rsidRPr="00656B81">
        <w:rPr>
          <w:b/>
          <w:bCs/>
        </w:rPr>
        <w:t>Appuyer le processus de la justice transitionnelle et mettre à</w:t>
      </w:r>
      <w:r w:rsidR="00CA302E">
        <w:rPr>
          <w:b/>
          <w:bCs/>
        </w:rPr>
        <w:t xml:space="preserve"> la</w:t>
      </w:r>
      <w:r w:rsidRPr="00656B81">
        <w:rPr>
          <w:b/>
          <w:bCs/>
        </w:rPr>
        <w:t xml:space="preserve"> disposition de l’IVD tous les moyens nécessaires à son bon fonctionnement notamment l’accès aux données, informations et archives en possession de l’Etat.</w:t>
      </w:r>
    </w:p>
    <w:p w14:paraId="2957FB17" w14:textId="77777777" w:rsidR="002A2033" w:rsidRPr="002A2033" w:rsidRDefault="003458BD" w:rsidP="002A2033">
      <w:pPr>
        <w:pStyle w:val="ColorfulList-Accent11"/>
        <w:numPr>
          <w:ilvl w:val="0"/>
          <w:numId w:val="2"/>
        </w:numPr>
        <w:jc w:val="both"/>
        <w:rPr>
          <w:rFonts w:asciiTheme="majorHAnsi" w:hAnsiTheme="majorHAnsi"/>
          <w:b/>
        </w:rPr>
      </w:pPr>
      <w:r w:rsidRPr="002A2033">
        <w:rPr>
          <w:b/>
          <w:bCs/>
        </w:rPr>
        <w:t xml:space="preserve">Satisfaire aux besoins urgents des victimes de torture et de mauvais traitements notamment </w:t>
      </w:r>
      <w:r w:rsidR="00D86712" w:rsidRPr="002A2033">
        <w:rPr>
          <w:b/>
          <w:bCs/>
        </w:rPr>
        <w:t xml:space="preserve">en termes </w:t>
      </w:r>
      <w:r w:rsidRPr="002A2033">
        <w:rPr>
          <w:b/>
          <w:bCs/>
        </w:rPr>
        <w:t>d’assistance psychologique et médicale.</w:t>
      </w:r>
    </w:p>
    <w:p w14:paraId="2F4878E0" w14:textId="77777777" w:rsidR="002A2033" w:rsidRDefault="002A2033" w:rsidP="002A2033">
      <w:pPr>
        <w:pStyle w:val="ColorfulList-Accent11"/>
        <w:jc w:val="both"/>
        <w:rPr>
          <w:b/>
          <w:bCs/>
        </w:rPr>
      </w:pPr>
    </w:p>
    <w:p w14:paraId="0A51E2D9" w14:textId="77777777" w:rsidR="002A2033" w:rsidRDefault="002A2033" w:rsidP="002A2033">
      <w:pPr>
        <w:pStyle w:val="ColorfulList-Accent11"/>
        <w:jc w:val="both"/>
        <w:rPr>
          <w:b/>
          <w:bCs/>
        </w:rPr>
      </w:pPr>
    </w:p>
    <w:p w14:paraId="02785E86" w14:textId="77777777" w:rsidR="002A2033" w:rsidRDefault="002A2033" w:rsidP="002A2033">
      <w:pPr>
        <w:pStyle w:val="ColorfulList-Accent11"/>
        <w:jc w:val="both"/>
        <w:rPr>
          <w:b/>
          <w:bCs/>
        </w:rPr>
      </w:pPr>
    </w:p>
    <w:p w14:paraId="5ECEFD4A" w14:textId="77777777" w:rsidR="00B30CC5" w:rsidRDefault="00B30CC5">
      <w:pPr>
        <w:spacing w:after="0" w:line="240" w:lineRule="auto"/>
        <w:rPr>
          <w:b/>
          <w:bCs/>
        </w:rPr>
      </w:pPr>
      <w:r>
        <w:rPr>
          <w:b/>
          <w:bCs/>
        </w:rPr>
        <w:br w:type="page"/>
      </w:r>
    </w:p>
    <w:p w14:paraId="22E8E3A4" w14:textId="77777777" w:rsidR="002A2033" w:rsidRPr="002A2033" w:rsidRDefault="002A2033" w:rsidP="002A2033">
      <w:pPr>
        <w:spacing w:after="0" w:line="240" w:lineRule="auto"/>
        <w:rPr>
          <w:rFonts w:eastAsia="MS Mincho"/>
          <w:b/>
        </w:rPr>
      </w:pPr>
      <w:r w:rsidRPr="002A2033">
        <w:rPr>
          <w:rFonts w:eastAsia="MS Mincho"/>
          <w:b/>
        </w:rPr>
        <w:t>Signataires</w:t>
      </w:r>
    </w:p>
    <w:p w14:paraId="5B71C253" w14:textId="77777777" w:rsidR="002A2033" w:rsidRPr="002A2033" w:rsidRDefault="002A2033" w:rsidP="002A2033">
      <w:pPr>
        <w:spacing w:after="0" w:line="240" w:lineRule="auto"/>
        <w:rPr>
          <w:rFonts w:eastAsia="MS Mincho"/>
        </w:rPr>
      </w:pPr>
      <w:r w:rsidRPr="002A2033">
        <w:rPr>
          <w:rFonts w:eastAsia="MS Mincho"/>
        </w:rPr>
        <w:t>Rapport au Comité contre la torture des Nations unies | 57ème session, 2016</w:t>
      </w:r>
    </w:p>
    <w:p w14:paraId="3638C963" w14:textId="77777777" w:rsidR="002A2033" w:rsidRDefault="002A2033" w:rsidP="002A2033">
      <w:pPr>
        <w:spacing w:after="0" w:line="240" w:lineRule="auto"/>
        <w:rPr>
          <w:rFonts w:ascii="Cambria" w:eastAsia="MS Mincho" w:hAnsi="Cambria"/>
          <w:sz w:val="24"/>
          <w:szCs w:val="24"/>
        </w:rPr>
      </w:pPr>
    </w:p>
    <w:p w14:paraId="64068878" w14:textId="77777777" w:rsidR="00195F7E" w:rsidRPr="002A2033" w:rsidRDefault="00195F7E" w:rsidP="002A2033">
      <w:pPr>
        <w:spacing w:after="0" w:line="240" w:lineRule="auto"/>
        <w:rPr>
          <w:rFonts w:ascii="Cambria" w:eastAsia="MS Mincho" w:hAnsi="Cambria"/>
          <w:sz w:val="24"/>
          <w:szCs w:val="24"/>
        </w:rPr>
      </w:pPr>
    </w:p>
    <w:tbl>
      <w:tblPr>
        <w:tblW w:w="9464" w:type="dxa"/>
        <w:tblLayout w:type="fixed"/>
        <w:tblLook w:val="04A0" w:firstRow="1" w:lastRow="0" w:firstColumn="1" w:lastColumn="0" w:noHBand="0" w:noVBand="1"/>
      </w:tblPr>
      <w:tblGrid>
        <w:gridCol w:w="1129"/>
        <w:gridCol w:w="1814"/>
        <w:gridCol w:w="6521"/>
      </w:tblGrid>
      <w:tr w:rsidR="002A2033" w:rsidRPr="00C51593" w14:paraId="1A7C45B5" w14:textId="77777777" w:rsidTr="002A2033">
        <w:tc>
          <w:tcPr>
            <w:tcW w:w="1129" w:type="dxa"/>
          </w:tcPr>
          <w:p w14:paraId="0568BD6F"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AISPP</w:t>
            </w:r>
          </w:p>
        </w:tc>
        <w:tc>
          <w:tcPr>
            <w:tcW w:w="1814" w:type="dxa"/>
          </w:tcPr>
          <w:p w14:paraId="1E380E2A" w14:textId="77777777" w:rsidR="002A2033" w:rsidRPr="00C51593" w:rsidRDefault="002A2033" w:rsidP="002A2033">
            <w:pPr>
              <w:tabs>
                <w:tab w:val="left" w:pos="940"/>
              </w:tabs>
              <w:spacing w:after="0" w:line="240" w:lineRule="auto"/>
              <w:jc w:val="center"/>
              <w:rPr>
                <w:rFonts w:asciiTheme="minorHAnsi" w:eastAsia="MS Mincho" w:hAnsiTheme="minorHAnsi"/>
                <w:i/>
                <w:iCs/>
                <w:sz w:val="20"/>
                <w:szCs w:val="20"/>
              </w:rPr>
            </w:pPr>
            <w:r w:rsidRPr="00C51593">
              <w:rPr>
                <w:rFonts w:asciiTheme="minorHAnsi" w:eastAsia="MS Mincho" w:hAnsiTheme="minorHAnsi"/>
                <w:i/>
                <w:iCs/>
                <w:noProof/>
                <w:sz w:val="20"/>
                <w:szCs w:val="20"/>
                <w:lang w:eastAsia="fr-FR"/>
              </w:rPr>
              <w:drawing>
                <wp:inline distT="0" distB="0" distL="0" distR="0" wp14:anchorId="65E6F142" wp14:editId="67C26B7B">
                  <wp:extent cx="659130" cy="478155"/>
                  <wp:effectExtent l="19050" t="0" r="7620" b="0"/>
                  <wp:docPr id="96" name="Image 23" descr="Macintosh HD:Users:admin:Desktop:ais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 descr="Macintosh HD:Users:admin:Desktop:aispp.jpg"/>
                          <pic:cNvPicPr>
                            <a:picLocks noChangeAspect="1" noChangeArrowheads="1"/>
                          </pic:cNvPicPr>
                        </pic:nvPicPr>
                        <pic:blipFill>
                          <a:blip r:embed="rId10"/>
                          <a:srcRect/>
                          <a:stretch>
                            <a:fillRect/>
                          </a:stretch>
                        </pic:blipFill>
                        <pic:spPr bwMode="auto">
                          <a:xfrm>
                            <a:off x="0" y="0"/>
                            <a:ext cx="659130" cy="478155"/>
                          </a:xfrm>
                          <a:prstGeom prst="rect">
                            <a:avLst/>
                          </a:prstGeom>
                          <a:noFill/>
                          <a:ln w="9525">
                            <a:noFill/>
                            <a:miter lim="800000"/>
                            <a:headEnd/>
                            <a:tailEnd/>
                          </a:ln>
                        </pic:spPr>
                      </pic:pic>
                    </a:graphicData>
                  </a:graphic>
                </wp:inline>
              </w:drawing>
            </w:r>
          </w:p>
          <w:p w14:paraId="678415A1" w14:textId="77777777" w:rsidR="002A2033" w:rsidRPr="00C51593" w:rsidRDefault="002A2033" w:rsidP="002A2033">
            <w:pPr>
              <w:tabs>
                <w:tab w:val="left" w:pos="940"/>
              </w:tabs>
              <w:spacing w:after="0" w:line="240" w:lineRule="auto"/>
              <w:jc w:val="center"/>
              <w:rPr>
                <w:rFonts w:asciiTheme="minorHAnsi" w:eastAsia="MS Mincho" w:hAnsiTheme="minorHAnsi"/>
                <w:i/>
                <w:iCs/>
                <w:sz w:val="16"/>
                <w:szCs w:val="16"/>
              </w:rPr>
            </w:pPr>
          </w:p>
        </w:tc>
        <w:tc>
          <w:tcPr>
            <w:tcW w:w="6521" w:type="dxa"/>
          </w:tcPr>
          <w:p w14:paraId="513EC06B"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Association Internationale pour le Soutien des Prisonniers Politiques</w:t>
            </w:r>
          </w:p>
          <w:p w14:paraId="2A46572C" w14:textId="77777777" w:rsidR="002A2033" w:rsidRDefault="00BA6B9B" w:rsidP="002A2033">
            <w:pPr>
              <w:tabs>
                <w:tab w:val="left" w:pos="940"/>
              </w:tabs>
              <w:spacing w:after="0" w:line="240" w:lineRule="auto"/>
              <w:rPr>
                <w:rFonts w:asciiTheme="minorHAnsi" w:eastAsia="MS Mincho" w:hAnsiTheme="minorHAnsi"/>
                <w:sz w:val="20"/>
              </w:rPr>
            </w:pPr>
            <w:hyperlink r:id="rId21" w:history="1">
              <w:r w:rsidR="002A2033" w:rsidRPr="00C51593">
                <w:rPr>
                  <w:rFonts w:asciiTheme="minorHAnsi" w:eastAsia="MS Mincho" w:hAnsiTheme="minorHAnsi"/>
                  <w:sz w:val="20"/>
                </w:rPr>
                <w:t>akermisaida2000@yahoo.fr</w:t>
              </w:r>
            </w:hyperlink>
          </w:p>
          <w:p w14:paraId="5C219734" w14:textId="77777777" w:rsidR="00C51593" w:rsidRDefault="00C51593" w:rsidP="002A2033">
            <w:pPr>
              <w:tabs>
                <w:tab w:val="left" w:pos="940"/>
              </w:tabs>
              <w:spacing w:after="0" w:line="240" w:lineRule="auto"/>
              <w:rPr>
                <w:rFonts w:asciiTheme="minorHAnsi" w:eastAsia="MS Mincho" w:hAnsiTheme="minorHAnsi"/>
                <w:sz w:val="20"/>
              </w:rPr>
            </w:pPr>
          </w:p>
          <w:p w14:paraId="6F68972B" w14:textId="77777777" w:rsidR="00C51593" w:rsidRPr="00C51593" w:rsidRDefault="00C51593" w:rsidP="002A2033">
            <w:pPr>
              <w:tabs>
                <w:tab w:val="left" w:pos="940"/>
              </w:tabs>
              <w:spacing w:after="0" w:line="240" w:lineRule="auto"/>
              <w:rPr>
                <w:rFonts w:asciiTheme="minorHAnsi" w:eastAsia="MS Mincho" w:hAnsiTheme="minorHAnsi"/>
                <w:sz w:val="20"/>
                <w:szCs w:val="20"/>
              </w:rPr>
            </w:pPr>
          </w:p>
        </w:tc>
      </w:tr>
      <w:tr w:rsidR="002A2033" w:rsidRPr="00C51593" w14:paraId="1751343C" w14:textId="77777777" w:rsidTr="002A2033">
        <w:tc>
          <w:tcPr>
            <w:tcW w:w="1129" w:type="dxa"/>
          </w:tcPr>
          <w:p w14:paraId="2C8AF89D"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AJR</w:t>
            </w:r>
          </w:p>
        </w:tc>
        <w:tc>
          <w:tcPr>
            <w:tcW w:w="1814" w:type="dxa"/>
          </w:tcPr>
          <w:p w14:paraId="6A7059ED" w14:textId="77777777" w:rsidR="002A2033" w:rsidRPr="00C51593" w:rsidRDefault="002A2033" w:rsidP="002A2033">
            <w:pPr>
              <w:tabs>
                <w:tab w:val="left" w:pos="940"/>
              </w:tabs>
              <w:spacing w:after="0" w:line="240" w:lineRule="auto"/>
              <w:jc w:val="center"/>
              <w:rPr>
                <w:rFonts w:asciiTheme="minorHAnsi" w:eastAsia="MS Mincho" w:hAnsiTheme="minorHAnsi"/>
                <w:i/>
                <w:iCs/>
                <w:sz w:val="20"/>
                <w:szCs w:val="20"/>
              </w:rPr>
            </w:pPr>
            <w:r w:rsidRPr="00C51593">
              <w:rPr>
                <w:rFonts w:asciiTheme="minorHAnsi" w:eastAsia="MS Mincho" w:hAnsiTheme="minorHAnsi"/>
                <w:i/>
                <w:iCs/>
                <w:noProof/>
                <w:sz w:val="20"/>
                <w:szCs w:val="20"/>
                <w:lang w:eastAsia="fr-FR"/>
              </w:rPr>
              <w:drawing>
                <wp:inline distT="0" distB="0" distL="0" distR="0" wp14:anchorId="28A24D37" wp14:editId="7578F04C">
                  <wp:extent cx="648335" cy="382905"/>
                  <wp:effectExtent l="19050" t="0" r="0" b="0"/>
                  <wp:docPr id="95" name="Image 4" descr="F:\26 JUIN LOGOS\602337_310235332424718_49798669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26 JUIN LOGOS\602337_310235332424718_497986698_n.jpg"/>
                          <pic:cNvPicPr>
                            <a:picLocks noChangeAspect="1" noChangeArrowheads="1"/>
                          </pic:cNvPicPr>
                        </pic:nvPicPr>
                        <pic:blipFill>
                          <a:blip r:embed="rId9"/>
                          <a:srcRect/>
                          <a:stretch>
                            <a:fillRect/>
                          </a:stretch>
                        </pic:blipFill>
                        <pic:spPr bwMode="auto">
                          <a:xfrm>
                            <a:off x="0" y="0"/>
                            <a:ext cx="648335" cy="382905"/>
                          </a:xfrm>
                          <a:prstGeom prst="rect">
                            <a:avLst/>
                          </a:prstGeom>
                          <a:noFill/>
                          <a:ln w="9525">
                            <a:noFill/>
                            <a:miter lim="800000"/>
                            <a:headEnd/>
                            <a:tailEnd/>
                          </a:ln>
                        </pic:spPr>
                      </pic:pic>
                    </a:graphicData>
                  </a:graphic>
                </wp:inline>
              </w:drawing>
            </w:r>
          </w:p>
        </w:tc>
        <w:tc>
          <w:tcPr>
            <w:tcW w:w="6521" w:type="dxa"/>
          </w:tcPr>
          <w:p w14:paraId="7336D075"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Association pour la Justice et la Réhabilitation</w:t>
            </w:r>
          </w:p>
          <w:p w14:paraId="388883E0" w14:textId="6B6673C5" w:rsidR="002A2033" w:rsidRDefault="002A2033" w:rsidP="002A2033">
            <w:pPr>
              <w:tabs>
                <w:tab w:val="left" w:pos="940"/>
              </w:tabs>
              <w:spacing w:after="0" w:line="240" w:lineRule="auto"/>
              <w:rPr>
                <w:rFonts w:asciiTheme="minorHAnsi" w:eastAsia="MS Mincho" w:hAnsiTheme="minorHAnsi"/>
                <w:iCs/>
                <w:sz w:val="20"/>
                <w:szCs w:val="20"/>
              </w:rPr>
            </w:pPr>
            <w:r w:rsidRPr="00C51593">
              <w:rPr>
                <w:rFonts w:asciiTheme="minorHAnsi" w:eastAsia="MS Mincho" w:hAnsiTheme="minorHAnsi"/>
                <w:iCs/>
                <w:sz w:val="20"/>
                <w:szCs w:val="20"/>
              </w:rPr>
              <w:t xml:space="preserve">Tel : +216 21 980 680| </w:t>
            </w:r>
            <w:hyperlink r:id="rId22" w:history="1">
              <w:r w:rsidR="00C51593" w:rsidRPr="000360F2">
                <w:rPr>
                  <w:rStyle w:val="Hyperlink"/>
                  <w:rFonts w:asciiTheme="minorHAnsi" w:eastAsia="MS Mincho" w:hAnsiTheme="minorHAnsi"/>
                  <w:iCs/>
                  <w:sz w:val="20"/>
                  <w:szCs w:val="20"/>
                </w:rPr>
                <w:t>justice.rehabilitation@gmail.com</w:t>
              </w:r>
            </w:hyperlink>
          </w:p>
          <w:p w14:paraId="54744832" w14:textId="77777777" w:rsidR="00C51593" w:rsidRDefault="00C51593" w:rsidP="002A2033">
            <w:pPr>
              <w:tabs>
                <w:tab w:val="left" w:pos="940"/>
              </w:tabs>
              <w:spacing w:after="0" w:line="240" w:lineRule="auto"/>
              <w:rPr>
                <w:rFonts w:asciiTheme="minorHAnsi" w:eastAsia="MS Mincho" w:hAnsiTheme="minorHAnsi"/>
                <w:iCs/>
                <w:sz w:val="20"/>
                <w:szCs w:val="20"/>
              </w:rPr>
            </w:pPr>
          </w:p>
          <w:p w14:paraId="18E7FFE8" w14:textId="77777777" w:rsidR="00C51593" w:rsidRPr="00C51593" w:rsidRDefault="00C51593" w:rsidP="002A2033">
            <w:pPr>
              <w:tabs>
                <w:tab w:val="left" w:pos="940"/>
              </w:tabs>
              <w:spacing w:after="0" w:line="240" w:lineRule="auto"/>
              <w:rPr>
                <w:rFonts w:asciiTheme="minorHAnsi" w:eastAsia="MS Mincho" w:hAnsiTheme="minorHAnsi"/>
                <w:iCs/>
                <w:sz w:val="20"/>
                <w:szCs w:val="20"/>
              </w:rPr>
            </w:pPr>
          </w:p>
        </w:tc>
      </w:tr>
      <w:tr w:rsidR="002A2033" w:rsidRPr="00C51593" w14:paraId="1CC50ECC" w14:textId="77777777" w:rsidTr="002A2033">
        <w:tc>
          <w:tcPr>
            <w:tcW w:w="1129" w:type="dxa"/>
          </w:tcPr>
          <w:p w14:paraId="214DAA2E"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ATJA</w:t>
            </w:r>
          </w:p>
        </w:tc>
        <w:tc>
          <w:tcPr>
            <w:tcW w:w="1814" w:type="dxa"/>
          </w:tcPr>
          <w:p w14:paraId="3B866C05" w14:textId="77777777" w:rsidR="002A2033" w:rsidRPr="00C51593" w:rsidRDefault="002A2033" w:rsidP="002A2033">
            <w:pPr>
              <w:tabs>
                <w:tab w:val="left" w:pos="940"/>
              </w:tabs>
              <w:spacing w:after="0" w:line="240" w:lineRule="auto"/>
              <w:jc w:val="center"/>
              <w:rPr>
                <w:rFonts w:asciiTheme="minorHAnsi" w:eastAsia="MS Mincho" w:hAnsiTheme="minorHAnsi"/>
                <w:sz w:val="20"/>
                <w:szCs w:val="20"/>
              </w:rPr>
            </w:pPr>
            <w:r w:rsidRPr="00C51593">
              <w:rPr>
                <w:rFonts w:asciiTheme="minorHAnsi" w:eastAsia="MS Mincho" w:hAnsiTheme="minorHAnsi"/>
                <w:noProof/>
                <w:sz w:val="20"/>
                <w:szCs w:val="20"/>
                <w:lang w:eastAsia="fr-FR"/>
              </w:rPr>
              <w:drawing>
                <wp:inline distT="0" distB="0" distL="0" distR="0" wp14:anchorId="3BA79217" wp14:editId="269C4736">
                  <wp:extent cx="425450" cy="542290"/>
                  <wp:effectExtent l="19050" t="0" r="0" b="0"/>
                  <wp:docPr id="94" name="Image 9" descr="F:\26 JUIN LOGOS\LOGO AT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F:\26 JUIN LOGOS\LOGO ATJA.jpg"/>
                          <pic:cNvPicPr>
                            <a:picLocks noChangeAspect="1" noChangeArrowheads="1"/>
                          </pic:cNvPicPr>
                        </pic:nvPicPr>
                        <pic:blipFill>
                          <a:blip r:embed="rId14"/>
                          <a:srcRect/>
                          <a:stretch>
                            <a:fillRect/>
                          </a:stretch>
                        </pic:blipFill>
                        <pic:spPr bwMode="auto">
                          <a:xfrm>
                            <a:off x="0" y="0"/>
                            <a:ext cx="425450" cy="542290"/>
                          </a:xfrm>
                          <a:prstGeom prst="rect">
                            <a:avLst/>
                          </a:prstGeom>
                          <a:noFill/>
                          <a:ln w="9525">
                            <a:noFill/>
                            <a:miter lim="800000"/>
                            <a:headEnd/>
                            <a:tailEnd/>
                          </a:ln>
                        </pic:spPr>
                      </pic:pic>
                    </a:graphicData>
                  </a:graphic>
                </wp:inline>
              </w:drawing>
            </w:r>
          </w:p>
        </w:tc>
        <w:tc>
          <w:tcPr>
            <w:tcW w:w="6521" w:type="dxa"/>
          </w:tcPr>
          <w:p w14:paraId="2EEAD655"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Association Tunisienne des Jeunes Avocats</w:t>
            </w:r>
          </w:p>
          <w:p w14:paraId="0C029B48" w14:textId="06206FF8" w:rsidR="002A203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 xml:space="preserve">Tel : +216 71 576 419 | </w:t>
            </w:r>
            <w:hyperlink r:id="rId23" w:history="1">
              <w:r w:rsidR="00C51593" w:rsidRPr="000360F2">
                <w:rPr>
                  <w:rStyle w:val="Hyperlink"/>
                  <w:rFonts w:asciiTheme="minorHAnsi" w:eastAsia="MS Mincho" w:hAnsiTheme="minorHAnsi"/>
                  <w:sz w:val="20"/>
                  <w:szCs w:val="20"/>
                </w:rPr>
                <w:t>atja.avocats@gmail.com</w:t>
              </w:r>
            </w:hyperlink>
          </w:p>
          <w:p w14:paraId="2574282E" w14:textId="77777777" w:rsidR="00C51593" w:rsidRDefault="00C51593" w:rsidP="002A2033">
            <w:pPr>
              <w:tabs>
                <w:tab w:val="left" w:pos="940"/>
              </w:tabs>
              <w:spacing w:after="0" w:line="240" w:lineRule="auto"/>
              <w:rPr>
                <w:rFonts w:asciiTheme="minorHAnsi" w:eastAsia="MS Mincho" w:hAnsiTheme="minorHAnsi"/>
                <w:sz w:val="20"/>
                <w:szCs w:val="20"/>
              </w:rPr>
            </w:pPr>
          </w:p>
          <w:p w14:paraId="022D3E8B" w14:textId="77777777" w:rsidR="00C51593" w:rsidRPr="00C51593" w:rsidRDefault="00C51593" w:rsidP="002A2033">
            <w:pPr>
              <w:tabs>
                <w:tab w:val="left" w:pos="940"/>
              </w:tabs>
              <w:spacing w:after="0" w:line="240" w:lineRule="auto"/>
              <w:rPr>
                <w:rFonts w:asciiTheme="minorHAnsi" w:eastAsia="MS Mincho" w:hAnsiTheme="minorHAnsi"/>
                <w:sz w:val="20"/>
                <w:szCs w:val="20"/>
              </w:rPr>
            </w:pPr>
          </w:p>
        </w:tc>
      </w:tr>
      <w:tr w:rsidR="002A2033" w:rsidRPr="00C51593" w14:paraId="5E1C1153" w14:textId="77777777" w:rsidTr="002A2033">
        <w:tc>
          <w:tcPr>
            <w:tcW w:w="1129" w:type="dxa"/>
          </w:tcPr>
          <w:p w14:paraId="4ED579B5"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CHAHED</w:t>
            </w:r>
          </w:p>
        </w:tc>
        <w:tc>
          <w:tcPr>
            <w:tcW w:w="1814" w:type="dxa"/>
          </w:tcPr>
          <w:p w14:paraId="6EAAFE2D" w14:textId="77777777" w:rsidR="002A2033" w:rsidRPr="00C51593" w:rsidRDefault="002A2033" w:rsidP="002A2033">
            <w:pPr>
              <w:tabs>
                <w:tab w:val="left" w:pos="940"/>
              </w:tabs>
              <w:spacing w:after="0" w:line="240" w:lineRule="auto"/>
              <w:jc w:val="center"/>
              <w:rPr>
                <w:rFonts w:asciiTheme="minorHAnsi" w:eastAsia="MS Mincho" w:hAnsiTheme="minorHAnsi"/>
                <w:i/>
                <w:iCs/>
                <w:sz w:val="20"/>
                <w:szCs w:val="20"/>
              </w:rPr>
            </w:pPr>
            <w:r w:rsidRPr="00C51593">
              <w:rPr>
                <w:rFonts w:asciiTheme="minorHAnsi" w:eastAsia="MS Mincho" w:hAnsiTheme="minorHAnsi"/>
                <w:i/>
                <w:iCs/>
                <w:noProof/>
                <w:sz w:val="20"/>
                <w:szCs w:val="20"/>
                <w:lang w:eastAsia="fr-FR"/>
              </w:rPr>
              <w:drawing>
                <wp:inline distT="0" distB="0" distL="0" distR="0" wp14:anchorId="5464A7B3" wp14:editId="34826A00">
                  <wp:extent cx="382905" cy="351155"/>
                  <wp:effectExtent l="19050" t="0" r="0" b="0"/>
                  <wp:docPr id="93" name="Image 7" descr="F:\26 JUIN LOGO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F:\26 JUIN LOGOS\image.png"/>
                          <pic:cNvPicPr>
                            <a:picLocks noChangeAspect="1" noChangeArrowheads="1"/>
                          </pic:cNvPicPr>
                        </pic:nvPicPr>
                        <pic:blipFill>
                          <a:blip r:embed="rId16"/>
                          <a:srcRect/>
                          <a:stretch>
                            <a:fillRect/>
                          </a:stretch>
                        </pic:blipFill>
                        <pic:spPr bwMode="auto">
                          <a:xfrm>
                            <a:off x="0" y="0"/>
                            <a:ext cx="382905" cy="351155"/>
                          </a:xfrm>
                          <a:prstGeom prst="rect">
                            <a:avLst/>
                          </a:prstGeom>
                          <a:noFill/>
                          <a:ln w="9525">
                            <a:noFill/>
                            <a:miter lim="800000"/>
                            <a:headEnd/>
                            <a:tailEnd/>
                          </a:ln>
                        </pic:spPr>
                      </pic:pic>
                    </a:graphicData>
                  </a:graphic>
                </wp:inline>
              </w:drawing>
            </w:r>
          </w:p>
          <w:p w14:paraId="30E5F3FE" w14:textId="77777777" w:rsidR="002A2033" w:rsidRPr="00C51593" w:rsidRDefault="002A2033" w:rsidP="002A2033">
            <w:pPr>
              <w:tabs>
                <w:tab w:val="left" w:pos="940"/>
              </w:tabs>
              <w:spacing w:after="0" w:line="240" w:lineRule="auto"/>
              <w:jc w:val="center"/>
              <w:rPr>
                <w:rFonts w:asciiTheme="minorHAnsi" w:eastAsia="MS Mincho" w:hAnsiTheme="minorHAnsi"/>
                <w:i/>
                <w:iCs/>
                <w:sz w:val="16"/>
                <w:szCs w:val="16"/>
              </w:rPr>
            </w:pPr>
          </w:p>
        </w:tc>
        <w:tc>
          <w:tcPr>
            <w:tcW w:w="6521" w:type="dxa"/>
          </w:tcPr>
          <w:p w14:paraId="00CE23A1"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Observatoire Chahed</w:t>
            </w:r>
          </w:p>
          <w:p w14:paraId="76B8653D" w14:textId="10D6285F" w:rsid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Tel : +216 71 241</w:t>
            </w:r>
            <w:r w:rsidR="00C51593">
              <w:rPr>
                <w:rFonts w:asciiTheme="minorHAnsi" w:eastAsia="MS Mincho" w:hAnsiTheme="minorHAnsi"/>
                <w:sz w:val="20"/>
                <w:szCs w:val="20"/>
              </w:rPr>
              <w:t xml:space="preserve"> 775 |</w:t>
            </w:r>
            <w:r w:rsidRPr="00C51593">
              <w:rPr>
                <w:rFonts w:asciiTheme="minorHAnsi" w:eastAsia="MS Mincho" w:hAnsiTheme="minorHAnsi"/>
                <w:sz w:val="20"/>
                <w:szCs w:val="20"/>
              </w:rPr>
              <w:t xml:space="preserve"> </w:t>
            </w:r>
            <w:hyperlink r:id="rId24" w:history="1">
              <w:r w:rsidR="00C51593" w:rsidRPr="000360F2">
                <w:rPr>
                  <w:rStyle w:val="Hyperlink"/>
                  <w:rFonts w:asciiTheme="minorHAnsi" w:eastAsia="MS Mincho" w:hAnsiTheme="minorHAnsi"/>
                  <w:sz w:val="20"/>
                  <w:szCs w:val="20"/>
                </w:rPr>
                <w:t>observatoire.chahed@gmail.com</w:t>
              </w:r>
            </w:hyperlink>
            <w:r w:rsidR="00C51593">
              <w:rPr>
                <w:rFonts w:asciiTheme="minorHAnsi" w:eastAsia="MS Mincho" w:hAnsiTheme="minorHAnsi"/>
                <w:sz w:val="20"/>
                <w:szCs w:val="20"/>
              </w:rPr>
              <w:t xml:space="preserve"> | </w:t>
            </w:r>
            <w:hyperlink r:id="rId25" w:history="1">
              <w:r w:rsidR="00C51593" w:rsidRPr="000360F2">
                <w:rPr>
                  <w:rStyle w:val="Hyperlink"/>
                  <w:rFonts w:asciiTheme="minorHAnsi" w:eastAsia="MS Mincho" w:hAnsiTheme="minorHAnsi"/>
                  <w:sz w:val="20"/>
                  <w:szCs w:val="20"/>
                </w:rPr>
                <w:t>www.chahed.tn</w:t>
              </w:r>
            </w:hyperlink>
          </w:p>
          <w:p w14:paraId="46B5B2E6" w14:textId="77777777" w:rsidR="00C51593" w:rsidRDefault="00C51593" w:rsidP="002A2033">
            <w:pPr>
              <w:tabs>
                <w:tab w:val="left" w:pos="940"/>
              </w:tabs>
              <w:spacing w:after="0" w:line="240" w:lineRule="auto"/>
              <w:rPr>
                <w:rFonts w:asciiTheme="minorHAnsi" w:eastAsia="MS Mincho" w:hAnsiTheme="minorHAnsi"/>
                <w:iCs/>
                <w:sz w:val="20"/>
                <w:szCs w:val="20"/>
              </w:rPr>
            </w:pPr>
          </w:p>
          <w:p w14:paraId="7F398E7B" w14:textId="77777777" w:rsidR="00C51593" w:rsidRPr="00C51593" w:rsidRDefault="00C51593" w:rsidP="002A2033">
            <w:pPr>
              <w:tabs>
                <w:tab w:val="left" w:pos="940"/>
              </w:tabs>
              <w:spacing w:after="0" w:line="240" w:lineRule="auto"/>
              <w:rPr>
                <w:rFonts w:asciiTheme="minorHAnsi" w:eastAsia="MS Mincho" w:hAnsiTheme="minorHAnsi"/>
                <w:sz w:val="20"/>
                <w:szCs w:val="20"/>
              </w:rPr>
            </w:pPr>
          </w:p>
        </w:tc>
      </w:tr>
      <w:tr w:rsidR="002A2033" w:rsidRPr="00C51593" w14:paraId="586BD71A" w14:textId="77777777" w:rsidTr="002A2033">
        <w:tc>
          <w:tcPr>
            <w:tcW w:w="1129" w:type="dxa"/>
          </w:tcPr>
          <w:p w14:paraId="75D18048" w14:textId="1B10C435"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Damj</w:t>
            </w:r>
          </w:p>
        </w:tc>
        <w:tc>
          <w:tcPr>
            <w:tcW w:w="1814" w:type="dxa"/>
          </w:tcPr>
          <w:p w14:paraId="01332FEA" w14:textId="77777777" w:rsidR="002A2033" w:rsidRPr="00C51593" w:rsidRDefault="002A2033" w:rsidP="002A2033">
            <w:pPr>
              <w:tabs>
                <w:tab w:val="left" w:pos="940"/>
              </w:tabs>
              <w:spacing w:after="0" w:line="240" w:lineRule="auto"/>
              <w:jc w:val="center"/>
              <w:rPr>
                <w:rFonts w:asciiTheme="minorHAnsi" w:eastAsia="MS Mincho" w:hAnsiTheme="minorHAnsi"/>
                <w:i/>
                <w:iCs/>
                <w:noProof/>
                <w:sz w:val="20"/>
                <w:szCs w:val="20"/>
                <w:lang w:eastAsia="fr-FR"/>
              </w:rPr>
            </w:pPr>
            <w:r w:rsidRPr="00C51593">
              <w:rPr>
                <w:rFonts w:asciiTheme="minorHAnsi" w:eastAsia="MS Mincho" w:hAnsiTheme="minorHAnsi"/>
                <w:noProof/>
                <w:sz w:val="24"/>
                <w:szCs w:val="24"/>
                <w:lang w:eastAsia="fr-FR"/>
              </w:rPr>
              <w:drawing>
                <wp:inline distT="0" distB="0" distL="0" distR="0" wp14:anchorId="0A295207" wp14:editId="6E3C89B7">
                  <wp:extent cx="446405" cy="499745"/>
                  <wp:effectExtent l="19050" t="0" r="0" b="0"/>
                  <wp:docPr id="92" name="Image 1" descr="C:\Users\HALIMM~1\AppData\Local\Temp\damj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Users\HALIMM~1\AppData\Local\Temp\damj logo.jpg"/>
                          <pic:cNvPicPr>
                            <a:picLocks noChangeAspect="1" noChangeArrowheads="1"/>
                          </pic:cNvPicPr>
                        </pic:nvPicPr>
                        <pic:blipFill>
                          <a:blip r:embed="rId13"/>
                          <a:srcRect/>
                          <a:stretch>
                            <a:fillRect/>
                          </a:stretch>
                        </pic:blipFill>
                        <pic:spPr bwMode="auto">
                          <a:xfrm>
                            <a:off x="0" y="0"/>
                            <a:ext cx="446405" cy="499745"/>
                          </a:xfrm>
                          <a:prstGeom prst="rect">
                            <a:avLst/>
                          </a:prstGeom>
                          <a:noFill/>
                          <a:ln w="9525">
                            <a:noFill/>
                            <a:miter lim="800000"/>
                            <a:headEnd/>
                            <a:tailEnd/>
                          </a:ln>
                        </pic:spPr>
                      </pic:pic>
                    </a:graphicData>
                  </a:graphic>
                </wp:inline>
              </w:drawing>
            </w:r>
          </w:p>
        </w:tc>
        <w:tc>
          <w:tcPr>
            <w:tcW w:w="6521" w:type="dxa"/>
          </w:tcPr>
          <w:p w14:paraId="23C1CAE6"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Damj, l’association Tunisienne pour la justice et l’égalité</w:t>
            </w:r>
          </w:p>
          <w:p w14:paraId="439CF014" w14:textId="78FBA849" w:rsidR="002A2033" w:rsidRDefault="002A2033" w:rsidP="002A2033">
            <w:pPr>
              <w:tabs>
                <w:tab w:val="left" w:pos="940"/>
              </w:tabs>
              <w:spacing w:after="0" w:line="240" w:lineRule="auto"/>
              <w:rPr>
                <w:rFonts w:asciiTheme="minorHAnsi" w:eastAsia="MS Mincho" w:hAnsiTheme="minorHAnsi"/>
                <w:iCs/>
                <w:sz w:val="20"/>
                <w:szCs w:val="20"/>
              </w:rPr>
            </w:pPr>
            <w:r w:rsidRPr="00C51593">
              <w:rPr>
                <w:rFonts w:asciiTheme="minorHAnsi" w:eastAsia="MS Mincho" w:hAnsiTheme="minorHAnsi"/>
                <w:sz w:val="20"/>
                <w:szCs w:val="20"/>
              </w:rPr>
              <w:t xml:space="preserve">Tel : +216 22 616 020 </w:t>
            </w:r>
            <w:r w:rsidRPr="00C51593">
              <w:rPr>
                <w:rFonts w:asciiTheme="minorHAnsi" w:eastAsia="MS Mincho" w:hAnsiTheme="minorHAnsi"/>
                <w:iCs/>
                <w:sz w:val="20"/>
                <w:szCs w:val="20"/>
              </w:rPr>
              <w:t xml:space="preserve">| </w:t>
            </w:r>
            <w:hyperlink r:id="rId26" w:history="1">
              <w:r w:rsidR="00C51593" w:rsidRPr="000360F2">
                <w:rPr>
                  <w:rStyle w:val="Hyperlink"/>
                  <w:rFonts w:asciiTheme="minorHAnsi" w:eastAsia="MS Mincho" w:hAnsiTheme="minorHAnsi"/>
                  <w:iCs/>
                  <w:sz w:val="20"/>
                  <w:szCs w:val="20"/>
                </w:rPr>
                <w:t>baaboubadr@yahoo.fr</w:t>
              </w:r>
            </w:hyperlink>
          </w:p>
          <w:p w14:paraId="6973E47D" w14:textId="77777777" w:rsidR="00C51593" w:rsidRDefault="00C51593" w:rsidP="002A2033">
            <w:pPr>
              <w:tabs>
                <w:tab w:val="left" w:pos="940"/>
              </w:tabs>
              <w:spacing w:after="0" w:line="240" w:lineRule="auto"/>
              <w:rPr>
                <w:rFonts w:asciiTheme="minorHAnsi" w:eastAsia="MS Mincho" w:hAnsiTheme="minorHAnsi"/>
                <w:iCs/>
                <w:sz w:val="20"/>
                <w:szCs w:val="20"/>
              </w:rPr>
            </w:pPr>
          </w:p>
          <w:p w14:paraId="5C919772" w14:textId="77777777" w:rsidR="00C51593" w:rsidRPr="00C51593" w:rsidRDefault="00C51593" w:rsidP="002A2033">
            <w:pPr>
              <w:tabs>
                <w:tab w:val="left" w:pos="940"/>
              </w:tabs>
              <w:spacing w:after="0" w:line="240" w:lineRule="auto"/>
              <w:rPr>
                <w:rFonts w:asciiTheme="minorHAnsi" w:eastAsia="MS Mincho" w:hAnsiTheme="minorHAnsi"/>
                <w:sz w:val="20"/>
                <w:szCs w:val="20"/>
              </w:rPr>
            </w:pPr>
          </w:p>
        </w:tc>
      </w:tr>
      <w:tr w:rsidR="002A2033" w:rsidRPr="00C51593" w14:paraId="5EAE2D51" w14:textId="77777777" w:rsidTr="002A2033">
        <w:tc>
          <w:tcPr>
            <w:tcW w:w="1129" w:type="dxa"/>
          </w:tcPr>
          <w:p w14:paraId="3C27EB25"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El KARAMA</w:t>
            </w:r>
          </w:p>
        </w:tc>
        <w:tc>
          <w:tcPr>
            <w:tcW w:w="1814" w:type="dxa"/>
          </w:tcPr>
          <w:p w14:paraId="6274B717" w14:textId="77777777" w:rsidR="002A2033" w:rsidRPr="00C51593" w:rsidRDefault="002A2033" w:rsidP="002A2033">
            <w:pPr>
              <w:tabs>
                <w:tab w:val="left" w:pos="940"/>
              </w:tabs>
              <w:spacing w:after="0" w:line="240" w:lineRule="auto"/>
              <w:jc w:val="center"/>
              <w:rPr>
                <w:rFonts w:asciiTheme="minorHAnsi" w:eastAsia="MS Mincho" w:hAnsiTheme="minorHAnsi"/>
                <w:i/>
                <w:iCs/>
                <w:sz w:val="20"/>
                <w:szCs w:val="20"/>
              </w:rPr>
            </w:pPr>
            <w:r w:rsidRPr="00C51593">
              <w:rPr>
                <w:rFonts w:asciiTheme="minorHAnsi" w:eastAsia="MS Mincho" w:hAnsiTheme="minorHAnsi"/>
                <w:i/>
                <w:iCs/>
                <w:noProof/>
                <w:sz w:val="20"/>
                <w:szCs w:val="20"/>
                <w:lang w:eastAsia="fr-FR"/>
              </w:rPr>
              <w:drawing>
                <wp:inline distT="0" distB="0" distL="0" distR="0" wp14:anchorId="237C3402" wp14:editId="6EE3F462">
                  <wp:extent cx="436245" cy="467995"/>
                  <wp:effectExtent l="19050" t="0" r="1905" b="0"/>
                  <wp:docPr id="91" name="Image 3" descr="F:\26 JUIN LOGOS\301326_350562988377448_3017262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F:\26 JUIN LOGOS\301326_350562988377448_301726220_n.jpg"/>
                          <pic:cNvPicPr>
                            <a:picLocks noChangeAspect="1" noChangeArrowheads="1"/>
                          </pic:cNvPicPr>
                        </pic:nvPicPr>
                        <pic:blipFill>
                          <a:blip r:embed="rId17"/>
                          <a:srcRect/>
                          <a:stretch>
                            <a:fillRect/>
                          </a:stretch>
                        </pic:blipFill>
                        <pic:spPr bwMode="auto">
                          <a:xfrm>
                            <a:off x="0" y="0"/>
                            <a:ext cx="436245" cy="467995"/>
                          </a:xfrm>
                          <a:prstGeom prst="rect">
                            <a:avLst/>
                          </a:prstGeom>
                          <a:noFill/>
                          <a:ln w="9525">
                            <a:noFill/>
                            <a:miter lim="800000"/>
                            <a:headEnd/>
                            <a:tailEnd/>
                          </a:ln>
                        </pic:spPr>
                      </pic:pic>
                    </a:graphicData>
                  </a:graphic>
                </wp:inline>
              </w:drawing>
            </w:r>
          </w:p>
        </w:tc>
        <w:tc>
          <w:tcPr>
            <w:tcW w:w="6521" w:type="dxa"/>
          </w:tcPr>
          <w:p w14:paraId="32A0E697"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Association El Karama</w:t>
            </w:r>
          </w:p>
          <w:p w14:paraId="1E1185E0" w14:textId="73CBEF2B" w:rsidR="002A2033" w:rsidRDefault="002A2033" w:rsidP="002A2033">
            <w:pPr>
              <w:tabs>
                <w:tab w:val="left" w:pos="940"/>
              </w:tabs>
              <w:spacing w:after="0" w:line="240" w:lineRule="auto"/>
              <w:rPr>
                <w:rFonts w:asciiTheme="minorHAnsi" w:eastAsia="MS Mincho" w:hAnsiTheme="minorHAnsi"/>
                <w:iCs/>
                <w:sz w:val="20"/>
                <w:szCs w:val="20"/>
              </w:rPr>
            </w:pPr>
            <w:r w:rsidRPr="00C51593">
              <w:rPr>
                <w:rFonts w:asciiTheme="minorHAnsi" w:eastAsia="MS Mincho" w:hAnsiTheme="minorHAnsi"/>
                <w:iCs/>
                <w:sz w:val="20"/>
                <w:szCs w:val="20"/>
              </w:rPr>
              <w:t xml:space="preserve">Tel : +216 97 549 754 | </w:t>
            </w:r>
            <w:hyperlink r:id="rId27" w:history="1">
              <w:r w:rsidR="00C51593" w:rsidRPr="000360F2">
                <w:rPr>
                  <w:rStyle w:val="Hyperlink"/>
                  <w:rFonts w:asciiTheme="minorHAnsi" w:eastAsia="MS Mincho" w:hAnsiTheme="minorHAnsi"/>
                  <w:iCs/>
                  <w:sz w:val="20"/>
                  <w:szCs w:val="20"/>
                </w:rPr>
                <w:t>adppkarama@gmail.com</w:t>
              </w:r>
            </w:hyperlink>
          </w:p>
          <w:p w14:paraId="71A3366F" w14:textId="77777777" w:rsidR="00C51593" w:rsidRDefault="00C51593" w:rsidP="002A2033">
            <w:pPr>
              <w:tabs>
                <w:tab w:val="left" w:pos="940"/>
              </w:tabs>
              <w:spacing w:after="0" w:line="240" w:lineRule="auto"/>
              <w:rPr>
                <w:rFonts w:asciiTheme="minorHAnsi" w:eastAsia="MS Mincho" w:hAnsiTheme="minorHAnsi"/>
                <w:iCs/>
                <w:sz w:val="20"/>
                <w:szCs w:val="20"/>
              </w:rPr>
            </w:pPr>
          </w:p>
          <w:p w14:paraId="61BB04A6" w14:textId="77777777" w:rsidR="00C51593" w:rsidRPr="00C51593" w:rsidRDefault="00C51593" w:rsidP="002A2033">
            <w:pPr>
              <w:tabs>
                <w:tab w:val="left" w:pos="940"/>
              </w:tabs>
              <w:spacing w:after="0" w:line="240" w:lineRule="auto"/>
              <w:rPr>
                <w:rFonts w:asciiTheme="minorHAnsi" w:eastAsia="MS Mincho" w:hAnsiTheme="minorHAnsi"/>
                <w:sz w:val="20"/>
                <w:szCs w:val="20"/>
              </w:rPr>
            </w:pPr>
          </w:p>
        </w:tc>
      </w:tr>
      <w:tr w:rsidR="00C51593" w:rsidRPr="00C51593" w14:paraId="0E14AC7C" w14:textId="77777777" w:rsidTr="00D86177">
        <w:tc>
          <w:tcPr>
            <w:tcW w:w="1129" w:type="dxa"/>
          </w:tcPr>
          <w:p w14:paraId="7C8B8D0C" w14:textId="77777777" w:rsidR="00C51593" w:rsidRPr="00C51593" w:rsidRDefault="00C51593" w:rsidP="00D86177">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FTRJS</w:t>
            </w:r>
          </w:p>
        </w:tc>
        <w:tc>
          <w:tcPr>
            <w:tcW w:w="1814" w:type="dxa"/>
          </w:tcPr>
          <w:p w14:paraId="10AF0770" w14:textId="77777777" w:rsidR="00C51593" w:rsidRPr="00C51593" w:rsidRDefault="00C51593" w:rsidP="00D86177">
            <w:pPr>
              <w:tabs>
                <w:tab w:val="left" w:pos="940"/>
              </w:tabs>
              <w:spacing w:after="0" w:line="240" w:lineRule="auto"/>
              <w:jc w:val="center"/>
              <w:rPr>
                <w:rFonts w:asciiTheme="minorHAnsi" w:eastAsia="MS Mincho" w:hAnsiTheme="minorHAnsi"/>
                <w:i/>
                <w:iCs/>
                <w:sz w:val="20"/>
                <w:szCs w:val="20"/>
              </w:rPr>
            </w:pPr>
            <w:r w:rsidRPr="00C51593">
              <w:rPr>
                <w:rFonts w:asciiTheme="minorHAnsi" w:eastAsia="MS Mincho" w:hAnsiTheme="minorHAnsi"/>
                <w:i/>
                <w:iCs/>
                <w:noProof/>
                <w:sz w:val="20"/>
                <w:szCs w:val="20"/>
                <w:lang w:eastAsia="fr-FR"/>
              </w:rPr>
              <w:drawing>
                <wp:inline distT="0" distB="0" distL="0" distR="0" wp14:anchorId="4A29D17C" wp14:editId="415663FA">
                  <wp:extent cx="467995" cy="478155"/>
                  <wp:effectExtent l="19050" t="0" r="8255" b="0"/>
                  <wp:docPr id="85" name="Image 12" descr="F:\26 JUIN LOGOS\logo.OTR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descr="F:\26 JUIN LOGOS\logo.OTRPS.jpg"/>
                          <pic:cNvPicPr>
                            <a:picLocks noChangeAspect="1" noChangeArrowheads="1"/>
                          </pic:cNvPicPr>
                        </pic:nvPicPr>
                        <pic:blipFill>
                          <a:blip r:embed="rId19"/>
                          <a:srcRect/>
                          <a:stretch>
                            <a:fillRect/>
                          </a:stretch>
                        </pic:blipFill>
                        <pic:spPr bwMode="auto">
                          <a:xfrm>
                            <a:off x="0" y="0"/>
                            <a:ext cx="467995" cy="478155"/>
                          </a:xfrm>
                          <a:prstGeom prst="rect">
                            <a:avLst/>
                          </a:prstGeom>
                          <a:noFill/>
                          <a:ln w="9525">
                            <a:noFill/>
                            <a:miter lim="800000"/>
                            <a:headEnd/>
                            <a:tailEnd/>
                          </a:ln>
                        </pic:spPr>
                      </pic:pic>
                    </a:graphicData>
                  </a:graphic>
                </wp:inline>
              </w:drawing>
            </w:r>
          </w:p>
        </w:tc>
        <w:tc>
          <w:tcPr>
            <w:tcW w:w="6521" w:type="dxa"/>
          </w:tcPr>
          <w:p w14:paraId="25BD13C1" w14:textId="215EFCD9" w:rsidR="00C51593" w:rsidRPr="00C51593" w:rsidRDefault="00C51593" w:rsidP="00D86177">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Fondation Tunisienne pour la Réforme</w:t>
            </w:r>
            <w:r>
              <w:rPr>
                <w:rFonts w:asciiTheme="minorHAnsi" w:eastAsia="MS Mincho" w:hAnsiTheme="minorHAnsi"/>
                <w:sz w:val="20"/>
                <w:szCs w:val="20"/>
              </w:rPr>
              <w:t xml:space="preserve"> </w:t>
            </w:r>
            <w:r w:rsidRPr="00C51593">
              <w:rPr>
                <w:rFonts w:asciiTheme="minorHAnsi" w:eastAsia="MS Mincho" w:hAnsiTheme="minorHAnsi"/>
                <w:sz w:val="20"/>
                <w:szCs w:val="20"/>
              </w:rPr>
              <w:t>Judiciaire et la Sécurité</w:t>
            </w:r>
          </w:p>
          <w:p w14:paraId="1D6C3D3B" w14:textId="77777777" w:rsidR="00C51593" w:rsidRDefault="00C51593" w:rsidP="00D86177">
            <w:pPr>
              <w:tabs>
                <w:tab w:val="left" w:pos="940"/>
              </w:tabs>
              <w:spacing w:after="0" w:line="240" w:lineRule="auto"/>
              <w:rPr>
                <w:rFonts w:asciiTheme="minorHAnsi" w:eastAsia="MS Mincho" w:hAnsiTheme="minorHAnsi"/>
                <w:sz w:val="20"/>
                <w:lang w:val="en-US"/>
              </w:rPr>
            </w:pPr>
            <w:r w:rsidRPr="00C51593">
              <w:rPr>
                <w:rFonts w:asciiTheme="minorHAnsi" w:eastAsia="MS Mincho" w:hAnsiTheme="minorHAnsi" w:cs="Segoe UI"/>
                <w:color w:val="000000"/>
                <w:sz w:val="20"/>
                <w:szCs w:val="20"/>
                <w:lang w:val="en-US"/>
              </w:rPr>
              <w:t xml:space="preserve">Tel/Fax: +216 </w:t>
            </w:r>
            <w:r w:rsidRPr="00C51593">
              <w:rPr>
                <w:rFonts w:asciiTheme="minorHAnsi" w:eastAsia="MS Mincho" w:hAnsiTheme="minorHAnsi"/>
                <w:color w:val="000000"/>
                <w:sz w:val="20"/>
                <w:szCs w:val="20"/>
                <w:lang w:val="en-US"/>
              </w:rPr>
              <w:t xml:space="preserve">71 240 212 | </w:t>
            </w:r>
            <w:hyperlink r:id="rId28" w:tgtFrame="_blank" w:history="1">
              <w:r w:rsidRPr="00C51593">
                <w:rPr>
                  <w:rFonts w:asciiTheme="minorHAnsi" w:eastAsia="MS Mincho" w:hAnsiTheme="minorHAnsi"/>
                  <w:color w:val="0000FF"/>
                  <w:sz w:val="20"/>
                  <w:u w:val="single"/>
                  <w:lang w:val="en-US"/>
                </w:rPr>
                <w:t>tunisian.repese@gmail.com</w:t>
              </w:r>
            </w:hyperlink>
          </w:p>
          <w:p w14:paraId="02D786E7" w14:textId="77777777" w:rsidR="00C51593" w:rsidRDefault="00C51593" w:rsidP="00D86177">
            <w:pPr>
              <w:tabs>
                <w:tab w:val="left" w:pos="940"/>
              </w:tabs>
              <w:spacing w:after="0" w:line="240" w:lineRule="auto"/>
              <w:rPr>
                <w:rFonts w:asciiTheme="minorHAnsi" w:eastAsia="MS Mincho" w:hAnsiTheme="minorHAnsi"/>
                <w:sz w:val="20"/>
                <w:lang w:val="en-US"/>
              </w:rPr>
            </w:pPr>
          </w:p>
          <w:p w14:paraId="61AB9234" w14:textId="77777777" w:rsidR="00C51593" w:rsidRPr="00C51593" w:rsidRDefault="00C51593" w:rsidP="00D86177">
            <w:pPr>
              <w:tabs>
                <w:tab w:val="left" w:pos="940"/>
              </w:tabs>
              <w:spacing w:after="0" w:line="240" w:lineRule="auto"/>
              <w:rPr>
                <w:rFonts w:asciiTheme="minorHAnsi" w:eastAsia="MS Mincho" w:hAnsiTheme="minorHAnsi"/>
                <w:sz w:val="20"/>
                <w:szCs w:val="20"/>
                <w:lang w:val="en-US"/>
              </w:rPr>
            </w:pPr>
          </w:p>
        </w:tc>
      </w:tr>
      <w:tr w:rsidR="002A2033" w:rsidRPr="00C51593" w14:paraId="1440F94A" w14:textId="77777777" w:rsidTr="002A2033">
        <w:trPr>
          <w:trHeight w:val="865"/>
        </w:trPr>
        <w:tc>
          <w:tcPr>
            <w:tcW w:w="1129" w:type="dxa"/>
          </w:tcPr>
          <w:p w14:paraId="5B0D7489"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INSAF</w:t>
            </w:r>
          </w:p>
        </w:tc>
        <w:tc>
          <w:tcPr>
            <w:tcW w:w="1814" w:type="dxa"/>
          </w:tcPr>
          <w:p w14:paraId="2E3C8C21" w14:textId="77777777" w:rsidR="002A2033" w:rsidRPr="00C51593" w:rsidRDefault="002A2033" w:rsidP="002A2033">
            <w:pPr>
              <w:tabs>
                <w:tab w:val="left" w:pos="940"/>
              </w:tabs>
              <w:spacing w:after="0" w:line="240" w:lineRule="auto"/>
              <w:jc w:val="center"/>
              <w:rPr>
                <w:rFonts w:asciiTheme="minorHAnsi" w:eastAsia="MS Mincho" w:hAnsiTheme="minorHAnsi"/>
                <w:i/>
                <w:iCs/>
                <w:sz w:val="20"/>
                <w:szCs w:val="20"/>
              </w:rPr>
            </w:pPr>
            <w:r w:rsidRPr="00C51593">
              <w:rPr>
                <w:rFonts w:asciiTheme="minorHAnsi" w:eastAsia="MS Mincho" w:hAnsiTheme="minorHAnsi"/>
                <w:i/>
                <w:iCs/>
                <w:noProof/>
                <w:sz w:val="20"/>
                <w:szCs w:val="20"/>
                <w:lang w:eastAsia="fr-FR"/>
              </w:rPr>
              <w:drawing>
                <wp:inline distT="0" distB="0" distL="0" distR="0" wp14:anchorId="3A2354A1" wp14:editId="7872763B">
                  <wp:extent cx="478155" cy="499745"/>
                  <wp:effectExtent l="19050" t="0" r="0" b="0"/>
                  <wp:docPr id="90" name="Image 13" descr="F:\26 JUIN LOGOS\logoInsa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descr="F:\26 JUIN LOGOS\logoInsaf.png"/>
                          <pic:cNvPicPr>
                            <a:picLocks noChangeAspect="1" noChangeArrowheads="1"/>
                          </pic:cNvPicPr>
                        </pic:nvPicPr>
                        <pic:blipFill>
                          <a:blip r:embed="rId11"/>
                          <a:srcRect/>
                          <a:stretch>
                            <a:fillRect/>
                          </a:stretch>
                        </pic:blipFill>
                        <pic:spPr bwMode="auto">
                          <a:xfrm>
                            <a:off x="0" y="0"/>
                            <a:ext cx="478155" cy="499745"/>
                          </a:xfrm>
                          <a:prstGeom prst="rect">
                            <a:avLst/>
                          </a:prstGeom>
                          <a:noFill/>
                          <a:ln w="9525">
                            <a:noFill/>
                            <a:miter lim="800000"/>
                            <a:headEnd/>
                            <a:tailEnd/>
                          </a:ln>
                        </pic:spPr>
                      </pic:pic>
                    </a:graphicData>
                  </a:graphic>
                </wp:inline>
              </w:drawing>
            </w:r>
          </w:p>
        </w:tc>
        <w:tc>
          <w:tcPr>
            <w:tcW w:w="6521" w:type="dxa"/>
          </w:tcPr>
          <w:p w14:paraId="63D89817"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INSAF. Justice pour les Anciens Militaires</w:t>
            </w:r>
          </w:p>
          <w:p w14:paraId="0BD8D50C" w14:textId="69E68C99" w:rsidR="00C51593" w:rsidRDefault="002A2033" w:rsidP="002A2033">
            <w:pPr>
              <w:spacing w:after="0" w:line="240" w:lineRule="auto"/>
              <w:rPr>
                <w:rFonts w:asciiTheme="minorHAnsi" w:eastAsia="MS Mincho" w:hAnsiTheme="minorHAnsi"/>
                <w:iCs/>
                <w:sz w:val="20"/>
                <w:szCs w:val="20"/>
              </w:rPr>
            </w:pPr>
            <w:r w:rsidRPr="00C51593">
              <w:rPr>
                <w:rFonts w:asciiTheme="minorHAnsi" w:eastAsia="MS Mincho" w:hAnsiTheme="minorHAnsi"/>
                <w:sz w:val="20"/>
                <w:szCs w:val="20"/>
              </w:rPr>
              <w:t xml:space="preserve">Tel : +216 71 257 453 </w:t>
            </w:r>
            <w:r w:rsidRPr="00C51593">
              <w:rPr>
                <w:rFonts w:asciiTheme="minorHAnsi" w:eastAsia="MS Mincho" w:hAnsiTheme="minorHAnsi"/>
                <w:iCs/>
                <w:sz w:val="20"/>
                <w:szCs w:val="20"/>
              </w:rPr>
              <w:t xml:space="preserve">|insaf.assoc@yahoo.fr </w:t>
            </w:r>
            <w:r w:rsidRPr="00C51593">
              <w:rPr>
                <w:rFonts w:asciiTheme="minorHAnsi" w:eastAsia="MS Mincho" w:hAnsiTheme="minorHAnsi"/>
                <w:sz w:val="20"/>
                <w:szCs w:val="20"/>
              </w:rPr>
              <w:t>|</w:t>
            </w:r>
            <w:r w:rsidR="00C51593">
              <w:rPr>
                <w:rFonts w:asciiTheme="minorHAnsi" w:eastAsia="MS Mincho" w:hAnsiTheme="minorHAnsi"/>
                <w:iCs/>
                <w:sz w:val="20"/>
                <w:szCs w:val="20"/>
              </w:rPr>
              <w:t xml:space="preserve"> </w:t>
            </w:r>
            <w:hyperlink r:id="rId29" w:history="1">
              <w:r w:rsidR="00C51593" w:rsidRPr="000360F2">
                <w:rPr>
                  <w:rStyle w:val="Hyperlink"/>
                  <w:rFonts w:asciiTheme="minorHAnsi" w:eastAsia="MS Mincho" w:hAnsiTheme="minorHAnsi"/>
                  <w:iCs/>
                  <w:sz w:val="20"/>
                  <w:szCs w:val="20"/>
                </w:rPr>
                <w:t>www.insaf-anc-mil.org</w:t>
              </w:r>
            </w:hyperlink>
          </w:p>
          <w:p w14:paraId="4CACB3E8" w14:textId="77777777" w:rsidR="00C51593" w:rsidRDefault="00C51593" w:rsidP="002A2033">
            <w:pPr>
              <w:spacing w:after="0" w:line="240" w:lineRule="auto"/>
              <w:rPr>
                <w:rFonts w:asciiTheme="minorHAnsi" w:eastAsia="MS Mincho" w:hAnsiTheme="minorHAnsi"/>
                <w:iCs/>
                <w:sz w:val="20"/>
                <w:szCs w:val="20"/>
              </w:rPr>
            </w:pPr>
          </w:p>
          <w:p w14:paraId="074F9CDA" w14:textId="041DF1FB" w:rsidR="00C51593" w:rsidRPr="00C51593" w:rsidRDefault="00C51593" w:rsidP="002A2033">
            <w:pPr>
              <w:spacing w:after="0" w:line="240" w:lineRule="auto"/>
              <w:rPr>
                <w:rFonts w:asciiTheme="minorHAnsi" w:eastAsia="MS Mincho" w:hAnsiTheme="minorHAnsi"/>
                <w:iCs/>
                <w:sz w:val="20"/>
                <w:szCs w:val="20"/>
              </w:rPr>
            </w:pPr>
          </w:p>
        </w:tc>
      </w:tr>
      <w:tr w:rsidR="002A2033" w:rsidRPr="00C51593" w14:paraId="31A483F2" w14:textId="77777777" w:rsidTr="002A2033">
        <w:tc>
          <w:tcPr>
            <w:tcW w:w="1129" w:type="dxa"/>
          </w:tcPr>
          <w:p w14:paraId="1BA8582A" w14:textId="1871DCF1"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LIBERTE &amp; EQUITE</w:t>
            </w:r>
          </w:p>
        </w:tc>
        <w:tc>
          <w:tcPr>
            <w:tcW w:w="1814" w:type="dxa"/>
          </w:tcPr>
          <w:p w14:paraId="244AF34A" w14:textId="77777777" w:rsidR="002A2033" w:rsidRPr="00C51593" w:rsidRDefault="002A2033" w:rsidP="002A2033">
            <w:pPr>
              <w:tabs>
                <w:tab w:val="left" w:pos="940"/>
              </w:tabs>
              <w:spacing w:after="0" w:line="240" w:lineRule="auto"/>
              <w:jc w:val="center"/>
              <w:rPr>
                <w:rFonts w:asciiTheme="minorHAnsi" w:eastAsia="MS Mincho" w:hAnsiTheme="minorHAnsi"/>
                <w:i/>
                <w:iCs/>
                <w:sz w:val="20"/>
                <w:szCs w:val="20"/>
              </w:rPr>
            </w:pPr>
            <w:r w:rsidRPr="00C51593">
              <w:rPr>
                <w:rFonts w:asciiTheme="minorHAnsi" w:eastAsia="MS Mincho" w:hAnsiTheme="minorHAnsi"/>
                <w:i/>
                <w:iCs/>
                <w:noProof/>
                <w:sz w:val="20"/>
                <w:szCs w:val="20"/>
                <w:lang w:eastAsia="fr-FR"/>
              </w:rPr>
              <w:drawing>
                <wp:inline distT="0" distB="0" distL="0" distR="0" wp14:anchorId="5A2EBC27" wp14:editId="4DF514C9">
                  <wp:extent cx="393700" cy="510540"/>
                  <wp:effectExtent l="19050" t="0" r="6350" b="0"/>
                  <wp:docPr id="89" name="Image 2" descr="F:\26 JUIN LOGOS\1172_517457604952968_35237168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F:\26 JUIN LOGOS\1172_517457604952968_352371680_n.png"/>
                          <pic:cNvPicPr>
                            <a:picLocks noChangeAspect="1" noChangeArrowheads="1"/>
                          </pic:cNvPicPr>
                        </pic:nvPicPr>
                        <pic:blipFill>
                          <a:blip r:embed="rId18"/>
                          <a:srcRect/>
                          <a:stretch>
                            <a:fillRect/>
                          </a:stretch>
                        </pic:blipFill>
                        <pic:spPr bwMode="auto">
                          <a:xfrm>
                            <a:off x="0" y="0"/>
                            <a:ext cx="393700" cy="510540"/>
                          </a:xfrm>
                          <a:prstGeom prst="rect">
                            <a:avLst/>
                          </a:prstGeom>
                          <a:noFill/>
                          <a:ln w="9525">
                            <a:noFill/>
                            <a:miter lim="800000"/>
                            <a:headEnd/>
                            <a:tailEnd/>
                          </a:ln>
                        </pic:spPr>
                      </pic:pic>
                    </a:graphicData>
                  </a:graphic>
                </wp:inline>
              </w:drawing>
            </w:r>
          </w:p>
        </w:tc>
        <w:tc>
          <w:tcPr>
            <w:tcW w:w="6521" w:type="dxa"/>
          </w:tcPr>
          <w:p w14:paraId="6A6421EA"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Liberté et Équité</w:t>
            </w:r>
          </w:p>
          <w:p w14:paraId="187E9B75" w14:textId="5717B192" w:rsidR="002A2033" w:rsidRDefault="00BA6B9B" w:rsidP="002A2033">
            <w:pPr>
              <w:tabs>
                <w:tab w:val="left" w:pos="940"/>
              </w:tabs>
              <w:spacing w:after="0" w:line="240" w:lineRule="auto"/>
              <w:rPr>
                <w:rFonts w:asciiTheme="minorHAnsi" w:eastAsia="MS Mincho" w:hAnsiTheme="minorHAnsi"/>
                <w:sz w:val="20"/>
                <w:szCs w:val="20"/>
              </w:rPr>
            </w:pPr>
            <w:hyperlink r:id="rId30" w:history="1">
              <w:r w:rsidR="00C51593" w:rsidRPr="000360F2">
                <w:rPr>
                  <w:rStyle w:val="Hyperlink"/>
                  <w:rFonts w:asciiTheme="minorHAnsi" w:eastAsia="MS Mincho" w:hAnsiTheme="minorHAnsi"/>
                  <w:sz w:val="20"/>
                  <w:szCs w:val="20"/>
                </w:rPr>
                <w:t>www.facebook.com/liberte.equite</w:t>
              </w:r>
            </w:hyperlink>
          </w:p>
          <w:p w14:paraId="43040CD3" w14:textId="77777777" w:rsidR="00C51593" w:rsidRDefault="00C51593" w:rsidP="002A2033">
            <w:pPr>
              <w:tabs>
                <w:tab w:val="left" w:pos="940"/>
              </w:tabs>
              <w:spacing w:after="0" w:line="240" w:lineRule="auto"/>
              <w:rPr>
                <w:rFonts w:asciiTheme="minorHAnsi" w:eastAsia="MS Mincho" w:hAnsiTheme="minorHAnsi"/>
                <w:sz w:val="20"/>
                <w:szCs w:val="20"/>
              </w:rPr>
            </w:pPr>
          </w:p>
          <w:p w14:paraId="1E760B84" w14:textId="77777777" w:rsidR="00C51593" w:rsidRPr="00C51593" w:rsidRDefault="00C51593" w:rsidP="002A2033">
            <w:pPr>
              <w:tabs>
                <w:tab w:val="left" w:pos="940"/>
              </w:tabs>
              <w:spacing w:after="0" w:line="240" w:lineRule="auto"/>
              <w:rPr>
                <w:rFonts w:asciiTheme="minorHAnsi" w:eastAsia="MS Mincho" w:hAnsiTheme="minorHAnsi"/>
                <w:sz w:val="20"/>
                <w:szCs w:val="20"/>
              </w:rPr>
            </w:pPr>
          </w:p>
        </w:tc>
      </w:tr>
      <w:tr w:rsidR="002A2033" w:rsidRPr="00C51593" w14:paraId="2C0C25D5" w14:textId="77777777" w:rsidTr="002A2033">
        <w:trPr>
          <w:trHeight w:val="783"/>
        </w:trPr>
        <w:tc>
          <w:tcPr>
            <w:tcW w:w="1129" w:type="dxa"/>
          </w:tcPr>
          <w:p w14:paraId="1B2B9FED" w14:textId="77777777" w:rsidR="00C51593" w:rsidRDefault="00C51593" w:rsidP="002A2033">
            <w:pPr>
              <w:tabs>
                <w:tab w:val="left" w:pos="940"/>
              </w:tabs>
              <w:spacing w:after="0" w:line="240" w:lineRule="auto"/>
              <w:rPr>
                <w:rFonts w:asciiTheme="minorHAnsi" w:eastAsia="MS Mincho" w:hAnsiTheme="minorHAnsi"/>
                <w:sz w:val="20"/>
                <w:szCs w:val="20"/>
              </w:rPr>
            </w:pPr>
          </w:p>
          <w:p w14:paraId="0F66AF36"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LTDH</w:t>
            </w:r>
          </w:p>
        </w:tc>
        <w:tc>
          <w:tcPr>
            <w:tcW w:w="1814" w:type="dxa"/>
          </w:tcPr>
          <w:p w14:paraId="715C6B5A" w14:textId="77777777" w:rsidR="002A2033" w:rsidRPr="00C51593" w:rsidRDefault="002A2033" w:rsidP="002A2033">
            <w:pPr>
              <w:tabs>
                <w:tab w:val="left" w:pos="940"/>
              </w:tabs>
              <w:spacing w:after="0" w:line="240" w:lineRule="auto"/>
              <w:jc w:val="center"/>
              <w:rPr>
                <w:rFonts w:asciiTheme="minorHAnsi" w:eastAsia="MS Mincho" w:hAnsiTheme="minorHAnsi"/>
                <w:i/>
                <w:iCs/>
                <w:sz w:val="20"/>
                <w:szCs w:val="20"/>
              </w:rPr>
            </w:pPr>
            <w:r w:rsidRPr="00C51593">
              <w:rPr>
                <w:rFonts w:asciiTheme="minorHAnsi" w:eastAsia="MS Mincho" w:hAnsiTheme="minorHAnsi"/>
                <w:i/>
                <w:iCs/>
                <w:noProof/>
                <w:sz w:val="20"/>
                <w:szCs w:val="20"/>
                <w:lang w:eastAsia="fr-FR"/>
              </w:rPr>
              <w:drawing>
                <wp:inline distT="0" distB="0" distL="0" distR="0" wp14:anchorId="4E2B3D15" wp14:editId="2F88D861">
                  <wp:extent cx="506779" cy="738916"/>
                  <wp:effectExtent l="0" t="0" r="1270" b="0"/>
                  <wp:docPr id="88" name="Image 14" descr="F:\26 JUIN LOGOS\ltdh 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descr="F:\26 JUIN LOGOS\ltdh 2012.png"/>
                          <pic:cNvPicPr>
                            <a:picLocks noChangeAspect="1" noChangeArrowheads="1"/>
                          </pic:cNvPicPr>
                        </pic:nvPicPr>
                        <pic:blipFill>
                          <a:blip r:embed="rId15"/>
                          <a:srcRect/>
                          <a:stretch>
                            <a:fillRect/>
                          </a:stretch>
                        </pic:blipFill>
                        <pic:spPr bwMode="auto">
                          <a:xfrm>
                            <a:off x="0" y="0"/>
                            <a:ext cx="506779" cy="738916"/>
                          </a:xfrm>
                          <a:prstGeom prst="rect">
                            <a:avLst/>
                          </a:prstGeom>
                          <a:noFill/>
                          <a:ln w="9525">
                            <a:noFill/>
                            <a:miter lim="800000"/>
                            <a:headEnd/>
                            <a:tailEnd/>
                          </a:ln>
                        </pic:spPr>
                      </pic:pic>
                    </a:graphicData>
                  </a:graphic>
                </wp:inline>
              </w:drawing>
            </w:r>
          </w:p>
        </w:tc>
        <w:tc>
          <w:tcPr>
            <w:tcW w:w="6521" w:type="dxa"/>
          </w:tcPr>
          <w:p w14:paraId="41D0C3D1" w14:textId="77777777" w:rsidR="00195F7E" w:rsidRDefault="00195F7E" w:rsidP="002A2033">
            <w:pPr>
              <w:tabs>
                <w:tab w:val="left" w:pos="940"/>
              </w:tabs>
              <w:spacing w:after="0" w:line="240" w:lineRule="auto"/>
              <w:rPr>
                <w:rFonts w:asciiTheme="minorHAnsi" w:eastAsia="MS Mincho" w:hAnsiTheme="minorHAnsi"/>
                <w:sz w:val="20"/>
                <w:szCs w:val="20"/>
              </w:rPr>
            </w:pPr>
          </w:p>
          <w:p w14:paraId="018F5981" w14:textId="4E1CCC2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Ligue Tunisienne pour la Défense des Droits de l’Homme</w:t>
            </w:r>
          </w:p>
          <w:p w14:paraId="2781C3C3" w14:textId="69AE62E5" w:rsidR="00C51593" w:rsidRDefault="002A2033" w:rsidP="002A2033">
            <w:pPr>
              <w:tabs>
                <w:tab w:val="left" w:pos="940"/>
              </w:tabs>
              <w:spacing w:after="0" w:line="240" w:lineRule="auto"/>
              <w:rPr>
                <w:rFonts w:asciiTheme="minorHAnsi" w:eastAsia="MS Mincho" w:hAnsiTheme="minorHAnsi"/>
                <w:iCs/>
                <w:sz w:val="20"/>
                <w:szCs w:val="20"/>
              </w:rPr>
            </w:pPr>
            <w:r w:rsidRPr="00C51593">
              <w:rPr>
                <w:rFonts w:asciiTheme="minorHAnsi" w:eastAsia="MS Mincho" w:hAnsiTheme="minorHAnsi"/>
                <w:iCs/>
                <w:sz w:val="20"/>
                <w:szCs w:val="20"/>
              </w:rPr>
              <w:t xml:space="preserve">Tel : +216 71 258 001 | Fax: +216 71 257 005 | </w:t>
            </w:r>
            <w:hyperlink r:id="rId31" w:history="1">
              <w:r w:rsidR="00C51593" w:rsidRPr="000360F2">
                <w:rPr>
                  <w:rStyle w:val="Hyperlink"/>
                  <w:rFonts w:asciiTheme="minorHAnsi" w:eastAsia="MS Mincho" w:hAnsiTheme="minorHAnsi"/>
                  <w:iCs/>
                  <w:sz w:val="20"/>
                  <w:szCs w:val="20"/>
                </w:rPr>
                <w:t>contact@ltdh-tunisie.org</w:t>
              </w:r>
            </w:hyperlink>
          </w:p>
          <w:p w14:paraId="383FCC02" w14:textId="77777777" w:rsidR="00C51593" w:rsidRDefault="00C51593" w:rsidP="002A2033">
            <w:pPr>
              <w:tabs>
                <w:tab w:val="left" w:pos="940"/>
              </w:tabs>
              <w:spacing w:after="0" w:line="240" w:lineRule="auto"/>
              <w:rPr>
                <w:rFonts w:asciiTheme="minorHAnsi" w:eastAsia="MS Mincho" w:hAnsiTheme="minorHAnsi"/>
                <w:iCs/>
                <w:sz w:val="20"/>
                <w:szCs w:val="20"/>
              </w:rPr>
            </w:pPr>
          </w:p>
          <w:p w14:paraId="02823D1A" w14:textId="77777777" w:rsidR="00C51593" w:rsidRDefault="00C51593" w:rsidP="002A2033">
            <w:pPr>
              <w:tabs>
                <w:tab w:val="left" w:pos="940"/>
              </w:tabs>
              <w:spacing w:after="0" w:line="240" w:lineRule="auto"/>
              <w:rPr>
                <w:rFonts w:asciiTheme="minorHAnsi" w:eastAsia="MS Mincho" w:hAnsiTheme="minorHAnsi"/>
                <w:iCs/>
                <w:sz w:val="20"/>
                <w:szCs w:val="20"/>
              </w:rPr>
            </w:pPr>
          </w:p>
          <w:p w14:paraId="73695C70" w14:textId="77777777" w:rsidR="00C51593" w:rsidRPr="00C51593" w:rsidRDefault="00C51593" w:rsidP="002A2033">
            <w:pPr>
              <w:tabs>
                <w:tab w:val="left" w:pos="940"/>
              </w:tabs>
              <w:spacing w:after="0" w:line="240" w:lineRule="auto"/>
              <w:rPr>
                <w:rFonts w:asciiTheme="minorHAnsi" w:eastAsia="MS Mincho" w:hAnsiTheme="minorHAnsi"/>
                <w:sz w:val="20"/>
                <w:szCs w:val="20"/>
              </w:rPr>
            </w:pPr>
          </w:p>
        </w:tc>
      </w:tr>
      <w:tr w:rsidR="002A2033" w:rsidRPr="00C51593" w14:paraId="16EF62B7" w14:textId="77777777" w:rsidTr="002A2033">
        <w:tc>
          <w:tcPr>
            <w:tcW w:w="1129" w:type="dxa"/>
          </w:tcPr>
          <w:p w14:paraId="69142608"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OMCT</w:t>
            </w:r>
          </w:p>
        </w:tc>
        <w:tc>
          <w:tcPr>
            <w:tcW w:w="1814" w:type="dxa"/>
          </w:tcPr>
          <w:p w14:paraId="4503EFF3" w14:textId="77777777" w:rsidR="002A2033" w:rsidRPr="00C51593" w:rsidRDefault="002A2033" w:rsidP="002A2033">
            <w:pPr>
              <w:tabs>
                <w:tab w:val="left" w:pos="940"/>
              </w:tabs>
              <w:spacing w:after="0" w:line="240" w:lineRule="auto"/>
              <w:jc w:val="center"/>
              <w:rPr>
                <w:rFonts w:asciiTheme="minorHAnsi" w:eastAsia="MS Mincho" w:hAnsiTheme="minorHAnsi"/>
                <w:i/>
                <w:iCs/>
                <w:sz w:val="20"/>
                <w:szCs w:val="20"/>
              </w:rPr>
            </w:pPr>
            <w:r w:rsidRPr="00C51593">
              <w:rPr>
                <w:rFonts w:asciiTheme="minorHAnsi" w:eastAsia="MS Mincho" w:hAnsiTheme="minorHAnsi"/>
                <w:i/>
                <w:iCs/>
                <w:noProof/>
                <w:sz w:val="20"/>
                <w:szCs w:val="20"/>
                <w:lang w:eastAsia="fr-FR"/>
              </w:rPr>
              <w:drawing>
                <wp:inline distT="0" distB="0" distL="0" distR="0" wp14:anchorId="20ACFF48" wp14:editId="27CA3C82">
                  <wp:extent cx="712470" cy="425450"/>
                  <wp:effectExtent l="19050" t="0" r="0" b="0"/>
                  <wp:docPr id="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712470" cy="425450"/>
                          </a:xfrm>
                          <a:prstGeom prst="rect">
                            <a:avLst/>
                          </a:prstGeom>
                          <a:noFill/>
                          <a:ln w="9525">
                            <a:noFill/>
                            <a:miter lim="800000"/>
                            <a:headEnd/>
                            <a:tailEnd/>
                          </a:ln>
                        </pic:spPr>
                      </pic:pic>
                    </a:graphicData>
                  </a:graphic>
                </wp:inline>
              </w:drawing>
            </w:r>
          </w:p>
        </w:tc>
        <w:tc>
          <w:tcPr>
            <w:tcW w:w="6521" w:type="dxa"/>
          </w:tcPr>
          <w:p w14:paraId="43191E76"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Organisation Mondiale Contre la Torture</w:t>
            </w:r>
          </w:p>
          <w:p w14:paraId="596EAFCA" w14:textId="79B32C18" w:rsidR="002A203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 xml:space="preserve">Tel : +216 71 322 561 | Fax : +216 71 322 562 | </w:t>
            </w:r>
            <w:hyperlink r:id="rId32" w:history="1">
              <w:r w:rsidR="00C51593" w:rsidRPr="000360F2">
                <w:rPr>
                  <w:rStyle w:val="Hyperlink"/>
                  <w:rFonts w:asciiTheme="minorHAnsi" w:eastAsia="MS Mincho" w:hAnsiTheme="minorHAnsi"/>
                  <w:sz w:val="20"/>
                  <w:szCs w:val="20"/>
                </w:rPr>
                <w:t>www.omct-tunisie.org</w:t>
              </w:r>
            </w:hyperlink>
          </w:p>
          <w:p w14:paraId="69AF7DB1" w14:textId="77777777" w:rsidR="00C51593" w:rsidRDefault="00C51593" w:rsidP="002A2033">
            <w:pPr>
              <w:tabs>
                <w:tab w:val="left" w:pos="940"/>
              </w:tabs>
              <w:spacing w:after="0" w:line="240" w:lineRule="auto"/>
              <w:rPr>
                <w:rFonts w:asciiTheme="minorHAnsi" w:eastAsia="MS Mincho" w:hAnsiTheme="minorHAnsi"/>
                <w:sz w:val="20"/>
                <w:szCs w:val="20"/>
              </w:rPr>
            </w:pPr>
          </w:p>
          <w:p w14:paraId="35B25EE6" w14:textId="77777777" w:rsidR="00C51593" w:rsidRPr="00C51593" w:rsidRDefault="00C51593" w:rsidP="002A2033">
            <w:pPr>
              <w:tabs>
                <w:tab w:val="left" w:pos="940"/>
              </w:tabs>
              <w:spacing w:after="0" w:line="240" w:lineRule="auto"/>
              <w:rPr>
                <w:rFonts w:asciiTheme="minorHAnsi" w:eastAsia="MS Mincho" w:hAnsiTheme="minorHAnsi"/>
                <w:sz w:val="20"/>
                <w:szCs w:val="20"/>
              </w:rPr>
            </w:pPr>
          </w:p>
        </w:tc>
      </w:tr>
      <w:tr w:rsidR="002A2033" w:rsidRPr="00C51593" w14:paraId="4E9DE6AE" w14:textId="77777777" w:rsidTr="002A2033">
        <w:tc>
          <w:tcPr>
            <w:tcW w:w="1129" w:type="dxa"/>
          </w:tcPr>
          <w:p w14:paraId="78AAD30E"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OTIM</w:t>
            </w:r>
          </w:p>
        </w:tc>
        <w:tc>
          <w:tcPr>
            <w:tcW w:w="1814" w:type="dxa"/>
          </w:tcPr>
          <w:p w14:paraId="4C6FB25A" w14:textId="77777777" w:rsidR="002A2033" w:rsidRPr="00C51593" w:rsidRDefault="002A2033" w:rsidP="002A2033">
            <w:pPr>
              <w:tabs>
                <w:tab w:val="left" w:pos="940"/>
              </w:tabs>
              <w:spacing w:after="0" w:line="240" w:lineRule="auto"/>
              <w:jc w:val="center"/>
              <w:rPr>
                <w:rFonts w:asciiTheme="minorHAnsi" w:eastAsia="MS Mincho" w:hAnsiTheme="minorHAnsi" w:cs="Helvetica"/>
                <w:i/>
                <w:iCs/>
                <w:noProof/>
                <w:sz w:val="8"/>
                <w:szCs w:val="8"/>
                <w:lang w:eastAsia="fr-FR"/>
              </w:rPr>
            </w:pPr>
          </w:p>
          <w:p w14:paraId="741A00AE" w14:textId="77777777" w:rsidR="002A2033" w:rsidRPr="00C51593" w:rsidRDefault="002A2033" w:rsidP="002A2033">
            <w:pPr>
              <w:tabs>
                <w:tab w:val="left" w:pos="940"/>
              </w:tabs>
              <w:spacing w:after="0" w:line="240" w:lineRule="auto"/>
              <w:jc w:val="center"/>
              <w:rPr>
                <w:rFonts w:asciiTheme="minorHAnsi" w:eastAsia="MS Mincho" w:hAnsiTheme="minorHAnsi" w:cs="Helvetica"/>
                <w:i/>
                <w:iCs/>
                <w:noProof/>
                <w:sz w:val="20"/>
                <w:szCs w:val="20"/>
                <w:lang w:eastAsia="fr-FR"/>
              </w:rPr>
            </w:pPr>
            <w:r w:rsidRPr="00C51593">
              <w:rPr>
                <w:rFonts w:asciiTheme="minorHAnsi" w:eastAsia="MS Mincho" w:hAnsiTheme="minorHAnsi"/>
                <w:noProof/>
                <w:sz w:val="20"/>
                <w:szCs w:val="20"/>
                <w:lang w:eastAsia="fr-FR"/>
              </w:rPr>
              <w:drawing>
                <wp:inline distT="0" distB="0" distL="0" distR="0" wp14:anchorId="1480086B" wp14:editId="0ECFA566">
                  <wp:extent cx="755015" cy="351155"/>
                  <wp:effectExtent l="19050" t="0" r="6985" b="0"/>
                  <wp:docPr id="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755015" cy="351155"/>
                          </a:xfrm>
                          <a:prstGeom prst="rect">
                            <a:avLst/>
                          </a:prstGeom>
                          <a:noFill/>
                          <a:ln w="9525">
                            <a:noFill/>
                            <a:miter lim="800000"/>
                            <a:headEnd/>
                            <a:tailEnd/>
                          </a:ln>
                        </pic:spPr>
                      </pic:pic>
                    </a:graphicData>
                  </a:graphic>
                </wp:inline>
              </w:drawing>
            </w:r>
          </w:p>
        </w:tc>
        <w:tc>
          <w:tcPr>
            <w:tcW w:w="6521" w:type="dxa"/>
          </w:tcPr>
          <w:p w14:paraId="2499192F"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Observatoire Tunisienne pour l’Independence de la Justice</w:t>
            </w:r>
          </w:p>
          <w:p w14:paraId="0C75DB93" w14:textId="12567DFA" w:rsidR="002A203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 xml:space="preserve">Tel : +216 71 224 224 | Fax : +216 71 224 244 | </w:t>
            </w:r>
            <w:hyperlink r:id="rId33" w:history="1">
              <w:r w:rsidR="00C51593" w:rsidRPr="000360F2">
                <w:rPr>
                  <w:rStyle w:val="Hyperlink"/>
                  <w:rFonts w:asciiTheme="minorHAnsi" w:eastAsia="MS Mincho" w:hAnsiTheme="minorHAnsi"/>
                  <w:sz w:val="20"/>
                  <w:szCs w:val="20"/>
                </w:rPr>
                <w:t>marsed.kadha.tn@gmail.com</w:t>
              </w:r>
            </w:hyperlink>
          </w:p>
          <w:p w14:paraId="2067F139" w14:textId="77777777" w:rsidR="00C51593" w:rsidRPr="00C51593" w:rsidRDefault="00C51593" w:rsidP="002A2033">
            <w:pPr>
              <w:tabs>
                <w:tab w:val="left" w:pos="940"/>
              </w:tabs>
              <w:spacing w:after="0" w:line="240" w:lineRule="auto"/>
              <w:rPr>
                <w:rFonts w:asciiTheme="minorHAnsi" w:eastAsia="MS Mincho" w:hAnsiTheme="minorHAnsi"/>
                <w:sz w:val="20"/>
                <w:szCs w:val="20"/>
              </w:rPr>
            </w:pPr>
          </w:p>
        </w:tc>
      </w:tr>
      <w:tr w:rsidR="002A2033" w:rsidRPr="00C51593" w14:paraId="52BDD75E" w14:textId="77777777" w:rsidTr="002A2033">
        <w:tc>
          <w:tcPr>
            <w:tcW w:w="1129" w:type="dxa"/>
          </w:tcPr>
          <w:p w14:paraId="047C8886"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OTP</w:t>
            </w:r>
          </w:p>
        </w:tc>
        <w:tc>
          <w:tcPr>
            <w:tcW w:w="1814" w:type="dxa"/>
          </w:tcPr>
          <w:p w14:paraId="388E400A" w14:textId="77777777" w:rsidR="002A2033" w:rsidRPr="00C51593" w:rsidRDefault="002A2033" w:rsidP="002A2033">
            <w:pPr>
              <w:tabs>
                <w:tab w:val="left" w:pos="940"/>
              </w:tabs>
              <w:spacing w:after="0" w:line="240" w:lineRule="auto"/>
              <w:jc w:val="center"/>
              <w:rPr>
                <w:rFonts w:asciiTheme="minorHAnsi" w:eastAsia="MS Mincho" w:hAnsiTheme="minorHAnsi"/>
                <w:i/>
                <w:iCs/>
                <w:noProof/>
                <w:sz w:val="20"/>
                <w:szCs w:val="20"/>
                <w:lang w:eastAsia="fr-FR"/>
              </w:rPr>
            </w:pPr>
          </w:p>
        </w:tc>
        <w:tc>
          <w:tcPr>
            <w:tcW w:w="6521" w:type="dxa"/>
          </w:tcPr>
          <w:p w14:paraId="443BA4C9" w14:textId="77777777" w:rsidR="002A2033" w:rsidRPr="00C51593" w:rsidRDefault="002A2033" w:rsidP="002A2033">
            <w:pPr>
              <w:tabs>
                <w:tab w:val="left" w:pos="940"/>
              </w:tabs>
              <w:spacing w:after="0" w:line="240" w:lineRule="auto"/>
              <w:rPr>
                <w:rFonts w:asciiTheme="minorHAnsi" w:eastAsia="MS Mincho" w:hAnsiTheme="minorHAnsi"/>
                <w:sz w:val="20"/>
                <w:szCs w:val="20"/>
              </w:rPr>
            </w:pPr>
            <w:r w:rsidRPr="00C51593">
              <w:rPr>
                <w:rFonts w:asciiTheme="minorHAnsi" w:eastAsia="MS Mincho" w:hAnsiTheme="minorHAnsi"/>
                <w:sz w:val="20"/>
                <w:szCs w:val="20"/>
              </w:rPr>
              <w:t>Observatoire Tunisien des Prisons</w:t>
            </w:r>
          </w:p>
          <w:p w14:paraId="3F2D951A" w14:textId="65B6FC5C" w:rsidR="00195F7E" w:rsidRPr="00195F7E" w:rsidRDefault="002A2033" w:rsidP="00195F7E">
            <w:pPr>
              <w:tabs>
                <w:tab w:val="left" w:pos="940"/>
              </w:tabs>
              <w:spacing w:after="0" w:line="240" w:lineRule="auto"/>
              <w:rPr>
                <w:rFonts w:asciiTheme="minorHAnsi" w:eastAsia="MS Mincho" w:hAnsiTheme="minorHAnsi"/>
                <w:color w:val="000000"/>
                <w:sz w:val="20"/>
                <w:szCs w:val="20"/>
              </w:rPr>
            </w:pPr>
            <w:r w:rsidRPr="00C51593">
              <w:rPr>
                <w:rFonts w:asciiTheme="minorHAnsi" w:eastAsia="MS Mincho" w:hAnsiTheme="minorHAnsi"/>
                <w:sz w:val="20"/>
                <w:szCs w:val="20"/>
              </w:rPr>
              <w:t xml:space="preserve">Tel : +216 71 834 530 </w:t>
            </w:r>
            <w:r w:rsidRPr="00C51593">
              <w:rPr>
                <w:rFonts w:asciiTheme="minorHAnsi" w:eastAsia="MS Mincho" w:hAnsiTheme="minorHAnsi"/>
                <w:color w:val="000000"/>
                <w:sz w:val="20"/>
                <w:szCs w:val="20"/>
              </w:rPr>
              <w:t xml:space="preserve">| </w:t>
            </w:r>
            <w:hyperlink r:id="rId34" w:history="1">
              <w:r w:rsidR="00195F7E" w:rsidRPr="000360F2">
                <w:rPr>
                  <w:rStyle w:val="Hyperlink"/>
                  <w:rFonts w:asciiTheme="minorHAnsi" w:eastAsia="MS Mincho" w:hAnsiTheme="minorHAnsi"/>
                  <w:sz w:val="20"/>
                  <w:szCs w:val="20"/>
                </w:rPr>
                <w:t>obs.prisons@gmail.com</w:t>
              </w:r>
            </w:hyperlink>
          </w:p>
        </w:tc>
      </w:tr>
    </w:tbl>
    <w:p w14:paraId="57FC1194" w14:textId="77777777" w:rsidR="00D51CEE" w:rsidRPr="00656B81" w:rsidRDefault="00D51CEE" w:rsidP="00195F7E">
      <w:pPr>
        <w:jc w:val="both"/>
      </w:pPr>
    </w:p>
    <w:sectPr w:rsidR="00D51CEE" w:rsidRPr="00656B81">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329271" w14:textId="77777777" w:rsidR="00D91EDD" w:rsidRDefault="00D91EDD" w:rsidP="00804BC5">
      <w:pPr>
        <w:spacing w:after="0" w:line="240" w:lineRule="auto"/>
      </w:pPr>
      <w:r>
        <w:separator/>
      </w:r>
    </w:p>
  </w:endnote>
  <w:endnote w:type="continuationSeparator" w:id="0">
    <w:p w14:paraId="32F0605E" w14:textId="77777777" w:rsidR="00D91EDD" w:rsidRDefault="00D91EDD" w:rsidP="00804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A91A7" w14:textId="77777777" w:rsidR="007949FC" w:rsidRDefault="00B30CC5">
    <w:pPr>
      <w:pStyle w:val="Footer"/>
      <w:jc w:val="right"/>
    </w:pPr>
    <w:r>
      <w:fldChar w:fldCharType="begin"/>
    </w:r>
    <w:r>
      <w:instrText>PAGE   \* MERGEFORMAT</w:instrText>
    </w:r>
    <w:r>
      <w:fldChar w:fldCharType="separate"/>
    </w:r>
    <w:r w:rsidR="00BA6B9B">
      <w:rPr>
        <w:noProof/>
      </w:rPr>
      <w:t>1</w:t>
    </w:r>
    <w:r>
      <w:rPr>
        <w:noProof/>
      </w:rPr>
      <w:fldChar w:fldCharType="end"/>
    </w:r>
  </w:p>
  <w:p w14:paraId="2D62AEA0" w14:textId="77777777" w:rsidR="007949FC" w:rsidRDefault="007949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4B3E0A" w14:textId="77777777" w:rsidR="00D91EDD" w:rsidRDefault="00D91EDD" w:rsidP="00804BC5">
      <w:pPr>
        <w:spacing w:after="0" w:line="240" w:lineRule="auto"/>
      </w:pPr>
      <w:r>
        <w:separator/>
      </w:r>
    </w:p>
  </w:footnote>
  <w:footnote w:type="continuationSeparator" w:id="0">
    <w:p w14:paraId="00225714" w14:textId="77777777" w:rsidR="00D91EDD" w:rsidRDefault="00D91EDD" w:rsidP="00804BC5">
      <w:pPr>
        <w:spacing w:after="0" w:line="240" w:lineRule="auto"/>
      </w:pPr>
      <w:r>
        <w:continuationSeparator/>
      </w:r>
    </w:p>
  </w:footnote>
  <w:footnote w:id="1">
    <w:p w14:paraId="239008C4" w14:textId="77777777" w:rsidR="00656B81" w:rsidRDefault="00656B81" w:rsidP="00656B81">
      <w:pPr>
        <w:pStyle w:val="FootnoteText"/>
        <w:jc w:val="both"/>
      </w:pPr>
      <w:r>
        <w:rPr>
          <w:rStyle w:val="FootnoteReference"/>
        </w:rPr>
        <w:footnoteRef/>
      </w:r>
      <w:r>
        <w:t xml:space="preserve"> </w:t>
      </w:r>
      <w:r w:rsidRPr="00656B81">
        <w:t xml:space="preserve">A été adoptée une loi organique n°2015-50 du 3 décembre 2015 relative à la Cour constitutionnelle. Mais cette institution n’a pas encore été </w:t>
      </w:r>
      <w:r w:rsidR="00334AF3" w:rsidRPr="00656B81">
        <w:t>mise</w:t>
      </w:r>
      <w:r w:rsidRPr="00656B81">
        <w:t xml:space="preserve"> en place vu que le projet de loi organique relatif au Conseil supérieur de magistrature n’a pas encore été adopté. Sont aussi en cours d’examen des projets de lois organiques relatifs aux instances constitutionnelles indépendantes tel le projet relatif à l’instance des droits de l’homme.</w:t>
      </w:r>
    </w:p>
  </w:footnote>
  <w:footnote w:id="2">
    <w:p w14:paraId="67ACFCED" w14:textId="77777777" w:rsidR="007949FC" w:rsidRDefault="007949FC" w:rsidP="00656B81">
      <w:pPr>
        <w:pStyle w:val="FootnoteText"/>
        <w:jc w:val="both"/>
      </w:pPr>
      <w:r>
        <w:rPr>
          <w:rStyle w:val="FootnoteReference"/>
        </w:rPr>
        <w:footnoteRef/>
      </w:r>
      <w:r>
        <w:t xml:space="preserve"> En février 2011, le gouvernement provisoire a adopté en conseil ministériel le Protocole facultatif à la Convention contre la torture</w:t>
      </w:r>
      <w:r w:rsidRPr="00AF17F9">
        <w:t>, la Convention internationale pour la protection de toutes les personnes contre les disparitions forcées, le protocole facultatif se rapportant au Pacte international relatif aux droits civils et politiques</w:t>
      </w:r>
      <w:r>
        <w:t xml:space="preserve"> </w:t>
      </w:r>
      <w:r w:rsidRPr="00AF17F9">
        <w:t>et le statut de Rome créant la Cour pénale internationale.</w:t>
      </w:r>
    </w:p>
  </w:footnote>
  <w:footnote w:id="3">
    <w:p w14:paraId="726FF300" w14:textId="77777777" w:rsidR="00863BC1" w:rsidRDefault="00863BC1" w:rsidP="001C6664">
      <w:pPr>
        <w:pStyle w:val="FootnoteText"/>
        <w:jc w:val="both"/>
      </w:pPr>
      <w:r>
        <w:rPr>
          <w:rStyle w:val="FootnoteReference"/>
        </w:rPr>
        <w:footnoteRef/>
      </w:r>
      <w:r>
        <w:t xml:space="preserve"> Le prix Nobel de la paix de 2015 a été attribué au Quartet :</w:t>
      </w:r>
      <w:r w:rsidR="0041435A">
        <w:t xml:space="preserve"> l</w:t>
      </w:r>
      <w:r>
        <w:t>a Ligue Tunisienne des Droits de l’Homme</w:t>
      </w:r>
      <w:r w:rsidR="0041435A">
        <w:t xml:space="preserve"> (LTDH)</w:t>
      </w:r>
      <w:r>
        <w:t>, l’Ordre National des Avocats de Tunisie</w:t>
      </w:r>
      <w:r w:rsidR="0041435A">
        <w:t xml:space="preserve"> (ONAT), l’Union Générale Tunisienne du Travail (UGTT), l’Union Tunisienne de l’Industrie du Commerce et de l’Artisanat (UTICA), pour leurs contributions dans le dialogue national et leurs efforts durant la transition démocratique.</w:t>
      </w:r>
    </w:p>
  </w:footnote>
  <w:footnote w:id="4">
    <w:p w14:paraId="4BCA3E36" w14:textId="77777777" w:rsidR="007949FC" w:rsidRDefault="007949FC" w:rsidP="005063AB">
      <w:pPr>
        <w:pStyle w:val="FootnoteText"/>
      </w:pPr>
      <w:r>
        <w:rPr>
          <w:rStyle w:val="FootnoteReference"/>
        </w:rPr>
        <w:footnoteRef/>
      </w:r>
      <w:r>
        <w:t xml:space="preserve"> </w:t>
      </w:r>
      <w:r w:rsidRPr="007A79E0">
        <w:t>http://www.african-court.org/fr/images/documents/Court/Cases/Judgment/Decision-Requete%20No%20007-2012%20-%20Baghdadi%20Ali%20Mahmoudi%20c.%20Republique%20deTunisie.pdf</w:t>
      </w:r>
    </w:p>
  </w:footnote>
  <w:footnote w:id="5">
    <w:p w14:paraId="28C17729" w14:textId="77777777" w:rsidR="007949FC" w:rsidRDefault="007949FC" w:rsidP="00DD368E">
      <w:pPr>
        <w:pStyle w:val="FootnoteText"/>
        <w:jc w:val="both"/>
      </w:pPr>
      <w:r>
        <w:rPr>
          <w:rStyle w:val="FootnoteReference"/>
        </w:rPr>
        <w:footnoteRef/>
      </w:r>
      <w:r>
        <w:t xml:space="preserve"> L’article 14 du Code pénal dresse une classification des infractions : les crimes sont des infractions punissables d’au moins cinq ans d’emprisonnement, les délits sont des infractions punissables d’au moins 16 jours d’emprisonnement et les contraventions sont des infractions punissables de </w:t>
      </w:r>
      <w:r w:rsidR="00DD368E">
        <w:t xml:space="preserve">1 </w:t>
      </w:r>
      <w:r>
        <w:t xml:space="preserve">jour d’emprisonnement au </w:t>
      </w:r>
      <w:r w:rsidR="00DD368E">
        <w:t>moin</w:t>
      </w:r>
      <w:r>
        <w:t>s.</w:t>
      </w:r>
    </w:p>
  </w:footnote>
  <w:footnote w:id="6">
    <w:p w14:paraId="210515B2" w14:textId="77777777" w:rsidR="007949FC" w:rsidRDefault="007949FC" w:rsidP="005063AB">
      <w:pPr>
        <w:pStyle w:val="FootnoteText"/>
        <w:jc w:val="both"/>
      </w:pPr>
      <w:r>
        <w:rPr>
          <w:rStyle w:val="FootnoteReference"/>
        </w:rPr>
        <w:footnoteRef/>
      </w:r>
      <w:r>
        <w:t xml:space="preserve"> Article 23 de la Constitution : </w:t>
      </w:r>
      <w:r w:rsidRPr="007F01AC">
        <w:t>L'État protège la dignité de la personne et son intégrité physique, et interdit la torture morale et physique. Le crime de torture est imprescriptible.</w:t>
      </w:r>
    </w:p>
  </w:footnote>
  <w:footnote w:id="7">
    <w:p w14:paraId="5B1E112C" w14:textId="77777777" w:rsidR="002937A5" w:rsidRDefault="002937A5" w:rsidP="001C6664">
      <w:pPr>
        <w:pStyle w:val="FootnoteText"/>
        <w:jc w:val="both"/>
      </w:pPr>
      <w:r>
        <w:rPr>
          <w:rStyle w:val="FootnoteReference"/>
        </w:rPr>
        <w:footnoteRef/>
      </w:r>
      <w:r>
        <w:t xml:space="preserve"> </w:t>
      </w:r>
      <w:r w:rsidR="00C43F18">
        <w:t>La seule condamnation pour torture a été prononcée le 25 mars 2011 à l’encontre de quatre agents pour deux ans d’emprisonnement. Ayant obtenus le pardon de la victime, Sami Belhadef, les accusés ont bénéficié durant l’appel d’une réduction de la peine à deux ans d’emprisonnement avec sursis.</w:t>
      </w:r>
    </w:p>
  </w:footnote>
  <w:footnote w:id="8">
    <w:p w14:paraId="2B85B813" w14:textId="77777777" w:rsidR="009F1BEF" w:rsidRDefault="009F1BEF">
      <w:pPr>
        <w:pStyle w:val="FootnoteText"/>
      </w:pPr>
      <w:r>
        <w:rPr>
          <w:rStyle w:val="FootnoteReference"/>
        </w:rPr>
        <w:footnoteRef/>
      </w:r>
      <w:r>
        <w:t xml:space="preserve"> </w:t>
      </w:r>
      <w:r w:rsidRPr="009F1BEF">
        <w:t>voir §156 à 172, p33-34 du rapport périodique de l’Etat tunisien</w:t>
      </w:r>
      <w:r>
        <w:t>.</w:t>
      </w:r>
    </w:p>
  </w:footnote>
  <w:footnote w:id="9">
    <w:p w14:paraId="43F38ABE" w14:textId="77777777" w:rsidR="007949FC" w:rsidRDefault="007949FC" w:rsidP="00AD5CFC">
      <w:pPr>
        <w:pStyle w:val="FootnoteText"/>
        <w:jc w:val="both"/>
      </w:pPr>
      <w:r>
        <w:rPr>
          <w:rStyle w:val="FootnoteReference"/>
        </w:rPr>
        <w:footnoteRef/>
      </w:r>
      <w:r>
        <w:t xml:space="preserve"> L’AISPP et l’OCTT recensent plus de 400 plaintes pour torture enrôlées au sein des tribunaux après la révolution. </w:t>
      </w:r>
    </w:p>
  </w:footnote>
  <w:footnote w:id="10">
    <w:p w14:paraId="711E6CB1" w14:textId="77777777" w:rsidR="00B20EA8" w:rsidRDefault="00B20EA8">
      <w:pPr>
        <w:pStyle w:val="FootnoteText"/>
      </w:pPr>
      <w:r>
        <w:rPr>
          <w:rStyle w:val="FootnoteReference"/>
        </w:rPr>
        <w:footnoteRef/>
      </w:r>
      <w:r>
        <w:t xml:space="preserve"> Exhumé en présence de Dr. Derrick Ponder et ce conformément à la demande du Comité contre la torture en 1999.</w:t>
      </w:r>
    </w:p>
  </w:footnote>
  <w:footnote w:id="11">
    <w:p w14:paraId="373CC20E" w14:textId="77777777" w:rsidR="007949FC" w:rsidRDefault="007949FC" w:rsidP="00434397">
      <w:pPr>
        <w:pStyle w:val="FootnoteText"/>
        <w:jc w:val="both"/>
      </w:pPr>
      <w:r>
        <w:rPr>
          <w:rStyle w:val="FootnoteReference"/>
        </w:rPr>
        <w:footnoteRef/>
      </w:r>
      <w:r>
        <w:t xml:space="preserve"> Quelques mois avant son décès Abdelhamid Jedday avait déposé une plainte pour torture.</w:t>
      </w:r>
    </w:p>
  </w:footnote>
  <w:footnote w:id="12">
    <w:p w14:paraId="30ED6163" w14:textId="77777777" w:rsidR="007949FC" w:rsidRDefault="007949FC" w:rsidP="00434397">
      <w:pPr>
        <w:pStyle w:val="FootnoteText"/>
        <w:jc w:val="both"/>
      </w:pPr>
      <w:r>
        <w:rPr>
          <w:rStyle w:val="FootnoteReference"/>
        </w:rPr>
        <w:footnoteRef/>
      </w:r>
      <w:r>
        <w:t xml:space="preserve"> Article 31 du CPP : Le procureur de la république, en présence d’une plainte insuffisamment motivée ou insuffisamment justifiée, peut requérir du juge d’instruction qu’il soit provisoirement informé contre inconnu, et ce, jusqu’au moment où peuvent intervenir des inculpations ou, s’il y a lieu, de nouvelles réquisitions contre personnes dénommée.</w:t>
      </w:r>
    </w:p>
  </w:footnote>
  <w:footnote w:id="13">
    <w:p w14:paraId="1DBDE5B0" w14:textId="77777777" w:rsidR="00A222C2" w:rsidRDefault="00A222C2" w:rsidP="00E51E38">
      <w:pPr>
        <w:pStyle w:val="FootnoteText"/>
        <w:jc w:val="both"/>
      </w:pPr>
      <w:r>
        <w:rPr>
          <w:rStyle w:val="FootnoteReference"/>
        </w:rPr>
        <w:footnoteRef/>
      </w:r>
      <w:r>
        <w:t xml:space="preserve"> </w:t>
      </w:r>
      <w:r w:rsidR="00D42D55">
        <w:t>Le nombre de victimes est semble-t-il supérieur à ce chiffre établit par le ministère de la Défense</w:t>
      </w:r>
      <w:r w:rsidR="00476A57">
        <w:t>. Il y a de grands soupçons qu’au moins une victime, Abdelaziz Mahouachi, serait décédée suite aux actes de torture. L’affaire Abdelaziz Mahouachi a été séparée de l’affaire Barraket Essahel pour des raisons peu convaincantes.</w:t>
      </w:r>
      <w:r w:rsidR="00D42D55">
        <w:t xml:space="preserve"> </w:t>
      </w:r>
    </w:p>
  </w:footnote>
  <w:footnote w:id="14">
    <w:p w14:paraId="192158CC" w14:textId="77777777" w:rsidR="007949FC" w:rsidRDefault="007949FC" w:rsidP="00AF3485">
      <w:pPr>
        <w:pStyle w:val="FootnoteText"/>
        <w:jc w:val="both"/>
      </w:pPr>
      <w:r>
        <w:rPr>
          <w:rStyle w:val="FootnoteReference"/>
        </w:rPr>
        <w:footnoteRef/>
      </w:r>
      <w:r>
        <w:t xml:space="preserve"> Art. 219 du Code pénal « : </w:t>
      </w:r>
      <w:r w:rsidRPr="00C974B7">
        <w:rPr>
          <w:i/>
          <w:iCs/>
        </w:rPr>
        <w:t xml:space="preserve">quand les violences…ont été suivi de mutilation, perte d’usage d’un membre, défiguration, infirmité ou incapacité permanente dont le taux ne dépasse pas 20%, le coupable est puni de cinq ans d’emprisonnement. La peine sera de </w:t>
      </w:r>
      <w:r w:rsidR="00AF3485">
        <w:rPr>
          <w:i/>
          <w:iCs/>
        </w:rPr>
        <w:t>si</w:t>
      </w:r>
      <w:r w:rsidR="00AF3485" w:rsidRPr="00C974B7">
        <w:rPr>
          <w:i/>
          <w:iCs/>
        </w:rPr>
        <w:t xml:space="preserve">x </w:t>
      </w:r>
      <w:r w:rsidRPr="00C974B7">
        <w:rPr>
          <w:i/>
          <w:iCs/>
        </w:rPr>
        <w:t>ans de prison, s’il est résulté de ces sortes de violence une incapacité dont le taux dépasse 20%.</w:t>
      </w:r>
      <w:r>
        <w:t> »</w:t>
      </w:r>
    </w:p>
  </w:footnote>
  <w:footnote w:id="15">
    <w:p w14:paraId="2F584501" w14:textId="77777777" w:rsidR="007949FC" w:rsidRDefault="007949FC" w:rsidP="00434397">
      <w:pPr>
        <w:pStyle w:val="FootnoteText"/>
        <w:jc w:val="both"/>
      </w:pPr>
      <w:r>
        <w:rPr>
          <w:rStyle w:val="FootnoteReference"/>
        </w:rPr>
        <w:footnoteRef/>
      </w:r>
      <w:r>
        <w:t xml:space="preserve"> Cette affaire est actuellement examinée par la Cour d’appel de Tunis.</w:t>
      </w:r>
    </w:p>
  </w:footnote>
  <w:footnote w:id="16">
    <w:p w14:paraId="685C085C" w14:textId="77777777" w:rsidR="007949FC" w:rsidRDefault="007949FC" w:rsidP="00AF3485">
      <w:pPr>
        <w:pStyle w:val="FootnoteText"/>
        <w:jc w:val="both"/>
        <w:rPr>
          <w:lang w:bidi="ar-TN"/>
        </w:rPr>
      </w:pPr>
      <w:r>
        <w:rPr>
          <w:rStyle w:val="FootnoteReference"/>
        </w:rPr>
        <w:footnoteRef/>
      </w:r>
      <w:r>
        <w:t xml:space="preserve"> La société civile a exprimé son inquiétude quant au projet de loi bien liberticide sur la répression des atteintes contre les forces armées. Ce projet menace la liberté d’expression, la liberté de la presse et offre une certaine immunité aux forces armées quant aux conséquences de l’usage abusif de la force létale. Aussi, la loi organique n°2015-26 du 7 aout 2015, relative à la lutte contre le terrorisme et la répression du blanchiment du terrorisme comprend des dispositions inquiétantes : Elargissement des pouvoirs d’investigations et des techniques spéciales d’enquête sans vraiment prévoir  de nouvelles garanties de contrôle de ces mesures ou de l’encadrement des enquêtes, augmentation de la durée de la garde à vue qui peut désormais all</w:t>
      </w:r>
      <w:r w:rsidR="00AF3485">
        <w:t>er</w:t>
      </w:r>
      <w:r>
        <w:t xml:space="preserve"> jusqu’à 15 jours, possibles recours au huis clos des audience et à l’anonymat des témoins, risques d’usage à mauvais escient l’incrimination de l’apologie et l’incitation au terrorisme, prévision de</w:t>
      </w:r>
      <w:r w:rsidR="00AF3485">
        <w:t xml:space="preserve"> la</w:t>
      </w:r>
      <w:r>
        <w:t xml:space="preserve"> peine capitale pour certains crimes, etc.</w:t>
      </w:r>
      <w:r>
        <w:rPr>
          <w:rFonts w:hint="cs"/>
          <w:rtl/>
          <w:lang w:bidi="ar-TN"/>
        </w:rPr>
        <w:t xml:space="preserve"> </w:t>
      </w:r>
    </w:p>
  </w:footnote>
  <w:footnote w:id="17">
    <w:p w14:paraId="2DB998D3" w14:textId="77777777" w:rsidR="007949FC" w:rsidRDefault="007949FC">
      <w:pPr>
        <w:pStyle w:val="FootnoteText"/>
      </w:pPr>
      <w:r>
        <w:rPr>
          <w:rStyle w:val="FootnoteReference"/>
        </w:rPr>
        <w:footnoteRef/>
      </w:r>
      <w:r>
        <w:t xml:space="preserve"> Décret n°2014-4030 du 3 octobre 2014, approuvant le code de conduite de l’agent public.</w:t>
      </w:r>
    </w:p>
  </w:footnote>
  <w:footnote w:id="18">
    <w:p w14:paraId="4428A39B" w14:textId="77777777" w:rsidR="007949FC" w:rsidRDefault="007949FC" w:rsidP="00434397">
      <w:pPr>
        <w:pStyle w:val="FootnoteText"/>
        <w:jc w:val="both"/>
      </w:pPr>
      <w:r>
        <w:rPr>
          <w:rStyle w:val="FootnoteReference"/>
        </w:rPr>
        <w:footnoteRef/>
      </w:r>
      <w:r>
        <w:t xml:space="preserve"> La liste des prisons en Tunisie : Mornaguia, Borj El Amri, Mornag, Rabta, Manouba, Saouaf, Borj Erroumi, Ennadhour, Bizerte, Beja, Le Kef, Jendouba, Eddir, Sers, Seliana, Messaadine de Sousse, Monastir, Mahdia, Kairouan, Houareb, Sidi Bouzid, Kasserine, Gafsa, Sfax, Gabès, Harboub de Médnine et Kebili.</w:t>
      </w:r>
    </w:p>
    <w:p w14:paraId="661939B0" w14:textId="77777777" w:rsidR="007949FC" w:rsidRDefault="007949FC" w:rsidP="00434397">
      <w:pPr>
        <w:pStyle w:val="FootnoteText"/>
        <w:jc w:val="both"/>
      </w:pPr>
      <w:r>
        <w:t xml:space="preserve">  La liste des centres de rééducation des mineurs délinquants : El Mghira, Gammarth, El Mourouj, Mjez El- Bab, Sidi El Hani, Agareb et Souk Ejjdid.</w:t>
      </w:r>
    </w:p>
  </w:footnote>
  <w:footnote w:id="19">
    <w:p w14:paraId="70C7009B" w14:textId="77777777" w:rsidR="007949FC" w:rsidRDefault="007949FC" w:rsidP="00434397">
      <w:pPr>
        <w:pStyle w:val="FootnoteText"/>
        <w:jc w:val="both"/>
      </w:pPr>
      <w:r>
        <w:rPr>
          <w:rStyle w:val="FootnoteReference"/>
        </w:rPr>
        <w:footnoteRef/>
      </w:r>
      <w:r>
        <w:t xml:space="preserve"> Depuis la loi n°2001-51 du 3mai 2001, les organismes administratifs relatifs aux prisons et rééducation en Tunisie et les cadres et agents des prisons et de rééducation relèvent de l’autorité du ministère de la justice et non plus du ministère de l’intérieur. Ainsi, l’administration de ces centres est actuellement assurée par la Direction générale des prisons et de la rééducation qui relève du Ministère de la justice.</w:t>
      </w:r>
    </w:p>
  </w:footnote>
  <w:footnote w:id="20">
    <w:p w14:paraId="1D6F3B30" w14:textId="77777777" w:rsidR="007949FC" w:rsidRDefault="007949FC" w:rsidP="00434397">
      <w:pPr>
        <w:pStyle w:val="FootnoteText"/>
        <w:jc w:val="both"/>
      </w:pPr>
      <w:r>
        <w:rPr>
          <w:rStyle w:val="FootnoteReference"/>
        </w:rPr>
        <w:footnoteRef/>
      </w:r>
      <w:r>
        <w:t xml:space="preserve"> Population recensée à la date du 1</w:t>
      </w:r>
      <w:r w:rsidRPr="004D51DD">
        <w:rPr>
          <w:vertAlign w:val="superscript"/>
        </w:rPr>
        <w:t>er</w:t>
      </w:r>
      <w:r>
        <w:t xml:space="preserve"> juillet 2</w:t>
      </w:r>
      <w:r w:rsidR="00953743">
        <w:t>013 (source : Institut national</w:t>
      </w:r>
      <w:r>
        <w:t xml:space="preserve"> de la statistique)</w:t>
      </w:r>
    </w:p>
  </w:footnote>
  <w:footnote w:id="21">
    <w:p w14:paraId="4F3E6419" w14:textId="77777777" w:rsidR="007949FC" w:rsidRDefault="007949FC" w:rsidP="00953743">
      <w:pPr>
        <w:pStyle w:val="FootnoteText"/>
        <w:jc w:val="both"/>
      </w:pPr>
      <w:r>
        <w:rPr>
          <w:rStyle w:val="FootnoteReference"/>
        </w:rPr>
        <w:footnoteRef/>
      </w:r>
      <w:r>
        <w:t xml:space="preserve"> Données indiquées dans le rapport du Haut-Commissariat des droits de l’homme publié en mars 2014 et qui mentionne une répartition par tranche d’âge des détenus comme suit : 18-2</w:t>
      </w:r>
      <w:r w:rsidR="00953743">
        <w:t>9</w:t>
      </w:r>
      <w:r>
        <w:t xml:space="preserve"> ans, 55% ; 30-39 ans, 29% ; 40-49 ans, 11% ; 50 ans et plus, 5%.</w:t>
      </w:r>
    </w:p>
  </w:footnote>
  <w:footnote w:id="22">
    <w:p w14:paraId="2792EDBF" w14:textId="77777777" w:rsidR="007949FC" w:rsidRDefault="007949FC" w:rsidP="00434397">
      <w:pPr>
        <w:pStyle w:val="FootnoteText"/>
        <w:jc w:val="both"/>
      </w:pPr>
      <w:r>
        <w:rPr>
          <w:rStyle w:val="FootnoteReference"/>
        </w:rPr>
        <w:footnoteRef/>
      </w:r>
      <w:r>
        <w:t xml:space="preserve"> Les peines alternatives sont régies par la loi n°2009-68 du 12 aout 20</w:t>
      </w:r>
      <w:r w:rsidR="00953743">
        <w:t>0</w:t>
      </w:r>
      <w:r>
        <w:t>9, relative à l’instauration de la peine de réparation pénale et la modernisation des procédés alternatifs à l’emprisonnement.</w:t>
      </w:r>
    </w:p>
  </w:footnote>
  <w:footnote w:id="23">
    <w:p w14:paraId="4AB789FC" w14:textId="77777777" w:rsidR="007949FC" w:rsidRDefault="007949FC" w:rsidP="00434397">
      <w:pPr>
        <w:pStyle w:val="FootnoteText"/>
        <w:jc w:val="both"/>
      </w:pPr>
      <w:r>
        <w:rPr>
          <w:rStyle w:val="FootnoteReference"/>
        </w:rPr>
        <w:footnoteRef/>
      </w:r>
      <w:r>
        <w:t xml:space="preserve"> Dans son rapport de 2014, le Haut-Commissariat indique un taux de récidive de 45%. </w:t>
      </w:r>
    </w:p>
  </w:footnote>
  <w:footnote w:id="24">
    <w:p w14:paraId="7E355AF7" w14:textId="77777777" w:rsidR="007949FC" w:rsidRDefault="007949FC" w:rsidP="00434397">
      <w:pPr>
        <w:pStyle w:val="FootnoteText"/>
        <w:jc w:val="both"/>
      </w:pPr>
      <w:r>
        <w:rPr>
          <w:rStyle w:val="FootnoteReference"/>
        </w:rPr>
        <w:footnoteRef/>
      </w:r>
      <w:r>
        <w:t xml:space="preserve"> Instance des élections, Instance de la communication visuelle, Instance des droits de l’homme, Instance du développement durable et des droits des générations futures, Instance de la bonne gouvernance et de la lutte contre la corruption.</w:t>
      </w:r>
    </w:p>
  </w:footnote>
  <w:footnote w:id="25">
    <w:p w14:paraId="5FEFAE70" w14:textId="77777777" w:rsidR="007949FC" w:rsidRDefault="007949FC" w:rsidP="00434397">
      <w:pPr>
        <w:pStyle w:val="FootnoteText"/>
        <w:jc w:val="both"/>
      </w:pPr>
      <w:r>
        <w:rPr>
          <w:rStyle w:val="FootnoteReference"/>
        </w:rPr>
        <w:footnoteRef/>
      </w:r>
      <w:r>
        <w:t xml:space="preserve"> Décret-loi, n°2011-94 du 29 septembre 2011, portant ratification de l’accord entre le gouvernement de la république tunisienne et le Haut-Commissariat des droits de l’homme pour l’ouverture d’un bureau en Tunisie.</w:t>
      </w:r>
    </w:p>
  </w:footnote>
  <w:footnote w:id="26">
    <w:p w14:paraId="0903F082" w14:textId="77777777" w:rsidR="007949FC" w:rsidRDefault="007949FC" w:rsidP="002F540A">
      <w:pPr>
        <w:pStyle w:val="FootnoteText"/>
        <w:jc w:val="both"/>
      </w:pPr>
      <w:r>
        <w:rPr>
          <w:rStyle w:val="FootnoteReference"/>
        </w:rPr>
        <w:footnoteRef/>
      </w:r>
      <w:r>
        <w:t xml:space="preserve"> </w:t>
      </w:r>
      <w:r w:rsidR="002F540A">
        <w:t>La commission rogatoire est régie par l’article 57 du CPP qui dispose : s</w:t>
      </w:r>
      <w:r w:rsidR="002F540A" w:rsidRPr="002F540A">
        <w:t>'il est dans l'impossibilité de procéder lui-même à certains actes d'information, le juge d'instruction peut commettre rogatoirement les juges d'instruction des autres circonscriptions ou les officiers de police judiciaire de sa circonscription, chacun en ce qui le concerne, pour les actes de sa fonction, à l'exception des mandats judiciaires. Il rend à cet effet une ordonnance qu'il communique pour exécution au Procureur de la République.</w:t>
      </w:r>
    </w:p>
  </w:footnote>
  <w:footnote w:id="27">
    <w:p w14:paraId="772E5B54" w14:textId="77777777" w:rsidR="007949FC" w:rsidRDefault="007949FC" w:rsidP="009415F0">
      <w:pPr>
        <w:pStyle w:val="FootnoteText"/>
        <w:jc w:val="both"/>
      </w:pPr>
      <w:r>
        <w:rPr>
          <w:rStyle w:val="FootnoteReference"/>
        </w:rPr>
        <w:footnoteRef/>
      </w:r>
      <w:r>
        <w:t xml:space="preserve"> La durée de la garde vue est de trois jours prorogeables une seule fois pour la même durée en vertu d’une décision écrite et motivée du procureur de la République. La nouvelle réforme fixe la durée initiale de la garde à vue à 48h pour les crimes et délits prorogeable de 48h pour les crimes et de 24h pour les délits. Pour les contraventions, elle a été fixée à 24h non renouvelables. La durée de la garde à vue pour les affaires de terrorisme demeure de cinq (5) jours renouvelables deux fois par le Procureur de la République en vertu d’une décision écrite et motivée. </w:t>
      </w:r>
    </w:p>
  </w:footnote>
  <w:footnote w:id="28">
    <w:p w14:paraId="487296E2" w14:textId="77777777" w:rsidR="00A726E2" w:rsidRDefault="007949FC" w:rsidP="00A726E2">
      <w:pPr>
        <w:pStyle w:val="FootnoteText"/>
        <w:jc w:val="both"/>
      </w:pPr>
      <w:r>
        <w:rPr>
          <w:rStyle w:val="FootnoteReference"/>
        </w:rPr>
        <w:footnoteRef/>
      </w:r>
      <w:r>
        <w:t xml:space="preserve"> </w:t>
      </w:r>
      <w:r w:rsidR="00A726E2">
        <w:t>Observations finales du Comité contre la Torture : Tunisie 19/11/1998. A/4/44,paras.88-105.</w:t>
      </w:r>
    </w:p>
    <w:p w14:paraId="6F132F32" w14:textId="77777777" w:rsidR="007949FC" w:rsidRDefault="00A726E2" w:rsidP="00A726E2">
      <w:pPr>
        <w:pStyle w:val="FootnoteText"/>
        <w:jc w:val="both"/>
      </w:pPr>
      <w:r>
        <w:t>http://www.unhchr.ch/tbs/doc.nsf/(Symbol)/A.54.44,paras.88-105.Fr?Opendocument</w:t>
      </w:r>
    </w:p>
  </w:footnote>
  <w:footnote w:id="29">
    <w:p w14:paraId="4E067BDD" w14:textId="77777777" w:rsidR="007949FC" w:rsidRPr="00E30F43" w:rsidRDefault="007949FC" w:rsidP="00434397">
      <w:pPr>
        <w:pStyle w:val="FootnoteText"/>
        <w:jc w:val="both"/>
        <w:rPr>
          <w:i/>
          <w:iCs/>
        </w:rPr>
      </w:pPr>
      <w:r>
        <w:rPr>
          <w:rStyle w:val="FootnoteReference"/>
        </w:rPr>
        <w:footnoteRef/>
      </w:r>
      <w:r>
        <w:t xml:space="preserve"> Article </w:t>
      </w:r>
      <w:r w:rsidRPr="00E30F43">
        <w:t>13</w:t>
      </w:r>
      <w:r w:rsidRPr="00E30F43">
        <w:rPr>
          <w:i/>
          <w:iCs/>
        </w:rPr>
        <w:t xml:space="preserve"> « : Les autorités concernées ne peuvent faire objection à une visite programmée ou inopinée d’un lieu déterminé que pour des raisons pressantes et impérieuses liées à la défense nationale, à la sécurité publique, à des catastrophes naturelles ou à des troubles graves là où la visite doit avoir lieu, qui empêchent provisoirement que la visite ait lieu, et ce, via une décision écrite motivée qui doit être immédiatement transmise au président de l’instance tout en mentionnant obligatoirement la durée de l’interdiction provisoire. » </w:t>
      </w:r>
    </w:p>
  </w:footnote>
  <w:footnote w:id="30">
    <w:p w14:paraId="69CA99EF" w14:textId="77777777" w:rsidR="00A726E2" w:rsidRDefault="00A726E2">
      <w:pPr>
        <w:pStyle w:val="FootnoteText"/>
      </w:pPr>
      <w:r>
        <w:rPr>
          <w:rStyle w:val="FootnoteReference"/>
        </w:rPr>
        <w:footnoteRef/>
      </w:r>
      <w:r>
        <w:t xml:space="preserve"> B</w:t>
      </w:r>
      <w:r w:rsidRPr="00A726E2">
        <w:t>ien que la loi de 2001 relative à l’org</w:t>
      </w:r>
      <w:r w:rsidR="00BD49E4">
        <w:t>anisation des prisons ne prévoit</w:t>
      </w:r>
      <w:r w:rsidRPr="00A726E2">
        <w:t xml:space="preserve"> expressément un recours administratif que dans le cas des décisions de la Commission disciplinaire des établissements.  </w:t>
      </w:r>
    </w:p>
  </w:footnote>
  <w:footnote w:id="31">
    <w:p w14:paraId="1C805F10" w14:textId="77777777" w:rsidR="008952BD" w:rsidRDefault="008952BD">
      <w:pPr>
        <w:pStyle w:val="FootnoteText"/>
      </w:pPr>
      <w:r>
        <w:rPr>
          <w:rStyle w:val="FootnoteReference"/>
        </w:rPr>
        <w:footnoteRef/>
      </w:r>
      <w:r>
        <w:t xml:space="preserve"> </w:t>
      </w:r>
      <w:r w:rsidRPr="008952BD">
        <w:t>Ce ministère a été créé par le décret n°2012-22 du 19 janvier 2012, portant création du Ministère des droits de l’homme et de la justice transitionnelle et fixation de ses attributions.</w:t>
      </w:r>
    </w:p>
  </w:footnote>
  <w:footnote w:id="32">
    <w:p w14:paraId="03CB983F" w14:textId="77777777" w:rsidR="007949FC" w:rsidRDefault="007949FC" w:rsidP="003B4EF6">
      <w:pPr>
        <w:pStyle w:val="FootnoteText"/>
      </w:pPr>
      <w:r>
        <w:rPr>
          <w:rStyle w:val="FootnoteReference"/>
        </w:rPr>
        <w:footnoteRef/>
      </w:r>
      <w:r>
        <w:t xml:space="preserve"> Paragraphe 52 du rapport du Rapporteur spécial sur l’indépendance des juges et des avocats sur sa mission en Tunisie, publié le 26 mai 2015, A/HRC/29/26/Add.3.</w:t>
      </w:r>
    </w:p>
  </w:footnote>
  <w:footnote w:id="33">
    <w:p w14:paraId="349C5B8A" w14:textId="77777777" w:rsidR="007949FC" w:rsidRDefault="007949FC" w:rsidP="00482DAA">
      <w:pPr>
        <w:pStyle w:val="FootnoteText"/>
        <w:jc w:val="both"/>
      </w:pPr>
      <w:r>
        <w:rPr>
          <w:rStyle w:val="FootnoteReference"/>
        </w:rPr>
        <w:footnoteRef/>
      </w:r>
      <w:r>
        <w:t xml:space="preserve"> Depuis le 14 janvier 2011 et jusqu’à la mise en place de l’Assemblée Nationale Constituante (ANC) issue des premières élections libres et indépendantes du pays du 23 octobre 2011, les législations étaient prises sous forme de décrets lois par le pouvoir exécutif provisoire en place. </w:t>
      </w:r>
    </w:p>
  </w:footnote>
  <w:footnote w:id="34">
    <w:p w14:paraId="6D708EE1" w14:textId="77777777" w:rsidR="007949FC" w:rsidRDefault="007949FC" w:rsidP="00482DAA">
      <w:pPr>
        <w:pStyle w:val="FootnoteText"/>
        <w:jc w:val="both"/>
      </w:pPr>
      <w:r>
        <w:rPr>
          <w:rStyle w:val="FootnoteReference"/>
        </w:rPr>
        <w:footnoteRef/>
      </w:r>
      <w:r>
        <w:t xml:space="preserve"> Ce décret-loi a été modifié et complété par la loi n°26 du 24 décembre 2012 et un décret du 18 novembre 2013 a fixé la composition et les modalités de fonctionnement de la commission technique d’évaluation de l’incapacité physique instituée par ce décret.</w:t>
      </w:r>
    </w:p>
  </w:footnote>
  <w:footnote w:id="35">
    <w:p w14:paraId="12262E19" w14:textId="77777777" w:rsidR="007949FC" w:rsidRDefault="007949FC" w:rsidP="00482DAA">
      <w:pPr>
        <w:pStyle w:val="FootnoteText"/>
        <w:jc w:val="both"/>
      </w:pPr>
      <w:r>
        <w:rPr>
          <w:rStyle w:val="FootnoteReference"/>
        </w:rPr>
        <w:footnoteRef/>
      </w:r>
      <w:r>
        <w:t xml:space="preserve"> Le délai de réception des dossiers des victimes par l’IVD va être clôturé en juin 2016 ; soit un (1) an et demi depuis le démarrage des activités de l’instance. </w:t>
      </w:r>
    </w:p>
  </w:footnote>
  <w:footnote w:id="36">
    <w:p w14:paraId="5DC33F56" w14:textId="77777777" w:rsidR="007949FC" w:rsidRDefault="007949FC" w:rsidP="00482DAA">
      <w:pPr>
        <w:pStyle w:val="FootnoteText"/>
        <w:jc w:val="both"/>
      </w:pPr>
      <w:r>
        <w:rPr>
          <w:rStyle w:val="FootnoteReference"/>
        </w:rPr>
        <w:footnoteRef/>
      </w:r>
      <w:r>
        <w:t xml:space="preserve"> L’OMCT a créé deux centres d’assistance sociale et juridique aux victimes de torture, Centres Sanad et Dignity a créé un institut de réhabilitation des survivants de la torture, Institut Nebras. D’autres associations locales assistent les victimes de torture en leur fournissant des conseils juridiques et de l’assistance psychologique.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7E20"/>
    <w:multiLevelType w:val="hybridMultilevel"/>
    <w:tmpl w:val="2E9A4E8A"/>
    <w:lvl w:ilvl="0" w:tplc="005042B0">
      <w:start w:val="4"/>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6E612F"/>
    <w:multiLevelType w:val="hybridMultilevel"/>
    <w:tmpl w:val="72C2FF0A"/>
    <w:lvl w:ilvl="0" w:tplc="48766F3A">
      <w:start w:val="2"/>
      <w:numFmt w:val="bullet"/>
      <w:lvlText w:val="-"/>
      <w:lvlJc w:val="left"/>
      <w:pPr>
        <w:ind w:left="720" w:hanging="360"/>
      </w:pPr>
      <w:rPr>
        <w:rFonts w:ascii="Calibri" w:eastAsia="Calibri"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ED533D6"/>
    <w:multiLevelType w:val="hybridMultilevel"/>
    <w:tmpl w:val="0E289B86"/>
    <w:lvl w:ilvl="0" w:tplc="6B82B5D4">
      <w:start w:val="2"/>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4C271F"/>
    <w:multiLevelType w:val="hybridMultilevel"/>
    <w:tmpl w:val="3998CDA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893229E"/>
    <w:multiLevelType w:val="hybridMultilevel"/>
    <w:tmpl w:val="C8ACF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D70F11"/>
    <w:multiLevelType w:val="hybridMultilevel"/>
    <w:tmpl w:val="733C2F84"/>
    <w:lvl w:ilvl="0" w:tplc="005042B0">
      <w:start w:val="2"/>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9027DE"/>
    <w:multiLevelType w:val="hybridMultilevel"/>
    <w:tmpl w:val="DFA8C77C"/>
    <w:lvl w:ilvl="0" w:tplc="005042B0">
      <w:start w:val="4"/>
      <w:numFmt w:val="bullet"/>
      <w:lvlText w:val="-"/>
      <w:lvlJc w:val="left"/>
      <w:pPr>
        <w:ind w:left="720" w:hanging="360"/>
      </w:pPr>
      <w:rPr>
        <w:rFonts w:ascii="Calibri" w:eastAsia="Calibri"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524"/>
    <w:rsid w:val="000007B4"/>
    <w:rsid w:val="00017642"/>
    <w:rsid w:val="000325DD"/>
    <w:rsid w:val="00037A74"/>
    <w:rsid w:val="000442ED"/>
    <w:rsid w:val="00044DEA"/>
    <w:rsid w:val="00062C56"/>
    <w:rsid w:val="0006510F"/>
    <w:rsid w:val="00065BAF"/>
    <w:rsid w:val="00074A61"/>
    <w:rsid w:val="000825A1"/>
    <w:rsid w:val="00085EA5"/>
    <w:rsid w:val="00093580"/>
    <w:rsid w:val="00095AA3"/>
    <w:rsid w:val="00096C0B"/>
    <w:rsid w:val="000A7CA8"/>
    <w:rsid w:val="000C2DC5"/>
    <w:rsid w:val="000E216C"/>
    <w:rsid w:val="000E46F0"/>
    <w:rsid w:val="000E5F37"/>
    <w:rsid w:val="000F48F2"/>
    <w:rsid w:val="001258EF"/>
    <w:rsid w:val="00142D9F"/>
    <w:rsid w:val="00161942"/>
    <w:rsid w:val="0018333B"/>
    <w:rsid w:val="00195F7E"/>
    <w:rsid w:val="001A0E76"/>
    <w:rsid w:val="001B4502"/>
    <w:rsid w:val="001B5245"/>
    <w:rsid w:val="001B722E"/>
    <w:rsid w:val="001C11F1"/>
    <w:rsid w:val="001C3EB0"/>
    <w:rsid w:val="001C6664"/>
    <w:rsid w:val="001E25DF"/>
    <w:rsid w:val="001E7D16"/>
    <w:rsid w:val="002034D5"/>
    <w:rsid w:val="002113A9"/>
    <w:rsid w:val="002230BB"/>
    <w:rsid w:val="00226198"/>
    <w:rsid w:val="002450BB"/>
    <w:rsid w:val="00247CD5"/>
    <w:rsid w:val="00256C8A"/>
    <w:rsid w:val="002821B2"/>
    <w:rsid w:val="002937A5"/>
    <w:rsid w:val="002955F4"/>
    <w:rsid w:val="00296A93"/>
    <w:rsid w:val="002A04DF"/>
    <w:rsid w:val="002A2033"/>
    <w:rsid w:val="002A5567"/>
    <w:rsid w:val="002B1A99"/>
    <w:rsid w:val="002B2416"/>
    <w:rsid w:val="002B2B17"/>
    <w:rsid w:val="002C308B"/>
    <w:rsid w:val="002D0EC6"/>
    <w:rsid w:val="002F540A"/>
    <w:rsid w:val="00302B13"/>
    <w:rsid w:val="003232C2"/>
    <w:rsid w:val="00330CA1"/>
    <w:rsid w:val="003341C9"/>
    <w:rsid w:val="00334AF3"/>
    <w:rsid w:val="00340CFD"/>
    <w:rsid w:val="003440D5"/>
    <w:rsid w:val="003458BD"/>
    <w:rsid w:val="0035441C"/>
    <w:rsid w:val="00361F68"/>
    <w:rsid w:val="003638FB"/>
    <w:rsid w:val="00367111"/>
    <w:rsid w:val="003758A3"/>
    <w:rsid w:val="00390F8E"/>
    <w:rsid w:val="003A2B71"/>
    <w:rsid w:val="003A5263"/>
    <w:rsid w:val="003B4EF6"/>
    <w:rsid w:val="003B6CB6"/>
    <w:rsid w:val="003D0EDF"/>
    <w:rsid w:val="003E705F"/>
    <w:rsid w:val="003F4A89"/>
    <w:rsid w:val="00413BC1"/>
    <w:rsid w:val="0041435A"/>
    <w:rsid w:val="00414CF6"/>
    <w:rsid w:val="00414E6D"/>
    <w:rsid w:val="00414ED1"/>
    <w:rsid w:val="00420F81"/>
    <w:rsid w:val="004328DB"/>
    <w:rsid w:val="00434397"/>
    <w:rsid w:val="0043776B"/>
    <w:rsid w:val="00444722"/>
    <w:rsid w:val="004501C0"/>
    <w:rsid w:val="0045177D"/>
    <w:rsid w:val="00457A79"/>
    <w:rsid w:val="0046022D"/>
    <w:rsid w:val="004636D1"/>
    <w:rsid w:val="00472D8C"/>
    <w:rsid w:val="00476A57"/>
    <w:rsid w:val="00481D84"/>
    <w:rsid w:val="00482DAA"/>
    <w:rsid w:val="004900E5"/>
    <w:rsid w:val="004A1EED"/>
    <w:rsid w:val="004B668D"/>
    <w:rsid w:val="004D51DD"/>
    <w:rsid w:val="004F1EDA"/>
    <w:rsid w:val="004F5681"/>
    <w:rsid w:val="004F6977"/>
    <w:rsid w:val="00501000"/>
    <w:rsid w:val="0050124F"/>
    <w:rsid w:val="005038E5"/>
    <w:rsid w:val="005063AB"/>
    <w:rsid w:val="00523BCC"/>
    <w:rsid w:val="00540106"/>
    <w:rsid w:val="00540E98"/>
    <w:rsid w:val="00541748"/>
    <w:rsid w:val="005426E8"/>
    <w:rsid w:val="0055116B"/>
    <w:rsid w:val="005527A1"/>
    <w:rsid w:val="005537FE"/>
    <w:rsid w:val="00562527"/>
    <w:rsid w:val="005643C4"/>
    <w:rsid w:val="00565EC7"/>
    <w:rsid w:val="00567AF1"/>
    <w:rsid w:val="0057580C"/>
    <w:rsid w:val="00583A83"/>
    <w:rsid w:val="005868E1"/>
    <w:rsid w:val="005A73AA"/>
    <w:rsid w:val="005B2264"/>
    <w:rsid w:val="005C4D2A"/>
    <w:rsid w:val="005D6068"/>
    <w:rsid w:val="005F3664"/>
    <w:rsid w:val="005F41F4"/>
    <w:rsid w:val="00627004"/>
    <w:rsid w:val="006303CC"/>
    <w:rsid w:val="006350C0"/>
    <w:rsid w:val="00640721"/>
    <w:rsid w:val="0064145F"/>
    <w:rsid w:val="00656B81"/>
    <w:rsid w:val="00684013"/>
    <w:rsid w:val="00692667"/>
    <w:rsid w:val="00693756"/>
    <w:rsid w:val="006963D1"/>
    <w:rsid w:val="006B5963"/>
    <w:rsid w:val="006C6FD1"/>
    <w:rsid w:val="006D1220"/>
    <w:rsid w:val="006D2D4D"/>
    <w:rsid w:val="006E0039"/>
    <w:rsid w:val="006E3733"/>
    <w:rsid w:val="006E38F0"/>
    <w:rsid w:val="006E51F8"/>
    <w:rsid w:val="006F6326"/>
    <w:rsid w:val="00702170"/>
    <w:rsid w:val="00703598"/>
    <w:rsid w:val="00705D58"/>
    <w:rsid w:val="00720ED8"/>
    <w:rsid w:val="007352D4"/>
    <w:rsid w:val="007405E5"/>
    <w:rsid w:val="00742559"/>
    <w:rsid w:val="007448B6"/>
    <w:rsid w:val="00754640"/>
    <w:rsid w:val="00757C01"/>
    <w:rsid w:val="00763F17"/>
    <w:rsid w:val="007949FC"/>
    <w:rsid w:val="00796DC7"/>
    <w:rsid w:val="007A79E0"/>
    <w:rsid w:val="007C64FD"/>
    <w:rsid w:val="007E4764"/>
    <w:rsid w:val="007F01AC"/>
    <w:rsid w:val="007F3C3A"/>
    <w:rsid w:val="007F43F8"/>
    <w:rsid w:val="00803B5E"/>
    <w:rsid w:val="00804BC5"/>
    <w:rsid w:val="00812708"/>
    <w:rsid w:val="008227F6"/>
    <w:rsid w:val="00822A2A"/>
    <w:rsid w:val="00830A9C"/>
    <w:rsid w:val="008311EF"/>
    <w:rsid w:val="00834854"/>
    <w:rsid w:val="00841D04"/>
    <w:rsid w:val="00855201"/>
    <w:rsid w:val="00856D0F"/>
    <w:rsid w:val="00863BC1"/>
    <w:rsid w:val="00864E75"/>
    <w:rsid w:val="00873380"/>
    <w:rsid w:val="00873A5C"/>
    <w:rsid w:val="008952BD"/>
    <w:rsid w:val="008B0384"/>
    <w:rsid w:val="008B0F5D"/>
    <w:rsid w:val="008B3A12"/>
    <w:rsid w:val="008C2854"/>
    <w:rsid w:val="008E19BB"/>
    <w:rsid w:val="008E1C40"/>
    <w:rsid w:val="008E700B"/>
    <w:rsid w:val="00901CCD"/>
    <w:rsid w:val="00902008"/>
    <w:rsid w:val="0093497E"/>
    <w:rsid w:val="00934EB0"/>
    <w:rsid w:val="00937395"/>
    <w:rsid w:val="009415F0"/>
    <w:rsid w:val="0094374A"/>
    <w:rsid w:val="00953743"/>
    <w:rsid w:val="00955225"/>
    <w:rsid w:val="00963454"/>
    <w:rsid w:val="00987BD0"/>
    <w:rsid w:val="009A675B"/>
    <w:rsid w:val="009C19D4"/>
    <w:rsid w:val="009C2524"/>
    <w:rsid w:val="009E6F05"/>
    <w:rsid w:val="009E71E3"/>
    <w:rsid w:val="009F1BEF"/>
    <w:rsid w:val="009F5B3D"/>
    <w:rsid w:val="00A03348"/>
    <w:rsid w:val="00A04380"/>
    <w:rsid w:val="00A222C2"/>
    <w:rsid w:val="00A36449"/>
    <w:rsid w:val="00A37829"/>
    <w:rsid w:val="00A571F0"/>
    <w:rsid w:val="00A60EEC"/>
    <w:rsid w:val="00A65D6F"/>
    <w:rsid w:val="00A726E2"/>
    <w:rsid w:val="00A7519C"/>
    <w:rsid w:val="00A81AC9"/>
    <w:rsid w:val="00A87F3A"/>
    <w:rsid w:val="00AB1815"/>
    <w:rsid w:val="00AB1ED1"/>
    <w:rsid w:val="00AB73C4"/>
    <w:rsid w:val="00AD1F31"/>
    <w:rsid w:val="00AD5A52"/>
    <w:rsid w:val="00AD5CFC"/>
    <w:rsid w:val="00AE0CD0"/>
    <w:rsid w:val="00AE3090"/>
    <w:rsid w:val="00AE38CC"/>
    <w:rsid w:val="00AF17F9"/>
    <w:rsid w:val="00AF3485"/>
    <w:rsid w:val="00AF4343"/>
    <w:rsid w:val="00AF6CE7"/>
    <w:rsid w:val="00AF7CF4"/>
    <w:rsid w:val="00B010BB"/>
    <w:rsid w:val="00B0168C"/>
    <w:rsid w:val="00B06608"/>
    <w:rsid w:val="00B078C9"/>
    <w:rsid w:val="00B20EA8"/>
    <w:rsid w:val="00B21E13"/>
    <w:rsid w:val="00B24264"/>
    <w:rsid w:val="00B30CC5"/>
    <w:rsid w:val="00B317B6"/>
    <w:rsid w:val="00B52617"/>
    <w:rsid w:val="00B5279C"/>
    <w:rsid w:val="00B528E5"/>
    <w:rsid w:val="00B558AB"/>
    <w:rsid w:val="00B576FE"/>
    <w:rsid w:val="00B57DA6"/>
    <w:rsid w:val="00B73A5D"/>
    <w:rsid w:val="00B77614"/>
    <w:rsid w:val="00B9130A"/>
    <w:rsid w:val="00B93227"/>
    <w:rsid w:val="00B968CA"/>
    <w:rsid w:val="00B96D5D"/>
    <w:rsid w:val="00B973C3"/>
    <w:rsid w:val="00BA1983"/>
    <w:rsid w:val="00BA6B9B"/>
    <w:rsid w:val="00BB24AE"/>
    <w:rsid w:val="00BD0DF3"/>
    <w:rsid w:val="00BD2E55"/>
    <w:rsid w:val="00BD49E4"/>
    <w:rsid w:val="00BD50F7"/>
    <w:rsid w:val="00BE229B"/>
    <w:rsid w:val="00BE392A"/>
    <w:rsid w:val="00BE4BE4"/>
    <w:rsid w:val="00BE57F8"/>
    <w:rsid w:val="00C24535"/>
    <w:rsid w:val="00C24FCB"/>
    <w:rsid w:val="00C3679F"/>
    <w:rsid w:val="00C43D96"/>
    <w:rsid w:val="00C43F18"/>
    <w:rsid w:val="00C46173"/>
    <w:rsid w:val="00C51593"/>
    <w:rsid w:val="00C62086"/>
    <w:rsid w:val="00C66C7C"/>
    <w:rsid w:val="00C7326A"/>
    <w:rsid w:val="00C868D5"/>
    <w:rsid w:val="00C90A67"/>
    <w:rsid w:val="00C952CC"/>
    <w:rsid w:val="00C974B7"/>
    <w:rsid w:val="00C974BA"/>
    <w:rsid w:val="00CA0023"/>
    <w:rsid w:val="00CA0903"/>
    <w:rsid w:val="00CA2033"/>
    <w:rsid w:val="00CA302E"/>
    <w:rsid w:val="00CA7CF8"/>
    <w:rsid w:val="00CC4C86"/>
    <w:rsid w:val="00CC7925"/>
    <w:rsid w:val="00CD495B"/>
    <w:rsid w:val="00CE0895"/>
    <w:rsid w:val="00CE705D"/>
    <w:rsid w:val="00CE77DC"/>
    <w:rsid w:val="00CE7960"/>
    <w:rsid w:val="00CE7CDB"/>
    <w:rsid w:val="00CF0E35"/>
    <w:rsid w:val="00D0161B"/>
    <w:rsid w:val="00D20A89"/>
    <w:rsid w:val="00D40A34"/>
    <w:rsid w:val="00D42D55"/>
    <w:rsid w:val="00D436F5"/>
    <w:rsid w:val="00D47228"/>
    <w:rsid w:val="00D51CEE"/>
    <w:rsid w:val="00D61E58"/>
    <w:rsid w:val="00D64BA4"/>
    <w:rsid w:val="00D65C24"/>
    <w:rsid w:val="00D85E79"/>
    <w:rsid w:val="00D86712"/>
    <w:rsid w:val="00D906FF"/>
    <w:rsid w:val="00D91EDD"/>
    <w:rsid w:val="00D96FFC"/>
    <w:rsid w:val="00DA0788"/>
    <w:rsid w:val="00DA2BC3"/>
    <w:rsid w:val="00DB484D"/>
    <w:rsid w:val="00DC0245"/>
    <w:rsid w:val="00DC56AE"/>
    <w:rsid w:val="00DD368E"/>
    <w:rsid w:val="00DE173C"/>
    <w:rsid w:val="00DF24E2"/>
    <w:rsid w:val="00E05E2C"/>
    <w:rsid w:val="00E14E33"/>
    <w:rsid w:val="00E2482F"/>
    <w:rsid w:val="00E30F43"/>
    <w:rsid w:val="00E344CB"/>
    <w:rsid w:val="00E37544"/>
    <w:rsid w:val="00E37887"/>
    <w:rsid w:val="00E43019"/>
    <w:rsid w:val="00E46A1F"/>
    <w:rsid w:val="00E51E38"/>
    <w:rsid w:val="00E520C6"/>
    <w:rsid w:val="00E707F3"/>
    <w:rsid w:val="00E81CDA"/>
    <w:rsid w:val="00E82BC1"/>
    <w:rsid w:val="00E84696"/>
    <w:rsid w:val="00E87F7C"/>
    <w:rsid w:val="00E94C97"/>
    <w:rsid w:val="00E95AA3"/>
    <w:rsid w:val="00EA1800"/>
    <w:rsid w:val="00EA2623"/>
    <w:rsid w:val="00EA7394"/>
    <w:rsid w:val="00ED0DFB"/>
    <w:rsid w:val="00ED3A23"/>
    <w:rsid w:val="00ED5DC1"/>
    <w:rsid w:val="00ED6ABB"/>
    <w:rsid w:val="00EF2F89"/>
    <w:rsid w:val="00EF697D"/>
    <w:rsid w:val="00F12D14"/>
    <w:rsid w:val="00F37249"/>
    <w:rsid w:val="00F406E0"/>
    <w:rsid w:val="00F537D4"/>
    <w:rsid w:val="00F57A65"/>
    <w:rsid w:val="00F623E6"/>
    <w:rsid w:val="00F65A33"/>
    <w:rsid w:val="00F77CDA"/>
    <w:rsid w:val="00F8160C"/>
    <w:rsid w:val="00F81EC7"/>
    <w:rsid w:val="00F83E9C"/>
    <w:rsid w:val="00F87423"/>
    <w:rsid w:val="00F91A8F"/>
    <w:rsid w:val="00F9560E"/>
    <w:rsid w:val="00FA4E38"/>
    <w:rsid w:val="00FA639F"/>
    <w:rsid w:val="00FB291A"/>
    <w:rsid w:val="00FC311C"/>
    <w:rsid w:val="00FD2029"/>
    <w:rsid w:val="00FE300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28F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04BC5"/>
    <w:pPr>
      <w:spacing w:after="0" w:line="240" w:lineRule="auto"/>
    </w:pPr>
    <w:rPr>
      <w:sz w:val="20"/>
      <w:szCs w:val="20"/>
    </w:rPr>
  </w:style>
  <w:style w:type="character" w:customStyle="1" w:styleId="FootnoteTextChar">
    <w:name w:val="Footnote Text Char"/>
    <w:link w:val="FootnoteText"/>
    <w:uiPriority w:val="99"/>
    <w:rsid w:val="00804BC5"/>
    <w:rPr>
      <w:sz w:val="20"/>
      <w:szCs w:val="20"/>
    </w:rPr>
  </w:style>
  <w:style w:type="character" w:styleId="FootnoteReference">
    <w:name w:val="footnote reference"/>
    <w:uiPriority w:val="99"/>
    <w:semiHidden/>
    <w:unhideWhenUsed/>
    <w:rsid w:val="00804BC5"/>
    <w:rPr>
      <w:vertAlign w:val="superscript"/>
    </w:rPr>
  </w:style>
  <w:style w:type="paragraph" w:customStyle="1" w:styleId="ColorfulList-Accent11">
    <w:name w:val="Colorful List - Accent 11"/>
    <w:basedOn w:val="Normal"/>
    <w:uiPriority w:val="34"/>
    <w:qFormat/>
    <w:rsid w:val="00CE77DC"/>
    <w:pPr>
      <w:ind w:left="720"/>
      <w:contextualSpacing/>
    </w:pPr>
  </w:style>
  <w:style w:type="paragraph" w:styleId="Header">
    <w:name w:val="header"/>
    <w:basedOn w:val="Normal"/>
    <w:link w:val="HeaderChar"/>
    <w:uiPriority w:val="99"/>
    <w:unhideWhenUsed/>
    <w:rsid w:val="004900E5"/>
    <w:pPr>
      <w:tabs>
        <w:tab w:val="center" w:pos="4536"/>
        <w:tab w:val="right" w:pos="9072"/>
      </w:tabs>
      <w:spacing w:after="0" w:line="240" w:lineRule="auto"/>
    </w:pPr>
  </w:style>
  <w:style w:type="character" w:customStyle="1" w:styleId="HeaderChar">
    <w:name w:val="Header Char"/>
    <w:basedOn w:val="DefaultParagraphFont"/>
    <w:link w:val="Header"/>
    <w:uiPriority w:val="99"/>
    <w:rsid w:val="004900E5"/>
  </w:style>
  <w:style w:type="paragraph" w:styleId="Footer">
    <w:name w:val="footer"/>
    <w:basedOn w:val="Normal"/>
    <w:link w:val="FooterChar"/>
    <w:uiPriority w:val="99"/>
    <w:unhideWhenUsed/>
    <w:rsid w:val="004900E5"/>
    <w:pPr>
      <w:tabs>
        <w:tab w:val="center" w:pos="4536"/>
        <w:tab w:val="right" w:pos="9072"/>
      </w:tabs>
      <w:spacing w:after="0" w:line="240" w:lineRule="auto"/>
    </w:pPr>
  </w:style>
  <w:style w:type="character" w:customStyle="1" w:styleId="FooterChar">
    <w:name w:val="Footer Char"/>
    <w:basedOn w:val="DefaultParagraphFont"/>
    <w:link w:val="Footer"/>
    <w:uiPriority w:val="99"/>
    <w:rsid w:val="004900E5"/>
  </w:style>
  <w:style w:type="paragraph" w:styleId="BalloonText">
    <w:name w:val="Balloon Text"/>
    <w:basedOn w:val="Normal"/>
    <w:link w:val="BalloonTextChar"/>
    <w:uiPriority w:val="99"/>
    <w:semiHidden/>
    <w:unhideWhenUsed/>
    <w:rsid w:val="007A79E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A79E0"/>
    <w:rPr>
      <w:rFonts w:ascii="Tahoma" w:hAnsi="Tahoma" w:cs="Tahoma"/>
      <w:sz w:val="16"/>
      <w:szCs w:val="16"/>
    </w:rPr>
  </w:style>
  <w:style w:type="character" w:styleId="CommentReference">
    <w:name w:val="annotation reference"/>
    <w:uiPriority w:val="99"/>
    <w:semiHidden/>
    <w:unhideWhenUsed/>
    <w:rsid w:val="003758A3"/>
    <w:rPr>
      <w:sz w:val="18"/>
      <w:szCs w:val="18"/>
    </w:rPr>
  </w:style>
  <w:style w:type="paragraph" w:styleId="CommentText">
    <w:name w:val="annotation text"/>
    <w:basedOn w:val="Normal"/>
    <w:link w:val="CommentTextChar"/>
    <w:uiPriority w:val="99"/>
    <w:semiHidden/>
    <w:unhideWhenUsed/>
    <w:rsid w:val="003758A3"/>
    <w:pPr>
      <w:spacing w:line="240" w:lineRule="auto"/>
    </w:pPr>
    <w:rPr>
      <w:sz w:val="24"/>
      <w:szCs w:val="24"/>
    </w:rPr>
  </w:style>
  <w:style w:type="character" w:customStyle="1" w:styleId="CommentTextChar">
    <w:name w:val="Comment Text Char"/>
    <w:link w:val="CommentText"/>
    <w:uiPriority w:val="99"/>
    <w:semiHidden/>
    <w:rsid w:val="003758A3"/>
    <w:rPr>
      <w:sz w:val="24"/>
      <w:szCs w:val="24"/>
    </w:rPr>
  </w:style>
  <w:style w:type="paragraph" w:styleId="CommentSubject">
    <w:name w:val="annotation subject"/>
    <w:basedOn w:val="CommentText"/>
    <w:next w:val="CommentText"/>
    <w:link w:val="CommentSubjectChar"/>
    <w:uiPriority w:val="99"/>
    <w:semiHidden/>
    <w:unhideWhenUsed/>
    <w:rsid w:val="003758A3"/>
    <w:rPr>
      <w:b/>
      <w:bCs/>
      <w:sz w:val="20"/>
      <w:szCs w:val="20"/>
    </w:rPr>
  </w:style>
  <w:style w:type="character" w:customStyle="1" w:styleId="CommentSubjectChar">
    <w:name w:val="Comment Subject Char"/>
    <w:link w:val="CommentSubject"/>
    <w:uiPriority w:val="99"/>
    <w:semiHidden/>
    <w:rsid w:val="003758A3"/>
    <w:rPr>
      <w:b/>
      <w:bCs/>
      <w:sz w:val="20"/>
      <w:szCs w:val="20"/>
    </w:rPr>
  </w:style>
  <w:style w:type="table" w:customStyle="1" w:styleId="Grilledutableau1">
    <w:name w:val="Grille du tableau1"/>
    <w:basedOn w:val="TableNormal"/>
    <w:next w:val="TableGrid"/>
    <w:uiPriority w:val="59"/>
    <w:rsid w:val="00414CF6"/>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14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Normal"/>
    <w:next w:val="TableGrid"/>
    <w:uiPriority w:val="59"/>
    <w:rsid w:val="00414CF6"/>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2033"/>
    <w:rPr>
      <w:color w:val="0000FF" w:themeColor="hyperlink"/>
      <w:u w:val="single"/>
    </w:rPr>
  </w:style>
  <w:style w:type="table" w:customStyle="1" w:styleId="Grilledutableau3">
    <w:name w:val="Grille du tableau3"/>
    <w:basedOn w:val="TableNormal"/>
    <w:next w:val="TableGrid"/>
    <w:uiPriority w:val="59"/>
    <w:rsid w:val="002A2033"/>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5159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04BC5"/>
    <w:pPr>
      <w:spacing w:after="0" w:line="240" w:lineRule="auto"/>
    </w:pPr>
    <w:rPr>
      <w:sz w:val="20"/>
      <w:szCs w:val="20"/>
    </w:rPr>
  </w:style>
  <w:style w:type="character" w:customStyle="1" w:styleId="FootnoteTextChar">
    <w:name w:val="Footnote Text Char"/>
    <w:link w:val="FootnoteText"/>
    <w:uiPriority w:val="99"/>
    <w:rsid w:val="00804BC5"/>
    <w:rPr>
      <w:sz w:val="20"/>
      <w:szCs w:val="20"/>
    </w:rPr>
  </w:style>
  <w:style w:type="character" w:styleId="FootnoteReference">
    <w:name w:val="footnote reference"/>
    <w:uiPriority w:val="99"/>
    <w:semiHidden/>
    <w:unhideWhenUsed/>
    <w:rsid w:val="00804BC5"/>
    <w:rPr>
      <w:vertAlign w:val="superscript"/>
    </w:rPr>
  </w:style>
  <w:style w:type="paragraph" w:customStyle="1" w:styleId="ColorfulList-Accent11">
    <w:name w:val="Colorful List - Accent 11"/>
    <w:basedOn w:val="Normal"/>
    <w:uiPriority w:val="34"/>
    <w:qFormat/>
    <w:rsid w:val="00CE77DC"/>
    <w:pPr>
      <w:ind w:left="720"/>
      <w:contextualSpacing/>
    </w:pPr>
  </w:style>
  <w:style w:type="paragraph" w:styleId="Header">
    <w:name w:val="header"/>
    <w:basedOn w:val="Normal"/>
    <w:link w:val="HeaderChar"/>
    <w:uiPriority w:val="99"/>
    <w:unhideWhenUsed/>
    <w:rsid w:val="004900E5"/>
    <w:pPr>
      <w:tabs>
        <w:tab w:val="center" w:pos="4536"/>
        <w:tab w:val="right" w:pos="9072"/>
      </w:tabs>
      <w:spacing w:after="0" w:line="240" w:lineRule="auto"/>
    </w:pPr>
  </w:style>
  <w:style w:type="character" w:customStyle="1" w:styleId="HeaderChar">
    <w:name w:val="Header Char"/>
    <w:basedOn w:val="DefaultParagraphFont"/>
    <w:link w:val="Header"/>
    <w:uiPriority w:val="99"/>
    <w:rsid w:val="004900E5"/>
  </w:style>
  <w:style w:type="paragraph" w:styleId="Footer">
    <w:name w:val="footer"/>
    <w:basedOn w:val="Normal"/>
    <w:link w:val="FooterChar"/>
    <w:uiPriority w:val="99"/>
    <w:unhideWhenUsed/>
    <w:rsid w:val="004900E5"/>
    <w:pPr>
      <w:tabs>
        <w:tab w:val="center" w:pos="4536"/>
        <w:tab w:val="right" w:pos="9072"/>
      </w:tabs>
      <w:spacing w:after="0" w:line="240" w:lineRule="auto"/>
    </w:pPr>
  </w:style>
  <w:style w:type="character" w:customStyle="1" w:styleId="FooterChar">
    <w:name w:val="Footer Char"/>
    <w:basedOn w:val="DefaultParagraphFont"/>
    <w:link w:val="Footer"/>
    <w:uiPriority w:val="99"/>
    <w:rsid w:val="004900E5"/>
  </w:style>
  <w:style w:type="paragraph" w:styleId="BalloonText">
    <w:name w:val="Balloon Text"/>
    <w:basedOn w:val="Normal"/>
    <w:link w:val="BalloonTextChar"/>
    <w:uiPriority w:val="99"/>
    <w:semiHidden/>
    <w:unhideWhenUsed/>
    <w:rsid w:val="007A79E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A79E0"/>
    <w:rPr>
      <w:rFonts w:ascii="Tahoma" w:hAnsi="Tahoma" w:cs="Tahoma"/>
      <w:sz w:val="16"/>
      <w:szCs w:val="16"/>
    </w:rPr>
  </w:style>
  <w:style w:type="character" w:styleId="CommentReference">
    <w:name w:val="annotation reference"/>
    <w:uiPriority w:val="99"/>
    <w:semiHidden/>
    <w:unhideWhenUsed/>
    <w:rsid w:val="003758A3"/>
    <w:rPr>
      <w:sz w:val="18"/>
      <w:szCs w:val="18"/>
    </w:rPr>
  </w:style>
  <w:style w:type="paragraph" w:styleId="CommentText">
    <w:name w:val="annotation text"/>
    <w:basedOn w:val="Normal"/>
    <w:link w:val="CommentTextChar"/>
    <w:uiPriority w:val="99"/>
    <w:semiHidden/>
    <w:unhideWhenUsed/>
    <w:rsid w:val="003758A3"/>
    <w:pPr>
      <w:spacing w:line="240" w:lineRule="auto"/>
    </w:pPr>
    <w:rPr>
      <w:sz w:val="24"/>
      <w:szCs w:val="24"/>
    </w:rPr>
  </w:style>
  <w:style w:type="character" w:customStyle="1" w:styleId="CommentTextChar">
    <w:name w:val="Comment Text Char"/>
    <w:link w:val="CommentText"/>
    <w:uiPriority w:val="99"/>
    <w:semiHidden/>
    <w:rsid w:val="003758A3"/>
    <w:rPr>
      <w:sz w:val="24"/>
      <w:szCs w:val="24"/>
    </w:rPr>
  </w:style>
  <w:style w:type="paragraph" w:styleId="CommentSubject">
    <w:name w:val="annotation subject"/>
    <w:basedOn w:val="CommentText"/>
    <w:next w:val="CommentText"/>
    <w:link w:val="CommentSubjectChar"/>
    <w:uiPriority w:val="99"/>
    <w:semiHidden/>
    <w:unhideWhenUsed/>
    <w:rsid w:val="003758A3"/>
    <w:rPr>
      <w:b/>
      <w:bCs/>
      <w:sz w:val="20"/>
      <w:szCs w:val="20"/>
    </w:rPr>
  </w:style>
  <w:style w:type="character" w:customStyle="1" w:styleId="CommentSubjectChar">
    <w:name w:val="Comment Subject Char"/>
    <w:link w:val="CommentSubject"/>
    <w:uiPriority w:val="99"/>
    <w:semiHidden/>
    <w:rsid w:val="003758A3"/>
    <w:rPr>
      <w:b/>
      <w:bCs/>
      <w:sz w:val="20"/>
      <w:szCs w:val="20"/>
    </w:rPr>
  </w:style>
  <w:style w:type="table" w:customStyle="1" w:styleId="Grilledutableau1">
    <w:name w:val="Grille du tableau1"/>
    <w:basedOn w:val="TableNormal"/>
    <w:next w:val="TableGrid"/>
    <w:uiPriority w:val="59"/>
    <w:rsid w:val="00414CF6"/>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14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Normal"/>
    <w:next w:val="TableGrid"/>
    <w:uiPriority w:val="59"/>
    <w:rsid w:val="00414CF6"/>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2033"/>
    <w:rPr>
      <w:color w:val="0000FF" w:themeColor="hyperlink"/>
      <w:u w:val="single"/>
    </w:rPr>
  </w:style>
  <w:style w:type="table" w:customStyle="1" w:styleId="Grilledutableau3">
    <w:name w:val="Grille du tableau3"/>
    <w:basedOn w:val="TableNormal"/>
    <w:next w:val="TableGrid"/>
    <w:uiPriority w:val="59"/>
    <w:rsid w:val="002A2033"/>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5159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mailto:baaboubadr@yahoo.fr" TargetMode="External"/><Relationship Id="rId39" Type="http://schemas.openxmlformats.org/officeDocument/2006/relationships/customXml" Target="../customXml/item3.xml"/><Relationship Id="rId21" Type="http://schemas.openxmlformats.org/officeDocument/2006/relationships/hyperlink" Target="mailto:akermisaida2000@yahoo.fr" TargetMode="External"/><Relationship Id="rId34" Type="http://schemas.openxmlformats.org/officeDocument/2006/relationships/hyperlink" Target="mailto:obs.prisons@gmail.co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www.chahed.tn" TargetMode="External"/><Relationship Id="rId33" Type="http://schemas.openxmlformats.org/officeDocument/2006/relationships/hyperlink" Target="mailto:marsed.kadha.tn@gmail.com" TargetMode="External"/><Relationship Id="rId38"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www.insaf-anc-mil.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mailto:observatoire.chahed@gmail.com" TargetMode="External"/><Relationship Id="rId32" Type="http://schemas.openxmlformats.org/officeDocument/2006/relationships/hyperlink" Target="http://www.omct-tunisie.org" TargetMode="External"/><Relationship Id="rId37" Type="http://schemas.openxmlformats.org/officeDocument/2006/relationships/theme" Target="theme/theme1.xml"/><Relationship Id="rId40"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mailto:atja.avocats@gmail.com" TargetMode="External"/><Relationship Id="rId28" Type="http://schemas.openxmlformats.org/officeDocument/2006/relationships/hyperlink" Target="https://mail.omct.org/owa/redir.aspx?C=eSG7c9XlEUa67VHVCvYgDQvjHs71QdAIRLDf0r0U5eSGOAr__yWnNSc9LzdLWCPXQpcXxkzrTCg.&amp;URL=mailto%3atunisian.repese%40gmail.com" TargetMode="Externa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mailto:contact@ltdh-tunisie.or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mailto:justice.rehabilitation@gmail.com" TargetMode="External"/><Relationship Id="rId27" Type="http://schemas.openxmlformats.org/officeDocument/2006/relationships/hyperlink" Target="mailto:adppkarama@gmail.com" TargetMode="External"/><Relationship Id="rId30" Type="http://schemas.openxmlformats.org/officeDocument/2006/relationships/hyperlink" Target="http://www.facebook.com/liberte.equite"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757B49-7AE4-4ECB-961C-631327E792EF}"/>
</file>

<file path=customXml/itemProps2.xml><?xml version="1.0" encoding="utf-8"?>
<ds:datastoreItem xmlns:ds="http://schemas.openxmlformats.org/officeDocument/2006/customXml" ds:itemID="{ABAE937C-310B-4F5F-A7C5-A20CC8AD825F}"/>
</file>

<file path=customXml/itemProps3.xml><?xml version="1.0" encoding="utf-8"?>
<ds:datastoreItem xmlns:ds="http://schemas.openxmlformats.org/officeDocument/2006/customXml" ds:itemID="{6A958B81-DCD4-48C4-8AD2-92E4C2D7D04E}"/>
</file>

<file path=customXml/itemProps4.xml><?xml version="1.0" encoding="utf-8"?>
<ds:datastoreItem xmlns:ds="http://schemas.openxmlformats.org/officeDocument/2006/customXml" ds:itemID="{BC1E4FAC-3DFA-4687-B2F0-7D332A0A65B6}"/>
</file>

<file path=docProps/app.xml><?xml version="1.0" encoding="utf-8"?>
<Properties xmlns="http://schemas.openxmlformats.org/officeDocument/2006/extended-properties" xmlns:vt="http://schemas.openxmlformats.org/officeDocument/2006/docPropsVTypes">
  <Template>Normal.dotm</Template>
  <TotalTime>0</TotalTime>
  <Pages>3</Pages>
  <Words>10103</Words>
  <Characters>55571</Characters>
  <Application>Microsoft Office Word</Application>
  <DocSecurity>0</DocSecurity>
  <Lines>463</Lines>
  <Paragraphs>131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65543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Halim Meddeb</dc:creator>
  <cp:lastModifiedBy>Liliana Trillo Diaz</cp:lastModifiedBy>
  <cp:revision>2</cp:revision>
  <cp:lastPrinted>2016-03-28T12:32:00Z</cp:lastPrinted>
  <dcterms:created xsi:type="dcterms:W3CDTF">2016-04-12T08:25:00Z</dcterms:created>
  <dcterms:modified xsi:type="dcterms:W3CDTF">2016-04-12T08:25:00Z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