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EE0" w:rsidRPr="00BA38BB" w:rsidRDefault="00790EE0" w:rsidP="00790EE0">
      <w:pPr>
        <w:spacing w:after="0" w:line="360" w:lineRule="auto"/>
        <w:rPr>
          <w:rFonts w:ascii="Times New Roman" w:eastAsia="Times New Roman" w:hAnsi="Times New Roman" w:cs="Times New Roman"/>
          <w:b/>
          <w:bCs/>
          <w:color w:val="000000" w:themeColor="text1"/>
          <w:sz w:val="24"/>
          <w:szCs w:val="24"/>
        </w:rPr>
      </w:pPr>
      <w:bookmarkStart w:id="0" w:name="_GoBack"/>
      <w:bookmarkEnd w:id="0"/>
      <w:r w:rsidRPr="00BA38BB">
        <w:rPr>
          <w:rFonts w:ascii="Times New Roman" w:eastAsia="Times New Roman" w:hAnsi="Times New Roman" w:cs="Times New Roman"/>
          <w:b/>
          <w:bCs/>
          <w:color w:val="000000" w:themeColor="text1"/>
          <w:sz w:val="24"/>
          <w:szCs w:val="24"/>
        </w:rPr>
        <w:t>Ministry of Justice of the Republic of Armenia</w:t>
      </w:r>
    </w:p>
    <w:p w:rsidR="00790EE0" w:rsidRPr="00BA38BB" w:rsidRDefault="00790EE0" w:rsidP="00790EE0">
      <w:pPr>
        <w:spacing w:after="0" w:line="360" w:lineRule="auto"/>
        <w:rPr>
          <w:rFonts w:ascii="Times New Roman" w:eastAsia="Times New Roman" w:hAnsi="Times New Roman" w:cs="Times New Roman"/>
          <w:b/>
          <w:bCs/>
          <w:color w:val="000000" w:themeColor="text1"/>
          <w:sz w:val="24"/>
          <w:szCs w:val="24"/>
          <w:lang w:val="hy-AM"/>
        </w:rPr>
      </w:pPr>
      <w:r w:rsidRPr="00BA38BB">
        <w:rPr>
          <w:rFonts w:ascii="Times New Roman" w:eastAsia="Times New Roman" w:hAnsi="Times New Roman" w:cs="Times New Roman"/>
          <w:b/>
          <w:bCs/>
          <w:color w:val="000000" w:themeColor="text1"/>
          <w:sz w:val="24"/>
          <w:szCs w:val="24"/>
          <w:lang w:val="hy-AM"/>
        </w:rPr>
        <w:t>Day two: 13 October, 2022</w:t>
      </w:r>
    </w:p>
    <w:p w:rsidR="00790EE0" w:rsidRPr="00BA38BB" w:rsidRDefault="00790EE0" w:rsidP="00790EE0">
      <w:pPr>
        <w:spacing w:after="0" w:line="360" w:lineRule="auto"/>
        <w:rPr>
          <w:rFonts w:ascii="Times New Roman" w:eastAsia="Times New Roman" w:hAnsi="Times New Roman" w:cs="Times New Roman"/>
          <w:b/>
          <w:bCs/>
          <w:color w:val="000000" w:themeColor="text1"/>
          <w:sz w:val="24"/>
          <w:szCs w:val="24"/>
        </w:rPr>
      </w:pPr>
      <w:r w:rsidRPr="00BA38BB">
        <w:rPr>
          <w:rFonts w:ascii="Times New Roman" w:eastAsia="Times New Roman" w:hAnsi="Times New Roman" w:cs="Times New Roman"/>
          <w:b/>
          <w:bCs/>
          <w:color w:val="000000" w:themeColor="text1"/>
          <w:sz w:val="24"/>
          <w:szCs w:val="24"/>
        </w:rPr>
        <w:t>Additional information</w:t>
      </w:r>
    </w:p>
    <w:p w:rsidR="00205763" w:rsidRPr="00BA38BB" w:rsidRDefault="00205763" w:rsidP="003C355A">
      <w:pPr>
        <w:spacing w:after="0" w:line="360" w:lineRule="auto"/>
        <w:rPr>
          <w:rFonts w:ascii="Times New Roman" w:eastAsia="Times New Roman" w:hAnsi="Times New Roman" w:cs="Times New Roman"/>
          <w:b/>
          <w:bCs/>
          <w:color w:val="000000" w:themeColor="text1"/>
          <w:sz w:val="24"/>
          <w:szCs w:val="24"/>
        </w:rPr>
      </w:pPr>
    </w:p>
    <w:p w:rsidR="003C355A" w:rsidRPr="00BA38BB" w:rsidRDefault="003C355A" w:rsidP="00BA38BB">
      <w:pPr>
        <w:numPr>
          <w:ilvl w:val="0"/>
          <w:numId w:val="2"/>
        </w:numPr>
        <w:spacing w:after="0" w:line="360" w:lineRule="auto"/>
        <w:ind w:left="360"/>
        <w:rPr>
          <w:rFonts w:ascii="Times New Roman" w:eastAsia="Times New Roman" w:hAnsi="Times New Roman" w:cs="Times New Roman"/>
          <w:color w:val="000000" w:themeColor="text1"/>
          <w:sz w:val="24"/>
          <w:szCs w:val="24"/>
        </w:rPr>
      </w:pPr>
      <w:r w:rsidRPr="00BA38BB">
        <w:rPr>
          <w:rFonts w:ascii="Times New Roman" w:eastAsia="Times New Roman" w:hAnsi="Times New Roman" w:cs="Times New Roman"/>
          <w:b/>
          <w:bCs/>
          <w:color w:val="000000" w:themeColor="text1"/>
          <w:sz w:val="24"/>
          <w:szCs w:val="24"/>
        </w:rPr>
        <w:t xml:space="preserve">Questions about </w:t>
      </w:r>
      <w:r w:rsidRPr="00BA38BB">
        <w:rPr>
          <w:rFonts w:ascii="Times New Roman" w:eastAsia="Times New Roman" w:hAnsi="Times New Roman" w:cs="Times New Roman"/>
          <w:b/>
          <w:bCs/>
          <w:color w:val="000000" w:themeColor="text1"/>
          <w:sz w:val="24"/>
          <w:szCs w:val="24"/>
          <w:shd w:val="clear" w:color="auto" w:fill="FFFFFF"/>
        </w:rPr>
        <w:t>LGBTQIA+</w:t>
      </w:r>
      <w:r w:rsidRPr="00BA38BB">
        <w:rPr>
          <w:rFonts w:ascii="Times New Roman" w:eastAsia="Times New Roman" w:hAnsi="Times New Roman" w:cs="Times New Roman"/>
          <w:b/>
          <w:bCs/>
          <w:color w:val="000000" w:themeColor="text1"/>
          <w:sz w:val="24"/>
          <w:szCs w:val="24"/>
        </w:rPr>
        <w:t xml:space="preserve"> and trans people </w:t>
      </w:r>
    </w:p>
    <w:p w:rsidR="003C355A" w:rsidRPr="00BA38BB" w:rsidRDefault="003C355A" w:rsidP="003D41F4">
      <w:pPr>
        <w:spacing w:after="0" w:line="360" w:lineRule="auto"/>
        <w:ind w:firstLine="720"/>
        <w:jc w:val="both"/>
        <w:rPr>
          <w:rFonts w:ascii="Times New Roman" w:eastAsia="Times New Roman" w:hAnsi="Times New Roman" w:cs="Times New Roman"/>
          <w:color w:val="000000" w:themeColor="text1"/>
          <w:sz w:val="24"/>
          <w:szCs w:val="24"/>
        </w:rPr>
      </w:pPr>
      <w:r w:rsidRPr="00BA38BB">
        <w:rPr>
          <w:rFonts w:ascii="Times New Roman" w:eastAsia="Times New Roman" w:hAnsi="Times New Roman" w:cs="Times New Roman"/>
          <w:color w:val="000000" w:themeColor="text1"/>
          <w:sz w:val="24"/>
          <w:szCs w:val="24"/>
        </w:rPr>
        <w:t>Armenia, as a democratic state designing a very ambitious reform agenda, is a strong supporter of the universality of human rights and their applicability equally and without any discrimination to all, in a fair and equal manner, on the same footing, and with the same emphasis. In this context, I would like to stress some significant developments in our legislation and regulations.</w:t>
      </w:r>
    </w:p>
    <w:p w:rsidR="003C355A" w:rsidRPr="00BA38BB" w:rsidRDefault="003C355A" w:rsidP="003D41F4">
      <w:pPr>
        <w:spacing w:after="0" w:line="360" w:lineRule="auto"/>
        <w:ind w:firstLine="720"/>
        <w:jc w:val="both"/>
        <w:rPr>
          <w:rFonts w:ascii="Times New Roman" w:eastAsia="Times New Roman" w:hAnsi="Times New Roman" w:cs="Times New Roman"/>
          <w:color w:val="000000" w:themeColor="text1"/>
          <w:sz w:val="24"/>
          <w:szCs w:val="24"/>
        </w:rPr>
      </w:pPr>
      <w:r w:rsidRPr="00BA38BB">
        <w:rPr>
          <w:rFonts w:ascii="Times New Roman" w:eastAsia="Times New Roman" w:hAnsi="Times New Roman" w:cs="Times New Roman"/>
          <w:color w:val="000000" w:themeColor="text1"/>
          <w:sz w:val="24"/>
          <w:szCs w:val="24"/>
          <w:shd w:val="clear" w:color="auto" w:fill="FFFFFF"/>
        </w:rPr>
        <w:t>According to Article 29 of the Constitution of Armenia, “Discrimination based on sex, race, skin color, ethnic or social origin, genetic features, language, religion, world view, political or other views, belonging to a national minority, property status, birth, disability, age, or other personal or social circumstances shall be prohibited”.</w:t>
      </w:r>
    </w:p>
    <w:p w:rsidR="003C355A" w:rsidRPr="00BA38BB" w:rsidRDefault="003C355A" w:rsidP="003D41F4">
      <w:pPr>
        <w:spacing w:after="0" w:line="360" w:lineRule="auto"/>
        <w:ind w:firstLine="720"/>
        <w:jc w:val="both"/>
        <w:rPr>
          <w:rFonts w:ascii="Times New Roman" w:eastAsia="Times New Roman" w:hAnsi="Times New Roman" w:cs="Times New Roman"/>
          <w:color w:val="000000" w:themeColor="text1"/>
          <w:sz w:val="24"/>
          <w:szCs w:val="24"/>
        </w:rPr>
      </w:pPr>
      <w:r w:rsidRPr="00BA38BB">
        <w:rPr>
          <w:rFonts w:ascii="Times New Roman" w:eastAsia="Times New Roman" w:hAnsi="Times New Roman" w:cs="Times New Roman"/>
          <w:color w:val="000000" w:themeColor="text1"/>
          <w:sz w:val="24"/>
          <w:szCs w:val="24"/>
        </w:rPr>
        <w:t>To effectively eliminate discrimination against women and to ensure a comprehensive approach in this regard, we have drafted the law on “Ensuring Equality Before the Law”. The purpose of this law is to ensure equal opportunities for the implementation of the rights and freedoms of every individual and citizen with no discrimination. This law defines the concept of discrimination and its types, subjects, and mechanisms for ensuring equality before the law, as well as the status, objectives, and activities of the Equality Council. It has to be mentioned that the Draft Law is in line with the principles set in the EU Council Directive 2000/43 (respectively Articles 2, 7, and 8), the International Convention on the Elimination of all forms of Racial discrimination, as well as with the Article 1 of the protocol 12 of the European Convention on Human Rights, especially the Draft Law envisages all grounds of discrimination prescribed in the abovementioned Article.</w:t>
      </w:r>
    </w:p>
    <w:p w:rsidR="003C355A" w:rsidRPr="00BA38BB" w:rsidRDefault="003C355A" w:rsidP="003D41F4">
      <w:pPr>
        <w:spacing w:after="0" w:line="360" w:lineRule="auto"/>
        <w:ind w:firstLine="720"/>
        <w:jc w:val="both"/>
        <w:rPr>
          <w:rFonts w:ascii="Times New Roman" w:eastAsia="Times New Roman" w:hAnsi="Times New Roman" w:cs="Times New Roman"/>
          <w:color w:val="000000" w:themeColor="text1"/>
          <w:sz w:val="24"/>
          <w:szCs w:val="24"/>
        </w:rPr>
      </w:pPr>
      <w:r w:rsidRPr="00BA38BB">
        <w:rPr>
          <w:rFonts w:ascii="Times New Roman" w:eastAsia="Times New Roman" w:hAnsi="Times New Roman" w:cs="Times New Roman"/>
          <w:color w:val="000000" w:themeColor="text1"/>
          <w:sz w:val="24"/>
          <w:szCs w:val="24"/>
          <w:shd w:val="clear" w:color="auto" w:fill="FFFFFF"/>
        </w:rPr>
        <w:t>Direct and indirect discrimination, incitement to discrimination, harassment, segregation, victimization, associated discrimination, and temporary special measures. In addition, the Law “On ensuring equal rights and equal opportunities for women and men” defines gender discrimination with its direct and indirect types and sexual harassment. As to the entities responsible for ensuring legal equality, under the</w:t>
      </w:r>
      <w:r w:rsidRPr="00BA38BB">
        <w:rPr>
          <w:rFonts w:ascii="Times New Roman" w:eastAsia="Times New Roman" w:hAnsi="Times New Roman" w:cs="Times New Roman"/>
          <w:color w:val="000000" w:themeColor="text1"/>
          <w:sz w:val="24"/>
          <w:szCs w:val="24"/>
        </w:rPr>
        <w:t> </w:t>
      </w:r>
      <w:r w:rsidRPr="00BA38BB">
        <w:rPr>
          <w:rFonts w:ascii="Times New Roman" w:eastAsia="Times New Roman" w:hAnsi="Times New Roman" w:cs="Times New Roman"/>
          <w:color w:val="000000" w:themeColor="text1"/>
          <w:sz w:val="24"/>
          <w:szCs w:val="24"/>
          <w:shd w:val="clear" w:color="auto" w:fill="FFFFFF"/>
        </w:rPr>
        <w:t>draft Law on “</w:t>
      </w:r>
      <w:r w:rsidRPr="00BA38BB">
        <w:rPr>
          <w:rFonts w:ascii="Times New Roman" w:eastAsia="Times New Roman" w:hAnsi="Times New Roman" w:cs="Times New Roman"/>
          <w:color w:val="000000" w:themeColor="text1"/>
          <w:sz w:val="24"/>
          <w:szCs w:val="24"/>
        </w:rPr>
        <w:t>Ensuring Equality Before the Law</w:t>
      </w:r>
      <w:r w:rsidRPr="00BA38BB">
        <w:rPr>
          <w:rFonts w:ascii="Times New Roman" w:eastAsia="Times New Roman" w:hAnsi="Times New Roman" w:cs="Times New Roman"/>
          <w:color w:val="000000" w:themeColor="text1"/>
          <w:sz w:val="24"/>
          <w:szCs w:val="24"/>
          <w:shd w:val="clear" w:color="auto" w:fill="FFFFFF"/>
        </w:rPr>
        <w:t xml:space="preserve">,” these are both state and local self-government bodies, their officials, the Human Rights </w:t>
      </w:r>
      <w:r w:rsidRPr="00BA38BB">
        <w:rPr>
          <w:rFonts w:ascii="Times New Roman" w:eastAsia="Times New Roman" w:hAnsi="Times New Roman" w:cs="Times New Roman"/>
          <w:color w:val="000000" w:themeColor="text1"/>
          <w:sz w:val="24"/>
          <w:szCs w:val="24"/>
          <w:shd w:val="clear" w:color="auto" w:fill="FFFFFF"/>
        </w:rPr>
        <w:lastRenderedPageBreak/>
        <w:t>Defender, legal persons, and individual entrepreneurs. The Draft requires supplements to the Civil Code to prescribe a new ground for a claim for compensation of intangible damage – “right to not be subjected to discrimination”, and to the Civil Procedure Code to prescribe the procedure for implementation of the relevant proceedings, including by establishing the rule regarding the shift of the burden of proof.</w:t>
      </w:r>
    </w:p>
    <w:p w:rsidR="003C355A" w:rsidRPr="00BA38BB" w:rsidRDefault="003C355A" w:rsidP="003D41F4">
      <w:pPr>
        <w:spacing w:after="0" w:line="360" w:lineRule="auto"/>
        <w:ind w:firstLine="720"/>
        <w:jc w:val="both"/>
        <w:rPr>
          <w:rFonts w:ascii="Times New Roman" w:eastAsia="Times New Roman" w:hAnsi="Times New Roman" w:cs="Times New Roman"/>
          <w:color w:val="000000" w:themeColor="text1"/>
          <w:sz w:val="24"/>
          <w:szCs w:val="24"/>
        </w:rPr>
      </w:pPr>
      <w:r w:rsidRPr="00BA38BB">
        <w:rPr>
          <w:rFonts w:ascii="Times New Roman" w:eastAsia="Times New Roman" w:hAnsi="Times New Roman" w:cs="Times New Roman"/>
          <w:bCs/>
          <w:color w:val="000000" w:themeColor="text1"/>
          <w:sz w:val="24"/>
          <w:szCs w:val="24"/>
        </w:rPr>
        <w:t>We would also like to mention several circumstances related to the following question:</w:t>
      </w:r>
      <w:r w:rsidRPr="00BA38BB">
        <w:rPr>
          <w:rFonts w:ascii="Times New Roman" w:eastAsia="Times New Roman" w:hAnsi="Times New Roman" w:cs="Times New Roman"/>
          <w:b/>
          <w:bCs/>
          <w:color w:val="000000" w:themeColor="text1"/>
          <w:sz w:val="24"/>
          <w:szCs w:val="24"/>
        </w:rPr>
        <w:t> </w:t>
      </w:r>
      <w:r w:rsidRPr="00BA38BB">
        <w:rPr>
          <w:rFonts w:ascii="Times New Roman" w:eastAsia="Times New Roman" w:hAnsi="Times New Roman" w:cs="Times New Roman"/>
          <w:color w:val="000000" w:themeColor="text1"/>
          <w:sz w:val="24"/>
          <w:szCs w:val="24"/>
        </w:rPr>
        <w:t>Same-sex sexual activity is legal in Armenia. There isn’t any kind of responsibility envisaged by any law. The RA Law on Civil status acts registration does not contain any provisions on legal gender change. The promotion of LGBT+ activities is not illegal, nor are there intentions to enact such a law.</w:t>
      </w:r>
    </w:p>
    <w:p w:rsidR="003C355A" w:rsidRPr="00BA38BB" w:rsidRDefault="003C355A" w:rsidP="003D41F4">
      <w:pPr>
        <w:spacing w:after="0" w:line="360" w:lineRule="auto"/>
        <w:ind w:firstLine="720"/>
        <w:jc w:val="both"/>
        <w:rPr>
          <w:rFonts w:ascii="Times New Roman" w:eastAsia="Times New Roman" w:hAnsi="Times New Roman" w:cs="Times New Roman"/>
          <w:color w:val="000000" w:themeColor="text1"/>
          <w:sz w:val="24"/>
          <w:szCs w:val="24"/>
        </w:rPr>
      </w:pPr>
      <w:r w:rsidRPr="00BA38BB">
        <w:rPr>
          <w:rFonts w:ascii="Times New Roman" w:eastAsia="Times New Roman" w:hAnsi="Times New Roman" w:cs="Times New Roman"/>
          <w:color w:val="000000" w:themeColor="text1"/>
          <w:sz w:val="24"/>
          <w:szCs w:val="24"/>
        </w:rPr>
        <w:t xml:space="preserve">In order to protect the rights of </w:t>
      </w:r>
      <w:r w:rsidRPr="00BA38BB">
        <w:rPr>
          <w:rFonts w:ascii="Times New Roman" w:eastAsia="Times New Roman" w:hAnsi="Times New Roman" w:cs="Times New Roman"/>
          <w:bCs/>
          <w:color w:val="000000" w:themeColor="text1"/>
          <w:sz w:val="24"/>
          <w:szCs w:val="24"/>
          <w:shd w:val="clear" w:color="auto" w:fill="FFFFFF"/>
        </w:rPr>
        <w:t>LGBTQIA+</w:t>
      </w:r>
      <w:r w:rsidRPr="00BA38BB">
        <w:rPr>
          <w:rFonts w:ascii="Times New Roman" w:eastAsia="Times New Roman" w:hAnsi="Times New Roman" w:cs="Times New Roman"/>
          <w:bCs/>
          <w:color w:val="000000" w:themeColor="text1"/>
          <w:sz w:val="24"/>
          <w:szCs w:val="24"/>
        </w:rPr>
        <w:t xml:space="preserve"> and trans people</w:t>
      </w:r>
      <w:r w:rsidRPr="00BA38BB">
        <w:rPr>
          <w:rFonts w:ascii="Times New Roman" w:eastAsia="Times New Roman" w:hAnsi="Times New Roman" w:cs="Times New Roman"/>
          <w:color w:val="000000" w:themeColor="text1"/>
          <w:sz w:val="24"/>
          <w:szCs w:val="24"/>
        </w:rPr>
        <w:t>, the Republic of Armenia, together with law enforcement officials, and the involvement of international experts, conducts training courses. Information campaigns are conducted in the Republic of Armenia to eliminate discrimination and violence against LGBT people, and materials on the importance of tolerance are included in school curricula.</w:t>
      </w:r>
    </w:p>
    <w:p w:rsidR="000C5F2E" w:rsidRPr="00BA38BB" w:rsidRDefault="000C5F2E" w:rsidP="003C355A">
      <w:pPr>
        <w:spacing w:after="0" w:line="360" w:lineRule="auto"/>
        <w:ind w:firstLine="360"/>
        <w:jc w:val="both"/>
        <w:rPr>
          <w:rFonts w:ascii="Times New Roman" w:eastAsia="Times New Roman" w:hAnsi="Times New Roman" w:cs="Times New Roman"/>
          <w:color w:val="000000" w:themeColor="text1"/>
          <w:sz w:val="24"/>
          <w:szCs w:val="24"/>
        </w:rPr>
      </w:pPr>
    </w:p>
    <w:p w:rsidR="00F4451F" w:rsidRPr="00BA38BB" w:rsidRDefault="00F4451F" w:rsidP="003C355A">
      <w:pPr>
        <w:pStyle w:val="ListParagraph"/>
        <w:numPr>
          <w:ilvl w:val="0"/>
          <w:numId w:val="2"/>
        </w:numPr>
        <w:spacing w:line="360" w:lineRule="auto"/>
        <w:jc w:val="both"/>
        <w:rPr>
          <w:rFonts w:ascii="Times New Roman" w:hAnsi="Times New Roman" w:cs="Times New Roman"/>
          <w:b/>
          <w:color w:val="000000" w:themeColor="text1"/>
          <w:sz w:val="24"/>
          <w:szCs w:val="24"/>
        </w:rPr>
      </w:pPr>
      <w:r w:rsidRPr="00BA38BB">
        <w:rPr>
          <w:rFonts w:ascii="Times New Roman" w:hAnsi="Times New Roman" w:cs="Times New Roman"/>
          <w:b/>
          <w:color w:val="000000" w:themeColor="text1"/>
          <w:sz w:val="24"/>
          <w:szCs w:val="24"/>
          <w:lang w:val="hy-AM"/>
        </w:rPr>
        <w:t>Question about marriageable age.</w:t>
      </w:r>
    </w:p>
    <w:p w:rsidR="00F4451F" w:rsidRPr="00BA38BB" w:rsidRDefault="00F4451F" w:rsidP="00F4451F">
      <w:pPr>
        <w:pStyle w:val="ListParagraph"/>
        <w:spacing w:line="360" w:lineRule="auto"/>
        <w:jc w:val="both"/>
        <w:rPr>
          <w:rFonts w:ascii="Times New Roman" w:hAnsi="Times New Roman" w:cs="Times New Roman"/>
          <w:b/>
          <w:color w:val="000000" w:themeColor="text1"/>
          <w:sz w:val="24"/>
          <w:szCs w:val="24"/>
        </w:rPr>
      </w:pPr>
    </w:p>
    <w:p w:rsidR="003C355A" w:rsidRPr="00BA38BB" w:rsidRDefault="003C355A" w:rsidP="00F4451F">
      <w:pPr>
        <w:pStyle w:val="ListParagraph"/>
        <w:spacing w:line="360" w:lineRule="auto"/>
        <w:jc w:val="both"/>
        <w:rPr>
          <w:rFonts w:ascii="Times New Roman" w:hAnsi="Times New Roman" w:cs="Times New Roman"/>
          <w:b/>
          <w:color w:val="000000" w:themeColor="text1"/>
          <w:sz w:val="24"/>
          <w:szCs w:val="24"/>
        </w:rPr>
      </w:pPr>
      <w:r w:rsidRPr="00BA38BB">
        <w:rPr>
          <w:rFonts w:ascii="Times New Roman" w:hAnsi="Times New Roman" w:cs="Times New Roman"/>
          <w:b/>
          <w:color w:val="000000" w:themeColor="text1"/>
          <w:sz w:val="24"/>
          <w:szCs w:val="24"/>
        </w:rPr>
        <w:t>Legislative Regulations on the Marriageable Age and the Procedure of Registering a Child’s Surname in the Republic of Armenia</w:t>
      </w:r>
    </w:p>
    <w:p w:rsidR="003C355A" w:rsidRPr="00BA38BB" w:rsidRDefault="003C355A" w:rsidP="003D41F4">
      <w:pPr>
        <w:spacing w:after="0" w:line="360" w:lineRule="auto"/>
        <w:ind w:firstLine="720"/>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As for the minimum marriageable age in the Republic of Armenia, it should be mentioned that according to the provisions of Part 1 of Article 10 of the Family Code of the Republic of Armenia, the necessary condition for the conclusion of marriage is the mutual voluntary consent of a man and a woman, as well as the fact that they have reached the marriageable age (18 years of age), with the exception of the cases provided for in the second paragraph of the present Part. Particularly, a person can marry at the age of 17 in the presence of the consent of their parents, adoptive parents or guardians. A person can also marry at age 16, if they have the consent of their parents, adoptive parents or guardian and if the other spouse is at least 18 years old.</w:t>
      </w:r>
    </w:p>
    <w:p w:rsidR="003C355A" w:rsidRPr="00BA38BB" w:rsidRDefault="003C355A" w:rsidP="003D41F4">
      <w:pPr>
        <w:spacing w:after="0" w:line="360" w:lineRule="auto"/>
        <w:ind w:left="90" w:firstLine="630"/>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Pursuant to the provisions of Article 43 of the Law of th</w:t>
      </w:r>
      <w:r w:rsidR="003D41F4">
        <w:rPr>
          <w:rFonts w:ascii="Times New Roman" w:hAnsi="Times New Roman" w:cs="Times New Roman"/>
          <w:color w:val="000000" w:themeColor="text1"/>
          <w:sz w:val="24"/>
          <w:szCs w:val="24"/>
        </w:rPr>
        <w:t xml:space="preserve">e Republic of Armenia “On civil </w:t>
      </w:r>
      <w:r w:rsidRPr="00BA38BB">
        <w:rPr>
          <w:rFonts w:ascii="Times New Roman" w:hAnsi="Times New Roman" w:cs="Times New Roman"/>
          <w:color w:val="000000" w:themeColor="text1"/>
          <w:sz w:val="24"/>
          <w:szCs w:val="24"/>
        </w:rPr>
        <w:t xml:space="preserve">status acts”, the ground for state registration of marriage is the relevant application submitted by </w:t>
      </w:r>
      <w:r w:rsidRPr="00BA38BB">
        <w:rPr>
          <w:rFonts w:ascii="Times New Roman" w:hAnsi="Times New Roman" w:cs="Times New Roman"/>
          <w:color w:val="000000" w:themeColor="text1"/>
          <w:sz w:val="24"/>
          <w:szCs w:val="24"/>
        </w:rPr>
        <w:lastRenderedPageBreak/>
        <w:t>a man and a woman who have reached the marriageable age defined by the Family Code of the Republic of Armenia, upon their voluntary consent.</w:t>
      </w:r>
    </w:p>
    <w:p w:rsidR="003C355A" w:rsidRPr="00BA38BB" w:rsidRDefault="003C355A" w:rsidP="003C355A">
      <w:pPr>
        <w:spacing w:after="0" w:line="360" w:lineRule="auto"/>
        <w:ind w:firstLine="720"/>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At the same time, it should be mentioned that the Civil Status Acts Registration Agency of the Ministry of Justice does not maintain statistical data on the age or other details of the citizens entering into a marriage, including those less than 18 years of age. However, the state policy does not encourage marriages between minor citizens and, therefore, has established age limits to prevent such marriages between people underage.</w:t>
      </w:r>
    </w:p>
    <w:p w:rsidR="003C355A" w:rsidRPr="00BA38BB" w:rsidRDefault="003C355A" w:rsidP="003C355A">
      <w:pPr>
        <w:spacing w:after="0" w:line="360" w:lineRule="auto"/>
        <w:ind w:firstLine="720"/>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As for the right of a newborn to receive the surname of his/her mother in the presence of a state registration of marriage between the mother and the father of the child, it should be borne in mind that according to Part 1 of Article 45 of the Family Code of the Republic of Armenia, the child has the right to have a name, surname and patronymic name. A name is given to the child upon the consent of the parents, and the patronymic name is based on the father’s name in accordance with the procedure established by the mentioned Code. A child’s surname is determined by the surname of the parents. If the parents have different surnames, the child may receive the father’s or mother’s surname, upon the parents’ consent. The disputes caused by the disagreement between the parents regarding the child’s name and surname are resolved by custody or guardianship authorities. If the child’s paternity has not been determined, the child receives the name indicated by his/her mother, the patronymic is based on the name of the person registered as a child’s father, and the surname is determined by the mother’s surname.</w:t>
      </w:r>
    </w:p>
    <w:p w:rsidR="003C355A" w:rsidRPr="00BA38BB" w:rsidRDefault="003C355A" w:rsidP="003C355A">
      <w:pPr>
        <w:spacing w:line="360" w:lineRule="auto"/>
        <w:ind w:firstLine="720"/>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 xml:space="preserve">Pursuant to the provisions of Part 1 of Article 28 of the Law of the Republic of Armenia “On civil status acts”, the procedure for indication of a child's name, patronymic and surname in the birth record is as follows: </w:t>
      </w:r>
    </w:p>
    <w:p w:rsidR="003C355A" w:rsidRPr="00BA38BB" w:rsidRDefault="003C355A" w:rsidP="003C355A">
      <w:pPr>
        <w:spacing w:line="360" w:lineRule="auto"/>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1) the child's name is registered according to the name indicated in the application;</w:t>
      </w:r>
    </w:p>
    <w:p w:rsidR="003C355A" w:rsidRPr="00BA38BB" w:rsidRDefault="003C355A" w:rsidP="003C355A">
      <w:pPr>
        <w:spacing w:line="360" w:lineRule="auto"/>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2) the patronymic name of the child is registered according to the name of the person registered as the father of the child in the birth record;</w:t>
      </w:r>
    </w:p>
    <w:p w:rsidR="003C355A" w:rsidRPr="00BA38BB" w:rsidRDefault="003C355A" w:rsidP="003C355A">
      <w:pPr>
        <w:spacing w:line="360" w:lineRule="auto"/>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3) the surname of the child is registered according to the surname of his/her parents. If the parents have different surnames, the child's surname is registered according to the surname indicated in the application.</w:t>
      </w:r>
    </w:p>
    <w:p w:rsidR="003C355A" w:rsidRPr="00BA38BB" w:rsidRDefault="003C355A" w:rsidP="003C355A">
      <w:pPr>
        <w:spacing w:line="360" w:lineRule="auto"/>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lastRenderedPageBreak/>
        <w:t>4) the name, patronymic and surname of an abandoned child are registered according to the name, patronymic and surname indicated in the application;</w:t>
      </w:r>
    </w:p>
    <w:p w:rsidR="003C355A" w:rsidRPr="00BA38BB" w:rsidRDefault="003C355A" w:rsidP="003C355A">
      <w:pPr>
        <w:spacing w:line="360" w:lineRule="auto"/>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5) the name, patronymic and surname of a stillborn child in the birth record are registered according to the name, patronymic, and surname specified in the application of the child's parent(s). Based on the application submitted by the medical institution, the child's name and patronymic are not registered in the birth certificate of a stillborn child, the surname is registered according to the surname of the person who is indicated as the mother of the child in the document on the perinatal death of the child.</w:t>
      </w:r>
    </w:p>
    <w:p w:rsidR="003C355A" w:rsidRPr="00BA38BB" w:rsidRDefault="00C54F84" w:rsidP="003C355A">
      <w:pPr>
        <w:spacing w:line="360" w:lineRule="auto"/>
        <w:jc w:val="both"/>
        <w:rPr>
          <w:rFonts w:ascii="Times New Roman" w:hAnsi="Times New Roman" w:cs="Times New Roman"/>
          <w:b/>
          <w:color w:val="000000" w:themeColor="text1"/>
          <w:sz w:val="24"/>
          <w:szCs w:val="24"/>
          <w:lang w:val="hy-AM"/>
        </w:rPr>
      </w:pPr>
      <w:r w:rsidRPr="00BA38BB">
        <w:rPr>
          <w:rFonts w:ascii="Times New Roman" w:hAnsi="Times New Roman" w:cs="Times New Roman"/>
          <w:b/>
          <w:color w:val="000000" w:themeColor="text1"/>
          <w:sz w:val="24"/>
          <w:szCs w:val="24"/>
        </w:rPr>
        <w:t>3.</w:t>
      </w:r>
      <w:r w:rsidR="00F4451F" w:rsidRPr="00BA38BB">
        <w:rPr>
          <w:rFonts w:ascii="Times New Roman" w:hAnsi="Times New Roman" w:cs="Times New Roman"/>
          <w:b/>
          <w:color w:val="000000" w:themeColor="text1"/>
          <w:sz w:val="24"/>
          <w:szCs w:val="24"/>
          <w:lang w:val="hy-AM"/>
        </w:rPr>
        <w:t xml:space="preserve"> </w:t>
      </w:r>
      <w:r w:rsidRPr="00BA38BB">
        <w:rPr>
          <w:rFonts w:ascii="Times New Roman" w:hAnsi="Times New Roman" w:cs="Times New Roman"/>
          <w:b/>
          <w:color w:val="000000" w:themeColor="text1"/>
          <w:sz w:val="24"/>
          <w:szCs w:val="24"/>
        </w:rPr>
        <w:t>Yezidis and early marriages</w:t>
      </w:r>
      <w:r w:rsidR="003C358B" w:rsidRPr="00BA38BB">
        <w:rPr>
          <w:rFonts w:ascii="Times New Roman" w:hAnsi="Times New Roman" w:cs="Times New Roman"/>
          <w:b/>
          <w:color w:val="000000" w:themeColor="text1"/>
          <w:sz w:val="24"/>
          <w:szCs w:val="24"/>
          <w:lang w:val="hy-AM"/>
        </w:rPr>
        <w:t>.</w:t>
      </w:r>
    </w:p>
    <w:p w:rsidR="001C6FC8" w:rsidRPr="00BA38BB" w:rsidRDefault="003D5867" w:rsidP="003D5867">
      <w:pPr>
        <w:spacing w:line="360" w:lineRule="auto"/>
        <w:jc w:val="both"/>
        <w:rPr>
          <w:rFonts w:ascii="Times New Roman" w:hAnsi="Times New Roman" w:cs="Times New Roman"/>
          <w:color w:val="000000" w:themeColor="text1"/>
          <w:sz w:val="24"/>
          <w:szCs w:val="24"/>
        </w:rPr>
      </w:pPr>
      <w:r w:rsidRPr="00BA38BB">
        <w:rPr>
          <w:rFonts w:ascii="Times New Roman" w:hAnsi="Times New Roman" w:cs="Times New Roman"/>
          <w:color w:val="000000" w:themeColor="text1"/>
          <w:sz w:val="24"/>
          <w:szCs w:val="24"/>
        </w:rPr>
        <w:t>The NGO "Yezidi Center for Human Rights" together with the Ministry of Justice of the Republic of Armenia and other government agencies held seminars, during which developed "Prevention of early marriages through the cooperation of decision makers" and the Yezidi community " 2022-2026.</w:t>
      </w:r>
    </w:p>
    <w:sectPr w:rsidR="001C6FC8" w:rsidRPr="00BA38BB" w:rsidSect="009834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C0296"/>
    <w:multiLevelType w:val="hybridMultilevel"/>
    <w:tmpl w:val="30B2A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9D7622"/>
    <w:multiLevelType w:val="hybridMultilevel"/>
    <w:tmpl w:val="EBE68BBA"/>
    <w:lvl w:ilvl="0" w:tplc="2FA0684E">
      <w:start w:val="4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1956C3"/>
    <w:multiLevelType w:val="multilevel"/>
    <w:tmpl w:val="68946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FC8"/>
    <w:rsid w:val="000C5F2E"/>
    <w:rsid w:val="001C6FC8"/>
    <w:rsid w:val="00205763"/>
    <w:rsid w:val="002D29C0"/>
    <w:rsid w:val="003B08AF"/>
    <w:rsid w:val="003C355A"/>
    <w:rsid w:val="003C358B"/>
    <w:rsid w:val="003D41F4"/>
    <w:rsid w:val="003D5867"/>
    <w:rsid w:val="005B1DA8"/>
    <w:rsid w:val="00790EE0"/>
    <w:rsid w:val="009453C7"/>
    <w:rsid w:val="00983488"/>
    <w:rsid w:val="009D11EC"/>
    <w:rsid w:val="00BA38BB"/>
    <w:rsid w:val="00BD4DB9"/>
    <w:rsid w:val="00C54F84"/>
    <w:rsid w:val="00E30307"/>
    <w:rsid w:val="00F44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2B9810-D0D8-4135-97D3-1441629C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4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6FC8"/>
    <w:pPr>
      <w:ind w:left="720"/>
      <w:contextualSpacing/>
    </w:pPr>
  </w:style>
  <w:style w:type="paragraph" w:styleId="NormalWeb">
    <w:name w:val="Normal (Web)"/>
    <w:basedOn w:val="Normal"/>
    <w:uiPriority w:val="99"/>
    <w:semiHidden/>
    <w:unhideWhenUsed/>
    <w:rsid w:val="001C6F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8923">
      <w:bodyDiv w:val="1"/>
      <w:marLeft w:val="0"/>
      <w:marRight w:val="0"/>
      <w:marTop w:val="0"/>
      <w:marBottom w:val="0"/>
      <w:divBdr>
        <w:top w:val="none" w:sz="0" w:space="0" w:color="auto"/>
        <w:left w:val="none" w:sz="0" w:space="0" w:color="auto"/>
        <w:bottom w:val="none" w:sz="0" w:space="0" w:color="auto"/>
        <w:right w:val="none" w:sz="0" w:space="0" w:color="auto"/>
      </w:divBdr>
    </w:div>
    <w:div w:id="364720289">
      <w:bodyDiv w:val="1"/>
      <w:marLeft w:val="0"/>
      <w:marRight w:val="0"/>
      <w:marTop w:val="0"/>
      <w:marBottom w:val="0"/>
      <w:divBdr>
        <w:top w:val="none" w:sz="0" w:space="0" w:color="auto"/>
        <w:left w:val="none" w:sz="0" w:space="0" w:color="auto"/>
        <w:bottom w:val="none" w:sz="0" w:space="0" w:color="auto"/>
        <w:right w:val="none" w:sz="0" w:space="0" w:color="auto"/>
      </w:divBdr>
    </w:div>
    <w:div w:id="1419861166">
      <w:bodyDiv w:val="1"/>
      <w:marLeft w:val="0"/>
      <w:marRight w:val="0"/>
      <w:marTop w:val="0"/>
      <w:marBottom w:val="0"/>
      <w:divBdr>
        <w:top w:val="none" w:sz="0" w:space="0" w:color="auto"/>
        <w:left w:val="none" w:sz="0" w:space="0" w:color="auto"/>
        <w:bottom w:val="none" w:sz="0" w:space="0" w:color="auto"/>
        <w:right w:val="none" w:sz="0" w:space="0" w:color="auto"/>
      </w:divBdr>
      <w:divsChild>
        <w:div w:id="1815482441">
          <w:marLeft w:val="0"/>
          <w:marRight w:val="0"/>
          <w:marTop w:val="0"/>
          <w:marBottom w:val="0"/>
          <w:divBdr>
            <w:top w:val="none" w:sz="0" w:space="0" w:color="auto"/>
            <w:left w:val="none" w:sz="0" w:space="0" w:color="auto"/>
            <w:bottom w:val="none" w:sz="0" w:space="0" w:color="auto"/>
            <w:right w:val="none" w:sz="0" w:space="0" w:color="auto"/>
          </w:divBdr>
        </w:div>
      </w:divsChild>
    </w:div>
    <w:div w:id="1700088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80F179-4762-4E07-8534-6541C68859D8}"/>
</file>

<file path=customXml/itemProps2.xml><?xml version="1.0" encoding="utf-8"?>
<ds:datastoreItem xmlns:ds="http://schemas.openxmlformats.org/officeDocument/2006/customXml" ds:itemID="{C9A7DBB4-C38E-41D0-ADC5-6D44B75074F0}"/>
</file>

<file path=customXml/itemProps3.xml><?xml version="1.0" encoding="utf-8"?>
<ds:datastoreItem xmlns:ds="http://schemas.openxmlformats.org/officeDocument/2006/customXml" ds:itemID="{46BA20E1-2894-450F-BE82-5B21CDAA6A46}"/>
</file>

<file path=docProps/app.xml><?xml version="1.0" encoding="utf-8"?>
<Properties xmlns="http://schemas.openxmlformats.org/officeDocument/2006/extended-properties" xmlns:vt="http://schemas.openxmlformats.org/officeDocument/2006/docPropsVTypes">
  <Template>Normal</Template>
  <TotalTime>0</TotalTime>
  <Pages>4</Pages>
  <Words>1202</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A-Karapetyan</dc:creator>
  <cp:lastModifiedBy>Zoya Stepanyan</cp:lastModifiedBy>
  <cp:revision>2</cp:revision>
  <dcterms:created xsi:type="dcterms:W3CDTF">2022-10-14T09:57:00Z</dcterms:created>
  <dcterms:modified xsi:type="dcterms:W3CDTF">2022-10-14T09:57:00Z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