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35243" w14:textId="77777777" w:rsidR="00587E12" w:rsidRPr="006C7AD2" w:rsidRDefault="00587E12"/>
    <w:p w14:paraId="2C27BB25" w14:textId="77777777" w:rsidR="00587E12" w:rsidRPr="006C7AD2" w:rsidRDefault="00587E12"/>
    <w:p w14:paraId="3372EBF2" w14:textId="6AF378D4" w:rsidR="00587E12" w:rsidRPr="006C7AD2" w:rsidRDefault="00000000" w:rsidP="009B7B73">
      <w:pPr>
        <w:jc w:val="center"/>
        <w:rPr>
          <w:rFonts w:ascii="Calibri" w:eastAsia="Calibri" w:hAnsi="Calibri" w:cs="Calibri"/>
          <w:b/>
          <w:sz w:val="20"/>
          <w:szCs w:val="20"/>
        </w:rPr>
      </w:pPr>
      <w:r w:rsidRPr="006C7AD2">
        <w:rPr>
          <w:rFonts w:ascii="Calibri" w:eastAsia="Calibri" w:hAnsi="Calibri" w:cs="Calibri"/>
          <w:b/>
          <w:sz w:val="20"/>
          <w:szCs w:val="20"/>
        </w:rPr>
        <w:t>ALTERNATIVE REPORT SUBMITTED IN THE FRAMEWORK OF THE</w:t>
      </w:r>
    </w:p>
    <w:p w14:paraId="5AD2605B" w14:textId="77777777" w:rsidR="00587E12" w:rsidRPr="006C7AD2" w:rsidRDefault="00000000" w:rsidP="009B7B73">
      <w:pPr>
        <w:jc w:val="center"/>
        <w:rPr>
          <w:rFonts w:ascii="Calibri" w:eastAsia="Calibri" w:hAnsi="Calibri" w:cs="Calibri"/>
          <w:b/>
          <w:sz w:val="20"/>
          <w:szCs w:val="20"/>
        </w:rPr>
      </w:pPr>
      <w:r w:rsidRPr="006C7AD2">
        <w:rPr>
          <w:rFonts w:ascii="Calibri" w:eastAsia="Calibri" w:hAnsi="Calibri" w:cs="Calibri"/>
          <w:b/>
          <w:sz w:val="20"/>
          <w:szCs w:val="20"/>
        </w:rPr>
        <w:t>FIFTH REVIEW OF THE COVENANT ON CIVIL AND POLITICAL RIGHTS</w:t>
      </w:r>
    </w:p>
    <w:p w14:paraId="53C75ACC" w14:textId="77777777" w:rsidR="00587E12" w:rsidRPr="006C7AD2" w:rsidRDefault="00587E12">
      <w:pPr>
        <w:spacing w:before="240" w:after="240"/>
        <w:jc w:val="center"/>
        <w:rPr>
          <w:rFonts w:ascii="Calibri" w:eastAsia="Calibri" w:hAnsi="Calibri" w:cs="Calibri"/>
          <w:b/>
          <w:sz w:val="20"/>
          <w:szCs w:val="20"/>
        </w:rPr>
      </w:pPr>
    </w:p>
    <w:p w14:paraId="21F338DA" w14:textId="77777777" w:rsidR="00587E12" w:rsidRPr="006C7AD2" w:rsidRDefault="00587E12">
      <w:pPr>
        <w:spacing w:before="240" w:after="240"/>
        <w:jc w:val="center"/>
        <w:rPr>
          <w:rFonts w:ascii="Calibri" w:eastAsia="Calibri" w:hAnsi="Calibri" w:cs="Calibri"/>
          <w:b/>
          <w:sz w:val="20"/>
          <w:szCs w:val="20"/>
        </w:rPr>
      </w:pPr>
    </w:p>
    <w:p w14:paraId="22A02224" w14:textId="4F6B65D9" w:rsidR="00587E12" w:rsidRPr="006C7AD2" w:rsidRDefault="00587E12" w:rsidP="00756F98">
      <w:pPr>
        <w:spacing w:before="240" w:after="240"/>
        <w:jc w:val="center"/>
        <w:rPr>
          <w:rFonts w:ascii="Calibri" w:eastAsia="Calibri" w:hAnsi="Calibri" w:cs="Calibri"/>
          <w:b/>
          <w:sz w:val="24"/>
          <w:szCs w:val="24"/>
        </w:rPr>
      </w:pPr>
    </w:p>
    <w:p w14:paraId="744A8C8D" w14:textId="77777777" w:rsidR="00587E12" w:rsidRPr="006C7AD2" w:rsidRDefault="00000000" w:rsidP="009B7B73">
      <w:pPr>
        <w:spacing w:line="240" w:lineRule="auto"/>
        <w:jc w:val="center"/>
        <w:rPr>
          <w:rFonts w:ascii="Calibri" w:eastAsia="Calibri" w:hAnsi="Calibri" w:cs="Calibri"/>
          <w:b/>
          <w:sz w:val="24"/>
          <w:szCs w:val="24"/>
        </w:rPr>
      </w:pPr>
      <w:r w:rsidRPr="006C7AD2">
        <w:rPr>
          <w:rFonts w:ascii="Calibri" w:eastAsia="Calibri" w:hAnsi="Calibri" w:cs="Calibri"/>
          <w:b/>
          <w:sz w:val="24"/>
          <w:szCs w:val="24"/>
        </w:rPr>
        <w:t xml:space="preserve">VENEZUELA: THE RIGHT TO INFORM AND TO BE INFORMED </w:t>
      </w:r>
    </w:p>
    <w:p w14:paraId="6AFEF661" w14:textId="77777777" w:rsidR="00587E12" w:rsidRPr="006C7AD2" w:rsidRDefault="00000000" w:rsidP="009B7B73">
      <w:pPr>
        <w:spacing w:line="240" w:lineRule="auto"/>
        <w:jc w:val="center"/>
        <w:rPr>
          <w:rFonts w:ascii="Calibri" w:eastAsia="Calibri" w:hAnsi="Calibri" w:cs="Calibri"/>
          <w:b/>
          <w:sz w:val="24"/>
          <w:szCs w:val="24"/>
        </w:rPr>
      </w:pPr>
      <w:r w:rsidRPr="006C7AD2">
        <w:rPr>
          <w:rFonts w:ascii="Calibri" w:eastAsia="Calibri" w:hAnsi="Calibri" w:cs="Calibri"/>
          <w:b/>
          <w:sz w:val="24"/>
          <w:szCs w:val="24"/>
        </w:rPr>
        <w:t>From communicational hegemony to the construction of a single state narrative</w:t>
      </w:r>
    </w:p>
    <w:p w14:paraId="523EDC80" w14:textId="77777777" w:rsidR="00587E12" w:rsidRPr="006C7AD2" w:rsidRDefault="00000000" w:rsidP="009B7B73">
      <w:pPr>
        <w:spacing w:line="240" w:lineRule="auto"/>
        <w:jc w:val="center"/>
        <w:rPr>
          <w:rFonts w:ascii="Calibri" w:eastAsia="Calibri" w:hAnsi="Calibri" w:cs="Calibri"/>
          <w:b/>
          <w:sz w:val="24"/>
          <w:szCs w:val="24"/>
        </w:rPr>
      </w:pPr>
      <w:r w:rsidRPr="006C7AD2">
        <w:rPr>
          <w:rFonts w:ascii="Calibri" w:eastAsia="Calibri" w:hAnsi="Calibri" w:cs="Calibri"/>
          <w:b/>
          <w:sz w:val="24"/>
          <w:szCs w:val="24"/>
        </w:rPr>
        <w:t>2015-2023</w:t>
      </w:r>
    </w:p>
    <w:p w14:paraId="58402D6E" w14:textId="340502B4" w:rsidR="00587E12" w:rsidRPr="006C7AD2" w:rsidRDefault="00756F98" w:rsidP="009B7B73">
      <w:pPr>
        <w:spacing w:before="240" w:after="240"/>
        <w:jc w:val="center"/>
        <w:rPr>
          <w:rFonts w:ascii="Calibri" w:eastAsia="Calibri" w:hAnsi="Calibri" w:cs="Calibri"/>
          <w:b/>
          <w:sz w:val="24"/>
          <w:szCs w:val="24"/>
        </w:rPr>
      </w:pPr>
      <w:r w:rsidRPr="006C7AD2">
        <w:rPr>
          <w:b/>
          <w:noProof/>
        </w:rPr>
        <w:drawing>
          <wp:anchor distT="0" distB="0" distL="114300" distR="114300" simplePos="0" relativeHeight="251659264" behindDoc="0" locked="0" layoutInCell="1" allowOverlap="1" wp14:anchorId="785FBB52" wp14:editId="767D9D74">
            <wp:simplePos x="0" y="0"/>
            <wp:positionH relativeFrom="column">
              <wp:posOffset>2428875</wp:posOffset>
            </wp:positionH>
            <wp:positionV relativeFrom="paragraph">
              <wp:posOffset>259080</wp:posOffset>
            </wp:positionV>
            <wp:extent cx="932815" cy="942975"/>
            <wp:effectExtent l="0" t="0" r="635" b="9525"/>
            <wp:wrapThrough wrapText="bothSides">
              <wp:wrapPolygon edited="0">
                <wp:start x="0" y="0"/>
                <wp:lineTo x="0" y="21382"/>
                <wp:lineTo x="21174" y="21382"/>
                <wp:lineTo x="21174" y="0"/>
                <wp:lineTo x="0" y="0"/>
              </wp:wrapPolygon>
            </wp:wrapThrough>
            <wp:docPr id="648039983" name="Picture 648039983" descr="A group of purple circles with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890234" name="Picture 4" descr="A group of purple circles with letters&#10;&#10;Description automatically generated"/>
                    <pic:cNvPicPr/>
                  </pic:nvPicPr>
                  <pic:blipFill rotWithShape="1">
                    <a:blip r:embed="rId8" cstate="print">
                      <a:extLst>
                        <a:ext uri="{28A0092B-C50C-407E-A947-70E740481C1C}">
                          <a14:useLocalDpi xmlns:a14="http://schemas.microsoft.com/office/drawing/2010/main" val="0"/>
                        </a:ext>
                      </a:extLst>
                    </a:blip>
                    <a:srcRect l="65228" t="19630" r="2984" b="23265"/>
                    <a:stretch/>
                  </pic:blipFill>
                  <pic:spPr bwMode="auto">
                    <a:xfrm>
                      <a:off x="0" y="0"/>
                      <a:ext cx="932815" cy="942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C7AD2">
        <w:rPr>
          <w:rFonts w:ascii="Calibri" w:eastAsia="Calibri" w:hAnsi="Calibri" w:cs="Calibri"/>
          <w:b/>
          <w:sz w:val="24"/>
          <w:szCs w:val="24"/>
        </w:rPr>
        <w:t xml:space="preserve"> </w:t>
      </w:r>
    </w:p>
    <w:p w14:paraId="32337611" w14:textId="3A3C3D36" w:rsidR="009B7B73" w:rsidRPr="006C7AD2" w:rsidRDefault="009B7B73">
      <w:pPr>
        <w:spacing w:before="240" w:after="240"/>
        <w:jc w:val="center"/>
        <w:rPr>
          <w:rFonts w:ascii="Calibri" w:eastAsia="Calibri" w:hAnsi="Calibri" w:cs="Calibri"/>
          <w:b/>
          <w:sz w:val="24"/>
          <w:szCs w:val="24"/>
        </w:rPr>
      </w:pPr>
    </w:p>
    <w:p w14:paraId="295DD580" w14:textId="77777777" w:rsidR="009B7B73" w:rsidRPr="006C7AD2" w:rsidRDefault="009B7B73">
      <w:pPr>
        <w:spacing w:before="240" w:after="240"/>
        <w:jc w:val="center"/>
        <w:rPr>
          <w:rFonts w:ascii="Calibri" w:eastAsia="Calibri" w:hAnsi="Calibri" w:cs="Calibri"/>
          <w:b/>
          <w:sz w:val="24"/>
          <w:szCs w:val="24"/>
        </w:rPr>
      </w:pPr>
    </w:p>
    <w:p w14:paraId="60675C78" w14:textId="5E6F57CD" w:rsidR="009B7B73" w:rsidRPr="006C7AD2" w:rsidRDefault="00756F98">
      <w:pPr>
        <w:spacing w:before="240" w:after="240"/>
        <w:jc w:val="center"/>
        <w:rPr>
          <w:rFonts w:ascii="Calibri" w:eastAsia="Calibri" w:hAnsi="Calibri" w:cs="Calibri"/>
          <w:b/>
          <w:sz w:val="24"/>
          <w:szCs w:val="24"/>
        </w:rPr>
      </w:pPr>
      <w:r>
        <w:rPr>
          <w:noProof/>
        </w:rPr>
        <w:drawing>
          <wp:anchor distT="114300" distB="114300" distL="114300" distR="114300" simplePos="0" relativeHeight="251661312" behindDoc="0" locked="0" layoutInCell="1" hidden="0" allowOverlap="1" wp14:anchorId="4A96E08E" wp14:editId="1B86FFB8">
            <wp:simplePos x="0" y="0"/>
            <wp:positionH relativeFrom="column">
              <wp:posOffset>4410075</wp:posOffset>
            </wp:positionH>
            <wp:positionV relativeFrom="paragraph">
              <wp:posOffset>113665</wp:posOffset>
            </wp:positionV>
            <wp:extent cx="1295400" cy="695325"/>
            <wp:effectExtent l="0" t="0" r="0" b="9525"/>
            <wp:wrapNone/>
            <wp:docPr id="2" name="image4.png" descr="A logo with a group of people&#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4.png" descr="A logo with a group of people&#10;&#10;Description automatically generated"/>
                    <pic:cNvPicPr preferRelativeResize="0"/>
                  </pic:nvPicPr>
                  <pic:blipFill>
                    <a:blip r:embed="rId9"/>
                    <a:srcRect/>
                    <a:stretch>
                      <a:fillRect/>
                    </a:stretch>
                  </pic:blipFill>
                  <pic:spPr>
                    <a:xfrm>
                      <a:off x="0" y="0"/>
                      <a:ext cx="1295400" cy="695325"/>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114300" distB="114300" distL="114300" distR="114300" simplePos="0" relativeHeight="251662336" behindDoc="0" locked="0" layoutInCell="1" hidden="0" allowOverlap="1" wp14:anchorId="1E7A8304" wp14:editId="0202D4BC">
            <wp:simplePos x="0" y="0"/>
            <wp:positionH relativeFrom="column">
              <wp:posOffset>2009774</wp:posOffset>
            </wp:positionH>
            <wp:positionV relativeFrom="paragraph">
              <wp:posOffset>151765</wp:posOffset>
            </wp:positionV>
            <wp:extent cx="1767205" cy="657225"/>
            <wp:effectExtent l="0" t="0" r="4445" b="9525"/>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767205" cy="657225"/>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114300" distB="114300" distL="114300" distR="114300" simplePos="0" relativeHeight="251663360" behindDoc="0" locked="0" layoutInCell="1" hidden="0" allowOverlap="1" wp14:anchorId="062F3365" wp14:editId="47D774DF">
            <wp:simplePos x="0" y="0"/>
            <wp:positionH relativeFrom="column">
              <wp:posOffset>257174</wp:posOffset>
            </wp:positionH>
            <wp:positionV relativeFrom="paragraph">
              <wp:posOffset>151765</wp:posOffset>
            </wp:positionV>
            <wp:extent cx="818161" cy="581025"/>
            <wp:effectExtent l="0" t="0" r="1270" b="0"/>
            <wp:wrapNone/>
            <wp:docPr id="1" name="image2.png" descr="A logo with a bird on i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2.png" descr="A logo with a bird on it&#10;&#10;Description automatically generated"/>
                    <pic:cNvPicPr preferRelativeResize="0"/>
                  </pic:nvPicPr>
                  <pic:blipFill>
                    <a:blip r:embed="rId11"/>
                    <a:srcRect/>
                    <a:stretch>
                      <a:fillRect/>
                    </a:stretch>
                  </pic:blipFill>
                  <pic:spPr>
                    <a:xfrm>
                      <a:off x="0" y="0"/>
                      <a:ext cx="823289" cy="584667"/>
                    </a:xfrm>
                    <a:prstGeom prst="rect">
                      <a:avLst/>
                    </a:prstGeom>
                    <a:ln/>
                  </pic:spPr>
                </pic:pic>
              </a:graphicData>
            </a:graphic>
            <wp14:sizeRelH relativeFrom="margin">
              <wp14:pctWidth>0</wp14:pctWidth>
            </wp14:sizeRelH>
            <wp14:sizeRelV relativeFrom="margin">
              <wp14:pctHeight>0</wp14:pctHeight>
            </wp14:sizeRelV>
          </wp:anchor>
        </w:drawing>
      </w:r>
    </w:p>
    <w:p w14:paraId="39EE6353" w14:textId="77777777" w:rsidR="00756F98" w:rsidRDefault="00756F98">
      <w:pPr>
        <w:spacing w:before="240" w:after="240"/>
        <w:jc w:val="center"/>
        <w:rPr>
          <w:rFonts w:ascii="Calibri" w:eastAsia="Calibri" w:hAnsi="Calibri" w:cs="Calibri"/>
          <w:b/>
          <w:sz w:val="24"/>
          <w:szCs w:val="24"/>
        </w:rPr>
      </w:pPr>
    </w:p>
    <w:p w14:paraId="311BB518" w14:textId="662F26BF" w:rsidR="00587E12" w:rsidRPr="006C7AD2" w:rsidRDefault="00000000">
      <w:pPr>
        <w:spacing w:before="240" w:after="240"/>
        <w:jc w:val="center"/>
        <w:rPr>
          <w:rFonts w:ascii="Calibri" w:eastAsia="Calibri" w:hAnsi="Calibri" w:cs="Calibri"/>
          <w:b/>
          <w:sz w:val="24"/>
          <w:szCs w:val="24"/>
        </w:rPr>
      </w:pPr>
      <w:r w:rsidRPr="006C7AD2">
        <w:rPr>
          <w:rFonts w:ascii="Calibri" w:eastAsia="Calibri" w:hAnsi="Calibri" w:cs="Calibri"/>
          <w:b/>
          <w:sz w:val="24"/>
          <w:szCs w:val="24"/>
        </w:rPr>
        <w:t xml:space="preserve"> </w:t>
      </w:r>
    </w:p>
    <w:p w14:paraId="456C2460" w14:textId="77777777" w:rsidR="00756F98" w:rsidRDefault="00756F98" w:rsidP="00756F98">
      <w:pPr>
        <w:spacing w:before="240" w:after="240"/>
        <w:jc w:val="center"/>
        <w:rPr>
          <w:rFonts w:ascii="Calibri" w:eastAsia="Calibri" w:hAnsi="Calibri" w:cs="Calibri"/>
          <w:b/>
          <w:sz w:val="20"/>
          <w:szCs w:val="20"/>
        </w:rPr>
      </w:pPr>
      <w:r>
        <w:rPr>
          <w:rFonts w:ascii="Calibri" w:eastAsia="Calibri" w:hAnsi="Calibri" w:cs="Calibri"/>
          <w:b/>
          <w:sz w:val="20"/>
          <w:szCs w:val="20"/>
        </w:rPr>
        <w:t xml:space="preserve">Presented by the Electoral Citizen Network (Red Electoral Ciudadana): initiative that unites civil society organizations and citizens to articulate actions aimed to strengthen the civil and political rights of Venezuelans, based on international human rights standards and the obligations of the State established in the Constitution of the Bolivarian Republic of Venezuela. </w:t>
      </w:r>
    </w:p>
    <w:p w14:paraId="60BC51FC" w14:textId="77777777" w:rsidR="00756F98" w:rsidRDefault="00756F98" w:rsidP="00756F98">
      <w:pPr>
        <w:spacing w:before="240" w:after="240"/>
        <w:jc w:val="center"/>
        <w:rPr>
          <w:rFonts w:ascii="Calibri" w:eastAsia="Calibri" w:hAnsi="Calibri" w:cs="Calibri"/>
          <w:b/>
          <w:sz w:val="20"/>
          <w:szCs w:val="20"/>
        </w:rPr>
      </w:pPr>
      <w:r>
        <w:rPr>
          <w:rFonts w:ascii="Calibri" w:eastAsia="Calibri" w:hAnsi="Calibri" w:cs="Calibri"/>
          <w:b/>
          <w:sz w:val="20"/>
          <w:szCs w:val="20"/>
        </w:rPr>
        <w:t>in alliance with the Communication Research Institute ININCO UCV and the Observatory of Political Communication and Disinformation.</w:t>
      </w:r>
    </w:p>
    <w:p w14:paraId="463F48EE" w14:textId="3E3C5F7C" w:rsidR="00587E12" w:rsidRPr="006C7AD2" w:rsidRDefault="009B7B73" w:rsidP="009B7B73">
      <w:pPr>
        <w:spacing w:before="240" w:after="240"/>
        <w:jc w:val="center"/>
        <w:rPr>
          <w:rFonts w:ascii="Calibri" w:eastAsia="Calibri" w:hAnsi="Calibri" w:cs="Calibri"/>
          <w:b/>
          <w:sz w:val="20"/>
          <w:szCs w:val="20"/>
          <w:u w:val="single"/>
        </w:rPr>
      </w:pPr>
      <w:r w:rsidRPr="006C7AD2">
        <w:rPr>
          <w:rFonts w:ascii="Calibri" w:eastAsia="Calibri" w:hAnsi="Calibri" w:cs="Calibri"/>
          <w:b/>
          <w:sz w:val="20"/>
          <w:szCs w:val="20"/>
          <w:u w:val="single"/>
        </w:rPr>
        <w:t xml:space="preserve">Approved to be </w:t>
      </w:r>
      <w:proofErr w:type="gramStart"/>
      <w:r w:rsidRPr="006C7AD2">
        <w:rPr>
          <w:rFonts w:ascii="Calibri" w:eastAsia="Calibri" w:hAnsi="Calibri" w:cs="Calibri"/>
          <w:b/>
          <w:sz w:val="20"/>
          <w:szCs w:val="20"/>
          <w:u w:val="single"/>
        </w:rPr>
        <w:t>published</w:t>
      </w:r>
      <w:proofErr w:type="gramEnd"/>
    </w:p>
    <w:p w14:paraId="04DDB73F" w14:textId="77777777" w:rsidR="00587E12" w:rsidRPr="006C7AD2" w:rsidRDefault="00000000">
      <w:pPr>
        <w:spacing w:before="240" w:after="240"/>
        <w:rPr>
          <w:rFonts w:ascii="Calibri" w:eastAsia="Calibri" w:hAnsi="Calibri" w:cs="Calibri"/>
          <w:b/>
          <w:sz w:val="20"/>
          <w:szCs w:val="20"/>
        </w:rPr>
      </w:pPr>
      <w:r w:rsidRPr="006C7AD2">
        <w:rPr>
          <w:rFonts w:ascii="Calibri" w:eastAsia="Calibri" w:hAnsi="Calibri" w:cs="Calibri"/>
          <w:b/>
          <w:sz w:val="20"/>
          <w:szCs w:val="20"/>
        </w:rPr>
        <w:t xml:space="preserve"> </w:t>
      </w:r>
    </w:p>
    <w:p w14:paraId="48CB9326" w14:textId="77777777" w:rsidR="00587E12" w:rsidRPr="006C7AD2" w:rsidRDefault="00000000">
      <w:pPr>
        <w:spacing w:before="240" w:after="240"/>
        <w:rPr>
          <w:rFonts w:ascii="Calibri" w:eastAsia="Calibri" w:hAnsi="Calibri" w:cs="Calibri"/>
          <w:b/>
          <w:sz w:val="24"/>
          <w:szCs w:val="24"/>
        </w:rPr>
      </w:pPr>
      <w:r w:rsidRPr="006C7AD2">
        <w:rPr>
          <w:rFonts w:ascii="Calibri" w:eastAsia="Calibri" w:hAnsi="Calibri" w:cs="Calibri"/>
          <w:b/>
          <w:sz w:val="24"/>
          <w:szCs w:val="24"/>
        </w:rPr>
        <w:t xml:space="preserve"> </w:t>
      </w:r>
    </w:p>
    <w:p w14:paraId="7BA9341F" w14:textId="77777777" w:rsidR="00756F98" w:rsidRPr="006C7AD2" w:rsidRDefault="00756F98">
      <w:pPr>
        <w:spacing w:before="240" w:after="240"/>
        <w:rPr>
          <w:rFonts w:ascii="Calibri" w:eastAsia="Calibri" w:hAnsi="Calibri" w:cs="Calibri"/>
          <w:b/>
          <w:sz w:val="24"/>
          <w:szCs w:val="24"/>
        </w:rPr>
      </w:pPr>
    </w:p>
    <w:p w14:paraId="52E9E9B7" w14:textId="77777777" w:rsidR="00587E12" w:rsidRPr="006C7AD2" w:rsidRDefault="00587E12">
      <w:pPr>
        <w:spacing w:before="240" w:after="240"/>
        <w:rPr>
          <w:rFonts w:ascii="Calibri" w:eastAsia="Calibri" w:hAnsi="Calibri" w:cs="Calibri"/>
          <w:b/>
          <w:sz w:val="24"/>
          <w:szCs w:val="24"/>
        </w:rPr>
      </w:pPr>
    </w:p>
    <w:p w14:paraId="72B7EF5D" w14:textId="77777777" w:rsidR="00587E12" w:rsidRPr="006C7AD2" w:rsidRDefault="00000000">
      <w:pPr>
        <w:spacing w:before="240" w:after="240"/>
        <w:jc w:val="center"/>
        <w:rPr>
          <w:rFonts w:ascii="Calibri" w:eastAsia="Calibri" w:hAnsi="Calibri" w:cs="Calibri"/>
          <w:b/>
          <w:sz w:val="24"/>
          <w:szCs w:val="24"/>
        </w:rPr>
      </w:pPr>
      <w:r w:rsidRPr="006C7AD2">
        <w:rPr>
          <w:rFonts w:ascii="Calibri" w:eastAsia="Calibri" w:hAnsi="Calibri" w:cs="Calibri"/>
          <w:b/>
          <w:sz w:val="24"/>
          <w:szCs w:val="24"/>
        </w:rPr>
        <w:t>Caracas, Venezuela September 12, 2023</w:t>
      </w:r>
    </w:p>
    <w:p w14:paraId="0FCBAF39" w14:textId="4255C648" w:rsidR="00587E12" w:rsidRPr="006C7AD2" w:rsidRDefault="00587E12" w:rsidP="00756F98">
      <w:pPr>
        <w:spacing w:before="240" w:after="240"/>
        <w:rPr>
          <w:rFonts w:ascii="Calibri" w:eastAsia="Calibri" w:hAnsi="Calibri" w:cs="Calibri"/>
          <w:b/>
          <w:sz w:val="24"/>
          <w:szCs w:val="24"/>
        </w:rPr>
      </w:pPr>
    </w:p>
    <w:p w14:paraId="6B635543" w14:textId="11E76AF4" w:rsidR="00587E12" w:rsidRPr="006C7AD2" w:rsidRDefault="00000000" w:rsidP="006C7AD2">
      <w:pPr>
        <w:spacing w:before="240" w:line="240" w:lineRule="auto"/>
        <w:jc w:val="center"/>
        <w:rPr>
          <w:rFonts w:ascii="Calibri" w:eastAsia="Calibri" w:hAnsi="Calibri" w:cs="Calibri"/>
          <w:b/>
          <w:sz w:val="24"/>
          <w:szCs w:val="24"/>
        </w:rPr>
      </w:pPr>
      <w:r w:rsidRPr="006C7AD2">
        <w:rPr>
          <w:rFonts w:ascii="Calibri" w:eastAsia="Calibri" w:hAnsi="Calibri" w:cs="Calibri"/>
          <w:b/>
          <w:sz w:val="24"/>
          <w:szCs w:val="24"/>
        </w:rPr>
        <w:lastRenderedPageBreak/>
        <w:t>VENEZUELA: THE RIGHT TO INFORM AND TO BE INFORMED</w:t>
      </w:r>
    </w:p>
    <w:p w14:paraId="5CCADF67" w14:textId="77777777" w:rsidR="00587E12" w:rsidRPr="006C7AD2" w:rsidRDefault="00000000" w:rsidP="006C7AD2">
      <w:pPr>
        <w:spacing w:before="240" w:line="240" w:lineRule="auto"/>
        <w:jc w:val="center"/>
        <w:rPr>
          <w:rFonts w:ascii="Calibri" w:eastAsia="Calibri" w:hAnsi="Calibri" w:cs="Calibri"/>
          <w:b/>
          <w:sz w:val="24"/>
          <w:szCs w:val="24"/>
        </w:rPr>
      </w:pPr>
      <w:r w:rsidRPr="006C7AD2">
        <w:rPr>
          <w:rFonts w:ascii="Calibri" w:eastAsia="Calibri" w:hAnsi="Calibri" w:cs="Calibri"/>
          <w:b/>
          <w:sz w:val="24"/>
          <w:szCs w:val="24"/>
        </w:rPr>
        <w:t>From communicational hegemony to the construction of a single state narrative</w:t>
      </w:r>
    </w:p>
    <w:p w14:paraId="6DE95A31" w14:textId="77777777" w:rsidR="00587E12" w:rsidRPr="006C7AD2" w:rsidRDefault="00000000" w:rsidP="006C7AD2">
      <w:pPr>
        <w:spacing w:before="240" w:line="240" w:lineRule="auto"/>
        <w:jc w:val="center"/>
        <w:rPr>
          <w:rFonts w:ascii="Calibri" w:eastAsia="Calibri" w:hAnsi="Calibri" w:cs="Calibri"/>
          <w:b/>
          <w:sz w:val="24"/>
          <w:szCs w:val="24"/>
        </w:rPr>
      </w:pPr>
      <w:r w:rsidRPr="006C7AD2">
        <w:rPr>
          <w:rFonts w:ascii="Calibri" w:eastAsia="Calibri" w:hAnsi="Calibri" w:cs="Calibri"/>
          <w:b/>
          <w:sz w:val="24"/>
          <w:szCs w:val="24"/>
        </w:rPr>
        <w:t>2015-2023</w:t>
      </w:r>
    </w:p>
    <w:p w14:paraId="6DB83954" w14:textId="77777777" w:rsidR="009B7B73" w:rsidRPr="006C7AD2" w:rsidRDefault="009B7B73" w:rsidP="009B7B73">
      <w:pPr>
        <w:spacing w:before="240" w:after="240" w:line="240" w:lineRule="auto"/>
        <w:jc w:val="center"/>
        <w:rPr>
          <w:rFonts w:ascii="Calibri" w:eastAsia="Calibri" w:hAnsi="Calibri" w:cs="Calibri"/>
          <w:b/>
          <w:sz w:val="24"/>
          <w:szCs w:val="24"/>
        </w:rPr>
      </w:pPr>
    </w:p>
    <w:p w14:paraId="2C35F998" w14:textId="77777777" w:rsidR="00587E12" w:rsidRPr="006C7AD2" w:rsidRDefault="00000000" w:rsidP="006C7AD2">
      <w:pPr>
        <w:spacing w:before="240" w:after="240"/>
        <w:ind w:left="450"/>
        <w:jc w:val="both"/>
        <w:rPr>
          <w:rFonts w:ascii="Calibri" w:eastAsia="Calibri" w:hAnsi="Calibri" w:cs="Calibri"/>
          <w:highlight w:val="white"/>
        </w:rPr>
      </w:pPr>
      <w:r w:rsidRPr="006C7AD2">
        <w:rPr>
          <w:rFonts w:ascii="Calibri" w:eastAsia="Calibri" w:hAnsi="Calibri" w:cs="Calibri"/>
          <w:b/>
        </w:rPr>
        <w:t>I.                 Introduction, context and methodology</w:t>
      </w:r>
    </w:p>
    <w:p w14:paraId="2DB5165C" w14:textId="77777777" w:rsidR="00587E12" w:rsidRPr="006C7AD2" w:rsidRDefault="00000000" w:rsidP="006C7AD2">
      <w:pPr>
        <w:numPr>
          <w:ilvl w:val="0"/>
          <w:numId w:val="13"/>
        </w:numPr>
        <w:spacing w:before="240" w:after="240"/>
        <w:rPr>
          <w:rFonts w:ascii="Calibri" w:eastAsia="Calibri" w:hAnsi="Calibri" w:cs="Calibri"/>
          <w:highlight w:val="white"/>
        </w:rPr>
      </w:pPr>
      <w:r w:rsidRPr="006C7AD2">
        <w:rPr>
          <w:rFonts w:ascii="Calibri" w:eastAsia="Calibri" w:hAnsi="Calibri" w:cs="Calibri"/>
          <w:highlight w:val="white"/>
        </w:rPr>
        <w:t>With the aim of presenting an updated perspective on the state of communications in Venezuela, the alliance comprising the Institute of Communication Research (ININCO) at the Central University of Venezuela (UCV), the Global Observatory of Communication and Democracy (OGCD), the Observatory of Political Communication and Disinformation (Observe), and the Citizen Electoral Network (REC) has compiled a report on setbacks and violations of the right to seek, receive, and impart information. This right is enshrined in Article 19 of the International Covenant on Civil and Political Rights, which, in its second paragraph, affirms that "Everyone shall have the right to freedom of expression. This right shall include freedom to seek, receive, and impart information and ideas of all kinds, regardless of frontiers, whether orally, in writing, or in print, in the form of art, or through any other media of their choice."</w:t>
      </w:r>
    </w:p>
    <w:p w14:paraId="17278E9B" w14:textId="77777777" w:rsidR="00587E12" w:rsidRPr="006C7AD2" w:rsidRDefault="00000000" w:rsidP="006C7AD2">
      <w:pPr>
        <w:numPr>
          <w:ilvl w:val="0"/>
          <w:numId w:val="13"/>
        </w:numPr>
        <w:spacing w:after="240"/>
        <w:rPr>
          <w:rFonts w:ascii="Calibri" w:eastAsia="Calibri" w:hAnsi="Calibri" w:cs="Calibri"/>
          <w:highlight w:val="white"/>
        </w:rPr>
      </w:pPr>
      <w:r w:rsidRPr="006C7AD2">
        <w:rPr>
          <w:rFonts w:ascii="Calibri" w:eastAsia="Calibri" w:hAnsi="Calibri" w:cs="Calibri"/>
          <w:highlight w:val="white"/>
        </w:rPr>
        <w:t>While it is undeniable that the curtailment of fundamental rights related to freedom of expression and free access to information has been ongoing in Venezuela since the inauguration of Hugo Chávez's government in 1999, the prohibitions and restrictions imposed during the presidency of Nicolás Maduro (2013-2023) over the past decade have further eroded the foundations of freedom of information, journalistic activity, and freedom of expression in Venezuela.</w:t>
      </w:r>
    </w:p>
    <w:p w14:paraId="63969936" w14:textId="77777777" w:rsidR="00587E12" w:rsidRPr="006C7AD2" w:rsidRDefault="00000000" w:rsidP="006C7AD2">
      <w:pPr>
        <w:numPr>
          <w:ilvl w:val="0"/>
          <w:numId w:val="13"/>
        </w:numPr>
        <w:spacing w:after="240"/>
        <w:rPr>
          <w:rFonts w:ascii="Calibri" w:eastAsia="Calibri" w:hAnsi="Calibri" w:cs="Calibri"/>
          <w:highlight w:val="white"/>
        </w:rPr>
      </w:pPr>
      <w:r w:rsidRPr="006C7AD2">
        <w:rPr>
          <w:rFonts w:ascii="Calibri" w:eastAsia="Calibri" w:hAnsi="Calibri" w:cs="Calibri"/>
          <w:highlight w:val="white"/>
        </w:rPr>
        <w:t>This report provides an account of the actions taken in this context, with a specific focus on the period spanning from 2015 to 2023. To achieve this, the alliance reviewed thematic reports, policy papers, qualitative research reports, and data reports related to the communications sector in Venezuela, all prepared by the organizations and institutes comprising the alliance.</w:t>
      </w:r>
    </w:p>
    <w:p w14:paraId="2380A2B5" w14:textId="77777777" w:rsidR="00587E12" w:rsidRDefault="00000000" w:rsidP="006C7AD2">
      <w:pPr>
        <w:numPr>
          <w:ilvl w:val="0"/>
          <w:numId w:val="13"/>
        </w:numPr>
        <w:spacing w:after="240"/>
        <w:rPr>
          <w:rFonts w:ascii="Calibri" w:eastAsia="Calibri" w:hAnsi="Calibri" w:cs="Calibri"/>
          <w:highlight w:val="white"/>
        </w:rPr>
      </w:pPr>
      <w:r w:rsidRPr="006C7AD2">
        <w:rPr>
          <w:rFonts w:ascii="Calibri" w:eastAsia="Calibri" w:hAnsi="Calibri" w:cs="Calibri"/>
          <w:highlight w:val="white"/>
        </w:rPr>
        <w:t>Additionally, this report analyzed the laws, regulations, and norms governing the field of communication established by the Venezuelan government. This included a scrutiny of presidential decrees and communication strategies outlined in the nation's official plans. Furthermore, the report drew upon the findings presented in the reports submitted by the Venezuelan State as part of the Universal Periodic Review (UPR) process in 2021.</w:t>
      </w:r>
    </w:p>
    <w:p w14:paraId="4C9432F3" w14:textId="77777777" w:rsidR="00DC64FF" w:rsidRPr="006C7AD2" w:rsidRDefault="00DC64FF" w:rsidP="00DC64FF">
      <w:pPr>
        <w:spacing w:after="240"/>
        <w:ind w:left="720"/>
        <w:rPr>
          <w:rFonts w:ascii="Calibri" w:eastAsia="Calibri" w:hAnsi="Calibri" w:cs="Calibri"/>
          <w:highlight w:val="white"/>
        </w:rPr>
      </w:pPr>
    </w:p>
    <w:p w14:paraId="18EEB76C" w14:textId="77777777" w:rsidR="00587E12" w:rsidRPr="006C7AD2" w:rsidRDefault="00000000" w:rsidP="006C7AD2">
      <w:pPr>
        <w:spacing w:before="240" w:after="240"/>
        <w:ind w:left="360"/>
        <w:rPr>
          <w:rFonts w:ascii="Calibri" w:eastAsia="Calibri" w:hAnsi="Calibri" w:cs="Calibri"/>
          <w:b/>
        </w:rPr>
      </w:pPr>
      <w:r w:rsidRPr="006C7AD2">
        <w:rPr>
          <w:rFonts w:ascii="Calibri" w:eastAsia="Calibri" w:hAnsi="Calibri" w:cs="Calibri"/>
          <w:b/>
        </w:rPr>
        <w:t>II.               The state structure for communications in Venezuela</w:t>
      </w:r>
    </w:p>
    <w:p w14:paraId="18FF7085" w14:textId="79A49F6D" w:rsidR="00587E12" w:rsidRPr="006C7AD2" w:rsidRDefault="00000000" w:rsidP="006C7AD2">
      <w:pPr>
        <w:numPr>
          <w:ilvl w:val="0"/>
          <w:numId w:val="5"/>
        </w:numPr>
        <w:spacing w:before="240" w:after="240"/>
      </w:pPr>
      <w:r w:rsidRPr="006C7AD2">
        <w:rPr>
          <w:rFonts w:ascii="Calibri" w:eastAsia="Calibri" w:hAnsi="Calibri" w:cs="Calibri"/>
        </w:rPr>
        <w:t xml:space="preserve">The regulatory authority responsible for shaping communication policies in Venezuela is the Ministry of Popular Power for Communication and Information (MPPCI). Since 2000, the </w:t>
      </w:r>
      <w:r w:rsidRPr="006C7AD2">
        <w:rPr>
          <w:rFonts w:ascii="Calibri" w:eastAsia="Calibri" w:hAnsi="Calibri" w:cs="Calibri"/>
        </w:rPr>
        <w:lastRenderedPageBreak/>
        <w:t>National Telecommunications Commission (CONATEL) has functioned as the sector's technical body. CONATEL plays a pivotal role in overseeing the establishment and operation of telecommunications networks, as well as providing telecommunications services, which are deemed to be of public service and public interest</w:t>
      </w:r>
      <w:r w:rsidR="000A0349">
        <w:rPr>
          <w:rStyle w:val="EndnoteReference"/>
          <w:rFonts w:ascii="Calibri" w:eastAsia="Calibri" w:hAnsi="Calibri" w:cs="Calibri"/>
        </w:rPr>
        <w:endnoteReference w:id="1"/>
      </w:r>
      <w:r w:rsidRPr="006C7AD2">
        <w:rPr>
          <w:rFonts w:ascii="Calibri" w:eastAsia="Calibri" w:hAnsi="Calibri" w:cs="Calibri"/>
        </w:rPr>
        <w:t>.</w:t>
      </w:r>
    </w:p>
    <w:p w14:paraId="1A8C6055" w14:textId="77777777" w:rsidR="00587E12" w:rsidRPr="006C7AD2" w:rsidRDefault="00000000" w:rsidP="006C7AD2">
      <w:pPr>
        <w:numPr>
          <w:ilvl w:val="0"/>
          <w:numId w:val="5"/>
        </w:numPr>
        <w:spacing w:after="240"/>
      </w:pPr>
      <w:r w:rsidRPr="006C7AD2">
        <w:rPr>
          <w:rFonts w:ascii="Calibri" w:eastAsia="Calibri" w:hAnsi="Calibri" w:cs="Calibri"/>
        </w:rPr>
        <w:t>CONATEL holds the following responsibilities for the execution of its functions:</w:t>
      </w:r>
    </w:p>
    <w:p w14:paraId="16585155" w14:textId="77777777" w:rsidR="00587E12" w:rsidRPr="006C7AD2" w:rsidRDefault="00000000" w:rsidP="006C7AD2">
      <w:pPr>
        <w:spacing w:line="240" w:lineRule="auto"/>
        <w:ind w:left="720"/>
        <w:rPr>
          <w:rFonts w:ascii="Calibri" w:eastAsia="Calibri" w:hAnsi="Calibri" w:cs="Calibri"/>
        </w:rPr>
      </w:pPr>
      <w:r w:rsidRPr="006C7AD2">
        <w:rPr>
          <w:rFonts w:ascii="Calibri" w:eastAsia="Calibri" w:hAnsi="Calibri" w:cs="Calibri"/>
        </w:rPr>
        <w:t>a) Issuing "administrative authorizations" that serve as licenses for establishing or operating networks and delivering telecommunication services.</w:t>
      </w:r>
    </w:p>
    <w:p w14:paraId="5534E30C" w14:textId="77777777" w:rsidR="00587E12" w:rsidRPr="006C7AD2" w:rsidRDefault="00000000" w:rsidP="006C7AD2">
      <w:pPr>
        <w:spacing w:line="240" w:lineRule="auto"/>
        <w:ind w:left="720"/>
        <w:rPr>
          <w:rFonts w:ascii="Calibri" w:eastAsia="Calibri" w:hAnsi="Calibri" w:cs="Calibri"/>
        </w:rPr>
      </w:pPr>
      <w:r w:rsidRPr="006C7AD2">
        <w:rPr>
          <w:rFonts w:ascii="Calibri" w:eastAsia="Calibri" w:hAnsi="Calibri" w:cs="Calibri"/>
        </w:rPr>
        <w:t>b) Managing the "attributes," referring to the specific activities and services that can be offered under the protection of an authorization.</w:t>
      </w:r>
    </w:p>
    <w:p w14:paraId="68F733E6" w14:textId="77777777" w:rsidR="00587E12" w:rsidRPr="006C7AD2" w:rsidRDefault="00000000" w:rsidP="006C7AD2">
      <w:pPr>
        <w:spacing w:line="240" w:lineRule="auto"/>
        <w:ind w:left="720"/>
        <w:rPr>
          <w:rFonts w:ascii="Calibri" w:eastAsia="Calibri" w:hAnsi="Calibri" w:cs="Calibri"/>
        </w:rPr>
      </w:pPr>
      <w:r w:rsidRPr="006C7AD2">
        <w:rPr>
          <w:rFonts w:ascii="Calibri" w:eastAsia="Calibri" w:hAnsi="Calibri" w:cs="Calibri"/>
        </w:rPr>
        <w:t>c) Awarding "concessions" that grant or renew the rights for the use and exploitation of designated portions of the radio-electric spectrum for a limited duration.</w:t>
      </w:r>
    </w:p>
    <w:p w14:paraId="554EC472" w14:textId="49D339F5" w:rsidR="006C7AD2" w:rsidRPr="006C7AD2" w:rsidRDefault="00000000" w:rsidP="006C7AD2">
      <w:pPr>
        <w:spacing w:line="240" w:lineRule="auto"/>
        <w:ind w:left="720"/>
        <w:rPr>
          <w:rFonts w:ascii="Calibri" w:eastAsia="Calibri" w:hAnsi="Calibri" w:cs="Calibri"/>
        </w:rPr>
      </w:pPr>
      <w:r w:rsidRPr="006C7AD2">
        <w:rPr>
          <w:rFonts w:ascii="Calibri" w:eastAsia="Calibri" w:hAnsi="Calibri" w:cs="Calibri"/>
        </w:rPr>
        <w:t>d) Handling the "modification of authorizations or concessions."</w:t>
      </w:r>
    </w:p>
    <w:p w14:paraId="7DCD75C9" w14:textId="77777777" w:rsidR="00587E12" w:rsidRPr="006C7AD2" w:rsidRDefault="00000000" w:rsidP="006C7AD2">
      <w:pPr>
        <w:numPr>
          <w:ilvl w:val="0"/>
          <w:numId w:val="5"/>
        </w:numPr>
        <w:spacing w:before="240" w:after="240"/>
      </w:pPr>
      <w:r w:rsidRPr="006C7AD2">
        <w:rPr>
          <w:rFonts w:ascii="Calibri" w:eastAsia="Calibri" w:hAnsi="Calibri" w:cs="Calibri"/>
        </w:rPr>
        <w:t>On May 23, 2019, the Socialist Corporation of Telecommunications and Postal Services (</w:t>
      </w:r>
      <w:proofErr w:type="spellStart"/>
      <w:r w:rsidRPr="006C7AD2">
        <w:rPr>
          <w:rFonts w:ascii="Calibri" w:eastAsia="Calibri" w:hAnsi="Calibri" w:cs="Calibri"/>
        </w:rPr>
        <w:t>Corporación</w:t>
      </w:r>
      <w:proofErr w:type="spellEnd"/>
      <w:r w:rsidRPr="006C7AD2">
        <w:rPr>
          <w:rFonts w:ascii="Calibri" w:eastAsia="Calibri" w:hAnsi="Calibri" w:cs="Calibri"/>
        </w:rPr>
        <w:t xml:space="preserve"> </w:t>
      </w:r>
      <w:proofErr w:type="spellStart"/>
      <w:r w:rsidRPr="006C7AD2">
        <w:rPr>
          <w:rFonts w:ascii="Calibri" w:eastAsia="Calibri" w:hAnsi="Calibri" w:cs="Calibri"/>
        </w:rPr>
        <w:t>Socialista</w:t>
      </w:r>
      <w:proofErr w:type="spellEnd"/>
      <w:r w:rsidRPr="006C7AD2">
        <w:rPr>
          <w:rFonts w:ascii="Calibri" w:eastAsia="Calibri" w:hAnsi="Calibri" w:cs="Calibri"/>
        </w:rPr>
        <w:t xml:space="preserve"> de las Telecomunicaciones y Servicios Postales) was established through a presidential decree. This state-owned entity holds the status of a Joint Stock Company and operates under the direction of the President of the Republic. Its organizational structure is presented as linked to the Ministry of People's Power for Science and Technology.</w:t>
      </w:r>
    </w:p>
    <w:p w14:paraId="4E2C9309" w14:textId="77777777" w:rsidR="00587E12" w:rsidRPr="006C7AD2" w:rsidRDefault="00000000" w:rsidP="006C7AD2">
      <w:pPr>
        <w:numPr>
          <w:ilvl w:val="0"/>
          <w:numId w:val="5"/>
        </w:numPr>
        <w:spacing w:after="240"/>
      </w:pPr>
      <w:r w:rsidRPr="006C7AD2">
        <w:rPr>
          <w:rFonts w:ascii="Calibri" w:eastAsia="Calibri" w:hAnsi="Calibri" w:cs="Calibri"/>
        </w:rPr>
        <w:t>Among its responsibilities is the management of telecommunications sector companies, including the authority to acquire some or all of their shares. Presently, it oversees state-owned telecommunications firms (Cantv, Movilnet, Telecom Venezuela, and Red de Transmisiones de Venezuela-REDTV), the mixed company Telecomunicaciones Gran Caribe, and the Instituto Postal Telegráfico (IPOSTEL).</w:t>
      </w:r>
    </w:p>
    <w:p w14:paraId="1F119338" w14:textId="77777777" w:rsidR="00587E12" w:rsidRPr="006C7AD2" w:rsidRDefault="00000000" w:rsidP="006C7AD2">
      <w:pPr>
        <w:numPr>
          <w:ilvl w:val="0"/>
          <w:numId w:val="5"/>
        </w:numPr>
        <w:spacing w:after="240"/>
      </w:pPr>
      <w:r w:rsidRPr="006C7AD2">
        <w:rPr>
          <w:rFonts w:ascii="Calibri" w:eastAsia="Calibri" w:hAnsi="Calibri" w:cs="Calibri"/>
        </w:rPr>
        <w:t>Both the head of the Corporation and the director of CONATEL are appointed directly by the President, resulting in the management of telecommunications in the country being directly influenced by the directives and interests of the executive branch.</w:t>
      </w:r>
    </w:p>
    <w:p w14:paraId="42AFC14A" w14:textId="01F2940F" w:rsidR="006C7AD2" w:rsidRPr="00756F98" w:rsidRDefault="00000000" w:rsidP="00756F98">
      <w:pPr>
        <w:numPr>
          <w:ilvl w:val="0"/>
          <w:numId w:val="5"/>
        </w:numPr>
        <w:spacing w:after="240"/>
      </w:pPr>
      <w:r w:rsidRPr="006C7AD2">
        <w:rPr>
          <w:rFonts w:ascii="Calibri" w:eastAsia="Calibri" w:hAnsi="Calibri" w:cs="Calibri"/>
        </w:rPr>
        <w:t>In May 2019, National Guard Colonel Jorge Eliéser Márquez Monsalve, who had been serving in various roles such as Minister of the People's Power of the Office of the Presidency, overseeing Monitoring and Control of Government Management, and holding the position of President in charge of the Radio Miraflores Foundation and General Director of CONATEL (positions that Márquez Monsalve continues to hold), was appointed as the head of the Socialist Telecommunications Corporation (Corporación Socialista de las</w:t>
      </w:r>
      <w:r w:rsidR="006C7AD2">
        <w:rPr>
          <w:rFonts w:ascii="Calibri" w:eastAsia="Calibri" w:hAnsi="Calibri" w:cs="Calibri"/>
        </w:rPr>
        <w:t xml:space="preserve"> </w:t>
      </w:r>
      <w:r w:rsidRPr="006C7AD2">
        <w:rPr>
          <w:rFonts w:ascii="Calibri" w:eastAsia="Calibri" w:hAnsi="Calibri" w:cs="Calibri"/>
        </w:rPr>
        <w:t>Telecomunicaciones).</w:t>
      </w:r>
    </w:p>
    <w:p w14:paraId="1F032AEB" w14:textId="71436CBF" w:rsidR="00587E12" w:rsidRPr="006C7AD2" w:rsidRDefault="00000000" w:rsidP="006C7AD2">
      <w:pPr>
        <w:spacing w:before="240" w:after="240"/>
        <w:ind w:left="360"/>
        <w:rPr>
          <w:rFonts w:ascii="Calibri" w:eastAsia="Calibri" w:hAnsi="Calibri" w:cs="Calibri"/>
          <w:b/>
        </w:rPr>
      </w:pPr>
      <w:r w:rsidRPr="006C7AD2">
        <w:rPr>
          <w:rFonts w:ascii="Calibri" w:eastAsia="Calibri" w:hAnsi="Calibri" w:cs="Calibri"/>
          <w:b/>
        </w:rPr>
        <w:t>III.</w:t>
      </w:r>
      <w:r w:rsidR="009B7B73" w:rsidRPr="006C7AD2">
        <w:rPr>
          <w:rFonts w:ascii="Calibri" w:eastAsia="Calibri" w:hAnsi="Calibri" w:cs="Calibri"/>
          <w:b/>
        </w:rPr>
        <w:t xml:space="preserve"> </w:t>
      </w:r>
      <w:r w:rsidRPr="006C7AD2">
        <w:rPr>
          <w:rFonts w:ascii="Calibri" w:eastAsia="Calibri" w:hAnsi="Calibri" w:cs="Calibri"/>
          <w:b/>
        </w:rPr>
        <w:t>Design and implementation of the Hegemonic Project in Venezuela</w:t>
      </w:r>
    </w:p>
    <w:p w14:paraId="57924B7E" w14:textId="26E95406" w:rsidR="00587E12" w:rsidRPr="006C7AD2" w:rsidRDefault="00000000" w:rsidP="006C7AD2">
      <w:pPr>
        <w:spacing w:before="240" w:after="240"/>
        <w:ind w:left="720"/>
        <w:rPr>
          <w:rFonts w:ascii="Calibri" w:eastAsia="Calibri" w:hAnsi="Calibri" w:cs="Calibri"/>
        </w:rPr>
      </w:pPr>
      <w:r w:rsidRPr="006C7AD2">
        <w:rPr>
          <w:rFonts w:ascii="Calibri" w:eastAsia="Calibri" w:hAnsi="Calibri" w:cs="Calibri"/>
        </w:rPr>
        <w:t xml:space="preserve">11.  The Venezuelan State has become a hegemonic project of growing authoritarian drift. In the research "Numbers that tell stories", advanced by the Observatory of Political Communication and Disinformation for the Citizen Electoral Network, the strategies initiated in the administration of President Chávez (1999/2012) have been radicalized and technified during the two administrations of Nicolás Maduro (2013/2018- 2018/2024), through five lines of action :  1) the strengthening of the State Media Infrastructure; 2) the adequacy of </w:t>
      </w:r>
      <w:r w:rsidRPr="006C7AD2">
        <w:rPr>
          <w:rFonts w:ascii="Calibri" w:eastAsia="Calibri" w:hAnsi="Calibri" w:cs="Calibri"/>
        </w:rPr>
        <w:lastRenderedPageBreak/>
        <w:t>the legal framework 3) the discretionary administration of the radio electric spectrum; 4) censorship and self-censorship, and 5) opacity and lack of access to information of a public nature</w:t>
      </w:r>
      <w:r w:rsidR="006C7AD2">
        <w:rPr>
          <w:rStyle w:val="EndnoteReference"/>
          <w:rFonts w:ascii="Calibri" w:eastAsia="Calibri" w:hAnsi="Calibri" w:cs="Calibri"/>
        </w:rPr>
        <w:endnoteReference w:id="2"/>
      </w:r>
      <w:r w:rsidR="006C7AD2">
        <w:rPr>
          <w:rFonts w:ascii="Calibri" w:eastAsia="Calibri" w:hAnsi="Calibri" w:cs="Calibri"/>
        </w:rPr>
        <w:t>.</w:t>
      </w:r>
    </w:p>
    <w:p w14:paraId="22670BFF" w14:textId="1D21433D" w:rsidR="00587E12" w:rsidRPr="006C7AD2" w:rsidRDefault="00000000" w:rsidP="006C7AD2">
      <w:pPr>
        <w:spacing w:before="240" w:after="240"/>
        <w:ind w:left="720"/>
        <w:rPr>
          <w:rFonts w:ascii="Calibri" w:eastAsia="Calibri" w:hAnsi="Calibri" w:cs="Calibri"/>
        </w:rPr>
      </w:pPr>
      <w:r w:rsidRPr="006C7AD2">
        <w:rPr>
          <w:rFonts w:ascii="Calibri" w:eastAsia="Calibri" w:hAnsi="Calibri" w:cs="Calibri"/>
        </w:rPr>
        <w:t xml:space="preserve">12.  </w:t>
      </w:r>
      <w:r w:rsidRPr="006C7AD2">
        <w:rPr>
          <w:rFonts w:ascii="Calibri" w:eastAsia="Calibri" w:hAnsi="Calibri" w:cs="Calibri"/>
          <w:b/>
          <w:i/>
        </w:rPr>
        <w:t>Strengthening of the State's media infrastructure</w:t>
      </w:r>
      <w:r w:rsidRPr="006C7AD2">
        <w:rPr>
          <w:rFonts w:ascii="Calibri" w:eastAsia="Calibri" w:hAnsi="Calibri" w:cs="Calibri"/>
        </w:rPr>
        <w:t>. In 1999, the State only had two radio media (Radio Nacional de Venezuela RNV and Venezolana de Televisión VTV), both with obsolete technology and small audiences. The first objective of the hegemonic project was, therefore, to install an expanded network of state media with state-of-the-art technology and multi-focused reach. To such ends, in 2010 a National Public Media System (SNMP) was created "cohesive and organized to showcase the achievements of the Bolivarian Government and face the communicational battle driven by the private media</w:t>
      </w:r>
      <w:r w:rsidR="000A0349">
        <w:rPr>
          <w:rStyle w:val="EndnoteReference"/>
          <w:rFonts w:ascii="Calibri" w:eastAsia="Calibri" w:hAnsi="Calibri" w:cs="Calibri"/>
        </w:rPr>
        <w:endnoteReference w:id="3"/>
      </w:r>
      <w:r w:rsidRPr="006C7AD2">
        <w:rPr>
          <w:rFonts w:ascii="Calibri" w:eastAsia="Calibri" w:hAnsi="Calibri" w:cs="Calibri"/>
        </w:rPr>
        <w:t>."</w:t>
      </w:r>
    </w:p>
    <w:p w14:paraId="66440CB4" w14:textId="5C4206E3" w:rsidR="00587E12" w:rsidRPr="006C7AD2" w:rsidRDefault="00000000" w:rsidP="006C7AD2">
      <w:pPr>
        <w:spacing w:before="240" w:after="240"/>
        <w:ind w:left="720"/>
        <w:rPr>
          <w:rFonts w:ascii="Calibri" w:eastAsia="Calibri" w:hAnsi="Calibri" w:cs="Calibri"/>
        </w:rPr>
      </w:pPr>
      <w:r w:rsidRPr="006C7AD2">
        <w:rPr>
          <w:rFonts w:ascii="Calibri" w:eastAsia="Calibri" w:hAnsi="Calibri" w:cs="Calibri"/>
        </w:rPr>
        <w:t>13.  Once Hugo Chávez passed away in 2013, Nicolás Maduro approves the "Plan de la Patria 2013-2019" and to give life to the communicational objectives of the same, The SNMP was replaced by the still in force Bolivarian Communication and Information System (SiBCI), "conceived as a system to integrate, socialize and execute the communicational policy of the Bolivarian Government that includes areas of communication beyond the mass media</w:t>
      </w:r>
      <w:r w:rsidR="006C7AD2">
        <w:rPr>
          <w:rStyle w:val="EndnoteReference"/>
          <w:rFonts w:ascii="Calibri" w:eastAsia="Calibri" w:hAnsi="Calibri" w:cs="Calibri"/>
        </w:rPr>
        <w:endnoteReference w:id="4"/>
      </w:r>
      <w:r w:rsidRPr="006C7AD2">
        <w:rPr>
          <w:rFonts w:ascii="Calibri" w:eastAsia="Calibri" w:hAnsi="Calibri" w:cs="Calibri"/>
        </w:rPr>
        <w:t xml:space="preserve">" </w:t>
      </w:r>
    </w:p>
    <w:p w14:paraId="5BA831C7" w14:textId="77777777" w:rsidR="00587E12" w:rsidRPr="006C7AD2" w:rsidRDefault="00000000" w:rsidP="006C7AD2">
      <w:pPr>
        <w:spacing w:before="240" w:after="240"/>
        <w:ind w:left="720"/>
        <w:rPr>
          <w:rFonts w:ascii="Calibri" w:eastAsia="Calibri" w:hAnsi="Calibri" w:cs="Calibri"/>
        </w:rPr>
      </w:pPr>
      <w:r w:rsidRPr="006C7AD2">
        <w:rPr>
          <w:rFonts w:ascii="Calibri" w:eastAsia="Calibri" w:hAnsi="Calibri" w:cs="Calibri"/>
        </w:rPr>
        <w:t>14.  By 2013, SiBCI inherited a conglomerate of at least 14 national, regional and local television channels; 10 radio stations and 9 newspapers of diverse scope, to which the now subsystem of alternative and community media (MAC) was integrated.</w:t>
      </w:r>
    </w:p>
    <w:p w14:paraId="5E8A77B5" w14:textId="72D888B1" w:rsidR="00587E12" w:rsidRPr="006C7AD2" w:rsidRDefault="00000000" w:rsidP="006C7AD2">
      <w:pPr>
        <w:spacing w:before="240" w:after="240"/>
        <w:ind w:left="720"/>
        <w:rPr>
          <w:rFonts w:ascii="Calibri" w:eastAsia="Calibri" w:hAnsi="Calibri" w:cs="Calibri"/>
        </w:rPr>
      </w:pPr>
      <w:r w:rsidRPr="006C7AD2">
        <w:rPr>
          <w:rFonts w:ascii="Calibri" w:eastAsia="Calibri" w:hAnsi="Calibri" w:cs="Calibri"/>
        </w:rPr>
        <w:t>15.  Regarding Alternative and Community Media, the National Plan of Popular Communication 2015-2019 reported on the participation in its design of 6 national and 30 state organizations that grouped them, while an unofficial Report of the MinCI, reported in 2018 598 active MACs (453 radios, 45 television stations, 67 newspapers and 33 digital media)</w:t>
      </w:r>
      <w:r w:rsidR="000A0349">
        <w:rPr>
          <w:rStyle w:val="EndnoteReference"/>
          <w:rFonts w:ascii="Calibri" w:eastAsia="Calibri" w:hAnsi="Calibri" w:cs="Calibri"/>
        </w:rPr>
        <w:endnoteReference w:id="5"/>
      </w:r>
      <w:r w:rsidRPr="006C7AD2">
        <w:rPr>
          <w:rFonts w:ascii="Calibri" w:eastAsia="Calibri" w:hAnsi="Calibri" w:cs="Calibri"/>
        </w:rPr>
        <w:t>.</w:t>
      </w:r>
    </w:p>
    <w:p w14:paraId="011F417C" w14:textId="77777777" w:rsidR="00587E12" w:rsidRPr="006C7AD2" w:rsidRDefault="00000000" w:rsidP="006C7AD2">
      <w:pPr>
        <w:spacing w:before="240" w:after="240"/>
        <w:ind w:left="720"/>
        <w:rPr>
          <w:rFonts w:ascii="Calibri" w:eastAsia="Calibri" w:hAnsi="Calibri" w:cs="Calibri"/>
        </w:rPr>
      </w:pPr>
      <w:r w:rsidRPr="006C7AD2">
        <w:rPr>
          <w:rFonts w:ascii="Calibri" w:eastAsia="Calibri" w:hAnsi="Calibri" w:cs="Calibri"/>
        </w:rPr>
        <w:t>16.  Given that the strength of the MACs has depended from the beginning on public funds to finance technical training programs, donation of headquarters, acquisition and replacement of equipment and contracting of official advertising, the subsystem has lost its operational capacity due to the economic crisis that the country is going through and which has evaporated government subsidies.</w:t>
      </w:r>
    </w:p>
    <w:p w14:paraId="271FE6A6" w14:textId="766B314A" w:rsidR="00587E12" w:rsidRPr="006C7AD2" w:rsidRDefault="00000000" w:rsidP="006C7AD2">
      <w:pPr>
        <w:spacing w:before="240" w:after="240"/>
        <w:ind w:left="720"/>
        <w:rPr>
          <w:rFonts w:ascii="Calibri" w:eastAsia="Calibri" w:hAnsi="Calibri" w:cs="Calibri"/>
        </w:rPr>
      </w:pPr>
      <w:r w:rsidRPr="006C7AD2">
        <w:rPr>
          <w:rFonts w:ascii="Calibri" w:eastAsia="Calibri" w:hAnsi="Calibri" w:cs="Calibri"/>
        </w:rPr>
        <w:t>17.  Finally, the State propaganda apparatus has been complemented by a network of "parastatal media that transmit messages in favor of the government project and are presumably supported with public funds"</w:t>
      </w:r>
      <w:r w:rsidR="000A0349">
        <w:rPr>
          <w:rStyle w:val="EndnoteReference"/>
          <w:rFonts w:ascii="Calibri" w:eastAsia="Calibri" w:hAnsi="Calibri" w:cs="Calibri"/>
        </w:rPr>
        <w:endnoteReference w:id="6"/>
      </w:r>
      <w:r w:rsidRPr="006C7AD2">
        <w:rPr>
          <w:rFonts w:ascii="Calibri" w:eastAsia="Calibri" w:hAnsi="Calibri" w:cs="Calibri"/>
        </w:rPr>
        <w:t>. Its growth is particularly noticeable and significant on the Internet, encompassing news portals focused on promoting the Maduro administration and disseminating pro-government and anti-opposition influence operations (Misión Verdad, RedRadioVe, La Tabla, Fuser News, Venezuela News); disinformation portals (Lechuguinos); and networks of both human and non-human users (bots, trolls, cyborgs) responsible for orchestrating synchronized message forwarding to establish trends on social networks, intervene and disrupt public discourse, and trivialize open debates on political issues of collective interest</w:t>
      </w:r>
      <w:r w:rsidR="000A0349">
        <w:rPr>
          <w:rStyle w:val="EndnoteReference"/>
          <w:rFonts w:ascii="Calibri" w:eastAsia="Calibri" w:hAnsi="Calibri" w:cs="Calibri"/>
        </w:rPr>
        <w:endnoteReference w:id="7"/>
      </w:r>
      <w:r w:rsidRPr="006C7AD2">
        <w:rPr>
          <w:rFonts w:ascii="Calibri" w:eastAsia="Calibri" w:hAnsi="Calibri" w:cs="Calibri"/>
        </w:rPr>
        <w:t>.</w:t>
      </w:r>
    </w:p>
    <w:p w14:paraId="0DE0356B" w14:textId="2179E24D"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lastRenderedPageBreak/>
        <w:t xml:space="preserve">18.  </w:t>
      </w:r>
      <w:r w:rsidRPr="003C2323">
        <w:rPr>
          <w:rFonts w:asciiTheme="majorHAnsi" w:eastAsia="Calibri" w:hAnsiTheme="majorHAnsi" w:cstheme="majorHAnsi"/>
          <w:b/>
          <w:i/>
        </w:rPr>
        <w:t>Adequacy of the legal framework.</w:t>
      </w:r>
      <w:r w:rsidR="003C2323">
        <w:rPr>
          <w:rFonts w:asciiTheme="majorHAnsi" w:eastAsia="Calibri" w:hAnsiTheme="majorHAnsi" w:cstheme="majorHAnsi"/>
        </w:rPr>
        <w:t xml:space="preserve"> </w:t>
      </w:r>
      <w:r w:rsidRPr="003C2323">
        <w:rPr>
          <w:rFonts w:asciiTheme="majorHAnsi" w:eastAsia="Calibri" w:hAnsiTheme="majorHAnsi" w:cstheme="majorHAnsi"/>
        </w:rPr>
        <w:t>In Venezuela, the foundation of the rights to information and freedom of expression is established in the 1999 Constitution of the Bolivarian Republic of Venezuela. Article 57 states that everyone has the right to freely express their thoughts, ideas or opinions orally, in writing or through any other form of expression, and to make use of any means of communication and dissemination, without censorship.</w:t>
      </w:r>
    </w:p>
    <w:p w14:paraId="6D6DF0F2" w14:textId="77777777" w:rsidR="00587E12" w:rsidRPr="003C2323" w:rsidRDefault="00000000" w:rsidP="003C2323">
      <w:pPr>
        <w:numPr>
          <w:ilvl w:val="0"/>
          <w:numId w:val="10"/>
        </w:numPr>
        <w:spacing w:after="240"/>
        <w:rPr>
          <w:rFonts w:asciiTheme="majorHAnsi" w:hAnsiTheme="majorHAnsi" w:cstheme="majorHAnsi"/>
        </w:rPr>
      </w:pPr>
      <w:r w:rsidRPr="003C2323">
        <w:rPr>
          <w:rFonts w:asciiTheme="majorHAnsi" w:eastAsia="Calibri" w:hAnsiTheme="majorHAnsi" w:cstheme="majorHAnsi"/>
        </w:rPr>
        <w:t>Article 58 establishes that communication is "free and plural". Everyone has the right to timely, truthful, impartial and uncensored information, as well as the right to reply and rectification when directly affected by inaccurate or offensive information. The rights to free expression and information, therefore, correspond to all persons, without any distinction, and can be exercised by any means of expression, which gives them a profoundly democratizing dimension, since they are the basis for a broad and plural flow and exchange of ideas, necessary for dialogue and democratic coexistence.</w:t>
      </w:r>
    </w:p>
    <w:p w14:paraId="2DC15669" w14:textId="77777777" w:rsidR="00587E12" w:rsidRPr="003C2323" w:rsidRDefault="00000000" w:rsidP="003C2323">
      <w:pPr>
        <w:numPr>
          <w:ilvl w:val="0"/>
          <w:numId w:val="10"/>
        </w:numPr>
        <w:spacing w:after="240"/>
        <w:rPr>
          <w:rFonts w:asciiTheme="majorHAnsi" w:hAnsiTheme="majorHAnsi" w:cstheme="majorHAnsi"/>
        </w:rPr>
      </w:pPr>
      <w:r w:rsidRPr="003C2323">
        <w:rPr>
          <w:rFonts w:asciiTheme="majorHAnsi" w:eastAsia="Calibri" w:hAnsiTheme="majorHAnsi" w:cstheme="majorHAnsi"/>
        </w:rPr>
        <w:t>In its article 337, the constitution preserves this right even in cases where there are "risks to the security of the nation and a state of exception is decreed", which according to the constitution allows the temporary suspension of restricting, on a temporary basis, constitutional guarantees.</w:t>
      </w:r>
    </w:p>
    <w:p w14:paraId="6D1CB7F5" w14:textId="77777777" w:rsidR="00587E12" w:rsidRPr="003C2323" w:rsidRDefault="00000000" w:rsidP="003C2323">
      <w:pPr>
        <w:numPr>
          <w:ilvl w:val="0"/>
          <w:numId w:val="10"/>
        </w:numPr>
        <w:spacing w:after="240"/>
        <w:rPr>
          <w:rFonts w:asciiTheme="majorHAnsi" w:hAnsiTheme="majorHAnsi" w:cstheme="majorHAnsi"/>
        </w:rPr>
      </w:pPr>
      <w:r w:rsidRPr="003C2323">
        <w:rPr>
          <w:rFonts w:asciiTheme="majorHAnsi" w:eastAsia="Calibri" w:hAnsiTheme="majorHAnsi" w:cstheme="majorHAnsi"/>
        </w:rPr>
        <w:t>The Venezuelan State is also a signatory of the International Covenant on Civil and Political Rights of 1753, signed in 1969 and ratified in 1978, as well as the Optional Protocol to the International Covenant on Civil and Political Rights of 1753.</w:t>
      </w:r>
    </w:p>
    <w:p w14:paraId="01CA2C97" w14:textId="77777777" w:rsidR="00587E12" w:rsidRPr="003C2323" w:rsidRDefault="00000000" w:rsidP="003C2323">
      <w:pPr>
        <w:numPr>
          <w:ilvl w:val="0"/>
          <w:numId w:val="10"/>
        </w:numPr>
        <w:spacing w:after="240"/>
        <w:rPr>
          <w:rFonts w:asciiTheme="majorHAnsi" w:hAnsiTheme="majorHAnsi" w:cstheme="majorHAnsi"/>
        </w:rPr>
      </w:pPr>
      <w:r w:rsidRPr="003C2323">
        <w:rPr>
          <w:rFonts w:asciiTheme="majorHAnsi" w:eastAsia="Calibri" w:hAnsiTheme="majorHAnsi" w:cstheme="majorHAnsi"/>
        </w:rPr>
        <w:t>In the last 23 years, however (1999 - 2019), all these principles were openly violated through the sanctioning of various legal instruments both by the government majority in the National Assembly and by the members of the National Constituent Assembly elected in 20017, a body considered illegitimate by broad sectors of society.</w:t>
      </w:r>
    </w:p>
    <w:p w14:paraId="441D56A0" w14:textId="77777777" w:rsidR="00587E12" w:rsidRPr="003C2323" w:rsidRDefault="00000000" w:rsidP="003C2323">
      <w:pPr>
        <w:numPr>
          <w:ilvl w:val="0"/>
          <w:numId w:val="10"/>
        </w:numPr>
        <w:spacing w:after="240"/>
        <w:rPr>
          <w:rFonts w:asciiTheme="majorHAnsi" w:hAnsiTheme="majorHAnsi" w:cstheme="majorHAnsi"/>
        </w:rPr>
      </w:pPr>
      <w:r w:rsidRPr="003C2323">
        <w:rPr>
          <w:rFonts w:asciiTheme="majorHAnsi" w:eastAsia="Calibri" w:hAnsiTheme="majorHAnsi" w:cstheme="majorHAnsi"/>
        </w:rPr>
        <w:t>En total, 6 laws supplemented by way of regulations, resolutions, rulings of the Supreme Court of Justice, administrative rulings and decrees, have paved the way for the violation and limitation of the full exercise of constitutional guarantees, for this report the following laws were reviewed: Organic Telecommunications Law LOTEL (2010);19 Law of Reform of the Organic Telecommunications Law (2011);20 Law of Social Responsibility in Radio, Television and Electronic Media RESORTEME (2010); Law of Communication of the Popular Power (2015);22 Law Against Hate, for Peaceful Coexistence and Tolerance (2017);23 Regulation of the Organic Telecommunications Law (2021);24 Law on the Practice of Journalism (1995);25 Code of Ethics of the Venezuelan Journalist (2013).</w:t>
      </w:r>
    </w:p>
    <w:p w14:paraId="349113B1" w14:textId="64AC26F1" w:rsidR="00587E12" w:rsidRPr="003C2323" w:rsidRDefault="00000000" w:rsidP="003C2323">
      <w:pPr>
        <w:numPr>
          <w:ilvl w:val="0"/>
          <w:numId w:val="10"/>
        </w:numPr>
        <w:spacing w:after="240"/>
        <w:rPr>
          <w:rFonts w:asciiTheme="majorHAnsi" w:hAnsiTheme="majorHAnsi" w:cstheme="majorHAnsi"/>
        </w:rPr>
      </w:pPr>
      <w:r w:rsidRPr="003C2323">
        <w:rPr>
          <w:rFonts w:asciiTheme="majorHAnsi" w:eastAsia="Calibri" w:hAnsiTheme="majorHAnsi" w:cstheme="majorHAnsi"/>
        </w:rPr>
        <w:t>Between 1999 and 2021, the Chávez-Maduro administrations introduced, modified and sanctioned more than 50 legal instruments that exclusively, complementarily or specifically regulate the communications sector in Venezuela</w:t>
      </w:r>
      <w:r w:rsidR="00F20E90">
        <w:rPr>
          <w:rStyle w:val="EndnoteReference"/>
          <w:rFonts w:asciiTheme="majorHAnsi" w:eastAsia="Calibri" w:hAnsiTheme="majorHAnsi" w:cstheme="majorHAnsi"/>
        </w:rPr>
        <w:endnoteReference w:id="8"/>
      </w:r>
      <w:r w:rsidRPr="003C2323">
        <w:rPr>
          <w:rFonts w:asciiTheme="majorHAnsi" w:eastAsia="Calibri" w:hAnsiTheme="majorHAnsi" w:cstheme="majorHAnsi"/>
        </w:rPr>
        <w:t>. The text of the laws passed and/or revised as of the year 2000 are characterized, among other features, by the use of ambiguity and discretionality. Such is the case of the Telecommunications Law (LOTEL), enacted in 2000 and reformed in 2010, and the Law on Social Responsibility in Radio, Television and Electronic Media, known as the RESORTE Law, of 2004.</w:t>
      </w:r>
    </w:p>
    <w:p w14:paraId="3CAD366E"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lastRenderedPageBreak/>
        <w:t>25. Several of these instruments were approved without meeting the procedural requirements. This includes the RESORTEME, which should have had an organic character since it regulates constitutional guarantees. An organic law should have been approved by 75% of the legislators, but since the bill only obtained a simple majority, the National Assembly at the time, with a pro-government majority, approved it as an ordinary law.</w:t>
      </w:r>
    </w:p>
    <w:p w14:paraId="5C0DFE97"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26.  Of equal concern is the case of the "Constitutional Law against Hate, for Peaceful Coexistence, and Tolerance," approved by the National Constituent Assembly on November 8, 2017, which establishes 20 penalties of up to 20 years in prison for those who disseminate messages promoting "hatred, discrimination, or violence" both in the media and on social networks.</w:t>
      </w:r>
    </w:p>
    <w:p w14:paraId="1FECBE86"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27. The instrument, approved by a body considered unconstitutional (the 2017 National Constituent Assembly), also contemplates the possibility of revoking the license of radio and television stations that broadcast messages containing "hatred" or that "incite to war."</w:t>
      </w:r>
    </w:p>
    <w:p w14:paraId="5855E216"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28.  The law not only establishes a punitive rationale contrary to international human rights standards but also uses concepts like "hate" and "tolerance" to justify regulations that encourage censorship. It leaves its application in the hands of the executive, opening the possibility of biased application to silence critical expressions highlighting the humanitarian crisis affecting the country.</w:t>
      </w:r>
    </w:p>
    <w:p w14:paraId="71CF43CD"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29.  Since 2017, the Anti-Hate Law has been the most frequently used instrument to maintain all components of the ecosystem - companies, journalistic teams, and users - under hegemonic homeostasis, at a high cost for the democratic exercise of the guarantees enshrined in the Constitution.</w:t>
      </w:r>
    </w:p>
    <w:p w14:paraId="3768F933"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30.  Finally, the Venezuelan State has also used laws not directly related to communications to censor or restrict critical expressions about the policies or officials of the national government. An example of this is the Organic Law of the Electric System and Service (2010), which in Article 108 establishes that anyone who "unduly and to the detriment of the Republic" reveals "secrets concerning the security of the National Electric System" through communication or publication of documents or other information shall be subject to imprisonment for eight to sixteen years. Given the extent and seriousness of the failures in the electrical system in Venezuela, this article not only promotes "secrecy" regarding one of the most sensitive issues for citizens but also criminalizes free speech.</w:t>
      </w:r>
    </w:p>
    <w:p w14:paraId="512CD864"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31.</w:t>
      </w:r>
      <w:r w:rsidRPr="003C2323">
        <w:rPr>
          <w:rFonts w:asciiTheme="majorHAnsi" w:eastAsia="Calibri" w:hAnsiTheme="majorHAnsi" w:cstheme="majorHAnsi"/>
          <w:b/>
        </w:rPr>
        <w:t xml:space="preserve">  </w:t>
      </w:r>
      <w:r w:rsidRPr="003C2323">
        <w:rPr>
          <w:rFonts w:asciiTheme="majorHAnsi" w:eastAsia="Calibri" w:hAnsiTheme="majorHAnsi" w:cstheme="majorHAnsi"/>
          <w:b/>
          <w:i/>
        </w:rPr>
        <w:t xml:space="preserve">Discretionary administration of the radio spectrum: </w:t>
      </w:r>
      <w:r w:rsidRPr="003C2323">
        <w:rPr>
          <w:rFonts w:asciiTheme="majorHAnsi" w:eastAsia="Calibri" w:hAnsiTheme="majorHAnsi" w:cstheme="majorHAnsi"/>
        </w:rPr>
        <w:t xml:space="preserve"> One of the most effective strategies for hegemonic control over the ecosystem involves the opacity and arbitrariness with which the National Telecommunications Commission (CONATEL) administers the approval and renewal of licenses for radio-electric media operators. In this regard, the highly personalized nature of license concessions, and consequently, their automatic invalidation upon the holder's death or the sale of the originally authorized company, adds to the administrative silence regulated by the current Telecommunications Law, which legitimizes the lack of an official response to requests for license assignment or renewal submitted to CONATEL.</w:t>
      </w:r>
    </w:p>
    <w:p w14:paraId="40765D61" w14:textId="152BB259"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lastRenderedPageBreak/>
        <w:t xml:space="preserve">32.  </w:t>
      </w:r>
      <w:r w:rsidRPr="003C2323">
        <w:rPr>
          <w:rFonts w:asciiTheme="majorHAnsi" w:eastAsia="Calibri" w:hAnsiTheme="majorHAnsi" w:cstheme="majorHAnsi"/>
          <w:b/>
          <w:i/>
          <w:iCs/>
        </w:rPr>
        <w:t>Concessions and Licenses:</w:t>
      </w:r>
      <w:r w:rsidRPr="003C2323">
        <w:rPr>
          <w:rFonts w:asciiTheme="majorHAnsi" w:eastAsia="Calibri" w:hAnsiTheme="majorHAnsi" w:cstheme="majorHAnsi"/>
        </w:rPr>
        <w:t xml:space="preserve"> Regarding concessions and licenses, due to their expiration, there has been a systematic practice between CONATEL and media owners who initiate and maintain transmissions without applying for a license, neglect to request renewal of expired licenses within the stipulated </w:t>
      </w:r>
      <w:r w:rsidR="003C2323" w:rsidRPr="003C2323">
        <w:rPr>
          <w:rFonts w:asciiTheme="majorHAnsi" w:eastAsia="Calibri" w:hAnsiTheme="majorHAnsi" w:cstheme="majorHAnsi"/>
        </w:rPr>
        <w:t>timeframe and</w:t>
      </w:r>
      <w:r w:rsidRPr="003C2323">
        <w:rPr>
          <w:rFonts w:asciiTheme="majorHAnsi" w:eastAsia="Calibri" w:hAnsiTheme="majorHAnsi" w:cstheme="majorHAnsi"/>
        </w:rPr>
        <w:t xml:space="preserve"> fail to report the death of the owner or the sale of the media.</w:t>
      </w:r>
    </w:p>
    <w:p w14:paraId="17E91F0B"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33</w:t>
      </w:r>
      <w:r w:rsidRPr="003C2323">
        <w:rPr>
          <w:rFonts w:asciiTheme="majorHAnsi" w:eastAsia="Calibri" w:hAnsiTheme="majorHAnsi" w:cstheme="majorHAnsi"/>
          <w:i/>
          <w:iCs/>
        </w:rPr>
        <w:t xml:space="preserve">.  </w:t>
      </w:r>
      <w:r w:rsidRPr="003C2323">
        <w:rPr>
          <w:rFonts w:asciiTheme="majorHAnsi" w:eastAsia="Calibri" w:hAnsiTheme="majorHAnsi" w:cstheme="majorHAnsi"/>
          <w:b/>
          <w:i/>
          <w:iCs/>
        </w:rPr>
        <w:t>Detection and Consequences</w:t>
      </w:r>
      <w:r w:rsidRPr="003C2323">
        <w:rPr>
          <w:rFonts w:asciiTheme="majorHAnsi" w:eastAsia="Calibri" w:hAnsiTheme="majorHAnsi" w:cstheme="majorHAnsi"/>
          <w:b/>
        </w:rPr>
        <w:t xml:space="preserve">: </w:t>
      </w:r>
      <w:r w:rsidRPr="003C2323">
        <w:rPr>
          <w:rFonts w:asciiTheme="majorHAnsi" w:eastAsia="Calibri" w:hAnsiTheme="majorHAnsi" w:cstheme="majorHAnsi"/>
        </w:rPr>
        <w:t>Once CONATEL detects such violations, the regulatory body neither notifies the offenders nor enforces sanctions. Meanwhile, those who breach the law do not regularize their status for fear of repercussions. This practice creates a perpetual legal limbo that grants substantial power to the State. Offenders censor themselves to avoid detection by CONATEL, as the regulatory body threatens and indeed imposes sanctions when any media outlet deviates from the government's editorial line or exposes serious cases of corruption and other crimes committed by government representatives.</w:t>
      </w:r>
    </w:p>
    <w:p w14:paraId="6558A370"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 xml:space="preserve">34.  </w:t>
      </w:r>
      <w:r w:rsidRPr="003C2323">
        <w:rPr>
          <w:rFonts w:asciiTheme="majorHAnsi" w:eastAsia="Calibri" w:hAnsiTheme="majorHAnsi" w:cstheme="majorHAnsi"/>
          <w:b/>
          <w:i/>
          <w:iCs/>
        </w:rPr>
        <w:t>Lack of Transparency</w:t>
      </w:r>
      <w:r w:rsidRPr="003C2323">
        <w:rPr>
          <w:rFonts w:asciiTheme="majorHAnsi" w:eastAsia="Calibri" w:hAnsiTheme="majorHAnsi" w:cstheme="majorHAnsi"/>
          <w:b/>
        </w:rPr>
        <w:t>:</w:t>
      </w:r>
      <w:r w:rsidRPr="003C2323">
        <w:rPr>
          <w:rFonts w:asciiTheme="majorHAnsi" w:eastAsia="Calibri" w:hAnsiTheme="majorHAnsi" w:cstheme="majorHAnsi"/>
        </w:rPr>
        <w:t xml:space="preserve"> The absence of official reports on the current allocation of the radio-electric spectrum, the secrecy surrounding the business organizations that oversee radio and television stations, and the media's silence regarding their legal status make it challenging to reconstruct the map of frequencies and how they have been authorized or reassigned over the last 15 years.</w:t>
      </w:r>
    </w:p>
    <w:p w14:paraId="1482F39B"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35.</w:t>
      </w:r>
      <w:r w:rsidRPr="003C2323">
        <w:rPr>
          <w:rFonts w:asciiTheme="majorHAnsi" w:eastAsia="Calibri" w:hAnsiTheme="majorHAnsi" w:cstheme="majorHAnsi"/>
          <w:b/>
        </w:rPr>
        <w:t xml:space="preserve"> </w:t>
      </w:r>
      <w:r w:rsidRPr="003C2323">
        <w:rPr>
          <w:rFonts w:asciiTheme="majorHAnsi" w:eastAsia="Calibri" w:hAnsiTheme="majorHAnsi" w:cstheme="majorHAnsi"/>
          <w:b/>
          <w:i/>
          <w:iCs/>
        </w:rPr>
        <w:t>Censorship, Self-Censorship, and Disinformation</w:t>
      </w:r>
      <w:r w:rsidRPr="003C2323">
        <w:rPr>
          <w:rFonts w:asciiTheme="majorHAnsi" w:eastAsia="Calibri" w:hAnsiTheme="majorHAnsi" w:cstheme="majorHAnsi"/>
          <w:b/>
        </w:rPr>
        <w:t>:</w:t>
      </w:r>
      <w:r w:rsidRPr="003C2323">
        <w:rPr>
          <w:rFonts w:asciiTheme="majorHAnsi" w:eastAsia="Calibri" w:hAnsiTheme="majorHAnsi" w:cstheme="majorHAnsi"/>
        </w:rPr>
        <w:t xml:space="preserve"> It is essential to recognize that the scarcity of information and even disinformation experienced by Venezuelans is a deliberate design stemming from political power. The Socialist Plan for Economic and Social Development (2013-2019), often viewed more as an ideological manifesto of the ruling party than a document guiding national public policy, not only proposes to "eliminate the technological influence of imperial powers in strategic sectors for national sovereignty" but also aims to reduce "Venezuela's connection to communication and information networks dominated by neocolonial powers" to "non-vital" levels.</w:t>
      </w:r>
      <w:r w:rsidRPr="003C2323">
        <w:rPr>
          <w:rFonts w:asciiTheme="majorHAnsi" w:eastAsia="Times New Roman" w:hAnsiTheme="majorHAnsi" w:cstheme="majorHAnsi"/>
        </w:rPr>
        <w:t xml:space="preserve">  </w:t>
      </w:r>
    </w:p>
    <w:p w14:paraId="7EC834B5"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 xml:space="preserve">36. </w:t>
      </w:r>
      <w:r w:rsidRPr="003C2323">
        <w:rPr>
          <w:rFonts w:asciiTheme="majorHAnsi" w:eastAsia="Calibri" w:hAnsiTheme="majorHAnsi" w:cstheme="majorHAnsi"/>
          <w:b/>
          <w:i/>
          <w:iCs/>
        </w:rPr>
        <w:t>Intentional Policy</w:t>
      </w:r>
      <w:r w:rsidRPr="003C2323">
        <w:rPr>
          <w:rFonts w:asciiTheme="majorHAnsi" w:eastAsia="Calibri" w:hAnsiTheme="majorHAnsi" w:cstheme="majorHAnsi"/>
          <w:b/>
        </w:rPr>
        <w:t>:</w:t>
      </w:r>
      <w:r w:rsidRPr="003C2323">
        <w:rPr>
          <w:rFonts w:asciiTheme="majorHAnsi" w:eastAsia="Calibri" w:hAnsiTheme="majorHAnsi" w:cstheme="majorHAnsi"/>
        </w:rPr>
        <w:t xml:space="preserve"> This represents an intentional policy advanced by government entities to impose a singular message and suppress the circulation of independent information contrary to the official narrative. Consequently, the administrative structures overseeing the communication system and overall control over the media landscape, messages, and broadcasters reveal a reality that necessitates a comprehensive approach to effectively restore the exercise of the right to communication, freedom of information, and the unrestricted practice of journalism in Venezuela.</w:t>
      </w:r>
    </w:p>
    <w:p w14:paraId="619AF4D2"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 xml:space="preserve">37.  </w:t>
      </w:r>
      <w:r w:rsidRPr="003C2323">
        <w:rPr>
          <w:rFonts w:asciiTheme="majorHAnsi" w:eastAsia="Calibri" w:hAnsiTheme="majorHAnsi" w:cstheme="majorHAnsi"/>
          <w:b/>
          <w:i/>
          <w:iCs/>
        </w:rPr>
        <w:t>Expanding Censorship Practices</w:t>
      </w:r>
      <w:r w:rsidRPr="003C2323">
        <w:rPr>
          <w:rFonts w:asciiTheme="majorHAnsi" w:eastAsia="Calibri" w:hAnsiTheme="majorHAnsi" w:cstheme="majorHAnsi"/>
          <w:b/>
        </w:rPr>
        <w:t>:</w:t>
      </w:r>
      <w:r w:rsidRPr="003C2323">
        <w:rPr>
          <w:rFonts w:asciiTheme="majorHAnsi" w:eastAsia="Calibri" w:hAnsiTheme="majorHAnsi" w:cstheme="majorHAnsi"/>
        </w:rPr>
        <w:t xml:space="preserve"> As the legal framework includes an extensive array of grounds for sanctions, censorship and self-censorship practices have been on the rise, proving their effectiveness as mechanisms for controlling segments of the media ecosystem that do not align with the hegemonic ideological-political project and its integration into State policies.</w:t>
      </w:r>
    </w:p>
    <w:p w14:paraId="10AEF9E1"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 xml:space="preserve">38. </w:t>
      </w:r>
      <w:r w:rsidRPr="003C2323">
        <w:rPr>
          <w:rFonts w:asciiTheme="majorHAnsi" w:eastAsia="Calibri" w:hAnsiTheme="majorHAnsi" w:cstheme="majorHAnsi"/>
          <w:b/>
        </w:rPr>
        <w:t xml:space="preserve"> </w:t>
      </w:r>
      <w:r w:rsidRPr="003C2323">
        <w:rPr>
          <w:rFonts w:asciiTheme="majorHAnsi" w:eastAsia="Calibri" w:hAnsiTheme="majorHAnsi" w:cstheme="majorHAnsi"/>
          <w:b/>
          <w:i/>
          <w:iCs/>
        </w:rPr>
        <w:t>Sanctions</w:t>
      </w:r>
      <w:r w:rsidRPr="003C2323">
        <w:rPr>
          <w:rFonts w:asciiTheme="majorHAnsi" w:eastAsia="Calibri" w:hAnsiTheme="majorHAnsi" w:cstheme="majorHAnsi"/>
          <w:b/>
        </w:rPr>
        <w:t xml:space="preserve">: </w:t>
      </w:r>
      <w:r w:rsidRPr="003C2323">
        <w:rPr>
          <w:rFonts w:asciiTheme="majorHAnsi" w:eastAsia="Calibri" w:hAnsiTheme="majorHAnsi" w:cstheme="majorHAnsi"/>
        </w:rPr>
        <w:t xml:space="preserve">The envisaged sanctions encompass fines in the millions of dollars, surpassing the economic capacity of companies, partial, indefinite, and even permanent cessation of </w:t>
      </w:r>
      <w:r w:rsidRPr="003C2323">
        <w:rPr>
          <w:rFonts w:asciiTheme="majorHAnsi" w:eastAsia="Calibri" w:hAnsiTheme="majorHAnsi" w:cstheme="majorHAnsi"/>
        </w:rPr>
        <w:lastRenderedPageBreak/>
        <w:t>operations, confiscation of antennas, transmitters, and consoles, program closures, and imprisonment for media owners and journalists.</w:t>
      </w:r>
    </w:p>
    <w:p w14:paraId="23B4DB32"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 xml:space="preserve">39.  </w:t>
      </w:r>
      <w:r w:rsidRPr="003C2323">
        <w:rPr>
          <w:rFonts w:asciiTheme="majorHAnsi" w:eastAsia="Calibri" w:hAnsiTheme="majorHAnsi" w:cstheme="majorHAnsi"/>
          <w:b/>
          <w:i/>
          <w:iCs/>
        </w:rPr>
        <w:t>Widespread Censorship</w:t>
      </w:r>
      <w:r w:rsidRPr="003C2323">
        <w:rPr>
          <w:rFonts w:asciiTheme="majorHAnsi" w:eastAsia="Calibri" w:hAnsiTheme="majorHAnsi" w:cstheme="majorHAnsi"/>
          <w:b/>
        </w:rPr>
        <w:t xml:space="preserve">: </w:t>
      </w:r>
      <w:r w:rsidRPr="003C2323">
        <w:rPr>
          <w:rFonts w:asciiTheme="majorHAnsi" w:eastAsia="Calibri" w:hAnsiTheme="majorHAnsi" w:cstheme="majorHAnsi"/>
        </w:rPr>
        <w:t>Censorship is not confined solely to the Venezuelan media landscape; over the years, it has permeated the daily lives of Venezuelans.</w:t>
      </w:r>
    </w:p>
    <w:p w14:paraId="67FC7C62" w14:textId="20ADE4B2"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 xml:space="preserve">40. </w:t>
      </w:r>
      <w:r w:rsidRPr="003C2323">
        <w:rPr>
          <w:rFonts w:asciiTheme="majorHAnsi" w:eastAsia="Calibri" w:hAnsiTheme="majorHAnsi" w:cstheme="majorHAnsi"/>
          <w:b/>
          <w:i/>
          <w:iCs/>
        </w:rPr>
        <w:t>Erosion of Freedom of Expression and Information</w:t>
      </w:r>
      <w:r w:rsidRPr="003C2323">
        <w:rPr>
          <w:rFonts w:asciiTheme="majorHAnsi" w:eastAsia="Calibri" w:hAnsiTheme="majorHAnsi" w:cstheme="majorHAnsi"/>
          <w:b/>
        </w:rPr>
        <w:t>:</w:t>
      </w:r>
      <w:r w:rsidRPr="003C2323">
        <w:rPr>
          <w:rFonts w:asciiTheme="majorHAnsi" w:eastAsia="Calibri" w:hAnsiTheme="majorHAnsi" w:cstheme="majorHAnsi"/>
        </w:rPr>
        <w:t xml:space="preserve"> The severe deterioration of freedom of expression and information in the country led the United Nations High Commissioner for Human Rights office in 2019 to call on the Venezuelan government to repeal the measures responsible for censoring and shutting down media outlets, as well as to address concerns about the impartiality of official bodies in allocating radio spectrum frequencies</w:t>
      </w:r>
      <w:r w:rsidR="003326E5">
        <w:rPr>
          <w:rStyle w:val="EndnoteReference"/>
          <w:rFonts w:asciiTheme="majorHAnsi" w:eastAsia="Calibri" w:hAnsiTheme="majorHAnsi" w:cstheme="majorHAnsi"/>
        </w:rPr>
        <w:endnoteReference w:id="9"/>
      </w:r>
      <w:r w:rsidRPr="003C2323">
        <w:rPr>
          <w:rFonts w:asciiTheme="majorHAnsi" w:eastAsia="Calibri" w:hAnsiTheme="majorHAnsi" w:cstheme="majorHAnsi"/>
        </w:rPr>
        <w:t>.</w:t>
      </w:r>
    </w:p>
    <w:p w14:paraId="5C3C973D"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 xml:space="preserve">41. </w:t>
      </w:r>
      <w:r w:rsidRPr="003C2323">
        <w:rPr>
          <w:rFonts w:asciiTheme="majorHAnsi" w:eastAsia="Calibri" w:hAnsiTheme="majorHAnsi" w:cstheme="majorHAnsi"/>
          <w:b/>
          <w:i/>
          <w:iCs/>
        </w:rPr>
        <w:t>Challenges in Maintaining Connectivity</w:t>
      </w:r>
      <w:r w:rsidRPr="003C2323">
        <w:rPr>
          <w:rFonts w:asciiTheme="majorHAnsi" w:eastAsia="Calibri" w:hAnsiTheme="majorHAnsi" w:cstheme="majorHAnsi"/>
          <w:b/>
        </w:rPr>
        <w:t>:</w:t>
      </w:r>
      <w:r w:rsidRPr="003C2323">
        <w:rPr>
          <w:rFonts w:asciiTheme="majorHAnsi" w:eastAsia="Calibri" w:hAnsiTheme="majorHAnsi" w:cstheme="majorHAnsi"/>
        </w:rPr>
        <w:t xml:space="preserve"> The exceptional challenges faced by Venezuelans in maintaining connectivity and, consequently, staying informed have given rise to a unique environment within the country for the dissemination and proliferation of disinformation and fake news campaigns.</w:t>
      </w:r>
    </w:p>
    <w:p w14:paraId="1B82DE9F"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 xml:space="preserve">42. </w:t>
      </w:r>
      <w:r w:rsidRPr="003C2323">
        <w:rPr>
          <w:rFonts w:asciiTheme="majorHAnsi" w:eastAsia="Calibri" w:hAnsiTheme="majorHAnsi" w:cstheme="majorHAnsi"/>
          <w:b/>
          <w:i/>
          <w:iCs/>
        </w:rPr>
        <w:t>Awareness of "Fake News</w:t>
      </w:r>
      <w:r w:rsidRPr="003C2323">
        <w:rPr>
          <w:rFonts w:asciiTheme="majorHAnsi" w:eastAsia="Calibri" w:hAnsiTheme="majorHAnsi" w:cstheme="majorHAnsi"/>
        </w:rPr>
        <w:t>: The studies used in the preparation of this report reveal that citizens are aware of the concept of "fake news." Despite their awareness of their susceptibility to this phenomenon, Venezuelans strive to reduce the likelihood of becoming victims by following accounts of actors perceived as trustworthy, who also possess notoriety and recognition.</w:t>
      </w:r>
    </w:p>
    <w:p w14:paraId="06A33CFA"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 xml:space="preserve">43. </w:t>
      </w:r>
      <w:r w:rsidRPr="003C2323">
        <w:rPr>
          <w:rFonts w:asciiTheme="majorHAnsi" w:eastAsia="Calibri" w:hAnsiTheme="majorHAnsi" w:cstheme="majorHAnsi"/>
          <w:b/>
          <w:i/>
          <w:iCs/>
        </w:rPr>
        <w:t>Digital Media Consumption Patterns</w:t>
      </w:r>
      <w:r w:rsidRPr="003C2323">
        <w:rPr>
          <w:rFonts w:asciiTheme="majorHAnsi" w:eastAsia="Calibri" w:hAnsiTheme="majorHAnsi" w:cstheme="majorHAnsi"/>
        </w:rPr>
        <w:t>: Digital media and other news websites do not rank highly in the search preferences of Venezuelans on the Internet. However, market and conversational tracking studies indicate that news becomes one of the most consumed content types once they access, particularly on social networks such as Twitter.</w:t>
      </w:r>
    </w:p>
    <w:p w14:paraId="3F66F3AD"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 xml:space="preserve">44. </w:t>
      </w:r>
      <w:r w:rsidRPr="003C2323">
        <w:rPr>
          <w:rFonts w:asciiTheme="majorHAnsi" w:eastAsia="Calibri" w:hAnsiTheme="majorHAnsi" w:cstheme="majorHAnsi"/>
          <w:b/>
          <w:i/>
          <w:iCs/>
        </w:rPr>
        <w:t>Impact of Disinformation Campaigns</w:t>
      </w:r>
      <w:r w:rsidRPr="003C2323">
        <w:rPr>
          <w:rFonts w:asciiTheme="majorHAnsi" w:eastAsia="Calibri" w:hAnsiTheme="majorHAnsi" w:cstheme="majorHAnsi"/>
          <w:b/>
        </w:rPr>
        <w:t>:</w:t>
      </w:r>
      <w:r w:rsidRPr="003C2323">
        <w:rPr>
          <w:rFonts w:asciiTheme="majorHAnsi" w:eastAsia="Calibri" w:hAnsiTheme="majorHAnsi" w:cstheme="majorHAnsi"/>
        </w:rPr>
        <w:t xml:space="preserve"> All the data consulted for this report converge in raising concerns about the detrimental impact of disinformation campaigns orchestrated by professional teams. These campaigns are executed on various websites and through bots and multi-profile accounts that inject misleading, malicious, and hateful content into the digital ecosystem.</w:t>
      </w:r>
    </w:p>
    <w:p w14:paraId="4C95905F" w14:textId="023C8C0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45.</w:t>
      </w:r>
      <w:r w:rsidRPr="003C2323">
        <w:rPr>
          <w:rFonts w:asciiTheme="majorHAnsi" w:eastAsia="Calibri" w:hAnsiTheme="majorHAnsi" w:cstheme="majorHAnsi"/>
          <w:b/>
        </w:rPr>
        <w:t xml:space="preserve"> </w:t>
      </w:r>
      <w:r w:rsidRPr="003C2323">
        <w:rPr>
          <w:rFonts w:asciiTheme="majorHAnsi" w:eastAsia="Calibri" w:hAnsiTheme="majorHAnsi" w:cstheme="majorHAnsi"/>
          <w:b/>
          <w:i/>
          <w:iCs/>
        </w:rPr>
        <w:t>Transparency and Access to Public Information</w:t>
      </w:r>
      <w:r w:rsidRPr="003C2323">
        <w:rPr>
          <w:rFonts w:asciiTheme="majorHAnsi" w:eastAsia="Calibri" w:hAnsiTheme="majorHAnsi" w:cstheme="majorHAnsi"/>
          <w:b/>
        </w:rPr>
        <w:t>:</w:t>
      </w:r>
      <w:r w:rsidRPr="003C2323">
        <w:rPr>
          <w:rFonts w:asciiTheme="majorHAnsi" w:eastAsia="Calibri" w:hAnsiTheme="majorHAnsi" w:cstheme="majorHAnsi"/>
        </w:rPr>
        <w:t xml:space="preserve"> The public nature of data in Venezuela, including demographic information, reports, financial accounts, the national budget, and other government management reports, as well as vital indicators reflecting the country's reality, is safeguarded by the Constitution and supported by five laws. These include specific regulations outlined in the Law on Transparency and Access to Public Information. Additionally, this guarantee is reinforced by 17 municipal ordinances.</w:t>
      </w:r>
    </w:p>
    <w:p w14:paraId="78044491" w14:textId="67D4A250"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 xml:space="preserve">46. </w:t>
      </w:r>
      <w:r w:rsidRPr="003C2323">
        <w:rPr>
          <w:rFonts w:asciiTheme="majorHAnsi" w:eastAsia="Calibri" w:hAnsiTheme="majorHAnsi" w:cstheme="majorHAnsi"/>
          <w:b/>
          <w:i/>
          <w:iCs/>
        </w:rPr>
        <w:t>Challenges to Accessing Information</w:t>
      </w:r>
      <w:r w:rsidRPr="003C2323">
        <w:rPr>
          <w:rFonts w:asciiTheme="majorHAnsi" w:eastAsia="Calibri" w:hAnsiTheme="majorHAnsi" w:cstheme="majorHAnsi"/>
          <w:b/>
        </w:rPr>
        <w:t>:</w:t>
      </w:r>
      <w:r w:rsidRPr="003C2323">
        <w:rPr>
          <w:rFonts w:asciiTheme="majorHAnsi" w:eastAsia="Calibri" w:hAnsiTheme="majorHAnsi" w:cstheme="majorHAnsi"/>
        </w:rPr>
        <w:t xml:space="preserve"> Nonetheless, the discontinuation of official statistical publications, dating back to at least 2011 in the case of the radio-electric spectrum and with a two-year delay for telecommunications, along with the confidentiality of civil service consultations and the denial of access to journalistic teams for government agenda coverage, effectively exemplify the fifth strategy through which the State controls what it </w:t>
      </w:r>
      <w:r w:rsidRPr="003C2323">
        <w:rPr>
          <w:rFonts w:asciiTheme="majorHAnsi" w:eastAsia="Calibri" w:hAnsiTheme="majorHAnsi" w:cstheme="majorHAnsi"/>
        </w:rPr>
        <w:lastRenderedPageBreak/>
        <w:t>considers sensitive information related to its management or the true extent of the complex humanitarian crisis in the country.</w:t>
      </w:r>
    </w:p>
    <w:p w14:paraId="3D3D30BE" w14:textId="6363B2A0"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 xml:space="preserve">47. </w:t>
      </w:r>
      <w:r w:rsidRPr="003C2323">
        <w:rPr>
          <w:rFonts w:asciiTheme="majorHAnsi" w:eastAsia="Calibri" w:hAnsiTheme="majorHAnsi" w:cstheme="majorHAnsi"/>
          <w:b/>
          <w:i/>
          <w:iCs/>
        </w:rPr>
        <w:t>Disinformation Impact on Public Discourse</w:t>
      </w:r>
      <w:r w:rsidRPr="003C2323">
        <w:rPr>
          <w:rFonts w:asciiTheme="majorHAnsi" w:eastAsia="Calibri" w:hAnsiTheme="majorHAnsi" w:cstheme="majorHAnsi"/>
          <w:b/>
        </w:rPr>
        <w:t>:</w:t>
      </w:r>
      <w:r w:rsidRPr="003C2323">
        <w:rPr>
          <w:rFonts w:asciiTheme="majorHAnsi" w:eastAsia="Calibri" w:hAnsiTheme="majorHAnsi" w:cstheme="majorHAnsi"/>
        </w:rPr>
        <w:t xml:space="preserve"> In this context, disinformation campaigns amplified by the government propaganda apparatus saturate the public space and obstruct any opportunities for open and well-documented debates on events, thereby undermining equitable conditions for the citizenry.</w:t>
      </w:r>
    </w:p>
    <w:p w14:paraId="2C674F01" w14:textId="1CD7D797" w:rsidR="00587E12" w:rsidRPr="006F65B3" w:rsidRDefault="00000000" w:rsidP="006F65B3">
      <w:pPr>
        <w:spacing w:before="240" w:after="240"/>
        <w:ind w:left="360"/>
        <w:rPr>
          <w:rFonts w:asciiTheme="majorHAnsi" w:eastAsia="Calibri" w:hAnsiTheme="majorHAnsi" w:cstheme="majorHAnsi"/>
          <w:b/>
        </w:rPr>
      </w:pPr>
      <w:r w:rsidRPr="003C2323">
        <w:rPr>
          <w:rFonts w:asciiTheme="majorHAnsi" w:eastAsia="Calibri" w:hAnsiTheme="majorHAnsi" w:cstheme="majorHAnsi"/>
          <w:b/>
        </w:rPr>
        <w:t>IV.    The transformation of the media system in Venezuela and the right to information</w:t>
      </w:r>
    </w:p>
    <w:p w14:paraId="6B8659E1" w14:textId="1305AA66" w:rsidR="00587E12" w:rsidRPr="006F65B3" w:rsidRDefault="00000000" w:rsidP="006F65B3">
      <w:pPr>
        <w:numPr>
          <w:ilvl w:val="0"/>
          <w:numId w:val="7"/>
        </w:numPr>
        <w:spacing w:after="240"/>
        <w:rPr>
          <w:rFonts w:asciiTheme="majorHAnsi" w:hAnsiTheme="majorHAnsi" w:cstheme="majorHAnsi"/>
        </w:rPr>
      </w:pPr>
      <w:r w:rsidRPr="003C2323">
        <w:rPr>
          <w:rFonts w:asciiTheme="majorHAnsi" w:eastAsia="Calibri" w:hAnsiTheme="majorHAnsi" w:cstheme="majorHAnsi"/>
        </w:rPr>
        <w:t>Simultaneously, the current state of the media system in Venezuela reveals the gradual disappearance of traditional media, their substitution by propagandistic state outlets, the persecution of media outlets and journalists critical of the government, and the pervasive presence of information control and censorship</w:t>
      </w:r>
      <w:r w:rsidR="003326E5">
        <w:rPr>
          <w:rStyle w:val="EndnoteReference"/>
          <w:rFonts w:asciiTheme="majorHAnsi" w:eastAsia="Calibri" w:hAnsiTheme="majorHAnsi" w:cstheme="majorHAnsi"/>
        </w:rPr>
        <w:endnoteReference w:id="10"/>
      </w:r>
      <w:r w:rsidRPr="003C2323">
        <w:rPr>
          <w:rFonts w:asciiTheme="majorHAnsi" w:eastAsia="Calibri" w:hAnsiTheme="majorHAnsi" w:cstheme="majorHAnsi"/>
        </w:rPr>
        <w:t>.</w:t>
      </w:r>
    </w:p>
    <w:p w14:paraId="1C32EAA0" w14:textId="77777777" w:rsidR="00587E12" w:rsidRPr="003C2323" w:rsidRDefault="00000000" w:rsidP="003C2323">
      <w:pPr>
        <w:numPr>
          <w:ilvl w:val="0"/>
          <w:numId w:val="7"/>
        </w:numPr>
        <w:spacing w:after="240"/>
        <w:rPr>
          <w:rFonts w:asciiTheme="majorHAnsi" w:hAnsiTheme="majorHAnsi" w:cstheme="majorHAnsi"/>
        </w:rPr>
      </w:pPr>
      <w:r w:rsidRPr="003C2323">
        <w:rPr>
          <w:rFonts w:asciiTheme="majorHAnsi" w:eastAsia="Calibri" w:hAnsiTheme="majorHAnsi" w:cstheme="majorHAnsi"/>
        </w:rPr>
        <w:t>In addition to actions that exploit legal loopholes or gaps, the strategy of hegemonic control over the media landscape has authorized, tolerated, or turned a blind eye to practices by state, parastatal, and pro-government media entities and actors that, either openly or covertly, promote campaigns involving damage to reputations, verbal threats, digital and physical harassment, physical assaults, equipment theft, and damage during the coverage of street events. In 2021, the National College of Journalists (CNP) documented 251 incidents of aggression against the press. Of these, at least half belong to this category: digital media blockades (55), arbitrary detentions (18), cases of intimidation (27), hindrances to journalistic coverage (46), radio station closures (9), physical assaults (2), harassment (28), threats (22), radio program closures (10), intimidation (13), equipment seizures (7), cell phone confiscations (2), equipment thefts (3), among other incidents."</w:t>
      </w:r>
    </w:p>
    <w:p w14:paraId="685FC687"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50. The virtual disappearance of traditional media, partly due to their acquisition by entities closely affiliated with the government, has not only resulted in a reduction of available news outlets in the country but has also led to the vanishing of journalists and commentators who, in the past, served as media pillars. This, in turn, has led to the eradication of criticism, pluralistic debates, and public opinion in Venezuela, leaving propaganda, manipulation, and the dissemination of false news as integral components of the daily information landscape for Venezuelans. Meanwhile, social networks have evolved into platforms for not only legitimate expressions of dissent but also channels for disseminating messages opposed to any initiatives focused on reconciliation and dialogue.</w:t>
      </w:r>
    </w:p>
    <w:p w14:paraId="3D50110B"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52. Academic, journalistic, and civil activist research on human rights has been consistently highlighting the significant reduction in the number and editorial diversity of traditional media outlets in Venezuela since 2007. This decline can be attributed to the impact of hegemonic control over the media ecosystem and the aforementioned practices of public information.</w:t>
      </w:r>
    </w:p>
    <w:p w14:paraId="43AAB155"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 xml:space="preserve">53. Incorporated as a crosscutting element of the Homeland Plans for 2007-2013, 2013-2019, and 2019-2025, communicational hegemony has effectively achieved its objectives. As of November 2, 2018, the National Union of Press Workers (SNTP) reported that since 2013, </w:t>
      </w:r>
      <w:r w:rsidRPr="003C2323">
        <w:rPr>
          <w:rFonts w:asciiTheme="majorHAnsi" w:eastAsia="Calibri" w:hAnsiTheme="majorHAnsi" w:cstheme="majorHAnsi"/>
        </w:rPr>
        <w:lastRenderedPageBreak/>
        <w:t>when Hugo Chávez's death marked the beginning of Nicolás Maduro's first government, a total of 115 media companies, including 41 newspapers, 65 radio stations, and 8 television channels, had either temporarily or permanently ceased operations. In 2019, an additional 27 radio stations, 2 regional channels, and 7 foreign television stations exited the media landscape. In 2020, 18 radio stations and 4 newspapers were removed from the country's media offerings.</w:t>
      </w:r>
    </w:p>
    <w:p w14:paraId="0661D7A9"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54. While there is abundant data available from organizations that monitor the media ecosystem, the figures often diverge. The varying numbers of media outlets reported as closed in the country can be attributed to differences in methodology, depending on the source and the reporting period.</w:t>
      </w:r>
    </w:p>
    <w:p w14:paraId="729B1056" w14:textId="05AA2D14"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55. In terms of official data, as previously mentioned, access to sources is restricted, and the Statistical Reports available on the Conatel website only extend up to 2011. To compile this report, research relied on the Reports presented by the Venezuelan government to the UN Human Rights Council during its Universal Periodic Review (UPR). The most recent Report, as of February 2022, indicated 1,539 active radio media, a figure significantly different from the data provided by independent research teams discussed earlier</w:t>
      </w:r>
      <w:r w:rsidR="003326E5">
        <w:rPr>
          <w:rStyle w:val="EndnoteReference"/>
          <w:rFonts w:asciiTheme="majorHAnsi" w:eastAsia="Calibri" w:hAnsiTheme="majorHAnsi" w:cstheme="majorHAnsi"/>
        </w:rPr>
        <w:endnoteReference w:id="11"/>
      </w:r>
      <w:r w:rsidRPr="003C2323">
        <w:rPr>
          <w:rFonts w:asciiTheme="majorHAnsi" w:eastAsia="Calibri" w:hAnsiTheme="majorHAnsi" w:cstheme="majorHAnsi"/>
        </w:rPr>
        <w:t>.</w:t>
      </w:r>
    </w:p>
    <w:p w14:paraId="41CE97F2"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 xml:space="preserve">56. </w:t>
      </w:r>
      <w:r w:rsidRPr="006F65B3">
        <w:rPr>
          <w:rFonts w:asciiTheme="majorHAnsi" w:eastAsia="Calibri" w:hAnsiTheme="majorHAnsi" w:cstheme="majorHAnsi"/>
          <w:b/>
          <w:bCs/>
          <w:i/>
          <w:iCs/>
        </w:rPr>
        <w:t>Traditional Media</w:t>
      </w:r>
      <w:r w:rsidRPr="003C2323">
        <w:rPr>
          <w:rFonts w:asciiTheme="majorHAnsi" w:eastAsia="Calibri" w:hAnsiTheme="majorHAnsi" w:cstheme="majorHAnsi"/>
        </w:rPr>
        <w:t>: In the case of print media, the impact of the state monopoly on newsprint and the discretionary allocation of quotas for paper and foreign currency has been devastating. This, coupled with the influence of global trends, the forced migration of printing facilities, and the erosion of income, has seemingly minimized the feasibility and interest in reopening or establishing new newspapers.</w:t>
      </w:r>
    </w:p>
    <w:p w14:paraId="2DA7FD8D"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57. The situation of radio media, particularly radio stations, differs. In a more conservative scenario, the reassignment of frequencies not renewed by Conatel since 2009 or those shut down due to operational challenges or technological obsolescence could have maintained the size and relative importance of this subsystem within the overall media landscape.</w:t>
      </w:r>
    </w:p>
    <w:p w14:paraId="20B6CD83" w14:textId="2971A086"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58. Since Conatel has not published updated reports since 2011, Observe did not have access to data to determine how many of the revoked licenses were reassigned and are currently active, or who the new operators are. Nor could it ascertain the number or identity of new frequencies allocated within the congested radio spectrum. However, according to the EPU 2022 Report, 'between 2020 and the first quarter of 2021, 10 new AM radio stations (100% private), 70 FM radio stations (67% public, 24% private, and 8% community), and one open television station[x] were authorized</w:t>
      </w:r>
      <w:r w:rsidR="00C21772">
        <w:rPr>
          <w:rStyle w:val="EndnoteReference"/>
          <w:rFonts w:asciiTheme="majorHAnsi" w:eastAsia="Calibri" w:hAnsiTheme="majorHAnsi" w:cstheme="majorHAnsi"/>
        </w:rPr>
        <w:endnoteReference w:id="12"/>
      </w:r>
      <w:r w:rsidRPr="003C2323">
        <w:rPr>
          <w:rFonts w:asciiTheme="majorHAnsi" w:eastAsia="Calibri" w:hAnsiTheme="majorHAnsi" w:cstheme="majorHAnsi"/>
        </w:rPr>
        <w:t>.</w:t>
      </w:r>
    </w:p>
    <w:p w14:paraId="1FF6D26A"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59. In this regard, it is imperative to recommend that the positioning or editorial stance of these stations be disclosed, as the mere quantity of stations on the air does not inherently guarantee editorial diversity, a crucial requirement for a robust media ecosystem self-regulated through democratic mechanisms.</w:t>
      </w:r>
    </w:p>
    <w:p w14:paraId="5AF2EC58"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 xml:space="preserve">60. Open Digital Television (TDA/TDT) and Satellite Television (FDA) are under state administration. In the case of TDA-TDT, out of the 21 included channels, five are international signals whose editorial direction supports Nicolás Maduro's administration: </w:t>
      </w:r>
      <w:r w:rsidRPr="003C2323">
        <w:rPr>
          <w:rFonts w:asciiTheme="majorHAnsi" w:eastAsia="Calibri" w:hAnsiTheme="majorHAnsi" w:cstheme="majorHAnsi"/>
        </w:rPr>
        <w:lastRenderedPageBreak/>
        <w:t>Telesur, a multi-state consortium sponsored by Venezuela, and four others representing strategically allied countries in global geopolitics (Russia, China, Iran, and Argentina).</w:t>
      </w:r>
    </w:p>
    <w:p w14:paraId="3461E2E2"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61. Among the 16 channels that complete the network, there is the SiBCI-Aliados network, along with Meridiano TV (private, sports, no news broadcasts), La Tele Tuya (private, owned by individuals closely associated with the government, sports, entertainment, no national news broadcasts), and Televen.</w:t>
      </w:r>
    </w:p>
    <w:p w14:paraId="2A49B5B2"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62. The FDA package introduces an additional 28 international television stations, including public channels from Cuba, Nicaragua, Mexico, and Ecuador. Several of these channels are public and, due to the ideological and political alignment of their respective governments, are also sympathetic to the pro-government perspective.</w:t>
      </w:r>
    </w:p>
    <w:p w14:paraId="68CC2CFA"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63. The selection of Venezuelan television stations remains at 16, all of which have nationwide coverage. This includes ten public channels, including VTV, the parent company of SiBCI, and six private channels, such as Globovisión, Venevisión, and Televen. The package also encompasses 10 radio stations from the SiBCI-Aliados network, bringing the total number of channels to 60.</w:t>
      </w:r>
    </w:p>
    <w:p w14:paraId="7BE65F50"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64. According to CONATEL's 2019 report, 45.32 percent of cable television service subscribers (equivalent to 1,993,789 Venezuelans) were subscribed to DIRECTV. The total number of subscription television users in the country for 2019, according to CONATEL, stood at 4,399,721. In May 2020, DIRECTV ceased broadcasting through cable operators in the country, exacerbating the situation described in this section. This action deprived 45.32 percent of cable television service subscribers (1,993,789 Venezuelans) of access to foreign channels' news broadcasts, which covered current Venezuelan affairs.</w:t>
      </w:r>
    </w:p>
    <w:p w14:paraId="4FE380DD"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 xml:space="preserve">65. </w:t>
      </w:r>
      <w:r w:rsidRPr="00B53CEF">
        <w:rPr>
          <w:rFonts w:asciiTheme="majorHAnsi" w:eastAsia="Calibri" w:hAnsiTheme="majorHAnsi" w:cstheme="majorHAnsi"/>
          <w:b/>
          <w:bCs/>
          <w:i/>
          <w:iCs/>
        </w:rPr>
        <w:t>Digital Media</w:t>
      </w:r>
      <w:r w:rsidRPr="003C2323">
        <w:rPr>
          <w:rFonts w:asciiTheme="majorHAnsi" w:eastAsia="Calibri" w:hAnsiTheme="majorHAnsi" w:cstheme="majorHAnsi"/>
        </w:rPr>
        <w:t>: The sources consulted for this report highlight the proliferation of digital communication options and their increasing impact on the Venezuelan media landscape over the past decade. The growth of this sector has been explosive and disorganized, making it challenging to observe without establishing criteria for selection, monitoring, and analysis.</w:t>
      </w:r>
    </w:p>
    <w:p w14:paraId="65D3816A"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66. Globally, hybrid and migrated media are typically defined by their cause-and-effect relationship with traditional media, while native media are initiatives that originate on the Internet. In Venezuela, however, several of the founding members, directors, and journalists of digital native media have backgrounds as journalists who were previously part of the staff of newspapers, radio, and television stations that were closed due to state hegemonic intervention.</w:t>
      </w:r>
    </w:p>
    <w:p w14:paraId="7E18A542" w14:textId="61692A86"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67. Hybrid media refers to newspapers, radio stations, and television stations that operate simultaneously in their original format and in the digital environment. In fact, dual-format traditional media were already prevalent in 2007. Communicologist Marcelino Bisbal reported at that time that out of the 111 active newspapers, 72 already had digitalized versions, and some of them were already publishing online editions</w:t>
      </w:r>
      <w:r w:rsidR="00C21772">
        <w:rPr>
          <w:rStyle w:val="EndnoteReference"/>
          <w:rFonts w:asciiTheme="majorHAnsi" w:eastAsia="Calibri" w:hAnsiTheme="majorHAnsi" w:cstheme="majorHAnsi"/>
        </w:rPr>
        <w:endnoteReference w:id="13"/>
      </w:r>
      <w:r w:rsidRPr="003C2323">
        <w:rPr>
          <w:rFonts w:asciiTheme="majorHAnsi" w:eastAsia="Calibri" w:hAnsiTheme="majorHAnsi" w:cstheme="majorHAnsi"/>
        </w:rPr>
        <w:t>. Regarding radio and TV, he noted limited progress in both the transition to digital technology for their primary signals and the retransmission of the hertzian signal via the Internet.</w:t>
      </w:r>
    </w:p>
    <w:p w14:paraId="1288C872" w14:textId="3CF473AC"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lastRenderedPageBreak/>
        <w:t>68. Fifteen years later, there is limited data available on hybrid media, with a particular focus on print media. Espacio Público and CDH-UCAB reported in April 2021 that there were 26 dual-format media outlets, without providing a breakdown. However, upon analyzing the database of this study, it was discovered that out of the twenty-six, 14 are radio stations, 9 are newspapers, and the remaining 3 are regional news agencies or content curators</w:t>
      </w:r>
      <w:r w:rsidR="00C21772">
        <w:rPr>
          <w:rStyle w:val="EndnoteReference"/>
          <w:rFonts w:asciiTheme="majorHAnsi" w:eastAsia="Calibri" w:hAnsiTheme="majorHAnsi" w:cstheme="majorHAnsi"/>
        </w:rPr>
        <w:endnoteReference w:id="14"/>
      </w:r>
      <w:r w:rsidRPr="003C2323">
        <w:rPr>
          <w:rFonts w:asciiTheme="majorHAnsi" w:eastAsia="Calibri" w:hAnsiTheme="majorHAnsi" w:cstheme="majorHAnsi"/>
        </w:rPr>
        <w:t>.</w:t>
      </w:r>
    </w:p>
    <w:p w14:paraId="247E6D72"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69. Although it was not feasible to quantify the growth of radio and television stations offering multiplatform options to simultaneously rebroadcast their content along with the hertzian signal (via streaming) or deferred through their own applications or free and subscriber portals-repositories (such as RadioCut, SoundCloud, Ivoox, Spotify, TuneIn) and social networks, especially YouTube and Instagram.</w:t>
      </w:r>
    </w:p>
    <w:p w14:paraId="21397273"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70. The category 'Migrated Media' encompasses traditional media outlets that have ceased operations in their original format and now exclusively maintain digital versions. Once again, the available information primarily focuses on print media and provides varying data.</w:t>
      </w:r>
    </w:p>
    <w:p w14:paraId="33E87CEC"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71. As of April 2021, Espacio Público reported 42 active companies (3 television stations, 3 radio stations, and 36 newspapers) with online websites offering news content. Other sources reported data for the same time frame but focused only on print media. Prodavinci counted 59 migrated newspapers, while IPYS Venezuela reported 50 with online websites and three that broadcast exclusively on social networks.</w:t>
      </w:r>
    </w:p>
    <w:p w14:paraId="790D26B9" w14:textId="6143AD46"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72. Various statistical reports on Internet usage in the country, based on big data, indicate that these activities are not primarily associated with the search for news information. In fact, when comparing the 20 most visited websites in Venezuela in 2021, according to three highly credible international sources—We Are Social/Kepios, Alexa, and Similar Web—the results do not include digital media outlets or generalist portals that produce news content</w:t>
      </w:r>
      <w:r w:rsidR="00C21772">
        <w:rPr>
          <w:rStyle w:val="EndnoteReference"/>
          <w:rFonts w:asciiTheme="majorHAnsi" w:eastAsia="Calibri" w:hAnsiTheme="majorHAnsi" w:cstheme="majorHAnsi"/>
        </w:rPr>
        <w:endnoteReference w:id="15"/>
      </w:r>
      <w:r w:rsidRPr="003C2323">
        <w:rPr>
          <w:rFonts w:asciiTheme="majorHAnsi" w:eastAsia="Calibri" w:hAnsiTheme="majorHAnsi" w:cstheme="majorHAnsi"/>
        </w:rPr>
        <w:t>.</w:t>
      </w:r>
    </w:p>
    <w:p w14:paraId="089381DE"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73. In September 2021, journalist Arnaldo Espinoza observed the same phenomenon when reviewing the Alexa top 150 ranking for that day and put forth hypotheses regarding probable causes: Only 6 Venezuelan media outlets (La Patilla, La Iguana, El Diario, El Nacional, Banca y Negocios, and Últimas Noticias) appeared among the 150 most visited websites in Venezuela, according to the Alexa ranking. All of them ranked below the Top 50.</w:t>
      </w:r>
    </w:p>
    <w:p w14:paraId="1DE9E277"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74. On the same date in 2015, three Venezuelan media outlets held positions in the Top 25 (La Patilla, El Nacional, El Estímulo), and seven were in the Top 50 (El Universal, Últimas Noticias, Aporrea, and Runrunes). This demonstrates that censorship of digital media has had an impact on readership.</w:t>
      </w:r>
    </w:p>
    <w:p w14:paraId="30A1A747"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75. The 2021 Report by the NGO Venezuela Inteligente on digital rights in Venezuela documented the blocking of 44 news websites, cyberattacks on the servers hosting them, reputational damage, intimidation, and harassment against companies and journalists. There were even instances where Conatel exerted pressure to remove content from several of the monitored websites, an unusual practice in the country before 2021 for these platforms.</w:t>
      </w:r>
    </w:p>
    <w:p w14:paraId="449B2389"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lastRenderedPageBreak/>
        <w:t>76. Venezuela Inteligente also monitored incidents affecting the digital subsystem, particularly during the campaign. During that period, 49 websites were blocked, including 35 news portals, six of which were part of a corpus: El Pitazo, La Patilla, Punto de Corte, Efecto Cocuyo, Aporrea, and Diario 2001 Online.</w:t>
      </w:r>
    </w:p>
    <w:p w14:paraId="0EAF2952"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77. It is important to note that these blockades were not only enforced by Cantv and Movilnet, state-owned internet service providers, but also through government directives to private providers, instructing them to block specific news websites individually or collectively. This made access to these websites impossible for most or all users at times.</w:t>
      </w:r>
    </w:p>
    <w:p w14:paraId="70D0ED80" w14:textId="77777777" w:rsidR="00587E12" w:rsidRPr="003C2323" w:rsidRDefault="00000000" w:rsidP="003C2323">
      <w:pPr>
        <w:spacing w:before="240" w:after="240"/>
        <w:ind w:left="720"/>
        <w:rPr>
          <w:rFonts w:asciiTheme="majorHAnsi" w:eastAsia="Calibri" w:hAnsiTheme="majorHAnsi" w:cstheme="majorHAnsi"/>
        </w:rPr>
      </w:pPr>
      <w:r w:rsidRPr="003C2323">
        <w:rPr>
          <w:rFonts w:asciiTheme="majorHAnsi" w:eastAsia="Calibri" w:hAnsiTheme="majorHAnsi" w:cstheme="majorHAnsi"/>
        </w:rPr>
        <w:t>78. In its report on the 21N elections, Venezuela Inteligente stated: 'It is evident that the vast majority of the listed domains are blocked by at least five of the six ISPs (75%), and more than half are blocked by all of them. The other significant scenario is blocking by only one ISP (19.64%), with the state-owned CANTV consistently censoring in these cases.'</w:t>
      </w:r>
    </w:p>
    <w:p w14:paraId="1A3448FB" w14:textId="77777777"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79. Social Networks and Mobile Messaging: The trends mentioned for the electronic media subsystem gain exponential scale in the case of social networks and mobile messaging applications (including Facebook, TikTok, YouTube, Instagram, Twitter, and WhatsApp) which reported a growth of 10.4% by 2021.</w:t>
      </w:r>
    </w:p>
    <w:p w14:paraId="62E073DD" w14:textId="77777777"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80. Furthermore, the challenges in validating statistics regarding the true scale and penetration of the Internet become more pronounced in the case of social networks, particularly mobile messaging apps like WhatsApp. This is because access to groups typically requires an invitation, and all conversations, whether one-on-one or group chats, are encrypted.</w:t>
      </w:r>
    </w:p>
    <w:p w14:paraId="57C9C558" w14:textId="77777777"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81. Regarding the total number of users, We Are Social-Kepios also highlights that, similar to mobile phone lines, an indeterminate number of users do not represent individuals but non-human entities, such as companies, organizations, associations, and other entities of diverse origins, yet they are still counted as users. Additionally, the same person may open multiple accounts on the same network, distinguishing, for instance, between personal and professional interactions.</w:t>
      </w:r>
    </w:p>
    <w:p w14:paraId="72A4958F" w14:textId="77777777"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82. However, as previously cautioned, the core issue concerning false users centers on bots (automated, non-human applications) and multi-profile users (individuals managing multiple accounts, such as cyborgs and trolls) working in tandem on networks to disseminate disinformation and hate-filled content that disrupts public discourse and hampers effective democratic debates on matters of common interest.</w:t>
      </w:r>
    </w:p>
    <w:p w14:paraId="2F0A91ED" w14:textId="77777777"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83. While it's true that in recent years, in response to government demands, some major technology conglomerates have been monitoring and controlling disinformation and hate operations on their platforms, controversies have arisen, such as the purchase of Twitter by Elon Musk, which brought to light that these tech giants may not fully disclose the number of false users on their platforms, even when it comes to buying and selling companies.</w:t>
      </w:r>
    </w:p>
    <w:p w14:paraId="438CF80E" w14:textId="77777777"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 xml:space="preserve">84. According to global statistics, YouTube was the second most visited and searched website on the Internet in Venezuela during 2021, only surpassed by Google. Within the platform, content consumption was primarily focused on music (11), movies (5), video games (1), and TikTok (2). </w:t>
      </w:r>
      <w:r w:rsidRPr="003C2323">
        <w:rPr>
          <w:rFonts w:asciiTheme="majorHAnsi" w:eastAsia="Calibri" w:hAnsiTheme="majorHAnsi" w:cstheme="majorHAnsi"/>
        </w:rPr>
        <w:lastRenderedPageBreak/>
        <w:t>However, if we shift our focus to other social networks, users and opinion polls indicate a strong interest in political topics and national and international events.</w:t>
      </w:r>
    </w:p>
    <w:p w14:paraId="2F5C4D1F" w14:textId="5226A4CB" w:rsidR="00B53CEF"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85. Social networks and mobile messaging applications have been experiencing sustained growth in the country, a trend that has been further amplified since March 2020 due to the global COVID-19 pandemic[xiv]."</w:t>
      </w:r>
    </w:p>
    <w:p w14:paraId="558CCBA6" w14:textId="381410E5" w:rsidR="00587E12" w:rsidRPr="00B53CEF" w:rsidRDefault="00000000" w:rsidP="00B53CEF">
      <w:pPr>
        <w:spacing w:before="240" w:after="240"/>
        <w:rPr>
          <w:rFonts w:asciiTheme="majorHAnsi" w:eastAsia="Times New Roman" w:hAnsiTheme="majorHAnsi" w:cstheme="majorHAnsi"/>
        </w:rPr>
      </w:pPr>
      <w:r w:rsidRPr="003C2323">
        <w:rPr>
          <w:rFonts w:asciiTheme="majorHAnsi" w:eastAsia="Calibri" w:hAnsiTheme="majorHAnsi" w:cstheme="majorHAnsi"/>
          <w:b/>
        </w:rPr>
        <w:t xml:space="preserve">V.              Difficulties to keep informed in </w:t>
      </w:r>
      <w:r w:rsidR="00B53CEF" w:rsidRPr="003C2323">
        <w:rPr>
          <w:rFonts w:asciiTheme="majorHAnsi" w:eastAsia="Calibri" w:hAnsiTheme="majorHAnsi" w:cstheme="majorHAnsi"/>
          <w:b/>
        </w:rPr>
        <w:t>Venezuela.</w:t>
      </w:r>
    </w:p>
    <w:p w14:paraId="156D78C6" w14:textId="77777777"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86. The transformation of the traditional media system, coupled with the circumstances created by the economic, energy, and humanitarian crisis that has afflicted the country since 2015, played a pivotal role in reshaping the news consumption habits of Venezuelans, particularly in the interior regions of the country.</w:t>
      </w:r>
    </w:p>
    <w:p w14:paraId="23BEF2C3" w14:textId="77777777"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87. The Venezuelan population not only has fewer opportunities to stay informed but also exhibits diminishing interest in doing so. According to a qualitative research study conducted by the OGCD and ININCO in 2019, a significant segment of Venezuelans, burdened by daily survival necessities, appears to have narrowed their information intake to immediate news relevant to solving daily concerns. This may include topics such as the black market foreign currency exchange rates, government-distributed social benefits, salary adjustments, or passport application-related updates.</w:t>
      </w:r>
    </w:p>
    <w:p w14:paraId="6F73EA78" w14:textId="77777777"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88. In 2019, political news, investigative reporting, and opinion columns ranked among the least read forms of journalism in the country. This trend transcends the social status of Venezuelans, with Mondays seeing the highest readership since news consumers are mainly seeking information to 'kickstart' their week.</w:t>
      </w:r>
    </w:p>
    <w:p w14:paraId="4CF6F04F" w14:textId="77777777"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89. In Venezuela, being informed primarily means having access to information that helps individuals prevent potentially hazardous situations, as highlighted by participants in focus groups conducted by Lupa ININCO in 2019 and 2020. For those residing in rural areas, this imperative is viewed as a key indicator of their quality of life—a condition they feel they have lost and have come to accept with a sense of grief and resignation. All of them pointed to the media as essential tools for staying informed.</w:t>
      </w:r>
    </w:p>
    <w:p w14:paraId="386DE423" w14:textId="77777777"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90. Regarding content preferences, citizens noted that after immediate news, they tend to favor entertainment content. Nearly 80 percent of the content consumed by Venezuelans is related to entertainment. In today's Venezuela, the population not only faces decreasing opportunities for staying informed but, within the context of daily hardships, exhibits declining interest in doing so.</w:t>
      </w:r>
    </w:p>
    <w:p w14:paraId="6AD5D998" w14:textId="77777777"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 xml:space="preserve">91. </w:t>
      </w:r>
      <w:r w:rsidRPr="00B53CEF">
        <w:rPr>
          <w:rFonts w:asciiTheme="majorHAnsi" w:eastAsia="Calibri" w:hAnsiTheme="majorHAnsi" w:cstheme="majorHAnsi"/>
          <w:b/>
          <w:bCs/>
          <w:i/>
          <w:iCs/>
        </w:rPr>
        <w:t>Disappearance of Public Opinion</w:t>
      </w:r>
      <w:r w:rsidRPr="003C2323">
        <w:rPr>
          <w:rFonts w:asciiTheme="majorHAnsi" w:eastAsia="Calibri" w:hAnsiTheme="majorHAnsi" w:cstheme="majorHAnsi"/>
        </w:rPr>
        <w:t>: The disappearance of the traditional media system in Venezuela has resulted in the loss of the conditions necessary for the formation of public opinion. Even with severe limitations, until at least five years ago, discussions on matters of general interest in Venezuela occurred in a shared public space largely dominated by media companies.</w:t>
      </w:r>
    </w:p>
    <w:p w14:paraId="290995FB" w14:textId="77777777"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92. In Venezuela, there are no prominent figures or institutions that address and bring into the public sphere the various facets of Venezuelan reality. The loss of the conditions that once facilitated the national discourse on collective matters is one of the key indicators for assessing the extent to which Venezuela has deviated from the democratic parameters.</w:t>
      </w:r>
    </w:p>
    <w:p w14:paraId="6FCB781A" w14:textId="77777777"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lastRenderedPageBreak/>
        <w:t>93. Along with the disappearance of public opinion, not only did the thematic structure of public communication vanish, but so did the opportunity for society to exert influence on the decision-making process through collective discussions on the country's most pressing issues.</w:t>
      </w:r>
    </w:p>
    <w:p w14:paraId="6BCB66F1" w14:textId="77777777"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94. The process of shaping public opinion has been supplanted by a collection of private opinions circulating on social networks, serving as a means of personal reinforcement amidst the information chaos.</w:t>
      </w:r>
    </w:p>
    <w:p w14:paraId="75392229" w14:textId="77777777"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 xml:space="preserve">95. </w:t>
      </w:r>
      <w:r w:rsidRPr="00B53CEF">
        <w:rPr>
          <w:rFonts w:asciiTheme="majorHAnsi" w:eastAsia="Calibri" w:hAnsiTheme="majorHAnsi" w:cstheme="majorHAnsi"/>
          <w:b/>
          <w:bCs/>
          <w:i/>
          <w:iCs/>
        </w:rPr>
        <w:t>Internet Accessibility Challenges</w:t>
      </w:r>
      <w:r w:rsidRPr="003C2323">
        <w:rPr>
          <w:rFonts w:asciiTheme="majorHAnsi" w:eastAsia="Calibri" w:hAnsiTheme="majorHAnsi" w:cstheme="majorHAnsi"/>
        </w:rPr>
        <w:t>: In addition to the obstacles presented by censorship and the decline of traditional media, Venezuelans are now contending with significant difficulties in accessing the Internet. Official figures published in 2020 by the Venezuelan telecommunications regulator, CONATEL, indicate a nearly two percent decrease in the number of Internet users in the country compared to the previous year. The number dropped from 18,699,099 users in the first quarter of 2018 to 18,232,568 users in the second quarter of 2019, representing a penetration rate of 59 percent.</w:t>
      </w:r>
    </w:p>
    <w:p w14:paraId="2BE06D6A" w14:textId="56A02F39"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96. This trend has persisted, as per the data from the report for the last quarter of 2022 released by CONATEL. The total number of Internet subscribers reached 17,402,270 subscriptions, with 79.40 percent (13,818,471) connecting to the Internet via their mobile devices. Subscribers to residential services accounted for 13.97 percent, while the remaining connections were made through Mobile Broadband or BAM services (5.39 percent), and a small percentage of users still connect through non-residential services (1.24 percen</w:t>
      </w:r>
      <w:r w:rsidRPr="000904C0">
        <w:rPr>
          <w:rFonts w:asciiTheme="majorHAnsi" w:eastAsia="Calibri" w:hAnsiTheme="majorHAnsi" w:cstheme="majorHAnsi"/>
        </w:rPr>
        <w:t>t)</w:t>
      </w:r>
      <w:r w:rsidR="009B7B73" w:rsidRPr="000904C0">
        <w:rPr>
          <w:rStyle w:val="EndnoteReference"/>
          <w:rFonts w:asciiTheme="majorHAnsi" w:eastAsia="Calibri" w:hAnsiTheme="majorHAnsi" w:cstheme="majorHAnsi"/>
        </w:rPr>
        <w:endnoteReference w:id="16"/>
      </w:r>
      <w:r w:rsidRPr="000904C0">
        <w:rPr>
          <w:rFonts w:asciiTheme="majorHAnsi" w:eastAsia="Calibri" w:hAnsiTheme="majorHAnsi" w:cstheme="majorHAnsi"/>
          <w:vertAlign w:val="superscript"/>
        </w:rPr>
        <w:footnoteReference w:id="1"/>
      </w:r>
      <w:r w:rsidRPr="000904C0">
        <w:rPr>
          <w:rFonts w:asciiTheme="majorHAnsi" w:eastAsia="Calibri" w:hAnsiTheme="majorHAnsi" w:cstheme="majorHAnsi"/>
        </w:rPr>
        <w:t>.</w:t>
      </w:r>
    </w:p>
    <w:p w14:paraId="5BD25259" w14:textId="77777777"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97. Other sources, such as We Are Social, provide notably different figures concerning connectivity and access in the country. Meanwhile, the Venezuelan Observatory of Public Services and VESinFiltro highlight the other aspect of this issue: the quality of Internet service and the prevalence of blocking and phishing activities targeting various types of websites.</w:t>
      </w:r>
    </w:p>
    <w:p w14:paraId="2EAE0E2E" w14:textId="421ABF7A"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 xml:space="preserve">98. The </w:t>
      </w:r>
      <w:r w:rsidR="00B53CEF" w:rsidRPr="003C2323">
        <w:rPr>
          <w:rFonts w:asciiTheme="majorHAnsi" w:eastAsia="Calibri" w:hAnsiTheme="majorHAnsi" w:cstheme="majorHAnsi"/>
        </w:rPr>
        <w:t>challenges</w:t>
      </w:r>
      <w:r w:rsidRPr="003C2323">
        <w:rPr>
          <w:rFonts w:asciiTheme="majorHAnsi" w:eastAsia="Calibri" w:hAnsiTheme="majorHAnsi" w:cstheme="majorHAnsi"/>
        </w:rPr>
        <w:t xml:space="preserve"> in accessing the Internet leave a significant portion of the population reliant on radio media, whether public or private. The former are primarily engaged in the repetition and dissemination of official messages, while the remaining private media outlets in the country feature few dissenting voices, as many of them have been co-opted by the government or faced threats of closure.</w:t>
      </w:r>
    </w:p>
    <w:p w14:paraId="6662B920" w14:textId="77777777"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99. Consequently, the majority of both groups exist on the fringes of immediate news consumption. For some, this means several hours a day (typically from the time they leave home in the morning until they return in the evening), while others are in this situation for extended periods, often spanning weeks. Among those who are connected, many opt not to carry a smartphone when going out due to the challenges associated with replacing such equipment in the event of theft.</w:t>
      </w:r>
    </w:p>
    <w:p w14:paraId="7464E63A" w14:textId="5AACCED2"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10</w:t>
      </w:r>
      <w:r w:rsidR="004C7058">
        <w:rPr>
          <w:rFonts w:asciiTheme="majorHAnsi" w:eastAsia="Calibri" w:hAnsiTheme="majorHAnsi" w:cstheme="majorHAnsi"/>
        </w:rPr>
        <w:t>0</w:t>
      </w:r>
      <w:r w:rsidRPr="003C2323">
        <w:rPr>
          <w:rFonts w:asciiTheme="majorHAnsi" w:eastAsia="Calibri" w:hAnsiTheme="majorHAnsi" w:cstheme="majorHAnsi"/>
        </w:rPr>
        <w:t xml:space="preserve">. Multiple studies on information consumption in Venezuela consistently indicate that users spend more time seeking 'entertainment' than seeking information. The prevailing tendency is to consume programs for escapism and diversion, such as fiction, series, and soap operas, rather than informative content. While this trend is observable throughout the entire country, it becomes even </w:t>
      </w:r>
      <w:r w:rsidRPr="003C2323">
        <w:rPr>
          <w:rFonts w:asciiTheme="majorHAnsi" w:eastAsia="Calibri" w:hAnsiTheme="majorHAnsi" w:cstheme="majorHAnsi"/>
        </w:rPr>
        <w:lastRenderedPageBreak/>
        <w:t>more pronounced in rural areas, where the population has limited access to a few television news programs on national channels or local radio stations to satisfy their informational need</w:t>
      </w:r>
      <w:r w:rsidRPr="000904C0">
        <w:rPr>
          <w:rFonts w:asciiTheme="majorHAnsi" w:eastAsia="Calibri" w:hAnsiTheme="majorHAnsi" w:cstheme="majorHAnsi"/>
        </w:rPr>
        <w:t>s</w:t>
      </w:r>
      <w:r w:rsidR="004C7058" w:rsidRPr="000904C0">
        <w:rPr>
          <w:rStyle w:val="EndnoteReference"/>
          <w:rFonts w:asciiTheme="majorHAnsi" w:eastAsia="Calibri" w:hAnsiTheme="majorHAnsi" w:cstheme="majorHAnsi"/>
        </w:rPr>
        <w:endnoteReference w:id="17"/>
      </w:r>
      <w:r w:rsidRPr="000904C0">
        <w:rPr>
          <w:rFonts w:asciiTheme="majorHAnsi" w:eastAsia="Calibri" w:hAnsiTheme="majorHAnsi" w:cstheme="majorHAnsi"/>
          <w:color w:val="FF0000"/>
        </w:rPr>
        <w:t>.</w:t>
      </w:r>
    </w:p>
    <w:p w14:paraId="5DE12499" w14:textId="77509CD2"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10</w:t>
      </w:r>
      <w:r w:rsidR="004C7058">
        <w:rPr>
          <w:rFonts w:asciiTheme="majorHAnsi" w:eastAsia="Calibri" w:hAnsiTheme="majorHAnsi" w:cstheme="majorHAnsi"/>
        </w:rPr>
        <w:t>1</w:t>
      </w:r>
      <w:r w:rsidRPr="003C2323">
        <w:rPr>
          <w:rFonts w:asciiTheme="majorHAnsi" w:eastAsia="Calibri" w:hAnsiTheme="majorHAnsi" w:cstheme="majorHAnsi"/>
        </w:rPr>
        <w:t>. Although public policy statements often emphasize the democratization of Internet access (as seen in Decree No. 825 dated May 10, 2000) and initiatives like the 'Wifi for All' project aimed at deploying free Internet networks, the practical impact of public investment in this area has not significantly improved service quality. Simultaneously, private companies face hindrances when attempting to invest.</w:t>
      </w:r>
    </w:p>
    <w:p w14:paraId="2145E038" w14:textId="2751D843"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10</w:t>
      </w:r>
      <w:r w:rsidR="004C7058">
        <w:rPr>
          <w:rFonts w:asciiTheme="majorHAnsi" w:eastAsia="Calibri" w:hAnsiTheme="majorHAnsi" w:cstheme="majorHAnsi"/>
        </w:rPr>
        <w:t>2</w:t>
      </w:r>
      <w:r w:rsidRPr="003C2323">
        <w:rPr>
          <w:rFonts w:asciiTheme="majorHAnsi" w:eastAsia="Calibri" w:hAnsiTheme="majorHAnsi" w:cstheme="majorHAnsi"/>
        </w:rPr>
        <w:t>. According to the Speedtest Global Index of July 2023, the connection speed in Venezuela varies depending on whether the connection is via mobile telephony or fixed internet. For fixed services, the download speed is 29.02 Mbps, while the upload speed is 25.00 Mbps. In contrast, for mobile telephony, the global index reports a download speed of 9.07 Mbps and an upload speed of 4.49 Mbps.</w:t>
      </w:r>
    </w:p>
    <w:p w14:paraId="10B787A2" w14:textId="48007009"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10</w:t>
      </w:r>
      <w:r w:rsidR="004C7058">
        <w:rPr>
          <w:rFonts w:asciiTheme="majorHAnsi" w:eastAsia="Calibri" w:hAnsiTheme="majorHAnsi" w:cstheme="majorHAnsi"/>
        </w:rPr>
        <w:t>3</w:t>
      </w:r>
      <w:r w:rsidRPr="003C2323">
        <w:rPr>
          <w:rFonts w:asciiTheme="majorHAnsi" w:eastAsia="Calibri" w:hAnsiTheme="majorHAnsi" w:cstheme="majorHAnsi"/>
        </w:rPr>
        <w:t>. Much like traditional media, one of the most challenging hurdles for research in the digital realm within the country is the scarcity of data accessible for public scrutiny. Neither state agencies and companies nor private providers and business associations consistently publish comprehensive, verified, and up-to-date information about the state of the sector. Furthermore, the figures that are made available often fail to inspire confidence, as they frequently do not align with data from independent teams regarding the accessibility and utilization of digital platforms in Venezuela.</w:t>
      </w:r>
    </w:p>
    <w:p w14:paraId="6BDB09AC" w14:textId="754C60EB"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10</w:t>
      </w:r>
      <w:r w:rsidR="004C7058">
        <w:rPr>
          <w:rFonts w:asciiTheme="majorHAnsi" w:eastAsia="Calibri" w:hAnsiTheme="majorHAnsi" w:cstheme="majorHAnsi"/>
        </w:rPr>
        <w:t>4</w:t>
      </w:r>
      <w:r w:rsidRPr="003C2323">
        <w:rPr>
          <w:rFonts w:asciiTheme="majorHAnsi" w:eastAsia="Calibri" w:hAnsiTheme="majorHAnsi" w:cstheme="majorHAnsi"/>
        </w:rPr>
        <w:t>. Consequently, the statistics that inform statistical and analytical studies on telecommunications largely come from reports published by international organizations specialized in telecommunications. Among these sources, one of the most frequently cited at the global level is the We Are Social-Kepios Annual Report 2022 on Venezuela published by Data Reportal.</w:t>
      </w:r>
    </w:p>
    <w:p w14:paraId="4D0EF1B0" w14:textId="3FDED1C4"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10</w:t>
      </w:r>
      <w:r w:rsidR="004C7058">
        <w:rPr>
          <w:rFonts w:asciiTheme="majorHAnsi" w:eastAsia="Calibri" w:hAnsiTheme="majorHAnsi" w:cstheme="majorHAnsi"/>
        </w:rPr>
        <w:t>5</w:t>
      </w:r>
      <w:r w:rsidRPr="003C2323">
        <w:rPr>
          <w:rFonts w:asciiTheme="majorHAnsi" w:eastAsia="Calibri" w:hAnsiTheme="majorHAnsi" w:cstheme="majorHAnsi"/>
        </w:rPr>
        <w:t xml:space="preserve">. These inconsistencies in digital environment figures are problematic, as the reported numbers do not seem to accurately reflect the actual operating </w:t>
      </w:r>
      <w:r w:rsidR="0097316F" w:rsidRPr="003C2323">
        <w:rPr>
          <w:rFonts w:asciiTheme="majorHAnsi" w:eastAsia="Calibri" w:hAnsiTheme="majorHAnsi" w:cstheme="majorHAnsi"/>
        </w:rPr>
        <w:t>conditions,</w:t>
      </w:r>
      <w:r w:rsidRPr="003C2323">
        <w:rPr>
          <w:rFonts w:asciiTheme="majorHAnsi" w:eastAsia="Calibri" w:hAnsiTheme="majorHAnsi" w:cstheme="majorHAnsi"/>
        </w:rPr>
        <w:t xml:space="preserve"> or the context documented by independent teams. The number of Internet users, therefore, varies depending on the international organization reporting. All of them cite Venezuelan and/or international public organizations, such as the United Nations or the World Bank, which, in turn, rely on official sources that are opaque and slow to release data. For instance, Conatel did not publish figures for the year 2021 until January 2023, and figures for 2019 and 2020 were made available in March 2022, one month after the We Are Social-Kepios Report was published.</w:t>
      </w:r>
    </w:p>
    <w:p w14:paraId="515ABD7C" w14:textId="38B597B7"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10</w:t>
      </w:r>
      <w:r w:rsidR="000904C0">
        <w:rPr>
          <w:rFonts w:asciiTheme="majorHAnsi" w:eastAsia="Calibri" w:hAnsiTheme="majorHAnsi" w:cstheme="majorHAnsi"/>
        </w:rPr>
        <w:t>6</w:t>
      </w:r>
      <w:r w:rsidRPr="003C2323">
        <w:rPr>
          <w:rFonts w:asciiTheme="majorHAnsi" w:eastAsia="Calibri" w:hAnsiTheme="majorHAnsi" w:cstheme="majorHAnsi"/>
        </w:rPr>
        <w:t xml:space="preserve">. </w:t>
      </w:r>
      <w:r w:rsidRPr="0097316F">
        <w:rPr>
          <w:rFonts w:asciiTheme="majorHAnsi" w:eastAsia="Calibri" w:hAnsiTheme="majorHAnsi" w:cstheme="majorHAnsi"/>
          <w:b/>
          <w:bCs/>
          <w:i/>
          <w:iCs/>
        </w:rPr>
        <w:t>Smartphone and Internet as Priorities</w:t>
      </w:r>
      <w:r w:rsidRPr="003C2323">
        <w:rPr>
          <w:rFonts w:asciiTheme="majorHAnsi" w:eastAsia="Calibri" w:hAnsiTheme="majorHAnsi" w:cstheme="majorHAnsi"/>
        </w:rPr>
        <w:t>: The global trend of increasing mobile device usage for Internet connections during 2019 was mirrored in Venezuela. Even in Conatel's 2022 report, this trend continues, with 79.40 percent of users in Venezuela connecting to the Internet through their mobile devices.</w:t>
      </w:r>
    </w:p>
    <w:p w14:paraId="21242201" w14:textId="304779D4"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10</w:t>
      </w:r>
      <w:r w:rsidR="000904C0">
        <w:rPr>
          <w:rFonts w:asciiTheme="majorHAnsi" w:eastAsia="Calibri" w:hAnsiTheme="majorHAnsi" w:cstheme="majorHAnsi"/>
        </w:rPr>
        <w:t>7</w:t>
      </w:r>
      <w:r w:rsidRPr="003C2323">
        <w:rPr>
          <w:rFonts w:asciiTheme="majorHAnsi" w:eastAsia="Calibri" w:hAnsiTheme="majorHAnsi" w:cstheme="majorHAnsi"/>
        </w:rPr>
        <w:t xml:space="preserve">. Furthermore, official estimates suggest that a significant portion of the population uses smartphones, underscoring the priority Venezuelans place on this device. According to CONATEL's 2019 report, out of a total of 22,356,895 cell phone lines reported by companies, only 19,487,040 lines were active and in use. The official data indicates a cellular mobile telephony penetration rate </w:t>
      </w:r>
      <w:r w:rsidRPr="003C2323">
        <w:rPr>
          <w:rFonts w:asciiTheme="majorHAnsi" w:eastAsia="Calibri" w:hAnsiTheme="majorHAnsi" w:cstheme="majorHAnsi"/>
        </w:rPr>
        <w:lastRenderedPageBreak/>
        <w:t>of 60.57 percent, with 12,747,926 subscribers using smartphones, which provides them with Internet connectivity and greater access to information.</w:t>
      </w:r>
    </w:p>
    <w:p w14:paraId="02393FAF" w14:textId="0B951DE4"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10</w:t>
      </w:r>
      <w:r w:rsidR="000904C0">
        <w:rPr>
          <w:rFonts w:asciiTheme="majorHAnsi" w:eastAsia="Calibri" w:hAnsiTheme="majorHAnsi" w:cstheme="majorHAnsi"/>
        </w:rPr>
        <w:t>8</w:t>
      </w:r>
      <w:r w:rsidRPr="003C2323">
        <w:rPr>
          <w:rFonts w:asciiTheme="majorHAnsi" w:eastAsia="Calibri" w:hAnsiTheme="majorHAnsi" w:cstheme="majorHAnsi"/>
        </w:rPr>
        <w:t>. In 2019, CONATEL reported a total consumption of 57,658 terabytes (TB) of data, which could be attributed to the increased usage of social media platforms. During this period, mobile text message (SMS) traffic decreased by 18.54 percent (within the same network) and 12.01 percent (to other networks). A similar trend was observed in calls made from both fixed and mobile phones, with fixed telephone calls decreasing by 72.11 percent and mobile phone calls decreasing by 31.81 percent, respectively. These reductions can be attributed to issues with the operation of the public telephone service provided by the state-owned CANTV (Compañía Anónima de Teléfonos de Venezuela) and the widespread use of messaging and calling applications like WhatsApp and other point-to-point communication platforms.</w:t>
      </w:r>
    </w:p>
    <w:p w14:paraId="694CBC57" w14:textId="77777777" w:rsidR="00587E12" w:rsidRPr="003C2323" w:rsidRDefault="00000000" w:rsidP="0097316F">
      <w:pPr>
        <w:spacing w:before="240" w:after="240"/>
        <w:rPr>
          <w:rFonts w:asciiTheme="majorHAnsi" w:eastAsia="Calibri" w:hAnsiTheme="majorHAnsi" w:cstheme="majorHAnsi"/>
          <w:b/>
        </w:rPr>
      </w:pPr>
      <w:r w:rsidRPr="003C2323">
        <w:rPr>
          <w:rFonts w:asciiTheme="majorHAnsi" w:eastAsia="Calibri" w:hAnsiTheme="majorHAnsi" w:cstheme="majorHAnsi"/>
          <w:b/>
        </w:rPr>
        <w:t>VI.</w:t>
      </w:r>
      <w:r w:rsidRPr="003C2323">
        <w:rPr>
          <w:rFonts w:asciiTheme="majorHAnsi" w:eastAsia="Times New Roman" w:hAnsiTheme="majorHAnsi" w:cstheme="majorHAnsi"/>
        </w:rPr>
        <w:t xml:space="preserve">       </w:t>
      </w:r>
      <w:r w:rsidRPr="003C2323">
        <w:rPr>
          <w:rFonts w:asciiTheme="majorHAnsi" w:eastAsia="Times New Roman" w:hAnsiTheme="majorHAnsi" w:cstheme="majorHAnsi"/>
          <w:b/>
        </w:rPr>
        <w:t xml:space="preserve">    Pattern of violations of press freedom</w:t>
      </w:r>
    </w:p>
    <w:p w14:paraId="3FE25669" w14:textId="6F474411"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1</w:t>
      </w:r>
      <w:r w:rsidR="000904C0">
        <w:rPr>
          <w:rFonts w:asciiTheme="majorHAnsi" w:eastAsia="Calibri" w:hAnsiTheme="majorHAnsi" w:cstheme="majorHAnsi"/>
        </w:rPr>
        <w:t>09</w:t>
      </w:r>
      <w:r w:rsidRPr="003C2323">
        <w:rPr>
          <w:rFonts w:asciiTheme="majorHAnsi" w:eastAsia="Calibri" w:hAnsiTheme="majorHAnsi" w:cstheme="majorHAnsi"/>
        </w:rPr>
        <w:t>. According to data from various sources consulted for this report, since Nicolás Maduro assumed power in 2013, more than 2,500 violations of press freedom have been documented in Venezuela. In the 2023 World Press Freedom Index compiled by Reporters Without Borders, Venezuela ranks 159th out of 180 countries evaluated</w:t>
      </w:r>
      <w:r w:rsidR="000904C0">
        <w:rPr>
          <w:rStyle w:val="EndnoteReference"/>
          <w:rFonts w:asciiTheme="majorHAnsi" w:eastAsia="Calibri" w:hAnsiTheme="majorHAnsi" w:cstheme="majorHAnsi"/>
        </w:rPr>
        <w:endnoteReference w:id="18"/>
      </w:r>
      <w:r w:rsidR="000904C0">
        <w:rPr>
          <w:rFonts w:asciiTheme="majorHAnsi" w:eastAsia="Calibri" w:hAnsiTheme="majorHAnsi" w:cstheme="majorHAnsi"/>
        </w:rPr>
        <w:t>.</w:t>
      </w:r>
    </w:p>
    <w:p w14:paraId="6919CDD6" w14:textId="04DB3710"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11</w:t>
      </w:r>
      <w:r w:rsidR="000904C0">
        <w:rPr>
          <w:rFonts w:asciiTheme="majorHAnsi" w:eastAsia="Calibri" w:hAnsiTheme="majorHAnsi" w:cstheme="majorHAnsi"/>
        </w:rPr>
        <w:t>0</w:t>
      </w:r>
      <w:r w:rsidRPr="003C2323">
        <w:rPr>
          <w:rFonts w:asciiTheme="majorHAnsi" w:eastAsia="Calibri" w:hAnsiTheme="majorHAnsi" w:cstheme="majorHAnsi"/>
        </w:rPr>
        <w:t>. These violations encompass various forms of attacks on press freedom, including: 1) threats, persecution, and harassment of independent media; 2) arbitrary arrests and imprisonment of journalists critical of the government and its agenda; 3) physical assaults and aggression against journalists while covering protests and events of public interest; 4) theft, confiscation, and destruction of equipment; 5) interference with the reporting of foreign press correspondents, including the denial of entry to international journalists; and 6) selective removal of news and opinion programs on radio and television with critical editorial stances opposing the official narrative.</w:t>
      </w:r>
    </w:p>
    <w:p w14:paraId="1DFA86D3" w14:textId="5E8D2658"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11</w:t>
      </w:r>
      <w:r w:rsidR="000904C0">
        <w:rPr>
          <w:rFonts w:asciiTheme="majorHAnsi" w:eastAsia="Calibri" w:hAnsiTheme="majorHAnsi" w:cstheme="majorHAnsi"/>
        </w:rPr>
        <w:t>1</w:t>
      </w:r>
      <w:r w:rsidRPr="003C2323">
        <w:rPr>
          <w:rFonts w:asciiTheme="majorHAnsi" w:eastAsia="Calibri" w:hAnsiTheme="majorHAnsi" w:cstheme="majorHAnsi"/>
        </w:rPr>
        <w:t xml:space="preserve">. </w:t>
      </w:r>
      <w:r w:rsidRPr="0097316F">
        <w:rPr>
          <w:rFonts w:asciiTheme="majorHAnsi" w:eastAsia="Calibri" w:hAnsiTheme="majorHAnsi" w:cstheme="majorHAnsi"/>
          <w:b/>
          <w:bCs/>
          <w:i/>
          <w:iCs/>
        </w:rPr>
        <w:t>Surveillance and Illegal Interceptions</w:t>
      </w:r>
      <w:r w:rsidRPr="003C2323">
        <w:rPr>
          <w:rFonts w:asciiTheme="majorHAnsi" w:eastAsia="Calibri" w:hAnsiTheme="majorHAnsi" w:cstheme="majorHAnsi"/>
        </w:rPr>
        <w:t>: According to a 2022 report by the Spanish company Telefónica, approximately 20% of its customers in Venezuela have experienced phone tapping. Telefónica revealed that the Venezuelan government made over 1.5 million requests for "interceptions" involving telephone lines and internet access in Venezuela during 2021.</w:t>
      </w:r>
    </w:p>
    <w:p w14:paraId="2F131EB3" w14:textId="21A07AC8"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11</w:t>
      </w:r>
      <w:r w:rsidR="000904C0">
        <w:rPr>
          <w:rFonts w:asciiTheme="majorHAnsi" w:eastAsia="Calibri" w:hAnsiTheme="majorHAnsi" w:cstheme="majorHAnsi"/>
        </w:rPr>
        <w:t>2</w:t>
      </w:r>
      <w:r w:rsidRPr="003C2323">
        <w:rPr>
          <w:rFonts w:asciiTheme="majorHAnsi" w:eastAsia="Calibri" w:hAnsiTheme="majorHAnsi" w:cstheme="majorHAnsi"/>
        </w:rPr>
        <w:t>. Telefónica's documented instances of "lawful interceptions" of telephone lines and internet connections surged from 380,250 in 2016 to 861,004 in 2021. Additionally, during the same year, there were 1.5 million instances of "tapped accesses," as detailed in the company's report.</w:t>
      </w:r>
    </w:p>
    <w:p w14:paraId="0B8D8EE6" w14:textId="3779A106" w:rsidR="00587E12" w:rsidRPr="003C2323"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11</w:t>
      </w:r>
      <w:r w:rsidR="000904C0">
        <w:rPr>
          <w:rFonts w:asciiTheme="majorHAnsi" w:eastAsia="Calibri" w:hAnsiTheme="majorHAnsi" w:cstheme="majorHAnsi"/>
        </w:rPr>
        <w:t>3</w:t>
      </w:r>
      <w:r w:rsidRPr="003C2323">
        <w:rPr>
          <w:rFonts w:asciiTheme="majorHAnsi" w:eastAsia="Calibri" w:hAnsiTheme="majorHAnsi" w:cstheme="majorHAnsi"/>
        </w:rPr>
        <w:t>. In terms of internet access, Telefónica's report indicates that between 2016 and 2021, more than 1,300 websites experienced content blocking or restrictions in Venezuela at the behest of the National Telecommunications Commission (Conatel).</w:t>
      </w:r>
    </w:p>
    <w:p w14:paraId="0278D6FA" w14:textId="5F6EA3D2" w:rsidR="00587E12" w:rsidRPr="0097316F" w:rsidRDefault="00000000" w:rsidP="003C2323">
      <w:pPr>
        <w:spacing w:before="240" w:after="240"/>
        <w:rPr>
          <w:rFonts w:asciiTheme="majorHAnsi" w:eastAsia="Calibri" w:hAnsiTheme="majorHAnsi" w:cstheme="majorHAnsi"/>
        </w:rPr>
      </w:pPr>
      <w:r w:rsidRPr="003C2323">
        <w:rPr>
          <w:rFonts w:asciiTheme="majorHAnsi" w:eastAsia="Calibri" w:hAnsiTheme="majorHAnsi" w:cstheme="majorHAnsi"/>
        </w:rPr>
        <w:t>11</w:t>
      </w:r>
      <w:r w:rsidR="000904C0">
        <w:rPr>
          <w:rFonts w:asciiTheme="majorHAnsi" w:eastAsia="Calibri" w:hAnsiTheme="majorHAnsi" w:cstheme="majorHAnsi"/>
        </w:rPr>
        <w:t>4</w:t>
      </w:r>
      <w:r w:rsidRPr="003C2323">
        <w:rPr>
          <w:rFonts w:asciiTheme="majorHAnsi" w:eastAsia="Calibri" w:hAnsiTheme="majorHAnsi" w:cstheme="majorHAnsi"/>
        </w:rPr>
        <w:t>. According to the report, the year with the highest number of content blockades was 2016, with 1,050 incidents, followed by 2018, with 106 cases, while in 2021, there were 30 such requests</w:t>
      </w:r>
      <w:r w:rsidR="000904C0">
        <w:rPr>
          <w:rStyle w:val="EndnoteReference"/>
          <w:rFonts w:asciiTheme="majorHAnsi" w:eastAsia="Calibri" w:hAnsiTheme="majorHAnsi" w:cstheme="majorHAnsi"/>
        </w:rPr>
        <w:endnoteReference w:id="19"/>
      </w:r>
      <w:r w:rsidRPr="003C2323">
        <w:rPr>
          <w:rFonts w:asciiTheme="majorHAnsi" w:eastAsia="Calibri" w:hAnsiTheme="majorHAnsi" w:cstheme="majorHAnsi"/>
        </w:rPr>
        <w:t>.</w:t>
      </w:r>
    </w:p>
    <w:p w14:paraId="488A236B" w14:textId="77777777" w:rsidR="00756F98" w:rsidRDefault="00756F98" w:rsidP="0097316F">
      <w:pPr>
        <w:spacing w:before="240" w:after="240"/>
        <w:rPr>
          <w:rFonts w:asciiTheme="majorHAnsi" w:eastAsia="Calibri" w:hAnsiTheme="majorHAnsi" w:cstheme="majorHAnsi"/>
          <w:b/>
        </w:rPr>
      </w:pPr>
    </w:p>
    <w:p w14:paraId="4073F163" w14:textId="2F8CD312" w:rsidR="00587E12" w:rsidRPr="003C2323" w:rsidRDefault="00000000" w:rsidP="0097316F">
      <w:pPr>
        <w:spacing w:before="240" w:after="240"/>
        <w:rPr>
          <w:rFonts w:asciiTheme="majorHAnsi" w:hAnsiTheme="majorHAnsi" w:cstheme="majorHAnsi"/>
        </w:rPr>
      </w:pPr>
      <w:r w:rsidRPr="003C2323">
        <w:rPr>
          <w:rFonts w:asciiTheme="majorHAnsi" w:eastAsia="Calibri" w:hAnsiTheme="majorHAnsi" w:cstheme="majorHAnsi"/>
          <w:b/>
        </w:rPr>
        <w:lastRenderedPageBreak/>
        <w:t>VII.</w:t>
      </w:r>
      <w:r w:rsidRPr="003C2323">
        <w:rPr>
          <w:rFonts w:asciiTheme="majorHAnsi" w:eastAsia="Calibri" w:hAnsiTheme="majorHAnsi" w:cstheme="majorHAnsi"/>
        </w:rPr>
        <w:t xml:space="preserve">  </w:t>
      </w:r>
      <w:r w:rsidRPr="003C2323">
        <w:rPr>
          <w:rFonts w:asciiTheme="majorHAnsi" w:eastAsia="Calibri" w:hAnsiTheme="majorHAnsi" w:cstheme="majorHAnsi"/>
          <w:b/>
        </w:rPr>
        <w:t xml:space="preserve"> RECOMMENDATIONS</w:t>
      </w:r>
    </w:p>
    <w:p w14:paraId="3B003191" w14:textId="578483B4" w:rsidR="00587E12" w:rsidRPr="003C2323" w:rsidRDefault="00000000" w:rsidP="003C2323">
      <w:pPr>
        <w:rPr>
          <w:rFonts w:asciiTheme="majorHAnsi" w:hAnsiTheme="majorHAnsi" w:cstheme="majorHAnsi"/>
        </w:rPr>
      </w:pPr>
      <w:r w:rsidRPr="003C2323">
        <w:rPr>
          <w:rFonts w:asciiTheme="majorHAnsi" w:hAnsiTheme="majorHAnsi" w:cstheme="majorHAnsi"/>
        </w:rPr>
        <w:t>11</w:t>
      </w:r>
      <w:r w:rsidR="000904C0">
        <w:rPr>
          <w:rFonts w:asciiTheme="majorHAnsi" w:hAnsiTheme="majorHAnsi" w:cstheme="majorHAnsi"/>
        </w:rPr>
        <w:t>5</w:t>
      </w:r>
      <w:r w:rsidRPr="003C2323">
        <w:rPr>
          <w:rFonts w:asciiTheme="majorHAnsi" w:hAnsiTheme="majorHAnsi" w:cstheme="majorHAnsi"/>
        </w:rPr>
        <w:t>. To operationalize the proposal for supporting the emerging digital media outlets and, in turn, foster the restoration of communication rights and freedom of expression in Venezuela, the following recommendations are put forward:</w:t>
      </w:r>
    </w:p>
    <w:p w14:paraId="117A4FE9" w14:textId="77777777" w:rsidR="00587E12" w:rsidRPr="003C2323" w:rsidRDefault="00587E12" w:rsidP="003C2323">
      <w:pPr>
        <w:rPr>
          <w:rFonts w:asciiTheme="majorHAnsi" w:hAnsiTheme="majorHAnsi" w:cstheme="majorHAnsi"/>
        </w:rPr>
      </w:pPr>
    </w:p>
    <w:p w14:paraId="1C585505" w14:textId="2ACC492B" w:rsidR="00587E12" w:rsidRPr="003C2323" w:rsidRDefault="00000000" w:rsidP="003C2323">
      <w:pPr>
        <w:rPr>
          <w:rFonts w:asciiTheme="majorHAnsi" w:hAnsiTheme="majorHAnsi" w:cstheme="majorHAnsi"/>
        </w:rPr>
      </w:pPr>
      <w:r w:rsidRPr="003C2323">
        <w:rPr>
          <w:rFonts w:asciiTheme="majorHAnsi" w:hAnsiTheme="majorHAnsi" w:cstheme="majorHAnsi"/>
        </w:rPr>
        <w:t>11</w:t>
      </w:r>
      <w:r w:rsidR="000904C0">
        <w:rPr>
          <w:rFonts w:asciiTheme="majorHAnsi" w:hAnsiTheme="majorHAnsi" w:cstheme="majorHAnsi"/>
        </w:rPr>
        <w:t>6</w:t>
      </w:r>
      <w:r w:rsidRPr="003C2323">
        <w:rPr>
          <w:rFonts w:asciiTheme="majorHAnsi" w:hAnsiTheme="majorHAnsi" w:cstheme="majorHAnsi"/>
        </w:rPr>
        <w:t>. Investigate the conditions, nature, and extent of the new digital media landscape in Venezuela. This effort aims to identify both their strengths and weaknesses, enabling the design of effective strategies to bolster their role in disseminating the realities of Venezuela.</w:t>
      </w:r>
    </w:p>
    <w:p w14:paraId="03C25D36" w14:textId="77777777" w:rsidR="00587E12" w:rsidRPr="003C2323" w:rsidRDefault="00587E12" w:rsidP="003C2323">
      <w:pPr>
        <w:rPr>
          <w:rFonts w:asciiTheme="majorHAnsi" w:hAnsiTheme="majorHAnsi" w:cstheme="majorHAnsi"/>
        </w:rPr>
      </w:pPr>
    </w:p>
    <w:p w14:paraId="527EA387" w14:textId="2DF819CC" w:rsidR="00587E12" w:rsidRPr="003C2323" w:rsidRDefault="00000000" w:rsidP="003C2323">
      <w:pPr>
        <w:rPr>
          <w:rFonts w:asciiTheme="majorHAnsi" w:hAnsiTheme="majorHAnsi" w:cstheme="majorHAnsi"/>
        </w:rPr>
      </w:pPr>
      <w:r w:rsidRPr="003C2323">
        <w:rPr>
          <w:rFonts w:asciiTheme="majorHAnsi" w:hAnsiTheme="majorHAnsi" w:cstheme="majorHAnsi"/>
        </w:rPr>
        <w:t>11</w:t>
      </w:r>
      <w:r w:rsidR="000904C0">
        <w:rPr>
          <w:rFonts w:asciiTheme="majorHAnsi" w:hAnsiTheme="majorHAnsi" w:cstheme="majorHAnsi"/>
        </w:rPr>
        <w:t>7</w:t>
      </w:r>
      <w:r w:rsidRPr="003C2323">
        <w:rPr>
          <w:rFonts w:asciiTheme="majorHAnsi" w:hAnsiTheme="majorHAnsi" w:cstheme="majorHAnsi"/>
        </w:rPr>
        <w:t>. Reevaluate and enhance the existing partnerships between these media outlets and critical sectors of Venezuelan civil society. Strengthening these connections will amplify ongoing efforts and initiatives in the country that champion press freedom.</w:t>
      </w:r>
    </w:p>
    <w:p w14:paraId="5F5453BF" w14:textId="77777777" w:rsidR="00587E12" w:rsidRPr="003C2323" w:rsidRDefault="00587E12" w:rsidP="003C2323">
      <w:pPr>
        <w:rPr>
          <w:rFonts w:asciiTheme="majorHAnsi" w:hAnsiTheme="majorHAnsi" w:cstheme="majorHAnsi"/>
        </w:rPr>
      </w:pPr>
    </w:p>
    <w:p w14:paraId="411DC132" w14:textId="50D56D18" w:rsidR="00587E12" w:rsidRPr="003C2323" w:rsidRDefault="00000000" w:rsidP="003C2323">
      <w:pPr>
        <w:rPr>
          <w:rFonts w:asciiTheme="majorHAnsi" w:hAnsiTheme="majorHAnsi" w:cstheme="majorHAnsi"/>
        </w:rPr>
      </w:pPr>
      <w:r w:rsidRPr="003C2323">
        <w:rPr>
          <w:rFonts w:asciiTheme="majorHAnsi" w:hAnsiTheme="majorHAnsi" w:cstheme="majorHAnsi"/>
        </w:rPr>
        <w:t>11</w:t>
      </w:r>
      <w:r w:rsidR="000904C0">
        <w:rPr>
          <w:rFonts w:asciiTheme="majorHAnsi" w:hAnsiTheme="majorHAnsi" w:cstheme="majorHAnsi"/>
        </w:rPr>
        <w:t>8</w:t>
      </w:r>
      <w:r w:rsidRPr="003C2323">
        <w:rPr>
          <w:rFonts w:asciiTheme="majorHAnsi" w:hAnsiTheme="majorHAnsi" w:cstheme="majorHAnsi"/>
        </w:rPr>
        <w:t>. Forge stronger alliances between various organizations, including unions, NGOs, human rights associations, and academia, which are already active in the country. Over the past five years, the influence of these alliances has diminished significantly. Urgently revitalizing and broadening these partnerships is essential, as they serve as critical instruments in empowering civil society to defend press freedom.</w:t>
      </w:r>
    </w:p>
    <w:p w14:paraId="2D8969D7" w14:textId="77777777" w:rsidR="00587E12" w:rsidRPr="003C2323" w:rsidRDefault="00587E12" w:rsidP="003C2323">
      <w:pPr>
        <w:rPr>
          <w:rFonts w:asciiTheme="majorHAnsi" w:hAnsiTheme="majorHAnsi" w:cstheme="majorHAnsi"/>
        </w:rPr>
      </w:pPr>
    </w:p>
    <w:p w14:paraId="0BAE2C4F" w14:textId="10BE7986" w:rsidR="00587E12" w:rsidRPr="003C2323" w:rsidRDefault="00000000" w:rsidP="003C2323">
      <w:pPr>
        <w:rPr>
          <w:rFonts w:asciiTheme="majorHAnsi" w:hAnsiTheme="majorHAnsi" w:cstheme="majorHAnsi"/>
        </w:rPr>
      </w:pPr>
      <w:r w:rsidRPr="003C2323">
        <w:rPr>
          <w:rFonts w:asciiTheme="majorHAnsi" w:hAnsiTheme="majorHAnsi" w:cstheme="majorHAnsi"/>
        </w:rPr>
        <w:t>1</w:t>
      </w:r>
      <w:r w:rsidR="000904C0">
        <w:rPr>
          <w:rFonts w:asciiTheme="majorHAnsi" w:hAnsiTheme="majorHAnsi" w:cstheme="majorHAnsi"/>
        </w:rPr>
        <w:t>19</w:t>
      </w:r>
      <w:r w:rsidRPr="003C2323">
        <w:rPr>
          <w:rFonts w:asciiTheme="majorHAnsi" w:hAnsiTheme="majorHAnsi" w:cstheme="majorHAnsi"/>
        </w:rPr>
        <w:t>. Support the development of strategies and actions aimed at rekindling Venezuelans' habits of consuming accurate and timely information and reigniting their interest in significant issues. These actions should focus on identifying effective dissemination and distribution strategies that redirect readers' attention to topics concerning the national political reality.</w:t>
      </w:r>
    </w:p>
    <w:p w14:paraId="33E685F4" w14:textId="77777777" w:rsidR="00587E12" w:rsidRPr="003C2323" w:rsidRDefault="00587E12" w:rsidP="003C2323">
      <w:pPr>
        <w:rPr>
          <w:rFonts w:asciiTheme="majorHAnsi" w:hAnsiTheme="majorHAnsi" w:cstheme="majorHAnsi"/>
        </w:rPr>
      </w:pPr>
    </w:p>
    <w:p w14:paraId="2DAD9E69" w14:textId="6330CF4D" w:rsidR="00587E12" w:rsidRPr="003C2323" w:rsidRDefault="00000000" w:rsidP="003C2323">
      <w:pPr>
        <w:rPr>
          <w:rFonts w:asciiTheme="majorHAnsi" w:hAnsiTheme="majorHAnsi" w:cstheme="majorHAnsi"/>
        </w:rPr>
      </w:pPr>
      <w:r w:rsidRPr="003C2323">
        <w:rPr>
          <w:rFonts w:asciiTheme="majorHAnsi" w:hAnsiTheme="majorHAnsi" w:cstheme="majorHAnsi"/>
        </w:rPr>
        <w:t>12</w:t>
      </w:r>
      <w:r w:rsidR="000904C0">
        <w:rPr>
          <w:rFonts w:asciiTheme="majorHAnsi" w:hAnsiTheme="majorHAnsi" w:cstheme="majorHAnsi"/>
        </w:rPr>
        <w:t>0</w:t>
      </w:r>
      <w:r w:rsidRPr="003C2323">
        <w:rPr>
          <w:rFonts w:asciiTheme="majorHAnsi" w:hAnsiTheme="majorHAnsi" w:cstheme="majorHAnsi"/>
        </w:rPr>
        <w:t>. Promote media and information literacy (MIL) efforts to facilitate citizens' comprehension of how the media functions, foster critical evaluation of its content, and encourage responsible digital citizenship. MIL initiatives should strive to ensure equitable access to information and knowledge, thereby bolstering emerging digital media. This requires coordinated collaboration among universities, public agencies, NGOs, and individuals with demonstrated expertise.</w:t>
      </w:r>
    </w:p>
    <w:p w14:paraId="78A2E188" w14:textId="77777777" w:rsidR="00587E12" w:rsidRPr="003C2323" w:rsidRDefault="00587E12" w:rsidP="003C2323">
      <w:pPr>
        <w:rPr>
          <w:rFonts w:asciiTheme="majorHAnsi" w:hAnsiTheme="majorHAnsi" w:cstheme="majorHAnsi"/>
        </w:rPr>
      </w:pPr>
    </w:p>
    <w:p w14:paraId="1BB311E0" w14:textId="6DF36ED1" w:rsidR="00587E12" w:rsidRPr="003C2323" w:rsidRDefault="00000000" w:rsidP="003C2323">
      <w:pPr>
        <w:rPr>
          <w:rFonts w:asciiTheme="majorHAnsi" w:hAnsiTheme="majorHAnsi" w:cstheme="majorHAnsi"/>
        </w:rPr>
      </w:pPr>
      <w:r w:rsidRPr="003C2323">
        <w:rPr>
          <w:rFonts w:asciiTheme="majorHAnsi" w:hAnsiTheme="majorHAnsi" w:cstheme="majorHAnsi"/>
        </w:rPr>
        <w:t>12</w:t>
      </w:r>
      <w:r w:rsidR="000904C0">
        <w:rPr>
          <w:rFonts w:asciiTheme="majorHAnsi" w:hAnsiTheme="majorHAnsi" w:cstheme="majorHAnsi"/>
        </w:rPr>
        <w:t>1</w:t>
      </w:r>
      <w:r w:rsidRPr="003C2323">
        <w:rPr>
          <w:rFonts w:asciiTheme="majorHAnsi" w:hAnsiTheme="majorHAnsi" w:cstheme="majorHAnsi"/>
        </w:rPr>
        <w:t>. Advocate for the publication of open data and shared methodologies to monitor and track media activities in Venezuela."</w:t>
      </w:r>
    </w:p>
    <w:p w14:paraId="3FC16E68" w14:textId="22371C81" w:rsidR="00587E12" w:rsidRPr="006C7AD2" w:rsidRDefault="00587E12"/>
    <w:sectPr w:rsidR="00587E12" w:rsidRPr="006C7AD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F2611" w14:textId="77777777" w:rsidR="00D254DC" w:rsidRPr="006C7AD2" w:rsidRDefault="00D254DC">
      <w:pPr>
        <w:spacing w:line="240" w:lineRule="auto"/>
      </w:pPr>
      <w:r w:rsidRPr="006C7AD2">
        <w:separator/>
      </w:r>
    </w:p>
  </w:endnote>
  <w:endnote w:type="continuationSeparator" w:id="0">
    <w:p w14:paraId="6A92A819" w14:textId="77777777" w:rsidR="00D254DC" w:rsidRPr="006C7AD2" w:rsidRDefault="00D254DC">
      <w:pPr>
        <w:spacing w:line="240" w:lineRule="auto"/>
      </w:pPr>
      <w:r w:rsidRPr="006C7AD2">
        <w:continuationSeparator/>
      </w:r>
    </w:p>
  </w:endnote>
  <w:endnote w:id="1">
    <w:p w14:paraId="3885C637" w14:textId="6F3DB1F6" w:rsidR="000A0349" w:rsidRDefault="000A0349" w:rsidP="000A0349">
      <w:pPr>
        <w:pStyle w:val="EndnoteText"/>
        <w:rPr>
          <w:sz w:val="18"/>
          <w:szCs w:val="18"/>
        </w:rPr>
      </w:pPr>
      <w:r>
        <w:rPr>
          <w:rStyle w:val="EndnoteReference"/>
        </w:rPr>
        <w:endnoteRef/>
      </w:r>
      <w:r w:rsidRPr="000A0349">
        <w:rPr>
          <w:lang w:val="es-419"/>
        </w:rPr>
        <w:t xml:space="preserve"> </w:t>
      </w:r>
      <w:r w:rsidRPr="000A0349">
        <w:rPr>
          <w:sz w:val="18"/>
          <w:szCs w:val="18"/>
          <w:lang w:val="es-419"/>
        </w:rPr>
        <w:t xml:space="preserve">Alvarado, Morella (2022). </w:t>
      </w:r>
      <w:r w:rsidRPr="000A0349">
        <w:rPr>
          <w:i/>
          <w:iCs/>
          <w:sz w:val="18"/>
          <w:szCs w:val="18"/>
          <w:lang w:val="es-419"/>
        </w:rPr>
        <w:t>“Dificultades para estar informados II”</w:t>
      </w:r>
      <w:r w:rsidRPr="000A0349">
        <w:rPr>
          <w:sz w:val="18"/>
          <w:szCs w:val="18"/>
          <w:lang w:val="es-419"/>
        </w:rPr>
        <w:t xml:space="preserve">. </w:t>
      </w:r>
      <w:r w:rsidRPr="000A0349">
        <w:rPr>
          <w:i/>
          <w:iCs/>
          <w:sz w:val="18"/>
          <w:szCs w:val="18"/>
          <w:lang w:val="es-419"/>
        </w:rPr>
        <w:t>Proyecto Convivencia democrática, reparación social y comunicación ciudadana</w:t>
      </w:r>
      <w:r w:rsidRPr="000A0349">
        <w:rPr>
          <w:sz w:val="18"/>
          <w:szCs w:val="18"/>
          <w:lang w:val="es-419"/>
        </w:rPr>
        <w:t xml:space="preserve">. ININCO-GUMILLA. </w:t>
      </w:r>
      <w:r>
        <w:rPr>
          <w:sz w:val="18"/>
          <w:szCs w:val="18"/>
        </w:rPr>
        <w:t xml:space="preserve">Disponible en </w:t>
      </w:r>
      <w:r>
        <w:rPr>
          <w:color w:val="0562C1"/>
          <w:sz w:val="18"/>
          <w:szCs w:val="18"/>
        </w:rPr>
        <w:t>http://caribesperanza.com/informes/</w:t>
      </w:r>
      <w:r>
        <w:rPr>
          <w:sz w:val="18"/>
          <w:szCs w:val="18"/>
        </w:rPr>
        <w:t xml:space="preserve">. </w:t>
      </w:r>
    </w:p>
    <w:p w14:paraId="3B850BC3" w14:textId="7F11F70E" w:rsidR="000A0349" w:rsidRPr="000A0349" w:rsidRDefault="000A0349">
      <w:pPr>
        <w:pStyle w:val="EndnoteText"/>
        <w:rPr>
          <w:lang w:val="es-419"/>
        </w:rPr>
      </w:pPr>
    </w:p>
  </w:endnote>
  <w:endnote w:id="2">
    <w:p w14:paraId="1D2441D0" w14:textId="2215F8D8" w:rsidR="006C7AD2" w:rsidRDefault="006C7AD2">
      <w:pPr>
        <w:pStyle w:val="EndnoteText"/>
        <w:rPr>
          <w:rFonts w:ascii="Calibri" w:eastAsia="Calibri" w:hAnsi="Calibri" w:cs="Calibri"/>
          <w:sz w:val="18"/>
          <w:szCs w:val="18"/>
          <w:lang w:val="es-419"/>
        </w:rPr>
      </w:pPr>
      <w:r>
        <w:rPr>
          <w:rStyle w:val="EndnoteReference"/>
        </w:rPr>
        <w:endnoteRef/>
      </w:r>
      <w:r w:rsidRPr="006C7AD2">
        <w:rPr>
          <w:lang w:val="es-419"/>
        </w:rPr>
        <w:t xml:space="preserve"> </w:t>
      </w:r>
      <w:r w:rsidRPr="006C7AD2">
        <w:rPr>
          <w:rFonts w:ascii="Calibri" w:eastAsia="Calibri" w:hAnsi="Calibri" w:cs="Calibri"/>
          <w:sz w:val="18"/>
          <w:szCs w:val="18"/>
          <w:lang w:val="es-419"/>
        </w:rPr>
        <w:t xml:space="preserve">María Fernanda Madriz, Números que cuentan historias. (avance de investigación). Investigación realizada por el Observatorio de Comunicación Política y Desinformación para la Red Electoral Ciudadana. 2021-2023. </w:t>
      </w:r>
      <w:hyperlink r:id="rId1" w:history="1">
        <w:r w:rsidR="000A0349" w:rsidRPr="00DF7898">
          <w:rPr>
            <w:rStyle w:val="Hyperlink"/>
            <w:rFonts w:ascii="Calibri" w:eastAsia="Calibri" w:hAnsi="Calibri" w:cs="Calibri"/>
            <w:sz w:val="18"/>
            <w:szCs w:val="18"/>
            <w:lang w:val="es-419"/>
          </w:rPr>
          <w:t>https://www.observademocracia.org/wp-content/uploads/2023/09/NUMEROS-QUE-CUENTAN-HISTORIAS-1-y-2-.pdf</w:t>
        </w:r>
      </w:hyperlink>
    </w:p>
    <w:p w14:paraId="3599FF42" w14:textId="77777777" w:rsidR="000A0349" w:rsidRPr="006C7AD2" w:rsidRDefault="000A0349">
      <w:pPr>
        <w:pStyle w:val="EndnoteText"/>
        <w:rPr>
          <w:lang w:val="es-419"/>
        </w:rPr>
      </w:pPr>
    </w:p>
  </w:endnote>
  <w:endnote w:id="3">
    <w:p w14:paraId="78829ECF" w14:textId="77777777" w:rsidR="000A0349" w:rsidRPr="000A0349" w:rsidRDefault="000A0349" w:rsidP="000A0349">
      <w:pPr>
        <w:pStyle w:val="EndnoteText"/>
        <w:rPr>
          <w:rFonts w:asciiTheme="majorHAnsi" w:hAnsiTheme="majorHAnsi" w:cstheme="majorHAnsi"/>
          <w:sz w:val="18"/>
          <w:szCs w:val="18"/>
          <w:lang w:val="es-419"/>
        </w:rPr>
      </w:pPr>
      <w:r>
        <w:rPr>
          <w:rStyle w:val="EndnoteReference"/>
        </w:rPr>
        <w:endnoteRef/>
      </w:r>
      <w:r w:rsidRPr="000A0349">
        <w:rPr>
          <w:lang w:val="es-419"/>
        </w:rPr>
        <w:t xml:space="preserve"> </w:t>
      </w:r>
      <w:r w:rsidRPr="000A0349">
        <w:rPr>
          <w:rFonts w:asciiTheme="majorHAnsi" w:hAnsiTheme="majorHAnsi" w:cstheme="majorHAnsi"/>
          <w:sz w:val="18"/>
          <w:szCs w:val="18"/>
          <w:lang w:val="es-419"/>
        </w:rPr>
        <w:t xml:space="preserve">Correo del Orinoco. (2012-10-20). Para mostrar logros de la Revolución. Presidente exhorta a consolidar un verdadero Sistema Nacional de Medios Públicos. Disponible en: </w:t>
      </w:r>
      <w:hyperlink r:id="rId2" w:history="1">
        <w:r w:rsidRPr="000A0349">
          <w:rPr>
            <w:rStyle w:val="Hyperlink"/>
            <w:rFonts w:asciiTheme="majorHAnsi" w:hAnsiTheme="majorHAnsi" w:cstheme="majorHAnsi"/>
            <w:sz w:val="18"/>
            <w:szCs w:val="18"/>
            <w:lang w:val="es-419"/>
          </w:rPr>
          <w:t>http://www.correodelorinoco.gob.ve/presidente-llama-a-consolidacion-un-verdadero-sistema-nacional-medios-publicos/</w:t>
        </w:r>
      </w:hyperlink>
    </w:p>
    <w:p w14:paraId="201D2F63" w14:textId="46136076" w:rsidR="000A0349" w:rsidRPr="000A0349" w:rsidRDefault="000A0349">
      <w:pPr>
        <w:pStyle w:val="EndnoteText"/>
        <w:rPr>
          <w:lang w:val="es-419"/>
        </w:rPr>
      </w:pPr>
    </w:p>
  </w:endnote>
  <w:endnote w:id="4">
    <w:p w14:paraId="0371C719" w14:textId="2F17BE12" w:rsidR="006C7AD2" w:rsidRDefault="006C7AD2">
      <w:pPr>
        <w:pStyle w:val="EndnoteText"/>
        <w:rPr>
          <w:rFonts w:ascii="Calibri" w:eastAsia="Calibri" w:hAnsi="Calibri" w:cs="Calibri"/>
          <w:sz w:val="18"/>
          <w:szCs w:val="18"/>
          <w:lang w:val="es-419"/>
        </w:rPr>
      </w:pPr>
      <w:r>
        <w:rPr>
          <w:rStyle w:val="EndnoteReference"/>
        </w:rPr>
        <w:endnoteRef/>
      </w:r>
      <w:r w:rsidRPr="006C7AD2">
        <w:rPr>
          <w:lang w:val="es-419"/>
        </w:rPr>
        <w:t xml:space="preserve"> </w:t>
      </w:r>
      <w:r w:rsidRPr="006C7AD2">
        <w:rPr>
          <w:rFonts w:ascii="Calibri" w:eastAsia="Calibri" w:hAnsi="Calibri" w:cs="Calibri"/>
          <w:sz w:val="18"/>
          <w:szCs w:val="18"/>
          <w:lang w:val="es-419"/>
        </w:rPr>
        <w:t xml:space="preserve">Sistema Bolivariano de Comunicación e Información. </w:t>
      </w:r>
      <w:hyperlink r:id="rId3" w:history="1">
        <w:r w:rsidR="000A0349" w:rsidRPr="00DF7898">
          <w:rPr>
            <w:rStyle w:val="Hyperlink"/>
            <w:rFonts w:ascii="Calibri" w:eastAsia="Calibri" w:hAnsi="Calibri" w:cs="Calibri"/>
            <w:sz w:val="18"/>
            <w:szCs w:val="18"/>
            <w:lang w:val="es-419"/>
          </w:rPr>
          <w:t>http://www.minci.gob.ve/con-arraigo-popular-nace-el-sistema-bolivariano-de-comunicacion-e-informacion-sibci/</w:t>
        </w:r>
      </w:hyperlink>
    </w:p>
    <w:p w14:paraId="10E988EF" w14:textId="77777777" w:rsidR="000A0349" w:rsidRPr="006C7AD2" w:rsidRDefault="000A0349">
      <w:pPr>
        <w:pStyle w:val="EndnoteText"/>
        <w:rPr>
          <w:lang w:val="es-419"/>
        </w:rPr>
      </w:pPr>
    </w:p>
  </w:endnote>
  <w:endnote w:id="5">
    <w:p w14:paraId="7800DD6B" w14:textId="7B007CC1" w:rsidR="000A0349" w:rsidRPr="000A0349" w:rsidRDefault="000A0349" w:rsidP="000A0349">
      <w:pPr>
        <w:pStyle w:val="EndnoteText"/>
        <w:spacing w:after="240"/>
        <w:rPr>
          <w:rFonts w:asciiTheme="majorHAnsi" w:hAnsiTheme="majorHAnsi" w:cstheme="majorHAnsi"/>
          <w:sz w:val="18"/>
          <w:szCs w:val="18"/>
          <w:lang w:val="es-419"/>
        </w:rPr>
      </w:pPr>
      <w:r>
        <w:rPr>
          <w:rStyle w:val="EndnoteReference"/>
        </w:rPr>
        <w:endnoteRef/>
      </w:r>
      <w:r w:rsidRPr="000A0349">
        <w:rPr>
          <w:lang w:val="es-419"/>
        </w:rPr>
        <w:t xml:space="preserve"> </w:t>
      </w:r>
      <w:r w:rsidRPr="000A0349">
        <w:rPr>
          <w:rFonts w:asciiTheme="majorHAnsi" w:hAnsiTheme="majorHAnsi" w:cstheme="majorHAnsi"/>
          <w:sz w:val="18"/>
          <w:szCs w:val="18"/>
          <w:lang w:val="es-419"/>
        </w:rPr>
        <w:t>Plan Nacional de la Comunicación Popular, Comunal y/o Alternativa 2015-2019. http://www.minci.gob.ve/wp-content/uploads/2015/10/Plan-Nacional-de-la-Comunicacion-Popular-2015-2019.pdf</w:t>
      </w:r>
    </w:p>
  </w:endnote>
  <w:endnote w:id="6">
    <w:p w14:paraId="279F61DF" w14:textId="635DE07E" w:rsidR="000A0349" w:rsidRDefault="000A0349">
      <w:pPr>
        <w:pStyle w:val="EndnoteText"/>
        <w:rPr>
          <w:rFonts w:asciiTheme="majorHAnsi" w:hAnsiTheme="majorHAnsi" w:cstheme="majorHAnsi"/>
          <w:sz w:val="18"/>
          <w:szCs w:val="18"/>
        </w:rPr>
      </w:pPr>
      <w:r>
        <w:rPr>
          <w:rStyle w:val="EndnoteReference"/>
        </w:rPr>
        <w:endnoteRef/>
      </w:r>
      <w:r w:rsidRPr="000A0349">
        <w:rPr>
          <w:lang w:val="es-419"/>
        </w:rPr>
        <w:t xml:space="preserve"> </w:t>
      </w:r>
      <w:r w:rsidRPr="000A0349">
        <w:rPr>
          <w:rFonts w:asciiTheme="majorHAnsi" w:hAnsiTheme="majorHAnsi" w:cstheme="majorHAnsi"/>
          <w:sz w:val="18"/>
          <w:szCs w:val="18"/>
          <w:lang w:val="es-419"/>
        </w:rPr>
        <w:t xml:space="preserve">Alvarado, Morella (2022). </w:t>
      </w:r>
      <w:r w:rsidRPr="000A0349">
        <w:rPr>
          <w:rFonts w:asciiTheme="majorHAnsi" w:hAnsiTheme="majorHAnsi" w:cstheme="majorHAnsi"/>
          <w:i/>
          <w:iCs/>
          <w:sz w:val="18"/>
          <w:szCs w:val="18"/>
          <w:lang w:val="es-419"/>
        </w:rPr>
        <w:t>“Dificultades para estar informados II”</w:t>
      </w:r>
      <w:r w:rsidRPr="000A0349">
        <w:rPr>
          <w:rFonts w:asciiTheme="majorHAnsi" w:hAnsiTheme="majorHAnsi" w:cstheme="majorHAnsi"/>
          <w:sz w:val="18"/>
          <w:szCs w:val="18"/>
          <w:lang w:val="es-419"/>
        </w:rPr>
        <w:t xml:space="preserve">. </w:t>
      </w:r>
      <w:r w:rsidRPr="000A0349">
        <w:rPr>
          <w:rFonts w:asciiTheme="majorHAnsi" w:hAnsiTheme="majorHAnsi" w:cstheme="majorHAnsi"/>
          <w:i/>
          <w:iCs/>
          <w:sz w:val="18"/>
          <w:szCs w:val="18"/>
          <w:lang w:val="es-419"/>
        </w:rPr>
        <w:t>Proyecto Convivencia democrática, reparación social y comunicación ciudadana</w:t>
      </w:r>
      <w:r w:rsidRPr="000A0349">
        <w:rPr>
          <w:rFonts w:asciiTheme="majorHAnsi" w:hAnsiTheme="majorHAnsi" w:cstheme="majorHAnsi"/>
          <w:sz w:val="18"/>
          <w:szCs w:val="18"/>
          <w:lang w:val="es-419"/>
        </w:rPr>
        <w:t xml:space="preserve">. ININCO-GUMILLA. </w:t>
      </w:r>
      <w:r w:rsidRPr="00620FE7">
        <w:rPr>
          <w:rFonts w:asciiTheme="majorHAnsi" w:hAnsiTheme="majorHAnsi" w:cstheme="majorHAnsi"/>
          <w:sz w:val="18"/>
          <w:szCs w:val="18"/>
        </w:rPr>
        <w:t xml:space="preserve">Disponible </w:t>
      </w:r>
      <w:r w:rsidRPr="00620FE7">
        <w:rPr>
          <w:rFonts w:asciiTheme="majorHAnsi" w:hAnsiTheme="majorHAnsi" w:cstheme="majorHAnsi"/>
          <w:sz w:val="18"/>
          <w:szCs w:val="18"/>
        </w:rPr>
        <w:t xml:space="preserve">en </w:t>
      </w:r>
      <w:r w:rsidRPr="00620FE7">
        <w:rPr>
          <w:rFonts w:asciiTheme="majorHAnsi" w:hAnsiTheme="majorHAnsi" w:cstheme="majorHAnsi"/>
          <w:color w:val="0562C1"/>
          <w:sz w:val="18"/>
          <w:szCs w:val="18"/>
        </w:rPr>
        <w:t>http://caribesperanza.com/informes/</w:t>
      </w:r>
      <w:r w:rsidRPr="00620FE7">
        <w:rPr>
          <w:rFonts w:asciiTheme="majorHAnsi" w:hAnsiTheme="majorHAnsi" w:cstheme="majorHAnsi"/>
          <w:sz w:val="18"/>
          <w:szCs w:val="18"/>
        </w:rPr>
        <w:t xml:space="preserve">. p.3.  </w:t>
      </w:r>
    </w:p>
    <w:p w14:paraId="3D54D873" w14:textId="77777777" w:rsidR="000A0349" w:rsidRPr="000A0349" w:rsidRDefault="000A0349">
      <w:pPr>
        <w:pStyle w:val="EndnoteText"/>
        <w:rPr>
          <w:lang w:val="es-419"/>
        </w:rPr>
      </w:pPr>
    </w:p>
  </w:endnote>
  <w:endnote w:id="7">
    <w:p w14:paraId="094ED494" w14:textId="1722699D" w:rsidR="000A0349" w:rsidRPr="00F20E90" w:rsidRDefault="000A0349">
      <w:pPr>
        <w:pStyle w:val="EndnoteText"/>
        <w:rPr>
          <w:rFonts w:asciiTheme="majorHAnsi" w:hAnsiTheme="majorHAnsi" w:cstheme="majorHAnsi"/>
          <w:sz w:val="18"/>
          <w:szCs w:val="18"/>
          <w:lang w:val="es-419"/>
        </w:rPr>
      </w:pPr>
      <w:r>
        <w:rPr>
          <w:rStyle w:val="EndnoteReference"/>
        </w:rPr>
        <w:endnoteRef/>
      </w:r>
      <w:r w:rsidRPr="000A0349">
        <w:rPr>
          <w:lang w:val="es-419"/>
        </w:rPr>
        <w:t xml:space="preserve"> </w:t>
      </w:r>
      <w:r w:rsidRPr="000A0349">
        <w:rPr>
          <w:rFonts w:asciiTheme="majorHAnsi" w:hAnsiTheme="majorHAnsi" w:cstheme="majorHAnsi"/>
          <w:sz w:val="18"/>
          <w:szCs w:val="18"/>
          <w:lang w:val="es-419"/>
        </w:rPr>
        <w:t xml:space="preserve">Puyosa, Iria. (2018). Estrategias de guerra informativa del chavismo en Twitter. </w:t>
      </w:r>
      <w:r w:rsidRPr="00F20E90">
        <w:rPr>
          <w:rFonts w:asciiTheme="majorHAnsi" w:hAnsiTheme="majorHAnsi" w:cstheme="majorHAnsi"/>
          <w:sz w:val="18"/>
          <w:szCs w:val="18"/>
          <w:lang w:val="es-419"/>
        </w:rPr>
        <w:t xml:space="preserve">Disponible en </w:t>
      </w:r>
      <w:hyperlink r:id="rId4" w:history="1">
        <w:r w:rsidRPr="00F20E90">
          <w:rPr>
            <w:rStyle w:val="Hyperlink"/>
            <w:rFonts w:asciiTheme="majorHAnsi" w:hAnsiTheme="majorHAnsi" w:cstheme="majorHAnsi"/>
            <w:sz w:val="18"/>
            <w:szCs w:val="18"/>
            <w:lang w:val="es-419"/>
          </w:rPr>
          <w:t>https://www.dropbox.com/s/dn4e863dj4zqfkr/</w:t>
        </w:r>
      </w:hyperlink>
    </w:p>
    <w:p w14:paraId="3E9CED76" w14:textId="3E3F99AC" w:rsidR="000A0349" w:rsidRDefault="00F20E90">
      <w:pPr>
        <w:pStyle w:val="EndnoteText"/>
        <w:rPr>
          <w:rFonts w:asciiTheme="majorHAnsi" w:hAnsiTheme="majorHAnsi" w:cstheme="majorHAnsi"/>
          <w:sz w:val="18"/>
          <w:szCs w:val="18"/>
          <w:lang w:val="es-419"/>
        </w:rPr>
      </w:pPr>
      <w:r w:rsidRPr="00F20E90">
        <w:rPr>
          <w:rFonts w:asciiTheme="majorHAnsi" w:hAnsiTheme="majorHAnsi" w:cstheme="majorHAnsi"/>
          <w:sz w:val="18"/>
          <w:szCs w:val="18"/>
          <w:lang w:val="es-419"/>
        </w:rPr>
        <w:t xml:space="preserve">Cambio16.(2023-01-30). Tuiteros por la patria, la red social de propaganda y spam que Twitter no censura. Disponible en </w:t>
      </w:r>
      <w:hyperlink r:id="rId5" w:history="1">
        <w:r w:rsidRPr="00DF7898">
          <w:rPr>
            <w:rStyle w:val="Hyperlink"/>
            <w:rFonts w:asciiTheme="majorHAnsi" w:hAnsiTheme="majorHAnsi" w:cstheme="majorHAnsi"/>
            <w:sz w:val="18"/>
            <w:szCs w:val="18"/>
            <w:lang w:val="es-419"/>
          </w:rPr>
          <w:t>https://www.cambio16.com/la-red-social-de-propaganda-que-twitter-no-censura-tuiteros-por-la-patria/</w:t>
        </w:r>
      </w:hyperlink>
    </w:p>
    <w:p w14:paraId="04FB4800" w14:textId="77777777" w:rsidR="00F20E90" w:rsidRPr="00F20E90" w:rsidRDefault="00F20E90">
      <w:pPr>
        <w:pStyle w:val="EndnoteText"/>
        <w:rPr>
          <w:lang w:val="es-419"/>
        </w:rPr>
      </w:pPr>
    </w:p>
  </w:endnote>
  <w:endnote w:id="8">
    <w:p w14:paraId="3B5EC52A" w14:textId="7D9835AA" w:rsidR="00F20E90" w:rsidRDefault="00F20E90">
      <w:pPr>
        <w:pStyle w:val="EndnoteText"/>
        <w:rPr>
          <w:rFonts w:asciiTheme="majorHAnsi" w:hAnsiTheme="majorHAnsi" w:cstheme="majorHAnsi"/>
          <w:sz w:val="18"/>
          <w:szCs w:val="18"/>
          <w:lang w:val="es-419"/>
        </w:rPr>
      </w:pPr>
      <w:r>
        <w:rPr>
          <w:rStyle w:val="EndnoteReference"/>
        </w:rPr>
        <w:endnoteRef/>
      </w:r>
      <w:r w:rsidRPr="00F20E90">
        <w:rPr>
          <w:lang w:val="es-419"/>
        </w:rPr>
        <w:t xml:space="preserve"> </w:t>
      </w:r>
      <w:r w:rsidRPr="00620FE7">
        <w:rPr>
          <w:rFonts w:asciiTheme="majorHAnsi" w:hAnsiTheme="majorHAnsi" w:cstheme="majorHAnsi"/>
          <w:sz w:val="18"/>
          <w:szCs w:val="18"/>
          <w:lang w:val="es-419"/>
        </w:rPr>
        <w:t xml:space="preserve">Luisa Torrealba. 20 años de normativas comunicacionales en Venezuela. Infografía realizada con base a la investigación. </w:t>
      </w:r>
      <w:hyperlink r:id="rId6" w:history="1">
        <w:r w:rsidR="003326E5" w:rsidRPr="00DF7898">
          <w:rPr>
            <w:rStyle w:val="Hyperlink"/>
            <w:rFonts w:asciiTheme="majorHAnsi" w:hAnsiTheme="majorHAnsi" w:cstheme="majorHAnsi"/>
            <w:sz w:val="18"/>
            <w:szCs w:val="18"/>
            <w:lang w:val="es-419"/>
          </w:rPr>
          <w:t>http://caribesperanza.com/category/linea-de-tiempo/</w:t>
        </w:r>
      </w:hyperlink>
    </w:p>
    <w:p w14:paraId="423A05C2" w14:textId="77777777" w:rsidR="003326E5" w:rsidRPr="00F20E90" w:rsidRDefault="003326E5">
      <w:pPr>
        <w:pStyle w:val="EndnoteText"/>
        <w:rPr>
          <w:lang w:val="es-419"/>
        </w:rPr>
      </w:pPr>
    </w:p>
  </w:endnote>
  <w:endnote w:id="9">
    <w:p w14:paraId="4A2B3903" w14:textId="55B288A0" w:rsidR="003326E5" w:rsidRPr="003326E5" w:rsidRDefault="003326E5" w:rsidP="003326E5">
      <w:pPr>
        <w:pStyle w:val="EndnoteText"/>
        <w:spacing w:after="240"/>
        <w:rPr>
          <w:rFonts w:asciiTheme="majorHAnsi" w:hAnsiTheme="majorHAnsi" w:cstheme="majorHAnsi"/>
          <w:sz w:val="18"/>
          <w:szCs w:val="18"/>
          <w:lang w:val="es-419"/>
        </w:rPr>
      </w:pPr>
      <w:r>
        <w:rPr>
          <w:rStyle w:val="EndnoteReference"/>
        </w:rPr>
        <w:endnoteRef/>
      </w:r>
      <w:r w:rsidRPr="003326E5">
        <w:rPr>
          <w:lang w:val="es-419"/>
        </w:rPr>
        <w:t xml:space="preserve"> </w:t>
      </w:r>
      <w:r w:rsidRPr="003326E5">
        <w:rPr>
          <w:rFonts w:asciiTheme="majorHAnsi" w:hAnsiTheme="majorHAnsi" w:cstheme="majorHAnsi"/>
          <w:sz w:val="18"/>
          <w:szCs w:val="18"/>
          <w:lang w:val="es-419"/>
        </w:rPr>
        <w:t>Consejo de Derechos Humanos 41º período de sesiones 24 de junio–12 de julio de 2019.Informe anual de la Alta Comisionada de las Naciones Unidas para los Derechos Humanos e informes de la Oficina de la Alta Comisionada y del Secretario General https://www.ohchr.org/Documents/Countries/VE/A_HRC_41_18_SP.docx</w:t>
      </w:r>
    </w:p>
  </w:endnote>
  <w:endnote w:id="10">
    <w:p w14:paraId="5B66D995" w14:textId="332F49E4" w:rsidR="003326E5" w:rsidRPr="003326E5" w:rsidRDefault="003326E5">
      <w:pPr>
        <w:pStyle w:val="EndnoteText"/>
        <w:rPr>
          <w:lang w:val="es-419"/>
        </w:rPr>
      </w:pPr>
      <w:r>
        <w:rPr>
          <w:rStyle w:val="EndnoteReference"/>
        </w:rPr>
        <w:endnoteRef/>
      </w:r>
      <w:r w:rsidRPr="003326E5">
        <w:rPr>
          <w:lang w:val="es-419"/>
        </w:rPr>
        <w:t xml:space="preserve"> </w:t>
      </w:r>
      <w:r w:rsidRPr="003326E5">
        <w:rPr>
          <w:rFonts w:asciiTheme="majorHAnsi" w:hAnsiTheme="majorHAnsi" w:cstheme="majorHAnsi"/>
          <w:sz w:val="18"/>
          <w:szCs w:val="18"/>
          <w:lang w:val="es-419"/>
        </w:rPr>
        <w:t xml:space="preserve">Dificultades para estar informados” Propuesta por la Defensa del Derecho a la Comunicación y la Libertad de Información. </w:t>
      </w:r>
      <w:r w:rsidRPr="00620FE7">
        <w:rPr>
          <w:rFonts w:asciiTheme="majorHAnsi" w:hAnsiTheme="majorHAnsi" w:cstheme="majorHAnsi"/>
          <w:sz w:val="18"/>
          <w:szCs w:val="18"/>
          <w:lang w:val="es-419"/>
        </w:rPr>
        <w:t>Policy Brief elaborado por el OGCD y el ININCO-UCV . Mayo 2020. https://www.observademocracia.org/wp-content/uploads/2021/12/4PolicyBrief.pdf</w:t>
      </w:r>
    </w:p>
  </w:endnote>
  <w:endnote w:id="11">
    <w:p w14:paraId="6C901A0D" w14:textId="5D9B1CF7" w:rsidR="003326E5" w:rsidRPr="00C21772" w:rsidRDefault="003326E5" w:rsidP="00C21772">
      <w:pPr>
        <w:spacing w:before="240" w:after="240"/>
        <w:rPr>
          <w:rFonts w:ascii="Calibri" w:eastAsia="Calibri" w:hAnsi="Calibri" w:cs="Calibri"/>
          <w:sz w:val="18"/>
          <w:szCs w:val="18"/>
          <w:lang w:val="es-419"/>
        </w:rPr>
      </w:pPr>
      <w:r>
        <w:rPr>
          <w:rStyle w:val="EndnoteReference"/>
        </w:rPr>
        <w:endnoteRef/>
      </w:r>
      <w:r w:rsidRPr="003326E5">
        <w:rPr>
          <w:lang w:val="es-419"/>
        </w:rPr>
        <w:t xml:space="preserve"> </w:t>
      </w:r>
      <w:r w:rsidRPr="006C7AD2">
        <w:rPr>
          <w:rFonts w:ascii="Calibri" w:eastAsia="Calibri" w:hAnsi="Calibri" w:cs="Calibri"/>
          <w:sz w:val="18"/>
          <w:szCs w:val="18"/>
          <w:lang w:val="es-419"/>
        </w:rPr>
        <w:t>María Fernanda Madriz, Números que cuentan historias. (avance de investigación). Investigación realizada por el Observatorio de Comunicación Política y Desinformación para la Red Electoral Ciudadana. 2021-2023. https://www.observademocracia.org/wp-content/uploads/2023/09/NUMEROS-QUE-CUENTAN-HISTORIAS-1-y-2-.pdf</w:t>
      </w:r>
    </w:p>
  </w:endnote>
  <w:endnote w:id="12">
    <w:p w14:paraId="0728071B" w14:textId="70DA648E" w:rsidR="00C21772" w:rsidRDefault="00C21772">
      <w:pPr>
        <w:pStyle w:val="EndnoteText"/>
        <w:rPr>
          <w:rFonts w:asciiTheme="majorHAnsi" w:hAnsiTheme="majorHAnsi" w:cstheme="majorHAnsi"/>
          <w:sz w:val="18"/>
          <w:szCs w:val="18"/>
          <w:lang w:val="es-419"/>
        </w:rPr>
      </w:pPr>
      <w:r>
        <w:rPr>
          <w:rStyle w:val="EndnoteReference"/>
        </w:rPr>
        <w:endnoteRef/>
      </w:r>
      <w:r w:rsidRPr="00C21772">
        <w:rPr>
          <w:lang w:val="es-419"/>
        </w:rPr>
        <w:t xml:space="preserve"> </w:t>
      </w:r>
      <w:r w:rsidRPr="00C21772">
        <w:rPr>
          <w:rFonts w:asciiTheme="majorHAnsi" w:hAnsiTheme="majorHAnsi" w:cstheme="majorHAnsi"/>
          <w:sz w:val="18"/>
          <w:szCs w:val="18"/>
          <w:lang w:val="es-419"/>
        </w:rPr>
        <w:t xml:space="preserve">República Bolivariana de Venezuela. (2022). </w:t>
      </w:r>
      <w:r w:rsidRPr="00C21772">
        <w:rPr>
          <w:rFonts w:asciiTheme="majorHAnsi" w:hAnsiTheme="majorHAnsi" w:cstheme="majorHAnsi"/>
          <w:i/>
          <w:iCs/>
          <w:sz w:val="18"/>
          <w:szCs w:val="18"/>
          <w:lang w:val="es-419"/>
        </w:rPr>
        <w:t>Informe nacional presentado con arreglo al párrafo 5 del anexo de la resolución 16/21 del Consejo de Derechos Humanos</w:t>
      </w:r>
      <w:r w:rsidRPr="00C21772">
        <w:rPr>
          <w:rFonts w:asciiTheme="majorHAnsi" w:hAnsiTheme="majorHAnsi" w:cstheme="majorHAnsi"/>
          <w:sz w:val="18"/>
          <w:szCs w:val="18"/>
          <w:lang w:val="es-419"/>
        </w:rPr>
        <w:t xml:space="preserve">. Disponible en: https://documents-dds-ny.un.org/doc/UNDOC/GEN/G21/320/38/PDF/G2132038.pdf  </w:t>
      </w:r>
    </w:p>
    <w:p w14:paraId="7C654E4E" w14:textId="77777777" w:rsidR="00C21772" w:rsidRPr="00C21772" w:rsidRDefault="00C21772">
      <w:pPr>
        <w:pStyle w:val="EndnoteText"/>
        <w:rPr>
          <w:lang w:val="es-419"/>
        </w:rPr>
      </w:pPr>
    </w:p>
  </w:endnote>
  <w:endnote w:id="13">
    <w:p w14:paraId="1A913F5B" w14:textId="0F901E59" w:rsidR="00C21772" w:rsidRDefault="00C21772">
      <w:pPr>
        <w:pStyle w:val="EndnoteText"/>
        <w:rPr>
          <w:rFonts w:asciiTheme="majorHAnsi" w:hAnsiTheme="majorHAnsi" w:cstheme="majorHAnsi"/>
          <w:sz w:val="18"/>
          <w:szCs w:val="18"/>
          <w:lang w:val="es-419"/>
        </w:rPr>
      </w:pPr>
      <w:r>
        <w:rPr>
          <w:rStyle w:val="EndnoteReference"/>
        </w:rPr>
        <w:endnoteRef/>
      </w:r>
      <w:r w:rsidRPr="00C21772">
        <w:rPr>
          <w:lang w:val="es-419"/>
        </w:rPr>
        <w:t xml:space="preserve"> </w:t>
      </w:r>
      <w:r w:rsidRPr="00C21772">
        <w:rPr>
          <w:rFonts w:asciiTheme="majorHAnsi" w:hAnsiTheme="majorHAnsi" w:cstheme="majorHAnsi"/>
          <w:sz w:val="18"/>
          <w:szCs w:val="18"/>
          <w:lang w:val="es-419"/>
        </w:rPr>
        <w:t xml:space="preserve">Bisbal, Marcelino (2007). “Los Medios en Venezuela. ¿Dónde estamos?”. </w:t>
      </w:r>
      <w:r w:rsidRPr="00C21772">
        <w:rPr>
          <w:rFonts w:asciiTheme="majorHAnsi" w:hAnsiTheme="majorHAnsi" w:cstheme="majorHAnsi"/>
          <w:i/>
          <w:iCs/>
          <w:sz w:val="18"/>
          <w:szCs w:val="18"/>
          <w:lang w:val="es-419"/>
        </w:rPr>
        <w:t>Espacio Abierto. Cuaderno Venezolano de Sociología</w:t>
      </w:r>
      <w:r w:rsidRPr="00C21772">
        <w:rPr>
          <w:rFonts w:asciiTheme="majorHAnsi" w:hAnsiTheme="majorHAnsi" w:cstheme="majorHAnsi"/>
          <w:sz w:val="18"/>
          <w:szCs w:val="18"/>
          <w:lang w:val="es-419"/>
        </w:rPr>
        <w:t xml:space="preserve">. Vol. 16 No. 4 (octubre-diciembre, 2007): 643 – 668. Disponible en </w:t>
      </w:r>
      <w:r w:rsidRPr="00C21772">
        <w:rPr>
          <w:rFonts w:asciiTheme="majorHAnsi" w:hAnsiTheme="majorHAnsi" w:cstheme="majorHAnsi"/>
          <w:color w:val="0562C1"/>
          <w:sz w:val="18"/>
          <w:szCs w:val="18"/>
          <w:lang w:val="es-419"/>
        </w:rPr>
        <w:t xml:space="preserve">https://produccioncientificaluz.org/index.php/espacio/article/view/1266 </w:t>
      </w:r>
      <w:r w:rsidRPr="00C21772">
        <w:rPr>
          <w:rFonts w:asciiTheme="majorHAnsi" w:hAnsiTheme="majorHAnsi" w:cstheme="majorHAnsi"/>
          <w:sz w:val="18"/>
          <w:szCs w:val="18"/>
          <w:lang w:val="es-419"/>
        </w:rPr>
        <w:t xml:space="preserve"> </w:t>
      </w:r>
    </w:p>
    <w:p w14:paraId="40039868" w14:textId="77777777" w:rsidR="00C21772" w:rsidRPr="00C21772" w:rsidRDefault="00C21772">
      <w:pPr>
        <w:pStyle w:val="EndnoteText"/>
        <w:rPr>
          <w:lang w:val="es-419"/>
        </w:rPr>
      </w:pPr>
    </w:p>
  </w:endnote>
  <w:endnote w:id="14">
    <w:p w14:paraId="09066B60" w14:textId="52185571" w:rsidR="00C21772" w:rsidRDefault="00C21772">
      <w:pPr>
        <w:pStyle w:val="EndnoteText"/>
        <w:rPr>
          <w:rFonts w:asciiTheme="majorHAnsi" w:hAnsiTheme="majorHAnsi" w:cstheme="majorHAnsi"/>
          <w:sz w:val="18"/>
          <w:szCs w:val="18"/>
          <w:lang w:val="es-419"/>
        </w:rPr>
      </w:pPr>
      <w:r>
        <w:rPr>
          <w:rStyle w:val="EndnoteReference"/>
        </w:rPr>
        <w:endnoteRef/>
      </w:r>
      <w:r w:rsidRPr="00C21772">
        <w:rPr>
          <w:lang w:val="es-419"/>
        </w:rPr>
        <w:t xml:space="preserve"> </w:t>
      </w:r>
      <w:r w:rsidRPr="00C21772">
        <w:rPr>
          <w:rFonts w:asciiTheme="majorHAnsi" w:hAnsiTheme="majorHAnsi" w:cstheme="majorHAnsi"/>
          <w:sz w:val="18"/>
          <w:szCs w:val="18"/>
          <w:lang w:val="es-419"/>
        </w:rPr>
        <w:t xml:space="preserve">Espacio Público-CDH UCAB. (2021). 21N: Libertad de Expresión. Disponible en </w:t>
      </w:r>
      <w:hyperlink r:id="rId7" w:history="1">
        <w:r w:rsidRPr="00DF7898">
          <w:rPr>
            <w:rStyle w:val="Hyperlink"/>
            <w:rFonts w:asciiTheme="majorHAnsi" w:hAnsiTheme="majorHAnsi" w:cstheme="majorHAnsi"/>
            <w:sz w:val="18"/>
            <w:szCs w:val="18"/>
            <w:lang w:val="es-419"/>
          </w:rPr>
          <w:t>https://espaciopublico.ong/wp-content/uploads/2021/11/INFORME.pdf</w:t>
        </w:r>
      </w:hyperlink>
      <w:r w:rsidRPr="00C21772">
        <w:rPr>
          <w:rFonts w:asciiTheme="majorHAnsi" w:hAnsiTheme="majorHAnsi" w:cstheme="majorHAnsi"/>
          <w:sz w:val="18"/>
          <w:szCs w:val="18"/>
          <w:lang w:val="es-419"/>
        </w:rPr>
        <w:t>.</w:t>
      </w:r>
    </w:p>
    <w:p w14:paraId="5B4EAC09" w14:textId="77777777" w:rsidR="00C21772" w:rsidRDefault="00C21772" w:rsidP="00C21772">
      <w:pPr>
        <w:pStyle w:val="EndnoteText"/>
        <w:rPr>
          <w:rFonts w:asciiTheme="majorHAnsi" w:hAnsiTheme="majorHAnsi" w:cstheme="majorHAnsi"/>
          <w:sz w:val="18"/>
          <w:szCs w:val="18"/>
          <w:lang w:val="es-419"/>
        </w:rPr>
      </w:pPr>
      <w:r w:rsidRPr="00C21772">
        <w:rPr>
          <w:rFonts w:asciiTheme="majorHAnsi" w:hAnsiTheme="majorHAnsi" w:cstheme="majorHAnsi"/>
          <w:sz w:val="18"/>
          <w:szCs w:val="18"/>
          <w:lang w:val="es-419"/>
        </w:rPr>
        <w:t xml:space="preserve">Para el caso de los periódicos impresos, puede consultarse el trabajo Sin periódicos: menos noticias en Venezuela publicado por Espacio Público en 2021 con estadísticas actualizadas a 2018, disponible en </w:t>
      </w:r>
      <w:hyperlink r:id="rId8" w:history="1">
        <w:r w:rsidRPr="00DF7898">
          <w:rPr>
            <w:rStyle w:val="Hyperlink"/>
            <w:rFonts w:asciiTheme="majorHAnsi" w:hAnsiTheme="majorHAnsi" w:cstheme="majorHAnsi"/>
            <w:sz w:val="18"/>
            <w:szCs w:val="18"/>
            <w:lang w:val="es-419"/>
          </w:rPr>
          <w:t>https://espaciopublico.ong/sin-periodicos-menos-noticias-en-venezuela</w:t>
        </w:r>
      </w:hyperlink>
      <w:r w:rsidRPr="00C21772">
        <w:rPr>
          <w:rFonts w:asciiTheme="majorHAnsi" w:hAnsiTheme="majorHAnsi" w:cstheme="majorHAnsi"/>
          <w:sz w:val="18"/>
          <w:szCs w:val="18"/>
          <w:lang w:val="es-419"/>
        </w:rPr>
        <w:t>.</w:t>
      </w:r>
    </w:p>
    <w:p w14:paraId="18791715" w14:textId="77777777" w:rsidR="00C21772" w:rsidRPr="00C21772" w:rsidRDefault="00C21772">
      <w:pPr>
        <w:pStyle w:val="EndnoteText"/>
        <w:rPr>
          <w:lang w:val="es-419"/>
        </w:rPr>
      </w:pPr>
    </w:p>
  </w:endnote>
  <w:endnote w:id="15">
    <w:p w14:paraId="50374AF2" w14:textId="165BFCE8" w:rsidR="00C21772" w:rsidRPr="004C7058" w:rsidRDefault="00C21772">
      <w:pPr>
        <w:pStyle w:val="EndnoteText"/>
        <w:rPr>
          <w:rFonts w:asciiTheme="majorHAnsi" w:hAnsiTheme="majorHAnsi" w:cstheme="majorHAnsi"/>
          <w:color w:val="0000FF" w:themeColor="hyperlink"/>
          <w:sz w:val="18"/>
          <w:szCs w:val="18"/>
          <w:u w:val="single"/>
        </w:rPr>
      </w:pPr>
      <w:r>
        <w:rPr>
          <w:rStyle w:val="EndnoteReference"/>
        </w:rPr>
        <w:endnoteRef/>
      </w:r>
      <w:r w:rsidRPr="00C21772">
        <w:t xml:space="preserve"> </w:t>
      </w:r>
      <w:r w:rsidRPr="006A4B1C">
        <w:rPr>
          <w:rFonts w:asciiTheme="majorHAnsi" w:hAnsiTheme="majorHAnsi" w:cstheme="majorHAnsi"/>
          <w:sz w:val="18"/>
          <w:szCs w:val="18"/>
        </w:rPr>
        <w:t>We Are Social/</w:t>
      </w:r>
      <w:r w:rsidRPr="006A4B1C">
        <w:rPr>
          <w:rFonts w:asciiTheme="majorHAnsi" w:hAnsiTheme="majorHAnsi" w:cstheme="majorHAnsi"/>
          <w:sz w:val="18"/>
          <w:szCs w:val="18"/>
        </w:rPr>
        <w:t xml:space="preserve">Kepios. Data Reportal. Venezuela, 2022. Notes on Data: Disponible en </w:t>
      </w:r>
      <w:hyperlink r:id="rId9" w:history="1">
        <w:r w:rsidRPr="006A4B1C">
          <w:rPr>
            <w:rStyle w:val="Hyperlink"/>
            <w:rFonts w:asciiTheme="majorHAnsi" w:hAnsiTheme="majorHAnsi" w:cstheme="majorHAnsi"/>
            <w:sz w:val="18"/>
            <w:szCs w:val="18"/>
          </w:rPr>
          <w:t>https://datareportal.com/notes-on-data</w:t>
        </w:r>
      </w:hyperlink>
    </w:p>
  </w:endnote>
  <w:endnote w:id="16">
    <w:p w14:paraId="596CDA22" w14:textId="77777777" w:rsidR="00C21772" w:rsidRPr="00C21772" w:rsidRDefault="00C21772">
      <w:pPr>
        <w:pStyle w:val="EndnoteText"/>
        <w:rPr>
          <w:lang w:val="es-419"/>
        </w:rPr>
      </w:pPr>
    </w:p>
  </w:endnote>
  <w:endnote w:id="17">
    <w:p w14:paraId="3191C696" w14:textId="77777777" w:rsidR="004C7058" w:rsidRPr="00CF5B77" w:rsidRDefault="004C7058" w:rsidP="004C7058">
      <w:pPr>
        <w:pStyle w:val="Default"/>
        <w:rPr>
          <w:rFonts w:ascii="Roboto" w:hAnsi="Roboto" w:cs="Roboto"/>
          <w:color w:val="auto"/>
          <w:lang w:val="es-419"/>
        </w:rPr>
      </w:pPr>
      <w:r>
        <w:rPr>
          <w:rStyle w:val="EndnoteReference"/>
        </w:rPr>
        <w:endnoteRef/>
      </w:r>
      <w:r w:rsidRPr="004C7058">
        <w:rPr>
          <w:lang w:val="es-419"/>
        </w:rPr>
        <w:t xml:space="preserve"> </w:t>
      </w:r>
      <w:r w:rsidRPr="00CF5B77">
        <w:rPr>
          <w:rFonts w:asciiTheme="majorHAnsi" w:hAnsiTheme="majorHAnsi" w:cstheme="majorHAnsi"/>
          <w:color w:val="auto"/>
          <w:sz w:val="18"/>
          <w:szCs w:val="18"/>
          <w:lang w:val="es-419"/>
        </w:rPr>
        <w:t xml:space="preserve">Bacalao, Mariana. (2020). </w:t>
      </w:r>
      <w:r w:rsidRPr="00CF5B77">
        <w:rPr>
          <w:rFonts w:asciiTheme="majorHAnsi" w:hAnsiTheme="majorHAnsi" w:cstheme="majorHAnsi"/>
          <w:i/>
          <w:iCs/>
          <w:color w:val="auto"/>
          <w:sz w:val="18"/>
          <w:szCs w:val="18"/>
          <w:lang w:val="es-419"/>
        </w:rPr>
        <w:t>Hábitos de consumo informativo en la Gran Caracas Informe de investigación cualitativa a dos tiempos: Mayo 2019 - Enero 2020</w:t>
      </w:r>
      <w:r w:rsidRPr="00CF5B77">
        <w:rPr>
          <w:rFonts w:asciiTheme="majorHAnsi" w:hAnsiTheme="majorHAnsi" w:cstheme="majorHAnsi"/>
          <w:color w:val="auto"/>
          <w:sz w:val="18"/>
          <w:szCs w:val="18"/>
          <w:lang w:val="es-419"/>
        </w:rPr>
        <w:t>. https://drive.google.com/file/d/1USaBquEr3jC3xETsqRVQ6SN3LeB4HpjW/view</w:t>
      </w:r>
      <w:r w:rsidRPr="00CF5B77">
        <w:rPr>
          <w:rFonts w:ascii="Roboto" w:hAnsi="Roboto" w:cs="Roboto"/>
          <w:color w:val="auto"/>
          <w:sz w:val="18"/>
          <w:szCs w:val="18"/>
          <w:lang w:val="es-419"/>
        </w:rPr>
        <w:t xml:space="preserve"> </w:t>
      </w:r>
      <w:r w:rsidRPr="00CF5B77">
        <w:rPr>
          <w:rFonts w:ascii="Roboto" w:hAnsi="Roboto" w:cs="Roboto"/>
          <w:color w:val="auto"/>
          <w:lang w:val="es-419"/>
        </w:rPr>
        <w:t xml:space="preserve"> </w:t>
      </w:r>
    </w:p>
    <w:p w14:paraId="32872BF3" w14:textId="407C4075" w:rsidR="004C7058" w:rsidRDefault="004C7058">
      <w:pPr>
        <w:pStyle w:val="EndnoteText"/>
        <w:rPr>
          <w:lang w:val="es-419"/>
        </w:rPr>
      </w:pPr>
    </w:p>
    <w:p w14:paraId="04E93D89" w14:textId="77777777" w:rsidR="004C7058" w:rsidRPr="004C7058" w:rsidRDefault="004C7058">
      <w:pPr>
        <w:pStyle w:val="EndnoteText"/>
        <w:rPr>
          <w:lang w:val="es-419"/>
        </w:rPr>
      </w:pPr>
    </w:p>
  </w:endnote>
  <w:endnote w:id="18">
    <w:p w14:paraId="1C0B2269" w14:textId="05AF1261" w:rsidR="000904C0" w:rsidRDefault="000904C0">
      <w:pPr>
        <w:pStyle w:val="EndnoteText"/>
        <w:rPr>
          <w:rStyle w:val="Hyperlink"/>
          <w:rFonts w:asciiTheme="majorHAnsi" w:hAnsiTheme="majorHAnsi" w:cstheme="majorHAnsi"/>
          <w:color w:val="auto"/>
          <w:sz w:val="18"/>
          <w:szCs w:val="18"/>
          <w:shd w:val="clear" w:color="auto" w:fill="FFFFFF"/>
        </w:rPr>
      </w:pPr>
      <w:r>
        <w:rPr>
          <w:rStyle w:val="EndnoteReference"/>
        </w:rPr>
        <w:endnoteRef/>
      </w:r>
      <w:r w:rsidRPr="000904C0">
        <w:rPr>
          <w:lang w:val="es-419"/>
        </w:rPr>
        <w:t xml:space="preserve"> </w:t>
      </w:r>
      <w:r w:rsidRPr="006D5B8E">
        <w:rPr>
          <w:rFonts w:asciiTheme="majorHAnsi" w:hAnsiTheme="majorHAnsi" w:cstheme="majorHAnsi"/>
          <w:sz w:val="18"/>
          <w:szCs w:val="18"/>
          <w:lang w:val="es-419"/>
        </w:rPr>
        <w:t xml:space="preserve">Reporteros Sin Frontera. 2022. </w:t>
      </w:r>
      <w:hyperlink r:id="rId10" w:history="1">
        <w:r w:rsidRPr="000904C0">
          <w:rPr>
            <w:rStyle w:val="Hyperlink"/>
            <w:rFonts w:asciiTheme="majorHAnsi" w:hAnsiTheme="majorHAnsi" w:cstheme="majorHAnsi"/>
            <w:color w:val="auto"/>
            <w:sz w:val="18"/>
            <w:szCs w:val="18"/>
            <w:shd w:val="clear" w:color="auto" w:fill="FFFFFF"/>
            <w:lang w:val="es-419"/>
          </w:rPr>
          <w:t>https://www.rsf-es.org/clasificacion-mundial-de-la-libertad-de-prensa-rsf-2023-tabla-de-paises/</w:t>
        </w:r>
      </w:hyperlink>
    </w:p>
    <w:p w14:paraId="73BA73D0" w14:textId="77777777" w:rsidR="000904C0" w:rsidRPr="000904C0" w:rsidRDefault="000904C0">
      <w:pPr>
        <w:pStyle w:val="EndnoteText"/>
        <w:rPr>
          <w:lang w:val="es-419"/>
        </w:rPr>
      </w:pPr>
    </w:p>
  </w:endnote>
  <w:endnote w:id="19">
    <w:p w14:paraId="328F8C47" w14:textId="20570AD9" w:rsidR="000904C0" w:rsidRDefault="000904C0">
      <w:pPr>
        <w:pStyle w:val="EndnoteText"/>
        <w:rPr>
          <w:rFonts w:asciiTheme="majorHAnsi" w:hAnsiTheme="majorHAnsi" w:cstheme="majorHAnsi"/>
          <w:sz w:val="18"/>
          <w:szCs w:val="18"/>
          <w:lang w:val="es-419"/>
        </w:rPr>
      </w:pPr>
      <w:r>
        <w:rPr>
          <w:rStyle w:val="EndnoteReference"/>
        </w:rPr>
        <w:endnoteRef/>
      </w:r>
      <w:r w:rsidRPr="000904C0">
        <w:rPr>
          <w:lang w:val="es-419"/>
        </w:rPr>
        <w:t xml:space="preserve"> </w:t>
      </w:r>
      <w:r w:rsidRPr="007653B2">
        <w:rPr>
          <w:rFonts w:asciiTheme="majorHAnsi" w:hAnsiTheme="majorHAnsi" w:cstheme="majorHAnsi"/>
          <w:sz w:val="18"/>
          <w:szCs w:val="18"/>
          <w:lang w:val="es-419"/>
        </w:rPr>
        <w:t xml:space="preserve">RPP Noticias. </w:t>
      </w:r>
      <w:r>
        <w:rPr>
          <w:rFonts w:asciiTheme="majorHAnsi" w:hAnsiTheme="majorHAnsi" w:cstheme="majorHAnsi"/>
          <w:sz w:val="18"/>
          <w:szCs w:val="18"/>
          <w:lang w:val="es-419"/>
        </w:rPr>
        <w:t>“</w:t>
      </w:r>
      <w:r w:rsidRPr="000904C0">
        <w:rPr>
          <w:rFonts w:asciiTheme="majorHAnsi" w:hAnsiTheme="majorHAnsi" w:cstheme="majorHAnsi"/>
          <w:sz w:val="18"/>
          <w:szCs w:val="18"/>
          <w:lang w:val="es-419"/>
        </w:rPr>
        <w:t xml:space="preserve">Venezuela: Nicolás Maduro ordenó interceptación de más de 1 millón de teléfonos en 2021, según Telefónica” 24 de junio, 2022. </w:t>
      </w:r>
      <w:hyperlink r:id="rId11" w:history="1">
        <w:r w:rsidRPr="00DF7898">
          <w:rPr>
            <w:rStyle w:val="Hyperlink"/>
            <w:rFonts w:asciiTheme="majorHAnsi" w:hAnsiTheme="majorHAnsi" w:cstheme="majorHAnsi"/>
            <w:sz w:val="18"/>
            <w:szCs w:val="18"/>
            <w:lang w:val="es-419"/>
          </w:rPr>
          <w:t>https://rpp.pe/mundo/venezuela/venezuela-nicolas-maduro-ordeno-interceptacion-de-mas-de-1-millon-de-telefonos-en-2021-segun-telefonica-noticia-1413708</w:t>
        </w:r>
      </w:hyperlink>
    </w:p>
    <w:p w14:paraId="7446B398" w14:textId="77777777" w:rsidR="000904C0" w:rsidRPr="000904C0" w:rsidRDefault="000904C0">
      <w:pPr>
        <w:pStyle w:val="EndnoteText"/>
        <w:rPr>
          <w:lang w:val="es-419"/>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erif">
    <w:altName w:val="Noto Serif"/>
    <w:charset w:val="00"/>
    <w:family w:val="roman"/>
    <w:pitch w:val="variable"/>
    <w:sig w:usb0="E00002FF" w:usb1="500078FF" w:usb2="00000029" w:usb3="00000000" w:csb0="0000019F" w:csb1="00000000"/>
  </w:font>
  <w:font w:name="Calibri">
    <w:panose1 w:val="020F0502020204030204"/>
    <w:charset w:val="00"/>
    <w:family w:val="swiss"/>
    <w:pitch w:val="variable"/>
    <w:sig w:usb0="E4002EFF" w:usb1="C200247B" w:usb2="00000009" w:usb3="00000000" w:csb0="000001FF" w:csb1="00000000"/>
  </w:font>
  <w:font w:name="Roboto">
    <w:altName w:val="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334BA" w14:textId="77777777" w:rsidR="00D254DC" w:rsidRPr="006C7AD2" w:rsidRDefault="00D254DC">
      <w:pPr>
        <w:spacing w:line="240" w:lineRule="auto"/>
      </w:pPr>
      <w:r w:rsidRPr="006C7AD2">
        <w:separator/>
      </w:r>
    </w:p>
  </w:footnote>
  <w:footnote w:type="continuationSeparator" w:id="0">
    <w:p w14:paraId="69300CFC" w14:textId="77777777" w:rsidR="00D254DC" w:rsidRPr="006C7AD2" w:rsidRDefault="00D254DC">
      <w:pPr>
        <w:spacing w:line="240" w:lineRule="auto"/>
      </w:pPr>
      <w:r w:rsidRPr="006C7AD2">
        <w:continuationSeparator/>
      </w:r>
    </w:p>
  </w:footnote>
  <w:footnote w:id="1">
    <w:p w14:paraId="737126DD" w14:textId="5C684034" w:rsidR="00587E12" w:rsidRDefault="00587E12">
      <w:pPr>
        <w:spacing w:line="240" w:lineRule="auto"/>
        <w:rPr>
          <w:sz w:val="18"/>
          <w:szCs w:val="18"/>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A624F"/>
    <w:multiLevelType w:val="multilevel"/>
    <w:tmpl w:val="8B90B0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0A5539"/>
    <w:multiLevelType w:val="multilevel"/>
    <w:tmpl w:val="5038E73A"/>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B8223D0"/>
    <w:multiLevelType w:val="multilevel"/>
    <w:tmpl w:val="3C3AFD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561DE9"/>
    <w:multiLevelType w:val="multilevel"/>
    <w:tmpl w:val="794E4B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76B63E6"/>
    <w:multiLevelType w:val="multilevel"/>
    <w:tmpl w:val="6FD6CF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CE50D6E"/>
    <w:multiLevelType w:val="multilevel"/>
    <w:tmpl w:val="ECE488F6"/>
    <w:lvl w:ilvl="0">
      <w:start w:val="1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35DE5722"/>
    <w:multiLevelType w:val="multilevel"/>
    <w:tmpl w:val="FFCE0F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02809E9"/>
    <w:multiLevelType w:val="multilevel"/>
    <w:tmpl w:val="CA7EF8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EB41261"/>
    <w:multiLevelType w:val="multilevel"/>
    <w:tmpl w:val="6F28E7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EB948AE"/>
    <w:multiLevelType w:val="multilevel"/>
    <w:tmpl w:val="11AC35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0A80C5A"/>
    <w:multiLevelType w:val="multilevel"/>
    <w:tmpl w:val="2FE6EC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6A47046A"/>
    <w:multiLevelType w:val="multilevel"/>
    <w:tmpl w:val="179292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D8607E3"/>
    <w:multiLevelType w:val="multilevel"/>
    <w:tmpl w:val="957A141C"/>
    <w:lvl w:ilvl="0">
      <w:start w:val="4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457219908">
    <w:abstractNumId w:val="0"/>
  </w:num>
  <w:num w:numId="2" w16cid:durableId="1045644814">
    <w:abstractNumId w:val="7"/>
  </w:num>
  <w:num w:numId="3" w16cid:durableId="2048292334">
    <w:abstractNumId w:val="11"/>
  </w:num>
  <w:num w:numId="4" w16cid:durableId="1957368909">
    <w:abstractNumId w:val="6"/>
  </w:num>
  <w:num w:numId="5" w16cid:durableId="818152394">
    <w:abstractNumId w:val="1"/>
  </w:num>
  <w:num w:numId="6" w16cid:durableId="776631938">
    <w:abstractNumId w:val="2"/>
  </w:num>
  <w:num w:numId="7" w16cid:durableId="990250861">
    <w:abstractNumId w:val="12"/>
  </w:num>
  <w:num w:numId="8" w16cid:durableId="1255750631">
    <w:abstractNumId w:val="8"/>
  </w:num>
  <w:num w:numId="9" w16cid:durableId="657852932">
    <w:abstractNumId w:val="4"/>
  </w:num>
  <w:num w:numId="10" w16cid:durableId="2078361759">
    <w:abstractNumId w:val="5"/>
  </w:num>
  <w:num w:numId="11" w16cid:durableId="861169205">
    <w:abstractNumId w:val="3"/>
  </w:num>
  <w:num w:numId="12" w16cid:durableId="638220930">
    <w:abstractNumId w:val="9"/>
  </w:num>
  <w:num w:numId="13" w16cid:durableId="2557921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E12"/>
    <w:rsid w:val="0001651D"/>
    <w:rsid w:val="000904C0"/>
    <w:rsid w:val="000A0349"/>
    <w:rsid w:val="00127968"/>
    <w:rsid w:val="002353FC"/>
    <w:rsid w:val="003326E5"/>
    <w:rsid w:val="003C2323"/>
    <w:rsid w:val="003F5D7E"/>
    <w:rsid w:val="004C7058"/>
    <w:rsid w:val="00520B5D"/>
    <w:rsid w:val="00587E12"/>
    <w:rsid w:val="006C7AD2"/>
    <w:rsid w:val="006F65B3"/>
    <w:rsid w:val="00756F98"/>
    <w:rsid w:val="0097316F"/>
    <w:rsid w:val="009B7B73"/>
    <w:rsid w:val="00B53CEF"/>
    <w:rsid w:val="00BD2B83"/>
    <w:rsid w:val="00C21772"/>
    <w:rsid w:val="00D254DC"/>
    <w:rsid w:val="00DC64FF"/>
    <w:rsid w:val="00F20E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DEAE3"/>
  <w15:docId w15:val="{DCCE7815-EB7A-4441-AB69-EA4131C75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B7B73"/>
    <w:pPr>
      <w:tabs>
        <w:tab w:val="center" w:pos="4680"/>
        <w:tab w:val="right" w:pos="9360"/>
      </w:tabs>
      <w:spacing w:line="240" w:lineRule="auto"/>
    </w:pPr>
  </w:style>
  <w:style w:type="character" w:customStyle="1" w:styleId="HeaderChar">
    <w:name w:val="Header Char"/>
    <w:basedOn w:val="DefaultParagraphFont"/>
    <w:link w:val="Header"/>
    <w:uiPriority w:val="99"/>
    <w:rsid w:val="009B7B73"/>
  </w:style>
  <w:style w:type="paragraph" w:styleId="Footer">
    <w:name w:val="footer"/>
    <w:basedOn w:val="Normal"/>
    <w:link w:val="FooterChar"/>
    <w:uiPriority w:val="99"/>
    <w:unhideWhenUsed/>
    <w:rsid w:val="009B7B73"/>
    <w:pPr>
      <w:tabs>
        <w:tab w:val="center" w:pos="4680"/>
        <w:tab w:val="right" w:pos="9360"/>
      </w:tabs>
      <w:spacing w:line="240" w:lineRule="auto"/>
    </w:pPr>
  </w:style>
  <w:style w:type="character" w:customStyle="1" w:styleId="FooterChar">
    <w:name w:val="Footer Char"/>
    <w:basedOn w:val="DefaultParagraphFont"/>
    <w:link w:val="Footer"/>
    <w:uiPriority w:val="99"/>
    <w:rsid w:val="009B7B73"/>
  </w:style>
  <w:style w:type="paragraph" w:styleId="EndnoteText">
    <w:name w:val="endnote text"/>
    <w:basedOn w:val="Normal"/>
    <w:link w:val="EndnoteTextChar"/>
    <w:uiPriority w:val="99"/>
    <w:semiHidden/>
    <w:unhideWhenUsed/>
    <w:rsid w:val="009B7B73"/>
    <w:pPr>
      <w:spacing w:line="240" w:lineRule="auto"/>
    </w:pPr>
    <w:rPr>
      <w:sz w:val="20"/>
      <w:szCs w:val="20"/>
    </w:rPr>
  </w:style>
  <w:style w:type="character" w:customStyle="1" w:styleId="EndnoteTextChar">
    <w:name w:val="Endnote Text Char"/>
    <w:basedOn w:val="DefaultParagraphFont"/>
    <w:link w:val="EndnoteText"/>
    <w:uiPriority w:val="99"/>
    <w:semiHidden/>
    <w:rsid w:val="009B7B73"/>
    <w:rPr>
      <w:sz w:val="20"/>
      <w:szCs w:val="20"/>
    </w:rPr>
  </w:style>
  <w:style w:type="character" w:styleId="EndnoteReference">
    <w:name w:val="endnote reference"/>
    <w:basedOn w:val="DefaultParagraphFont"/>
    <w:uiPriority w:val="99"/>
    <w:semiHidden/>
    <w:unhideWhenUsed/>
    <w:rsid w:val="009B7B73"/>
    <w:rPr>
      <w:vertAlign w:val="superscript"/>
    </w:rPr>
  </w:style>
  <w:style w:type="character" w:styleId="Hyperlink">
    <w:name w:val="Hyperlink"/>
    <w:basedOn w:val="DefaultParagraphFont"/>
    <w:uiPriority w:val="99"/>
    <w:unhideWhenUsed/>
    <w:rsid w:val="000A0349"/>
    <w:rPr>
      <w:color w:val="0000FF" w:themeColor="hyperlink"/>
      <w:u w:val="single"/>
    </w:rPr>
  </w:style>
  <w:style w:type="character" w:styleId="UnresolvedMention">
    <w:name w:val="Unresolved Mention"/>
    <w:basedOn w:val="DefaultParagraphFont"/>
    <w:uiPriority w:val="99"/>
    <w:semiHidden/>
    <w:unhideWhenUsed/>
    <w:rsid w:val="000A0349"/>
    <w:rPr>
      <w:color w:val="605E5C"/>
      <w:shd w:val="clear" w:color="auto" w:fill="E1DFDD"/>
    </w:rPr>
  </w:style>
  <w:style w:type="paragraph" w:styleId="FootnoteText">
    <w:name w:val="footnote text"/>
    <w:basedOn w:val="Normal"/>
    <w:link w:val="FootnoteTextChar"/>
    <w:uiPriority w:val="99"/>
    <w:semiHidden/>
    <w:unhideWhenUsed/>
    <w:rsid w:val="00C21772"/>
    <w:pPr>
      <w:spacing w:line="240" w:lineRule="auto"/>
    </w:pPr>
    <w:rPr>
      <w:sz w:val="20"/>
      <w:szCs w:val="20"/>
    </w:rPr>
  </w:style>
  <w:style w:type="character" w:customStyle="1" w:styleId="FootnoteTextChar">
    <w:name w:val="Footnote Text Char"/>
    <w:basedOn w:val="DefaultParagraphFont"/>
    <w:link w:val="FootnoteText"/>
    <w:uiPriority w:val="99"/>
    <w:semiHidden/>
    <w:rsid w:val="00C21772"/>
    <w:rPr>
      <w:sz w:val="20"/>
      <w:szCs w:val="20"/>
      <w:lang w:val="en-US"/>
    </w:rPr>
  </w:style>
  <w:style w:type="character" w:styleId="FootnoteReference">
    <w:name w:val="footnote reference"/>
    <w:basedOn w:val="DefaultParagraphFont"/>
    <w:uiPriority w:val="99"/>
    <w:semiHidden/>
    <w:unhideWhenUsed/>
    <w:rsid w:val="00C21772"/>
    <w:rPr>
      <w:vertAlign w:val="superscript"/>
    </w:rPr>
  </w:style>
  <w:style w:type="paragraph" w:customStyle="1" w:styleId="Default">
    <w:name w:val="Default"/>
    <w:rsid w:val="004C7058"/>
    <w:pPr>
      <w:autoSpaceDE w:val="0"/>
      <w:autoSpaceDN w:val="0"/>
      <w:adjustRightInd w:val="0"/>
      <w:spacing w:line="240" w:lineRule="auto"/>
    </w:pPr>
    <w:rPr>
      <w:rFonts w:ascii="Noto Serif" w:hAnsi="Noto Serif" w:cs="Noto Serif"/>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endnotes.xml.rels><?xml version="1.0" encoding="UTF-8" standalone="yes"?>
<Relationships xmlns="http://schemas.openxmlformats.org/package/2006/relationships"><Relationship Id="rId8" Type="http://schemas.openxmlformats.org/officeDocument/2006/relationships/hyperlink" Target="https://espaciopublico.ong/sin-periodicos-menos-noticias-en-venezuela" TargetMode="External"/><Relationship Id="rId3" Type="http://schemas.openxmlformats.org/officeDocument/2006/relationships/hyperlink" Target="http://www.minci.gob.ve/con-arraigo-popular-nace-el-sistema-bolivariano-de-comunicacion-e-informacion-sibci/" TargetMode="External"/><Relationship Id="rId7" Type="http://schemas.openxmlformats.org/officeDocument/2006/relationships/hyperlink" Target="https://espaciopublico.ong/wp-content/uploads/2021/11/INFORME.pdf" TargetMode="External"/><Relationship Id="rId2" Type="http://schemas.openxmlformats.org/officeDocument/2006/relationships/hyperlink" Target="http://www.correodelorinoco.gob.ve/presidente-llama-a-consolidacion-un-verdadero-sistema-nacional-medios-publicos/" TargetMode="External"/><Relationship Id="rId1" Type="http://schemas.openxmlformats.org/officeDocument/2006/relationships/hyperlink" Target="https://www.observademocracia.org/wp-content/uploads/2023/09/NUMEROS-QUE-CUENTAN-HISTORIAS-1-y-2-.pdf" TargetMode="External"/><Relationship Id="rId6" Type="http://schemas.openxmlformats.org/officeDocument/2006/relationships/hyperlink" Target="http://caribesperanza.com/category/linea-de-tiempo/" TargetMode="External"/><Relationship Id="rId11" Type="http://schemas.openxmlformats.org/officeDocument/2006/relationships/hyperlink" Target="https://rpp.pe/mundo/venezuela/venezuela-nicolas-maduro-ordeno-interceptacion-de-mas-de-1-millon-de-telefonos-en-2021-segun-telefonica-noticia-1413708" TargetMode="External"/><Relationship Id="rId5" Type="http://schemas.openxmlformats.org/officeDocument/2006/relationships/hyperlink" Target="https://www.cambio16.com/la-red-social-de-propaganda-que-twitter-no-censura-tuiteros-por-la-patria/" TargetMode="External"/><Relationship Id="rId10" Type="http://schemas.openxmlformats.org/officeDocument/2006/relationships/hyperlink" Target="https://www.rsf-es.org/clasificacion-mundial-de-la-libertad-de-prensa-rsf-2023-tabla-de-paises/" TargetMode="External"/><Relationship Id="rId4" Type="http://schemas.openxmlformats.org/officeDocument/2006/relationships/hyperlink" Target="https://www.dropbox.com/s/dn4e863dj4zqfkr/" TargetMode="External"/><Relationship Id="rId9" Type="http://schemas.openxmlformats.org/officeDocument/2006/relationships/hyperlink" Target="https://datareportal.com/notes-on-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E0147-397C-4ABE-A619-E4FEFD933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8297</Words>
  <Characters>45638</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Griselda Colina</dc:creator>
  <cp:lastModifiedBy>karen mariam castillo colina</cp:lastModifiedBy>
  <cp:revision>2</cp:revision>
  <dcterms:created xsi:type="dcterms:W3CDTF">2023-09-12T19:53:00Z</dcterms:created>
  <dcterms:modified xsi:type="dcterms:W3CDTF">2023-09-12T19:53:00Z</dcterms:modified>
</cp:coreProperties>
</file>