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70D8F" w14:textId="2BAA97ED" w:rsidR="00CD0D6E" w:rsidRPr="002C7DF9" w:rsidRDefault="00CD0D6E" w:rsidP="00CD0D6E">
      <w:pPr>
        <w:pBdr>
          <w:bottom w:val="single" w:sz="4" w:space="1" w:color="auto"/>
        </w:pBdr>
        <w:bidi/>
        <w:spacing w:line="360" w:lineRule="auto"/>
        <w:jc w:val="center"/>
        <w:rPr>
          <w:rFonts w:asciiTheme="majorBidi" w:hAnsiTheme="majorBidi" w:cstheme="majorBidi"/>
          <w:b/>
          <w:bCs/>
          <w:color w:val="538135" w:themeColor="accent6" w:themeShade="BF"/>
          <w:sz w:val="28"/>
          <w:szCs w:val="28"/>
          <w:lang w:bidi="ar-EG"/>
        </w:rPr>
      </w:pPr>
      <w:r>
        <w:rPr>
          <w:rFonts w:asciiTheme="majorBidi" w:hAnsiTheme="majorBidi" w:cstheme="majorBidi"/>
          <w:b/>
          <w:bCs/>
          <w:color w:val="538135" w:themeColor="accent6" w:themeShade="BF"/>
          <w:sz w:val="28"/>
          <w:szCs w:val="28"/>
          <w:lang w:bidi="ar-EG"/>
        </w:rPr>
        <w:t>I</w:t>
      </w:r>
      <w:r w:rsidRPr="002C7DF9">
        <w:rPr>
          <w:rFonts w:asciiTheme="majorBidi" w:hAnsiTheme="majorBidi" w:cstheme="majorBidi"/>
          <w:b/>
          <w:bCs/>
          <w:color w:val="538135" w:themeColor="accent6" w:themeShade="BF"/>
          <w:sz w:val="28"/>
          <w:szCs w:val="28"/>
          <w:lang w:bidi="ar-EG"/>
        </w:rPr>
        <w:t>nternational</w:t>
      </w:r>
      <w:r w:rsidRPr="002C7DF9">
        <w:rPr>
          <w:rFonts w:asciiTheme="majorBidi" w:hAnsiTheme="majorBidi" w:cstheme="majorBidi"/>
          <w:b/>
          <w:bCs/>
          <w:color w:val="538135" w:themeColor="accent6" w:themeShade="BF"/>
          <w:sz w:val="28"/>
          <w:szCs w:val="28"/>
          <w:lang w:bidi="ar-EG"/>
        </w:rPr>
        <w:t xml:space="preserve"> Alliance for Peace and Development</w:t>
      </w:r>
    </w:p>
    <w:p w14:paraId="611009A1" w14:textId="603B82EB" w:rsidR="00CD0D6E" w:rsidRDefault="00CD0D6E" w:rsidP="00CD0D6E">
      <w:pPr>
        <w:pBdr>
          <w:bottom w:val="single" w:sz="4" w:space="1" w:color="auto"/>
        </w:pBdr>
        <w:spacing w:line="360" w:lineRule="auto"/>
        <w:jc w:val="center"/>
        <w:rPr>
          <w:rFonts w:asciiTheme="majorBidi" w:hAnsiTheme="majorBidi" w:cstheme="majorBidi"/>
          <w:b/>
          <w:bCs/>
          <w:color w:val="2E74B5" w:themeColor="accent5" w:themeShade="BF"/>
          <w:sz w:val="28"/>
          <w:szCs w:val="28"/>
          <w:lang w:bidi="ar-EG"/>
        </w:rPr>
      </w:pPr>
      <w:r w:rsidRPr="002C7DF9">
        <w:rPr>
          <w:rFonts w:asciiTheme="majorBidi" w:hAnsiTheme="majorBidi" w:cstheme="majorBidi"/>
          <w:b/>
          <w:bCs/>
          <w:color w:val="2E74B5" w:themeColor="accent5" w:themeShade="BF"/>
          <w:sz w:val="28"/>
          <w:szCs w:val="28"/>
          <w:lang w:bidi="ar-EG"/>
        </w:rPr>
        <w:t xml:space="preserve">Report submitted to the </w:t>
      </w:r>
      <w:r w:rsidRPr="00CD0D6E">
        <w:rPr>
          <w:rFonts w:asciiTheme="majorBidi" w:hAnsiTheme="majorBidi" w:cstheme="majorBidi"/>
          <w:b/>
          <w:bCs/>
          <w:color w:val="2E74B5" w:themeColor="accent5" w:themeShade="BF"/>
          <w:sz w:val="28"/>
          <w:szCs w:val="28"/>
          <w:lang w:bidi="ar-EG"/>
        </w:rPr>
        <w:t xml:space="preserve">UN Human Rights Committee </w:t>
      </w:r>
      <w:r w:rsidRPr="002C7DF9">
        <w:rPr>
          <w:rFonts w:asciiTheme="majorBidi" w:hAnsiTheme="majorBidi" w:cstheme="majorBidi"/>
          <w:b/>
          <w:bCs/>
          <w:color w:val="2E74B5" w:themeColor="accent5" w:themeShade="BF"/>
          <w:sz w:val="28"/>
          <w:szCs w:val="28"/>
          <w:lang w:bidi="ar-EG"/>
        </w:rPr>
        <w:t xml:space="preserve">regarding </w:t>
      </w:r>
      <w:r w:rsidRPr="00CD0D6E">
        <w:rPr>
          <w:rFonts w:asciiTheme="majorBidi" w:hAnsiTheme="majorBidi" w:cstheme="majorBidi"/>
          <w:b/>
          <w:bCs/>
          <w:color w:val="2E74B5" w:themeColor="accent5" w:themeShade="BF"/>
          <w:sz w:val="28"/>
          <w:szCs w:val="28"/>
          <w:lang w:bidi="ar-EG"/>
        </w:rPr>
        <w:t>Luxembourg</w:t>
      </w:r>
    </w:p>
    <w:p w14:paraId="1984EB23" w14:textId="090DB00B" w:rsidR="00CD0D6E" w:rsidRPr="005C7E20" w:rsidRDefault="00CD0D6E" w:rsidP="00CD0D6E">
      <w:pPr>
        <w:pBdr>
          <w:bottom w:val="single" w:sz="4" w:space="1" w:color="auto"/>
        </w:pBdr>
        <w:spacing w:line="360" w:lineRule="auto"/>
        <w:jc w:val="center"/>
        <w:rPr>
          <w:rFonts w:asciiTheme="majorBidi" w:hAnsiTheme="majorBidi" w:cstheme="majorBidi"/>
          <w:b/>
          <w:bCs/>
          <w:color w:val="2E74B5" w:themeColor="accent5" w:themeShade="BF"/>
          <w:sz w:val="24"/>
          <w:szCs w:val="24"/>
          <w:rtl/>
          <w:lang w:bidi="ar-EG"/>
        </w:rPr>
      </w:pPr>
      <w:r w:rsidRPr="005C7E20">
        <w:rPr>
          <w:rFonts w:asciiTheme="majorBidi" w:hAnsiTheme="majorBidi" w:cstheme="majorBidi"/>
          <w:b/>
          <w:bCs/>
          <w:color w:val="2E74B5" w:themeColor="accent5" w:themeShade="BF"/>
          <w:sz w:val="24"/>
          <w:szCs w:val="24"/>
          <w:lang w:bidi="ar-EG"/>
        </w:rPr>
        <w:t>Follow-up to Concluding Observations</w:t>
      </w:r>
    </w:p>
    <w:p w14:paraId="259C6F80" w14:textId="77777777" w:rsidR="00CD0D6E" w:rsidRPr="00CD0D6E" w:rsidRDefault="00CD0D6E" w:rsidP="00CD0D6E">
      <w:pPr>
        <w:jc w:val="both"/>
        <w:rPr>
          <w:rFonts w:asciiTheme="majorBidi" w:hAnsiTheme="majorBidi" w:cstheme="majorBidi"/>
          <w:sz w:val="24"/>
          <w:szCs w:val="24"/>
        </w:rPr>
      </w:pPr>
      <w:r w:rsidRPr="00CD0D6E">
        <w:rPr>
          <w:rFonts w:asciiTheme="majorBidi" w:hAnsiTheme="majorBidi" w:cstheme="majorBidi"/>
          <w:sz w:val="24"/>
          <w:szCs w:val="24"/>
        </w:rPr>
        <w:t>The International Alliance for Peace and Development (IAPD) submits this report within the framework of follow-up to the Human Rights Committee’s concluding observations regarding Luxembourg’s fourth periodic report. This follows Luxembourg’s submission of its replies to the priority recommendations. The present report is based on a review of the Committee’s concluding observations, as well as on information provided by Luxembourg concerning the follow-up to these observations under its fourth periodic report.</w:t>
      </w:r>
      <w:r w:rsidRPr="00CD0D6E">
        <w:rPr>
          <w:rFonts w:asciiTheme="majorBidi" w:hAnsiTheme="majorBidi" w:cstheme="majorBidi"/>
          <w:sz w:val="24"/>
          <w:szCs w:val="24"/>
          <w:rtl/>
        </w:rPr>
        <w:t xml:space="preserve"> </w:t>
      </w:r>
      <w:r w:rsidRPr="00CD0D6E">
        <w:rPr>
          <w:rFonts w:asciiTheme="majorBidi" w:hAnsiTheme="majorBidi" w:cstheme="majorBidi"/>
          <w:sz w:val="24"/>
          <w:szCs w:val="24"/>
        </w:rPr>
        <w:t>This report is limited to providing information regarding the paragraph concerning female genital mutilation and the right to peaceful assembly.</w:t>
      </w:r>
    </w:p>
    <w:p w14:paraId="7D6E5711" w14:textId="77777777" w:rsidR="00CD0D6E" w:rsidRPr="00CD0D6E" w:rsidRDefault="00CD0D6E" w:rsidP="00CD0D6E">
      <w:pPr>
        <w:jc w:val="both"/>
        <w:rPr>
          <w:rFonts w:asciiTheme="majorBidi" w:hAnsiTheme="majorBidi" w:cstheme="majorBidi"/>
          <w:b/>
          <w:bCs/>
          <w:color w:val="2E74B5" w:themeColor="accent5" w:themeShade="BF"/>
          <w:sz w:val="28"/>
          <w:szCs w:val="28"/>
        </w:rPr>
      </w:pPr>
      <w:r w:rsidRPr="00CD0D6E">
        <w:rPr>
          <w:rFonts w:asciiTheme="majorBidi" w:hAnsiTheme="majorBidi" w:cstheme="majorBidi"/>
          <w:b/>
          <w:bCs/>
          <w:color w:val="2E74B5" w:themeColor="accent5" w:themeShade="BF"/>
          <w:sz w:val="28"/>
          <w:szCs w:val="28"/>
        </w:rPr>
        <w:t>Female Genital Mutilation</w:t>
      </w:r>
    </w:p>
    <w:p w14:paraId="0D0F11A7" w14:textId="5D03C860" w:rsidR="00CD0D6E" w:rsidRPr="00CD0D6E" w:rsidRDefault="00CD0D6E" w:rsidP="00CD0D6E">
      <w:pPr>
        <w:jc w:val="both"/>
        <w:rPr>
          <w:rFonts w:asciiTheme="majorBidi" w:hAnsiTheme="majorBidi" w:cstheme="majorBidi"/>
          <w:sz w:val="24"/>
          <w:szCs w:val="24"/>
        </w:rPr>
      </w:pPr>
      <w:r w:rsidRPr="00CD0D6E">
        <w:rPr>
          <w:rFonts w:asciiTheme="majorBidi" w:hAnsiTheme="majorBidi" w:cstheme="majorBidi"/>
          <w:sz w:val="24"/>
          <w:szCs w:val="24"/>
        </w:rPr>
        <w:t>Although Luxembourg's legal framework criminalizes this practice through the formal prohibition of female genital mutilation (FGM) introduced in 2008,</w:t>
      </w:r>
      <w:r w:rsidRPr="00CD0D6E">
        <w:rPr>
          <w:rStyle w:val="FootnoteReference"/>
          <w:rFonts w:asciiTheme="majorBidi" w:hAnsiTheme="majorBidi" w:cstheme="majorBidi"/>
          <w:sz w:val="24"/>
          <w:szCs w:val="24"/>
        </w:rPr>
        <w:footnoteReference w:id="1"/>
      </w:r>
      <w:r w:rsidRPr="00CD0D6E">
        <w:rPr>
          <w:rFonts w:asciiTheme="majorBidi" w:hAnsiTheme="majorBidi" w:cstheme="majorBidi"/>
          <w:sz w:val="24"/>
          <w:szCs w:val="24"/>
        </w:rPr>
        <w:t xml:space="preserve"> and the amendments made in 2018 to the Criminal Code, which provide a detailed definition of the various forms of FGM, these amendments were adopted to implement the Council of Europe Convention on Preventing and Combating Violence against Women and Domestic Violence (the Istanbul Convention). Under the law, any person who performs, facilitates or promotes FGM in any of its forms, regardless of the woman's consent, is liable to imprisonment for a term of three to five years and a fine ranging from EUR 500 to EUR 10,000. However, despite the measures taken to implement the recommendations contained in the concluding observations relating to female genital mutilation, the practice continues to exist in Luxembourg. Cases of FGM persist, and girls remain at risk, with the majority of those at risk in Luxembourg originating from African countries. While reliable national statistics indicate that approximately 2,000 women and girls are survivors of female genital mutilation,</w:t>
      </w:r>
      <w:r w:rsidRPr="00CD0D6E">
        <w:rPr>
          <w:rStyle w:val="FootnoteReference"/>
          <w:rFonts w:asciiTheme="majorBidi" w:hAnsiTheme="majorBidi" w:cstheme="majorBidi"/>
          <w:sz w:val="24"/>
          <w:szCs w:val="24"/>
        </w:rPr>
        <w:footnoteReference w:id="2"/>
      </w:r>
      <w:r w:rsidRPr="00CD0D6E">
        <w:rPr>
          <w:rFonts w:asciiTheme="majorBidi" w:hAnsiTheme="majorBidi" w:cstheme="majorBidi"/>
          <w:sz w:val="24"/>
          <w:szCs w:val="24"/>
        </w:rPr>
        <w:t xml:space="preserve"> other estimates report that there are 2,238 victims of FGM in Luxembourg and that more than 1,000 girls remain at risk.</w:t>
      </w:r>
      <w:r w:rsidRPr="00CD0D6E">
        <w:rPr>
          <w:rStyle w:val="FootnoteReference"/>
          <w:rFonts w:asciiTheme="majorBidi" w:hAnsiTheme="majorBidi" w:cstheme="majorBidi"/>
          <w:sz w:val="24"/>
          <w:szCs w:val="24"/>
        </w:rPr>
        <w:footnoteReference w:id="3"/>
      </w:r>
      <w:r w:rsidRPr="00CD0D6E">
        <w:rPr>
          <w:rFonts w:asciiTheme="majorBidi" w:hAnsiTheme="majorBidi" w:cstheme="majorBidi"/>
          <w:sz w:val="24"/>
          <w:szCs w:val="24"/>
        </w:rPr>
        <w:t xml:space="preserve"> Female genital mutilation constitutes a severe form of gender-based violence that results in profound physical and psychological harm and has long-lasting consequences for the lives of those subjected to it. It is a violent manifestation of the subordination of women and girls, stands in direct contradiction to the principles of gender equality, and constitutes a clear violation of the human rights of women and girls. Accordingly, it was essential for Luxembourg to accord greater priority to addressing this phenomenon following the issuance of the concluding observations. Nevertheless, </w:t>
      </w:r>
      <w:r w:rsidR="005C7E20">
        <w:rPr>
          <w:rFonts w:asciiTheme="majorBidi" w:hAnsiTheme="majorBidi" w:cstheme="majorBidi"/>
          <w:sz w:val="24"/>
          <w:szCs w:val="24"/>
        </w:rPr>
        <w:t xml:space="preserve">IAPD </w:t>
      </w:r>
      <w:r w:rsidRPr="00CD0D6E">
        <w:rPr>
          <w:rFonts w:asciiTheme="majorBidi" w:hAnsiTheme="majorBidi" w:cstheme="majorBidi"/>
          <w:sz w:val="24"/>
          <w:szCs w:val="24"/>
        </w:rPr>
        <w:t>notes that Luxembourg has not adopted a national strategy on female genital mutilation. Furthermore, efforts to collect data in order to determine the scale of the phenomenon continue to face practical challenges and obstacles, including the lack of data on the assistance, compensation and rehabilitation measures provided to victims.</w:t>
      </w:r>
    </w:p>
    <w:p w14:paraId="1624EB7E" w14:textId="77777777" w:rsidR="00CD0D6E" w:rsidRPr="00CD0D6E" w:rsidRDefault="00CD0D6E" w:rsidP="00CD0D6E">
      <w:pPr>
        <w:jc w:val="both"/>
        <w:rPr>
          <w:rFonts w:asciiTheme="majorBidi" w:hAnsiTheme="majorBidi" w:cstheme="majorBidi"/>
          <w:b/>
          <w:bCs/>
          <w:color w:val="2E74B5" w:themeColor="accent5" w:themeShade="BF"/>
          <w:sz w:val="28"/>
          <w:szCs w:val="28"/>
        </w:rPr>
      </w:pPr>
      <w:r w:rsidRPr="00CD0D6E">
        <w:rPr>
          <w:rFonts w:asciiTheme="majorBidi" w:hAnsiTheme="majorBidi" w:cstheme="majorBidi"/>
          <w:b/>
          <w:bCs/>
          <w:color w:val="2E74B5" w:themeColor="accent5" w:themeShade="BF"/>
          <w:sz w:val="28"/>
          <w:szCs w:val="28"/>
        </w:rPr>
        <w:lastRenderedPageBreak/>
        <w:t>Peaceful Assembly</w:t>
      </w:r>
    </w:p>
    <w:p w14:paraId="216B009D" w14:textId="77777777" w:rsidR="00CD0D6E" w:rsidRPr="00CD0D6E" w:rsidRDefault="00CD0D6E" w:rsidP="00CD0D6E">
      <w:pPr>
        <w:jc w:val="both"/>
        <w:rPr>
          <w:rFonts w:asciiTheme="majorBidi" w:hAnsiTheme="majorBidi" w:cstheme="majorBidi"/>
          <w:sz w:val="24"/>
          <w:szCs w:val="24"/>
        </w:rPr>
      </w:pPr>
      <w:r w:rsidRPr="00CD0D6E">
        <w:rPr>
          <w:rFonts w:asciiTheme="majorBidi" w:hAnsiTheme="majorBidi" w:cstheme="majorBidi"/>
          <w:sz w:val="24"/>
          <w:szCs w:val="24"/>
        </w:rPr>
        <w:t>Luxembourg has provided no additional information regarding the implementation of the recommendation contained in paragraph 26 of the concluding observations related to the right to peaceful assembly.</w:t>
      </w:r>
      <w:r w:rsidRPr="00CD0D6E">
        <w:rPr>
          <w:rStyle w:val="FootnoteReference"/>
          <w:rFonts w:asciiTheme="majorBidi" w:hAnsiTheme="majorBidi" w:cstheme="majorBidi"/>
          <w:sz w:val="24"/>
          <w:szCs w:val="24"/>
        </w:rPr>
        <w:footnoteReference w:id="4"/>
      </w:r>
      <w:r w:rsidRPr="00CD0D6E">
        <w:rPr>
          <w:rFonts w:asciiTheme="majorBidi" w:hAnsiTheme="majorBidi" w:cstheme="majorBidi"/>
          <w:sz w:val="24"/>
          <w:szCs w:val="24"/>
        </w:rPr>
        <w:t xml:space="preserve"> However, IAPD notes that the State’s constitutional guarantees protect the right to peaceful assembly, and that civil society in Luxembourg works to strengthen the guarantees available for realizing this right. Different groups are entitled to register under the law as non-profit associations. The adoption of the law of 7 August 2023, as amended by the law of 4 December 2024, updated and streamlined procedures for establishing associations, thereby easing restrictions on freedom of association. Nevertheless, prior authorization is still required to organize demonstrations in public places. Despite the recommendations made to Luxembourg calling for the removal of the ban on demonstrations that have not been notified in advance, this has not been implemented.</w:t>
      </w:r>
      <w:r w:rsidRPr="00CD0D6E">
        <w:rPr>
          <w:rStyle w:val="FootnoteReference"/>
          <w:rFonts w:asciiTheme="majorBidi" w:hAnsiTheme="majorBidi" w:cstheme="majorBidi"/>
          <w:sz w:val="24"/>
          <w:szCs w:val="24"/>
        </w:rPr>
        <w:footnoteReference w:id="5"/>
      </w:r>
      <w:r w:rsidRPr="00CD0D6E">
        <w:rPr>
          <w:rFonts w:asciiTheme="majorBidi" w:hAnsiTheme="majorBidi" w:cstheme="majorBidi"/>
          <w:sz w:val="24"/>
          <w:szCs w:val="24"/>
        </w:rPr>
        <w:t xml:space="preserve"> In addition, </w:t>
      </w:r>
      <w:bookmarkStart w:id="0" w:name="OLE_LINK2"/>
      <w:r w:rsidRPr="00CD0D6E">
        <w:rPr>
          <w:rFonts w:asciiTheme="majorBidi" w:hAnsiTheme="majorBidi" w:cstheme="majorBidi"/>
          <w:sz w:val="24"/>
          <w:szCs w:val="24"/>
        </w:rPr>
        <w:t xml:space="preserve">IAPD </w:t>
      </w:r>
      <w:bookmarkEnd w:id="0"/>
      <w:r w:rsidRPr="00CD0D6E">
        <w:rPr>
          <w:rFonts w:asciiTheme="majorBidi" w:hAnsiTheme="majorBidi" w:cstheme="majorBidi"/>
          <w:sz w:val="24"/>
          <w:szCs w:val="24"/>
        </w:rPr>
        <w:t>notes that Bill No. 8426</w:t>
      </w:r>
      <w:bookmarkStart w:id="1" w:name="OLE_LINK3"/>
      <w:r w:rsidRPr="00CD0D6E">
        <w:rPr>
          <w:rFonts w:asciiTheme="majorBidi" w:hAnsiTheme="majorBidi" w:cstheme="majorBidi"/>
          <w:sz w:val="24"/>
          <w:szCs w:val="24"/>
        </w:rPr>
        <w:t xml:space="preserve">, </w:t>
      </w:r>
      <w:bookmarkEnd w:id="1"/>
      <w:r w:rsidRPr="00CD0D6E">
        <w:rPr>
          <w:rFonts w:asciiTheme="majorBidi" w:hAnsiTheme="majorBidi" w:cstheme="majorBidi"/>
          <w:sz w:val="24"/>
          <w:szCs w:val="24"/>
        </w:rPr>
        <w:t>aimed at expanding the police’s powers by allowing security forces to disperse individuals who cause disturbances in public places, has generated concerns among human rights organizations. These organizations have indicated that the proposed legislation remains “ambiguous” and is inconsistent with international human rights standards.</w:t>
      </w:r>
      <w:r w:rsidRPr="00CD0D6E">
        <w:rPr>
          <w:rStyle w:val="FootnoteReference"/>
          <w:rFonts w:asciiTheme="majorBidi" w:hAnsiTheme="majorBidi" w:cstheme="majorBidi"/>
          <w:sz w:val="24"/>
          <w:szCs w:val="24"/>
        </w:rPr>
        <w:footnoteReference w:id="6"/>
      </w:r>
      <w:r w:rsidRPr="00CD0D6E">
        <w:rPr>
          <w:rFonts w:asciiTheme="majorBidi" w:hAnsiTheme="majorBidi" w:cstheme="majorBidi"/>
          <w:sz w:val="24"/>
          <w:szCs w:val="24"/>
        </w:rPr>
        <w:t xml:space="preserve"> The bill would grant local mayors, as an alternative to judicial authorities, the power to issue a temporary ban on access to specific locations for persons organizing protests.</w:t>
      </w:r>
    </w:p>
    <w:p w14:paraId="21035796" w14:textId="77777777" w:rsidR="00CD0D6E" w:rsidRPr="00D97AA6" w:rsidRDefault="00CD0D6E" w:rsidP="00CD0D6E">
      <w:pPr>
        <w:jc w:val="both"/>
        <w:rPr>
          <w:rFonts w:asciiTheme="majorBidi" w:hAnsiTheme="majorBidi" w:cstheme="majorBidi"/>
        </w:rPr>
      </w:pPr>
    </w:p>
    <w:p w14:paraId="6AAE5878" w14:textId="56123C73" w:rsidR="00DB2C16" w:rsidRPr="00272612" w:rsidRDefault="00DB2C16" w:rsidP="00272612">
      <w:r w:rsidRPr="00272612">
        <w:t xml:space="preserve"> </w:t>
      </w:r>
    </w:p>
    <w:sectPr w:rsidR="00DB2C16" w:rsidRPr="00272612">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410D" w14:textId="77777777" w:rsidR="009F0ED0" w:rsidRDefault="009F0ED0" w:rsidP="003D1884">
      <w:pPr>
        <w:spacing w:after="0" w:line="240" w:lineRule="auto"/>
      </w:pPr>
      <w:r>
        <w:separator/>
      </w:r>
    </w:p>
  </w:endnote>
  <w:endnote w:type="continuationSeparator" w:id="0">
    <w:p w14:paraId="6FE1076B" w14:textId="77777777" w:rsidR="009F0ED0" w:rsidRDefault="009F0ED0"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4E73C" w14:textId="77777777" w:rsidR="009F0ED0" w:rsidRDefault="009F0ED0" w:rsidP="003D1884">
      <w:pPr>
        <w:spacing w:after="0" w:line="240" w:lineRule="auto"/>
      </w:pPr>
      <w:r>
        <w:separator/>
      </w:r>
    </w:p>
  </w:footnote>
  <w:footnote w:type="continuationSeparator" w:id="0">
    <w:p w14:paraId="1A5B41DF" w14:textId="77777777" w:rsidR="009F0ED0" w:rsidRDefault="009F0ED0" w:rsidP="003D1884">
      <w:pPr>
        <w:spacing w:after="0" w:line="240" w:lineRule="auto"/>
      </w:pPr>
      <w:r>
        <w:continuationSeparator/>
      </w:r>
    </w:p>
  </w:footnote>
  <w:footnote w:id="1">
    <w:p w14:paraId="1843D316" w14:textId="77777777" w:rsidR="00CD0D6E" w:rsidRPr="005C7E20" w:rsidRDefault="00CD0D6E" w:rsidP="00CD0D6E">
      <w:pPr>
        <w:pStyle w:val="FootnoteText"/>
        <w:rPr>
          <w:rFonts w:asciiTheme="majorBidi" w:hAnsiTheme="majorBidi" w:cstheme="majorBidi"/>
          <w:sz w:val="16"/>
          <w:szCs w:val="16"/>
        </w:rPr>
      </w:pPr>
      <w:r w:rsidRPr="005C7E20">
        <w:rPr>
          <w:rStyle w:val="FootnoteReference"/>
          <w:rFonts w:asciiTheme="majorBidi" w:hAnsiTheme="majorBidi" w:cstheme="majorBidi"/>
          <w:sz w:val="16"/>
          <w:szCs w:val="16"/>
        </w:rPr>
        <w:footnoteRef/>
      </w:r>
      <w:r w:rsidRPr="005C7E20">
        <w:rPr>
          <w:rFonts w:asciiTheme="majorBidi" w:hAnsiTheme="majorBidi" w:cstheme="majorBidi"/>
          <w:sz w:val="16"/>
          <w:szCs w:val="16"/>
        </w:rPr>
        <w:t xml:space="preserve"> </w:t>
      </w:r>
      <w:r w:rsidRPr="005C7E20">
        <w:rPr>
          <w:rFonts w:asciiTheme="majorBidi" w:hAnsiTheme="majorBidi" w:cstheme="majorBidi"/>
          <w:sz w:val="16"/>
          <w:szCs w:val="16"/>
          <w:lang w:bidi="ar-EG"/>
        </w:rPr>
        <w:t xml:space="preserve">Female genital mutilation How many girls are at risk in Luxembourg? </w:t>
      </w:r>
      <w:hyperlink r:id="rId1" w:history="1">
        <w:r w:rsidRPr="005C7E20">
          <w:rPr>
            <w:rStyle w:val="Hyperlink"/>
            <w:rFonts w:asciiTheme="majorBidi" w:hAnsiTheme="majorBidi" w:cstheme="majorBidi"/>
            <w:sz w:val="16"/>
            <w:szCs w:val="16"/>
            <w:lang w:bidi="ar-EG"/>
          </w:rPr>
          <w:t>https://shorturl.at/8ubDG</w:t>
        </w:r>
      </w:hyperlink>
    </w:p>
  </w:footnote>
  <w:footnote w:id="2">
    <w:p w14:paraId="7D05B24E" w14:textId="77777777" w:rsidR="00CD0D6E" w:rsidRPr="005C7E20" w:rsidRDefault="00CD0D6E" w:rsidP="00CD0D6E">
      <w:pPr>
        <w:pStyle w:val="FootnoteText"/>
        <w:rPr>
          <w:rFonts w:asciiTheme="majorBidi" w:hAnsiTheme="majorBidi" w:cstheme="majorBidi"/>
          <w:sz w:val="16"/>
          <w:szCs w:val="16"/>
        </w:rPr>
      </w:pPr>
      <w:r w:rsidRPr="005C7E20">
        <w:rPr>
          <w:rStyle w:val="FootnoteReference"/>
          <w:rFonts w:asciiTheme="majorBidi" w:hAnsiTheme="majorBidi" w:cstheme="majorBidi"/>
          <w:sz w:val="16"/>
          <w:szCs w:val="16"/>
        </w:rPr>
        <w:footnoteRef/>
      </w:r>
      <w:r w:rsidRPr="005C7E20">
        <w:rPr>
          <w:rFonts w:asciiTheme="majorBidi" w:hAnsiTheme="majorBidi" w:cstheme="majorBidi"/>
          <w:sz w:val="16"/>
          <w:szCs w:val="16"/>
        </w:rPr>
        <w:t xml:space="preserve"> When I saw the blade, I ran’: the story of Luxembourg’s FGM victims, </w:t>
      </w:r>
      <w:hyperlink r:id="rId2" w:history="1">
        <w:r w:rsidRPr="005C7E20">
          <w:rPr>
            <w:rStyle w:val="Hyperlink"/>
            <w:rFonts w:asciiTheme="majorBidi" w:hAnsiTheme="majorBidi" w:cstheme="majorBidi"/>
            <w:sz w:val="16"/>
            <w:szCs w:val="16"/>
          </w:rPr>
          <w:t>https://shorturl.at/zgXQ0</w:t>
        </w:r>
      </w:hyperlink>
    </w:p>
  </w:footnote>
  <w:footnote w:id="3">
    <w:p w14:paraId="5E9646D5" w14:textId="77777777" w:rsidR="00CD0D6E" w:rsidRPr="005C7E20" w:rsidRDefault="00CD0D6E" w:rsidP="00CD0D6E">
      <w:pPr>
        <w:pStyle w:val="FootnoteText"/>
        <w:rPr>
          <w:rFonts w:asciiTheme="majorBidi" w:hAnsiTheme="majorBidi" w:cstheme="majorBidi"/>
          <w:sz w:val="16"/>
          <w:szCs w:val="16"/>
        </w:rPr>
      </w:pPr>
      <w:r w:rsidRPr="005C7E20">
        <w:rPr>
          <w:rStyle w:val="FootnoteReference"/>
          <w:rFonts w:asciiTheme="majorBidi" w:hAnsiTheme="majorBidi" w:cstheme="majorBidi"/>
          <w:sz w:val="16"/>
          <w:szCs w:val="16"/>
        </w:rPr>
        <w:footnoteRef/>
      </w:r>
      <w:r w:rsidRPr="005C7E20">
        <w:rPr>
          <w:rFonts w:asciiTheme="majorBidi" w:hAnsiTheme="majorBidi" w:cstheme="majorBidi"/>
          <w:sz w:val="16"/>
          <w:szCs w:val="16"/>
        </w:rPr>
        <w:t xml:space="preserve"> </w:t>
      </w:r>
      <w:r w:rsidRPr="005C7E20">
        <w:rPr>
          <w:rFonts w:asciiTheme="majorBidi" w:hAnsiTheme="majorBidi" w:cstheme="majorBidi"/>
          <w:sz w:val="16"/>
          <w:szCs w:val="16"/>
          <w:lang w:bidi="ar-EG"/>
        </w:rPr>
        <w:t xml:space="preserve">Ibid </w:t>
      </w:r>
    </w:p>
  </w:footnote>
  <w:footnote w:id="4">
    <w:p w14:paraId="462833D1" w14:textId="77777777" w:rsidR="00CD0D6E" w:rsidRPr="005C7E20" w:rsidRDefault="00CD0D6E" w:rsidP="00CD0D6E">
      <w:pPr>
        <w:pStyle w:val="FootnoteText"/>
        <w:rPr>
          <w:rFonts w:asciiTheme="majorBidi" w:hAnsiTheme="majorBidi" w:cstheme="majorBidi"/>
          <w:sz w:val="16"/>
          <w:szCs w:val="16"/>
        </w:rPr>
      </w:pPr>
      <w:r w:rsidRPr="005C7E20">
        <w:rPr>
          <w:rStyle w:val="FootnoteReference"/>
          <w:rFonts w:asciiTheme="majorBidi" w:hAnsiTheme="majorBidi" w:cstheme="majorBidi"/>
          <w:sz w:val="16"/>
          <w:szCs w:val="16"/>
        </w:rPr>
        <w:footnoteRef/>
      </w:r>
      <w:r w:rsidRPr="005C7E20">
        <w:rPr>
          <w:rFonts w:asciiTheme="majorBidi" w:hAnsiTheme="majorBidi" w:cstheme="majorBidi"/>
          <w:sz w:val="16"/>
          <w:szCs w:val="16"/>
        </w:rPr>
        <w:t xml:space="preserve"> Concluding observations on the fourth periodic report of Luxembourg, </w:t>
      </w:r>
      <w:hyperlink r:id="rId3" w:history="1">
        <w:r w:rsidRPr="005C7E20">
          <w:rPr>
            <w:rStyle w:val="Hyperlink"/>
            <w:rFonts w:asciiTheme="majorBidi" w:hAnsiTheme="majorBidi" w:cstheme="majorBidi"/>
            <w:sz w:val="16"/>
            <w:szCs w:val="16"/>
          </w:rPr>
          <w:t>https://shorturl.at/VD2Po</w:t>
        </w:r>
      </w:hyperlink>
    </w:p>
  </w:footnote>
  <w:footnote w:id="5">
    <w:p w14:paraId="0F58BBFC" w14:textId="77777777" w:rsidR="00CD0D6E" w:rsidRPr="005C7E20" w:rsidRDefault="00CD0D6E" w:rsidP="00CD0D6E">
      <w:pPr>
        <w:pStyle w:val="FootnoteText"/>
        <w:rPr>
          <w:rFonts w:asciiTheme="majorBidi" w:hAnsiTheme="majorBidi" w:cstheme="majorBidi"/>
          <w:sz w:val="16"/>
          <w:szCs w:val="16"/>
        </w:rPr>
      </w:pPr>
      <w:r w:rsidRPr="005C7E20">
        <w:rPr>
          <w:rStyle w:val="FootnoteReference"/>
          <w:rFonts w:asciiTheme="majorBidi" w:hAnsiTheme="majorBidi" w:cstheme="majorBidi"/>
          <w:sz w:val="16"/>
          <w:szCs w:val="16"/>
        </w:rPr>
        <w:footnoteRef/>
      </w:r>
      <w:r w:rsidRPr="005C7E20">
        <w:rPr>
          <w:rFonts w:asciiTheme="majorBidi" w:hAnsiTheme="majorBidi" w:cstheme="majorBidi"/>
          <w:sz w:val="16"/>
          <w:szCs w:val="16"/>
        </w:rPr>
        <w:t xml:space="preserve"> Available at the link</w:t>
      </w:r>
      <w:r w:rsidRPr="005C7E20">
        <w:rPr>
          <w:rFonts w:asciiTheme="majorBidi" w:hAnsiTheme="majorBidi" w:cstheme="majorBidi"/>
          <w:sz w:val="16"/>
          <w:szCs w:val="16"/>
          <w:rtl/>
        </w:rPr>
        <w:t>:</w:t>
      </w:r>
      <w:r w:rsidRPr="005C7E20">
        <w:rPr>
          <w:rFonts w:asciiTheme="majorBidi" w:hAnsiTheme="majorBidi" w:cstheme="majorBidi"/>
          <w:sz w:val="16"/>
          <w:szCs w:val="16"/>
        </w:rPr>
        <w:t xml:space="preserve"> </w:t>
      </w:r>
      <w:hyperlink r:id="rId4" w:history="1">
        <w:r w:rsidRPr="005C7E20">
          <w:rPr>
            <w:rStyle w:val="Hyperlink"/>
            <w:rFonts w:asciiTheme="majorBidi" w:hAnsiTheme="majorBidi" w:cstheme="majorBidi"/>
            <w:sz w:val="16"/>
            <w:szCs w:val="16"/>
          </w:rPr>
          <w:t>https://shorturl.at/s21vW</w:t>
        </w:r>
      </w:hyperlink>
    </w:p>
  </w:footnote>
  <w:footnote w:id="6">
    <w:p w14:paraId="5A306AF7" w14:textId="77777777" w:rsidR="00CD0D6E" w:rsidRPr="005C7E20" w:rsidRDefault="00CD0D6E" w:rsidP="00CD0D6E">
      <w:pPr>
        <w:pStyle w:val="FootnoteText"/>
        <w:rPr>
          <w:rFonts w:asciiTheme="majorBidi" w:hAnsiTheme="majorBidi" w:cstheme="majorBidi"/>
          <w:sz w:val="16"/>
          <w:szCs w:val="16"/>
        </w:rPr>
      </w:pPr>
      <w:r w:rsidRPr="005C7E20">
        <w:rPr>
          <w:rStyle w:val="FootnoteReference"/>
          <w:rFonts w:asciiTheme="majorBidi" w:hAnsiTheme="majorBidi" w:cstheme="majorBidi"/>
          <w:sz w:val="16"/>
          <w:szCs w:val="16"/>
        </w:rPr>
        <w:footnoteRef/>
      </w:r>
      <w:r w:rsidRPr="005C7E20">
        <w:rPr>
          <w:rFonts w:asciiTheme="majorBidi" w:hAnsiTheme="majorBidi" w:cstheme="majorBidi"/>
          <w:sz w:val="16"/>
          <w:szCs w:val="16"/>
        </w:rPr>
        <w:t xml:space="preserve"> Luxembourg police powers bill faces backlash over 'vague and arbitrary' rules, </w:t>
      </w:r>
      <w:hyperlink r:id="rId5" w:history="1">
        <w:r w:rsidRPr="005C7E20">
          <w:rPr>
            <w:rStyle w:val="Hyperlink"/>
            <w:rFonts w:asciiTheme="majorBidi" w:hAnsiTheme="majorBidi" w:cstheme="majorBidi"/>
            <w:sz w:val="16"/>
            <w:szCs w:val="16"/>
          </w:rPr>
          <w:t>https://shorturl.at/owK1f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13D56"/>
    <w:multiLevelType w:val="hybridMultilevel"/>
    <w:tmpl w:val="9B0A7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333BAC"/>
    <w:multiLevelType w:val="hybridMultilevel"/>
    <w:tmpl w:val="18EC76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5"/>
  </w:num>
  <w:num w:numId="3" w16cid:durableId="1057122983">
    <w:abstractNumId w:val="25"/>
  </w:num>
  <w:num w:numId="4" w16cid:durableId="599484416">
    <w:abstractNumId w:val="14"/>
  </w:num>
  <w:num w:numId="5" w16cid:durableId="221990767">
    <w:abstractNumId w:val="29"/>
  </w:num>
  <w:num w:numId="6" w16cid:durableId="1184974759">
    <w:abstractNumId w:val="2"/>
  </w:num>
  <w:num w:numId="7" w16cid:durableId="719747233">
    <w:abstractNumId w:val="8"/>
  </w:num>
  <w:num w:numId="8" w16cid:durableId="2082218265">
    <w:abstractNumId w:val="16"/>
  </w:num>
  <w:num w:numId="9" w16cid:durableId="44522668">
    <w:abstractNumId w:val="18"/>
  </w:num>
  <w:num w:numId="10" w16cid:durableId="384570591">
    <w:abstractNumId w:val="20"/>
  </w:num>
  <w:num w:numId="11" w16cid:durableId="955409921">
    <w:abstractNumId w:val="1"/>
  </w:num>
  <w:num w:numId="12" w16cid:durableId="329604790">
    <w:abstractNumId w:val="0"/>
  </w:num>
  <w:num w:numId="13" w16cid:durableId="499975853">
    <w:abstractNumId w:val="21"/>
  </w:num>
  <w:num w:numId="14" w16cid:durableId="933244681">
    <w:abstractNumId w:val="23"/>
  </w:num>
  <w:num w:numId="15" w16cid:durableId="1029186210">
    <w:abstractNumId w:val="27"/>
  </w:num>
  <w:num w:numId="16" w16cid:durableId="510409883">
    <w:abstractNumId w:val="24"/>
  </w:num>
  <w:num w:numId="17" w16cid:durableId="1424718560">
    <w:abstractNumId w:val="5"/>
  </w:num>
  <w:num w:numId="18" w16cid:durableId="1266771858">
    <w:abstractNumId w:val="19"/>
  </w:num>
  <w:num w:numId="19" w16cid:durableId="1307006074">
    <w:abstractNumId w:val="7"/>
  </w:num>
  <w:num w:numId="20" w16cid:durableId="596136773">
    <w:abstractNumId w:val="13"/>
  </w:num>
  <w:num w:numId="21" w16cid:durableId="31420069">
    <w:abstractNumId w:val="9"/>
  </w:num>
  <w:num w:numId="22" w16cid:durableId="334383903">
    <w:abstractNumId w:val="28"/>
  </w:num>
  <w:num w:numId="23" w16cid:durableId="1430659545">
    <w:abstractNumId w:val="11"/>
  </w:num>
  <w:num w:numId="24" w16cid:durableId="155460974">
    <w:abstractNumId w:val="22"/>
  </w:num>
  <w:num w:numId="25" w16cid:durableId="722827196">
    <w:abstractNumId w:val="4"/>
  </w:num>
  <w:num w:numId="26" w16cid:durableId="2024890808">
    <w:abstractNumId w:val="17"/>
  </w:num>
  <w:num w:numId="27" w16cid:durableId="570501625">
    <w:abstractNumId w:val="12"/>
  </w:num>
  <w:num w:numId="28" w16cid:durableId="1337419106">
    <w:abstractNumId w:val="6"/>
  </w:num>
  <w:num w:numId="29" w16cid:durableId="1788237351">
    <w:abstractNumId w:val="26"/>
  </w:num>
  <w:num w:numId="30" w16cid:durableId="4533294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A3383"/>
    <w:rsid w:val="000B59D1"/>
    <w:rsid w:val="000B6672"/>
    <w:rsid w:val="000D152D"/>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05A4"/>
    <w:rsid w:val="001F17D0"/>
    <w:rsid w:val="00204088"/>
    <w:rsid w:val="0021413B"/>
    <w:rsid w:val="00220D6B"/>
    <w:rsid w:val="00265110"/>
    <w:rsid w:val="00272612"/>
    <w:rsid w:val="00273EAA"/>
    <w:rsid w:val="0027781D"/>
    <w:rsid w:val="00287FC0"/>
    <w:rsid w:val="00292DF1"/>
    <w:rsid w:val="002A6B29"/>
    <w:rsid w:val="002E4A18"/>
    <w:rsid w:val="002F1224"/>
    <w:rsid w:val="00304121"/>
    <w:rsid w:val="003060B3"/>
    <w:rsid w:val="003174DA"/>
    <w:rsid w:val="00340D06"/>
    <w:rsid w:val="003456A7"/>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4E0923"/>
    <w:rsid w:val="00506ACD"/>
    <w:rsid w:val="00507A7F"/>
    <w:rsid w:val="005171C1"/>
    <w:rsid w:val="00526952"/>
    <w:rsid w:val="00532295"/>
    <w:rsid w:val="00553347"/>
    <w:rsid w:val="00563368"/>
    <w:rsid w:val="00567291"/>
    <w:rsid w:val="00590ACC"/>
    <w:rsid w:val="005C5F24"/>
    <w:rsid w:val="005C7E20"/>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0A6C"/>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B43FA"/>
    <w:rsid w:val="007D795E"/>
    <w:rsid w:val="007E687B"/>
    <w:rsid w:val="0080014F"/>
    <w:rsid w:val="00832E45"/>
    <w:rsid w:val="0085336D"/>
    <w:rsid w:val="008738FB"/>
    <w:rsid w:val="0087723C"/>
    <w:rsid w:val="00877E2D"/>
    <w:rsid w:val="008A1847"/>
    <w:rsid w:val="008A1E41"/>
    <w:rsid w:val="008C49F7"/>
    <w:rsid w:val="008D520A"/>
    <w:rsid w:val="008F2735"/>
    <w:rsid w:val="00904745"/>
    <w:rsid w:val="0096340C"/>
    <w:rsid w:val="0096779B"/>
    <w:rsid w:val="009852FE"/>
    <w:rsid w:val="009940AF"/>
    <w:rsid w:val="00996355"/>
    <w:rsid w:val="009A47EF"/>
    <w:rsid w:val="009C68A7"/>
    <w:rsid w:val="009D18CE"/>
    <w:rsid w:val="009E120E"/>
    <w:rsid w:val="009E5640"/>
    <w:rsid w:val="009F0ED0"/>
    <w:rsid w:val="00A16414"/>
    <w:rsid w:val="00A42355"/>
    <w:rsid w:val="00A52770"/>
    <w:rsid w:val="00A641E3"/>
    <w:rsid w:val="00A66799"/>
    <w:rsid w:val="00AE3F17"/>
    <w:rsid w:val="00B02619"/>
    <w:rsid w:val="00B30326"/>
    <w:rsid w:val="00B544FE"/>
    <w:rsid w:val="00B567EF"/>
    <w:rsid w:val="00B66C99"/>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D0D6E"/>
    <w:rsid w:val="00CF53E4"/>
    <w:rsid w:val="00D21125"/>
    <w:rsid w:val="00D51762"/>
    <w:rsid w:val="00D65F66"/>
    <w:rsid w:val="00DB2C16"/>
    <w:rsid w:val="00DB790F"/>
    <w:rsid w:val="00DC2019"/>
    <w:rsid w:val="00DC4F4D"/>
    <w:rsid w:val="00DF4ECD"/>
    <w:rsid w:val="00E0326C"/>
    <w:rsid w:val="00E2244D"/>
    <w:rsid w:val="00E23A40"/>
    <w:rsid w:val="00E23EEE"/>
    <w:rsid w:val="00E3778A"/>
    <w:rsid w:val="00E4081E"/>
    <w:rsid w:val="00E53BB1"/>
    <w:rsid w:val="00E55D80"/>
    <w:rsid w:val="00E56E43"/>
    <w:rsid w:val="00E64ADD"/>
    <w:rsid w:val="00EB2133"/>
    <w:rsid w:val="00EC41C9"/>
    <w:rsid w:val="00ED1E5C"/>
    <w:rsid w:val="00EE156B"/>
    <w:rsid w:val="00F154A1"/>
    <w:rsid w:val="00F44F63"/>
    <w:rsid w:val="00F4689D"/>
    <w:rsid w:val="00F854B3"/>
    <w:rsid w:val="00F86E04"/>
    <w:rsid w:val="00F86F47"/>
    <w:rsid w:val="00F93C90"/>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8783"/>
  <w15:docId w15:val="{80F3D62C-ECF7-4C51-ADD8-D47F8B42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shorturl.at/VD2Po" TargetMode="External"/><Relationship Id="rId2" Type="http://schemas.openxmlformats.org/officeDocument/2006/relationships/hyperlink" Target="https://shorturl.at/zgXQ0" TargetMode="External"/><Relationship Id="rId1" Type="http://schemas.openxmlformats.org/officeDocument/2006/relationships/hyperlink" Target="https://shorturl.at/8ubDG" TargetMode="External"/><Relationship Id="rId5" Type="http://schemas.openxmlformats.org/officeDocument/2006/relationships/hyperlink" Target="https://shorturl.at/owK1f" TargetMode="External"/><Relationship Id="rId4" Type="http://schemas.openxmlformats.org/officeDocument/2006/relationships/hyperlink" Target="https://shorturl.at/s21v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684</Words>
  <Characters>3904</Characters>
  <Application>Microsoft Office Word</Application>
  <DocSecurity>0</DocSecurity>
  <Lines>32</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cp:lastModifiedBy>
  <cp:revision>2</cp:revision>
  <dcterms:created xsi:type="dcterms:W3CDTF">2026-07-28T08:13:00Z</dcterms:created>
  <dcterms:modified xsi:type="dcterms:W3CDTF">2026-07-28T08:13:00Z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