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9D0BA1" w14:textId="6D2DC795" w:rsidR="009623A1" w:rsidRDefault="67E6A36F">
      <w:pPr>
        <w:spacing w:before="240" w:after="240"/>
        <w:rPr>
          <w:rFonts w:ascii="Open Sans" w:eastAsia="Open Sans" w:hAnsi="Open Sans" w:cs="Open Sans"/>
          <w:b/>
          <w:sz w:val="24"/>
          <w:szCs w:val="24"/>
        </w:rPr>
      </w:pPr>
      <w:r w:rsidRPr="67E6A36F">
        <w:rPr>
          <w:rFonts w:ascii="Open Sans" w:eastAsia="Open Sans" w:hAnsi="Open Sans" w:cs="Open Sans"/>
          <w:sz w:val="24"/>
          <w:szCs w:val="24"/>
        </w:rPr>
        <w:t xml:space="preserve"> </w:t>
      </w:r>
    </w:p>
    <w:p w14:paraId="06D3EFBE" w14:textId="089F6487" w:rsidR="009623A1" w:rsidRDefault="009623A1" w:rsidP="00D72D2B">
      <w:pPr>
        <w:spacing w:before="240" w:after="240"/>
        <w:jc w:val="both"/>
      </w:pPr>
    </w:p>
    <w:p w14:paraId="0BA0EDBF" w14:textId="5D7E4298" w:rsidR="009623A1" w:rsidRPr="00D72D2B" w:rsidRDefault="001A03A8" w:rsidP="00D72D2B">
      <w:pPr>
        <w:ind w:right="120"/>
        <w:jc w:val="both"/>
        <w:rPr>
          <w:rFonts w:ascii="Open Sans" w:eastAsia="Open Sans" w:hAnsi="Open Sans" w:cs="Open Sans"/>
        </w:rPr>
      </w:pPr>
      <w:r w:rsidRPr="00D72D2B">
        <w:rPr>
          <w:rFonts w:ascii="Open Sans" w:eastAsia="Open Sans" w:hAnsi="Open Sans" w:cs="Open Sans"/>
        </w:rPr>
        <w:t>The Global Initiative for Economic, Social and Cultural Rights (GI-ESCR), Center for Education Policy and Climate Justice (</w:t>
      </w:r>
      <w:r w:rsidR="00C45A10" w:rsidRPr="00D72D2B">
        <w:rPr>
          <w:rFonts w:ascii="Open Sans" w:eastAsia="Open Sans" w:hAnsi="Open Sans" w:cs="Open Sans"/>
        </w:rPr>
        <w:t>“</w:t>
      </w:r>
      <w:r w:rsidRPr="00D72D2B">
        <w:rPr>
          <w:rFonts w:ascii="Open Sans" w:eastAsia="Open Sans" w:hAnsi="Open Sans" w:cs="Open Sans"/>
        </w:rPr>
        <w:t>CEPCJ</w:t>
      </w:r>
      <w:r w:rsidR="00C45A10" w:rsidRPr="00D72D2B">
        <w:rPr>
          <w:rFonts w:ascii="Open Sans" w:eastAsia="Open Sans" w:hAnsi="Open Sans" w:cs="Open Sans"/>
        </w:rPr>
        <w:t>”</w:t>
      </w:r>
      <w:r w:rsidRPr="00D72D2B">
        <w:rPr>
          <w:rFonts w:ascii="Open Sans" w:eastAsia="Open Sans" w:hAnsi="Open Sans" w:cs="Open Sans"/>
        </w:rPr>
        <w:t>), Economic</w:t>
      </w:r>
      <w:r w:rsidR="00C45A10" w:rsidRPr="00D72D2B">
        <w:rPr>
          <w:rFonts w:ascii="Open Sans" w:eastAsia="Open Sans" w:hAnsi="Open Sans" w:cs="Open Sans"/>
        </w:rPr>
        <w:t xml:space="preserve"> and </w:t>
      </w:r>
      <w:r w:rsidRPr="00D72D2B">
        <w:rPr>
          <w:rFonts w:ascii="Open Sans" w:eastAsia="Open Sans" w:hAnsi="Open Sans" w:cs="Open Sans"/>
        </w:rPr>
        <w:t xml:space="preserve">Social Rights </w:t>
      </w:r>
      <w:r w:rsidR="00C45A10" w:rsidRPr="00D72D2B">
        <w:rPr>
          <w:rFonts w:ascii="Open Sans" w:eastAsia="Open Sans" w:hAnsi="Open Sans" w:cs="Open Sans"/>
        </w:rPr>
        <w:t>C</w:t>
      </w:r>
      <w:r w:rsidRPr="00D72D2B">
        <w:rPr>
          <w:rFonts w:ascii="Open Sans" w:eastAsia="Open Sans" w:hAnsi="Open Sans" w:cs="Open Sans"/>
        </w:rPr>
        <w:t xml:space="preserve">entre – </w:t>
      </w:r>
      <w:r w:rsidR="00C45A10" w:rsidRPr="00D72D2B">
        <w:rPr>
          <w:rFonts w:ascii="Open Sans" w:eastAsia="Open Sans" w:hAnsi="Open Sans" w:cs="Open Sans"/>
        </w:rPr>
        <w:t>H</w:t>
      </w:r>
      <w:r w:rsidRPr="00D72D2B">
        <w:rPr>
          <w:rFonts w:ascii="Open Sans" w:eastAsia="Open Sans" w:hAnsi="Open Sans" w:cs="Open Sans"/>
        </w:rPr>
        <w:t xml:space="preserve">akijamii and the </w:t>
      </w:r>
      <w:r w:rsidR="00111116" w:rsidRPr="00D72D2B">
        <w:rPr>
          <w:rFonts w:ascii="Open Sans" w:eastAsia="Open Sans" w:hAnsi="Open Sans" w:cs="Open Sans"/>
        </w:rPr>
        <w:t>E</w:t>
      </w:r>
      <w:r w:rsidRPr="00D72D2B">
        <w:rPr>
          <w:rFonts w:ascii="Open Sans" w:eastAsia="Open Sans" w:hAnsi="Open Sans" w:cs="Open Sans"/>
        </w:rPr>
        <w:t xml:space="preserve">ast </w:t>
      </w:r>
      <w:r w:rsidR="00111116" w:rsidRPr="00D72D2B">
        <w:rPr>
          <w:rFonts w:ascii="Open Sans" w:eastAsia="Open Sans" w:hAnsi="Open Sans" w:cs="Open Sans"/>
        </w:rPr>
        <w:t>A</w:t>
      </w:r>
      <w:r w:rsidRPr="00D72D2B">
        <w:rPr>
          <w:rFonts w:ascii="Open Sans" w:eastAsia="Open Sans" w:hAnsi="Open Sans" w:cs="Open Sans"/>
        </w:rPr>
        <w:t xml:space="preserve">frican </w:t>
      </w:r>
      <w:r w:rsidR="00111116" w:rsidRPr="00D72D2B">
        <w:rPr>
          <w:rFonts w:ascii="Open Sans" w:eastAsia="Open Sans" w:hAnsi="Open Sans" w:cs="Open Sans"/>
        </w:rPr>
        <w:t>C</w:t>
      </w:r>
      <w:r w:rsidRPr="00D72D2B">
        <w:rPr>
          <w:rFonts w:ascii="Open Sans" w:eastAsia="Open Sans" w:hAnsi="Open Sans" w:cs="Open Sans"/>
        </w:rPr>
        <w:t xml:space="preserve">entre for </w:t>
      </w:r>
      <w:r w:rsidR="00111116" w:rsidRPr="00D72D2B">
        <w:rPr>
          <w:rFonts w:ascii="Open Sans" w:eastAsia="Open Sans" w:hAnsi="Open Sans" w:cs="Open Sans"/>
        </w:rPr>
        <w:t>H</w:t>
      </w:r>
      <w:r w:rsidRPr="00D72D2B">
        <w:rPr>
          <w:rFonts w:ascii="Open Sans" w:eastAsia="Open Sans" w:hAnsi="Open Sans" w:cs="Open Sans"/>
        </w:rPr>
        <w:t xml:space="preserve">uman </w:t>
      </w:r>
      <w:r w:rsidR="00111116" w:rsidRPr="00D72D2B">
        <w:rPr>
          <w:rFonts w:ascii="Open Sans" w:eastAsia="Open Sans" w:hAnsi="Open Sans" w:cs="Open Sans"/>
        </w:rPr>
        <w:t>R</w:t>
      </w:r>
      <w:r w:rsidRPr="00D72D2B">
        <w:rPr>
          <w:rFonts w:ascii="Open Sans" w:eastAsia="Open Sans" w:hAnsi="Open Sans" w:cs="Open Sans"/>
        </w:rPr>
        <w:t>ights (</w:t>
      </w:r>
      <w:r w:rsidR="00111116" w:rsidRPr="00D72D2B">
        <w:rPr>
          <w:rFonts w:ascii="Open Sans" w:eastAsia="Open Sans" w:hAnsi="Open Sans" w:cs="Open Sans"/>
        </w:rPr>
        <w:t>EACHR</w:t>
      </w:r>
      <w:r w:rsidR="00773A48">
        <w:rPr>
          <w:rFonts w:ascii="Open Sans" w:eastAsia="Open Sans" w:hAnsi="Open Sans" w:cs="Open Sans"/>
        </w:rPr>
        <w:t>ights</w:t>
      </w:r>
      <w:r w:rsidRPr="00D72D2B">
        <w:rPr>
          <w:rFonts w:ascii="Open Sans" w:eastAsia="Open Sans" w:hAnsi="Open Sans" w:cs="Open Sans"/>
        </w:rPr>
        <w:t xml:space="preserve">), </w:t>
      </w:r>
      <w:r w:rsidR="00BA11DF">
        <w:rPr>
          <w:rFonts w:ascii="Open Sans" w:eastAsia="Open Sans" w:hAnsi="Open Sans" w:cs="Open Sans"/>
        </w:rPr>
        <w:t>make this</w:t>
      </w:r>
      <w:r w:rsidRPr="00D72D2B">
        <w:rPr>
          <w:rFonts w:ascii="Open Sans" w:eastAsia="Open Sans" w:hAnsi="Open Sans" w:cs="Open Sans"/>
        </w:rPr>
        <w:t xml:space="preserve"> submission to the </w:t>
      </w:r>
      <w:r w:rsidR="00B07D0F" w:rsidRPr="00D72D2B">
        <w:rPr>
          <w:rFonts w:ascii="Open Sans" w:eastAsia="Open Sans" w:hAnsi="Open Sans" w:cs="Open Sans"/>
        </w:rPr>
        <w:t>C</w:t>
      </w:r>
      <w:r w:rsidRPr="00D72D2B">
        <w:rPr>
          <w:rFonts w:ascii="Open Sans" w:eastAsia="Open Sans" w:hAnsi="Open Sans" w:cs="Open Sans"/>
        </w:rPr>
        <w:t xml:space="preserve">ommittee on </w:t>
      </w:r>
      <w:r w:rsidR="00B07D0F" w:rsidRPr="00D72D2B">
        <w:rPr>
          <w:rFonts w:ascii="Open Sans" w:eastAsia="Open Sans" w:hAnsi="Open Sans" w:cs="Open Sans"/>
        </w:rPr>
        <w:t>E</w:t>
      </w:r>
      <w:r w:rsidRPr="00D72D2B">
        <w:rPr>
          <w:rFonts w:ascii="Open Sans" w:eastAsia="Open Sans" w:hAnsi="Open Sans" w:cs="Open Sans"/>
        </w:rPr>
        <w:t xml:space="preserve">conomic, </w:t>
      </w:r>
      <w:r w:rsidR="00B07D0F" w:rsidRPr="00D72D2B">
        <w:rPr>
          <w:rFonts w:ascii="Open Sans" w:eastAsia="Open Sans" w:hAnsi="Open Sans" w:cs="Open Sans"/>
        </w:rPr>
        <w:t>S</w:t>
      </w:r>
      <w:r w:rsidRPr="00D72D2B">
        <w:rPr>
          <w:rFonts w:ascii="Open Sans" w:eastAsia="Open Sans" w:hAnsi="Open Sans" w:cs="Open Sans"/>
        </w:rPr>
        <w:t xml:space="preserve">ocial and </w:t>
      </w:r>
      <w:r w:rsidR="00B07D0F" w:rsidRPr="00D72D2B">
        <w:rPr>
          <w:rFonts w:ascii="Open Sans" w:eastAsia="Open Sans" w:hAnsi="Open Sans" w:cs="Open Sans"/>
        </w:rPr>
        <w:t>C</w:t>
      </w:r>
      <w:r w:rsidRPr="00D72D2B">
        <w:rPr>
          <w:rFonts w:ascii="Open Sans" w:eastAsia="Open Sans" w:hAnsi="Open Sans" w:cs="Open Sans"/>
        </w:rPr>
        <w:t xml:space="preserve">ultural </w:t>
      </w:r>
      <w:r w:rsidR="00B07D0F" w:rsidRPr="00D72D2B">
        <w:rPr>
          <w:rFonts w:ascii="Open Sans" w:eastAsia="Open Sans" w:hAnsi="Open Sans" w:cs="Open Sans"/>
        </w:rPr>
        <w:t>R</w:t>
      </w:r>
      <w:r w:rsidRPr="00D72D2B">
        <w:rPr>
          <w:rFonts w:ascii="Open Sans" w:eastAsia="Open Sans" w:hAnsi="Open Sans" w:cs="Open Sans"/>
        </w:rPr>
        <w:t xml:space="preserve">ights in advance of the examination of </w:t>
      </w:r>
      <w:r w:rsidR="00B07D0F" w:rsidRPr="00D72D2B">
        <w:rPr>
          <w:rFonts w:ascii="Open Sans" w:eastAsia="Open Sans" w:hAnsi="Open Sans" w:cs="Open Sans"/>
        </w:rPr>
        <w:t>K</w:t>
      </w:r>
      <w:r w:rsidRPr="00D72D2B">
        <w:rPr>
          <w:rFonts w:ascii="Open Sans" w:eastAsia="Open Sans" w:hAnsi="Open Sans" w:cs="Open Sans"/>
        </w:rPr>
        <w:t xml:space="preserve">enya’s sixth periodic report under </w:t>
      </w:r>
      <w:r w:rsidR="00B07D0F" w:rsidRPr="00D72D2B">
        <w:rPr>
          <w:rFonts w:ascii="Open Sans" w:eastAsia="Open Sans" w:hAnsi="Open Sans" w:cs="Open Sans"/>
        </w:rPr>
        <w:t>A</w:t>
      </w:r>
      <w:r w:rsidRPr="00D72D2B">
        <w:rPr>
          <w:rFonts w:ascii="Open Sans" w:eastAsia="Open Sans" w:hAnsi="Open Sans" w:cs="Open Sans"/>
        </w:rPr>
        <w:t xml:space="preserve">rticles 16 and 17 of the </w:t>
      </w:r>
      <w:r w:rsidR="00B07D0F" w:rsidRPr="00D72D2B">
        <w:rPr>
          <w:rFonts w:ascii="Open Sans" w:eastAsia="Open Sans" w:hAnsi="Open Sans" w:cs="Open Sans"/>
        </w:rPr>
        <w:t>I</w:t>
      </w:r>
      <w:r w:rsidRPr="00D72D2B">
        <w:rPr>
          <w:rFonts w:ascii="Open Sans" w:eastAsia="Open Sans" w:hAnsi="Open Sans" w:cs="Open Sans"/>
        </w:rPr>
        <w:t xml:space="preserve">nternational </w:t>
      </w:r>
      <w:r w:rsidR="00B07D0F" w:rsidRPr="00D72D2B">
        <w:rPr>
          <w:rFonts w:ascii="Open Sans" w:eastAsia="Open Sans" w:hAnsi="Open Sans" w:cs="Open Sans"/>
        </w:rPr>
        <w:t>C</w:t>
      </w:r>
      <w:r w:rsidRPr="00D72D2B">
        <w:rPr>
          <w:rFonts w:ascii="Open Sans" w:eastAsia="Open Sans" w:hAnsi="Open Sans" w:cs="Open Sans"/>
        </w:rPr>
        <w:t xml:space="preserve">ovenant on </w:t>
      </w:r>
      <w:r w:rsidR="00B07D0F" w:rsidRPr="00D72D2B">
        <w:rPr>
          <w:rFonts w:ascii="Open Sans" w:eastAsia="Open Sans" w:hAnsi="Open Sans" w:cs="Open Sans"/>
        </w:rPr>
        <w:t>E</w:t>
      </w:r>
      <w:r w:rsidRPr="00D72D2B">
        <w:rPr>
          <w:rFonts w:ascii="Open Sans" w:eastAsia="Open Sans" w:hAnsi="Open Sans" w:cs="Open Sans"/>
        </w:rPr>
        <w:t xml:space="preserve">conomic, </w:t>
      </w:r>
      <w:r w:rsidR="00B07D0F" w:rsidRPr="00D72D2B">
        <w:rPr>
          <w:rFonts w:ascii="Open Sans" w:eastAsia="Open Sans" w:hAnsi="Open Sans" w:cs="Open Sans"/>
        </w:rPr>
        <w:t>S</w:t>
      </w:r>
      <w:r w:rsidRPr="00D72D2B">
        <w:rPr>
          <w:rFonts w:ascii="Open Sans" w:eastAsia="Open Sans" w:hAnsi="Open Sans" w:cs="Open Sans"/>
        </w:rPr>
        <w:t xml:space="preserve">ocial and </w:t>
      </w:r>
      <w:r w:rsidR="00B07D0F" w:rsidRPr="00D72D2B">
        <w:rPr>
          <w:rFonts w:ascii="Open Sans" w:eastAsia="Open Sans" w:hAnsi="Open Sans" w:cs="Open Sans"/>
        </w:rPr>
        <w:t>C</w:t>
      </w:r>
      <w:r w:rsidRPr="00D72D2B">
        <w:rPr>
          <w:rFonts w:ascii="Open Sans" w:eastAsia="Open Sans" w:hAnsi="Open Sans" w:cs="Open Sans"/>
        </w:rPr>
        <w:t xml:space="preserve">ultural </w:t>
      </w:r>
      <w:r w:rsidR="00B07D0F" w:rsidRPr="00D72D2B">
        <w:rPr>
          <w:rFonts w:ascii="Open Sans" w:eastAsia="Open Sans" w:hAnsi="Open Sans" w:cs="Open Sans"/>
        </w:rPr>
        <w:t>R</w:t>
      </w:r>
      <w:r w:rsidRPr="00D72D2B">
        <w:rPr>
          <w:rFonts w:ascii="Open Sans" w:eastAsia="Open Sans" w:hAnsi="Open Sans" w:cs="Open Sans"/>
        </w:rPr>
        <w:t>ights</w:t>
      </w:r>
      <w:r w:rsidR="00B07D0F" w:rsidRPr="00D72D2B">
        <w:rPr>
          <w:rFonts w:ascii="Open Sans" w:eastAsia="Open Sans" w:hAnsi="Open Sans" w:cs="Open Sans"/>
        </w:rPr>
        <w:t>.</w:t>
      </w:r>
    </w:p>
    <w:p w14:paraId="37CD61D3" w14:textId="77777777" w:rsidR="009623A1" w:rsidRPr="006D51C4" w:rsidRDefault="009623A1">
      <w:pPr>
        <w:ind w:left="100" w:right="120"/>
        <w:jc w:val="both"/>
        <w:rPr>
          <w:rFonts w:ascii="Open Sans" w:eastAsia="Open Sans" w:hAnsi="Open Sans" w:cs="Open Sans"/>
          <w:b/>
          <w:sz w:val="21"/>
          <w:szCs w:val="21"/>
        </w:rPr>
      </w:pPr>
    </w:p>
    <w:p w14:paraId="5D2EA049" w14:textId="77777777" w:rsidR="009623A1" w:rsidRPr="006D51C4" w:rsidRDefault="007B70D4">
      <w:pPr>
        <w:ind w:right="120"/>
        <w:jc w:val="both"/>
        <w:rPr>
          <w:rFonts w:ascii="Open Sans" w:eastAsia="Open Sans" w:hAnsi="Open Sans" w:cs="Open Sans"/>
          <w:b/>
          <w:sz w:val="21"/>
          <w:szCs w:val="21"/>
        </w:rPr>
      </w:pPr>
      <w:r w:rsidRPr="006D51C4">
        <w:rPr>
          <w:rFonts w:ascii="Open Sans" w:eastAsia="Open Sans" w:hAnsi="Open Sans" w:cs="Open Sans"/>
          <w:b/>
          <w:i/>
          <w:color w:val="0070C0"/>
          <w:sz w:val="21"/>
          <w:szCs w:val="21"/>
        </w:rPr>
        <w:t>13 January 2025</w:t>
      </w:r>
    </w:p>
    <w:p w14:paraId="60C7F90B" w14:textId="77777777" w:rsidR="009623A1" w:rsidRPr="006D51C4" w:rsidRDefault="007B70D4">
      <w:pPr>
        <w:spacing w:before="240" w:after="240"/>
        <w:jc w:val="both"/>
        <w:rPr>
          <w:rFonts w:ascii="Open Sans" w:eastAsia="Open Sans" w:hAnsi="Open Sans" w:cs="Open Sans"/>
          <w:b/>
        </w:rPr>
      </w:pPr>
      <w:r w:rsidRPr="006D51C4">
        <w:rPr>
          <w:rFonts w:ascii="Open Sans" w:eastAsia="Open Sans" w:hAnsi="Open Sans" w:cs="Open Sans"/>
          <w:b/>
        </w:rPr>
        <w:t>Introduction</w:t>
      </w:r>
    </w:p>
    <w:p w14:paraId="72AA03BE" w14:textId="6A4E02EC" w:rsidR="009623A1" w:rsidRPr="006D51C4" w:rsidRDefault="0631DCD4" w:rsidP="00C15F19">
      <w:pPr>
        <w:numPr>
          <w:ilvl w:val="0"/>
          <w:numId w:val="1"/>
        </w:numPr>
        <w:spacing w:before="240"/>
        <w:jc w:val="both"/>
        <w:rPr>
          <w:rFonts w:ascii="Open Sans" w:eastAsia="Open Sans" w:hAnsi="Open Sans" w:cs="Open Sans"/>
        </w:rPr>
      </w:pPr>
      <w:r w:rsidRPr="006D51C4">
        <w:rPr>
          <w:rFonts w:ascii="Open Sans" w:eastAsia="Open Sans" w:hAnsi="Open Sans" w:cs="Open Sans"/>
        </w:rPr>
        <w:t>During its 77th session</w:t>
      </w:r>
      <w:r w:rsidR="00A44963">
        <w:rPr>
          <w:rFonts w:ascii="Open Sans" w:eastAsia="Open Sans" w:hAnsi="Open Sans" w:cs="Open Sans"/>
        </w:rPr>
        <w:t>,</w:t>
      </w:r>
      <w:r w:rsidRPr="006D51C4">
        <w:rPr>
          <w:rFonts w:ascii="Open Sans" w:eastAsia="Open Sans" w:hAnsi="Open Sans" w:cs="Open Sans"/>
        </w:rPr>
        <w:t xml:space="preserve"> the Committee on Economic, Social and Cultural Rights (“the Committee”) will examine Kenya’s implementation of the International Covenant on Economic</w:t>
      </w:r>
      <w:r w:rsidR="0080448C">
        <w:rPr>
          <w:rFonts w:ascii="Open Sans" w:eastAsia="Open Sans" w:hAnsi="Open Sans" w:cs="Open Sans"/>
        </w:rPr>
        <w:t>,</w:t>
      </w:r>
      <w:r w:rsidRPr="006D51C4">
        <w:rPr>
          <w:rFonts w:ascii="Open Sans" w:eastAsia="Open Sans" w:hAnsi="Open Sans" w:cs="Open Sans"/>
        </w:rPr>
        <w:t xml:space="preserve"> Social and Cultural Rights (“the Covenant”), in light of the State Party’s initial report under Articles 12, 13 and 14 of the Covenant. The Global Initiative for Economic, Social, and Cultural Rights (“GI-ESCR”), Center for Education Policy and Climate Justice (“CEPCJ”), Economic and Social </w:t>
      </w:r>
      <w:r w:rsidR="744C53E1" w:rsidRPr="006D51C4">
        <w:rPr>
          <w:rFonts w:ascii="Open Sans" w:eastAsia="Open Sans" w:hAnsi="Open Sans" w:cs="Open Sans"/>
        </w:rPr>
        <w:t>Rights</w:t>
      </w:r>
      <w:r w:rsidRPr="006D51C4">
        <w:rPr>
          <w:rFonts w:ascii="Open Sans" w:eastAsia="Open Sans" w:hAnsi="Open Sans" w:cs="Open Sans"/>
        </w:rPr>
        <w:t xml:space="preserve"> Centre – </w:t>
      </w:r>
      <w:r w:rsidR="00393078" w:rsidRPr="006D51C4">
        <w:rPr>
          <w:rFonts w:ascii="Open Sans" w:eastAsia="Open Sans" w:hAnsi="Open Sans" w:cs="Open Sans"/>
        </w:rPr>
        <w:t>“</w:t>
      </w:r>
      <w:r w:rsidRPr="006D51C4">
        <w:rPr>
          <w:rFonts w:ascii="Open Sans" w:eastAsia="Open Sans" w:hAnsi="Open Sans" w:cs="Open Sans"/>
        </w:rPr>
        <w:t>Hakijamii</w:t>
      </w:r>
      <w:r w:rsidR="00393078" w:rsidRPr="006D51C4">
        <w:rPr>
          <w:rFonts w:ascii="Open Sans" w:eastAsia="Open Sans" w:hAnsi="Open Sans" w:cs="Open Sans"/>
        </w:rPr>
        <w:t>”</w:t>
      </w:r>
      <w:r w:rsidRPr="006D51C4">
        <w:rPr>
          <w:rFonts w:ascii="Open Sans" w:eastAsia="Open Sans" w:hAnsi="Open Sans" w:cs="Open Sans"/>
        </w:rPr>
        <w:t xml:space="preserve"> </w:t>
      </w:r>
      <w:r w:rsidR="744C53E1" w:rsidRPr="006D51C4">
        <w:rPr>
          <w:rFonts w:ascii="Open Sans" w:eastAsia="Open Sans" w:hAnsi="Open Sans" w:cs="Open Sans"/>
        </w:rPr>
        <w:t>and the East African Centre for Human Rights (</w:t>
      </w:r>
      <w:r w:rsidR="00393078" w:rsidRPr="006D51C4">
        <w:rPr>
          <w:rFonts w:ascii="Open Sans" w:eastAsia="Open Sans" w:hAnsi="Open Sans" w:cs="Open Sans"/>
        </w:rPr>
        <w:t>“</w:t>
      </w:r>
      <w:r w:rsidR="744C53E1" w:rsidRPr="006D51C4">
        <w:rPr>
          <w:rFonts w:ascii="Open Sans" w:eastAsia="Open Sans" w:hAnsi="Open Sans" w:cs="Open Sans"/>
        </w:rPr>
        <w:t>EACHRights</w:t>
      </w:r>
      <w:r w:rsidR="00393078" w:rsidRPr="006D51C4">
        <w:rPr>
          <w:rFonts w:ascii="Open Sans" w:eastAsia="Open Sans" w:hAnsi="Open Sans" w:cs="Open Sans"/>
        </w:rPr>
        <w:t>”</w:t>
      </w:r>
      <w:r w:rsidR="744C53E1" w:rsidRPr="006D51C4">
        <w:rPr>
          <w:rFonts w:ascii="Open Sans" w:eastAsia="Open Sans" w:hAnsi="Open Sans" w:cs="Open Sans"/>
        </w:rPr>
        <w:t xml:space="preserve">) </w:t>
      </w:r>
      <w:r w:rsidRPr="006D51C4">
        <w:rPr>
          <w:rFonts w:ascii="Open Sans" w:eastAsia="Open Sans" w:hAnsi="Open Sans" w:cs="Open Sans"/>
        </w:rPr>
        <w:t xml:space="preserve"> welcome the opportunity to submit the following comments to this Committee.</w:t>
      </w:r>
    </w:p>
    <w:p w14:paraId="7F5E8DAD" w14:textId="0AC90B18" w:rsidR="009623A1" w:rsidRPr="006D51C4" w:rsidRDefault="007B70D4" w:rsidP="00526C97">
      <w:pPr>
        <w:numPr>
          <w:ilvl w:val="0"/>
          <w:numId w:val="1"/>
        </w:numPr>
        <w:jc w:val="both"/>
        <w:rPr>
          <w:rFonts w:ascii="Open Sans" w:eastAsia="Open Sans" w:hAnsi="Open Sans" w:cs="Open Sans"/>
        </w:rPr>
      </w:pPr>
      <w:r w:rsidRPr="006D51C4">
        <w:rPr>
          <w:rFonts w:ascii="Open Sans" w:eastAsia="Open Sans" w:hAnsi="Open Sans" w:cs="Open Sans"/>
        </w:rPr>
        <w:t>This submission focuses on the implementation of the right to education (Articles 13 and 14 of the Covenant) and the right to health (Articles 11 of the Covenant</w:t>
      </w:r>
      <w:r w:rsidR="744C53E1" w:rsidRPr="006D51C4">
        <w:rPr>
          <w:rFonts w:ascii="Open Sans" w:eastAsia="Open Sans" w:hAnsi="Open Sans" w:cs="Open Sans"/>
        </w:rPr>
        <w:t xml:space="preserve">), in light </w:t>
      </w:r>
      <w:r w:rsidR="00E965C1" w:rsidRPr="006D51C4">
        <w:rPr>
          <w:rFonts w:ascii="Open Sans" w:eastAsia="Open Sans" w:hAnsi="Open Sans" w:cs="Open Sans"/>
        </w:rPr>
        <w:t>of</w:t>
      </w:r>
      <w:r w:rsidR="744C53E1" w:rsidRPr="006D51C4">
        <w:rPr>
          <w:rFonts w:ascii="Open Sans" w:eastAsia="Open Sans" w:hAnsi="Open Sans" w:cs="Open Sans"/>
        </w:rPr>
        <w:t xml:space="preserve"> Article 2.1 of the Covenant.</w:t>
      </w:r>
      <w:r w:rsidRPr="006D51C4">
        <w:rPr>
          <w:rFonts w:ascii="Open Sans" w:eastAsia="Open Sans" w:hAnsi="Open Sans" w:cs="Open Sans"/>
        </w:rPr>
        <w:t xml:space="preserve"> </w:t>
      </w:r>
    </w:p>
    <w:p w14:paraId="696E1736" w14:textId="307418BB" w:rsidR="009623A1" w:rsidRPr="006D51C4" w:rsidRDefault="00F2627D">
      <w:pPr>
        <w:numPr>
          <w:ilvl w:val="0"/>
          <w:numId w:val="1"/>
        </w:numPr>
        <w:jc w:val="both"/>
        <w:rPr>
          <w:rFonts w:ascii="Open Sans" w:eastAsia="Open Sans" w:hAnsi="Open Sans" w:cs="Open Sans"/>
        </w:rPr>
      </w:pPr>
      <w:r w:rsidRPr="006D51C4">
        <w:rPr>
          <w:rFonts w:ascii="Open Sans" w:eastAsia="Open Sans" w:hAnsi="Open Sans" w:cs="Open Sans"/>
        </w:rPr>
        <w:t>T</w:t>
      </w:r>
      <w:r w:rsidR="00526C97" w:rsidRPr="006D51C4">
        <w:rPr>
          <w:rFonts w:ascii="Open Sans" w:eastAsia="Open Sans" w:hAnsi="Open Sans" w:cs="Open Sans"/>
        </w:rPr>
        <w:t>his submission</w:t>
      </w:r>
      <w:r w:rsidR="007B70D4" w:rsidRPr="006D51C4">
        <w:rPr>
          <w:rFonts w:ascii="Open Sans" w:eastAsia="Open Sans" w:hAnsi="Open Sans" w:cs="Open Sans"/>
        </w:rPr>
        <w:t xml:space="preserve"> draws th</w:t>
      </w:r>
      <w:r w:rsidR="00227508" w:rsidRPr="006D51C4">
        <w:rPr>
          <w:rFonts w:ascii="Open Sans" w:eastAsia="Open Sans" w:hAnsi="Open Sans" w:cs="Open Sans"/>
        </w:rPr>
        <w:t xml:space="preserve">e </w:t>
      </w:r>
      <w:r w:rsidR="007B70D4" w:rsidRPr="006D51C4">
        <w:rPr>
          <w:rFonts w:ascii="Open Sans" w:eastAsia="Open Sans" w:hAnsi="Open Sans" w:cs="Open Sans"/>
        </w:rPr>
        <w:t xml:space="preserve">Committee's attention to the critical need for Kenya to </w:t>
      </w:r>
      <w:r w:rsidR="00BD4270" w:rsidRPr="006D51C4">
        <w:rPr>
          <w:rFonts w:ascii="Open Sans" w:eastAsia="Open Sans" w:hAnsi="Open Sans" w:cs="Open Sans"/>
        </w:rPr>
        <w:t xml:space="preserve">allocate </w:t>
      </w:r>
      <w:r w:rsidR="00FE5322">
        <w:rPr>
          <w:rFonts w:ascii="Open Sans" w:eastAsia="Open Sans" w:hAnsi="Open Sans" w:cs="Open Sans"/>
        </w:rPr>
        <w:t>the</w:t>
      </w:r>
      <w:r w:rsidR="00FE5322" w:rsidRPr="006D51C4">
        <w:rPr>
          <w:rFonts w:ascii="Open Sans" w:eastAsia="Open Sans" w:hAnsi="Open Sans" w:cs="Open Sans"/>
        </w:rPr>
        <w:t xml:space="preserve"> </w:t>
      </w:r>
      <w:r w:rsidR="007B70D4" w:rsidRPr="006D51C4">
        <w:rPr>
          <w:rFonts w:ascii="Open Sans" w:eastAsia="Open Sans" w:hAnsi="Open Sans" w:cs="Open Sans"/>
        </w:rPr>
        <w:t>maximum</w:t>
      </w:r>
      <w:r w:rsidR="00FE5322">
        <w:rPr>
          <w:rFonts w:ascii="Open Sans" w:eastAsia="Open Sans" w:hAnsi="Open Sans" w:cs="Open Sans"/>
        </w:rPr>
        <w:t xml:space="preserve"> of its available</w:t>
      </w:r>
      <w:r w:rsidR="007B70D4" w:rsidRPr="006D51C4">
        <w:rPr>
          <w:rFonts w:ascii="Open Sans" w:eastAsia="Open Sans" w:hAnsi="Open Sans" w:cs="Open Sans"/>
        </w:rPr>
        <w:t xml:space="preserve"> resources to finance public services</w:t>
      </w:r>
      <w:r w:rsidR="001E39A2" w:rsidRPr="006D51C4">
        <w:rPr>
          <w:rFonts w:ascii="Open Sans" w:eastAsia="Open Sans" w:hAnsi="Open Sans" w:cs="Open Sans"/>
        </w:rPr>
        <w:t xml:space="preserve">, </w:t>
      </w:r>
      <w:r w:rsidR="003676C1" w:rsidRPr="006D51C4">
        <w:rPr>
          <w:rFonts w:ascii="Open Sans" w:eastAsia="Open Sans" w:hAnsi="Open Sans" w:cs="Open Sans"/>
        </w:rPr>
        <w:t xml:space="preserve">particularly education and health, </w:t>
      </w:r>
      <w:r w:rsidR="003F7298" w:rsidRPr="006D51C4">
        <w:rPr>
          <w:rFonts w:ascii="Open Sans" w:eastAsia="Open Sans" w:hAnsi="Open Sans" w:cs="Open Sans"/>
        </w:rPr>
        <w:t xml:space="preserve">which are </w:t>
      </w:r>
      <w:r w:rsidR="001E39A2" w:rsidRPr="006D51C4">
        <w:rPr>
          <w:rFonts w:ascii="Open Sans" w:eastAsia="Open Sans" w:hAnsi="Open Sans" w:cs="Open Sans"/>
        </w:rPr>
        <w:t>essential for</w:t>
      </w:r>
      <w:r w:rsidR="007B70D4" w:rsidRPr="006D51C4">
        <w:rPr>
          <w:rFonts w:ascii="Open Sans" w:eastAsia="Open Sans" w:hAnsi="Open Sans" w:cs="Open Sans"/>
        </w:rPr>
        <w:t xml:space="preserve"> the realisation of economic, social, and cultural rights</w:t>
      </w:r>
      <w:r w:rsidR="003676C1" w:rsidRPr="006D51C4">
        <w:rPr>
          <w:rFonts w:ascii="Open Sans" w:eastAsia="Open Sans" w:hAnsi="Open Sans" w:cs="Open Sans"/>
        </w:rPr>
        <w:t>.</w:t>
      </w:r>
    </w:p>
    <w:p w14:paraId="49A7FF9A" w14:textId="6ADA4BD2" w:rsidR="009623A1" w:rsidRPr="006D51C4" w:rsidRDefault="007B70D4">
      <w:pPr>
        <w:numPr>
          <w:ilvl w:val="0"/>
          <w:numId w:val="1"/>
        </w:numPr>
        <w:spacing w:after="240"/>
        <w:jc w:val="both"/>
        <w:rPr>
          <w:rFonts w:ascii="Open Sans" w:eastAsia="Open Sans" w:hAnsi="Open Sans" w:cs="Open Sans"/>
        </w:rPr>
      </w:pPr>
      <w:r w:rsidRPr="006D51C4">
        <w:rPr>
          <w:rFonts w:ascii="Open Sans" w:eastAsia="Open Sans" w:hAnsi="Open Sans" w:cs="Open Sans"/>
        </w:rPr>
        <w:t xml:space="preserve">Kenya continues to face significant challenges in fulfilling its obligations under the International Covenant on Economic, Social and Cultural Rights (ICESCR) despite its 2010 </w:t>
      </w:r>
      <w:r w:rsidR="006A6484" w:rsidRPr="006D51C4">
        <w:rPr>
          <w:rFonts w:ascii="Open Sans" w:eastAsia="Open Sans" w:hAnsi="Open Sans" w:cs="Open Sans"/>
        </w:rPr>
        <w:t>C</w:t>
      </w:r>
      <w:r w:rsidRPr="006D51C4">
        <w:rPr>
          <w:rFonts w:ascii="Open Sans" w:eastAsia="Open Sans" w:hAnsi="Open Sans" w:cs="Open Sans"/>
        </w:rPr>
        <w:t>onstitution enshrining these rights. The adverse impacts of austerity measures, regressive tax policies, and the commercialisation and privatisation of essential services have deepened inequalities and marginalisation, especially in education and healthcare.</w:t>
      </w:r>
    </w:p>
    <w:p w14:paraId="4D058399" w14:textId="039F4EBA" w:rsidR="009623A1" w:rsidRPr="006D51C4" w:rsidRDefault="007B70D4">
      <w:pPr>
        <w:spacing w:before="240" w:after="240"/>
        <w:jc w:val="both"/>
        <w:rPr>
          <w:rFonts w:ascii="Open Sans" w:eastAsia="Open Sans" w:hAnsi="Open Sans" w:cs="Open Sans"/>
          <w:b/>
        </w:rPr>
      </w:pPr>
      <w:r w:rsidRPr="006D51C4">
        <w:rPr>
          <w:rFonts w:ascii="Open Sans" w:eastAsia="Open Sans" w:hAnsi="Open Sans" w:cs="Open Sans"/>
          <w:b/>
        </w:rPr>
        <w:t xml:space="preserve">Current </w:t>
      </w:r>
      <w:r w:rsidR="744C53E1" w:rsidRPr="006D51C4">
        <w:rPr>
          <w:rFonts w:ascii="Open Sans" w:eastAsia="Open Sans" w:hAnsi="Open Sans" w:cs="Open Sans"/>
          <w:b/>
          <w:bCs/>
        </w:rPr>
        <w:t xml:space="preserve">Fiscal </w:t>
      </w:r>
      <w:r w:rsidRPr="006D51C4">
        <w:rPr>
          <w:rFonts w:ascii="Open Sans" w:eastAsia="Open Sans" w:hAnsi="Open Sans" w:cs="Open Sans"/>
          <w:b/>
        </w:rPr>
        <w:t>Challenges</w:t>
      </w:r>
      <w:r w:rsidR="744C53E1" w:rsidRPr="006D51C4">
        <w:rPr>
          <w:rFonts w:ascii="Open Sans" w:eastAsia="Open Sans" w:hAnsi="Open Sans" w:cs="Open Sans"/>
          <w:b/>
          <w:bCs/>
        </w:rPr>
        <w:t xml:space="preserve">, </w:t>
      </w:r>
      <w:r w:rsidR="006D51C4" w:rsidRPr="006D51C4">
        <w:rPr>
          <w:rFonts w:ascii="Open Sans" w:eastAsia="Open Sans" w:hAnsi="Open Sans" w:cs="Open Sans"/>
          <w:b/>
          <w:bCs/>
        </w:rPr>
        <w:t>P</w:t>
      </w:r>
      <w:r w:rsidR="744C53E1" w:rsidRPr="006D51C4">
        <w:rPr>
          <w:rFonts w:ascii="Open Sans" w:eastAsia="Open Sans" w:hAnsi="Open Sans" w:cs="Open Sans"/>
          <w:b/>
          <w:bCs/>
        </w:rPr>
        <w:t xml:space="preserve">rotests and </w:t>
      </w:r>
      <w:r w:rsidR="006D51C4" w:rsidRPr="006D51C4">
        <w:rPr>
          <w:rFonts w:ascii="Open Sans" w:eastAsia="Open Sans" w:hAnsi="Open Sans" w:cs="Open Sans"/>
          <w:b/>
          <w:bCs/>
        </w:rPr>
        <w:t>R</w:t>
      </w:r>
      <w:r w:rsidR="744C53E1" w:rsidRPr="006D51C4">
        <w:rPr>
          <w:rFonts w:ascii="Open Sans" w:eastAsia="Open Sans" w:hAnsi="Open Sans" w:cs="Open Sans"/>
          <w:b/>
          <w:bCs/>
        </w:rPr>
        <w:t>epression</w:t>
      </w:r>
      <w:r w:rsidRPr="006D51C4">
        <w:rPr>
          <w:rFonts w:ascii="Open Sans" w:eastAsia="Open Sans" w:hAnsi="Open Sans" w:cs="Open Sans"/>
          <w:b/>
        </w:rPr>
        <w:t xml:space="preserve"> in Kenya</w:t>
      </w:r>
      <w:r w:rsidR="744C53E1" w:rsidRPr="006D51C4">
        <w:rPr>
          <w:rFonts w:ascii="Open Sans" w:eastAsia="Open Sans" w:hAnsi="Open Sans" w:cs="Open Sans"/>
          <w:b/>
          <w:bCs/>
        </w:rPr>
        <w:t xml:space="preserve"> </w:t>
      </w:r>
    </w:p>
    <w:p w14:paraId="01A6B397" w14:textId="336F4CF2" w:rsidR="009623A1" w:rsidRPr="00001DA2" w:rsidRDefault="744C53E1" w:rsidP="00001DA2">
      <w:pPr>
        <w:pStyle w:val="ListParagraph"/>
        <w:numPr>
          <w:ilvl w:val="0"/>
          <w:numId w:val="1"/>
        </w:numPr>
        <w:spacing w:before="240" w:after="240"/>
        <w:jc w:val="both"/>
        <w:rPr>
          <w:rFonts w:ascii="Open Sans" w:eastAsia="Open Sans" w:hAnsi="Open Sans" w:cs="Open Sans"/>
        </w:rPr>
      </w:pPr>
      <w:r w:rsidRPr="006D51C4">
        <w:rPr>
          <w:rFonts w:ascii="Open Sans" w:eastAsia="Open Sans" w:hAnsi="Open Sans" w:cs="Open Sans"/>
        </w:rPr>
        <w:lastRenderedPageBreak/>
        <w:t xml:space="preserve">This Committee has taken cognisance of Kenya’s fiscal challenges </w:t>
      </w:r>
      <w:r w:rsidRPr="006D51C4">
        <w:rPr>
          <w:rFonts w:ascii="Open Sans" w:eastAsia="Open Sans" w:hAnsi="Open Sans" w:cs="Open Sans"/>
          <w:b/>
          <w:bCs/>
        </w:rPr>
        <w:t>in its 2016 Concluding Observations</w:t>
      </w:r>
      <w:r w:rsidRPr="006D51C4">
        <w:rPr>
          <w:rFonts w:ascii="Open Sans" w:eastAsia="Open Sans" w:hAnsi="Open Sans" w:cs="Open Sans"/>
        </w:rPr>
        <w:t>, where it emphasised the need for Kenya to combat illicit financial flows, increase public funding for social rights, improve budget execution, and strengthen anti-corruption investigations and the Ethics and Anti- Corruption Commission's independence (EACC).</w:t>
      </w:r>
      <w:r w:rsidR="007B70D4" w:rsidRPr="006D51C4">
        <w:rPr>
          <w:rFonts w:ascii="Open Sans" w:eastAsia="Open Sans" w:hAnsi="Open Sans" w:cs="Open Sans"/>
          <w:vertAlign w:val="superscript"/>
        </w:rPr>
        <w:footnoteReference w:id="2"/>
      </w:r>
    </w:p>
    <w:p w14:paraId="03371DC6" w14:textId="4C13868A" w:rsidR="009623A1" w:rsidRPr="00E21A26" w:rsidRDefault="744C53E1" w:rsidP="00E21A26">
      <w:pPr>
        <w:pStyle w:val="ListParagraph"/>
        <w:numPr>
          <w:ilvl w:val="0"/>
          <w:numId w:val="1"/>
        </w:numPr>
        <w:spacing w:before="240" w:after="240"/>
        <w:jc w:val="both"/>
        <w:rPr>
          <w:rFonts w:ascii="Open Sans" w:eastAsia="Calibri" w:hAnsi="Open Sans" w:cs="Open Sans"/>
        </w:rPr>
      </w:pPr>
      <w:r w:rsidRPr="00D72D2B">
        <w:rPr>
          <w:rFonts w:ascii="Open Sans" w:eastAsia="Arial Nova" w:hAnsi="Open Sans" w:cs="Open Sans"/>
        </w:rPr>
        <w:t>The tabling of the Finance Bill 2024 in Kenya’s parliament triggered widespread protests, marking one of the most significant waves of public dissent in the country’s history</w:t>
      </w:r>
      <w:r w:rsidR="007B70D4" w:rsidRPr="00D72D2B">
        <w:rPr>
          <w:rStyle w:val="FootnoteReference"/>
          <w:rFonts w:ascii="Open Sans" w:eastAsia="Arial Nova" w:hAnsi="Open Sans" w:cs="Open Sans"/>
        </w:rPr>
        <w:footnoteReference w:id="3"/>
      </w:r>
      <w:r w:rsidRPr="00D72D2B">
        <w:rPr>
          <w:rFonts w:ascii="Open Sans" w:eastAsia="Arial Nova" w:hAnsi="Open Sans" w:cs="Open Sans"/>
        </w:rPr>
        <w:t>. This Bill proposed to introduce a 16% sales tax on bread and 25% duty on cooking oil</w:t>
      </w:r>
      <w:r w:rsidR="002E72DB">
        <w:rPr>
          <w:rFonts w:ascii="Open Sans" w:eastAsia="Arial Nova" w:hAnsi="Open Sans" w:cs="Open Sans"/>
        </w:rPr>
        <w:t>;</w:t>
      </w:r>
      <w:r w:rsidRPr="00D72D2B">
        <w:rPr>
          <w:rFonts w:ascii="Open Sans" w:eastAsia="Arial Nova" w:hAnsi="Open Sans" w:cs="Open Sans"/>
        </w:rPr>
        <w:t xml:space="preserve"> </w:t>
      </w:r>
      <w:r w:rsidR="00B04885">
        <w:rPr>
          <w:rFonts w:ascii="Open Sans" w:eastAsia="Arial Nova" w:hAnsi="Open Sans" w:cs="Open Sans"/>
        </w:rPr>
        <w:t>B</w:t>
      </w:r>
      <w:r w:rsidRPr="00D72D2B">
        <w:rPr>
          <w:rFonts w:ascii="Open Sans" w:eastAsia="Arial Nova" w:hAnsi="Open Sans" w:cs="Open Sans"/>
        </w:rPr>
        <w:t>oth</w:t>
      </w:r>
      <w:r w:rsidR="00B04885">
        <w:rPr>
          <w:rFonts w:ascii="Open Sans" w:eastAsia="Arial Nova" w:hAnsi="Open Sans" w:cs="Open Sans"/>
        </w:rPr>
        <w:t xml:space="preserve"> are</w:t>
      </w:r>
      <w:r w:rsidRPr="00D72D2B">
        <w:rPr>
          <w:rFonts w:ascii="Open Sans" w:eastAsia="Arial Nova" w:hAnsi="Open Sans" w:cs="Open Sans"/>
        </w:rPr>
        <w:t xml:space="preserve"> basic items in many households. It also introduced an eco-levy tax </w:t>
      </w:r>
      <w:r w:rsidR="00E72837">
        <w:rPr>
          <w:rFonts w:ascii="Open Sans" w:eastAsia="Arial Nova" w:hAnsi="Open Sans" w:cs="Open Sans"/>
        </w:rPr>
        <w:t>which</w:t>
      </w:r>
      <w:r w:rsidRPr="00D72D2B">
        <w:rPr>
          <w:rFonts w:ascii="Open Sans" w:eastAsia="Arial Nova" w:hAnsi="Open Sans" w:cs="Open Sans"/>
        </w:rPr>
        <w:t xml:space="preserve"> would increase the cost of sanitary towels, diapers and digital items such as mobile phones, cameras and recording equipment used by many in the digital economy as a source of livelihood. Additionally, the bill proposed a 16% tax on goods and services used exclusively for constructing and equipping of specialised hospitals, raising concerns that specialised healthcare costs would increase</w:t>
      </w:r>
      <w:r w:rsidR="00D72D2B">
        <w:rPr>
          <w:rFonts w:ascii="Open Sans" w:eastAsia="Arial Nova" w:hAnsi="Open Sans" w:cs="Open Sans"/>
        </w:rPr>
        <w:t>.</w:t>
      </w:r>
      <w:r w:rsidR="007B70D4" w:rsidRPr="00D72D2B">
        <w:rPr>
          <w:rStyle w:val="FootnoteReference"/>
          <w:rFonts w:ascii="Open Sans" w:eastAsia="Arial Nova" w:hAnsi="Open Sans" w:cs="Open Sans"/>
        </w:rPr>
        <w:footnoteReference w:id="4"/>
      </w:r>
    </w:p>
    <w:p w14:paraId="4F729823" w14:textId="2C11226E" w:rsidR="009623A1" w:rsidRPr="00A9675D" w:rsidRDefault="007B70D4" w:rsidP="00A9675D">
      <w:pPr>
        <w:pStyle w:val="ListParagraph"/>
        <w:numPr>
          <w:ilvl w:val="0"/>
          <w:numId w:val="1"/>
        </w:numPr>
        <w:spacing w:before="240" w:after="240"/>
        <w:jc w:val="both"/>
        <w:rPr>
          <w:rFonts w:ascii="Open Sans" w:eastAsia="Arial Nova" w:hAnsi="Open Sans" w:cs="Open Sans"/>
          <w:sz w:val="24"/>
          <w:szCs w:val="24"/>
        </w:rPr>
      </w:pPr>
      <w:r w:rsidRPr="006D51C4">
        <w:rPr>
          <w:rFonts w:ascii="Open Sans" w:eastAsia="Open Sans" w:hAnsi="Open Sans" w:cs="Open Sans"/>
        </w:rPr>
        <w:t>This was done in the context of an already deepening economic crisis, in which external debt and the role of international financial institutions has to be acknowledged. Under the 2021 loan agreement, the IMF granted Kenya a $3.9 billion loan as part of a 38-month program, with periodic reviews to ensure Kenya was adhering to IMF requirements:  increasing taxes, reducing subsidies, and cutting expenditure</w:t>
      </w:r>
      <w:r w:rsidR="00E21A26">
        <w:rPr>
          <w:rFonts w:ascii="Open Sans" w:eastAsia="Open Sans" w:hAnsi="Open Sans" w:cs="Open Sans"/>
        </w:rPr>
        <w:t>.</w:t>
      </w:r>
      <w:r w:rsidRPr="006D51C4">
        <w:rPr>
          <w:rStyle w:val="FootnoteReference"/>
          <w:rFonts w:ascii="Open Sans" w:eastAsia="Open Sans" w:hAnsi="Open Sans" w:cs="Open Sans"/>
        </w:rPr>
        <w:footnoteReference w:id="5"/>
      </w:r>
    </w:p>
    <w:p w14:paraId="37F69FD4" w14:textId="241D2AA9" w:rsidR="009623A1" w:rsidRPr="006D51C4" w:rsidRDefault="744C53E1" w:rsidP="009123E3">
      <w:pPr>
        <w:pStyle w:val="ListParagraph"/>
        <w:numPr>
          <w:ilvl w:val="0"/>
          <w:numId w:val="1"/>
        </w:numPr>
        <w:spacing w:before="240" w:after="240"/>
        <w:jc w:val="both"/>
        <w:rPr>
          <w:rFonts w:ascii="Open Sans" w:eastAsia="Arial Nova" w:hAnsi="Open Sans" w:cs="Open Sans"/>
          <w:sz w:val="24"/>
          <w:szCs w:val="24"/>
        </w:rPr>
      </w:pPr>
      <w:r w:rsidRPr="00C03157">
        <w:rPr>
          <w:rFonts w:ascii="Open Sans" w:eastAsia="Arial Nova" w:hAnsi="Open Sans" w:cs="Open Sans"/>
        </w:rPr>
        <w:t>President Ruto’s 2022 campaign for office was modelled around the bottom-up economic model geared towards bringing down the cost of living, eradicating hunger, creating jobs, expanding the tax base, improving the country’s foreign exchange balance as well as inclusive growth</w:t>
      </w:r>
      <w:r w:rsidR="00C03157" w:rsidRPr="00C03157">
        <w:rPr>
          <w:rFonts w:ascii="Open Sans" w:eastAsia="Arial Nova" w:hAnsi="Open Sans" w:cs="Open Sans"/>
        </w:rPr>
        <w:t>.</w:t>
      </w:r>
      <w:r w:rsidR="007B70D4" w:rsidRPr="00C03157">
        <w:rPr>
          <w:rStyle w:val="FootnoteReference"/>
          <w:rFonts w:ascii="Open Sans" w:eastAsia="Arial Nova" w:hAnsi="Open Sans" w:cs="Open Sans"/>
        </w:rPr>
        <w:footnoteReference w:id="6"/>
      </w:r>
      <w:r w:rsidRPr="00C03157">
        <w:rPr>
          <w:rFonts w:ascii="Open Sans" w:eastAsia="Arial Nova" w:hAnsi="Open Sans" w:cs="Open Sans"/>
        </w:rPr>
        <w:t xml:space="preserve"> Nevertheless, the reforms he proposed for achieving this expanded tax base are mostly regressive and discriminatory. First,</w:t>
      </w:r>
      <w:r w:rsidRPr="006D51C4">
        <w:rPr>
          <w:rFonts w:ascii="Open Sans" w:eastAsia="Arial Nova" w:hAnsi="Open Sans" w:cs="Open Sans"/>
          <w:sz w:val="24"/>
          <w:szCs w:val="24"/>
        </w:rPr>
        <w:t xml:space="preserve"> </w:t>
      </w:r>
      <w:r w:rsidRPr="00C03157">
        <w:rPr>
          <w:rFonts w:ascii="Open Sans" w:eastAsia="Arial Nova" w:hAnsi="Open Sans" w:cs="Open Sans"/>
        </w:rPr>
        <w:t>because their focus is taxing consumption, which is a measure that typically disproportionately affects the poorest sectors of society, while not presenting relevant measures to tax the richest sectors and companies; secondly, because they have discriminatory impacts over certain groups, such as women.</w:t>
      </w:r>
      <w:r w:rsidRPr="006D51C4">
        <w:rPr>
          <w:rFonts w:ascii="Open Sans" w:eastAsia="Arial Nova" w:hAnsi="Open Sans" w:cs="Open Sans"/>
          <w:sz w:val="24"/>
          <w:szCs w:val="24"/>
        </w:rPr>
        <w:t xml:space="preserve"> </w:t>
      </w:r>
    </w:p>
    <w:p w14:paraId="2679FD71" w14:textId="77777777" w:rsidR="009123E3" w:rsidRPr="006D51C4" w:rsidRDefault="009123E3" w:rsidP="009123E3">
      <w:pPr>
        <w:pStyle w:val="ListParagraph"/>
        <w:spacing w:before="240" w:after="240"/>
        <w:ind w:left="360"/>
        <w:jc w:val="both"/>
        <w:rPr>
          <w:rFonts w:ascii="Open Sans" w:eastAsia="Arial Nova" w:hAnsi="Open Sans" w:cs="Open Sans"/>
          <w:sz w:val="24"/>
          <w:szCs w:val="24"/>
        </w:rPr>
      </w:pPr>
    </w:p>
    <w:p w14:paraId="38410A09" w14:textId="0A717C8B" w:rsidR="009623A1" w:rsidRPr="00BC1FDF" w:rsidRDefault="744C53E1" w:rsidP="00BC1FDF">
      <w:pPr>
        <w:pStyle w:val="ListParagraph"/>
        <w:numPr>
          <w:ilvl w:val="0"/>
          <w:numId w:val="1"/>
        </w:numPr>
        <w:spacing w:before="240" w:after="240"/>
        <w:jc w:val="both"/>
        <w:rPr>
          <w:rFonts w:ascii="Open Sans" w:hAnsi="Open Sans" w:cs="Open Sans"/>
        </w:rPr>
      </w:pPr>
      <w:r w:rsidRPr="006D51C4">
        <w:rPr>
          <w:rFonts w:ascii="Open Sans" w:hAnsi="Open Sans" w:cs="Open Sans"/>
        </w:rPr>
        <w:lastRenderedPageBreak/>
        <w:t xml:space="preserve">In August 2024, shortly after the president withdrew the 2024 Finance Bill in response to widespread protests, Kenya's Court of Appeal declared the 2023 Finance </w:t>
      </w:r>
      <w:r w:rsidR="002473C4">
        <w:rPr>
          <w:rFonts w:ascii="Open Sans" w:hAnsi="Open Sans" w:cs="Open Sans"/>
        </w:rPr>
        <w:t>Act</w:t>
      </w:r>
      <w:r w:rsidRPr="006D51C4">
        <w:rPr>
          <w:rFonts w:ascii="Open Sans" w:hAnsi="Open Sans" w:cs="Open Sans"/>
        </w:rPr>
        <w:t xml:space="preserve"> unconstitutional</w:t>
      </w:r>
      <w:r w:rsidR="00C03157">
        <w:rPr>
          <w:rFonts w:ascii="Open Sans" w:hAnsi="Open Sans" w:cs="Open Sans"/>
        </w:rPr>
        <w:t>.</w:t>
      </w:r>
      <w:r w:rsidR="007B70D4" w:rsidRPr="006D51C4">
        <w:rPr>
          <w:rStyle w:val="FootnoteReference"/>
          <w:rFonts w:ascii="Open Sans" w:hAnsi="Open Sans" w:cs="Open Sans"/>
        </w:rPr>
        <w:footnoteReference w:id="7"/>
      </w:r>
      <w:r w:rsidR="00C03157">
        <w:rPr>
          <w:rFonts w:ascii="Open Sans" w:hAnsi="Open Sans" w:cs="Open Sans"/>
        </w:rPr>
        <w:t xml:space="preserve"> </w:t>
      </w:r>
      <w:r w:rsidR="002E74AF">
        <w:rPr>
          <w:rFonts w:ascii="Open Sans" w:hAnsi="Open Sans" w:cs="Open Sans"/>
        </w:rPr>
        <w:t>Alt</w:t>
      </w:r>
      <w:r w:rsidRPr="006D51C4">
        <w:rPr>
          <w:rFonts w:ascii="Open Sans" w:hAnsi="Open Sans" w:cs="Open Sans"/>
        </w:rPr>
        <w:t xml:space="preserve">hough </w:t>
      </w:r>
      <w:r w:rsidR="00AB0883">
        <w:rPr>
          <w:rFonts w:ascii="Open Sans" w:hAnsi="Open Sans" w:cs="Open Sans"/>
        </w:rPr>
        <w:t>not</w:t>
      </w:r>
      <w:r w:rsidRPr="006D51C4">
        <w:rPr>
          <w:rFonts w:ascii="Open Sans" w:hAnsi="Open Sans" w:cs="Open Sans"/>
        </w:rPr>
        <w:t xml:space="preserve"> </w:t>
      </w:r>
      <w:r w:rsidR="002E74AF">
        <w:rPr>
          <w:rFonts w:ascii="Open Sans" w:hAnsi="Open Sans" w:cs="Open Sans"/>
        </w:rPr>
        <w:t xml:space="preserve">as widespread as the 2024 </w:t>
      </w:r>
      <w:r w:rsidR="00A043D7">
        <w:rPr>
          <w:rFonts w:ascii="Open Sans" w:hAnsi="Open Sans" w:cs="Open Sans"/>
        </w:rPr>
        <w:t>protests against the</w:t>
      </w:r>
      <w:r w:rsidR="00431346">
        <w:rPr>
          <w:rFonts w:ascii="Open Sans" w:hAnsi="Open Sans" w:cs="Open Sans"/>
        </w:rPr>
        <w:t xml:space="preserve"> </w:t>
      </w:r>
      <w:r w:rsidR="00274AA2">
        <w:rPr>
          <w:rFonts w:ascii="Open Sans" w:hAnsi="Open Sans" w:cs="Open Sans"/>
        </w:rPr>
        <w:t>Finance Bill</w:t>
      </w:r>
      <w:r w:rsidR="002E74AF">
        <w:rPr>
          <w:rFonts w:ascii="Open Sans" w:hAnsi="Open Sans" w:cs="Open Sans"/>
        </w:rPr>
        <w:t>, the</w:t>
      </w:r>
      <w:r w:rsidR="008364E5">
        <w:rPr>
          <w:rFonts w:ascii="Open Sans" w:hAnsi="Open Sans" w:cs="Open Sans"/>
        </w:rPr>
        <w:t xml:space="preserve"> 2023 Finance Act</w:t>
      </w:r>
      <w:r w:rsidRPr="006D51C4">
        <w:rPr>
          <w:rFonts w:ascii="Open Sans" w:hAnsi="Open Sans" w:cs="Open Sans"/>
        </w:rPr>
        <w:t xml:space="preserve"> also faced strong opposition </w:t>
      </w:r>
      <w:r w:rsidR="009108D4">
        <w:rPr>
          <w:rFonts w:ascii="Open Sans" w:hAnsi="Open Sans" w:cs="Open Sans"/>
        </w:rPr>
        <w:t>due to the i</w:t>
      </w:r>
      <w:r w:rsidR="000C0929">
        <w:rPr>
          <w:rFonts w:ascii="Open Sans" w:hAnsi="Open Sans" w:cs="Open Sans"/>
        </w:rPr>
        <w:t>ncrease of various categories of taxes a</w:t>
      </w:r>
      <w:r w:rsidRPr="006D51C4">
        <w:rPr>
          <w:rFonts w:ascii="Open Sans" w:hAnsi="Open Sans" w:cs="Open Sans"/>
        </w:rPr>
        <w:t xml:space="preserve">nd introduced new </w:t>
      </w:r>
      <w:r w:rsidR="000C0929">
        <w:rPr>
          <w:rFonts w:ascii="Open Sans" w:hAnsi="Open Sans" w:cs="Open Sans"/>
        </w:rPr>
        <w:t xml:space="preserve">taxes such as the </w:t>
      </w:r>
      <w:r w:rsidR="00E70C83">
        <w:rPr>
          <w:rFonts w:ascii="Open Sans" w:hAnsi="Open Sans" w:cs="Open Sans"/>
        </w:rPr>
        <w:t xml:space="preserve">Affordable </w:t>
      </w:r>
      <w:r w:rsidR="000C0929">
        <w:rPr>
          <w:rFonts w:ascii="Open Sans" w:hAnsi="Open Sans" w:cs="Open Sans"/>
        </w:rPr>
        <w:t>Housing Levy</w:t>
      </w:r>
      <w:r w:rsidRPr="006D51C4">
        <w:rPr>
          <w:rFonts w:ascii="Open Sans" w:hAnsi="Open Sans" w:cs="Open Sans"/>
        </w:rPr>
        <w:t>.</w:t>
      </w:r>
      <w:r w:rsidR="00E70C83">
        <w:rPr>
          <w:rStyle w:val="FootnoteReference"/>
          <w:rFonts w:ascii="Open Sans" w:hAnsi="Open Sans" w:cs="Open Sans"/>
        </w:rPr>
        <w:footnoteReference w:id="8"/>
      </w:r>
      <w:r w:rsidRPr="006D51C4">
        <w:rPr>
          <w:rFonts w:ascii="Open Sans" w:hAnsi="Open Sans" w:cs="Open Sans"/>
        </w:rPr>
        <w:t xml:space="preserve"> The Court's </w:t>
      </w:r>
      <w:r w:rsidR="00D43285" w:rsidRPr="006D51C4">
        <w:rPr>
          <w:rFonts w:ascii="Open Sans" w:hAnsi="Open Sans" w:cs="Open Sans"/>
        </w:rPr>
        <w:t xml:space="preserve">judgement </w:t>
      </w:r>
      <w:r w:rsidRPr="006D51C4">
        <w:rPr>
          <w:rFonts w:ascii="Open Sans" w:hAnsi="Open Sans" w:cs="Open Sans"/>
        </w:rPr>
        <w:t>cited several reasons: (i) the National Assembly’s failure to justify its decisions to either adopt or reject public proposals during the 2023 Finance Bill’s public participation process; (ii) its omission of revenue estimates in both the Appropriation Bill, 2023, and the Appropriation Act, 2023; and (iii) its disregard for procedures mandated by the Public Finance Management Act, 2012, as well as the Constitution.</w:t>
      </w:r>
      <w:r w:rsidR="00751387" w:rsidRPr="006D51C4">
        <w:rPr>
          <w:rStyle w:val="FootnoteReference"/>
          <w:rFonts w:ascii="Open Sans" w:hAnsi="Open Sans" w:cs="Open Sans"/>
        </w:rPr>
        <w:footnoteReference w:id="9"/>
      </w:r>
    </w:p>
    <w:p w14:paraId="7452C424" w14:textId="535FD94F" w:rsidR="009623A1" w:rsidRPr="00DD1F38" w:rsidRDefault="00556522" w:rsidP="744C53E1">
      <w:pPr>
        <w:pStyle w:val="ListParagraph"/>
        <w:numPr>
          <w:ilvl w:val="0"/>
          <w:numId w:val="1"/>
        </w:numPr>
        <w:spacing w:before="240" w:after="240"/>
        <w:jc w:val="both"/>
        <w:rPr>
          <w:rFonts w:ascii="Open Sans" w:hAnsi="Open Sans" w:cs="Open Sans"/>
        </w:rPr>
      </w:pPr>
      <w:r>
        <w:rPr>
          <w:rFonts w:ascii="Open Sans" w:hAnsi="Open Sans" w:cs="Open Sans"/>
        </w:rPr>
        <w:t xml:space="preserve">With </w:t>
      </w:r>
      <w:r w:rsidR="008A0651" w:rsidRPr="00DA3DD1">
        <w:rPr>
          <w:rFonts w:ascii="Open Sans" w:hAnsi="Open Sans" w:cs="Open Sans"/>
        </w:rPr>
        <w:t xml:space="preserve">the 2024 Finance </w:t>
      </w:r>
      <w:r w:rsidR="008C2A1F" w:rsidRPr="00DA3DD1">
        <w:rPr>
          <w:rFonts w:ascii="Open Sans" w:hAnsi="Open Sans" w:cs="Open Sans"/>
        </w:rPr>
        <w:t>bill withdrawn, the government of Kenya ha</w:t>
      </w:r>
      <w:r w:rsidR="00FC5DFD">
        <w:rPr>
          <w:rFonts w:ascii="Open Sans" w:hAnsi="Open Sans" w:cs="Open Sans"/>
        </w:rPr>
        <w:t xml:space="preserve">d </w:t>
      </w:r>
      <w:r w:rsidR="008C2A1F" w:rsidRPr="00DA3DD1">
        <w:rPr>
          <w:rFonts w:ascii="Open Sans" w:hAnsi="Open Sans" w:cs="Open Sans"/>
        </w:rPr>
        <w:t xml:space="preserve">to re-evaluate </w:t>
      </w:r>
      <w:r w:rsidR="00896DDF" w:rsidRPr="00DA3DD1">
        <w:rPr>
          <w:rFonts w:ascii="Open Sans" w:hAnsi="Open Sans" w:cs="Open Sans"/>
        </w:rPr>
        <w:t xml:space="preserve">itself and </w:t>
      </w:r>
      <w:r w:rsidR="00A4375A" w:rsidRPr="00DA3DD1">
        <w:rPr>
          <w:rFonts w:ascii="Open Sans" w:hAnsi="Open Sans" w:cs="Open Sans"/>
        </w:rPr>
        <w:t>draft new financing legislation. Thus,</w:t>
      </w:r>
      <w:r w:rsidR="00362431" w:rsidRPr="00DA3DD1">
        <w:rPr>
          <w:rFonts w:ascii="Open Sans" w:hAnsi="Open Sans" w:cs="Open Sans"/>
        </w:rPr>
        <w:t xml:space="preserve"> new tax bills were introduce</w:t>
      </w:r>
      <w:r w:rsidR="00B815FB" w:rsidRPr="00DA3DD1">
        <w:rPr>
          <w:rFonts w:ascii="Open Sans" w:hAnsi="Open Sans" w:cs="Open Sans"/>
        </w:rPr>
        <w:t>d</w:t>
      </w:r>
      <w:r w:rsidR="004E452B" w:rsidRPr="00DA3DD1">
        <w:rPr>
          <w:rFonts w:ascii="Open Sans" w:hAnsi="Open Sans" w:cs="Open Sans"/>
        </w:rPr>
        <w:t xml:space="preserve"> with a majority </w:t>
      </w:r>
      <w:r w:rsidR="00C42631" w:rsidRPr="00DA3DD1">
        <w:rPr>
          <w:rFonts w:ascii="Open Sans" w:hAnsi="Open Sans" w:cs="Open Sans"/>
        </w:rPr>
        <w:t xml:space="preserve">of </w:t>
      </w:r>
      <w:r w:rsidR="004E452B" w:rsidRPr="00DA3DD1">
        <w:rPr>
          <w:rFonts w:ascii="Open Sans" w:hAnsi="Open Sans" w:cs="Open Sans"/>
        </w:rPr>
        <w:t>Kenya’s proposed tax measures</w:t>
      </w:r>
      <w:r w:rsidR="00FC5DFD">
        <w:rPr>
          <w:rFonts w:ascii="Open Sans" w:hAnsi="Open Sans" w:cs="Open Sans"/>
        </w:rPr>
        <w:t xml:space="preserve"> under the </w:t>
      </w:r>
      <w:r w:rsidR="00D970A5">
        <w:rPr>
          <w:rFonts w:ascii="Open Sans" w:hAnsi="Open Sans" w:cs="Open Sans"/>
        </w:rPr>
        <w:t>Finance Bill 2024</w:t>
      </w:r>
      <w:r w:rsidR="004E452B" w:rsidRPr="00DA3DD1">
        <w:rPr>
          <w:rFonts w:ascii="Open Sans" w:hAnsi="Open Sans" w:cs="Open Sans"/>
        </w:rPr>
        <w:t xml:space="preserve"> being </w:t>
      </w:r>
      <w:r w:rsidR="00D970A5">
        <w:rPr>
          <w:rFonts w:ascii="Open Sans" w:hAnsi="Open Sans" w:cs="Open Sans"/>
        </w:rPr>
        <w:t>adapted to</w:t>
      </w:r>
      <w:r w:rsidR="7317CA47" w:rsidRPr="00DA3DD1">
        <w:rPr>
          <w:rFonts w:ascii="Open Sans" w:hAnsi="Open Sans" w:cs="Open Sans"/>
        </w:rPr>
        <w:t xml:space="preserve"> </w:t>
      </w:r>
      <w:r w:rsidR="004E452B" w:rsidRPr="00DA3DD1">
        <w:rPr>
          <w:rFonts w:ascii="Open Sans" w:hAnsi="Open Sans" w:cs="Open Sans"/>
        </w:rPr>
        <w:t xml:space="preserve">the Tax Laws (Amendment) </w:t>
      </w:r>
      <w:r w:rsidR="00B815FB" w:rsidRPr="00DA3DD1">
        <w:rPr>
          <w:rFonts w:ascii="Open Sans" w:hAnsi="Open Sans" w:cs="Open Sans"/>
        </w:rPr>
        <w:t>Act</w:t>
      </w:r>
      <w:r w:rsidR="004E452B" w:rsidRPr="00DA3DD1">
        <w:rPr>
          <w:rFonts w:ascii="Open Sans" w:hAnsi="Open Sans" w:cs="Open Sans"/>
        </w:rPr>
        <w:t>, 2024</w:t>
      </w:r>
      <w:r w:rsidR="00D41845" w:rsidRPr="00DA3DD1">
        <w:rPr>
          <w:rFonts w:ascii="Open Sans" w:hAnsi="Open Sans" w:cs="Open Sans"/>
        </w:rPr>
        <w:t xml:space="preserve">. The Act was assented to on </w:t>
      </w:r>
      <w:r w:rsidR="00C42631" w:rsidRPr="00DA3DD1">
        <w:rPr>
          <w:rFonts w:ascii="Open Sans" w:hAnsi="Open Sans" w:cs="Open Sans"/>
        </w:rPr>
        <w:t>11 December 2024 and took effect from 27 December 2024</w:t>
      </w:r>
      <w:r w:rsidR="00D411E0">
        <w:rPr>
          <w:rFonts w:ascii="Open Sans" w:hAnsi="Open Sans" w:cs="Open Sans"/>
        </w:rPr>
        <w:t xml:space="preserve"> with subdued fanfare or reaction from the public</w:t>
      </w:r>
      <w:r w:rsidR="00C42631" w:rsidRPr="00DA3DD1">
        <w:rPr>
          <w:rFonts w:ascii="Open Sans" w:hAnsi="Open Sans" w:cs="Open Sans"/>
        </w:rPr>
        <w:t>.</w:t>
      </w:r>
      <w:r w:rsidR="00C42631" w:rsidRPr="00DA3DD1">
        <w:rPr>
          <w:rStyle w:val="FootnoteReference"/>
          <w:rFonts w:ascii="Open Sans" w:hAnsi="Open Sans" w:cs="Open Sans"/>
        </w:rPr>
        <w:footnoteReference w:id="10"/>
      </w:r>
    </w:p>
    <w:p w14:paraId="60F0D9EA" w14:textId="0E11D4DF" w:rsidR="009623A1" w:rsidRPr="00854568" w:rsidRDefault="744C53E1" w:rsidP="00854568">
      <w:pPr>
        <w:pStyle w:val="ListParagraph"/>
        <w:numPr>
          <w:ilvl w:val="0"/>
          <w:numId w:val="1"/>
        </w:numPr>
        <w:spacing w:before="240" w:after="240"/>
        <w:jc w:val="both"/>
        <w:rPr>
          <w:rFonts w:ascii="Open Sans" w:hAnsi="Open Sans" w:cs="Open Sans"/>
        </w:rPr>
      </w:pPr>
      <w:r w:rsidRPr="00DA3DD1">
        <w:rPr>
          <w:rFonts w:ascii="Open Sans" w:eastAsia="Open Sans" w:hAnsi="Open Sans" w:cs="Open Sans"/>
        </w:rPr>
        <w:t xml:space="preserve">The widespread, spontaneous public protests around </w:t>
      </w:r>
      <w:r w:rsidR="00AA2EF2" w:rsidRPr="00DA3DD1">
        <w:rPr>
          <w:rFonts w:ascii="Open Sans" w:eastAsia="Open Sans" w:hAnsi="Open Sans" w:cs="Open Sans"/>
        </w:rPr>
        <w:t xml:space="preserve">the 2024 </w:t>
      </w:r>
      <w:r w:rsidR="00DA3DD1" w:rsidRPr="00DA3DD1">
        <w:rPr>
          <w:rFonts w:ascii="Open Sans" w:eastAsia="Open Sans" w:hAnsi="Open Sans" w:cs="Open Sans"/>
        </w:rPr>
        <w:t>Finance</w:t>
      </w:r>
      <w:r w:rsidR="00AA2EF2" w:rsidRPr="00DA3DD1">
        <w:rPr>
          <w:rFonts w:ascii="Open Sans" w:eastAsia="Open Sans" w:hAnsi="Open Sans" w:cs="Open Sans"/>
        </w:rPr>
        <w:t xml:space="preserve"> </w:t>
      </w:r>
      <w:r w:rsidRPr="00DA3DD1">
        <w:rPr>
          <w:rFonts w:ascii="Open Sans" w:eastAsia="Open Sans" w:hAnsi="Open Sans" w:cs="Open Sans"/>
        </w:rPr>
        <w:t xml:space="preserve">Bill highlighted the </w:t>
      </w:r>
      <w:r w:rsidR="00E03F4C">
        <w:rPr>
          <w:rFonts w:ascii="Open Sans" w:eastAsia="Open Sans" w:hAnsi="Open Sans" w:cs="Open Sans"/>
        </w:rPr>
        <w:t>inadequate</w:t>
      </w:r>
      <w:r w:rsidR="00E03F4C" w:rsidRPr="00DA3DD1">
        <w:rPr>
          <w:rFonts w:ascii="Open Sans" w:eastAsia="Open Sans" w:hAnsi="Open Sans" w:cs="Open Sans"/>
        </w:rPr>
        <w:t xml:space="preserve"> </w:t>
      </w:r>
      <w:r w:rsidRPr="00DA3DD1">
        <w:rPr>
          <w:rFonts w:ascii="Open Sans" w:eastAsia="Open Sans" w:hAnsi="Open Sans" w:cs="Open Sans"/>
        </w:rPr>
        <w:t>public participation in discussions related to budget allocation and tax. The uprising underscored widespread dissatisfaction with regressive policies that affect the cost of living, disproportionately impacting the most marginalised while failing to address structural inequalities and undermining public services financing.</w:t>
      </w:r>
      <w:r w:rsidR="007B70D4" w:rsidRPr="00DA3DD1">
        <w:rPr>
          <w:rFonts w:ascii="Open Sans" w:eastAsia="Open Sans" w:hAnsi="Open Sans" w:cs="Open Sans"/>
          <w:vertAlign w:val="superscript"/>
        </w:rPr>
        <w:footnoteReference w:id="11"/>
      </w:r>
      <w:r w:rsidRPr="00DA3DD1">
        <w:rPr>
          <w:rFonts w:ascii="Open Sans" w:eastAsia="Open Sans" w:hAnsi="Open Sans" w:cs="Open Sans"/>
        </w:rPr>
        <w:t xml:space="preserve"> </w:t>
      </w:r>
      <w:r w:rsidRPr="00DA3DD1">
        <w:rPr>
          <w:rFonts w:ascii="Open Sans" w:hAnsi="Open Sans" w:cs="Open Sans"/>
        </w:rPr>
        <w:t xml:space="preserve">The International Monetary Fund (IMF) and </w:t>
      </w:r>
      <w:r w:rsidR="4651345A" w:rsidRPr="00DA3DD1">
        <w:rPr>
          <w:rFonts w:ascii="Open Sans" w:hAnsi="Open Sans" w:cs="Open Sans"/>
        </w:rPr>
        <w:t>the</w:t>
      </w:r>
      <w:r w:rsidRPr="00DA3DD1">
        <w:rPr>
          <w:rFonts w:ascii="Open Sans" w:hAnsi="Open Sans" w:cs="Open Sans"/>
        </w:rPr>
        <w:t xml:space="preserve"> World Bank were directly blamed by some protestors for being the drivers behind the increase in taxes. The current Kenyan government seems to prioritize policy advice from global north institutions rather than the voices of Kenyans, civil society organizations and Pan </w:t>
      </w:r>
      <w:r w:rsidR="4651345A" w:rsidRPr="00DA3DD1">
        <w:rPr>
          <w:rFonts w:ascii="Open Sans" w:hAnsi="Open Sans" w:cs="Open Sans"/>
        </w:rPr>
        <w:t>African</w:t>
      </w:r>
      <w:r w:rsidRPr="00DA3DD1">
        <w:rPr>
          <w:rFonts w:ascii="Open Sans" w:hAnsi="Open Sans" w:cs="Open Sans"/>
        </w:rPr>
        <w:t xml:space="preserve"> economic experts</w:t>
      </w:r>
      <w:r w:rsidR="00431346">
        <w:rPr>
          <w:rFonts w:ascii="Open Sans" w:hAnsi="Open Sans" w:cs="Open Sans"/>
        </w:rPr>
        <w:t>.</w:t>
      </w:r>
      <w:r w:rsidR="007B70D4" w:rsidRPr="00DA3DD1">
        <w:rPr>
          <w:rStyle w:val="FootnoteReference"/>
          <w:rFonts w:ascii="Open Sans" w:hAnsi="Open Sans" w:cs="Open Sans"/>
        </w:rPr>
        <w:footnoteReference w:id="12"/>
      </w:r>
      <w:r w:rsidRPr="00DA3DD1">
        <w:rPr>
          <w:rFonts w:ascii="Open Sans" w:hAnsi="Open Sans" w:cs="Open Sans"/>
        </w:rPr>
        <w:t xml:space="preserve"> </w:t>
      </w:r>
    </w:p>
    <w:p w14:paraId="1006E068" w14:textId="36FA0E83" w:rsidR="009623A1" w:rsidRPr="00854568" w:rsidRDefault="744C53E1" w:rsidP="00854568">
      <w:pPr>
        <w:pStyle w:val="ListParagraph"/>
        <w:numPr>
          <w:ilvl w:val="0"/>
          <w:numId w:val="1"/>
        </w:numPr>
        <w:spacing w:before="240" w:after="240"/>
        <w:jc w:val="both"/>
        <w:rPr>
          <w:rFonts w:ascii="Open Sans" w:hAnsi="Open Sans" w:cs="Open Sans"/>
        </w:rPr>
      </w:pPr>
      <w:r w:rsidRPr="006D51C4">
        <w:rPr>
          <w:rFonts w:ascii="Open Sans" w:hAnsi="Open Sans" w:cs="Open Sans"/>
        </w:rPr>
        <w:t xml:space="preserve">It is important to note that the </w:t>
      </w:r>
      <w:r w:rsidR="3467C03F" w:rsidRPr="3467C03F">
        <w:rPr>
          <w:rFonts w:ascii="Open Sans" w:hAnsi="Open Sans" w:cs="Open Sans"/>
        </w:rPr>
        <w:t>2024</w:t>
      </w:r>
      <w:r w:rsidRPr="006D51C4">
        <w:rPr>
          <w:rFonts w:ascii="Open Sans" w:hAnsi="Open Sans" w:cs="Open Sans"/>
        </w:rPr>
        <w:t xml:space="preserve"> protests faced severe repression by the government. Reports denounced a killer police squad with an unofficial command structure and at least 63 people killed in the context of the Gen-Z protests around the </w:t>
      </w:r>
      <w:r w:rsidRPr="006D51C4">
        <w:rPr>
          <w:rFonts w:ascii="Open Sans" w:hAnsi="Open Sans" w:cs="Open Sans"/>
        </w:rPr>
        <w:lastRenderedPageBreak/>
        <w:t>Finance Bill</w:t>
      </w:r>
      <w:r w:rsidR="00D411E0">
        <w:rPr>
          <w:rFonts w:ascii="Open Sans" w:hAnsi="Open Sans" w:cs="Open Sans"/>
        </w:rPr>
        <w:t>.</w:t>
      </w:r>
      <w:r w:rsidR="007B70D4" w:rsidRPr="006D51C4">
        <w:rPr>
          <w:rStyle w:val="FootnoteReference"/>
          <w:rFonts w:ascii="Open Sans" w:hAnsi="Open Sans" w:cs="Open Sans"/>
        </w:rPr>
        <w:footnoteReference w:id="13"/>
      </w:r>
      <w:r w:rsidR="00431346">
        <w:rPr>
          <w:rFonts w:ascii="Open Sans" w:hAnsi="Open Sans" w:cs="Open Sans"/>
        </w:rPr>
        <w:t xml:space="preserve"> </w:t>
      </w:r>
      <w:r w:rsidRPr="006D51C4">
        <w:rPr>
          <w:rFonts w:ascii="Open Sans" w:hAnsi="Open Sans" w:cs="Open Sans"/>
        </w:rPr>
        <w:t>Reports also spoke about 60 abductions and disappearances of protesters. As pointed out by</w:t>
      </w:r>
      <w:r w:rsidR="00D411E0">
        <w:rPr>
          <w:rFonts w:ascii="Open Sans" w:hAnsi="Open Sans" w:cs="Open Sans"/>
        </w:rPr>
        <w:t xml:space="preserve"> the</w:t>
      </w:r>
      <w:r w:rsidRPr="006D51C4">
        <w:rPr>
          <w:rFonts w:ascii="Open Sans" w:hAnsi="Open Sans" w:cs="Open Sans"/>
        </w:rPr>
        <w:t xml:space="preserve"> </w:t>
      </w:r>
      <w:r w:rsidR="00D411E0" w:rsidRPr="00D411E0">
        <w:rPr>
          <w:rFonts w:ascii="Open Sans" w:hAnsi="Open Sans" w:cs="Open Sans"/>
        </w:rPr>
        <w:t>International Network for Civil Liberties Organizations (INCLO) and Physicians for Human Rights (PHR)</w:t>
      </w:r>
      <w:r w:rsidR="002429EB">
        <w:rPr>
          <w:rFonts w:ascii="Open Sans" w:hAnsi="Open Sans" w:cs="Open Sans"/>
        </w:rPr>
        <w:t>,</w:t>
      </w:r>
      <w:r w:rsidR="002429EB" w:rsidRPr="006D51C4">
        <w:rPr>
          <w:rFonts w:ascii="Open Sans" w:hAnsi="Open Sans" w:cs="Open Sans"/>
        </w:rPr>
        <w:t xml:space="preserve"> </w:t>
      </w:r>
      <w:r w:rsidRPr="006D51C4">
        <w:rPr>
          <w:rFonts w:ascii="Open Sans" w:hAnsi="Open Sans" w:cs="Open Sans"/>
        </w:rPr>
        <w:t>1,574 people were unlawfully arrested as Kenyan law enforcement indiscriminately targeted peaceful protestors with tear gas and water cannons, violating the temporary court order prohibiting their use in these protests.</w:t>
      </w:r>
      <w:r w:rsidR="002429EB" w:rsidRPr="006D51C4">
        <w:rPr>
          <w:rStyle w:val="FootnoteReference"/>
          <w:rFonts w:ascii="Open Sans" w:hAnsi="Open Sans" w:cs="Open Sans"/>
        </w:rPr>
        <w:footnoteReference w:id="14"/>
      </w:r>
    </w:p>
    <w:p w14:paraId="6D269B8D" w14:textId="77777777" w:rsidR="009623A1" w:rsidRPr="006D51C4" w:rsidRDefault="007B70D4">
      <w:pPr>
        <w:spacing w:before="240" w:after="240"/>
        <w:jc w:val="both"/>
        <w:rPr>
          <w:rFonts w:ascii="Open Sans" w:eastAsia="Open Sans" w:hAnsi="Open Sans" w:cs="Open Sans"/>
          <w:b/>
        </w:rPr>
      </w:pPr>
      <w:r w:rsidRPr="006D51C4">
        <w:rPr>
          <w:rFonts w:ascii="Open Sans" w:eastAsia="Open Sans" w:hAnsi="Open Sans" w:cs="Open Sans"/>
          <w:b/>
        </w:rPr>
        <w:t>Right to Education</w:t>
      </w:r>
    </w:p>
    <w:p w14:paraId="7D2A60B0" w14:textId="7F563A82" w:rsidR="009623A1" w:rsidRPr="006D51C4" w:rsidRDefault="007B70D4">
      <w:pPr>
        <w:numPr>
          <w:ilvl w:val="0"/>
          <w:numId w:val="1"/>
        </w:numPr>
        <w:spacing w:before="240"/>
        <w:jc w:val="both"/>
        <w:rPr>
          <w:rFonts w:ascii="Open Sans" w:eastAsia="Open Sans" w:hAnsi="Open Sans" w:cs="Open Sans"/>
        </w:rPr>
      </w:pPr>
      <w:r w:rsidRPr="006D51C4">
        <w:rPr>
          <w:rFonts w:ascii="Open Sans" w:eastAsia="Open Sans" w:hAnsi="Open Sans" w:cs="Open Sans"/>
        </w:rPr>
        <w:t>The right to education is guaranteed under Article</w:t>
      </w:r>
      <w:r w:rsidR="00A341A4">
        <w:rPr>
          <w:rFonts w:ascii="Open Sans" w:eastAsia="Open Sans" w:hAnsi="Open Sans" w:cs="Open Sans"/>
        </w:rPr>
        <w:t>s</w:t>
      </w:r>
      <w:r w:rsidRPr="006D51C4">
        <w:rPr>
          <w:rFonts w:ascii="Open Sans" w:eastAsia="Open Sans" w:hAnsi="Open Sans" w:cs="Open Sans"/>
        </w:rPr>
        <w:t xml:space="preserve"> 43 (1) (f) and 53 of the Kenyan Constitution with Article 53 (1) (b) guaranteeing the right to every child to free and compulsory basic education. </w:t>
      </w:r>
    </w:p>
    <w:p w14:paraId="5DCC3280" w14:textId="5607D569" w:rsidR="009623A1" w:rsidRPr="006D51C4" w:rsidRDefault="007B70D4">
      <w:pPr>
        <w:numPr>
          <w:ilvl w:val="0"/>
          <w:numId w:val="1"/>
        </w:numPr>
        <w:jc w:val="both"/>
        <w:rPr>
          <w:rFonts w:ascii="Open Sans" w:eastAsia="Open Sans" w:hAnsi="Open Sans" w:cs="Open Sans"/>
        </w:rPr>
      </w:pPr>
      <w:r w:rsidRPr="006D51C4">
        <w:rPr>
          <w:rFonts w:ascii="Open Sans" w:eastAsia="Open Sans" w:hAnsi="Open Sans" w:cs="Open Sans"/>
        </w:rPr>
        <w:t xml:space="preserve">The </w:t>
      </w:r>
      <w:r w:rsidR="00B121C5" w:rsidRPr="006D51C4">
        <w:rPr>
          <w:rFonts w:ascii="Open Sans" w:eastAsia="Open Sans" w:hAnsi="Open Sans" w:cs="Open Sans"/>
        </w:rPr>
        <w:t>C</w:t>
      </w:r>
      <w:r w:rsidRPr="006D51C4">
        <w:rPr>
          <w:rFonts w:ascii="Open Sans" w:eastAsia="Open Sans" w:hAnsi="Open Sans" w:cs="Open Sans"/>
        </w:rPr>
        <w:t>ommittee has taken cogni</w:t>
      </w:r>
      <w:r w:rsidR="000814D8" w:rsidRPr="006D51C4">
        <w:rPr>
          <w:rFonts w:ascii="Open Sans" w:eastAsia="Open Sans" w:hAnsi="Open Sans" w:cs="Open Sans"/>
        </w:rPr>
        <w:t>s</w:t>
      </w:r>
      <w:r w:rsidRPr="006D51C4">
        <w:rPr>
          <w:rFonts w:ascii="Open Sans" w:eastAsia="Open Sans" w:hAnsi="Open Sans" w:cs="Open Sans"/>
        </w:rPr>
        <w:t>ance of the issues relating to the financing of education and the impact of privatisation of education in the following manner:</w:t>
      </w:r>
    </w:p>
    <w:p w14:paraId="7DBA4E5C" w14:textId="37FF34B9" w:rsidR="009623A1" w:rsidRPr="006D51C4" w:rsidRDefault="007B70D4">
      <w:pPr>
        <w:numPr>
          <w:ilvl w:val="0"/>
          <w:numId w:val="2"/>
        </w:numPr>
        <w:jc w:val="both"/>
        <w:rPr>
          <w:rFonts w:ascii="Open Sans" w:hAnsi="Open Sans" w:cs="Open Sans"/>
          <w:b/>
        </w:rPr>
      </w:pPr>
      <w:r w:rsidRPr="006D51C4">
        <w:rPr>
          <w:rFonts w:ascii="Open Sans" w:eastAsia="Open Sans" w:hAnsi="Open Sans" w:cs="Open Sans"/>
          <w:b/>
        </w:rPr>
        <w:t>CESCR’s 2008 concluding observations</w:t>
      </w:r>
      <w:r w:rsidR="004232E3" w:rsidRPr="006D51C4">
        <w:rPr>
          <w:rFonts w:ascii="Open Sans" w:eastAsia="Open Sans" w:hAnsi="Open Sans" w:cs="Open Sans"/>
          <w:b/>
        </w:rPr>
        <w:t>:</w:t>
      </w:r>
      <w:r w:rsidRPr="006D51C4">
        <w:rPr>
          <w:rFonts w:ascii="Open Sans" w:eastAsia="Open Sans" w:hAnsi="Open Sans" w:cs="Open Sans"/>
          <w:b/>
        </w:rPr>
        <w:t xml:space="preserve"> </w:t>
      </w:r>
      <w:r w:rsidRPr="006D51C4">
        <w:rPr>
          <w:rFonts w:ascii="Open Sans" w:eastAsia="Open Sans" w:hAnsi="Open Sans" w:cs="Open Sans"/>
        </w:rPr>
        <w:t>emphasise the need for Kenya to improve access to education for “[children] from poor families, pregnant girls, children living in remote rural areas and in informal settlements, nomadic children, children with disabilities, refugee children and internally displaced children</w:t>
      </w:r>
      <w:r w:rsidRPr="006D51C4">
        <w:rPr>
          <w:rFonts w:ascii="Open Sans" w:eastAsia="Open Sans" w:hAnsi="Open Sans" w:cs="Open Sans"/>
          <w:bCs/>
        </w:rPr>
        <w:t>.</w:t>
      </w:r>
      <w:r w:rsidR="00CA5831" w:rsidRPr="006D51C4">
        <w:rPr>
          <w:rFonts w:ascii="Open Sans" w:eastAsia="Open Sans" w:hAnsi="Open Sans" w:cs="Open Sans"/>
          <w:b/>
        </w:rPr>
        <w:t xml:space="preserve"> </w:t>
      </w:r>
      <w:r w:rsidRPr="006D51C4">
        <w:rPr>
          <w:rFonts w:ascii="Open Sans" w:eastAsia="Open Sans" w:hAnsi="Open Sans" w:cs="Open Sans"/>
        </w:rPr>
        <w:t>This includes the state increasing funds allocated to bursaries and textbook subsidies for children from poor families, as well as to school transportation and mid-day meals in remote rural and deprived urban areas</w:t>
      </w:r>
      <w:r w:rsidR="00D654E0" w:rsidRPr="006D51C4">
        <w:rPr>
          <w:rFonts w:ascii="Open Sans" w:eastAsia="Open Sans" w:hAnsi="Open Sans" w:cs="Open Sans"/>
        </w:rPr>
        <w:t>.</w:t>
      </w:r>
      <w:r w:rsidRPr="006D51C4">
        <w:rPr>
          <w:rFonts w:ascii="Open Sans" w:eastAsia="Open Sans" w:hAnsi="Open Sans" w:cs="Open Sans"/>
        </w:rPr>
        <w:t>”</w:t>
      </w:r>
      <w:r w:rsidR="00D654E0" w:rsidRPr="006D51C4">
        <w:rPr>
          <w:rFonts w:ascii="Open Sans" w:eastAsia="Open Sans" w:hAnsi="Open Sans" w:cs="Open Sans"/>
          <w:vertAlign w:val="superscript"/>
        </w:rPr>
        <w:footnoteReference w:id="15"/>
      </w:r>
    </w:p>
    <w:p w14:paraId="6F5D14E8" w14:textId="2AEBFE56" w:rsidR="009623A1" w:rsidRPr="006D51C4" w:rsidRDefault="007B70D4">
      <w:pPr>
        <w:numPr>
          <w:ilvl w:val="0"/>
          <w:numId w:val="2"/>
        </w:numPr>
        <w:spacing w:after="240"/>
        <w:jc w:val="both"/>
        <w:rPr>
          <w:rFonts w:ascii="Open Sans" w:hAnsi="Open Sans" w:cs="Open Sans"/>
        </w:rPr>
      </w:pPr>
      <w:r w:rsidRPr="006D51C4">
        <w:rPr>
          <w:rFonts w:ascii="Open Sans" w:eastAsia="Open Sans" w:hAnsi="Open Sans" w:cs="Open Sans"/>
          <w:b/>
        </w:rPr>
        <w:t xml:space="preserve">CESCR’s 2016 concluding observations: </w:t>
      </w:r>
      <w:r w:rsidRPr="006D51C4">
        <w:rPr>
          <w:rFonts w:ascii="Open Sans" w:eastAsia="Open Sans" w:hAnsi="Open Sans" w:cs="Open Sans"/>
        </w:rPr>
        <w:t>place a strong emphasis on Kenya’s obligations in terms of the right to education, including by warning that: “inadequacies in the public schooling system have led to the proliferation of so-called ‘low-cost private schools’, which has led to segregation or discriminatory access to education, particularly for disadvantaged and marginalised children, including children living in informal settlements and arid and semi-arid areas.”</w:t>
      </w:r>
      <w:r w:rsidRPr="006D51C4">
        <w:rPr>
          <w:rFonts w:ascii="Open Sans" w:eastAsia="Open Sans" w:hAnsi="Open Sans" w:cs="Open Sans"/>
          <w:vertAlign w:val="superscript"/>
        </w:rPr>
        <w:footnoteReference w:id="16"/>
      </w:r>
      <w:r w:rsidRPr="006D51C4">
        <w:rPr>
          <w:rFonts w:ascii="Open Sans" w:eastAsia="Open Sans" w:hAnsi="Open Sans" w:cs="Open Sans"/>
        </w:rPr>
        <w:t xml:space="preserve"> In addition, this Committee specifically recommended Kenya to take “all the measures necessary to strengthen its public education sector” and to “improve access to and the quality of primary education for all without hidden costs</w:t>
      </w:r>
      <w:r w:rsidRPr="006D51C4">
        <w:rPr>
          <w:rFonts w:ascii="Open Sans" w:eastAsia="Open Sans" w:hAnsi="Open Sans" w:cs="Open Sans"/>
          <w:bCs/>
        </w:rPr>
        <w:t>.</w:t>
      </w:r>
      <w:r w:rsidR="005A5881" w:rsidRPr="006D51C4">
        <w:rPr>
          <w:rFonts w:ascii="Open Sans" w:eastAsia="Open Sans" w:hAnsi="Open Sans" w:cs="Open Sans"/>
          <w:bCs/>
        </w:rPr>
        <w:t>”</w:t>
      </w:r>
      <w:r w:rsidRPr="006D51C4">
        <w:rPr>
          <w:rFonts w:ascii="Open Sans" w:eastAsia="Open Sans" w:hAnsi="Open Sans" w:cs="Open Sans"/>
          <w:bCs/>
          <w:vertAlign w:val="superscript"/>
        </w:rPr>
        <w:footnoteReference w:id="17"/>
      </w:r>
    </w:p>
    <w:p w14:paraId="32A42D28" w14:textId="4F63C54C" w:rsidR="009623A1" w:rsidRPr="006D51C4" w:rsidRDefault="007B70D4" w:rsidP="744C53E1">
      <w:pPr>
        <w:pStyle w:val="ListParagraph"/>
        <w:numPr>
          <w:ilvl w:val="0"/>
          <w:numId w:val="1"/>
        </w:numPr>
        <w:spacing w:before="240" w:after="240"/>
        <w:jc w:val="both"/>
        <w:rPr>
          <w:rFonts w:ascii="Open Sans" w:eastAsia="Open Sans" w:hAnsi="Open Sans" w:cs="Open Sans"/>
        </w:rPr>
      </w:pPr>
      <w:r w:rsidRPr="006D51C4">
        <w:rPr>
          <w:rFonts w:ascii="Open Sans" w:eastAsia="Open Sans" w:hAnsi="Open Sans" w:cs="Open Sans"/>
        </w:rPr>
        <w:lastRenderedPageBreak/>
        <w:t>Kenya’s present report to the committee claims that there has been a steady increase in the budget allocation to the education sector from 2017 to 2022 with a dip in the budget allocation for the</w:t>
      </w:r>
      <w:r w:rsidR="00C41AA2" w:rsidRPr="006D51C4">
        <w:rPr>
          <w:rFonts w:ascii="Open Sans" w:eastAsia="Open Sans" w:hAnsi="Open Sans" w:cs="Open Sans"/>
        </w:rPr>
        <w:t xml:space="preserve"> </w:t>
      </w:r>
      <w:r w:rsidR="0051378B" w:rsidRPr="006D51C4">
        <w:rPr>
          <w:rFonts w:ascii="Open Sans" w:eastAsia="Open Sans" w:hAnsi="Open Sans" w:cs="Open Sans"/>
        </w:rPr>
        <w:t>FY</w:t>
      </w:r>
      <w:r w:rsidRPr="006D51C4">
        <w:rPr>
          <w:rFonts w:ascii="Open Sans" w:eastAsia="Open Sans" w:hAnsi="Open Sans" w:cs="Open Sans"/>
        </w:rPr>
        <w:t xml:space="preserve"> 2021/22.</w:t>
      </w:r>
      <w:r w:rsidRPr="006D51C4">
        <w:rPr>
          <w:rFonts w:ascii="Open Sans" w:eastAsia="Open Sans" w:hAnsi="Open Sans" w:cs="Open Sans"/>
          <w:vertAlign w:val="superscript"/>
        </w:rPr>
        <w:footnoteReference w:id="18"/>
      </w:r>
      <w:r w:rsidRPr="006D51C4">
        <w:rPr>
          <w:rFonts w:ascii="Open Sans" w:eastAsia="Open Sans" w:hAnsi="Open Sans" w:cs="Open Sans"/>
        </w:rPr>
        <w:t xml:space="preserve"> In its replies to the list of issues, the state claims that it increased the education budget by 7.1% in the FY 2022/23.</w:t>
      </w:r>
      <w:r w:rsidRPr="006D51C4">
        <w:rPr>
          <w:rFonts w:ascii="Open Sans" w:eastAsia="Open Sans" w:hAnsi="Open Sans" w:cs="Open Sans"/>
          <w:vertAlign w:val="superscript"/>
        </w:rPr>
        <w:footnoteReference w:id="19"/>
      </w:r>
      <w:r w:rsidRPr="006D51C4">
        <w:rPr>
          <w:rFonts w:ascii="Open Sans" w:eastAsia="Open Sans" w:hAnsi="Open Sans" w:cs="Open Sans"/>
        </w:rPr>
        <w:t xml:space="preserve"> </w:t>
      </w:r>
    </w:p>
    <w:p w14:paraId="08509FCD" w14:textId="58AEE384" w:rsidR="009623A1" w:rsidRPr="006D51C4" w:rsidRDefault="744C53E1" w:rsidP="744C53E1">
      <w:pPr>
        <w:pStyle w:val="ListParagraph"/>
        <w:numPr>
          <w:ilvl w:val="0"/>
          <w:numId w:val="1"/>
        </w:numPr>
        <w:spacing w:before="240" w:after="240"/>
        <w:jc w:val="both"/>
        <w:rPr>
          <w:rFonts w:ascii="Open Sans" w:eastAsia="Open Sans" w:hAnsi="Open Sans" w:cs="Open Sans"/>
        </w:rPr>
      </w:pPr>
      <w:r w:rsidRPr="006D51C4">
        <w:rPr>
          <w:rFonts w:ascii="Open Sans" w:eastAsia="Open Sans" w:hAnsi="Open Sans" w:cs="Open Sans"/>
        </w:rPr>
        <w:t>Although the education budget has grown from Ksh. 460.4 billion in the FY 2018/19 to Ksh 628.5 billion in the FY 2022/23, most of the allocation is consumed by recurrent expenditure</w:t>
      </w:r>
      <w:r w:rsidR="00D70759">
        <w:rPr>
          <w:rFonts w:ascii="Open Sans" w:eastAsia="Open Sans" w:hAnsi="Open Sans" w:cs="Open Sans"/>
        </w:rPr>
        <w:t xml:space="preserve"> like teacher</w:t>
      </w:r>
      <w:r w:rsidR="001262F5">
        <w:rPr>
          <w:rFonts w:ascii="Open Sans" w:eastAsia="Open Sans" w:hAnsi="Open Sans" w:cs="Open Sans"/>
        </w:rPr>
        <w:t>s’</w:t>
      </w:r>
      <w:r w:rsidR="00D70759">
        <w:rPr>
          <w:rFonts w:ascii="Open Sans" w:eastAsia="Open Sans" w:hAnsi="Open Sans" w:cs="Open Sans"/>
        </w:rPr>
        <w:t xml:space="preserve"> salaries</w:t>
      </w:r>
      <w:r w:rsidRPr="006D51C4">
        <w:rPr>
          <w:rFonts w:ascii="Open Sans" w:eastAsia="Open Sans" w:hAnsi="Open Sans" w:cs="Open Sans"/>
        </w:rPr>
        <w:t>, leaving out inadequate funds for critical needs such as infrastructure, capitation, and student welfare programmes.</w:t>
      </w:r>
      <w:r w:rsidR="007B70D4" w:rsidRPr="006D51C4">
        <w:rPr>
          <w:rFonts w:ascii="Open Sans" w:eastAsia="Open Sans" w:hAnsi="Open Sans" w:cs="Open Sans"/>
          <w:vertAlign w:val="superscript"/>
        </w:rPr>
        <w:footnoteReference w:id="20"/>
      </w:r>
    </w:p>
    <w:p w14:paraId="0B628FB6" w14:textId="44A35345" w:rsidR="009623A1" w:rsidRPr="006D51C4" w:rsidRDefault="00696950" w:rsidP="00564EF9">
      <w:pPr>
        <w:pStyle w:val="ListParagraph"/>
        <w:numPr>
          <w:ilvl w:val="0"/>
          <w:numId w:val="1"/>
        </w:numPr>
        <w:spacing w:after="240"/>
        <w:jc w:val="both"/>
        <w:rPr>
          <w:rFonts w:ascii="Open Sans" w:eastAsia="Open Sans" w:hAnsi="Open Sans" w:cs="Open Sans"/>
        </w:rPr>
      </w:pPr>
      <w:r>
        <w:rPr>
          <w:rFonts w:ascii="Open Sans" w:eastAsia="Open Sans" w:hAnsi="Open Sans" w:cs="Open Sans"/>
        </w:rPr>
        <w:t>T</w:t>
      </w:r>
      <w:r w:rsidR="744C53E1" w:rsidRPr="006D51C4">
        <w:rPr>
          <w:rFonts w:ascii="Open Sans" w:eastAsia="Open Sans" w:hAnsi="Open Sans" w:cs="Open Sans"/>
        </w:rPr>
        <w:t xml:space="preserve">he </w:t>
      </w:r>
      <w:r w:rsidR="00193992">
        <w:rPr>
          <w:rFonts w:ascii="Open Sans" w:eastAsia="Open Sans" w:hAnsi="Open Sans" w:cs="Open Sans"/>
        </w:rPr>
        <w:t xml:space="preserve">education sector is also undergoing </w:t>
      </w:r>
      <w:r w:rsidR="744C53E1" w:rsidRPr="006D51C4">
        <w:rPr>
          <w:rFonts w:ascii="Open Sans" w:eastAsia="Open Sans" w:hAnsi="Open Sans" w:cs="Open Sans"/>
        </w:rPr>
        <w:t>reforms and implementation of the Competency Based Curriculum</w:t>
      </w:r>
      <w:r w:rsidR="00193992">
        <w:rPr>
          <w:rFonts w:ascii="Open Sans" w:eastAsia="Open Sans" w:hAnsi="Open Sans" w:cs="Open Sans"/>
        </w:rPr>
        <w:t xml:space="preserve">. Thus, </w:t>
      </w:r>
      <w:r w:rsidR="744C53E1" w:rsidRPr="006D51C4">
        <w:rPr>
          <w:rFonts w:ascii="Open Sans" w:eastAsia="Open Sans" w:hAnsi="Open Sans" w:cs="Open Sans"/>
        </w:rPr>
        <w:t>the sector requires additional resources for teachers</w:t>
      </w:r>
      <w:r w:rsidR="00785FE9">
        <w:rPr>
          <w:rFonts w:ascii="Open Sans" w:eastAsia="Open Sans" w:hAnsi="Open Sans" w:cs="Open Sans"/>
        </w:rPr>
        <w:t xml:space="preserve"> (salaries and more teachers)</w:t>
      </w:r>
      <w:r w:rsidR="744C53E1" w:rsidRPr="006D51C4">
        <w:rPr>
          <w:rFonts w:ascii="Open Sans" w:eastAsia="Open Sans" w:hAnsi="Open Sans" w:cs="Open Sans"/>
        </w:rPr>
        <w:t>, teacher training</w:t>
      </w:r>
      <w:r w:rsidR="00193992">
        <w:rPr>
          <w:rFonts w:ascii="Open Sans" w:eastAsia="Open Sans" w:hAnsi="Open Sans" w:cs="Open Sans"/>
        </w:rPr>
        <w:t xml:space="preserve"> (on the new curriculum)</w:t>
      </w:r>
      <w:r w:rsidR="744C53E1" w:rsidRPr="006D51C4">
        <w:rPr>
          <w:rFonts w:ascii="Open Sans" w:eastAsia="Open Sans" w:hAnsi="Open Sans" w:cs="Open Sans"/>
        </w:rPr>
        <w:t>, classroom</w:t>
      </w:r>
      <w:r w:rsidR="00193992">
        <w:rPr>
          <w:rFonts w:ascii="Open Sans" w:eastAsia="Open Sans" w:hAnsi="Open Sans" w:cs="Open Sans"/>
        </w:rPr>
        <w:t xml:space="preserve">s </w:t>
      </w:r>
      <w:r w:rsidR="744C53E1" w:rsidRPr="006D51C4">
        <w:rPr>
          <w:rFonts w:ascii="Open Sans" w:eastAsia="Open Sans" w:hAnsi="Open Sans" w:cs="Open Sans"/>
        </w:rPr>
        <w:t>and curriculum materials</w:t>
      </w:r>
      <w:r w:rsidR="00C80B05">
        <w:rPr>
          <w:rFonts w:ascii="Open Sans" w:eastAsia="Open Sans" w:hAnsi="Open Sans" w:cs="Open Sans"/>
        </w:rPr>
        <w:t xml:space="preserve">, thus the amount allocated is not </w:t>
      </w:r>
      <w:r w:rsidR="0092357B">
        <w:rPr>
          <w:rFonts w:ascii="Open Sans" w:eastAsia="Open Sans" w:hAnsi="Open Sans" w:cs="Open Sans"/>
        </w:rPr>
        <w:t>sufficient</w:t>
      </w:r>
      <w:r w:rsidR="744C53E1" w:rsidRPr="006D51C4">
        <w:rPr>
          <w:rFonts w:ascii="Open Sans" w:eastAsia="Open Sans" w:hAnsi="Open Sans" w:cs="Open Sans"/>
        </w:rPr>
        <w:t>.</w:t>
      </w:r>
      <w:r w:rsidR="007B70D4" w:rsidRPr="006D51C4">
        <w:rPr>
          <w:rFonts w:ascii="Open Sans" w:eastAsia="Open Sans" w:hAnsi="Open Sans" w:cs="Open Sans"/>
          <w:vertAlign w:val="superscript"/>
        </w:rPr>
        <w:footnoteReference w:id="21"/>
      </w:r>
      <w:r w:rsidR="744C53E1" w:rsidRPr="006D51C4">
        <w:rPr>
          <w:rFonts w:ascii="Open Sans" w:eastAsia="Open Sans" w:hAnsi="Open Sans" w:cs="Open Sans"/>
        </w:rPr>
        <w:t xml:space="preserve"> </w:t>
      </w:r>
      <w:r w:rsidR="00D64427">
        <w:rPr>
          <w:rFonts w:ascii="Open Sans" w:eastAsia="Open Sans" w:hAnsi="Open Sans" w:cs="Open Sans"/>
        </w:rPr>
        <w:t>Moreover, due to the protests</w:t>
      </w:r>
      <w:r w:rsidR="00413930">
        <w:rPr>
          <w:rFonts w:ascii="Open Sans" w:eastAsia="Open Sans" w:hAnsi="Open Sans" w:cs="Open Sans"/>
        </w:rPr>
        <w:t>,</w:t>
      </w:r>
      <w:r w:rsidR="00451226">
        <w:rPr>
          <w:rFonts w:ascii="Open Sans" w:eastAsia="Open Sans" w:hAnsi="Open Sans" w:cs="Open Sans"/>
        </w:rPr>
        <w:t xml:space="preserve"> and to reduce government expenditure</w:t>
      </w:r>
      <w:r w:rsidR="00485773">
        <w:rPr>
          <w:rFonts w:ascii="Open Sans" w:eastAsia="Open Sans" w:hAnsi="Open Sans" w:cs="Open Sans"/>
        </w:rPr>
        <w:t xml:space="preserve">, the president signed into </w:t>
      </w:r>
      <w:r w:rsidR="001C6D34">
        <w:rPr>
          <w:rFonts w:ascii="Open Sans" w:eastAsia="Open Sans" w:hAnsi="Open Sans" w:cs="Open Sans"/>
        </w:rPr>
        <w:t>law the Supplementary Appropriation Bill 2024</w:t>
      </w:r>
      <w:r w:rsidR="004445DC">
        <w:rPr>
          <w:rFonts w:ascii="Open Sans" w:eastAsia="Open Sans" w:hAnsi="Open Sans" w:cs="Open Sans"/>
        </w:rPr>
        <w:t xml:space="preserve"> in August of 2024. The Act sought to create a balance</w:t>
      </w:r>
      <w:r w:rsidR="004C7130">
        <w:rPr>
          <w:rFonts w:ascii="Open Sans" w:eastAsia="Open Sans" w:hAnsi="Open Sans" w:cs="Open Sans"/>
        </w:rPr>
        <w:t xml:space="preserve"> by reducing </w:t>
      </w:r>
      <w:r w:rsidR="0021316D">
        <w:rPr>
          <w:rFonts w:ascii="Open Sans" w:eastAsia="Open Sans" w:hAnsi="Open Sans" w:cs="Open Sans"/>
        </w:rPr>
        <w:t xml:space="preserve">recurrent expenditure while safeguarding critical essential expenditure </w:t>
      </w:r>
      <w:r w:rsidR="00E9427B">
        <w:rPr>
          <w:rFonts w:ascii="Open Sans" w:eastAsia="Open Sans" w:hAnsi="Open Sans" w:cs="Open Sans"/>
        </w:rPr>
        <w:t xml:space="preserve">in </w:t>
      </w:r>
      <w:r w:rsidR="00FB6AF8">
        <w:rPr>
          <w:rFonts w:ascii="Open Sans" w:eastAsia="Open Sans" w:hAnsi="Open Sans" w:cs="Open Sans"/>
        </w:rPr>
        <w:t>the Agriculture, Health and Education Sector. However, for the education secto</w:t>
      </w:r>
      <w:r w:rsidR="00DD5D5B">
        <w:rPr>
          <w:rFonts w:ascii="Open Sans" w:eastAsia="Open Sans" w:hAnsi="Open Sans" w:cs="Open Sans"/>
        </w:rPr>
        <w:t xml:space="preserve">r, the </w:t>
      </w:r>
      <w:r w:rsidR="00D20B53">
        <w:rPr>
          <w:rFonts w:ascii="Open Sans" w:eastAsia="Open Sans" w:hAnsi="Open Sans" w:cs="Open Sans"/>
        </w:rPr>
        <w:t xml:space="preserve">FY </w:t>
      </w:r>
      <w:r w:rsidR="744C53E1" w:rsidRPr="006D51C4">
        <w:rPr>
          <w:rFonts w:ascii="Open Sans" w:eastAsia="Open Sans" w:hAnsi="Open Sans" w:cs="Open Sans"/>
        </w:rPr>
        <w:t xml:space="preserve">2023/24 budget was reduced by 5%, </w:t>
      </w:r>
      <w:r w:rsidR="004320D5">
        <w:rPr>
          <w:rFonts w:ascii="Open Sans" w:eastAsia="Open Sans" w:hAnsi="Open Sans" w:cs="Open Sans"/>
        </w:rPr>
        <w:t>as</w:t>
      </w:r>
      <w:r w:rsidR="744C53E1" w:rsidRPr="006D51C4">
        <w:rPr>
          <w:rFonts w:ascii="Open Sans" w:eastAsia="Open Sans" w:hAnsi="Open Sans" w:cs="Open Sans"/>
        </w:rPr>
        <w:t xml:space="preserve"> additional cuts</w:t>
      </w:r>
      <w:r w:rsidR="004320D5">
        <w:rPr>
          <w:rFonts w:ascii="Open Sans" w:eastAsia="Open Sans" w:hAnsi="Open Sans" w:cs="Open Sans"/>
        </w:rPr>
        <w:t xml:space="preserve"> were</w:t>
      </w:r>
      <w:r w:rsidR="744C53E1" w:rsidRPr="006D51C4">
        <w:rPr>
          <w:rFonts w:ascii="Open Sans" w:eastAsia="Open Sans" w:hAnsi="Open Sans" w:cs="Open Sans"/>
        </w:rPr>
        <w:t xml:space="preserve"> made in a supplementary budget.</w:t>
      </w:r>
      <w:r w:rsidR="007B70D4" w:rsidRPr="006D51C4">
        <w:rPr>
          <w:rFonts w:ascii="Open Sans" w:eastAsia="Open Sans" w:hAnsi="Open Sans" w:cs="Open Sans"/>
          <w:vertAlign w:val="superscript"/>
        </w:rPr>
        <w:footnoteReference w:id="22"/>
      </w:r>
      <w:r w:rsidR="009E1DA7">
        <w:rPr>
          <w:rFonts w:ascii="Open Sans" w:eastAsia="Open Sans" w:hAnsi="Open Sans" w:cs="Open Sans"/>
        </w:rPr>
        <w:t xml:space="preserve"> </w:t>
      </w:r>
    </w:p>
    <w:p w14:paraId="0E8CE641" w14:textId="11285945" w:rsidR="009623A1" w:rsidRPr="00FD5111" w:rsidRDefault="00F627E7" w:rsidP="00FD5111">
      <w:pPr>
        <w:pStyle w:val="ListParagraph"/>
        <w:numPr>
          <w:ilvl w:val="0"/>
          <w:numId w:val="1"/>
        </w:numPr>
        <w:spacing w:before="240" w:after="240"/>
        <w:jc w:val="both"/>
        <w:rPr>
          <w:rFonts w:ascii="Open Sans" w:eastAsia="Open Sans" w:hAnsi="Open Sans" w:cs="Open Sans"/>
        </w:rPr>
      </w:pPr>
      <w:r>
        <w:rPr>
          <w:rFonts w:ascii="Open Sans" w:eastAsia="Open Sans" w:hAnsi="Open Sans" w:cs="Open Sans"/>
        </w:rPr>
        <w:t>Furthermore</w:t>
      </w:r>
      <w:r w:rsidR="744C53E1" w:rsidRPr="006D51C4">
        <w:rPr>
          <w:rFonts w:ascii="Open Sans" w:eastAsia="Open Sans" w:hAnsi="Open Sans" w:cs="Open Sans"/>
        </w:rPr>
        <w:t xml:space="preserve">, despite the Teachers Service Commission receiving a substantial portion of the Kenya’s education budget - in the FY 2023/24, the </w:t>
      </w:r>
      <w:r w:rsidR="00D60153">
        <w:rPr>
          <w:rFonts w:ascii="Open Sans" w:eastAsia="Open Sans" w:hAnsi="Open Sans" w:cs="Open Sans"/>
        </w:rPr>
        <w:t>C</w:t>
      </w:r>
      <w:r w:rsidR="744C53E1" w:rsidRPr="006D51C4">
        <w:rPr>
          <w:rFonts w:ascii="Open Sans" w:eastAsia="Open Sans" w:hAnsi="Open Sans" w:cs="Open Sans"/>
        </w:rPr>
        <w:t>ommission was allocated Ksh 343.4 billion, accounting for 49.8% of the sector’s allocation -</w:t>
      </w:r>
      <w:r w:rsidR="00C64879">
        <w:rPr>
          <w:rFonts w:ascii="Open Sans" w:eastAsia="Open Sans" w:hAnsi="Open Sans" w:cs="Open Sans"/>
        </w:rPr>
        <w:t xml:space="preserve"> </w:t>
      </w:r>
      <w:r w:rsidR="744C53E1" w:rsidRPr="006D51C4">
        <w:rPr>
          <w:rFonts w:ascii="Open Sans" w:eastAsia="Open Sans" w:hAnsi="Open Sans" w:cs="Open Sans"/>
        </w:rPr>
        <w:t>teachers in public schools continue to face poor working conditions</w:t>
      </w:r>
      <w:r w:rsidR="00950612">
        <w:rPr>
          <w:rFonts w:ascii="Open Sans" w:eastAsia="Open Sans" w:hAnsi="Open Sans" w:cs="Open Sans"/>
        </w:rPr>
        <w:t>,</w:t>
      </w:r>
      <w:r w:rsidR="744C53E1" w:rsidRPr="006D51C4">
        <w:rPr>
          <w:rFonts w:ascii="Open Sans" w:eastAsia="Open Sans" w:hAnsi="Open Sans" w:cs="Open Sans"/>
        </w:rPr>
        <w:t xml:space="preserve"> and low wages have contributed to low teacher motivation and negatively impacted the quality of education.</w:t>
      </w:r>
      <w:r w:rsidR="007B70D4" w:rsidRPr="006D51C4">
        <w:rPr>
          <w:rStyle w:val="FootnoteReference"/>
          <w:rFonts w:ascii="Open Sans" w:eastAsia="Open Sans" w:hAnsi="Open Sans" w:cs="Open Sans"/>
        </w:rPr>
        <w:footnoteReference w:id="23"/>
      </w:r>
    </w:p>
    <w:p w14:paraId="25565B36" w14:textId="39D8169E" w:rsidR="009623A1" w:rsidRPr="006D51C4" w:rsidRDefault="007B70D4" w:rsidP="744C53E1">
      <w:pPr>
        <w:pStyle w:val="ListParagraph"/>
        <w:numPr>
          <w:ilvl w:val="0"/>
          <w:numId w:val="1"/>
        </w:numPr>
        <w:spacing w:before="240" w:after="240"/>
        <w:jc w:val="both"/>
        <w:rPr>
          <w:rFonts w:ascii="Open Sans" w:eastAsia="Open Sans" w:hAnsi="Open Sans" w:cs="Open Sans"/>
        </w:rPr>
      </w:pPr>
      <w:r w:rsidRPr="006D51C4">
        <w:rPr>
          <w:rFonts w:ascii="Open Sans" w:eastAsia="Open Sans" w:hAnsi="Open Sans" w:cs="Open Sans"/>
        </w:rPr>
        <w:t>Kenya’s replies to the list of issue</w:t>
      </w:r>
      <w:r w:rsidR="00B479A0" w:rsidRPr="006D51C4">
        <w:rPr>
          <w:rFonts w:ascii="Open Sans" w:eastAsia="Open Sans" w:hAnsi="Open Sans" w:cs="Open Sans"/>
        </w:rPr>
        <w:t>s</w:t>
      </w:r>
      <w:r w:rsidRPr="006D51C4">
        <w:rPr>
          <w:rFonts w:ascii="Open Sans" w:eastAsia="Open Sans" w:hAnsi="Open Sans" w:cs="Open Sans"/>
        </w:rPr>
        <w:t xml:space="preserve"> claim that it has increased capitation grants</w:t>
      </w:r>
      <w:r w:rsidR="002008F9">
        <w:rPr>
          <w:rFonts w:ascii="Open Sans" w:eastAsia="Open Sans" w:hAnsi="Open Sans" w:cs="Open Sans"/>
        </w:rPr>
        <w:t xml:space="preserve"> </w:t>
      </w:r>
      <w:r w:rsidRPr="006D51C4">
        <w:rPr>
          <w:rFonts w:ascii="Open Sans" w:eastAsia="Open Sans" w:hAnsi="Open Sans" w:cs="Open Sans"/>
        </w:rPr>
        <w:t>to all public schools,</w:t>
      </w:r>
      <w:r w:rsidR="002008F9">
        <w:rPr>
          <w:rStyle w:val="FootnoteReference"/>
          <w:rFonts w:ascii="Open Sans" w:eastAsia="Open Sans" w:hAnsi="Open Sans" w:cs="Open Sans"/>
        </w:rPr>
        <w:footnoteReference w:id="24"/>
      </w:r>
      <w:r w:rsidRPr="006D51C4">
        <w:rPr>
          <w:rFonts w:ascii="Open Sans" w:eastAsia="Open Sans" w:hAnsi="Open Sans" w:cs="Open Sans"/>
        </w:rPr>
        <w:t xml:space="preserve"> with a focus on supporting students with disabilities.</w:t>
      </w:r>
      <w:r w:rsidRPr="006D51C4">
        <w:rPr>
          <w:rFonts w:ascii="Open Sans" w:eastAsia="Open Sans" w:hAnsi="Open Sans" w:cs="Open Sans"/>
          <w:vertAlign w:val="superscript"/>
        </w:rPr>
        <w:footnoteReference w:id="25"/>
      </w:r>
      <w:r w:rsidRPr="006D51C4">
        <w:rPr>
          <w:rFonts w:ascii="Open Sans" w:eastAsia="Open Sans" w:hAnsi="Open Sans" w:cs="Open Sans"/>
        </w:rPr>
        <w:t xml:space="preserve"> Yet</w:t>
      </w:r>
      <w:r w:rsidR="00E7158D">
        <w:rPr>
          <w:rFonts w:ascii="Open Sans" w:eastAsia="Open Sans" w:hAnsi="Open Sans" w:cs="Open Sans"/>
        </w:rPr>
        <w:t>,</w:t>
      </w:r>
      <w:r w:rsidRPr="006D51C4">
        <w:rPr>
          <w:rFonts w:ascii="Open Sans" w:eastAsia="Open Sans" w:hAnsi="Open Sans" w:cs="Open Sans"/>
        </w:rPr>
        <w:t xml:space="preserve"> there has been a challenge with inadequate capitation grants vis-à-vis the </w:t>
      </w:r>
      <w:r w:rsidR="00F03EF4">
        <w:rPr>
          <w:rFonts w:ascii="Open Sans" w:eastAsia="Open Sans" w:hAnsi="Open Sans" w:cs="Open Sans"/>
        </w:rPr>
        <w:t>rising inflation costs</w:t>
      </w:r>
      <w:r w:rsidR="00B23C99">
        <w:rPr>
          <w:rFonts w:ascii="Open Sans" w:eastAsia="Open Sans" w:hAnsi="Open Sans" w:cs="Open Sans"/>
        </w:rPr>
        <w:t xml:space="preserve"> </w:t>
      </w:r>
      <w:r w:rsidRPr="006D51C4">
        <w:rPr>
          <w:rFonts w:ascii="Open Sans" w:eastAsia="Open Sans" w:hAnsi="Open Sans" w:cs="Open Sans"/>
        </w:rPr>
        <w:lastRenderedPageBreak/>
        <w:t>that has negatively affected the implementation of quality education in Kenya.</w:t>
      </w:r>
      <w:r w:rsidR="00E67841">
        <w:rPr>
          <w:rStyle w:val="FootnoteReference"/>
          <w:rFonts w:ascii="Open Sans" w:eastAsia="Open Sans" w:hAnsi="Open Sans" w:cs="Open Sans"/>
        </w:rPr>
        <w:footnoteReference w:id="26"/>
      </w:r>
      <w:r w:rsidR="00BC4070">
        <w:rPr>
          <w:rFonts w:ascii="Open Sans" w:eastAsia="Open Sans" w:hAnsi="Open Sans" w:cs="Open Sans"/>
        </w:rPr>
        <w:t xml:space="preserve"> Despite</w:t>
      </w:r>
      <w:r w:rsidR="00AB740A">
        <w:rPr>
          <w:rFonts w:ascii="Open Sans" w:eastAsia="Open Sans" w:hAnsi="Open Sans" w:cs="Open Sans"/>
        </w:rPr>
        <w:t xml:space="preserve"> the g</w:t>
      </w:r>
      <w:r w:rsidRPr="006D51C4">
        <w:rPr>
          <w:rFonts w:ascii="Open Sans" w:eastAsia="Open Sans" w:hAnsi="Open Sans" w:cs="Open Sans"/>
        </w:rPr>
        <w:t>overnment</w:t>
      </w:r>
      <w:r w:rsidR="00AB740A">
        <w:rPr>
          <w:rFonts w:ascii="Open Sans" w:eastAsia="Open Sans" w:hAnsi="Open Sans" w:cs="Open Sans"/>
        </w:rPr>
        <w:t xml:space="preserve">’s commitment </w:t>
      </w:r>
      <w:r w:rsidR="007E7A6F">
        <w:rPr>
          <w:rFonts w:ascii="Open Sans" w:eastAsia="Open Sans" w:hAnsi="Open Sans" w:cs="Open Sans"/>
        </w:rPr>
        <w:t xml:space="preserve">to Free Primary Education (FPE) </w:t>
      </w:r>
      <w:r w:rsidRPr="006D51C4">
        <w:rPr>
          <w:rFonts w:ascii="Open Sans" w:eastAsia="Open Sans" w:hAnsi="Open Sans" w:cs="Open Sans"/>
        </w:rPr>
        <w:t>and Free Day Secondary Education</w:t>
      </w:r>
      <w:r w:rsidR="006D294D">
        <w:rPr>
          <w:rFonts w:ascii="Open Sans" w:eastAsia="Open Sans" w:hAnsi="Open Sans" w:cs="Open Sans"/>
        </w:rPr>
        <w:t>, the grants remain based on earlier agreed allocations</w:t>
      </w:r>
      <w:r w:rsidR="00B66EA7">
        <w:rPr>
          <w:rFonts w:ascii="Open Sans" w:eastAsia="Open Sans" w:hAnsi="Open Sans" w:cs="Open Sans"/>
        </w:rPr>
        <w:t xml:space="preserve"> in 2019 which are no longer sufficient to meet current </w:t>
      </w:r>
      <w:r w:rsidR="00B427A7">
        <w:rPr>
          <w:rFonts w:ascii="Open Sans" w:eastAsia="Open Sans" w:hAnsi="Open Sans" w:cs="Open Sans"/>
        </w:rPr>
        <w:t>education costs. The current capi</w:t>
      </w:r>
      <w:r w:rsidR="00FF32E4">
        <w:rPr>
          <w:rFonts w:ascii="Open Sans" w:eastAsia="Open Sans" w:hAnsi="Open Sans" w:cs="Open Sans"/>
        </w:rPr>
        <w:t>ta</w:t>
      </w:r>
      <w:r w:rsidRPr="006D51C4">
        <w:rPr>
          <w:rFonts w:ascii="Open Sans" w:eastAsia="Open Sans" w:hAnsi="Open Sans" w:cs="Open Sans"/>
        </w:rPr>
        <w:t>tion grant per learner as follows: Ksh.1,420 for primary, Ksh.15,000 for Junior Secondary, Ksh.</w:t>
      </w:r>
      <w:r w:rsidR="00F66B9A">
        <w:rPr>
          <w:rFonts w:ascii="Open Sans" w:eastAsia="Open Sans" w:hAnsi="Open Sans" w:cs="Open Sans"/>
        </w:rPr>
        <w:t xml:space="preserve"> </w:t>
      </w:r>
      <w:r w:rsidRPr="006D51C4">
        <w:rPr>
          <w:rFonts w:ascii="Open Sans" w:eastAsia="Open Sans" w:hAnsi="Open Sans" w:cs="Open Sans"/>
        </w:rPr>
        <w:t xml:space="preserve">22,240 for </w:t>
      </w:r>
      <w:r w:rsidR="16EEA8FE" w:rsidRPr="16EEA8FE">
        <w:rPr>
          <w:rFonts w:ascii="Open Sans" w:eastAsia="Open Sans" w:hAnsi="Open Sans" w:cs="Open Sans"/>
        </w:rPr>
        <w:t xml:space="preserve">Senior </w:t>
      </w:r>
      <w:r w:rsidRPr="006D51C4">
        <w:rPr>
          <w:rFonts w:ascii="Open Sans" w:eastAsia="Open Sans" w:hAnsi="Open Sans" w:cs="Open Sans"/>
        </w:rPr>
        <w:t>Secondary, Ksh. 3,500 for special needs in primary and Ksh. 35</w:t>
      </w:r>
      <w:r w:rsidR="00B91DB9" w:rsidRPr="006D51C4">
        <w:rPr>
          <w:rFonts w:ascii="Open Sans" w:eastAsia="Open Sans" w:hAnsi="Open Sans" w:cs="Open Sans"/>
        </w:rPr>
        <w:t>,</w:t>
      </w:r>
      <w:r w:rsidRPr="006D51C4">
        <w:rPr>
          <w:rFonts w:ascii="Open Sans" w:eastAsia="Open Sans" w:hAnsi="Open Sans" w:cs="Open Sans"/>
        </w:rPr>
        <w:t>000 for special needs in boarding secondary respectively.</w:t>
      </w:r>
      <w:r w:rsidRPr="006D51C4">
        <w:rPr>
          <w:rFonts w:ascii="Open Sans" w:eastAsia="Open Sans" w:hAnsi="Open Sans" w:cs="Open Sans"/>
          <w:vertAlign w:val="superscript"/>
        </w:rPr>
        <w:footnoteReference w:id="27"/>
      </w:r>
      <w:r w:rsidRPr="006D51C4">
        <w:rPr>
          <w:rFonts w:ascii="Open Sans" w:eastAsia="Open Sans" w:hAnsi="Open Sans" w:cs="Open Sans"/>
        </w:rPr>
        <w:t xml:space="preserve"> </w:t>
      </w:r>
    </w:p>
    <w:p w14:paraId="59E2CEC5" w14:textId="4BD06FA4" w:rsidR="744C53E1" w:rsidRPr="006D51C4" w:rsidRDefault="007B70D4" w:rsidP="744C53E1">
      <w:pPr>
        <w:pStyle w:val="ListParagraph"/>
        <w:numPr>
          <w:ilvl w:val="0"/>
          <w:numId w:val="1"/>
        </w:numPr>
        <w:spacing w:before="240" w:after="240"/>
        <w:jc w:val="both"/>
        <w:rPr>
          <w:rFonts w:ascii="Open Sans" w:eastAsia="Open Sans" w:hAnsi="Open Sans" w:cs="Open Sans"/>
        </w:rPr>
      </w:pPr>
      <w:r w:rsidRPr="006D51C4">
        <w:rPr>
          <w:rFonts w:ascii="Open Sans" w:eastAsia="Open Sans" w:hAnsi="Open Sans" w:cs="Open Sans"/>
        </w:rPr>
        <w:t xml:space="preserve">On the issue of private schools especially with regard to Alternative Provision </w:t>
      </w:r>
      <w:r w:rsidR="0056613B">
        <w:rPr>
          <w:rFonts w:ascii="Open Sans" w:eastAsia="Open Sans" w:hAnsi="Open Sans" w:cs="Open Sans"/>
        </w:rPr>
        <w:t>of</w:t>
      </w:r>
      <w:r w:rsidR="0056613B" w:rsidRPr="006D51C4">
        <w:rPr>
          <w:rFonts w:ascii="Open Sans" w:eastAsia="Open Sans" w:hAnsi="Open Sans" w:cs="Open Sans"/>
        </w:rPr>
        <w:t xml:space="preserve"> </w:t>
      </w:r>
      <w:r w:rsidRPr="006D51C4">
        <w:rPr>
          <w:rFonts w:ascii="Open Sans" w:eastAsia="Open Sans" w:hAnsi="Open Sans" w:cs="Open Sans"/>
        </w:rPr>
        <w:t xml:space="preserve">Basic Education and Training (APBET) schools, </w:t>
      </w:r>
      <w:r w:rsidR="744C53E1" w:rsidRPr="006D51C4">
        <w:rPr>
          <w:rFonts w:ascii="Open Sans" w:eastAsia="Open Sans" w:hAnsi="Open Sans" w:cs="Open Sans"/>
        </w:rPr>
        <w:t>the pandemic also exposed the fragility of the private education system, with many low-cost private schools and APBET schools unable to reopen, leaving children without access to education.</w:t>
      </w:r>
      <w:r w:rsidR="744C53E1" w:rsidRPr="006D51C4">
        <w:rPr>
          <w:rFonts w:ascii="Open Sans" w:eastAsia="Open Sans" w:hAnsi="Open Sans" w:cs="Open Sans"/>
          <w:vertAlign w:val="superscript"/>
        </w:rPr>
        <w:footnoteReference w:id="28"/>
      </w:r>
    </w:p>
    <w:p w14:paraId="7CF5EC99" w14:textId="1657D4BA" w:rsidR="009623A1" w:rsidRPr="006D51C4" w:rsidRDefault="007B70D4" w:rsidP="744C53E1">
      <w:pPr>
        <w:pStyle w:val="ListParagraph"/>
        <w:numPr>
          <w:ilvl w:val="0"/>
          <w:numId w:val="1"/>
        </w:numPr>
        <w:spacing w:before="240" w:after="240"/>
        <w:jc w:val="both"/>
        <w:rPr>
          <w:rFonts w:ascii="Open Sans" w:eastAsia="Open Sans" w:hAnsi="Open Sans" w:cs="Open Sans"/>
        </w:rPr>
      </w:pPr>
      <w:r w:rsidRPr="006D51C4">
        <w:rPr>
          <w:rFonts w:ascii="Open Sans" w:eastAsia="Open Sans" w:hAnsi="Open Sans" w:cs="Open Sans"/>
        </w:rPr>
        <w:t>Kenya's report to the Committee and the replies to the list of issues states that the Ministry of Education has provided Registration Guidelines for APBET schools in 2015. However, the 2021 Registration Guidelines for Basic Education Institutions set out the requirements that institutions offering basic education and training must meet in order to be registered under Section 76</w:t>
      </w:r>
      <w:r w:rsidR="008756B6">
        <w:rPr>
          <w:rFonts w:ascii="Open Sans" w:eastAsia="Open Sans" w:hAnsi="Open Sans" w:cs="Open Sans"/>
        </w:rPr>
        <w:t xml:space="preserve"> </w:t>
      </w:r>
      <w:r w:rsidRPr="006D51C4">
        <w:rPr>
          <w:rFonts w:ascii="Open Sans" w:eastAsia="Open Sans" w:hAnsi="Open Sans" w:cs="Open Sans"/>
        </w:rPr>
        <w:t xml:space="preserve">(1) of the </w:t>
      </w:r>
      <w:r w:rsidR="008E2941" w:rsidRPr="006D51C4">
        <w:rPr>
          <w:rFonts w:ascii="Open Sans" w:eastAsia="Open Sans" w:hAnsi="Open Sans" w:cs="Open Sans"/>
        </w:rPr>
        <w:t xml:space="preserve">2015 </w:t>
      </w:r>
      <w:r w:rsidRPr="006D51C4">
        <w:rPr>
          <w:rFonts w:ascii="Open Sans" w:eastAsia="Open Sans" w:hAnsi="Open Sans" w:cs="Open Sans"/>
        </w:rPr>
        <w:t xml:space="preserve">Basic Education Act. There is </w:t>
      </w:r>
      <w:r w:rsidR="00721425">
        <w:rPr>
          <w:rFonts w:ascii="Open Sans" w:eastAsia="Open Sans" w:hAnsi="Open Sans" w:cs="Open Sans"/>
        </w:rPr>
        <w:t>still</w:t>
      </w:r>
      <w:r w:rsidRPr="006D51C4">
        <w:rPr>
          <w:rFonts w:ascii="Open Sans" w:eastAsia="Open Sans" w:hAnsi="Open Sans" w:cs="Open Sans"/>
        </w:rPr>
        <w:t xml:space="preserve"> a need for clearer guidelines on the regulation of APBET schools</w:t>
      </w:r>
      <w:r w:rsidR="0061489E" w:rsidRPr="006D51C4">
        <w:rPr>
          <w:rFonts w:ascii="Open Sans" w:eastAsia="Open Sans" w:hAnsi="Open Sans" w:cs="Open Sans"/>
        </w:rPr>
        <w:t>, recognising that the</w:t>
      </w:r>
      <w:r w:rsidRPr="006D51C4">
        <w:rPr>
          <w:rFonts w:ascii="Open Sans" w:eastAsia="Open Sans" w:hAnsi="Open Sans" w:cs="Open Sans"/>
        </w:rPr>
        <w:t xml:space="preserve"> provisions </w:t>
      </w:r>
      <w:r w:rsidR="0061489E" w:rsidRPr="006D51C4">
        <w:rPr>
          <w:rFonts w:ascii="Open Sans" w:eastAsia="Open Sans" w:hAnsi="Open Sans" w:cs="Open Sans"/>
        </w:rPr>
        <w:t>included in</w:t>
      </w:r>
      <w:r w:rsidRPr="006D51C4">
        <w:rPr>
          <w:rFonts w:ascii="Open Sans" w:eastAsia="Open Sans" w:hAnsi="Open Sans" w:cs="Open Sans"/>
        </w:rPr>
        <w:t xml:space="preserve"> the 2015 the Registration Guidelines for APBET and the 2021 Guidelines </w:t>
      </w:r>
      <w:r w:rsidR="0061489E" w:rsidRPr="006D51C4">
        <w:rPr>
          <w:rFonts w:ascii="Open Sans" w:eastAsia="Open Sans" w:hAnsi="Open Sans" w:cs="Open Sans"/>
        </w:rPr>
        <w:t>differ when it comes to</w:t>
      </w:r>
      <w:r w:rsidRPr="006D51C4">
        <w:rPr>
          <w:rFonts w:ascii="Open Sans" w:eastAsia="Open Sans" w:hAnsi="Open Sans" w:cs="Open Sans"/>
        </w:rPr>
        <w:t xml:space="preserve"> the registration of APBET</w:t>
      </w:r>
      <w:r w:rsidR="00DA7FA3">
        <w:rPr>
          <w:rFonts w:ascii="Open Sans" w:eastAsia="Open Sans" w:hAnsi="Open Sans" w:cs="Open Sans"/>
        </w:rPr>
        <w:t xml:space="preserve"> schools</w:t>
      </w:r>
      <w:r w:rsidRPr="006D51C4">
        <w:rPr>
          <w:rFonts w:ascii="Open Sans" w:eastAsia="Open Sans" w:hAnsi="Open Sans" w:cs="Open Sans"/>
        </w:rPr>
        <w:t>.</w:t>
      </w:r>
    </w:p>
    <w:p w14:paraId="4165CB0D" w14:textId="2C308611" w:rsidR="744C53E1" w:rsidRPr="00721425" w:rsidRDefault="744C53E1" w:rsidP="00721425">
      <w:pPr>
        <w:pStyle w:val="ListParagraph"/>
        <w:numPr>
          <w:ilvl w:val="0"/>
          <w:numId w:val="1"/>
        </w:numPr>
        <w:spacing w:before="240" w:after="240"/>
        <w:jc w:val="both"/>
        <w:rPr>
          <w:rFonts w:ascii="Open Sans" w:eastAsia="Open Sans" w:hAnsi="Open Sans" w:cs="Open Sans"/>
        </w:rPr>
      </w:pPr>
      <w:r w:rsidRPr="006D51C4">
        <w:rPr>
          <w:rFonts w:ascii="Open Sans" w:eastAsia="Open Sans" w:hAnsi="Open Sans" w:cs="Open Sans"/>
        </w:rPr>
        <w:t xml:space="preserve">There is a challenge </w:t>
      </w:r>
      <w:r w:rsidR="00F95CFB">
        <w:rPr>
          <w:rFonts w:ascii="Open Sans" w:eastAsia="Open Sans" w:hAnsi="Open Sans" w:cs="Open Sans"/>
        </w:rPr>
        <w:t xml:space="preserve">regarding availability of public education </w:t>
      </w:r>
      <w:r w:rsidRPr="006D51C4">
        <w:rPr>
          <w:rFonts w:ascii="Open Sans" w:eastAsia="Open Sans" w:hAnsi="Open Sans" w:cs="Open Sans"/>
        </w:rPr>
        <w:t xml:space="preserve">especially in the informal settlements where the few available </w:t>
      </w:r>
      <w:r w:rsidR="00FF32E4">
        <w:rPr>
          <w:rFonts w:ascii="Open Sans" w:eastAsia="Open Sans" w:hAnsi="Open Sans" w:cs="Open Sans"/>
        </w:rPr>
        <w:t xml:space="preserve">public </w:t>
      </w:r>
      <w:r w:rsidR="006B6FA2">
        <w:rPr>
          <w:rFonts w:ascii="Open Sans" w:eastAsia="Open Sans" w:hAnsi="Open Sans" w:cs="Open Sans"/>
        </w:rPr>
        <w:t>schools</w:t>
      </w:r>
      <w:r w:rsidRPr="006D51C4">
        <w:rPr>
          <w:rFonts w:ascii="Open Sans" w:eastAsia="Open Sans" w:hAnsi="Open Sans" w:cs="Open Sans"/>
        </w:rPr>
        <w:t xml:space="preserve"> are overcrowded.</w:t>
      </w:r>
      <w:r w:rsidRPr="006D51C4">
        <w:rPr>
          <w:rFonts w:ascii="Open Sans" w:eastAsia="Open Sans" w:hAnsi="Open Sans" w:cs="Open Sans"/>
          <w:vertAlign w:val="superscript"/>
        </w:rPr>
        <w:footnoteReference w:id="29"/>
      </w:r>
      <w:r w:rsidRPr="006D51C4">
        <w:rPr>
          <w:rFonts w:ascii="Open Sans" w:eastAsia="Open Sans" w:hAnsi="Open Sans" w:cs="Open Sans"/>
        </w:rPr>
        <w:t xml:space="preserve"> </w:t>
      </w:r>
      <w:r w:rsidR="00FF32E4" w:rsidRPr="006D51C4">
        <w:rPr>
          <w:rFonts w:ascii="Open Sans" w:eastAsia="Open Sans" w:hAnsi="Open Sans" w:cs="Open Sans"/>
        </w:rPr>
        <w:t xml:space="preserve">This </w:t>
      </w:r>
      <w:r w:rsidR="00EC153E">
        <w:rPr>
          <w:rFonts w:ascii="Open Sans" w:eastAsia="Open Sans" w:hAnsi="Open Sans" w:cs="Open Sans"/>
        </w:rPr>
        <w:t xml:space="preserve">places </w:t>
      </w:r>
      <w:r w:rsidRPr="006D51C4">
        <w:rPr>
          <w:rFonts w:ascii="Open Sans" w:eastAsia="Open Sans" w:hAnsi="Open Sans" w:cs="Open Sans"/>
        </w:rPr>
        <w:t>an additional strain on teachers as the ratio of teacher-to-learner is imbalanced, thus compromising the quality of education.</w:t>
      </w:r>
    </w:p>
    <w:p w14:paraId="4C11F2B7" w14:textId="77777777" w:rsidR="009623A1" w:rsidRPr="006D51C4" w:rsidRDefault="007B70D4">
      <w:pPr>
        <w:spacing w:before="240" w:after="240"/>
        <w:jc w:val="both"/>
        <w:rPr>
          <w:rFonts w:ascii="Open Sans" w:eastAsia="Open Sans" w:hAnsi="Open Sans" w:cs="Open Sans"/>
          <w:b/>
        </w:rPr>
      </w:pPr>
      <w:r w:rsidRPr="006D51C4">
        <w:rPr>
          <w:rFonts w:ascii="Open Sans" w:eastAsia="Open Sans" w:hAnsi="Open Sans" w:cs="Open Sans"/>
          <w:b/>
        </w:rPr>
        <w:t>Right to health</w:t>
      </w:r>
    </w:p>
    <w:p w14:paraId="67993FAD" w14:textId="77777777" w:rsidR="009623A1" w:rsidRPr="006D51C4" w:rsidRDefault="007B70D4">
      <w:pPr>
        <w:numPr>
          <w:ilvl w:val="0"/>
          <w:numId w:val="1"/>
        </w:numPr>
        <w:spacing w:before="240"/>
        <w:jc w:val="both"/>
        <w:rPr>
          <w:rFonts w:ascii="Open Sans" w:eastAsia="Open Sans" w:hAnsi="Open Sans" w:cs="Open Sans"/>
        </w:rPr>
      </w:pPr>
      <w:r w:rsidRPr="006D51C4">
        <w:rPr>
          <w:rFonts w:ascii="Open Sans" w:eastAsia="Open Sans" w:hAnsi="Open Sans" w:cs="Open Sans"/>
          <w:highlight w:val="white"/>
        </w:rPr>
        <w:t>Article 43 (1) (a) of the Kenyan Constitution 2010 provides that every person has the right to the highest attainable standard of health, including the right to health care services and reproductive health care, and sub-Article 2 provides that a person shall not be denied emergency medical treatment.</w:t>
      </w:r>
    </w:p>
    <w:p w14:paraId="7D2CD0F2" w14:textId="2A89BD44" w:rsidR="009623A1" w:rsidRPr="006D51C4" w:rsidRDefault="007B70D4">
      <w:pPr>
        <w:numPr>
          <w:ilvl w:val="0"/>
          <w:numId w:val="1"/>
        </w:numPr>
        <w:jc w:val="both"/>
        <w:rPr>
          <w:rFonts w:ascii="Open Sans" w:hAnsi="Open Sans" w:cs="Open Sans"/>
          <w:highlight w:val="white"/>
        </w:rPr>
      </w:pPr>
      <w:r w:rsidRPr="006D51C4">
        <w:rPr>
          <w:rFonts w:ascii="Open Sans" w:eastAsia="Open Sans" w:hAnsi="Open Sans" w:cs="Open Sans"/>
          <w:highlight w:val="white"/>
        </w:rPr>
        <w:t xml:space="preserve">This Committee in its </w:t>
      </w:r>
      <w:r w:rsidRPr="006D51C4">
        <w:rPr>
          <w:rFonts w:ascii="Open Sans" w:eastAsia="Open Sans" w:hAnsi="Open Sans" w:cs="Open Sans"/>
        </w:rPr>
        <w:t xml:space="preserve"> </w:t>
      </w:r>
      <w:r w:rsidRPr="006D51C4">
        <w:rPr>
          <w:rFonts w:ascii="Open Sans" w:eastAsia="Open Sans" w:hAnsi="Open Sans" w:cs="Open Sans"/>
          <w:b/>
        </w:rPr>
        <w:t>2016 Concluding Observations</w:t>
      </w:r>
      <w:r w:rsidRPr="006D51C4">
        <w:rPr>
          <w:rFonts w:ascii="Open Sans" w:eastAsia="Open Sans" w:hAnsi="Open Sans" w:cs="Open Sans"/>
        </w:rPr>
        <w:t xml:space="preserve">, emphasised the need for Kenya to increase its health sector funding, expand the health insurance coverage, </w:t>
      </w:r>
      <w:r w:rsidRPr="006D51C4">
        <w:rPr>
          <w:rFonts w:ascii="Open Sans" w:eastAsia="Open Sans" w:hAnsi="Open Sans" w:cs="Open Sans"/>
        </w:rPr>
        <w:lastRenderedPageBreak/>
        <w:t>and expedite the adoption of the Health Bill and amendments to the Anti-Counterfeit Act.</w:t>
      </w:r>
      <w:r w:rsidRPr="006D51C4">
        <w:rPr>
          <w:rFonts w:ascii="Open Sans" w:eastAsia="Open Sans" w:hAnsi="Open Sans" w:cs="Open Sans"/>
          <w:vertAlign w:val="superscript"/>
        </w:rPr>
        <w:footnoteReference w:id="30"/>
      </w:r>
    </w:p>
    <w:p w14:paraId="3B58D2D8" w14:textId="723C61FF" w:rsidR="009623A1" w:rsidRPr="006D51C4" w:rsidRDefault="007B70D4">
      <w:pPr>
        <w:numPr>
          <w:ilvl w:val="0"/>
          <w:numId w:val="1"/>
        </w:numPr>
        <w:jc w:val="both"/>
        <w:rPr>
          <w:rFonts w:ascii="Open Sans" w:eastAsia="Open Sans" w:hAnsi="Open Sans" w:cs="Open Sans"/>
        </w:rPr>
      </w:pPr>
      <w:r w:rsidRPr="006D51C4">
        <w:rPr>
          <w:rFonts w:ascii="Open Sans" w:eastAsia="Open Sans" w:hAnsi="Open Sans" w:cs="Open Sans"/>
        </w:rPr>
        <w:t xml:space="preserve">Kenya’s report and replies to the list of issues to this Committee does not provide clarity on state funding for public health care services. Regarding private providers of health care services, Kenya’s reply to the list of issues vaguely </w:t>
      </w:r>
      <w:r w:rsidR="00065A39">
        <w:rPr>
          <w:rFonts w:ascii="Open Sans" w:eastAsia="Open Sans" w:hAnsi="Open Sans" w:cs="Open Sans"/>
        </w:rPr>
        <w:t>indicates</w:t>
      </w:r>
      <w:r w:rsidR="00065A39" w:rsidRPr="006D51C4">
        <w:rPr>
          <w:rFonts w:ascii="Open Sans" w:eastAsia="Open Sans" w:hAnsi="Open Sans" w:cs="Open Sans"/>
        </w:rPr>
        <w:t xml:space="preserve"> </w:t>
      </w:r>
      <w:r w:rsidRPr="006D51C4">
        <w:rPr>
          <w:rFonts w:ascii="Open Sans" w:eastAsia="Open Sans" w:hAnsi="Open Sans" w:cs="Open Sans"/>
        </w:rPr>
        <w:t>that there are several frameworks set up to monitor non-state providers and private actors in Kenya’s health sector. However, the State does not provide a comprehensive list</w:t>
      </w:r>
      <w:r w:rsidR="000E48EA" w:rsidRPr="006D51C4">
        <w:rPr>
          <w:rFonts w:ascii="Open Sans" w:eastAsia="Open Sans" w:hAnsi="Open Sans" w:cs="Open Sans"/>
        </w:rPr>
        <w:t xml:space="preserve"> for reference</w:t>
      </w:r>
      <w:r w:rsidRPr="006D51C4">
        <w:rPr>
          <w:rFonts w:ascii="Open Sans" w:eastAsia="Open Sans" w:hAnsi="Open Sans" w:cs="Open Sans"/>
        </w:rPr>
        <w:t xml:space="preserve"> of the relevant regulations.</w:t>
      </w:r>
      <w:r w:rsidRPr="006D51C4">
        <w:rPr>
          <w:rFonts w:ascii="Open Sans" w:eastAsia="Open Sans" w:hAnsi="Open Sans" w:cs="Open Sans"/>
          <w:vertAlign w:val="superscript"/>
        </w:rPr>
        <w:footnoteReference w:id="31"/>
      </w:r>
    </w:p>
    <w:p w14:paraId="04EFBD07" w14:textId="3BFB0B02" w:rsidR="744C53E1" w:rsidRPr="006D51C4" w:rsidRDefault="744C53E1" w:rsidP="744C53E1">
      <w:pPr>
        <w:numPr>
          <w:ilvl w:val="0"/>
          <w:numId w:val="1"/>
        </w:numPr>
        <w:jc w:val="both"/>
        <w:rPr>
          <w:rFonts w:ascii="Open Sans" w:eastAsia="Open Sans" w:hAnsi="Open Sans" w:cs="Open Sans"/>
        </w:rPr>
      </w:pPr>
      <w:r w:rsidRPr="006D51C4">
        <w:rPr>
          <w:rFonts w:ascii="Open Sans" w:eastAsia="Open Sans" w:hAnsi="Open Sans" w:cs="Open Sans"/>
        </w:rPr>
        <w:t>Public healthcare remains underfunded, with minimal infrastructure and staff to meet demand. The national health budget allocation consistently falls below international recommendations with only 3.69% of the national budget and 0.97% of GDP allocated in 2022/23.</w:t>
      </w:r>
      <w:r w:rsidRPr="006D51C4">
        <w:rPr>
          <w:rFonts w:ascii="Open Sans" w:eastAsia="Open Sans" w:hAnsi="Open Sans" w:cs="Open Sans"/>
          <w:vertAlign w:val="superscript"/>
        </w:rPr>
        <w:footnoteReference w:id="32"/>
      </w:r>
      <w:r w:rsidRPr="006D51C4">
        <w:rPr>
          <w:rFonts w:ascii="Open Sans" w:eastAsia="Open Sans" w:hAnsi="Open Sans" w:cs="Open Sans"/>
        </w:rPr>
        <w:t xml:space="preserve"> This is far below the Abuja Declaration’s </w:t>
      </w:r>
      <w:r w:rsidR="00013951">
        <w:rPr>
          <w:rFonts w:ascii="Open Sans" w:eastAsia="Open Sans" w:hAnsi="Open Sans" w:cs="Open Sans"/>
        </w:rPr>
        <w:t>minimum threshold</w:t>
      </w:r>
      <w:r w:rsidR="00013951" w:rsidRPr="006D51C4">
        <w:rPr>
          <w:rFonts w:ascii="Open Sans" w:eastAsia="Open Sans" w:hAnsi="Open Sans" w:cs="Open Sans"/>
        </w:rPr>
        <w:t xml:space="preserve"> </w:t>
      </w:r>
      <w:r w:rsidRPr="006D51C4">
        <w:rPr>
          <w:rFonts w:ascii="Open Sans" w:eastAsia="Open Sans" w:hAnsi="Open Sans" w:cs="Open Sans"/>
        </w:rPr>
        <w:t xml:space="preserve">of 15% </w:t>
      </w:r>
      <w:r w:rsidR="006F22C6">
        <w:rPr>
          <w:rFonts w:ascii="Open Sans" w:eastAsia="Open Sans" w:hAnsi="Open Sans" w:cs="Open Sans"/>
        </w:rPr>
        <w:t>of annual budget</w:t>
      </w:r>
      <w:r w:rsidRPr="006D51C4">
        <w:rPr>
          <w:rFonts w:ascii="Open Sans" w:eastAsia="Open Sans" w:hAnsi="Open Sans" w:cs="Open Sans"/>
        </w:rPr>
        <w:t xml:space="preserve"> and</w:t>
      </w:r>
      <w:r w:rsidR="004049D3">
        <w:rPr>
          <w:rFonts w:ascii="Open Sans" w:eastAsia="Open Sans" w:hAnsi="Open Sans" w:cs="Open Sans"/>
        </w:rPr>
        <w:t xml:space="preserve"> the</w:t>
      </w:r>
      <w:r w:rsidRPr="006D51C4">
        <w:rPr>
          <w:rFonts w:ascii="Open Sans" w:eastAsia="Open Sans" w:hAnsi="Open Sans" w:cs="Open Sans"/>
        </w:rPr>
        <w:t xml:space="preserve"> WHO’s recommendation of 5% </w:t>
      </w:r>
      <w:r w:rsidR="006F22C6">
        <w:rPr>
          <w:rFonts w:ascii="Open Sans" w:eastAsia="Open Sans" w:hAnsi="Open Sans" w:cs="Open Sans"/>
        </w:rPr>
        <w:t xml:space="preserve">of </w:t>
      </w:r>
      <w:r w:rsidRPr="006D51C4">
        <w:rPr>
          <w:rFonts w:ascii="Open Sans" w:eastAsia="Open Sans" w:hAnsi="Open Sans" w:cs="Open Sans"/>
        </w:rPr>
        <w:t xml:space="preserve">GDP. Furthermore, inadequate allocation limits the reach of critical healthcare programs, including Universal Health </w:t>
      </w:r>
      <w:r w:rsidR="00B63A4D">
        <w:rPr>
          <w:rFonts w:ascii="Open Sans" w:eastAsia="Open Sans" w:hAnsi="Open Sans" w:cs="Open Sans"/>
        </w:rPr>
        <w:t>C</w:t>
      </w:r>
      <w:r w:rsidRPr="006D51C4">
        <w:rPr>
          <w:rFonts w:ascii="Open Sans" w:eastAsia="Open Sans" w:hAnsi="Open Sans" w:cs="Open Sans"/>
        </w:rPr>
        <w:t>overage (UHC) initiatives and services for marginalised populations.</w:t>
      </w:r>
      <w:r w:rsidRPr="006D51C4">
        <w:rPr>
          <w:rFonts w:ascii="Open Sans" w:eastAsia="Open Sans" w:hAnsi="Open Sans" w:cs="Open Sans"/>
          <w:vertAlign w:val="superscript"/>
        </w:rPr>
        <w:footnoteReference w:id="33"/>
      </w:r>
    </w:p>
    <w:p w14:paraId="00D8F334" w14:textId="4600D919" w:rsidR="744C53E1" w:rsidRPr="0061617A" w:rsidRDefault="744C53E1" w:rsidP="0061617A">
      <w:pPr>
        <w:numPr>
          <w:ilvl w:val="0"/>
          <w:numId w:val="1"/>
        </w:numPr>
        <w:jc w:val="both"/>
        <w:rPr>
          <w:rFonts w:ascii="Open Sans" w:eastAsia="Open Sans" w:hAnsi="Open Sans" w:cs="Open Sans"/>
        </w:rPr>
      </w:pPr>
      <w:r w:rsidRPr="006D51C4">
        <w:rPr>
          <w:rFonts w:ascii="Open Sans" w:eastAsia="Open Sans" w:hAnsi="Open Sans" w:cs="Open Sans"/>
        </w:rPr>
        <w:t>The challenge with the accessibility and availability of public hospitals has led to the continued growth of privatised healthcare services,</w:t>
      </w:r>
      <w:r w:rsidRPr="006D51C4">
        <w:rPr>
          <w:rFonts w:ascii="Open Sans" w:eastAsia="Open Sans" w:hAnsi="Open Sans" w:cs="Open Sans"/>
          <w:vertAlign w:val="superscript"/>
        </w:rPr>
        <w:footnoteReference w:id="34"/>
      </w:r>
      <w:r w:rsidRPr="006D51C4">
        <w:rPr>
          <w:rFonts w:ascii="Open Sans" w:eastAsia="Open Sans" w:hAnsi="Open Sans" w:cs="Open Sans"/>
        </w:rPr>
        <w:t xml:space="preserve"> including unregistered clinics that often provide substandard care, disproportionately affecting marginalised communities.</w:t>
      </w:r>
      <w:r w:rsidRPr="006D51C4">
        <w:rPr>
          <w:rFonts w:ascii="Open Sans" w:eastAsia="Open Sans" w:hAnsi="Open Sans" w:cs="Open Sans"/>
          <w:vertAlign w:val="superscript"/>
        </w:rPr>
        <w:footnoteReference w:id="35"/>
      </w:r>
      <w:r w:rsidRPr="006D51C4">
        <w:rPr>
          <w:rFonts w:ascii="Open Sans" w:eastAsia="Open Sans" w:hAnsi="Open Sans" w:cs="Open Sans"/>
          <w:vertAlign w:val="superscript"/>
        </w:rPr>
        <w:t xml:space="preserve"> </w:t>
      </w:r>
      <w:r w:rsidRPr="006D51C4">
        <w:rPr>
          <w:rFonts w:ascii="Open Sans" w:eastAsia="Open Sans" w:hAnsi="Open Sans" w:cs="Open Sans"/>
        </w:rPr>
        <w:t>The reliance on private actors, combined with weak regulation, perpetuates inequities in healthcare access and quality.</w:t>
      </w:r>
    </w:p>
    <w:p w14:paraId="599D76EB" w14:textId="50281BD6" w:rsidR="009623A1" w:rsidRPr="006D51C4" w:rsidRDefault="007B70D4">
      <w:pPr>
        <w:numPr>
          <w:ilvl w:val="0"/>
          <w:numId w:val="1"/>
        </w:numPr>
        <w:spacing w:after="240"/>
        <w:jc w:val="both"/>
        <w:rPr>
          <w:rFonts w:ascii="Open Sans" w:eastAsia="Open Sans" w:hAnsi="Open Sans" w:cs="Open Sans"/>
        </w:rPr>
      </w:pPr>
      <w:r w:rsidRPr="006D51C4">
        <w:rPr>
          <w:rFonts w:ascii="Open Sans" w:eastAsia="Open Sans" w:hAnsi="Open Sans" w:cs="Open Sans"/>
        </w:rPr>
        <w:t xml:space="preserve">Despite nominal increases in government health expenditure, healthcare financing remains inadequate to ensure universal access. This continues to widen the gap in terms of availability and accessibility of healthcare, and privatisation continues to dominate the healthcare sector. </w:t>
      </w:r>
      <w:r w:rsidR="007B5E35" w:rsidRPr="007B5E35">
        <w:rPr>
          <w:rFonts w:ascii="Open Sans" w:eastAsia="Open Sans" w:hAnsi="Open Sans" w:cs="Open Sans"/>
        </w:rPr>
        <w:t>The for-profit share of health</w:t>
      </w:r>
      <w:r w:rsidR="0057502C">
        <w:rPr>
          <w:rFonts w:ascii="Open Sans" w:eastAsia="Open Sans" w:hAnsi="Open Sans" w:cs="Open Sans"/>
        </w:rPr>
        <w:t>care</w:t>
      </w:r>
      <w:r w:rsidR="007B5E35" w:rsidRPr="007B5E35">
        <w:rPr>
          <w:rFonts w:ascii="Open Sans" w:eastAsia="Open Sans" w:hAnsi="Open Sans" w:cs="Open Sans"/>
        </w:rPr>
        <w:t xml:space="preserve"> providers has grown rapidly over the past decade, increasing from 33% to 43% of the total between 2013 and 202</w:t>
      </w:r>
      <w:r w:rsidR="003473EF">
        <w:rPr>
          <w:rFonts w:ascii="Open Sans" w:eastAsia="Open Sans" w:hAnsi="Open Sans" w:cs="Open Sans"/>
        </w:rPr>
        <w:t>1.</w:t>
      </w:r>
      <w:r w:rsidR="00BA2D40">
        <w:rPr>
          <w:rStyle w:val="FootnoteReference"/>
          <w:rFonts w:ascii="Open Sans" w:eastAsia="Open Sans" w:hAnsi="Open Sans" w:cs="Open Sans"/>
        </w:rPr>
        <w:footnoteReference w:id="36"/>
      </w:r>
      <w:r w:rsidR="003473EF">
        <w:rPr>
          <w:rFonts w:ascii="Open Sans" w:eastAsia="Open Sans" w:hAnsi="Open Sans" w:cs="Open Sans"/>
        </w:rPr>
        <w:t xml:space="preserve"> </w:t>
      </w:r>
      <w:r w:rsidRPr="006D51C4">
        <w:rPr>
          <w:rFonts w:ascii="Open Sans" w:eastAsia="Open Sans" w:hAnsi="Open Sans" w:cs="Open Sans"/>
        </w:rPr>
        <w:t xml:space="preserve">This has led to unequal access to quality services and heightened </w:t>
      </w:r>
      <w:r w:rsidRPr="006D51C4">
        <w:rPr>
          <w:rFonts w:ascii="Open Sans" w:eastAsia="Open Sans" w:hAnsi="Open Sans" w:cs="Open Sans"/>
        </w:rPr>
        <w:lastRenderedPageBreak/>
        <w:t>risks for marginalised populations.</w:t>
      </w:r>
      <w:r w:rsidRPr="006D51C4">
        <w:rPr>
          <w:rFonts w:ascii="Open Sans" w:eastAsia="Open Sans" w:hAnsi="Open Sans" w:cs="Open Sans"/>
          <w:vertAlign w:val="superscript"/>
        </w:rPr>
        <w:footnoteReference w:id="37"/>
      </w:r>
      <w:r w:rsidRPr="006D51C4">
        <w:rPr>
          <w:rFonts w:ascii="Open Sans" w:eastAsia="Open Sans" w:hAnsi="Open Sans" w:cs="Open Sans"/>
        </w:rPr>
        <w:t xml:space="preserve"> While Kenya has enacted frameworks like the Kenya Health Policy (2014-2030) and the Social Health Insurance Act (2023) to replace the National Health Insurance Act (2022), implementation gaps persist due to inadequate funding, weak governance and policies. For example, the Social Healthcare Insurance Fund -created by the Social Health Insurance Act- lacks equity-focused mechanisms to protect low-income populations from financial burdens</w:t>
      </w:r>
      <w:r w:rsidR="00442EEF" w:rsidRPr="006D51C4">
        <w:rPr>
          <w:rFonts w:ascii="Open Sans" w:eastAsia="Open Sans" w:hAnsi="Open Sans" w:cs="Open Sans"/>
        </w:rPr>
        <w:t>.</w:t>
      </w:r>
    </w:p>
    <w:p w14:paraId="3D254D8B" w14:textId="62A30ECA" w:rsidR="009623A1" w:rsidRDefault="744C53E1">
      <w:pPr>
        <w:spacing w:before="240" w:after="240"/>
        <w:jc w:val="both"/>
        <w:rPr>
          <w:rFonts w:ascii="Open Sans" w:eastAsia="Open Sans" w:hAnsi="Open Sans" w:cs="Open Sans"/>
          <w:b/>
          <w:bCs/>
        </w:rPr>
      </w:pPr>
      <w:r w:rsidRPr="006D51C4">
        <w:rPr>
          <w:rFonts w:ascii="Open Sans" w:eastAsia="Open Sans" w:hAnsi="Open Sans" w:cs="Open Sans"/>
          <w:b/>
          <w:bCs/>
        </w:rPr>
        <w:t xml:space="preserve"> </w:t>
      </w:r>
      <w:r w:rsidR="00552B0E" w:rsidRPr="006D51C4">
        <w:rPr>
          <w:rFonts w:ascii="Open Sans" w:eastAsia="Open Sans" w:hAnsi="Open Sans" w:cs="Open Sans"/>
          <w:b/>
          <w:bCs/>
        </w:rPr>
        <w:t>R</w:t>
      </w:r>
      <w:r w:rsidRPr="006D51C4">
        <w:rPr>
          <w:rFonts w:ascii="Open Sans" w:eastAsia="Open Sans" w:hAnsi="Open Sans" w:cs="Open Sans"/>
          <w:b/>
          <w:bCs/>
        </w:rPr>
        <w:t>ecommendations</w:t>
      </w:r>
    </w:p>
    <w:p w14:paraId="4D787CF2" w14:textId="28E230F5" w:rsidR="00B8621A" w:rsidRPr="00B8621A" w:rsidRDefault="00B8621A" w:rsidP="00B8621A">
      <w:pPr>
        <w:numPr>
          <w:ilvl w:val="0"/>
          <w:numId w:val="1"/>
        </w:numPr>
        <w:spacing w:before="240"/>
        <w:jc w:val="both"/>
        <w:rPr>
          <w:rFonts w:ascii="Open Sans" w:eastAsia="Open Sans" w:hAnsi="Open Sans" w:cs="Open Sans"/>
        </w:rPr>
      </w:pPr>
      <w:r w:rsidRPr="006D51C4">
        <w:rPr>
          <w:rFonts w:ascii="Open Sans" w:eastAsia="Open Sans" w:hAnsi="Open Sans" w:cs="Open Sans"/>
        </w:rPr>
        <w:t xml:space="preserve">Kenya needs to address the structural drivers of inequality, that include regressive tax measures </w:t>
      </w:r>
      <w:r w:rsidR="00A23691">
        <w:rPr>
          <w:rFonts w:ascii="Open Sans" w:eastAsia="Open Sans" w:hAnsi="Open Sans" w:cs="Open Sans"/>
        </w:rPr>
        <w:t>which</w:t>
      </w:r>
      <w:r w:rsidR="00A23691" w:rsidRPr="006D51C4">
        <w:rPr>
          <w:rFonts w:ascii="Open Sans" w:eastAsia="Open Sans" w:hAnsi="Open Sans" w:cs="Open Sans"/>
        </w:rPr>
        <w:t xml:space="preserve"> </w:t>
      </w:r>
      <w:r w:rsidRPr="006D51C4">
        <w:rPr>
          <w:rFonts w:ascii="Open Sans" w:eastAsia="Open Sans" w:hAnsi="Open Sans" w:cs="Open Sans"/>
        </w:rPr>
        <w:t>disproportionately affect disadvantaged groups.</w:t>
      </w:r>
      <w:r>
        <w:rPr>
          <w:rFonts w:ascii="Open Sans" w:eastAsia="Open Sans" w:hAnsi="Open Sans" w:cs="Open Sans"/>
        </w:rPr>
        <w:t xml:space="preserve"> Furthermore, t</w:t>
      </w:r>
      <w:r w:rsidRPr="00B8621A">
        <w:rPr>
          <w:rFonts w:ascii="Open Sans" w:eastAsia="Open Sans" w:hAnsi="Open Sans" w:cs="Open Sans"/>
        </w:rPr>
        <w:t>here is a need for the government to enhance transparency and accountability in public service delivery to prevent resource mismanagement and ensure equity in budget allocation.</w:t>
      </w:r>
      <w:r w:rsidRPr="00B8621A">
        <w:rPr>
          <w:rStyle w:val="normaltextrun"/>
          <w:rFonts w:ascii="Open Sans" w:hAnsi="Open Sans" w:cs="Open Sans"/>
          <w:sz w:val="21"/>
          <w:szCs w:val="21"/>
          <w:lang w:val="en-US"/>
        </w:rPr>
        <w:t xml:space="preserve"> </w:t>
      </w:r>
    </w:p>
    <w:p w14:paraId="050F2DCB" w14:textId="0CD010A7" w:rsidR="744C53E1" w:rsidRPr="006D51C4" w:rsidRDefault="744C53E1" w:rsidP="744C53E1">
      <w:pPr>
        <w:numPr>
          <w:ilvl w:val="0"/>
          <w:numId w:val="1"/>
        </w:numPr>
        <w:spacing w:after="240"/>
        <w:jc w:val="both"/>
        <w:rPr>
          <w:rFonts w:ascii="Open Sans" w:eastAsia="Open Sans" w:hAnsi="Open Sans" w:cs="Open Sans"/>
        </w:rPr>
      </w:pPr>
      <w:r w:rsidRPr="006D51C4">
        <w:rPr>
          <w:rFonts w:ascii="Open Sans" w:eastAsia="Open Sans" w:hAnsi="Open Sans" w:cs="Open Sans"/>
        </w:rPr>
        <w:t>We therefore</w:t>
      </w:r>
      <w:r w:rsidR="00920BDA">
        <w:rPr>
          <w:rFonts w:ascii="Open Sans" w:eastAsia="Open Sans" w:hAnsi="Open Sans" w:cs="Open Sans"/>
        </w:rPr>
        <w:t xml:space="preserve"> invite the </w:t>
      </w:r>
      <w:r w:rsidRPr="006D51C4">
        <w:rPr>
          <w:rFonts w:ascii="Open Sans" w:eastAsia="Open Sans" w:hAnsi="Open Sans" w:cs="Open Sans"/>
        </w:rPr>
        <w:t xml:space="preserve">Committee </w:t>
      </w:r>
      <w:r w:rsidR="00920BDA">
        <w:rPr>
          <w:rFonts w:ascii="Open Sans" w:eastAsia="Open Sans" w:hAnsi="Open Sans" w:cs="Open Sans"/>
        </w:rPr>
        <w:t xml:space="preserve">to </w:t>
      </w:r>
      <w:r w:rsidRPr="006D51C4">
        <w:rPr>
          <w:rFonts w:ascii="Open Sans" w:eastAsia="Open Sans" w:hAnsi="Open Sans" w:cs="Open Sans"/>
        </w:rPr>
        <w:t>extend the following recommendations to Kenya:</w:t>
      </w:r>
    </w:p>
    <w:p w14:paraId="684BF5C7" w14:textId="79B36D71" w:rsidR="744C53E1" w:rsidRPr="006D51C4" w:rsidRDefault="744C53E1" w:rsidP="744C53E1">
      <w:pPr>
        <w:numPr>
          <w:ilvl w:val="1"/>
          <w:numId w:val="1"/>
        </w:numPr>
        <w:spacing w:before="240" w:after="240"/>
        <w:jc w:val="both"/>
        <w:rPr>
          <w:rFonts w:ascii="Open Sans" w:eastAsia="Open Sans" w:hAnsi="Open Sans" w:cs="Open Sans"/>
        </w:rPr>
      </w:pPr>
      <w:r w:rsidRPr="006D51C4">
        <w:rPr>
          <w:rFonts w:ascii="Open Sans" w:eastAsia="Open Sans" w:hAnsi="Open Sans" w:cs="Open Sans"/>
        </w:rPr>
        <w:t>Kenya needs to increase its domestic revenue through progressive tax reform</w:t>
      </w:r>
      <w:r w:rsidR="00A23691">
        <w:rPr>
          <w:rFonts w:ascii="Open Sans" w:eastAsia="Open Sans" w:hAnsi="Open Sans" w:cs="Open Sans"/>
        </w:rPr>
        <w:t>s</w:t>
      </w:r>
      <w:r w:rsidRPr="006D51C4">
        <w:rPr>
          <w:rFonts w:ascii="Open Sans" w:eastAsia="Open Sans" w:hAnsi="Open Sans" w:cs="Open Sans"/>
        </w:rPr>
        <w:t xml:space="preserve"> and combating illicit financial flows</w:t>
      </w:r>
      <w:r w:rsidR="00007A3E">
        <w:rPr>
          <w:rFonts w:ascii="Open Sans" w:eastAsia="Open Sans" w:hAnsi="Open Sans" w:cs="Open Sans"/>
        </w:rPr>
        <w:t xml:space="preserve"> as</w:t>
      </w:r>
      <w:r w:rsidR="00931C8D">
        <w:rPr>
          <w:rFonts w:ascii="Open Sans" w:eastAsia="Open Sans" w:hAnsi="Open Sans" w:cs="Open Sans"/>
        </w:rPr>
        <w:t xml:space="preserve"> t</w:t>
      </w:r>
      <w:r w:rsidRPr="006D51C4">
        <w:rPr>
          <w:rFonts w:ascii="Open Sans" w:eastAsia="Open Sans" w:hAnsi="Open Sans" w:cs="Open Sans"/>
        </w:rPr>
        <w:t>he country loses 184 million USD annually due to corporate tax abuse.</w:t>
      </w:r>
      <w:r w:rsidRPr="006D51C4">
        <w:rPr>
          <w:rFonts w:ascii="Open Sans" w:eastAsia="Open Sans" w:hAnsi="Open Sans" w:cs="Open Sans"/>
          <w:vertAlign w:val="superscript"/>
        </w:rPr>
        <w:footnoteReference w:id="38"/>
      </w:r>
      <w:r w:rsidRPr="006D51C4">
        <w:rPr>
          <w:rFonts w:ascii="Open Sans" w:eastAsia="Open Sans" w:hAnsi="Open Sans" w:cs="Open Sans"/>
        </w:rPr>
        <w:t xml:space="preserve"> </w:t>
      </w:r>
      <w:r w:rsidR="000A5532">
        <w:rPr>
          <w:rFonts w:ascii="Open Sans" w:eastAsia="Open Sans" w:hAnsi="Open Sans" w:cs="Open Sans"/>
        </w:rPr>
        <w:t xml:space="preserve">Such </w:t>
      </w:r>
      <w:r w:rsidR="00E747CB">
        <w:rPr>
          <w:rFonts w:ascii="Open Sans" w:eastAsia="Open Sans" w:hAnsi="Open Sans" w:cs="Open Sans"/>
        </w:rPr>
        <w:t xml:space="preserve">measure </w:t>
      </w:r>
      <w:r w:rsidR="000429E1">
        <w:rPr>
          <w:rFonts w:ascii="Open Sans" w:eastAsia="Open Sans" w:hAnsi="Open Sans" w:cs="Open Sans"/>
        </w:rPr>
        <w:t>would help the count</w:t>
      </w:r>
      <w:r w:rsidR="00985046">
        <w:rPr>
          <w:rFonts w:ascii="Open Sans" w:eastAsia="Open Sans" w:hAnsi="Open Sans" w:cs="Open Sans"/>
        </w:rPr>
        <w:t xml:space="preserve">ry </w:t>
      </w:r>
      <w:r w:rsidR="00D43171">
        <w:rPr>
          <w:rFonts w:ascii="Open Sans" w:eastAsia="Open Sans" w:hAnsi="Open Sans" w:cs="Open Sans"/>
        </w:rPr>
        <w:t xml:space="preserve">adequately and sustainably finance public services </w:t>
      </w:r>
      <w:r w:rsidR="0055550A">
        <w:rPr>
          <w:rFonts w:ascii="Open Sans" w:eastAsia="Open Sans" w:hAnsi="Open Sans" w:cs="Open Sans"/>
        </w:rPr>
        <w:t xml:space="preserve">which make </w:t>
      </w:r>
      <w:r w:rsidR="00C24DEE">
        <w:rPr>
          <w:rFonts w:ascii="Open Sans" w:eastAsia="Open Sans" w:hAnsi="Open Sans" w:cs="Open Sans"/>
        </w:rPr>
        <w:t xml:space="preserve">the rights </w:t>
      </w:r>
      <w:r w:rsidR="001F3357">
        <w:rPr>
          <w:rFonts w:ascii="Open Sans" w:eastAsia="Open Sans" w:hAnsi="Open Sans" w:cs="Open Sans"/>
        </w:rPr>
        <w:t xml:space="preserve">to </w:t>
      </w:r>
      <w:r w:rsidR="00884209">
        <w:rPr>
          <w:rFonts w:ascii="Open Sans" w:eastAsia="Open Sans" w:hAnsi="Open Sans" w:cs="Open Sans"/>
        </w:rPr>
        <w:t>education and health</w:t>
      </w:r>
      <w:r w:rsidR="00A12934">
        <w:rPr>
          <w:rFonts w:ascii="Open Sans" w:eastAsia="Open Sans" w:hAnsi="Open Sans" w:cs="Open Sans"/>
        </w:rPr>
        <w:t xml:space="preserve"> a </w:t>
      </w:r>
      <w:r w:rsidR="00AE2EDB">
        <w:rPr>
          <w:rFonts w:ascii="Open Sans" w:eastAsia="Open Sans" w:hAnsi="Open Sans" w:cs="Open Sans"/>
        </w:rPr>
        <w:t>tangible reality</w:t>
      </w:r>
      <w:r w:rsidR="00F06C58">
        <w:rPr>
          <w:rFonts w:ascii="Open Sans" w:eastAsia="Open Sans" w:hAnsi="Open Sans" w:cs="Open Sans"/>
        </w:rPr>
        <w:t>. Indeed</w:t>
      </w:r>
      <w:r w:rsidR="008D2459">
        <w:rPr>
          <w:rFonts w:ascii="Open Sans" w:eastAsia="Open Sans" w:hAnsi="Open Sans" w:cs="Open Sans"/>
        </w:rPr>
        <w:t xml:space="preserve"> in line</w:t>
      </w:r>
      <w:r w:rsidR="0020521D">
        <w:rPr>
          <w:rFonts w:ascii="Open Sans" w:eastAsia="Open Sans" w:hAnsi="Open Sans" w:cs="Open Sans"/>
        </w:rPr>
        <w:t xml:space="preserve"> with</w:t>
      </w:r>
      <w:r w:rsidR="00846E84">
        <w:rPr>
          <w:rFonts w:ascii="Open Sans" w:eastAsia="Open Sans" w:hAnsi="Open Sans" w:cs="Open Sans"/>
        </w:rPr>
        <w:t xml:space="preserve"> </w:t>
      </w:r>
      <w:r w:rsidR="00666B15">
        <w:rPr>
          <w:rFonts w:ascii="Open Sans" w:eastAsia="Open Sans" w:hAnsi="Open Sans" w:cs="Open Sans"/>
        </w:rPr>
        <w:t>A</w:t>
      </w:r>
      <w:r w:rsidRPr="006D51C4">
        <w:rPr>
          <w:rFonts w:ascii="Open Sans" w:eastAsia="Open Sans" w:hAnsi="Open Sans" w:cs="Open Sans"/>
        </w:rPr>
        <w:t>rticle 2</w:t>
      </w:r>
      <w:r w:rsidR="001F3357">
        <w:rPr>
          <w:rFonts w:ascii="Open Sans" w:eastAsia="Open Sans" w:hAnsi="Open Sans" w:cs="Open Sans"/>
        </w:rPr>
        <w:t>(1)</w:t>
      </w:r>
      <w:r w:rsidRPr="006D51C4">
        <w:rPr>
          <w:rFonts w:ascii="Open Sans" w:eastAsia="Open Sans" w:hAnsi="Open Sans" w:cs="Open Sans"/>
        </w:rPr>
        <w:t xml:space="preserve"> of ICESCR</w:t>
      </w:r>
      <w:r w:rsidR="00934C7B">
        <w:rPr>
          <w:rFonts w:ascii="Open Sans" w:eastAsia="Open Sans" w:hAnsi="Open Sans" w:cs="Open Sans"/>
        </w:rPr>
        <w:t>,</w:t>
      </w:r>
      <w:r w:rsidR="0080281E">
        <w:rPr>
          <w:rFonts w:ascii="Open Sans" w:eastAsia="Open Sans" w:hAnsi="Open Sans" w:cs="Open Sans"/>
        </w:rPr>
        <w:t xml:space="preserve"> </w:t>
      </w:r>
      <w:r w:rsidRPr="006D51C4">
        <w:rPr>
          <w:rFonts w:ascii="Open Sans" w:eastAsia="Open Sans" w:hAnsi="Open Sans" w:cs="Open Sans"/>
        </w:rPr>
        <w:t xml:space="preserve">State Parties, like Kenya, </w:t>
      </w:r>
      <w:r w:rsidR="00CD3157">
        <w:rPr>
          <w:rFonts w:ascii="Open Sans" w:eastAsia="Open Sans" w:hAnsi="Open Sans" w:cs="Open Sans"/>
        </w:rPr>
        <w:t>must</w:t>
      </w:r>
      <w:r w:rsidR="00CD3157" w:rsidRPr="006D51C4">
        <w:rPr>
          <w:rFonts w:ascii="Open Sans" w:eastAsia="Open Sans" w:hAnsi="Open Sans" w:cs="Open Sans"/>
        </w:rPr>
        <w:t xml:space="preserve"> </w:t>
      </w:r>
      <w:r w:rsidRPr="006D51C4">
        <w:rPr>
          <w:rFonts w:ascii="Open Sans" w:eastAsia="Open Sans" w:hAnsi="Open Sans" w:cs="Open Sans"/>
        </w:rPr>
        <w:t>use the maximum of their available resources to progressively realise economic, social and cultural rights (ESCRs).</w:t>
      </w:r>
    </w:p>
    <w:p w14:paraId="7430CA49" w14:textId="5779ADCF" w:rsidR="744C53E1" w:rsidRPr="006D51C4" w:rsidRDefault="744C53E1" w:rsidP="744C53E1">
      <w:pPr>
        <w:numPr>
          <w:ilvl w:val="1"/>
          <w:numId w:val="1"/>
        </w:numPr>
        <w:spacing w:before="240" w:after="240"/>
        <w:jc w:val="both"/>
        <w:rPr>
          <w:rFonts w:ascii="Open Sans" w:eastAsia="Open Sans" w:hAnsi="Open Sans" w:cs="Open Sans"/>
        </w:rPr>
      </w:pPr>
      <w:r w:rsidRPr="006D51C4">
        <w:rPr>
          <w:rFonts w:ascii="Open Sans" w:eastAsia="Open Sans" w:hAnsi="Open Sans" w:cs="Open Sans"/>
        </w:rPr>
        <w:t>People have a right to participate in decisions affecting their economic, social and cultural rights.</w:t>
      </w:r>
      <w:r w:rsidR="0037104D">
        <w:rPr>
          <w:rFonts w:ascii="Open Sans" w:eastAsia="Open Sans" w:hAnsi="Open Sans" w:cs="Open Sans"/>
        </w:rPr>
        <w:t xml:space="preserve"> </w:t>
      </w:r>
      <w:r w:rsidR="006135D4">
        <w:rPr>
          <w:rFonts w:ascii="Open Sans" w:eastAsia="Open Sans" w:hAnsi="Open Sans" w:cs="Open Sans"/>
        </w:rPr>
        <w:t xml:space="preserve">This is in line with Article </w:t>
      </w:r>
      <w:r w:rsidR="005E4281">
        <w:rPr>
          <w:rFonts w:ascii="Open Sans" w:eastAsia="Open Sans" w:hAnsi="Open Sans" w:cs="Open Sans"/>
        </w:rPr>
        <w:t xml:space="preserve">37 </w:t>
      </w:r>
      <w:r w:rsidR="00DE2066">
        <w:rPr>
          <w:rFonts w:ascii="Open Sans" w:eastAsia="Open Sans" w:hAnsi="Open Sans" w:cs="Open Sans"/>
        </w:rPr>
        <w:t xml:space="preserve">of the Constitution of Kenya </w:t>
      </w:r>
      <w:r w:rsidR="005E4281">
        <w:rPr>
          <w:rFonts w:ascii="Open Sans" w:eastAsia="Open Sans" w:hAnsi="Open Sans" w:cs="Open Sans"/>
        </w:rPr>
        <w:t xml:space="preserve">that </w:t>
      </w:r>
      <w:r w:rsidR="000259CD">
        <w:rPr>
          <w:rFonts w:ascii="Open Sans" w:eastAsia="Open Sans" w:hAnsi="Open Sans" w:cs="Open Sans"/>
        </w:rPr>
        <w:t>protects the right to assembly, demonstration, picketing and pet</w:t>
      </w:r>
      <w:r w:rsidR="00E04F34">
        <w:rPr>
          <w:rFonts w:ascii="Open Sans" w:eastAsia="Open Sans" w:hAnsi="Open Sans" w:cs="Open Sans"/>
        </w:rPr>
        <w:t>ition.</w:t>
      </w:r>
      <w:r w:rsidRPr="006D51C4">
        <w:rPr>
          <w:rFonts w:ascii="Open Sans" w:eastAsia="Open Sans" w:hAnsi="Open Sans" w:cs="Open Sans"/>
        </w:rPr>
        <w:t xml:space="preserve"> The Executive Power and the Parliament must guarantee the safety of protestors and implement mechanisms for participation regarding tax and budgetary allocation decisions.</w:t>
      </w:r>
      <w:r w:rsidR="009E3891">
        <w:rPr>
          <w:rFonts w:ascii="Open Sans" w:eastAsia="Open Sans" w:hAnsi="Open Sans" w:cs="Open Sans"/>
        </w:rPr>
        <w:t xml:space="preserve"> This duty is enshrined </w:t>
      </w:r>
      <w:r w:rsidR="00120A55">
        <w:rPr>
          <w:rFonts w:ascii="Open Sans" w:eastAsia="Open Sans" w:hAnsi="Open Sans" w:cs="Open Sans"/>
        </w:rPr>
        <w:t>in</w:t>
      </w:r>
      <w:r w:rsidR="009E3891">
        <w:rPr>
          <w:rFonts w:ascii="Open Sans" w:eastAsia="Open Sans" w:hAnsi="Open Sans" w:cs="Open Sans"/>
        </w:rPr>
        <w:t xml:space="preserve"> Article </w:t>
      </w:r>
      <w:r w:rsidR="0062332E">
        <w:rPr>
          <w:rFonts w:ascii="Open Sans" w:eastAsia="Open Sans" w:hAnsi="Open Sans" w:cs="Open Sans"/>
        </w:rPr>
        <w:t>118</w:t>
      </w:r>
      <w:r w:rsidR="00B911B0">
        <w:rPr>
          <w:rFonts w:ascii="Open Sans" w:eastAsia="Open Sans" w:hAnsi="Open Sans" w:cs="Open Sans"/>
        </w:rPr>
        <w:t xml:space="preserve"> (1)</w:t>
      </w:r>
      <w:r w:rsidR="0062332E">
        <w:rPr>
          <w:rFonts w:ascii="Open Sans" w:eastAsia="Open Sans" w:hAnsi="Open Sans" w:cs="Open Sans"/>
        </w:rPr>
        <w:t xml:space="preserve"> where </w:t>
      </w:r>
      <w:r w:rsidR="00142109">
        <w:rPr>
          <w:rFonts w:ascii="Open Sans" w:eastAsia="Open Sans" w:hAnsi="Open Sans" w:cs="Open Sans"/>
        </w:rPr>
        <w:t xml:space="preserve">it is the constitutional duty of </w:t>
      </w:r>
      <w:r w:rsidR="00A1079C">
        <w:rPr>
          <w:rFonts w:ascii="Open Sans" w:eastAsia="Open Sans" w:hAnsi="Open Sans" w:cs="Open Sans"/>
        </w:rPr>
        <w:t>P</w:t>
      </w:r>
      <w:r w:rsidR="0062332E">
        <w:rPr>
          <w:rFonts w:ascii="Open Sans" w:eastAsia="Open Sans" w:hAnsi="Open Sans" w:cs="Open Sans"/>
        </w:rPr>
        <w:t xml:space="preserve">arliament to conduct its business in an open manner and also to facilitate </w:t>
      </w:r>
      <w:r w:rsidR="00B911B0">
        <w:rPr>
          <w:rFonts w:ascii="Open Sans" w:eastAsia="Open Sans" w:hAnsi="Open Sans" w:cs="Open Sans"/>
        </w:rPr>
        <w:t xml:space="preserve">public participation and involvement in the legislative and other business </w:t>
      </w:r>
      <w:r w:rsidR="00563C21">
        <w:rPr>
          <w:rFonts w:ascii="Open Sans" w:eastAsia="Open Sans" w:hAnsi="Open Sans" w:cs="Open Sans"/>
        </w:rPr>
        <w:t xml:space="preserve">of </w:t>
      </w:r>
      <w:r w:rsidR="00D17909">
        <w:rPr>
          <w:rFonts w:ascii="Open Sans" w:eastAsia="Open Sans" w:hAnsi="Open Sans" w:cs="Open Sans"/>
        </w:rPr>
        <w:t>Parliament</w:t>
      </w:r>
      <w:r w:rsidR="000D395A">
        <w:rPr>
          <w:rFonts w:ascii="Open Sans" w:eastAsia="Open Sans" w:hAnsi="Open Sans" w:cs="Open Sans"/>
        </w:rPr>
        <w:t xml:space="preserve"> and its committees.</w:t>
      </w:r>
    </w:p>
    <w:p w14:paraId="27240378" w14:textId="2D94933E" w:rsidR="744C53E1" w:rsidRPr="006D51C4" w:rsidRDefault="744C53E1" w:rsidP="744C53E1">
      <w:pPr>
        <w:numPr>
          <w:ilvl w:val="1"/>
          <w:numId w:val="1"/>
        </w:numPr>
        <w:spacing w:before="240" w:after="240"/>
        <w:jc w:val="both"/>
        <w:rPr>
          <w:rFonts w:ascii="Open Sans" w:eastAsia="Open Sans" w:hAnsi="Open Sans" w:cs="Open Sans"/>
        </w:rPr>
      </w:pPr>
      <w:r w:rsidRPr="006D51C4">
        <w:rPr>
          <w:rFonts w:ascii="Open Sans" w:eastAsia="Open Sans" w:hAnsi="Open Sans" w:cs="Open Sans"/>
        </w:rPr>
        <w:lastRenderedPageBreak/>
        <w:t>Ensure sufficient budgetary allocations to the public education sector to guarantee free, inclusive, and quality education for all. This can be done by raising the learner capitation grants to align with recommendations from the Presidential Working Party Report on Education reforms in 2023.</w:t>
      </w:r>
      <w:r w:rsidRPr="006D51C4">
        <w:rPr>
          <w:rFonts w:ascii="Open Sans" w:eastAsia="Open Sans" w:hAnsi="Open Sans" w:cs="Open Sans"/>
          <w:vertAlign w:val="superscript"/>
        </w:rPr>
        <w:footnoteReference w:id="39"/>
      </w:r>
    </w:p>
    <w:p w14:paraId="69B1DC94" w14:textId="16DB00F5" w:rsidR="744C53E1" w:rsidRPr="006D51C4" w:rsidRDefault="744C53E1" w:rsidP="744C53E1">
      <w:pPr>
        <w:numPr>
          <w:ilvl w:val="1"/>
          <w:numId w:val="1"/>
        </w:numPr>
        <w:spacing w:before="240" w:after="240"/>
        <w:jc w:val="both"/>
        <w:rPr>
          <w:rFonts w:ascii="Open Sans" w:eastAsia="Open Sans" w:hAnsi="Open Sans" w:cs="Open Sans"/>
        </w:rPr>
      </w:pPr>
      <w:r w:rsidRPr="006D51C4">
        <w:rPr>
          <w:rFonts w:ascii="Open Sans" w:eastAsia="Open Sans" w:hAnsi="Open Sans" w:cs="Open Sans"/>
        </w:rPr>
        <w:t>Implement and enforce the APBET guidelines to regulate private education providers and ensure compliance with human rights standards.</w:t>
      </w:r>
      <w:r w:rsidR="00213DEE">
        <w:rPr>
          <w:rStyle w:val="FootnoteReference"/>
          <w:rFonts w:ascii="Open Sans" w:eastAsia="Open Sans" w:hAnsi="Open Sans" w:cs="Open Sans"/>
        </w:rPr>
        <w:footnoteReference w:id="40"/>
      </w:r>
      <w:r w:rsidRPr="006D51C4">
        <w:rPr>
          <w:rFonts w:ascii="Open Sans" w:eastAsia="Open Sans" w:hAnsi="Open Sans" w:cs="Open Sans"/>
        </w:rPr>
        <w:t xml:space="preserve"> This can be done by contextualising the current registration guidelines of basic education institutions with the Abidjan Principles</w:t>
      </w:r>
      <w:r w:rsidR="003B1A44">
        <w:rPr>
          <w:rFonts w:ascii="Open Sans" w:eastAsia="Open Sans" w:hAnsi="Open Sans" w:cs="Open Sans"/>
        </w:rPr>
        <w:t>.</w:t>
      </w:r>
      <w:r w:rsidR="00953CDB">
        <w:rPr>
          <w:rStyle w:val="FootnoteReference"/>
          <w:rFonts w:ascii="Open Sans" w:eastAsia="Open Sans" w:hAnsi="Open Sans" w:cs="Open Sans"/>
        </w:rPr>
        <w:footnoteReference w:id="41"/>
      </w:r>
    </w:p>
    <w:p w14:paraId="05EEF99D" w14:textId="22952708" w:rsidR="744C53E1" w:rsidRPr="006D51C4" w:rsidRDefault="744C53E1" w:rsidP="744C53E1">
      <w:pPr>
        <w:numPr>
          <w:ilvl w:val="1"/>
          <w:numId w:val="1"/>
        </w:numPr>
        <w:spacing w:before="240" w:after="240"/>
        <w:jc w:val="both"/>
        <w:rPr>
          <w:rFonts w:ascii="Open Sans" w:eastAsia="Open Sans" w:hAnsi="Open Sans" w:cs="Open Sans"/>
        </w:rPr>
      </w:pPr>
      <w:r w:rsidRPr="006D51C4">
        <w:rPr>
          <w:rFonts w:ascii="Open Sans" w:eastAsia="Open Sans" w:hAnsi="Open Sans" w:cs="Open Sans"/>
        </w:rPr>
        <w:t>Address barriers impeding access to public schools in informal settlements by constructing additional public schools, hiring qualified teachers and providing the necessary learning materials to support learners and teachers in these schools.</w:t>
      </w:r>
      <w:r w:rsidRPr="006D51C4">
        <w:rPr>
          <w:rFonts w:ascii="Open Sans" w:eastAsia="Open Sans" w:hAnsi="Open Sans" w:cs="Open Sans"/>
          <w:vertAlign w:val="superscript"/>
        </w:rPr>
        <w:footnoteReference w:id="42"/>
      </w:r>
    </w:p>
    <w:p w14:paraId="18E70490" w14:textId="3E75EBE1" w:rsidR="744C53E1" w:rsidRPr="006D51C4" w:rsidRDefault="744C53E1" w:rsidP="744C53E1">
      <w:pPr>
        <w:numPr>
          <w:ilvl w:val="1"/>
          <w:numId w:val="1"/>
        </w:numPr>
        <w:spacing w:before="240" w:after="240"/>
        <w:jc w:val="both"/>
        <w:rPr>
          <w:rFonts w:ascii="Open Sans" w:eastAsia="Open Sans" w:hAnsi="Open Sans" w:cs="Open Sans"/>
        </w:rPr>
      </w:pPr>
      <w:r w:rsidRPr="006D51C4">
        <w:rPr>
          <w:rFonts w:ascii="Open Sans" w:eastAsia="Open Sans" w:hAnsi="Open Sans" w:cs="Open Sans"/>
        </w:rPr>
        <w:t>The Teachers Service Commission should prioritise improving teachers’ working conditions and remuneration. This includes implementing competitive salary structures and providing adequate teaching resources to enhance teacher motivation and performance.</w:t>
      </w:r>
    </w:p>
    <w:p w14:paraId="1F3BA0EB" w14:textId="33C1ECE6" w:rsidR="744C53E1" w:rsidRPr="006D51C4" w:rsidRDefault="744C53E1" w:rsidP="744C53E1">
      <w:pPr>
        <w:numPr>
          <w:ilvl w:val="1"/>
          <w:numId w:val="1"/>
        </w:numPr>
        <w:spacing w:before="240" w:after="240"/>
        <w:jc w:val="both"/>
        <w:rPr>
          <w:rFonts w:ascii="Open Sans" w:eastAsia="Open Sans" w:hAnsi="Open Sans" w:cs="Open Sans"/>
        </w:rPr>
      </w:pPr>
      <w:r w:rsidRPr="006D51C4">
        <w:rPr>
          <w:rFonts w:ascii="Open Sans" w:eastAsia="Open Sans" w:hAnsi="Open Sans" w:cs="Open Sans"/>
        </w:rPr>
        <w:t xml:space="preserve">Increase domestic healthcare spending to meet the Abuja Declaration </w:t>
      </w:r>
      <w:r w:rsidR="009D7F2B">
        <w:rPr>
          <w:rFonts w:ascii="Open Sans" w:eastAsia="Open Sans" w:hAnsi="Open Sans" w:cs="Open Sans"/>
        </w:rPr>
        <w:t>minimum threshold</w:t>
      </w:r>
      <w:r w:rsidR="009D7F2B" w:rsidRPr="006D51C4">
        <w:rPr>
          <w:rFonts w:ascii="Open Sans" w:eastAsia="Open Sans" w:hAnsi="Open Sans" w:cs="Open Sans"/>
        </w:rPr>
        <w:t xml:space="preserve"> </w:t>
      </w:r>
      <w:r w:rsidRPr="006D51C4">
        <w:rPr>
          <w:rFonts w:ascii="Open Sans" w:eastAsia="Open Sans" w:hAnsi="Open Sans" w:cs="Open Sans"/>
        </w:rPr>
        <w:t>(</w:t>
      </w:r>
      <w:r w:rsidR="00F452EB">
        <w:rPr>
          <w:rFonts w:ascii="Open Sans" w:eastAsia="Open Sans" w:hAnsi="Open Sans" w:cs="Open Sans"/>
        </w:rPr>
        <w:t xml:space="preserve">at least </w:t>
      </w:r>
      <w:r w:rsidRPr="006D51C4">
        <w:rPr>
          <w:rFonts w:ascii="Open Sans" w:eastAsia="Open Sans" w:hAnsi="Open Sans" w:cs="Open Sans"/>
        </w:rPr>
        <w:t>15% of budget) and the WHO recommendation (</w:t>
      </w:r>
      <w:r w:rsidR="0029767C">
        <w:rPr>
          <w:rFonts w:ascii="Open Sans" w:eastAsia="Open Sans" w:hAnsi="Open Sans" w:cs="Open Sans"/>
        </w:rPr>
        <w:t xml:space="preserve">at least </w:t>
      </w:r>
      <w:r w:rsidRPr="006D51C4">
        <w:rPr>
          <w:rFonts w:ascii="Open Sans" w:eastAsia="Open Sans" w:hAnsi="Open Sans" w:cs="Open Sans"/>
        </w:rPr>
        <w:t>5% of GDP), ensuring universal access to affordable and quality healthcare services. To further this, the state should:</w:t>
      </w:r>
    </w:p>
    <w:p w14:paraId="210B7387" w14:textId="22B4487F" w:rsidR="744C53E1" w:rsidRPr="006D51C4" w:rsidRDefault="744C53E1" w:rsidP="744C53E1">
      <w:pPr>
        <w:numPr>
          <w:ilvl w:val="2"/>
          <w:numId w:val="1"/>
        </w:numPr>
        <w:spacing w:before="240" w:after="240"/>
        <w:jc w:val="both"/>
        <w:rPr>
          <w:rFonts w:ascii="Open Sans" w:eastAsia="Open Sans" w:hAnsi="Open Sans" w:cs="Open Sans"/>
        </w:rPr>
      </w:pPr>
      <w:r w:rsidRPr="006D51C4">
        <w:rPr>
          <w:rFonts w:ascii="Open Sans" w:eastAsia="Open Sans" w:hAnsi="Open Sans" w:cs="Open Sans"/>
        </w:rPr>
        <w:t>Ensure that the roll out of Social Health Insurance Fund (SHIF) is done in accordance with the guiding principles in formulation of Kenya Health Financing Strategy 2020-2030 such as equity, transparency and accountability.</w:t>
      </w:r>
      <w:r w:rsidRPr="006D51C4">
        <w:rPr>
          <w:rFonts w:ascii="Open Sans" w:eastAsia="Open Sans" w:hAnsi="Open Sans" w:cs="Open Sans"/>
          <w:vertAlign w:val="superscript"/>
        </w:rPr>
        <w:footnoteReference w:id="43"/>
      </w:r>
      <w:r w:rsidRPr="006D51C4">
        <w:rPr>
          <w:rFonts w:ascii="Open Sans" w:eastAsia="Open Sans" w:hAnsi="Open Sans" w:cs="Open Sans"/>
        </w:rPr>
        <w:t xml:space="preserve"> </w:t>
      </w:r>
    </w:p>
    <w:p w14:paraId="19673363" w14:textId="3C3756EC" w:rsidR="744C53E1" w:rsidRPr="006D51C4" w:rsidRDefault="744C53E1" w:rsidP="744C53E1">
      <w:pPr>
        <w:numPr>
          <w:ilvl w:val="2"/>
          <w:numId w:val="1"/>
        </w:numPr>
        <w:spacing w:before="240" w:after="240"/>
        <w:jc w:val="both"/>
        <w:rPr>
          <w:rFonts w:ascii="Open Sans" w:eastAsia="Open Sans" w:hAnsi="Open Sans" w:cs="Open Sans"/>
        </w:rPr>
      </w:pPr>
      <w:r w:rsidRPr="006D51C4">
        <w:rPr>
          <w:rFonts w:ascii="Open Sans" w:eastAsia="Open Sans" w:hAnsi="Open Sans" w:cs="Open Sans"/>
        </w:rPr>
        <w:t xml:space="preserve">Review the Kenya Health Sector Strategic Plan 2018-2023 and fully implement the contents relevant to domestic health financing, in accordance with its international commitments on budgetary allocation </w:t>
      </w:r>
      <w:r w:rsidRPr="006D51C4">
        <w:rPr>
          <w:rFonts w:ascii="Open Sans" w:eastAsia="Open Sans" w:hAnsi="Open Sans" w:cs="Open Sans"/>
        </w:rPr>
        <w:lastRenderedPageBreak/>
        <w:t>to health, as a percentage of the total government budget (15%) as evidenced through budget estimates and the Count Health Budget Analysis.</w:t>
      </w:r>
      <w:r w:rsidRPr="006D51C4">
        <w:rPr>
          <w:rFonts w:ascii="Open Sans" w:eastAsia="Open Sans" w:hAnsi="Open Sans" w:cs="Open Sans"/>
          <w:vertAlign w:val="superscript"/>
        </w:rPr>
        <w:footnoteReference w:id="44"/>
      </w:r>
    </w:p>
    <w:p w14:paraId="29DD7D4F" w14:textId="45A9931D" w:rsidR="744C53E1" w:rsidRPr="006D51C4" w:rsidRDefault="744C53E1" w:rsidP="744C53E1">
      <w:pPr>
        <w:pStyle w:val="ListParagraph"/>
        <w:numPr>
          <w:ilvl w:val="1"/>
          <w:numId w:val="1"/>
        </w:numPr>
        <w:jc w:val="both"/>
        <w:rPr>
          <w:rFonts w:ascii="Open Sans" w:eastAsia="Open Sans" w:hAnsi="Open Sans" w:cs="Open Sans"/>
        </w:rPr>
      </w:pPr>
      <w:r w:rsidRPr="006D51C4">
        <w:rPr>
          <w:rFonts w:ascii="Open Sans" w:eastAsia="Open Sans" w:hAnsi="Open Sans" w:cs="Open Sans"/>
        </w:rPr>
        <w:t>Strengthen the regulation and monitoring of private healthcare facilities to protect marginalised populations from substandard care.</w:t>
      </w:r>
    </w:p>
    <w:p w14:paraId="5128526A" w14:textId="35C4035F" w:rsidR="744C53E1" w:rsidRPr="006D51C4" w:rsidRDefault="744C53E1" w:rsidP="00552B0E">
      <w:pPr>
        <w:pStyle w:val="ListParagraph"/>
        <w:ind w:left="1440"/>
        <w:jc w:val="both"/>
        <w:rPr>
          <w:rFonts w:ascii="Open Sans" w:eastAsia="Open Sans" w:hAnsi="Open Sans" w:cs="Open Sans"/>
        </w:rPr>
      </w:pPr>
    </w:p>
    <w:p w14:paraId="51CAD1ED" w14:textId="760AD43E" w:rsidR="744C53E1" w:rsidRPr="006D51C4" w:rsidRDefault="744C53E1" w:rsidP="744C53E1">
      <w:pPr>
        <w:pStyle w:val="ListParagraph"/>
        <w:numPr>
          <w:ilvl w:val="1"/>
          <w:numId w:val="1"/>
        </w:numPr>
        <w:spacing w:after="240"/>
        <w:jc w:val="both"/>
        <w:rPr>
          <w:rFonts w:ascii="Open Sans" w:eastAsia="Open Sans" w:hAnsi="Open Sans" w:cs="Open Sans"/>
        </w:rPr>
      </w:pPr>
      <w:r w:rsidRPr="006D51C4">
        <w:rPr>
          <w:rFonts w:ascii="Open Sans" w:eastAsia="Open Sans" w:hAnsi="Open Sans" w:cs="Open Sans"/>
        </w:rPr>
        <w:t>Expand public health insurance coverage, prioritising low-income households to reduce out-of-pocket expenditures.</w:t>
      </w:r>
    </w:p>
    <w:p w14:paraId="4919AE47" w14:textId="77777777" w:rsidR="00743BEC" w:rsidRPr="006D51C4" w:rsidRDefault="00743BEC" w:rsidP="00552B0E">
      <w:pPr>
        <w:pStyle w:val="ListParagraph"/>
        <w:spacing w:after="240"/>
        <w:ind w:left="1080"/>
        <w:jc w:val="both"/>
        <w:rPr>
          <w:rFonts w:ascii="Open Sans" w:eastAsia="Open Sans" w:hAnsi="Open Sans" w:cs="Open Sans"/>
        </w:rPr>
      </w:pPr>
    </w:p>
    <w:p w14:paraId="02F6EE31" w14:textId="60B821E9" w:rsidR="00A73D95" w:rsidRPr="00064C43" w:rsidRDefault="00064C43" w:rsidP="00064C43">
      <w:pPr>
        <w:pStyle w:val="paragraph"/>
        <w:spacing w:before="0" w:beforeAutospacing="0" w:after="0" w:afterAutospacing="0"/>
        <w:textAlignment w:val="baseline"/>
        <w:rPr>
          <w:rFonts w:ascii="Open Sans" w:eastAsia="Open Sans" w:hAnsi="Open Sans" w:cs="Open Sans"/>
          <w:b/>
          <w:bCs/>
        </w:rPr>
      </w:pPr>
      <w:r>
        <w:rPr>
          <w:rFonts w:ascii="Open Sans" w:eastAsia="Open Sans" w:hAnsi="Open Sans" w:cs="Open Sans"/>
          <w:b/>
          <w:bCs/>
        </w:rPr>
        <w:t>C</w:t>
      </w:r>
      <w:r w:rsidR="006627AE" w:rsidRPr="00064C43">
        <w:rPr>
          <w:rFonts w:ascii="Open Sans" w:eastAsia="Open Sans" w:hAnsi="Open Sans" w:cs="Open Sans"/>
          <w:b/>
          <w:bCs/>
        </w:rPr>
        <w:t>onclusion</w:t>
      </w:r>
    </w:p>
    <w:p w14:paraId="6CBF9E9F" w14:textId="31AA11E4" w:rsidR="744C53E1" w:rsidRPr="006D51C4" w:rsidRDefault="00A73D95" w:rsidP="744C53E1">
      <w:pPr>
        <w:spacing w:before="240" w:after="240"/>
        <w:jc w:val="both"/>
        <w:rPr>
          <w:rFonts w:ascii="Open Sans" w:eastAsia="Open Sans" w:hAnsi="Open Sans" w:cs="Open Sans"/>
          <w:b/>
          <w:bCs/>
        </w:rPr>
      </w:pPr>
      <w:r>
        <w:rPr>
          <w:rStyle w:val="normaltextrun"/>
          <w:rFonts w:ascii="Open Sans" w:hAnsi="Open Sans" w:cs="Open Sans"/>
          <w:sz w:val="21"/>
          <w:szCs w:val="21"/>
          <w:lang w:val="en-US"/>
        </w:rPr>
        <w:t xml:space="preserve">We </w:t>
      </w:r>
      <w:r w:rsidR="006627AE" w:rsidRPr="00A73D95">
        <w:rPr>
          <w:rStyle w:val="normaltextrun"/>
          <w:rFonts w:ascii="Open Sans" w:hAnsi="Open Sans" w:cs="Open Sans"/>
          <w:sz w:val="21"/>
          <w:szCs w:val="21"/>
          <w:lang w:val="en-US"/>
        </w:rPr>
        <w:t xml:space="preserve">thank this Committee for the opportunity to make this submission, which is made in a spirit of co-operation and with the intention of improving the Government of Kenya’s efforts to ensure </w:t>
      </w:r>
      <w:r w:rsidR="0019034A" w:rsidRPr="00A73D95">
        <w:rPr>
          <w:rStyle w:val="normaltextrun"/>
          <w:rFonts w:ascii="Open Sans" w:hAnsi="Open Sans" w:cs="Open Sans"/>
          <w:sz w:val="21"/>
          <w:szCs w:val="21"/>
          <w:lang w:val="en-US"/>
        </w:rPr>
        <w:t>targeted reforms to prioritis</w:t>
      </w:r>
      <w:r w:rsidR="00DC3BF7" w:rsidRPr="00A73D95">
        <w:rPr>
          <w:rStyle w:val="normaltextrun"/>
          <w:rFonts w:ascii="Open Sans" w:hAnsi="Open Sans" w:cs="Open Sans"/>
          <w:sz w:val="21"/>
          <w:szCs w:val="21"/>
          <w:lang w:val="en-US"/>
        </w:rPr>
        <w:t xml:space="preserve">e the financing of </w:t>
      </w:r>
      <w:r w:rsidR="00832D51" w:rsidRPr="00A73D95">
        <w:rPr>
          <w:rStyle w:val="normaltextrun"/>
          <w:rFonts w:ascii="Open Sans" w:hAnsi="Open Sans" w:cs="Open Sans"/>
          <w:sz w:val="21"/>
          <w:szCs w:val="21"/>
          <w:lang w:val="en-US"/>
        </w:rPr>
        <w:t>public services, such as education and health care, while upholding human rights</w:t>
      </w:r>
      <w:r w:rsidR="006627AE" w:rsidRPr="00A73D95">
        <w:rPr>
          <w:rStyle w:val="normaltextrun"/>
          <w:rFonts w:ascii="Open Sans" w:hAnsi="Open Sans" w:cs="Open Sans"/>
          <w:sz w:val="21"/>
          <w:szCs w:val="21"/>
          <w:lang w:val="en-US"/>
        </w:rPr>
        <w:t>. GI-ESCR</w:t>
      </w:r>
      <w:r w:rsidR="00DC3BF7" w:rsidRPr="00A73D95">
        <w:rPr>
          <w:rStyle w:val="normaltextrun"/>
          <w:rFonts w:ascii="Open Sans" w:hAnsi="Open Sans" w:cs="Open Sans"/>
          <w:sz w:val="21"/>
          <w:szCs w:val="21"/>
          <w:lang w:val="en-US"/>
        </w:rPr>
        <w:t xml:space="preserve">, CEPCJ, Hakijamii and </w:t>
      </w:r>
      <w:r w:rsidR="00086D1D" w:rsidRPr="00A73D95">
        <w:rPr>
          <w:rStyle w:val="normaltextrun"/>
          <w:rFonts w:ascii="Open Sans" w:hAnsi="Open Sans" w:cs="Open Sans"/>
          <w:sz w:val="21"/>
          <w:szCs w:val="21"/>
          <w:lang w:val="en-US"/>
        </w:rPr>
        <w:t>EACHRights</w:t>
      </w:r>
      <w:r w:rsidR="006627AE" w:rsidRPr="00A73D95">
        <w:rPr>
          <w:rStyle w:val="normaltextrun"/>
          <w:rFonts w:ascii="Open Sans" w:hAnsi="Open Sans" w:cs="Open Sans"/>
          <w:sz w:val="21"/>
          <w:szCs w:val="21"/>
          <w:lang w:val="en-US"/>
        </w:rPr>
        <w:t xml:space="preserve"> hope that this submission may assist the Government of Kenya in reporting to this Committee in the future. </w:t>
      </w:r>
    </w:p>
    <w:p w14:paraId="77223049" w14:textId="51B8F6CF" w:rsidR="744C53E1" w:rsidRPr="006D51C4" w:rsidRDefault="744C53E1" w:rsidP="744C53E1">
      <w:pPr>
        <w:spacing w:before="240" w:after="240"/>
        <w:jc w:val="both"/>
        <w:rPr>
          <w:rFonts w:ascii="Open Sans" w:eastAsia="Open Sans" w:hAnsi="Open Sans" w:cs="Open Sans"/>
          <w:b/>
          <w:bCs/>
        </w:rPr>
      </w:pPr>
    </w:p>
    <w:p w14:paraId="30B0FC96" w14:textId="77777777" w:rsidR="009623A1" w:rsidRPr="006D51C4" w:rsidRDefault="007B70D4">
      <w:pPr>
        <w:spacing w:before="240" w:after="240"/>
        <w:jc w:val="both"/>
        <w:rPr>
          <w:rFonts w:ascii="Open Sans" w:eastAsia="Open Sans" w:hAnsi="Open Sans" w:cs="Open Sans"/>
          <w:b/>
        </w:rPr>
      </w:pPr>
      <w:r w:rsidRPr="006D51C4">
        <w:rPr>
          <w:rFonts w:ascii="Open Sans" w:eastAsia="Open Sans" w:hAnsi="Open Sans" w:cs="Open Sans"/>
          <w:b/>
          <w:bCs/>
        </w:rPr>
        <w:t>Submitted by:</w:t>
      </w:r>
    </w:p>
    <w:tbl>
      <w:tblPr>
        <w:tblStyle w:val="TableGrid"/>
        <w:tblW w:w="0" w:type="auto"/>
        <w:tblLayout w:type="fixed"/>
        <w:tblLook w:val="06A0" w:firstRow="1" w:lastRow="0" w:firstColumn="1" w:lastColumn="0" w:noHBand="1" w:noVBand="1"/>
      </w:tblPr>
      <w:tblGrid>
        <w:gridCol w:w="9015"/>
      </w:tblGrid>
      <w:tr w:rsidR="635AA1F7" w:rsidRPr="006D51C4" w14:paraId="0CA6CA96" w14:textId="77777777" w:rsidTr="635AA1F7">
        <w:trPr>
          <w:trHeight w:val="300"/>
        </w:trPr>
        <w:tc>
          <w:tcPr>
            <w:tcW w:w="9015" w:type="dxa"/>
          </w:tcPr>
          <w:p w14:paraId="1A3F75FD" w14:textId="65BBAA06" w:rsidR="76FCCCC8" w:rsidRPr="006D51C4" w:rsidRDefault="76FCCCC8" w:rsidP="635AA1F7">
            <w:pPr>
              <w:jc w:val="both"/>
              <w:rPr>
                <w:rFonts w:ascii="Open Sans" w:eastAsia="Open Sans" w:hAnsi="Open Sans" w:cs="Open Sans"/>
                <w:color w:val="000000" w:themeColor="text1"/>
                <w:sz w:val="21"/>
                <w:szCs w:val="21"/>
                <w:lang w:val="en-US"/>
              </w:rPr>
            </w:pPr>
            <w:r w:rsidRPr="006D51C4">
              <w:rPr>
                <w:rFonts w:ascii="Open Sans" w:eastAsia="Open Sans" w:hAnsi="Open Sans" w:cs="Open Sans"/>
                <w:color w:val="000000" w:themeColor="text1"/>
                <w:sz w:val="21"/>
                <w:szCs w:val="21"/>
                <w:lang w:val="en-US"/>
              </w:rPr>
              <w:t>Contact:</w:t>
            </w:r>
          </w:p>
          <w:p w14:paraId="5838E51F" w14:textId="3F55C228" w:rsidR="76FCCCC8" w:rsidRPr="006D51C4" w:rsidRDefault="76FCCCC8" w:rsidP="635AA1F7">
            <w:pPr>
              <w:jc w:val="both"/>
              <w:rPr>
                <w:rFonts w:ascii="Open Sans" w:eastAsia="Open Sans" w:hAnsi="Open Sans" w:cs="Open Sans"/>
                <w:b/>
                <w:bCs/>
              </w:rPr>
            </w:pPr>
            <w:r w:rsidRPr="006D51C4">
              <w:rPr>
                <w:rFonts w:ascii="Open Sans" w:eastAsia="Open Sans" w:hAnsi="Open Sans" w:cs="Open Sans"/>
                <w:color w:val="000000" w:themeColor="text1"/>
                <w:sz w:val="18"/>
                <w:szCs w:val="18"/>
                <w:lang w:val="en-US"/>
              </w:rPr>
              <w:t xml:space="preserve">Roselyne Adhiambo Onyango, Associate Programme Officer – Africa, at the Global Initiative for Economic, Social and Cultural Rights (GI-ESCR). Email: </w:t>
            </w:r>
            <w:hyperlink r:id="rId11" w:history="1">
              <w:hyperlink r:id="rId12" w:history="1">
                <w:r w:rsidRPr="006D51C4">
                  <w:rPr>
                    <w:rStyle w:val="Hyperlink"/>
                    <w:rFonts w:ascii="Open Sans" w:eastAsia="Open Sans" w:hAnsi="Open Sans" w:cs="Open Sans"/>
                    <w:sz w:val="18"/>
                    <w:szCs w:val="18"/>
                    <w:lang w:val="en-US"/>
                  </w:rPr>
                  <w:t>roselyne@gi-escr.org</w:t>
                </w:r>
              </w:hyperlink>
            </w:hyperlink>
          </w:p>
        </w:tc>
      </w:tr>
    </w:tbl>
    <w:p w14:paraId="19F6A1C4" w14:textId="77777777" w:rsidR="009623A1" w:rsidRDefault="009623A1">
      <w:pPr>
        <w:rPr>
          <w:rFonts w:ascii="Open Sans" w:eastAsia="Open Sans" w:hAnsi="Open Sans" w:cs="Open Sans"/>
        </w:rPr>
      </w:pPr>
    </w:p>
    <w:sectPr w:rsidR="009623A1">
      <w:headerReference w:type="default" r:id="rId13"/>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BFF33F" w14:textId="77777777" w:rsidR="006C17FF" w:rsidRDefault="006C17FF">
      <w:pPr>
        <w:spacing w:line="240" w:lineRule="auto"/>
      </w:pPr>
      <w:r>
        <w:separator/>
      </w:r>
    </w:p>
  </w:endnote>
  <w:endnote w:type="continuationSeparator" w:id="0">
    <w:p w14:paraId="1A62244F" w14:textId="77777777" w:rsidR="006C17FF" w:rsidRDefault="006C17FF">
      <w:pPr>
        <w:spacing w:line="240" w:lineRule="auto"/>
      </w:pPr>
      <w:r>
        <w:continuationSeparator/>
      </w:r>
    </w:p>
  </w:endnote>
  <w:endnote w:type="continuationNotice" w:id="1">
    <w:p w14:paraId="1E52BF13" w14:textId="77777777" w:rsidR="006C17FF" w:rsidRDefault="006C17F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Open Sans">
    <w:altName w:val="Open Sans"/>
    <w:charset w:val="00"/>
    <w:family w:val="swiss"/>
    <w:pitch w:val="variable"/>
    <w:sig w:usb0="E00002EF" w:usb1="4000205B" w:usb2="00000028" w:usb3="00000000" w:csb0="0000019F" w:csb1="00000000"/>
    <w:embedRegular r:id="rId1" w:fontKey="{2D73AB8D-0F67-457C-B9DE-63417083E4F4}"/>
    <w:embedBold r:id="rId2" w:fontKey="{D8EBDB40-8F89-4370-B559-BBD9E08B6CC5}"/>
    <w:embedItalic r:id="rId3" w:fontKey="{6A480CFB-82EF-4881-93C7-7A198E9B2C74}"/>
    <w:embedBoldItalic r:id="rId4" w:fontKey="{29691BFB-E38D-4DD5-9998-09D004534062}"/>
  </w:font>
  <w:font w:name="Arial Nova">
    <w:charset w:val="00"/>
    <w:family w:val="swiss"/>
    <w:pitch w:val="variable"/>
    <w:sig w:usb0="2000028F" w:usb1="00000002" w:usb2="00000000" w:usb3="00000000" w:csb0="0000019F" w:csb1="00000000"/>
    <w:embedRegular r:id="rId5" w:fontKey="{CD5345F1-98AE-4B11-9119-2F7F5D856CE5}"/>
  </w:font>
  <w:font w:name="Calibri">
    <w:panose1 w:val="020F0502020204030204"/>
    <w:charset w:val="00"/>
    <w:family w:val="swiss"/>
    <w:pitch w:val="variable"/>
    <w:sig w:usb0="E1002AFF" w:usb1="4000ACFF" w:usb2="00000009" w:usb3="00000000" w:csb0="000001FF" w:csb1="00000000"/>
    <w:embedRegular r:id="rId6" w:fontKey="{90366C86-CCD4-4D47-BD6C-59C3E635F774}"/>
  </w:font>
  <w:font w:name="Cambria">
    <w:panose1 w:val="02040503050406030204"/>
    <w:charset w:val="00"/>
    <w:family w:val="roman"/>
    <w:pitch w:val="variable"/>
    <w:sig w:usb0="E00006FF" w:usb1="420024FF" w:usb2="02000000" w:usb3="00000000" w:csb0="0000019F" w:csb1="00000000"/>
    <w:embedRegular r:id="rId7" w:fontKey="{A7E4FA65-9CB4-48FD-B565-0B27044750D5}"/>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680F13" w14:textId="77777777" w:rsidR="006C17FF" w:rsidRDefault="006C17FF">
      <w:pPr>
        <w:spacing w:line="240" w:lineRule="auto"/>
      </w:pPr>
      <w:r>
        <w:separator/>
      </w:r>
    </w:p>
  </w:footnote>
  <w:footnote w:type="continuationSeparator" w:id="0">
    <w:p w14:paraId="110F64AE" w14:textId="77777777" w:rsidR="006C17FF" w:rsidRDefault="006C17FF">
      <w:pPr>
        <w:spacing w:line="240" w:lineRule="auto"/>
      </w:pPr>
      <w:r>
        <w:continuationSeparator/>
      </w:r>
    </w:p>
  </w:footnote>
  <w:footnote w:type="continuationNotice" w:id="1">
    <w:p w14:paraId="16C72C68" w14:textId="77777777" w:rsidR="006C17FF" w:rsidRDefault="006C17FF">
      <w:pPr>
        <w:spacing w:line="240" w:lineRule="auto"/>
      </w:pPr>
    </w:p>
  </w:footnote>
  <w:footnote w:id="2">
    <w:p w14:paraId="6747C558" w14:textId="1B47C44A" w:rsidR="744C53E1" w:rsidRPr="00A9675D" w:rsidRDefault="744C53E1" w:rsidP="744C53E1">
      <w:pPr>
        <w:spacing w:line="240" w:lineRule="auto"/>
        <w:rPr>
          <w:rFonts w:ascii="Open Sans" w:hAnsi="Open Sans" w:cs="Open Sans"/>
          <w:sz w:val="16"/>
          <w:szCs w:val="16"/>
        </w:rPr>
      </w:pPr>
      <w:r w:rsidRPr="00A9675D">
        <w:rPr>
          <w:rFonts w:ascii="Open Sans" w:hAnsi="Open Sans" w:cs="Open Sans"/>
          <w:sz w:val="16"/>
          <w:szCs w:val="16"/>
          <w:vertAlign w:val="superscript"/>
        </w:rPr>
        <w:footnoteRef/>
      </w:r>
      <w:r w:rsidRPr="00A9675D">
        <w:rPr>
          <w:rFonts w:ascii="Open Sans" w:hAnsi="Open Sans" w:cs="Open Sans"/>
          <w:sz w:val="16"/>
          <w:szCs w:val="16"/>
        </w:rPr>
        <w:t xml:space="preserve"> CESCR, Concluding Observations on the Combined Second to Fifth Periodic Reports of Kenya, E/C.12/KEN/CO/2-5. (April 6,2016)</w:t>
      </w:r>
      <w:r w:rsidR="00A043D7">
        <w:rPr>
          <w:rFonts w:ascii="Open Sans" w:hAnsi="Open Sans" w:cs="Open Sans"/>
          <w:sz w:val="16"/>
          <w:szCs w:val="16"/>
        </w:rPr>
        <w:t>.</w:t>
      </w:r>
      <w:r w:rsidRPr="00A9675D">
        <w:rPr>
          <w:rFonts w:ascii="Open Sans" w:hAnsi="Open Sans" w:cs="Open Sans"/>
          <w:sz w:val="16"/>
          <w:szCs w:val="16"/>
        </w:rPr>
        <w:t xml:space="preserve"> para 18</w:t>
      </w:r>
    </w:p>
  </w:footnote>
  <w:footnote w:id="3">
    <w:p w14:paraId="115538E1" w14:textId="478E99CA" w:rsidR="744C53E1" w:rsidRPr="00281018" w:rsidRDefault="744C53E1" w:rsidP="744C53E1">
      <w:pPr>
        <w:pStyle w:val="FootnoteText"/>
        <w:rPr>
          <w:rFonts w:ascii="Open Sans" w:eastAsia="Open Sans" w:hAnsi="Open Sans" w:cs="Open Sans"/>
          <w:sz w:val="16"/>
          <w:szCs w:val="16"/>
        </w:rPr>
      </w:pPr>
      <w:r w:rsidRPr="00281018">
        <w:rPr>
          <w:rStyle w:val="FootnoteReference"/>
          <w:sz w:val="16"/>
          <w:szCs w:val="16"/>
        </w:rPr>
        <w:footnoteRef/>
      </w:r>
      <w:r w:rsidRPr="00281018">
        <w:rPr>
          <w:sz w:val="16"/>
          <w:szCs w:val="16"/>
        </w:rPr>
        <w:t xml:space="preserve"> </w:t>
      </w:r>
      <w:r w:rsidRPr="00281018">
        <w:rPr>
          <w:rFonts w:ascii="Open Sans" w:eastAsia="Open Sans" w:hAnsi="Open Sans" w:cs="Open Sans"/>
          <w:sz w:val="16"/>
          <w:szCs w:val="16"/>
          <w:lang w:val="en-US"/>
        </w:rPr>
        <w:t>Eric Magale and Mario Schimdt, “</w:t>
      </w:r>
      <w:r w:rsidRPr="00281018">
        <w:rPr>
          <w:rFonts w:ascii="Open Sans" w:eastAsia="Open Sans" w:hAnsi="Open Sans" w:cs="Open Sans"/>
          <w:sz w:val="16"/>
          <w:szCs w:val="16"/>
        </w:rPr>
        <w:t>Kenya protests show citizens don’t trust government with their tax money: can Ruto make a meaningful new deal?”</w:t>
      </w:r>
      <w:r w:rsidRPr="00281018">
        <w:rPr>
          <w:rFonts w:ascii="Open Sans" w:eastAsia="Open Sans" w:hAnsi="Open Sans" w:cs="Open Sans"/>
          <w:b/>
          <w:bCs/>
          <w:sz w:val="16"/>
          <w:szCs w:val="16"/>
        </w:rPr>
        <w:t xml:space="preserve"> </w:t>
      </w:r>
      <w:r w:rsidRPr="00281018">
        <w:rPr>
          <w:rFonts w:ascii="Open Sans" w:eastAsia="Open Sans" w:hAnsi="Open Sans" w:cs="Open Sans"/>
          <w:i/>
          <w:iCs/>
          <w:sz w:val="16"/>
          <w:szCs w:val="16"/>
        </w:rPr>
        <w:t>The conversation</w:t>
      </w:r>
      <w:r w:rsidRPr="00281018">
        <w:rPr>
          <w:rFonts w:ascii="Open Sans" w:eastAsia="Open Sans" w:hAnsi="Open Sans" w:cs="Open Sans"/>
          <w:sz w:val="16"/>
          <w:szCs w:val="16"/>
        </w:rPr>
        <w:t xml:space="preserve">, July 16, 2024. </w:t>
      </w:r>
      <w:hyperlink r:id="rId1">
        <w:r w:rsidRPr="00281018">
          <w:rPr>
            <w:rStyle w:val="Hyperlink"/>
            <w:rFonts w:ascii="Open Sans" w:eastAsia="Open Sans" w:hAnsi="Open Sans" w:cs="Open Sans"/>
            <w:color w:val="0000FF"/>
            <w:sz w:val="16"/>
            <w:szCs w:val="16"/>
          </w:rPr>
          <w:t>https://theconversation.com/kenya-protests-show-citizens-dont-trust-government-with-their-tax-money-can-ruto-make-a-meaningful-new-deal-234008</w:t>
        </w:r>
      </w:hyperlink>
    </w:p>
  </w:footnote>
  <w:footnote w:id="4">
    <w:p w14:paraId="55FBC219" w14:textId="096506D8" w:rsidR="744C53E1" w:rsidRPr="00A9675D" w:rsidRDefault="744C53E1" w:rsidP="744C53E1">
      <w:pPr>
        <w:pStyle w:val="FootnoteText"/>
        <w:rPr>
          <w:rFonts w:ascii="Open Sans" w:hAnsi="Open Sans" w:cs="Open Sans"/>
          <w:sz w:val="16"/>
          <w:szCs w:val="16"/>
        </w:rPr>
      </w:pPr>
      <w:r w:rsidRPr="00A9675D">
        <w:rPr>
          <w:rStyle w:val="FootnoteReference"/>
          <w:rFonts w:ascii="Open Sans" w:hAnsi="Open Sans" w:cs="Open Sans"/>
          <w:sz w:val="16"/>
          <w:szCs w:val="16"/>
        </w:rPr>
        <w:footnoteRef/>
      </w:r>
      <w:r w:rsidRPr="00A9675D">
        <w:rPr>
          <w:rFonts w:ascii="Open Sans" w:hAnsi="Open Sans" w:cs="Open Sans"/>
          <w:sz w:val="16"/>
          <w:szCs w:val="16"/>
        </w:rPr>
        <w:t xml:space="preserve"> Basillioh Rukang, “What are Kenya’s controversial tax proposals?” BBC, June 15, 2024. </w:t>
      </w:r>
      <w:hyperlink r:id="rId2" w:history="1">
        <w:r w:rsidR="00A9675D" w:rsidRPr="00A71A8D">
          <w:rPr>
            <w:rStyle w:val="Hyperlink"/>
            <w:rFonts w:ascii="Open Sans" w:hAnsi="Open Sans" w:cs="Open Sans"/>
            <w:sz w:val="16"/>
            <w:szCs w:val="16"/>
          </w:rPr>
          <w:t>https://www.bbc.com/news/articles/cv22g359mq9o</w:t>
        </w:r>
      </w:hyperlink>
      <w:r w:rsidR="00A9675D">
        <w:rPr>
          <w:rFonts w:ascii="Open Sans" w:hAnsi="Open Sans" w:cs="Open Sans"/>
          <w:sz w:val="16"/>
          <w:szCs w:val="16"/>
        </w:rPr>
        <w:t xml:space="preserve"> </w:t>
      </w:r>
    </w:p>
  </w:footnote>
  <w:footnote w:id="5">
    <w:p w14:paraId="0845FEE4" w14:textId="5CBD28D4" w:rsidR="744C53E1" w:rsidRPr="006676D2" w:rsidRDefault="744C53E1" w:rsidP="744C53E1">
      <w:pPr>
        <w:pStyle w:val="FootnoteText"/>
        <w:rPr>
          <w:rFonts w:ascii="Open Sans" w:eastAsia="Open Sans" w:hAnsi="Open Sans" w:cs="Open Sans"/>
          <w:i/>
          <w:iCs/>
          <w:sz w:val="16"/>
          <w:szCs w:val="16"/>
        </w:rPr>
      </w:pPr>
      <w:r w:rsidRPr="006676D2">
        <w:rPr>
          <w:rStyle w:val="FootnoteReference"/>
          <w:rFonts w:ascii="Open Sans" w:hAnsi="Open Sans" w:cs="Open Sans"/>
          <w:sz w:val="16"/>
          <w:szCs w:val="16"/>
        </w:rPr>
        <w:footnoteRef/>
      </w:r>
      <w:r w:rsidRPr="006676D2">
        <w:rPr>
          <w:rFonts w:ascii="Open Sans" w:hAnsi="Open Sans" w:cs="Open Sans"/>
          <w:sz w:val="16"/>
          <w:szCs w:val="16"/>
        </w:rPr>
        <w:t xml:space="preserve"> </w:t>
      </w:r>
      <w:r w:rsidRPr="006676D2">
        <w:rPr>
          <w:rFonts w:ascii="Open Sans" w:eastAsia="Open Sans" w:hAnsi="Open Sans" w:cs="Open Sans"/>
          <w:sz w:val="16"/>
          <w:szCs w:val="16"/>
        </w:rPr>
        <w:t xml:space="preserve">Fadhel Kaboub, “Why are the US and IMF imposing draconian austerity measures on Kenya?” </w:t>
      </w:r>
      <w:r w:rsidRPr="006676D2">
        <w:rPr>
          <w:rFonts w:ascii="Open Sans" w:eastAsia="Open Sans" w:hAnsi="Open Sans" w:cs="Open Sans"/>
          <w:i/>
          <w:iCs/>
          <w:sz w:val="16"/>
          <w:szCs w:val="16"/>
        </w:rPr>
        <w:t xml:space="preserve">The Guardian, </w:t>
      </w:r>
      <w:r w:rsidRPr="006676D2">
        <w:rPr>
          <w:rFonts w:ascii="Open Sans" w:eastAsia="Open Sans" w:hAnsi="Open Sans" w:cs="Open Sans"/>
          <w:sz w:val="16"/>
          <w:szCs w:val="16"/>
        </w:rPr>
        <w:t xml:space="preserve">July 10, 2024 </w:t>
      </w:r>
      <w:hyperlink r:id="rId3">
        <w:r w:rsidRPr="006676D2">
          <w:rPr>
            <w:rStyle w:val="Hyperlink"/>
            <w:rFonts w:ascii="Open Sans" w:eastAsia="Open Sans" w:hAnsi="Open Sans" w:cs="Open Sans"/>
            <w:color w:val="0000FF"/>
            <w:sz w:val="16"/>
            <w:szCs w:val="16"/>
          </w:rPr>
          <w:t>https://www.theguardian.com/commentisfree/article/2024/jul/10/kenya-finance-bill-protests</w:t>
        </w:r>
      </w:hyperlink>
    </w:p>
  </w:footnote>
  <w:footnote w:id="6">
    <w:p w14:paraId="06B6C4E0" w14:textId="6AFBB004" w:rsidR="744C53E1" w:rsidRDefault="744C53E1" w:rsidP="744C53E1">
      <w:pPr>
        <w:pStyle w:val="FootnoteText"/>
      </w:pPr>
      <w:r w:rsidRPr="744C53E1">
        <w:rPr>
          <w:rStyle w:val="FootnoteReference"/>
        </w:rPr>
        <w:footnoteRef/>
      </w:r>
      <w:r>
        <w:t xml:space="preserve"> </w:t>
      </w:r>
      <w:r w:rsidRPr="00281018">
        <w:rPr>
          <w:rFonts w:ascii="Open Sans" w:eastAsia="Open Sans" w:hAnsi="Open Sans" w:cs="Open Sans"/>
          <w:sz w:val="16"/>
          <w:szCs w:val="16"/>
          <w:lang w:val="en-US"/>
        </w:rPr>
        <w:t>Ian Omondi, “</w:t>
      </w:r>
      <w:r w:rsidRPr="00281018">
        <w:rPr>
          <w:rFonts w:ascii="Open Sans" w:eastAsia="Open Sans" w:hAnsi="Open Sans" w:cs="Open Sans"/>
          <w:sz w:val="16"/>
          <w:szCs w:val="16"/>
        </w:rPr>
        <w:t>The six pillars of DP Ruto’s bottom-up economic model and why he believes it is the solution,</w:t>
      </w:r>
      <w:r w:rsidRPr="00281018">
        <w:rPr>
          <w:rFonts w:ascii="Open Sans" w:eastAsia="Open Sans" w:hAnsi="Open Sans" w:cs="Open Sans"/>
          <w:b/>
          <w:bCs/>
          <w:sz w:val="16"/>
          <w:szCs w:val="16"/>
        </w:rPr>
        <w:t xml:space="preserve">” </w:t>
      </w:r>
      <w:r w:rsidRPr="00281018">
        <w:rPr>
          <w:rFonts w:ascii="Open Sans" w:eastAsia="Open Sans" w:hAnsi="Open Sans" w:cs="Open Sans"/>
          <w:i/>
          <w:iCs/>
          <w:sz w:val="16"/>
          <w:szCs w:val="16"/>
        </w:rPr>
        <w:t xml:space="preserve">Citizen Digital, </w:t>
      </w:r>
      <w:r w:rsidRPr="00281018">
        <w:rPr>
          <w:rFonts w:ascii="Open Sans" w:eastAsia="Open Sans" w:hAnsi="Open Sans" w:cs="Open Sans"/>
          <w:sz w:val="16"/>
          <w:szCs w:val="16"/>
        </w:rPr>
        <w:t xml:space="preserve">June 30, 2022. </w:t>
      </w:r>
      <w:hyperlink r:id="rId4">
        <w:r w:rsidRPr="00281018">
          <w:rPr>
            <w:rStyle w:val="Hyperlink"/>
            <w:rFonts w:ascii="Open Sans" w:eastAsia="Open Sans" w:hAnsi="Open Sans" w:cs="Open Sans"/>
            <w:color w:val="0000FF"/>
            <w:sz w:val="16"/>
            <w:szCs w:val="16"/>
          </w:rPr>
          <w:t>https://www.citizen.digital/news/the-six-pillars-of-dp-rutos-bottom-up-economic-model-and-why-he-believes-it-is-the-solution-n301225</w:t>
        </w:r>
      </w:hyperlink>
      <w:r w:rsidRPr="744C53E1">
        <w:rPr>
          <w:rFonts w:ascii="Open Sans" w:eastAsia="Open Sans" w:hAnsi="Open Sans" w:cs="Open Sans"/>
          <w:sz w:val="18"/>
          <w:szCs w:val="18"/>
        </w:rPr>
        <w:t xml:space="preserve"> </w:t>
      </w:r>
      <w:r w:rsidRPr="744C53E1">
        <w:rPr>
          <w:rFonts w:ascii="Open Sans" w:eastAsia="Open Sans" w:hAnsi="Open Sans" w:cs="Open Sans"/>
          <w:b/>
          <w:bCs/>
          <w:sz w:val="18"/>
          <w:szCs w:val="18"/>
        </w:rPr>
        <w:t xml:space="preserve"> </w:t>
      </w:r>
    </w:p>
    <w:p w14:paraId="24F923F7" w14:textId="05461E91" w:rsidR="744C53E1" w:rsidRDefault="744C53E1" w:rsidP="744C53E1">
      <w:pPr>
        <w:pStyle w:val="FootnoteText"/>
      </w:pPr>
    </w:p>
  </w:footnote>
  <w:footnote w:id="7">
    <w:p w14:paraId="683EC51E" w14:textId="0D5AF808" w:rsidR="00E82C1E" w:rsidRPr="00262EDC" w:rsidRDefault="744C53E1" w:rsidP="744C53E1">
      <w:pPr>
        <w:pStyle w:val="FootnoteText"/>
        <w:rPr>
          <w:rFonts w:ascii="Open Sans" w:hAnsi="Open Sans" w:cs="Open Sans"/>
          <w:sz w:val="16"/>
          <w:szCs w:val="16"/>
        </w:rPr>
      </w:pPr>
      <w:r w:rsidRPr="00262EDC">
        <w:rPr>
          <w:rStyle w:val="FootnoteReference"/>
          <w:rFonts w:ascii="Open Sans" w:hAnsi="Open Sans" w:cs="Open Sans"/>
          <w:sz w:val="16"/>
          <w:szCs w:val="16"/>
        </w:rPr>
        <w:footnoteRef/>
      </w:r>
      <w:r w:rsidRPr="00262EDC">
        <w:rPr>
          <w:rFonts w:ascii="Open Sans" w:hAnsi="Open Sans" w:cs="Open Sans"/>
          <w:sz w:val="16"/>
          <w:szCs w:val="16"/>
        </w:rPr>
        <w:t xml:space="preserve"> Alex Mathini,</w:t>
      </w:r>
      <w:r w:rsidR="00E32733">
        <w:rPr>
          <w:rFonts w:ascii="Open Sans" w:hAnsi="Open Sans" w:cs="Open Sans"/>
          <w:sz w:val="16"/>
          <w:szCs w:val="16"/>
        </w:rPr>
        <w:t xml:space="preserve"> et.al</w:t>
      </w:r>
      <w:r w:rsidRPr="00262EDC">
        <w:rPr>
          <w:rFonts w:ascii="Open Sans" w:hAnsi="Open Sans" w:cs="Open Sans"/>
          <w:sz w:val="16"/>
          <w:szCs w:val="16"/>
        </w:rPr>
        <w:t xml:space="preserve">,” Kenya: Court of Appeal declares the entire Finance Act, 2023, unconstitutional, ” August 2, 2024. </w:t>
      </w:r>
      <w:hyperlink r:id="rId5" w:history="1">
        <w:r w:rsidR="00E82C1E" w:rsidRPr="00262EDC">
          <w:rPr>
            <w:rStyle w:val="Hyperlink"/>
            <w:rFonts w:ascii="Open Sans" w:hAnsi="Open Sans" w:cs="Open Sans"/>
            <w:sz w:val="16"/>
            <w:szCs w:val="16"/>
          </w:rPr>
          <w:t>https://bowmanslaw.com/insights/kenya-court-of-appealdeclares-the-entire-finance-act-2023-unconstitutional/</w:t>
        </w:r>
      </w:hyperlink>
    </w:p>
  </w:footnote>
  <w:footnote w:id="8">
    <w:p w14:paraId="3B019B6E" w14:textId="0F4B59A1" w:rsidR="00E70C83" w:rsidRPr="00262EDC" w:rsidRDefault="00E70C83">
      <w:pPr>
        <w:pStyle w:val="FootnoteText"/>
        <w:rPr>
          <w:rFonts w:ascii="Open Sans" w:hAnsi="Open Sans" w:cs="Open Sans"/>
          <w:sz w:val="16"/>
          <w:szCs w:val="16"/>
          <w:lang w:val="en-US"/>
        </w:rPr>
      </w:pPr>
      <w:r w:rsidRPr="00262EDC">
        <w:rPr>
          <w:rStyle w:val="FootnoteReference"/>
          <w:rFonts w:ascii="Open Sans" w:hAnsi="Open Sans" w:cs="Open Sans"/>
          <w:sz w:val="16"/>
          <w:szCs w:val="16"/>
        </w:rPr>
        <w:footnoteRef/>
      </w:r>
      <w:r w:rsidRPr="00262EDC">
        <w:rPr>
          <w:rFonts w:ascii="Open Sans" w:hAnsi="Open Sans" w:cs="Open Sans"/>
          <w:sz w:val="16"/>
          <w:szCs w:val="16"/>
        </w:rPr>
        <w:t xml:space="preserve"> </w:t>
      </w:r>
      <w:r w:rsidRPr="00262EDC">
        <w:rPr>
          <w:rFonts w:ascii="Open Sans" w:hAnsi="Open Sans" w:cs="Open Sans"/>
          <w:sz w:val="16"/>
          <w:szCs w:val="16"/>
          <w:lang w:val="en-US"/>
        </w:rPr>
        <w:t xml:space="preserve">KPMG, </w:t>
      </w:r>
      <w:r w:rsidR="0077237E" w:rsidRPr="00262EDC">
        <w:rPr>
          <w:rFonts w:ascii="Open Sans" w:hAnsi="Open Sans" w:cs="Open Sans"/>
          <w:sz w:val="16"/>
          <w:szCs w:val="16"/>
          <w:lang w:val="en-US"/>
        </w:rPr>
        <w:t>“</w:t>
      </w:r>
      <w:r w:rsidRPr="00262EDC">
        <w:rPr>
          <w:rFonts w:ascii="Open Sans" w:hAnsi="Open Sans" w:cs="Open Sans"/>
          <w:sz w:val="16"/>
          <w:szCs w:val="16"/>
          <w:lang w:val="en-US"/>
        </w:rPr>
        <w:t>Tax Alert, Affordable Housing Levy</w:t>
      </w:r>
      <w:r w:rsidR="0077237E" w:rsidRPr="00262EDC">
        <w:rPr>
          <w:rFonts w:ascii="Open Sans" w:hAnsi="Open Sans" w:cs="Open Sans"/>
          <w:sz w:val="16"/>
          <w:szCs w:val="16"/>
          <w:lang w:val="en-US"/>
        </w:rPr>
        <w:t>”</w:t>
      </w:r>
      <w:r w:rsidR="00661AEB" w:rsidRPr="00262EDC">
        <w:rPr>
          <w:rFonts w:ascii="Open Sans" w:hAnsi="Open Sans" w:cs="Open Sans"/>
          <w:sz w:val="16"/>
          <w:szCs w:val="16"/>
          <w:lang w:val="en-US"/>
        </w:rPr>
        <w:t>, August 2023.</w:t>
      </w:r>
      <w:r w:rsidR="006E3F2A" w:rsidRPr="00262EDC">
        <w:rPr>
          <w:rFonts w:ascii="Open Sans" w:hAnsi="Open Sans" w:cs="Open Sans"/>
          <w:sz w:val="16"/>
          <w:szCs w:val="16"/>
        </w:rPr>
        <w:t xml:space="preserve"> </w:t>
      </w:r>
      <w:hyperlink r:id="rId6" w:history="1">
        <w:r w:rsidR="006E3F2A" w:rsidRPr="00262EDC">
          <w:rPr>
            <w:rStyle w:val="Hyperlink"/>
            <w:rFonts w:ascii="Open Sans" w:hAnsi="Open Sans" w:cs="Open Sans"/>
            <w:sz w:val="16"/>
            <w:szCs w:val="16"/>
            <w:lang w:val="en-US"/>
          </w:rPr>
          <w:t>https://assets.kpmg.com/content/dam/kpmg/ke/pdf/tax/2023/Affordable%20Housing%20Levy.pdf</w:t>
        </w:r>
      </w:hyperlink>
      <w:r w:rsidR="006E3F2A" w:rsidRPr="00262EDC">
        <w:rPr>
          <w:rFonts w:ascii="Open Sans" w:hAnsi="Open Sans" w:cs="Open Sans"/>
          <w:sz w:val="16"/>
          <w:szCs w:val="16"/>
          <w:lang w:val="en-US"/>
        </w:rPr>
        <w:t xml:space="preserve"> </w:t>
      </w:r>
    </w:p>
  </w:footnote>
  <w:footnote w:id="9">
    <w:p w14:paraId="53BE11C8" w14:textId="7F9B134F" w:rsidR="00751387" w:rsidRPr="00262EDC" w:rsidRDefault="00751387">
      <w:pPr>
        <w:pStyle w:val="FootnoteText"/>
        <w:rPr>
          <w:rFonts w:ascii="Open Sans" w:hAnsi="Open Sans" w:cs="Open Sans"/>
          <w:sz w:val="16"/>
          <w:szCs w:val="16"/>
          <w:lang w:val="en-US"/>
        </w:rPr>
      </w:pPr>
      <w:r w:rsidRPr="00262EDC">
        <w:rPr>
          <w:rStyle w:val="FootnoteReference"/>
          <w:rFonts w:ascii="Open Sans" w:hAnsi="Open Sans" w:cs="Open Sans"/>
          <w:sz w:val="16"/>
          <w:szCs w:val="16"/>
        </w:rPr>
        <w:footnoteRef/>
      </w:r>
      <w:r w:rsidRPr="00262EDC">
        <w:rPr>
          <w:rFonts w:ascii="Open Sans" w:hAnsi="Open Sans" w:cs="Open Sans"/>
          <w:sz w:val="16"/>
          <w:szCs w:val="16"/>
        </w:rPr>
        <w:t xml:space="preserve"> </w:t>
      </w:r>
      <w:r w:rsidR="008A3395" w:rsidRPr="00262EDC">
        <w:rPr>
          <w:rFonts w:ascii="Open Sans" w:hAnsi="Open Sans" w:cs="Open Sans"/>
          <w:sz w:val="16"/>
          <w:szCs w:val="16"/>
          <w:lang w:val="en-US"/>
        </w:rPr>
        <w:t>Court of Appeal, National Assembly %&amp;another V Okiya Omtata Okoiti and 55 Others</w:t>
      </w:r>
      <w:r w:rsidR="00B95517" w:rsidRPr="00262EDC">
        <w:rPr>
          <w:rFonts w:ascii="Open Sans" w:hAnsi="Open Sans" w:cs="Open Sans"/>
          <w:sz w:val="16"/>
          <w:szCs w:val="16"/>
          <w:lang w:val="en-US"/>
        </w:rPr>
        <w:t xml:space="preserve"> </w:t>
      </w:r>
      <w:r w:rsidR="008C3B12" w:rsidRPr="00262EDC">
        <w:rPr>
          <w:rFonts w:ascii="Open Sans" w:hAnsi="Open Sans" w:cs="Open Sans"/>
          <w:sz w:val="16"/>
          <w:szCs w:val="16"/>
          <w:lang w:val="en-US"/>
        </w:rPr>
        <w:t>(Civil Appeal E003 of 2023 &amp;. E</w:t>
      </w:r>
      <w:r w:rsidR="00696031" w:rsidRPr="00262EDC">
        <w:rPr>
          <w:rFonts w:ascii="Open Sans" w:hAnsi="Open Sans" w:cs="Open Sans"/>
          <w:sz w:val="16"/>
          <w:szCs w:val="16"/>
          <w:lang w:val="en-US"/>
        </w:rPr>
        <w:t>016, E021. E049, E064 &amp; E080 of 2024</w:t>
      </w:r>
      <w:r w:rsidR="00986844" w:rsidRPr="00262EDC">
        <w:rPr>
          <w:rFonts w:ascii="Open Sans" w:hAnsi="Open Sans" w:cs="Open Sans"/>
          <w:sz w:val="16"/>
          <w:szCs w:val="16"/>
          <w:lang w:val="en-US"/>
        </w:rPr>
        <w:t xml:space="preserve"> (Consolidated)</w:t>
      </w:r>
      <w:r w:rsidR="008C3B12" w:rsidRPr="00262EDC">
        <w:rPr>
          <w:rFonts w:ascii="Open Sans" w:hAnsi="Open Sans" w:cs="Open Sans"/>
          <w:sz w:val="16"/>
          <w:szCs w:val="16"/>
          <w:lang w:val="en-US"/>
        </w:rPr>
        <w:t>)</w:t>
      </w:r>
      <w:r w:rsidR="00986844" w:rsidRPr="00262EDC">
        <w:rPr>
          <w:rFonts w:ascii="Open Sans" w:hAnsi="Open Sans" w:cs="Open Sans"/>
          <w:sz w:val="16"/>
          <w:szCs w:val="16"/>
          <w:lang w:val="en-US"/>
        </w:rPr>
        <w:t xml:space="preserve"> [</w:t>
      </w:r>
      <w:r w:rsidR="00966021" w:rsidRPr="00262EDC">
        <w:rPr>
          <w:rFonts w:ascii="Open Sans" w:hAnsi="Open Sans" w:cs="Open Sans"/>
          <w:sz w:val="16"/>
          <w:szCs w:val="16"/>
        </w:rPr>
        <w:t>2024] KECA 876 (KLR) (31 July 2024)</w:t>
      </w:r>
      <w:r w:rsidR="00ED2505" w:rsidRPr="00262EDC">
        <w:rPr>
          <w:rFonts w:ascii="Open Sans" w:hAnsi="Open Sans" w:cs="Open Sans"/>
          <w:sz w:val="16"/>
          <w:szCs w:val="16"/>
        </w:rPr>
        <w:t xml:space="preserve"> (Judgement). </w:t>
      </w:r>
      <w:hyperlink r:id="rId7" w:history="1">
        <w:r w:rsidR="00ED2505" w:rsidRPr="00262EDC">
          <w:rPr>
            <w:rStyle w:val="Hyperlink"/>
            <w:rFonts w:ascii="Open Sans" w:hAnsi="Open Sans" w:cs="Open Sans"/>
            <w:sz w:val="16"/>
            <w:szCs w:val="16"/>
          </w:rPr>
          <w:t>https://kenyalaw.org/caselaw/cases/view/296271/</w:t>
        </w:r>
      </w:hyperlink>
      <w:r w:rsidR="00ED2505" w:rsidRPr="00262EDC">
        <w:rPr>
          <w:rFonts w:ascii="Open Sans" w:hAnsi="Open Sans" w:cs="Open Sans"/>
          <w:sz w:val="16"/>
          <w:szCs w:val="16"/>
        </w:rPr>
        <w:t xml:space="preserve"> </w:t>
      </w:r>
    </w:p>
  </w:footnote>
  <w:footnote w:id="10">
    <w:p w14:paraId="2783DE58" w14:textId="5030631D" w:rsidR="00C42631" w:rsidRPr="00262EDC" w:rsidRDefault="00C42631">
      <w:pPr>
        <w:pStyle w:val="FootnoteText"/>
        <w:rPr>
          <w:rFonts w:ascii="Open Sans" w:hAnsi="Open Sans" w:cs="Open Sans"/>
          <w:sz w:val="16"/>
          <w:szCs w:val="16"/>
          <w:lang w:val="en-US"/>
        </w:rPr>
      </w:pPr>
      <w:r w:rsidRPr="00262EDC">
        <w:rPr>
          <w:rStyle w:val="FootnoteReference"/>
          <w:rFonts w:ascii="Open Sans" w:hAnsi="Open Sans" w:cs="Open Sans"/>
          <w:sz w:val="16"/>
          <w:szCs w:val="16"/>
        </w:rPr>
        <w:footnoteRef/>
      </w:r>
      <w:r w:rsidRPr="00262EDC">
        <w:rPr>
          <w:rFonts w:ascii="Open Sans" w:hAnsi="Open Sans" w:cs="Open Sans"/>
          <w:sz w:val="16"/>
          <w:szCs w:val="16"/>
        </w:rPr>
        <w:t xml:space="preserve"> </w:t>
      </w:r>
      <w:r w:rsidRPr="00262EDC">
        <w:rPr>
          <w:rFonts w:ascii="Open Sans" w:hAnsi="Open Sans" w:cs="Open Sans"/>
          <w:sz w:val="16"/>
          <w:szCs w:val="16"/>
          <w:lang w:val="en-US"/>
        </w:rPr>
        <w:t>KPMG</w:t>
      </w:r>
      <w:r w:rsidR="00A16DE7" w:rsidRPr="00262EDC">
        <w:rPr>
          <w:rFonts w:ascii="Open Sans" w:hAnsi="Open Sans" w:cs="Open Sans"/>
          <w:sz w:val="16"/>
          <w:szCs w:val="16"/>
          <w:lang w:val="en-US"/>
        </w:rPr>
        <w:t xml:space="preserve">, </w:t>
      </w:r>
      <w:r w:rsidR="00262EDC">
        <w:rPr>
          <w:rFonts w:ascii="Open Sans" w:hAnsi="Open Sans" w:cs="Open Sans"/>
          <w:sz w:val="16"/>
          <w:szCs w:val="16"/>
          <w:lang w:val="en-US"/>
        </w:rPr>
        <w:t>“</w:t>
      </w:r>
      <w:r w:rsidR="00A16DE7" w:rsidRPr="00262EDC">
        <w:rPr>
          <w:rFonts w:ascii="Open Sans" w:hAnsi="Open Sans" w:cs="Open Sans"/>
          <w:sz w:val="16"/>
          <w:szCs w:val="16"/>
          <w:lang w:val="en-US"/>
        </w:rPr>
        <w:t>Tax Laws (</w:t>
      </w:r>
      <w:r w:rsidR="00F7152D" w:rsidRPr="00262EDC">
        <w:rPr>
          <w:rFonts w:ascii="Open Sans" w:hAnsi="Open Sans" w:cs="Open Sans"/>
          <w:sz w:val="16"/>
          <w:szCs w:val="16"/>
          <w:lang w:val="en-US"/>
        </w:rPr>
        <w:t>Amendment</w:t>
      </w:r>
      <w:r w:rsidR="00A16DE7" w:rsidRPr="00262EDC">
        <w:rPr>
          <w:rFonts w:ascii="Open Sans" w:hAnsi="Open Sans" w:cs="Open Sans"/>
          <w:sz w:val="16"/>
          <w:szCs w:val="16"/>
          <w:lang w:val="en-US"/>
        </w:rPr>
        <w:t xml:space="preserve"> Act, 2024)</w:t>
      </w:r>
      <w:r w:rsidR="00262EDC">
        <w:rPr>
          <w:rFonts w:ascii="Open Sans" w:hAnsi="Open Sans" w:cs="Open Sans"/>
          <w:sz w:val="16"/>
          <w:szCs w:val="16"/>
          <w:lang w:val="en-US"/>
        </w:rPr>
        <w:t>”</w:t>
      </w:r>
      <w:r w:rsidR="00585399">
        <w:rPr>
          <w:rFonts w:ascii="Open Sans" w:hAnsi="Open Sans" w:cs="Open Sans"/>
          <w:sz w:val="16"/>
          <w:szCs w:val="16"/>
          <w:lang w:val="en-US"/>
        </w:rPr>
        <w:t xml:space="preserve"> December 21,2024</w:t>
      </w:r>
      <w:r w:rsidR="00A16DE7" w:rsidRPr="00262EDC">
        <w:rPr>
          <w:rFonts w:ascii="Open Sans" w:hAnsi="Open Sans" w:cs="Open Sans"/>
          <w:sz w:val="16"/>
          <w:szCs w:val="16"/>
          <w:lang w:val="en-US"/>
        </w:rPr>
        <w:t>.</w:t>
      </w:r>
      <w:r w:rsidR="002A5E66">
        <w:rPr>
          <w:rFonts w:ascii="Open Sans" w:hAnsi="Open Sans" w:cs="Open Sans"/>
          <w:sz w:val="16"/>
          <w:szCs w:val="16"/>
          <w:lang w:val="en-US"/>
        </w:rPr>
        <w:t xml:space="preserve"> </w:t>
      </w:r>
      <w:hyperlink r:id="rId8" w:history="1">
        <w:r w:rsidR="002A5E66" w:rsidRPr="00A71A8D">
          <w:rPr>
            <w:rStyle w:val="Hyperlink"/>
            <w:rFonts w:ascii="Open Sans" w:hAnsi="Open Sans" w:cs="Open Sans"/>
            <w:sz w:val="16"/>
            <w:szCs w:val="16"/>
            <w:lang w:val="en-US"/>
          </w:rPr>
          <w:t>https://kpmg.com/ke/en/home/insights/2024/12/tax-laws-amendment-act-2024.html</w:t>
        </w:r>
      </w:hyperlink>
      <w:r w:rsidR="002A5E66">
        <w:rPr>
          <w:rFonts w:ascii="Open Sans" w:hAnsi="Open Sans" w:cs="Open Sans"/>
          <w:sz w:val="16"/>
          <w:szCs w:val="16"/>
          <w:lang w:val="en-US"/>
        </w:rPr>
        <w:t xml:space="preserve"> </w:t>
      </w:r>
    </w:p>
  </w:footnote>
  <w:footnote w:id="11">
    <w:p w14:paraId="745ED58A" w14:textId="273194B1" w:rsidR="744C53E1" w:rsidRDefault="744C53E1" w:rsidP="744C53E1">
      <w:pPr>
        <w:spacing w:line="240" w:lineRule="auto"/>
        <w:rPr>
          <w:sz w:val="20"/>
          <w:szCs w:val="20"/>
        </w:rPr>
      </w:pPr>
      <w:r w:rsidRPr="00262EDC">
        <w:rPr>
          <w:rFonts w:ascii="Open Sans" w:hAnsi="Open Sans" w:cs="Open Sans"/>
          <w:sz w:val="16"/>
          <w:szCs w:val="16"/>
          <w:vertAlign w:val="superscript"/>
        </w:rPr>
        <w:footnoteRef/>
      </w:r>
      <w:r w:rsidRPr="00262EDC">
        <w:rPr>
          <w:rFonts w:ascii="Open Sans" w:hAnsi="Open Sans" w:cs="Open Sans"/>
          <w:sz w:val="16"/>
          <w:szCs w:val="16"/>
        </w:rPr>
        <w:t xml:space="preserve"> ‘African Civil Society supports Kenyan citizens demands for economic reforms’, June 26, 2024</w:t>
      </w:r>
    </w:p>
  </w:footnote>
  <w:footnote w:id="12">
    <w:p w14:paraId="1A39387E" w14:textId="6F626034" w:rsidR="744C53E1" w:rsidRPr="00854568" w:rsidRDefault="744C53E1" w:rsidP="744C53E1">
      <w:pPr>
        <w:pStyle w:val="FootnoteText"/>
        <w:rPr>
          <w:rFonts w:ascii="Open Sans" w:hAnsi="Open Sans" w:cs="Open Sans"/>
          <w:sz w:val="16"/>
          <w:szCs w:val="16"/>
        </w:rPr>
      </w:pPr>
      <w:r w:rsidRPr="00854568">
        <w:rPr>
          <w:rStyle w:val="FootnoteReference"/>
          <w:rFonts w:ascii="Open Sans" w:hAnsi="Open Sans" w:cs="Open Sans"/>
          <w:sz w:val="16"/>
          <w:szCs w:val="16"/>
        </w:rPr>
        <w:footnoteRef/>
      </w:r>
      <w:r w:rsidRPr="00854568">
        <w:rPr>
          <w:rFonts w:ascii="Open Sans" w:hAnsi="Open Sans" w:cs="Open Sans"/>
          <w:sz w:val="16"/>
          <w:szCs w:val="16"/>
        </w:rPr>
        <w:t xml:space="preserve"> Fadhel Kaboub, “Why are the US and IMF imposing draconian austerity measures on Kenya?” The Guardian, July 10, 2024 </w:t>
      </w:r>
      <w:hyperlink r:id="rId9" w:history="1">
        <w:r w:rsidR="00854568" w:rsidRPr="00A71A8D">
          <w:rPr>
            <w:rStyle w:val="Hyperlink"/>
            <w:rFonts w:ascii="Open Sans" w:hAnsi="Open Sans" w:cs="Open Sans"/>
            <w:sz w:val="16"/>
            <w:szCs w:val="16"/>
          </w:rPr>
          <w:t>https://www.theguardian.com/commentisfree/article/2024/jul/10/kenya-finance-bill-protests</w:t>
        </w:r>
      </w:hyperlink>
      <w:r w:rsidR="00854568">
        <w:rPr>
          <w:rFonts w:ascii="Open Sans" w:hAnsi="Open Sans" w:cs="Open Sans"/>
          <w:sz w:val="16"/>
          <w:szCs w:val="16"/>
        </w:rPr>
        <w:t xml:space="preserve"> </w:t>
      </w:r>
    </w:p>
  </w:footnote>
  <w:footnote w:id="13">
    <w:p w14:paraId="3602D688" w14:textId="44FC228A" w:rsidR="744C53E1" w:rsidRPr="00854568" w:rsidRDefault="744C53E1" w:rsidP="001E07B9">
      <w:pPr>
        <w:pStyle w:val="FootnoteText"/>
        <w:rPr>
          <w:rFonts w:ascii="Open Sans" w:hAnsi="Open Sans" w:cs="Open Sans"/>
          <w:sz w:val="16"/>
          <w:szCs w:val="16"/>
        </w:rPr>
      </w:pPr>
      <w:r w:rsidRPr="00854568">
        <w:rPr>
          <w:rStyle w:val="FootnoteReference"/>
          <w:rFonts w:ascii="Open Sans" w:hAnsi="Open Sans" w:cs="Open Sans"/>
          <w:sz w:val="16"/>
          <w:szCs w:val="16"/>
        </w:rPr>
        <w:footnoteRef/>
      </w:r>
      <w:r w:rsidR="00037AF2">
        <w:rPr>
          <w:rFonts w:ascii="Open Sans" w:hAnsi="Open Sans" w:cs="Open Sans"/>
          <w:sz w:val="16"/>
          <w:szCs w:val="16"/>
        </w:rPr>
        <w:t xml:space="preserve"> Kenya Human Rights Commission</w:t>
      </w:r>
      <w:r w:rsidR="00EA4B3E">
        <w:rPr>
          <w:rFonts w:ascii="Open Sans" w:hAnsi="Open Sans" w:cs="Open Sans"/>
          <w:sz w:val="16"/>
          <w:szCs w:val="16"/>
        </w:rPr>
        <w:t xml:space="preserve"> (KHRC)</w:t>
      </w:r>
      <w:r w:rsidR="0070155D">
        <w:rPr>
          <w:rFonts w:ascii="Open Sans" w:hAnsi="Open Sans" w:cs="Open Sans"/>
          <w:sz w:val="16"/>
          <w:szCs w:val="16"/>
        </w:rPr>
        <w:t xml:space="preserve"> and I</w:t>
      </w:r>
      <w:r w:rsidR="00526B55">
        <w:rPr>
          <w:rFonts w:ascii="Open Sans" w:hAnsi="Open Sans" w:cs="Open Sans"/>
          <w:sz w:val="16"/>
          <w:szCs w:val="16"/>
        </w:rPr>
        <w:t>ndependent Medico Legal Unit</w:t>
      </w:r>
      <w:r w:rsidR="00EA4B3E">
        <w:rPr>
          <w:rFonts w:ascii="Open Sans" w:hAnsi="Open Sans" w:cs="Open Sans"/>
          <w:sz w:val="16"/>
          <w:szCs w:val="16"/>
        </w:rPr>
        <w:t xml:space="preserve"> (IMLU)</w:t>
      </w:r>
      <w:r w:rsidR="00526B55">
        <w:rPr>
          <w:rFonts w:ascii="Open Sans" w:hAnsi="Open Sans" w:cs="Open Sans"/>
          <w:sz w:val="16"/>
          <w:szCs w:val="16"/>
        </w:rPr>
        <w:t>; “</w:t>
      </w:r>
      <w:r w:rsidRPr="00854568">
        <w:rPr>
          <w:rFonts w:ascii="Open Sans" w:hAnsi="Open Sans" w:cs="Open Sans"/>
          <w:sz w:val="16"/>
          <w:szCs w:val="16"/>
        </w:rPr>
        <w:t xml:space="preserve"> </w:t>
      </w:r>
      <w:r w:rsidRPr="00526B55">
        <w:rPr>
          <w:rFonts w:ascii="Open Sans" w:hAnsi="Open Sans" w:cs="Open Sans"/>
          <w:sz w:val="16"/>
          <w:szCs w:val="16"/>
        </w:rPr>
        <w:t>2024: A year of blatant state repression through regime policing</w:t>
      </w:r>
      <w:r w:rsidR="009940B3">
        <w:rPr>
          <w:rFonts w:ascii="Open Sans" w:hAnsi="Open Sans" w:cs="Open Sans"/>
          <w:sz w:val="16"/>
          <w:szCs w:val="16"/>
        </w:rPr>
        <w:t xml:space="preserve">,” January 2, 2025. </w:t>
      </w:r>
      <w:hyperlink r:id="rId10" w:history="1">
        <w:r w:rsidR="009940B3" w:rsidRPr="00A71A8D">
          <w:rPr>
            <w:rStyle w:val="Hyperlink"/>
            <w:rFonts w:ascii="Open Sans" w:hAnsi="Open Sans" w:cs="Open Sans"/>
            <w:sz w:val="16"/>
            <w:szCs w:val="16"/>
          </w:rPr>
          <w:t>https://khrc.or.ke/press-release/2024-a-year-of-blatant-state-repression-through-regime-policing/</w:t>
        </w:r>
      </w:hyperlink>
      <w:r w:rsidR="009940B3">
        <w:rPr>
          <w:rFonts w:ascii="Open Sans" w:hAnsi="Open Sans" w:cs="Open Sans"/>
          <w:sz w:val="16"/>
          <w:szCs w:val="16"/>
        </w:rPr>
        <w:t xml:space="preserve"> </w:t>
      </w:r>
    </w:p>
  </w:footnote>
  <w:footnote w:id="14">
    <w:p w14:paraId="602D70C5" w14:textId="77777777" w:rsidR="002429EB" w:rsidRPr="00854568" w:rsidRDefault="002429EB" w:rsidP="002429EB">
      <w:pPr>
        <w:pStyle w:val="FootnoteText"/>
        <w:rPr>
          <w:rFonts w:ascii="Open Sans" w:hAnsi="Open Sans" w:cs="Open Sans"/>
          <w:sz w:val="16"/>
          <w:szCs w:val="16"/>
        </w:rPr>
      </w:pPr>
      <w:r w:rsidRPr="00854568">
        <w:rPr>
          <w:rStyle w:val="FootnoteReference"/>
          <w:rFonts w:ascii="Open Sans" w:hAnsi="Open Sans" w:cs="Open Sans"/>
          <w:sz w:val="16"/>
          <w:szCs w:val="16"/>
        </w:rPr>
        <w:footnoteRef/>
      </w:r>
      <w:r w:rsidRPr="00854568">
        <w:rPr>
          <w:rFonts w:ascii="Open Sans" w:hAnsi="Open Sans" w:cs="Open Sans"/>
          <w:sz w:val="16"/>
          <w:szCs w:val="16"/>
        </w:rPr>
        <w:t xml:space="preserve"> </w:t>
      </w:r>
      <w:r>
        <w:rPr>
          <w:rFonts w:ascii="Open Sans" w:hAnsi="Open Sans" w:cs="Open Sans"/>
          <w:sz w:val="16"/>
          <w:szCs w:val="16"/>
        </w:rPr>
        <w:t xml:space="preserve">International Network for Civil Liberties Organizations (INCLO) and Physicians for Human Rights (PHR),” </w:t>
      </w:r>
      <w:r w:rsidRPr="005E142A">
        <w:rPr>
          <w:rFonts w:ascii="Open Sans" w:hAnsi="Open Sans" w:cs="Open Sans"/>
          <w:sz w:val="16"/>
          <w:szCs w:val="16"/>
        </w:rPr>
        <w:t xml:space="preserve">Kenya: </w:t>
      </w:r>
      <w:r>
        <w:rPr>
          <w:rFonts w:ascii="Open Sans" w:hAnsi="Open Sans" w:cs="Open Sans"/>
          <w:sz w:val="16"/>
          <w:szCs w:val="16"/>
        </w:rPr>
        <w:t>D</w:t>
      </w:r>
      <w:r w:rsidRPr="005E142A">
        <w:rPr>
          <w:rFonts w:ascii="Open Sans" w:hAnsi="Open Sans" w:cs="Open Sans"/>
          <w:sz w:val="16"/>
          <w:szCs w:val="16"/>
        </w:rPr>
        <w:t xml:space="preserve">eadly </w:t>
      </w:r>
      <w:r>
        <w:rPr>
          <w:rFonts w:ascii="Open Sans" w:hAnsi="Open Sans" w:cs="Open Sans"/>
          <w:sz w:val="16"/>
          <w:szCs w:val="16"/>
        </w:rPr>
        <w:t>R</w:t>
      </w:r>
      <w:r w:rsidRPr="005E142A">
        <w:rPr>
          <w:rFonts w:ascii="Open Sans" w:hAnsi="Open Sans" w:cs="Open Sans"/>
          <w:sz w:val="16"/>
          <w:szCs w:val="16"/>
        </w:rPr>
        <w:t xml:space="preserve">epression at </w:t>
      </w:r>
      <w:r>
        <w:rPr>
          <w:rFonts w:ascii="Open Sans" w:hAnsi="Open Sans" w:cs="Open Sans"/>
          <w:sz w:val="16"/>
          <w:szCs w:val="16"/>
        </w:rPr>
        <w:t>A</w:t>
      </w:r>
      <w:r w:rsidRPr="005E142A">
        <w:rPr>
          <w:rFonts w:ascii="Open Sans" w:hAnsi="Open Sans" w:cs="Open Sans"/>
          <w:sz w:val="16"/>
          <w:szCs w:val="16"/>
        </w:rPr>
        <w:t>nti-</w:t>
      </w:r>
      <w:r>
        <w:rPr>
          <w:rFonts w:ascii="Open Sans" w:hAnsi="Open Sans" w:cs="Open Sans"/>
          <w:sz w:val="16"/>
          <w:szCs w:val="16"/>
        </w:rPr>
        <w:t>F</w:t>
      </w:r>
      <w:r w:rsidRPr="005E142A">
        <w:rPr>
          <w:rFonts w:ascii="Open Sans" w:hAnsi="Open Sans" w:cs="Open Sans"/>
          <w:sz w:val="16"/>
          <w:szCs w:val="16"/>
        </w:rPr>
        <w:t xml:space="preserve">inance </w:t>
      </w:r>
      <w:r>
        <w:rPr>
          <w:rFonts w:ascii="Open Sans" w:hAnsi="Open Sans" w:cs="Open Sans"/>
          <w:sz w:val="16"/>
          <w:szCs w:val="16"/>
        </w:rPr>
        <w:t>B</w:t>
      </w:r>
      <w:r w:rsidRPr="005E142A">
        <w:rPr>
          <w:rFonts w:ascii="Open Sans" w:hAnsi="Open Sans" w:cs="Open Sans"/>
          <w:sz w:val="16"/>
          <w:szCs w:val="16"/>
        </w:rPr>
        <w:t xml:space="preserve">ill </w:t>
      </w:r>
      <w:r>
        <w:rPr>
          <w:rFonts w:ascii="Open Sans" w:hAnsi="Open Sans" w:cs="Open Sans"/>
          <w:sz w:val="16"/>
          <w:szCs w:val="16"/>
        </w:rPr>
        <w:t>P</w:t>
      </w:r>
      <w:r w:rsidRPr="005E142A">
        <w:rPr>
          <w:rFonts w:ascii="Open Sans" w:hAnsi="Open Sans" w:cs="Open Sans"/>
          <w:sz w:val="16"/>
          <w:szCs w:val="16"/>
        </w:rPr>
        <w:t>rotests</w:t>
      </w:r>
      <w:r>
        <w:rPr>
          <w:rFonts w:ascii="Open Sans" w:hAnsi="Open Sans" w:cs="Open Sans"/>
          <w:sz w:val="16"/>
          <w:szCs w:val="16"/>
        </w:rPr>
        <w:t>,” September 2024.</w:t>
      </w:r>
      <w:r w:rsidRPr="00490A49">
        <w:t xml:space="preserve"> </w:t>
      </w:r>
      <w:hyperlink r:id="rId11" w:anchor="473ae8eb-762b-43c3-8be7-d96f11e58ab8" w:history="1">
        <w:r w:rsidRPr="00A71A8D">
          <w:rPr>
            <w:rStyle w:val="Hyperlink"/>
            <w:rFonts w:ascii="Open Sans" w:hAnsi="Open Sans" w:cs="Open Sans"/>
            <w:sz w:val="16"/>
            <w:szCs w:val="16"/>
          </w:rPr>
          <w:t>https://lethalindisguise.org/es/estudios-de-caso/kenya-anti-finance-bill/#473ae8eb-762b-43c3-8be7-d96f11e58ab8</w:t>
        </w:r>
      </w:hyperlink>
      <w:r>
        <w:rPr>
          <w:rFonts w:ascii="Open Sans" w:hAnsi="Open Sans" w:cs="Open Sans"/>
          <w:sz w:val="16"/>
          <w:szCs w:val="16"/>
        </w:rPr>
        <w:t xml:space="preserve">  </w:t>
      </w:r>
    </w:p>
  </w:footnote>
  <w:footnote w:id="15">
    <w:p w14:paraId="220F578F" w14:textId="77777777" w:rsidR="00D654E0" w:rsidRPr="00854568" w:rsidRDefault="00D654E0" w:rsidP="00D654E0">
      <w:pPr>
        <w:spacing w:line="240" w:lineRule="auto"/>
        <w:rPr>
          <w:rFonts w:ascii="Open Sans" w:hAnsi="Open Sans" w:cs="Open Sans"/>
          <w:sz w:val="16"/>
          <w:szCs w:val="16"/>
        </w:rPr>
      </w:pPr>
      <w:r w:rsidRPr="00854568">
        <w:rPr>
          <w:rFonts w:ascii="Open Sans" w:hAnsi="Open Sans" w:cs="Open Sans"/>
          <w:sz w:val="16"/>
          <w:szCs w:val="16"/>
          <w:vertAlign w:val="superscript"/>
        </w:rPr>
        <w:footnoteRef/>
      </w:r>
      <w:r w:rsidRPr="00854568">
        <w:rPr>
          <w:rFonts w:ascii="Open Sans" w:hAnsi="Open Sans" w:cs="Open Sans"/>
          <w:sz w:val="16"/>
          <w:szCs w:val="16"/>
        </w:rPr>
        <w:t xml:space="preserve"> CESCR, Concluding Observations to Kenya, E/C.12/CO/1, (December 1,2008), para 34</w:t>
      </w:r>
    </w:p>
  </w:footnote>
  <w:footnote w:id="16">
    <w:p w14:paraId="70580C01" w14:textId="77777777" w:rsidR="009623A1" w:rsidRPr="008A1A80" w:rsidRDefault="007B70D4">
      <w:pPr>
        <w:spacing w:line="240" w:lineRule="auto"/>
        <w:rPr>
          <w:rFonts w:ascii="Open Sans" w:hAnsi="Open Sans" w:cs="Open Sans"/>
          <w:sz w:val="16"/>
          <w:szCs w:val="16"/>
        </w:rPr>
      </w:pPr>
      <w:r w:rsidRPr="008A1A80">
        <w:rPr>
          <w:rFonts w:ascii="Open Sans" w:hAnsi="Open Sans" w:cs="Open Sans"/>
          <w:sz w:val="16"/>
          <w:szCs w:val="16"/>
          <w:vertAlign w:val="superscript"/>
        </w:rPr>
        <w:footnoteRef/>
      </w:r>
      <w:r w:rsidRPr="008A1A80">
        <w:rPr>
          <w:rFonts w:ascii="Open Sans" w:hAnsi="Open Sans" w:cs="Open Sans"/>
          <w:sz w:val="16"/>
          <w:szCs w:val="16"/>
        </w:rPr>
        <w:t xml:space="preserve"> CESCR, Concluding Observations to Kenya, E/C.12/KEN/CO/2-5, (April 6, 2016), para 57</w:t>
      </w:r>
    </w:p>
  </w:footnote>
  <w:footnote w:id="17">
    <w:p w14:paraId="7CD16F15" w14:textId="77777777" w:rsidR="009623A1" w:rsidRPr="008A1A80" w:rsidRDefault="007B70D4">
      <w:pPr>
        <w:spacing w:line="240" w:lineRule="auto"/>
        <w:rPr>
          <w:rFonts w:ascii="Open Sans" w:hAnsi="Open Sans" w:cs="Open Sans"/>
          <w:sz w:val="16"/>
          <w:szCs w:val="16"/>
        </w:rPr>
      </w:pPr>
      <w:r w:rsidRPr="008A1A80">
        <w:rPr>
          <w:rFonts w:ascii="Open Sans" w:hAnsi="Open Sans" w:cs="Open Sans"/>
          <w:sz w:val="16"/>
          <w:szCs w:val="16"/>
          <w:vertAlign w:val="superscript"/>
        </w:rPr>
        <w:footnoteRef/>
      </w:r>
      <w:r w:rsidRPr="008A1A80">
        <w:rPr>
          <w:rFonts w:ascii="Open Sans" w:hAnsi="Open Sans" w:cs="Open Sans"/>
          <w:sz w:val="16"/>
          <w:szCs w:val="16"/>
        </w:rPr>
        <w:t xml:space="preserve"> Ibid. para 58</w:t>
      </w:r>
    </w:p>
  </w:footnote>
  <w:footnote w:id="18">
    <w:p w14:paraId="0FBC404E" w14:textId="5FDF5C46" w:rsidR="009623A1" w:rsidRPr="008A1A80" w:rsidRDefault="007B70D4">
      <w:pPr>
        <w:spacing w:line="240" w:lineRule="auto"/>
        <w:rPr>
          <w:rFonts w:ascii="Open Sans" w:hAnsi="Open Sans" w:cs="Open Sans"/>
          <w:sz w:val="16"/>
          <w:szCs w:val="16"/>
        </w:rPr>
      </w:pPr>
      <w:r w:rsidRPr="008A1A80">
        <w:rPr>
          <w:rFonts w:ascii="Open Sans" w:hAnsi="Open Sans" w:cs="Open Sans"/>
          <w:sz w:val="16"/>
          <w:szCs w:val="16"/>
          <w:vertAlign w:val="superscript"/>
        </w:rPr>
        <w:footnoteRef/>
      </w:r>
      <w:r w:rsidRPr="008A1A80">
        <w:rPr>
          <w:rFonts w:ascii="Open Sans" w:hAnsi="Open Sans" w:cs="Open Sans"/>
          <w:sz w:val="16"/>
          <w:szCs w:val="16"/>
        </w:rPr>
        <w:t xml:space="preserve"> </w:t>
      </w:r>
      <w:r w:rsidR="00FD5111">
        <w:rPr>
          <w:rFonts w:ascii="Open Sans" w:hAnsi="Open Sans" w:cs="Open Sans"/>
          <w:sz w:val="16"/>
          <w:szCs w:val="16"/>
        </w:rPr>
        <w:t xml:space="preserve">CESCR, </w:t>
      </w:r>
      <w:r w:rsidRPr="008A1A80">
        <w:rPr>
          <w:rFonts w:ascii="Open Sans" w:hAnsi="Open Sans" w:cs="Open Sans"/>
          <w:sz w:val="16"/>
          <w:szCs w:val="16"/>
        </w:rPr>
        <w:t>Sixth periodic report submitted by Kenya under articles 16 and 17 of the Covenant,(November 14, 2022)para 212.</w:t>
      </w:r>
    </w:p>
  </w:footnote>
  <w:footnote w:id="19">
    <w:p w14:paraId="43FBAA7B" w14:textId="625BD20F" w:rsidR="009623A1" w:rsidRPr="003D71C3" w:rsidRDefault="007B70D4">
      <w:pPr>
        <w:spacing w:line="240" w:lineRule="auto"/>
        <w:rPr>
          <w:rFonts w:ascii="Open Sans" w:hAnsi="Open Sans" w:cs="Open Sans"/>
          <w:sz w:val="16"/>
          <w:szCs w:val="16"/>
        </w:rPr>
      </w:pPr>
      <w:r w:rsidRPr="003D71C3">
        <w:rPr>
          <w:rFonts w:ascii="Open Sans" w:hAnsi="Open Sans" w:cs="Open Sans"/>
          <w:sz w:val="16"/>
          <w:szCs w:val="16"/>
          <w:vertAlign w:val="superscript"/>
        </w:rPr>
        <w:footnoteRef/>
      </w:r>
      <w:r w:rsidRPr="003D71C3">
        <w:rPr>
          <w:rFonts w:ascii="Open Sans" w:hAnsi="Open Sans" w:cs="Open Sans"/>
          <w:sz w:val="16"/>
          <w:szCs w:val="16"/>
        </w:rPr>
        <w:t xml:space="preserve"> </w:t>
      </w:r>
      <w:r w:rsidR="003D71C3" w:rsidRPr="003D71C3">
        <w:rPr>
          <w:rFonts w:ascii="Open Sans" w:hAnsi="Open Sans" w:cs="Open Sans"/>
          <w:sz w:val="16"/>
          <w:szCs w:val="16"/>
        </w:rPr>
        <w:t xml:space="preserve">CESCR, </w:t>
      </w:r>
      <w:r w:rsidRPr="003D71C3">
        <w:rPr>
          <w:rFonts w:ascii="Open Sans" w:hAnsi="Open Sans" w:cs="Open Sans"/>
          <w:sz w:val="16"/>
          <w:szCs w:val="16"/>
        </w:rPr>
        <w:t>Replies of Kenya to the list of issues in relation to its sixth periodic report, E/C.12/KEN/RQ/6 (June 11, 2024) para 93</w:t>
      </w:r>
    </w:p>
  </w:footnote>
  <w:footnote w:id="20">
    <w:p w14:paraId="50253989" w14:textId="28EF1AE4" w:rsidR="744C53E1" w:rsidRPr="008A1A80" w:rsidRDefault="744C53E1" w:rsidP="744C53E1">
      <w:pPr>
        <w:spacing w:line="240" w:lineRule="auto"/>
        <w:rPr>
          <w:rFonts w:ascii="Open Sans" w:hAnsi="Open Sans" w:cs="Open Sans"/>
          <w:sz w:val="16"/>
          <w:szCs w:val="16"/>
        </w:rPr>
      </w:pPr>
      <w:r w:rsidRPr="008A1A80">
        <w:rPr>
          <w:rFonts w:ascii="Open Sans" w:hAnsi="Open Sans" w:cs="Open Sans"/>
          <w:sz w:val="16"/>
          <w:szCs w:val="16"/>
          <w:vertAlign w:val="superscript"/>
        </w:rPr>
        <w:footnoteRef/>
      </w:r>
      <w:r w:rsidRPr="008A1A80">
        <w:rPr>
          <w:rFonts w:ascii="Open Sans" w:hAnsi="Open Sans" w:cs="Open Sans"/>
          <w:sz w:val="16"/>
          <w:szCs w:val="16"/>
        </w:rPr>
        <w:t xml:space="preserve">  Kenya Civils Society Joint Submission for the Right to Education for Kenya’s 4th Universal Periodic Review, (49th Session of Human Rights Council for UPR) 2024</w:t>
      </w:r>
      <w:r w:rsidR="00776AF2">
        <w:rPr>
          <w:rFonts w:ascii="Open Sans" w:hAnsi="Open Sans" w:cs="Open Sans"/>
          <w:sz w:val="16"/>
          <w:szCs w:val="16"/>
        </w:rPr>
        <w:t xml:space="preserve">. </w:t>
      </w:r>
      <w:hyperlink r:id="rId12" w:history="1">
        <w:r w:rsidR="00776AF2" w:rsidRPr="00A71A8D">
          <w:rPr>
            <w:rStyle w:val="Hyperlink"/>
            <w:rFonts w:ascii="Open Sans" w:hAnsi="Open Sans" w:cs="Open Sans"/>
            <w:sz w:val="16"/>
            <w:szCs w:val="16"/>
          </w:rPr>
          <w:t>https://gi-escr.org/en/our-work/on-the-ground/shaping-the-future-of-education-drafting-of-education-concerns-and-recommendations-for-the-universal-periodic-review</w:t>
        </w:r>
      </w:hyperlink>
      <w:r w:rsidR="00776AF2">
        <w:rPr>
          <w:rFonts w:ascii="Open Sans" w:hAnsi="Open Sans" w:cs="Open Sans"/>
          <w:sz w:val="16"/>
          <w:szCs w:val="16"/>
        </w:rPr>
        <w:t xml:space="preserve"> </w:t>
      </w:r>
    </w:p>
  </w:footnote>
  <w:footnote w:id="21">
    <w:p w14:paraId="032F00D2" w14:textId="22215F62" w:rsidR="744C53E1" w:rsidRPr="008A1A80" w:rsidRDefault="744C53E1" w:rsidP="744C53E1">
      <w:pPr>
        <w:spacing w:line="240" w:lineRule="auto"/>
        <w:rPr>
          <w:rFonts w:ascii="Open Sans" w:hAnsi="Open Sans" w:cs="Open Sans"/>
          <w:sz w:val="16"/>
          <w:szCs w:val="16"/>
        </w:rPr>
      </w:pPr>
      <w:r w:rsidRPr="008A1A80">
        <w:rPr>
          <w:rFonts w:ascii="Open Sans" w:hAnsi="Open Sans" w:cs="Open Sans"/>
          <w:sz w:val="16"/>
          <w:szCs w:val="16"/>
          <w:vertAlign w:val="superscript"/>
        </w:rPr>
        <w:footnoteRef/>
      </w:r>
      <w:r w:rsidRPr="008A1A80">
        <w:rPr>
          <w:rFonts w:ascii="Open Sans" w:hAnsi="Open Sans" w:cs="Open Sans"/>
          <w:sz w:val="16"/>
          <w:szCs w:val="16"/>
        </w:rPr>
        <w:t xml:space="preserve"> Collins Oyuu, “Why Education ministry's budget should be increased,” </w:t>
      </w:r>
      <w:r w:rsidRPr="007E5A2D">
        <w:rPr>
          <w:rFonts w:ascii="Open Sans" w:hAnsi="Open Sans" w:cs="Open Sans"/>
          <w:i/>
          <w:iCs/>
          <w:sz w:val="16"/>
          <w:szCs w:val="16"/>
        </w:rPr>
        <w:t>The Standard</w:t>
      </w:r>
      <w:r w:rsidRPr="008A1A80">
        <w:rPr>
          <w:rFonts w:ascii="Open Sans" w:hAnsi="Open Sans" w:cs="Open Sans"/>
          <w:sz w:val="16"/>
          <w:szCs w:val="16"/>
        </w:rPr>
        <w:t xml:space="preserve">, July, 2024. </w:t>
      </w:r>
      <w:hyperlink r:id="rId13" w:history="1">
        <w:r w:rsidR="00051949" w:rsidRPr="00A71A8D">
          <w:rPr>
            <w:rStyle w:val="Hyperlink"/>
            <w:rFonts w:ascii="Open Sans" w:hAnsi="Open Sans" w:cs="Open Sans"/>
            <w:sz w:val="16"/>
            <w:szCs w:val="16"/>
          </w:rPr>
          <w:t>https://www.standardmedia.co.ke/main-staging/counties/article/2001495929/why-education-ministrys-budget-should-be-increased</w:t>
        </w:r>
      </w:hyperlink>
      <w:r w:rsidR="00051949">
        <w:rPr>
          <w:rFonts w:ascii="Open Sans" w:hAnsi="Open Sans" w:cs="Open Sans"/>
          <w:sz w:val="16"/>
          <w:szCs w:val="16"/>
        </w:rPr>
        <w:t xml:space="preserve"> </w:t>
      </w:r>
    </w:p>
  </w:footnote>
  <w:footnote w:id="22">
    <w:p w14:paraId="4716462C" w14:textId="6D2F6BA8" w:rsidR="744C53E1" w:rsidRPr="008A1A80" w:rsidRDefault="744C53E1" w:rsidP="744C53E1">
      <w:pPr>
        <w:spacing w:line="240" w:lineRule="auto"/>
        <w:rPr>
          <w:rFonts w:ascii="Open Sans" w:hAnsi="Open Sans" w:cs="Open Sans"/>
          <w:sz w:val="16"/>
          <w:szCs w:val="16"/>
        </w:rPr>
      </w:pPr>
      <w:r w:rsidRPr="008A1A80">
        <w:rPr>
          <w:rFonts w:ascii="Open Sans" w:hAnsi="Open Sans" w:cs="Open Sans"/>
          <w:sz w:val="16"/>
          <w:szCs w:val="16"/>
          <w:vertAlign w:val="superscript"/>
        </w:rPr>
        <w:footnoteRef/>
      </w:r>
      <w:r w:rsidRPr="008A1A80">
        <w:rPr>
          <w:rFonts w:ascii="Open Sans" w:hAnsi="Open Sans" w:cs="Open Sans"/>
          <w:sz w:val="16"/>
          <w:szCs w:val="16"/>
        </w:rPr>
        <w:t xml:space="preserve"> Edwin Mutai, </w:t>
      </w:r>
      <w:r w:rsidR="003A0624">
        <w:rPr>
          <w:rFonts w:ascii="Open Sans" w:hAnsi="Open Sans" w:cs="Open Sans"/>
          <w:sz w:val="16"/>
          <w:szCs w:val="16"/>
        </w:rPr>
        <w:t>“</w:t>
      </w:r>
      <w:r w:rsidRPr="008A1A80">
        <w:rPr>
          <w:rFonts w:ascii="Open Sans" w:hAnsi="Open Sans" w:cs="Open Sans"/>
          <w:sz w:val="16"/>
          <w:szCs w:val="16"/>
        </w:rPr>
        <w:t>Education, energy and roads suffer deep budget cuts,</w:t>
      </w:r>
      <w:r w:rsidR="003A0624">
        <w:rPr>
          <w:rFonts w:ascii="Open Sans" w:hAnsi="Open Sans" w:cs="Open Sans"/>
          <w:sz w:val="16"/>
          <w:szCs w:val="16"/>
        </w:rPr>
        <w:t xml:space="preserve">” </w:t>
      </w:r>
      <w:r w:rsidR="003A0624" w:rsidRPr="007E5A2D">
        <w:rPr>
          <w:rFonts w:ascii="Open Sans" w:hAnsi="Open Sans" w:cs="Open Sans"/>
          <w:i/>
          <w:iCs/>
          <w:sz w:val="16"/>
          <w:szCs w:val="16"/>
        </w:rPr>
        <w:t>Business Daily</w:t>
      </w:r>
      <w:r w:rsidR="007E5A2D">
        <w:rPr>
          <w:rFonts w:ascii="Open Sans" w:hAnsi="Open Sans" w:cs="Open Sans"/>
          <w:sz w:val="16"/>
          <w:szCs w:val="16"/>
        </w:rPr>
        <w:t xml:space="preserve">, July, 2024. </w:t>
      </w:r>
      <w:hyperlink r:id="rId14" w:history="1">
        <w:r w:rsidR="00740033" w:rsidRPr="00A71A8D">
          <w:rPr>
            <w:rStyle w:val="Hyperlink"/>
            <w:rFonts w:ascii="Open Sans" w:hAnsi="Open Sans" w:cs="Open Sans"/>
            <w:sz w:val="16"/>
            <w:szCs w:val="16"/>
          </w:rPr>
          <w:t>https://www.businessdailyafrica.com/bd/economy/education-energy-and-roads-suffer-hefty-budget-cuts-4691226</w:t>
        </w:r>
      </w:hyperlink>
      <w:r w:rsidR="00740033">
        <w:rPr>
          <w:rFonts w:ascii="Open Sans" w:hAnsi="Open Sans" w:cs="Open Sans"/>
          <w:sz w:val="16"/>
          <w:szCs w:val="16"/>
        </w:rPr>
        <w:t xml:space="preserve"> </w:t>
      </w:r>
    </w:p>
  </w:footnote>
  <w:footnote w:id="23">
    <w:p w14:paraId="3AD1151E" w14:textId="555D3C05" w:rsidR="744C53E1" w:rsidRDefault="744C53E1" w:rsidP="744C53E1">
      <w:pPr>
        <w:pStyle w:val="FootnoteText"/>
        <w:rPr>
          <w:lang w:val="en-US"/>
        </w:rPr>
      </w:pPr>
      <w:r w:rsidRPr="008A1A80">
        <w:rPr>
          <w:rStyle w:val="FootnoteReference"/>
          <w:rFonts w:ascii="Open Sans" w:hAnsi="Open Sans" w:cs="Open Sans"/>
          <w:sz w:val="16"/>
          <w:szCs w:val="16"/>
        </w:rPr>
        <w:footnoteRef/>
      </w:r>
      <w:r w:rsidRPr="008A1A80">
        <w:rPr>
          <w:rFonts w:ascii="Open Sans" w:hAnsi="Open Sans" w:cs="Open Sans"/>
          <w:sz w:val="16"/>
          <w:szCs w:val="16"/>
        </w:rPr>
        <w:t xml:space="preserve"> </w:t>
      </w:r>
      <w:r w:rsidRPr="008A1A80">
        <w:rPr>
          <w:rFonts w:ascii="Open Sans" w:hAnsi="Open Sans" w:cs="Open Sans"/>
          <w:sz w:val="16"/>
          <w:szCs w:val="16"/>
          <w:lang w:val="en-US"/>
        </w:rPr>
        <w:t>National Government Budget Implementation Review Report, First Six Months FY 2023/2024. February 2024</w:t>
      </w:r>
      <w:r w:rsidRPr="744C53E1">
        <w:rPr>
          <w:lang w:val="en-US"/>
        </w:rPr>
        <w:t>.</w:t>
      </w:r>
    </w:p>
  </w:footnote>
  <w:footnote w:id="24">
    <w:p w14:paraId="7044779F" w14:textId="2F9ACA0B" w:rsidR="002008F9" w:rsidRPr="002008F9" w:rsidRDefault="002008F9">
      <w:pPr>
        <w:pStyle w:val="FootnoteText"/>
        <w:rPr>
          <w:lang w:val="en-US"/>
        </w:rPr>
      </w:pPr>
      <w:r>
        <w:rPr>
          <w:rStyle w:val="FootnoteReference"/>
        </w:rPr>
        <w:footnoteRef/>
      </w:r>
      <w:r>
        <w:t xml:space="preserve"> </w:t>
      </w:r>
      <w:r w:rsidRPr="008E0B10">
        <w:rPr>
          <w:rFonts w:ascii="Open Sans" w:hAnsi="Open Sans" w:cs="Open Sans"/>
          <w:sz w:val="16"/>
          <w:szCs w:val="16"/>
          <w:lang w:val="en-US"/>
        </w:rPr>
        <w:t>Capitation grant is t</w:t>
      </w:r>
      <w:r w:rsidR="00583C64" w:rsidRPr="008E0B10">
        <w:rPr>
          <w:rFonts w:ascii="Open Sans" w:hAnsi="Open Sans" w:cs="Open Sans"/>
          <w:sz w:val="16"/>
          <w:szCs w:val="16"/>
          <w:lang w:val="en-US"/>
        </w:rPr>
        <w:t>he sum of money given to a school for each student who is enrolled and registered</w:t>
      </w:r>
      <w:r w:rsidR="001B6176" w:rsidRPr="008E0B10">
        <w:rPr>
          <w:rFonts w:ascii="Open Sans" w:hAnsi="Open Sans" w:cs="Open Sans"/>
          <w:sz w:val="16"/>
          <w:szCs w:val="16"/>
          <w:lang w:val="en-US"/>
        </w:rPr>
        <w:t xml:space="preserve"> under the current National Education Management </w:t>
      </w:r>
      <w:r w:rsidR="008E0B10" w:rsidRPr="008E0B10">
        <w:rPr>
          <w:rFonts w:ascii="Open Sans" w:hAnsi="Open Sans" w:cs="Open Sans"/>
          <w:sz w:val="16"/>
          <w:szCs w:val="16"/>
          <w:lang w:val="en-US"/>
        </w:rPr>
        <w:t>Information System in Kenya.</w:t>
      </w:r>
    </w:p>
  </w:footnote>
  <w:footnote w:id="25">
    <w:p w14:paraId="58D38537" w14:textId="77777777" w:rsidR="009623A1" w:rsidRPr="008A1A80" w:rsidRDefault="007B70D4">
      <w:pPr>
        <w:spacing w:line="240" w:lineRule="auto"/>
        <w:rPr>
          <w:rFonts w:ascii="Open Sans" w:hAnsi="Open Sans" w:cs="Open Sans"/>
          <w:sz w:val="16"/>
          <w:szCs w:val="16"/>
        </w:rPr>
      </w:pPr>
      <w:r w:rsidRPr="008A1A80">
        <w:rPr>
          <w:rFonts w:ascii="Open Sans" w:hAnsi="Open Sans" w:cs="Open Sans"/>
          <w:sz w:val="16"/>
          <w:szCs w:val="16"/>
          <w:vertAlign w:val="superscript"/>
        </w:rPr>
        <w:footnoteRef/>
      </w:r>
      <w:r w:rsidRPr="008A1A80">
        <w:rPr>
          <w:rFonts w:ascii="Open Sans" w:hAnsi="Open Sans" w:cs="Open Sans"/>
          <w:sz w:val="16"/>
          <w:szCs w:val="16"/>
        </w:rPr>
        <w:t xml:space="preserve">  Replies of Kenya to the list of issues in relation to its sixth periodic report, E/C.12/KEN/RQ/6 (June 11, 2024) para 93</w:t>
      </w:r>
    </w:p>
  </w:footnote>
  <w:footnote w:id="26">
    <w:p w14:paraId="632AF0F9" w14:textId="325007E6" w:rsidR="00E67841" w:rsidRPr="00C4262A" w:rsidRDefault="00E67841">
      <w:pPr>
        <w:pStyle w:val="FootnoteText"/>
        <w:rPr>
          <w:rFonts w:ascii="Open Sans" w:hAnsi="Open Sans" w:cs="Open Sans"/>
          <w:sz w:val="16"/>
          <w:szCs w:val="16"/>
          <w:lang w:val="en-US"/>
        </w:rPr>
      </w:pPr>
      <w:r w:rsidRPr="00C4262A">
        <w:rPr>
          <w:rStyle w:val="FootnoteReference"/>
          <w:rFonts w:ascii="Open Sans" w:hAnsi="Open Sans" w:cs="Open Sans"/>
          <w:sz w:val="16"/>
          <w:szCs w:val="16"/>
        </w:rPr>
        <w:footnoteRef/>
      </w:r>
      <w:r w:rsidRPr="00C4262A">
        <w:rPr>
          <w:rFonts w:ascii="Open Sans" w:hAnsi="Open Sans" w:cs="Open Sans"/>
          <w:sz w:val="16"/>
          <w:szCs w:val="16"/>
        </w:rPr>
        <w:t xml:space="preserve"> </w:t>
      </w:r>
      <w:r w:rsidRPr="00C4262A">
        <w:rPr>
          <w:rFonts w:ascii="Open Sans" w:hAnsi="Open Sans" w:cs="Open Sans"/>
          <w:sz w:val="16"/>
          <w:szCs w:val="16"/>
          <w:lang w:val="en-US"/>
        </w:rPr>
        <w:t>Lewis Nyaundi</w:t>
      </w:r>
      <w:r w:rsidR="0047690E" w:rsidRPr="00C4262A">
        <w:rPr>
          <w:rFonts w:ascii="Open Sans" w:hAnsi="Open Sans" w:cs="Open Sans"/>
          <w:sz w:val="16"/>
          <w:szCs w:val="16"/>
          <w:lang w:val="en-US"/>
        </w:rPr>
        <w:t xml:space="preserve">, “Capitation delays: Schools could close down as cash crunch bites,” </w:t>
      </w:r>
      <w:r w:rsidR="0047690E" w:rsidRPr="00C4262A">
        <w:rPr>
          <w:rFonts w:ascii="Open Sans" w:hAnsi="Open Sans" w:cs="Open Sans"/>
          <w:i/>
          <w:iCs/>
          <w:sz w:val="16"/>
          <w:szCs w:val="16"/>
          <w:lang w:val="en-US"/>
        </w:rPr>
        <w:t>The Standard</w:t>
      </w:r>
      <w:r w:rsidR="00C4262A" w:rsidRPr="00C4262A">
        <w:rPr>
          <w:rFonts w:ascii="Open Sans" w:hAnsi="Open Sans" w:cs="Open Sans"/>
          <w:i/>
          <w:iCs/>
          <w:sz w:val="16"/>
          <w:szCs w:val="16"/>
          <w:lang w:val="en-US"/>
        </w:rPr>
        <w:t xml:space="preserve">, </w:t>
      </w:r>
      <w:r w:rsidR="00C4262A" w:rsidRPr="00C4262A">
        <w:rPr>
          <w:rFonts w:ascii="Open Sans" w:hAnsi="Open Sans" w:cs="Open Sans"/>
          <w:sz w:val="16"/>
          <w:szCs w:val="16"/>
          <w:lang w:val="en-US"/>
        </w:rPr>
        <w:t>June 2024.</w:t>
      </w:r>
      <w:r w:rsidR="00C4262A">
        <w:rPr>
          <w:rFonts w:ascii="Open Sans" w:hAnsi="Open Sans" w:cs="Open Sans"/>
          <w:sz w:val="16"/>
          <w:szCs w:val="16"/>
          <w:lang w:val="en-US"/>
        </w:rPr>
        <w:t xml:space="preserve"> </w:t>
      </w:r>
      <w:hyperlink r:id="rId15" w:history="1">
        <w:r w:rsidR="00D366F6" w:rsidRPr="00A71A8D">
          <w:rPr>
            <w:rStyle w:val="Hyperlink"/>
            <w:rFonts w:ascii="Open Sans" w:hAnsi="Open Sans" w:cs="Open Sans"/>
            <w:sz w:val="16"/>
            <w:szCs w:val="16"/>
            <w:lang w:val="en-US"/>
          </w:rPr>
          <w:t>https://www.standardmedia.co.ke/education/article/2001496436/capitation-delays-schools-could-close-down-as-cash-crunch-bites</w:t>
        </w:r>
      </w:hyperlink>
      <w:r w:rsidR="00D366F6">
        <w:rPr>
          <w:rFonts w:ascii="Open Sans" w:hAnsi="Open Sans" w:cs="Open Sans"/>
          <w:sz w:val="16"/>
          <w:szCs w:val="16"/>
          <w:lang w:val="en-US"/>
        </w:rPr>
        <w:t xml:space="preserve"> </w:t>
      </w:r>
    </w:p>
  </w:footnote>
  <w:footnote w:id="27">
    <w:p w14:paraId="45AA6A65" w14:textId="705435F4" w:rsidR="009623A1" w:rsidRPr="00A044CA" w:rsidRDefault="007B70D4">
      <w:pPr>
        <w:spacing w:line="240" w:lineRule="auto"/>
        <w:rPr>
          <w:rFonts w:ascii="Open Sans" w:hAnsi="Open Sans" w:cs="Open Sans"/>
          <w:sz w:val="16"/>
          <w:szCs w:val="16"/>
        </w:rPr>
      </w:pPr>
      <w:r w:rsidRPr="00A044CA">
        <w:rPr>
          <w:rFonts w:ascii="Open Sans" w:hAnsi="Open Sans" w:cs="Open Sans"/>
          <w:sz w:val="16"/>
          <w:szCs w:val="16"/>
          <w:vertAlign w:val="superscript"/>
        </w:rPr>
        <w:footnoteRef/>
      </w:r>
      <w:r w:rsidRPr="00A044CA">
        <w:rPr>
          <w:rFonts w:ascii="Open Sans" w:hAnsi="Open Sans" w:cs="Open Sans"/>
          <w:sz w:val="16"/>
          <w:szCs w:val="16"/>
        </w:rPr>
        <w:t xml:space="preserve"> Kenya Civils Society Joint Submission for the Right to Education for Kenya’s 4th Universal Periodic Review, (49th Session of Human Rights Council for UPR) 2024</w:t>
      </w:r>
      <w:r w:rsidR="00FB05D4">
        <w:rPr>
          <w:rFonts w:ascii="Open Sans" w:hAnsi="Open Sans" w:cs="Open Sans"/>
          <w:sz w:val="16"/>
          <w:szCs w:val="16"/>
        </w:rPr>
        <w:t xml:space="preserve">. </w:t>
      </w:r>
      <w:hyperlink r:id="rId16" w:history="1">
        <w:r w:rsidR="003A0624" w:rsidRPr="00A71A8D">
          <w:rPr>
            <w:rStyle w:val="Hyperlink"/>
            <w:rFonts w:ascii="Open Sans" w:hAnsi="Open Sans" w:cs="Open Sans"/>
            <w:sz w:val="16"/>
            <w:szCs w:val="16"/>
          </w:rPr>
          <w:t>https://gi-escr.org/en/our-work/on-the-ground/shaping-the-future-of-education-drafting-of-education-concerns-and-recommendations-for-the-universal-periodic-review</w:t>
        </w:r>
      </w:hyperlink>
      <w:r w:rsidR="003A0624">
        <w:rPr>
          <w:rFonts w:ascii="Open Sans" w:hAnsi="Open Sans" w:cs="Open Sans"/>
          <w:sz w:val="16"/>
          <w:szCs w:val="16"/>
        </w:rPr>
        <w:t xml:space="preserve"> </w:t>
      </w:r>
    </w:p>
  </w:footnote>
  <w:footnote w:id="28">
    <w:p w14:paraId="4BCDEC6A" w14:textId="77777777" w:rsidR="744C53E1" w:rsidRPr="00A044CA" w:rsidRDefault="744C53E1" w:rsidP="744C53E1">
      <w:pPr>
        <w:spacing w:line="240" w:lineRule="auto"/>
        <w:rPr>
          <w:rFonts w:ascii="Open Sans" w:hAnsi="Open Sans" w:cs="Open Sans"/>
          <w:sz w:val="16"/>
          <w:szCs w:val="16"/>
        </w:rPr>
      </w:pPr>
      <w:r w:rsidRPr="00A044CA">
        <w:rPr>
          <w:rFonts w:ascii="Open Sans" w:hAnsi="Open Sans" w:cs="Open Sans"/>
          <w:sz w:val="16"/>
          <w:szCs w:val="16"/>
          <w:vertAlign w:val="superscript"/>
        </w:rPr>
        <w:footnoteRef/>
      </w:r>
      <w:r w:rsidRPr="00A044CA">
        <w:rPr>
          <w:rFonts w:ascii="Open Sans" w:hAnsi="Open Sans" w:cs="Open Sans"/>
          <w:sz w:val="16"/>
          <w:szCs w:val="16"/>
        </w:rPr>
        <w:t xml:space="preserve"> Build Us More Schools!’ - The Quest for Quality Free Education in Mabatini and Ngei Wards of Mathare, Nairobi, 2024</w:t>
      </w:r>
    </w:p>
  </w:footnote>
  <w:footnote w:id="29">
    <w:p w14:paraId="458DD612" w14:textId="37D760F7" w:rsidR="744C53E1" w:rsidRPr="00A044CA" w:rsidRDefault="744C53E1" w:rsidP="744C53E1">
      <w:pPr>
        <w:spacing w:line="240" w:lineRule="auto"/>
        <w:rPr>
          <w:rFonts w:ascii="Open Sans" w:hAnsi="Open Sans" w:cs="Open Sans"/>
          <w:sz w:val="16"/>
          <w:szCs w:val="16"/>
        </w:rPr>
      </w:pPr>
      <w:r w:rsidRPr="00A044CA">
        <w:rPr>
          <w:rFonts w:ascii="Open Sans" w:hAnsi="Open Sans" w:cs="Open Sans"/>
          <w:sz w:val="16"/>
          <w:szCs w:val="16"/>
          <w:vertAlign w:val="superscript"/>
        </w:rPr>
        <w:footnoteRef/>
      </w:r>
      <w:r w:rsidRPr="00A044CA">
        <w:rPr>
          <w:rFonts w:ascii="Open Sans" w:hAnsi="Open Sans" w:cs="Open Sans"/>
          <w:sz w:val="16"/>
          <w:szCs w:val="16"/>
        </w:rPr>
        <w:t xml:space="preserve"> </w:t>
      </w:r>
      <w:r w:rsidR="007B742C">
        <w:rPr>
          <w:rFonts w:ascii="Open Sans" w:hAnsi="Open Sans" w:cs="Open Sans"/>
          <w:sz w:val="16"/>
          <w:szCs w:val="16"/>
        </w:rPr>
        <w:t>Ibid.</w:t>
      </w:r>
    </w:p>
  </w:footnote>
  <w:footnote w:id="30">
    <w:p w14:paraId="546FA7FF" w14:textId="77777777" w:rsidR="009623A1" w:rsidRPr="00A044CA" w:rsidRDefault="007B70D4">
      <w:pPr>
        <w:spacing w:line="240" w:lineRule="auto"/>
        <w:rPr>
          <w:rFonts w:ascii="Open Sans" w:hAnsi="Open Sans" w:cs="Open Sans"/>
          <w:sz w:val="16"/>
          <w:szCs w:val="16"/>
        </w:rPr>
      </w:pPr>
      <w:r w:rsidRPr="00A044CA">
        <w:rPr>
          <w:rFonts w:ascii="Open Sans" w:hAnsi="Open Sans" w:cs="Open Sans"/>
          <w:sz w:val="16"/>
          <w:szCs w:val="16"/>
          <w:vertAlign w:val="superscript"/>
        </w:rPr>
        <w:footnoteRef/>
      </w:r>
      <w:r w:rsidRPr="00A044CA">
        <w:rPr>
          <w:rFonts w:ascii="Open Sans" w:hAnsi="Open Sans" w:cs="Open Sans"/>
          <w:sz w:val="16"/>
          <w:szCs w:val="16"/>
        </w:rPr>
        <w:t xml:space="preserve"> CESCR, Concluding Observations on the Second to Fifth Periodic Reports of Kenya, E/C.12/KEN/CO/2-5. (April 6,2016) para 52</w:t>
      </w:r>
    </w:p>
  </w:footnote>
  <w:footnote w:id="31">
    <w:p w14:paraId="5A8CC405" w14:textId="77777777" w:rsidR="009623A1" w:rsidRPr="0061617A" w:rsidRDefault="007B70D4">
      <w:pPr>
        <w:spacing w:line="240" w:lineRule="auto"/>
        <w:rPr>
          <w:rFonts w:ascii="Open Sans" w:hAnsi="Open Sans" w:cs="Open Sans"/>
          <w:sz w:val="16"/>
          <w:szCs w:val="16"/>
        </w:rPr>
      </w:pPr>
      <w:r w:rsidRPr="0061617A">
        <w:rPr>
          <w:rFonts w:ascii="Open Sans" w:hAnsi="Open Sans" w:cs="Open Sans"/>
          <w:sz w:val="16"/>
          <w:szCs w:val="16"/>
          <w:vertAlign w:val="superscript"/>
        </w:rPr>
        <w:footnoteRef/>
      </w:r>
      <w:r w:rsidRPr="0061617A">
        <w:rPr>
          <w:rFonts w:ascii="Open Sans" w:hAnsi="Open Sans" w:cs="Open Sans"/>
          <w:sz w:val="16"/>
          <w:szCs w:val="16"/>
        </w:rPr>
        <w:t xml:space="preserve"> Replies of Kenya to the list of issues in relation to its sixth periodic report, E/C.12/KEN/RQ/6 (June 11, 2024) para 79</w:t>
      </w:r>
    </w:p>
  </w:footnote>
  <w:footnote w:id="32">
    <w:p w14:paraId="48ECCB97" w14:textId="37E9C3B2" w:rsidR="744C53E1" w:rsidRPr="0061617A" w:rsidRDefault="744C53E1" w:rsidP="744C53E1">
      <w:pPr>
        <w:spacing w:line="240" w:lineRule="auto"/>
        <w:rPr>
          <w:rFonts w:ascii="Open Sans" w:hAnsi="Open Sans" w:cs="Open Sans"/>
          <w:sz w:val="16"/>
          <w:szCs w:val="16"/>
        </w:rPr>
      </w:pPr>
      <w:r w:rsidRPr="0061617A">
        <w:rPr>
          <w:rFonts w:ascii="Open Sans" w:hAnsi="Open Sans" w:cs="Open Sans"/>
          <w:sz w:val="16"/>
          <w:szCs w:val="16"/>
          <w:vertAlign w:val="superscript"/>
        </w:rPr>
        <w:footnoteRef/>
      </w:r>
      <w:r w:rsidRPr="0061617A">
        <w:rPr>
          <w:rFonts w:ascii="Open Sans" w:hAnsi="Open Sans" w:cs="Open Sans"/>
          <w:sz w:val="16"/>
          <w:szCs w:val="16"/>
        </w:rPr>
        <w:t xml:space="preserve"> Joint Stakeholder Submission by Right to Health Thematic Group, (49 Session of the Universal Periodic Review), October 202</w:t>
      </w:r>
      <w:r w:rsidR="002D5C3A">
        <w:rPr>
          <w:rFonts w:ascii="Open Sans" w:hAnsi="Open Sans" w:cs="Open Sans"/>
          <w:sz w:val="16"/>
          <w:szCs w:val="16"/>
        </w:rPr>
        <w:t>4.</w:t>
      </w:r>
      <w:r w:rsidR="005B4229">
        <w:rPr>
          <w:rFonts w:ascii="Open Sans" w:hAnsi="Open Sans" w:cs="Open Sans"/>
          <w:sz w:val="16"/>
          <w:szCs w:val="16"/>
        </w:rPr>
        <w:t xml:space="preserve"> </w:t>
      </w:r>
      <w:hyperlink r:id="rId17" w:history="1">
        <w:r w:rsidR="005B4229" w:rsidRPr="00A71A8D">
          <w:rPr>
            <w:rStyle w:val="Hyperlink"/>
            <w:rFonts w:ascii="Open Sans" w:hAnsi="Open Sans" w:cs="Open Sans"/>
            <w:sz w:val="16"/>
            <w:szCs w:val="16"/>
          </w:rPr>
          <w:t>https://gi-escr.org/en/our-work/on-the-ground/we-contributed-to-the-drafting-of-the-universal-periodic-review-of-kenya-s-right-to-health-report</w:t>
        </w:r>
      </w:hyperlink>
      <w:r w:rsidR="005B4229">
        <w:rPr>
          <w:rFonts w:ascii="Open Sans" w:hAnsi="Open Sans" w:cs="Open Sans"/>
          <w:sz w:val="16"/>
          <w:szCs w:val="16"/>
        </w:rPr>
        <w:t xml:space="preserve"> </w:t>
      </w:r>
    </w:p>
  </w:footnote>
  <w:footnote w:id="33">
    <w:p w14:paraId="42859A73" w14:textId="1D707DFD" w:rsidR="744C53E1" w:rsidRPr="0061617A" w:rsidRDefault="744C53E1" w:rsidP="744C53E1">
      <w:pPr>
        <w:spacing w:line="240" w:lineRule="auto"/>
        <w:rPr>
          <w:rFonts w:ascii="Open Sans" w:hAnsi="Open Sans" w:cs="Open Sans"/>
          <w:sz w:val="16"/>
          <w:szCs w:val="16"/>
        </w:rPr>
      </w:pPr>
      <w:r w:rsidRPr="0061617A">
        <w:rPr>
          <w:rFonts w:ascii="Open Sans" w:hAnsi="Open Sans" w:cs="Open Sans"/>
          <w:sz w:val="16"/>
          <w:szCs w:val="16"/>
          <w:vertAlign w:val="superscript"/>
        </w:rPr>
        <w:footnoteRef/>
      </w:r>
      <w:r w:rsidRPr="0061617A">
        <w:rPr>
          <w:rFonts w:ascii="Open Sans" w:hAnsi="Open Sans" w:cs="Open Sans"/>
          <w:sz w:val="16"/>
          <w:szCs w:val="16"/>
        </w:rPr>
        <w:t xml:space="preserve"> </w:t>
      </w:r>
      <w:r w:rsidR="004C77C3">
        <w:rPr>
          <w:rFonts w:ascii="Open Sans" w:hAnsi="Open Sans" w:cs="Open Sans"/>
          <w:sz w:val="16"/>
          <w:szCs w:val="16"/>
        </w:rPr>
        <w:t>Ibid</w:t>
      </w:r>
    </w:p>
  </w:footnote>
  <w:footnote w:id="34">
    <w:p w14:paraId="31389458" w14:textId="4080C46D" w:rsidR="744C53E1" w:rsidRPr="0061617A" w:rsidRDefault="744C53E1" w:rsidP="744C53E1">
      <w:pPr>
        <w:spacing w:line="240" w:lineRule="auto"/>
        <w:rPr>
          <w:rFonts w:ascii="Open Sans" w:hAnsi="Open Sans" w:cs="Open Sans"/>
          <w:sz w:val="16"/>
          <w:szCs w:val="16"/>
        </w:rPr>
      </w:pPr>
      <w:r w:rsidRPr="0061617A">
        <w:rPr>
          <w:rFonts w:ascii="Open Sans" w:hAnsi="Open Sans" w:cs="Open Sans"/>
          <w:sz w:val="16"/>
          <w:szCs w:val="16"/>
          <w:vertAlign w:val="superscript"/>
        </w:rPr>
        <w:footnoteRef/>
      </w:r>
      <w:r w:rsidRPr="0061617A">
        <w:rPr>
          <w:rFonts w:ascii="Open Sans" w:hAnsi="Open Sans" w:cs="Open Sans"/>
          <w:sz w:val="16"/>
          <w:szCs w:val="16"/>
        </w:rPr>
        <w:t xml:space="preserve"> </w:t>
      </w:r>
      <w:r w:rsidR="004C77C3">
        <w:rPr>
          <w:rFonts w:ascii="Open Sans" w:hAnsi="Open Sans" w:cs="Open Sans"/>
          <w:sz w:val="16"/>
          <w:szCs w:val="16"/>
        </w:rPr>
        <w:t>Ibid</w:t>
      </w:r>
    </w:p>
  </w:footnote>
  <w:footnote w:id="35">
    <w:p w14:paraId="3A581CFB" w14:textId="26FC519B" w:rsidR="744C53E1" w:rsidRPr="0061617A" w:rsidRDefault="744C53E1" w:rsidP="744C53E1">
      <w:pPr>
        <w:spacing w:line="240" w:lineRule="auto"/>
        <w:rPr>
          <w:rFonts w:ascii="Open Sans" w:hAnsi="Open Sans" w:cs="Open Sans"/>
          <w:sz w:val="16"/>
          <w:szCs w:val="16"/>
        </w:rPr>
      </w:pPr>
      <w:r w:rsidRPr="0061617A">
        <w:rPr>
          <w:rFonts w:ascii="Open Sans" w:hAnsi="Open Sans" w:cs="Open Sans"/>
          <w:sz w:val="16"/>
          <w:szCs w:val="16"/>
          <w:vertAlign w:val="superscript"/>
        </w:rPr>
        <w:footnoteRef/>
      </w:r>
      <w:r w:rsidRPr="0061617A">
        <w:rPr>
          <w:rFonts w:ascii="Open Sans" w:hAnsi="Open Sans" w:cs="Open Sans"/>
          <w:sz w:val="16"/>
          <w:szCs w:val="16"/>
        </w:rPr>
        <w:t xml:space="preserve"> Global Initiative for Economic, Social and Cultural Rights (GI-ESCR), Patients or customers? The impact of commercialised healthcare on the right to health in Kenya during the COVID-19 pandemic (2021). DOI: 10.53110/RPCN4627</w:t>
      </w:r>
      <w:r w:rsidR="004C77C3">
        <w:rPr>
          <w:rFonts w:ascii="Open Sans" w:hAnsi="Open Sans" w:cs="Open Sans"/>
          <w:sz w:val="16"/>
          <w:szCs w:val="16"/>
        </w:rPr>
        <w:t xml:space="preserve"> </w:t>
      </w:r>
    </w:p>
  </w:footnote>
  <w:footnote w:id="36">
    <w:p w14:paraId="6A1E8986" w14:textId="6373EAAD" w:rsidR="00BA2D40" w:rsidRPr="00EB2FF9" w:rsidRDefault="00BA2D40" w:rsidP="00EB2FF9">
      <w:pPr>
        <w:pStyle w:val="FootnoteText"/>
        <w:rPr>
          <w:rFonts w:ascii="Open Sans" w:hAnsi="Open Sans" w:cs="Open Sans"/>
          <w:sz w:val="16"/>
          <w:szCs w:val="16"/>
        </w:rPr>
      </w:pPr>
      <w:r>
        <w:rPr>
          <w:rStyle w:val="FootnoteReference"/>
        </w:rPr>
        <w:footnoteRef/>
      </w:r>
      <w:r>
        <w:t xml:space="preserve"> </w:t>
      </w:r>
      <w:r w:rsidR="00EB2FF9" w:rsidRPr="00EB2FF9">
        <w:rPr>
          <w:rFonts w:ascii="Open Sans" w:hAnsi="Open Sans" w:cs="Open Sans"/>
          <w:sz w:val="16"/>
          <w:szCs w:val="16"/>
        </w:rPr>
        <w:t xml:space="preserve">Data from 2013 are from the following official report: Ministry of Health, Kenya Service Availability Readiness Assessment Mapping (SARAM) Report, </w:t>
      </w:r>
      <w:hyperlink r:id="rId18" w:history="1">
        <w:r w:rsidR="00EB2FF9" w:rsidRPr="00A71A8D">
          <w:rPr>
            <w:rStyle w:val="Hyperlink"/>
            <w:rFonts w:ascii="Open Sans" w:hAnsi="Open Sans" w:cs="Open Sans"/>
            <w:sz w:val="16"/>
            <w:szCs w:val="16"/>
          </w:rPr>
          <w:t>http://guidelines.health.go.ke:8000/media/Kenya_Saram_Report.pdf</w:t>
        </w:r>
      </w:hyperlink>
      <w:r w:rsidR="00EB2FF9">
        <w:rPr>
          <w:rFonts w:ascii="Open Sans" w:hAnsi="Open Sans" w:cs="Open Sans"/>
          <w:sz w:val="16"/>
          <w:szCs w:val="16"/>
        </w:rPr>
        <w:t xml:space="preserve">  </w:t>
      </w:r>
      <w:r w:rsidR="00EB2FF9" w:rsidRPr="00EB2FF9">
        <w:rPr>
          <w:rFonts w:ascii="Open Sans" w:hAnsi="Open Sans" w:cs="Open Sans"/>
          <w:sz w:val="16"/>
          <w:szCs w:val="16"/>
        </w:rPr>
        <w:t>page 12; also see: Economic and Social Rights Centre – Hakijam</w:t>
      </w:r>
      <w:r w:rsidR="00F7152D">
        <w:rPr>
          <w:rFonts w:ascii="Open Sans" w:hAnsi="Open Sans" w:cs="Open Sans"/>
          <w:sz w:val="16"/>
          <w:szCs w:val="16"/>
        </w:rPr>
        <w:t>i</w:t>
      </w:r>
      <w:r w:rsidR="00EB2FF9" w:rsidRPr="00EB2FF9">
        <w:rPr>
          <w:rFonts w:ascii="Open Sans" w:hAnsi="Open Sans" w:cs="Open Sans"/>
          <w:sz w:val="16"/>
          <w:szCs w:val="16"/>
        </w:rPr>
        <w:t>i and the Centre for Human Rights and Global Justice, ‘Wrong Prescriptions: the Impact of Privatising Health</w:t>
      </w:r>
      <w:r w:rsidR="00EB2FF9">
        <w:rPr>
          <w:rFonts w:ascii="Open Sans" w:hAnsi="Open Sans" w:cs="Open Sans"/>
          <w:sz w:val="16"/>
          <w:szCs w:val="16"/>
        </w:rPr>
        <w:t xml:space="preserve"> </w:t>
      </w:r>
      <w:r w:rsidR="00EB2FF9" w:rsidRPr="00EB2FF9">
        <w:rPr>
          <w:rFonts w:ascii="Open Sans" w:hAnsi="Open Sans" w:cs="Open Sans"/>
          <w:sz w:val="16"/>
          <w:szCs w:val="16"/>
        </w:rPr>
        <w:t xml:space="preserve">care in Kenya’ (17 November 2021) </w:t>
      </w:r>
      <w:hyperlink r:id="rId19" w:history="1">
        <w:r w:rsidR="005B7108" w:rsidRPr="00A71A8D">
          <w:rPr>
            <w:rStyle w:val="Hyperlink"/>
            <w:rFonts w:ascii="Open Sans" w:hAnsi="Open Sans" w:cs="Open Sans"/>
            <w:sz w:val="16"/>
            <w:szCs w:val="16"/>
          </w:rPr>
          <w:t>https://chrgj.org/wp-content/uploads/2021/11/Report_Wrong-Prescription_Eng_.pdf</w:t>
        </w:r>
      </w:hyperlink>
      <w:r w:rsidR="005B7108">
        <w:rPr>
          <w:rFonts w:ascii="Open Sans" w:hAnsi="Open Sans" w:cs="Open Sans"/>
          <w:sz w:val="16"/>
          <w:szCs w:val="16"/>
        </w:rPr>
        <w:t>.</w:t>
      </w:r>
      <w:r w:rsidR="00EB2FF9" w:rsidRPr="00EB2FF9">
        <w:rPr>
          <w:rFonts w:ascii="Open Sans" w:hAnsi="Open Sans" w:cs="Open Sans"/>
          <w:sz w:val="16"/>
          <w:szCs w:val="16"/>
        </w:rPr>
        <w:t xml:space="preserve"> p. 12.</w:t>
      </w:r>
    </w:p>
  </w:footnote>
  <w:footnote w:id="37">
    <w:p w14:paraId="3590717F" w14:textId="1219CF37" w:rsidR="009623A1" w:rsidRPr="004C77C3" w:rsidRDefault="007B70D4">
      <w:pPr>
        <w:spacing w:line="240" w:lineRule="auto"/>
        <w:rPr>
          <w:rFonts w:ascii="Open Sans" w:hAnsi="Open Sans" w:cs="Open Sans"/>
          <w:sz w:val="16"/>
          <w:szCs w:val="16"/>
        </w:rPr>
      </w:pPr>
      <w:r w:rsidRPr="0061617A">
        <w:rPr>
          <w:rFonts w:ascii="Open Sans" w:hAnsi="Open Sans" w:cs="Open Sans"/>
          <w:sz w:val="16"/>
          <w:szCs w:val="16"/>
          <w:vertAlign w:val="superscript"/>
        </w:rPr>
        <w:footnoteRef/>
      </w:r>
      <w:r w:rsidRPr="0061617A">
        <w:rPr>
          <w:rFonts w:ascii="Open Sans" w:hAnsi="Open Sans" w:cs="Open Sans"/>
          <w:sz w:val="16"/>
          <w:szCs w:val="16"/>
        </w:rPr>
        <w:t xml:space="preserve"> Global Initiative for Economic, Social and Cultural Rights (GI-ESCR), Patients or customers? The impact of commercialised healthcare on the right to health in Kenya during the COVID-19 pandemic (2021). DOI: 10.53110/RPCN4627.</w:t>
      </w:r>
    </w:p>
  </w:footnote>
  <w:footnote w:id="38">
    <w:p w14:paraId="152C46B0" w14:textId="5519BDA4" w:rsidR="744C53E1" w:rsidRPr="00791A4E" w:rsidRDefault="744C53E1" w:rsidP="744C53E1">
      <w:pPr>
        <w:spacing w:line="240" w:lineRule="auto"/>
        <w:rPr>
          <w:rFonts w:ascii="Open Sans" w:hAnsi="Open Sans" w:cs="Open Sans"/>
          <w:sz w:val="16"/>
          <w:szCs w:val="16"/>
        </w:rPr>
      </w:pPr>
      <w:r w:rsidRPr="00791A4E">
        <w:rPr>
          <w:rFonts w:ascii="Open Sans" w:hAnsi="Open Sans" w:cs="Open Sans"/>
          <w:sz w:val="16"/>
          <w:szCs w:val="16"/>
          <w:vertAlign w:val="superscript"/>
        </w:rPr>
        <w:footnoteRef/>
      </w:r>
      <w:r w:rsidRPr="00791A4E">
        <w:rPr>
          <w:rFonts w:ascii="Open Sans" w:hAnsi="Open Sans" w:cs="Open Sans"/>
          <w:sz w:val="16"/>
          <w:szCs w:val="16"/>
        </w:rPr>
        <w:t xml:space="preserve"> ‘African Civil Society supports Kenyan citizens’ demands for economic reforms’, June 26, 2024., </w:t>
      </w:r>
      <w:hyperlink r:id="rId20" w:history="1">
        <w:r w:rsidR="005E142A" w:rsidRPr="00791A4E">
          <w:rPr>
            <w:rStyle w:val="Hyperlink"/>
            <w:rFonts w:ascii="Open Sans" w:hAnsi="Open Sans" w:cs="Open Sans"/>
            <w:sz w:val="16"/>
            <w:szCs w:val="16"/>
          </w:rPr>
          <w:t>https://www.taxjusticeafrica.net/sites/default/files/publications/Statement_%20Civil%20Society%20on%20RejectFinanceBill2024_0.pdf</w:t>
        </w:r>
      </w:hyperlink>
      <w:r w:rsidRPr="00791A4E">
        <w:rPr>
          <w:rFonts w:ascii="Open Sans" w:hAnsi="Open Sans" w:cs="Open Sans"/>
          <w:sz w:val="16"/>
          <w:szCs w:val="16"/>
        </w:rPr>
        <w:t xml:space="preserve"> </w:t>
      </w:r>
    </w:p>
  </w:footnote>
  <w:footnote w:id="39">
    <w:p w14:paraId="7589A8B6" w14:textId="0A6BEC7F" w:rsidR="744C53E1" w:rsidRDefault="744C53E1" w:rsidP="744C53E1">
      <w:pPr>
        <w:spacing w:line="240" w:lineRule="auto"/>
        <w:rPr>
          <w:sz w:val="20"/>
          <w:szCs w:val="20"/>
        </w:rPr>
      </w:pPr>
      <w:r w:rsidRPr="00791A4E">
        <w:rPr>
          <w:rFonts w:ascii="Open Sans" w:hAnsi="Open Sans" w:cs="Open Sans"/>
          <w:sz w:val="16"/>
          <w:szCs w:val="16"/>
          <w:vertAlign w:val="superscript"/>
        </w:rPr>
        <w:footnoteRef/>
      </w:r>
      <w:r w:rsidRPr="00791A4E">
        <w:rPr>
          <w:rFonts w:ascii="Open Sans" w:hAnsi="Open Sans" w:cs="Open Sans"/>
          <w:sz w:val="16"/>
          <w:szCs w:val="16"/>
        </w:rPr>
        <w:t xml:space="preserve"> Report of the Presidential Working Party on Education Reform</w:t>
      </w:r>
      <w:r w:rsidR="000E2453">
        <w:rPr>
          <w:rFonts w:ascii="Open Sans" w:hAnsi="Open Sans" w:cs="Open Sans"/>
          <w:sz w:val="16"/>
          <w:szCs w:val="16"/>
        </w:rPr>
        <w:t>, June 2023</w:t>
      </w:r>
      <w:r w:rsidR="00000D42">
        <w:rPr>
          <w:rFonts w:ascii="Open Sans" w:hAnsi="Open Sans" w:cs="Open Sans"/>
          <w:sz w:val="16"/>
          <w:szCs w:val="16"/>
        </w:rPr>
        <w:t xml:space="preserve"> </w:t>
      </w:r>
      <w:hyperlink r:id="rId21" w:history="1">
        <w:r w:rsidR="000E2453" w:rsidRPr="00A71A8D">
          <w:rPr>
            <w:rStyle w:val="Hyperlink"/>
            <w:rFonts w:ascii="Open Sans" w:hAnsi="Open Sans" w:cs="Open Sans"/>
            <w:sz w:val="16"/>
            <w:szCs w:val="16"/>
          </w:rPr>
          <w:t>https://education.go.ke/node/429</w:t>
        </w:r>
      </w:hyperlink>
      <w:r w:rsidR="000E2453">
        <w:rPr>
          <w:rFonts w:ascii="Open Sans" w:hAnsi="Open Sans" w:cs="Open Sans"/>
          <w:sz w:val="16"/>
          <w:szCs w:val="16"/>
        </w:rPr>
        <w:t xml:space="preserve"> </w:t>
      </w:r>
    </w:p>
  </w:footnote>
  <w:footnote w:id="40">
    <w:p w14:paraId="77530036" w14:textId="4EB401A8" w:rsidR="00213DEE" w:rsidRPr="00213DEE" w:rsidRDefault="00213DEE">
      <w:pPr>
        <w:pStyle w:val="FootnoteText"/>
        <w:rPr>
          <w:lang w:val="en-US"/>
        </w:rPr>
      </w:pPr>
      <w:r>
        <w:rPr>
          <w:rStyle w:val="FootnoteReference"/>
        </w:rPr>
        <w:footnoteRef/>
      </w:r>
      <w:r>
        <w:t xml:space="preserve"> </w:t>
      </w:r>
      <w:r w:rsidR="00982C06" w:rsidRPr="00F473B1">
        <w:rPr>
          <w:rFonts w:ascii="Open Sans" w:hAnsi="Open Sans" w:cs="Open Sans"/>
          <w:sz w:val="16"/>
          <w:szCs w:val="16"/>
          <w:lang w:val="en-US"/>
        </w:rPr>
        <w:t xml:space="preserve">Global Initiative for Economic Social and Cultural Rights (GI-ESCR), </w:t>
      </w:r>
      <w:r w:rsidR="00B35FC1" w:rsidRPr="00F473B1">
        <w:rPr>
          <w:rFonts w:ascii="Open Sans" w:hAnsi="Open Sans" w:cs="Open Sans"/>
          <w:sz w:val="16"/>
          <w:szCs w:val="16"/>
          <w:lang w:val="en-US"/>
        </w:rPr>
        <w:t xml:space="preserve">The </w:t>
      </w:r>
      <w:r w:rsidR="00B35FC1" w:rsidRPr="00F7152D">
        <w:rPr>
          <w:rFonts w:ascii="Open Sans" w:hAnsi="Open Sans" w:cs="Open Sans"/>
          <w:sz w:val="16"/>
          <w:szCs w:val="16"/>
        </w:rPr>
        <w:t>Conceptualisation</w:t>
      </w:r>
      <w:r w:rsidR="00B35FC1" w:rsidRPr="00F473B1">
        <w:rPr>
          <w:rFonts w:ascii="Open Sans" w:hAnsi="Open Sans" w:cs="Open Sans"/>
          <w:sz w:val="16"/>
          <w:szCs w:val="16"/>
          <w:lang w:val="en-US"/>
        </w:rPr>
        <w:t xml:space="preserve"> and Regulation of APBET Schools in Kenya: Applying the Abidjan Principles on the Right to Education</w:t>
      </w:r>
      <w:r w:rsidR="001632E0">
        <w:rPr>
          <w:rFonts w:ascii="Open Sans" w:hAnsi="Open Sans" w:cs="Open Sans"/>
          <w:sz w:val="16"/>
          <w:szCs w:val="16"/>
          <w:lang w:val="en-US"/>
        </w:rPr>
        <w:t xml:space="preserve"> (2024)</w:t>
      </w:r>
      <w:r w:rsidR="00B35FC1" w:rsidRPr="00F473B1">
        <w:rPr>
          <w:rFonts w:ascii="Open Sans" w:hAnsi="Open Sans" w:cs="Open Sans"/>
          <w:sz w:val="16"/>
          <w:szCs w:val="16"/>
          <w:lang w:val="en-US"/>
        </w:rPr>
        <w:t>.</w:t>
      </w:r>
      <w:r w:rsidR="00F473B1" w:rsidRPr="00F473B1">
        <w:rPr>
          <w:rFonts w:ascii="Open Sans" w:hAnsi="Open Sans" w:cs="Open Sans"/>
          <w:sz w:val="16"/>
          <w:szCs w:val="16"/>
        </w:rPr>
        <w:t xml:space="preserve"> </w:t>
      </w:r>
      <w:hyperlink r:id="rId22" w:history="1">
        <w:r w:rsidR="00F473B1" w:rsidRPr="00F473B1">
          <w:rPr>
            <w:rStyle w:val="Hyperlink"/>
            <w:rFonts w:ascii="Open Sans" w:hAnsi="Open Sans" w:cs="Open Sans"/>
            <w:sz w:val="16"/>
            <w:szCs w:val="16"/>
            <w:lang w:val="en-US"/>
          </w:rPr>
          <w:t>https://gi-escr.org/en/resources/publications/the-conceptualisation-and-regulation-of-apbet-schools-in-kenya-applying-the-abidjan-principles-on-the-right-to-education</w:t>
        </w:r>
      </w:hyperlink>
      <w:r w:rsidR="00F473B1">
        <w:rPr>
          <w:lang w:val="en-US"/>
        </w:rPr>
        <w:t xml:space="preserve"> </w:t>
      </w:r>
    </w:p>
  </w:footnote>
  <w:footnote w:id="41">
    <w:p w14:paraId="6E9C6B56" w14:textId="1A5B937B" w:rsidR="00953CDB" w:rsidRPr="00EC153E" w:rsidRDefault="00953CDB">
      <w:pPr>
        <w:pStyle w:val="FootnoteText"/>
        <w:rPr>
          <w:rFonts w:ascii="Calibri" w:hAnsi="Calibri" w:cs="Calibri"/>
        </w:rPr>
      </w:pPr>
      <w:r w:rsidRPr="00EF4A9D">
        <w:rPr>
          <w:rStyle w:val="FootnoteReference"/>
          <w:rFonts w:ascii="Calibri" w:hAnsi="Calibri" w:cs="Calibri"/>
          <w:sz w:val="18"/>
          <w:szCs w:val="18"/>
        </w:rPr>
        <w:footnoteRef/>
      </w:r>
      <w:r w:rsidR="00A401A2">
        <w:rPr>
          <w:rFonts w:ascii="Calibri" w:hAnsi="Calibri" w:cs="Calibri"/>
          <w:sz w:val="18"/>
          <w:szCs w:val="18"/>
        </w:rPr>
        <w:t xml:space="preserve">The Abidjan Principles on </w:t>
      </w:r>
      <w:r w:rsidR="00475D0B">
        <w:rPr>
          <w:rFonts w:ascii="Calibri" w:hAnsi="Calibri" w:cs="Calibri"/>
          <w:sz w:val="18"/>
          <w:szCs w:val="18"/>
        </w:rPr>
        <w:t>the human rights obligations of States to provide public education and to regulate private involvement in education,</w:t>
      </w:r>
      <w:r w:rsidRPr="00EF4A9D">
        <w:rPr>
          <w:rFonts w:ascii="Calibri" w:hAnsi="Calibri" w:cs="Calibri"/>
          <w:sz w:val="18"/>
          <w:szCs w:val="18"/>
        </w:rPr>
        <w:t xml:space="preserve"> </w:t>
      </w:r>
      <w:hyperlink r:id="rId23" w:history="1">
        <w:r w:rsidR="00475D0B" w:rsidRPr="00EF4A9D">
          <w:rPr>
            <w:rStyle w:val="Hyperlink"/>
            <w:rFonts w:ascii="Open Sans" w:hAnsi="Open Sans" w:cs="Open Sans"/>
            <w:sz w:val="16"/>
            <w:szCs w:val="16"/>
          </w:rPr>
          <w:t>https://www.abidjanprinciples.org/</w:t>
        </w:r>
      </w:hyperlink>
      <w:r w:rsidR="00475D0B">
        <w:rPr>
          <w:rFonts w:ascii="Open Sans" w:hAnsi="Open Sans" w:cs="Open Sans"/>
          <w:sz w:val="16"/>
          <w:szCs w:val="16"/>
        </w:rPr>
        <w:t xml:space="preserve"> </w:t>
      </w:r>
    </w:p>
  </w:footnote>
  <w:footnote w:id="42">
    <w:p w14:paraId="5680BCA9" w14:textId="2D12DFA5" w:rsidR="744C53E1" w:rsidRPr="00791A4E" w:rsidRDefault="744C53E1" w:rsidP="744C53E1">
      <w:pPr>
        <w:spacing w:line="240" w:lineRule="auto"/>
        <w:rPr>
          <w:rFonts w:ascii="Open Sans" w:hAnsi="Open Sans" w:cs="Open Sans"/>
          <w:sz w:val="16"/>
          <w:szCs w:val="16"/>
        </w:rPr>
      </w:pPr>
      <w:r w:rsidRPr="00791A4E">
        <w:rPr>
          <w:rFonts w:ascii="Open Sans" w:hAnsi="Open Sans" w:cs="Open Sans"/>
          <w:sz w:val="16"/>
          <w:szCs w:val="16"/>
          <w:vertAlign w:val="superscript"/>
        </w:rPr>
        <w:footnoteRef/>
      </w:r>
      <w:r w:rsidRPr="00791A4E">
        <w:rPr>
          <w:rFonts w:ascii="Open Sans" w:hAnsi="Open Sans" w:cs="Open Sans"/>
          <w:sz w:val="16"/>
          <w:szCs w:val="16"/>
        </w:rPr>
        <w:t xml:space="preserve"> </w:t>
      </w:r>
      <w:r w:rsidR="002D5C3A">
        <w:rPr>
          <w:rFonts w:ascii="Open Sans" w:hAnsi="Open Sans" w:cs="Open Sans"/>
          <w:sz w:val="16"/>
          <w:szCs w:val="16"/>
        </w:rPr>
        <w:t xml:space="preserve">Global Initiative for Economic Social and Cultural Rights (GI-ESCR), </w:t>
      </w:r>
      <w:r w:rsidRPr="00791A4E">
        <w:rPr>
          <w:rFonts w:ascii="Open Sans" w:hAnsi="Open Sans" w:cs="Open Sans"/>
          <w:sz w:val="16"/>
          <w:szCs w:val="16"/>
        </w:rPr>
        <w:t>Build Us More Schools!’ - The Quest for Quality Free Education in Mabatini and Ngei Wards of Mathare, Nairobi, 2024</w:t>
      </w:r>
    </w:p>
  </w:footnote>
  <w:footnote w:id="43">
    <w:p w14:paraId="794A9ECD" w14:textId="5254F9B5" w:rsidR="744C53E1" w:rsidRPr="00791A4E" w:rsidRDefault="744C53E1" w:rsidP="744C53E1">
      <w:pPr>
        <w:spacing w:line="240" w:lineRule="auto"/>
        <w:rPr>
          <w:rFonts w:ascii="Open Sans" w:hAnsi="Open Sans" w:cs="Open Sans"/>
          <w:sz w:val="16"/>
          <w:szCs w:val="16"/>
        </w:rPr>
      </w:pPr>
      <w:r w:rsidRPr="00791A4E">
        <w:rPr>
          <w:rFonts w:ascii="Open Sans" w:hAnsi="Open Sans" w:cs="Open Sans"/>
          <w:sz w:val="16"/>
          <w:szCs w:val="16"/>
          <w:vertAlign w:val="superscript"/>
        </w:rPr>
        <w:footnoteRef/>
      </w:r>
      <w:r w:rsidRPr="00791A4E">
        <w:rPr>
          <w:rFonts w:ascii="Open Sans" w:hAnsi="Open Sans" w:cs="Open Sans"/>
          <w:sz w:val="16"/>
          <w:szCs w:val="16"/>
        </w:rPr>
        <w:t xml:space="preserve"> </w:t>
      </w:r>
      <w:r w:rsidR="002D5C3A">
        <w:rPr>
          <w:rFonts w:ascii="Open Sans" w:hAnsi="Open Sans" w:cs="Open Sans"/>
          <w:sz w:val="16"/>
          <w:szCs w:val="16"/>
        </w:rPr>
        <w:t>Ministry</w:t>
      </w:r>
      <w:r w:rsidR="00960D24">
        <w:rPr>
          <w:rFonts w:ascii="Open Sans" w:hAnsi="Open Sans" w:cs="Open Sans"/>
          <w:sz w:val="16"/>
          <w:szCs w:val="16"/>
        </w:rPr>
        <w:t xml:space="preserve"> of Health, </w:t>
      </w:r>
      <w:r w:rsidRPr="00791A4E">
        <w:rPr>
          <w:rFonts w:ascii="Open Sans" w:hAnsi="Open Sans" w:cs="Open Sans"/>
          <w:sz w:val="16"/>
          <w:szCs w:val="16"/>
        </w:rPr>
        <w:t>Health Financing Strategy, 2020-2030</w:t>
      </w:r>
      <w:r w:rsidR="00111542">
        <w:rPr>
          <w:rFonts w:ascii="Open Sans" w:hAnsi="Open Sans" w:cs="Open Sans"/>
          <w:sz w:val="16"/>
          <w:szCs w:val="16"/>
        </w:rPr>
        <w:t xml:space="preserve">. </w:t>
      </w:r>
      <w:r w:rsidR="00C0638E">
        <w:rPr>
          <w:rFonts w:ascii="Open Sans" w:hAnsi="Open Sans" w:cs="Open Sans"/>
          <w:sz w:val="16"/>
          <w:szCs w:val="16"/>
        </w:rPr>
        <w:t xml:space="preserve"> </w:t>
      </w:r>
      <w:hyperlink r:id="rId24" w:anchor="/category/20/351/meta" w:history="1">
        <w:r w:rsidR="00111542" w:rsidRPr="00A71A8D">
          <w:rPr>
            <w:rStyle w:val="Hyperlink"/>
            <w:rFonts w:ascii="Open Sans" w:hAnsi="Open Sans" w:cs="Open Sans"/>
            <w:sz w:val="16"/>
            <w:szCs w:val="16"/>
          </w:rPr>
          <w:t>https://guidelines.health.go.ke/#/category/20/351/meta</w:t>
        </w:r>
      </w:hyperlink>
      <w:r w:rsidR="00111542">
        <w:rPr>
          <w:rFonts w:ascii="Open Sans" w:hAnsi="Open Sans" w:cs="Open Sans"/>
          <w:sz w:val="16"/>
          <w:szCs w:val="16"/>
        </w:rPr>
        <w:t xml:space="preserve"> </w:t>
      </w:r>
    </w:p>
  </w:footnote>
  <w:footnote w:id="44">
    <w:p w14:paraId="4919D697" w14:textId="77777777" w:rsidR="744C53E1" w:rsidRPr="00791A4E" w:rsidRDefault="744C53E1" w:rsidP="744C53E1">
      <w:pPr>
        <w:spacing w:line="240" w:lineRule="auto"/>
        <w:rPr>
          <w:rFonts w:ascii="Open Sans" w:hAnsi="Open Sans" w:cs="Open Sans"/>
          <w:sz w:val="16"/>
          <w:szCs w:val="16"/>
        </w:rPr>
      </w:pPr>
      <w:r w:rsidRPr="00791A4E">
        <w:rPr>
          <w:rFonts w:ascii="Open Sans" w:hAnsi="Open Sans" w:cs="Open Sans"/>
          <w:sz w:val="16"/>
          <w:szCs w:val="16"/>
          <w:vertAlign w:val="superscript"/>
        </w:rPr>
        <w:footnoteRef/>
      </w:r>
      <w:r w:rsidRPr="00791A4E">
        <w:rPr>
          <w:rFonts w:ascii="Open Sans" w:hAnsi="Open Sans" w:cs="Open Sans"/>
          <w:sz w:val="16"/>
          <w:szCs w:val="16"/>
        </w:rPr>
        <w:t xml:space="preserve"> Joint Stakeholder Submission by Right to Health Thematic Group, (49 Session of the Universal Periodic Review), October 2021</w:t>
      </w:r>
    </w:p>
    <w:p w14:paraId="676D7B8B" w14:textId="77777777" w:rsidR="744C53E1" w:rsidRDefault="744C53E1" w:rsidP="744C53E1">
      <w:pPr>
        <w:spacing w:line="240" w:lineRule="auto"/>
        <w:rPr>
          <w:sz w:val="20"/>
          <w:szCs w:val="20"/>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7B9F40" w14:textId="38833B3F" w:rsidR="001A69DB" w:rsidRDefault="007F6358" w:rsidP="00154F41">
    <w:pPr>
      <w:pStyle w:val="Header"/>
      <w:jc w:val="center"/>
    </w:pPr>
    <w:r>
      <w:rPr>
        <w:rFonts w:ascii="Open Sans" w:eastAsia="Open Sans" w:hAnsi="Open Sans" w:cs="Open Sans"/>
        <w:b/>
        <w:noProof/>
        <w:sz w:val="24"/>
        <w:szCs w:val="24"/>
      </w:rPr>
      <w:drawing>
        <wp:inline distT="114300" distB="114300" distL="114300" distR="114300" wp14:anchorId="760C346F" wp14:editId="03463C48">
          <wp:extent cx="1174750" cy="496570"/>
          <wp:effectExtent l="0" t="0" r="0" b="0"/>
          <wp:docPr id="1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175583" cy="496922"/>
                  </a:xfrm>
                  <a:prstGeom prst="rect">
                    <a:avLst/>
                  </a:prstGeom>
                  <a:ln/>
                </pic:spPr>
              </pic:pic>
            </a:graphicData>
          </a:graphic>
        </wp:inline>
      </w:drawing>
    </w:r>
    <w:r w:rsidR="00154F41">
      <w:rPr>
        <w:rFonts w:ascii="Open Sans" w:eastAsia="Open Sans" w:hAnsi="Open Sans" w:cs="Open Sans"/>
        <w:b/>
        <w:noProof/>
        <w:sz w:val="24"/>
        <w:szCs w:val="24"/>
      </w:rPr>
      <w:t xml:space="preserve"> </w:t>
    </w:r>
    <w:r>
      <w:t xml:space="preserve"> </w:t>
    </w:r>
    <w:r w:rsidR="000D3503" w:rsidRPr="00950BB6">
      <w:rPr>
        <w:rFonts w:ascii="Open Sans" w:eastAsia="Open Sans" w:hAnsi="Open Sans" w:cs="Open Sans"/>
        <w:b/>
        <w:noProof/>
        <w:sz w:val="24"/>
        <w:szCs w:val="24"/>
        <w:lang w:eastAsia="en-GB"/>
      </w:rPr>
      <w:drawing>
        <wp:inline distT="0" distB="0" distL="0" distR="0" wp14:anchorId="7006C21C" wp14:editId="11E9F9BE">
          <wp:extent cx="970280" cy="485500"/>
          <wp:effectExtent l="0" t="0" r="1270" b="0"/>
          <wp:docPr id="18" name="Picture 18" descr="C:\Users\FShako\Desktop\CEPCJ\CEPCJ LOGO AND BRAND GUIDLINE\Colorerd Background\Green Backgroun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Shako\Desktop\CEPCJ\CEPCJ LOGO AND BRAND GUIDLINE\Colorerd Background\Green Background.jp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973714" cy="487218"/>
                  </a:xfrm>
                  <a:prstGeom prst="rect">
                    <a:avLst/>
                  </a:prstGeom>
                  <a:noFill/>
                  <a:ln>
                    <a:noFill/>
                  </a:ln>
                </pic:spPr>
              </pic:pic>
            </a:graphicData>
          </a:graphic>
        </wp:inline>
      </w:drawing>
    </w:r>
    <w:r w:rsidR="00154F41">
      <w:t xml:space="preserve">  </w:t>
    </w:r>
    <w:r w:rsidR="00200CE6">
      <w:t xml:space="preserve"> </w:t>
    </w:r>
    <w:r w:rsidR="00200CE6">
      <w:rPr>
        <w:noProof/>
      </w:rPr>
      <w:drawing>
        <wp:inline distT="0" distB="0" distL="0" distR="0" wp14:anchorId="08AEF927" wp14:editId="65773584">
          <wp:extent cx="641350" cy="57213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 cstate="print">
                    <a:extLst>
                      <a:ext uri="{28A0092B-C50C-407E-A947-70E740481C1C}">
                        <a14:useLocalDpi xmlns:a14="http://schemas.microsoft.com/office/drawing/2010/main" val="0"/>
                      </a:ext>
                    </a:extLst>
                  </a:blip>
                  <a:stretch>
                    <a:fillRect/>
                  </a:stretch>
                </pic:blipFill>
                <pic:spPr>
                  <a:xfrm>
                    <a:off x="0" y="0"/>
                    <a:ext cx="641619" cy="572375"/>
                  </a:xfrm>
                  <a:prstGeom prst="rect">
                    <a:avLst/>
                  </a:prstGeom>
                </pic:spPr>
              </pic:pic>
            </a:graphicData>
          </a:graphic>
        </wp:inline>
      </w:drawing>
    </w:r>
    <w:r w:rsidR="00154F41">
      <w:t xml:space="preserve"> </w:t>
    </w:r>
    <w:r w:rsidR="00154F41">
      <w:rPr>
        <w:noProof/>
      </w:rPr>
      <w:drawing>
        <wp:inline distT="0" distB="0" distL="0" distR="0" wp14:anchorId="51E3A37C" wp14:editId="16CF95B4">
          <wp:extent cx="1612900" cy="398145"/>
          <wp:effectExtent l="0" t="0" r="0" b="190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cstate="print">
                    <a:extLst>
                      <a:ext uri="{28A0092B-C50C-407E-A947-70E740481C1C}">
                        <a14:useLocalDpi xmlns:a14="http://schemas.microsoft.com/office/drawing/2010/main" val="0"/>
                      </a:ext>
                    </a:extLst>
                  </a:blip>
                  <a:stretch>
                    <a:fillRect/>
                  </a:stretch>
                </pic:blipFill>
                <pic:spPr>
                  <a:xfrm>
                    <a:off x="0" y="0"/>
                    <a:ext cx="1614832" cy="398622"/>
                  </a:xfrm>
                  <a:prstGeom prst="rect">
                    <a:avLst/>
                  </a:prstGeom>
                </pic:spPr>
              </pic:pic>
            </a:graphicData>
          </a:graphic>
        </wp:inline>
      </w:drawing>
    </w:r>
  </w:p>
  <w:p w14:paraId="5F07F324" w14:textId="77777777" w:rsidR="00323E90" w:rsidRDefault="00323E9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3DAFC3"/>
    <w:multiLevelType w:val="hybridMultilevel"/>
    <w:tmpl w:val="46C8BD40"/>
    <w:lvl w:ilvl="0" w:tplc="D5C8E06C">
      <w:start w:val="1"/>
      <w:numFmt w:val="decimal"/>
      <w:lvlText w:val="%1."/>
      <w:lvlJc w:val="left"/>
      <w:pPr>
        <w:ind w:left="720" w:hanging="360"/>
      </w:pPr>
    </w:lvl>
    <w:lvl w:ilvl="1" w:tplc="3000F792">
      <w:start w:val="1"/>
      <w:numFmt w:val="lowerLetter"/>
      <w:lvlText w:val="%2."/>
      <w:lvlJc w:val="left"/>
      <w:pPr>
        <w:ind w:left="1440" w:hanging="360"/>
      </w:pPr>
    </w:lvl>
    <w:lvl w:ilvl="2" w:tplc="201C4F98">
      <w:start w:val="1"/>
      <w:numFmt w:val="lowerRoman"/>
      <w:lvlText w:val="%3."/>
      <w:lvlJc w:val="right"/>
      <w:pPr>
        <w:ind w:left="2160" w:hanging="180"/>
      </w:pPr>
    </w:lvl>
    <w:lvl w:ilvl="3" w:tplc="F93404D6">
      <w:start w:val="1"/>
      <w:numFmt w:val="decimal"/>
      <w:lvlText w:val="%4."/>
      <w:lvlJc w:val="left"/>
      <w:pPr>
        <w:ind w:left="2880" w:hanging="360"/>
      </w:pPr>
    </w:lvl>
    <w:lvl w:ilvl="4" w:tplc="F2A08FC8">
      <w:start w:val="1"/>
      <w:numFmt w:val="lowerLetter"/>
      <w:lvlText w:val="%5."/>
      <w:lvlJc w:val="left"/>
      <w:pPr>
        <w:ind w:left="3600" w:hanging="360"/>
      </w:pPr>
    </w:lvl>
    <w:lvl w:ilvl="5" w:tplc="717AEA04">
      <w:start w:val="1"/>
      <w:numFmt w:val="lowerRoman"/>
      <w:lvlText w:val="%6."/>
      <w:lvlJc w:val="right"/>
      <w:pPr>
        <w:ind w:left="4320" w:hanging="180"/>
      </w:pPr>
    </w:lvl>
    <w:lvl w:ilvl="6" w:tplc="3F2837EE">
      <w:start w:val="1"/>
      <w:numFmt w:val="decimal"/>
      <w:lvlText w:val="%7."/>
      <w:lvlJc w:val="left"/>
      <w:pPr>
        <w:ind w:left="5040" w:hanging="360"/>
      </w:pPr>
    </w:lvl>
    <w:lvl w:ilvl="7" w:tplc="0D4C777C">
      <w:start w:val="1"/>
      <w:numFmt w:val="lowerLetter"/>
      <w:lvlText w:val="%8."/>
      <w:lvlJc w:val="left"/>
      <w:pPr>
        <w:ind w:left="5760" w:hanging="360"/>
      </w:pPr>
    </w:lvl>
    <w:lvl w:ilvl="8" w:tplc="50E6F126">
      <w:start w:val="1"/>
      <w:numFmt w:val="lowerRoman"/>
      <w:lvlText w:val="%9."/>
      <w:lvlJc w:val="right"/>
      <w:pPr>
        <w:ind w:left="6480" w:hanging="180"/>
      </w:pPr>
    </w:lvl>
  </w:abstractNum>
  <w:abstractNum w:abstractNumId="1" w15:restartNumberingAfterBreak="0">
    <w:nsid w:val="0BB25812"/>
    <w:multiLevelType w:val="multilevel"/>
    <w:tmpl w:val="6D802034"/>
    <w:lvl w:ilvl="0">
      <w:start w:val="1"/>
      <w:numFmt w:val="decimal"/>
      <w:lvlText w:val="%1."/>
      <w:lvlJc w:val="left"/>
      <w:pPr>
        <w:ind w:left="360" w:hanging="360"/>
      </w:pPr>
      <w:rPr>
        <w:sz w:val="22"/>
        <w:szCs w:val="22"/>
        <w:u w:val="none"/>
      </w:rPr>
    </w:lvl>
    <w:lvl w:ilvl="1">
      <w:start w:val="1"/>
      <w:numFmt w:val="lowerLetter"/>
      <w:lvlText w:val="%2."/>
      <w:lvlJc w:val="left"/>
      <w:pPr>
        <w:ind w:left="1080" w:hanging="360"/>
      </w:pPr>
      <w:rPr>
        <w:u w:val="none"/>
      </w:rPr>
    </w:lvl>
    <w:lvl w:ilvl="2">
      <w:start w:val="1"/>
      <w:numFmt w:val="lowerRoman"/>
      <w:lvlText w:val="%3."/>
      <w:lvlJc w:val="right"/>
      <w:pPr>
        <w:ind w:left="1800" w:hanging="360"/>
      </w:pPr>
      <w:rPr>
        <w:u w:val="none"/>
      </w:rPr>
    </w:lvl>
    <w:lvl w:ilvl="3">
      <w:start w:val="1"/>
      <w:numFmt w:val="decimal"/>
      <w:lvlText w:val="%4."/>
      <w:lvlJc w:val="left"/>
      <w:pPr>
        <w:ind w:left="2520" w:hanging="360"/>
      </w:pPr>
      <w:rPr>
        <w:u w:val="none"/>
      </w:rPr>
    </w:lvl>
    <w:lvl w:ilvl="4">
      <w:start w:val="1"/>
      <w:numFmt w:val="lowerLetter"/>
      <w:lvlText w:val="%5."/>
      <w:lvlJc w:val="left"/>
      <w:pPr>
        <w:ind w:left="3240" w:hanging="360"/>
      </w:pPr>
      <w:rPr>
        <w:u w:val="none"/>
      </w:rPr>
    </w:lvl>
    <w:lvl w:ilvl="5">
      <w:start w:val="1"/>
      <w:numFmt w:val="lowerRoman"/>
      <w:lvlText w:val="%6."/>
      <w:lvlJc w:val="right"/>
      <w:pPr>
        <w:ind w:left="3960" w:hanging="360"/>
      </w:pPr>
      <w:rPr>
        <w:u w:val="none"/>
      </w:rPr>
    </w:lvl>
    <w:lvl w:ilvl="6">
      <w:start w:val="1"/>
      <w:numFmt w:val="decimal"/>
      <w:lvlText w:val="%7."/>
      <w:lvlJc w:val="lef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right"/>
      <w:pPr>
        <w:ind w:left="6120" w:hanging="360"/>
      </w:pPr>
      <w:rPr>
        <w:u w:val="none"/>
      </w:rPr>
    </w:lvl>
  </w:abstractNum>
  <w:abstractNum w:abstractNumId="2" w15:restartNumberingAfterBreak="0">
    <w:nsid w:val="1B14EF01"/>
    <w:multiLevelType w:val="hybridMultilevel"/>
    <w:tmpl w:val="9154E0B8"/>
    <w:lvl w:ilvl="0" w:tplc="709806C2">
      <w:start w:val="1"/>
      <w:numFmt w:val="decimal"/>
      <w:lvlText w:val="%1."/>
      <w:lvlJc w:val="left"/>
      <w:pPr>
        <w:ind w:left="720" w:hanging="360"/>
      </w:pPr>
    </w:lvl>
    <w:lvl w:ilvl="1" w:tplc="AFF83682">
      <w:start w:val="1"/>
      <w:numFmt w:val="lowerLetter"/>
      <w:lvlText w:val="%2."/>
      <w:lvlJc w:val="left"/>
      <w:pPr>
        <w:ind w:left="1440" w:hanging="360"/>
      </w:pPr>
    </w:lvl>
    <w:lvl w:ilvl="2" w:tplc="6742F062">
      <w:start w:val="1"/>
      <w:numFmt w:val="lowerRoman"/>
      <w:lvlText w:val="%3."/>
      <w:lvlJc w:val="right"/>
      <w:pPr>
        <w:ind w:left="2160" w:hanging="180"/>
      </w:pPr>
    </w:lvl>
    <w:lvl w:ilvl="3" w:tplc="9076AC4E">
      <w:start w:val="1"/>
      <w:numFmt w:val="decimal"/>
      <w:lvlText w:val="%4."/>
      <w:lvlJc w:val="left"/>
      <w:pPr>
        <w:ind w:left="2880" w:hanging="360"/>
      </w:pPr>
    </w:lvl>
    <w:lvl w:ilvl="4" w:tplc="C17AE030">
      <w:start w:val="1"/>
      <w:numFmt w:val="lowerLetter"/>
      <w:lvlText w:val="%5."/>
      <w:lvlJc w:val="left"/>
      <w:pPr>
        <w:ind w:left="3600" w:hanging="360"/>
      </w:pPr>
    </w:lvl>
    <w:lvl w:ilvl="5" w:tplc="11066F8E">
      <w:start w:val="1"/>
      <w:numFmt w:val="lowerRoman"/>
      <w:lvlText w:val="%6."/>
      <w:lvlJc w:val="right"/>
      <w:pPr>
        <w:ind w:left="4320" w:hanging="180"/>
      </w:pPr>
    </w:lvl>
    <w:lvl w:ilvl="6" w:tplc="3D3A5E6E">
      <w:start w:val="1"/>
      <w:numFmt w:val="decimal"/>
      <w:lvlText w:val="%7."/>
      <w:lvlJc w:val="left"/>
      <w:pPr>
        <w:ind w:left="5040" w:hanging="360"/>
      </w:pPr>
    </w:lvl>
    <w:lvl w:ilvl="7" w:tplc="0FA45508">
      <w:start w:val="1"/>
      <w:numFmt w:val="lowerLetter"/>
      <w:lvlText w:val="%8."/>
      <w:lvlJc w:val="left"/>
      <w:pPr>
        <w:ind w:left="5760" w:hanging="360"/>
      </w:pPr>
    </w:lvl>
    <w:lvl w:ilvl="8" w:tplc="A6C6AAAA">
      <w:start w:val="1"/>
      <w:numFmt w:val="lowerRoman"/>
      <w:lvlText w:val="%9."/>
      <w:lvlJc w:val="right"/>
      <w:pPr>
        <w:ind w:left="6480" w:hanging="180"/>
      </w:pPr>
    </w:lvl>
  </w:abstractNum>
  <w:abstractNum w:abstractNumId="3" w15:restartNumberingAfterBreak="0">
    <w:nsid w:val="1CF047DE"/>
    <w:multiLevelType w:val="multilevel"/>
    <w:tmpl w:val="9A38C4EC"/>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CF21FB2"/>
    <w:multiLevelType w:val="multilevel"/>
    <w:tmpl w:val="6916CFC2"/>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5" w15:restartNumberingAfterBreak="0">
    <w:nsid w:val="216D174A"/>
    <w:multiLevelType w:val="multilevel"/>
    <w:tmpl w:val="41D02D04"/>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6" w15:restartNumberingAfterBreak="0">
    <w:nsid w:val="2541DCE4"/>
    <w:multiLevelType w:val="hybridMultilevel"/>
    <w:tmpl w:val="F38CF95E"/>
    <w:lvl w:ilvl="0" w:tplc="1630A422">
      <w:start w:val="1"/>
      <w:numFmt w:val="decimal"/>
      <w:lvlText w:val="%1."/>
      <w:lvlJc w:val="left"/>
      <w:pPr>
        <w:ind w:left="720" w:hanging="360"/>
      </w:pPr>
    </w:lvl>
    <w:lvl w:ilvl="1" w:tplc="3D484792">
      <w:start w:val="1"/>
      <w:numFmt w:val="lowerLetter"/>
      <w:lvlText w:val="%2."/>
      <w:lvlJc w:val="left"/>
      <w:pPr>
        <w:ind w:left="1440" w:hanging="360"/>
      </w:pPr>
    </w:lvl>
    <w:lvl w:ilvl="2" w:tplc="12CEE474">
      <w:start w:val="1"/>
      <w:numFmt w:val="lowerRoman"/>
      <w:lvlText w:val="%3."/>
      <w:lvlJc w:val="right"/>
      <w:pPr>
        <w:ind w:left="2160" w:hanging="180"/>
      </w:pPr>
    </w:lvl>
    <w:lvl w:ilvl="3" w:tplc="EE96AEB4">
      <w:start w:val="1"/>
      <w:numFmt w:val="decimal"/>
      <w:lvlText w:val="%4."/>
      <w:lvlJc w:val="left"/>
      <w:pPr>
        <w:ind w:left="2880" w:hanging="360"/>
      </w:pPr>
    </w:lvl>
    <w:lvl w:ilvl="4" w:tplc="E5A8DC36">
      <w:start w:val="1"/>
      <w:numFmt w:val="lowerLetter"/>
      <w:lvlText w:val="%5."/>
      <w:lvlJc w:val="left"/>
      <w:pPr>
        <w:ind w:left="3600" w:hanging="360"/>
      </w:pPr>
    </w:lvl>
    <w:lvl w:ilvl="5" w:tplc="895C3100">
      <w:start w:val="1"/>
      <w:numFmt w:val="lowerRoman"/>
      <w:lvlText w:val="%6."/>
      <w:lvlJc w:val="right"/>
      <w:pPr>
        <w:ind w:left="4320" w:hanging="180"/>
      </w:pPr>
    </w:lvl>
    <w:lvl w:ilvl="6" w:tplc="465A530C">
      <w:start w:val="1"/>
      <w:numFmt w:val="decimal"/>
      <w:lvlText w:val="%7."/>
      <w:lvlJc w:val="left"/>
      <w:pPr>
        <w:ind w:left="5040" w:hanging="360"/>
      </w:pPr>
    </w:lvl>
    <w:lvl w:ilvl="7" w:tplc="62360CE0">
      <w:start w:val="1"/>
      <w:numFmt w:val="lowerLetter"/>
      <w:lvlText w:val="%8."/>
      <w:lvlJc w:val="left"/>
      <w:pPr>
        <w:ind w:left="5760" w:hanging="360"/>
      </w:pPr>
    </w:lvl>
    <w:lvl w:ilvl="8" w:tplc="4B86A6CA">
      <w:start w:val="1"/>
      <w:numFmt w:val="lowerRoman"/>
      <w:lvlText w:val="%9."/>
      <w:lvlJc w:val="right"/>
      <w:pPr>
        <w:ind w:left="6480" w:hanging="180"/>
      </w:pPr>
    </w:lvl>
  </w:abstractNum>
  <w:abstractNum w:abstractNumId="7" w15:restartNumberingAfterBreak="0">
    <w:nsid w:val="26B65D5D"/>
    <w:multiLevelType w:val="hybridMultilevel"/>
    <w:tmpl w:val="1340EABE"/>
    <w:lvl w:ilvl="0" w:tplc="1F24F202">
      <w:start w:val="1"/>
      <w:numFmt w:val="decimal"/>
      <w:lvlText w:val="%1."/>
      <w:lvlJc w:val="left"/>
      <w:pPr>
        <w:ind w:left="720" w:hanging="360"/>
      </w:pPr>
    </w:lvl>
    <w:lvl w:ilvl="1" w:tplc="F8EC3C76">
      <w:start w:val="1"/>
      <w:numFmt w:val="lowerLetter"/>
      <w:lvlText w:val="%2."/>
      <w:lvlJc w:val="left"/>
      <w:pPr>
        <w:ind w:left="1440" w:hanging="360"/>
      </w:pPr>
    </w:lvl>
    <w:lvl w:ilvl="2" w:tplc="D27C9A28">
      <w:start w:val="1"/>
      <w:numFmt w:val="lowerRoman"/>
      <w:lvlText w:val="%3."/>
      <w:lvlJc w:val="right"/>
      <w:pPr>
        <w:ind w:left="2160" w:hanging="180"/>
      </w:pPr>
    </w:lvl>
    <w:lvl w:ilvl="3" w:tplc="7B1445A2">
      <w:start w:val="1"/>
      <w:numFmt w:val="decimal"/>
      <w:lvlText w:val="%4."/>
      <w:lvlJc w:val="left"/>
      <w:pPr>
        <w:ind w:left="2880" w:hanging="360"/>
      </w:pPr>
    </w:lvl>
    <w:lvl w:ilvl="4" w:tplc="D254A150">
      <w:start w:val="1"/>
      <w:numFmt w:val="lowerLetter"/>
      <w:lvlText w:val="%5."/>
      <w:lvlJc w:val="left"/>
      <w:pPr>
        <w:ind w:left="3600" w:hanging="360"/>
      </w:pPr>
    </w:lvl>
    <w:lvl w:ilvl="5" w:tplc="032860CE">
      <w:start w:val="1"/>
      <w:numFmt w:val="lowerRoman"/>
      <w:lvlText w:val="%6."/>
      <w:lvlJc w:val="right"/>
      <w:pPr>
        <w:ind w:left="4320" w:hanging="180"/>
      </w:pPr>
    </w:lvl>
    <w:lvl w:ilvl="6" w:tplc="4C4208A4">
      <w:start w:val="1"/>
      <w:numFmt w:val="decimal"/>
      <w:lvlText w:val="%7."/>
      <w:lvlJc w:val="left"/>
      <w:pPr>
        <w:ind w:left="5040" w:hanging="360"/>
      </w:pPr>
    </w:lvl>
    <w:lvl w:ilvl="7" w:tplc="CC964960">
      <w:start w:val="1"/>
      <w:numFmt w:val="lowerLetter"/>
      <w:lvlText w:val="%8."/>
      <w:lvlJc w:val="left"/>
      <w:pPr>
        <w:ind w:left="5760" w:hanging="360"/>
      </w:pPr>
    </w:lvl>
    <w:lvl w:ilvl="8" w:tplc="344233EA">
      <w:start w:val="1"/>
      <w:numFmt w:val="lowerRoman"/>
      <w:lvlText w:val="%9."/>
      <w:lvlJc w:val="right"/>
      <w:pPr>
        <w:ind w:left="6480" w:hanging="180"/>
      </w:pPr>
    </w:lvl>
  </w:abstractNum>
  <w:abstractNum w:abstractNumId="8" w15:restartNumberingAfterBreak="0">
    <w:nsid w:val="3C2D9606"/>
    <w:multiLevelType w:val="hybridMultilevel"/>
    <w:tmpl w:val="BF641590"/>
    <w:lvl w:ilvl="0" w:tplc="84903152">
      <w:start w:val="1"/>
      <w:numFmt w:val="decimal"/>
      <w:lvlText w:val="%1."/>
      <w:lvlJc w:val="left"/>
      <w:pPr>
        <w:ind w:left="720" w:hanging="360"/>
      </w:pPr>
    </w:lvl>
    <w:lvl w:ilvl="1" w:tplc="A6F4599C">
      <w:start w:val="1"/>
      <w:numFmt w:val="lowerLetter"/>
      <w:lvlText w:val="%2."/>
      <w:lvlJc w:val="left"/>
      <w:pPr>
        <w:ind w:left="1440" w:hanging="360"/>
      </w:pPr>
    </w:lvl>
    <w:lvl w:ilvl="2" w:tplc="1EC26D44">
      <w:start w:val="1"/>
      <w:numFmt w:val="lowerRoman"/>
      <w:lvlText w:val="%3."/>
      <w:lvlJc w:val="right"/>
      <w:pPr>
        <w:ind w:left="2160" w:hanging="180"/>
      </w:pPr>
    </w:lvl>
    <w:lvl w:ilvl="3" w:tplc="4B268936">
      <w:start w:val="1"/>
      <w:numFmt w:val="decimal"/>
      <w:lvlText w:val="%4."/>
      <w:lvlJc w:val="left"/>
      <w:pPr>
        <w:ind w:left="2880" w:hanging="360"/>
      </w:pPr>
    </w:lvl>
    <w:lvl w:ilvl="4" w:tplc="74BA7010">
      <w:start w:val="1"/>
      <w:numFmt w:val="lowerLetter"/>
      <w:lvlText w:val="%5."/>
      <w:lvlJc w:val="left"/>
      <w:pPr>
        <w:ind w:left="3600" w:hanging="360"/>
      </w:pPr>
    </w:lvl>
    <w:lvl w:ilvl="5" w:tplc="91305B82">
      <w:start w:val="1"/>
      <w:numFmt w:val="lowerRoman"/>
      <w:lvlText w:val="%6."/>
      <w:lvlJc w:val="right"/>
      <w:pPr>
        <w:ind w:left="4320" w:hanging="180"/>
      </w:pPr>
    </w:lvl>
    <w:lvl w:ilvl="6" w:tplc="E5FA69E2">
      <w:start w:val="1"/>
      <w:numFmt w:val="decimal"/>
      <w:lvlText w:val="%7."/>
      <w:lvlJc w:val="left"/>
      <w:pPr>
        <w:ind w:left="5040" w:hanging="360"/>
      </w:pPr>
    </w:lvl>
    <w:lvl w:ilvl="7" w:tplc="60EE217A">
      <w:start w:val="1"/>
      <w:numFmt w:val="lowerLetter"/>
      <w:lvlText w:val="%8."/>
      <w:lvlJc w:val="left"/>
      <w:pPr>
        <w:ind w:left="5760" w:hanging="360"/>
      </w:pPr>
    </w:lvl>
    <w:lvl w:ilvl="8" w:tplc="C7DE02D6">
      <w:start w:val="1"/>
      <w:numFmt w:val="lowerRoman"/>
      <w:lvlText w:val="%9."/>
      <w:lvlJc w:val="right"/>
      <w:pPr>
        <w:ind w:left="6480" w:hanging="180"/>
      </w:pPr>
    </w:lvl>
  </w:abstractNum>
  <w:abstractNum w:abstractNumId="9" w15:restartNumberingAfterBreak="0">
    <w:nsid w:val="3CD03D1D"/>
    <w:multiLevelType w:val="hybridMultilevel"/>
    <w:tmpl w:val="1F86D76A"/>
    <w:lvl w:ilvl="0" w:tplc="A32C7F9E">
      <w:start w:val="1"/>
      <w:numFmt w:val="decimal"/>
      <w:lvlText w:val="%1."/>
      <w:lvlJc w:val="left"/>
      <w:pPr>
        <w:ind w:left="720" w:hanging="360"/>
      </w:pPr>
    </w:lvl>
    <w:lvl w:ilvl="1" w:tplc="67D81F38">
      <w:start w:val="1"/>
      <w:numFmt w:val="lowerLetter"/>
      <w:lvlText w:val="%2."/>
      <w:lvlJc w:val="left"/>
      <w:pPr>
        <w:ind w:left="1440" w:hanging="360"/>
      </w:pPr>
    </w:lvl>
    <w:lvl w:ilvl="2" w:tplc="E6F86C20">
      <w:start w:val="1"/>
      <w:numFmt w:val="lowerRoman"/>
      <w:lvlText w:val="%3."/>
      <w:lvlJc w:val="right"/>
      <w:pPr>
        <w:ind w:left="2160" w:hanging="180"/>
      </w:pPr>
    </w:lvl>
    <w:lvl w:ilvl="3" w:tplc="70DE8286">
      <w:start w:val="1"/>
      <w:numFmt w:val="decimal"/>
      <w:lvlText w:val="%4."/>
      <w:lvlJc w:val="left"/>
      <w:pPr>
        <w:ind w:left="2880" w:hanging="360"/>
      </w:pPr>
    </w:lvl>
    <w:lvl w:ilvl="4" w:tplc="C014364E">
      <w:start w:val="1"/>
      <w:numFmt w:val="lowerLetter"/>
      <w:lvlText w:val="%5."/>
      <w:lvlJc w:val="left"/>
      <w:pPr>
        <w:ind w:left="3600" w:hanging="360"/>
      </w:pPr>
    </w:lvl>
    <w:lvl w:ilvl="5" w:tplc="D8A24AEE">
      <w:start w:val="1"/>
      <w:numFmt w:val="lowerRoman"/>
      <w:lvlText w:val="%6."/>
      <w:lvlJc w:val="right"/>
      <w:pPr>
        <w:ind w:left="4320" w:hanging="180"/>
      </w:pPr>
    </w:lvl>
    <w:lvl w:ilvl="6" w:tplc="F2AC5F9E">
      <w:start w:val="1"/>
      <w:numFmt w:val="decimal"/>
      <w:lvlText w:val="%7."/>
      <w:lvlJc w:val="left"/>
      <w:pPr>
        <w:ind w:left="5040" w:hanging="360"/>
      </w:pPr>
    </w:lvl>
    <w:lvl w:ilvl="7" w:tplc="9D0A2986">
      <w:start w:val="1"/>
      <w:numFmt w:val="lowerLetter"/>
      <w:lvlText w:val="%8."/>
      <w:lvlJc w:val="left"/>
      <w:pPr>
        <w:ind w:left="5760" w:hanging="360"/>
      </w:pPr>
    </w:lvl>
    <w:lvl w:ilvl="8" w:tplc="7F5A148A">
      <w:start w:val="1"/>
      <w:numFmt w:val="lowerRoman"/>
      <w:lvlText w:val="%9."/>
      <w:lvlJc w:val="right"/>
      <w:pPr>
        <w:ind w:left="6480" w:hanging="180"/>
      </w:pPr>
    </w:lvl>
  </w:abstractNum>
  <w:abstractNum w:abstractNumId="10" w15:restartNumberingAfterBreak="0">
    <w:nsid w:val="51354DEB"/>
    <w:multiLevelType w:val="hybridMultilevel"/>
    <w:tmpl w:val="5D18FDDE"/>
    <w:lvl w:ilvl="0" w:tplc="E8AE1B24">
      <w:start w:val="1"/>
      <w:numFmt w:val="decimal"/>
      <w:lvlText w:val="%1."/>
      <w:lvlJc w:val="left"/>
      <w:pPr>
        <w:ind w:left="720" w:hanging="360"/>
      </w:pPr>
    </w:lvl>
    <w:lvl w:ilvl="1" w:tplc="B33C7164">
      <w:start w:val="1"/>
      <w:numFmt w:val="lowerLetter"/>
      <w:lvlText w:val="%2."/>
      <w:lvlJc w:val="left"/>
      <w:pPr>
        <w:ind w:left="1440" w:hanging="360"/>
      </w:pPr>
    </w:lvl>
    <w:lvl w:ilvl="2" w:tplc="81006ECE">
      <w:start w:val="1"/>
      <w:numFmt w:val="lowerRoman"/>
      <w:lvlText w:val="%3."/>
      <w:lvlJc w:val="right"/>
      <w:pPr>
        <w:ind w:left="2160" w:hanging="180"/>
      </w:pPr>
    </w:lvl>
    <w:lvl w:ilvl="3" w:tplc="6C7438D4">
      <w:start w:val="1"/>
      <w:numFmt w:val="decimal"/>
      <w:lvlText w:val="%4."/>
      <w:lvlJc w:val="left"/>
      <w:pPr>
        <w:ind w:left="2880" w:hanging="360"/>
      </w:pPr>
    </w:lvl>
    <w:lvl w:ilvl="4" w:tplc="6480D7D4">
      <w:start w:val="1"/>
      <w:numFmt w:val="lowerLetter"/>
      <w:lvlText w:val="%5."/>
      <w:lvlJc w:val="left"/>
      <w:pPr>
        <w:ind w:left="3600" w:hanging="360"/>
      </w:pPr>
    </w:lvl>
    <w:lvl w:ilvl="5" w:tplc="68423572">
      <w:start w:val="1"/>
      <w:numFmt w:val="lowerRoman"/>
      <w:lvlText w:val="%6."/>
      <w:lvlJc w:val="right"/>
      <w:pPr>
        <w:ind w:left="4320" w:hanging="180"/>
      </w:pPr>
    </w:lvl>
    <w:lvl w:ilvl="6" w:tplc="CF7A387A">
      <w:start w:val="1"/>
      <w:numFmt w:val="decimal"/>
      <w:lvlText w:val="%7."/>
      <w:lvlJc w:val="left"/>
      <w:pPr>
        <w:ind w:left="5040" w:hanging="360"/>
      </w:pPr>
    </w:lvl>
    <w:lvl w:ilvl="7" w:tplc="F8789B76">
      <w:start w:val="1"/>
      <w:numFmt w:val="lowerLetter"/>
      <w:lvlText w:val="%8."/>
      <w:lvlJc w:val="left"/>
      <w:pPr>
        <w:ind w:left="5760" w:hanging="360"/>
      </w:pPr>
    </w:lvl>
    <w:lvl w:ilvl="8" w:tplc="81841C64">
      <w:start w:val="1"/>
      <w:numFmt w:val="lowerRoman"/>
      <w:lvlText w:val="%9."/>
      <w:lvlJc w:val="right"/>
      <w:pPr>
        <w:ind w:left="6480" w:hanging="180"/>
      </w:pPr>
    </w:lvl>
  </w:abstractNum>
  <w:abstractNum w:abstractNumId="11" w15:restartNumberingAfterBreak="0">
    <w:nsid w:val="51EFD2C5"/>
    <w:multiLevelType w:val="hybridMultilevel"/>
    <w:tmpl w:val="1E924C7A"/>
    <w:lvl w:ilvl="0" w:tplc="6E4CC29C">
      <w:start w:val="1"/>
      <w:numFmt w:val="decimal"/>
      <w:lvlText w:val="%1."/>
      <w:lvlJc w:val="left"/>
      <w:pPr>
        <w:ind w:left="720" w:hanging="360"/>
      </w:pPr>
    </w:lvl>
    <w:lvl w:ilvl="1" w:tplc="5D120F90">
      <w:start w:val="1"/>
      <w:numFmt w:val="lowerLetter"/>
      <w:lvlText w:val="%2."/>
      <w:lvlJc w:val="left"/>
      <w:pPr>
        <w:ind w:left="1440" w:hanging="360"/>
      </w:pPr>
    </w:lvl>
    <w:lvl w:ilvl="2" w:tplc="8E5492B6">
      <w:start w:val="1"/>
      <w:numFmt w:val="lowerRoman"/>
      <w:lvlText w:val="%3."/>
      <w:lvlJc w:val="right"/>
      <w:pPr>
        <w:ind w:left="2160" w:hanging="180"/>
      </w:pPr>
    </w:lvl>
    <w:lvl w:ilvl="3" w:tplc="C178C5D0">
      <w:start w:val="1"/>
      <w:numFmt w:val="decimal"/>
      <w:lvlText w:val="%4."/>
      <w:lvlJc w:val="left"/>
      <w:pPr>
        <w:ind w:left="2880" w:hanging="360"/>
      </w:pPr>
    </w:lvl>
    <w:lvl w:ilvl="4" w:tplc="47CCC8B0">
      <w:start w:val="1"/>
      <w:numFmt w:val="lowerLetter"/>
      <w:lvlText w:val="%5."/>
      <w:lvlJc w:val="left"/>
      <w:pPr>
        <w:ind w:left="3600" w:hanging="360"/>
      </w:pPr>
    </w:lvl>
    <w:lvl w:ilvl="5" w:tplc="937C9240">
      <w:start w:val="1"/>
      <w:numFmt w:val="lowerRoman"/>
      <w:lvlText w:val="%6."/>
      <w:lvlJc w:val="right"/>
      <w:pPr>
        <w:ind w:left="4320" w:hanging="180"/>
      </w:pPr>
    </w:lvl>
    <w:lvl w:ilvl="6" w:tplc="19BA4974">
      <w:start w:val="1"/>
      <w:numFmt w:val="decimal"/>
      <w:lvlText w:val="%7."/>
      <w:lvlJc w:val="left"/>
      <w:pPr>
        <w:ind w:left="5040" w:hanging="360"/>
      </w:pPr>
    </w:lvl>
    <w:lvl w:ilvl="7" w:tplc="7C4E1CD8">
      <w:start w:val="1"/>
      <w:numFmt w:val="lowerLetter"/>
      <w:lvlText w:val="%8."/>
      <w:lvlJc w:val="left"/>
      <w:pPr>
        <w:ind w:left="5760" w:hanging="360"/>
      </w:pPr>
    </w:lvl>
    <w:lvl w:ilvl="8" w:tplc="0388E0AA">
      <w:start w:val="1"/>
      <w:numFmt w:val="lowerRoman"/>
      <w:lvlText w:val="%9."/>
      <w:lvlJc w:val="right"/>
      <w:pPr>
        <w:ind w:left="6480" w:hanging="180"/>
      </w:pPr>
    </w:lvl>
  </w:abstractNum>
  <w:abstractNum w:abstractNumId="12" w15:restartNumberingAfterBreak="0">
    <w:nsid w:val="5A8C2206"/>
    <w:multiLevelType w:val="hybridMultilevel"/>
    <w:tmpl w:val="F9BC3E52"/>
    <w:lvl w:ilvl="0" w:tplc="6180F162">
      <w:start w:val="1"/>
      <w:numFmt w:val="decimal"/>
      <w:lvlText w:val="%1."/>
      <w:lvlJc w:val="left"/>
      <w:pPr>
        <w:ind w:left="720" w:hanging="360"/>
      </w:pPr>
    </w:lvl>
    <w:lvl w:ilvl="1" w:tplc="C30631F2">
      <w:start w:val="1"/>
      <w:numFmt w:val="lowerLetter"/>
      <w:lvlText w:val="%2."/>
      <w:lvlJc w:val="left"/>
      <w:pPr>
        <w:ind w:left="1440" w:hanging="360"/>
      </w:pPr>
    </w:lvl>
    <w:lvl w:ilvl="2" w:tplc="59DCA7E2">
      <w:start w:val="1"/>
      <w:numFmt w:val="lowerRoman"/>
      <w:lvlText w:val="%3."/>
      <w:lvlJc w:val="right"/>
      <w:pPr>
        <w:ind w:left="2160" w:hanging="180"/>
      </w:pPr>
    </w:lvl>
    <w:lvl w:ilvl="3" w:tplc="FD2E619C">
      <w:start w:val="1"/>
      <w:numFmt w:val="decimal"/>
      <w:lvlText w:val="%4."/>
      <w:lvlJc w:val="left"/>
      <w:pPr>
        <w:ind w:left="2880" w:hanging="360"/>
      </w:pPr>
    </w:lvl>
    <w:lvl w:ilvl="4" w:tplc="24DC678E">
      <w:start w:val="1"/>
      <w:numFmt w:val="lowerLetter"/>
      <w:lvlText w:val="%5."/>
      <w:lvlJc w:val="left"/>
      <w:pPr>
        <w:ind w:left="3600" w:hanging="360"/>
      </w:pPr>
    </w:lvl>
    <w:lvl w:ilvl="5" w:tplc="41EA3498">
      <w:start w:val="1"/>
      <w:numFmt w:val="lowerRoman"/>
      <w:lvlText w:val="%6."/>
      <w:lvlJc w:val="right"/>
      <w:pPr>
        <w:ind w:left="4320" w:hanging="180"/>
      </w:pPr>
    </w:lvl>
    <w:lvl w:ilvl="6" w:tplc="049896F4">
      <w:start w:val="1"/>
      <w:numFmt w:val="decimal"/>
      <w:lvlText w:val="%7."/>
      <w:lvlJc w:val="left"/>
      <w:pPr>
        <w:ind w:left="5040" w:hanging="360"/>
      </w:pPr>
    </w:lvl>
    <w:lvl w:ilvl="7" w:tplc="8996A14C">
      <w:start w:val="1"/>
      <w:numFmt w:val="lowerLetter"/>
      <w:lvlText w:val="%8."/>
      <w:lvlJc w:val="left"/>
      <w:pPr>
        <w:ind w:left="5760" w:hanging="360"/>
      </w:pPr>
    </w:lvl>
    <w:lvl w:ilvl="8" w:tplc="635643D8">
      <w:start w:val="1"/>
      <w:numFmt w:val="lowerRoman"/>
      <w:lvlText w:val="%9."/>
      <w:lvlJc w:val="right"/>
      <w:pPr>
        <w:ind w:left="6480" w:hanging="180"/>
      </w:pPr>
    </w:lvl>
  </w:abstractNum>
  <w:abstractNum w:abstractNumId="13" w15:restartNumberingAfterBreak="0">
    <w:nsid w:val="77801FFD"/>
    <w:multiLevelType w:val="hybridMultilevel"/>
    <w:tmpl w:val="9E0E2A1C"/>
    <w:lvl w:ilvl="0" w:tplc="EC04E2DA">
      <w:start w:val="1"/>
      <w:numFmt w:val="decimal"/>
      <w:lvlText w:val="%1."/>
      <w:lvlJc w:val="left"/>
      <w:pPr>
        <w:ind w:left="720" w:hanging="360"/>
      </w:pPr>
    </w:lvl>
    <w:lvl w:ilvl="1" w:tplc="5CFCBD66">
      <w:start w:val="1"/>
      <w:numFmt w:val="lowerLetter"/>
      <w:lvlText w:val="%2."/>
      <w:lvlJc w:val="left"/>
      <w:pPr>
        <w:ind w:left="1440" w:hanging="360"/>
      </w:pPr>
    </w:lvl>
    <w:lvl w:ilvl="2" w:tplc="8B664AF0">
      <w:start w:val="1"/>
      <w:numFmt w:val="lowerRoman"/>
      <w:lvlText w:val="%3."/>
      <w:lvlJc w:val="right"/>
      <w:pPr>
        <w:ind w:left="2160" w:hanging="180"/>
      </w:pPr>
    </w:lvl>
    <w:lvl w:ilvl="3" w:tplc="6ABC4246">
      <w:start w:val="1"/>
      <w:numFmt w:val="decimal"/>
      <w:lvlText w:val="%4."/>
      <w:lvlJc w:val="left"/>
      <w:pPr>
        <w:ind w:left="2880" w:hanging="360"/>
      </w:pPr>
    </w:lvl>
    <w:lvl w:ilvl="4" w:tplc="01FC88C4">
      <w:start w:val="1"/>
      <w:numFmt w:val="lowerLetter"/>
      <w:lvlText w:val="%5."/>
      <w:lvlJc w:val="left"/>
      <w:pPr>
        <w:ind w:left="3600" w:hanging="360"/>
      </w:pPr>
    </w:lvl>
    <w:lvl w:ilvl="5" w:tplc="2B6AE2FE">
      <w:start w:val="1"/>
      <w:numFmt w:val="lowerRoman"/>
      <w:lvlText w:val="%6."/>
      <w:lvlJc w:val="right"/>
      <w:pPr>
        <w:ind w:left="4320" w:hanging="180"/>
      </w:pPr>
    </w:lvl>
    <w:lvl w:ilvl="6" w:tplc="E544E812">
      <w:start w:val="1"/>
      <w:numFmt w:val="decimal"/>
      <w:lvlText w:val="%7."/>
      <w:lvlJc w:val="left"/>
      <w:pPr>
        <w:ind w:left="5040" w:hanging="360"/>
      </w:pPr>
    </w:lvl>
    <w:lvl w:ilvl="7" w:tplc="AD762B9E">
      <w:start w:val="1"/>
      <w:numFmt w:val="lowerLetter"/>
      <w:lvlText w:val="%8."/>
      <w:lvlJc w:val="left"/>
      <w:pPr>
        <w:ind w:left="5760" w:hanging="360"/>
      </w:pPr>
    </w:lvl>
    <w:lvl w:ilvl="8" w:tplc="C9067BF6">
      <w:start w:val="1"/>
      <w:numFmt w:val="lowerRoman"/>
      <w:lvlText w:val="%9."/>
      <w:lvlJc w:val="right"/>
      <w:pPr>
        <w:ind w:left="6480" w:hanging="180"/>
      </w:pPr>
    </w:lvl>
  </w:abstractNum>
  <w:abstractNum w:abstractNumId="14" w15:restartNumberingAfterBreak="0">
    <w:nsid w:val="7D43D922"/>
    <w:multiLevelType w:val="hybridMultilevel"/>
    <w:tmpl w:val="19CAA542"/>
    <w:lvl w:ilvl="0" w:tplc="83946C72">
      <w:start w:val="1"/>
      <w:numFmt w:val="decimal"/>
      <w:lvlText w:val="%1."/>
      <w:lvlJc w:val="left"/>
      <w:pPr>
        <w:ind w:left="720" w:hanging="360"/>
      </w:pPr>
    </w:lvl>
    <w:lvl w:ilvl="1" w:tplc="CEF06220">
      <w:start w:val="1"/>
      <w:numFmt w:val="lowerLetter"/>
      <w:lvlText w:val="%2."/>
      <w:lvlJc w:val="left"/>
      <w:pPr>
        <w:ind w:left="1440" w:hanging="360"/>
      </w:pPr>
    </w:lvl>
    <w:lvl w:ilvl="2" w:tplc="D9807C0A">
      <w:start w:val="1"/>
      <w:numFmt w:val="lowerRoman"/>
      <w:lvlText w:val="%3."/>
      <w:lvlJc w:val="right"/>
      <w:pPr>
        <w:ind w:left="2160" w:hanging="180"/>
      </w:pPr>
    </w:lvl>
    <w:lvl w:ilvl="3" w:tplc="FEF82296">
      <w:start w:val="1"/>
      <w:numFmt w:val="decimal"/>
      <w:lvlText w:val="%4."/>
      <w:lvlJc w:val="left"/>
      <w:pPr>
        <w:ind w:left="2880" w:hanging="360"/>
      </w:pPr>
    </w:lvl>
    <w:lvl w:ilvl="4" w:tplc="1AF69E2E">
      <w:start w:val="1"/>
      <w:numFmt w:val="lowerLetter"/>
      <w:lvlText w:val="%5."/>
      <w:lvlJc w:val="left"/>
      <w:pPr>
        <w:ind w:left="3600" w:hanging="360"/>
      </w:pPr>
    </w:lvl>
    <w:lvl w:ilvl="5" w:tplc="FB4C4800">
      <w:start w:val="1"/>
      <w:numFmt w:val="lowerRoman"/>
      <w:lvlText w:val="%6."/>
      <w:lvlJc w:val="right"/>
      <w:pPr>
        <w:ind w:left="4320" w:hanging="180"/>
      </w:pPr>
    </w:lvl>
    <w:lvl w:ilvl="6" w:tplc="9EE8CAE2">
      <w:start w:val="1"/>
      <w:numFmt w:val="decimal"/>
      <w:lvlText w:val="%7."/>
      <w:lvlJc w:val="left"/>
      <w:pPr>
        <w:ind w:left="5040" w:hanging="360"/>
      </w:pPr>
    </w:lvl>
    <w:lvl w:ilvl="7" w:tplc="C980E406">
      <w:start w:val="1"/>
      <w:numFmt w:val="lowerLetter"/>
      <w:lvlText w:val="%8."/>
      <w:lvlJc w:val="left"/>
      <w:pPr>
        <w:ind w:left="5760" w:hanging="360"/>
      </w:pPr>
    </w:lvl>
    <w:lvl w:ilvl="8" w:tplc="409630A0">
      <w:start w:val="1"/>
      <w:numFmt w:val="lowerRoman"/>
      <w:lvlText w:val="%9."/>
      <w:lvlJc w:val="right"/>
      <w:pPr>
        <w:ind w:left="6480" w:hanging="180"/>
      </w:pPr>
    </w:lvl>
  </w:abstractNum>
  <w:num w:numId="1">
    <w:abstractNumId w:val="1"/>
  </w:num>
  <w:num w:numId="2">
    <w:abstractNumId w:val="4"/>
  </w:num>
  <w:num w:numId="3">
    <w:abstractNumId w:val="5"/>
  </w:num>
  <w:num w:numId="4">
    <w:abstractNumId w:val="9"/>
  </w:num>
  <w:num w:numId="5">
    <w:abstractNumId w:val="10"/>
  </w:num>
  <w:num w:numId="6">
    <w:abstractNumId w:val="2"/>
  </w:num>
  <w:num w:numId="7">
    <w:abstractNumId w:val="8"/>
  </w:num>
  <w:num w:numId="8">
    <w:abstractNumId w:val="11"/>
  </w:num>
  <w:num w:numId="9">
    <w:abstractNumId w:val="13"/>
  </w:num>
  <w:num w:numId="10">
    <w:abstractNumId w:val="14"/>
  </w:num>
  <w:num w:numId="11">
    <w:abstractNumId w:val="12"/>
  </w:num>
  <w:num w:numId="12">
    <w:abstractNumId w:val="7"/>
  </w:num>
  <w:num w:numId="13">
    <w:abstractNumId w:val="6"/>
  </w:num>
  <w:num w:numId="14">
    <w:abstractNumId w:val="0"/>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23A1"/>
    <w:rsid w:val="0000029D"/>
    <w:rsid w:val="00000D42"/>
    <w:rsid w:val="00000D98"/>
    <w:rsid w:val="00001DA2"/>
    <w:rsid w:val="00007A3E"/>
    <w:rsid w:val="0001126D"/>
    <w:rsid w:val="000116BA"/>
    <w:rsid w:val="00013951"/>
    <w:rsid w:val="0001465F"/>
    <w:rsid w:val="00021E85"/>
    <w:rsid w:val="0002349E"/>
    <w:rsid w:val="00024AEC"/>
    <w:rsid w:val="000259CD"/>
    <w:rsid w:val="00027C3B"/>
    <w:rsid w:val="00030FFC"/>
    <w:rsid w:val="00034932"/>
    <w:rsid w:val="00035800"/>
    <w:rsid w:val="00036A2F"/>
    <w:rsid w:val="00037AF2"/>
    <w:rsid w:val="00042467"/>
    <w:rsid w:val="000429E1"/>
    <w:rsid w:val="00044E66"/>
    <w:rsid w:val="00045899"/>
    <w:rsid w:val="00047969"/>
    <w:rsid w:val="00050A73"/>
    <w:rsid w:val="00051949"/>
    <w:rsid w:val="00051FC4"/>
    <w:rsid w:val="00052A9E"/>
    <w:rsid w:val="00062D1D"/>
    <w:rsid w:val="000640F4"/>
    <w:rsid w:val="00064C43"/>
    <w:rsid w:val="00065A39"/>
    <w:rsid w:val="00066746"/>
    <w:rsid w:val="00067935"/>
    <w:rsid w:val="000714B6"/>
    <w:rsid w:val="000732D7"/>
    <w:rsid w:val="000752AD"/>
    <w:rsid w:val="000813C0"/>
    <w:rsid w:val="000814D8"/>
    <w:rsid w:val="000841FE"/>
    <w:rsid w:val="00086D1D"/>
    <w:rsid w:val="0008714F"/>
    <w:rsid w:val="00090050"/>
    <w:rsid w:val="000930E8"/>
    <w:rsid w:val="00094084"/>
    <w:rsid w:val="000A5532"/>
    <w:rsid w:val="000A5549"/>
    <w:rsid w:val="000A6726"/>
    <w:rsid w:val="000B2D82"/>
    <w:rsid w:val="000B5582"/>
    <w:rsid w:val="000B7330"/>
    <w:rsid w:val="000C0929"/>
    <w:rsid w:val="000C232A"/>
    <w:rsid w:val="000C4B08"/>
    <w:rsid w:val="000C662B"/>
    <w:rsid w:val="000D107B"/>
    <w:rsid w:val="000D3503"/>
    <w:rsid w:val="000D395A"/>
    <w:rsid w:val="000D51FD"/>
    <w:rsid w:val="000D76CF"/>
    <w:rsid w:val="000E18AE"/>
    <w:rsid w:val="000E1903"/>
    <w:rsid w:val="000E2453"/>
    <w:rsid w:val="000E48EA"/>
    <w:rsid w:val="000E4950"/>
    <w:rsid w:val="000E5A03"/>
    <w:rsid w:val="000E65DF"/>
    <w:rsid w:val="000E7C29"/>
    <w:rsid w:val="000F1B57"/>
    <w:rsid w:val="000F2BC2"/>
    <w:rsid w:val="00100660"/>
    <w:rsid w:val="0010109F"/>
    <w:rsid w:val="00102ACE"/>
    <w:rsid w:val="00111116"/>
    <w:rsid w:val="00111542"/>
    <w:rsid w:val="00111AD4"/>
    <w:rsid w:val="001156D6"/>
    <w:rsid w:val="001157E8"/>
    <w:rsid w:val="00120A55"/>
    <w:rsid w:val="00122A9B"/>
    <w:rsid w:val="00123F94"/>
    <w:rsid w:val="0012581F"/>
    <w:rsid w:val="001258DC"/>
    <w:rsid w:val="001262F5"/>
    <w:rsid w:val="00131380"/>
    <w:rsid w:val="00133B19"/>
    <w:rsid w:val="00137DF3"/>
    <w:rsid w:val="0014053D"/>
    <w:rsid w:val="00142109"/>
    <w:rsid w:val="00144555"/>
    <w:rsid w:val="00144904"/>
    <w:rsid w:val="00144F65"/>
    <w:rsid w:val="001460A6"/>
    <w:rsid w:val="001475EF"/>
    <w:rsid w:val="001500D1"/>
    <w:rsid w:val="00154F41"/>
    <w:rsid w:val="00156654"/>
    <w:rsid w:val="001628C8"/>
    <w:rsid w:val="001632E0"/>
    <w:rsid w:val="00163393"/>
    <w:rsid w:val="00164CD3"/>
    <w:rsid w:val="00165FF6"/>
    <w:rsid w:val="001814CD"/>
    <w:rsid w:val="00181CC7"/>
    <w:rsid w:val="00182003"/>
    <w:rsid w:val="00185D18"/>
    <w:rsid w:val="0019034A"/>
    <w:rsid w:val="00192EC5"/>
    <w:rsid w:val="00193992"/>
    <w:rsid w:val="00193CE6"/>
    <w:rsid w:val="00195A44"/>
    <w:rsid w:val="001A03A8"/>
    <w:rsid w:val="001A2CE2"/>
    <w:rsid w:val="001A6962"/>
    <w:rsid w:val="001A69DB"/>
    <w:rsid w:val="001B3FFD"/>
    <w:rsid w:val="001B6176"/>
    <w:rsid w:val="001B6185"/>
    <w:rsid w:val="001B722C"/>
    <w:rsid w:val="001B76DF"/>
    <w:rsid w:val="001B7F97"/>
    <w:rsid w:val="001C2A46"/>
    <w:rsid w:val="001C3CE6"/>
    <w:rsid w:val="001C5082"/>
    <w:rsid w:val="001C6D34"/>
    <w:rsid w:val="001C7C22"/>
    <w:rsid w:val="001E07B9"/>
    <w:rsid w:val="001E0B39"/>
    <w:rsid w:val="001E3759"/>
    <w:rsid w:val="001E39A2"/>
    <w:rsid w:val="001E7BE9"/>
    <w:rsid w:val="001F2BB1"/>
    <w:rsid w:val="001F3357"/>
    <w:rsid w:val="001F5ED9"/>
    <w:rsid w:val="002008F9"/>
    <w:rsid w:val="00200CE6"/>
    <w:rsid w:val="0020180E"/>
    <w:rsid w:val="0020521D"/>
    <w:rsid w:val="00206A87"/>
    <w:rsid w:val="00206C4A"/>
    <w:rsid w:val="0021316D"/>
    <w:rsid w:val="0021364A"/>
    <w:rsid w:val="00213DEE"/>
    <w:rsid w:val="00216D7A"/>
    <w:rsid w:val="00221179"/>
    <w:rsid w:val="0022331E"/>
    <w:rsid w:val="00225972"/>
    <w:rsid w:val="00226476"/>
    <w:rsid w:val="002274B3"/>
    <w:rsid w:val="00227508"/>
    <w:rsid w:val="0023214A"/>
    <w:rsid w:val="002354E8"/>
    <w:rsid w:val="002379BA"/>
    <w:rsid w:val="00237AD9"/>
    <w:rsid w:val="002418B9"/>
    <w:rsid w:val="002429EB"/>
    <w:rsid w:val="00244AD7"/>
    <w:rsid w:val="002473C4"/>
    <w:rsid w:val="00252A0D"/>
    <w:rsid w:val="00253DF2"/>
    <w:rsid w:val="00254E85"/>
    <w:rsid w:val="00256E2C"/>
    <w:rsid w:val="00257344"/>
    <w:rsid w:val="00260355"/>
    <w:rsid w:val="002613B0"/>
    <w:rsid w:val="00261925"/>
    <w:rsid w:val="002628B8"/>
    <w:rsid w:val="00262EDC"/>
    <w:rsid w:val="0027364A"/>
    <w:rsid w:val="00273B7C"/>
    <w:rsid w:val="00274AA2"/>
    <w:rsid w:val="00276C6A"/>
    <w:rsid w:val="00280644"/>
    <w:rsid w:val="00281018"/>
    <w:rsid w:val="0028366D"/>
    <w:rsid w:val="002836A6"/>
    <w:rsid w:val="002862AE"/>
    <w:rsid w:val="00291B44"/>
    <w:rsid w:val="00292626"/>
    <w:rsid w:val="002934F3"/>
    <w:rsid w:val="0029767C"/>
    <w:rsid w:val="00297F95"/>
    <w:rsid w:val="002A5C11"/>
    <w:rsid w:val="002A5E66"/>
    <w:rsid w:val="002B31E9"/>
    <w:rsid w:val="002B452E"/>
    <w:rsid w:val="002B5608"/>
    <w:rsid w:val="002B70D5"/>
    <w:rsid w:val="002C0F2D"/>
    <w:rsid w:val="002C1F88"/>
    <w:rsid w:val="002C22FB"/>
    <w:rsid w:val="002C545C"/>
    <w:rsid w:val="002C5C1D"/>
    <w:rsid w:val="002C60ED"/>
    <w:rsid w:val="002C6523"/>
    <w:rsid w:val="002D026B"/>
    <w:rsid w:val="002D0336"/>
    <w:rsid w:val="002D3C2A"/>
    <w:rsid w:val="002D51E9"/>
    <w:rsid w:val="002D5A00"/>
    <w:rsid w:val="002D5C3A"/>
    <w:rsid w:val="002D66B7"/>
    <w:rsid w:val="002D6CE2"/>
    <w:rsid w:val="002D6F56"/>
    <w:rsid w:val="002D765E"/>
    <w:rsid w:val="002E1726"/>
    <w:rsid w:val="002E17A9"/>
    <w:rsid w:val="002E2DE4"/>
    <w:rsid w:val="002E49EB"/>
    <w:rsid w:val="002E72DB"/>
    <w:rsid w:val="002E74AF"/>
    <w:rsid w:val="002E7E3D"/>
    <w:rsid w:val="002F4CBA"/>
    <w:rsid w:val="002F6BAF"/>
    <w:rsid w:val="002F7315"/>
    <w:rsid w:val="003003BE"/>
    <w:rsid w:val="00300866"/>
    <w:rsid w:val="00305A96"/>
    <w:rsid w:val="0031028E"/>
    <w:rsid w:val="003108BE"/>
    <w:rsid w:val="00311C70"/>
    <w:rsid w:val="003173E9"/>
    <w:rsid w:val="00323E90"/>
    <w:rsid w:val="00325D58"/>
    <w:rsid w:val="00330CFF"/>
    <w:rsid w:val="003331A1"/>
    <w:rsid w:val="003400C0"/>
    <w:rsid w:val="003421EE"/>
    <w:rsid w:val="003473EF"/>
    <w:rsid w:val="003623F9"/>
    <w:rsid w:val="00362431"/>
    <w:rsid w:val="003635E1"/>
    <w:rsid w:val="003676C1"/>
    <w:rsid w:val="0037104D"/>
    <w:rsid w:val="00376F60"/>
    <w:rsid w:val="00377EFA"/>
    <w:rsid w:val="00385D25"/>
    <w:rsid w:val="00390161"/>
    <w:rsid w:val="00390DA5"/>
    <w:rsid w:val="00393078"/>
    <w:rsid w:val="00393BAA"/>
    <w:rsid w:val="00395756"/>
    <w:rsid w:val="003A0624"/>
    <w:rsid w:val="003B1A44"/>
    <w:rsid w:val="003B6026"/>
    <w:rsid w:val="003B67FE"/>
    <w:rsid w:val="003C0977"/>
    <w:rsid w:val="003C4473"/>
    <w:rsid w:val="003C4611"/>
    <w:rsid w:val="003D139F"/>
    <w:rsid w:val="003D167A"/>
    <w:rsid w:val="003D23FC"/>
    <w:rsid w:val="003D3B86"/>
    <w:rsid w:val="003D5CC2"/>
    <w:rsid w:val="003D71C3"/>
    <w:rsid w:val="003E0F43"/>
    <w:rsid w:val="003E28D4"/>
    <w:rsid w:val="003E3C73"/>
    <w:rsid w:val="003E790B"/>
    <w:rsid w:val="003F7298"/>
    <w:rsid w:val="004016C8"/>
    <w:rsid w:val="00403FF5"/>
    <w:rsid w:val="00404431"/>
    <w:rsid w:val="004049D3"/>
    <w:rsid w:val="004066C8"/>
    <w:rsid w:val="0041241D"/>
    <w:rsid w:val="00412996"/>
    <w:rsid w:val="00413930"/>
    <w:rsid w:val="00413E91"/>
    <w:rsid w:val="004158E2"/>
    <w:rsid w:val="00415BF5"/>
    <w:rsid w:val="004167F8"/>
    <w:rsid w:val="00417358"/>
    <w:rsid w:val="00417477"/>
    <w:rsid w:val="00417987"/>
    <w:rsid w:val="004232E3"/>
    <w:rsid w:val="00427811"/>
    <w:rsid w:val="00427D84"/>
    <w:rsid w:val="00431346"/>
    <w:rsid w:val="004320D5"/>
    <w:rsid w:val="00433274"/>
    <w:rsid w:val="004335EB"/>
    <w:rsid w:val="00433AAA"/>
    <w:rsid w:val="00435B76"/>
    <w:rsid w:val="00435EDD"/>
    <w:rsid w:val="004424D2"/>
    <w:rsid w:val="00442EEF"/>
    <w:rsid w:val="004435A6"/>
    <w:rsid w:val="004445DC"/>
    <w:rsid w:val="00446BDE"/>
    <w:rsid w:val="00451226"/>
    <w:rsid w:val="0045414F"/>
    <w:rsid w:val="004618AD"/>
    <w:rsid w:val="0046278B"/>
    <w:rsid w:val="00466064"/>
    <w:rsid w:val="004663B6"/>
    <w:rsid w:val="00466D1F"/>
    <w:rsid w:val="00467206"/>
    <w:rsid w:val="004726E4"/>
    <w:rsid w:val="00475D0B"/>
    <w:rsid w:val="0047690E"/>
    <w:rsid w:val="0048269C"/>
    <w:rsid w:val="00483EA3"/>
    <w:rsid w:val="004847B5"/>
    <w:rsid w:val="00485773"/>
    <w:rsid w:val="00485E5A"/>
    <w:rsid w:val="00490476"/>
    <w:rsid w:val="00490A49"/>
    <w:rsid w:val="0049152F"/>
    <w:rsid w:val="00491F3E"/>
    <w:rsid w:val="00492D99"/>
    <w:rsid w:val="00493065"/>
    <w:rsid w:val="00496919"/>
    <w:rsid w:val="00496A0B"/>
    <w:rsid w:val="00496E66"/>
    <w:rsid w:val="004A1F6F"/>
    <w:rsid w:val="004A230A"/>
    <w:rsid w:val="004A35D1"/>
    <w:rsid w:val="004A7509"/>
    <w:rsid w:val="004B2128"/>
    <w:rsid w:val="004B27B1"/>
    <w:rsid w:val="004C0F20"/>
    <w:rsid w:val="004C28F8"/>
    <w:rsid w:val="004C339D"/>
    <w:rsid w:val="004C352F"/>
    <w:rsid w:val="004C39F1"/>
    <w:rsid w:val="004C7130"/>
    <w:rsid w:val="004C77C3"/>
    <w:rsid w:val="004C7C43"/>
    <w:rsid w:val="004D1465"/>
    <w:rsid w:val="004D1F64"/>
    <w:rsid w:val="004D28AF"/>
    <w:rsid w:val="004D3A34"/>
    <w:rsid w:val="004E15EC"/>
    <w:rsid w:val="004E26E7"/>
    <w:rsid w:val="004E452B"/>
    <w:rsid w:val="004F1526"/>
    <w:rsid w:val="004F3679"/>
    <w:rsid w:val="004F55EC"/>
    <w:rsid w:val="00504CFD"/>
    <w:rsid w:val="00505B2C"/>
    <w:rsid w:val="00507951"/>
    <w:rsid w:val="00510B32"/>
    <w:rsid w:val="0051378B"/>
    <w:rsid w:val="00514911"/>
    <w:rsid w:val="005217DD"/>
    <w:rsid w:val="00526887"/>
    <w:rsid w:val="00526B55"/>
    <w:rsid w:val="00526C97"/>
    <w:rsid w:val="0053118D"/>
    <w:rsid w:val="00531DDE"/>
    <w:rsid w:val="00531FF6"/>
    <w:rsid w:val="00532481"/>
    <w:rsid w:val="00533856"/>
    <w:rsid w:val="005402DB"/>
    <w:rsid w:val="00540B75"/>
    <w:rsid w:val="00541A9E"/>
    <w:rsid w:val="005439AE"/>
    <w:rsid w:val="005501D9"/>
    <w:rsid w:val="00550385"/>
    <w:rsid w:val="005521CC"/>
    <w:rsid w:val="00552B0E"/>
    <w:rsid w:val="0055550A"/>
    <w:rsid w:val="00556522"/>
    <w:rsid w:val="00562C29"/>
    <w:rsid w:val="0056324A"/>
    <w:rsid w:val="00563C21"/>
    <w:rsid w:val="005644E5"/>
    <w:rsid w:val="00564EF9"/>
    <w:rsid w:val="0056605C"/>
    <w:rsid w:val="0056613B"/>
    <w:rsid w:val="00566F68"/>
    <w:rsid w:val="00567DBA"/>
    <w:rsid w:val="005738B7"/>
    <w:rsid w:val="00573C84"/>
    <w:rsid w:val="00574739"/>
    <w:rsid w:val="0057502C"/>
    <w:rsid w:val="0057737B"/>
    <w:rsid w:val="00577FDD"/>
    <w:rsid w:val="00580999"/>
    <w:rsid w:val="005812CE"/>
    <w:rsid w:val="00582978"/>
    <w:rsid w:val="00583C64"/>
    <w:rsid w:val="005852B9"/>
    <w:rsid w:val="00585399"/>
    <w:rsid w:val="00585F5F"/>
    <w:rsid w:val="005953AE"/>
    <w:rsid w:val="00596B1C"/>
    <w:rsid w:val="005A31C4"/>
    <w:rsid w:val="005A5881"/>
    <w:rsid w:val="005A744C"/>
    <w:rsid w:val="005B1961"/>
    <w:rsid w:val="005B4229"/>
    <w:rsid w:val="005B487D"/>
    <w:rsid w:val="005B6A7E"/>
    <w:rsid w:val="005B7108"/>
    <w:rsid w:val="005C10A5"/>
    <w:rsid w:val="005C38ED"/>
    <w:rsid w:val="005C666F"/>
    <w:rsid w:val="005C72D9"/>
    <w:rsid w:val="005D4BD5"/>
    <w:rsid w:val="005D7F32"/>
    <w:rsid w:val="005E142A"/>
    <w:rsid w:val="005E2001"/>
    <w:rsid w:val="005E2CC4"/>
    <w:rsid w:val="005E4281"/>
    <w:rsid w:val="005E47C8"/>
    <w:rsid w:val="005E7439"/>
    <w:rsid w:val="005F1CE8"/>
    <w:rsid w:val="005F60F0"/>
    <w:rsid w:val="005F6B71"/>
    <w:rsid w:val="005F7A5D"/>
    <w:rsid w:val="005F7CAF"/>
    <w:rsid w:val="00600A5E"/>
    <w:rsid w:val="00600FCA"/>
    <w:rsid w:val="00601388"/>
    <w:rsid w:val="006135D4"/>
    <w:rsid w:val="0061489E"/>
    <w:rsid w:val="0061617A"/>
    <w:rsid w:val="006201CF"/>
    <w:rsid w:val="006222F5"/>
    <w:rsid w:val="00622F9B"/>
    <w:rsid w:val="0062332E"/>
    <w:rsid w:val="00625C64"/>
    <w:rsid w:val="00627576"/>
    <w:rsid w:val="006277C0"/>
    <w:rsid w:val="00627FD1"/>
    <w:rsid w:val="0063279A"/>
    <w:rsid w:val="00632D4B"/>
    <w:rsid w:val="00633397"/>
    <w:rsid w:val="00634224"/>
    <w:rsid w:val="00634583"/>
    <w:rsid w:val="0063482C"/>
    <w:rsid w:val="006443BD"/>
    <w:rsid w:val="00644A85"/>
    <w:rsid w:val="00654DCB"/>
    <w:rsid w:val="00654DFB"/>
    <w:rsid w:val="00655011"/>
    <w:rsid w:val="0066014F"/>
    <w:rsid w:val="00661AEB"/>
    <w:rsid w:val="006627AE"/>
    <w:rsid w:val="00666B15"/>
    <w:rsid w:val="00666BD4"/>
    <w:rsid w:val="006676D2"/>
    <w:rsid w:val="00670964"/>
    <w:rsid w:val="006746BB"/>
    <w:rsid w:val="00674CD1"/>
    <w:rsid w:val="0067505F"/>
    <w:rsid w:val="0067694D"/>
    <w:rsid w:val="00676C63"/>
    <w:rsid w:val="00676EB8"/>
    <w:rsid w:val="00677A93"/>
    <w:rsid w:val="00686555"/>
    <w:rsid w:val="0068655B"/>
    <w:rsid w:val="00687479"/>
    <w:rsid w:val="00690088"/>
    <w:rsid w:val="006904BD"/>
    <w:rsid w:val="00696031"/>
    <w:rsid w:val="00696950"/>
    <w:rsid w:val="0069772A"/>
    <w:rsid w:val="006A36F6"/>
    <w:rsid w:val="006A3804"/>
    <w:rsid w:val="006A6484"/>
    <w:rsid w:val="006B099E"/>
    <w:rsid w:val="006B2903"/>
    <w:rsid w:val="006B6FA2"/>
    <w:rsid w:val="006C0806"/>
    <w:rsid w:val="006C17FF"/>
    <w:rsid w:val="006D0963"/>
    <w:rsid w:val="006D0E21"/>
    <w:rsid w:val="006D20B5"/>
    <w:rsid w:val="006D294D"/>
    <w:rsid w:val="006D4C63"/>
    <w:rsid w:val="006D51C4"/>
    <w:rsid w:val="006D5BF4"/>
    <w:rsid w:val="006E3F2A"/>
    <w:rsid w:val="006E684C"/>
    <w:rsid w:val="006F18ED"/>
    <w:rsid w:val="006F22C6"/>
    <w:rsid w:val="00700080"/>
    <w:rsid w:val="00701467"/>
    <w:rsid w:val="0070155D"/>
    <w:rsid w:val="007029C4"/>
    <w:rsid w:val="00706B60"/>
    <w:rsid w:val="00715523"/>
    <w:rsid w:val="00721425"/>
    <w:rsid w:val="00721AFF"/>
    <w:rsid w:val="00722F18"/>
    <w:rsid w:val="00733F5D"/>
    <w:rsid w:val="00736644"/>
    <w:rsid w:val="00740033"/>
    <w:rsid w:val="00741693"/>
    <w:rsid w:val="0074341B"/>
    <w:rsid w:val="00743BEC"/>
    <w:rsid w:val="007469F1"/>
    <w:rsid w:val="00746B61"/>
    <w:rsid w:val="00747244"/>
    <w:rsid w:val="0075020C"/>
    <w:rsid w:val="0075060B"/>
    <w:rsid w:val="00751387"/>
    <w:rsid w:val="00751BB4"/>
    <w:rsid w:val="0075351D"/>
    <w:rsid w:val="007538DA"/>
    <w:rsid w:val="0075394D"/>
    <w:rsid w:val="00761BE8"/>
    <w:rsid w:val="00761E42"/>
    <w:rsid w:val="00762214"/>
    <w:rsid w:val="007626C9"/>
    <w:rsid w:val="007631E4"/>
    <w:rsid w:val="00764F88"/>
    <w:rsid w:val="0076694E"/>
    <w:rsid w:val="00771CB4"/>
    <w:rsid w:val="0077237E"/>
    <w:rsid w:val="00773A48"/>
    <w:rsid w:val="00776AF2"/>
    <w:rsid w:val="00776DC8"/>
    <w:rsid w:val="0078145B"/>
    <w:rsid w:val="0078346A"/>
    <w:rsid w:val="00785FE9"/>
    <w:rsid w:val="007874D6"/>
    <w:rsid w:val="00790EAE"/>
    <w:rsid w:val="00791A4E"/>
    <w:rsid w:val="00791FE0"/>
    <w:rsid w:val="007A0D26"/>
    <w:rsid w:val="007A1A3A"/>
    <w:rsid w:val="007A2C7F"/>
    <w:rsid w:val="007A5177"/>
    <w:rsid w:val="007B147F"/>
    <w:rsid w:val="007B18AE"/>
    <w:rsid w:val="007B1E4E"/>
    <w:rsid w:val="007B467B"/>
    <w:rsid w:val="007B5E35"/>
    <w:rsid w:val="007B6831"/>
    <w:rsid w:val="007B70D4"/>
    <w:rsid w:val="007B7388"/>
    <w:rsid w:val="007B742C"/>
    <w:rsid w:val="007C3507"/>
    <w:rsid w:val="007D02C4"/>
    <w:rsid w:val="007D3AF4"/>
    <w:rsid w:val="007D564E"/>
    <w:rsid w:val="007E0424"/>
    <w:rsid w:val="007E13D8"/>
    <w:rsid w:val="007E5A2D"/>
    <w:rsid w:val="007E7A6F"/>
    <w:rsid w:val="007F6358"/>
    <w:rsid w:val="00801DCE"/>
    <w:rsid w:val="0080281E"/>
    <w:rsid w:val="0080448C"/>
    <w:rsid w:val="00807E42"/>
    <w:rsid w:val="00811D23"/>
    <w:rsid w:val="008146E2"/>
    <w:rsid w:val="00816976"/>
    <w:rsid w:val="0081719C"/>
    <w:rsid w:val="008234E9"/>
    <w:rsid w:val="00824324"/>
    <w:rsid w:val="00825913"/>
    <w:rsid w:val="00827504"/>
    <w:rsid w:val="00832D51"/>
    <w:rsid w:val="00833C15"/>
    <w:rsid w:val="00834CF0"/>
    <w:rsid w:val="008364E5"/>
    <w:rsid w:val="00842E63"/>
    <w:rsid w:val="00845925"/>
    <w:rsid w:val="00846E84"/>
    <w:rsid w:val="0084734D"/>
    <w:rsid w:val="00854272"/>
    <w:rsid w:val="00854568"/>
    <w:rsid w:val="00857DD9"/>
    <w:rsid w:val="00861265"/>
    <w:rsid w:val="00865234"/>
    <w:rsid w:val="00867D05"/>
    <w:rsid w:val="0087048B"/>
    <w:rsid w:val="00871083"/>
    <w:rsid w:val="0087503D"/>
    <w:rsid w:val="008756B6"/>
    <w:rsid w:val="008766F5"/>
    <w:rsid w:val="008804F0"/>
    <w:rsid w:val="00881B38"/>
    <w:rsid w:val="00884209"/>
    <w:rsid w:val="00885C45"/>
    <w:rsid w:val="00895E0C"/>
    <w:rsid w:val="00896AD4"/>
    <w:rsid w:val="00896DDF"/>
    <w:rsid w:val="008A0651"/>
    <w:rsid w:val="008A1A80"/>
    <w:rsid w:val="008A3337"/>
    <w:rsid w:val="008A3395"/>
    <w:rsid w:val="008A4A45"/>
    <w:rsid w:val="008B61BA"/>
    <w:rsid w:val="008B76A0"/>
    <w:rsid w:val="008C2A1F"/>
    <w:rsid w:val="008C3B12"/>
    <w:rsid w:val="008C754D"/>
    <w:rsid w:val="008D1DE4"/>
    <w:rsid w:val="008D2459"/>
    <w:rsid w:val="008D580D"/>
    <w:rsid w:val="008D5D68"/>
    <w:rsid w:val="008E0B10"/>
    <w:rsid w:val="008E2941"/>
    <w:rsid w:val="008E3F73"/>
    <w:rsid w:val="008E7D1F"/>
    <w:rsid w:val="008F04EA"/>
    <w:rsid w:val="008F2014"/>
    <w:rsid w:val="008F3F51"/>
    <w:rsid w:val="008F49FA"/>
    <w:rsid w:val="008F64E2"/>
    <w:rsid w:val="009020F5"/>
    <w:rsid w:val="00905677"/>
    <w:rsid w:val="00905EAE"/>
    <w:rsid w:val="009108D4"/>
    <w:rsid w:val="00910A99"/>
    <w:rsid w:val="00911723"/>
    <w:rsid w:val="009123E3"/>
    <w:rsid w:val="00913200"/>
    <w:rsid w:val="00913713"/>
    <w:rsid w:val="009140DE"/>
    <w:rsid w:val="009170FF"/>
    <w:rsid w:val="00920BDA"/>
    <w:rsid w:val="00921107"/>
    <w:rsid w:val="00921351"/>
    <w:rsid w:val="0092357B"/>
    <w:rsid w:val="009250FD"/>
    <w:rsid w:val="009259E1"/>
    <w:rsid w:val="009272B3"/>
    <w:rsid w:val="00931C8D"/>
    <w:rsid w:val="00932E09"/>
    <w:rsid w:val="0093461C"/>
    <w:rsid w:val="00934C7B"/>
    <w:rsid w:val="00936015"/>
    <w:rsid w:val="00944860"/>
    <w:rsid w:val="00945336"/>
    <w:rsid w:val="009466FE"/>
    <w:rsid w:val="00950612"/>
    <w:rsid w:val="00953CDB"/>
    <w:rsid w:val="009562FB"/>
    <w:rsid w:val="00956998"/>
    <w:rsid w:val="00957EAC"/>
    <w:rsid w:val="00960C94"/>
    <w:rsid w:val="00960D24"/>
    <w:rsid w:val="009623A1"/>
    <w:rsid w:val="00966021"/>
    <w:rsid w:val="00966482"/>
    <w:rsid w:val="00966B4D"/>
    <w:rsid w:val="009755EB"/>
    <w:rsid w:val="00977456"/>
    <w:rsid w:val="00982C06"/>
    <w:rsid w:val="00985046"/>
    <w:rsid w:val="00986844"/>
    <w:rsid w:val="009918B1"/>
    <w:rsid w:val="00991E1E"/>
    <w:rsid w:val="00992F48"/>
    <w:rsid w:val="009940B3"/>
    <w:rsid w:val="009A17B2"/>
    <w:rsid w:val="009A45F1"/>
    <w:rsid w:val="009A62CC"/>
    <w:rsid w:val="009B0F0F"/>
    <w:rsid w:val="009B32E9"/>
    <w:rsid w:val="009B4B43"/>
    <w:rsid w:val="009B678E"/>
    <w:rsid w:val="009B7F06"/>
    <w:rsid w:val="009C0D78"/>
    <w:rsid w:val="009C4A2D"/>
    <w:rsid w:val="009D0E8F"/>
    <w:rsid w:val="009D5C2A"/>
    <w:rsid w:val="009D6B3A"/>
    <w:rsid w:val="009D7F2B"/>
    <w:rsid w:val="009E1DA7"/>
    <w:rsid w:val="009E205A"/>
    <w:rsid w:val="009E281C"/>
    <w:rsid w:val="009E36A4"/>
    <w:rsid w:val="009E3891"/>
    <w:rsid w:val="009E63BB"/>
    <w:rsid w:val="009E6BC5"/>
    <w:rsid w:val="009E79F9"/>
    <w:rsid w:val="009F406B"/>
    <w:rsid w:val="009F4105"/>
    <w:rsid w:val="009F4C5B"/>
    <w:rsid w:val="009F4D4D"/>
    <w:rsid w:val="009F62BC"/>
    <w:rsid w:val="00A04290"/>
    <w:rsid w:val="00A043D7"/>
    <w:rsid w:val="00A044CA"/>
    <w:rsid w:val="00A0640D"/>
    <w:rsid w:val="00A1079C"/>
    <w:rsid w:val="00A12934"/>
    <w:rsid w:val="00A129CE"/>
    <w:rsid w:val="00A16DE7"/>
    <w:rsid w:val="00A22658"/>
    <w:rsid w:val="00A23691"/>
    <w:rsid w:val="00A25F90"/>
    <w:rsid w:val="00A27C14"/>
    <w:rsid w:val="00A3207A"/>
    <w:rsid w:val="00A341A4"/>
    <w:rsid w:val="00A36E80"/>
    <w:rsid w:val="00A378D9"/>
    <w:rsid w:val="00A401A2"/>
    <w:rsid w:val="00A40FAE"/>
    <w:rsid w:val="00A4375A"/>
    <w:rsid w:val="00A43BCE"/>
    <w:rsid w:val="00A44963"/>
    <w:rsid w:val="00A45CF5"/>
    <w:rsid w:val="00A4771E"/>
    <w:rsid w:val="00A50DAB"/>
    <w:rsid w:val="00A52DF2"/>
    <w:rsid w:val="00A56C44"/>
    <w:rsid w:val="00A57D1B"/>
    <w:rsid w:val="00A6038F"/>
    <w:rsid w:val="00A6425F"/>
    <w:rsid w:val="00A6463E"/>
    <w:rsid w:val="00A73D95"/>
    <w:rsid w:val="00A74295"/>
    <w:rsid w:val="00A8637B"/>
    <w:rsid w:val="00A90240"/>
    <w:rsid w:val="00A933AF"/>
    <w:rsid w:val="00A95B3C"/>
    <w:rsid w:val="00A95FDD"/>
    <w:rsid w:val="00A9675D"/>
    <w:rsid w:val="00A9768E"/>
    <w:rsid w:val="00AA2EF2"/>
    <w:rsid w:val="00AA7C3B"/>
    <w:rsid w:val="00AB0883"/>
    <w:rsid w:val="00AB14BE"/>
    <w:rsid w:val="00AB294A"/>
    <w:rsid w:val="00AB297C"/>
    <w:rsid w:val="00AB2A6E"/>
    <w:rsid w:val="00AB585B"/>
    <w:rsid w:val="00AB6EB8"/>
    <w:rsid w:val="00AB740A"/>
    <w:rsid w:val="00AC07E8"/>
    <w:rsid w:val="00AC0FBE"/>
    <w:rsid w:val="00AC22EB"/>
    <w:rsid w:val="00AC27FF"/>
    <w:rsid w:val="00AC352E"/>
    <w:rsid w:val="00AC4CDC"/>
    <w:rsid w:val="00AC51C1"/>
    <w:rsid w:val="00AC572D"/>
    <w:rsid w:val="00AD0404"/>
    <w:rsid w:val="00AD17AB"/>
    <w:rsid w:val="00AD22C5"/>
    <w:rsid w:val="00AD27DB"/>
    <w:rsid w:val="00AD4BC6"/>
    <w:rsid w:val="00AD5B56"/>
    <w:rsid w:val="00AE034B"/>
    <w:rsid w:val="00AE05FB"/>
    <w:rsid w:val="00AE0709"/>
    <w:rsid w:val="00AE2EDB"/>
    <w:rsid w:val="00AE45EF"/>
    <w:rsid w:val="00AE5575"/>
    <w:rsid w:val="00AE6510"/>
    <w:rsid w:val="00AE6A1C"/>
    <w:rsid w:val="00AF355E"/>
    <w:rsid w:val="00AF4AA7"/>
    <w:rsid w:val="00AF7600"/>
    <w:rsid w:val="00B00D5B"/>
    <w:rsid w:val="00B02128"/>
    <w:rsid w:val="00B04885"/>
    <w:rsid w:val="00B05DF7"/>
    <w:rsid w:val="00B05F82"/>
    <w:rsid w:val="00B06496"/>
    <w:rsid w:val="00B0659A"/>
    <w:rsid w:val="00B07D0F"/>
    <w:rsid w:val="00B11A61"/>
    <w:rsid w:val="00B121C5"/>
    <w:rsid w:val="00B130AE"/>
    <w:rsid w:val="00B16E07"/>
    <w:rsid w:val="00B179AF"/>
    <w:rsid w:val="00B22776"/>
    <w:rsid w:val="00B23BD2"/>
    <w:rsid w:val="00B23C99"/>
    <w:rsid w:val="00B24110"/>
    <w:rsid w:val="00B30727"/>
    <w:rsid w:val="00B32CEB"/>
    <w:rsid w:val="00B32DB1"/>
    <w:rsid w:val="00B34016"/>
    <w:rsid w:val="00B35AD7"/>
    <w:rsid w:val="00B35FC1"/>
    <w:rsid w:val="00B40961"/>
    <w:rsid w:val="00B4151D"/>
    <w:rsid w:val="00B427A7"/>
    <w:rsid w:val="00B479A0"/>
    <w:rsid w:val="00B502EE"/>
    <w:rsid w:val="00B51341"/>
    <w:rsid w:val="00B51937"/>
    <w:rsid w:val="00B53D77"/>
    <w:rsid w:val="00B5560E"/>
    <w:rsid w:val="00B56363"/>
    <w:rsid w:val="00B56D49"/>
    <w:rsid w:val="00B56F5D"/>
    <w:rsid w:val="00B62B57"/>
    <w:rsid w:val="00B63A4D"/>
    <w:rsid w:val="00B66EA7"/>
    <w:rsid w:val="00B77B66"/>
    <w:rsid w:val="00B80C47"/>
    <w:rsid w:val="00B815FB"/>
    <w:rsid w:val="00B858B1"/>
    <w:rsid w:val="00B8621A"/>
    <w:rsid w:val="00B90D18"/>
    <w:rsid w:val="00B911B0"/>
    <w:rsid w:val="00B914BA"/>
    <w:rsid w:val="00B91DB9"/>
    <w:rsid w:val="00B92E47"/>
    <w:rsid w:val="00B95517"/>
    <w:rsid w:val="00B972B0"/>
    <w:rsid w:val="00BA11DF"/>
    <w:rsid w:val="00BA13FA"/>
    <w:rsid w:val="00BA2D40"/>
    <w:rsid w:val="00BA4E80"/>
    <w:rsid w:val="00BA5060"/>
    <w:rsid w:val="00BB0D1F"/>
    <w:rsid w:val="00BB18B7"/>
    <w:rsid w:val="00BB3CD3"/>
    <w:rsid w:val="00BB5255"/>
    <w:rsid w:val="00BC1FDF"/>
    <w:rsid w:val="00BC4070"/>
    <w:rsid w:val="00BC5157"/>
    <w:rsid w:val="00BC652D"/>
    <w:rsid w:val="00BD0A19"/>
    <w:rsid w:val="00BD4270"/>
    <w:rsid w:val="00BD71C8"/>
    <w:rsid w:val="00BE0E5F"/>
    <w:rsid w:val="00BF1B82"/>
    <w:rsid w:val="00BF3BFA"/>
    <w:rsid w:val="00BF56EB"/>
    <w:rsid w:val="00C02AC7"/>
    <w:rsid w:val="00C03157"/>
    <w:rsid w:val="00C0638E"/>
    <w:rsid w:val="00C07F15"/>
    <w:rsid w:val="00C11FB6"/>
    <w:rsid w:val="00C1445D"/>
    <w:rsid w:val="00C149CF"/>
    <w:rsid w:val="00C14EA9"/>
    <w:rsid w:val="00C15F19"/>
    <w:rsid w:val="00C21BBB"/>
    <w:rsid w:val="00C22E9C"/>
    <w:rsid w:val="00C23995"/>
    <w:rsid w:val="00C24DEE"/>
    <w:rsid w:val="00C24F97"/>
    <w:rsid w:val="00C341AF"/>
    <w:rsid w:val="00C34D42"/>
    <w:rsid w:val="00C41AA2"/>
    <w:rsid w:val="00C42211"/>
    <w:rsid w:val="00C4262A"/>
    <w:rsid w:val="00C42631"/>
    <w:rsid w:val="00C45A10"/>
    <w:rsid w:val="00C46422"/>
    <w:rsid w:val="00C55077"/>
    <w:rsid w:val="00C5636F"/>
    <w:rsid w:val="00C573AC"/>
    <w:rsid w:val="00C60EDA"/>
    <w:rsid w:val="00C61679"/>
    <w:rsid w:val="00C63AD1"/>
    <w:rsid w:val="00C64879"/>
    <w:rsid w:val="00C64A65"/>
    <w:rsid w:val="00C65E01"/>
    <w:rsid w:val="00C667B0"/>
    <w:rsid w:val="00C800D8"/>
    <w:rsid w:val="00C80B05"/>
    <w:rsid w:val="00C85A27"/>
    <w:rsid w:val="00C87777"/>
    <w:rsid w:val="00C90AF0"/>
    <w:rsid w:val="00CA1ADD"/>
    <w:rsid w:val="00CA392E"/>
    <w:rsid w:val="00CA4ACA"/>
    <w:rsid w:val="00CA5831"/>
    <w:rsid w:val="00CA7030"/>
    <w:rsid w:val="00CAA81E"/>
    <w:rsid w:val="00CB2171"/>
    <w:rsid w:val="00CC0098"/>
    <w:rsid w:val="00CC27A6"/>
    <w:rsid w:val="00CC500B"/>
    <w:rsid w:val="00CC6871"/>
    <w:rsid w:val="00CD1F26"/>
    <w:rsid w:val="00CD2D47"/>
    <w:rsid w:val="00CD3157"/>
    <w:rsid w:val="00CD5B3D"/>
    <w:rsid w:val="00CD7991"/>
    <w:rsid w:val="00CE020D"/>
    <w:rsid w:val="00CE08A1"/>
    <w:rsid w:val="00CE2F89"/>
    <w:rsid w:val="00CE58E8"/>
    <w:rsid w:val="00CF58EE"/>
    <w:rsid w:val="00CF6E51"/>
    <w:rsid w:val="00CF7F49"/>
    <w:rsid w:val="00D02C88"/>
    <w:rsid w:val="00D0321E"/>
    <w:rsid w:val="00D0390D"/>
    <w:rsid w:val="00D069C3"/>
    <w:rsid w:val="00D11E8B"/>
    <w:rsid w:val="00D12617"/>
    <w:rsid w:val="00D137FF"/>
    <w:rsid w:val="00D17909"/>
    <w:rsid w:val="00D20B53"/>
    <w:rsid w:val="00D2483F"/>
    <w:rsid w:val="00D27208"/>
    <w:rsid w:val="00D30E1A"/>
    <w:rsid w:val="00D32F87"/>
    <w:rsid w:val="00D366F6"/>
    <w:rsid w:val="00D411E0"/>
    <w:rsid w:val="00D41845"/>
    <w:rsid w:val="00D43171"/>
    <w:rsid w:val="00D43285"/>
    <w:rsid w:val="00D432C0"/>
    <w:rsid w:val="00D454F7"/>
    <w:rsid w:val="00D47E2E"/>
    <w:rsid w:val="00D51705"/>
    <w:rsid w:val="00D51A3A"/>
    <w:rsid w:val="00D5624D"/>
    <w:rsid w:val="00D57C6D"/>
    <w:rsid w:val="00D60153"/>
    <w:rsid w:val="00D64427"/>
    <w:rsid w:val="00D654E0"/>
    <w:rsid w:val="00D65A37"/>
    <w:rsid w:val="00D66C87"/>
    <w:rsid w:val="00D70759"/>
    <w:rsid w:val="00D70E50"/>
    <w:rsid w:val="00D72D2B"/>
    <w:rsid w:val="00D81337"/>
    <w:rsid w:val="00D8361A"/>
    <w:rsid w:val="00D83F40"/>
    <w:rsid w:val="00D905D6"/>
    <w:rsid w:val="00D9179D"/>
    <w:rsid w:val="00D91C97"/>
    <w:rsid w:val="00D91E1C"/>
    <w:rsid w:val="00D94998"/>
    <w:rsid w:val="00D9499B"/>
    <w:rsid w:val="00D970A5"/>
    <w:rsid w:val="00DA2603"/>
    <w:rsid w:val="00DA2A1C"/>
    <w:rsid w:val="00DA33AC"/>
    <w:rsid w:val="00DA3DD1"/>
    <w:rsid w:val="00DA4326"/>
    <w:rsid w:val="00DA4CD6"/>
    <w:rsid w:val="00DA6048"/>
    <w:rsid w:val="00DA7D26"/>
    <w:rsid w:val="00DA7FA3"/>
    <w:rsid w:val="00DB1593"/>
    <w:rsid w:val="00DB29BF"/>
    <w:rsid w:val="00DB348A"/>
    <w:rsid w:val="00DB6210"/>
    <w:rsid w:val="00DC2C23"/>
    <w:rsid w:val="00DC3BF7"/>
    <w:rsid w:val="00DC70A1"/>
    <w:rsid w:val="00DC7ABB"/>
    <w:rsid w:val="00DD1F38"/>
    <w:rsid w:val="00DD22D9"/>
    <w:rsid w:val="00DD5D5B"/>
    <w:rsid w:val="00DE01BA"/>
    <w:rsid w:val="00DE0DBE"/>
    <w:rsid w:val="00DE1F58"/>
    <w:rsid w:val="00DE2066"/>
    <w:rsid w:val="00DE533C"/>
    <w:rsid w:val="00DF71CD"/>
    <w:rsid w:val="00DF7A8B"/>
    <w:rsid w:val="00E0131E"/>
    <w:rsid w:val="00E0348E"/>
    <w:rsid w:val="00E037DA"/>
    <w:rsid w:val="00E03F4C"/>
    <w:rsid w:val="00E04B18"/>
    <w:rsid w:val="00E04F34"/>
    <w:rsid w:val="00E0622B"/>
    <w:rsid w:val="00E14098"/>
    <w:rsid w:val="00E21A26"/>
    <w:rsid w:val="00E22120"/>
    <w:rsid w:val="00E224A9"/>
    <w:rsid w:val="00E24353"/>
    <w:rsid w:val="00E3109D"/>
    <w:rsid w:val="00E32733"/>
    <w:rsid w:val="00E33228"/>
    <w:rsid w:val="00E364BD"/>
    <w:rsid w:val="00E43EE4"/>
    <w:rsid w:val="00E440BF"/>
    <w:rsid w:val="00E51E04"/>
    <w:rsid w:val="00E52501"/>
    <w:rsid w:val="00E562E0"/>
    <w:rsid w:val="00E57ACE"/>
    <w:rsid w:val="00E57DA3"/>
    <w:rsid w:val="00E623F1"/>
    <w:rsid w:val="00E63996"/>
    <w:rsid w:val="00E65761"/>
    <w:rsid w:val="00E67841"/>
    <w:rsid w:val="00E70C83"/>
    <w:rsid w:val="00E7112A"/>
    <w:rsid w:val="00E7158D"/>
    <w:rsid w:val="00E72837"/>
    <w:rsid w:val="00E732BE"/>
    <w:rsid w:val="00E739F1"/>
    <w:rsid w:val="00E73B01"/>
    <w:rsid w:val="00E747CB"/>
    <w:rsid w:val="00E74B01"/>
    <w:rsid w:val="00E756E9"/>
    <w:rsid w:val="00E758F4"/>
    <w:rsid w:val="00E82C1E"/>
    <w:rsid w:val="00E858A3"/>
    <w:rsid w:val="00E86B95"/>
    <w:rsid w:val="00E929DA"/>
    <w:rsid w:val="00E9427B"/>
    <w:rsid w:val="00E94B8C"/>
    <w:rsid w:val="00E965C1"/>
    <w:rsid w:val="00E96C46"/>
    <w:rsid w:val="00EA1180"/>
    <w:rsid w:val="00EA3608"/>
    <w:rsid w:val="00EA4B3E"/>
    <w:rsid w:val="00EA63F9"/>
    <w:rsid w:val="00EB0E73"/>
    <w:rsid w:val="00EB101C"/>
    <w:rsid w:val="00EB12A4"/>
    <w:rsid w:val="00EB2FA5"/>
    <w:rsid w:val="00EB2FF9"/>
    <w:rsid w:val="00EC0788"/>
    <w:rsid w:val="00EC153E"/>
    <w:rsid w:val="00EC29A4"/>
    <w:rsid w:val="00ED0D47"/>
    <w:rsid w:val="00ED2505"/>
    <w:rsid w:val="00EE2A42"/>
    <w:rsid w:val="00EE308D"/>
    <w:rsid w:val="00EF25A5"/>
    <w:rsid w:val="00EF2897"/>
    <w:rsid w:val="00EF33CD"/>
    <w:rsid w:val="00EF4A9D"/>
    <w:rsid w:val="00EF5321"/>
    <w:rsid w:val="00EF590A"/>
    <w:rsid w:val="00EF67B5"/>
    <w:rsid w:val="00F000DC"/>
    <w:rsid w:val="00F01253"/>
    <w:rsid w:val="00F02FE4"/>
    <w:rsid w:val="00F03EF4"/>
    <w:rsid w:val="00F04FDB"/>
    <w:rsid w:val="00F06C58"/>
    <w:rsid w:val="00F11F20"/>
    <w:rsid w:val="00F1568D"/>
    <w:rsid w:val="00F17C67"/>
    <w:rsid w:val="00F21E68"/>
    <w:rsid w:val="00F24836"/>
    <w:rsid w:val="00F2627D"/>
    <w:rsid w:val="00F31701"/>
    <w:rsid w:val="00F365E0"/>
    <w:rsid w:val="00F37577"/>
    <w:rsid w:val="00F40CFA"/>
    <w:rsid w:val="00F41253"/>
    <w:rsid w:val="00F41361"/>
    <w:rsid w:val="00F423EB"/>
    <w:rsid w:val="00F452EB"/>
    <w:rsid w:val="00F45503"/>
    <w:rsid w:val="00F465D6"/>
    <w:rsid w:val="00F473B1"/>
    <w:rsid w:val="00F50FF7"/>
    <w:rsid w:val="00F54BA6"/>
    <w:rsid w:val="00F601FC"/>
    <w:rsid w:val="00F6277F"/>
    <w:rsid w:val="00F627E7"/>
    <w:rsid w:val="00F663E7"/>
    <w:rsid w:val="00F664CE"/>
    <w:rsid w:val="00F66B9A"/>
    <w:rsid w:val="00F7152D"/>
    <w:rsid w:val="00F74E04"/>
    <w:rsid w:val="00F75279"/>
    <w:rsid w:val="00F75695"/>
    <w:rsid w:val="00F760A0"/>
    <w:rsid w:val="00F76F7B"/>
    <w:rsid w:val="00F83544"/>
    <w:rsid w:val="00F8380B"/>
    <w:rsid w:val="00F83B34"/>
    <w:rsid w:val="00F8467A"/>
    <w:rsid w:val="00F866F9"/>
    <w:rsid w:val="00F93391"/>
    <w:rsid w:val="00F95CFB"/>
    <w:rsid w:val="00F9608A"/>
    <w:rsid w:val="00F96F14"/>
    <w:rsid w:val="00FA1ACD"/>
    <w:rsid w:val="00FA4851"/>
    <w:rsid w:val="00FA7A77"/>
    <w:rsid w:val="00FB05C3"/>
    <w:rsid w:val="00FB05D4"/>
    <w:rsid w:val="00FB126F"/>
    <w:rsid w:val="00FB6AF8"/>
    <w:rsid w:val="00FB7B71"/>
    <w:rsid w:val="00FC0BE5"/>
    <w:rsid w:val="00FC1005"/>
    <w:rsid w:val="00FC5DFD"/>
    <w:rsid w:val="00FC7BAE"/>
    <w:rsid w:val="00FD0C4A"/>
    <w:rsid w:val="00FD38E5"/>
    <w:rsid w:val="00FD4A98"/>
    <w:rsid w:val="00FD5111"/>
    <w:rsid w:val="00FD7708"/>
    <w:rsid w:val="00FE4021"/>
    <w:rsid w:val="00FE5322"/>
    <w:rsid w:val="00FE5BA4"/>
    <w:rsid w:val="00FF32E4"/>
    <w:rsid w:val="00FF4280"/>
    <w:rsid w:val="00FF51E1"/>
    <w:rsid w:val="0631DCD4"/>
    <w:rsid w:val="0679AC40"/>
    <w:rsid w:val="0F98F5E9"/>
    <w:rsid w:val="16EEA8FE"/>
    <w:rsid w:val="17A834F4"/>
    <w:rsid w:val="21916294"/>
    <w:rsid w:val="27B7D542"/>
    <w:rsid w:val="2EE65DDE"/>
    <w:rsid w:val="3467C03F"/>
    <w:rsid w:val="394E0FF9"/>
    <w:rsid w:val="3F27DC32"/>
    <w:rsid w:val="4651345A"/>
    <w:rsid w:val="46D0464D"/>
    <w:rsid w:val="4BEB70F1"/>
    <w:rsid w:val="4E78D796"/>
    <w:rsid w:val="4F4CC990"/>
    <w:rsid w:val="519A0C80"/>
    <w:rsid w:val="53AB076B"/>
    <w:rsid w:val="635AA1F7"/>
    <w:rsid w:val="67E6A36F"/>
    <w:rsid w:val="6FE5F964"/>
    <w:rsid w:val="7317CA47"/>
    <w:rsid w:val="744C53E1"/>
    <w:rsid w:val="76FCCCC8"/>
    <w:rsid w:val="78DFE1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B5FB92"/>
  <w15:docId w15:val="{36619B7F-13BF-0C42-AEB6-9DC3EA32C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621A"/>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styleId="TableGrid">
    <w:name w:val="Table Grid"/>
    <w:basedOn w:val="TableNormal"/>
    <w:uiPriority w:val="59"/>
    <w:rsid w:val="00FB4123"/>
    <w:pPr>
      <w:spacing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Pr>
      <w:color w:val="0000FF" w:themeColor="hyperlink"/>
      <w:u w:val="single"/>
    </w:rPr>
  </w:style>
  <w:style w:type="paragraph" w:styleId="Header">
    <w:name w:val="header"/>
    <w:basedOn w:val="Normal"/>
    <w:link w:val="HeaderChar"/>
    <w:uiPriority w:val="99"/>
    <w:unhideWhenUsed/>
    <w:rsid w:val="00CE58E8"/>
    <w:pPr>
      <w:tabs>
        <w:tab w:val="center" w:pos="4680"/>
        <w:tab w:val="right" w:pos="9360"/>
      </w:tabs>
      <w:spacing w:line="240" w:lineRule="auto"/>
    </w:pPr>
  </w:style>
  <w:style w:type="character" w:customStyle="1" w:styleId="HeaderChar">
    <w:name w:val="Header Char"/>
    <w:basedOn w:val="DefaultParagraphFont"/>
    <w:link w:val="Header"/>
    <w:uiPriority w:val="99"/>
    <w:rsid w:val="00CE58E8"/>
  </w:style>
  <w:style w:type="paragraph" w:styleId="Footer">
    <w:name w:val="footer"/>
    <w:basedOn w:val="Normal"/>
    <w:link w:val="FooterChar"/>
    <w:uiPriority w:val="99"/>
    <w:unhideWhenUsed/>
    <w:rsid w:val="00CE58E8"/>
    <w:pPr>
      <w:tabs>
        <w:tab w:val="center" w:pos="4680"/>
        <w:tab w:val="right" w:pos="9360"/>
      </w:tabs>
      <w:spacing w:line="240" w:lineRule="auto"/>
    </w:pPr>
  </w:style>
  <w:style w:type="character" w:customStyle="1" w:styleId="FooterChar">
    <w:name w:val="Footer Char"/>
    <w:basedOn w:val="DefaultParagraphFont"/>
    <w:link w:val="Footer"/>
    <w:uiPriority w:val="99"/>
    <w:rsid w:val="00CE58E8"/>
  </w:style>
  <w:style w:type="paragraph" w:styleId="Revision">
    <w:name w:val="Revision"/>
    <w:hidden/>
    <w:uiPriority w:val="99"/>
    <w:semiHidden/>
    <w:rsid w:val="00526C97"/>
    <w:pPr>
      <w:spacing w:line="240" w:lineRule="auto"/>
    </w:pPr>
  </w:style>
  <w:style w:type="character" w:styleId="CommentReference">
    <w:name w:val="annotation reference"/>
    <w:basedOn w:val="DefaultParagraphFont"/>
    <w:uiPriority w:val="99"/>
    <w:semiHidden/>
    <w:unhideWhenUsed/>
    <w:rsid w:val="000D107B"/>
    <w:rPr>
      <w:sz w:val="16"/>
      <w:szCs w:val="16"/>
    </w:rPr>
  </w:style>
  <w:style w:type="paragraph" w:styleId="CommentText">
    <w:name w:val="annotation text"/>
    <w:basedOn w:val="Normal"/>
    <w:link w:val="CommentTextChar"/>
    <w:uiPriority w:val="99"/>
    <w:unhideWhenUsed/>
    <w:rsid w:val="000D107B"/>
    <w:pPr>
      <w:spacing w:line="240" w:lineRule="auto"/>
    </w:pPr>
    <w:rPr>
      <w:sz w:val="20"/>
      <w:szCs w:val="20"/>
    </w:rPr>
  </w:style>
  <w:style w:type="character" w:customStyle="1" w:styleId="CommentTextChar">
    <w:name w:val="Comment Text Char"/>
    <w:basedOn w:val="DefaultParagraphFont"/>
    <w:link w:val="CommentText"/>
    <w:uiPriority w:val="99"/>
    <w:rsid w:val="000D107B"/>
    <w:rPr>
      <w:sz w:val="20"/>
      <w:szCs w:val="20"/>
    </w:rPr>
  </w:style>
  <w:style w:type="paragraph" w:styleId="CommentSubject">
    <w:name w:val="annotation subject"/>
    <w:basedOn w:val="CommentText"/>
    <w:next w:val="CommentText"/>
    <w:link w:val="CommentSubjectChar"/>
    <w:uiPriority w:val="99"/>
    <w:semiHidden/>
    <w:unhideWhenUsed/>
    <w:rsid w:val="000D107B"/>
    <w:rPr>
      <w:b/>
      <w:bCs/>
    </w:rPr>
  </w:style>
  <w:style w:type="character" w:customStyle="1" w:styleId="CommentSubjectChar">
    <w:name w:val="Comment Subject Char"/>
    <w:basedOn w:val="CommentTextChar"/>
    <w:link w:val="CommentSubject"/>
    <w:uiPriority w:val="99"/>
    <w:semiHidden/>
    <w:rsid w:val="000D107B"/>
    <w:rPr>
      <w:b/>
      <w:bCs/>
      <w:sz w:val="20"/>
      <w:szCs w:val="20"/>
    </w:rPr>
  </w:style>
  <w:style w:type="paragraph" w:styleId="FootnoteText">
    <w:name w:val="footnote text"/>
    <w:basedOn w:val="Normal"/>
    <w:link w:val="FootnoteTextChar"/>
    <w:uiPriority w:val="99"/>
    <w:semiHidden/>
    <w:unhideWhenUsed/>
    <w:rsid w:val="00131380"/>
    <w:pPr>
      <w:spacing w:line="240" w:lineRule="auto"/>
    </w:pPr>
    <w:rPr>
      <w:sz w:val="20"/>
      <w:szCs w:val="20"/>
    </w:rPr>
  </w:style>
  <w:style w:type="character" w:customStyle="1" w:styleId="FootnoteTextChar">
    <w:name w:val="Footnote Text Char"/>
    <w:basedOn w:val="DefaultParagraphFont"/>
    <w:link w:val="FootnoteText"/>
    <w:uiPriority w:val="99"/>
    <w:semiHidden/>
    <w:rsid w:val="00131380"/>
    <w:rPr>
      <w:sz w:val="20"/>
      <w:szCs w:val="20"/>
    </w:rPr>
  </w:style>
  <w:style w:type="character" w:styleId="FootnoteReference">
    <w:name w:val="footnote reference"/>
    <w:basedOn w:val="DefaultParagraphFont"/>
    <w:uiPriority w:val="99"/>
    <w:semiHidden/>
    <w:unhideWhenUsed/>
    <w:rsid w:val="00131380"/>
    <w:rPr>
      <w:vertAlign w:val="superscript"/>
    </w:rPr>
  </w:style>
  <w:style w:type="paragraph" w:styleId="ListParagraph">
    <w:name w:val="List Paragraph"/>
    <w:basedOn w:val="Normal"/>
    <w:uiPriority w:val="34"/>
    <w:qFormat/>
    <w:rsid w:val="004A7509"/>
    <w:pPr>
      <w:ind w:left="720"/>
      <w:contextualSpacing/>
    </w:pPr>
  </w:style>
  <w:style w:type="character" w:styleId="UnresolvedMention">
    <w:name w:val="Unresolved Mention"/>
    <w:basedOn w:val="DefaultParagraphFont"/>
    <w:uiPriority w:val="99"/>
    <w:semiHidden/>
    <w:unhideWhenUsed/>
    <w:rsid w:val="00E82C1E"/>
    <w:rPr>
      <w:color w:val="605E5C"/>
      <w:shd w:val="clear" w:color="auto" w:fill="E1DFDD"/>
    </w:rPr>
  </w:style>
  <w:style w:type="character" w:styleId="FollowedHyperlink">
    <w:name w:val="FollowedHyperlink"/>
    <w:basedOn w:val="DefaultParagraphFont"/>
    <w:uiPriority w:val="99"/>
    <w:semiHidden/>
    <w:unhideWhenUsed/>
    <w:rsid w:val="00E82C1E"/>
    <w:rPr>
      <w:color w:val="800080" w:themeColor="followedHyperlink"/>
      <w:u w:val="single"/>
    </w:rPr>
  </w:style>
  <w:style w:type="paragraph" w:customStyle="1" w:styleId="paragraph">
    <w:name w:val="paragraph"/>
    <w:basedOn w:val="Normal"/>
    <w:rsid w:val="006627A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6627AE"/>
  </w:style>
  <w:style w:type="character" w:customStyle="1" w:styleId="eop">
    <w:name w:val="eop"/>
    <w:basedOn w:val="DefaultParagraphFont"/>
    <w:rsid w:val="006627AE"/>
  </w:style>
  <w:style w:type="character" w:customStyle="1" w:styleId="superscript">
    <w:name w:val="superscript"/>
    <w:basedOn w:val="DefaultParagraphFont"/>
    <w:rsid w:val="006627AE"/>
  </w:style>
  <w:style w:type="character" w:styleId="Mention">
    <w:name w:val="Mention"/>
    <w:basedOn w:val="DefaultParagraphFont"/>
    <w:uiPriority w:val="99"/>
    <w:unhideWhenUsed/>
    <w:rsid w:val="00311C70"/>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8927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roselyne@gi-escr.org" TargetMode="External"/><Relationship Id="rId2" Type="http://schemas.openxmlformats.org/officeDocument/2006/relationships/customXml" Target="../customXml/item2.xml"/><Relationship Id="rId16" Type="http://schemas.microsoft.com/office/2019/05/relationships/documenttasks" Target="documenttasks/documenttasks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roselyne@gi-escr.org"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notes.xml.rels><?xml version="1.0" encoding="UTF-8" standalone="yes"?>
<Relationships xmlns="http://schemas.openxmlformats.org/package/2006/relationships"><Relationship Id="rId8" Type="http://schemas.openxmlformats.org/officeDocument/2006/relationships/hyperlink" Target="https://kpmg.com/ke/en/home/insights/2024/12/tax-laws-amendment-act-2024.html" TargetMode="External"/><Relationship Id="rId13" Type="http://schemas.openxmlformats.org/officeDocument/2006/relationships/hyperlink" Target="https://www.standardmedia.co.ke/main-staging/counties/article/2001495929/why-education-ministrys-budget-should-be-increased" TargetMode="External"/><Relationship Id="rId18" Type="http://schemas.openxmlformats.org/officeDocument/2006/relationships/hyperlink" Target="http://guidelines.health.go.ke:8000/media/Kenya_Saram_Report.pdf" TargetMode="External"/><Relationship Id="rId3" Type="http://schemas.openxmlformats.org/officeDocument/2006/relationships/hyperlink" Target="https://www.theguardian.com/commentisfree/article/2024/jul/10/kenya-finance-bill-protests" TargetMode="External"/><Relationship Id="rId21" Type="http://schemas.openxmlformats.org/officeDocument/2006/relationships/hyperlink" Target="https://education.go.ke/node/429" TargetMode="External"/><Relationship Id="rId7" Type="http://schemas.openxmlformats.org/officeDocument/2006/relationships/hyperlink" Target="https://kenyalaw.org/caselaw/cases/view/296271/" TargetMode="External"/><Relationship Id="rId12" Type="http://schemas.openxmlformats.org/officeDocument/2006/relationships/hyperlink" Target="https://gi-escr.org/en/our-work/on-the-ground/shaping-the-future-of-education-drafting-of-education-concerns-and-recommendations-for-the-universal-periodic-review" TargetMode="External"/><Relationship Id="rId17" Type="http://schemas.openxmlformats.org/officeDocument/2006/relationships/hyperlink" Target="https://gi-escr.org/en/our-work/on-the-ground/we-contributed-to-the-drafting-of-the-universal-periodic-review-of-kenya-s-right-to-health-report" TargetMode="External"/><Relationship Id="rId2" Type="http://schemas.openxmlformats.org/officeDocument/2006/relationships/hyperlink" Target="https://www.bbc.com/news/articles/cv22g359mq9o" TargetMode="External"/><Relationship Id="rId16" Type="http://schemas.openxmlformats.org/officeDocument/2006/relationships/hyperlink" Target="https://gi-escr.org/en/our-work/on-the-ground/shaping-the-future-of-education-drafting-of-education-concerns-and-recommendations-for-the-universal-periodic-review" TargetMode="External"/><Relationship Id="rId20" Type="http://schemas.openxmlformats.org/officeDocument/2006/relationships/hyperlink" Target="https://www.taxjusticeafrica.net/sites/default/files/publications/Statement_%20Civil%20Society%20on%20RejectFinanceBill2024_0.pdf" TargetMode="External"/><Relationship Id="rId1" Type="http://schemas.openxmlformats.org/officeDocument/2006/relationships/hyperlink" Target="https://theconversation.com/kenya-protests-show-citizens-dont-trust-government-with-their-tax-money-can-ruto-make-a-meaningful-new-deal-234008" TargetMode="External"/><Relationship Id="rId6" Type="http://schemas.openxmlformats.org/officeDocument/2006/relationships/hyperlink" Target="https://assets.kpmg.com/content/dam/kpmg/ke/pdf/tax/2023/Affordable%20Housing%20Levy.pdf" TargetMode="External"/><Relationship Id="rId11" Type="http://schemas.openxmlformats.org/officeDocument/2006/relationships/hyperlink" Target="https://lethalindisguise.org/es/estudios-de-caso/kenya-anti-finance-bill/" TargetMode="External"/><Relationship Id="rId24" Type="http://schemas.openxmlformats.org/officeDocument/2006/relationships/hyperlink" Target="https://guidelines.health.go.ke/" TargetMode="External"/><Relationship Id="rId5" Type="http://schemas.openxmlformats.org/officeDocument/2006/relationships/hyperlink" Target="https://bowmanslaw.com/insights/kenya-court-of-appealdeclares-the-entire-finance-act-2023-unconstitutional/" TargetMode="External"/><Relationship Id="rId15" Type="http://schemas.openxmlformats.org/officeDocument/2006/relationships/hyperlink" Target="https://www.standardmedia.co.ke/education/article/2001496436/capitation-delays-schools-could-close-down-as-cash-crunch-bites" TargetMode="External"/><Relationship Id="rId23" Type="http://schemas.openxmlformats.org/officeDocument/2006/relationships/hyperlink" Target="https://www.abidjanprinciples.org/" TargetMode="External"/><Relationship Id="rId10" Type="http://schemas.openxmlformats.org/officeDocument/2006/relationships/hyperlink" Target="https://khrc.or.ke/press-release/2024-a-year-of-blatant-state-repression-through-regime-policing/" TargetMode="External"/><Relationship Id="rId19" Type="http://schemas.openxmlformats.org/officeDocument/2006/relationships/hyperlink" Target="https://chrgj.org/wp-content/uploads/2021/11/Report_Wrong-Prescription_Eng_.pdf" TargetMode="External"/><Relationship Id="rId4" Type="http://schemas.openxmlformats.org/officeDocument/2006/relationships/hyperlink" Target="https://www.citizen.digital/news/the-six-pillars-of-dp-rutos-bottom-up-economic-model-and-why-he-believes-it-is-the-solution-n301225" TargetMode="External"/><Relationship Id="rId9" Type="http://schemas.openxmlformats.org/officeDocument/2006/relationships/hyperlink" Target="https://www.theguardian.com/commentisfree/article/2024/jul/10/kenya-finance-bill-protests" TargetMode="External"/><Relationship Id="rId14" Type="http://schemas.openxmlformats.org/officeDocument/2006/relationships/hyperlink" Target="https://www.businessdailyafrica.com/bd/economy/education-energy-and-roads-suffer-hefty-budget-cuts-4691226" TargetMode="External"/><Relationship Id="rId22" Type="http://schemas.openxmlformats.org/officeDocument/2006/relationships/hyperlink" Target="https://gi-escr.org/en/resources/publications/the-conceptualisation-and-regulation-of-apbet-schools-in-kenya-applying-the-abidjan-principles-on-the-right-to-education"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 Id="rId4" Type="http://schemas.openxmlformats.org/officeDocument/2006/relationships/image" Target="media/image4.png"/></Relationships>
</file>

<file path=word/documenttasks/documenttasks1.xml><?xml version="1.0" encoding="utf-8"?>
<t:Tasks xmlns:t="http://schemas.microsoft.com/office/tasks/2019/documenttasks" xmlns:oel="http://schemas.microsoft.com/office/2019/extlst">
  <t:Task id="{6D663B64-154C-4636-84A7-1DAB26F3D481}">
    <t:Anchor>
      <t:Comment id="816079357"/>
    </t:Anchor>
    <t:History>
      <t:Event id="{82B1E0DB-ACC2-4405-9C98-68195333F81F}" time="2025-01-13T13:52:53.465Z">
        <t:Attribution userId="S::aya@gi-escr.org::5f6e305a-c0cf-4b34-b724-88778c22cfad" userProvider="AD" userName="Aya Douabou"/>
        <t:Anchor>
          <t:Comment id="816079357"/>
        </t:Anchor>
        <t:Create/>
      </t:Event>
      <t:Event id="{D0E80931-17F1-46CE-8FB8-E67014E71F0B}" time="2025-01-13T13:52:53.465Z">
        <t:Attribution userId="S::aya@gi-escr.org::5f6e305a-c0cf-4b34-b724-88778c22cfad" userProvider="AD" userName="Aya Douabou"/>
        <t:Anchor>
          <t:Comment id="816079357"/>
        </t:Anchor>
        <t:Assign userId="S::Roselyne@gi-escr.org::29bb4cfd-8e9f-4dc2-9f1c-e2f2bf10eb84" userProvider="AD" userName="Roselyne  Onyango"/>
      </t:Event>
      <t:Event id="{268E83E1-3791-47A3-B4B9-3AEF7D87E8C6}" time="2025-01-13T13:52:53.465Z">
        <t:Attribution userId="S::aya@gi-escr.org::5f6e305a-c0cf-4b34-b724-88778c22cfad" userProvider="AD" userName="Aya Douabou"/>
        <t:Anchor>
          <t:Comment id="816079357"/>
        </t:Anchor>
        <t:SetTitle title="Like salaries @Roselyne Onyango ?"/>
      </t:Event>
      <t:Event id="{1D4A587C-BAC3-41C9-8A3C-101878A49E9A}" time="2025-01-13T14:50:41.541Z">
        <t:Attribution userId="S::aya@gi-escr.org::5f6e305a-c0cf-4b34-b724-88778c22cfad" userProvider="AD" userName="Aya Douabou"/>
        <t:Progress percentComplete="100"/>
      </t:Event>
    </t:History>
  </t:Task>
  <t:Task id="{94E08AAE-1313-4180-A2E6-605DB1A3C791}">
    <t:Anchor>
      <t:Comment id="374361705"/>
    </t:Anchor>
    <t:History>
      <t:Event id="{121BC988-A934-4005-88A1-433509B7F3B5}" time="2025-01-13T13:57:14.894Z">
        <t:Attribution userId="S::aya@gi-escr.org::5f6e305a-c0cf-4b34-b724-88778c22cfad" userProvider="AD" userName="Aya Douabou"/>
        <t:Anchor>
          <t:Comment id="374361705"/>
        </t:Anchor>
        <t:Create/>
      </t:Event>
      <t:Event id="{AFC5F6CC-20E5-4878-96DE-1D0F36D6AA6F}" time="2025-01-13T13:57:14.894Z">
        <t:Attribution userId="S::aya@gi-escr.org::5f6e305a-c0cf-4b34-b724-88778c22cfad" userProvider="AD" userName="Aya Douabou"/>
        <t:Anchor>
          <t:Comment id="374361705"/>
        </t:Anchor>
        <t:Assign userId="S::Roselyne@gi-escr.org::29bb4cfd-8e9f-4dc2-9f1c-e2f2bf10eb84" userProvider="AD" userName="Roselyne  Onyango"/>
      </t:Event>
      <t:Event id="{E41563EA-07B4-4AEA-B565-732E25A51F4C}" time="2025-01-13T13:57:14.894Z">
        <t:Attribution userId="S::aya@gi-escr.org::5f6e305a-c0cf-4b34-b724-88778c22cfad" userProvider="AD" userName="Aya Douabou"/>
        <t:Anchor>
          <t:Comment id="374361705"/>
        </t:Anchor>
        <t:SetTitle title="Not clear. Are we referring to 2022/23 or 2023/24? @Roselyne Onyango "/>
      </t:Event>
      <t:Event id="{B84EBC7B-EF97-4CB5-A288-39AB7921953B}" time="2025-01-13T14:50:24.571Z">
        <t:Attribution userId="S::aya@gi-escr.org::5f6e305a-c0cf-4b34-b724-88778c22cfad" userProvider="AD" userName="Aya Douabou"/>
        <t:Progress percentComplete="100"/>
      </t:Event>
    </t:History>
  </t:Task>
  <t:Task id="{31B3FC3B-672F-4686-B86C-CE1EF638A7AA}">
    <t:Anchor>
      <t:Comment id="78113529"/>
    </t:Anchor>
    <t:History>
      <t:Event id="{164A60AB-130D-42A4-8467-2104412A8627}" time="2025-01-13T14:16:33.24Z">
        <t:Attribution userId="S::aya@gi-escr.org::5f6e305a-c0cf-4b34-b724-88778c22cfad" userProvider="AD" userName="Aya Douabou"/>
        <t:Anchor>
          <t:Comment id="78113529"/>
        </t:Anchor>
        <t:Create/>
      </t:Event>
      <t:Event id="{79E2F0D3-09DA-4E0B-A9E3-EF2BF70058F6}" time="2025-01-13T14:16:33.24Z">
        <t:Attribution userId="S::aya@gi-escr.org::5f6e305a-c0cf-4b34-b724-88778c22cfad" userProvider="AD" userName="Aya Douabou"/>
        <t:Anchor>
          <t:Comment id="78113529"/>
        </t:Anchor>
        <t:Assign userId="S::Roselyne@gi-escr.org::29bb4cfd-8e9f-4dc2-9f1c-e2f2bf10eb84" userProvider="AD" userName="Roselyne  Onyango"/>
      </t:Event>
      <t:Event id="{D2FFEA2F-6F70-4CE3-9808-39533EF46432}" time="2025-01-13T14:16:33.24Z">
        <t:Attribution userId="S::aya@gi-escr.org::5f6e305a-c0cf-4b34-b724-88778c22cfad" userProvider="AD" userName="Aya Douabou"/>
        <t:Anchor>
          <t:Comment id="78113529"/>
        </t:Anchor>
        <t:SetTitle title="Do we have data showing the percentage of private healthcare provision in Kenya? @Roselyne Onyango "/>
      </t:Event>
      <t:Event id="{3626DD95-6A69-41A4-977C-DE8C952621EE}" time="2025-01-13T14:49:18.895Z">
        <t:Attribution userId="S::aya@gi-escr.org::5f6e305a-c0cf-4b34-b724-88778c22cfad" userProvider="AD" userName="Aya Douabou"/>
        <t:Progress percentComplete="100"/>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635EBF2B95EFF4D971B3D52AFC8CD47" ma:contentTypeVersion="25" ma:contentTypeDescription="Create a new document." ma:contentTypeScope="" ma:versionID="d8b59ef6287a5f0ad39a93bcfc7a496e">
  <xsd:schema xmlns:xsd="http://www.w3.org/2001/XMLSchema" xmlns:xs="http://www.w3.org/2001/XMLSchema" xmlns:p="http://schemas.microsoft.com/office/2006/metadata/properties" xmlns:ns2="47e8b951-b14c-4db7-9ec5-7a3bbfd7b1b0" xmlns:ns3="f982bab0-ee64-4081-9356-7468477ba864" targetNamespace="http://schemas.microsoft.com/office/2006/metadata/properties" ma:root="true" ma:fieldsID="1ee820ba1b070646674ebe83d4c37a18" ns2:_="" ns3:_="">
    <xsd:import namespace="47e8b951-b14c-4db7-9ec5-7a3bbfd7b1b0"/>
    <xsd:import namespace="f982bab0-ee64-4081-9356-7468477ba86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element ref="ns2:Thumbnai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e8b951-b14c-4db7-9ec5-7a3bbfd7b1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8e2c3653-ab83-4050-93d3-5a45da19caf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Thumbnail" ma:index="26" nillable="true" ma:displayName="Thumbnail" ma:format="Thumbnail" ma:internalName="Thumbnail">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982bab0-ee64-4081-9356-7468477ba864"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6adfab03-38bf-43da-ab03-456d43183a7f}" ma:internalName="TaxCatchAll" ma:showField="CatchAllData" ma:web="f982bab0-ee64-4081-9356-7468477ba86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f982bab0-ee64-4081-9356-7468477ba864" xsi:nil="true"/>
    <lcf76f155ced4ddcb4097134ff3c332f xmlns="47e8b951-b14c-4db7-9ec5-7a3bbfd7b1b0">
      <Terms xmlns="http://schemas.microsoft.com/office/infopath/2007/PartnerControls"/>
    </lcf76f155ced4ddcb4097134ff3c332f>
    <Thumbnail xmlns="47e8b951-b14c-4db7-9ec5-7a3bbfd7b1b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5AD6C0-0E37-4347-A522-0C2875E8B0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7e8b951-b14c-4db7-9ec5-7a3bbfd7b1b0"/>
    <ds:schemaRef ds:uri="f982bab0-ee64-4081-9356-7468477ba8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ECE2F4B-E52B-4050-9A26-61CBF594EFAD}">
  <ds:schemaRefs>
    <ds:schemaRef ds:uri="http://schemas.microsoft.com/office/2006/metadata/properties"/>
    <ds:schemaRef ds:uri="http://schemas.microsoft.com/office/infopath/2007/PartnerControls"/>
    <ds:schemaRef ds:uri="f982bab0-ee64-4081-9356-7468477ba864"/>
    <ds:schemaRef ds:uri="47e8b951-b14c-4db7-9ec5-7a3bbfd7b1b0"/>
  </ds:schemaRefs>
</ds:datastoreItem>
</file>

<file path=customXml/itemProps3.xml><?xml version="1.0" encoding="utf-8"?>
<ds:datastoreItem xmlns:ds="http://schemas.openxmlformats.org/officeDocument/2006/customXml" ds:itemID="{60C8D936-7F17-44BC-9964-6877BCCDE7F7}">
  <ds:schemaRefs>
    <ds:schemaRef ds:uri="http://schemas.microsoft.com/sharepoint/v3/contenttype/forms"/>
  </ds:schemaRefs>
</ds:datastoreItem>
</file>

<file path=customXml/itemProps4.xml><?xml version="1.0" encoding="utf-8"?>
<ds:datastoreItem xmlns:ds="http://schemas.openxmlformats.org/officeDocument/2006/customXml" ds:itemID="{8289C277-5DAF-4D14-BAB7-1E11C35048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10</Pages>
  <Words>3014</Words>
  <Characters>17185</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Juana Barragan</dc:creator>
  <cp:lastModifiedBy>Roselyne  Onyango</cp:lastModifiedBy>
  <cp:revision>2</cp:revision>
  <dcterms:created xsi:type="dcterms:W3CDTF">2025-01-13T17:26:00Z</dcterms:created>
  <dcterms:modified xsi:type="dcterms:W3CDTF">2025-01-13T17:26:00Z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0x0101001635EBF2B95EFF4D971B3D52AFC8CD47</vt:lpwstr>
  </property>
  <property fmtid="{D5CDD505-2E9C-101B-9397-08002B2CF9AE}" pid="3" name="MediaServiceImageTags">
    <vt:lpwstr/>
  </property>
</Properties>
</file>