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sdetexte"/>
        <w:bidi w:val="0"/>
        <w:jc w:val="both"/>
        <w:rPr>
          <w:rStyle w:val="Accentuationforte"/>
        </w:rPr>
      </w:pPr>
      <w:r>
        <w:rPr/>
      </w:r>
    </w:p>
    <w:p>
      <w:pPr>
        <w:pStyle w:val="Corpsdetexte"/>
        <w:bidi w:val="0"/>
        <w:jc w:val="center"/>
        <w:rPr>
          <w:rStyle w:val="Accentuationforte"/>
        </w:rPr>
      </w:pPr>
      <w:r>
        <w:rPr/>
      </w:r>
    </w:p>
    <w:p>
      <w:pPr>
        <w:pStyle w:val="Corpsdetexte"/>
        <w:bidi w:val="0"/>
        <w:jc w:val="both"/>
        <w:rPr>
          <w:rStyle w:val="Accentuationforte"/>
        </w:rPr>
      </w:pPr>
      <w:r>
        <w:rPr/>
        <w:drawing>
          <wp:anchor behindDoc="0" distT="0" distB="0" distL="0" distR="0" simplePos="0" locked="0" layoutInCell="0" allowOverlap="1" relativeHeight="2">
            <wp:simplePos x="0" y="0"/>
            <wp:positionH relativeFrom="column">
              <wp:posOffset>641350</wp:posOffset>
            </wp:positionH>
            <wp:positionV relativeFrom="paragraph">
              <wp:posOffset>71755</wp:posOffset>
            </wp:positionV>
            <wp:extent cx="1612900" cy="133350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2900" cy="1333500"/>
                    </a:xfrm>
                    <a:prstGeom prst="rect">
                      <a:avLst/>
                    </a:prstGeom>
                  </pic:spPr>
                </pic:pic>
              </a:graphicData>
            </a:graphic>
          </wp:anchor>
        </w:drawing>
      </w:r>
    </w:p>
    <w:p>
      <w:pPr>
        <w:pStyle w:val="Corpsdetexte"/>
        <w:bidi w:val="0"/>
        <w:jc w:val="both"/>
        <w:rPr/>
      </w:pPr>
      <w:r>
        <w:rPr>
          <w:rStyle w:val="Accentuationforte"/>
        </w:rPr>
        <w:t>The Unrecognized Legacy of María Sabina: Genetic Resources, Indigenous Knowledge, and Ongoing Cultural Dispossession</w:t>
      </w:r>
    </w:p>
    <w:p>
      <w:pPr>
        <w:pStyle w:val="Titre4"/>
        <w:bidi w:val="0"/>
        <w:jc w:val="center"/>
        <w:rPr/>
      </w:pPr>
      <w:r>
        <w:rPr>
          <w:rFonts w:ascii="Poppins;apple-system;BlinkMacSystemFont;Segoe UI;Roboto;Helvetica Neue;Arial;sans-serif;Apple Color Emoji;Segoe UI Emoji;Segoe UI Symbol" w:hAnsi="Poppins;apple-system;BlinkMacSystemFont;Segoe UI;Roboto;Helvetica Neue;Arial;sans-serif;Apple Color Emoji;Segoe UI Emoji;Segoe UI Symbol"/>
          <w:b w:val="false"/>
          <w:i w:val="false"/>
          <w:caps w:val="false"/>
          <w:smallCaps w:val="false"/>
          <w:color w:val="344050"/>
          <w:spacing w:val="0"/>
        </w:rPr>
        <w:t>91st Session – CEDAW, Geneva 2025.</w:t>
      </w:r>
    </w:p>
    <w:p>
      <w:pPr>
        <w:pStyle w:val="Corpsdetexte"/>
        <w:bidi w:val="0"/>
        <w:jc w:val="center"/>
        <w:rPr/>
      </w:pPr>
      <w:r>
        <w:rPr/>
      </w:r>
    </w:p>
    <w:p>
      <w:pPr>
        <w:pStyle w:val="Corpsdetexte"/>
        <w:bidi w:val="0"/>
        <w:spacing w:lineRule="auto" w:line="480"/>
        <w:jc w:val="both"/>
        <w:rPr/>
      </w:pPr>
      <w:r>
        <w:rPr>
          <w:sz w:val="26"/>
          <w:szCs w:val="26"/>
        </w:rPr>
        <w:t xml:space="preserve">The Mazatec people of Oaxaca, Mexico, have long nurtured a deep spiritual relationship with the </w:t>
      </w:r>
      <w:r>
        <w:rPr>
          <w:rStyle w:val="Accentuation"/>
          <w:sz w:val="26"/>
          <w:szCs w:val="26"/>
        </w:rPr>
        <w:t>Psilocybe</w:t>
      </w:r>
      <w:r>
        <w:rPr>
          <w:sz w:val="26"/>
          <w:szCs w:val="26"/>
        </w:rPr>
        <w:t xml:space="preserve"> mushroom, employing it in ceremonial healing practices rooted in centuries-old traditions. Among them, María Sabina, a Mazatec </w:t>
      </w:r>
      <w:r>
        <w:rPr>
          <w:rStyle w:val="Accentuation"/>
          <w:sz w:val="26"/>
          <w:szCs w:val="26"/>
        </w:rPr>
        <w:t>sabia</w:t>
      </w:r>
      <w:r>
        <w:rPr>
          <w:sz w:val="26"/>
          <w:szCs w:val="26"/>
        </w:rPr>
        <w:t xml:space="preserve"> (wise woman), emerged as a pivotal figure. In the 1950s, her knowledge and use of the sacred mushroom attracted Western scientists and psychonauts, including R. Gordon Wasson, whose writings introduced psilocybin to the world. </w:t>
      </w:r>
      <w:r>
        <w:rPr>
          <w:sz w:val="26"/>
          <w:szCs w:val="26"/>
        </w:rPr>
        <w:t>The results of t</w:t>
      </w:r>
      <w:r>
        <w:rPr>
          <w:sz w:val="26"/>
          <w:szCs w:val="26"/>
        </w:rPr>
        <w:t>his encounter, however, was neither reciprocal nor consensual. María Sabina's ceremonies were documented, translated, and published without her permission, leading to the extraction and synthesis of psilocybin by pharmaceutical companies—genetic and biochemical knowledge lifted directly from indigenous practice.</w:t>
      </w:r>
    </w:p>
    <w:p>
      <w:pPr>
        <w:pStyle w:val="Corpsdetexte"/>
        <w:bidi w:val="0"/>
        <w:spacing w:lineRule="auto" w:line="480"/>
        <w:jc w:val="both"/>
        <w:rPr>
          <w:sz w:val="26"/>
          <w:szCs w:val="26"/>
        </w:rPr>
      </w:pPr>
      <w:r>
        <w:rPr>
          <w:sz w:val="26"/>
          <w:szCs w:val="26"/>
        </w:rPr>
        <w:t>Despite its origins in Mazatec cosmology and epistemology, the global commercialization of psilocybin has provided no tangible benefit to the Mazatec people. The knowledge gifted by María Sabina was treated not as sacred heritage, but as exploitable data—extracted without recognition, compensation, or continued community involvement.</w:t>
      </w:r>
    </w:p>
    <w:p>
      <w:pPr>
        <w:pStyle w:val="Corpsdetexte"/>
        <w:bidi w:val="0"/>
        <w:spacing w:lineRule="auto" w:line="480"/>
        <w:jc w:val="both"/>
        <w:rPr/>
      </w:pPr>
      <w:r>
        <w:rPr>
          <w:sz w:val="26"/>
          <w:szCs w:val="26"/>
        </w:rPr>
        <w:t xml:space="preserve">This historical dispossession was indirectly institutionalized in </w:t>
      </w:r>
      <w:r>
        <w:rPr>
          <w:rStyle w:val="Accentuation"/>
          <w:sz w:val="26"/>
          <w:szCs w:val="26"/>
        </w:rPr>
        <w:t>Riyadh 2024</w:t>
      </w:r>
      <w:r>
        <w:rPr>
          <w:sz w:val="26"/>
          <w:szCs w:val="26"/>
        </w:rPr>
        <w:t xml:space="preserve">, at the Diplomatic Conference convened by the World Intellectual Property Organization (WIPO) on the Design Law Treaty. The road to Riyadh was paved, in part, by Mexico’s own intervention during the WIPO General Assembly in 2019, where the Mexican delegation advocated for the exclusion of </w:t>
      </w:r>
      <w:r>
        <w:rPr>
          <w:rStyle w:val="Accentuation"/>
          <w:sz w:val="26"/>
          <w:szCs w:val="26"/>
        </w:rPr>
        <w:t>genetic resources</w:t>
      </w:r>
      <w:r>
        <w:rPr>
          <w:sz w:val="26"/>
          <w:szCs w:val="26"/>
        </w:rPr>
        <w:t xml:space="preserve"> (GRs) from the scope of protections afforded to </w:t>
      </w:r>
      <w:r>
        <w:rPr>
          <w:rStyle w:val="Accentuation"/>
          <w:sz w:val="26"/>
          <w:szCs w:val="26"/>
        </w:rPr>
        <w:t>traditional knowledge</w:t>
      </w:r>
      <w:r>
        <w:rPr>
          <w:sz w:val="26"/>
          <w:szCs w:val="26"/>
        </w:rPr>
        <w:t xml:space="preserve"> (TK) and </w:t>
      </w:r>
      <w:r>
        <w:rPr>
          <w:rStyle w:val="Accentuation"/>
          <w:sz w:val="26"/>
          <w:szCs w:val="26"/>
        </w:rPr>
        <w:t>traditional cultural expressions</w:t>
      </w:r>
      <w:r>
        <w:rPr>
          <w:sz w:val="26"/>
          <w:szCs w:val="26"/>
        </w:rPr>
        <w:t xml:space="preserve"> (TCEs). The approved text at Riyadh effectively left genetic resources outside the realm of legal protection, perpetuating a double standard that divorces biological heritage from the epistemic and cultural systems of Indigenous peoples.</w:t>
      </w:r>
    </w:p>
    <w:p>
      <w:pPr>
        <w:pStyle w:val="Corpsdetexte"/>
        <w:bidi w:val="0"/>
        <w:spacing w:lineRule="auto" w:line="480"/>
        <w:jc w:val="both"/>
        <w:rPr>
          <w:sz w:val="26"/>
          <w:szCs w:val="26"/>
        </w:rPr>
      </w:pPr>
      <w:r>
        <w:rPr>
          <w:sz w:val="26"/>
          <w:szCs w:val="26"/>
        </w:rPr>
        <w:t>This legal fragmentation disproportionately harms Indigenous women, who are the traditional custodians of biocultural knowledge. By failing to safeguard the integrity of their contributions—both genetic and spiritual—the international community reinforces a colonial logic in which Indigenous bodies, lands, and knowledge remain extractable.</w:t>
      </w:r>
    </w:p>
    <w:p>
      <w:pPr>
        <w:pStyle w:val="Corpsdetexte"/>
        <w:bidi w:val="0"/>
        <w:spacing w:lineRule="auto" w:line="480"/>
        <w:jc w:val="both"/>
        <w:rPr/>
      </w:pPr>
      <w:r>
        <w:rPr>
          <w:sz w:val="26"/>
          <w:szCs w:val="26"/>
        </w:rPr>
        <w:t xml:space="preserve">Such exclusion </w:t>
      </w:r>
      <w:r>
        <w:rPr>
          <w:sz w:val="26"/>
          <w:szCs w:val="26"/>
        </w:rPr>
        <w:t>reminds</w:t>
      </w:r>
      <w:r>
        <w:rPr>
          <w:sz w:val="26"/>
          <w:szCs w:val="26"/>
        </w:rPr>
        <w:t xml:space="preserve"> </w:t>
      </w:r>
      <w:r>
        <w:rPr>
          <w:rStyle w:val="Accentuationforte"/>
          <w:sz w:val="26"/>
          <w:szCs w:val="26"/>
        </w:rPr>
        <w:t>Article 14</w:t>
      </w:r>
      <w:r>
        <w:rPr>
          <w:sz w:val="26"/>
          <w:szCs w:val="26"/>
        </w:rPr>
        <w:t xml:space="preserve"> of the </w:t>
      </w:r>
      <w:r>
        <w:rPr>
          <w:rStyle w:val="Accentuation"/>
          <w:sz w:val="26"/>
          <w:szCs w:val="26"/>
        </w:rPr>
        <w:t>Convention on the Elimination of All Forms of Discrimination Against Women</w:t>
      </w:r>
      <w:r>
        <w:rPr>
          <w:sz w:val="26"/>
          <w:szCs w:val="26"/>
        </w:rPr>
        <w:t xml:space="preserve"> (CEDAW), which affirms the rights of </w:t>
      </w:r>
      <w:r>
        <w:rPr>
          <w:sz w:val="26"/>
          <w:szCs w:val="26"/>
        </w:rPr>
        <w:t xml:space="preserve">rural </w:t>
      </w:r>
      <w:r>
        <w:rPr>
          <w:sz w:val="26"/>
          <w:szCs w:val="26"/>
        </w:rPr>
        <w:t>women to participate in and benefit from cultural life, traditional practices, and scientific progress. When Indigenous women’s knowledge is appropriated without consent and excluded from international protections, it denies them cultural agency and economic justice—amounting to a form of gendered epistemic violence.</w:t>
      </w:r>
    </w:p>
    <w:p>
      <w:pPr>
        <w:pStyle w:val="Corpsdetexte"/>
        <w:bidi w:val="0"/>
        <w:spacing w:lineRule="auto" w:line="480"/>
        <w:jc w:val="both"/>
        <w:rPr>
          <w:sz w:val="26"/>
          <w:szCs w:val="26"/>
        </w:rPr>
      </w:pPr>
      <w:r>
        <w:rPr>
          <w:sz w:val="26"/>
          <w:szCs w:val="26"/>
        </w:rPr>
      </w:r>
    </w:p>
    <w:p>
      <w:pPr>
        <w:pStyle w:val="Corpsdetexte"/>
        <w:bidi w:val="0"/>
        <w:spacing w:lineRule="auto" w:line="480" w:before="0" w:after="140"/>
        <w:jc w:val="both"/>
        <w:rPr/>
      </w:pPr>
      <w:r>
        <w:rPr>
          <w:sz w:val="26"/>
          <w:szCs w:val="26"/>
        </w:rPr>
        <w:t xml:space="preserve">In sum, the case of María Sabina and the Mazatec people illustrates how legal structures—intended to safeguard innovation and design—can instead perpetuate inequity when Indigenous voices and frameworks are sidelined. It is not merely a matter of intellectual property; it is a matter of historical justice. We would like the Mexican State—which prides itself on its great respect for the rights of Indigenous peoples—to explain the logic behind this exclusion, which was orchestrated with its assistance at the World Intellectual Property Organization (WIPO). </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Poppins">
    <w:altName w:val="apple-system"/>
    <w:charset w:val="00"/>
    <w:family w:val="auto"/>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s-A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es-AR" w:eastAsia="zh-CN" w:bidi="hi-IN"/>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character" w:styleId="Accentuationforte">
    <w:name w:val="Strong"/>
    <w:qFormat/>
    <w:rPr>
      <w:b/>
      <w:bCs/>
    </w:rPr>
  </w:style>
  <w:style w:type="character" w:styleId="Accentuation">
    <w:name w:val="Emphasis"/>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36</TotalTime>
  <Application>LibreOffice/7.5.3.2$Windows_X86_64 LibreOffice_project/9f56dff12ba03b9acd7730a5a481eea045e468f3</Application>
  <AppVersion>15.0000</AppVersion>
  <Pages>2</Pages>
  <Words>478</Words>
  <Characters>2931</Characters>
  <CharactersWithSpaces>3394</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2025-06-02T11:08:44Z</dcterms:created>
  <dc:creator/>
  <dc:description/>
  <dc:language>fr-CH</dc:language>
  <cp:lastModifiedBy/>
  <cp:lastPrinted>2025-06-02T11:37:24Z</cp:lastPrinted>
  <dcterms:modified xsi:type="dcterms:W3CDTF">2025-06-02T11:45:24Z</dcterms:modified>
  <cp:revision>1</cp:revision>
  <dc:subject/>
  <dc:title/>
</cp:coreProperties>
</file>