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bCs/>
          <w:sz w:val="32"/>
          <w:szCs w:val="32"/>
        </w:rPr>
        <w:t>CONSCIENCE</w:t>
      </w:r>
      <w:r>
        <w:rPr>
          <w:rFonts w:eastAsia="Times New Roman" w:cs="Times New Roman"/>
          <w:b/>
          <w:bCs/>
          <w:sz w:val="32"/>
          <w:szCs w:val="32"/>
        </w:rPr>
        <w:t xml:space="preserve">  </w:t>
      </w:r>
      <w:r>
        <w:rPr>
          <w:b/>
          <w:bCs/>
          <w:sz w:val="32"/>
          <w:szCs w:val="32"/>
        </w:rPr>
        <w:t>AND</w:t>
      </w:r>
      <w:r>
        <w:rPr>
          <w:rFonts w:eastAsia="Times New Roman" w:cs="Times New Roman"/>
          <w:b/>
          <w:bCs/>
          <w:sz w:val="32"/>
          <w:szCs w:val="32"/>
        </w:rPr>
        <w:t xml:space="preserve">  </w:t>
      </w:r>
      <w:r>
        <w:rPr>
          <w:b/>
          <w:bCs/>
          <w:sz w:val="32"/>
          <w:szCs w:val="32"/>
        </w:rPr>
        <w:t>PEACE</w:t>
      </w:r>
      <w:r>
        <w:rPr>
          <w:rFonts w:eastAsia="Times New Roman" w:cs="Times New Roman"/>
          <w:b/>
          <w:bCs/>
          <w:sz w:val="32"/>
          <w:szCs w:val="32"/>
        </w:rPr>
        <w:t xml:space="preserve">  </w:t>
      </w:r>
      <w:r>
        <w:rPr>
          <w:b/>
          <w:bCs/>
          <w:sz w:val="32"/>
          <w:szCs w:val="32"/>
        </w:rPr>
        <w:t>TAX</w:t>
      </w:r>
      <w:r>
        <w:rPr>
          <w:rFonts w:eastAsia="Times New Roman" w:cs="Times New Roman"/>
          <w:b/>
          <w:bCs/>
          <w:sz w:val="32"/>
          <w:szCs w:val="32"/>
        </w:rPr>
        <w:t xml:space="preserve">  </w:t>
      </w:r>
      <w:r>
        <w:rPr>
          <w:b/>
          <w:bCs/>
          <w:sz w:val="32"/>
          <w:szCs w:val="32"/>
        </w:rPr>
        <w:t>INTERNATIONAL</w:t>
      </w:r>
      <w:r>
        <w:rPr>
          <w:rFonts w:eastAsia="Times New Roman" w:cs="Times New Roman"/>
          <w:b/>
          <w:bCs/>
          <w:sz w:val="32"/>
          <w:szCs w:val="32"/>
        </w:rPr>
        <w:t xml:space="preserve">   </w:t>
      </w:r>
      <w:r>
        <w:rPr>
          <w:b/>
          <w:bCs/>
          <w:sz w:val="32"/>
          <w:szCs w:val="32"/>
        </w:rPr>
        <w:t>(CPTI)</w:t>
      </w:r>
    </w:p>
    <w:p>
      <w:pPr>
        <w:pStyle w:val="Normal"/>
        <w:jc w:val="left"/>
        <w:rPr>
          <w:b/>
          <w:b/>
          <w:bCs/>
          <w:sz w:val="24"/>
          <w:szCs w:val="24"/>
        </w:rPr>
      </w:pPr>
      <w:r>
        <w:rPr>
          <w:b/>
          <w:bCs/>
          <w:sz w:val="24"/>
          <w:szCs w:val="24"/>
        </w:rPr>
      </w:r>
    </w:p>
    <w:p>
      <w:pPr>
        <w:pStyle w:val="Normal"/>
        <w:jc w:val="left"/>
        <w:rPr/>
      </w:pPr>
      <w:r>
        <w:rPr>
          <w:b/>
          <w:bCs/>
          <w:sz w:val="28"/>
          <w:szCs w:val="28"/>
        </w:rPr>
        <w:t>Submission</w:t>
      </w:r>
      <w:r>
        <w:rPr>
          <w:rFonts w:eastAsia="Times New Roman" w:cs="Times New Roman"/>
          <w:b/>
          <w:bCs/>
          <w:sz w:val="28"/>
          <w:szCs w:val="28"/>
        </w:rPr>
        <w:t xml:space="preserve"> </w:t>
      </w:r>
      <w:r>
        <w:rPr>
          <w:b/>
          <w:bCs/>
          <w:sz w:val="28"/>
          <w:szCs w:val="28"/>
        </w:rPr>
        <w:t>to</w:t>
      </w:r>
      <w:r>
        <w:rPr>
          <w:rFonts w:eastAsia="Times New Roman" w:cs="Times New Roman"/>
          <w:b/>
          <w:bCs/>
          <w:sz w:val="28"/>
          <w:szCs w:val="28"/>
        </w:rPr>
        <w:t xml:space="preserve"> </w:t>
      </w:r>
      <w:r>
        <w:rPr>
          <w:b/>
          <w:bCs/>
          <w:sz w:val="28"/>
          <w:szCs w:val="28"/>
        </w:rPr>
        <w:t>the</w:t>
      </w:r>
      <w:r>
        <w:rPr>
          <w:rFonts w:eastAsia="Times New Roman" w:cs="Times New Roman"/>
          <w:b/>
          <w:bCs/>
          <w:sz w:val="28"/>
          <w:szCs w:val="28"/>
        </w:rPr>
        <w:t xml:space="preserve"> </w:t>
      </w:r>
      <w:r>
        <w:rPr>
          <w:b/>
          <w:bCs/>
          <w:sz w:val="28"/>
          <w:szCs w:val="28"/>
        </w:rPr>
        <w:t>141</w:t>
      </w:r>
      <w:r>
        <w:rPr>
          <w:b/>
          <w:bCs/>
          <w:sz w:val="28"/>
          <w:szCs w:val="28"/>
          <w:vertAlign w:val="superscript"/>
        </w:rPr>
        <w:t>st</w:t>
      </w:r>
      <w:r>
        <w:rPr>
          <w:rFonts w:eastAsia="Times New Roman" w:cs="Times New Roman"/>
          <w:b/>
          <w:bCs/>
          <w:sz w:val="28"/>
          <w:szCs w:val="28"/>
        </w:rPr>
        <w:t xml:space="preserve"> </w:t>
      </w:r>
      <w:r>
        <w:rPr>
          <w:b/>
          <w:bCs/>
          <w:sz w:val="28"/>
          <w:szCs w:val="28"/>
        </w:rPr>
        <w:t>Session</w:t>
      </w:r>
      <w:r>
        <w:rPr>
          <w:rFonts w:eastAsia="Times New Roman" w:cs="Times New Roman"/>
          <w:b/>
          <w:bCs/>
          <w:sz w:val="28"/>
          <w:szCs w:val="28"/>
        </w:rPr>
        <w:t xml:space="preserve"> </w:t>
      </w:r>
      <w:r>
        <w:rPr>
          <w:b/>
          <w:bCs/>
          <w:sz w:val="28"/>
          <w:szCs w:val="28"/>
        </w:rPr>
        <w:t>of</w:t>
      </w:r>
      <w:r>
        <w:rPr>
          <w:rFonts w:eastAsia="Times New Roman" w:cs="Times New Roman"/>
          <w:b/>
          <w:bCs/>
          <w:sz w:val="28"/>
          <w:szCs w:val="28"/>
        </w:rPr>
        <w:t xml:space="preserve"> </w:t>
      </w:r>
      <w:r>
        <w:rPr>
          <w:b/>
          <w:bCs/>
          <w:sz w:val="28"/>
          <w:szCs w:val="28"/>
        </w:rPr>
        <w:t>the</w:t>
      </w:r>
      <w:r>
        <w:rPr>
          <w:rFonts w:eastAsia="Times New Roman" w:cs="Times New Roman"/>
          <w:b/>
          <w:bCs/>
          <w:sz w:val="28"/>
          <w:szCs w:val="28"/>
        </w:rPr>
        <w:t xml:space="preserve"> </w:t>
      </w:r>
      <w:r>
        <w:rPr>
          <w:b/>
          <w:bCs/>
          <w:sz w:val="28"/>
          <w:szCs w:val="28"/>
        </w:rPr>
        <w:t>Human</w:t>
      </w:r>
      <w:r>
        <w:rPr>
          <w:rFonts w:eastAsia="Times New Roman" w:cs="Times New Roman"/>
          <w:b/>
          <w:bCs/>
          <w:sz w:val="28"/>
          <w:szCs w:val="28"/>
        </w:rPr>
        <w:t xml:space="preserve"> </w:t>
      </w:r>
      <w:r>
        <w:rPr>
          <w:b/>
          <w:bCs/>
          <w:sz w:val="28"/>
          <w:szCs w:val="28"/>
        </w:rPr>
        <w:t>Rights</w:t>
      </w:r>
      <w:r>
        <w:rPr>
          <w:rFonts w:eastAsia="Times New Roman" w:cs="Times New Roman"/>
          <w:b/>
          <w:bCs/>
          <w:sz w:val="28"/>
          <w:szCs w:val="28"/>
        </w:rPr>
        <w:t xml:space="preserve"> </w:t>
      </w:r>
      <w:r>
        <w:rPr>
          <w:b/>
          <w:bCs/>
          <w:sz w:val="28"/>
          <w:szCs w:val="28"/>
        </w:rPr>
        <w:t>Committee for the attention of the country report task force on:</w:t>
      </w:r>
    </w:p>
    <w:p>
      <w:pPr>
        <w:pStyle w:val="Normal"/>
        <w:jc w:val="center"/>
        <w:rPr>
          <w:rFonts w:eastAsia="Times New Roman" w:cs="Times New Roman"/>
          <w:b/>
          <w:b/>
          <w:bCs/>
          <w:sz w:val="28"/>
          <w:szCs w:val="28"/>
        </w:rPr>
      </w:pPr>
      <w:r>
        <w:rPr>
          <w:rFonts w:eastAsia="Times New Roman" w:cs="Times New Roman"/>
          <w:b/>
          <w:bCs/>
          <w:sz w:val="28"/>
          <w:szCs w:val="28"/>
        </w:rPr>
        <w:t xml:space="preserve"> </w:t>
      </w:r>
    </w:p>
    <w:p>
      <w:pPr>
        <w:pStyle w:val="Normal"/>
        <w:jc w:val="both"/>
        <w:rPr>
          <w:rFonts w:eastAsia="Times New Roman" w:cs="Times New Roman"/>
          <w:b/>
          <w:b/>
          <w:bCs/>
          <w:sz w:val="28"/>
          <w:szCs w:val="28"/>
        </w:rPr>
      </w:pPr>
      <w:r>
        <w:rPr>
          <w:rFonts w:eastAsia="Times New Roman" w:cs="Times New Roman"/>
          <w:b/>
          <w:bCs/>
          <w:sz w:val="28"/>
          <w:szCs w:val="28"/>
        </w:rPr>
        <w:t xml:space="preserve"> </w:t>
      </w:r>
    </w:p>
    <w:p>
      <w:pPr>
        <w:pStyle w:val="Normal"/>
        <w:jc w:val="center"/>
        <w:rPr>
          <w:rFonts w:eastAsia="Times New Roman" w:cs="Times New Roman"/>
          <w:b/>
          <w:b/>
          <w:bCs/>
          <w:sz w:val="36"/>
          <w:szCs w:val="36"/>
        </w:rPr>
      </w:pPr>
      <w:r>
        <w:rPr>
          <w:rFonts w:eastAsia="Times New Roman" w:cs="Times New Roman"/>
          <w:b/>
          <w:bCs/>
          <w:sz w:val="36"/>
          <w:szCs w:val="36"/>
        </w:rPr>
        <w:t>AUSTRIA</w:t>
      </w:r>
    </w:p>
    <w:p>
      <w:pPr>
        <w:pStyle w:val="Normal"/>
        <w:jc w:val="both"/>
        <w:rPr>
          <w:rFonts w:eastAsia="Times New Roman" w:cs="Times New Roman"/>
          <w:b/>
          <w:b/>
          <w:bCs/>
          <w:sz w:val="28"/>
          <w:szCs w:val="28"/>
        </w:rPr>
      </w:pPr>
      <w:r>
        <w:rPr>
          <w:rFonts w:eastAsia="Times New Roman" w:cs="Times New Roman"/>
          <w:b/>
          <w:bCs/>
          <w:sz w:val="28"/>
          <w:szCs w:val="28"/>
        </w:rPr>
      </w:r>
    </w:p>
    <w:p>
      <w:pPr>
        <w:pStyle w:val="Normal"/>
        <w:jc w:val="both"/>
        <w:rPr/>
      </w:pPr>
      <w:r>
        <w:rPr>
          <w:b/>
          <w:bCs/>
          <w:sz w:val="28"/>
          <w:szCs w:val="28"/>
        </w:rPr>
        <w:t>(Military</w:t>
      </w:r>
      <w:r>
        <w:rPr>
          <w:rFonts w:eastAsia="Times New Roman" w:cs="Times New Roman"/>
          <w:b/>
          <w:bCs/>
          <w:sz w:val="28"/>
          <w:szCs w:val="28"/>
        </w:rPr>
        <w:t xml:space="preserve"> </w:t>
      </w:r>
      <w:r>
        <w:rPr>
          <w:b/>
          <w:bCs/>
          <w:sz w:val="28"/>
          <w:szCs w:val="28"/>
        </w:rPr>
        <w:t>service,</w:t>
      </w:r>
      <w:r>
        <w:rPr>
          <w:rFonts w:eastAsia="Times New Roman" w:cs="Times New Roman"/>
          <w:b/>
          <w:bCs/>
          <w:sz w:val="28"/>
          <w:szCs w:val="28"/>
        </w:rPr>
        <w:t xml:space="preserve"> </w:t>
      </w:r>
      <w:r>
        <w:rPr>
          <w:b/>
          <w:bCs/>
          <w:sz w:val="28"/>
          <w:szCs w:val="28"/>
        </w:rPr>
        <w:t>conscientious</w:t>
      </w:r>
      <w:r>
        <w:rPr>
          <w:rFonts w:eastAsia="Times New Roman" w:cs="Times New Roman"/>
          <w:b/>
          <w:bCs/>
          <w:sz w:val="28"/>
          <w:szCs w:val="28"/>
        </w:rPr>
        <w:t xml:space="preserve"> </w:t>
      </w:r>
      <w:r>
        <w:rPr>
          <w:b/>
          <w:bCs/>
          <w:sz w:val="28"/>
          <w:szCs w:val="28"/>
        </w:rPr>
        <w:t>objection</w:t>
      </w:r>
      <w:r>
        <w:rPr>
          <w:rFonts w:eastAsia="Times New Roman" w:cs="Times New Roman"/>
          <w:b/>
          <w:bCs/>
          <w:sz w:val="28"/>
          <w:szCs w:val="28"/>
        </w:rPr>
        <w:t xml:space="preserve"> </w:t>
      </w:r>
      <w:r>
        <w:rPr>
          <w:b/>
          <w:bCs/>
          <w:sz w:val="28"/>
          <w:szCs w:val="28"/>
        </w:rPr>
        <w:t>and</w:t>
      </w:r>
      <w:r>
        <w:rPr>
          <w:rFonts w:eastAsia="Times New Roman" w:cs="Times New Roman"/>
          <w:b/>
          <w:bCs/>
          <w:sz w:val="28"/>
          <w:szCs w:val="28"/>
        </w:rPr>
        <w:t xml:space="preserve"> </w:t>
      </w:r>
      <w:r>
        <w:rPr>
          <w:b/>
          <w:bCs/>
          <w:sz w:val="28"/>
          <w:szCs w:val="28"/>
        </w:rPr>
        <w:t>related</w:t>
      </w:r>
      <w:r>
        <w:rPr>
          <w:rFonts w:eastAsia="Times New Roman" w:cs="Times New Roman"/>
          <w:b/>
          <w:bCs/>
          <w:sz w:val="28"/>
          <w:szCs w:val="28"/>
        </w:rPr>
        <w:t xml:space="preserve"> </w:t>
      </w:r>
      <w:r>
        <w:rPr>
          <w:b/>
          <w:bCs/>
          <w:sz w:val="28"/>
          <w:szCs w:val="28"/>
        </w:rPr>
        <w:t>issues)</w:t>
      </w:r>
    </w:p>
    <w:p>
      <w:pPr>
        <w:pStyle w:val="Normal"/>
        <w:jc w:val="both"/>
        <w:rPr>
          <w:b/>
          <w:b/>
          <w:bCs/>
          <w:sz w:val="28"/>
          <w:szCs w:val="28"/>
        </w:rPr>
      </w:pPr>
      <w:r>
        <w:rPr>
          <w:b/>
          <w:bCs/>
          <w:sz w:val="28"/>
          <w:szCs w:val="28"/>
        </w:rPr>
      </w:r>
    </w:p>
    <w:p>
      <w:pPr>
        <w:pStyle w:val="Normal"/>
        <w:jc w:val="both"/>
        <w:rPr/>
      </w:pPr>
      <w:r>
        <w:rPr>
          <w:rFonts w:eastAsia="Times New Roman" w:cs="Times New Roman"/>
          <w:b/>
          <w:bCs/>
          <w:sz w:val="24"/>
          <w:szCs w:val="24"/>
        </w:rPr>
        <w:t xml:space="preserve">Prepared April </w:t>
      </w:r>
      <w:r>
        <w:rPr>
          <w:b/>
          <w:bCs/>
          <w:sz w:val="24"/>
          <w:szCs w:val="24"/>
        </w:rPr>
        <w:t>2024.</w:t>
        <w:tab/>
        <w:tab/>
        <w:tab/>
        <w:tab/>
        <w:t>Contact:</w:t>
      </w:r>
    </w:p>
    <w:p>
      <w:pPr>
        <w:pStyle w:val="Normal"/>
        <w:jc w:val="both"/>
        <w:rPr/>
      </w:pPr>
      <w:r>
        <w:rPr>
          <w:b/>
          <w:bCs/>
          <w:sz w:val="24"/>
          <w:szCs w:val="24"/>
        </w:rPr>
        <w:tab/>
        <w:tab/>
        <w:tab/>
        <w:tab/>
        <w:tab/>
        <w:tab/>
        <w:tab/>
        <w:t>Derek</w:t>
      </w:r>
      <w:r>
        <w:rPr>
          <w:rFonts w:eastAsia="Times New Roman" w:cs="Times New Roman"/>
          <w:b/>
          <w:bCs/>
          <w:sz w:val="24"/>
          <w:szCs w:val="24"/>
        </w:rPr>
        <w:t xml:space="preserve"> </w:t>
      </w:r>
      <w:r>
        <w:rPr>
          <w:b/>
          <w:bCs/>
          <w:sz w:val="24"/>
          <w:szCs w:val="24"/>
        </w:rPr>
        <w:t>BRETT</w:t>
      </w:r>
    </w:p>
    <w:p>
      <w:pPr>
        <w:pStyle w:val="Normal"/>
        <w:jc w:val="both"/>
        <w:rPr/>
      </w:pPr>
      <w:r>
        <w:rPr>
          <w:b/>
          <w:bCs/>
          <w:sz w:val="24"/>
          <w:szCs w:val="24"/>
        </w:rPr>
        <w:tab/>
        <w:tab/>
        <w:tab/>
        <w:tab/>
      </w:r>
      <w:r>
        <w:rPr>
          <w:b/>
          <w:bCs/>
          <w:sz w:val="28"/>
          <w:szCs w:val="28"/>
        </w:rPr>
        <w:tab/>
        <w:tab/>
        <w:tab/>
      </w:r>
      <w:r>
        <w:rPr>
          <w:b/>
          <w:bCs/>
          <w:sz w:val="24"/>
          <w:szCs w:val="24"/>
        </w:rPr>
        <w:t>Main</w:t>
      </w:r>
      <w:r>
        <w:rPr>
          <w:rFonts w:eastAsia="Times New Roman" w:cs="Times New Roman"/>
          <w:b/>
          <w:bCs/>
          <w:sz w:val="24"/>
          <w:szCs w:val="24"/>
        </w:rPr>
        <w:t xml:space="preserve"> </w:t>
      </w:r>
      <w:r>
        <w:rPr>
          <w:b/>
          <w:bCs/>
          <w:sz w:val="24"/>
          <w:szCs w:val="24"/>
        </w:rPr>
        <w:t>Representative</w:t>
      </w:r>
      <w:r>
        <w:rPr>
          <w:rFonts w:eastAsia="Times New Roman" w:cs="Times New Roman"/>
          <w:b/>
          <w:bCs/>
          <w:sz w:val="24"/>
          <w:szCs w:val="24"/>
        </w:rPr>
        <w:t xml:space="preserve"> </w:t>
      </w:r>
      <w:r>
        <w:rPr>
          <w:b/>
          <w:bCs/>
          <w:sz w:val="24"/>
          <w:szCs w:val="24"/>
        </w:rPr>
        <w:t>to</w:t>
      </w:r>
      <w:r>
        <w:rPr>
          <w:rFonts w:eastAsia="Times New Roman" w:cs="Times New Roman"/>
          <w:b/>
          <w:bCs/>
          <w:sz w:val="24"/>
          <w:szCs w:val="24"/>
        </w:rPr>
        <w:t xml:space="preserve"> </w:t>
      </w:r>
      <w:r>
        <w:rPr>
          <w:b/>
          <w:bCs/>
          <w:sz w:val="24"/>
          <w:szCs w:val="24"/>
        </w:rPr>
        <w:t>the</w:t>
      </w:r>
      <w:r>
        <w:rPr>
          <w:rFonts w:eastAsia="Times New Roman" w:cs="Times New Roman"/>
          <w:b/>
          <w:bCs/>
          <w:sz w:val="24"/>
          <w:szCs w:val="24"/>
        </w:rPr>
        <w:t xml:space="preserve"> </w:t>
      </w:r>
      <w:r>
        <w:rPr>
          <w:b/>
          <w:bCs/>
          <w:sz w:val="24"/>
          <w:szCs w:val="24"/>
        </w:rPr>
        <w:t>UN,</w:t>
      </w:r>
      <w:r>
        <w:rPr>
          <w:rFonts w:eastAsia="Times New Roman" w:cs="Times New Roman"/>
          <w:b/>
          <w:bCs/>
          <w:sz w:val="24"/>
          <w:szCs w:val="24"/>
        </w:rPr>
        <w:t xml:space="preserve"> </w:t>
      </w:r>
      <w:r>
        <w:rPr>
          <w:b/>
          <w:bCs/>
          <w:sz w:val="24"/>
          <w:szCs w:val="24"/>
        </w:rPr>
        <w:t>Geneva</w:t>
      </w:r>
    </w:p>
    <w:p>
      <w:pPr>
        <w:pStyle w:val="Normal"/>
        <w:jc w:val="both"/>
        <w:rPr>
          <w:b/>
          <w:b/>
          <w:bCs/>
          <w:sz w:val="24"/>
          <w:szCs w:val="24"/>
        </w:rPr>
      </w:pPr>
      <w:r>
        <w:rPr>
          <w:b/>
          <w:bCs/>
          <w:sz w:val="24"/>
          <w:szCs w:val="24"/>
        </w:rPr>
        <w:tab/>
        <w:tab/>
        <w:tab/>
        <w:tab/>
        <w:tab/>
        <w:tab/>
        <w:tab/>
        <w:t>derekubrett@gmail.com</w:t>
      </w:r>
    </w:p>
    <w:p>
      <w:pPr>
        <w:pStyle w:val="Normal"/>
        <w:jc w:val="both"/>
        <w:rPr/>
      </w:pPr>
      <w:r>
        <w:rPr>
          <w:b/>
          <w:bCs/>
          <w:sz w:val="24"/>
          <w:szCs w:val="24"/>
        </w:rPr>
        <w:tab/>
        <w:tab/>
        <w:tab/>
        <w:tab/>
        <w:tab/>
        <w:tab/>
        <w:tab/>
        <w:t>Tel:</w:t>
      </w:r>
      <w:r>
        <w:rPr>
          <w:rFonts w:eastAsia="Times New Roman" w:cs="Times New Roman"/>
          <w:b/>
          <w:bCs/>
          <w:sz w:val="24"/>
          <w:szCs w:val="24"/>
        </w:rPr>
        <w:t xml:space="preserve">  </w:t>
      </w:r>
      <w:r>
        <w:rPr>
          <w:b/>
          <w:bCs/>
          <w:sz w:val="24"/>
          <w:szCs w:val="24"/>
        </w:rPr>
        <w:t>(41)</w:t>
      </w:r>
      <w:r>
        <w:rPr>
          <w:rFonts w:eastAsia="Times New Roman" w:cs="Times New Roman"/>
          <w:b/>
          <w:bCs/>
          <w:sz w:val="24"/>
          <w:szCs w:val="24"/>
        </w:rPr>
        <w:t xml:space="preserve"> </w:t>
      </w:r>
      <w:r>
        <w:rPr>
          <w:b/>
          <w:bCs/>
          <w:sz w:val="24"/>
          <w:szCs w:val="24"/>
        </w:rPr>
        <w:t>77</w:t>
      </w:r>
      <w:r>
        <w:rPr>
          <w:rFonts w:eastAsia="Times New Roman" w:cs="Times New Roman"/>
          <w:b/>
          <w:bCs/>
          <w:sz w:val="24"/>
          <w:szCs w:val="24"/>
        </w:rPr>
        <w:t xml:space="preserve">  </w:t>
      </w:r>
      <w:r>
        <w:rPr>
          <w:b/>
          <w:bCs/>
          <w:sz w:val="24"/>
          <w:szCs w:val="24"/>
        </w:rPr>
        <w:t>444 4420</w:t>
      </w:r>
    </w:p>
    <w:p>
      <w:pPr>
        <w:pStyle w:val="Normal"/>
        <w:jc w:val="both"/>
        <w:rPr/>
      </w:pPr>
      <w:r>
        <w:rPr/>
      </w:r>
    </w:p>
    <w:p>
      <w:pPr>
        <w:pStyle w:val="Normal"/>
        <w:jc w:val="both"/>
        <w:rPr/>
      </w:pPr>
      <w:r>
        <w:rPr/>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t>CPTI aims to supply information on all States with armed forces which report under the International Covenant on Civil and Political Rights (ICCPR) with regard to their military recruitment legislation and their recognition of the right of conscientious objection, even when there appear to be no urgent questions arising.</w:t>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t>In association with the Child Rights International Network, CPTI also reports to the Committee on the Rights of the Child on States where there appear to be issues under the Optional Protocol to the Convention on the Rights of the Child on the involvement of children in armed conflict, and although these issues do not necessarily have implications for the ICCPR, such concerns are also summarised in these submissions.</w:t>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Normal"/>
        <w:jc w:val="both"/>
        <w:rPr/>
      </w:pPr>
      <w:r>
        <w:rPr>
          <w:b/>
          <w:bCs/>
          <w:sz w:val="24"/>
          <w:szCs w:val="24"/>
          <w:u w:val="single"/>
        </w:rPr>
        <w:t>SUMMARY:</w:t>
      </w:r>
      <w:r>
        <w:rPr>
          <w:b/>
          <w:bCs/>
          <w:sz w:val="24"/>
          <w:szCs w:val="24"/>
        </w:rPr>
        <w:t xml:space="preserve">  </w:t>
      </w:r>
    </w:p>
    <w:p>
      <w:pPr>
        <w:pStyle w:val="Normal"/>
        <w:jc w:val="both"/>
        <w:rPr/>
      </w:pPr>
      <w:r>
        <w:rPr>
          <w:b/>
          <w:bCs/>
          <w:sz w:val="24"/>
          <w:szCs w:val="24"/>
        </w:rPr>
        <w:tab/>
        <w:t>The question of conscientious objection to military service was raised for the first time in the consideration of Austria’s Periodic Reports under the ICCPR with regard to the Fifth Periodic Report.  In its  Concluding Observations,  “</w:t>
      </w:r>
      <w:r>
        <w:rPr>
          <w:rFonts w:eastAsia="Arial Unicode MS" w:cs="DejaVu Serif" w:ascii="DejaVu Serif" w:hAnsi="DejaVu Serif"/>
          <w:b w:val="false"/>
          <w:bCs w:val="false"/>
          <w:sz w:val="21"/>
          <w:szCs w:val="21"/>
          <w:u w:val="none"/>
          <w:lang w:val="en-US"/>
        </w:rPr>
        <w:t xml:space="preserve"> </w:t>
      </w:r>
      <w:r>
        <w:rPr>
          <w:b/>
          <w:bCs/>
          <w:sz w:val="24"/>
          <w:szCs w:val="24"/>
        </w:rPr>
        <w:t>“The Committee note[d]  that the length of the civilian alternative service to military service for conscientious objectors is longer than military service and may be punitively long if not based on reasonable and objective grounds”, and “encouraged the State party to ensure that the length of service alternative to military service required for conscientious objectors is not punitive in nature.”</w:t>
      </w:r>
      <w:r>
        <w:rPr>
          <w:rStyle w:val="FootnoteAnchor"/>
          <w:b/>
          <w:bCs/>
          <w:sz w:val="24"/>
          <w:szCs w:val="24"/>
        </w:rPr>
        <w:footnoteReference w:id="2"/>
      </w:r>
    </w:p>
    <w:p>
      <w:pPr>
        <w:pStyle w:val="Normal"/>
        <w:jc w:val="both"/>
        <w:rPr/>
      </w:pPr>
      <w:r>
        <w:rPr>
          <w:rStyle w:val="FootnoteAnchor"/>
          <w:b/>
          <w:bCs/>
          <w:sz w:val="24"/>
          <w:szCs w:val="24"/>
        </w:rPr>
        <w:tab/>
      </w:r>
      <w:r>
        <w:rPr>
          <w:b/>
          <w:bCs/>
          <w:sz w:val="24"/>
          <w:szCs w:val="24"/>
        </w:rPr>
        <w:t xml:space="preserve">Unfortunately, this discrepancy persists, and should, we submit, be raised in the List of Issues prior to Austria’s Sixth Periodic Report.  We suggest that it would also be appropriate to ask about </w:t>
      </w:r>
      <w:r>
        <w:rPr>
          <w:rFonts w:cs="DejaVu Serif" w:ascii="DejaVu Serif" w:hAnsi="DejaVu Serif"/>
          <w:b/>
          <w:bCs/>
          <w:sz w:val="21"/>
          <w:szCs w:val="21"/>
          <w:u w:val="none"/>
        </w:rPr>
        <w:t xml:space="preserve">the conditions governing recognition as a conscientious objector and admission to civilian service, including the debarment of anyone who has ever held a firearms licence for any purpose, and also how </w:t>
      </w:r>
      <w:r>
        <w:rPr>
          <w:rFonts w:cs="DejaVu Serif" w:ascii="DejaVu Serif" w:hAnsi="DejaVu Serif"/>
          <w:b/>
          <w:bCs/>
          <w:sz w:val="21"/>
          <w:szCs w:val="21"/>
        </w:rPr>
        <w:t>the strict time limits on applications can be reconciled with the freedom of those affected to change their religion or beliefs, an issue which also arises in the situation where a serving member of the armed forces seeks release having developed conscientious objections.</w:t>
      </w:r>
      <w:r>
        <w:rPr>
          <w:b/>
          <w:bCs/>
          <w:sz w:val="24"/>
          <w:szCs w:val="24"/>
        </w:rPr>
        <w:t xml:space="preserve"> </w:t>
      </w:r>
    </w:p>
    <w:p>
      <w:pPr>
        <w:pStyle w:val="Normal"/>
        <w:bidi w:val="0"/>
        <w:spacing w:lineRule="auto" w:line="240"/>
        <w:jc w:val="both"/>
        <w:rPr>
          <w:rFonts w:ascii="Times New Roman" w:hAnsi="Times New Roman" w:cs="Times New Roman"/>
          <w:b/>
          <w:b/>
          <w:bCs/>
          <w:sz w:val="24"/>
          <w:szCs w:val="24"/>
        </w:rPr>
      </w:pPr>
      <w:r>
        <w:rPr>
          <w:rFonts w:cs="Times New Roman"/>
          <w:b/>
          <w:bCs/>
          <w:sz w:val="24"/>
          <w:szCs w:val="24"/>
        </w:rPr>
        <w:tab/>
        <w:t>Finally, we draw attention to the questionable provision allowing individual conscripts to opt to begin their obligatory military service “voluntarily” while still minors.</w:t>
      </w:r>
    </w:p>
    <w:p>
      <w:pPr>
        <w:pStyle w:val="BasicParagraph"/>
        <w:bidi w:val="0"/>
        <w:spacing w:lineRule="auto" w:line="24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Normal"/>
        <w:jc w:val="both"/>
        <w:rPr/>
      </w:pPr>
      <w:r>
        <w:rPr>
          <w:sz w:val="24"/>
          <w:szCs w:val="24"/>
          <w:u w:val="single"/>
        </w:rPr>
        <w:t>Background</w:t>
      </w:r>
    </w:p>
    <w:p>
      <w:pPr>
        <w:pStyle w:val="Normal"/>
        <w:ind w:left="0" w:right="0" w:firstLine="720"/>
        <w:jc w:val="both"/>
        <w:rPr>
          <w:sz w:val="24"/>
          <w:szCs w:val="24"/>
        </w:rPr>
      </w:pPr>
      <w:r>
        <w:rPr>
          <w:sz w:val="24"/>
          <w:szCs w:val="24"/>
        </w:rPr>
      </w:r>
    </w:p>
    <w:p>
      <w:pPr>
        <w:pStyle w:val="Normal"/>
        <w:ind w:left="0" w:right="0" w:firstLine="720"/>
        <w:jc w:val="both"/>
        <w:rPr>
          <w:sz w:val="24"/>
          <w:szCs w:val="24"/>
        </w:rPr>
      </w:pPr>
      <w:r>
        <w:rPr>
          <w:sz w:val="24"/>
          <w:szCs w:val="24"/>
        </w:rPr>
        <w:t xml:space="preserve">Under the 1919 Treaty of Versailles, Austria was prohibited from maintaining conscription.  From 1938 to 1945 conscription into the German Army was imposed.  Opposition genarally went underground, but, as in Germany itself, an unknown number of conscientious objectors openly declared themselves.  Most were shot.  </w:t>
      </w:r>
    </w:p>
    <w:p>
      <w:pPr>
        <w:pStyle w:val="Normal"/>
        <w:jc w:val="both"/>
        <w:rPr>
          <w:sz w:val="24"/>
          <w:szCs w:val="24"/>
        </w:rPr>
      </w:pPr>
      <w:r>
        <w:rPr>
          <w:sz w:val="24"/>
          <w:szCs w:val="24"/>
        </w:rPr>
        <w:tab/>
      </w:r>
    </w:p>
    <w:p>
      <w:pPr>
        <w:pStyle w:val="Normal"/>
        <w:jc w:val="both"/>
        <w:rPr/>
      </w:pPr>
      <w:r>
        <w:rPr>
          <w:sz w:val="24"/>
          <w:szCs w:val="24"/>
        </w:rPr>
        <w:tab/>
        <w:t>Obligatory military service in Austrian armed forces was introduced only by the Defence Act (</w:t>
      </w:r>
      <w:r>
        <w:rPr>
          <w:i/>
          <w:iCs/>
          <w:sz w:val="24"/>
          <w:szCs w:val="24"/>
        </w:rPr>
        <w:t xml:space="preserve">Wehrgesetz) </w:t>
      </w:r>
      <w:r>
        <w:rPr>
          <w:sz w:val="24"/>
          <w:szCs w:val="24"/>
        </w:rPr>
        <w:t>of 1955, which expressly recognised conscientious objection and permitted recognised conscientious objectors to perform non-combatant service in the medical or clerical corps; this service was of 12 months, as against 9 months in the military.</w:t>
      </w:r>
      <w:r>
        <w:rPr>
          <w:rStyle w:val="FootnoteAnchor"/>
          <w:sz w:val="24"/>
          <w:szCs w:val="24"/>
        </w:rPr>
        <w:footnoteReference w:id="3"/>
      </w:r>
      <w:r>
        <w:rPr>
          <w:sz w:val="24"/>
          <w:szCs w:val="24"/>
        </w:rPr>
        <w:t xml:space="preserve">   This Act has been revised several times - most recently in 1990 and 2001. </w:t>
      </w:r>
    </w:p>
    <w:p>
      <w:pPr>
        <w:pStyle w:val="Normal"/>
        <w:jc w:val="both"/>
        <w:rPr>
          <w:sz w:val="24"/>
          <w:szCs w:val="24"/>
        </w:rPr>
      </w:pPr>
      <w:r>
        <w:rPr>
          <w:sz w:val="24"/>
          <w:szCs w:val="24"/>
        </w:rPr>
        <w:tab/>
      </w:r>
    </w:p>
    <w:p>
      <w:pPr>
        <w:pStyle w:val="Normal"/>
        <w:jc w:val="both"/>
        <w:rPr/>
      </w:pPr>
      <w:r>
        <w:rPr>
          <w:sz w:val="24"/>
          <w:szCs w:val="24"/>
        </w:rPr>
        <w:tab/>
      </w:r>
      <w:r>
        <w:rPr>
          <w:b w:val="false"/>
          <w:bCs w:val="false"/>
          <w:sz w:val="24"/>
          <w:szCs w:val="24"/>
        </w:rPr>
        <w:t>A genuinely civilian “substitute” service</w:t>
      </w:r>
      <w:r>
        <w:rPr>
          <w:rStyle w:val="FootnoteAnchor"/>
          <w:b w:val="false"/>
          <w:bCs w:val="false"/>
          <w:sz w:val="24"/>
          <w:szCs w:val="24"/>
        </w:rPr>
        <w:footnoteReference w:id="4"/>
      </w:r>
      <w:r>
        <w:rPr>
          <w:b w:val="false"/>
          <w:bCs w:val="false"/>
          <w:sz w:val="24"/>
          <w:szCs w:val="24"/>
        </w:rPr>
        <w:t xml:space="preserve"> for conscientious objectors was introduced in the Civilian Service Act (</w:t>
      </w:r>
      <w:r>
        <w:rPr>
          <w:b w:val="false"/>
          <w:bCs w:val="false"/>
          <w:i/>
          <w:iCs/>
          <w:sz w:val="24"/>
          <w:szCs w:val="24"/>
        </w:rPr>
        <w:t>Zivildienstgesetz</w:t>
      </w:r>
      <w:r>
        <w:rPr>
          <w:b w:val="false"/>
          <w:bCs w:val="false"/>
          <w:sz w:val="24"/>
          <w:szCs w:val="24"/>
        </w:rPr>
        <w:t>) of 1974.</w:t>
      </w:r>
      <w:r>
        <w:rPr>
          <w:b/>
          <w:bCs/>
          <w:sz w:val="24"/>
          <w:szCs w:val="24"/>
        </w:rPr>
        <w:t xml:space="preserve"> </w:t>
      </w:r>
      <w:r>
        <w:rPr>
          <w:sz w:val="24"/>
          <w:szCs w:val="24"/>
        </w:rPr>
        <w:t xml:space="preserve"> The legislation currently in force is the revised Act, No. 679/1986, with subsequent amendments, most recently in Act No. 106/2005.  Initially, the duration of civilian service was the same as that of military service.  All claims of conscientious objection were scrutinised individually and involved a personal appearance in front of the investigating commission.  The amending Act (</w:t>
      </w:r>
      <w:r>
        <w:rPr>
          <w:i/>
          <w:iCs/>
          <w:sz w:val="24"/>
          <w:szCs w:val="24"/>
        </w:rPr>
        <w:t>ZDG-Novelle</w:t>
      </w:r>
      <w:r>
        <w:rPr>
          <w:sz w:val="24"/>
          <w:szCs w:val="24"/>
        </w:rPr>
        <w:t xml:space="preserve">) of 1991 abolished this process, but at the same time increased the length of the Civilian Service from 8 to 10 months.  There were further increases to 11 months in 1994 and to 12 months in 1996.  Amending Acts of 2005 reduced the duration of military and civilian service to six months and nine months respectively, thus maintaining the 150% ratio. </w:t>
      </w:r>
    </w:p>
    <w:p>
      <w:pPr>
        <w:pStyle w:val="Normal"/>
        <w:jc w:val="both"/>
        <w:rPr>
          <w:sz w:val="24"/>
          <w:szCs w:val="24"/>
        </w:rPr>
      </w:pPr>
      <w:r>
        <w:rPr>
          <w:sz w:val="24"/>
          <w:szCs w:val="24"/>
        </w:rPr>
      </w:r>
    </w:p>
    <w:p>
      <w:pPr>
        <w:pStyle w:val="Normal"/>
        <w:jc w:val="both"/>
        <w:rPr/>
      </w:pPr>
      <w:r>
        <w:rPr>
          <w:sz w:val="24"/>
          <w:szCs w:val="24"/>
        </w:rPr>
        <w:tab/>
        <w:t xml:space="preserve">These provisions continue to apply, </w:t>
      </w:r>
      <w:r>
        <w:rPr>
          <w:b w:val="false"/>
          <w:bCs w:val="false"/>
          <w:sz w:val="24"/>
          <w:szCs w:val="24"/>
        </w:rPr>
        <w:t xml:space="preserve"> Austrian citizens having, by a margin of 59.8% to 40.2%,</w:t>
      </w:r>
      <w:r>
        <w:rPr>
          <w:rStyle w:val="FootnoteAnchor"/>
          <w:b w:val="false"/>
          <w:bCs w:val="false"/>
          <w:sz w:val="24"/>
          <w:szCs w:val="24"/>
        </w:rPr>
        <w:footnoteReference w:id="5"/>
      </w:r>
      <w:r>
        <w:rPr>
          <w:b w:val="false"/>
          <w:bCs w:val="false"/>
          <w:sz w:val="24"/>
          <w:szCs w:val="24"/>
        </w:rPr>
        <w:t xml:space="preserve"> in a referendum held on 20</w:t>
      </w:r>
      <w:r>
        <w:rPr>
          <w:b w:val="false"/>
          <w:bCs w:val="false"/>
          <w:sz w:val="24"/>
          <w:szCs w:val="24"/>
          <w:vertAlign w:val="superscript"/>
        </w:rPr>
        <w:t>th</w:t>
      </w:r>
      <w:r>
        <w:rPr>
          <w:b w:val="false"/>
          <w:bCs w:val="false"/>
          <w:sz w:val="24"/>
          <w:szCs w:val="24"/>
        </w:rPr>
        <w:t xml:space="preserve"> January 2013, turned down an initiative to abolish conscription.</w:t>
      </w:r>
    </w:p>
    <w:p>
      <w:pPr>
        <w:pStyle w:val="Normal"/>
        <w:jc w:val="both"/>
        <w:rPr>
          <w:b w:val="false"/>
          <w:b w:val="false"/>
          <w:bCs w:val="false"/>
          <w:sz w:val="24"/>
          <w:szCs w:val="24"/>
        </w:rPr>
      </w:pPr>
      <w:r>
        <w:rPr>
          <w:b w:val="false"/>
          <w:bCs w:val="false"/>
          <w:sz w:val="24"/>
          <w:szCs w:val="24"/>
        </w:rPr>
      </w:r>
    </w:p>
    <w:p>
      <w:pPr>
        <w:pStyle w:val="Normal"/>
        <w:jc w:val="both"/>
        <w:rPr/>
      </w:pPr>
      <w:r>
        <w:rPr>
          <w:sz w:val="24"/>
          <w:szCs w:val="24"/>
        </w:rPr>
        <w:tab/>
      </w:r>
      <w:r>
        <w:rPr>
          <w:b w:val="false"/>
          <w:bCs w:val="false"/>
          <w:sz w:val="24"/>
          <w:szCs w:val="24"/>
        </w:rPr>
        <w:t>Under the current arrangements all resident male Austrian citizens are obliged to register for military service during the calendar year of their 18</w:t>
      </w:r>
      <w:r>
        <w:rPr>
          <w:b w:val="false"/>
          <w:bCs w:val="false"/>
          <w:sz w:val="24"/>
          <w:szCs w:val="24"/>
          <w:vertAlign w:val="superscript"/>
        </w:rPr>
        <w:t>th</w:t>
      </w:r>
      <w:r>
        <w:rPr>
          <w:b w:val="false"/>
          <w:bCs w:val="false"/>
          <w:sz w:val="24"/>
          <w:szCs w:val="24"/>
        </w:rPr>
        <w:t xml:space="preserve"> birthday; thus those born in 2006 are being registered in 2024.</w:t>
      </w:r>
      <w:r>
        <w:rPr>
          <w:sz w:val="24"/>
          <w:szCs w:val="24"/>
        </w:rPr>
        <w:t xml:space="preserve">  The only absolute exceptions are for priests, members of holy orders, theological students training for a career in the ministry, or those who following such studies are engaged in pastoral work or spiritual teaching - provided in all cases that they are members of “recognised religions”</w:t>
      </w:r>
      <w:r>
        <w:rPr>
          <w:rStyle w:val="FootnoteAnchor"/>
          <w:sz w:val="24"/>
          <w:szCs w:val="24"/>
        </w:rPr>
        <w:footnoteReference w:id="6"/>
      </w:r>
      <w:r>
        <w:rPr>
          <w:sz w:val="24"/>
          <w:szCs w:val="24"/>
        </w:rPr>
        <w:t xml:space="preserve">. </w:t>
      </w:r>
      <w:r>
        <w:rPr>
          <w:b/>
          <w:bCs/>
          <w:sz w:val="24"/>
          <w:szCs w:val="24"/>
        </w:rPr>
        <w:t xml:space="preserve"> </w:t>
      </w:r>
      <w:r>
        <w:rPr>
          <w:b w:val="false"/>
          <w:bCs w:val="false"/>
          <w:sz w:val="24"/>
          <w:szCs w:val="24"/>
        </w:rPr>
        <w:t xml:space="preserve">In the cases of </w:t>
      </w:r>
      <w:r>
        <w:rPr>
          <w:b w:val="false"/>
          <w:bCs w:val="false"/>
          <w:i/>
          <w:iCs/>
          <w:sz w:val="24"/>
          <w:szCs w:val="24"/>
        </w:rPr>
        <w:t>Gütl v. Austria</w:t>
      </w:r>
      <w:r>
        <w:rPr>
          <w:b w:val="false"/>
          <w:bCs w:val="false"/>
          <w:sz w:val="24"/>
          <w:szCs w:val="24"/>
        </w:rPr>
        <w:t xml:space="preserve"> and </w:t>
      </w:r>
      <w:r>
        <w:rPr>
          <w:b w:val="false"/>
          <w:bCs w:val="false"/>
          <w:i/>
          <w:iCs/>
          <w:sz w:val="24"/>
          <w:szCs w:val="24"/>
        </w:rPr>
        <w:t>Löffelmann v. Austria</w:t>
      </w:r>
      <w:r>
        <w:rPr>
          <w:b w:val="false"/>
          <w:bCs w:val="false"/>
          <w:sz w:val="24"/>
          <w:szCs w:val="24"/>
        </w:rPr>
        <w:t xml:space="preserve">  the European Court of Human Rights</w:t>
      </w:r>
      <w:r>
        <w:rPr>
          <w:rStyle w:val="FootnoteAnchor"/>
          <w:b w:val="false"/>
          <w:bCs w:val="false"/>
        </w:rPr>
        <w:footnoteReference w:id="7"/>
      </w:r>
      <w:r>
        <w:rPr>
          <w:b w:val="false"/>
          <w:bCs w:val="false"/>
        </w:rPr>
        <w:t xml:space="preserve"> found violations because </w:t>
      </w:r>
      <w:r>
        <w:rPr>
          <w:b w:val="false"/>
          <w:bCs w:val="false"/>
          <w:sz w:val="24"/>
          <w:szCs w:val="24"/>
        </w:rPr>
        <w:t xml:space="preserve">the Jehovah’s Witnesses, having the status only of a “registered religious community” do not benefit from the complete exemptions granted to clergy of recognised churches. </w:t>
      </w:r>
      <w:r>
        <w:rPr>
          <w:b/>
          <w:bCs/>
          <w:sz w:val="24"/>
          <w:szCs w:val="24"/>
        </w:rPr>
        <w:t xml:space="preserve">  </w:t>
      </w:r>
    </w:p>
    <w:p>
      <w:pPr>
        <w:pStyle w:val="Normal"/>
        <w:jc w:val="both"/>
        <w:rPr>
          <w:b/>
          <w:b/>
          <w:bCs/>
          <w:sz w:val="24"/>
          <w:szCs w:val="24"/>
        </w:rPr>
      </w:pPr>
      <w:r>
        <w:rPr>
          <w:b/>
          <w:bCs/>
          <w:sz w:val="24"/>
          <w:szCs w:val="24"/>
        </w:rPr>
      </w:r>
    </w:p>
    <w:p>
      <w:pPr>
        <w:pStyle w:val="Normal"/>
        <w:jc w:val="both"/>
        <w:rPr/>
      </w:pPr>
      <w:r>
        <w:rPr>
          <w:b/>
          <w:bCs/>
          <w:sz w:val="24"/>
          <w:szCs w:val="24"/>
        </w:rPr>
        <w:tab/>
      </w:r>
      <w:r>
        <w:rPr>
          <w:b w:val="false"/>
          <w:bCs w:val="false"/>
          <w:sz w:val="24"/>
          <w:szCs w:val="24"/>
        </w:rPr>
        <w:t>Recent changes have introduced a category of “partial fitness” (</w:t>
      </w:r>
      <w:r>
        <w:rPr>
          <w:b w:val="false"/>
          <w:bCs w:val="false"/>
          <w:i/>
          <w:iCs/>
          <w:sz w:val="24"/>
          <w:szCs w:val="24"/>
        </w:rPr>
        <w:t>Teilauglishkeit</w:t>
      </w:r>
      <w:r>
        <w:rPr>
          <w:b w:val="false"/>
          <w:bCs w:val="false"/>
          <w:i w:val="false"/>
          <w:iCs w:val="false"/>
          <w:sz w:val="24"/>
          <w:szCs w:val="24"/>
        </w:rPr>
        <w:t>)</w:t>
      </w:r>
      <w:r>
        <w:rPr>
          <w:b w:val="false"/>
          <w:bCs w:val="false"/>
          <w:sz w:val="24"/>
          <w:szCs w:val="24"/>
        </w:rPr>
        <w:t xml:space="preserve"> for service, and admitted women to military service on a voluntary basis.    The “partially fit” category was introduced in January 2021</w:t>
      </w:r>
      <w:r>
        <w:rPr>
          <w:rFonts w:cs="Tahoma;sans-serif"/>
          <w:b w:val="false"/>
          <w:bCs/>
          <w:i w:val="false"/>
          <w:caps w:val="false"/>
          <w:smallCaps w:val="false"/>
          <w:strike w:val="false"/>
          <w:dstrike w:val="false"/>
          <w:color w:val="000000"/>
          <w:sz w:val="24"/>
          <w:szCs w:val="24"/>
          <w:u w:val="none"/>
          <w:shd w:fill="auto" w:val="clear"/>
        </w:rPr>
        <w:t xml:space="preserve"> </w:t>
      </w:r>
      <w:bookmarkStart w:id="0" w:name="docs-internal-guid-5b2c26a4-7fff-cf69-4d"/>
      <w:bookmarkEnd w:id="0"/>
      <w:r>
        <w:rPr>
          <w:rFonts w:cs="Tahoma;sans-serif"/>
          <w:b w:val="false"/>
          <w:bCs w:val="false"/>
          <w:i w:val="false"/>
          <w:caps w:val="false"/>
          <w:smallCaps w:val="false"/>
          <w:strike w:val="false"/>
          <w:dstrike w:val="false"/>
          <w:color w:val="000000"/>
          <w:sz w:val="24"/>
          <w:szCs w:val="24"/>
          <w:u w:val="none"/>
          <w:shd w:fill="auto" w:val="clear"/>
        </w:rPr>
        <w:t>with the intention of reducing the number of men deemed unfit.</w:t>
      </w:r>
      <w:r>
        <w:rPr>
          <w:rFonts w:cs="Tahoma;sans-serif" w:ascii="Tahoma;sans-serif" w:hAnsi="Tahoma;sans-serif"/>
          <w:b w:val="false"/>
          <w:bCs/>
          <w:i w:val="false"/>
          <w:caps w:val="false"/>
          <w:smallCaps w:val="false"/>
          <w:strike w:val="false"/>
          <w:dstrike w:val="false"/>
          <w:color w:val="000000"/>
          <w:sz w:val="22"/>
          <w:szCs w:val="24"/>
          <w:u w:val="none"/>
          <w:shd w:fill="auto" w:val="clear"/>
        </w:rPr>
        <w:t xml:space="preserve"> </w:t>
      </w:r>
      <w:r>
        <w:rPr>
          <w:rFonts w:cs="Tahoma;sans-serif"/>
          <w:b w:val="false"/>
          <w:bCs/>
          <w:i w:val="false"/>
          <w:caps w:val="false"/>
          <w:smallCaps w:val="false"/>
          <w:strike w:val="false"/>
          <w:dstrike w:val="false"/>
          <w:color w:val="000000"/>
          <w:sz w:val="24"/>
          <w:szCs w:val="24"/>
          <w:u w:val="none"/>
          <w:shd w:fill="auto" w:val="clear"/>
        </w:rPr>
        <w:t>Although the official government websites do not go into great detail what encompasses partial fitness, it aims to enable recruits with “slight limitation” to perform their service through simpler tasks that could suit them, such as “in offices, in army kitchens or in IT departments if the</w:t>
      </w:r>
      <w:r>
        <w:rPr>
          <w:b/>
          <w:bCs/>
          <w:sz w:val="24"/>
          <w:szCs w:val="24"/>
        </w:rPr>
        <w:t xml:space="preserve"> </w:t>
      </w:r>
      <w:r>
        <w:rPr>
          <w:rFonts w:cs="Times New Roman"/>
          <w:b w:val="false"/>
          <w:bCs/>
          <w:i w:val="false"/>
          <w:caps w:val="false"/>
          <w:smallCaps w:val="false"/>
          <w:strike w:val="false"/>
          <w:dstrike w:val="false"/>
          <w:color w:val="000000"/>
          <w:sz w:val="24"/>
          <w:szCs w:val="24"/>
          <w:u w:val="none"/>
          <w:shd w:fill="auto" w:val="clear"/>
        </w:rPr>
        <w:t>appropriate knowledge is available</w:t>
      </w:r>
      <w:r>
        <w:rPr>
          <w:rFonts w:cs="Times New Roman"/>
          <w:b w:val="false"/>
          <w:bCs/>
          <w:i w:val="false"/>
          <w:caps w:val="false"/>
          <w:smallCaps w:val="false"/>
          <w:strike w:val="false"/>
          <w:dstrike w:val="false"/>
          <w:color w:val="000000"/>
          <w:sz w:val="22"/>
          <w:szCs w:val="24"/>
          <w:u w:val="none"/>
          <w:shd w:fill="auto" w:val="clear"/>
        </w:rPr>
        <w:t>”</w:t>
      </w:r>
      <w:r>
        <w:rPr>
          <w:b/>
          <w:bCs/>
          <w:sz w:val="24"/>
          <w:szCs w:val="24"/>
        </w:rPr>
        <w:t xml:space="preserve"> </w:t>
      </w:r>
      <w:r>
        <w:rPr>
          <w:rStyle w:val="FootnoteAnchor"/>
          <w:b/>
          <w:bCs/>
          <w:sz w:val="24"/>
          <w:szCs w:val="24"/>
        </w:rPr>
        <w:footnoteReference w:id="8"/>
      </w:r>
      <w:r>
        <w:rPr>
          <w:b/>
          <w:bCs/>
          <w:sz w:val="24"/>
          <w:szCs w:val="24"/>
        </w:rPr>
        <w:t xml:space="preserve">   The </w:t>
      </w:r>
      <w:r>
        <w:rPr>
          <w:b w:val="false"/>
          <w:bCs w:val="false"/>
          <w:sz w:val="24"/>
          <w:szCs w:val="24"/>
        </w:rPr>
        <w:t>admission of female citizens took effect from 27</w:t>
      </w:r>
      <w:r>
        <w:rPr>
          <w:b w:val="false"/>
          <w:bCs w:val="false"/>
          <w:sz w:val="24"/>
          <w:szCs w:val="24"/>
          <w:vertAlign w:val="superscript"/>
        </w:rPr>
        <w:t>th</w:t>
      </w:r>
      <w:r>
        <w:rPr>
          <w:b w:val="false"/>
          <w:bCs w:val="false"/>
          <w:sz w:val="24"/>
          <w:szCs w:val="24"/>
        </w:rPr>
        <w:t xml:space="preserve"> April 2023; 212 volunteered in the first year</w:t>
      </w:r>
      <w:r>
        <w:rPr>
          <w:b/>
          <w:bCs/>
          <w:sz w:val="24"/>
          <w:szCs w:val="24"/>
        </w:rPr>
        <w:t>.</w:t>
      </w:r>
      <w:r>
        <w:rPr>
          <w:rStyle w:val="FootnoteAnchor"/>
          <w:b/>
          <w:bCs/>
          <w:sz w:val="24"/>
          <w:szCs w:val="24"/>
        </w:rPr>
        <w:footnoteReference w:id="9"/>
      </w:r>
      <w:r>
        <w:rPr>
          <w:b/>
          <w:bCs/>
          <w:sz w:val="24"/>
          <w:szCs w:val="24"/>
        </w:rPr>
        <w:t xml:space="preserve">  </w:t>
      </w:r>
    </w:p>
    <w:p>
      <w:pPr>
        <w:pStyle w:val="Normal"/>
        <w:jc w:val="both"/>
        <w:rPr/>
      </w:pPr>
      <w:r>
        <w:rPr/>
      </w:r>
    </w:p>
    <w:p>
      <w:pPr>
        <w:pStyle w:val="Normal"/>
        <w:jc w:val="both"/>
        <w:rPr>
          <w:sz w:val="24"/>
          <w:szCs w:val="24"/>
        </w:rPr>
      </w:pPr>
      <w:r>
        <w:rPr>
          <w:sz w:val="24"/>
          <w:szCs w:val="24"/>
        </w:rPr>
        <w:tab/>
        <w:t xml:space="preserve">A citizen liable for military service who has his principal residence outside Austria must report himself to the nearest embassy or consulate.  Should he return to live in Austria before the age of 35 he has three weeks in which to report to the provincial military headquarters.  In order to obtain exemption dual nationals “who fulfil the requirements of the Hague Protocol” are required to supply proof that they have already performed obligatory military service in the forces of another contracting State.  </w:t>
      </w:r>
      <w:r>
        <w:rPr>
          <w:b w:val="false"/>
          <w:bCs w:val="false"/>
          <w:sz w:val="24"/>
          <w:szCs w:val="24"/>
        </w:rPr>
        <w:t>However any Austrian citizen who enlists voluntarily in the service of another State, or performs even one day more than the service obligatorily required loses Austrian citizenship even if he (or she) thereby becomes stateless.</w:t>
      </w:r>
      <w:r>
        <w:rPr>
          <w:rStyle w:val="FootnoteAnchor"/>
          <w:b w:val="false"/>
          <w:bCs w:val="false"/>
          <w:sz w:val="24"/>
          <w:szCs w:val="24"/>
        </w:rPr>
        <w:footnoteReference w:id="10"/>
      </w:r>
    </w:p>
    <w:p>
      <w:pPr>
        <w:pStyle w:val="Normal"/>
        <w:jc w:val="both"/>
        <w:rPr>
          <w:sz w:val="24"/>
          <w:szCs w:val="24"/>
        </w:rPr>
      </w:pPr>
      <w:r>
        <w:rPr>
          <w:sz w:val="24"/>
          <w:szCs w:val="24"/>
        </w:rPr>
        <w:tab/>
      </w:r>
    </w:p>
    <w:p>
      <w:pPr>
        <w:pStyle w:val="Normal"/>
        <w:jc w:val="both"/>
        <w:rPr>
          <w:sz w:val="24"/>
          <w:szCs w:val="24"/>
        </w:rPr>
      </w:pPr>
      <w:r>
        <w:rPr>
          <w:sz w:val="24"/>
          <w:szCs w:val="24"/>
        </w:rPr>
        <w:tab/>
        <w:t xml:space="preserve">Those in the appropriate age cohort are summoned to register on a specific date according to commune of residence and alphabetical order of name.  The summons also applies in principle to anyone liable to military service who has for any reason not previously registered.  Identity documents and a considerable amount of medical information must be supplied; the principal function of this process is to identify any medical hindrances to recruitment.   Devout Islamic and Jewish recruits must provide certification from the appropriate religious authorities (which are both on the list of “recognised religions”); special arrangements will be made for their call up so that their military duties will not conflict with their religious observances; if this information is not provided until after call-up and it is impossible to make suitable arrangements the recruit concerned will be stood down and recalled the following year. </w:t>
      </w:r>
    </w:p>
    <w:p>
      <w:pPr>
        <w:pStyle w:val="Normal"/>
        <w:jc w:val="both"/>
        <w:rPr>
          <w:sz w:val="24"/>
          <w:szCs w:val="24"/>
        </w:rPr>
      </w:pPr>
      <w:r>
        <w:rPr>
          <w:sz w:val="24"/>
          <w:szCs w:val="24"/>
        </w:rPr>
      </w:r>
    </w:p>
    <w:p>
      <w:pPr>
        <w:pStyle w:val="Normal"/>
        <w:jc w:val="both"/>
        <w:rPr>
          <w:sz w:val="24"/>
          <w:szCs w:val="24"/>
        </w:rPr>
      </w:pPr>
      <w:r>
        <w:rPr>
          <w:sz w:val="24"/>
          <w:szCs w:val="24"/>
        </w:rPr>
        <w:tab/>
        <w:t>Although no recruit is subject to mandatory call-up until after his eighteenth birthday, from his seventeenth birthday, a citizen may anticipate the summons to register and, subject to the consent of parent or guardian, may choose immediately to enlist for his obligatory military service</w:t>
      </w:r>
    </w:p>
    <w:p>
      <w:pPr>
        <w:pStyle w:val="Normal"/>
        <w:jc w:val="both"/>
        <w:rPr>
          <w:sz w:val="24"/>
          <w:szCs w:val="24"/>
        </w:rPr>
      </w:pPr>
      <w:r>
        <w:rPr>
          <w:sz w:val="24"/>
          <w:szCs w:val="24"/>
        </w:rPr>
      </w:r>
    </w:p>
    <w:p>
      <w:pPr>
        <w:pStyle w:val="Normal"/>
        <w:jc w:val="both"/>
        <w:rPr/>
      </w:pPr>
      <w:r>
        <w:rPr>
          <w:sz w:val="24"/>
          <w:szCs w:val="24"/>
        </w:rPr>
        <w:tab/>
        <w:t>It is believed that the summons to register is accompanied by written information about the possibility of civilian service for conscientious objectors.</w:t>
      </w:r>
      <w:r>
        <w:rPr>
          <w:rStyle w:val="FootnoteAnchor"/>
          <w:sz w:val="24"/>
          <w:szCs w:val="24"/>
        </w:rPr>
        <w:footnoteReference w:id="11"/>
      </w:r>
      <w:r>
        <w:rPr>
          <w:sz w:val="24"/>
          <w:szCs w:val="24"/>
        </w:rPr>
        <w:t xml:space="preserve">   No mention of conscientious objection nor of civilian service can however be traced in the section of the Ministry of Defence website</w:t>
      </w:r>
      <w:r>
        <w:rPr>
          <w:rStyle w:val="FootnoteAnchor"/>
          <w:sz w:val="24"/>
          <w:szCs w:val="24"/>
        </w:rPr>
        <w:footnoteReference w:id="12"/>
      </w:r>
      <w:r>
        <w:rPr>
          <w:sz w:val="24"/>
          <w:szCs w:val="24"/>
        </w:rPr>
        <w:t xml:space="preserve"> containing information for recruits; for such information a conscientious objector would have to find the website of the Civilian Service Agency (</w:t>
      </w:r>
      <w:r>
        <w:rPr>
          <w:i/>
          <w:iCs/>
          <w:sz w:val="24"/>
          <w:szCs w:val="24"/>
        </w:rPr>
        <w:t>Zivildienstverwaltung</w:t>
      </w:r>
      <w:r>
        <w:rPr>
          <w:sz w:val="24"/>
          <w:szCs w:val="24"/>
        </w:rPr>
        <w:t>).</w:t>
      </w:r>
    </w:p>
    <w:p>
      <w:pPr>
        <w:pStyle w:val="Normal"/>
        <w:jc w:val="both"/>
        <w:rPr/>
      </w:pPr>
      <w:r>
        <w:rPr/>
      </w:r>
    </w:p>
    <w:p>
      <w:pPr>
        <w:pStyle w:val="Normal"/>
        <w:jc w:val="both"/>
        <w:rPr>
          <w:sz w:val="24"/>
          <w:szCs w:val="24"/>
        </w:rPr>
      </w:pPr>
      <w:r>
        <w:rPr>
          <w:sz w:val="24"/>
          <w:szCs w:val="24"/>
        </w:rPr>
        <w:tab/>
        <w:t>The requirement to perform military service applies until the acceptance of an application to perform Civilian Service, which must incorporate a declaration of conscientious objection fitting the description in the Act.  Helpfully, the application form which may be downloaded from the website of the Civilian Service Agency provides a preprinted declaration with the recommended wording ; all that the applicant needs to do is add his signature.  This reads:</w:t>
      </w:r>
    </w:p>
    <w:p>
      <w:pPr>
        <w:pStyle w:val="Normal"/>
        <w:jc w:val="both"/>
        <w:rPr/>
      </w:pPr>
      <w:r>
        <w:rPr>
          <w:rFonts w:eastAsia="Times New Roman" w:cs="Times New Roman"/>
          <w:sz w:val="24"/>
          <w:szCs w:val="24"/>
        </w:rPr>
        <w:t>“</w:t>
      </w:r>
      <w:r>
        <w:rPr>
          <w:sz w:val="24"/>
          <w:szCs w:val="24"/>
        </w:rPr>
        <w:t>I hereby expressly declare: a) that I am unable to perform military service because I refuse on grounds of conscience to resort to armed force against other human beings - except in self-defence or in emergency to protect others - and thus the performance of military service would present me with a crisis of conscience b) for that reason I wish to perform civilian service.”</w:t>
      </w:r>
      <w:r>
        <w:rPr>
          <w:rStyle w:val="FootnoteAnchor"/>
          <w:sz w:val="24"/>
          <w:szCs w:val="24"/>
        </w:rPr>
        <w:footnoteReference w:id="13"/>
      </w:r>
    </w:p>
    <w:p>
      <w:pPr>
        <w:pStyle w:val="Normal"/>
        <w:jc w:val="both"/>
        <w:rPr/>
      </w:pPr>
      <w:r>
        <w:rPr/>
      </w:r>
    </w:p>
    <w:p>
      <w:pPr>
        <w:pStyle w:val="Normal"/>
        <w:jc w:val="both"/>
        <w:rPr/>
      </w:pPr>
      <w:r>
        <w:rPr>
          <w:sz w:val="24"/>
          <w:szCs w:val="24"/>
        </w:rPr>
        <w:tab/>
        <w:t>The Austrian authorities have made it clear, however, that a  conscientious objector is free to make a declaration in his own words, and that the application need not be made on the prescribed form; it may even in the first instance be registered orally.</w:t>
      </w:r>
      <w:r>
        <w:rPr>
          <w:rStyle w:val="FootnoteAnchor"/>
          <w:sz w:val="24"/>
          <w:szCs w:val="24"/>
        </w:rPr>
        <w:footnoteReference w:id="14"/>
      </w:r>
      <w:r>
        <w:rPr>
          <w:sz w:val="24"/>
          <w:szCs w:val="24"/>
        </w:rPr>
        <w:t xml:space="preserve">  This could be important in view of the very strict time limits which apply.  Under Article 1(2) of the Civilian Service Act application to perform Civilian Service must be made within six months of receiving notification of fitness for military service following first registration; the right to apply for Civilian Service is however suspended from two days before the receipt of call-up notice until military service is performed or the call-up notice is rescinded; there is no possibility of a transfer to Civilian Service after call-up.  Moreover reservists may not declare themselves conscientious objectors until three years have elapsed from the day of their first call-up.  There are no legislative provisions to allow the release of regular members of the armed forces who declare a conscientious objection.  As recently as 1997, conscientious objectors whose applications had for various reasons been refused were facing conviction and imprisonment for their refusal of military service;</w:t>
      </w:r>
      <w:r>
        <w:rPr>
          <w:rStyle w:val="FootnoteAnchor"/>
          <w:sz w:val="24"/>
          <w:szCs w:val="24"/>
        </w:rPr>
        <w:footnoteReference w:id="15"/>
      </w:r>
      <w:r>
        <w:rPr>
          <w:sz w:val="24"/>
          <w:szCs w:val="24"/>
        </w:rPr>
        <w:t xml:space="preserve"> we have not however heard of any more recent instances.</w:t>
      </w:r>
    </w:p>
    <w:p>
      <w:pPr>
        <w:pStyle w:val="Normal"/>
        <w:jc w:val="both"/>
        <w:rPr/>
      </w:pPr>
      <w:r>
        <w:rPr/>
      </w:r>
    </w:p>
    <w:p>
      <w:pPr>
        <w:pStyle w:val="Normal"/>
        <w:jc w:val="both"/>
        <w:rPr/>
      </w:pPr>
      <w:r>
        <w:rPr>
          <w:sz w:val="24"/>
          <w:szCs w:val="24"/>
        </w:rPr>
        <w:tab/>
        <w:t>Under Article 5a(1) of the Act  those who have been convicted and sentenced to more than six months imprisonment for an offence involving violence or the threat of violence or the use of a firearm or explosives are permanently debarred from performing Alternative Civilian Service.  In the case of a genuine character reform or conversion the requirement thereafter to perform armed military service would seem a bizarre form of double punishment for past misdemeanours.  Members of the constabulary (</w:t>
      </w:r>
      <w:r>
        <w:rPr>
          <w:i/>
          <w:iCs/>
          <w:sz w:val="24"/>
          <w:szCs w:val="24"/>
        </w:rPr>
        <w:t>Wachkörper</w:t>
      </w:r>
      <w:r>
        <w:rPr>
          <w:sz w:val="24"/>
          <w:szCs w:val="24"/>
        </w:rPr>
        <w:t>) of regional authorities, whose duties will have involved carrying waepons, are also debarred  (Article 5a(2).  It is indeed implied in Article 6(3)(3) that having held a firearms licence for any purpose debars a person from Alternative Civilian Service.  Those who have performed Alternative Civilian Service are also banned from owning or carrying firearms for fifteen years after their service; an exception was introduced in 2010 to lift this condition for those wishing to pursue a career in the police, provided that they make a formal declaration that their conscientious doubts are over.</w:t>
      </w:r>
      <w:r>
        <w:rPr>
          <w:rStyle w:val="FootnoteAnchor"/>
          <w:sz w:val="24"/>
          <w:szCs w:val="24"/>
        </w:rPr>
        <w:footnoteReference w:id="16"/>
      </w:r>
    </w:p>
    <w:p>
      <w:pPr>
        <w:pStyle w:val="Normal"/>
        <w:jc w:val="both"/>
        <w:rPr/>
      </w:pPr>
      <w:r>
        <w:rPr/>
      </w:r>
    </w:p>
    <w:p>
      <w:pPr>
        <w:pStyle w:val="Normal"/>
        <w:jc w:val="both"/>
        <w:rPr/>
      </w:pPr>
      <w:r>
        <w:rPr>
          <w:b/>
          <w:bCs/>
          <w:sz w:val="24"/>
          <w:szCs w:val="24"/>
        </w:rPr>
        <w:tab/>
      </w:r>
      <w:r>
        <w:rPr>
          <w:sz w:val="24"/>
          <w:szCs w:val="24"/>
        </w:rPr>
        <w:t>In 2001, amendments to the legislation changed the payment arrangements for Alternative Civilian Service, putting the obligation upon the service provider, with a requirement that it provide an allowance sufficient to ensure adequate nutrition.  Many responded by granting an allowance of only €6 per diem; this was challenged in the constitutional Court, which in 2005 ruled that an allowance between €11.26 and €13.60, equivalent to that enjoyed by military conscripts, would be  appropriate.  Although the anomaly had reportedly not been rectified by 2008,</w:t>
      </w:r>
      <w:r>
        <w:rPr>
          <w:rStyle w:val="FootnoteAnchor"/>
          <w:sz w:val="24"/>
          <w:szCs w:val="24"/>
        </w:rPr>
        <w:footnoteReference w:id="17"/>
      </w:r>
      <w:r>
        <w:rPr>
          <w:sz w:val="24"/>
          <w:szCs w:val="24"/>
        </w:rPr>
        <w:t xml:space="preserve">  it seems that the payment for alternative civilian service has reverted to being set by the State, including also  compensation for the benefits in kind (accommodation, subsistence, clothing) which are intrinsic to military service; according to the official website monthly pay in alternative civilian service in 2024 is €585.10, (an increase of over 9% since 2023), as opposed to military pay of €238.32 plus an allowance of €124.77.  In both cases, “for those with families, financial support for housing as well as partners and children is also available. In addition all people undertaking national service have free travel on public transport in Austria”.</w:t>
      </w:r>
      <w:r>
        <w:rPr>
          <w:rStyle w:val="FootnoteAnchor"/>
          <w:sz w:val="24"/>
          <w:szCs w:val="24"/>
        </w:rPr>
        <w:footnoteReference w:id="18"/>
      </w:r>
      <w:r>
        <w:rPr>
          <w:sz w:val="24"/>
          <w:szCs w:val="24"/>
        </w:rPr>
        <w:t xml:space="preserve">  All these sums must nevertheless be seen in the context of a national minimum wage of €1,500 per month.</w:t>
      </w:r>
    </w:p>
    <w:p>
      <w:pPr>
        <w:pStyle w:val="Normal"/>
        <w:jc w:val="left"/>
        <w:rPr/>
      </w:pPr>
      <w:r>
        <w:rPr/>
      </w:r>
    </w:p>
    <w:p>
      <w:pPr>
        <w:pStyle w:val="Normal"/>
        <w:jc w:val="both"/>
        <w:rPr>
          <w:sz w:val="24"/>
          <w:szCs w:val="24"/>
        </w:rPr>
      </w:pPr>
      <w:r>
        <w:rPr>
          <w:sz w:val="24"/>
          <w:szCs w:val="24"/>
        </w:rPr>
        <w:tab/>
        <w:t xml:space="preserve">In 1975, the first year of the scheme, there were a mere 344 admissions to alternative civilian service.  By 1980, this had risen to over 2,000, and numbers fluctuated between 2,000 and 4,000 per annum until the abolition of the interviewing committee in 1991, when it rose to about 6,000.  Numbers then gradually rose to almost 16,000 in 2015, with only a slight temporary dip coinciding with the change in remuneration in 2001; since 2015 they have fluctuated between 13,000 and 16,000, representing between 40% and 50% of those passed fit for military service.  This masks sharp regional differences, with almost two-thirds of conscripts in Vienna undertaking  alternative service, while just over a quarter in Carinthia do so.  In 2023 there were 16,492 declarations of conscientious objection (from 53% of those eligible), resulting in 14,630 placements with 1,501 civilian service providers in about 3,000 “subordinate deployment locations”.  About 900 of those deemed “partially-fit” since the category was introduced in 2021 have applied for alternative service, a proportion similar to that of other conscripts. </w:t>
      </w:r>
    </w:p>
    <w:p>
      <w:pPr>
        <w:pStyle w:val="Normal"/>
        <w:jc w:val="left"/>
        <w:rPr/>
      </w:pPr>
      <w:r>
        <w:rPr/>
      </w:r>
    </w:p>
    <w:p>
      <w:pPr>
        <w:pStyle w:val="Normal"/>
        <w:jc w:val="both"/>
        <w:rPr>
          <w:sz w:val="24"/>
          <w:szCs w:val="24"/>
        </w:rPr>
      </w:pPr>
      <w:r>
        <w:rPr>
          <w:sz w:val="24"/>
          <w:szCs w:val="24"/>
        </w:rPr>
        <w:tab/>
        <w:t>The principal areas of placements were in emergency services  (40%), social and disability care (26.4%), care of the elderly (11.3%), hospitals (8.6%), child care (3.8%), civil defence (2.6%), refugee work (2.7%), “social services in agriculture” (1.2%), and “public safety”, including school crossing patrols (1.2%).  The remaining 2.1% were employed in a variety of areas including environmental services, drug users’ rehabilitation, memorial services and judicial establishments.</w:t>
      </w:r>
    </w:p>
    <w:p>
      <w:pPr>
        <w:pStyle w:val="Normal"/>
        <w:jc w:val="left"/>
        <w:rPr/>
      </w:pPr>
      <w:r>
        <w:rPr/>
      </w:r>
    </w:p>
    <w:p>
      <w:pPr>
        <w:pStyle w:val="Normal"/>
        <w:jc w:val="both"/>
        <w:rPr>
          <w:sz w:val="24"/>
          <w:szCs w:val="24"/>
        </w:rPr>
      </w:pPr>
      <w:r>
        <w:rPr>
          <w:sz w:val="24"/>
          <w:szCs w:val="24"/>
        </w:rPr>
        <w:tab/>
        <w:t>Since 1992, there has also been the possibility of discharging the requirement outside the state scheme by performing a twelve-month voluntary placement in one of three “Austrian Service Abroad” programmes; Holocaust memorial service, development service or peace service.  These are very popular, and there is often a waiting list of years; how the timing is reconciled with that of the regular alternative civilian service.  In recent years, ten month “Voluntary Ecological Year” and “Voluntary Social Year” programmes have also been added.</w:t>
      </w:r>
    </w:p>
    <w:p>
      <w:pPr>
        <w:pStyle w:val="Normal"/>
        <w:jc w:val="left"/>
        <w:rPr/>
      </w:pPr>
      <w:r>
        <w:rPr/>
      </w:r>
    </w:p>
    <w:p>
      <w:pPr>
        <w:pStyle w:val="Normal"/>
        <w:jc w:val="both"/>
        <w:rPr/>
      </w:pPr>
      <w:r>
        <w:rPr>
          <w:sz w:val="24"/>
          <w:szCs w:val="24"/>
        </w:rPr>
        <w:tab/>
        <w:t>Unusually, the alternative civilian service in Austria carries reserve obligations in time of emergency; until the age of 50 those who have performed the service can be called up to "Special Alternative Civilian Service" (</w:t>
      </w:r>
      <w:r>
        <w:rPr>
          <w:i/>
          <w:sz w:val="24"/>
          <w:szCs w:val="24"/>
        </w:rPr>
        <w:t>Außerordentlicher Zivildienst</w:t>
      </w:r>
      <w:r>
        <w:rPr>
          <w:sz w:val="24"/>
          <w:szCs w:val="24"/>
        </w:rPr>
        <w:t>).   This provision was invoked for the first, and hitherto the only, time during the initial stages of the Coronavirus crisis, when 2,000 alternative civilian service veterans agreed to join 1,500 persons whose current service was extended by three months in order to assist the medical services.</w:t>
      </w:r>
      <w:r>
        <w:rPr>
          <w:rStyle w:val="FootnoteAnchor"/>
          <w:sz w:val="24"/>
          <w:szCs w:val="24"/>
        </w:rPr>
        <w:footnoteReference w:id="19"/>
      </w:r>
      <w:r>
        <w:rPr>
          <w:sz w:val="24"/>
          <w:szCs w:val="24"/>
        </w:rPr>
        <w:t xml:space="preserve">   Despite the continuing progression of the pandemic, after the initial three months the programme was found to be no longer necessary and was brought to an end in July 2020.</w:t>
      </w:r>
      <w:r>
        <w:rPr>
          <w:rStyle w:val="FootnoteAnchor"/>
          <w:sz w:val="24"/>
          <w:szCs w:val="24"/>
        </w:rPr>
        <w:footnoteReference w:id="20"/>
      </w:r>
      <w:r>
        <w:rPr>
          <w:sz w:val="24"/>
          <w:szCs w:val="24"/>
        </w:rPr>
        <w:t xml:space="preserve"> </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u w:val="single"/>
        </w:rPr>
      </w:pPr>
      <w:r>
        <w:rPr>
          <w:sz w:val="24"/>
          <w:szCs w:val="24"/>
          <w:u w:val="single"/>
        </w:rPr>
        <w:t>Issues raised</w:t>
      </w:r>
    </w:p>
    <w:p>
      <w:pPr>
        <w:pStyle w:val="Normal"/>
        <w:jc w:val="both"/>
        <w:rPr>
          <w:u w:val="none"/>
        </w:rPr>
      </w:pPr>
      <w:r>
        <w:rPr>
          <w:u w:val="none"/>
        </w:rPr>
      </w:r>
    </w:p>
    <w:p>
      <w:pPr>
        <w:pStyle w:val="Normal"/>
        <w:jc w:val="both"/>
        <w:rPr/>
      </w:pPr>
      <w:r>
        <w:rPr>
          <w:sz w:val="24"/>
          <w:szCs w:val="24"/>
          <w:u w:val="single"/>
        </w:rPr>
        <w:t>1) Duration of civilian service</w:t>
      </w:r>
      <w:r>
        <w:rPr>
          <w:sz w:val="24"/>
          <w:szCs w:val="24"/>
          <w:u w:val="none"/>
        </w:rPr>
        <w:t>.</w:t>
      </w:r>
    </w:p>
    <w:p>
      <w:pPr>
        <w:pStyle w:val="Normal"/>
        <w:jc w:val="both"/>
        <w:rPr>
          <w:u w:val="none"/>
        </w:rPr>
      </w:pPr>
      <w:r>
        <w:rPr>
          <w:u w:val="none"/>
        </w:rPr>
      </w:r>
    </w:p>
    <w:p>
      <w:pPr>
        <w:pStyle w:val="Normal"/>
        <w:jc w:val="both"/>
        <w:rPr/>
      </w:pPr>
      <w:r>
        <w:rPr>
          <w:sz w:val="24"/>
          <w:szCs w:val="24"/>
          <w:u w:val="none"/>
        </w:rPr>
        <w:tab/>
        <w:t xml:space="preserve"> </w:t>
      </w:r>
      <w:r>
        <w:rPr>
          <w:rFonts w:eastAsia="Arial Unicode MS"/>
          <w:b w:val="false"/>
          <w:bCs w:val="false"/>
          <w:sz w:val="24"/>
          <w:szCs w:val="24"/>
          <w:u w:val="none"/>
        </w:rPr>
        <w:t xml:space="preserve">Austria's reply when this was included in the List of Issues on its Fifth Periodic Report was: </w:t>
      </w:r>
    </w:p>
    <w:p>
      <w:pPr>
        <w:pStyle w:val="SingleTxtG"/>
        <w:numPr>
          <w:ilvl w:val="0"/>
          <w:numId w:val="0"/>
        </w:numPr>
        <w:spacing w:before="0" w:after="0"/>
        <w:ind w:left="0" w:right="0" w:hanging="0"/>
        <w:jc w:val="both"/>
        <w:rPr/>
      </w:pPr>
      <w:r>
        <w:rPr>
          <w:rFonts w:eastAsia="Times New Roman" w:cs="Times New Roman"/>
          <w:b w:val="false"/>
          <w:bCs w:val="false"/>
          <w:sz w:val="24"/>
          <w:szCs w:val="24"/>
          <w:u w:val="none"/>
        </w:rPr>
        <w:t>“</w:t>
      </w:r>
      <w:r>
        <w:rPr>
          <w:rFonts w:eastAsia="Arial Unicode MS"/>
          <w:b w:val="false"/>
          <w:bCs w:val="false"/>
          <w:sz w:val="24"/>
          <w:szCs w:val="24"/>
          <w:u w:val="none"/>
        </w:rPr>
        <w:t xml:space="preserve">The amendment to the Civilian Service Act of 1991 facilitated access to alternative </w:t>
      </w:r>
      <w:r>
        <w:rPr>
          <w:rFonts w:eastAsia="Arial Unicode MS"/>
          <w:b w:val="false"/>
          <w:bCs w:val="false"/>
          <w:sz w:val="24"/>
          <w:szCs w:val="24"/>
          <w:u w:val="single"/>
        </w:rPr>
        <w:t>civilian service</w:t>
      </w:r>
      <w:r>
        <w:rPr>
          <w:rFonts w:eastAsia="Arial Unicode MS"/>
          <w:b w:val="false"/>
          <w:bCs w:val="false"/>
          <w:sz w:val="24"/>
          <w:szCs w:val="24"/>
          <w:u w:val="none"/>
        </w:rPr>
        <w:t xml:space="preserve"> by eliminating the examination of conscientious objection. Following this amendment, alternative civilian service became more attractive and easier to access. Young men who choose to perform alternative civilian service, are not subject to Military Criminal Law and Disciplinary Law, do not have to wear uniforms and most importantly do not have to live in barracks. In order to address these advantages compared with military service, the Austrian legislature extended the duration of alternative civilian service compared with the length of conscript military service.</w:t>
      </w:r>
    </w:p>
    <w:p>
      <w:pPr>
        <w:pStyle w:val="Normal"/>
        <w:jc w:val="both"/>
        <w:rPr/>
      </w:pPr>
      <w:r>
        <w:rPr>
          <w:rFonts w:eastAsia="Times New Roman" w:cs="Times New Roman"/>
          <w:b w:val="false"/>
          <w:bCs w:val="false"/>
          <w:sz w:val="24"/>
          <w:szCs w:val="24"/>
          <w:u w:val="none"/>
        </w:rPr>
        <w:t>“</w:t>
      </w:r>
      <w:r>
        <w:rPr>
          <w:rFonts w:eastAsia="Arial Unicode MS"/>
          <w:b w:val="false"/>
          <w:bCs w:val="false"/>
          <w:sz w:val="24"/>
          <w:szCs w:val="24"/>
          <w:u w:val="none"/>
        </w:rPr>
        <w:t>Military and civilian service are mandatory public services in line with Article 9a of the Federal Constitutional Law. This service is based on compulsory military service – regardless of the fact that the activity performed by the person doing civilian service is not a military one. The difference in terms of length between basic military service and civilian service (service time of 6 and 9 months respectively) must be considered from a holistic perspective taking account of the level of exertion involved in the two services and – according to the supreme courts –  does thus not violate the principle of equality.”</w:t>
      </w:r>
      <w:r>
        <w:rPr>
          <w:rStyle w:val="FootnoteAnchor"/>
          <w:rFonts w:eastAsia="Arial Unicode MS"/>
          <w:b w:val="false"/>
          <w:bCs w:val="false"/>
          <w:sz w:val="24"/>
          <w:szCs w:val="24"/>
          <w:u w:val="none"/>
        </w:rPr>
        <w:footnoteReference w:id="21"/>
      </w:r>
      <w:r>
        <w:rPr>
          <w:sz w:val="24"/>
          <w:szCs w:val="24"/>
          <w:u w:val="none"/>
        </w:rPr>
        <w:t xml:space="preserve"> </w:t>
      </w:r>
    </w:p>
    <w:p>
      <w:pPr>
        <w:pStyle w:val="Normal"/>
        <w:jc w:val="both"/>
        <w:rPr>
          <w:u w:val="none"/>
        </w:rPr>
      </w:pPr>
      <w:r>
        <w:rPr>
          <w:u w:val="none"/>
        </w:rPr>
      </w:r>
    </w:p>
    <w:p>
      <w:pPr>
        <w:pStyle w:val="Normal"/>
        <w:jc w:val="both"/>
        <w:rPr/>
      </w:pPr>
      <w:r>
        <w:rPr>
          <w:sz w:val="24"/>
          <w:szCs w:val="24"/>
          <w:u w:val="none"/>
        </w:rPr>
        <w:tab/>
        <w:t xml:space="preserve">This was not sufficient to dissuade the Committee that, as in other states with a similar ratio between the length of military and alternative civilian service, the discrepancy was certainly discriminatory, and possibly punitive.  </w:t>
      </w:r>
      <w:r>
        <w:rPr>
          <w:rFonts w:eastAsia="Arial Unicode MS"/>
          <w:b w:val="false"/>
          <w:bCs w:val="false"/>
          <w:sz w:val="24"/>
          <w:szCs w:val="24"/>
          <w:u w:val="none"/>
          <w:lang w:val="en-US"/>
        </w:rPr>
        <w:t>The explanation that civilian service had become more attractive once there was no longer an examination of claims of conscientious objection indicates a clear purpose of discouraging young men from opting for the civilian service; that the conditions are discriminatory and punitive conditions is deliberate.  While the abandonment of the  impossible task of verifying individual claims of conscience is in itself welcome, to substitute a form of trial by ordeal is not a satisfactory result.  Finally, it may be noted that, as reported above, Austria does, unlike other states with similar discrepancies in duration, have reserve obligations which can apply to those who have performed civilian service as well as to those who have performed military service.</w:t>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pPr>
      <w:r>
        <w:rPr>
          <w:rFonts w:eastAsia="Arial Unicode MS"/>
          <w:b w:val="false"/>
          <w:bCs w:val="false"/>
          <w:sz w:val="24"/>
          <w:szCs w:val="24"/>
          <w:u w:val="none"/>
          <w:lang w:val="en-US"/>
        </w:rPr>
        <w:t xml:space="preserve">2)   </w:t>
      </w:r>
      <w:r>
        <w:rPr>
          <w:rFonts w:eastAsia="Arial Unicode MS"/>
          <w:b w:val="false"/>
          <w:bCs w:val="false"/>
          <w:sz w:val="24"/>
          <w:szCs w:val="24"/>
          <w:u w:val="single"/>
          <w:lang w:val="en-US"/>
        </w:rPr>
        <w:t>Restrictions on eligibility for admission to alternative service</w:t>
      </w:r>
    </w:p>
    <w:p>
      <w:pPr>
        <w:pStyle w:val="Normal"/>
        <w:jc w:val="both"/>
        <w:rPr/>
      </w:pPr>
      <w:r>
        <w:rPr/>
      </w:r>
    </w:p>
    <w:p>
      <w:pPr>
        <w:pStyle w:val="Normal"/>
        <w:jc w:val="both"/>
        <w:rPr/>
      </w:pPr>
      <w:r>
        <w:rPr>
          <w:rFonts w:eastAsia="Arial Unicode MS"/>
          <w:b w:val="false"/>
          <w:bCs w:val="false"/>
          <w:sz w:val="24"/>
          <w:szCs w:val="24"/>
          <w:u w:val="none"/>
          <w:lang w:val="en-US"/>
        </w:rPr>
        <w:tab/>
        <w:t>It can be argued that statements or behaviour can on occasion put into question the genuineness of a claim to be a conscientious objector.   The refusal to recognise a person who has been convicted of a crime of violence could be justified in this respect, although it might be noted that in the case of a genuine character reform or conversion the requirement thereafter to perform armed military service would seem a bizarre form of double punishment for past misdemeanours.  There are however circumstances in which a person may use a firearm without demonstrating any willingness to contemplate the use of lethal force against a fellow human being – for hunting, for example, or marksmanship as a sport.  A blanket ban on the recognition of such persons as conscientious objectors is not appropriate;  it may be recalled that in its consideration of Serbia in 2004 the Committee recommended, with particular reference to such a provision, that conscientious objectors should be recognised without restrictions.</w:t>
      </w:r>
      <w:r>
        <w:rPr>
          <w:rStyle w:val="FootnoteAnchor"/>
          <w:rFonts w:eastAsia="Arial Unicode MS"/>
          <w:b w:val="false"/>
          <w:bCs w:val="false"/>
          <w:sz w:val="24"/>
          <w:szCs w:val="24"/>
          <w:u w:val="none"/>
          <w:lang w:val="en-US"/>
        </w:rPr>
        <w:footnoteReference w:id="22"/>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pPr>
      <w:r>
        <w:rPr>
          <w:rFonts w:eastAsia="Arial Unicode MS"/>
          <w:b w:val="false"/>
          <w:bCs w:val="false"/>
          <w:sz w:val="24"/>
          <w:szCs w:val="24"/>
          <w:u w:val="none"/>
          <w:lang w:val="en-US"/>
        </w:rPr>
        <w:t xml:space="preserve">3)  </w:t>
      </w:r>
      <w:r>
        <w:rPr>
          <w:rFonts w:eastAsia="Arial Unicode MS"/>
          <w:b w:val="false"/>
          <w:bCs w:val="false"/>
          <w:sz w:val="24"/>
          <w:szCs w:val="24"/>
          <w:u w:val="single"/>
          <w:lang w:val="en-US"/>
        </w:rPr>
        <w:t>Time limits</w:t>
      </w:r>
    </w:p>
    <w:p>
      <w:pPr>
        <w:pStyle w:val="Normal"/>
        <w:jc w:val="both"/>
        <w:rPr>
          <w:u w:val="none"/>
        </w:rPr>
      </w:pPr>
      <w:r>
        <w:rPr>
          <w:u w:val="none"/>
        </w:rPr>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tab/>
        <w:t>The existence of time limits on the submission of applications for recognition of a conscientious objector, including the absence of provisions for conscripts to switch to alternative civilian service after commencing military service are not in accordance with the best international practice in this area, and indeed are in direct conflict with  Article 18.1 of the Covenant, which guarantees the right to adopt a religion or belief – including conscientious objection – at any time.</w:t>
      </w:r>
    </w:p>
    <w:p>
      <w:pPr>
        <w:pStyle w:val="Normal"/>
        <w:jc w:val="both"/>
        <w:rPr>
          <w:u w:val="none"/>
        </w:rPr>
      </w:pPr>
      <w:r>
        <w:rPr>
          <w:u w:val="none"/>
        </w:rPr>
      </w:r>
    </w:p>
    <w:p>
      <w:pPr>
        <w:pStyle w:val="Normal"/>
        <w:jc w:val="both"/>
        <w:rPr>
          <w:u w:val="none"/>
        </w:rPr>
      </w:pPr>
      <w:r>
        <w:rPr>
          <w:u w:val="none"/>
        </w:rPr>
      </w:r>
    </w:p>
    <w:p>
      <w:pPr>
        <w:pStyle w:val="Normal"/>
        <w:spacing w:before="0" w:after="0"/>
        <w:ind w:left="0" w:right="0" w:hanging="0"/>
        <w:jc w:val="both"/>
        <w:rPr/>
      </w:pPr>
      <w:r>
        <w:rPr>
          <w:rFonts w:cs="DejaVu Serif" w:ascii="DejaVu Serif" w:hAnsi="DejaVu Serif"/>
          <w:b w:val="false"/>
          <w:bCs w:val="false"/>
          <w:sz w:val="21"/>
          <w:szCs w:val="21"/>
          <w:u w:val="single"/>
        </w:rPr>
        <w:t>4)  Serving</w:t>
      </w:r>
      <w:r>
        <w:rPr>
          <w:rFonts w:eastAsia="Times New Roman" w:cs="DejaVu Serif" w:ascii="DejaVu Serif" w:hAnsi="DejaVu Serif"/>
          <w:b w:val="false"/>
          <w:bCs w:val="false"/>
          <w:sz w:val="21"/>
          <w:szCs w:val="21"/>
          <w:u w:val="single"/>
        </w:rPr>
        <w:t xml:space="preserve"> </w:t>
      </w:r>
      <w:r>
        <w:rPr>
          <w:rFonts w:cs="DejaVu Serif" w:ascii="DejaVu Serif" w:hAnsi="DejaVu Serif"/>
          <w:b w:val="false"/>
          <w:bCs w:val="false"/>
          <w:sz w:val="21"/>
          <w:szCs w:val="21"/>
          <w:u w:val="single"/>
        </w:rPr>
        <w:t>members</w:t>
      </w:r>
      <w:r>
        <w:rPr>
          <w:rFonts w:eastAsia="Times New Roman" w:cs="DejaVu Serif" w:ascii="DejaVu Serif" w:hAnsi="DejaVu Serif"/>
          <w:b w:val="false"/>
          <w:bCs w:val="false"/>
          <w:sz w:val="21"/>
          <w:szCs w:val="21"/>
          <w:u w:val="single"/>
        </w:rPr>
        <w:t xml:space="preserve"> </w:t>
      </w:r>
      <w:r>
        <w:rPr>
          <w:rFonts w:cs="DejaVu Serif" w:ascii="DejaVu Serif" w:hAnsi="DejaVu Serif"/>
          <w:b w:val="false"/>
          <w:bCs w:val="false"/>
          <w:sz w:val="21"/>
          <w:szCs w:val="21"/>
          <w:u w:val="single"/>
        </w:rPr>
        <w:t>of</w:t>
      </w:r>
      <w:r>
        <w:rPr>
          <w:rFonts w:eastAsia="Times New Roman" w:cs="DejaVu Serif" w:ascii="DejaVu Serif" w:hAnsi="DejaVu Serif"/>
          <w:b w:val="false"/>
          <w:bCs w:val="false"/>
          <w:sz w:val="21"/>
          <w:szCs w:val="21"/>
          <w:u w:val="single"/>
        </w:rPr>
        <w:t xml:space="preserve"> </w:t>
      </w:r>
      <w:r>
        <w:rPr>
          <w:rFonts w:cs="DejaVu Serif" w:ascii="DejaVu Serif" w:hAnsi="DejaVu Serif"/>
          <w:b w:val="false"/>
          <w:bCs w:val="false"/>
          <w:sz w:val="21"/>
          <w:szCs w:val="21"/>
          <w:u w:val="single"/>
        </w:rPr>
        <w:t>the</w:t>
      </w:r>
      <w:r>
        <w:rPr>
          <w:rFonts w:eastAsia="Times New Roman" w:cs="DejaVu Serif" w:ascii="DejaVu Serif" w:hAnsi="DejaVu Serif"/>
          <w:b w:val="false"/>
          <w:bCs w:val="false"/>
          <w:sz w:val="21"/>
          <w:szCs w:val="21"/>
          <w:u w:val="single"/>
        </w:rPr>
        <w:t xml:space="preserve"> </w:t>
      </w:r>
      <w:r>
        <w:rPr>
          <w:rFonts w:cs="DejaVu Serif" w:ascii="DejaVu Serif" w:hAnsi="DejaVu Serif"/>
          <w:b w:val="false"/>
          <w:bCs w:val="false"/>
          <w:sz w:val="21"/>
          <w:szCs w:val="21"/>
          <w:u w:val="single"/>
        </w:rPr>
        <w:t>military</w:t>
      </w:r>
    </w:p>
    <w:p>
      <w:pPr>
        <w:pStyle w:val="Normal"/>
        <w:spacing w:before="0" w:after="0"/>
        <w:ind w:left="0" w:right="0" w:hanging="0"/>
        <w:jc w:val="both"/>
        <w:rPr/>
      </w:pPr>
      <w:r>
        <w:rPr/>
      </w:r>
    </w:p>
    <w:p>
      <w:pPr>
        <w:pStyle w:val="Normal"/>
        <w:spacing w:before="0" w:after="0"/>
        <w:ind w:left="0" w:right="0" w:hanging="0"/>
        <w:jc w:val="both"/>
        <w:rPr>
          <w:rFonts w:ascii="DejaVu Serif" w:hAnsi="DejaVu Serif" w:cs="DejaVu Serif"/>
          <w:b w:val="false"/>
          <w:b w:val="false"/>
          <w:bCs w:val="false"/>
          <w:sz w:val="21"/>
          <w:szCs w:val="21"/>
          <w:u w:val="none"/>
        </w:rPr>
      </w:pPr>
      <w:r>
        <w:rPr>
          <w:rFonts w:cs="DejaVu Serif" w:ascii="DejaVu Serif" w:hAnsi="DejaVu Serif"/>
          <w:b w:val="false"/>
          <w:bCs w:val="false"/>
          <w:sz w:val="21"/>
          <w:szCs w:val="21"/>
          <w:u w:val="none"/>
        </w:rPr>
        <w:tab/>
        <w:t>The situation of serving members of the military, including those who may initially have enlisted voluntarily, may be seen as a special case of the time limits for recognition referred to above.</w:t>
      </w:r>
    </w:p>
    <w:p>
      <w:pPr>
        <w:pStyle w:val="Normal"/>
        <w:jc w:val="both"/>
        <w:rPr>
          <w:rStyle w:val="FootnoteAnchor"/>
          <w:b/>
          <w:b/>
          <w:bCs/>
          <w:sz w:val="24"/>
          <w:szCs w:val="24"/>
          <w:u w:val="none"/>
        </w:rPr>
      </w:pPr>
      <w:r>
        <w:rPr>
          <w:b/>
          <w:bCs/>
          <w:sz w:val="24"/>
          <w:szCs w:val="24"/>
          <w:u w:val="none"/>
        </w:rPr>
      </w:r>
    </w:p>
    <w:p>
      <w:pPr>
        <w:pStyle w:val="Normal"/>
        <w:jc w:val="both"/>
        <w:rPr/>
      </w:pPr>
      <w:r>
        <w:rPr>
          <w:rFonts w:eastAsia="Times New Roman" w:cs="DejaVu Serif" w:ascii="DejaVu Serif" w:hAnsi="DejaVu Serif"/>
          <w:b w:val="false"/>
          <w:bCs w:val="false"/>
          <w:i w:val="false"/>
          <w:iCs w:val="false"/>
          <w:sz w:val="21"/>
          <w:szCs w:val="21"/>
          <w:u w:val="none"/>
        </w:rPr>
        <w:tab/>
        <w:t xml:space="preserve">In this respect, it might be noted that Austria </w:t>
      </w:r>
      <w:r>
        <w:rPr>
          <w:rFonts w:cs="DejaVu Serif" w:ascii="DejaVu Serif" w:hAnsi="DejaVu Serif"/>
          <w:b w:val="false"/>
          <w:bCs w:val="false"/>
          <w:i w:val="false"/>
          <w:iCs w:val="false"/>
          <w:sz w:val="21"/>
          <w:szCs w:val="21"/>
          <w:u w:val="none"/>
        </w:rPr>
        <w:t>is</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a</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member</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of</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the</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Council</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of</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Europe,</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whose</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Committee</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of</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Ministers</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recommended</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in</w:t>
      </w:r>
      <w:r>
        <w:rPr>
          <w:rFonts w:eastAsia="Times New Roman" w:cs="DejaVu Serif" w:ascii="DejaVu Serif" w:hAnsi="DejaVu Serif"/>
          <w:b w:val="false"/>
          <w:bCs w:val="false"/>
          <w:i w:val="false"/>
          <w:iCs w:val="false"/>
          <w:sz w:val="21"/>
          <w:szCs w:val="21"/>
          <w:u w:val="none"/>
        </w:rPr>
        <w:t xml:space="preserve"> </w:t>
      </w:r>
      <w:r>
        <w:rPr>
          <w:rFonts w:cs="DejaVu Serif" w:ascii="DejaVu Serif" w:hAnsi="DejaVu Serif"/>
          <w:b w:val="false"/>
          <w:bCs w:val="false"/>
          <w:i w:val="false"/>
          <w:iCs w:val="false"/>
          <w:sz w:val="21"/>
          <w:szCs w:val="21"/>
          <w:u w:val="none"/>
        </w:rPr>
        <w:t>2010:</w:t>
      </w:r>
    </w:p>
    <w:p>
      <w:pPr>
        <w:pStyle w:val="Normal"/>
        <w:jc w:val="both"/>
        <w:rPr/>
      </w:pPr>
      <w:r>
        <w:rPr>
          <w:rFonts w:eastAsia="Times New Roman" w:cs="DejaVu Serif" w:ascii="DejaVu Serif" w:hAnsi="DejaVu Serif"/>
          <w:bCs/>
          <w:sz w:val="21"/>
          <w:szCs w:val="21"/>
          <w:lang w:val="en-GB"/>
        </w:rPr>
        <w:t>“</w:t>
      </w:r>
      <w:r>
        <w:rPr>
          <w:rFonts w:cs="DejaVu Serif" w:ascii="DejaVu Serif" w:hAnsi="DejaVu Serif"/>
          <w:bCs/>
          <w:sz w:val="21"/>
          <w:szCs w:val="21"/>
          <w:lang w:val="en-GB"/>
        </w:rPr>
        <w:t>42.</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Professional</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members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able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leave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reasons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conscience</w:t>
      </w:r>
      <w:r>
        <w:rPr>
          <w:rFonts w:cs="DejaVu Serif" w:ascii="DejaVu Serif" w:hAnsi="DejaVu Serif"/>
          <w:sz w:val="21"/>
          <w:szCs w:val="21"/>
          <w:lang w:val="en-GB"/>
        </w:rPr>
        <w:t>.</w:t>
      </w:r>
    </w:p>
    <w:p>
      <w:pPr>
        <w:pStyle w:val="Normal"/>
        <w:jc w:val="both"/>
        <w:rPr/>
      </w:pPr>
      <w:r>
        <w:rPr>
          <w:rFonts w:cs="DejaVu Serif" w:ascii="DejaVu Serif" w:hAnsi="DejaVu Serif"/>
          <w:bCs/>
          <w:sz w:val="21"/>
          <w:szCs w:val="21"/>
          <w:lang w:val="en-GB"/>
        </w:rPr>
        <w:t>43.</w:t>
        <w:tab/>
        <w:t>Requests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by</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members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leave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reasons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conscience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examined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within</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reasonable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time.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Pending</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examination</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their</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requests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they</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transferred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non-combat</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duties,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where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possible.</w:t>
      </w:r>
    </w:p>
    <w:p>
      <w:pPr>
        <w:pStyle w:val="Normal"/>
        <w:jc w:val="both"/>
        <w:rPr/>
      </w:pPr>
      <w:r>
        <w:rPr>
          <w:rFonts w:cs="DejaVu Serif" w:ascii="DejaVu Serif" w:hAnsi="DejaVu Serif"/>
          <w:sz w:val="21"/>
          <w:szCs w:val="21"/>
          <w:lang w:val="en-GB"/>
        </w:rPr>
        <w:t>44.</w:t>
        <w:tab/>
      </w:r>
      <w:r>
        <w:rPr>
          <w:rFonts w:cs="DejaVu Serif" w:ascii="DejaVu Serif" w:hAnsi="DejaVu Serif"/>
          <w:bCs/>
          <w:sz w:val="21"/>
          <w:szCs w:val="21"/>
          <w:lang w:val="en-GB"/>
        </w:rPr>
        <w:t>Any</w:t>
      </w:r>
      <w:r>
        <w:rPr>
          <w:rFonts w:eastAsia="Times New Roman" w:cs="DejaVu Serif" w:ascii="DejaVu Serif" w:hAnsi="DejaVu Serif"/>
          <w:bCs/>
          <w:sz w:val="21"/>
          <w:szCs w:val="21"/>
          <w:lang w:val="en-GB"/>
        </w:rPr>
        <w:t xml:space="preserve"> </w:t>
      </w:r>
      <w:r>
        <w:rPr>
          <w:rFonts w:cs="DejaVu Serif" w:ascii="DejaVu Serif" w:hAnsi="DejaVu Serif"/>
          <w:sz w:val="21"/>
          <w:szCs w:val="21"/>
          <w:lang w:val="en-GB"/>
        </w:rPr>
        <w:t>request</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to</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leave</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the</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armed</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forces</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for</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reasons</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of</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conscience</w:t>
      </w:r>
      <w:r>
        <w:rPr>
          <w:rFonts w:eastAsia="Times New Roman" w:cs="DejaVu Serif" w:ascii="DejaVu Serif" w:hAnsi="DejaVu Serif"/>
          <w:b/>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ultimately,</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where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denied,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examined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by</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an</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independent</w:t>
      </w:r>
      <w:r>
        <w:rPr>
          <w:rFonts w:eastAsia="Times New Roman" w:cs="DejaVu Serif" w:ascii="DejaVu Serif" w:hAnsi="DejaVu Serif"/>
          <w:b/>
          <w:bCs/>
          <w:sz w:val="21"/>
          <w:szCs w:val="21"/>
          <w:lang w:val="en-GB"/>
        </w:rPr>
        <w:t xml:space="preserve"> </w:t>
      </w:r>
      <w:r>
        <w:rPr>
          <w:rFonts w:cs="DejaVu Serif" w:ascii="DejaVu Serif" w:hAnsi="DejaVu Serif"/>
          <w:sz w:val="21"/>
          <w:szCs w:val="21"/>
          <w:lang w:val="en-GB"/>
        </w:rPr>
        <w:t>and</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impartial</w:t>
      </w:r>
      <w:r>
        <w:rPr>
          <w:rFonts w:eastAsia="Times New Roman" w:cs="DejaVu Serif" w:ascii="DejaVu Serif" w:hAnsi="DejaVu Serif"/>
          <w:b/>
          <w:bCs/>
          <w:sz w:val="21"/>
          <w:szCs w:val="21"/>
          <w:lang w:val="en-GB"/>
        </w:rPr>
        <w:t xml:space="preserve"> </w:t>
      </w:r>
      <w:r>
        <w:rPr>
          <w:rFonts w:cs="DejaVu Serif" w:ascii="DejaVu Serif" w:hAnsi="DejaVu Serif"/>
          <w:bCs/>
          <w:sz w:val="21"/>
          <w:szCs w:val="21"/>
          <w:lang w:val="en-GB"/>
        </w:rPr>
        <w:t>body.</w:t>
      </w:r>
      <w:r>
        <w:rPr>
          <w:rFonts w:eastAsia="Times New Roman" w:cs="DejaVu Serif" w:ascii="DejaVu Serif" w:hAnsi="DejaVu Serif"/>
          <w:b/>
          <w:bCs/>
          <w:sz w:val="21"/>
          <w:szCs w:val="21"/>
          <w:lang w:val="en-GB"/>
        </w:rPr>
        <w:t xml:space="preserve"> </w:t>
      </w:r>
    </w:p>
    <w:p>
      <w:pPr>
        <w:pStyle w:val="Normal"/>
        <w:jc w:val="both"/>
        <w:rPr/>
      </w:pPr>
      <w:r>
        <w:rPr>
          <w:rFonts w:cs="DejaVu Serif" w:ascii="DejaVu Serif" w:hAnsi="DejaVu Serif"/>
          <w:sz w:val="21"/>
          <w:szCs w:val="21"/>
          <w:lang w:val="en-GB"/>
        </w:rPr>
        <w:t>45.</w:t>
        <w:tab/>
      </w:r>
      <w:r>
        <w:rPr>
          <w:rFonts w:cs="DejaVu Serif" w:ascii="DejaVu Serif" w:hAnsi="DejaVu Serif"/>
          <w:bCs/>
          <w:sz w:val="21"/>
          <w:szCs w:val="21"/>
          <w:lang w:val="en-GB"/>
        </w:rPr>
        <w:t>M</w:t>
      </w:r>
      <w:r>
        <w:rPr>
          <w:rFonts w:cs="DejaVu Serif" w:ascii="DejaVu Serif" w:hAnsi="DejaVu Serif"/>
          <w:sz w:val="21"/>
          <w:szCs w:val="21"/>
          <w:lang w:val="en-GB"/>
        </w:rPr>
        <w:t>embers</w:t>
      </w:r>
      <w:r>
        <w:rPr>
          <w:rFonts w:eastAsia="Times New Roman" w:cs="DejaVu Serif" w:ascii="DejaVu Serif" w:hAnsi="DejaVu Serif"/>
          <w:b/>
          <w:bCs/>
          <w:sz w:val="21"/>
          <w:szCs w:val="21"/>
          <w:lang w:val="en-GB"/>
        </w:rPr>
        <w:t xml:space="preserve"> </w:t>
      </w:r>
      <w:r>
        <w:rPr>
          <w:rFonts w:cs="DejaVu Serif" w:ascii="DejaVu Serif" w:hAnsi="DejaVu Serif"/>
          <w:sz w:val="21"/>
          <w:szCs w:val="21"/>
          <w:lang w:val="en-GB"/>
        </w:rPr>
        <w:t>of</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the</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armed</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forces</w:t>
      </w:r>
      <w:r>
        <w:rPr>
          <w:rFonts w:eastAsia="Times New Roman" w:cs="DejaVu Serif" w:ascii="DejaVu Serif" w:hAnsi="DejaVu Serif"/>
          <w:b/>
          <w:bCs/>
          <w:sz w:val="21"/>
          <w:szCs w:val="21"/>
          <w:lang w:val="en-GB"/>
        </w:rPr>
        <w:t xml:space="preserve"> </w:t>
      </w:r>
      <w:r>
        <w:rPr>
          <w:rFonts w:cs="DejaVu Serif" w:ascii="DejaVu Serif" w:hAnsi="DejaVu Serif"/>
          <w:sz w:val="21"/>
          <w:szCs w:val="21"/>
          <w:lang w:val="en-GB"/>
        </w:rPr>
        <w:t>having</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legally</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left</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sz w:val="21"/>
          <w:szCs w:val="21"/>
          <w:lang w:val="en-GB"/>
        </w:rPr>
        <w:t>for</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reasons</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of</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conscience</w:t>
      </w:r>
      <w:r>
        <w:rPr>
          <w:rFonts w:eastAsia="Times New Roman" w:cs="DejaVu Serif" w:ascii="DejaVu Serif" w:hAnsi="DejaVu Serif"/>
          <w:b/>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not</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subject</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discrimination</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or</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any</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criminal</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prosecution.</w:t>
      </w:r>
      <w:r>
        <w:rPr>
          <w:rFonts w:eastAsia="Times New Roman" w:cs="DejaVu Serif" w:ascii="DejaVu Serif" w:hAnsi="DejaVu Serif"/>
          <w:b/>
          <w:bCs/>
          <w:sz w:val="21"/>
          <w:szCs w:val="21"/>
          <w:lang w:val="en-GB"/>
        </w:rPr>
        <w:t xml:space="preserve"> </w:t>
      </w:r>
      <w:r>
        <w:rPr>
          <w:rFonts w:cs="DejaVu Serif" w:ascii="DejaVu Serif" w:hAnsi="DejaVu Serif"/>
          <w:bCs/>
          <w:sz w:val="21"/>
          <w:szCs w:val="21"/>
          <w:lang w:val="en-GB"/>
        </w:rPr>
        <w:t>No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discrimination</w:t>
      </w:r>
      <w:r>
        <w:rPr>
          <w:rFonts w:eastAsia="Times New Roman" w:cs="DejaVu Serif" w:ascii="DejaVu Serif" w:hAnsi="DejaVu Serif"/>
          <w:b/>
          <w:bCs/>
          <w:sz w:val="21"/>
          <w:szCs w:val="21"/>
          <w:lang w:val="en-GB"/>
        </w:rPr>
        <w:t xml:space="preserve"> </w:t>
      </w:r>
      <w:r>
        <w:rPr>
          <w:rFonts w:cs="DejaVu Serif" w:ascii="DejaVu Serif" w:hAnsi="DejaVu Serif"/>
          <w:sz w:val="21"/>
          <w:szCs w:val="21"/>
          <w:lang w:val="en-GB"/>
        </w:rPr>
        <w:t>or</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prosecution</w:t>
      </w:r>
      <w:r>
        <w:rPr>
          <w:rFonts w:eastAsia="Times New Roman" w:cs="DejaVu Serif" w:ascii="DejaVu Serif" w:hAnsi="DejaVu Serif"/>
          <w:b/>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result</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from</w:t>
      </w:r>
      <w:r>
        <w:rPr>
          <w:rFonts w:eastAsia="Times New Roman" w:cs="DejaVu Serif" w:ascii="DejaVu Serif" w:hAnsi="DejaVu Serif"/>
          <w:bCs/>
          <w:sz w:val="21"/>
          <w:szCs w:val="21"/>
          <w:lang w:val="en-GB"/>
        </w:rPr>
        <w:t xml:space="preserve"> </w:t>
      </w:r>
      <w:r>
        <w:rPr>
          <w:rFonts w:cs="DejaVu Serif" w:ascii="DejaVu Serif" w:hAnsi="DejaVu Serif"/>
          <w:sz w:val="21"/>
          <w:szCs w:val="21"/>
          <w:lang w:val="en-GB"/>
        </w:rPr>
        <w:t>asking</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to</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leave</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the</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armed</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forces</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for</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reasons</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of</w:t>
      </w:r>
      <w:r>
        <w:rPr>
          <w:rFonts w:eastAsia="Times New Roman" w:cs="DejaVu Serif" w:ascii="DejaVu Serif" w:hAnsi="DejaVu Serif"/>
          <w:sz w:val="21"/>
          <w:szCs w:val="21"/>
          <w:lang w:val="en-GB"/>
        </w:rPr>
        <w:t xml:space="preserve"> </w:t>
      </w:r>
      <w:r>
        <w:rPr>
          <w:rFonts w:cs="DejaVu Serif" w:ascii="DejaVu Serif" w:hAnsi="DejaVu Serif"/>
          <w:sz w:val="21"/>
          <w:szCs w:val="21"/>
          <w:lang w:val="en-GB"/>
        </w:rPr>
        <w:t>conscience.</w:t>
      </w:r>
    </w:p>
    <w:p>
      <w:pPr>
        <w:pStyle w:val="Normal"/>
        <w:jc w:val="both"/>
        <w:rPr>
          <w:rFonts w:ascii="DejaVu Serif" w:hAnsi="DejaVu Serif" w:cs="DejaVu Serif"/>
          <w:sz w:val="21"/>
          <w:szCs w:val="21"/>
        </w:rPr>
      </w:pPr>
      <w:r>
        <w:rPr>
          <w:rFonts w:cs="DejaVu Serif" w:ascii="DejaVu Serif" w:hAnsi="DejaVu Serif"/>
          <w:bCs/>
          <w:sz w:val="21"/>
          <w:szCs w:val="21"/>
          <w:lang w:val="en-GB"/>
        </w:rPr>
        <w:t>46.</w:t>
        <w:tab/>
        <w:t>Members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forces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should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be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informed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of</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rights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mentioned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in</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paragraphs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41</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45</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above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and</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procedures</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available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to</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exercise</w:t>
      </w:r>
      <w:r>
        <w:rPr>
          <w:rFonts w:eastAsia="Times New Roman" w:cs="DejaVu Serif" w:ascii="DejaVu Serif" w:hAnsi="DejaVu Serif"/>
          <w:bCs/>
          <w:sz w:val="21"/>
          <w:szCs w:val="21"/>
          <w:lang w:val="en-GB"/>
        </w:rPr>
        <w:t xml:space="preserve"> </w:t>
      </w:r>
      <w:r>
        <w:rPr>
          <w:rFonts w:cs="DejaVu Serif" w:ascii="DejaVu Serif" w:hAnsi="DejaVu Serif"/>
          <w:bCs/>
          <w:sz w:val="21"/>
          <w:szCs w:val="21"/>
          <w:lang w:val="en-GB"/>
        </w:rPr>
        <w:t>them.</w:t>
      </w:r>
      <w:r>
        <w:rPr>
          <w:rFonts w:eastAsia="Times New Roman" w:cs="DejaVu Serif" w:ascii="DejaVu Serif" w:hAnsi="DejaVu Serif"/>
          <w:bCs/>
          <w:sz w:val="21"/>
          <w:szCs w:val="21"/>
          <w:lang w:val="en-GB"/>
        </w:rPr>
        <w:t>”</w:t>
      </w:r>
      <w:r>
        <w:rPr>
          <w:rStyle w:val="FootnoteAnchor"/>
          <w:rFonts w:eastAsia="Times New Roman" w:cs="DejaVu Serif" w:ascii="DejaVu Serif" w:hAnsi="DejaVu Serif"/>
          <w:bCs/>
          <w:sz w:val="21"/>
          <w:szCs w:val="21"/>
          <w:lang w:val="en-GB"/>
        </w:rPr>
        <w:footnoteReference w:id="23"/>
      </w:r>
    </w:p>
    <w:p>
      <w:pPr>
        <w:pStyle w:val="Normal"/>
        <w:rPr>
          <w:rFonts w:ascii="DejaVu Serif" w:hAnsi="DejaVu Serif" w:cs="DejaVu Serif"/>
          <w:sz w:val="21"/>
          <w:szCs w:val="21"/>
        </w:rPr>
      </w:pPr>
      <w:r>
        <w:rPr>
          <w:rFonts w:cs="DejaVu Serif" w:ascii="DejaVu Serif" w:hAnsi="DejaVu Serif"/>
          <w:sz w:val="21"/>
          <w:szCs w:val="21"/>
        </w:rPr>
      </w:r>
    </w:p>
    <w:p>
      <w:pPr>
        <w:pStyle w:val="Normal"/>
        <w:jc w:val="both"/>
        <w:rPr/>
      </w:pPr>
      <w:r>
        <w:rPr>
          <w:rFonts w:eastAsia="Times New Roman" w:cs="DejaVu Serif" w:ascii="DejaVu Serif" w:hAnsi="DejaVu Serif"/>
          <w:b w:val="false"/>
          <w:bCs w:val="false"/>
          <w:i w:val="false"/>
          <w:iCs w:val="false"/>
          <w:strike w:val="false"/>
          <w:dstrike w:val="false"/>
          <w:color w:val="000000"/>
          <w:sz w:val="21"/>
          <w:szCs w:val="21"/>
          <w:u w:val="none"/>
        </w:rPr>
        <w:tab/>
        <w:t xml:space="preserve">Paragraph </w:t>
      </w:r>
      <w:r>
        <w:rPr>
          <w:rFonts w:eastAsia="Calibri" w:cs="DejaVu Serif" w:ascii="DejaVu Serif" w:hAnsi="DejaVu Serif"/>
          <w:b w:val="false"/>
          <w:bCs w:val="false"/>
          <w:i w:val="false"/>
          <w:iCs w:val="false"/>
          <w:strike w:val="false"/>
          <w:dstrike w:val="false"/>
          <w:color w:val="000000"/>
          <w:sz w:val="21"/>
          <w:szCs w:val="21"/>
          <w:u w:val="none"/>
        </w:rPr>
        <w:t>H.4</w:t>
      </w:r>
      <w:r>
        <w:rPr>
          <w:rFonts w:eastAsia="Times New Roman" w:cs="DejaVu Serif" w:ascii="DejaVu Serif" w:hAnsi="DejaVu Serif"/>
          <w:b w:val="false"/>
          <w:bCs w:val="false"/>
          <w:i w:val="false"/>
          <w:iCs w:val="false"/>
          <w:strike w:val="false"/>
          <w:dstrike w:val="false"/>
          <w:color w:val="000000"/>
          <w:sz w:val="21"/>
          <w:szCs w:val="21"/>
          <w:u w:val="none"/>
        </w:rPr>
        <w:t xml:space="preserve"> in </w:t>
      </w:r>
      <w:r>
        <w:rPr>
          <w:rFonts w:eastAsia="Calibri" w:cs="DejaVu Serif" w:ascii="DejaVu Serif" w:hAnsi="DejaVu Serif"/>
          <w:b w:val="false"/>
          <w:bCs w:val="false"/>
          <w:i w:val="false"/>
          <w:iCs w:val="false"/>
          <w:strike w:val="false"/>
          <w:dstrike w:val="false"/>
          <w:color w:val="000000"/>
          <w:sz w:val="21"/>
          <w:szCs w:val="21"/>
          <w:u w:val="none"/>
        </w:rPr>
        <w:t>the</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Council</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of</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Europe's</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follow-up</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questionnaire</w:t>
      </w:r>
      <w:r>
        <w:rPr>
          <w:rFonts w:eastAsia="Times New Roman" w:cs="DejaVu Serif" w:ascii="DejaVu Serif" w:hAnsi="DejaVu Serif"/>
          <w:b w:val="false"/>
          <w:bCs w:val="false"/>
          <w:i w:val="false"/>
          <w:iCs w:val="false"/>
          <w:strike w:val="false"/>
          <w:dstrike w:val="false"/>
          <w:color w:val="000000"/>
          <w:sz w:val="21"/>
          <w:szCs w:val="21"/>
          <w:u w:val="none"/>
        </w:rPr>
        <w:t xml:space="preserve"> on the implementation of this recommendation, </w:t>
      </w:r>
      <w:r>
        <w:rPr>
          <w:rFonts w:eastAsia="Calibri" w:cs="DejaVu Serif" w:ascii="DejaVu Serif" w:hAnsi="DejaVu Serif"/>
          <w:b w:val="false"/>
          <w:bCs w:val="false"/>
          <w:i w:val="false"/>
          <w:iCs w:val="false"/>
          <w:strike w:val="false"/>
          <w:dstrike w:val="false"/>
          <w:color w:val="000000"/>
          <w:sz w:val="21"/>
          <w:szCs w:val="21"/>
          <w:u w:val="none"/>
        </w:rPr>
        <w:t>which</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was</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circulated</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early</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in</w:t>
      </w:r>
      <w:r>
        <w:rP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Calibri" w:cs="DejaVu Serif" w:ascii="DejaVu Serif" w:hAnsi="DejaVu Serif"/>
          <w:b w:val="false"/>
          <w:bCs w:val="false"/>
          <w:i w:val="false"/>
          <w:iCs w:val="false"/>
          <w:strike w:val="false"/>
          <w:dstrike w:val="false"/>
          <w:color w:val="000000"/>
          <w:sz w:val="21"/>
          <w:szCs w:val="21"/>
          <w:u w:val="none"/>
        </w:rPr>
        <w:t>2012.</w:t>
      </w:r>
      <w:r>
        <w:rPr>
          <w:rStyle w:val="FootnoteAnchor"/>
          <w:rFonts w:eastAsia="Times New Roman" w:cs="DejaVu Serif" w:ascii="DejaVu Serif" w:hAnsi="DejaVu Serif"/>
          <w:b w:val="false"/>
          <w:bCs w:val="false"/>
          <w:i w:val="false"/>
          <w:iCs w:val="false"/>
          <w:strike w:val="false"/>
          <w:dstrike w:val="false"/>
          <w:color w:val="000000"/>
          <w:sz w:val="21"/>
          <w:szCs w:val="21"/>
          <w:u w:val="none"/>
        </w:rPr>
        <w:footnoteReference w:id="24"/>
      </w:r>
      <w:r>
        <w:rPr>
          <w:rStyle w:val="FootnoteAnchor"/>
          <w:rFonts w:eastAsia="Times New Roman" w:cs="DejaVu Serif" w:ascii="DejaVu Serif" w:hAnsi="DejaVu Serif"/>
          <w:b w:val="false"/>
          <w:bCs w:val="false"/>
          <w:i w:val="false"/>
          <w:iCs w:val="false"/>
          <w:strike w:val="false"/>
          <w:dstrike w:val="false"/>
          <w:color w:val="000000"/>
          <w:sz w:val="21"/>
          <w:szCs w:val="21"/>
          <w:u w:val="none"/>
        </w:rPr>
        <w:t xml:space="preserve">  </w:t>
      </w:r>
      <w:r>
        <w:rPr>
          <w:rFonts w:eastAsia="Times New Roman" w:cs="DejaVu Serif" w:ascii="DejaVu Serif" w:hAnsi="DejaVu Serif"/>
          <w:b w:val="false"/>
          <w:bCs w:val="false"/>
          <w:i w:val="false"/>
          <w:iCs w:val="false"/>
          <w:strike w:val="false"/>
          <w:dstrike w:val="false"/>
          <w:color w:val="000000"/>
          <w:sz w:val="21"/>
          <w:szCs w:val="21"/>
          <w:u w:val="none"/>
        </w:rPr>
        <w:t xml:space="preserve">asked “Can professional members of the armed forces leave the armed forces for reasons of conscience? If so, please explain the conditions and the procedure, and in particular whether the requests can be reviewed by an independent and impartial authority. If not, please explain why and whether any measure is in preparation.”  </w:t>
      </w:r>
    </w:p>
    <w:p>
      <w:pPr>
        <w:pStyle w:val="Normal"/>
        <w:jc w:val="both"/>
        <w:rPr>
          <w:rFonts w:ascii="DejaVu Serif" w:hAnsi="DejaVu Serif" w:cs="DejaVu Serif"/>
          <w:sz w:val="21"/>
          <w:szCs w:val="21"/>
        </w:rPr>
      </w:pPr>
      <w:r>
        <w:rPr>
          <w:rFonts w:cs="DejaVu Serif" w:ascii="DejaVu Serif" w:hAnsi="DejaVu Serif"/>
          <w:sz w:val="21"/>
          <w:szCs w:val="21"/>
        </w:rPr>
      </w:r>
    </w:p>
    <w:p>
      <w:pPr>
        <w:pStyle w:val="Normal"/>
        <w:jc w:val="both"/>
        <w:rPr>
          <w:rFonts w:ascii="DejaVu Serif" w:hAnsi="DejaVu Serif" w:eastAsia="Times New Roman" w:cs="DejaVu Serif"/>
          <w:b w:val="false"/>
          <w:b w:val="false"/>
          <w:bCs w:val="false"/>
          <w:i w:val="false"/>
          <w:i w:val="false"/>
          <w:iCs w:val="false"/>
          <w:strike w:val="false"/>
          <w:dstrike w:val="false"/>
          <w:color w:val="000000"/>
          <w:sz w:val="21"/>
          <w:szCs w:val="21"/>
          <w:u w:val="none"/>
        </w:rPr>
      </w:pPr>
      <w:r>
        <w:rPr>
          <w:rFonts w:eastAsia="Times New Roman" w:cs="DejaVu Serif" w:ascii="DejaVu Serif" w:hAnsi="DejaVu Serif"/>
          <w:b w:val="false"/>
          <w:bCs w:val="false"/>
          <w:i w:val="false"/>
          <w:iCs w:val="false"/>
          <w:strike w:val="false"/>
          <w:dstrike w:val="false"/>
          <w:color w:val="000000"/>
          <w:sz w:val="21"/>
          <w:szCs w:val="21"/>
          <w:u w:val="none"/>
        </w:rPr>
        <w:tab/>
        <w:t>Austria replied to this question in the negative, adding “Not foreseen within the Austrian system.  Professional members of the armed forces can leave the armed forces by notice of the termination of their contract.  There are no measures in preparation to change this system.”</w:t>
      </w:r>
    </w:p>
    <w:p>
      <w:pPr>
        <w:pStyle w:val="Normal"/>
        <w:jc w:val="both"/>
        <w:rPr/>
      </w:pPr>
      <w:r>
        <w:rPr/>
      </w:r>
    </w:p>
    <w:p>
      <w:pPr>
        <w:pStyle w:val="Normal"/>
        <w:jc w:val="both"/>
        <w:rPr>
          <w:rFonts w:ascii="Times New Roman" w:hAnsi="Times New Roman" w:eastAsia="Arial Unicode MS" w:cs="DejaVu Serif"/>
          <w:b w:val="false"/>
          <w:b w:val="false"/>
          <w:bCs w:val="false"/>
          <w:sz w:val="24"/>
          <w:szCs w:val="24"/>
          <w:u w:val="single"/>
          <w:lang w:val="en-US"/>
        </w:rPr>
      </w:pPr>
      <w:r>
        <w:rPr>
          <w:rFonts w:eastAsia="Arial Unicode MS" w:cs="DejaVu Serif"/>
          <w:b w:val="false"/>
          <w:bCs w:val="false"/>
          <w:sz w:val="24"/>
          <w:szCs w:val="24"/>
          <w:u w:val="single"/>
          <w:lang w:val="en-US"/>
        </w:rPr>
      </w:r>
    </w:p>
    <w:p>
      <w:pPr>
        <w:pStyle w:val="Normal"/>
        <w:jc w:val="both"/>
        <w:rPr>
          <w:rFonts w:ascii="Times New Roman" w:hAnsi="Times New Roman" w:eastAsia="Arial Unicode MS" w:cs="DejaVu Serif"/>
          <w:b w:val="false"/>
          <w:b w:val="false"/>
          <w:bCs w:val="false"/>
          <w:sz w:val="24"/>
          <w:szCs w:val="24"/>
          <w:u w:val="single"/>
          <w:lang w:val="en-US"/>
        </w:rPr>
      </w:pPr>
      <w:r>
        <w:rPr>
          <w:rFonts w:eastAsia="Arial Unicode MS" w:cs="DejaVu Serif"/>
          <w:b w:val="false"/>
          <w:bCs w:val="false"/>
          <w:sz w:val="24"/>
          <w:szCs w:val="24"/>
          <w:u w:val="single"/>
          <w:lang w:val="en-US"/>
        </w:rPr>
        <w:t>5)  Juvenile recruitment</w:t>
      </w:r>
    </w:p>
    <w:p>
      <w:pPr>
        <w:pStyle w:val="Normal"/>
        <w:jc w:val="both"/>
        <w:rPr>
          <w:b w:val="false"/>
          <w:b w:val="false"/>
          <w:bCs w:val="false"/>
        </w:rPr>
      </w:pPr>
      <w:r>
        <w:rPr>
          <w:b w:val="false"/>
          <w:bCs w:val="false"/>
        </w:rPr>
      </w:r>
    </w:p>
    <w:p>
      <w:pPr>
        <w:pStyle w:val="Normal"/>
        <w:jc w:val="both"/>
        <w:rPr>
          <w:rFonts w:ascii="Times New Roman" w:hAnsi="Times New Roman" w:eastAsia="Arial Unicode MS" w:cs="DejaVu Serif"/>
          <w:b w:val="false"/>
          <w:b w:val="false"/>
          <w:bCs w:val="false"/>
          <w:sz w:val="24"/>
          <w:szCs w:val="24"/>
          <w:u w:val="single"/>
          <w:lang w:val="en-US"/>
        </w:rPr>
      </w:pPr>
      <w:r>
        <w:rPr>
          <w:rFonts w:eastAsia="Arial Unicode MS" w:cs="DejaVu Serif"/>
          <w:b w:val="false"/>
          <w:bCs w:val="false"/>
          <w:sz w:val="24"/>
          <w:szCs w:val="24"/>
          <w:u w:val="none"/>
          <w:lang w:val="en-US"/>
        </w:rPr>
        <w:tab/>
        <w:t>The Committee on the Rights of the Child, in its Concluding Observations on Austria’s initial report under the Optional Protocol to the Convention on the Rights of the Child on the involvement of children in armed conflict (OPAC), noted “that Section 9, paragraph 2, of the National Defence Act, sets the minimum age of voluntary recruitment at 17 years.” and recommended  “that the State party consider the possibility to increase the minimum age for voluntary recruitment to 18 years”</w:t>
      </w:r>
      <w:r>
        <w:rPr>
          <w:rStyle w:val="FootnoteAnchor"/>
          <w:rFonts w:eastAsia="Arial Unicode MS" w:cs="DejaVu Serif"/>
          <w:b w:val="false"/>
          <w:bCs w:val="false"/>
          <w:sz w:val="24"/>
          <w:szCs w:val="24"/>
          <w:u w:val="none"/>
          <w:lang w:val="en-US"/>
        </w:rPr>
        <w:footnoteReference w:id="25"/>
      </w:r>
      <w:r>
        <w:rPr>
          <w:rFonts w:eastAsia="Arial Unicode MS" w:cs="DejaVu Serif"/>
          <w:b w:val="false"/>
          <w:bCs w:val="false"/>
          <w:sz w:val="24"/>
          <w:szCs w:val="24"/>
          <w:u w:val="none"/>
          <w:lang w:val="en-US"/>
        </w:rPr>
        <w:t xml:space="preserve">; the Committee did not address the questionable assumption that an option regarding the </w:t>
      </w:r>
      <w:r>
        <w:rPr>
          <w:rFonts w:eastAsia="Arial Unicode MS" w:cs="DejaVu Serif"/>
          <w:b w:val="false"/>
          <w:bCs w:val="false"/>
          <w:i/>
          <w:iCs/>
          <w:sz w:val="24"/>
          <w:szCs w:val="24"/>
          <w:u w:val="none"/>
          <w:lang w:val="en-US"/>
        </w:rPr>
        <w:t>timing</w:t>
      </w:r>
      <w:r>
        <w:rPr>
          <w:rFonts w:eastAsia="Arial Unicode MS" w:cs="DejaVu Serif"/>
          <w:b w:val="false"/>
          <w:bCs w:val="false"/>
          <w:sz w:val="24"/>
          <w:szCs w:val="24"/>
          <w:u w:val="none"/>
          <w:lang w:val="en-US"/>
        </w:rPr>
        <w:t xml:space="preserve"> of enlistment for obligatory military service made this “voluntary recruitment”, and thus permissible under the OPAC  subject to certain conditions.  This recommendation has been reiterated, without success, in the Committee’s Concluding Observations on Austria’s subsequent reports under the Convention itself, most recently, in 2020, “While noting the explanations provided by the State party in its report in response to the Committee’s recommendations made in 2005 on the Optional Protocol on the involvement of children in armed conflict and reiterated in 2012 (...), the Committee regrets that the State party has not taken any specific measures to implement its recommendations. The Committee urges the State party to reconsider its position that it will not increase the minimum age for voluntary recruitment to 18 years.</w:t>
      </w:r>
      <w:r>
        <w:rPr>
          <w:rFonts w:eastAsia="Arial Unicode MS" w:cs="DejaVu Serif"/>
          <w:b/>
          <w:bCs/>
          <w:sz w:val="24"/>
          <w:szCs w:val="24"/>
          <w:u w:val="none"/>
          <w:lang w:val="en-US"/>
        </w:rPr>
        <w:t>”</w:t>
      </w:r>
      <w:r>
        <w:rPr>
          <w:rStyle w:val="FootnoteAnchor"/>
          <w:rFonts w:eastAsia="Arial Unicode MS" w:cs="DejaVu Serif"/>
          <w:b w:val="false"/>
          <w:bCs w:val="false"/>
          <w:sz w:val="24"/>
          <w:szCs w:val="24"/>
          <w:u w:val="none"/>
          <w:lang w:val="en-US"/>
        </w:rPr>
        <w:footnoteReference w:id="26"/>
      </w:r>
      <w:r>
        <w:rPr>
          <w:rStyle w:val="FootnoteAnchor"/>
          <w:rFonts w:eastAsia="Arial Unicode MS" w:cs="DejaVu Serif"/>
          <w:b w:val="false"/>
          <w:bCs w:val="false"/>
          <w:sz w:val="24"/>
          <w:szCs w:val="24"/>
          <w:u w:val="none"/>
          <w:lang w:val="en-US"/>
        </w:rPr>
        <w:t xml:space="preserve">  </w:t>
      </w:r>
    </w:p>
    <w:p>
      <w:pPr>
        <w:pStyle w:val="Normal"/>
        <w:jc w:val="both"/>
        <w:rPr>
          <w:rStyle w:val="FootnoteAnchor"/>
          <w:b/>
          <w:b/>
          <w:bCs/>
          <w:u w:val="none"/>
        </w:rPr>
      </w:pPr>
      <w:r>
        <w:rPr>
          <w:b/>
          <w:bCs/>
          <w:u w:val="none"/>
        </w:rPr>
      </w:r>
    </w:p>
    <w:p>
      <w:pPr>
        <w:pStyle w:val="Normal"/>
        <w:jc w:val="both"/>
        <w:rPr/>
      </w:pPr>
      <w:r>
        <w:rPr>
          <w:b w:val="false"/>
          <w:bCs w:val="false"/>
          <w:sz w:val="24"/>
          <w:szCs w:val="24"/>
        </w:rPr>
        <w:t>This issue was raised also i</w:t>
      </w:r>
      <w:r>
        <w:rPr>
          <w:sz w:val="24"/>
          <w:szCs w:val="24"/>
        </w:rPr>
        <w:t>n the first cycle of the Universal Periodic Review process of the Human Rights Council, when Ghana and Slovakia recommended that Austria “Raise the age for all enrolments into the armed forces to the age of at least 18 in accordance with the CRC recommendation.”</w:t>
      </w:r>
      <w:r>
        <w:rPr>
          <w:rStyle w:val="FootnoteAnchor"/>
          <w:sz w:val="24"/>
          <w:szCs w:val="24"/>
        </w:rPr>
        <w:footnoteReference w:id="27"/>
      </w:r>
      <w:r>
        <w:rPr>
          <w:sz w:val="24"/>
          <w:szCs w:val="24"/>
        </w:rPr>
        <w:t xml:space="preserve"> </w:t>
      </w:r>
      <w:r>
        <w:rPr>
          <w:rFonts w:eastAsia="Times New Roman" w:cs="Times New Roman"/>
          <w:sz w:val="24"/>
          <w:szCs w:val="24"/>
        </w:rPr>
        <w:tab/>
      </w:r>
      <w:r>
        <w:rPr/>
        <w:t>In its written responses</w:t>
      </w:r>
      <w:r>
        <w:rPr>
          <w:rStyle w:val="FootnoteAnchor"/>
        </w:rPr>
        <w:footnoteReference w:id="28"/>
      </w:r>
      <w:r>
        <w:rPr/>
        <w:t xml:space="preserve"> Austria stated that it did not accept the recommendation:  “The option of performing the military service starting at the age of 17 is based solely on the voluntary enlistment of the person concerned and requires the consent of his legal guardian. Neither the direct participation in combat nor the voluntary enlistment for military service in international operations is admissible. Under these provisions, full respect of the entire Convention on the Rights of the Child including its Optional Protocol is guaranteed.”</w:t>
      </w:r>
    </w:p>
    <w:p>
      <w:pPr>
        <w:pStyle w:val="Normal"/>
        <w:jc w:val="both"/>
        <w:rPr/>
      </w:pPr>
      <w:r>
        <w:rPr/>
      </w:r>
    </w:p>
    <w:p>
      <w:pPr>
        <w:pStyle w:val="Normal"/>
        <w:jc w:val="both"/>
        <w:rPr/>
      </w:pPr>
      <w:r>
        <w:rPr/>
        <w:tab/>
        <w:t>The issue has not featured in subsequent cycles of the UPR.</w:t>
      </w:r>
    </w:p>
    <w:p>
      <w:pPr>
        <w:pStyle w:val="Normal"/>
        <w:jc w:val="both"/>
        <w:rPr/>
      </w:pPr>
      <w:r>
        <w:rPr/>
      </w:r>
    </w:p>
    <w:p>
      <w:pPr>
        <w:pStyle w:val="Normal"/>
        <w:jc w:val="both"/>
        <w:rPr/>
      </w:pPr>
      <w:r>
        <w:rPr/>
        <w:tab/>
        <w:t>A question was also raised on this in the List of Issues on Austria’s Fifth Periodic Report under the ICCPR,</w:t>
      </w:r>
      <w:r>
        <w:rPr>
          <w:rStyle w:val="FootnoteAnchor"/>
          <w:b/>
          <w:bCs/>
          <w:sz w:val="24"/>
          <w:szCs w:val="24"/>
          <w:u w:val="none"/>
        </w:rPr>
        <w:footnoteReference w:id="29"/>
      </w:r>
      <w:r>
        <w:rPr>
          <w:rStyle w:val="FootnoteAnchor"/>
          <w:rFonts w:eastAsia="Arial Unicode MS"/>
          <w:b w:val="false"/>
          <w:bCs w:val="false"/>
          <w:sz w:val="24"/>
          <w:szCs w:val="24"/>
          <w:u w:val="none"/>
        </w:rPr>
        <w:t xml:space="preserve"> </w:t>
      </w:r>
      <w:r>
        <w:rPr>
          <w:rFonts w:eastAsia="Arial Unicode MS"/>
          <w:b w:val="false"/>
          <w:bCs w:val="false"/>
          <w:sz w:val="24"/>
          <w:szCs w:val="24"/>
          <w:u w:val="none"/>
        </w:rPr>
        <w:t>to which the State replied “Austria is State Party to the Convention on the Rights of the Child as well as to its Optional Protocol on the involvement of children in armed conflict. Article 9, Article 41 para. 2 and Article 57 of the Defence Act 2001 (</w:t>
      </w:r>
      <w:r>
        <w:rPr>
          <w:rFonts w:eastAsia="Arial Unicode MS"/>
          <w:b w:val="false"/>
          <w:bCs w:val="false"/>
          <w:i/>
          <w:sz w:val="24"/>
          <w:szCs w:val="24"/>
          <w:u w:val="none"/>
        </w:rPr>
        <w:t>Wehrgesetz 2001</w:t>
      </w:r>
      <w:r>
        <w:rPr>
          <w:rFonts w:eastAsia="Arial Unicode MS"/>
          <w:b w:val="false"/>
          <w:bCs w:val="false"/>
          <w:sz w:val="24"/>
          <w:szCs w:val="24"/>
          <w:u w:val="none"/>
        </w:rPr>
        <w:t xml:space="preserve">) comply fully with the requirements set out by this Convention. It is possible in Austria, however, to join the army voluntarily at the age of 17, provided certain conditions are met. According to Article 9 in conjunction with Article 57 of the Defence Act 2001, a 17-year-old has to act of his own accord and requires the written consent of a parent or legal guardian to be able to join the army. The idea behind this rule is to provide young men, who have successfully completed their apprenticeship or education at the age of 17, with the opportunity to join the army. </w:t>
      </w:r>
      <w:r>
        <w:rPr>
          <w:rFonts w:eastAsia="Arial Unicode MS"/>
          <w:b w:val="false"/>
          <w:bCs w:val="false"/>
          <w:sz w:val="24"/>
          <w:szCs w:val="24"/>
          <w:u w:val="none"/>
          <w:lang w:val="en-US"/>
        </w:rPr>
        <w:t>Most employers consider the completion of the mandatory military service or the substitute civilian service as a necessary prerequisite for offering a job. The Austrian Federal Army, however, does not actively advertise this opportunity and does not promote the recruitment of under 18-year-olds in any way.”</w:t>
      </w:r>
      <w:r>
        <w:rPr>
          <w:rStyle w:val="FootnoteAnchor"/>
          <w:rFonts w:eastAsia="Arial Unicode MS" w:cs="DejaVu Serif" w:ascii="DejaVu Serif" w:hAnsi="DejaVu Serif"/>
          <w:b w:val="false"/>
          <w:bCs w:val="false"/>
          <w:sz w:val="21"/>
          <w:szCs w:val="21"/>
          <w:u w:val="none"/>
          <w:lang w:val="en-US"/>
        </w:rPr>
        <w:footnoteReference w:id="30"/>
      </w:r>
      <w:r>
        <w:rPr>
          <w:rFonts w:eastAsia="Arial Unicode MS"/>
          <w:b w:val="false"/>
          <w:bCs w:val="false"/>
          <w:sz w:val="24"/>
          <w:szCs w:val="24"/>
          <w:u w:val="none"/>
          <w:lang w:val="en-US"/>
        </w:rPr>
        <w:t xml:space="preserve">  </w:t>
      </w:r>
    </w:p>
    <w:p>
      <w:pPr>
        <w:pStyle w:val="Normal"/>
        <w:jc w:val="both"/>
        <w:rP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pPr>
      <w:r>
        <w:rPr>
          <w:rFonts w:eastAsia="Arial Unicode MS"/>
          <w:b w:val="false"/>
          <w:bCs w:val="false"/>
          <w:sz w:val="24"/>
          <w:szCs w:val="24"/>
          <w:u w:val="none"/>
          <w:lang w:val="en-US"/>
        </w:rPr>
        <w:tab/>
        <w:t>This seems to confirm that</w:t>
      </w:r>
      <w:r>
        <w:rPr>
          <w:rFonts w:eastAsia="Arial Unicode MS" w:cs="DejaVu Serif" w:ascii="DejaVu Serif" w:hAnsi="DejaVu Serif"/>
          <w:b w:val="false"/>
          <w:bCs w:val="false"/>
          <w:sz w:val="21"/>
          <w:szCs w:val="21"/>
          <w:u w:val="none"/>
          <w:lang w:val="en-US"/>
        </w:rPr>
        <w:t xml:space="preserve"> Austria is aware that it is undesirable to be recruiting persons under 18, even though the OP/CAC as drafted does not absolutely prohibit this.  A virtue is made of the fact that the army does not advertise or promote such recruitment.  The explanation given of the structural features which may make early performance of military service seem to some young men to be in their best interest – that they may have finished education and / or apprenticeship and that employers are reluctant to hire persons who have not performed national service suggests that attention should be directed to addressing these features in some way rather than simply responding by admitting minors into the army.</w:t>
      </w:r>
    </w:p>
    <w:p>
      <w:pPr>
        <w:pStyle w:val="Normal"/>
        <w:jc w:val="both"/>
        <w:rPr>
          <w:rFonts w:ascii="DejaVu Serif" w:hAnsi="DejaVu Serif" w:eastAsia="Arial Unicode MS" w:cs="DejaVu Serif"/>
          <w:b w:val="false"/>
          <w:b w:val="false"/>
          <w:bCs w:val="false"/>
          <w:sz w:val="21"/>
          <w:szCs w:val="21"/>
          <w:u w:val="none"/>
          <w:lang w:val="en-US"/>
        </w:rPr>
      </w:pPr>
      <w:r>
        <w:rPr>
          <w:rFonts w:eastAsia="Arial Unicode MS" w:cs="DejaVu Serif" w:ascii="DejaVu Serif" w:hAnsi="DejaVu Serif"/>
          <w:b w:val="false"/>
          <w:bCs w:val="false"/>
          <w:sz w:val="21"/>
          <w:szCs w:val="21"/>
          <w:u w:val="none"/>
          <w:lang w:val="en-US"/>
        </w:rPr>
      </w:r>
    </w:p>
    <w:p>
      <w:pPr>
        <w:pStyle w:val="Normal"/>
        <w:jc w:val="both"/>
        <w:rPr>
          <w:rStyle w:val="FootnoteAnchor"/>
          <w:rFonts w:eastAsia="Arial Unicode MS"/>
          <w:b w:val="false"/>
          <w:b w:val="false"/>
          <w:bCs w:val="false"/>
          <w:sz w:val="24"/>
          <w:szCs w:val="24"/>
          <w:u w:val="none"/>
          <w:lang w:val="en-US"/>
        </w:rPr>
      </w:pPr>
      <w:r>
        <w:rPr>
          <w:rFonts w:eastAsia="Arial Unicode MS"/>
          <w:b w:val="false"/>
          <w:bCs w:val="false"/>
          <w:sz w:val="24"/>
          <w:szCs w:val="24"/>
          <w:u w:val="none"/>
          <w:lang w:val="en-US"/>
        </w:rPr>
      </w:r>
    </w:p>
    <w:p>
      <w:pPr>
        <w:pStyle w:val="Normal"/>
        <w:jc w:val="both"/>
        <w:rPr>
          <w:rStyle w:val="FootnoteAnchor"/>
          <w:rFonts w:eastAsia="Arial Unicode MS"/>
          <w:b w:val="false"/>
          <w:b w:val="false"/>
          <w:bCs w:val="false"/>
          <w:sz w:val="24"/>
          <w:szCs w:val="24"/>
          <w:u w:val="none"/>
          <w:lang w:val="en-US"/>
        </w:rPr>
      </w:pPr>
      <w:r>
        <w:rPr>
          <w:rStyle w:val="FootnoteAnchor"/>
          <w:rFonts w:eastAsia="Arial Unicode MS"/>
          <w:b w:val="false"/>
          <w:bCs w:val="false"/>
          <w:sz w:val="24"/>
          <w:szCs w:val="24"/>
          <w:u w:val="none"/>
          <w:lang w:val="en-US"/>
        </w:rPr>
        <w:tab/>
      </w:r>
    </w:p>
    <w:p>
      <w:pPr>
        <w:pStyle w:val="Normal"/>
        <w:rPr>
          <w:rFonts w:ascii="DejaVu Serif" w:hAnsi="DejaVu Serif" w:cs="DejaVu Serif"/>
          <w:b/>
          <w:b/>
          <w:bCs/>
          <w:sz w:val="21"/>
          <w:szCs w:val="21"/>
        </w:rPr>
      </w:pPr>
      <w:r>
        <w:rPr>
          <w:rFonts w:cs="DejaVu Serif" w:ascii="DejaVu Serif" w:hAnsi="DejaVu Serif"/>
          <w:b/>
          <w:bCs/>
          <w:sz w:val="21"/>
          <w:szCs w:val="21"/>
        </w:rPr>
      </w:r>
    </w:p>
    <w:p>
      <w:pPr>
        <w:pStyle w:val="Normal"/>
        <w:rPr>
          <w:rFonts w:ascii="DejaVu Serif" w:hAnsi="DejaVu Serif" w:cs="DejaVu Serif"/>
          <w:b/>
          <w:b/>
          <w:bCs/>
          <w:sz w:val="21"/>
          <w:szCs w:val="21"/>
        </w:rPr>
      </w:pPr>
      <w:r>
        <w:rPr>
          <w:rFonts w:cs="DejaVu Serif" w:ascii="DejaVu Serif" w:hAnsi="DejaVu Serif"/>
          <w:b/>
          <w:bCs/>
          <w:sz w:val="21"/>
          <w:szCs w:val="21"/>
        </w:rPr>
      </w:r>
    </w:p>
    <w:p>
      <w:pPr>
        <w:pStyle w:val="H23G"/>
        <w:ind w:left="1134" w:right="1134" w:hanging="0"/>
        <w:rPr>
          <w:rFonts w:eastAsia="Times New Roman" w:cs="Times New Roman"/>
          <w:b w:val="false"/>
          <w:b w:val="false"/>
          <w:bCs w:val="false"/>
          <w:u w:val="single"/>
        </w:rPr>
      </w:pPr>
      <w:r>
        <w:rPr>
          <w:rFonts w:eastAsia="Times New Roman" w:cs="Times New Roman"/>
          <w:b w:val="false"/>
          <w:bCs w:val="false"/>
          <w:u w:val="single"/>
        </w:rPr>
      </w:r>
      <w:r>
        <w:br w:type="page"/>
      </w:r>
    </w:p>
    <w:p>
      <w:pPr>
        <w:pStyle w:val="H23G"/>
        <w:ind w:left="1134" w:right="1134" w:hanging="0"/>
        <w:rPr/>
      </w:pPr>
      <w:r>
        <w:rPr>
          <w:rFonts w:eastAsia="Times New Roman" w:cs="Times New Roman"/>
          <w:b w:val="false"/>
          <w:bCs w:val="false"/>
          <w:u w:val="single"/>
        </w:rPr>
        <w:t xml:space="preserve"> </w:t>
      </w:r>
      <w:r>
        <w:rPr>
          <w:b w:val="false"/>
          <w:bCs w:val="false"/>
          <w:u w:val="single"/>
        </w:rPr>
        <w:t>Latest statistics</w:t>
      </w:r>
      <w:r>
        <w:rPr>
          <w:rStyle w:val="FootnoteAnchor"/>
          <w:b w:val="false"/>
          <w:bCs w:val="false"/>
          <w:u w:val="single"/>
        </w:rPr>
        <w:footnoteReference w:id="31"/>
      </w:r>
    </w:p>
    <w:p>
      <w:pPr>
        <w:pStyle w:val="Normal"/>
        <w:bidi w:val="0"/>
        <w:jc w:val="both"/>
        <w:rPr>
          <w:b w:val="false"/>
          <w:b w:val="false"/>
          <w:bCs w:val="false"/>
        </w:rPr>
      </w:pPr>
      <w:r>
        <w:rPr>
          <w:b w:val="false"/>
          <w:bCs w:val="false"/>
        </w:rPr>
      </w:r>
    </w:p>
    <w:p>
      <w:pPr>
        <w:pStyle w:val="Normal"/>
        <w:bidi w:val="0"/>
        <w:jc w:val="both"/>
        <w:rPr/>
      </w:pPr>
      <w:r>
        <w:rPr>
          <w:b w:val="false"/>
          <w:bCs w:val="false"/>
          <w:sz w:val="24"/>
          <w:szCs w:val="24"/>
          <w:u w:val="none"/>
        </w:rPr>
        <w:t xml:space="preserve">POPULATION </w:t>
      </w:r>
      <w:r>
        <w:rPr>
          <w:b w:val="false"/>
          <w:bCs w:val="false"/>
          <w:i w:val="false"/>
          <w:iCs w:val="false"/>
          <w:sz w:val="24"/>
          <w:szCs w:val="24"/>
          <w:u w:val="none"/>
        </w:rPr>
        <w:t>(November</w:t>
      </w:r>
      <w:r>
        <w:rPr>
          <w:rFonts w:eastAsia="Times New Roman" w:cs="Times New Roman"/>
          <w:b w:val="false"/>
          <w:bCs w:val="false"/>
          <w:i w:val="false"/>
          <w:iCs w:val="false"/>
          <w:sz w:val="24"/>
          <w:szCs w:val="24"/>
          <w:u w:val="none"/>
        </w:rPr>
        <w:t xml:space="preserve"> </w:t>
      </w:r>
      <w:r>
        <w:rPr>
          <w:b w:val="false"/>
          <w:bCs w:val="false"/>
          <w:i w:val="false"/>
          <w:iCs w:val="false"/>
          <w:sz w:val="24"/>
          <w:szCs w:val="24"/>
          <w:u w:val="none"/>
        </w:rPr>
        <w:t>2023,</w:t>
      </w:r>
      <w:r>
        <w:rPr>
          <w:rFonts w:eastAsia="Times New Roman" w:cs="Times New Roman"/>
          <w:b w:val="false"/>
          <w:bCs w:val="false"/>
          <w:i w:val="false"/>
          <w:iCs w:val="false"/>
          <w:sz w:val="24"/>
          <w:szCs w:val="24"/>
          <w:u w:val="none"/>
        </w:rPr>
        <w:t xml:space="preserve"> </w:t>
      </w:r>
      <w:r>
        <w:rPr>
          <w:b w:val="false"/>
          <w:bCs w:val="false"/>
          <w:i w:val="false"/>
          <w:iCs w:val="false"/>
          <w:sz w:val="24"/>
          <w:szCs w:val="24"/>
          <w:u w:val="none"/>
        </w:rPr>
        <w:t>estimated)</w:t>
        <w:tab/>
        <w:tab/>
      </w:r>
      <w:r>
        <w:rPr>
          <w:rFonts w:eastAsia="Times New Roman" w:cs="Times New Roman"/>
          <w:b w:val="false"/>
          <w:bCs w:val="false"/>
          <w:i w:val="false"/>
          <w:iCs w:val="false"/>
          <w:sz w:val="24"/>
          <w:szCs w:val="24"/>
          <w:u w:val="none"/>
        </w:rPr>
        <w:t xml:space="preserve"> </w:t>
        <w:tab/>
        <w:t xml:space="preserve">        </w:t>
        <w:tab/>
        <w:t xml:space="preserve">                          8,941,</w:t>
      </w:r>
      <w:r>
        <w:rPr>
          <w:b w:val="false"/>
          <w:bCs w:val="false"/>
          <w:i w:val="false"/>
          <w:iCs w:val="false"/>
          <w:sz w:val="24"/>
          <w:szCs w:val="24"/>
          <w:u w:val="none"/>
        </w:rPr>
        <w:t>000</w:t>
      </w:r>
    </w:p>
    <w:p>
      <w:pPr>
        <w:pStyle w:val="Normal"/>
        <w:bidi w:val="0"/>
        <w:jc w:val="both"/>
        <w:rPr/>
      </w:pPr>
      <w:r>
        <w:rPr>
          <w:rStyle w:val="Emphasis"/>
          <w:rFonts w:eastAsia="Times New Roman" w:cs="Times New Roman"/>
          <w:b w:val="false"/>
          <w:bCs w:val="false"/>
          <w:i w:val="false"/>
          <w:iCs w:val="false"/>
          <w:sz w:val="24"/>
          <w:szCs w:val="24"/>
          <w:u w:val="none"/>
        </w:rPr>
        <w:tab/>
        <w:t>proportion of  males aged 15-19</w:t>
        <w:tab/>
        <w:tab/>
        <w:tab/>
        <w:tab/>
        <w:tab/>
        <w:tab/>
        <w:tab/>
        <w:t xml:space="preserve">         2.4%</w:t>
      </w:r>
    </w:p>
    <w:p>
      <w:pPr>
        <w:pStyle w:val="Normal"/>
        <w:bidi w:val="0"/>
        <w:jc w:val="both"/>
        <w:rPr/>
      </w:pPr>
      <w:r>
        <w:rPr>
          <w:rStyle w:val="Emphasis"/>
          <w:rFonts w:eastAsia="Times New Roman" w:cs="Times New Roman"/>
          <w:b w:val="false"/>
          <w:bCs w:val="false"/>
          <w:i w:val="false"/>
          <w:iCs w:val="false"/>
          <w:sz w:val="24"/>
          <w:szCs w:val="24"/>
          <w:u w:val="none"/>
        </w:rPr>
        <w:tab/>
        <w:t xml:space="preserve">thus annually reaching recruitment age (approx):  </w:t>
        <w:tab/>
        <w:t xml:space="preserve">    </w:t>
        <w:tab/>
        <w:tab/>
        <w:t xml:space="preserve">                                42</w:t>
      </w:r>
      <w:r>
        <w:rPr>
          <w:rStyle w:val="Emphasis"/>
          <w:rFonts w:eastAsia="Times New Roman" w:cs="Times New Roman"/>
          <w:b w:val="false"/>
          <w:bCs w:val="false"/>
          <w:i w:val="false"/>
          <w:iCs w:val="false"/>
          <w:sz w:val="22"/>
          <w:szCs w:val="22"/>
          <w:u w:val="none"/>
        </w:rPr>
        <w:t>,917</w:t>
      </w:r>
    </w:p>
    <w:p>
      <w:pPr>
        <w:pStyle w:val="Normal"/>
        <w:bidi w:val="0"/>
        <w:jc w:val="both"/>
        <w:rPr>
          <w:b w:val="false"/>
          <w:b w:val="false"/>
          <w:bCs w:val="false"/>
        </w:rPr>
      </w:pPr>
      <w:r>
        <w:rPr>
          <w:b w:val="false"/>
          <w:bCs w:val="false"/>
        </w:rPr>
      </w:r>
    </w:p>
    <w:p>
      <w:pPr>
        <w:pStyle w:val="Normal"/>
        <w:bidi w:val="0"/>
        <w:jc w:val="both"/>
        <w:rPr/>
      </w:pPr>
      <w:r>
        <w:rPr>
          <w:b w:val="false"/>
          <w:bCs w:val="false"/>
          <w:sz w:val="24"/>
          <w:szCs w:val="24"/>
        </w:rPr>
        <w:t>ARMED FORCES:         Active</w:t>
      </w:r>
      <w:r>
        <w:rPr>
          <w:rFonts w:eastAsia="Times New Roman" w:cs="Times New Roman"/>
          <w:b w:val="false"/>
          <w:bCs w:val="false"/>
          <w:sz w:val="24"/>
          <w:szCs w:val="24"/>
        </w:rPr>
        <w:t xml:space="preserve"> </w:t>
      </w:r>
      <w:r>
        <w:rPr>
          <w:b w:val="false"/>
          <w:bCs w:val="false"/>
          <w:sz w:val="24"/>
          <w:szCs w:val="24"/>
        </w:rPr>
        <w:t>strength,</w:t>
      </w:r>
      <w:r>
        <w:rPr>
          <w:rFonts w:eastAsia="Times New Roman" w:cs="Times New Roman"/>
          <w:b w:val="false"/>
          <w:bCs w:val="false"/>
          <w:sz w:val="24"/>
          <w:szCs w:val="24"/>
        </w:rPr>
        <w:t xml:space="preserve"> </w:t>
      </w:r>
      <w:r>
        <w:rPr>
          <w:b w:val="false"/>
          <w:bCs w:val="false"/>
          <w:sz w:val="24"/>
          <w:szCs w:val="24"/>
        </w:rPr>
        <w:t>November</w:t>
      </w:r>
      <w:r>
        <w:rPr>
          <w:rFonts w:eastAsia="Times New Roman" w:cs="Times New Roman"/>
          <w:b w:val="false"/>
          <w:bCs w:val="false"/>
          <w:sz w:val="24"/>
          <w:szCs w:val="24"/>
        </w:rPr>
        <w:t xml:space="preserve"> </w:t>
      </w:r>
      <w:r>
        <w:rPr>
          <w:b w:val="false"/>
          <w:bCs w:val="false"/>
          <w:sz w:val="24"/>
          <w:szCs w:val="24"/>
        </w:rPr>
        <w:t>2023</w:t>
      </w:r>
      <w:r>
        <w:rPr>
          <w:rStyle w:val="WWFootnoteCharacters1"/>
          <w:rFonts w:eastAsia="Times New Roman" w:cs="Times New Roman"/>
          <w:b w:val="false"/>
          <w:bCs w:val="false"/>
          <w:sz w:val="24"/>
          <w:szCs w:val="24"/>
        </w:rPr>
        <w:t xml:space="preserve">  </w:t>
      </w:r>
      <w:r>
        <w:rPr>
          <w:b w:val="false"/>
          <w:bCs w:val="false"/>
          <w:sz w:val="24"/>
          <w:szCs w:val="24"/>
        </w:rPr>
        <w:tab/>
        <w:t xml:space="preserve">           </w:t>
        <w:tab/>
        <w:t xml:space="preserve">                               22,200</w:t>
      </w:r>
    </w:p>
    <w:p>
      <w:pPr>
        <w:pStyle w:val="Normal"/>
        <w:bidi w:val="0"/>
        <w:jc w:val="both"/>
        <w:rPr/>
      </w:pPr>
      <w:r>
        <w:rPr>
          <w:b w:val="false"/>
          <w:bCs w:val="false"/>
          <w:sz w:val="24"/>
          <w:szCs w:val="24"/>
        </w:rPr>
        <w:tab/>
        <w:t xml:space="preserve">compared to </w:t>
      </w:r>
      <w:r>
        <w:rPr>
          <w:rFonts w:eastAsia="Times New Roman" w:cs="Times New Roman"/>
          <w:b w:val="false"/>
          <w:bCs w:val="false"/>
          <w:sz w:val="24"/>
          <w:szCs w:val="24"/>
        </w:rPr>
        <w:t xml:space="preserve">the male population reaching recruitment age    </w:t>
        <w:tab/>
        <w:tab/>
        <w:t xml:space="preserve">                    67.1%</w:t>
      </w:r>
    </w:p>
    <w:p>
      <w:pPr>
        <w:pStyle w:val="Normal"/>
        <w:bidi w:val="0"/>
        <w:jc w:val="both"/>
        <w:rPr>
          <w:b w:val="false"/>
          <w:b w:val="false"/>
          <w:bCs w:val="false"/>
        </w:rPr>
      </w:pPr>
      <w:r>
        <w:rPr>
          <w:b w:val="false"/>
          <w:bCs w:val="false"/>
        </w:rPr>
      </w:r>
    </w:p>
    <w:p>
      <w:pPr>
        <w:pStyle w:val="Normal"/>
        <w:bidi w:val="0"/>
        <w:jc w:val="both"/>
        <w:rPr/>
      </w:pPr>
      <w:r>
        <w:rPr>
          <w:rFonts w:cs="Times New Roman"/>
          <w:b w:val="false"/>
          <w:bCs w:val="false"/>
          <w:sz w:val="24"/>
          <w:szCs w:val="24"/>
          <w:u w:val="none"/>
        </w:rPr>
        <w:t>MILITARY EXPENDITURE:</w:t>
      </w:r>
      <w:r>
        <w:rPr>
          <w:rFonts w:eastAsia="Times New Roman" w:cs="Times New Roman"/>
          <w:b w:val="false"/>
          <w:bCs w:val="false"/>
          <w:sz w:val="24"/>
          <w:szCs w:val="24"/>
          <w:u w:val="none"/>
        </w:rPr>
        <w:t xml:space="preserve"> </w:t>
      </w:r>
      <w:r>
        <w:rPr>
          <w:rFonts w:cs="Times New Roman"/>
          <w:b w:val="false"/>
          <w:bCs w:val="false"/>
          <w:sz w:val="24"/>
          <w:szCs w:val="24"/>
          <w:u w:val="none"/>
        </w:rPr>
        <w:t>US</w:t>
      </w:r>
      <w:r>
        <w:rPr>
          <w:rFonts w:eastAsia="Times New Roman" w:cs="Times New Roman"/>
          <w:b w:val="false"/>
          <w:bCs w:val="false"/>
          <w:sz w:val="24"/>
          <w:szCs w:val="24"/>
          <w:u w:val="none"/>
        </w:rPr>
        <w:t xml:space="preserve"> </w:t>
      </w:r>
      <w:r>
        <w:rPr>
          <w:rFonts w:cs="Times New Roman"/>
          <w:b w:val="false"/>
          <w:bCs w:val="false"/>
          <w:sz w:val="24"/>
          <w:szCs w:val="24"/>
          <w:u w:val="none"/>
        </w:rPr>
        <w:t>$</w:t>
      </w:r>
      <w:r>
        <w:rPr>
          <w:rFonts w:eastAsia="Times New Roman" w:cs="Times New Roman"/>
          <w:b w:val="false"/>
          <w:bCs w:val="false"/>
          <w:sz w:val="24"/>
          <w:szCs w:val="24"/>
          <w:u w:val="none"/>
        </w:rPr>
        <w:t xml:space="preserve"> </w:t>
      </w:r>
      <w:r>
        <w:rPr>
          <w:rFonts w:cs="Times New Roman"/>
          <w:b w:val="false"/>
          <w:bCs w:val="false"/>
          <w:sz w:val="24"/>
          <w:szCs w:val="24"/>
          <w:u w:val="none"/>
        </w:rPr>
        <w:t>equivalent,</w:t>
      </w:r>
      <w:r>
        <w:rPr>
          <w:rFonts w:eastAsia="Times New Roman" w:cs="Times New Roman"/>
          <w:b w:val="false"/>
          <w:bCs w:val="false"/>
          <w:sz w:val="24"/>
          <w:szCs w:val="24"/>
          <w:u w:val="none"/>
        </w:rPr>
        <w:t xml:space="preserve"> estimated </w:t>
      </w:r>
      <w:r>
        <w:rPr>
          <w:rFonts w:cs="Times New Roman"/>
          <w:b w:val="false"/>
          <w:bCs w:val="false"/>
          <w:sz w:val="24"/>
          <w:szCs w:val="24"/>
          <w:u w:val="none"/>
        </w:rPr>
        <w:t>2023</w:t>
        <w:tab/>
        <w:t xml:space="preserve"> </w:t>
        <w:tab/>
        <w:t xml:space="preserve">                  $4,410m               </w:t>
      </w:r>
      <w:r>
        <w:rPr>
          <w:rFonts w:eastAsia="Times New Roman" w:cs="Times New Roman"/>
          <w:b w:val="false"/>
          <w:bCs w:val="false"/>
          <w:sz w:val="24"/>
          <w:szCs w:val="24"/>
          <w:u w:val="none"/>
        </w:rPr>
        <w:t xml:space="preserve">                </w:t>
        <w:tab/>
      </w:r>
      <w:r>
        <w:rPr>
          <w:rFonts w:cs="Times New Roman"/>
          <w:b w:val="false"/>
          <w:bCs w:val="false"/>
          <w:sz w:val="24"/>
          <w:szCs w:val="24"/>
          <w:u w:val="none"/>
        </w:rPr>
        <w:t>Per</w:t>
      </w:r>
      <w:r>
        <w:rPr>
          <w:rFonts w:eastAsia="Times New Roman" w:cs="Times New Roman"/>
          <w:b w:val="false"/>
          <w:bCs w:val="false"/>
          <w:sz w:val="24"/>
          <w:szCs w:val="24"/>
          <w:u w:val="none"/>
        </w:rPr>
        <w:t xml:space="preserve"> </w:t>
      </w:r>
      <w:r>
        <w:rPr>
          <w:rFonts w:cs="Times New Roman"/>
          <w:b w:val="false"/>
          <w:bCs w:val="false"/>
          <w:sz w:val="24"/>
          <w:szCs w:val="24"/>
          <w:u w:val="none"/>
        </w:rPr>
        <w:t>capita</w:t>
        <w:tab/>
        <w:t xml:space="preserve">   </w:t>
        <w:tab/>
        <w:tab/>
        <w:tab/>
        <w:tab/>
        <w:tab/>
        <w:tab/>
      </w:r>
      <w:r>
        <w:rPr>
          <w:rFonts w:eastAsia="Times New Roman" w:cs="Times New Roman"/>
          <w:b w:val="false"/>
          <w:bCs w:val="false"/>
          <w:sz w:val="24"/>
          <w:szCs w:val="24"/>
          <w:u w:val="none"/>
        </w:rPr>
        <w:t xml:space="preserve">                                           $492.2</w:t>
      </w:r>
      <w:r>
        <w:rPr>
          <w:rFonts w:eastAsia="Times New Roman" w:cs="Times New Roman"/>
          <w:b w:val="false"/>
          <w:bCs w:val="false"/>
          <w:i w:val="false"/>
          <w:iCs w:val="false"/>
          <w:sz w:val="24"/>
          <w:szCs w:val="24"/>
          <w:u w:val="none"/>
        </w:rPr>
        <w:tab/>
      </w:r>
    </w:p>
    <w:p>
      <w:pPr>
        <w:pStyle w:val="Normal"/>
        <w:bidi w:val="0"/>
        <w:jc w:val="both"/>
        <w:rPr/>
      </w:pPr>
      <w:r>
        <w:rPr>
          <w:rFonts w:eastAsia="Times New Roman" w:cs="Times New Roman"/>
          <w:b w:val="false"/>
          <w:bCs w:val="false"/>
          <w:i w:val="false"/>
          <w:iCs w:val="false"/>
          <w:sz w:val="24"/>
          <w:szCs w:val="24"/>
          <w:u w:val="none"/>
        </w:rPr>
        <w:tab/>
        <w:t xml:space="preserve">As % of  GDP </w:t>
        <w:tab/>
        <w:tab/>
        <w:tab/>
        <w:tab/>
        <w:tab/>
        <w:tab/>
        <w:tab/>
        <w:t xml:space="preserve">                                  0.8%</w:t>
      </w:r>
      <w:r>
        <w:br w:type="page"/>
      </w:r>
    </w:p>
    <w:p>
      <w:pPr>
        <w:pStyle w:val="Normal"/>
        <w:jc w:val="both"/>
        <w:rPr>
          <w:b/>
          <w:b/>
          <w:bCs/>
          <w:sz w:val="24"/>
          <w:szCs w:val="24"/>
          <w:u w:val="single"/>
        </w:rPr>
      </w:pPr>
      <w:r>
        <w:rPr>
          <w:b/>
          <w:bCs/>
          <w:sz w:val="24"/>
          <w:szCs w:val="24"/>
          <w:u w:val="single"/>
        </w:rPr>
        <w:t>Suggestions for the List of Issues</w:t>
      </w:r>
    </w:p>
    <w:p>
      <w:pPr>
        <w:pStyle w:val="Normal"/>
        <w:jc w:val="both"/>
        <w:rPr>
          <w:b/>
          <w:b/>
          <w:bCs/>
          <w:sz w:val="24"/>
          <w:szCs w:val="24"/>
          <w:u w:val="single"/>
        </w:rPr>
      </w:pPr>
      <w:r>
        <w:rPr>
          <w:b/>
          <w:bCs/>
          <w:sz w:val="24"/>
          <w:szCs w:val="24"/>
          <w:u w:val="single"/>
        </w:rPr>
      </w:r>
    </w:p>
    <w:p>
      <w:pPr>
        <w:pStyle w:val="Normal"/>
        <w:jc w:val="both"/>
        <w:rPr>
          <w:b/>
          <w:b/>
          <w:bCs/>
          <w:sz w:val="24"/>
          <w:szCs w:val="24"/>
          <w:u w:val="none"/>
        </w:rPr>
      </w:pPr>
      <w:r>
        <w:rPr>
          <w:b/>
          <w:bCs/>
          <w:sz w:val="24"/>
          <w:szCs w:val="24"/>
          <w:u w:val="none"/>
        </w:rPr>
        <w:t>1)</w:t>
        <w:tab/>
        <w:t>Austria should be asked what action it has taken in response to the Committee’s recommendation in para 35 of the 2015 Concluding Observations, concerning the relative durations of military and alternative civilian service.</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t>2)</w:t>
        <w:tab/>
        <w:t>Austria should be invited to comment on the apparently punitive and discriminatory differences in remuneration between those performing military and civilian service.</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t>3)</w:t>
        <w:tab/>
        <w:t>Has Austria implemented the recommendation of the Committee on the Rights of the Child that it should make eighteen the minimum age for voluntary as well as obligatory recruitment into the military?</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t>4)</w:t>
        <w:tab/>
        <w:t>Is Austria giving consideration to enabling a serving member of the armed forces to apply for early release in the event that he or she develops conscientious objections?</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t>5)</w:t>
        <w:tab/>
        <w:t>What action, if any,  has the State Party taken in response to the recommendation of the Human Rights Committee in para 32 of the 2015 Concluding Observations, regarding religious legislation which discriminates against Islam?</w:t>
      </w:r>
    </w:p>
    <w:sectPr>
      <w:footnotePr>
        <w:numFmt w:val="decimal"/>
      </w:footnotePr>
      <w:type w:val="nextPage"/>
      <w:pgSz w:w="11906" w:h="16838"/>
      <w:pgMar w:left="1134" w:right="1134"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Roman">
    <w:altName w:val="Times New Roman"/>
    <w:charset w:val="00"/>
    <w:family w:val="roman"/>
    <w:pitch w:val="variable"/>
  </w:font>
  <w:font w:name="DejaVu Serif">
    <w:charset w:val="00"/>
    <w:family w:val="roman"/>
    <w:pitch w:val="variable"/>
  </w:font>
  <w:font w:name="Tahoma">
    <w:altName w:val="sans-serif"/>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
        <w:rPr/>
      </w:pPr>
      <w:r>
        <w:rPr>
          <w:rStyle w:val="FootnoteCharacters"/>
        </w:rPr>
        <w:footnoteRef/>
      </w:r>
      <w:r>
        <w:rPr/>
        <w:tab/>
        <w:t>CCPR/CO/AUT/5,   3</w:t>
      </w:r>
      <w:r>
        <w:rPr>
          <w:vertAlign w:val="superscript"/>
        </w:rPr>
        <w:t>rd</w:t>
      </w:r>
      <w:r>
        <w:rPr/>
        <w:t xml:space="preserve"> December 2015, paras 33 and 34.</w:t>
      </w:r>
    </w:p>
  </w:footnote>
  <w:footnote w:id="3">
    <w:p>
      <w:pPr>
        <w:pStyle w:val="Footnote"/>
        <w:rPr/>
      </w:pPr>
      <w:r>
        <w:rPr>
          <w:rStyle w:val="FootnoteCharacters"/>
        </w:rPr>
        <w:footnoteRef/>
      </w:r>
      <w:r>
        <w:rPr/>
        <w:tab/>
        <w:t xml:space="preserve"> </w:t>
      </w:r>
      <w:r>
        <w:rPr/>
        <w:t xml:space="preserve">Prasad, D. &amp; Smythe, T. , </w:t>
      </w:r>
      <w:r>
        <w:rPr>
          <w:u w:val="single"/>
        </w:rPr>
        <w:t>Conscription - a World Survey: Compulsory Military Service and Resistance to it</w:t>
      </w:r>
      <w:r>
        <w:rPr/>
        <w:t>,  London, (War Resisters International), 1968, pp 10, 11.</w:t>
      </w:r>
    </w:p>
  </w:footnote>
  <w:footnote w:id="4">
    <w:p>
      <w:pPr>
        <w:pStyle w:val="Footnote"/>
        <w:rPr/>
      </w:pPr>
      <w:r>
        <w:rPr>
          <w:rStyle w:val="FootnoteCharacters"/>
        </w:rPr>
        <w:footnoteRef/>
      </w:r>
      <w:r>
        <w:rPr/>
        <w:tab/>
        <w:t xml:space="preserve"> </w:t>
      </w:r>
      <w:r>
        <w:rPr/>
        <w:t>Although the usual term in English is “alternative service”, Austrian sources stress that their civilian service  is an “</w:t>
      </w:r>
      <w:r>
        <w:rPr>
          <w:i/>
          <w:iCs/>
        </w:rPr>
        <w:t>Ersatzdienst</w:t>
      </w:r>
      <w:r>
        <w:rPr/>
        <w:t>” - a substitute or replacement service.  “</w:t>
      </w:r>
      <w:r>
        <w:rPr>
          <w:i/>
          <w:iCs/>
        </w:rPr>
        <w:t>Alternative</w:t>
      </w:r>
      <w:r>
        <w:rPr/>
        <w:t>” in German is seen as implying an option open to all, not just conscientious objectors.</w:t>
      </w:r>
    </w:p>
  </w:footnote>
  <w:footnote w:id="5">
    <w:p>
      <w:pPr>
        <w:pStyle w:val="Footnote"/>
        <w:rPr/>
      </w:pPr>
      <w:r>
        <w:rPr>
          <w:rStyle w:val="FootnoteCharacters"/>
        </w:rPr>
        <w:footnoteRef/>
      </w:r>
      <w:r>
        <w:rPr/>
        <w:tab/>
        <w:t>According to figures released by the Interior Ministry when all except postal votes had been counted.</w:t>
      </w:r>
    </w:p>
  </w:footnote>
  <w:footnote w:id="6">
    <w:p>
      <w:pPr>
        <w:pStyle w:val="Footnote"/>
        <w:rPr/>
      </w:pPr>
      <w:r>
        <w:rPr>
          <w:rStyle w:val="FootnoteCharacters"/>
        </w:rPr>
        <w:footnoteRef/>
      </w:r>
      <w:r>
        <w:rPr/>
        <w:tab/>
        <w:t xml:space="preserve"> </w:t>
      </w:r>
      <w:r>
        <w:rPr/>
        <w:t xml:space="preserve">See paras 290 - 320 of the Austria's Fourth Periodic Report under the ICCPR (CCPR/C/AUT/4). </w:t>
      </w:r>
    </w:p>
  </w:footnote>
  <w:footnote w:id="7">
    <w:p>
      <w:pPr>
        <w:pStyle w:val="Normal"/>
        <w:jc w:val="both"/>
        <w:rPr/>
      </w:pPr>
      <w:r>
        <w:rPr>
          <w:rStyle w:val="FootnoteCharacters"/>
        </w:rPr>
        <w:footnoteRef/>
      </w:r>
      <w:r>
        <w:rPr>
          <w:rStyle w:val="INS"/>
          <w:sz w:val="24"/>
          <w:szCs w:val="24"/>
        </w:rPr>
        <w:tab/>
        <w:t xml:space="preserve">    A</w:t>
      </w:r>
      <w:r>
        <w:rPr>
          <w:rStyle w:val="INS"/>
          <w:sz w:val="20"/>
          <w:szCs w:val="20"/>
        </w:rPr>
        <w:t xml:space="preserve">pplications </w:t>
      </w:r>
      <w:r>
        <w:rPr>
          <w:sz w:val="20"/>
          <w:szCs w:val="20"/>
        </w:rPr>
        <w:t xml:space="preserve">nos. </w:t>
      </w:r>
      <w:hyperlink r:id="rId1">
        <w:r>
          <w:rPr>
            <w:rStyle w:val="InternetLink"/>
            <w:sz w:val="20"/>
            <w:szCs w:val="20"/>
          </w:rPr>
          <w:t>49686/99</w:t>
        </w:r>
      </w:hyperlink>
      <w:r>
        <w:rPr>
          <w:sz w:val="20"/>
          <w:szCs w:val="20"/>
        </w:rPr>
        <w:t xml:space="preserve"> and  </w:t>
      </w:r>
      <w:hyperlink r:id="rId2">
        <w:r>
          <w:rPr>
            <w:rStyle w:val="InternetLink"/>
            <w:sz w:val="20"/>
            <w:szCs w:val="20"/>
          </w:rPr>
          <w:t>42967/98</w:t>
        </w:r>
      </w:hyperlink>
      <w:r>
        <w:rPr>
          <w:sz w:val="20"/>
          <w:szCs w:val="20"/>
        </w:rPr>
        <w:t>; judgements of 12 March, 2009.</w:t>
      </w:r>
    </w:p>
  </w:footnote>
  <w:footnote w:id="8">
    <w:p>
      <w:pPr>
        <w:pStyle w:val="Normal"/>
        <w:rPr/>
      </w:pPr>
      <w:r>
        <w:rPr>
          <w:rStyle w:val="FootnoteCharacters"/>
        </w:rPr>
        <w:footnoteRef/>
      </w:r>
      <w:hyperlink r:id="rId3">
        <w:r>
          <w:rPr>
            <w:rStyle w:val="InternetLink"/>
            <w:rFonts w:cs="Times New Roman"/>
            <w:b w:val="false"/>
            <w:i w:val="false"/>
            <w:caps w:val="false"/>
            <w:smallCaps w:val="false"/>
            <w:strike w:val="false"/>
            <w:dstrike w:val="false"/>
            <w:color w:val="1155CC"/>
            <w:sz w:val="20"/>
            <w:szCs w:val="20"/>
            <w:u w:val="single"/>
            <w:shd w:fill="auto" w:val="clear"/>
          </w:rPr>
          <w:t xml:space="preserve">     </w:t>
        </w:r>
        <w:r>
          <w:rPr>
            <w:rStyle w:val="InternetLink"/>
            <w:rFonts w:cs="Times New Roman"/>
            <w:b w:val="false"/>
            <w:i w:val="false"/>
            <w:caps w:val="false"/>
            <w:smallCaps w:val="false"/>
            <w:strike w:val="false"/>
            <w:dstrike w:val="false"/>
            <w:color w:val="1155CC"/>
            <w:sz w:val="20"/>
            <w:szCs w:val="20"/>
            <w:u w:val="single"/>
            <w:shd w:fill="auto" w:val="clear"/>
          </w:rPr>
          <w:t>https://www.bmlv.gv.at/cms/artikel.php?ID=10603</w:t>
        </w:r>
      </w:hyperlink>
      <w:r>
        <w:rPr>
          <w:rFonts w:cs="Times New Roman"/>
          <w:sz w:val="20"/>
          <w:szCs w:val="20"/>
        </w:rPr>
        <w:t xml:space="preserve"> </w:t>
      </w:r>
    </w:p>
  </w:footnote>
  <w:footnote w:id="9">
    <w:p>
      <w:pPr>
        <w:pStyle w:val="Normal"/>
        <w:rPr/>
      </w:pPr>
      <w:r>
        <w:rPr>
          <w:rStyle w:val="FootnoteCharacters"/>
        </w:rPr>
        <w:footnoteRef/>
      </w:r>
      <w:r>
        <w:rPr>
          <w:rFonts w:cs="Tahoma;sans-serif" w:ascii="Tahoma;sans-serif" w:hAnsi="Tahoma;sans-serif"/>
          <w:b w:val="false"/>
          <w:i w:val="false"/>
          <w:caps w:val="false"/>
          <w:smallCaps w:val="false"/>
          <w:strike w:val="false"/>
          <w:dstrike w:val="false"/>
          <w:color w:val="1155CC"/>
          <w:sz w:val="20"/>
          <w:szCs w:val="20"/>
          <w:u w:val="single"/>
          <w:shd w:fill="auto" w:val="clear"/>
        </w:rPr>
        <w:t xml:space="preserve">   </w:t>
      </w:r>
      <w:bookmarkStart w:id="1" w:name="docs-internal-guid-93a6052d-7fff-f891-da"/>
      <w:bookmarkEnd w:id="1"/>
      <w:r>
        <w:rPr>
          <w:rFonts w:cs="Tahoma;sans-serif" w:ascii="Tahoma;sans-serif" w:hAnsi="Tahoma;sans-serif"/>
          <w:b w:val="false"/>
          <w:i w:val="false"/>
          <w:caps w:val="false"/>
          <w:smallCaps w:val="false"/>
          <w:strike w:val="false"/>
          <w:dstrike w:val="false"/>
          <w:color w:val="1155CC"/>
          <w:sz w:val="20"/>
          <w:szCs w:val="20"/>
          <w:u w:val="single"/>
          <w:shd w:fill="auto" w:val="clear"/>
        </w:rPr>
        <w:t xml:space="preserve"> </w:t>
      </w:r>
      <w:hyperlink r:id="rId4">
        <w:r>
          <w:rPr>
            <w:rStyle w:val="InternetLink"/>
            <w:rFonts w:cs="Times New Roman"/>
            <w:b w:val="false"/>
            <w:i w:val="false"/>
            <w:caps w:val="false"/>
            <w:smallCaps w:val="false"/>
            <w:strike w:val="false"/>
            <w:dstrike w:val="false"/>
            <w:color w:val="1155CC"/>
            <w:sz w:val="22"/>
            <w:szCs w:val="20"/>
            <w:u w:val="single"/>
            <w:shd w:fill="auto" w:val="clear"/>
          </w:rPr>
          <w:t>https://www.bundeskanzleramt.gv.at/dam/jcr:de1a0efd-e039-43e1-84b8-daaa24aaaef7/20240111_medieninfo_grundwehr-zivildienst%20_bilanz_2023.pdf</w:t>
        </w:r>
      </w:hyperlink>
    </w:p>
  </w:footnote>
  <w:footnote w:id="10">
    <w:p>
      <w:pPr>
        <w:pStyle w:val="Footnote"/>
        <w:rPr/>
      </w:pPr>
      <w:r>
        <w:rPr>
          <w:rStyle w:val="FootnoteCharacters"/>
        </w:rPr>
        <w:footnoteRef/>
      </w:r>
      <w:r>
        <w:rPr/>
        <w:tab/>
        <w:t>https://www.bmeia.gv.at/en/travel-stay/living-abroad/military-and-civilian-service</w:t>
      </w:r>
    </w:p>
  </w:footnote>
  <w:footnote w:id="11">
    <w:p>
      <w:pPr>
        <w:pStyle w:val="Footnote"/>
        <w:rPr/>
      </w:pPr>
      <w:r>
        <w:rPr>
          <w:rStyle w:val="FootnoteCharacters"/>
        </w:rPr>
        <w:footnoteRef/>
      </w:r>
      <w:r>
        <w:rPr/>
        <w:tab/>
        <w:t xml:space="preserve"> </w:t>
      </w:r>
      <w:r>
        <w:rPr/>
        <w:t>Ibid.</w:t>
      </w:r>
    </w:p>
  </w:footnote>
  <w:footnote w:id="12">
    <w:p>
      <w:pPr>
        <w:pStyle w:val="Footnote"/>
        <w:rPr/>
      </w:pPr>
      <w:r>
        <w:rPr>
          <w:rStyle w:val="FootnoteCharacters"/>
        </w:rPr>
        <w:footnoteRef/>
      </w:r>
      <w:r>
        <w:rPr/>
        <w:tab/>
        <w:t xml:space="preserve"> </w:t>
      </w:r>
      <w:r>
        <w:rPr/>
        <w:t>www.bmlv.gv.at/rekrut</w:t>
      </w:r>
    </w:p>
  </w:footnote>
  <w:footnote w:id="13">
    <w:p>
      <w:pPr>
        <w:pStyle w:val="Normal"/>
        <w:rPr/>
      </w:pPr>
      <w:r>
        <w:rPr>
          <w:rStyle w:val="FootnoteCharacters"/>
        </w:rPr>
        <w:footnoteRef/>
      </w:r>
      <w:r>
        <w:rPr/>
        <w:tab/>
        <w:t xml:space="preserve">    </w:t>
      </w:r>
      <w:r>
        <w:rPr>
          <w:sz w:val="20"/>
          <w:szCs w:val="20"/>
        </w:rPr>
        <w:t>“Ich erkläre hiemit ausdrücklich,  a) die Wehrpflicht nicht erfüllen zu können, weil ich es - von den Fällen der persönlichen Notwehr oder Nothilfe abgesehen - aus Gewissensgründen ablehne, Waffengewalt gegen andere Menschen anzuwenden und daher bei Leistung des Wehrdienstes in Gewissensnot geraten würde,  b) deshalb Zivildienst leisten zu wollen.”</w:t>
      </w:r>
    </w:p>
  </w:footnote>
  <w:footnote w:id="14">
    <w:p>
      <w:pPr>
        <w:pStyle w:val="Footnote"/>
        <w:rPr/>
      </w:pPr>
      <w:r>
        <w:rPr>
          <w:rStyle w:val="FootnoteCharacters"/>
        </w:rPr>
        <w:footnoteRef/>
      </w:r>
      <w:r>
        <w:rPr/>
        <w:tab/>
        <w:t xml:space="preserve"> </w:t>
      </w:r>
      <w:r>
        <w:rPr/>
        <w:t>Reply of the Austrian Government to the questionnaire on “best practices concerning the right of everyone to have conscientious objections to military service”, circulated by the Office of the High Commissioner on Human Rights, 2003.</w:t>
      </w:r>
    </w:p>
  </w:footnote>
  <w:footnote w:id="15">
    <w:p>
      <w:pPr>
        <w:pStyle w:val="Footnote"/>
        <w:rPr/>
      </w:pPr>
      <w:r>
        <w:rPr>
          <w:rStyle w:val="FootnoteCharacters"/>
        </w:rPr>
        <w:footnoteRef/>
      </w:r>
      <w:r>
        <w:rPr/>
        <w:tab/>
        <w:t>https://www.amnesty.org/en/wp-content/uploads/2021/06/eur130011997en.pdf</w:t>
      </w:r>
    </w:p>
  </w:footnote>
  <w:footnote w:id="16">
    <w:p>
      <w:pPr>
        <w:pStyle w:val="Footnote"/>
        <w:rPr/>
      </w:pPr>
      <w:r>
        <w:rPr>
          <w:rStyle w:val="FootnoteCharacters"/>
        </w:rPr>
        <w:footnoteRef/>
      </w:r>
      <w:hyperlink r:id="rId5">
        <w:r>
          <w:rPr>
            <w:rStyle w:val="InternetLink"/>
            <w:i/>
            <w:iCs/>
          </w:rPr>
          <w:tab/>
          <w:t>"Zivildienst: Weg zur Polizei für Ex-"Zivis" frei"</w:t>
        </w:r>
      </w:hyperlink>
      <w:r>
        <w:rPr>
          <w:rStyle w:val="Quotation"/>
        </w:rPr>
        <w:t>. 24 August 2010</w:t>
      </w:r>
      <w:r>
        <w:rPr/>
        <w:t xml:space="preserve"> </w:t>
      </w:r>
    </w:p>
  </w:footnote>
  <w:footnote w:id="17">
    <w:p>
      <w:pPr>
        <w:pStyle w:val="Normal"/>
        <w:rPr/>
      </w:pPr>
      <w:r>
        <w:rPr>
          <w:rStyle w:val="FootnoteCharacters"/>
        </w:rPr>
        <w:footnoteRef/>
      </w:r>
      <w:r>
        <w:rPr>
          <w:sz w:val="20"/>
          <w:szCs w:val="20"/>
        </w:rPr>
        <w:tab/>
        <w:t xml:space="preserve">  Pro</w:t>
      </w:r>
      <w:r>
        <w:rPr>
          <w:sz w:val="20"/>
          <w:szCs w:val="20"/>
          <w:u w:val="single"/>
        </w:rPr>
        <w:t>fessional soldiers and the right to conscientious objection in the European Union</w:t>
      </w:r>
      <w:r>
        <w:rPr>
          <w:sz w:val="20"/>
          <w:szCs w:val="20"/>
        </w:rPr>
        <w:t xml:space="preserve"> (Information against war, repression, and for another society No 5: Documentation produced for Tobias Pflüger, MEP)  Versingte Europäische Links / Nordische Grüne Links, Brussels, Berlin, Tübingen, October 2008, p.11  (also to be found on the website of War Resisters International at: http://www.wri-irg.org/programmes/world_survey/country_report/en/Austria</w:t>
      </w:r>
    </w:p>
  </w:footnote>
  <w:footnote w:id="18">
    <w:p>
      <w:pPr>
        <w:pStyle w:val="Footnote"/>
        <w:rPr/>
      </w:pPr>
      <w:r>
        <w:rPr>
          <w:rStyle w:val="FootnoteCharacters"/>
        </w:rPr>
        <w:footnoteRef/>
      </w:r>
      <w:r>
        <w:rPr/>
        <w:tab/>
        <w:t>https://www.englishspeakers.at/post/national-service-in-austria</w:t>
      </w:r>
    </w:p>
  </w:footnote>
  <w:footnote w:id="19">
    <w:p>
      <w:pPr>
        <w:pStyle w:val="Footnote"/>
        <w:rPr/>
      </w:pPr>
      <w:r>
        <w:rPr>
          <w:rStyle w:val="FootnoteCharacters"/>
        </w:rPr>
        <w:footnoteRef/>
      </w:r>
      <w:r>
        <w:rPr/>
        <w:tab/>
        <w:t>https://kurier.at/politik/inland/3500-ausserordentliche-zivildiener-treten-ihren-dienst-an/400798529</w:t>
      </w:r>
    </w:p>
  </w:footnote>
  <w:footnote w:id="20">
    <w:p>
      <w:pPr>
        <w:pStyle w:val="Footnote"/>
        <w:rPr/>
      </w:pPr>
      <w:r>
        <w:rPr>
          <w:rStyle w:val="FootnoteCharacters"/>
        </w:rPr>
        <w:footnoteRef/>
      </w:r>
      <w:hyperlink r:id="rId6">
        <w:r>
          <w:rPr>
            <w:rStyle w:val="InternetLink"/>
            <w:i/>
            <w:iCs/>
          </w:rPr>
          <w:tab/>
          <w:t>"Coronakrise: Außerordentlicher Zivildienst endet am 31. Juli"</w:t>
        </w:r>
      </w:hyperlink>
      <w:r>
        <w:rPr>
          <w:rStyle w:val="Quotation"/>
        </w:rPr>
        <w:t>. 30 July 2020.</w:t>
      </w:r>
      <w:r>
        <w:rPr/>
        <w:t xml:space="preserve"> </w:t>
      </w:r>
    </w:p>
  </w:footnote>
  <w:footnote w:id="21">
    <w:p>
      <w:pPr>
        <w:pStyle w:val="Footnote"/>
        <w:rPr/>
      </w:pPr>
      <w:r>
        <w:rPr>
          <w:rStyle w:val="FootnoteCharacters"/>
        </w:rPr>
        <w:footnoteRef/>
      </w:r>
      <w:r>
        <w:rPr/>
        <w:tab/>
        <w:t>CCPR/C/AUS/Q/5/Add.1 [a misprint in the document itself replaces “AUT” by “AUS”], 4</w:t>
      </w:r>
      <w:r>
        <w:rPr>
          <w:vertAlign w:val="superscript"/>
        </w:rPr>
        <w:t>th</w:t>
      </w:r>
      <w:r>
        <w:rPr/>
        <w:t xml:space="preserve"> August 2015,  paras 138-149</w:t>
      </w:r>
    </w:p>
  </w:footnote>
  <w:footnote w:id="22">
    <w:p>
      <w:pPr>
        <w:pStyle w:val="Footnote"/>
        <w:rPr/>
      </w:pPr>
      <w:r>
        <w:rPr>
          <w:rStyle w:val="FootnoteCharacters"/>
        </w:rPr>
        <w:footnoteRef/>
      </w:r>
      <w:r>
        <w:rPr/>
        <w:tab/>
        <w:t>See the CPTI Submission for the consideration of Serbia’s Fourth Periodic Report – INT_CCPR_CSS_SRB_57436_En, January 2024.</w:t>
      </w:r>
    </w:p>
  </w:footnote>
  <w:footnote w:id="23">
    <w:p>
      <w:pPr>
        <w:pStyle w:val="Footnote"/>
        <w:rPr/>
      </w:pPr>
      <w:r>
        <w:rPr>
          <w:rStyle w:val="FootnoteCharacters"/>
        </w:rPr>
        <w:footnoteRef/>
      </w:r>
      <w:r>
        <w:rPr>
          <w:rFonts w:eastAsia="Times New Roman" w:cs="Times New Roman"/>
          <w:b w:val="false"/>
          <w:bCs w:val="false"/>
          <w:sz w:val="20"/>
          <w:szCs w:val="20"/>
        </w:rPr>
        <w:tab/>
        <w:t>CM/Rec(2010)4,  24</w:t>
      </w:r>
      <w:r>
        <w:rPr>
          <w:rFonts w:eastAsia="Times New Roman" w:cs="Times New Roman"/>
          <w:b w:val="false"/>
          <w:bCs w:val="false"/>
          <w:sz w:val="20"/>
          <w:szCs w:val="20"/>
          <w:vertAlign w:val="superscript"/>
        </w:rPr>
        <w:t>th</w:t>
      </w:r>
      <w:r>
        <w:rPr>
          <w:rFonts w:eastAsia="Times New Roman" w:cs="Times New Roman"/>
          <w:b w:val="false"/>
          <w:bCs w:val="false"/>
          <w:sz w:val="20"/>
          <w:szCs w:val="20"/>
        </w:rPr>
        <w:t xml:space="preserve"> February 2010</w:t>
      </w:r>
    </w:p>
  </w:footnote>
  <w:footnote w:id="24">
    <w:p>
      <w:pPr>
        <w:pStyle w:val="Footnote"/>
        <w:rPr/>
      </w:pPr>
      <w:r>
        <w:rPr>
          <w:rStyle w:val="FootnoteCharacters"/>
        </w:rPr>
        <w:footnoteRef/>
      </w:r>
      <w:r>
        <w:rPr/>
        <w:tab/>
        <w:t>See,</w:t>
      </w:r>
      <w:r>
        <w:rPr>
          <w:rFonts w:eastAsia="Times New Roman" w:cs="Times New Roman"/>
        </w:rPr>
        <w:t xml:space="preserve"> </w:t>
      </w:r>
      <w:r>
        <w:rPr/>
        <w:t>Council</w:t>
      </w:r>
      <w:r>
        <w:rPr>
          <w:rFonts w:eastAsia="Times New Roman" w:cs="Times New Roman"/>
        </w:rPr>
        <w:t xml:space="preserve"> </w:t>
      </w:r>
      <w:r>
        <w:rPr/>
        <w:t>of</w:t>
      </w:r>
      <w:r>
        <w:rPr>
          <w:rFonts w:eastAsia="Times New Roman" w:cs="Times New Roman"/>
        </w:rPr>
        <w:t xml:space="preserve"> </w:t>
      </w:r>
      <w:r>
        <w:rPr/>
        <w:t>Europe,</w:t>
      </w:r>
      <w:r>
        <w:rPr>
          <w:rFonts w:eastAsia="Times New Roman" w:cs="Times New Roman"/>
        </w:rPr>
        <w:t xml:space="preserve"> </w:t>
      </w:r>
      <w:r>
        <w:rPr/>
        <w:t>Steering</w:t>
      </w:r>
      <w:r>
        <w:rPr>
          <w:rFonts w:eastAsia="Times New Roman" w:cs="Times New Roman"/>
        </w:rPr>
        <w:t xml:space="preserve"> </w:t>
      </w:r>
      <w:r>
        <w:rPr/>
        <w:t>Committee</w:t>
      </w:r>
      <w:r>
        <w:rPr>
          <w:rFonts w:eastAsia="Times New Roman" w:cs="Times New Roman"/>
        </w:rPr>
        <w:t xml:space="preserve"> </w:t>
      </w:r>
      <w:r>
        <w:rPr/>
        <w:t>for</w:t>
      </w:r>
      <w:r>
        <w:rPr>
          <w:rFonts w:eastAsia="Times New Roman" w:cs="Times New Roman"/>
        </w:rPr>
        <w:t xml:space="preserve"> </w:t>
      </w:r>
      <w:r>
        <w:rPr/>
        <w:t>Human</w:t>
      </w:r>
      <w:r>
        <w:rPr>
          <w:rFonts w:eastAsia="Times New Roman" w:cs="Times New Roman"/>
        </w:rPr>
        <w:t xml:space="preserve"> </w:t>
      </w:r>
      <w:r>
        <w:rPr/>
        <w:t>Rights</w:t>
      </w:r>
      <w:r>
        <w:rPr>
          <w:rFonts w:eastAsia="Times New Roman" w:cs="Times New Roman"/>
        </w:rPr>
        <w:t xml:space="preserve"> </w:t>
      </w:r>
      <w:r>
        <w:rPr/>
        <w:t>(CDDH)</w:t>
      </w:r>
      <w:r>
        <w:rPr>
          <w:rFonts w:eastAsia="Times New Roman" w:cs="Times New Roman"/>
        </w:rPr>
        <w:t xml:space="preserve"> </w:t>
      </w:r>
      <w:r>
        <w:rPr>
          <w:u w:val="single"/>
        </w:rPr>
        <w:t>Questionnaire</w:t>
      </w:r>
      <w:r>
        <w:rPr>
          <w:rFonts w:eastAsia="Times New Roman" w:cs="Times New Roman"/>
          <w:u w:val="single"/>
        </w:rPr>
        <w:t xml:space="preserve"> </w:t>
      </w:r>
      <w:r>
        <w:rPr>
          <w:u w:val="single"/>
        </w:rPr>
        <w:t>on</w:t>
      </w:r>
      <w:r>
        <w:rPr>
          <w:rFonts w:eastAsia="Times New Roman" w:cs="Times New Roman"/>
          <w:u w:val="single"/>
        </w:rPr>
        <w:t xml:space="preserve"> </w:t>
      </w:r>
      <w:r>
        <w:rPr>
          <w:u w:val="single"/>
        </w:rPr>
        <w:t>the</w:t>
      </w:r>
      <w:r>
        <w:rPr>
          <w:rFonts w:eastAsia="Times New Roman" w:cs="Times New Roman"/>
          <w:u w:val="single"/>
        </w:rPr>
        <w:t xml:space="preserve"> </w:t>
      </w:r>
      <w:r>
        <w:rPr>
          <w:u w:val="single"/>
        </w:rPr>
        <w:t>implementation</w:t>
      </w:r>
      <w:r>
        <w:rPr>
          <w:rFonts w:eastAsia="Times New Roman" w:cs="Times New Roman"/>
          <w:u w:val="single"/>
        </w:rPr>
        <w:t xml:space="preserve"> </w:t>
      </w:r>
      <w:r>
        <w:rPr>
          <w:u w:val="single"/>
        </w:rPr>
        <w:t>of</w:t>
      </w:r>
      <w:r>
        <w:rPr>
          <w:rFonts w:eastAsia="Times New Roman" w:cs="Times New Roman"/>
          <w:u w:val="single"/>
        </w:rPr>
        <w:t xml:space="preserve">  </w:t>
      </w:r>
      <w:r>
        <w:rPr>
          <w:u w:val="single"/>
        </w:rPr>
        <w:t>Committee</w:t>
      </w:r>
      <w:r>
        <w:rPr>
          <w:rFonts w:eastAsia="Times New Roman" w:cs="Times New Roman"/>
          <w:u w:val="single"/>
        </w:rPr>
        <w:t xml:space="preserve"> </w:t>
      </w:r>
      <w:r>
        <w:rPr>
          <w:u w:val="single"/>
        </w:rPr>
        <w:t>of</w:t>
      </w:r>
      <w:r>
        <w:rPr>
          <w:rFonts w:eastAsia="Times New Roman" w:cs="Times New Roman"/>
          <w:u w:val="single"/>
        </w:rPr>
        <w:t xml:space="preserve"> </w:t>
      </w:r>
      <w:r>
        <w:rPr>
          <w:u w:val="single"/>
        </w:rPr>
        <w:t>Ministers</w:t>
      </w:r>
      <w:r>
        <w:rPr>
          <w:rFonts w:eastAsia="Times New Roman" w:cs="Times New Roman"/>
          <w:u w:val="single"/>
        </w:rPr>
        <w:t xml:space="preserve"> </w:t>
      </w:r>
      <w:r>
        <w:rPr>
          <w:u w:val="single"/>
        </w:rPr>
        <w:t>Recommendation</w:t>
      </w:r>
      <w:r>
        <w:rPr>
          <w:rFonts w:eastAsia="Times New Roman" w:cs="Times New Roman"/>
          <w:u w:val="single"/>
        </w:rPr>
        <w:t xml:space="preserve"> </w:t>
      </w:r>
      <w:r>
        <w:rPr>
          <w:u w:val="single"/>
        </w:rPr>
        <w:t>CM/Rec(2010)4</w:t>
      </w:r>
      <w:r>
        <w:rPr>
          <w:rFonts w:eastAsia="Times New Roman" w:cs="Times New Roman"/>
          <w:u w:val="single"/>
        </w:rPr>
        <w:t xml:space="preserve"> </w:t>
      </w:r>
      <w:r>
        <w:rPr>
          <w:u w:val="single"/>
        </w:rPr>
        <w:t>on</w:t>
      </w:r>
      <w:r>
        <w:rPr>
          <w:rFonts w:eastAsia="Times New Roman" w:cs="Times New Roman"/>
          <w:u w:val="single"/>
        </w:rPr>
        <w:t xml:space="preserve"> </w:t>
      </w:r>
      <w:r>
        <w:rPr>
          <w:u w:val="single"/>
        </w:rPr>
        <w:t>human</w:t>
      </w:r>
      <w:r>
        <w:rPr>
          <w:rFonts w:eastAsia="Times New Roman" w:cs="Times New Roman"/>
          <w:u w:val="single"/>
        </w:rPr>
        <w:t xml:space="preserve"> </w:t>
      </w:r>
      <w:r>
        <w:rPr>
          <w:u w:val="single"/>
        </w:rPr>
        <w:t>rights</w:t>
      </w:r>
      <w:r>
        <w:rPr>
          <w:rFonts w:eastAsia="Times New Roman" w:cs="Times New Roman"/>
          <w:u w:val="single"/>
        </w:rPr>
        <w:t xml:space="preserve"> </w:t>
      </w:r>
      <w:r>
        <w:rPr>
          <w:u w:val="single"/>
        </w:rPr>
        <w:t>of</w:t>
      </w:r>
      <w:r>
        <w:rPr>
          <w:rFonts w:eastAsia="Times New Roman" w:cs="Times New Roman"/>
          <w:u w:val="single"/>
        </w:rPr>
        <w:t xml:space="preserve"> </w:t>
      </w:r>
      <w:r>
        <w:rPr>
          <w:u w:val="single"/>
        </w:rPr>
        <w:t>members</w:t>
      </w:r>
      <w:r>
        <w:rPr>
          <w:rFonts w:eastAsia="Times New Roman" w:cs="Times New Roman"/>
          <w:u w:val="single"/>
        </w:rPr>
        <w:t xml:space="preserve"> </w:t>
      </w:r>
      <w:r>
        <w:rPr>
          <w:u w:val="single"/>
        </w:rPr>
        <w:t>of</w:t>
      </w:r>
      <w:r>
        <w:rPr>
          <w:rFonts w:eastAsia="Times New Roman" w:cs="Times New Roman"/>
          <w:u w:val="single"/>
        </w:rPr>
        <w:t xml:space="preserve"> </w:t>
      </w:r>
      <w:r>
        <w:rPr>
          <w:u w:val="single"/>
        </w:rPr>
        <w:t>the</w:t>
      </w:r>
      <w:r>
        <w:rPr>
          <w:rFonts w:eastAsia="Times New Roman" w:cs="Times New Roman"/>
          <w:u w:val="single"/>
        </w:rPr>
        <w:t xml:space="preserve"> </w:t>
      </w:r>
      <w:r>
        <w:rPr>
          <w:u w:val="single"/>
        </w:rPr>
        <w:t>armed</w:t>
      </w:r>
      <w:r>
        <w:rPr>
          <w:rFonts w:eastAsia="Times New Roman" w:cs="Times New Roman"/>
          <w:u w:val="single"/>
        </w:rPr>
        <w:t xml:space="preserve"> </w:t>
      </w:r>
      <w:r>
        <w:rPr>
          <w:u w:val="single"/>
        </w:rPr>
        <w:t>forces:</w:t>
      </w:r>
      <w:r>
        <w:rPr>
          <w:rFonts w:eastAsia="Times New Roman" w:cs="Times New Roman"/>
          <w:u w:val="single"/>
        </w:rPr>
        <w:t xml:space="preserve"> </w:t>
      </w:r>
      <w:r>
        <w:rPr>
          <w:u w:val="single"/>
        </w:rPr>
        <w:t>COMPILATION</w:t>
      </w:r>
      <w:r>
        <w:rPr>
          <w:rFonts w:eastAsia="Times New Roman" w:cs="Times New Roman"/>
          <w:u w:val="single"/>
        </w:rPr>
        <w:t xml:space="preserve"> </w:t>
      </w:r>
      <w:r>
        <w:rPr>
          <w:u w:val="single"/>
        </w:rPr>
        <w:t>OF</w:t>
      </w:r>
      <w:r>
        <w:rPr>
          <w:rFonts w:eastAsia="Times New Roman" w:cs="Times New Roman"/>
          <w:u w:val="single"/>
        </w:rPr>
        <w:t xml:space="preserve"> </w:t>
      </w:r>
      <w:r>
        <w:rPr>
          <w:u w:val="single"/>
        </w:rPr>
        <w:t>MEMBER</w:t>
      </w:r>
      <w:r>
        <w:rPr>
          <w:rFonts w:eastAsia="Times New Roman" w:cs="Times New Roman"/>
          <w:u w:val="single"/>
        </w:rPr>
        <w:t xml:space="preserve"> </w:t>
      </w:r>
      <w:r>
        <w:rPr>
          <w:u w:val="single"/>
        </w:rPr>
        <w:t>STATES'</w:t>
      </w:r>
      <w:r>
        <w:rPr>
          <w:rFonts w:eastAsia="Times New Roman" w:cs="Times New Roman"/>
          <w:u w:val="single"/>
        </w:rPr>
        <w:t xml:space="preserve"> </w:t>
      </w:r>
      <w:r>
        <w:rPr>
          <w:u w:val="single"/>
        </w:rPr>
        <w:t>ANSWERS</w:t>
      </w:r>
      <w:r>
        <w:rPr>
          <w:u w:val="none"/>
        </w:rPr>
        <w:t>,</w:t>
      </w:r>
      <w:r>
        <w:rPr>
          <w:rFonts w:eastAsia="Times New Roman" w:cs="Times New Roman"/>
          <w:u w:val="none"/>
        </w:rPr>
        <w:t xml:space="preserve"> </w:t>
      </w:r>
      <w:r>
        <w:rPr>
          <w:u w:val="none"/>
        </w:rPr>
        <w:t>CDDH(2012)016,Final,</w:t>
      </w:r>
      <w:r>
        <w:rPr>
          <w:rFonts w:eastAsia="Times New Roman" w:cs="Times New Roman"/>
          <w:u w:val="none"/>
        </w:rPr>
        <w:t xml:space="preserve">  </w:t>
      </w:r>
      <w:r>
        <w:rPr>
          <w:u w:val="none"/>
        </w:rPr>
        <w:t>Strasbourg,</w:t>
      </w:r>
      <w:r>
        <w:rPr>
          <w:rFonts w:eastAsia="Times New Roman" w:cs="Times New Roman"/>
          <w:u w:val="none"/>
        </w:rPr>
        <w:t xml:space="preserve"> </w:t>
      </w:r>
      <w:r>
        <w:rPr>
          <w:u w:val="none"/>
        </w:rPr>
        <w:t>27</w:t>
      </w:r>
      <w:r>
        <w:rPr>
          <w:u w:val="none"/>
          <w:vertAlign w:val="superscript"/>
        </w:rPr>
        <w:t>th</w:t>
      </w:r>
      <w:r>
        <w:rPr>
          <w:rFonts w:eastAsia="Times New Roman" w:cs="Times New Roman"/>
          <w:u w:val="none"/>
        </w:rPr>
        <w:t xml:space="preserve"> </w:t>
      </w:r>
      <w:r>
        <w:rPr>
          <w:u w:val="none"/>
        </w:rPr>
        <w:t>December</w:t>
      </w:r>
      <w:r>
        <w:rPr>
          <w:rFonts w:eastAsia="Times New Roman" w:cs="Times New Roman"/>
          <w:u w:val="none"/>
        </w:rPr>
        <w:t xml:space="preserve"> </w:t>
      </w:r>
      <w:r>
        <w:rPr>
          <w:u w:val="none"/>
        </w:rPr>
        <w:t>2012.</w:t>
      </w:r>
      <w:r>
        <w:rPr>
          <w:rFonts w:eastAsia="Times New Roman" w:cs="Times New Roman"/>
          <w:u w:val="none"/>
        </w:rPr>
        <w:t xml:space="preserve"> </w:t>
      </w:r>
    </w:p>
  </w:footnote>
  <w:footnote w:id="25">
    <w:p>
      <w:pPr>
        <w:pStyle w:val="Footnote"/>
        <w:rPr/>
      </w:pPr>
      <w:r>
        <w:rPr>
          <w:rStyle w:val="FootnoteCharacters"/>
        </w:rPr>
        <w:footnoteRef/>
      </w:r>
      <w:r>
        <w:rPr/>
        <w:tab/>
        <w:t>CRC/C/OPAC/CO/2, January 2005, paras 5 and 6.</w:t>
      </w:r>
    </w:p>
  </w:footnote>
  <w:footnote w:id="26">
    <w:p>
      <w:pPr>
        <w:pStyle w:val="Footnote"/>
        <w:rPr/>
      </w:pPr>
      <w:r>
        <w:rPr>
          <w:rStyle w:val="FootnoteCharacters"/>
        </w:rPr>
        <w:footnoteRef/>
      </w:r>
      <w:r>
        <w:rPr>
          <w:b w:val="false"/>
          <w:bCs w:val="false"/>
        </w:rPr>
        <w:tab/>
        <w:t>CRC/C/AUT/CO/3-4, 2012, para. 57</w:t>
      </w:r>
      <w:r>
        <w:rPr>
          <w:b/>
          <w:bCs/>
        </w:rPr>
        <w:t xml:space="preserve"> </w:t>
      </w:r>
      <w:r>
        <w:rPr/>
        <w:t>CRC/C/AUT/CO/5-6, 6</w:t>
      </w:r>
      <w:r>
        <w:rPr>
          <w:vertAlign w:val="superscript"/>
        </w:rPr>
        <w:t>th</w:t>
      </w:r>
      <w:r>
        <w:rPr/>
        <w:t xml:space="preserve"> March 2020, para 44.</w:t>
      </w:r>
    </w:p>
  </w:footnote>
  <w:footnote w:id="27">
    <w:p>
      <w:pPr>
        <w:pStyle w:val="Footnote"/>
        <w:rPr/>
      </w:pPr>
      <w:r>
        <w:rPr>
          <w:rStyle w:val="FootnoteCharacters"/>
        </w:rPr>
        <w:footnoteRef/>
      </w:r>
      <w:r>
        <w:rPr/>
        <w:tab/>
        <w:t>A/HRC/17/8, 18</w:t>
      </w:r>
      <w:r>
        <w:rPr>
          <w:vertAlign w:val="superscript"/>
        </w:rPr>
        <w:t>th</w:t>
      </w:r>
      <w:r>
        <w:rPr/>
        <w:t xml:space="preserve"> March 2011 (Working Group on 26</w:t>
      </w:r>
      <w:r>
        <w:rPr>
          <w:vertAlign w:val="superscript"/>
        </w:rPr>
        <w:t>th</w:t>
      </w:r>
      <w:r>
        <w:rPr/>
        <w:t xml:space="preserve"> January 2011), para 93.47.</w:t>
      </w:r>
    </w:p>
  </w:footnote>
  <w:footnote w:id="28">
    <w:p>
      <w:pPr>
        <w:pStyle w:val="Normal"/>
        <w:jc w:val="both"/>
        <w:rPr/>
      </w:pPr>
      <w:r>
        <w:rPr>
          <w:rStyle w:val="FootnoteCharacters"/>
        </w:rPr>
        <w:footnoteRef/>
      </w:r>
      <w:r>
        <w:rPr>
          <w:sz w:val="20"/>
          <w:szCs w:val="20"/>
        </w:rPr>
        <w:t xml:space="preserve">    </w:t>
      </w:r>
      <w:r>
        <w:rPr>
          <w:sz w:val="20"/>
          <w:szCs w:val="20"/>
        </w:rPr>
        <w:t>A/HRC/17/8/Add.1</w:t>
      </w:r>
    </w:p>
  </w:footnote>
  <w:footnote w:id="29">
    <w:p>
      <w:pPr>
        <w:pStyle w:val="Footnote"/>
        <w:rPr/>
      </w:pPr>
      <w:r>
        <w:rPr>
          <w:rStyle w:val="FootnoteCharacters"/>
        </w:rPr>
        <w:footnoteRef/>
      </w:r>
      <w:r>
        <w:rPr/>
        <w:tab/>
        <w:t>CCPR/C/AUT/Q/5,  28</w:t>
      </w:r>
      <w:r>
        <w:rPr>
          <w:vertAlign w:val="superscript"/>
        </w:rPr>
        <w:t>th</w:t>
      </w:r>
      <w:r>
        <w:rPr/>
        <w:t xml:space="preserve"> April 2015, para 18.</w:t>
      </w:r>
    </w:p>
  </w:footnote>
  <w:footnote w:id="30">
    <w:p>
      <w:pPr>
        <w:pStyle w:val="Footnote"/>
        <w:rPr/>
      </w:pPr>
      <w:r>
        <w:rPr>
          <w:rStyle w:val="FootnoteCharacters"/>
        </w:rPr>
        <w:footnoteRef/>
      </w:r>
      <w:r>
        <w:rPr/>
        <w:tab/>
        <w:t>CCPR/C/AUS/Q/5/Add.1, para 140</w:t>
      </w:r>
    </w:p>
  </w:footnote>
  <w:footnote w:id="31">
    <w:p>
      <w:pPr>
        <w:pStyle w:val="Footnote"/>
        <w:rPr/>
      </w:pPr>
      <w:r>
        <w:rPr>
          <w:rStyle w:val="FootnoteCharacters"/>
        </w:rPr>
        <w:footnoteRef/>
      </w:r>
      <w:r>
        <w:rPr/>
        <w:tab/>
        <w:t>Sources:  For military expenditure, Stockholm</w:t>
      </w:r>
      <w:r>
        <w:rPr>
          <w:rFonts w:eastAsia="Times New Roman" w:cs="Times New Roman"/>
        </w:rPr>
        <w:t xml:space="preserve"> </w:t>
      </w:r>
      <w:r>
        <w:rPr/>
        <w:t>International</w:t>
      </w:r>
      <w:r>
        <w:rPr>
          <w:rFonts w:eastAsia="Times New Roman" w:cs="Times New Roman"/>
        </w:rPr>
        <w:t xml:space="preserve"> </w:t>
      </w:r>
      <w:r>
        <w:rPr/>
        <w:t>Peace</w:t>
      </w:r>
      <w:r>
        <w:rPr>
          <w:rFonts w:eastAsia="Times New Roman" w:cs="Times New Roman"/>
        </w:rPr>
        <w:t xml:space="preserve"> </w:t>
      </w:r>
      <w:r>
        <w:rPr/>
        <w:t>Research</w:t>
      </w:r>
      <w:r>
        <w:rPr>
          <w:rFonts w:eastAsia="Times New Roman" w:cs="Times New Roman"/>
        </w:rPr>
        <w:t xml:space="preserve"> </w:t>
      </w:r>
      <w:r>
        <w:rPr/>
        <w:t>Institute</w:t>
      </w:r>
      <w:r>
        <w:rPr>
          <w:rFonts w:eastAsia="Times New Roman" w:cs="Times New Roman"/>
        </w:rPr>
        <w:t xml:space="preserve"> – </w:t>
      </w:r>
      <w:r>
        <w:rPr/>
        <w:t xml:space="preserve">SIPRI, April 2024.  Otherwise, </w:t>
      </w:r>
      <w:r>
        <w:rPr>
          <w:rFonts w:eastAsia="Times New Roman" w:cs="Times New Roman"/>
        </w:rPr>
        <w:t xml:space="preserve"> </w:t>
      </w:r>
      <w:r>
        <w:rPr>
          <w:u w:val="single"/>
        </w:rPr>
        <w:t>The</w:t>
      </w:r>
      <w:r>
        <w:rPr>
          <w:rFonts w:eastAsia="Times New Roman" w:cs="Times New Roman"/>
          <w:u w:val="single"/>
        </w:rPr>
        <w:t xml:space="preserve"> </w:t>
      </w:r>
      <w:r>
        <w:rPr>
          <w:u w:val="single"/>
        </w:rPr>
        <w:t>Military</w:t>
      </w:r>
      <w:r>
        <w:rPr>
          <w:rFonts w:eastAsia="Times New Roman" w:cs="Times New Roman"/>
          <w:u w:val="single"/>
        </w:rPr>
        <w:t xml:space="preserve"> </w:t>
      </w:r>
      <w:r>
        <w:rPr>
          <w:u w:val="single"/>
        </w:rPr>
        <w:t>Balance</w:t>
      </w:r>
      <w:r>
        <w:rPr>
          <w:rFonts w:eastAsia="Times New Roman" w:cs="Times New Roman"/>
          <w:u w:val="single"/>
        </w:rPr>
        <w:t xml:space="preserve"> </w:t>
      </w:r>
      <w:r>
        <w:rPr>
          <w:u w:val="single"/>
        </w:rPr>
        <w:t>2024</w:t>
      </w:r>
      <w:r>
        <w:rPr>
          <w:rFonts w:eastAsia="Times New Roman" w:cs="Times New Roman"/>
          <w:u w:val="none"/>
        </w:rPr>
        <w:t xml:space="preserve"> </w:t>
      </w:r>
      <w:r>
        <w:rPr>
          <w:u w:val="none"/>
        </w:rPr>
        <w:t>(International</w:t>
      </w:r>
      <w:r>
        <w:rPr>
          <w:rFonts w:eastAsia="Times New Roman" w:cs="Times New Roman"/>
          <w:u w:val="none"/>
        </w:rPr>
        <w:t xml:space="preserve"> </w:t>
      </w:r>
      <w:r>
        <w:rPr>
          <w:u w:val="none"/>
        </w:rPr>
        <w:t>Institute</w:t>
      </w:r>
      <w:r>
        <w:rPr>
          <w:rFonts w:eastAsia="Times New Roman" w:cs="Times New Roman"/>
          <w:u w:val="none"/>
        </w:rPr>
        <w:t xml:space="preserve"> </w:t>
      </w:r>
      <w:r>
        <w:rPr>
          <w:u w:val="none"/>
        </w:rPr>
        <w:t>of</w:t>
      </w:r>
      <w:r>
        <w:rPr>
          <w:rFonts w:eastAsia="Times New Roman" w:cs="Times New Roman"/>
          <w:u w:val="none"/>
        </w:rPr>
        <w:t xml:space="preserve"> </w:t>
      </w:r>
      <w:r>
        <w:rPr>
          <w:u w:val="none"/>
        </w:rPr>
        <w:t>Strategic</w:t>
      </w:r>
      <w:r>
        <w:rPr>
          <w:rFonts w:eastAsia="Times New Roman" w:cs="Times New Roman"/>
          <w:u w:val="none"/>
        </w:rPr>
        <w:t xml:space="preserve"> </w:t>
      </w:r>
      <w:r>
        <w:rPr>
          <w:u w:val="none"/>
        </w:rPr>
        <w:t>Studies,</w:t>
      </w:r>
      <w:r>
        <w:rPr>
          <w:rFonts w:eastAsia="Times New Roman" w:cs="Times New Roman"/>
          <w:u w:val="none"/>
        </w:rPr>
        <w:t xml:space="preserve"> </w:t>
      </w:r>
      <w:r>
        <w:rPr>
          <w:u w:val="none"/>
        </w:rPr>
        <w:t>London),</w:t>
      </w:r>
      <w:r>
        <w:rPr>
          <w:rFonts w:eastAsia="Times New Roman" w:cs="Times New Roman"/>
          <w:u w:val="none"/>
        </w:rPr>
        <w:t xml:space="preserve"> </w:t>
      </w:r>
      <w:r>
        <w:rPr>
          <w:u w:val="none"/>
        </w:rPr>
        <w:t>which</w:t>
      </w:r>
      <w:r>
        <w:rPr>
          <w:rFonts w:eastAsia="Times New Roman" w:cs="Times New Roman"/>
          <w:u w:val="none"/>
        </w:rPr>
        <w:t xml:space="preserve"> </w:t>
      </w:r>
      <w:r>
        <w:rPr>
          <w:u w:val="none"/>
        </w:rPr>
        <w:t>bases</w:t>
      </w:r>
      <w:r>
        <w:rPr>
          <w:rFonts w:eastAsia="Times New Roman" w:cs="Times New Roman"/>
          <w:u w:val="none"/>
        </w:rPr>
        <w:t xml:space="preserve"> </w:t>
      </w:r>
      <w:r>
        <w:rPr>
          <w:u w:val="none"/>
        </w:rPr>
        <w:t>its</w:t>
      </w:r>
      <w:r>
        <w:rPr>
          <w:rFonts w:eastAsia="Times New Roman" w:cs="Times New Roman"/>
          <w:u w:val="none"/>
        </w:rPr>
        <w:t xml:space="preserve"> </w:t>
      </w:r>
      <w:r>
        <w:rPr>
          <w:u w:val="none"/>
        </w:rPr>
        <w:t>estimate</w:t>
      </w:r>
      <w:r>
        <w:rPr>
          <w:rFonts w:eastAsia="Times New Roman" w:cs="Times New Roman"/>
          <w:u w:val="none"/>
        </w:rPr>
        <w:t xml:space="preserve"> </w:t>
      </w:r>
      <w:r>
        <w:rPr>
          <w:u w:val="none"/>
        </w:rPr>
        <w:t>on</w:t>
      </w:r>
      <w:r>
        <w:rPr>
          <w:rFonts w:eastAsia="Times New Roman" w:cs="Times New Roman"/>
          <w:u w:val="none"/>
        </w:rPr>
        <w:t xml:space="preserve"> “</w:t>
      </w:r>
      <w:r>
        <w:rPr>
          <w:u w:val="none"/>
        </w:rPr>
        <w:t>demographic</w:t>
      </w:r>
      <w:r>
        <w:rPr>
          <w:rFonts w:eastAsia="Times New Roman" w:cs="Times New Roman"/>
          <w:u w:val="none"/>
        </w:rPr>
        <w:t xml:space="preserve"> </w:t>
      </w:r>
      <w:r>
        <w:rPr>
          <w:u w:val="none"/>
        </w:rPr>
        <w:t>statistics</w:t>
      </w:r>
      <w:r>
        <w:rPr>
          <w:rFonts w:eastAsia="Times New Roman" w:cs="Times New Roman"/>
          <w:u w:val="none"/>
        </w:rPr>
        <w:t xml:space="preserve"> </w:t>
      </w:r>
      <w:r>
        <w:rPr>
          <w:u w:val="none"/>
        </w:rPr>
        <w:t>taken</w:t>
      </w:r>
      <w:r>
        <w:rPr>
          <w:rFonts w:eastAsia="Times New Roman" w:cs="Times New Roman"/>
          <w:u w:val="none"/>
        </w:rPr>
        <w:t xml:space="preserve"> </w:t>
      </w:r>
      <w:r>
        <w:rPr>
          <w:u w:val="none"/>
        </w:rPr>
        <w:t>from</w:t>
      </w:r>
      <w:r>
        <w:rPr>
          <w:rFonts w:eastAsia="Times New Roman" w:cs="Times New Roman"/>
          <w:u w:val="none"/>
        </w:rPr>
        <w:t xml:space="preserve"> </w:t>
      </w:r>
      <w:r>
        <w:rPr>
          <w:u w:val="none"/>
        </w:rPr>
        <w:t>the</w:t>
      </w:r>
      <w:r>
        <w:rPr>
          <w:rFonts w:eastAsia="Times New Roman" w:cs="Times New Roman"/>
          <w:u w:val="none"/>
        </w:rPr>
        <w:t xml:space="preserve"> </w:t>
      </w:r>
      <w:r>
        <w:rPr>
          <w:u w:val="none"/>
        </w:rPr>
        <w:t>US</w:t>
      </w:r>
      <w:r>
        <w:rPr>
          <w:rFonts w:eastAsia="Times New Roman" w:cs="Times New Roman"/>
          <w:u w:val="none"/>
        </w:rPr>
        <w:t xml:space="preserve"> </w:t>
      </w:r>
      <w:r>
        <w:rPr>
          <w:u w:val="none"/>
        </w:rPr>
        <w:t>Census</w:t>
      </w:r>
      <w:r>
        <w:rPr>
          <w:rFonts w:eastAsia="Times New Roman" w:cs="Times New Roman"/>
          <w:u w:val="none"/>
        </w:rPr>
        <w:t xml:space="preserve"> </w:t>
      </w:r>
      <w:r>
        <w:rPr>
          <w:u w:val="none"/>
        </w:rPr>
        <w:t>Bureau</w:t>
      </w:r>
      <w:r>
        <w:rPr>
          <w:rFonts w:eastAsia="Times New Roman" w:cs="Times New Roman"/>
          <w:u w:val="none"/>
        </w:rPr>
        <w:t>”</w:t>
      </w:r>
      <w:r>
        <w:rPr>
          <w:u w:val="none"/>
        </w:rPr>
        <w:t>.</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Times New Roman" w:hAnsi="Times New Roman" w:eastAsia="SimSun" w:cs="Mangal"/>
      <w:color w:val="auto"/>
      <w:kern w:val="2"/>
      <w:sz w:val="24"/>
      <w:szCs w:val="24"/>
      <w:lang w:val="en-GB" w:eastAsia="zh-CN" w:bidi="hi-IN"/>
    </w:rPr>
  </w:style>
  <w:style w:type="paragraph" w:styleId="Heading3">
    <w:name w:val="Heading 3"/>
    <w:basedOn w:val="Normal"/>
    <w:next w:val="Normal"/>
    <w:qFormat/>
    <w:pPr>
      <w:keepNext w:val="true"/>
      <w:widowControl w:val="false"/>
      <w:numPr>
        <w:ilvl w:val="2"/>
        <w:numId w:val="1"/>
      </w:numPr>
      <w:outlineLvl w:val="2"/>
    </w:pPr>
    <w:rPr>
      <w:rFonts w:ascii="Arial" w:hAnsi="Arial" w:eastAsia="Arial" w:cs="Arial"/>
      <w:b/>
      <w:bCs/>
      <w:color w:val="000000"/>
      <w:lang w:val="es-E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character" w:styleId="FootnoteCharacters">
    <w:name w:val="Footnote Characters"/>
    <w:basedOn w:val="DefaultParagraphFont"/>
    <w:qFormat/>
    <w:rPr>
      <w:vertAlign w:val="superscript"/>
    </w:rPr>
  </w:style>
  <w:style w:type="character" w:styleId="FootnoteAnchor">
    <w:name w:val="Footnote Anchor"/>
    <w:qFormat/>
    <w:rPr>
      <w:vertAlign w:val="superscript"/>
    </w:rPr>
  </w:style>
  <w:style w:type="character" w:styleId="INS">
    <w:name w:val="INS"/>
    <w:qFormat/>
    <w:rPr/>
  </w:style>
  <w:style w:type="character" w:styleId="InternetLink">
    <w:name w:val="Hyperlink"/>
    <w:rPr>
      <w:color w:val="000080"/>
      <w:u w:val="single"/>
      <w:lang w:val="zxx" w:eastAsia="zxx" w:bidi="zxx"/>
    </w:rPr>
  </w:style>
  <w:style w:type="character" w:styleId="DEL">
    <w:name w:val="DEL"/>
    <w:qFormat/>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character" w:styleId="WW8Num9z0">
    <w:name w:val="WW8Num9z0"/>
    <w:qFormat/>
    <w:rPr>
      <w:rFonts w:eastAsia="Arial Unicode MS"/>
      <w:b w:val="false"/>
      <w:bCs/>
      <w:iCs/>
      <w:lang w:val="en-US"/>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StrongEmphasis">
    <w:name w:val="Strong Emphasis"/>
    <w:qFormat/>
    <w:rPr>
      <w:b/>
      <w:bCs/>
    </w:rPr>
  </w:style>
  <w:style w:type="character" w:styleId="Quotation">
    <w:name w:val="Quotation"/>
    <w:qFormat/>
    <w:rPr>
      <w:i/>
      <w:iCs/>
    </w:rPr>
  </w:style>
  <w:style w:type="character" w:styleId="Emphasis">
    <w:name w:val="Emphasis"/>
    <w:qFormat/>
    <w:rPr>
      <w:i/>
      <w:iCs/>
    </w:rPr>
  </w:style>
  <w:style w:type="character" w:styleId="WWFootnoteCharacters1">
    <w:name w:val="WW-Footnote Characters1"/>
    <w:qFormat/>
    <w:rPr/>
  </w:style>
  <w:style w:type="paragraph" w:styleId="Heading">
    <w:name w:val="Heading"/>
    <w:basedOn w:val="Normal"/>
    <w:next w:val="TextBody"/>
    <w:qFormat/>
    <w:pPr>
      <w:keepNext w:val="true"/>
      <w:spacing w:before="240" w:after="120"/>
    </w:pPr>
    <w:rPr>
      <w:rFonts w:ascii="Arial" w:hAnsi="Arial" w:eastAsia="Microsoft YaHei" w:cs="Mangal"/>
      <w:sz w:val="28"/>
      <w:szCs w:val="28"/>
    </w:rPr>
  </w:style>
  <w:style w:type="paragraph" w:styleId="TextBody">
    <w:name w:val="Body Text"/>
    <w:basedOn w:val="Normal"/>
    <w:pPr>
      <w:spacing w:before="0" w:after="12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
    <w:name w:val="Footnote Text"/>
    <w:basedOn w:val="Normal"/>
    <w:pPr>
      <w:suppressLineNumbers/>
      <w:ind w:left="339" w:right="0" w:hanging="339"/>
    </w:pPr>
    <w:rPr>
      <w:sz w:val="20"/>
      <w:szCs w:val="20"/>
    </w:rPr>
  </w:style>
  <w:style w:type="paragraph" w:styleId="SingleTxtG">
    <w:name w:val="_ Single Txt_G"/>
    <w:basedOn w:val="Normal"/>
    <w:qFormat/>
    <w:pPr>
      <w:spacing w:before="0" w:after="120"/>
      <w:ind w:left="1134" w:right="1134" w:hanging="0"/>
      <w:jc w:val="both"/>
    </w:pPr>
    <w:rPr/>
  </w:style>
  <w:style w:type="paragraph" w:styleId="Endnote">
    <w:name w:val="Endnote Text"/>
    <w:basedOn w:val="Normal"/>
    <w:pPr>
      <w:suppressLineNumbers/>
      <w:ind w:left="339" w:right="0" w:hanging="339"/>
    </w:pPr>
    <w:rPr>
      <w:sz w:val="20"/>
      <w:szCs w:val="20"/>
    </w:rPr>
  </w:style>
  <w:style w:type="paragraph" w:styleId="H1G">
    <w:name w:val="_ H_1_G"/>
    <w:basedOn w:val="Normal"/>
    <w:next w:val="Normal"/>
    <w:qFormat/>
    <w:pPr>
      <w:keepNext w:val="true"/>
      <w:keepLines/>
      <w:tabs>
        <w:tab w:val="clear" w:pos="709"/>
        <w:tab w:val="right" w:pos="851" w:leader="none"/>
      </w:tabs>
      <w:spacing w:lineRule="exact" w:line="270" w:before="360" w:after="240"/>
      <w:ind w:left="1134" w:right="1134" w:hanging="1134"/>
    </w:pPr>
    <w:rPr>
      <w:b/>
      <w:sz w:val="24"/>
    </w:rPr>
  </w:style>
  <w:style w:type="paragraph" w:styleId="H23G">
    <w:name w:val="_ H_2/3_G"/>
    <w:basedOn w:val="Normal"/>
    <w:next w:val="Normal"/>
    <w:qFormat/>
    <w:pPr>
      <w:keepNext w:val="true"/>
      <w:keepLines/>
      <w:tabs>
        <w:tab w:val="clear" w:pos="709"/>
        <w:tab w:val="right" w:pos="851" w:leader="none"/>
      </w:tabs>
      <w:spacing w:lineRule="exact" w:line="240" w:before="240" w:after="120"/>
      <w:ind w:left="1134" w:right="1134" w:hanging="1134"/>
    </w:pPr>
    <w:rPr>
      <w:b/>
    </w:rPr>
  </w:style>
  <w:style w:type="paragraph" w:styleId="BasicParagraph">
    <w:name w:val="[Basic Paragraph]"/>
    <w:basedOn w:val="Normal"/>
    <w:qFormat/>
    <w:pPr>
      <w:widowControl w:val="false"/>
      <w:spacing w:lineRule="auto" w:line="288"/>
      <w:textAlignment w:val="center"/>
    </w:pPr>
    <w:rPr>
      <w:rFonts w:ascii="Times-Roman;Times New Roman" w:hAnsi="Times-Roman;Times New Roman" w:cs="Times-Roman;Times New Roman"/>
      <w:color w:val="000000"/>
    </w:rPr>
  </w:style>
  <w:style w:type="numbering" w:styleId="WW8Num1">
    <w:name w:val="WW8Num1"/>
    <w:qFormat/>
  </w:style>
</w:style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7" Type="http://schemas.openxmlformats.org/officeDocument/2006/relationships/customXml" Target="../customXml/item2.xml"/><Relationship Id="rId2" Type="http://schemas.openxmlformats.org/officeDocument/2006/relationships/footnotes" Target="footnote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settings" Target="settings.xml"/><Relationship Id="rId4" Type="http://schemas.openxmlformats.org/officeDocument/2006/relationships/fontTable" Target="fontTable.xml"/></Relationships>
</file>

<file path=word/_rels/footnotes.xml.rels><?xml version="1.0" encoding="UTF-8"?>
<Relationships xmlns="http://schemas.openxmlformats.org/package/2006/relationships"><Relationship Id="rId1" Type="http://schemas.openxmlformats.org/officeDocument/2006/relationships/hyperlink" Target="_blank" TargetMode="External"/><Relationship Id="rId2" Type="http://schemas.openxmlformats.org/officeDocument/2006/relationships/hyperlink" Target="_blank" TargetMode="External"/><Relationship Id="rId3" Type="http://schemas.openxmlformats.org/officeDocument/2006/relationships/hyperlink" Target="https://www.bmlv.gv.at/cms/artikel.php?ID=10603" TargetMode="External"/><Relationship Id="rId4" Type="http://schemas.openxmlformats.org/officeDocument/2006/relationships/hyperlink" Target="https://www.bundeskanzleramt.gv.at/dam/jcr:de1a0efd-e039-43e1-84b8-daaa24aaaef7/20240111_medieninfo_grundwehr-zivildienst _bilanz_2023.pdf" TargetMode="External"/><Relationship Id="rId5" Type="http://schemas.openxmlformats.org/officeDocument/2006/relationships/hyperlink" Target="http://www.nachrichten.at/nachrichten/ticker/Zivildienst-Weg-zur-Polizei-fuer-Ex-Zivis-frei;art449,447796" TargetMode="External"/><Relationship Id="rId6" Type="http://schemas.openxmlformats.org/officeDocument/2006/relationships/hyperlink" Target="https://kurier.at/politik/inland/coronakrise-ausserordentlicher-zivildienst-endet-am-31-juli/400986374" TargetMode="External"/>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BA4C5-F93C-45B2-AB09-533F74D4B1E3}"/>
</file>

<file path=customXml/itemProps2.xml><?xml version="1.0" encoding="utf-8"?>
<ds:datastoreItem xmlns:ds="http://schemas.openxmlformats.org/officeDocument/2006/customXml" ds:itemID="{3F222AAE-CDBE-4AA9-B836-5FC114634894}"/>
</file>

<file path=docProps/app.xml><?xml version="1.0" encoding="utf-8"?>
<Properties xmlns="http://schemas.openxmlformats.org/officeDocument/2006/extended-properties" xmlns:vt="http://schemas.openxmlformats.org/officeDocument/2006/docPropsVTypes">
  <Template/>
  <TotalTime>16991</TotalTime>
  <Application>LibreOffice/7.3.2.2$Windows_X86_64 LibreOffice_project/49f2b1bff42cfccbd8f788c8dc32c1c309559be0</Application>
  <AppVersion>15.0000</AppVersion>
  <Pages>10</Pages>
  <Words>4716</Words>
  <Characters>26442</Characters>
  <CharactersWithSpaces>31638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2014-12-23T18:18:00Z</dcterms:created>
  <dc:creator>Rachel Brett</dc:creator>
  <dc:description/>
  <dc:language>en-US</dc:language>
  <cp:lastModifiedBy/>
  <cp:lastPrinted>2015-02-18T13:11:00Z</cp:lastPrinted>
  <dcterms:modified xsi:type="dcterms:W3CDTF">2024-06-21T15:48:01Z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