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A6539" w14:textId="77777777" w:rsidR="00ED70E0" w:rsidRPr="00156877" w:rsidRDefault="00ED70E0" w:rsidP="00531021">
      <w:pPr>
        <w:jc w:val="center"/>
        <w:rPr>
          <w:rFonts w:asciiTheme="majorBidi" w:hAnsiTheme="majorBidi" w:cstheme="majorBidi"/>
          <w:b/>
          <w:bCs/>
          <w:sz w:val="24"/>
          <w:szCs w:val="24"/>
        </w:rPr>
      </w:pPr>
      <w:r w:rsidRPr="00156877">
        <w:rPr>
          <w:rFonts w:asciiTheme="majorBidi" w:hAnsiTheme="majorBidi" w:cstheme="majorBidi"/>
          <w:b/>
          <w:bCs/>
          <w:sz w:val="24"/>
          <w:szCs w:val="24"/>
        </w:rPr>
        <w:t>Structural Discrimination Against Migrant, Asylum-Seeking, and Undocumented Women in the Netherlands</w:t>
      </w:r>
    </w:p>
    <w:p w14:paraId="236A0BCF" w14:textId="77777777" w:rsidR="00ED70E0" w:rsidRPr="00156877" w:rsidRDefault="00ED70E0" w:rsidP="00531021">
      <w:pPr>
        <w:jc w:val="center"/>
        <w:rPr>
          <w:rFonts w:asciiTheme="majorBidi" w:hAnsiTheme="majorBidi" w:cstheme="majorBidi"/>
          <w:sz w:val="24"/>
          <w:szCs w:val="24"/>
        </w:rPr>
      </w:pPr>
    </w:p>
    <w:p w14:paraId="3653BE58" w14:textId="77777777" w:rsidR="00261FEC" w:rsidRPr="00156877" w:rsidRDefault="00261FEC" w:rsidP="00156877">
      <w:pPr>
        <w:pStyle w:val="Heading2"/>
        <w:jc w:val="both"/>
        <w:rPr>
          <w:rFonts w:asciiTheme="majorBidi" w:hAnsiTheme="majorBidi"/>
          <w:color w:val="000000" w:themeColor="text1"/>
        </w:rPr>
      </w:pPr>
      <w:r w:rsidRPr="00156877">
        <w:rPr>
          <w:rStyle w:val="Strong"/>
          <w:rFonts w:asciiTheme="majorBidi" w:hAnsiTheme="majorBidi"/>
          <w:color w:val="000000" w:themeColor="text1"/>
        </w:rPr>
        <w:t>1. Introduction</w:t>
      </w:r>
    </w:p>
    <w:p w14:paraId="45BA0E02" w14:textId="77777777" w:rsidR="00261FEC" w:rsidRPr="00156877" w:rsidRDefault="00261FEC" w:rsidP="00156877">
      <w:pPr>
        <w:pStyle w:val="NormalWeb"/>
        <w:jc w:val="both"/>
        <w:rPr>
          <w:rFonts w:asciiTheme="majorBidi" w:hAnsiTheme="majorBidi" w:cstheme="majorBidi"/>
        </w:rPr>
      </w:pPr>
      <w:r w:rsidRPr="00156877">
        <w:rPr>
          <w:rFonts w:asciiTheme="majorBidi" w:hAnsiTheme="majorBidi" w:cstheme="majorBidi"/>
        </w:rPr>
        <w:t xml:space="preserve">This report documents ongoing structural discrimination against </w:t>
      </w:r>
      <w:r w:rsidRPr="00156877">
        <w:rPr>
          <w:rStyle w:val="Strong"/>
          <w:rFonts w:asciiTheme="majorBidi" w:hAnsiTheme="majorBidi" w:cstheme="majorBidi"/>
          <w:b w:val="0"/>
          <w:bCs w:val="0"/>
        </w:rPr>
        <w:t>women migrant, asylum-seeking, and undocumented persons</w:t>
      </w:r>
      <w:r w:rsidRPr="00156877">
        <w:rPr>
          <w:rFonts w:asciiTheme="majorBidi" w:hAnsiTheme="majorBidi" w:cstheme="majorBidi"/>
        </w:rPr>
        <w:t xml:space="preserve"> in t</w:t>
      </w:r>
      <w:r w:rsidR="00156877">
        <w:rPr>
          <w:rFonts w:asciiTheme="majorBidi" w:hAnsiTheme="majorBidi" w:cstheme="majorBidi"/>
        </w:rPr>
        <w:t>he Netherlands</w:t>
      </w:r>
      <w:r w:rsidRPr="00156877">
        <w:rPr>
          <w:rFonts w:asciiTheme="majorBidi" w:hAnsiTheme="majorBidi" w:cstheme="majorBidi"/>
        </w:rPr>
        <w:t xml:space="preserve">, highlighting violations of </w:t>
      </w:r>
      <w:r w:rsidRPr="00156877">
        <w:rPr>
          <w:rStyle w:val="Strong"/>
          <w:rFonts w:asciiTheme="majorBidi" w:hAnsiTheme="majorBidi" w:cstheme="majorBidi"/>
          <w:b w:val="0"/>
          <w:bCs w:val="0"/>
        </w:rPr>
        <w:t>CEDAW Articles 2 (obligation to eliminate discrimination), 3 (accelerate de facto equality), 5 (gender norms and stereotypes), and 14 (rural and migrant women)</w:t>
      </w:r>
      <w:r w:rsidRPr="00156877">
        <w:rPr>
          <w:rFonts w:asciiTheme="majorBidi" w:hAnsiTheme="majorBidi" w:cstheme="majorBidi"/>
          <w:b/>
          <w:bCs/>
        </w:rPr>
        <w:t xml:space="preserve">. </w:t>
      </w:r>
      <w:r w:rsidRPr="00156877">
        <w:rPr>
          <w:rFonts w:asciiTheme="majorBidi" w:hAnsiTheme="majorBidi" w:cstheme="majorBidi"/>
        </w:rPr>
        <w:t>Despite the Netherlands’ commitment to human rights frameworks, current asylum policy, reception conditions, and access to essential services expose systemic barriers and discrimination that disproportionately affect women in vulnerable migration statuses.</w:t>
      </w:r>
    </w:p>
    <w:p w14:paraId="0DB84CFA" w14:textId="77777777" w:rsidR="009D0822" w:rsidRPr="00156877" w:rsidRDefault="009D0822" w:rsidP="00156877">
      <w:pPr>
        <w:pStyle w:val="Heading2"/>
        <w:jc w:val="both"/>
        <w:rPr>
          <w:rFonts w:asciiTheme="majorBidi" w:hAnsiTheme="majorBidi"/>
          <w:color w:val="000000" w:themeColor="text1"/>
        </w:rPr>
      </w:pPr>
      <w:r w:rsidRPr="00156877">
        <w:rPr>
          <w:rStyle w:val="Strong"/>
          <w:rFonts w:asciiTheme="majorBidi" w:hAnsiTheme="majorBidi"/>
          <w:color w:val="000000" w:themeColor="text1"/>
        </w:rPr>
        <w:t>2. Structural Barriers and Discrimination</w:t>
      </w:r>
    </w:p>
    <w:p w14:paraId="726DDC06" w14:textId="77777777" w:rsidR="009D0822" w:rsidRPr="00156877" w:rsidRDefault="009D0822" w:rsidP="00156877">
      <w:pPr>
        <w:pStyle w:val="Heading3"/>
        <w:jc w:val="both"/>
        <w:rPr>
          <w:rFonts w:asciiTheme="majorBidi" w:hAnsiTheme="majorBidi"/>
          <w:color w:val="000000" w:themeColor="text1"/>
        </w:rPr>
      </w:pPr>
      <w:r w:rsidRPr="00156877">
        <w:rPr>
          <w:rStyle w:val="Strong"/>
          <w:rFonts w:asciiTheme="majorBidi" w:hAnsiTheme="majorBidi"/>
          <w:color w:val="000000" w:themeColor="text1"/>
        </w:rPr>
        <w:t>2.1. Restrictive Asylum Policies and Prolonged Procedures</w:t>
      </w:r>
    </w:p>
    <w:p w14:paraId="7B9EBDC6" w14:textId="77777777" w:rsidR="009D0822" w:rsidRPr="00156877" w:rsidRDefault="009D0822" w:rsidP="00156877">
      <w:pPr>
        <w:pStyle w:val="NormalWeb"/>
        <w:jc w:val="both"/>
        <w:rPr>
          <w:rFonts w:asciiTheme="majorBidi" w:hAnsiTheme="majorBidi" w:cstheme="majorBidi"/>
        </w:rPr>
      </w:pPr>
      <w:r w:rsidRPr="00156877">
        <w:rPr>
          <w:rFonts w:asciiTheme="majorBidi" w:hAnsiTheme="majorBidi" w:cstheme="majorBidi"/>
        </w:rPr>
        <w:t>In 2024–2025, the Dutch Government intensified asylum restrictions, including tightening border controls, reforming family reunification criteria, extending procedural timelines, and introducing stricter residency limits for asylum seekers — with consequences that disproportionately affect women. These policy shifts, driven by political priorities to “regain control” over asylum flows, include restrictions on family reunification eligibility and processing delays that keep women and children in precarious legal and socio-economic circumstances for extended periods</w:t>
      </w:r>
      <w:r w:rsidR="00156877">
        <w:rPr>
          <w:rStyle w:val="FootnoteReference"/>
          <w:rFonts w:asciiTheme="majorBidi" w:hAnsiTheme="majorBidi" w:cstheme="majorBidi"/>
        </w:rPr>
        <w:footnoteReference w:id="1"/>
      </w:r>
      <w:r w:rsidRPr="00156877">
        <w:rPr>
          <w:rFonts w:asciiTheme="majorBidi" w:hAnsiTheme="majorBidi" w:cstheme="majorBidi"/>
        </w:rPr>
        <w:t xml:space="preserve">. </w:t>
      </w:r>
    </w:p>
    <w:p w14:paraId="13E34ED7" w14:textId="77777777" w:rsidR="009D0822" w:rsidRPr="00156877" w:rsidRDefault="009D0822" w:rsidP="00156877">
      <w:pPr>
        <w:pStyle w:val="NormalWeb"/>
        <w:jc w:val="both"/>
        <w:rPr>
          <w:rFonts w:asciiTheme="majorBidi" w:hAnsiTheme="majorBidi" w:cstheme="majorBidi"/>
        </w:rPr>
      </w:pPr>
      <w:r w:rsidRPr="00156877">
        <w:rPr>
          <w:rFonts w:asciiTheme="majorBidi" w:hAnsiTheme="majorBidi" w:cstheme="majorBidi"/>
        </w:rPr>
        <w:t xml:space="preserve">Such measures undermine the right to family unity, force prolonged dependency and uncertainty, and magnify risks for </w:t>
      </w:r>
      <w:r w:rsidRPr="00156877">
        <w:rPr>
          <w:rStyle w:val="Strong"/>
          <w:rFonts w:asciiTheme="majorBidi" w:hAnsiTheme="majorBidi" w:cstheme="majorBidi"/>
          <w:b w:val="0"/>
          <w:bCs w:val="0"/>
        </w:rPr>
        <w:t>single mothers, survivors of gender-based violence, and women who lack legal status</w:t>
      </w:r>
      <w:r w:rsidRPr="00156877">
        <w:rPr>
          <w:rFonts w:asciiTheme="majorBidi" w:hAnsiTheme="majorBidi" w:cstheme="majorBidi"/>
        </w:rPr>
        <w:t xml:space="preserve"> — all of which violate substantive equality and non-discrimination obligations in CEDAW. The longer asylum procedures extend, the more likely women are to experience barriers to </w:t>
      </w:r>
      <w:proofErr w:type="spellStart"/>
      <w:r w:rsidRPr="00156877">
        <w:rPr>
          <w:rFonts w:asciiTheme="majorBidi" w:hAnsiTheme="majorBidi" w:cstheme="majorBidi"/>
        </w:rPr>
        <w:t>labour</w:t>
      </w:r>
      <w:proofErr w:type="spellEnd"/>
      <w:r w:rsidRPr="00156877">
        <w:rPr>
          <w:rFonts w:asciiTheme="majorBidi" w:hAnsiTheme="majorBidi" w:cstheme="majorBidi"/>
        </w:rPr>
        <w:t xml:space="preserve"> market access, healthcare, education, and protective services.</w:t>
      </w:r>
    </w:p>
    <w:p w14:paraId="125455F7" w14:textId="77777777" w:rsidR="009D0822" w:rsidRPr="00156877" w:rsidRDefault="009D0822" w:rsidP="00156877">
      <w:pPr>
        <w:pStyle w:val="Heading3"/>
        <w:jc w:val="both"/>
        <w:rPr>
          <w:rFonts w:asciiTheme="majorBidi" w:hAnsiTheme="majorBidi"/>
          <w:color w:val="000000" w:themeColor="text1"/>
        </w:rPr>
      </w:pPr>
      <w:r w:rsidRPr="00156877">
        <w:rPr>
          <w:rStyle w:val="Strong"/>
          <w:rFonts w:asciiTheme="majorBidi" w:hAnsiTheme="majorBidi"/>
          <w:color w:val="000000" w:themeColor="text1"/>
        </w:rPr>
        <w:t>2.2. Inadequate Reception Conditions and Access to Basic Services</w:t>
      </w:r>
    </w:p>
    <w:p w14:paraId="48729FA0" w14:textId="77777777" w:rsidR="009D0822" w:rsidRPr="00156877" w:rsidRDefault="009D0822" w:rsidP="00E85C51">
      <w:pPr>
        <w:pStyle w:val="NormalWeb"/>
        <w:jc w:val="both"/>
        <w:rPr>
          <w:rFonts w:asciiTheme="majorBidi" w:hAnsiTheme="majorBidi" w:cstheme="majorBidi"/>
        </w:rPr>
      </w:pPr>
      <w:r w:rsidRPr="00156877">
        <w:rPr>
          <w:rFonts w:asciiTheme="majorBidi" w:hAnsiTheme="majorBidi" w:cstheme="majorBidi"/>
        </w:rPr>
        <w:t>The European Asylum Support Office (EASO) and the Asylum Information Database (AIDA) have documented persistent deficits in reception conditions across the Netherlands that disproportionately impact women. Key findings include:</w:t>
      </w:r>
    </w:p>
    <w:p w14:paraId="70628E1F" w14:textId="77777777" w:rsidR="009D0822" w:rsidRPr="00156877" w:rsidRDefault="009D0822" w:rsidP="00156877">
      <w:pPr>
        <w:pStyle w:val="NormalWeb"/>
        <w:numPr>
          <w:ilvl w:val="0"/>
          <w:numId w:val="2"/>
        </w:numPr>
        <w:jc w:val="both"/>
        <w:rPr>
          <w:rFonts w:asciiTheme="majorBidi" w:hAnsiTheme="majorBidi" w:cstheme="majorBidi"/>
        </w:rPr>
      </w:pPr>
      <w:r w:rsidRPr="00156877">
        <w:rPr>
          <w:rStyle w:val="Strong"/>
          <w:rFonts w:asciiTheme="majorBidi" w:hAnsiTheme="majorBidi" w:cstheme="majorBidi"/>
          <w:b w:val="0"/>
          <w:bCs w:val="0"/>
        </w:rPr>
        <w:t>Crisis and emergency reception locations</w:t>
      </w:r>
      <w:r w:rsidRPr="00156877">
        <w:rPr>
          <w:rFonts w:asciiTheme="majorBidi" w:hAnsiTheme="majorBidi" w:cstheme="majorBidi"/>
          <w:b/>
          <w:bCs/>
        </w:rPr>
        <w:t xml:space="preserve"> </w:t>
      </w:r>
      <w:r w:rsidRPr="00156877">
        <w:rPr>
          <w:rFonts w:asciiTheme="majorBidi" w:hAnsiTheme="majorBidi" w:cstheme="majorBidi"/>
        </w:rPr>
        <w:t xml:space="preserve">frequently </w:t>
      </w:r>
      <w:r w:rsidRPr="00156877">
        <w:rPr>
          <w:rStyle w:val="Strong"/>
          <w:rFonts w:asciiTheme="majorBidi" w:hAnsiTheme="majorBidi" w:cstheme="majorBidi"/>
          <w:b w:val="0"/>
          <w:bCs w:val="0"/>
        </w:rPr>
        <w:t>fail to meet minimum legal standards for humane accommodation</w:t>
      </w:r>
      <w:r w:rsidRPr="00156877">
        <w:rPr>
          <w:rFonts w:asciiTheme="majorBidi" w:hAnsiTheme="majorBidi" w:cstheme="majorBidi"/>
        </w:rPr>
        <w:t xml:space="preserve"> and lack basic privacy, safety, and support systems</w:t>
      </w:r>
      <w:r w:rsidR="00E85C51">
        <w:rPr>
          <w:rStyle w:val="FootnoteReference"/>
          <w:rFonts w:asciiTheme="majorBidi" w:hAnsiTheme="majorBidi" w:cstheme="majorBidi"/>
        </w:rPr>
        <w:footnoteReference w:id="2"/>
      </w:r>
      <w:r w:rsidRPr="00156877">
        <w:rPr>
          <w:rFonts w:asciiTheme="majorBidi" w:hAnsiTheme="majorBidi" w:cstheme="majorBidi"/>
        </w:rPr>
        <w:t xml:space="preserve">. </w:t>
      </w:r>
      <w:hyperlink r:id="rId8" w:tgtFrame="_blank" w:history="1"/>
    </w:p>
    <w:p w14:paraId="0FF322AB" w14:textId="77777777" w:rsidR="009D0822" w:rsidRPr="00156877" w:rsidRDefault="009D0822" w:rsidP="00156877">
      <w:pPr>
        <w:pStyle w:val="NormalWeb"/>
        <w:numPr>
          <w:ilvl w:val="0"/>
          <w:numId w:val="2"/>
        </w:numPr>
        <w:jc w:val="both"/>
        <w:rPr>
          <w:rFonts w:asciiTheme="majorBidi" w:hAnsiTheme="majorBidi" w:cstheme="majorBidi"/>
        </w:rPr>
      </w:pPr>
      <w:r w:rsidRPr="00156877">
        <w:rPr>
          <w:rFonts w:asciiTheme="majorBidi" w:hAnsiTheme="majorBidi" w:cstheme="majorBidi"/>
        </w:rPr>
        <w:t xml:space="preserve">At many emergency sites, </w:t>
      </w:r>
      <w:r w:rsidRPr="00156877">
        <w:rPr>
          <w:rStyle w:val="Strong"/>
          <w:rFonts w:asciiTheme="majorBidi" w:hAnsiTheme="majorBidi" w:cstheme="majorBidi"/>
          <w:b w:val="0"/>
          <w:bCs w:val="0"/>
        </w:rPr>
        <w:t>access to adequate healthcare — including reproductive, prenatal, and mental health services — is inconsistent or delayed</w:t>
      </w:r>
      <w:r w:rsidRPr="00156877">
        <w:rPr>
          <w:rFonts w:asciiTheme="majorBidi" w:hAnsiTheme="majorBidi" w:cstheme="majorBidi"/>
          <w:b/>
          <w:bCs/>
        </w:rPr>
        <w:t xml:space="preserve">. </w:t>
      </w:r>
      <w:r w:rsidRPr="00156877">
        <w:rPr>
          <w:rFonts w:asciiTheme="majorBidi" w:hAnsiTheme="majorBidi" w:cstheme="majorBidi"/>
        </w:rPr>
        <w:t xml:space="preserve">Migrant women </w:t>
      </w:r>
      <w:r w:rsidRPr="00156877">
        <w:rPr>
          <w:rFonts w:asciiTheme="majorBidi" w:hAnsiTheme="majorBidi" w:cstheme="majorBidi"/>
        </w:rPr>
        <w:lastRenderedPageBreak/>
        <w:t>report repeated transfers between facilities and long waits for health screening, leading to missed early prenatal care</w:t>
      </w:r>
      <w:r w:rsidR="00E85C51">
        <w:rPr>
          <w:rStyle w:val="FootnoteReference"/>
          <w:rFonts w:asciiTheme="majorBidi" w:hAnsiTheme="majorBidi" w:cstheme="majorBidi"/>
        </w:rPr>
        <w:footnoteReference w:id="3"/>
      </w:r>
      <w:r w:rsidRPr="00156877">
        <w:rPr>
          <w:rFonts w:asciiTheme="majorBidi" w:hAnsiTheme="majorBidi" w:cstheme="majorBidi"/>
        </w:rPr>
        <w:t xml:space="preserve">. </w:t>
      </w:r>
    </w:p>
    <w:p w14:paraId="7D85A0B5" w14:textId="77777777" w:rsidR="00EA20C2" w:rsidRDefault="009D0822" w:rsidP="00156877">
      <w:pPr>
        <w:pStyle w:val="NormalWeb"/>
        <w:numPr>
          <w:ilvl w:val="0"/>
          <w:numId w:val="2"/>
        </w:numPr>
        <w:jc w:val="both"/>
        <w:rPr>
          <w:rFonts w:asciiTheme="majorBidi" w:hAnsiTheme="majorBidi" w:cstheme="majorBidi"/>
        </w:rPr>
      </w:pPr>
      <w:r w:rsidRPr="00156877">
        <w:rPr>
          <w:rFonts w:asciiTheme="majorBidi" w:hAnsiTheme="majorBidi" w:cstheme="majorBidi"/>
        </w:rPr>
        <w:t>Medical intake upon arrival is often absent or delayed, resulting in late detection of vulnerabilities such as pregnancy, trauma, or chronic conditions</w:t>
      </w:r>
      <w:r w:rsidR="00EA20C2">
        <w:rPr>
          <w:rStyle w:val="FootnoteReference"/>
          <w:rFonts w:asciiTheme="majorBidi" w:hAnsiTheme="majorBidi" w:cstheme="majorBidi"/>
        </w:rPr>
        <w:footnoteReference w:id="4"/>
      </w:r>
      <w:r w:rsidRPr="00156877">
        <w:rPr>
          <w:rFonts w:asciiTheme="majorBidi" w:hAnsiTheme="majorBidi" w:cstheme="majorBidi"/>
        </w:rPr>
        <w:t xml:space="preserve">. </w:t>
      </w:r>
    </w:p>
    <w:p w14:paraId="0A732E80" w14:textId="77777777" w:rsidR="00C74840" w:rsidRPr="00156877" w:rsidRDefault="009D0822" w:rsidP="00156877">
      <w:pPr>
        <w:pStyle w:val="NormalWeb"/>
        <w:numPr>
          <w:ilvl w:val="0"/>
          <w:numId w:val="2"/>
        </w:numPr>
        <w:jc w:val="both"/>
        <w:rPr>
          <w:rFonts w:asciiTheme="majorBidi" w:hAnsiTheme="majorBidi" w:cstheme="majorBidi"/>
        </w:rPr>
      </w:pPr>
      <w:r w:rsidRPr="00156877">
        <w:rPr>
          <w:rFonts w:asciiTheme="majorBidi" w:hAnsiTheme="majorBidi" w:cstheme="majorBidi"/>
        </w:rPr>
        <w:t>Psychological support services are offered unevenly and often lack the culturally sensitive, gender-specific frameworks needed to support survivors of gender-based and sexual violence</w:t>
      </w:r>
      <w:r w:rsidR="00EA20C2">
        <w:rPr>
          <w:rStyle w:val="FootnoteReference"/>
          <w:rFonts w:asciiTheme="majorBidi" w:hAnsiTheme="majorBidi" w:cstheme="majorBidi"/>
        </w:rPr>
        <w:footnoteReference w:id="5"/>
      </w:r>
      <w:r w:rsidRPr="00156877">
        <w:rPr>
          <w:rFonts w:asciiTheme="majorBidi" w:hAnsiTheme="majorBidi" w:cstheme="majorBidi"/>
        </w:rPr>
        <w:t xml:space="preserve">. </w:t>
      </w:r>
    </w:p>
    <w:p w14:paraId="7FCBA9F4" w14:textId="77777777" w:rsidR="009D0822" w:rsidRPr="00156877" w:rsidRDefault="009D0822" w:rsidP="00156877">
      <w:pPr>
        <w:pStyle w:val="NormalWeb"/>
        <w:jc w:val="both"/>
        <w:rPr>
          <w:rFonts w:asciiTheme="majorBidi" w:hAnsiTheme="majorBidi" w:cstheme="majorBidi"/>
        </w:rPr>
      </w:pPr>
      <w:r w:rsidRPr="00156877">
        <w:rPr>
          <w:rFonts w:asciiTheme="majorBidi" w:hAnsiTheme="majorBidi" w:cstheme="majorBidi"/>
        </w:rPr>
        <w:t>These conditions aggravate stress, trauma, and health risks among women in reception and fail to provide gender-responsive, culturally appropriate care, violating both international human rights standards and CEDAW obligations.</w:t>
      </w:r>
    </w:p>
    <w:p w14:paraId="43440474" w14:textId="77777777" w:rsidR="009D0822" w:rsidRPr="00156877" w:rsidRDefault="009D0822" w:rsidP="00156877">
      <w:pPr>
        <w:pStyle w:val="Heading3"/>
        <w:jc w:val="both"/>
        <w:rPr>
          <w:rFonts w:asciiTheme="majorBidi" w:hAnsiTheme="majorBidi"/>
          <w:color w:val="000000" w:themeColor="text1"/>
        </w:rPr>
      </w:pPr>
      <w:r w:rsidRPr="00156877">
        <w:rPr>
          <w:rStyle w:val="Strong"/>
          <w:rFonts w:asciiTheme="majorBidi" w:hAnsiTheme="majorBidi"/>
          <w:color w:val="000000" w:themeColor="text1"/>
        </w:rPr>
        <w:t>2.3. Gendered Impact of Exclusionary Practices</w:t>
      </w:r>
    </w:p>
    <w:p w14:paraId="236BB813" w14:textId="77777777" w:rsidR="009D0822" w:rsidRPr="00156877" w:rsidRDefault="009D0822" w:rsidP="00156877">
      <w:pPr>
        <w:pStyle w:val="NormalWeb"/>
        <w:jc w:val="both"/>
        <w:rPr>
          <w:rFonts w:asciiTheme="majorBidi" w:hAnsiTheme="majorBidi" w:cstheme="majorBidi"/>
        </w:rPr>
      </w:pPr>
      <w:r w:rsidRPr="00156877">
        <w:rPr>
          <w:rFonts w:asciiTheme="majorBidi" w:hAnsiTheme="majorBidi" w:cstheme="majorBidi"/>
        </w:rPr>
        <w:t xml:space="preserve">Migrant women face “intersectional discrimination”: discrimination that emerges from the </w:t>
      </w:r>
      <w:r w:rsidRPr="00156877">
        <w:rPr>
          <w:rStyle w:val="Strong"/>
          <w:rFonts w:asciiTheme="majorBidi" w:hAnsiTheme="majorBidi" w:cstheme="majorBidi"/>
          <w:b w:val="0"/>
          <w:bCs w:val="0"/>
        </w:rPr>
        <w:t>interplay of gender, migration status, ethnicity, and legal insecurity</w:t>
      </w:r>
      <w:r w:rsidRPr="00156877">
        <w:rPr>
          <w:rFonts w:asciiTheme="majorBidi" w:hAnsiTheme="majorBidi" w:cstheme="majorBidi"/>
        </w:rPr>
        <w:t>.</w:t>
      </w:r>
    </w:p>
    <w:p w14:paraId="768173E3" w14:textId="77777777" w:rsidR="009D0822" w:rsidRPr="00156877" w:rsidRDefault="009D0822" w:rsidP="00156877">
      <w:pPr>
        <w:pStyle w:val="NormalWeb"/>
        <w:numPr>
          <w:ilvl w:val="0"/>
          <w:numId w:val="3"/>
        </w:numPr>
        <w:jc w:val="both"/>
        <w:rPr>
          <w:rFonts w:asciiTheme="majorBidi" w:hAnsiTheme="majorBidi" w:cstheme="majorBidi"/>
        </w:rPr>
      </w:pPr>
      <w:r w:rsidRPr="00156877">
        <w:rPr>
          <w:rFonts w:asciiTheme="majorBidi" w:hAnsiTheme="majorBidi" w:cstheme="majorBidi"/>
        </w:rPr>
        <w:t>Systemic delays in asylum processing keep women without stable legal status for extended periods, restricting access to employment, social services, healthcare, and integration programs.</w:t>
      </w:r>
    </w:p>
    <w:p w14:paraId="5F47B423" w14:textId="77777777" w:rsidR="009D0822" w:rsidRPr="00156877" w:rsidRDefault="009D0822" w:rsidP="00156877">
      <w:pPr>
        <w:pStyle w:val="NormalWeb"/>
        <w:numPr>
          <w:ilvl w:val="0"/>
          <w:numId w:val="3"/>
        </w:numPr>
        <w:jc w:val="both"/>
        <w:rPr>
          <w:rFonts w:asciiTheme="majorBidi" w:hAnsiTheme="majorBidi" w:cstheme="majorBidi"/>
        </w:rPr>
      </w:pPr>
      <w:r w:rsidRPr="00156877">
        <w:rPr>
          <w:rFonts w:asciiTheme="majorBidi" w:hAnsiTheme="majorBidi" w:cstheme="majorBidi"/>
        </w:rPr>
        <w:t>Restrictions on family reunification and the removal of pathways to permanent residency create barriers for women who flee gender-based violence and seek safe shelter and stability.</w:t>
      </w:r>
    </w:p>
    <w:p w14:paraId="5CD6997A" w14:textId="77777777" w:rsidR="009D0822" w:rsidRPr="00156877" w:rsidRDefault="009D0822" w:rsidP="00156877">
      <w:pPr>
        <w:pStyle w:val="NormalWeb"/>
        <w:numPr>
          <w:ilvl w:val="0"/>
          <w:numId w:val="3"/>
        </w:numPr>
        <w:jc w:val="both"/>
        <w:rPr>
          <w:rFonts w:asciiTheme="majorBidi" w:hAnsiTheme="majorBidi" w:cstheme="majorBidi"/>
        </w:rPr>
      </w:pPr>
      <w:r w:rsidRPr="00156877">
        <w:rPr>
          <w:rFonts w:asciiTheme="majorBidi" w:hAnsiTheme="majorBidi" w:cstheme="majorBidi"/>
        </w:rPr>
        <w:t>Structural limitations on access to language, education, and integration programs are especially harmful for women who have caregiving responsibilities or limited support networks.</w:t>
      </w:r>
    </w:p>
    <w:p w14:paraId="2FCAB357" w14:textId="77777777" w:rsidR="009D0822" w:rsidRPr="00156877" w:rsidRDefault="009D0822" w:rsidP="00156877">
      <w:pPr>
        <w:pStyle w:val="NormalWeb"/>
        <w:jc w:val="both"/>
        <w:rPr>
          <w:rFonts w:asciiTheme="majorBidi" w:hAnsiTheme="majorBidi" w:cstheme="majorBidi"/>
        </w:rPr>
      </w:pPr>
      <w:r w:rsidRPr="00156877">
        <w:rPr>
          <w:rFonts w:asciiTheme="majorBidi" w:hAnsiTheme="majorBidi" w:cstheme="majorBidi"/>
        </w:rPr>
        <w:t xml:space="preserve">These compounded barriers reflect discriminatory policy impacts that </w:t>
      </w:r>
      <w:r w:rsidR="00DF6650" w:rsidRPr="00156877">
        <w:rPr>
          <w:rFonts w:asciiTheme="majorBidi" w:hAnsiTheme="majorBidi" w:cstheme="majorBidi"/>
        </w:rPr>
        <w:t>penalize</w:t>
      </w:r>
      <w:r w:rsidRPr="00156877">
        <w:rPr>
          <w:rFonts w:asciiTheme="majorBidi" w:hAnsiTheme="majorBidi" w:cstheme="majorBidi"/>
        </w:rPr>
        <w:t xml:space="preserve"> women with precarious legal status more than their male counterparts — contrary to CEDAW Articles 3 and 14.</w:t>
      </w:r>
    </w:p>
    <w:p w14:paraId="0E4ED82A" w14:textId="77777777" w:rsidR="009D0822" w:rsidRPr="00156877" w:rsidRDefault="009D0822" w:rsidP="00156877">
      <w:pPr>
        <w:pStyle w:val="Heading2"/>
        <w:jc w:val="both"/>
        <w:rPr>
          <w:rFonts w:asciiTheme="majorBidi" w:hAnsiTheme="majorBidi"/>
          <w:color w:val="000000" w:themeColor="text1"/>
        </w:rPr>
      </w:pPr>
      <w:r w:rsidRPr="00156877">
        <w:rPr>
          <w:rStyle w:val="Strong"/>
          <w:rFonts w:asciiTheme="majorBidi" w:hAnsiTheme="majorBidi"/>
          <w:color w:val="000000" w:themeColor="text1"/>
        </w:rPr>
        <w:t>3. Specific Violations of CEDAW Provisions</w:t>
      </w:r>
    </w:p>
    <w:p w14:paraId="01C788A5" w14:textId="77777777" w:rsidR="009D0822" w:rsidRPr="00156877" w:rsidRDefault="009D0822" w:rsidP="00156877">
      <w:pPr>
        <w:pStyle w:val="Heading3"/>
        <w:jc w:val="both"/>
        <w:rPr>
          <w:rFonts w:asciiTheme="majorBidi" w:hAnsiTheme="majorBidi"/>
          <w:color w:val="000000" w:themeColor="text1"/>
        </w:rPr>
      </w:pPr>
      <w:r w:rsidRPr="00156877">
        <w:rPr>
          <w:rStyle w:val="Strong"/>
          <w:rFonts w:asciiTheme="majorBidi" w:hAnsiTheme="majorBidi"/>
          <w:color w:val="000000" w:themeColor="text1"/>
        </w:rPr>
        <w:t>Article 2</w:t>
      </w:r>
    </w:p>
    <w:p w14:paraId="5ED1DD0F" w14:textId="77777777" w:rsidR="009D0822" w:rsidRPr="00156877" w:rsidRDefault="009D0822" w:rsidP="00156877">
      <w:pPr>
        <w:pStyle w:val="NormalWeb"/>
        <w:jc w:val="both"/>
        <w:rPr>
          <w:rFonts w:asciiTheme="majorBidi" w:hAnsiTheme="majorBidi" w:cstheme="majorBidi"/>
        </w:rPr>
      </w:pPr>
      <w:r w:rsidRPr="00156877">
        <w:rPr>
          <w:rFonts w:asciiTheme="majorBidi" w:hAnsiTheme="majorBidi" w:cstheme="majorBidi"/>
        </w:rPr>
        <w:t>The State fails to eliminate discrimination against women migrants and asylum-seekers by permitting asylum procedural backlogs, barriers to family unity, and unequal treatment in reception conditions.</w:t>
      </w:r>
    </w:p>
    <w:p w14:paraId="341A6E5B" w14:textId="77777777" w:rsidR="009D0822" w:rsidRPr="00156877" w:rsidRDefault="009D0822" w:rsidP="00156877">
      <w:pPr>
        <w:pStyle w:val="Heading3"/>
        <w:jc w:val="both"/>
        <w:rPr>
          <w:rFonts w:asciiTheme="majorBidi" w:hAnsiTheme="majorBidi"/>
          <w:color w:val="000000" w:themeColor="text1"/>
        </w:rPr>
      </w:pPr>
      <w:r w:rsidRPr="00156877">
        <w:rPr>
          <w:rStyle w:val="Strong"/>
          <w:rFonts w:asciiTheme="majorBidi" w:hAnsiTheme="majorBidi"/>
          <w:color w:val="000000" w:themeColor="text1"/>
        </w:rPr>
        <w:t>Article 3</w:t>
      </w:r>
    </w:p>
    <w:p w14:paraId="750864BC" w14:textId="77777777" w:rsidR="009D0822" w:rsidRPr="00156877" w:rsidRDefault="009D0822" w:rsidP="00156877">
      <w:pPr>
        <w:pStyle w:val="NormalWeb"/>
        <w:jc w:val="both"/>
        <w:rPr>
          <w:rFonts w:asciiTheme="majorBidi" w:hAnsiTheme="majorBidi" w:cstheme="majorBidi"/>
        </w:rPr>
      </w:pPr>
      <w:r w:rsidRPr="00156877">
        <w:rPr>
          <w:rFonts w:asciiTheme="majorBidi" w:hAnsiTheme="majorBidi" w:cstheme="majorBidi"/>
        </w:rPr>
        <w:t>The structural and policy barriers described obstruct substantive equality, particularly for women from outside the EU, women heads of households, and survivors of violence.</w:t>
      </w:r>
    </w:p>
    <w:p w14:paraId="5E0D6BAB" w14:textId="77777777" w:rsidR="009D0822" w:rsidRPr="00156877" w:rsidRDefault="009D0822" w:rsidP="00156877">
      <w:pPr>
        <w:pStyle w:val="Heading3"/>
        <w:jc w:val="both"/>
        <w:rPr>
          <w:rFonts w:asciiTheme="majorBidi" w:hAnsiTheme="majorBidi"/>
          <w:color w:val="000000" w:themeColor="text1"/>
        </w:rPr>
      </w:pPr>
      <w:r w:rsidRPr="00156877">
        <w:rPr>
          <w:rStyle w:val="Strong"/>
          <w:rFonts w:asciiTheme="majorBidi" w:hAnsiTheme="majorBidi"/>
          <w:color w:val="000000" w:themeColor="text1"/>
        </w:rPr>
        <w:lastRenderedPageBreak/>
        <w:t>Article 5</w:t>
      </w:r>
    </w:p>
    <w:p w14:paraId="43E86433" w14:textId="77777777" w:rsidR="009D0822" w:rsidRPr="00156877" w:rsidRDefault="009D0822" w:rsidP="00156877">
      <w:pPr>
        <w:pStyle w:val="NormalWeb"/>
        <w:jc w:val="both"/>
        <w:rPr>
          <w:rFonts w:asciiTheme="majorBidi" w:hAnsiTheme="majorBidi" w:cstheme="majorBidi"/>
        </w:rPr>
      </w:pPr>
      <w:r w:rsidRPr="00156877">
        <w:rPr>
          <w:rFonts w:asciiTheme="majorBidi" w:hAnsiTheme="majorBidi" w:cstheme="majorBidi"/>
        </w:rPr>
        <w:t>Migration and asylum policies reflect and reproduce gender norms that assume dependency, limit women’s autonomy, and undervalue their capacity to access health and social services independently.</w:t>
      </w:r>
    </w:p>
    <w:p w14:paraId="4558D3A4" w14:textId="77777777" w:rsidR="009D0822" w:rsidRPr="00156877" w:rsidRDefault="009D0822" w:rsidP="00156877">
      <w:pPr>
        <w:pStyle w:val="Heading3"/>
        <w:jc w:val="both"/>
        <w:rPr>
          <w:rFonts w:asciiTheme="majorBidi" w:hAnsiTheme="majorBidi"/>
          <w:color w:val="000000" w:themeColor="text1"/>
        </w:rPr>
      </w:pPr>
      <w:r w:rsidRPr="00156877">
        <w:rPr>
          <w:rStyle w:val="Strong"/>
          <w:rFonts w:asciiTheme="majorBidi" w:hAnsiTheme="majorBidi"/>
          <w:color w:val="000000" w:themeColor="text1"/>
        </w:rPr>
        <w:t>Article 14</w:t>
      </w:r>
    </w:p>
    <w:p w14:paraId="7BBC0F9E" w14:textId="77777777" w:rsidR="009D0822" w:rsidRPr="00156877" w:rsidRDefault="009D0822" w:rsidP="00156877">
      <w:pPr>
        <w:pStyle w:val="NormalWeb"/>
        <w:jc w:val="both"/>
        <w:rPr>
          <w:rFonts w:asciiTheme="majorBidi" w:hAnsiTheme="majorBidi" w:cstheme="majorBidi"/>
        </w:rPr>
      </w:pPr>
      <w:r w:rsidRPr="00156877">
        <w:rPr>
          <w:rFonts w:asciiTheme="majorBidi" w:hAnsiTheme="majorBidi" w:cstheme="majorBidi"/>
        </w:rPr>
        <w:t>Rural and migrant women — separated from family networks, economic resources, and protective structures — are uniquely vulnerable due to systemic exclusion embedded in the Netherlands’ asylum system.</w:t>
      </w:r>
    </w:p>
    <w:p w14:paraId="78B026D1" w14:textId="77777777" w:rsidR="009D0822" w:rsidRPr="00156877" w:rsidRDefault="00EA20C2" w:rsidP="00EA20C2">
      <w:pPr>
        <w:pStyle w:val="Heading2"/>
        <w:jc w:val="both"/>
        <w:rPr>
          <w:rFonts w:asciiTheme="majorBidi" w:hAnsiTheme="majorBidi"/>
          <w:color w:val="000000" w:themeColor="text1"/>
        </w:rPr>
      </w:pPr>
      <w:r>
        <w:rPr>
          <w:rStyle w:val="Strong"/>
          <w:rFonts w:asciiTheme="majorBidi" w:hAnsiTheme="majorBidi"/>
          <w:color w:val="000000" w:themeColor="text1"/>
        </w:rPr>
        <w:t>4</w:t>
      </w:r>
      <w:r w:rsidR="009D0822" w:rsidRPr="00156877">
        <w:rPr>
          <w:rStyle w:val="Strong"/>
          <w:rFonts w:asciiTheme="majorBidi" w:hAnsiTheme="majorBidi"/>
          <w:color w:val="000000" w:themeColor="text1"/>
        </w:rPr>
        <w:t>. Recommendations to the Government of the Netherlands</w:t>
      </w:r>
    </w:p>
    <w:p w14:paraId="18CE1B09" w14:textId="77777777" w:rsidR="009D0822" w:rsidRPr="00156877" w:rsidRDefault="009D0822" w:rsidP="00156877">
      <w:pPr>
        <w:pStyle w:val="NormalWeb"/>
        <w:jc w:val="both"/>
        <w:rPr>
          <w:rFonts w:asciiTheme="majorBidi" w:hAnsiTheme="majorBidi" w:cstheme="majorBidi"/>
        </w:rPr>
      </w:pPr>
      <w:r w:rsidRPr="00156877">
        <w:rPr>
          <w:rFonts w:asciiTheme="majorBidi" w:hAnsiTheme="majorBidi" w:cstheme="majorBidi"/>
        </w:rPr>
        <w:t xml:space="preserve">To fulfill its obligations under CEDAW and related human rights instruments, the Dutch Government should take the following </w:t>
      </w:r>
      <w:r w:rsidRPr="00156877">
        <w:rPr>
          <w:rStyle w:val="Strong"/>
          <w:rFonts w:asciiTheme="majorBidi" w:hAnsiTheme="majorBidi" w:cstheme="majorBidi"/>
          <w:b w:val="0"/>
          <w:bCs w:val="0"/>
        </w:rPr>
        <w:t>urgent actions</w:t>
      </w:r>
      <w:r w:rsidRPr="00156877">
        <w:rPr>
          <w:rFonts w:asciiTheme="majorBidi" w:hAnsiTheme="majorBidi" w:cstheme="majorBidi"/>
          <w:b/>
          <w:bCs/>
        </w:rPr>
        <w:t>:</w:t>
      </w:r>
    </w:p>
    <w:p w14:paraId="35EFEC88" w14:textId="77777777" w:rsidR="009D0822" w:rsidRPr="00156877" w:rsidRDefault="00EA20C2" w:rsidP="00156877">
      <w:pPr>
        <w:pStyle w:val="Heading3"/>
        <w:jc w:val="both"/>
        <w:rPr>
          <w:rFonts w:asciiTheme="majorBidi" w:hAnsiTheme="majorBidi"/>
          <w:color w:val="000000" w:themeColor="text1"/>
        </w:rPr>
      </w:pPr>
      <w:r>
        <w:rPr>
          <w:rStyle w:val="Strong"/>
          <w:rFonts w:asciiTheme="majorBidi" w:hAnsiTheme="majorBidi"/>
          <w:color w:val="000000" w:themeColor="text1"/>
        </w:rPr>
        <w:t>4</w:t>
      </w:r>
      <w:r w:rsidR="009D0822" w:rsidRPr="00156877">
        <w:rPr>
          <w:rStyle w:val="Strong"/>
          <w:rFonts w:asciiTheme="majorBidi" w:hAnsiTheme="majorBidi"/>
          <w:color w:val="000000" w:themeColor="text1"/>
        </w:rPr>
        <w:t>.1 Asylum Policy Reform</w:t>
      </w:r>
    </w:p>
    <w:p w14:paraId="5051E317" w14:textId="77777777" w:rsidR="009D0822" w:rsidRPr="00156877" w:rsidRDefault="009D0822" w:rsidP="00156877">
      <w:pPr>
        <w:pStyle w:val="NormalWeb"/>
        <w:numPr>
          <w:ilvl w:val="0"/>
          <w:numId w:val="5"/>
        </w:numPr>
        <w:jc w:val="both"/>
        <w:rPr>
          <w:rFonts w:asciiTheme="majorBidi" w:hAnsiTheme="majorBidi" w:cstheme="majorBidi"/>
        </w:rPr>
      </w:pPr>
      <w:r w:rsidRPr="00156877">
        <w:rPr>
          <w:rStyle w:val="Strong"/>
          <w:rFonts w:asciiTheme="majorBidi" w:hAnsiTheme="majorBidi" w:cstheme="majorBidi"/>
          <w:b w:val="0"/>
          <w:bCs w:val="0"/>
        </w:rPr>
        <w:t>Shorten asylum adjudication timelines</w:t>
      </w:r>
      <w:r w:rsidRPr="00156877">
        <w:rPr>
          <w:rFonts w:asciiTheme="majorBidi" w:hAnsiTheme="majorBidi" w:cstheme="majorBidi"/>
        </w:rPr>
        <w:t xml:space="preserve"> and introduce robust monitoring to prevent delays that disproportionately harm women, especially single mothers and survivors of violence.</w:t>
      </w:r>
    </w:p>
    <w:p w14:paraId="7081C058" w14:textId="77777777" w:rsidR="009D0822" w:rsidRPr="00156877" w:rsidRDefault="009D0822" w:rsidP="00156877">
      <w:pPr>
        <w:pStyle w:val="NormalWeb"/>
        <w:numPr>
          <w:ilvl w:val="0"/>
          <w:numId w:val="5"/>
        </w:numPr>
        <w:jc w:val="both"/>
        <w:rPr>
          <w:rFonts w:asciiTheme="majorBidi" w:hAnsiTheme="majorBidi" w:cstheme="majorBidi"/>
        </w:rPr>
      </w:pPr>
      <w:r w:rsidRPr="00156877">
        <w:rPr>
          <w:rStyle w:val="Strong"/>
          <w:rFonts w:asciiTheme="majorBidi" w:hAnsiTheme="majorBidi" w:cstheme="majorBidi"/>
          <w:b w:val="0"/>
          <w:bCs w:val="0"/>
        </w:rPr>
        <w:t>Reform family reunification conditions</w:t>
      </w:r>
      <w:r w:rsidRPr="00156877">
        <w:rPr>
          <w:rFonts w:asciiTheme="majorBidi" w:hAnsiTheme="majorBidi" w:cstheme="majorBidi"/>
          <w:b/>
          <w:bCs/>
        </w:rPr>
        <w:t xml:space="preserve"> </w:t>
      </w:r>
      <w:r w:rsidRPr="00156877">
        <w:rPr>
          <w:rFonts w:asciiTheme="majorBidi" w:hAnsiTheme="majorBidi" w:cstheme="majorBidi"/>
        </w:rPr>
        <w:t>to ensure that women are not separated from partners and children where safety or vulnerability is established.</w:t>
      </w:r>
    </w:p>
    <w:p w14:paraId="3CBCEBC0" w14:textId="77777777" w:rsidR="009D0822" w:rsidRPr="00156877" w:rsidRDefault="00EA20C2" w:rsidP="00156877">
      <w:pPr>
        <w:pStyle w:val="Heading3"/>
        <w:jc w:val="both"/>
        <w:rPr>
          <w:rFonts w:asciiTheme="majorBidi" w:hAnsiTheme="majorBidi"/>
          <w:color w:val="000000" w:themeColor="text1"/>
        </w:rPr>
      </w:pPr>
      <w:r>
        <w:rPr>
          <w:rStyle w:val="Strong"/>
          <w:rFonts w:asciiTheme="majorBidi" w:hAnsiTheme="majorBidi"/>
          <w:color w:val="000000" w:themeColor="text1"/>
        </w:rPr>
        <w:t>4</w:t>
      </w:r>
      <w:r w:rsidR="009D0822" w:rsidRPr="00156877">
        <w:rPr>
          <w:rStyle w:val="Strong"/>
          <w:rFonts w:asciiTheme="majorBidi" w:hAnsiTheme="majorBidi"/>
          <w:color w:val="000000" w:themeColor="text1"/>
        </w:rPr>
        <w:t>.2 Reception and Healthcare Standards</w:t>
      </w:r>
    </w:p>
    <w:p w14:paraId="36AD014A" w14:textId="77777777" w:rsidR="009D0822" w:rsidRPr="00156877" w:rsidRDefault="009D0822" w:rsidP="00156877">
      <w:pPr>
        <w:pStyle w:val="NormalWeb"/>
        <w:numPr>
          <w:ilvl w:val="0"/>
          <w:numId w:val="6"/>
        </w:numPr>
        <w:jc w:val="both"/>
        <w:rPr>
          <w:rFonts w:asciiTheme="majorBidi" w:hAnsiTheme="majorBidi" w:cstheme="majorBidi"/>
        </w:rPr>
      </w:pPr>
      <w:r w:rsidRPr="00156877">
        <w:rPr>
          <w:rStyle w:val="Strong"/>
          <w:rFonts w:asciiTheme="majorBidi" w:hAnsiTheme="majorBidi" w:cstheme="majorBidi"/>
          <w:b w:val="0"/>
          <w:bCs w:val="0"/>
        </w:rPr>
        <w:t>Ensure gender-sensitive reception facilities</w:t>
      </w:r>
      <w:r w:rsidRPr="00156877">
        <w:rPr>
          <w:rFonts w:asciiTheme="majorBidi" w:hAnsiTheme="majorBidi" w:cstheme="majorBidi"/>
        </w:rPr>
        <w:t xml:space="preserve"> that meet EU Minimum Standards (including privacy, safety, sanitation, and childcare spaces).</w:t>
      </w:r>
    </w:p>
    <w:p w14:paraId="261733E0" w14:textId="77777777" w:rsidR="009D0822" w:rsidRPr="00156877" w:rsidRDefault="009D0822" w:rsidP="00156877">
      <w:pPr>
        <w:pStyle w:val="NormalWeb"/>
        <w:numPr>
          <w:ilvl w:val="0"/>
          <w:numId w:val="6"/>
        </w:numPr>
        <w:jc w:val="both"/>
        <w:rPr>
          <w:rFonts w:asciiTheme="majorBidi" w:hAnsiTheme="majorBidi" w:cstheme="majorBidi"/>
        </w:rPr>
      </w:pPr>
      <w:r w:rsidRPr="00156877">
        <w:rPr>
          <w:rStyle w:val="Strong"/>
          <w:rFonts w:asciiTheme="majorBidi" w:hAnsiTheme="majorBidi" w:cstheme="majorBidi"/>
          <w:b w:val="0"/>
          <w:bCs w:val="0"/>
        </w:rPr>
        <w:t>Guarantee continuous and comprehensive health screening</w:t>
      </w:r>
      <w:r w:rsidRPr="00156877">
        <w:rPr>
          <w:rFonts w:asciiTheme="majorBidi" w:hAnsiTheme="majorBidi" w:cstheme="majorBidi"/>
        </w:rPr>
        <w:t xml:space="preserve"> upon arrival and ensure uninterrupted access to reproductive, prenatal, mental health, and gender-based violence support services.</w:t>
      </w:r>
    </w:p>
    <w:p w14:paraId="632DD07F" w14:textId="77777777" w:rsidR="009D0822" w:rsidRPr="00156877" w:rsidRDefault="009D0822" w:rsidP="00156877">
      <w:pPr>
        <w:pStyle w:val="NormalWeb"/>
        <w:numPr>
          <w:ilvl w:val="0"/>
          <w:numId w:val="6"/>
        </w:numPr>
        <w:jc w:val="both"/>
        <w:rPr>
          <w:rFonts w:asciiTheme="majorBidi" w:hAnsiTheme="majorBidi" w:cstheme="majorBidi"/>
        </w:rPr>
      </w:pPr>
      <w:r w:rsidRPr="00156877">
        <w:rPr>
          <w:rStyle w:val="Strong"/>
          <w:rFonts w:asciiTheme="majorBidi" w:hAnsiTheme="majorBidi" w:cstheme="majorBidi"/>
          <w:b w:val="0"/>
          <w:bCs w:val="0"/>
        </w:rPr>
        <w:t>Implement interpreter services systematically</w:t>
      </w:r>
      <w:r w:rsidRPr="00156877">
        <w:rPr>
          <w:rFonts w:asciiTheme="majorBidi" w:hAnsiTheme="majorBidi" w:cstheme="majorBidi"/>
        </w:rPr>
        <w:t xml:space="preserve"> across all healthcare and legal assistance interactions to prevent language barriers to essential rights.</w:t>
      </w:r>
    </w:p>
    <w:p w14:paraId="6FA473D9" w14:textId="77777777" w:rsidR="009D0822" w:rsidRPr="00156877" w:rsidRDefault="00EA20C2" w:rsidP="00156877">
      <w:pPr>
        <w:pStyle w:val="Heading3"/>
        <w:jc w:val="both"/>
        <w:rPr>
          <w:rFonts w:asciiTheme="majorBidi" w:hAnsiTheme="majorBidi"/>
          <w:color w:val="000000" w:themeColor="text1"/>
        </w:rPr>
      </w:pPr>
      <w:r>
        <w:rPr>
          <w:rStyle w:val="Strong"/>
          <w:rFonts w:asciiTheme="majorBidi" w:hAnsiTheme="majorBidi"/>
          <w:color w:val="000000" w:themeColor="text1"/>
        </w:rPr>
        <w:t>4</w:t>
      </w:r>
      <w:r w:rsidR="009D0822" w:rsidRPr="00156877">
        <w:rPr>
          <w:rStyle w:val="Strong"/>
          <w:rFonts w:asciiTheme="majorBidi" w:hAnsiTheme="majorBidi"/>
          <w:color w:val="000000" w:themeColor="text1"/>
        </w:rPr>
        <w:t>.3 Protection and Support Services</w:t>
      </w:r>
    </w:p>
    <w:p w14:paraId="12FD3243" w14:textId="77777777" w:rsidR="009D0822" w:rsidRPr="00156877" w:rsidRDefault="009D0822" w:rsidP="00156877">
      <w:pPr>
        <w:pStyle w:val="NormalWeb"/>
        <w:numPr>
          <w:ilvl w:val="0"/>
          <w:numId w:val="7"/>
        </w:numPr>
        <w:jc w:val="both"/>
        <w:rPr>
          <w:rFonts w:asciiTheme="majorBidi" w:hAnsiTheme="majorBidi" w:cstheme="majorBidi"/>
        </w:rPr>
      </w:pPr>
      <w:r w:rsidRPr="00156877">
        <w:rPr>
          <w:rStyle w:val="Strong"/>
          <w:rFonts w:asciiTheme="majorBidi" w:hAnsiTheme="majorBidi" w:cstheme="majorBidi"/>
          <w:b w:val="0"/>
          <w:bCs w:val="0"/>
        </w:rPr>
        <w:t>Establish gender-specific case management</w:t>
      </w:r>
      <w:r w:rsidRPr="00156877">
        <w:rPr>
          <w:rFonts w:asciiTheme="majorBidi" w:hAnsiTheme="majorBidi" w:cstheme="majorBidi"/>
        </w:rPr>
        <w:t xml:space="preserve"> within reception and asylum processing, ensuring early identification of survivors of trafficking and gender-based violence.</w:t>
      </w:r>
    </w:p>
    <w:p w14:paraId="167DF382" w14:textId="77777777" w:rsidR="009D0822" w:rsidRPr="00156877" w:rsidRDefault="009D0822" w:rsidP="00156877">
      <w:pPr>
        <w:pStyle w:val="NormalWeb"/>
        <w:numPr>
          <w:ilvl w:val="0"/>
          <w:numId w:val="7"/>
        </w:numPr>
        <w:jc w:val="both"/>
        <w:rPr>
          <w:rFonts w:asciiTheme="majorBidi" w:hAnsiTheme="majorBidi" w:cstheme="majorBidi"/>
        </w:rPr>
      </w:pPr>
      <w:r w:rsidRPr="00156877">
        <w:rPr>
          <w:rStyle w:val="Strong"/>
          <w:rFonts w:asciiTheme="majorBidi" w:hAnsiTheme="majorBidi" w:cstheme="majorBidi"/>
          <w:b w:val="0"/>
          <w:bCs w:val="0"/>
        </w:rPr>
        <w:t>Expand safe shelter options</w:t>
      </w:r>
      <w:r w:rsidRPr="00156877">
        <w:rPr>
          <w:rFonts w:asciiTheme="majorBidi" w:hAnsiTheme="majorBidi" w:cstheme="majorBidi"/>
          <w:b/>
          <w:bCs/>
        </w:rPr>
        <w:t xml:space="preserve"> </w:t>
      </w:r>
      <w:r w:rsidRPr="00156877">
        <w:rPr>
          <w:rFonts w:asciiTheme="majorBidi" w:hAnsiTheme="majorBidi" w:cstheme="majorBidi"/>
        </w:rPr>
        <w:t>with tailored services for women who are single, pregnant, survivors of violence, or mothers with young children.</w:t>
      </w:r>
    </w:p>
    <w:p w14:paraId="78F37A6B" w14:textId="77777777" w:rsidR="009D0822" w:rsidRPr="00156877" w:rsidRDefault="00EA20C2" w:rsidP="00156877">
      <w:pPr>
        <w:pStyle w:val="Heading3"/>
        <w:jc w:val="both"/>
        <w:rPr>
          <w:rFonts w:asciiTheme="majorBidi" w:hAnsiTheme="majorBidi"/>
          <w:color w:val="000000" w:themeColor="text1"/>
        </w:rPr>
      </w:pPr>
      <w:r>
        <w:rPr>
          <w:rStyle w:val="Strong"/>
          <w:rFonts w:asciiTheme="majorBidi" w:hAnsiTheme="majorBidi"/>
          <w:color w:val="000000" w:themeColor="text1"/>
        </w:rPr>
        <w:t>4</w:t>
      </w:r>
      <w:r w:rsidR="009D0822" w:rsidRPr="00156877">
        <w:rPr>
          <w:rStyle w:val="Strong"/>
          <w:rFonts w:asciiTheme="majorBidi" w:hAnsiTheme="majorBidi"/>
          <w:color w:val="000000" w:themeColor="text1"/>
        </w:rPr>
        <w:t>.4 Data and Oversight</w:t>
      </w:r>
    </w:p>
    <w:p w14:paraId="2FAC63EB" w14:textId="77777777" w:rsidR="009D0822" w:rsidRPr="00156877" w:rsidRDefault="009D0822" w:rsidP="00156877">
      <w:pPr>
        <w:pStyle w:val="NormalWeb"/>
        <w:numPr>
          <w:ilvl w:val="0"/>
          <w:numId w:val="8"/>
        </w:numPr>
        <w:jc w:val="both"/>
        <w:rPr>
          <w:rFonts w:asciiTheme="majorBidi" w:hAnsiTheme="majorBidi" w:cstheme="majorBidi"/>
        </w:rPr>
      </w:pPr>
      <w:r w:rsidRPr="00156877">
        <w:rPr>
          <w:rStyle w:val="Strong"/>
          <w:rFonts w:asciiTheme="majorBidi" w:hAnsiTheme="majorBidi" w:cstheme="majorBidi"/>
          <w:b w:val="0"/>
          <w:bCs w:val="0"/>
        </w:rPr>
        <w:t>Collect and publish disaggregated data</w:t>
      </w:r>
      <w:r w:rsidRPr="00156877">
        <w:rPr>
          <w:rFonts w:asciiTheme="majorBidi" w:hAnsiTheme="majorBidi" w:cstheme="majorBidi"/>
        </w:rPr>
        <w:t xml:space="preserve"> on asylum decision outcomes, health access, reception conditions, and service uptake by sex, age, and migration status.</w:t>
      </w:r>
    </w:p>
    <w:p w14:paraId="0381EA65" w14:textId="77777777" w:rsidR="009D0822" w:rsidRPr="00156877" w:rsidRDefault="009D0822" w:rsidP="00156877">
      <w:pPr>
        <w:pStyle w:val="NormalWeb"/>
        <w:numPr>
          <w:ilvl w:val="0"/>
          <w:numId w:val="8"/>
        </w:numPr>
        <w:jc w:val="both"/>
        <w:rPr>
          <w:rFonts w:asciiTheme="majorBidi" w:hAnsiTheme="majorBidi" w:cstheme="majorBidi"/>
        </w:rPr>
      </w:pPr>
      <w:r w:rsidRPr="00156877">
        <w:rPr>
          <w:rStyle w:val="Strong"/>
          <w:rFonts w:asciiTheme="majorBidi" w:hAnsiTheme="majorBidi" w:cstheme="majorBidi"/>
          <w:b w:val="0"/>
          <w:bCs w:val="0"/>
        </w:rPr>
        <w:lastRenderedPageBreak/>
        <w:t>Regular independent monitoring</w:t>
      </w:r>
      <w:r w:rsidRPr="00156877">
        <w:rPr>
          <w:rFonts w:asciiTheme="majorBidi" w:hAnsiTheme="majorBidi" w:cstheme="majorBidi"/>
        </w:rPr>
        <w:t xml:space="preserve"> of reception facilities with public reporting to ensure compliance with gender equity norms and international standards.</w:t>
      </w:r>
    </w:p>
    <w:p w14:paraId="2A09C4C3" w14:textId="546A4B0C" w:rsidR="009D0822" w:rsidRPr="00156877" w:rsidRDefault="009D0822" w:rsidP="00CF6674">
      <w:pPr>
        <w:pStyle w:val="NormalWeb"/>
        <w:jc w:val="both"/>
        <w:rPr>
          <w:rFonts w:asciiTheme="majorBidi" w:hAnsiTheme="majorBidi" w:cstheme="majorBidi"/>
          <w:b/>
          <w:bCs/>
        </w:rPr>
      </w:pPr>
      <w:r w:rsidRPr="00156877">
        <w:rPr>
          <w:rFonts w:asciiTheme="majorBidi" w:hAnsiTheme="majorBidi" w:cstheme="majorBidi"/>
        </w:rPr>
        <w:t xml:space="preserve">The structural discrimination experienced by migrant, asylum-seeking, and undocumented women in the Netherlands in 2025 constitutes a serious human rights concern that undermines the State’s commitments under CEDAW. Persistent barriers to healthcare, inadequate reception conditions, restrictive asylum policies, and the intersectional nature of exclusion demand immediate policy and operational reform. </w:t>
      </w:r>
    </w:p>
    <w:p w14:paraId="53CE3CCA" w14:textId="77777777" w:rsidR="009D0822" w:rsidRPr="00156877" w:rsidRDefault="009D0822" w:rsidP="00156877">
      <w:pPr>
        <w:pStyle w:val="NormalWeb"/>
        <w:jc w:val="both"/>
        <w:rPr>
          <w:rFonts w:asciiTheme="majorBidi" w:hAnsiTheme="majorBidi" w:cstheme="majorBidi"/>
        </w:rPr>
      </w:pPr>
    </w:p>
    <w:p w14:paraId="29FEE3F5" w14:textId="77777777" w:rsidR="00ED70E0" w:rsidRPr="00156877" w:rsidRDefault="00ED70E0" w:rsidP="00156877">
      <w:pPr>
        <w:jc w:val="both"/>
        <w:rPr>
          <w:rFonts w:asciiTheme="majorBidi" w:hAnsiTheme="majorBidi" w:cstheme="majorBidi"/>
          <w:sz w:val="24"/>
          <w:szCs w:val="24"/>
          <w:rtl/>
          <w:lang w:bidi="fa-IR"/>
        </w:rPr>
      </w:pPr>
    </w:p>
    <w:sectPr w:rsidR="00ED70E0" w:rsidRPr="00156877" w:rsidSect="00634BCD">
      <w:pgSz w:w="11906" w:h="16838" w:code="9"/>
      <w:pgMar w:top="1928"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8E34E" w14:textId="77777777" w:rsidR="00ED3C99" w:rsidRDefault="00ED3C99" w:rsidP="00ED70E0">
      <w:pPr>
        <w:spacing w:after="0" w:line="240" w:lineRule="auto"/>
      </w:pPr>
      <w:r>
        <w:separator/>
      </w:r>
    </w:p>
  </w:endnote>
  <w:endnote w:type="continuationSeparator" w:id="0">
    <w:p w14:paraId="6994D201" w14:textId="77777777" w:rsidR="00ED3C99" w:rsidRDefault="00ED3C99" w:rsidP="00ED7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EF19F" w14:textId="77777777" w:rsidR="00ED3C99" w:rsidRDefault="00ED3C99" w:rsidP="00ED70E0">
      <w:pPr>
        <w:spacing w:after="0" w:line="240" w:lineRule="auto"/>
      </w:pPr>
      <w:r>
        <w:separator/>
      </w:r>
    </w:p>
  </w:footnote>
  <w:footnote w:type="continuationSeparator" w:id="0">
    <w:p w14:paraId="5E015106" w14:textId="77777777" w:rsidR="00ED3C99" w:rsidRDefault="00ED3C99" w:rsidP="00ED70E0">
      <w:pPr>
        <w:spacing w:after="0" w:line="240" w:lineRule="auto"/>
      </w:pPr>
      <w:r>
        <w:continuationSeparator/>
      </w:r>
    </w:p>
  </w:footnote>
  <w:footnote w:id="1">
    <w:p w14:paraId="21C26DD1" w14:textId="77777777" w:rsidR="00156877" w:rsidRPr="00E85C51" w:rsidRDefault="00156877">
      <w:pPr>
        <w:pStyle w:val="FootnoteText"/>
        <w:rPr>
          <w:rFonts w:asciiTheme="majorBidi" w:hAnsiTheme="majorBidi" w:cstheme="majorBidi"/>
        </w:rPr>
      </w:pPr>
      <w:r w:rsidRPr="00E85C51">
        <w:rPr>
          <w:rStyle w:val="FootnoteReference"/>
          <w:rFonts w:asciiTheme="majorBidi" w:hAnsiTheme="majorBidi" w:cstheme="majorBidi"/>
        </w:rPr>
        <w:footnoteRef/>
      </w:r>
      <w:r w:rsidRPr="00E85C51">
        <w:rPr>
          <w:rFonts w:asciiTheme="majorBidi" w:hAnsiTheme="majorBidi" w:cstheme="majorBidi"/>
        </w:rPr>
        <w:t xml:space="preserve"> https://www.government.nl/latest/news/2024/09/17/government-investing-in-stricter-asylum-policy</w:t>
      </w:r>
    </w:p>
  </w:footnote>
  <w:footnote w:id="2">
    <w:p w14:paraId="3AFBAC6A" w14:textId="77777777" w:rsidR="00E85C51" w:rsidRDefault="00E85C51">
      <w:pPr>
        <w:pStyle w:val="FootnoteText"/>
      </w:pPr>
      <w:r w:rsidRPr="00E85C51">
        <w:rPr>
          <w:rStyle w:val="FootnoteReference"/>
          <w:rFonts w:asciiTheme="majorBidi" w:hAnsiTheme="majorBidi" w:cstheme="majorBidi"/>
        </w:rPr>
        <w:footnoteRef/>
      </w:r>
      <w:r w:rsidRPr="00E85C51">
        <w:rPr>
          <w:rFonts w:asciiTheme="majorBidi" w:hAnsiTheme="majorBidi" w:cstheme="majorBidi"/>
        </w:rPr>
        <w:t xml:space="preserve"> https://asylumineurope.org/reports/country/netherlands/reception-conditions/housing/conditions-reception-facilities</w:t>
      </w:r>
    </w:p>
  </w:footnote>
  <w:footnote w:id="3">
    <w:p w14:paraId="64122EE7" w14:textId="77777777" w:rsidR="00E85C51" w:rsidRPr="00CF6674" w:rsidRDefault="00E85C51">
      <w:pPr>
        <w:pStyle w:val="FootnoteText"/>
        <w:rPr>
          <w:rFonts w:asciiTheme="majorBidi" w:hAnsiTheme="majorBidi" w:cstheme="majorBidi"/>
        </w:rPr>
      </w:pPr>
      <w:r w:rsidRPr="00CF6674">
        <w:rPr>
          <w:rStyle w:val="FootnoteReference"/>
          <w:rFonts w:asciiTheme="majorBidi" w:hAnsiTheme="majorBidi" w:cstheme="majorBidi"/>
        </w:rPr>
        <w:footnoteRef/>
      </w:r>
      <w:r w:rsidRPr="00CF6674">
        <w:rPr>
          <w:rFonts w:asciiTheme="majorBidi" w:hAnsiTheme="majorBidi" w:cstheme="majorBidi"/>
        </w:rPr>
        <w:t xml:space="preserve"> https://asylumineurope.org/reports/country/netherlands/reception-conditions/health-care</w:t>
      </w:r>
    </w:p>
  </w:footnote>
  <w:footnote w:id="4">
    <w:p w14:paraId="289E504D" w14:textId="77777777" w:rsidR="00EA20C2" w:rsidRPr="00CF6674" w:rsidRDefault="00EA20C2">
      <w:pPr>
        <w:pStyle w:val="FootnoteText"/>
        <w:rPr>
          <w:rFonts w:asciiTheme="majorBidi" w:hAnsiTheme="majorBidi" w:cstheme="majorBidi"/>
        </w:rPr>
      </w:pPr>
      <w:r w:rsidRPr="00CF6674">
        <w:rPr>
          <w:rStyle w:val="FootnoteReference"/>
          <w:rFonts w:asciiTheme="majorBidi" w:hAnsiTheme="majorBidi" w:cstheme="majorBidi"/>
        </w:rPr>
        <w:footnoteRef/>
      </w:r>
      <w:r w:rsidRPr="00CF6674">
        <w:rPr>
          <w:rFonts w:asciiTheme="majorBidi" w:hAnsiTheme="majorBidi" w:cstheme="majorBidi"/>
        </w:rPr>
        <w:t xml:space="preserve"> https://asylumineurope.org/reports/country/netherlands/reception-conditions/health-care</w:t>
      </w:r>
    </w:p>
  </w:footnote>
  <w:footnote w:id="5">
    <w:p w14:paraId="5C7B6187" w14:textId="77777777" w:rsidR="00EA20C2" w:rsidRPr="00CF6674" w:rsidRDefault="00EA20C2">
      <w:pPr>
        <w:pStyle w:val="FootnoteText"/>
        <w:rPr>
          <w:rFonts w:asciiTheme="majorBidi" w:hAnsiTheme="majorBidi" w:cstheme="majorBidi"/>
        </w:rPr>
      </w:pPr>
      <w:r w:rsidRPr="00CF6674">
        <w:rPr>
          <w:rStyle w:val="FootnoteReference"/>
          <w:rFonts w:asciiTheme="majorBidi" w:hAnsiTheme="majorBidi" w:cstheme="majorBidi"/>
        </w:rPr>
        <w:footnoteRef/>
      </w:r>
      <w:r w:rsidRPr="00CF6674">
        <w:rPr>
          <w:rFonts w:asciiTheme="majorBidi" w:hAnsiTheme="majorBidi" w:cstheme="majorBidi"/>
        </w:rPr>
        <w:t xml:space="preserve"> https://asylumineurope.org/reports/country/netherlands/reception-conditions/health-care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4176D"/>
    <w:multiLevelType w:val="multilevel"/>
    <w:tmpl w:val="EECE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1614A1"/>
    <w:multiLevelType w:val="multilevel"/>
    <w:tmpl w:val="3FEE06D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EE7C61"/>
    <w:multiLevelType w:val="multilevel"/>
    <w:tmpl w:val="C67C179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34608E"/>
    <w:multiLevelType w:val="multilevel"/>
    <w:tmpl w:val="D4E2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F322C9"/>
    <w:multiLevelType w:val="multilevel"/>
    <w:tmpl w:val="66069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6262F7"/>
    <w:multiLevelType w:val="multilevel"/>
    <w:tmpl w:val="F5C8A590"/>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8D8497B"/>
    <w:multiLevelType w:val="multilevel"/>
    <w:tmpl w:val="838E4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9BC7734"/>
    <w:multiLevelType w:val="multilevel"/>
    <w:tmpl w:val="C0DAF2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3865562">
    <w:abstractNumId w:val="5"/>
  </w:num>
  <w:num w:numId="2" w16cid:durableId="1324577668">
    <w:abstractNumId w:val="3"/>
  </w:num>
  <w:num w:numId="3" w16cid:durableId="1872958489">
    <w:abstractNumId w:val="4"/>
  </w:num>
  <w:num w:numId="4" w16cid:durableId="1458909555">
    <w:abstractNumId w:val="0"/>
  </w:num>
  <w:num w:numId="5" w16cid:durableId="537670757">
    <w:abstractNumId w:val="6"/>
  </w:num>
  <w:num w:numId="6" w16cid:durableId="2011373929">
    <w:abstractNumId w:val="7"/>
  </w:num>
  <w:num w:numId="7" w16cid:durableId="637564881">
    <w:abstractNumId w:val="2"/>
  </w:num>
  <w:num w:numId="8" w16cid:durableId="10701584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51B0"/>
    <w:rsid w:val="00156877"/>
    <w:rsid w:val="001A7CDA"/>
    <w:rsid w:val="00261FEC"/>
    <w:rsid w:val="00531021"/>
    <w:rsid w:val="005A34E8"/>
    <w:rsid w:val="005C3448"/>
    <w:rsid w:val="00634BCD"/>
    <w:rsid w:val="00664907"/>
    <w:rsid w:val="009D0822"/>
    <w:rsid w:val="00A051B0"/>
    <w:rsid w:val="00C74840"/>
    <w:rsid w:val="00CF6674"/>
    <w:rsid w:val="00D549AA"/>
    <w:rsid w:val="00D96661"/>
    <w:rsid w:val="00DF1D98"/>
    <w:rsid w:val="00DF6650"/>
    <w:rsid w:val="00E85C51"/>
    <w:rsid w:val="00EA20C2"/>
    <w:rsid w:val="00ED3C99"/>
    <w:rsid w:val="00ED70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48D31"/>
  <w15:chartTrackingRefBased/>
  <w15:docId w15:val="{0B9CED7F-C98F-474D-8E45-A6AF6E2E1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D70E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261FE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D082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70E0"/>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ED70E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D70E0"/>
    <w:rPr>
      <w:b/>
      <w:bCs/>
    </w:rPr>
  </w:style>
  <w:style w:type="character" w:customStyle="1" w:styleId="ms-1">
    <w:name w:val="ms-1"/>
    <w:basedOn w:val="DefaultParagraphFont"/>
    <w:rsid w:val="00ED70E0"/>
  </w:style>
  <w:style w:type="character" w:customStyle="1" w:styleId="max-w-15ch">
    <w:name w:val="max-w-[15ch]"/>
    <w:basedOn w:val="DefaultParagraphFont"/>
    <w:rsid w:val="00ED70E0"/>
  </w:style>
  <w:style w:type="character" w:customStyle="1" w:styleId="-me-1">
    <w:name w:val="-me-1"/>
    <w:basedOn w:val="DefaultParagraphFont"/>
    <w:rsid w:val="00ED70E0"/>
  </w:style>
  <w:style w:type="character" w:styleId="Emphasis">
    <w:name w:val="Emphasis"/>
    <w:basedOn w:val="DefaultParagraphFont"/>
    <w:uiPriority w:val="20"/>
    <w:qFormat/>
    <w:rsid w:val="00ED70E0"/>
    <w:rPr>
      <w:i/>
      <w:iCs/>
    </w:rPr>
  </w:style>
  <w:style w:type="paragraph" w:styleId="FootnoteText">
    <w:name w:val="footnote text"/>
    <w:basedOn w:val="Normal"/>
    <w:link w:val="FootnoteTextChar"/>
    <w:uiPriority w:val="99"/>
    <w:semiHidden/>
    <w:unhideWhenUsed/>
    <w:rsid w:val="00ED70E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70E0"/>
    <w:rPr>
      <w:sz w:val="20"/>
      <w:szCs w:val="20"/>
    </w:rPr>
  </w:style>
  <w:style w:type="character" w:styleId="FootnoteReference">
    <w:name w:val="footnote reference"/>
    <w:basedOn w:val="DefaultParagraphFont"/>
    <w:uiPriority w:val="99"/>
    <w:semiHidden/>
    <w:unhideWhenUsed/>
    <w:rsid w:val="00ED70E0"/>
    <w:rPr>
      <w:vertAlign w:val="superscript"/>
    </w:rPr>
  </w:style>
  <w:style w:type="character" w:customStyle="1" w:styleId="Heading2Char">
    <w:name w:val="Heading 2 Char"/>
    <w:basedOn w:val="DefaultParagraphFont"/>
    <w:link w:val="Heading2"/>
    <w:uiPriority w:val="9"/>
    <w:rsid w:val="00261FEC"/>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D0822"/>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368500">
      <w:bodyDiv w:val="1"/>
      <w:marLeft w:val="0"/>
      <w:marRight w:val="0"/>
      <w:marTop w:val="0"/>
      <w:marBottom w:val="0"/>
      <w:divBdr>
        <w:top w:val="none" w:sz="0" w:space="0" w:color="auto"/>
        <w:left w:val="none" w:sz="0" w:space="0" w:color="auto"/>
        <w:bottom w:val="none" w:sz="0" w:space="0" w:color="auto"/>
        <w:right w:val="none" w:sz="0" w:space="0" w:color="auto"/>
      </w:divBdr>
    </w:div>
    <w:div w:id="630477459">
      <w:bodyDiv w:val="1"/>
      <w:marLeft w:val="0"/>
      <w:marRight w:val="0"/>
      <w:marTop w:val="0"/>
      <w:marBottom w:val="0"/>
      <w:divBdr>
        <w:top w:val="none" w:sz="0" w:space="0" w:color="auto"/>
        <w:left w:val="none" w:sz="0" w:space="0" w:color="auto"/>
        <w:bottom w:val="none" w:sz="0" w:space="0" w:color="auto"/>
        <w:right w:val="none" w:sz="0" w:space="0" w:color="auto"/>
      </w:divBdr>
    </w:div>
    <w:div w:id="1945650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ylumineurope.org/reports/country/netherlands/reception-conditions/housing/conditions-reception-facilities/?utm_source=chatgpt.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BFC4E8-7CA5-48DE-84A8-1E4B5D203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4</Pages>
  <Words>1083</Words>
  <Characters>6178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Me</cp:lastModifiedBy>
  <cp:revision>8</cp:revision>
  <dcterms:created xsi:type="dcterms:W3CDTF">2025-12-30T11:14:00Z</dcterms:created>
  <dcterms:modified xsi:type="dcterms:W3CDTF">2026-01-03T19:26:00Z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b52431ce-853e-4db4-b8e9-ba9860ed694e</vt:lpwstr>
  </property>
</Properties>
</file>