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76D6D" w14:textId="77777777" w:rsidR="00D02298" w:rsidRDefault="00D02298" w:rsidP="00D02298">
      <w:pPr>
        <w:ind w:left="720" w:hanging="360"/>
      </w:pPr>
    </w:p>
    <w:p w14:paraId="556A4063" w14:textId="3B901353" w:rsidR="00D02298" w:rsidRPr="00E011C2" w:rsidRDefault="00D02298" w:rsidP="00C515A3">
      <w:pPr>
        <w:pStyle w:val="NormalWeb"/>
        <w:spacing w:before="240" w:beforeAutospacing="0" w:after="240" w:afterAutospacing="0" w:line="360" w:lineRule="auto"/>
        <w:jc w:val="right"/>
        <w:rPr>
          <w:rFonts w:asciiTheme="minorHAnsi" w:hAnsiTheme="minorHAnsi" w:cstheme="minorHAnsi"/>
          <w:lang w:val="pt-BR"/>
        </w:rPr>
      </w:pPr>
      <w:r w:rsidRPr="00E011C2">
        <w:rPr>
          <w:rFonts w:asciiTheme="minorHAnsi" w:hAnsiTheme="minorHAnsi" w:cstheme="minorHAnsi"/>
          <w:color w:val="000000"/>
          <w:lang w:val="pt-BR"/>
        </w:rPr>
        <w:t xml:space="preserve">Rio de Janeiro, </w:t>
      </w:r>
      <w:r w:rsidR="00C515A3" w:rsidRPr="00C515A3">
        <w:rPr>
          <w:rFonts w:asciiTheme="minorHAnsi" w:hAnsiTheme="minorHAnsi" w:cstheme="minorHAnsi"/>
          <w:color w:val="000000"/>
          <w:lang w:val="pt-BR"/>
        </w:rPr>
        <w:t>August 28</w:t>
      </w:r>
      <w:r w:rsidR="00C515A3">
        <w:rPr>
          <w:rFonts w:asciiTheme="minorHAnsi" w:hAnsiTheme="minorHAnsi" w:cstheme="minorHAnsi"/>
          <w:color w:val="000000"/>
          <w:lang w:val="pt-BR"/>
        </w:rPr>
        <w:t>th</w:t>
      </w:r>
      <w:r w:rsidR="00C515A3" w:rsidRPr="00C515A3">
        <w:rPr>
          <w:rFonts w:asciiTheme="minorHAnsi" w:hAnsiTheme="minorHAnsi" w:cstheme="minorHAnsi"/>
          <w:color w:val="000000"/>
          <w:lang w:val="pt-BR"/>
        </w:rPr>
        <w:t>, 2023</w:t>
      </w:r>
      <w:r w:rsidRPr="00E011C2">
        <w:rPr>
          <w:rFonts w:asciiTheme="minorHAnsi" w:hAnsiTheme="minorHAnsi" w:cstheme="minorHAnsi"/>
          <w:color w:val="000000"/>
          <w:lang w:val="pt-BR"/>
        </w:rPr>
        <w:t> </w:t>
      </w:r>
    </w:p>
    <w:p w14:paraId="6834E8E9" w14:textId="49A7B599" w:rsidR="00D02298" w:rsidRPr="00E94889" w:rsidRDefault="00E94889" w:rsidP="009C72CC">
      <w:pPr>
        <w:pStyle w:val="NormalWeb"/>
        <w:spacing w:before="240" w:beforeAutospacing="0" w:after="240" w:afterAutospacing="0" w:line="360" w:lineRule="auto"/>
        <w:ind w:right="4818"/>
        <w:jc w:val="both"/>
        <w:rPr>
          <w:rFonts w:asciiTheme="minorHAnsi" w:hAnsiTheme="minorHAnsi" w:cstheme="minorHAnsi"/>
          <w:b/>
          <w:color w:val="000000"/>
          <w:lang w:val="en-US"/>
        </w:rPr>
      </w:pPr>
      <w:r w:rsidRPr="00E94889">
        <w:rPr>
          <w:rFonts w:asciiTheme="minorHAnsi" w:hAnsiTheme="minorHAnsi" w:cstheme="minorHAnsi"/>
          <w:b/>
          <w:color w:val="000000"/>
          <w:lang w:val="en-US"/>
        </w:rPr>
        <w:t>Civil Society Report for the 74th Session of the Committee on Economic, Social, and Cultural Rights</w:t>
      </w:r>
      <w:r w:rsidR="00D02298" w:rsidRPr="00E94889">
        <w:rPr>
          <w:rFonts w:asciiTheme="minorHAnsi" w:hAnsiTheme="minorHAnsi" w:cstheme="minorHAnsi"/>
          <w:b/>
          <w:color w:val="000000"/>
          <w:lang w:val="en-US"/>
        </w:rPr>
        <w:t xml:space="preserve"> </w:t>
      </w:r>
    </w:p>
    <w:p w14:paraId="50D80F68" w14:textId="3AAEE9AF" w:rsidR="00D02298" w:rsidRPr="009C72CC" w:rsidRDefault="00E94889" w:rsidP="009C72CC">
      <w:pPr>
        <w:pStyle w:val="NormalWeb"/>
        <w:spacing w:before="240" w:beforeAutospacing="0" w:after="240" w:afterAutospacing="0" w:line="360" w:lineRule="auto"/>
        <w:ind w:right="4818"/>
        <w:jc w:val="both"/>
        <w:rPr>
          <w:rFonts w:asciiTheme="minorHAnsi" w:hAnsiTheme="minorHAnsi" w:cstheme="minorHAnsi"/>
          <w:b/>
          <w:bCs/>
          <w:color w:val="000000"/>
          <w:lang w:val="en-US"/>
        </w:rPr>
      </w:pPr>
      <w:r w:rsidRPr="009C72CC">
        <w:rPr>
          <w:rFonts w:asciiTheme="minorHAnsi" w:hAnsiTheme="minorHAnsi" w:cstheme="minorHAnsi"/>
          <w:b/>
          <w:color w:val="000000"/>
          <w:lang w:val="en-US"/>
        </w:rPr>
        <w:t xml:space="preserve">Topic: </w:t>
      </w:r>
      <w:proofErr w:type="spellStart"/>
      <w:r w:rsidRPr="009C72CC">
        <w:rPr>
          <w:rFonts w:asciiTheme="minorHAnsi" w:hAnsiTheme="minorHAnsi" w:cstheme="minorHAnsi"/>
          <w:b/>
          <w:color w:val="000000"/>
          <w:lang w:val="en-US"/>
        </w:rPr>
        <w:t>Brumadinho</w:t>
      </w:r>
      <w:proofErr w:type="spellEnd"/>
      <w:r w:rsidRPr="009C72CC">
        <w:rPr>
          <w:rFonts w:asciiTheme="minorHAnsi" w:hAnsiTheme="minorHAnsi" w:cstheme="minorHAnsi"/>
          <w:b/>
          <w:color w:val="000000"/>
          <w:lang w:val="en-US"/>
        </w:rPr>
        <w:t xml:space="preserve"> Case: Reparation for the Right to Health</w:t>
      </w:r>
    </w:p>
    <w:p w14:paraId="59EC07F8" w14:textId="571A9B02" w:rsidR="00D02298" w:rsidRDefault="009C72CC" w:rsidP="009C72CC">
      <w:pPr>
        <w:pStyle w:val="NormalWeb"/>
        <w:spacing w:before="240" w:beforeAutospacing="0" w:after="240" w:afterAutospacing="0" w:line="360" w:lineRule="auto"/>
        <w:ind w:right="4818"/>
        <w:jc w:val="both"/>
        <w:rPr>
          <w:rFonts w:asciiTheme="minorHAnsi" w:hAnsiTheme="minorHAnsi" w:cstheme="minorHAnsi"/>
          <w:b/>
          <w:bCs/>
          <w:color w:val="000000"/>
          <w:lang w:val="pt-BR"/>
        </w:rPr>
      </w:pPr>
      <w:r w:rsidRPr="00356BB4">
        <w:rPr>
          <w:rFonts w:asciiTheme="minorHAnsi" w:hAnsiTheme="minorHAnsi" w:cstheme="minorHAnsi"/>
          <w:b/>
          <w:bCs/>
          <w:color w:val="000000"/>
          <w:lang w:val="es-ES_tradnl"/>
        </w:rPr>
        <w:t>Submitter</w:t>
      </w:r>
      <w:r w:rsidR="00D02298" w:rsidRPr="00356BB4">
        <w:rPr>
          <w:rFonts w:asciiTheme="minorHAnsi" w:hAnsiTheme="minorHAnsi" w:cstheme="minorHAnsi"/>
          <w:b/>
          <w:bCs/>
          <w:color w:val="000000"/>
          <w:lang w:val="es-ES_tradnl"/>
        </w:rPr>
        <w:t>:</w:t>
      </w:r>
      <w:r w:rsidRPr="00356BB4">
        <w:rPr>
          <w:rFonts w:asciiTheme="minorHAnsi" w:hAnsiTheme="minorHAnsi" w:cstheme="minorHAnsi"/>
          <w:b/>
          <w:bCs/>
          <w:color w:val="000000"/>
          <w:lang w:val="es-ES_tradnl"/>
        </w:rPr>
        <w:t xml:space="preserve"> FADECIT </w:t>
      </w:r>
      <w:proofErr w:type="gramStart"/>
      <w:r w:rsidRPr="00356BB4">
        <w:rPr>
          <w:rFonts w:asciiTheme="minorHAnsi" w:hAnsiTheme="minorHAnsi" w:cstheme="minorHAnsi"/>
          <w:b/>
          <w:bCs/>
          <w:color w:val="000000"/>
          <w:lang w:val="es-ES_tradnl"/>
        </w:rPr>
        <w:t>-  Fundação</w:t>
      </w:r>
      <w:proofErr w:type="gramEnd"/>
      <w:r w:rsidRPr="00356BB4">
        <w:rPr>
          <w:rFonts w:asciiTheme="minorHAnsi" w:hAnsiTheme="minorHAnsi" w:cstheme="minorHAnsi"/>
          <w:b/>
          <w:bCs/>
          <w:color w:val="000000"/>
          <w:lang w:val="es-ES_tradnl"/>
        </w:rPr>
        <w:t xml:space="preserve"> de</w:t>
      </w:r>
      <w:r w:rsidRPr="009C72CC">
        <w:rPr>
          <w:rFonts w:asciiTheme="minorHAnsi" w:hAnsiTheme="minorHAnsi" w:cstheme="minorHAnsi"/>
          <w:b/>
          <w:bCs/>
          <w:color w:val="000000"/>
          <w:lang w:val="pt-BR"/>
        </w:rPr>
        <w:t xml:space="preserve"> Apoio e Desenvolvimento da Educação</w:t>
      </w:r>
    </w:p>
    <w:p w14:paraId="6B0D8E25" w14:textId="77777777" w:rsidR="009C72CC" w:rsidRDefault="009C72CC" w:rsidP="009C72CC">
      <w:pPr>
        <w:pStyle w:val="NormalWeb"/>
        <w:spacing w:before="240" w:beforeAutospacing="0" w:after="240" w:afterAutospacing="0" w:line="360" w:lineRule="auto"/>
        <w:ind w:right="4818"/>
        <w:jc w:val="both"/>
        <w:rPr>
          <w:rFonts w:asciiTheme="minorHAnsi" w:hAnsiTheme="minorHAnsi" w:cstheme="minorHAnsi"/>
          <w:b/>
          <w:bCs/>
          <w:color w:val="000000"/>
          <w:lang w:val="pt-BR"/>
        </w:rPr>
      </w:pPr>
    </w:p>
    <w:p w14:paraId="2EF976FD" w14:textId="77777777" w:rsidR="009C72CC" w:rsidRPr="00D02298" w:rsidRDefault="009C72CC" w:rsidP="009C72CC">
      <w:pPr>
        <w:pStyle w:val="NormalWeb"/>
        <w:spacing w:before="240" w:beforeAutospacing="0" w:after="240" w:afterAutospacing="0" w:line="360" w:lineRule="auto"/>
        <w:ind w:right="4818"/>
        <w:jc w:val="both"/>
        <w:rPr>
          <w:rFonts w:asciiTheme="minorHAnsi" w:hAnsiTheme="minorHAnsi" w:cstheme="minorHAnsi"/>
          <w:lang w:val="pt-BR"/>
        </w:rPr>
      </w:pPr>
    </w:p>
    <w:p w14:paraId="4FCBEDEA" w14:textId="03EB1927" w:rsidR="00E94889" w:rsidRPr="00E02D14" w:rsidRDefault="009C72CC" w:rsidP="00E94889">
      <w:pPr>
        <w:pStyle w:val="NormalWeb"/>
        <w:spacing w:before="240" w:after="240" w:line="360" w:lineRule="auto"/>
        <w:jc w:val="both"/>
        <w:rPr>
          <w:rFonts w:asciiTheme="minorHAnsi" w:hAnsiTheme="minorHAnsi" w:cstheme="minorHAnsi"/>
          <w:lang w:val="en-US"/>
        </w:rPr>
      </w:pPr>
      <w:r w:rsidRPr="009C72CC">
        <w:rPr>
          <w:rFonts w:asciiTheme="minorHAnsi" w:hAnsiTheme="minorHAnsi" w:cstheme="minorHAnsi"/>
          <w:b/>
          <w:bCs/>
          <w:color w:val="000000"/>
          <w:lang w:val="en-US"/>
        </w:rPr>
        <w:t xml:space="preserve">FADECIT </w:t>
      </w:r>
      <w:proofErr w:type="gramStart"/>
      <w:r w:rsidRPr="009C72CC">
        <w:rPr>
          <w:rFonts w:asciiTheme="minorHAnsi" w:hAnsiTheme="minorHAnsi" w:cstheme="minorHAnsi"/>
          <w:b/>
          <w:bCs/>
          <w:color w:val="000000"/>
          <w:lang w:val="en-US"/>
        </w:rPr>
        <w:t xml:space="preserve">-  </w:t>
      </w:r>
      <w:proofErr w:type="spellStart"/>
      <w:r w:rsidRPr="009C72CC">
        <w:rPr>
          <w:rFonts w:asciiTheme="minorHAnsi" w:hAnsiTheme="minorHAnsi" w:cstheme="minorHAnsi"/>
          <w:b/>
          <w:bCs/>
          <w:color w:val="000000"/>
          <w:lang w:val="en-US"/>
        </w:rPr>
        <w:t>Fundação</w:t>
      </w:r>
      <w:proofErr w:type="spellEnd"/>
      <w:proofErr w:type="gramEnd"/>
      <w:r w:rsidRPr="009C72CC">
        <w:rPr>
          <w:rFonts w:asciiTheme="minorHAnsi" w:hAnsiTheme="minorHAnsi" w:cstheme="minorHAnsi"/>
          <w:b/>
          <w:bCs/>
          <w:color w:val="000000"/>
          <w:lang w:val="en-US"/>
        </w:rPr>
        <w:t xml:space="preserve"> de </w:t>
      </w:r>
      <w:proofErr w:type="spellStart"/>
      <w:r w:rsidRPr="009C72CC">
        <w:rPr>
          <w:rFonts w:asciiTheme="minorHAnsi" w:hAnsiTheme="minorHAnsi" w:cstheme="minorHAnsi"/>
          <w:b/>
          <w:bCs/>
          <w:color w:val="000000"/>
          <w:lang w:val="en-US"/>
        </w:rPr>
        <w:t>Apoio</w:t>
      </w:r>
      <w:proofErr w:type="spellEnd"/>
      <w:r w:rsidRPr="009C72CC">
        <w:rPr>
          <w:rFonts w:asciiTheme="minorHAnsi" w:hAnsiTheme="minorHAnsi" w:cstheme="minorHAnsi"/>
          <w:b/>
          <w:bCs/>
          <w:color w:val="000000"/>
          <w:lang w:val="en-US"/>
        </w:rPr>
        <w:t xml:space="preserve"> e </w:t>
      </w:r>
      <w:proofErr w:type="spellStart"/>
      <w:r w:rsidRPr="009C72CC">
        <w:rPr>
          <w:rFonts w:asciiTheme="minorHAnsi" w:hAnsiTheme="minorHAnsi" w:cstheme="minorHAnsi"/>
          <w:b/>
          <w:bCs/>
          <w:color w:val="000000"/>
          <w:lang w:val="en-US"/>
        </w:rPr>
        <w:t>Desenvolvimento</w:t>
      </w:r>
      <w:proofErr w:type="spellEnd"/>
      <w:r w:rsidRPr="009C72CC">
        <w:rPr>
          <w:rFonts w:asciiTheme="minorHAnsi" w:hAnsiTheme="minorHAnsi" w:cstheme="minorHAnsi"/>
          <w:b/>
          <w:bCs/>
          <w:color w:val="000000"/>
          <w:lang w:val="en-US"/>
        </w:rPr>
        <w:t xml:space="preserve"> da </w:t>
      </w:r>
      <w:proofErr w:type="spellStart"/>
      <w:r w:rsidRPr="009C72CC">
        <w:rPr>
          <w:rFonts w:asciiTheme="minorHAnsi" w:hAnsiTheme="minorHAnsi" w:cstheme="minorHAnsi"/>
          <w:b/>
          <w:bCs/>
          <w:color w:val="000000"/>
          <w:lang w:val="en-US"/>
        </w:rPr>
        <w:t>Educação</w:t>
      </w:r>
      <w:proofErr w:type="spellEnd"/>
      <w:r w:rsidRPr="00E02D14">
        <w:rPr>
          <w:rFonts w:asciiTheme="minorHAnsi" w:hAnsiTheme="minorHAnsi" w:cstheme="minorHAnsi"/>
          <w:lang w:val="en-US"/>
        </w:rPr>
        <w:t xml:space="preserve"> </w:t>
      </w:r>
      <w:r w:rsidR="00E94889" w:rsidRPr="00E02D14">
        <w:rPr>
          <w:rFonts w:asciiTheme="minorHAnsi" w:hAnsiTheme="minorHAnsi" w:cstheme="minorHAnsi"/>
          <w:lang w:val="en-US"/>
        </w:rPr>
        <w:t xml:space="preserve">presents its considerations regarding </w:t>
      </w:r>
      <w:r w:rsidR="00E94889" w:rsidRPr="00E02D14">
        <w:rPr>
          <w:rFonts w:asciiTheme="minorHAnsi" w:hAnsiTheme="minorHAnsi" w:cstheme="minorHAnsi"/>
          <w:b/>
          <w:bCs/>
          <w:lang w:val="en-US"/>
        </w:rPr>
        <w:t>Article 12</w:t>
      </w:r>
      <w:r w:rsidR="00E94889" w:rsidRPr="00E02D14">
        <w:rPr>
          <w:rFonts w:asciiTheme="minorHAnsi" w:hAnsiTheme="minorHAnsi" w:cstheme="minorHAnsi"/>
          <w:lang w:val="en-US"/>
        </w:rPr>
        <w:t xml:space="preserve"> of the International Covenant on Economic, Social and Cultural Rights, in the context of the Third Report of the Brazilian State and in response to the Committee on Economic, Social and Cultural Rights' inquiry in the List of Issues related to Brazil's third periodic report, as mentioned in </w:t>
      </w:r>
      <w:r w:rsidR="00E94889" w:rsidRPr="00E02D14">
        <w:rPr>
          <w:rFonts w:asciiTheme="minorHAnsi" w:hAnsiTheme="minorHAnsi" w:cstheme="minorHAnsi"/>
          <w:b/>
          <w:bCs/>
          <w:lang w:val="en-US"/>
        </w:rPr>
        <w:t>paragraph 3</w:t>
      </w:r>
      <w:r w:rsidR="00E94889" w:rsidRPr="00E02D14">
        <w:rPr>
          <w:rFonts w:asciiTheme="minorHAnsi" w:hAnsiTheme="minorHAnsi" w:cstheme="minorHAnsi"/>
          <w:lang w:val="en-US"/>
        </w:rPr>
        <w:t xml:space="preserve"> and the Brazilian State's response.</w:t>
      </w:r>
    </w:p>
    <w:p w14:paraId="1F92B714" w14:textId="2399FA69" w:rsidR="00E94889" w:rsidRDefault="00E94889" w:rsidP="00E94889">
      <w:pPr>
        <w:pStyle w:val="NormalWeb"/>
        <w:spacing w:before="240" w:after="240" w:line="360" w:lineRule="auto"/>
        <w:jc w:val="both"/>
        <w:rPr>
          <w:rFonts w:asciiTheme="minorHAnsi" w:hAnsiTheme="minorHAnsi" w:cstheme="minorHAnsi"/>
          <w:lang w:val="en-US"/>
        </w:rPr>
      </w:pPr>
      <w:r w:rsidRPr="00E02D14">
        <w:rPr>
          <w:rFonts w:asciiTheme="minorHAnsi" w:hAnsiTheme="minorHAnsi" w:cstheme="minorHAnsi"/>
          <w:lang w:val="en-US"/>
        </w:rPr>
        <w:t xml:space="preserve">Therefore, the </w:t>
      </w:r>
      <w:r w:rsidR="009C72CC">
        <w:rPr>
          <w:rFonts w:asciiTheme="minorHAnsi" w:hAnsiTheme="minorHAnsi" w:cstheme="minorHAnsi"/>
          <w:lang w:val="en-US"/>
        </w:rPr>
        <w:t>submission</w:t>
      </w:r>
      <w:r w:rsidRPr="00E02D14">
        <w:rPr>
          <w:rFonts w:asciiTheme="minorHAnsi" w:hAnsiTheme="minorHAnsi" w:cstheme="minorHAnsi"/>
          <w:lang w:val="en-US"/>
        </w:rPr>
        <w:t xml:space="preserve"> </w:t>
      </w:r>
      <w:r w:rsidR="009C72CC">
        <w:rPr>
          <w:rFonts w:asciiTheme="minorHAnsi" w:hAnsiTheme="minorHAnsi" w:cstheme="minorHAnsi"/>
          <w:lang w:val="en-US"/>
        </w:rPr>
        <w:t>regards to the health</w:t>
      </w:r>
      <w:r w:rsidRPr="00E02D14">
        <w:rPr>
          <w:rFonts w:asciiTheme="minorHAnsi" w:hAnsiTheme="minorHAnsi" w:cstheme="minorHAnsi"/>
          <w:lang w:val="en-US"/>
        </w:rPr>
        <w:t xml:space="preserve"> demand </w:t>
      </w:r>
      <w:r w:rsidR="009C72CC">
        <w:rPr>
          <w:rFonts w:asciiTheme="minorHAnsi" w:hAnsiTheme="minorHAnsi" w:cstheme="minorHAnsi"/>
          <w:lang w:val="en-US"/>
        </w:rPr>
        <w:t xml:space="preserve">to be </w:t>
      </w:r>
      <w:r w:rsidRPr="00E02D14">
        <w:rPr>
          <w:rFonts w:asciiTheme="minorHAnsi" w:hAnsiTheme="minorHAnsi" w:cstheme="minorHAnsi"/>
          <w:lang w:val="en-US"/>
        </w:rPr>
        <w:t xml:space="preserve">effectively and urgently made available to the </w:t>
      </w:r>
      <w:proofErr w:type="spellStart"/>
      <w:r w:rsidRPr="00E02D14">
        <w:rPr>
          <w:rFonts w:asciiTheme="minorHAnsi" w:hAnsiTheme="minorHAnsi" w:cstheme="minorHAnsi"/>
          <w:lang w:val="en-US"/>
        </w:rPr>
        <w:t>the</w:t>
      </w:r>
      <w:proofErr w:type="spellEnd"/>
      <w:r w:rsidRPr="00E02D14">
        <w:rPr>
          <w:rFonts w:asciiTheme="minorHAnsi" w:hAnsiTheme="minorHAnsi" w:cstheme="minorHAnsi"/>
          <w:lang w:val="en-US"/>
        </w:rPr>
        <w:t xml:space="preserve"> thousands of families and victims of the dam collapses in the </w:t>
      </w:r>
      <w:proofErr w:type="spellStart"/>
      <w:r w:rsidRPr="00E02D14">
        <w:rPr>
          <w:rFonts w:asciiTheme="minorHAnsi" w:hAnsiTheme="minorHAnsi" w:cstheme="minorHAnsi"/>
          <w:lang w:val="en-US"/>
        </w:rPr>
        <w:t>Feijão</w:t>
      </w:r>
      <w:proofErr w:type="spellEnd"/>
      <w:r w:rsidRPr="00E02D14">
        <w:rPr>
          <w:rFonts w:asciiTheme="minorHAnsi" w:hAnsiTheme="minorHAnsi" w:cstheme="minorHAnsi"/>
          <w:lang w:val="en-US"/>
        </w:rPr>
        <w:t xml:space="preserve"> </w:t>
      </w:r>
      <w:r>
        <w:rPr>
          <w:rFonts w:asciiTheme="minorHAnsi" w:hAnsiTheme="minorHAnsi" w:cstheme="minorHAnsi"/>
          <w:lang w:val="en-US"/>
        </w:rPr>
        <w:t>c</w:t>
      </w:r>
      <w:r w:rsidRPr="00E02D14">
        <w:rPr>
          <w:rFonts w:asciiTheme="minorHAnsi" w:hAnsiTheme="minorHAnsi" w:cstheme="minorHAnsi"/>
          <w:lang w:val="en-US"/>
        </w:rPr>
        <w:t>reek area</w:t>
      </w:r>
      <w:r>
        <w:rPr>
          <w:rFonts w:asciiTheme="minorHAnsi" w:hAnsiTheme="minorHAnsi" w:cstheme="minorHAnsi"/>
          <w:lang w:val="en-US"/>
        </w:rPr>
        <w:t>.</w:t>
      </w:r>
    </w:p>
    <w:p w14:paraId="1EFD8A0F" w14:textId="77777777" w:rsidR="009C72CC" w:rsidRPr="00E02D14" w:rsidRDefault="009C72CC" w:rsidP="00E94889">
      <w:pPr>
        <w:pStyle w:val="NormalWeb"/>
        <w:spacing w:before="240" w:after="240" w:line="360" w:lineRule="auto"/>
        <w:jc w:val="both"/>
        <w:rPr>
          <w:rFonts w:asciiTheme="minorHAnsi" w:hAnsiTheme="minorHAnsi" w:cstheme="minorHAnsi"/>
          <w:lang w:val="en-US"/>
        </w:rPr>
      </w:pPr>
    </w:p>
    <w:p w14:paraId="0820BE19" w14:textId="2ABD1DED" w:rsidR="00035E3F" w:rsidRPr="00035E3F" w:rsidRDefault="00035E3F" w:rsidP="00035E3F">
      <w:pPr>
        <w:pStyle w:val="NormalWeb"/>
        <w:spacing w:before="240" w:beforeAutospacing="0" w:after="240" w:afterAutospacing="0" w:line="360" w:lineRule="auto"/>
        <w:jc w:val="center"/>
        <w:rPr>
          <w:rFonts w:asciiTheme="minorHAnsi" w:hAnsiTheme="minorHAnsi" w:cstheme="minorHAnsi"/>
          <w:b/>
          <w:bCs/>
          <w:lang w:val="en-US"/>
        </w:rPr>
      </w:pPr>
      <w:r w:rsidRPr="00035E3F">
        <w:rPr>
          <w:rFonts w:asciiTheme="minorHAnsi" w:hAnsiTheme="minorHAnsi" w:cstheme="minorHAnsi"/>
          <w:b/>
          <w:bCs/>
          <w:lang w:val="en-US"/>
        </w:rPr>
        <w:t>A. THE RIGHT TO HEALTH</w:t>
      </w:r>
    </w:p>
    <w:p w14:paraId="79BD4A93" w14:textId="36EF15F7" w:rsidR="00D02298" w:rsidRDefault="00D02298" w:rsidP="00035E3F">
      <w:pPr>
        <w:pStyle w:val="ListParagraph"/>
        <w:numPr>
          <w:ilvl w:val="0"/>
          <w:numId w:val="3"/>
        </w:numPr>
        <w:spacing w:line="360" w:lineRule="auto"/>
        <w:ind w:left="0"/>
        <w:jc w:val="both"/>
        <w:rPr>
          <w:rFonts w:cstheme="minorHAnsi"/>
          <w:sz w:val="24"/>
          <w:szCs w:val="24"/>
          <w:lang w:val="en-US"/>
        </w:rPr>
      </w:pPr>
      <w:r w:rsidRPr="00EB10B8">
        <w:rPr>
          <w:rFonts w:cstheme="minorHAnsi"/>
          <w:sz w:val="24"/>
          <w:szCs w:val="24"/>
          <w:lang w:val="en-US"/>
        </w:rPr>
        <w:t xml:space="preserve">The right to health is enshrined in the Constitutions of </w:t>
      </w:r>
      <w:r w:rsidR="00EB10B8" w:rsidRPr="00EB10B8">
        <w:rPr>
          <w:rFonts w:cstheme="minorHAnsi"/>
          <w:sz w:val="24"/>
          <w:szCs w:val="24"/>
          <w:lang w:val="en-US"/>
        </w:rPr>
        <w:t>most</w:t>
      </w:r>
      <w:r w:rsidRPr="00EB10B8">
        <w:rPr>
          <w:rFonts w:cstheme="minorHAnsi"/>
          <w:sz w:val="24"/>
          <w:szCs w:val="24"/>
          <w:lang w:val="en-US"/>
        </w:rPr>
        <w:t xml:space="preserve"> countries around the world as a fundamental guarantee for their individuals and is reiterated multiple times in </w:t>
      </w:r>
      <w:r w:rsidRPr="00EB10B8">
        <w:rPr>
          <w:rFonts w:cstheme="minorHAnsi"/>
          <w:sz w:val="24"/>
          <w:szCs w:val="24"/>
          <w:lang w:val="en-US"/>
        </w:rPr>
        <w:lastRenderedPageBreak/>
        <w:t>international treaties and conventions as an essential instrument for the dignity of the human person.</w:t>
      </w:r>
    </w:p>
    <w:p w14:paraId="423BF0D8" w14:textId="6968CD83" w:rsidR="00EB10B8" w:rsidRDefault="00EB10B8" w:rsidP="00035E3F">
      <w:pPr>
        <w:pStyle w:val="ListParagraph"/>
        <w:numPr>
          <w:ilvl w:val="0"/>
          <w:numId w:val="3"/>
        </w:numPr>
        <w:spacing w:line="360" w:lineRule="auto"/>
        <w:ind w:left="0"/>
        <w:jc w:val="both"/>
        <w:rPr>
          <w:rFonts w:cstheme="minorHAnsi"/>
          <w:sz w:val="24"/>
          <w:szCs w:val="24"/>
          <w:lang w:val="en-US"/>
        </w:rPr>
      </w:pPr>
      <w:r w:rsidRPr="00EB10B8">
        <w:rPr>
          <w:rFonts w:cstheme="minorHAnsi"/>
          <w:sz w:val="24"/>
          <w:szCs w:val="24"/>
          <w:lang w:val="en-US"/>
        </w:rPr>
        <w:t xml:space="preserve">The Universal Declaration of Human Rights, in its article 25, defines a list of conditions necessary for </w:t>
      </w:r>
      <w:r>
        <w:rPr>
          <w:rFonts w:cstheme="minorHAnsi"/>
          <w:sz w:val="24"/>
          <w:szCs w:val="24"/>
          <w:lang w:val="en-US"/>
        </w:rPr>
        <w:t>the</w:t>
      </w:r>
      <w:r w:rsidRPr="00EB10B8">
        <w:rPr>
          <w:rFonts w:cstheme="minorHAnsi"/>
          <w:sz w:val="24"/>
          <w:szCs w:val="24"/>
          <w:lang w:val="en-US"/>
        </w:rPr>
        <w:t xml:space="preserve"> dignity of </w:t>
      </w:r>
      <w:r>
        <w:rPr>
          <w:rFonts w:cstheme="minorHAnsi"/>
          <w:sz w:val="24"/>
          <w:szCs w:val="24"/>
          <w:lang w:val="en-US"/>
        </w:rPr>
        <w:t>a</w:t>
      </w:r>
      <w:r w:rsidRPr="00EB10B8">
        <w:rPr>
          <w:rFonts w:cstheme="minorHAnsi"/>
          <w:sz w:val="24"/>
          <w:szCs w:val="24"/>
          <w:lang w:val="en-US"/>
        </w:rPr>
        <w:t xml:space="preserve"> human. In this sense:</w:t>
      </w:r>
    </w:p>
    <w:p w14:paraId="00BF9CF8" w14:textId="77777777" w:rsidR="00E94889" w:rsidRDefault="00E94889" w:rsidP="00E94889">
      <w:pPr>
        <w:pStyle w:val="ListParagraph"/>
        <w:spacing w:line="360" w:lineRule="auto"/>
        <w:ind w:left="0"/>
        <w:jc w:val="both"/>
        <w:rPr>
          <w:rFonts w:cstheme="minorHAnsi"/>
          <w:sz w:val="24"/>
          <w:szCs w:val="24"/>
          <w:lang w:val="en-US"/>
        </w:rPr>
      </w:pPr>
    </w:p>
    <w:p w14:paraId="22178051" w14:textId="0AEC7A81" w:rsidR="00EB10B8" w:rsidRDefault="00EB10B8" w:rsidP="00035E3F">
      <w:pPr>
        <w:spacing w:line="360" w:lineRule="auto"/>
        <w:ind w:left="2268"/>
        <w:jc w:val="both"/>
        <w:rPr>
          <w:rFonts w:cstheme="minorHAnsi"/>
          <w:sz w:val="24"/>
          <w:szCs w:val="24"/>
          <w:lang w:val="en-US"/>
        </w:rPr>
      </w:pPr>
      <w:r>
        <w:rPr>
          <w:rFonts w:cstheme="minorHAnsi"/>
          <w:sz w:val="24"/>
          <w:szCs w:val="24"/>
          <w:lang w:val="en-US"/>
        </w:rPr>
        <w:t xml:space="preserve">Article 25.1. </w:t>
      </w:r>
      <w:r w:rsidRPr="00EB10B8">
        <w:rPr>
          <w:rFonts w:cstheme="minorHAnsi"/>
          <w:sz w:val="24"/>
          <w:szCs w:val="24"/>
          <w:lang w:val="en-US"/>
        </w:rPr>
        <w:t xml:space="preserve">Everyone has the right to a standard of living </w:t>
      </w:r>
      <w:r w:rsidRPr="00EB10B8">
        <w:rPr>
          <w:rFonts w:cstheme="minorHAnsi"/>
          <w:b/>
          <w:bCs/>
          <w:sz w:val="24"/>
          <w:szCs w:val="24"/>
          <w:lang w:val="en-US"/>
        </w:rPr>
        <w:t>adequate for the health</w:t>
      </w:r>
      <w:r w:rsidRPr="00EB10B8">
        <w:rPr>
          <w:rFonts w:cstheme="minorHAnsi"/>
          <w:sz w:val="24"/>
          <w:szCs w:val="24"/>
          <w:lang w:val="en-US"/>
        </w:rPr>
        <w:t xml:space="preserve"> and well-being of himself and of his family, including food, clothing, housing and </w:t>
      </w:r>
      <w:r w:rsidRPr="00EB10B8">
        <w:rPr>
          <w:rFonts w:cstheme="minorHAnsi"/>
          <w:b/>
          <w:bCs/>
          <w:sz w:val="24"/>
          <w:szCs w:val="24"/>
          <w:lang w:val="en-US"/>
        </w:rPr>
        <w:t>medical care</w:t>
      </w:r>
      <w:r w:rsidRPr="00EB10B8">
        <w:rPr>
          <w:rFonts w:cstheme="minorHAnsi"/>
          <w:sz w:val="24"/>
          <w:szCs w:val="24"/>
          <w:lang w:val="en-US"/>
        </w:rPr>
        <w:t xml:space="preserve"> and necessary social services, and the right to security in the event of unemployment, sickness, disability, widowhood, old age or other lack of livelihood in circumstances beyond his control.</w:t>
      </w:r>
    </w:p>
    <w:p w14:paraId="51BD0DF5" w14:textId="77777777" w:rsidR="00E94889" w:rsidRDefault="00E94889" w:rsidP="00035E3F">
      <w:pPr>
        <w:spacing w:line="360" w:lineRule="auto"/>
        <w:ind w:left="2268"/>
        <w:jc w:val="both"/>
        <w:rPr>
          <w:rFonts w:cstheme="minorHAnsi"/>
          <w:sz w:val="24"/>
          <w:szCs w:val="24"/>
          <w:lang w:val="en-US"/>
        </w:rPr>
      </w:pPr>
    </w:p>
    <w:p w14:paraId="3C852005" w14:textId="77777777" w:rsidR="00EB10B8" w:rsidRPr="00EB10B8" w:rsidRDefault="00EB10B8" w:rsidP="00035E3F">
      <w:pPr>
        <w:pStyle w:val="ListParagraph"/>
        <w:numPr>
          <w:ilvl w:val="0"/>
          <w:numId w:val="3"/>
        </w:numPr>
        <w:spacing w:line="360" w:lineRule="auto"/>
        <w:ind w:left="0"/>
        <w:jc w:val="both"/>
        <w:rPr>
          <w:rFonts w:cstheme="minorHAnsi"/>
          <w:sz w:val="24"/>
          <w:szCs w:val="24"/>
          <w:lang w:val="en-US"/>
        </w:rPr>
      </w:pPr>
      <w:r w:rsidRPr="00EB10B8">
        <w:rPr>
          <w:rFonts w:cstheme="minorHAnsi"/>
          <w:sz w:val="24"/>
          <w:szCs w:val="24"/>
          <w:lang w:val="en-US"/>
        </w:rPr>
        <w:t>That said, it can be observed that certain matters, although extensively addressed within the internal context of each state, go beyond territorial limitations and are of general interest, forming almost an international network of protection and safeguarding, given their notoriety and importance.</w:t>
      </w:r>
    </w:p>
    <w:p w14:paraId="5A2A2A38" w14:textId="77777777" w:rsidR="00EB10B8" w:rsidRPr="00EB10B8" w:rsidRDefault="00EB10B8" w:rsidP="00035E3F">
      <w:pPr>
        <w:pStyle w:val="ListParagraph"/>
        <w:numPr>
          <w:ilvl w:val="0"/>
          <w:numId w:val="3"/>
        </w:numPr>
        <w:spacing w:line="360" w:lineRule="auto"/>
        <w:ind w:left="0"/>
        <w:jc w:val="both"/>
        <w:rPr>
          <w:rFonts w:cstheme="minorHAnsi"/>
          <w:sz w:val="24"/>
          <w:szCs w:val="24"/>
          <w:lang w:val="en-US"/>
        </w:rPr>
      </w:pPr>
      <w:r w:rsidRPr="00EB10B8">
        <w:rPr>
          <w:rFonts w:cstheme="minorHAnsi"/>
          <w:sz w:val="24"/>
          <w:szCs w:val="24"/>
          <w:lang w:val="en-US"/>
        </w:rPr>
        <w:t>Furthermore, this transcending of territorial boundaries arises from how crucial certain rights are for the dignified survival of human beings. The right to health stands out and fits into this scenario, being protected in documents such as the Alma-Ata Declaration of 1978, for example. This Declaration is the outcome of the International Conference on Primary Health Care and presents this right as a fundamental one, comprehending it from a holistic perspective and directly linked to well-being.</w:t>
      </w:r>
    </w:p>
    <w:p w14:paraId="1E487A7D" w14:textId="748E4D45" w:rsidR="00EB10B8" w:rsidRDefault="00EB10B8" w:rsidP="00035E3F">
      <w:pPr>
        <w:pStyle w:val="ListParagraph"/>
        <w:numPr>
          <w:ilvl w:val="0"/>
          <w:numId w:val="3"/>
        </w:numPr>
        <w:spacing w:line="360" w:lineRule="auto"/>
        <w:ind w:left="0"/>
        <w:jc w:val="both"/>
        <w:rPr>
          <w:rFonts w:cstheme="minorHAnsi"/>
          <w:sz w:val="24"/>
          <w:szCs w:val="24"/>
          <w:lang w:val="en-US"/>
        </w:rPr>
      </w:pPr>
      <w:r w:rsidRPr="00EB10B8">
        <w:rPr>
          <w:rFonts w:cstheme="minorHAnsi"/>
          <w:sz w:val="24"/>
          <w:szCs w:val="24"/>
          <w:lang w:val="en-US"/>
        </w:rPr>
        <w:t>Another international instrument for the protection of the right to health is contained in the Additional Protocol to the American Convention on Human Rights in the Area of Economic, Social, and Cultural Rights (Protocol of San Salvador), which stipulates in its article 10:</w:t>
      </w:r>
    </w:p>
    <w:p w14:paraId="19A01494" w14:textId="77777777" w:rsidR="00E94889" w:rsidRDefault="00E94889" w:rsidP="00E94889">
      <w:pPr>
        <w:pStyle w:val="ListParagraph"/>
        <w:spacing w:line="360" w:lineRule="auto"/>
        <w:ind w:left="0"/>
        <w:jc w:val="both"/>
        <w:rPr>
          <w:rFonts w:cstheme="minorHAnsi"/>
          <w:sz w:val="24"/>
          <w:szCs w:val="24"/>
          <w:lang w:val="en-US"/>
        </w:rPr>
      </w:pPr>
    </w:p>
    <w:p w14:paraId="6C043BC8" w14:textId="52069E81" w:rsidR="00EB10B8" w:rsidRDefault="00EB10B8" w:rsidP="00035E3F">
      <w:pPr>
        <w:pStyle w:val="ListParagraph"/>
        <w:spacing w:line="360" w:lineRule="auto"/>
        <w:ind w:left="2268"/>
        <w:jc w:val="both"/>
        <w:rPr>
          <w:rFonts w:cstheme="minorHAnsi"/>
          <w:sz w:val="24"/>
          <w:szCs w:val="24"/>
          <w:lang w:val="en-US"/>
        </w:rPr>
      </w:pPr>
      <w:r>
        <w:rPr>
          <w:rFonts w:cstheme="minorHAnsi"/>
          <w:sz w:val="24"/>
          <w:szCs w:val="24"/>
          <w:lang w:val="en-US"/>
        </w:rPr>
        <w:t xml:space="preserve">“Right to Health. 1. </w:t>
      </w:r>
      <w:r w:rsidRPr="00EB10B8">
        <w:rPr>
          <w:rFonts w:cstheme="minorHAnsi"/>
          <w:b/>
          <w:bCs/>
          <w:sz w:val="24"/>
          <w:szCs w:val="24"/>
          <w:lang w:val="en-US"/>
        </w:rPr>
        <w:t>Everyone shall have the right to health, understood to mean the enjoyment of the highest level of physical, mental and social well-being</w:t>
      </w:r>
      <w:r w:rsidRPr="00EB10B8">
        <w:rPr>
          <w:rFonts w:cstheme="minorHAnsi"/>
          <w:sz w:val="24"/>
          <w:szCs w:val="24"/>
          <w:lang w:val="en-US"/>
        </w:rPr>
        <w:t>.</w:t>
      </w:r>
      <w:r>
        <w:rPr>
          <w:rFonts w:cstheme="minorHAnsi"/>
          <w:sz w:val="24"/>
          <w:szCs w:val="24"/>
          <w:lang w:val="en-US"/>
        </w:rPr>
        <w:t xml:space="preserve"> 2. </w:t>
      </w:r>
      <w:r w:rsidRPr="00EB10B8">
        <w:rPr>
          <w:rFonts w:cstheme="minorHAnsi"/>
          <w:sz w:val="24"/>
          <w:szCs w:val="24"/>
          <w:lang w:val="en-US"/>
        </w:rPr>
        <w:t xml:space="preserve">In order to ensure the </w:t>
      </w:r>
      <w:r w:rsidRPr="00EB10B8">
        <w:rPr>
          <w:rFonts w:cstheme="minorHAnsi"/>
          <w:sz w:val="24"/>
          <w:szCs w:val="24"/>
          <w:lang w:val="en-US"/>
        </w:rPr>
        <w:lastRenderedPageBreak/>
        <w:t>exercise of the right to</w:t>
      </w:r>
      <w:r>
        <w:rPr>
          <w:rFonts w:cstheme="minorHAnsi"/>
          <w:sz w:val="24"/>
          <w:szCs w:val="24"/>
          <w:lang w:val="en-US"/>
        </w:rPr>
        <w:t xml:space="preserve"> </w:t>
      </w:r>
      <w:r w:rsidRPr="00EB10B8">
        <w:rPr>
          <w:rFonts w:cstheme="minorHAnsi"/>
          <w:sz w:val="24"/>
          <w:szCs w:val="24"/>
          <w:lang w:val="en-US"/>
        </w:rPr>
        <w:t xml:space="preserve">health, </w:t>
      </w:r>
      <w:r w:rsidRPr="00EB10B8">
        <w:rPr>
          <w:rFonts w:cstheme="minorHAnsi"/>
          <w:b/>
          <w:bCs/>
          <w:sz w:val="24"/>
          <w:szCs w:val="24"/>
          <w:lang w:val="en-US"/>
        </w:rPr>
        <w:t xml:space="preserve">the States Parties agree to recognize health as a public </w:t>
      </w:r>
      <w:proofErr w:type="gramStart"/>
      <w:r w:rsidRPr="00EB10B8">
        <w:rPr>
          <w:rFonts w:cstheme="minorHAnsi"/>
          <w:b/>
          <w:bCs/>
          <w:sz w:val="24"/>
          <w:szCs w:val="24"/>
          <w:lang w:val="en-US"/>
        </w:rPr>
        <w:t>good</w:t>
      </w:r>
      <w:r>
        <w:rPr>
          <w:rFonts w:cstheme="minorHAnsi"/>
          <w:sz w:val="24"/>
          <w:szCs w:val="24"/>
          <w:lang w:val="en-US"/>
        </w:rPr>
        <w:t>(</w:t>
      </w:r>
      <w:proofErr w:type="gramEnd"/>
      <w:r>
        <w:rPr>
          <w:rFonts w:cstheme="minorHAnsi"/>
          <w:sz w:val="24"/>
          <w:szCs w:val="24"/>
          <w:lang w:val="en-US"/>
        </w:rPr>
        <w:t>…).”</w:t>
      </w:r>
    </w:p>
    <w:p w14:paraId="60A96A04" w14:textId="77777777" w:rsidR="00E94889" w:rsidRPr="00EB10B8" w:rsidRDefault="00E94889" w:rsidP="00035E3F">
      <w:pPr>
        <w:pStyle w:val="ListParagraph"/>
        <w:spacing w:line="360" w:lineRule="auto"/>
        <w:ind w:left="2268"/>
        <w:jc w:val="both"/>
        <w:rPr>
          <w:rFonts w:cstheme="minorHAnsi"/>
          <w:sz w:val="24"/>
          <w:szCs w:val="24"/>
          <w:lang w:val="en-US"/>
        </w:rPr>
      </w:pPr>
    </w:p>
    <w:p w14:paraId="322811CF" w14:textId="16415EC2" w:rsidR="00035E3F" w:rsidRPr="00035E3F" w:rsidRDefault="00035E3F" w:rsidP="00035E3F">
      <w:pPr>
        <w:pStyle w:val="ListParagraph"/>
        <w:numPr>
          <w:ilvl w:val="0"/>
          <w:numId w:val="3"/>
        </w:numPr>
        <w:spacing w:line="360" w:lineRule="auto"/>
        <w:ind w:left="0"/>
        <w:jc w:val="both"/>
        <w:rPr>
          <w:sz w:val="24"/>
          <w:szCs w:val="24"/>
          <w:lang w:val="en-US"/>
        </w:rPr>
      </w:pPr>
      <w:r w:rsidRPr="00035E3F">
        <w:rPr>
          <w:sz w:val="24"/>
          <w:szCs w:val="24"/>
          <w:lang w:val="en-US"/>
        </w:rPr>
        <w:t>The International Committee on Economic, Social, and Cultural Rights, to which this report is presented, also outlines guidelines that States Parties must follow to preserve and enhance the guarantee and protection of the right to health of their citizens.</w:t>
      </w:r>
    </w:p>
    <w:p w14:paraId="464007C4" w14:textId="057C873A" w:rsidR="00035E3F" w:rsidRPr="00035E3F" w:rsidRDefault="00035E3F" w:rsidP="00035E3F">
      <w:pPr>
        <w:pStyle w:val="ListParagraph"/>
        <w:numPr>
          <w:ilvl w:val="0"/>
          <w:numId w:val="3"/>
        </w:numPr>
        <w:spacing w:line="360" w:lineRule="auto"/>
        <w:ind w:left="0"/>
        <w:jc w:val="both"/>
        <w:rPr>
          <w:sz w:val="24"/>
          <w:szCs w:val="24"/>
          <w:lang w:val="en-US"/>
        </w:rPr>
      </w:pPr>
      <w:r w:rsidRPr="00035E3F">
        <w:rPr>
          <w:sz w:val="24"/>
          <w:szCs w:val="24"/>
          <w:lang w:val="en-US"/>
        </w:rPr>
        <w:t>In this regard, the International Covenant on Economic, Social, and Cultural Rights, in its article 12, establishes the same boundaries concerning the right to health as found in the Protocol of San Salvador, reiterating the dimensions of protection and attention that States Parties must have regarding the right to health.</w:t>
      </w:r>
    </w:p>
    <w:p w14:paraId="6DE2E781" w14:textId="604B4FB5" w:rsidR="00D02298" w:rsidRPr="00035E3F" w:rsidRDefault="00035E3F" w:rsidP="00035E3F">
      <w:pPr>
        <w:pStyle w:val="ListParagraph"/>
        <w:numPr>
          <w:ilvl w:val="0"/>
          <w:numId w:val="3"/>
        </w:numPr>
        <w:spacing w:line="360" w:lineRule="auto"/>
        <w:ind w:left="0"/>
        <w:jc w:val="both"/>
        <w:rPr>
          <w:lang w:val="en-US"/>
        </w:rPr>
      </w:pPr>
      <w:r w:rsidRPr="00035E3F">
        <w:rPr>
          <w:sz w:val="24"/>
          <w:szCs w:val="24"/>
          <w:lang w:val="en-US"/>
        </w:rPr>
        <w:t xml:space="preserve">Furthermore, concerning the International Covenant on Economic, Social, and Cultural Rights, the Committee has produced a document providing commentary on the articles contained therein, aiming to provide a more in-depth perspective on its content and objectives. The comments on Article 12, known as "General Comment No. 14 (2000)," define the right to health as an indispensable right for the exercise of all other rights. </w:t>
      </w:r>
    </w:p>
    <w:p w14:paraId="1DF011C4" w14:textId="77777777" w:rsidR="00035E3F" w:rsidRPr="00035E3F" w:rsidRDefault="00035E3F" w:rsidP="00035E3F">
      <w:pPr>
        <w:pStyle w:val="ListParagraph"/>
        <w:numPr>
          <w:ilvl w:val="0"/>
          <w:numId w:val="3"/>
        </w:numPr>
        <w:spacing w:line="360" w:lineRule="auto"/>
        <w:ind w:left="0"/>
        <w:jc w:val="both"/>
        <w:rPr>
          <w:sz w:val="24"/>
          <w:szCs w:val="24"/>
          <w:lang w:val="en-US"/>
        </w:rPr>
      </w:pPr>
      <w:r w:rsidRPr="00035E3F">
        <w:rPr>
          <w:sz w:val="24"/>
          <w:szCs w:val="24"/>
          <w:lang w:val="en-US"/>
        </w:rPr>
        <w:t>Therefore, it is unquestionably evident that there is exemplary concern in the international normative sphere to ensure that health is safeguarded and prioritized within States.</w:t>
      </w:r>
    </w:p>
    <w:p w14:paraId="5C4F7DA8" w14:textId="4545B145" w:rsidR="00035E3F" w:rsidRDefault="00035E3F" w:rsidP="00035E3F">
      <w:pPr>
        <w:pStyle w:val="ListParagraph"/>
        <w:numPr>
          <w:ilvl w:val="0"/>
          <w:numId w:val="3"/>
        </w:numPr>
        <w:spacing w:line="360" w:lineRule="auto"/>
        <w:ind w:left="0"/>
        <w:jc w:val="both"/>
        <w:rPr>
          <w:sz w:val="24"/>
          <w:szCs w:val="24"/>
          <w:lang w:val="en-US"/>
        </w:rPr>
      </w:pPr>
      <w:r w:rsidRPr="00035E3F">
        <w:rPr>
          <w:sz w:val="24"/>
          <w:szCs w:val="24"/>
          <w:lang w:val="en-US"/>
        </w:rPr>
        <w:t>Similarly, Brazilian legislation reinforces this extensive literature of health rights protection through various articles in the 1988 Federal Constitution. Initially, it is expressly stated as a social right, as indicated in Article 6:</w:t>
      </w:r>
    </w:p>
    <w:p w14:paraId="48F32C88" w14:textId="77777777" w:rsidR="00035E3F" w:rsidRDefault="00035E3F" w:rsidP="00035E3F">
      <w:pPr>
        <w:pStyle w:val="ListParagraph"/>
        <w:spacing w:line="360" w:lineRule="auto"/>
        <w:ind w:left="0"/>
        <w:jc w:val="both"/>
        <w:rPr>
          <w:sz w:val="24"/>
          <w:szCs w:val="24"/>
          <w:lang w:val="en-US"/>
        </w:rPr>
      </w:pPr>
    </w:p>
    <w:p w14:paraId="1C64F3EA" w14:textId="70D53D00" w:rsidR="00E94889" w:rsidRDefault="00035E3F" w:rsidP="00E94889">
      <w:pPr>
        <w:pStyle w:val="ListParagraph"/>
        <w:spacing w:line="360" w:lineRule="auto"/>
        <w:ind w:left="2268"/>
        <w:jc w:val="both"/>
        <w:rPr>
          <w:sz w:val="24"/>
          <w:szCs w:val="24"/>
          <w:lang w:val="en-US"/>
        </w:rPr>
      </w:pPr>
      <w:r w:rsidRPr="00035E3F">
        <w:rPr>
          <w:sz w:val="24"/>
          <w:szCs w:val="24"/>
          <w:lang w:val="en-US"/>
        </w:rPr>
        <w:t xml:space="preserve">Article 6: </w:t>
      </w:r>
      <w:r>
        <w:rPr>
          <w:sz w:val="24"/>
          <w:szCs w:val="24"/>
          <w:lang w:val="en-US"/>
        </w:rPr>
        <w:t>“</w:t>
      </w:r>
      <w:r w:rsidRPr="00035E3F">
        <w:rPr>
          <w:sz w:val="24"/>
          <w:szCs w:val="24"/>
          <w:lang w:val="en-US"/>
        </w:rPr>
        <w:t>Social rights include education, health, food, work, housing, transportation, leisure, security, social welfare, protection of motherhood and childhood, assistance to the needy, in accordance with this Constitution.</w:t>
      </w:r>
      <w:r>
        <w:rPr>
          <w:sz w:val="24"/>
          <w:szCs w:val="24"/>
          <w:lang w:val="en-US"/>
        </w:rPr>
        <w:t xml:space="preserve">” (Translated from the Brazilian Constitution). </w:t>
      </w:r>
    </w:p>
    <w:p w14:paraId="64BF4796" w14:textId="77777777" w:rsidR="00E94889" w:rsidRPr="00E94889" w:rsidRDefault="00E94889" w:rsidP="00E94889">
      <w:pPr>
        <w:pStyle w:val="ListParagraph"/>
        <w:spacing w:line="360" w:lineRule="auto"/>
        <w:ind w:left="2268"/>
        <w:jc w:val="both"/>
        <w:rPr>
          <w:sz w:val="24"/>
          <w:szCs w:val="24"/>
          <w:lang w:val="en-US"/>
        </w:rPr>
      </w:pPr>
    </w:p>
    <w:p w14:paraId="47B00555" w14:textId="77777777" w:rsidR="00035E3F" w:rsidRDefault="00035E3F" w:rsidP="00035E3F">
      <w:pPr>
        <w:pStyle w:val="ListParagraph"/>
        <w:numPr>
          <w:ilvl w:val="0"/>
          <w:numId w:val="3"/>
        </w:numPr>
        <w:spacing w:line="360" w:lineRule="auto"/>
        <w:ind w:left="0"/>
        <w:jc w:val="both"/>
        <w:rPr>
          <w:sz w:val="24"/>
          <w:szCs w:val="24"/>
          <w:lang w:val="en-US"/>
        </w:rPr>
      </w:pPr>
      <w:r w:rsidRPr="00035E3F">
        <w:rPr>
          <w:sz w:val="24"/>
          <w:szCs w:val="24"/>
          <w:lang w:val="en-US"/>
        </w:rPr>
        <w:t>Furthermore, the constitutional text recognizes that the right to health is of no use if the right to access healthcare is not provided. Article 196 of the Constitution states:</w:t>
      </w:r>
    </w:p>
    <w:p w14:paraId="47871BD2" w14:textId="77777777" w:rsidR="00E94889" w:rsidRPr="00035E3F" w:rsidRDefault="00E94889" w:rsidP="00E94889">
      <w:pPr>
        <w:pStyle w:val="ListParagraph"/>
        <w:spacing w:line="360" w:lineRule="auto"/>
        <w:ind w:left="0"/>
        <w:jc w:val="both"/>
        <w:rPr>
          <w:sz w:val="24"/>
          <w:szCs w:val="24"/>
          <w:lang w:val="en-US"/>
        </w:rPr>
      </w:pPr>
    </w:p>
    <w:p w14:paraId="46C95C8E" w14:textId="2B70D3A3" w:rsidR="00035E3F" w:rsidRDefault="00035E3F" w:rsidP="00035E3F">
      <w:pPr>
        <w:pStyle w:val="ListParagraph"/>
        <w:spacing w:line="360" w:lineRule="auto"/>
        <w:ind w:left="2268"/>
        <w:jc w:val="both"/>
        <w:rPr>
          <w:sz w:val="24"/>
          <w:szCs w:val="24"/>
          <w:lang w:val="en-US"/>
        </w:rPr>
      </w:pPr>
      <w:r w:rsidRPr="00035E3F">
        <w:rPr>
          <w:sz w:val="24"/>
          <w:szCs w:val="24"/>
          <w:lang w:val="en-US"/>
        </w:rPr>
        <w:lastRenderedPageBreak/>
        <w:t>Article 196</w:t>
      </w:r>
      <w:r>
        <w:rPr>
          <w:sz w:val="24"/>
          <w:szCs w:val="24"/>
          <w:lang w:val="en-US"/>
        </w:rPr>
        <w:t xml:space="preserve">: </w:t>
      </w:r>
      <w:r w:rsidRPr="00035E3F">
        <w:rPr>
          <w:sz w:val="24"/>
          <w:szCs w:val="24"/>
          <w:lang w:val="en-US"/>
        </w:rPr>
        <w:t>"Health is a right of all and a duty of the State, guaranteed through social and economic policies aimed at reducing the risk of illness and other hazards and at providing universal and equal access to actions and services for the promotion, protection, and recovery of health."</w:t>
      </w:r>
      <w:r>
        <w:rPr>
          <w:sz w:val="24"/>
          <w:szCs w:val="24"/>
          <w:lang w:val="en-US"/>
        </w:rPr>
        <w:t xml:space="preserve"> (Translated from the Brazilian Constitution). </w:t>
      </w:r>
    </w:p>
    <w:p w14:paraId="00A4AA2F" w14:textId="77777777" w:rsidR="00E94889" w:rsidRPr="00035E3F" w:rsidRDefault="00E94889" w:rsidP="00035E3F">
      <w:pPr>
        <w:pStyle w:val="ListParagraph"/>
        <w:spacing w:line="360" w:lineRule="auto"/>
        <w:ind w:left="2268"/>
        <w:jc w:val="both"/>
        <w:rPr>
          <w:sz w:val="24"/>
          <w:szCs w:val="24"/>
          <w:lang w:val="en-US"/>
        </w:rPr>
      </w:pPr>
    </w:p>
    <w:p w14:paraId="517DB275" w14:textId="77777777" w:rsidR="00035E3F" w:rsidRPr="00035E3F" w:rsidRDefault="00035E3F" w:rsidP="00035E3F">
      <w:pPr>
        <w:pStyle w:val="ListParagraph"/>
        <w:numPr>
          <w:ilvl w:val="0"/>
          <w:numId w:val="3"/>
        </w:numPr>
        <w:spacing w:line="360" w:lineRule="auto"/>
        <w:jc w:val="both"/>
        <w:rPr>
          <w:sz w:val="24"/>
          <w:szCs w:val="24"/>
          <w:lang w:val="en-US"/>
        </w:rPr>
      </w:pPr>
      <w:r w:rsidRPr="00035E3F">
        <w:rPr>
          <w:sz w:val="24"/>
          <w:szCs w:val="24"/>
          <w:lang w:val="en-US"/>
        </w:rPr>
        <w:t>Thus, it can be asserted that health in Brazil becomes a subjective public right, legally protected. It is the responsibility of the government to formulate and implement social and economic policies capable of ensuring universal and equal access to medical and hospital care.</w:t>
      </w:r>
    </w:p>
    <w:p w14:paraId="47C76258" w14:textId="4CC2063D" w:rsidR="00035E3F" w:rsidRDefault="00035E3F" w:rsidP="00035E3F">
      <w:pPr>
        <w:pStyle w:val="ListParagraph"/>
        <w:numPr>
          <w:ilvl w:val="0"/>
          <w:numId w:val="3"/>
        </w:numPr>
        <w:spacing w:line="360" w:lineRule="auto"/>
        <w:jc w:val="both"/>
        <w:rPr>
          <w:sz w:val="24"/>
          <w:szCs w:val="24"/>
          <w:lang w:val="en-US"/>
        </w:rPr>
      </w:pPr>
      <w:r w:rsidRPr="00035E3F">
        <w:rPr>
          <w:sz w:val="24"/>
          <w:szCs w:val="24"/>
          <w:lang w:val="en-US"/>
        </w:rPr>
        <w:t xml:space="preserve">It is important to remember that, according to Article 23 of the constitutional text, the duties of providing for health, public assistance, and the protection and guarantee of </w:t>
      </w:r>
      <w:r w:rsidR="00ED628C">
        <w:rPr>
          <w:sz w:val="24"/>
          <w:szCs w:val="24"/>
          <w:lang w:val="en-US"/>
        </w:rPr>
        <w:t>people</w:t>
      </w:r>
      <w:r w:rsidRPr="00035E3F">
        <w:rPr>
          <w:sz w:val="24"/>
          <w:szCs w:val="24"/>
          <w:lang w:val="en-US"/>
        </w:rPr>
        <w:t xml:space="preserve"> with disabilities are within the common jurisdiction of the federative entities.</w:t>
      </w:r>
    </w:p>
    <w:p w14:paraId="3088E46F" w14:textId="77777777" w:rsidR="00E94889" w:rsidRPr="00E94889" w:rsidRDefault="00E94889" w:rsidP="00E94889">
      <w:pPr>
        <w:pStyle w:val="ListParagraph"/>
        <w:spacing w:line="360" w:lineRule="auto"/>
        <w:ind w:left="360"/>
        <w:jc w:val="both"/>
        <w:rPr>
          <w:sz w:val="24"/>
          <w:szCs w:val="24"/>
          <w:lang w:val="en-US"/>
        </w:rPr>
      </w:pPr>
    </w:p>
    <w:p w14:paraId="34D834AD" w14:textId="796E49E3" w:rsidR="00D02298" w:rsidRPr="00E94889" w:rsidRDefault="00035E3F" w:rsidP="00E94889">
      <w:pPr>
        <w:spacing w:line="360" w:lineRule="auto"/>
        <w:jc w:val="center"/>
        <w:rPr>
          <w:b/>
          <w:bCs/>
          <w:sz w:val="24"/>
          <w:szCs w:val="24"/>
          <w:lang w:val="en-US"/>
        </w:rPr>
      </w:pPr>
      <w:r w:rsidRPr="00035E3F">
        <w:rPr>
          <w:b/>
          <w:bCs/>
          <w:sz w:val="24"/>
          <w:szCs w:val="24"/>
          <w:lang w:val="en-US"/>
        </w:rPr>
        <w:t>B. VIOLATION OF THE RIGHT TO HEALTH IN THE BRUMADINHO ACCIDENT - MINAS GERAIS, BRAZIL</w:t>
      </w:r>
    </w:p>
    <w:p w14:paraId="6569B194" w14:textId="77777777" w:rsidR="00D02298" w:rsidRPr="00D02298" w:rsidRDefault="00D02298" w:rsidP="00D02298">
      <w:pPr>
        <w:rPr>
          <w:lang w:val="en-US"/>
        </w:rPr>
      </w:pPr>
    </w:p>
    <w:p w14:paraId="04C9C883" w14:textId="7FF4282E" w:rsidR="00ED628C" w:rsidRPr="00ED628C" w:rsidRDefault="00ED628C" w:rsidP="00ED628C">
      <w:pPr>
        <w:pStyle w:val="ListParagraph"/>
        <w:numPr>
          <w:ilvl w:val="0"/>
          <w:numId w:val="3"/>
        </w:numPr>
        <w:spacing w:line="360" w:lineRule="auto"/>
        <w:ind w:left="0"/>
        <w:jc w:val="both"/>
        <w:rPr>
          <w:sz w:val="24"/>
          <w:szCs w:val="24"/>
          <w:lang w:val="en-US"/>
        </w:rPr>
      </w:pPr>
      <w:r w:rsidRPr="00ED628C">
        <w:rPr>
          <w:sz w:val="24"/>
          <w:szCs w:val="24"/>
          <w:lang w:val="en-US"/>
        </w:rPr>
        <w:t xml:space="preserve">On January 25, 2019, a dam owned by the mining company Vale collapsed in </w:t>
      </w:r>
      <w:proofErr w:type="spellStart"/>
      <w:r w:rsidRPr="00ED628C">
        <w:rPr>
          <w:sz w:val="24"/>
          <w:szCs w:val="24"/>
          <w:lang w:val="en-US"/>
        </w:rPr>
        <w:t>Brumadinho</w:t>
      </w:r>
      <w:proofErr w:type="spellEnd"/>
      <w:r w:rsidRPr="00ED628C">
        <w:rPr>
          <w:sz w:val="24"/>
          <w:szCs w:val="24"/>
          <w:lang w:val="en-US"/>
        </w:rPr>
        <w:t xml:space="preserve">, in the Metropolitan Region of Belo Horizonte. This accident resulted in 270 fatalities, as well as missing </w:t>
      </w:r>
      <w:r>
        <w:rPr>
          <w:sz w:val="24"/>
          <w:szCs w:val="24"/>
          <w:lang w:val="en-US"/>
        </w:rPr>
        <w:t>people</w:t>
      </w:r>
      <w:r w:rsidRPr="00ED628C">
        <w:rPr>
          <w:sz w:val="24"/>
          <w:szCs w:val="24"/>
          <w:lang w:val="en-US"/>
        </w:rPr>
        <w:t>, injuries, and their respective families, and it caused a series of economic, social, and environmental damages.</w:t>
      </w:r>
    </w:p>
    <w:p w14:paraId="4C1DEEAE" w14:textId="77777777" w:rsidR="00ED628C" w:rsidRPr="00ED628C" w:rsidRDefault="00ED628C" w:rsidP="00ED628C">
      <w:pPr>
        <w:pStyle w:val="ListParagraph"/>
        <w:numPr>
          <w:ilvl w:val="0"/>
          <w:numId w:val="3"/>
        </w:numPr>
        <w:spacing w:line="360" w:lineRule="auto"/>
        <w:ind w:left="0"/>
        <w:jc w:val="both"/>
        <w:rPr>
          <w:sz w:val="24"/>
          <w:szCs w:val="24"/>
          <w:lang w:val="en-US"/>
        </w:rPr>
      </w:pPr>
      <w:r w:rsidRPr="00ED628C">
        <w:rPr>
          <w:sz w:val="24"/>
          <w:szCs w:val="24"/>
          <w:lang w:val="en-US"/>
        </w:rPr>
        <w:t xml:space="preserve">The negligence leading to a catastrophic disaster like the one in </w:t>
      </w:r>
      <w:proofErr w:type="spellStart"/>
      <w:r w:rsidRPr="00ED628C">
        <w:rPr>
          <w:sz w:val="24"/>
          <w:szCs w:val="24"/>
          <w:lang w:val="en-US"/>
        </w:rPr>
        <w:t>Brumadinho</w:t>
      </w:r>
      <w:proofErr w:type="spellEnd"/>
      <w:r w:rsidRPr="00ED628C">
        <w:rPr>
          <w:sz w:val="24"/>
          <w:szCs w:val="24"/>
          <w:lang w:val="en-US"/>
        </w:rPr>
        <w:t xml:space="preserve"> constitutes an ongoing violation of the right to health for those directly or indirectly affected by the dam collapse.</w:t>
      </w:r>
    </w:p>
    <w:p w14:paraId="335A5FAE" w14:textId="77777777" w:rsidR="00ED628C" w:rsidRPr="00ED628C" w:rsidRDefault="00ED628C" w:rsidP="00ED628C">
      <w:pPr>
        <w:pStyle w:val="ListParagraph"/>
        <w:numPr>
          <w:ilvl w:val="0"/>
          <w:numId w:val="3"/>
        </w:numPr>
        <w:spacing w:line="360" w:lineRule="auto"/>
        <w:ind w:left="0"/>
        <w:jc w:val="both"/>
        <w:rPr>
          <w:sz w:val="24"/>
          <w:szCs w:val="24"/>
          <w:lang w:val="en-US"/>
        </w:rPr>
      </w:pPr>
      <w:r w:rsidRPr="00ED628C">
        <w:rPr>
          <w:sz w:val="24"/>
          <w:szCs w:val="24"/>
          <w:lang w:val="en-US"/>
        </w:rPr>
        <w:t xml:space="preserve">In response to this situation, a study was conducted by researchers from </w:t>
      </w:r>
      <w:proofErr w:type="spellStart"/>
      <w:r w:rsidRPr="00ED628C">
        <w:rPr>
          <w:sz w:val="24"/>
          <w:szCs w:val="24"/>
          <w:lang w:val="en-US"/>
        </w:rPr>
        <w:t>Fiocruz</w:t>
      </w:r>
      <w:proofErr w:type="spellEnd"/>
      <w:r w:rsidRPr="00ED628C">
        <w:rPr>
          <w:sz w:val="24"/>
          <w:szCs w:val="24"/>
          <w:lang w:val="en-US"/>
        </w:rPr>
        <w:t xml:space="preserve"> Minas and the Federal University of Rio de Janeiro (UFRJ), which assesses the living conditions, health, and employment status, as well as the healthcare needs, of the population of </w:t>
      </w:r>
      <w:proofErr w:type="spellStart"/>
      <w:r w:rsidRPr="00ED628C">
        <w:rPr>
          <w:sz w:val="24"/>
          <w:szCs w:val="24"/>
          <w:lang w:val="en-US"/>
        </w:rPr>
        <w:t>Brumadinho</w:t>
      </w:r>
      <w:proofErr w:type="spellEnd"/>
      <w:r w:rsidRPr="00ED628C">
        <w:rPr>
          <w:sz w:val="24"/>
          <w:szCs w:val="24"/>
          <w:lang w:val="en-US"/>
        </w:rPr>
        <w:t xml:space="preserve"> following the disaster caused by the rupture of Vale mining company's dam in January 2019.</w:t>
      </w:r>
    </w:p>
    <w:p w14:paraId="2457960A" w14:textId="77777777" w:rsidR="00ED628C" w:rsidRPr="00ED628C" w:rsidRDefault="00ED628C" w:rsidP="00ED628C">
      <w:pPr>
        <w:pStyle w:val="ListParagraph"/>
        <w:numPr>
          <w:ilvl w:val="0"/>
          <w:numId w:val="3"/>
        </w:numPr>
        <w:spacing w:line="360" w:lineRule="auto"/>
        <w:ind w:left="0"/>
        <w:jc w:val="both"/>
        <w:rPr>
          <w:sz w:val="24"/>
          <w:szCs w:val="24"/>
          <w:lang w:val="en-US"/>
        </w:rPr>
      </w:pPr>
      <w:r w:rsidRPr="00ED628C">
        <w:rPr>
          <w:sz w:val="24"/>
          <w:szCs w:val="24"/>
          <w:lang w:val="en-US"/>
        </w:rPr>
        <w:lastRenderedPageBreak/>
        <w:t>Among the collected data, it's worth noting the increase in respiratory diseases. Regarding this issue:</w:t>
      </w:r>
    </w:p>
    <w:p w14:paraId="4F23B60E" w14:textId="281269E7" w:rsidR="00ED628C" w:rsidRPr="00ED628C" w:rsidRDefault="00ED628C" w:rsidP="00ED628C">
      <w:pPr>
        <w:spacing w:line="240" w:lineRule="auto"/>
        <w:ind w:left="2268"/>
        <w:jc w:val="both"/>
        <w:rPr>
          <w:sz w:val="24"/>
          <w:szCs w:val="24"/>
          <w:lang w:val="en-US"/>
        </w:rPr>
      </w:pPr>
      <w:r w:rsidRPr="00ED628C">
        <w:rPr>
          <w:sz w:val="24"/>
          <w:szCs w:val="24"/>
          <w:lang w:val="en-US"/>
        </w:rPr>
        <w:t xml:space="preserve">"Another point analyzed concerns the health conditions of the population, based on prior medical diagnoses and the participants' own perceptions. In this aspect, attention is drawn to references to respiratory problems. Among adolescents, when asked if they had ever received medical diagnoses of chronic diseases, the most frequent responses were asthma or asthmatic bronchitis, mentioned by 12.3% of those interviewed. </w:t>
      </w:r>
      <w:r w:rsidRPr="00ED628C">
        <w:rPr>
          <w:b/>
          <w:bCs/>
          <w:sz w:val="24"/>
          <w:szCs w:val="24"/>
          <w:lang w:val="en-US"/>
        </w:rPr>
        <w:t xml:space="preserve">However, this percentage is higher among residents of certain regions, reaching 23.8% among residents of Parque da Cachoeira and 17.1% among those living in </w:t>
      </w:r>
      <w:proofErr w:type="spellStart"/>
      <w:r w:rsidRPr="00ED628C">
        <w:rPr>
          <w:b/>
          <w:bCs/>
          <w:sz w:val="24"/>
          <w:szCs w:val="24"/>
          <w:lang w:val="en-US"/>
        </w:rPr>
        <w:t>Córrego</w:t>
      </w:r>
      <w:proofErr w:type="spellEnd"/>
      <w:r w:rsidRPr="00ED628C">
        <w:rPr>
          <w:b/>
          <w:bCs/>
          <w:sz w:val="24"/>
          <w:szCs w:val="24"/>
          <w:lang w:val="en-US"/>
        </w:rPr>
        <w:t xml:space="preserve"> do </w:t>
      </w:r>
      <w:proofErr w:type="spellStart"/>
      <w:r w:rsidRPr="00ED628C">
        <w:rPr>
          <w:b/>
          <w:bCs/>
          <w:sz w:val="24"/>
          <w:szCs w:val="24"/>
          <w:lang w:val="en-US"/>
        </w:rPr>
        <w:t>Feijão</w:t>
      </w:r>
      <w:proofErr w:type="spellEnd"/>
      <w:r w:rsidRPr="00ED628C">
        <w:rPr>
          <w:b/>
          <w:bCs/>
          <w:sz w:val="24"/>
          <w:szCs w:val="24"/>
          <w:lang w:val="en-US"/>
        </w:rPr>
        <w:t xml:space="preserve">, areas directly exposed to the dam breach of tailings. Pneumonia was cited by 10.9% of adolescents, but among those living in Pires, a region bordered by the </w:t>
      </w:r>
      <w:proofErr w:type="spellStart"/>
      <w:r w:rsidRPr="00ED628C">
        <w:rPr>
          <w:b/>
          <w:bCs/>
          <w:sz w:val="24"/>
          <w:szCs w:val="24"/>
          <w:lang w:val="en-US"/>
        </w:rPr>
        <w:t>Paraopeba</w:t>
      </w:r>
      <w:proofErr w:type="spellEnd"/>
      <w:r w:rsidRPr="00ED628C">
        <w:rPr>
          <w:b/>
          <w:bCs/>
          <w:sz w:val="24"/>
          <w:szCs w:val="24"/>
          <w:lang w:val="en-US"/>
        </w:rPr>
        <w:t xml:space="preserve"> River that was affected by the mudflow, this percentage was 16.7%.</w:t>
      </w:r>
      <w:r w:rsidRPr="00ED628C">
        <w:rPr>
          <w:sz w:val="24"/>
          <w:szCs w:val="24"/>
          <w:lang w:val="en-US"/>
        </w:rPr>
        <w:t>"</w:t>
      </w:r>
      <w:r>
        <w:rPr>
          <w:rStyle w:val="FootnoteReference"/>
          <w:sz w:val="24"/>
          <w:szCs w:val="24"/>
          <w:lang w:val="en-US"/>
        </w:rPr>
        <w:footnoteReference w:id="1"/>
      </w:r>
    </w:p>
    <w:p w14:paraId="24769C12" w14:textId="77777777" w:rsidR="00ED628C" w:rsidRPr="00ED628C" w:rsidRDefault="00ED628C" w:rsidP="00ED628C">
      <w:pPr>
        <w:pStyle w:val="ListParagraph"/>
        <w:numPr>
          <w:ilvl w:val="0"/>
          <w:numId w:val="3"/>
        </w:numPr>
        <w:spacing w:line="360" w:lineRule="auto"/>
        <w:ind w:left="0"/>
        <w:jc w:val="both"/>
        <w:rPr>
          <w:sz w:val="24"/>
          <w:szCs w:val="24"/>
          <w:lang w:val="en-US"/>
        </w:rPr>
      </w:pPr>
      <w:r w:rsidRPr="00ED628C">
        <w:rPr>
          <w:sz w:val="24"/>
          <w:szCs w:val="24"/>
          <w:lang w:val="en-US"/>
        </w:rPr>
        <w:t>The brutality of the accident underscores the urgency of adopting policies that protect the health of this severely affected group. In this regard, a framework of protection is presented that goes beyond the supervisory approach, which aims to maintain the provision of healthcare, and enters a scenario that requires action. The State, in this way, takes on the role of a guarantor, with the obligation to act to prevent such a fundamental right from being further violated.</w:t>
      </w:r>
    </w:p>
    <w:p w14:paraId="754E11C9" w14:textId="77777777" w:rsidR="00ED628C" w:rsidRPr="00ED628C" w:rsidRDefault="00ED628C" w:rsidP="00ED628C">
      <w:pPr>
        <w:pStyle w:val="ListParagraph"/>
        <w:numPr>
          <w:ilvl w:val="0"/>
          <w:numId w:val="3"/>
        </w:numPr>
        <w:spacing w:line="360" w:lineRule="auto"/>
        <w:ind w:left="0"/>
        <w:jc w:val="both"/>
        <w:rPr>
          <w:sz w:val="24"/>
          <w:szCs w:val="24"/>
          <w:lang w:val="en-US"/>
        </w:rPr>
      </w:pPr>
      <w:r w:rsidRPr="00ED628C">
        <w:rPr>
          <w:sz w:val="24"/>
          <w:szCs w:val="24"/>
          <w:lang w:val="en-US"/>
        </w:rPr>
        <w:t xml:space="preserve">Sérgio Peixoto, a researcher at </w:t>
      </w:r>
      <w:proofErr w:type="spellStart"/>
      <w:r w:rsidRPr="00ED628C">
        <w:rPr>
          <w:sz w:val="24"/>
          <w:szCs w:val="24"/>
          <w:lang w:val="en-US"/>
        </w:rPr>
        <w:t>Fiocruz</w:t>
      </w:r>
      <w:proofErr w:type="spellEnd"/>
      <w:r w:rsidRPr="00ED628C">
        <w:rPr>
          <w:sz w:val="24"/>
          <w:szCs w:val="24"/>
          <w:lang w:val="en-US"/>
        </w:rPr>
        <w:t xml:space="preserve"> Minas and the general coordinator of the research, also commented on the topic:</w:t>
      </w:r>
    </w:p>
    <w:p w14:paraId="381F8068" w14:textId="03AC9FE5" w:rsidR="00ED628C" w:rsidRDefault="00ED628C" w:rsidP="00ED628C">
      <w:pPr>
        <w:pStyle w:val="ListParagraph"/>
        <w:spacing w:line="240" w:lineRule="auto"/>
        <w:ind w:left="2268"/>
        <w:jc w:val="both"/>
        <w:rPr>
          <w:sz w:val="24"/>
          <w:szCs w:val="24"/>
          <w:lang w:val="en-US"/>
        </w:rPr>
      </w:pPr>
      <w:r w:rsidRPr="00ED628C">
        <w:rPr>
          <w:sz w:val="24"/>
          <w:szCs w:val="24"/>
          <w:lang w:val="en-US"/>
        </w:rPr>
        <w:t xml:space="preserve">"The results regarding medical diagnoses of chronic diseases, as well as signs and symptoms, demonstrate a high burden of these conditions for the population of </w:t>
      </w:r>
      <w:proofErr w:type="spellStart"/>
      <w:r w:rsidRPr="00ED628C">
        <w:rPr>
          <w:sz w:val="24"/>
          <w:szCs w:val="24"/>
          <w:lang w:val="en-US"/>
        </w:rPr>
        <w:t>Brumadinho</w:t>
      </w:r>
      <w:proofErr w:type="spellEnd"/>
      <w:r w:rsidRPr="00ED628C">
        <w:rPr>
          <w:sz w:val="24"/>
          <w:szCs w:val="24"/>
          <w:lang w:val="en-US"/>
        </w:rPr>
        <w:t>, which may lead to increased demand for healthcare services. Therefore, it is important to implement actions to monitor cardiovascular risk factors and respiratory diseases, as well as health promotion initiatives. The results also highlight the need for a closer look at regions with higher percentages of these health issues, which may be related to environmental conditions, such as water and air quality, and require further investigation."</w:t>
      </w:r>
      <w:r>
        <w:rPr>
          <w:sz w:val="24"/>
          <w:szCs w:val="24"/>
          <w:lang w:val="en-US"/>
        </w:rPr>
        <w:t xml:space="preserve"> (Translated from his original interview in Portuguese). </w:t>
      </w:r>
    </w:p>
    <w:p w14:paraId="68603814" w14:textId="77777777" w:rsidR="00ED628C" w:rsidRPr="00ED628C" w:rsidRDefault="00ED628C" w:rsidP="00ED628C">
      <w:pPr>
        <w:pStyle w:val="ListParagraph"/>
        <w:spacing w:line="240" w:lineRule="auto"/>
        <w:ind w:left="2268"/>
        <w:jc w:val="both"/>
        <w:rPr>
          <w:sz w:val="24"/>
          <w:szCs w:val="24"/>
          <w:lang w:val="en-US"/>
        </w:rPr>
      </w:pPr>
    </w:p>
    <w:p w14:paraId="4D96686B" w14:textId="77777777" w:rsidR="00ED628C" w:rsidRPr="00ED628C" w:rsidRDefault="00ED628C" w:rsidP="00ED628C">
      <w:pPr>
        <w:pStyle w:val="ListParagraph"/>
        <w:numPr>
          <w:ilvl w:val="0"/>
          <w:numId w:val="3"/>
        </w:numPr>
        <w:spacing w:line="360" w:lineRule="auto"/>
        <w:ind w:left="0"/>
        <w:jc w:val="both"/>
        <w:rPr>
          <w:sz w:val="24"/>
          <w:szCs w:val="24"/>
          <w:lang w:val="en-US"/>
        </w:rPr>
      </w:pPr>
      <w:r w:rsidRPr="00ED628C">
        <w:rPr>
          <w:sz w:val="24"/>
          <w:szCs w:val="24"/>
          <w:lang w:val="en-US"/>
        </w:rPr>
        <w:t xml:space="preserve">Additionally, the direct impacts on the physical health of those affected by the accident are mentioned, and it's important to also consider the demands for mental health </w:t>
      </w:r>
      <w:r w:rsidRPr="00ED628C">
        <w:rPr>
          <w:sz w:val="24"/>
          <w:szCs w:val="24"/>
          <w:lang w:val="en-US"/>
        </w:rPr>
        <w:lastRenderedPageBreak/>
        <w:t>services, as well as the need to expand and improve the city's medical and hospital assistance infrastructure.</w:t>
      </w:r>
    </w:p>
    <w:p w14:paraId="1F202D1B" w14:textId="3A64686E" w:rsidR="00ED628C" w:rsidRPr="00ED628C" w:rsidRDefault="00ED628C" w:rsidP="00ED628C">
      <w:pPr>
        <w:pStyle w:val="ListParagraph"/>
        <w:numPr>
          <w:ilvl w:val="0"/>
          <w:numId w:val="3"/>
        </w:numPr>
        <w:spacing w:line="360" w:lineRule="auto"/>
        <w:ind w:left="0"/>
        <w:jc w:val="both"/>
        <w:rPr>
          <w:sz w:val="24"/>
          <w:szCs w:val="24"/>
          <w:lang w:val="en-US"/>
        </w:rPr>
      </w:pPr>
      <w:r w:rsidRPr="00ED628C">
        <w:rPr>
          <w:sz w:val="24"/>
          <w:szCs w:val="24"/>
          <w:lang w:val="en-US"/>
        </w:rPr>
        <w:t xml:space="preserve">The role of the State in this scenario is crucial, emphasizing that it is the responsibility of the government to formulate and implement social and economic policies capable of ensuring access to medical and hospital care. In this sense, because it has a programmatic nature, the recipients are all political entities, and it cannot be turned into an institutional promise, as it would constitute a breach of constitutional precepts. As mentioned earlier, Article 23 of the Federal Constitution determines that taking care of health and public assistance, protecting, and guaranteeing the rights of </w:t>
      </w:r>
      <w:r>
        <w:rPr>
          <w:sz w:val="24"/>
          <w:szCs w:val="24"/>
          <w:lang w:val="en-US"/>
        </w:rPr>
        <w:t>people</w:t>
      </w:r>
      <w:r w:rsidRPr="00ED628C">
        <w:rPr>
          <w:sz w:val="24"/>
          <w:szCs w:val="24"/>
          <w:lang w:val="en-US"/>
        </w:rPr>
        <w:t xml:space="preserve"> with disabilities are the common responsibilities of federative entities. Therefore, even though the tragedy is localized, cooperation among the federative entities is required.</w:t>
      </w:r>
    </w:p>
    <w:p w14:paraId="6CA5D8B1" w14:textId="306F2626" w:rsidR="00085878" w:rsidRDefault="00ED628C" w:rsidP="00ED628C">
      <w:pPr>
        <w:pStyle w:val="ListParagraph"/>
        <w:numPr>
          <w:ilvl w:val="0"/>
          <w:numId w:val="3"/>
        </w:numPr>
        <w:spacing w:line="360" w:lineRule="auto"/>
        <w:ind w:left="0"/>
        <w:jc w:val="both"/>
        <w:rPr>
          <w:sz w:val="24"/>
          <w:szCs w:val="24"/>
          <w:lang w:val="en-US"/>
        </w:rPr>
      </w:pPr>
      <w:r w:rsidRPr="00ED628C">
        <w:rPr>
          <w:sz w:val="24"/>
          <w:szCs w:val="24"/>
          <w:lang w:val="en-US"/>
        </w:rPr>
        <w:t xml:space="preserve">In the case of </w:t>
      </w:r>
      <w:proofErr w:type="spellStart"/>
      <w:r w:rsidRPr="00ED628C">
        <w:rPr>
          <w:sz w:val="24"/>
          <w:szCs w:val="24"/>
          <w:lang w:val="en-US"/>
        </w:rPr>
        <w:t>Brumadinho</w:t>
      </w:r>
      <w:proofErr w:type="spellEnd"/>
      <w:r w:rsidRPr="00ED628C">
        <w:rPr>
          <w:sz w:val="24"/>
          <w:szCs w:val="24"/>
          <w:lang w:val="en-US"/>
        </w:rPr>
        <w:t xml:space="preserve">, however, it is understood that the essential participation of the Vale </w:t>
      </w:r>
      <w:proofErr w:type="gramStart"/>
      <w:r w:rsidRPr="00ED628C">
        <w:rPr>
          <w:sz w:val="24"/>
          <w:szCs w:val="24"/>
          <w:lang w:val="en-US"/>
        </w:rPr>
        <w:t>do</w:t>
      </w:r>
      <w:proofErr w:type="gramEnd"/>
      <w:r w:rsidRPr="00ED628C">
        <w:rPr>
          <w:sz w:val="24"/>
          <w:szCs w:val="24"/>
          <w:lang w:val="en-US"/>
        </w:rPr>
        <w:t xml:space="preserve"> Rio </w:t>
      </w:r>
      <w:proofErr w:type="spellStart"/>
      <w:r w:rsidRPr="00ED628C">
        <w:rPr>
          <w:sz w:val="24"/>
          <w:szCs w:val="24"/>
          <w:lang w:val="en-US"/>
        </w:rPr>
        <w:t>Doce</w:t>
      </w:r>
      <w:proofErr w:type="spellEnd"/>
      <w:r w:rsidRPr="00ED628C">
        <w:rPr>
          <w:sz w:val="24"/>
          <w:szCs w:val="24"/>
          <w:lang w:val="en-US"/>
        </w:rPr>
        <w:t xml:space="preserve"> company is required. The company has a role in providing reparations to those affected and directing resources for improvements in the health of the affected area as a means of compensation.</w:t>
      </w:r>
    </w:p>
    <w:p w14:paraId="77490A0F" w14:textId="77777777" w:rsidR="00ED628C" w:rsidRDefault="00ED628C" w:rsidP="00ED628C">
      <w:pPr>
        <w:pStyle w:val="ListParagraph"/>
        <w:spacing w:line="360" w:lineRule="auto"/>
        <w:ind w:left="0"/>
        <w:jc w:val="both"/>
        <w:rPr>
          <w:sz w:val="24"/>
          <w:szCs w:val="24"/>
          <w:lang w:val="en-US"/>
        </w:rPr>
      </w:pPr>
    </w:p>
    <w:p w14:paraId="3DAAB6A7" w14:textId="1FEFE835" w:rsidR="00ED628C" w:rsidRDefault="00ED628C" w:rsidP="008F4A4B">
      <w:pPr>
        <w:pStyle w:val="ListParagraph"/>
        <w:spacing w:line="360" w:lineRule="auto"/>
        <w:ind w:left="0"/>
        <w:jc w:val="center"/>
        <w:rPr>
          <w:b/>
          <w:bCs/>
          <w:sz w:val="24"/>
          <w:szCs w:val="24"/>
          <w:lang w:val="en-US"/>
        </w:rPr>
      </w:pPr>
      <w:r w:rsidRPr="008F4A4B">
        <w:rPr>
          <w:b/>
          <w:bCs/>
          <w:sz w:val="24"/>
          <w:szCs w:val="24"/>
          <w:lang w:val="en-US"/>
        </w:rPr>
        <w:t xml:space="preserve">C. </w:t>
      </w:r>
      <w:r w:rsidR="008F4A4B" w:rsidRPr="008F4A4B">
        <w:rPr>
          <w:b/>
          <w:bCs/>
          <w:sz w:val="24"/>
          <w:szCs w:val="24"/>
          <w:lang w:val="en-US"/>
        </w:rPr>
        <w:t>THE MEASURE OF REPARATION FOR HEALTHCARE ASSISTANCE</w:t>
      </w:r>
    </w:p>
    <w:p w14:paraId="57781F41" w14:textId="77777777" w:rsidR="009C72CC" w:rsidRDefault="009C72CC" w:rsidP="008F4A4B">
      <w:pPr>
        <w:pStyle w:val="ListParagraph"/>
        <w:spacing w:line="360" w:lineRule="auto"/>
        <w:ind w:left="0"/>
        <w:jc w:val="center"/>
        <w:rPr>
          <w:b/>
          <w:bCs/>
          <w:sz w:val="24"/>
          <w:szCs w:val="24"/>
          <w:lang w:val="en-US"/>
        </w:rPr>
      </w:pPr>
    </w:p>
    <w:p w14:paraId="56C160D1" w14:textId="77777777" w:rsidR="008F4A4B" w:rsidRDefault="008F4A4B" w:rsidP="008F4A4B">
      <w:pPr>
        <w:pStyle w:val="ListParagraph"/>
        <w:numPr>
          <w:ilvl w:val="0"/>
          <w:numId w:val="7"/>
        </w:numPr>
        <w:tabs>
          <w:tab w:val="clear" w:pos="360"/>
          <w:tab w:val="num" w:pos="0"/>
        </w:tabs>
        <w:spacing w:line="360" w:lineRule="auto"/>
        <w:ind w:left="0"/>
        <w:rPr>
          <w:sz w:val="24"/>
          <w:szCs w:val="24"/>
          <w:lang w:val="en-US"/>
        </w:rPr>
      </w:pPr>
      <w:r w:rsidRPr="008F4A4B">
        <w:rPr>
          <w:sz w:val="24"/>
          <w:szCs w:val="24"/>
          <w:lang w:val="en-US"/>
        </w:rPr>
        <w:t>Human rights are universal and must be respected by all, whether individuals or legal entities. The field of human rights has evolved since its inception to adapt and respond to the new demands of modern societies. In this regard, the classic idea that human rights impose obligations to protect, respect, and promote them on states has been expanded to include the obligations of companies to do the same.</w:t>
      </w:r>
    </w:p>
    <w:p w14:paraId="75825BC5" w14:textId="77777777" w:rsidR="008F4A4B" w:rsidRDefault="008F4A4B" w:rsidP="008F4A4B">
      <w:pPr>
        <w:pStyle w:val="ListParagraph"/>
        <w:numPr>
          <w:ilvl w:val="0"/>
          <w:numId w:val="7"/>
        </w:numPr>
        <w:tabs>
          <w:tab w:val="clear" w:pos="360"/>
          <w:tab w:val="num" w:pos="0"/>
        </w:tabs>
        <w:spacing w:line="360" w:lineRule="auto"/>
        <w:ind w:left="0"/>
        <w:rPr>
          <w:sz w:val="24"/>
          <w:szCs w:val="24"/>
          <w:lang w:val="en-US"/>
        </w:rPr>
      </w:pPr>
      <w:r w:rsidRPr="008F4A4B">
        <w:rPr>
          <w:sz w:val="24"/>
          <w:szCs w:val="24"/>
          <w:lang w:val="en-US"/>
        </w:rPr>
        <w:t>Human rights are universal, interdependent, and indivisible, and they should be guaranteed for all and respected by all, thereby generating obligations for all those with the capacity to affect and interfere with them. Especially in light of the increasing scope and influence that large multinational companies have gained in the global context, these entities have come to be understood as international actors that should be integrated into the framework of rights and duties of international law, including with respect to human rights.</w:t>
      </w:r>
    </w:p>
    <w:p w14:paraId="3CB91D3B" w14:textId="2CE8AEB0" w:rsidR="008F4A4B" w:rsidRPr="008F4A4B" w:rsidRDefault="008F4A4B" w:rsidP="008F4A4B">
      <w:pPr>
        <w:pStyle w:val="ListParagraph"/>
        <w:numPr>
          <w:ilvl w:val="0"/>
          <w:numId w:val="7"/>
        </w:numPr>
        <w:tabs>
          <w:tab w:val="clear" w:pos="360"/>
          <w:tab w:val="num" w:pos="0"/>
        </w:tabs>
        <w:spacing w:line="360" w:lineRule="auto"/>
        <w:ind w:left="0"/>
        <w:rPr>
          <w:sz w:val="24"/>
          <w:szCs w:val="24"/>
          <w:lang w:val="en-US"/>
        </w:rPr>
      </w:pPr>
      <w:r w:rsidRPr="008F4A4B">
        <w:rPr>
          <w:sz w:val="24"/>
          <w:szCs w:val="24"/>
          <w:lang w:val="en-US"/>
        </w:rPr>
        <w:t>In this context, the United Nations presented the Guiding Principles on Business and Human Rights in 2011, which established the following principle:</w:t>
      </w:r>
    </w:p>
    <w:p w14:paraId="6FBBCF1A" w14:textId="10C4F2F0" w:rsidR="008F4A4B" w:rsidRDefault="008F4A4B" w:rsidP="008F4A4B">
      <w:pPr>
        <w:pStyle w:val="ListParagraph"/>
        <w:spacing w:line="360" w:lineRule="auto"/>
        <w:ind w:left="2268"/>
        <w:jc w:val="both"/>
        <w:rPr>
          <w:sz w:val="24"/>
          <w:szCs w:val="24"/>
          <w:lang w:val="en-US"/>
        </w:rPr>
      </w:pPr>
      <w:r>
        <w:rPr>
          <w:sz w:val="24"/>
          <w:szCs w:val="24"/>
          <w:lang w:val="en-US"/>
        </w:rPr>
        <w:lastRenderedPageBreak/>
        <w:t>“</w:t>
      </w:r>
      <w:r w:rsidRPr="008F4A4B">
        <w:rPr>
          <w:sz w:val="24"/>
          <w:szCs w:val="24"/>
          <w:lang w:val="en-US"/>
        </w:rPr>
        <w:t>11. Business enterprises should respect human rights. This means that they should avoid infringing on the human rights of others and should address adverse human rights impacts with which they are involved</w:t>
      </w:r>
      <w:r>
        <w:rPr>
          <w:sz w:val="24"/>
          <w:szCs w:val="24"/>
          <w:lang w:val="en-US"/>
        </w:rPr>
        <w:t>.”</w:t>
      </w:r>
    </w:p>
    <w:p w14:paraId="0FFF8AEF" w14:textId="77777777" w:rsidR="008F4A4B" w:rsidRDefault="008F4A4B" w:rsidP="008F4A4B">
      <w:pPr>
        <w:pStyle w:val="ListParagraph"/>
        <w:numPr>
          <w:ilvl w:val="0"/>
          <w:numId w:val="7"/>
        </w:numPr>
        <w:tabs>
          <w:tab w:val="clear" w:pos="360"/>
          <w:tab w:val="num" w:pos="0"/>
        </w:tabs>
        <w:spacing w:line="360" w:lineRule="auto"/>
        <w:ind w:left="0"/>
        <w:jc w:val="both"/>
        <w:rPr>
          <w:sz w:val="24"/>
          <w:szCs w:val="24"/>
          <w:lang w:val="en-US"/>
        </w:rPr>
      </w:pPr>
      <w:r w:rsidRPr="008F4A4B">
        <w:rPr>
          <w:sz w:val="24"/>
          <w:szCs w:val="24"/>
          <w:lang w:val="en-US"/>
        </w:rPr>
        <w:t>Therefore, companies have an obligation to respect human rights and fundamental rights as established in international and national instruments. Furthermore, it is the role of the State to oversee and monitor compliance with this obligation by companies, as the primary debtor of human rights obligations.</w:t>
      </w:r>
    </w:p>
    <w:p w14:paraId="306F117F" w14:textId="77777777" w:rsidR="008F4A4B" w:rsidRDefault="008F4A4B" w:rsidP="008F4A4B">
      <w:pPr>
        <w:pStyle w:val="ListParagraph"/>
        <w:numPr>
          <w:ilvl w:val="0"/>
          <w:numId w:val="7"/>
        </w:numPr>
        <w:tabs>
          <w:tab w:val="clear" w:pos="360"/>
          <w:tab w:val="num" w:pos="0"/>
        </w:tabs>
        <w:spacing w:line="360" w:lineRule="auto"/>
        <w:ind w:left="0"/>
        <w:jc w:val="both"/>
        <w:rPr>
          <w:sz w:val="24"/>
          <w:szCs w:val="24"/>
          <w:lang w:val="en-US"/>
        </w:rPr>
      </w:pPr>
      <w:r w:rsidRPr="008F4A4B">
        <w:rPr>
          <w:sz w:val="24"/>
          <w:szCs w:val="24"/>
          <w:lang w:val="en-US"/>
        </w:rPr>
        <w:t xml:space="preserve">In this context, it is necessary to point out that in the face of serious human rights violations, as occurred in </w:t>
      </w:r>
      <w:proofErr w:type="spellStart"/>
      <w:r w:rsidRPr="008F4A4B">
        <w:rPr>
          <w:sz w:val="24"/>
          <w:szCs w:val="24"/>
          <w:lang w:val="en-US"/>
        </w:rPr>
        <w:t>Brumadinho</w:t>
      </w:r>
      <w:proofErr w:type="spellEnd"/>
      <w:r w:rsidRPr="008F4A4B">
        <w:rPr>
          <w:sz w:val="24"/>
          <w:szCs w:val="24"/>
          <w:lang w:val="en-US"/>
        </w:rPr>
        <w:t>, there arises a duty of reparation both from the company directly responsible for the accident and from the Brazilian State.</w:t>
      </w:r>
    </w:p>
    <w:p w14:paraId="50E11A12" w14:textId="77777777" w:rsidR="008F4A4B" w:rsidRDefault="008F4A4B" w:rsidP="008F4A4B">
      <w:pPr>
        <w:pStyle w:val="ListParagraph"/>
        <w:numPr>
          <w:ilvl w:val="0"/>
          <w:numId w:val="7"/>
        </w:numPr>
        <w:tabs>
          <w:tab w:val="clear" w:pos="360"/>
          <w:tab w:val="num" w:pos="0"/>
        </w:tabs>
        <w:spacing w:line="360" w:lineRule="auto"/>
        <w:ind w:left="0"/>
        <w:jc w:val="both"/>
        <w:rPr>
          <w:sz w:val="24"/>
          <w:szCs w:val="24"/>
          <w:lang w:val="en-US"/>
        </w:rPr>
      </w:pPr>
      <w:r w:rsidRPr="008F4A4B">
        <w:rPr>
          <w:sz w:val="24"/>
          <w:szCs w:val="24"/>
          <w:lang w:val="en-US"/>
        </w:rPr>
        <w:t>Regarding this, it should be mentioned that the need for reparation is not solely compensatory but should be comprehensive and full, encompassing reparative measures, such as non-repetition measures and the provision of assistance, following international human rights standards.</w:t>
      </w:r>
    </w:p>
    <w:p w14:paraId="3D4BDA41" w14:textId="77777777" w:rsidR="008F4A4B" w:rsidRDefault="008F4A4B" w:rsidP="008F4A4B">
      <w:pPr>
        <w:pStyle w:val="ListParagraph"/>
        <w:numPr>
          <w:ilvl w:val="0"/>
          <w:numId w:val="7"/>
        </w:numPr>
        <w:tabs>
          <w:tab w:val="clear" w:pos="360"/>
          <w:tab w:val="num" w:pos="0"/>
        </w:tabs>
        <w:spacing w:line="360" w:lineRule="auto"/>
        <w:ind w:left="0"/>
        <w:jc w:val="both"/>
        <w:rPr>
          <w:sz w:val="24"/>
          <w:szCs w:val="24"/>
          <w:lang w:val="en-US"/>
        </w:rPr>
      </w:pPr>
      <w:r w:rsidRPr="008F4A4B">
        <w:rPr>
          <w:sz w:val="24"/>
          <w:szCs w:val="24"/>
          <w:lang w:val="en-US"/>
        </w:rPr>
        <w:t>The Basic Principles and Guidelines on the Right to a Remedy and Reparation for Victims of Gross Violations of International Human Rights Law and Serious Violations of International Humanitarian Law, adopted and proclaimed by the UN General Assembly in Resolution 60/147 on December 16, 2015, establish in principles 18 to 23 the following forms of reparation: restitution, compensation, rehabilitation, satisfaction, and guarantees of non-repetition.</w:t>
      </w:r>
    </w:p>
    <w:p w14:paraId="1D9781FD" w14:textId="77777777" w:rsidR="008F4A4B" w:rsidRDefault="008F4A4B" w:rsidP="008F4A4B">
      <w:pPr>
        <w:pStyle w:val="ListParagraph"/>
        <w:numPr>
          <w:ilvl w:val="0"/>
          <w:numId w:val="7"/>
        </w:numPr>
        <w:tabs>
          <w:tab w:val="clear" w:pos="360"/>
          <w:tab w:val="num" w:pos="0"/>
        </w:tabs>
        <w:spacing w:line="360" w:lineRule="auto"/>
        <w:ind w:left="0"/>
        <w:jc w:val="both"/>
        <w:rPr>
          <w:sz w:val="24"/>
          <w:szCs w:val="24"/>
          <w:lang w:val="en-US"/>
        </w:rPr>
      </w:pPr>
      <w:r w:rsidRPr="008F4A4B">
        <w:rPr>
          <w:sz w:val="24"/>
          <w:szCs w:val="24"/>
          <w:lang w:val="en-US"/>
        </w:rPr>
        <w:t>Especially worth mentioning is the measure of rehabilitation, which is directly linked to the right to health, as per the Basic Principles and Guidelines on Reparation, "rehabilitation shall include medical and psychological care, as well as legal and social services."</w:t>
      </w:r>
    </w:p>
    <w:p w14:paraId="68769A5E" w14:textId="4FC12D25" w:rsidR="008F4A4B" w:rsidRDefault="008F4A4B" w:rsidP="008F4A4B">
      <w:pPr>
        <w:pStyle w:val="ListParagraph"/>
        <w:numPr>
          <w:ilvl w:val="0"/>
          <w:numId w:val="7"/>
        </w:numPr>
        <w:tabs>
          <w:tab w:val="clear" w:pos="360"/>
          <w:tab w:val="num" w:pos="0"/>
        </w:tabs>
        <w:spacing w:line="360" w:lineRule="auto"/>
        <w:ind w:left="0"/>
        <w:jc w:val="both"/>
        <w:rPr>
          <w:sz w:val="24"/>
          <w:szCs w:val="24"/>
          <w:lang w:val="en-US"/>
        </w:rPr>
      </w:pPr>
      <w:r w:rsidRPr="008F4A4B">
        <w:rPr>
          <w:sz w:val="24"/>
          <w:szCs w:val="24"/>
          <w:lang w:val="en-US"/>
        </w:rPr>
        <w:t xml:space="preserve">Therefore, considering the tragedy of </w:t>
      </w:r>
      <w:proofErr w:type="spellStart"/>
      <w:r w:rsidRPr="008F4A4B">
        <w:rPr>
          <w:sz w:val="24"/>
          <w:szCs w:val="24"/>
          <w:lang w:val="en-US"/>
        </w:rPr>
        <w:t>Brumadinho</w:t>
      </w:r>
      <w:proofErr w:type="spellEnd"/>
      <w:r w:rsidRPr="008F4A4B">
        <w:rPr>
          <w:sz w:val="24"/>
          <w:szCs w:val="24"/>
          <w:lang w:val="en-US"/>
        </w:rPr>
        <w:t>, beyond the Brazilian State's obligation to fulfill its duties to guarantee and promote health due to its commitment under the International Covenant on Economic, Social, and Cultural Rights and the Federal Constitution, the provision of medical assistance should also be understood as a measure of reparation owed for the serious violations that occurred in 2019.</w:t>
      </w:r>
    </w:p>
    <w:p w14:paraId="4FCD23C1" w14:textId="77777777" w:rsidR="009C72CC" w:rsidRDefault="009C72CC" w:rsidP="009C72CC">
      <w:pPr>
        <w:pStyle w:val="ListParagraph"/>
        <w:spacing w:line="360" w:lineRule="auto"/>
        <w:ind w:left="0"/>
        <w:jc w:val="both"/>
        <w:rPr>
          <w:sz w:val="24"/>
          <w:szCs w:val="24"/>
          <w:lang w:val="en-US"/>
        </w:rPr>
      </w:pPr>
    </w:p>
    <w:p w14:paraId="454EC1D1" w14:textId="77777777" w:rsidR="00E94889" w:rsidRDefault="00E94889" w:rsidP="008F4A4B">
      <w:pPr>
        <w:pStyle w:val="ListParagraph"/>
        <w:spacing w:line="360" w:lineRule="auto"/>
        <w:ind w:left="0"/>
        <w:jc w:val="both"/>
        <w:rPr>
          <w:sz w:val="24"/>
          <w:szCs w:val="24"/>
          <w:lang w:val="en-US"/>
        </w:rPr>
      </w:pPr>
    </w:p>
    <w:p w14:paraId="7D2510C1" w14:textId="3EDA2C63" w:rsidR="008F4A4B" w:rsidRDefault="008F4A4B" w:rsidP="008F4A4B">
      <w:pPr>
        <w:pStyle w:val="ListParagraph"/>
        <w:spacing w:line="360" w:lineRule="auto"/>
        <w:ind w:left="0"/>
        <w:jc w:val="center"/>
        <w:rPr>
          <w:b/>
          <w:bCs/>
          <w:sz w:val="24"/>
          <w:szCs w:val="24"/>
          <w:lang w:val="en-US"/>
        </w:rPr>
      </w:pPr>
      <w:r w:rsidRPr="008F4A4B">
        <w:rPr>
          <w:b/>
          <w:bCs/>
          <w:sz w:val="24"/>
          <w:szCs w:val="24"/>
          <w:lang w:val="en-US"/>
        </w:rPr>
        <w:lastRenderedPageBreak/>
        <w:t>D. ON THE FAILURE TO FULFILL HEALTH OBLIGATIONS IN THE CASE OF BRUMADINHO</w:t>
      </w:r>
    </w:p>
    <w:p w14:paraId="65E7DE46" w14:textId="77777777" w:rsidR="009C72CC" w:rsidRDefault="009C72CC" w:rsidP="008F4A4B">
      <w:pPr>
        <w:pStyle w:val="ListParagraph"/>
        <w:spacing w:line="360" w:lineRule="auto"/>
        <w:ind w:left="0"/>
        <w:jc w:val="center"/>
        <w:rPr>
          <w:b/>
          <w:bCs/>
          <w:sz w:val="24"/>
          <w:szCs w:val="24"/>
          <w:lang w:val="en-US"/>
        </w:rPr>
      </w:pPr>
    </w:p>
    <w:p w14:paraId="2FB20078" w14:textId="77777777" w:rsidR="00E94889" w:rsidRPr="00E94889" w:rsidRDefault="00E94889" w:rsidP="00E94889">
      <w:pPr>
        <w:pStyle w:val="ListParagraph"/>
        <w:numPr>
          <w:ilvl w:val="0"/>
          <w:numId w:val="7"/>
        </w:numPr>
        <w:tabs>
          <w:tab w:val="clear" w:pos="360"/>
        </w:tabs>
        <w:spacing w:line="360" w:lineRule="auto"/>
        <w:ind w:left="0"/>
        <w:jc w:val="both"/>
        <w:rPr>
          <w:sz w:val="24"/>
          <w:szCs w:val="24"/>
          <w:lang w:val="en-US"/>
        </w:rPr>
      </w:pPr>
      <w:r w:rsidRPr="00E94889">
        <w:rPr>
          <w:sz w:val="24"/>
          <w:szCs w:val="24"/>
          <w:lang w:val="en-US"/>
        </w:rPr>
        <w:t xml:space="preserve">On February 4, 2021, a judicial agreement was reached between Vale do Rio </w:t>
      </w:r>
      <w:proofErr w:type="spellStart"/>
      <w:r w:rsidRPr="00E94889">
        <w:rPr>
          <w:sz w:val="24"/>
          <w:szCs w:val="24"/>
          <w:lang w:val="en-US"/>
        </w:rPr>
        <w:t>Doce</w:t>
      </w:r>
      <w:proofErr w:type="spellEnd"/>
      <w:r w:rsidRPr="00E94889">
        <w:rPr>
          <w:sz w:val="24"/>
          <w:szCs w:val="24"/>
          <w:lang w:val="en-US"/>
        </w:rPr>
        <w:t xml:space="preserve"> (the responsible company) and Brazilian judicial authorities to establish the reparation measures owed for the tragedy.</w:t>
      </w:r>
    </w:p>
    <w:p w14:paraId="5AC8BB5B" w14:textId="77777777" w:rsidR="00E94889" w:rsidRPr="00E94889" w:rsidRDefault="00E94889" w:rsidP="00E94889">
      <w:pPr>
        <w:pStyle w:val="ListParagraph"/>
        <w:numPr>
          <w:ilvl w:val="0"/>
          <w:numId w:val="7"/>
        </w:numPr>
        <w:tabs>
          <w:tab w:val="clear" w:pos="360"/>
        </w:tabs>
        <w:spacing w:line="360" w:lineRule="auto"/>
        <w:ind w:left="0"/>
        <w:jc w:val="both"/>
        <w:rPr>
          <w:sz w:val="24"/>
          <w:szCs w:val="24"/>
          <w:lang w:val="en-US"/>
        </w:rPr>
      </w:pPr>
      <w:r w:rsidRPr="00E94889">
        <w:rPr>
          <w:sz w:val="24"/>
          <w:szCs w:val="24"/>
          <w:lang w:val="en-US"/>
        </w:rPr>
        <w:t>The reparation measures were organized into four main groups, referred to as the Socioeconomic Reparation Program, Socioenvironmental Reparation Programs, Mobility Program, and Public Service Strengthening Program.</w:t>
      </w:r>
    </w:p>
    <w:p w14:paraId="61C88200" w14:textId="77777777" w:rsidR="00E94889" w:rsidRPr="00E94889" w:rsidRDefault="00E94889" w:rsidP="00E94889">
      <w:pPr>
        <w:pStyle w:val="ListParagraph"/>
        <w:numPr>
          <w:ilvl w:val="0"/>
          <w:numId w:val="7"/>
        </w:numPr>
        <w:tabs>
          <w:tab w:val="clear" w:pos="360"/>
        </w:tabs>
        <w:spacing w:line="360" w:lineRule="auto"/>
        <w:ind w:left="0"/>
        <w:jc w:val="both"/>
        <w:rPr>
          <w:sz w:val="24"/>
          <w:szCs w:val="24"/>
          <w:lang w:val="en-US"/>
        </w:rPr>
      </w:pPr>
      <w:r w:rsidRPr="00E94889">
        <w:rPr>
          <w:sz w:val="24"/>
          <w:szCs w:val="24"/>
          <w:lang w:val="en-US"/>
        </w:rPr>
        <w:t>The Socioeconomic Reparation Program is defined through community-affected demand projects. In this regard, projects related to health demands were approved within the framework of the Commission for Popular Participation.</w:t>
      </w:r>
    </w:p>
    <w:p w14:paraId="64302213" w14:textId="77777777" w:rsidR="00E94889" w:rsidRPr="00E94889" w:rsidRDefault="00E94889" w:rsidP="00E94889">
      <w:pPr>
        <w:pStyle w:val="ListParagraph"/>
        <w:numPr>
          <w:ilvl w:val="0"/>
          <w:numId w:val="7"/>
        </w:numPr>
        <w:tabs>
          <w:tab w:val="clear" w:pos="360"/>
        </w:tabs>
        <w:spacing w:line="360" w:lineRule="auto"/>
        <w:ind w:left="0"/>
        <w:jc w:val="both"/>
        <w:rPr>
          <w:sz w:val="24"/>
          <w:szCs w:val="24"/>
          <w:lang w:val="en-US"/>
        </w:rPr>
      </w:pPr>
      <w:r w:rsidRPr="00E94889">
        <w:rPr>
          <w:sz w:val="24"/>
          <w:szCs w:val="24"/>
          <w:lang w:val="en-US"/>
        </w:rPr>
        <w:t>The extensive participation process of affected individuals and communities took place, among other ways, through public hearings of the Legislative Assembly of Minas Gerais (ALMG). This process/project was processed in ALMG between the second half of 2021 and the first half of 2022. In this period of approximately one year, dozens of public hearings were conducted with the participation of various representative entities of the affected communities, as well as meetings between members of the Justice Institutions and ALMG members.</w:t>
      </w:r>
    </w:p>
    <w:p w14:paraId="25981835" w14:textId="77777777" w:rsidR="00E94889" w:rsidRPr="00E94889" w:rsidRDefault="00E94889" w:rsidP="00E94889">
      <w:pPr>
        <w:pStyle w:val="ListParagraph"/>
        <w:numPr>
          <w:ilvl w:val="0"/>
          <w:numId w:val="7"/>
        </w:numPr>
        <w:tabs>
          <w:tab w:val="clear" w:pos="360"/>
        </w:tabs>
        <w:spacing w:line="360" w:lineRule="auto"/>
        <w:ind w:left="0"/>
        <w:jc w:val="both"/>
        <w:rPr>
          <w:sz w:val="24"/>
          <w:szCs w:val="24"/>
          <w:lang w:val="en-US"/>
        </w:rPr>
      </w:pPr>
      <w:r w:rsidRPr="00E94889">
        <w:rPr>
          <w:sz w:val="24"/>
          <w:szCs w:val="24"/>
          <w:lang w:val="en-US"/>
        </w:rPr>
        <w:t xml:space="preserve">However, as of the present date, the implementation of the approved health projects as a means of reparation to the victims and their families in </w:t>
      </w:r>
      <w:proofErr w:type="spellStart"/>
      <w:r w:rsidRPr="00E94889">
        <w:rPr>
          <w:sz w:val="24"/>
          <w:szCs w:val="24"/>
          <w:lang w:val="en-US"/>
        </w:rPr>
        <w:t>Brumadinho</w:t>
      </w:r>
      <w:proofErr w:type="spellEnd"/>
      <w:r w:rsidRPr="00E94889">
        <w:rPr>
          <w:sz w:val="24"/>
          <w:szCs w:val="24"/>
          <w:lang w:val="en-US"/>
        </w:rPr>
        <w:t xml:space="preserve"> has not commenced. The Brazilian State, represented here by the Public Prosecutor's Office of Minas Gerais, cannot be passive regarding these health projects, which have already been approved with extensive participation from affected individuals and communities for over 10 (ten) months.</w:t>
      </w:r>
    </w:p>
    <w:p w14:paraId="56E572E8" w14:textId="77777777" w:rsidR="00E94889" w:rsidRPr="00E94889" w:rsidRDefault="00E94889" w:rsidP="00E94889">
      <w:pPr>
        <w:pStyle w:val="ListParagraph"/>
        <w:numPr>
          <w:ilvl w:val="0"/>
          <w:numId w:val="7"/>
        </w:numPr>
        <w:tabs>
          <w:tab w:val="clear" w:pos="360"/>
        </w:tabs>
        <w:spacing w:line="360" w:lineRule="auto"/>
        <w:ind w:left="0"/>
        <w:jc w:val="both"/>
        <w:rPr>
          <w:sz w:val="24"/>
          <w:szCs w:val="24"/>
          <w:lang w:val="en-US"/>
        </w:rPr>
      </w:pPr>
      <w:r w:rsidRPr="00E94889">
        <w:rPr>
          <w:sz w:val="24"/>
          <w:szCs w:val="24"/>
          <w:lang w:val="en-US"/>
        </w:rPr>
        <w:t>It is worth noting that since it does not concern "public funds, but rather resources under the administration of collective entities," and "the resources from the collective reparation resulting from the judicial agreement are imbued with collective and social interest, which, in fact, underlies the legitimacy of the Justice Institutions," it is essential that the Justice Institutions of the Brazilian State, both regarding the health projects already approved by the affected communities within ALMG and all others that may be approved, fulfill their crucial and essential roles urgently and efficiently.</w:t>
      </w:r>
    </w:p>
    <w:p w14:paraId="3B761D53" w14:textId="5D967327" w:rsidR="00E94889" w:rsidRDefault="00E94889" w:rsidP="00E94889">
      <w:pPr>
        <w:pStyle w:val="ListParagraph"/>
        <w:numPr>
          <w:ilvl w:val="0"/>
          <w:numId w:val="7"/>
        </w:numPr>
        <w:tabs>
          <w:tab w:val="clear" w:pos="360"/>
        </w:tabs>
        <w:spacing w:line="360" w:lineRule="auto"/>
        <w:ind w:left="0"/>
        <w:jc w:val="both"/>
        <w:rPr>
          <w:sz w:val="24"/>
          <w:szCs w:val="24"/>
          <w:lang w:val="en-US"/>
        </w:rPr>
      </w:pPr>
      <w:r w:rsidRPr="00E94889">
        <w:rPr>
          <w:sz w:val="24"/>
          <w:szCs w:val="24"/>
          <w:lang w:val="en-US"/>
        </w:rPr>
        <w:lastRenderedPageBreak/>
        <w:t xml:space="preserve">Given this context, in which almost two and a half years have passed since the signing of the judicial agreement regarding the reparation of </w:t>
      </w:r>
      <w:proofErr w:type="spellStart"/>
      <w:r w:rsidRPr="00E94889">
        <w:rPr>
          <w:sz w:val="24"/>
          <w:szCs w:val="24"/>
          <w:lang w:val="en-US"/>
        </w:rPr>
        <w:t>Brumadinho</w:t>
      </w:r>
      <w:proofErr w:type="spellEnd"/>
      <w:r w:rsidRPr="00E94889">
        <w:rPr>
          <w:sz w:val="24"/>
          <w:szCs w:val="24"/>
          <w:lang w:val="en-US"/>
        </w:rPr>
        <w:t xml:space="preserve"> and as of the present date, the use of the approved resources for the reparation measure of providing healthcare assistance has not been made available, the </w:t>
      </w:r>
      <w:r w:rsidR="009C72CC" w:rsidRPr="009C72CC">
        <w:rPr>
          <w:sz w:val="24"/>
          <w:szCs w:val="24"/>
          <w:lang w:val="en-US"/>
        </w:rPr>
        <w:t xml:space="preserve">FADECIT </w:t>
      </w:r>
      <w:proofErr w:type="gramStart"/>
      <w:r w:rsidR="009C72CC" w:rsidRPr="009C72CC">
        <w:rPr>
          <w:sz w:val="24"/>
          <w:szCs w:val="24"/>
          <w:lang w:val="en-US"/>
        </w:rPr>
        <w:t xml:space="preserve">-  </w:t>
      </w:r>
      <w:proofErr w:type="spellStart"/>
      <w:r w:rsidR="009C72CC" w:rsidRPr="009C72CC">
        <w:rPr>
          <w:sz w:val="24"/>
          <w:szCs w:val="24"/>
          <w:lang w:val="en-US"/>
        </w:rPr>
        <w:t>Fundação</w:t>
      </w:r>
      <w:proofErr w:type="spellEnd"/>
      <w:proofErr w:type="gramEnd"/>
      <w:r w:rsidR="009C72CC" w:rsidRPr="009C72CC">
        <w:rPr>
          <w:sz w:val="24"/>
          <w:szCs w:val="24"/>
          <w:lang w:val="en-US"/>
        </w:rPr>
        <w:t xml:space="preserve"> de </w:t>
      </w:r>
      <w:proofErr w:type="spellStart"/>
      <w:r w:rsidR="009C72CC" w:rsidRPr="009C72CC">
        <w:rPr>
          <w:sz w:val="24"/>
          <w:szCs w:val="24"/>
          <w:lang w:val="en-US"/>
        </w:rPr>
        <w:t>Apoio</w:t>
      </w:r>
      <w:proofErr w:type="spellEnd"/>
      <w:r w:rsidR="009C72CC" w:rsidRPr="009C72CC">
        <w:rPr>
          <w:sz w:val="24"/>
          <w:szCs w:val="24"/>
          <w:lang w:val="en-US"/>
        </w:rPr>
        <w:t xml:space="preserve"> e </w:t>
      </w:r>
      <w:proofErr w:type="spellStart"/>
      <w:r w:rsidR="009C72CC" w:rsidRPr="009C72CC">
        <w:rPr>
          <w:sz w:val="24"/>
          <w:szCs w:val="24"/>
          <w:lang w:val="en-US"/>
        </w:rPr>
        <w:t>Desenvolvimento</w:t>
      </w:r>
      <w:proofErr w:type="spellEnd"/>
      <w:r w:rsidR="009C72CC" w:rsidRPr="009C72CC">
        <w:rPr>
          <w:sz w:val="24"/>
          <w:szCs w:val="24"/>
          <w:lang w:val="en-US"/>
        </w:rPr>
        <w:t xml:space="preserve"> da </w:t>
      </w:r>
      <w:proofErr w:type="spellStart"/>
      <w:r w:rsidR="009C72CC" w:rsidRPr="009C72CC">
        <w:rPr>
          <w:sz w:val="24"/>
          <w:szCs w:val="24"/>
          <w:lang w:val="en-US"/>
        </w:rPr>
        <w:t>Educação</w:t>
      </w:r>
      <w:proofErr w:type="spellEnd"/>
      <w:r w:rsidR="009C72CC" w:rsidRPr="009C72CC">
        <w:rPr>
          <w:sz w:val="24"/>
          <w:szCs w:val="24"/>
          <w:lang w:val="en-US"/>
        </w:rPr>
        <w:t xml:space="preserve"> </w:t>
      </w:r>
      <w:r w:rsidRPr="00E94889">
        <w:rPr>
          <w:sz w:val="24"/>
          <w:szCs w:val="24"/>
          <w:lang w:val="en-US"/>
        </w:rPr>
        <w:t>presents the following recommendations:</w:t>
      </w:r>
    </w:p>
    <w:p w14:paraId="6BE5071F" w14:textId="77777777" w:rsidR="00E94889" w:rsidRDefault="00E94889" w:rsidP="00E94889">
      <w:pPr>
        <w:pStyle w:val="ListParagraph"/>
        <w:spacing w:line="360" w:lineRule="auto"/>
        <w:ind w:left="0"/>
        <w:jc w:val="both"/>
        <w:rPr>
          <w:sz w:val="24"/>
          <w:szCs w:val="24"/>
          <w:lang w:val="en-US"/>
        </w:rPr>
      </w:pPr>
    </w:p>
    <w:p w14:paraId="4E5DDAC8" w14:textId="512463ED" w:rsidR="00E94889" w:rsidRPr="00E94889" w:rsidRDefault="00E94889" w:rsidP="00E94889">
      <w:pPr>
        <w:pStyle w:val="ListParagraph"/>
        <w:numPr>
          <w:ilvl w:val="1"/>
          <w:numId w:val="7"/>
        </w:numPr>
        <w:spacing w:line="360" w:lineRule="auto"/>
        <w:ind w:left="2835"/>
        <w:jc w:val="both"/>
        <w:rPr>
          <w:b/>
          <w:bCs/>
          <w:sz w:val="24"/>
          <w:szCs w:val="24"/>
          <w:lang w:val="en-US"/>
        </w:rPr>
      </w:pPr>
      <w:r w:rsidRPr="00E94889">
        <w:rPr>
          <w:b/>
          <w:bCs/>
          <w:sz w:val="24"/>
          <w:szCs w:val="24"/>
          <w:lang w:val="en-US"/>
        </w:rPr>
        <w:t xml:space="preserve">That the Brazilian State urgently and efficiently expedite the approval of health projects related to the owed reparation in the </w:t>
      </w:r>
      <w:proofErr w:type="spellStart"/>
      <w:r w:rsidRPr="00E94889">
        <w:rPr>
          <w:b/>
          <w:bCs/>
          <w:sz w:val="24"/>
          <w:szCs w:val="24"/>
          <w:lang w:val="en-US"/>
        </w:rPr>
        <w:t>Brumadinho</w:t>
      </w:r>
      <w:proofErr w:type="spellEnd"/>
      <w:r w:rsidRPr="00E94889">
        <w:rPr>
          <w:b/>
          <w:bCs/>
          <w:sz w:val="24"/>
          <w:szCs w:val="24"/>
          <w:lang w:val="en-US"/>
        </w:rPr>
        <w:t xml:space="preserve"> case, with the determination that the allocated resources be promptly and properly executed for the fulfillment of these projects.</w:t>
      </w:r>
    </w:p>
    <w:p w14:paraId="6BBE06CE" w14:textId="1C987701" w:rsidR="00E94889" w:rsidRPr="00E94889" w:rsidRDefault="00E94889" w:rsidP="00E94889">
      <w:pPr>
        <w:pStyle w:val="ListParagraph"/>
        <w:numPr>
          <w:ilvl w:val="1"/>
          <w:numId w:val="7"/>
        </w:numPr>
        <w:spacing w:line="360" w:lineRule="auto"/>
        <w:ind w:left="2835"/>
        <w:jc w:val="both"/>
        <w:rPr>
          <w:b/>
          <w:bCs/>
          <w:sz w:val="24"/>
          <w:szCs w:val="24"/>
          <w:lang w:val="en-US"/>
        </w:rPr>
      </w:pPr>
      <w:r w:rsidRPr="00E94889">
        <w:rPr>
          <w:b/>
          <w:bCs/>
          <w:sz w:val="24"/>
          <w:szCs w:val="24"/>
          <w:lang w:val="en-US"/>
        </w:rPr>
        <w:t xml:space="preserve">That the Brazilian State ensures and promotes effective medical assistance as a measure of reparation and rehabilitation for all victims, their families, and individuals affected by the tragedy of </w:t>
      </w:r>
      <w:proofErr w:type="spellStart"/>
      <w:r w:rsidRPr="00E94889">
        <w:rPr>
          <w:b/>
          <w:bCs/>
          <w:sz w:val="24"/>
          <w:szCs w:val="24"/>
          <w:lang w:val="en-US"/>
        </w:rPr>
        <w:t>Brumadinho</w:t>
      </w:r>
      <w:proofErr w:type="spellEnd"/>
      <w:r w:rsidRPr="00E94889">
        <w:rPr>
          <w:b/>
          <w:bCs/>
          <w:sz w:val="24"/>
          <w:szCs w:val="24"/>
          <w:lang w:val="en-US"/>
        </w:rPr>
        <w:t>.</w:t>
      </w:r>
    </w:p>
    <w:p w14:paraId="7BEABB25" w14:textId="3FA16BD3" w:rsidR="008F4A4B" w:rsidRDefault="008F4A4B" w:rsidP="00E94889">
      <w:pPr>
        <w:pStyle w:val="ListParagraph"/>
        <w:spacing w:line="360" w:lineRule="auto"/>
        <w:ind w:left="0"/>
        <w:rPr>
          <w:b/>
          <w:bCs/>
          <w:sz w:val="24"/>
          <w:szCs w:val="24"/>
          <w:lang w:val="en-US"/>
        </w:rPr>
      </w:pPr>
    </w:p>
    <w:p w14:paraId="1A0F66AC" w14:textId="77777777" w:rsidR="00E94889" w:rsidRDefault="00E94889" w:rsidP="00E94889">
      <w:pPr>
        <w:pStyle w:val="ListParagraph"/>
        <w:spacing w:line="360" w:lineRule="auto"/>
        <w:ind w:left="0"/>
        <w:rPr>
          <w:b/>
          <w:bCs/>
          <w:sz w:val="24"/>
          <w:szCs w:val="24"/>
          <w:lang w:val="en-US"/>
        </w:rPr>
      </w:pPr>
    </w:p>
    <w:p w14:paraId="20F06737" w14:textId="77777777" w:rsidR="00E94889" w:rsidRDefault="00E94889" w:rsidP="00E94889">
      <w:pPr>
        <w:pStyle w:val="ListParagraph"/>
        <w:spacing w:line="360" w:lineRule="auto"/>
        <w:ind w:left="0"/>
        <w:rPr>
          <w:b/>
          <w:bCs/>
          <w:sz w:val="24"/>
          <w:szCs w:val="24"/>
          <w:lang w:val="en-US"/>
        </w:rPr>
      </w:pPr>
    </w:p>
    <w:p w14:paraId="607B0443" w14:textId="77777777" w:rsidR="00E94889" w:rsidRDefault="00E94889" w:rsidP="00E94889">
      <w:pPr>
        <w:pStyle w:val="Default"/>
        <w:spacing w:before="240" w:after="240"/>
        <w:ind w:right="4394"/>
        <w:jc w:val="both"/>
        <w:rPr>
          <w:rFonts w:asciiTheme="minorHAnsi" w:hAnsiTheme="minorHAnsi" w:cstheme="minorHAnsi"/>
          <w:b/>
        </w:rPr>
      </w:pPr>
      <w:r>
        <w:rPr>
          <w:rFonts w:asciiTheme="minorHAnsi" w:hAnsiTheme="minorHAnsi" w:cstheme="minorHAnsi"/>
          <w:b/>
        </w:rPr>
        <w:t xml:space="preserve">Carlos Nicodemos </w:t>
      </w:r>
    </w:p>
    <w:p w14:paraId="25017814" w14:textId="4948F554" w:rsidR="00E94889" w:rsidRPr="00E94889" w:rsidRDefault="009C72CC" w:rsidP="00E94889">
      <w:pPr>
        <w:pStyle w:val="ListParagraph"/>
        <w:spacing w:line="360" w:lineRule="auto"/>
        <w:ind w:left="0"/>
        <w:rPr>
          <w:sz w:val="24"/>
          <w:szCs w:val="24"/>
          <w:lang w:val="en-US"/>
        </w:rPr>
      </w:pPr>
      <w:r>
        <w:rPr>
          <w:sz w:val="24"/>
          <w:szCs w:val="24"/>
          <w:lang w:val="en-US"/>
        </w:rPr>
        <w:t>Attorney</w:t>
      </w:r>
    </w:p>
    <w:sectPr w:rsidR="00E94889" w:rsidRPr="00E9488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1DFDB" w14:textId="77777777" w:rsidR="00252B0C" w:rsidRDefault="00252B0C" w:rsidP="00ED628C">
      <w:pPr>
        <w:spacing w:after="0" w:line="240" w:lineRule="auto"/>
      </w:pPr>
      <w:r>
        <w:separator/>
      </w:r>
    </w:p>
  </w:endnote>
  <w:endnote w:type="continuationSeparator" w:id="0">
    <w:p w14:paraId="157F17A8" w14:textId="77777777" w:rsidR="00252B0C" w:rsidRDefault="00252B0C" w:rsidP="00ED6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58F61" w14:textId="77777777" w:rsidR="00252B0C" w:rsidRDefault="00252B0C" w:rsidP="00ED628C">
      <w:pPr>
        <w:spacing w:after="0" w:line="240" w:lineRule="auto"/>
      </w:pPr>
      <w:r>
        <w:separator/>
      </w:r>
    </w:p>
  </w:footnote>
  <w:footnote w:type="continuationSeparator" w:id="0">
    <w:p w14:paraId="7A28FE44" w14:textId="77777777" w:rsidR="00252B0C" w:rsidRDefault="00252B0C" w:rsidP="00ED628C">
      <w:pPr>
        <w:spacing w:after="0" w:line="240" w:lineRule="auto"/>
      </w:pPr>
      <w:r>
        <w:continuationSeparator/>
      </w:r>
    </w:p>
  </w:footnote>
  <w:footnote w:id="1">
    <w:p w14:paraId="6575975C" w14:textId="1371A463" w:rsidR="00ED628C" w:rsidRDefault="00ED628C">
      <w:pPr>
        <w:pStyle w:val="FootnoteText"/>
      </w:pPr>
      <w:r>
        <w:rPr>
          <w:rStyle w:val="FootnoteReference"/>
        </w:rPr>
        <w:footnoteRef/>
      </w:r>
      <w:r>
        <w:t xml:space="preserve"> </w:t>
      </w:r>
      <w:r w:rsidRPr="00ED628C">
        <w:t>https://www.cpqrr.fiocruz.br/pg/pesquisa-avalia-saude-da-populacao-de-brumadinho-apos-rompimento-da-barragem-da-vale/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D0254"/>
    <w:multiLevelType w:val="multilevel"/>
    <w:tmpl w:val="E19CC8CC"/>
    <w:lvl w:ilvl="0">
      <w:start w:val="23"/>
      <w:numFmt w:val="decimal"/>
      <w:lvlText w:val="%1."/>
      <w:lvlJc w:val="left"/>
      <w:pPr>
        <w:tabs>
          <w:tab w:val="num" w:pos="360"/>
        </w:tabs>
        <w:ind w:left="360" w:hanging="360"/>
      </w:pPr>
      <w:rPr>
        <w:b w:val="0"/>
        <w:bCs w:val="0"/>
      </w:rPr>
    </w:lvl>
    <w:lvl w:ilvl="1">
      <w:start w:val="1"/>
      <w:numFmt w:val="lowerRoman"/>
      <w:lvlText w:val="%2)"/>
      <w:lvlJc w:val="left"/>
      <w:pPr>
        <w:ind w:left="1440" w:hanging="72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206F0004"/>
    <w:multiLevelType w:val="multilevel"/>
    <w:tmpl w:val="9800A23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462CAA"/>
    <w:multiLevelType w:val="multilevel"/>
    <w:tmpl w:val="880E110E"/>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8B1689"/>
    <w:multiLevelType w:val="hybridMultilevel"/>
    <w:tmpl w:val="71D42DA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C3E0F50"/>
    <w:multiLevelType w:val="hybridMultilevel"/>
    <w:tmpl w:val="0DF8320A"/>
    <w:lvl w:ilvl="0" w:tplc="ABA45C36">
      <w:start w:val="1"/>
      <w:numFmt w:val="decimal"/>
      <w:lvlText w:val="%1."/>
      <w:lvlJc w:val="left"/>
      <w:pPr>
        <w:ind w:left="3204" w:hanging="360"/>
      </w:pPr>
      <w:rPr>
        <w:rFonts w:hint="default"/>
      </w:rPr>
    </w:lvl>
    <w:lvl w:ilvl="1" w:tplc="0C0A0019" w:tentative="1">
      <w:start w:val="1"/>
      <w:numFmt w:val="lowerLetter"/>
      <w:lvlText w:val="%2."/>
      <w:lvlJc w:val="left"/>
      <w:pPr>
        <w:ind w:left="3924" w:hanging="360"/>
      </w:pPr>
    </w:lvl>
    <w:lvl w:ilvl="2" w:tplc="0C0A001B" w:tentative="1">
      <w:start w:val="1"/>
      <w:numFmt w:val="lowerRoman"/>
      <w:lvlText w:val="%3."/>
      <w:lvlJc w:val="right"/>
      <w:pPr>
        <w:ind w:left="4644" w:hanging="180"/>
      </w:pPr>
    </w:lvl>
    <w:lvl w:ilvl="3" w:tplc="0C0A000F" w:tentative="1">
      <w:start w:val="1"/>
      <w:numFmt w:val="decimal"/>
      <w:lvlText w:val="%4."/>
      <w:lvlJc w:val="left"/>
      <w:pPr>
        <w:ind w:left="5364" w:hanging="360"/>
      </w:pPr>
    </w:lvl>
    <w:lvl w:ilvl="4" w:tplc="0C0A0019" w:tentative="1">
      <w:start w:val="1"/>
      <w:numFmt w:val="lowerLetter"/>
      <w:lvlText w:val="%5."/>
      <w:lvlJc w:val="left"/>
      <w:pPr>
        <w:ind w:left="6084" w:hanging="360"/>
      </w:pPr>
    </w:lvl>
    <w:lvl w:ilvl="5" w:tplc="0C0A001B" w:tentative="1">
      <w:start w:val="1"/>
      <w:numFmt w:val="lowerRoman"/>
      <w:lvlText w:val="%6."/>
      <w:lvlJc w:val="right"/>
      <w:pPr>
        <w:ind w:left="6804" w:hanging="180"/>
      </w:pPr>
    </w:lvl>
    <w:lvl w:ilvl="6" w:tplc="0C0A000F" w:tentative="1">
      <w:start w:val="1"/>
      <w:numFmt w:val="decimal"/>
      <w:lvlText w:val="%7."/>
      <w:lvlJc w:val="left"/>
      <w:pPr>
        <w:ind w:left="7524" w:hanging="360"/>
      </w:pPr>
    </w:lvl>
    <w:lvl w:ilvl="7" w:tplc="0C0A0019" w:tentative="1">
      <w:start w:val="1"/>
      <w:numFmt w:val="lowerLetter"/>
      <w:lvlText w:val="%8."/>
      <w:lvlJc w:val="left"/>
      <w:pPr>
        <w:ind w:left="8244" w:hanging="360"/>
      </w:pPr>
    </w:lvl>
    <w:lvl w:ilvl="8" w:tplc="0C0A001B" w:tentative="1">
      <w:start w:val="1"/>
      <w:numFmt w:val="lowerRoman"/>
      <w:lvlText w:val="%9."/>
      <w:lvlJc w:val="right"/>
      <w:pPr>
        <w:ind w:left="8964" w:hanging="180"/>
      </w:pPr>
    </w:lvl>
  </w:abstractNum>
  <w:abstractNum w:abstractNumId="5" w15:restartNumberingAfterBreak="0">
    <w:nsid w:val="66894FF9"/>
    <w:multiLevelType w:val="hybridMultilevel"/>
    <w:tmpl w:val="45CC24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8A1390F"/>
    <w:multiLevelType w:val="multilevel"/>
    <w:tmpl w:val="6C2411E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C862386"/>
    <w:multiLevelType w:val="multilevel"/>
    <w:tmpl w:val="ED40339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7835758">
    <w:abstractNumId w:val="5"/>
  </w:num>
  <w:num w:numId="2" w16cid:durableId="1514227828">
    <w:abstractNumId w:val="4"/>
  </w:num>
  <w:num w:numId="3" w16cid:durableId="338701185">
    <w:abstractNumId w:val="3"/>
  </w:num>
  <w:num w:numId="4" w16cid:durableId="1799568059">
    <w:abstractNumId w:val="1"/>
  </w:num>
  <w:num w:numId="5" w16cid:durableId="2044820587">
    <w:abstractNumId w:val="7"/>
  </w:num>
  <w:num w:numId="6" w16cid:durableId="1470441775">
    <w:abstractNumId w:val="6"/>
  </w:num>
  <w:num w:numId="7" w16cid:durableId="122693066">
    <w:abstractNumId w:val="0"/>
  </w:num>
  <w:num w:numId="8" w16cid:durableId="7279189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298"/>
    <w:rsid w:val="00035E3F"/>
    <w:rsid w:val="00085878"/>
    <w:rsid w:val="00252B0C"/>
    <w:rsid w:val="00356BB4"/>
    <w:rsid w:val="008F4A4B"/>
    <w:rsid w:val="009C72CC"/>
    <w:rsid w:val="00A27880"/>
    <w:rsid w:val="00C515A3"/>
    <w:rsid w:val="00D02298"/>
    <w:rsid w:val="00E94889"/>
    <w:rsid w:val="00EB10B8"/>
    <w:rsid w:val="00ED62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0AAD2"/>
  <w15:chartTrackingRefBased/>
  <w15:docId w15:val="{35A02379-16AF-48C7-AA8E-5A908685B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298"/>
    <w:pPr>
      <w:ind w:left="720"/>
      <w:contextualSpacing/>
    </w:pPr>
  </w:style>
  <w:style w:type="paragraph" w:styleId="NormalWeb">
    <w:name w:val="Normal (Web)"/>
    <w:basedOn w:val="Normal"/>
    <w:uiPriority w:val="99"/>
    <w:unhideWhenUsed/>
    <w:rsid w:val="00D02298"/>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styleId="FootnoteText">
    <w:name w:val="footnote text"/>
    <w:basedOn w:val="Normal"/>
    <w:link w:val="FootnoteTextChar"/>
    <w:uiPriority w:val="99"/>
    <w:semiHidden/>
    <w:unhideWhenUsed/>
    <w:rsid w:val="00ED62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628C"/>
    <w:rPr>
      <w:sz w:val="20"/>
      <w:szCs w:val="20"/>
      <w:lang w:val="pt-BR"/>
    </w:rPr>
  </w:style>
  <w:style w:type="character" w:styleId="FootnoteReference">
    <w:name w:val="footnote reference"/>
    <w:basedOn w:val="DefaultParagraphFont"/>
    <w:uiPriority w:val="99"/>
    <w:semiHidden/>
    <w:unhideWhenUsed/>
    <w:rsid w:val="00ED628C"/>
    <w:rPr>
      <w:vertAlign w:val="superscript"/>
    </w:rPr>
  </w:style>
  <w:style w:type="paragraph" w:customStyle="1" w:styleId="Default">
    <w:name w:val="Default"/>
    <w:rsid w:val="00E94889"/>
    <w:pPr>
      <w:autoSpaceDE w:val="0"/>
      <w:autoSpaceDN w:val="0"/>
      <w:adjustRightInd w:val="0"/>
      <w:spacing w:after="0" w:line="240" w:lineRule="auto"/>
    </w:pPr>
    <w:rPr>
      <w:rFonts w:ascii="Verdana" w:hAnsi="Verdana" w:cs="Verdana"/>
      <w:color w:val="000000"/>
      <w:kern w:val="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9135">
      <w:bodyDiv w:val="1"/>
      <w:marLeft w:val="0"/>
      <w:marRight w:val="0"/>
      <w:marTop w:val="0"/>
      <w:marBottom w:val="0"/>
      <w:divBdr>
        <w:top w:val="none" w:sz="0" w:space="0" w:color="auto"/>
        <w:left w:val="none" w:sz="0" w:space="0" w:color="auto"/>
        <w:bottom w:val="none" w:sz="0" w:space="0" w:color="auto"/>
        <w:right w:val="none" w:sz="0" w:space="0" w:color="auto"/>
      </w:divBdr>
    </w:div>
    <w:div w:id="154612785">
      <w:bodyDiv w:val="1"/>
      <w:marLeft w:val="0"/>
      <w:marRight w:val="0"/>
      <w:marTop w:val="0"/>
      <w:marBottom w:val="0"/>
      <w:divBdr>
        <w:top w:val="none" w:sz="0" w:space="0" w:color="auto"/>
        <w:left w:val="none" w:sz="0" w:space="0" w:color="auto"/>
        <w:bottom w:val="none" w:sz="0" w:space="0" w:color="auto"/>
        <w:right w:val="none" w:sz="0" w:space="0" w:color="auto"/>
      </w:divBdr>
    </w:div>
    <w:div w:id="453256511">
      <w:bodyDiv w:val="1"/>
      <w:marLeft w:val="0"/>
      <w:marRight w:val="0"/>
      <w:marTop w:val="0"/>
      <w:marBottom w:val="0"/>
      <w:divBdr>
        <w:top w:val="none" w:sz="0" w:space="0" w:color="auto"/>
        <w:left w:val="none" w:sz="0" w:space="0" w:color="auto"/>
        <w:bottom w:val="none" w:sz="0" w:space="0" w:color="auto"/>
        <w:right w:val="none" w:sz="0" w:space="0" w:color="auto"/>
      </w:divBdr>
    </w:div>
    <w:div w:id="622273255">
      <w:bodyDiv w:val="1"/>
      <w:marLeft w:val="0"/>
      <w:marRight w:val="0"/>
      <w:marTop w:val="0"/>
      <w:marBottom w:val="0"/>
      <w:divBdr>
        <w:top w:val="none" w:sz="0" w:space="0" w:color="auto"/>
        <w:left w:val="none" w:sz="0" w:space="0" w:color="auto"/>
        <w:bottom w:val="none" w:sz="0" w:space="0" w:color="auto"/>
        <w:right w:val="none" w:sz="0" w:space="0" w:color="auto"/>
      </w:divBdr>
    </w:div>
    <w:div w:id="656418858">
      <w:bodyDiv w:val="1"/>
      <w:marLeft w:val="0"/>
      <w:marRight w:val="0"/>
      <w:marTop w:val="0"/>
      <w:marBottom w:val="0"/>
      <w:divBdr>
        <w:top w:val="none" w:sz="0" w:space="0" w:color="auto"/>
        <w:left w:val="none" w:sz="0" w:space="0" w:color="auto"/>
        <w:bottom w:val="none" w:sz="0" w:space="0" w:color="auto"/>
        <w:right w:val="none" w:sz="0" w:space="0" w:color="auto"/>
      </w:divBdr>
    </w:div>
    <w:div w:id="994574929">
      <w:bodyDiv w:val="1"/>
      <w:marLeft w:val="0"/>
      <w:marRight w:val="0"/>
      <w:marTop w:val="0"/>
      <w:marBottom w:val="0"/>
      <w:divBdr>
        <w:top w:val="none" w:sz="0" w:space="0" w:color="auto"/>
        <w:left w:val="none" w:sz="0" w:space="0" w:color="auto"/>
        <w:bottom w:val="none" w:sz="0" w:space="0" w:color="auto"/>
        <w:right w:val="none" w:sz="0" w:space="0" w:color="auto"/>
      </w:divBdr>
    </w:div>
    <w:div w:id="1176774302">
      <w:bodyDiv w:val="1"/>
      <w:marLeft w:val="0"/>
      <w:marRight w:val="0"/>
      <w:marTop w:val="0"/>
      <w:marBottom w:val="0"/>
      <w:divBdr>
        <w:top w:val="none" w:sz="0" w:space="0" w:color="auto"/>
        <w:left w:val="none" w:sz="0" w:space="0" w:color="auto"/>
        <w:bottom w:val="none" w:sz="0" w:space="0" w:color="auto"/>
        <w:right w:val="none" w:sz="0" w:space="0" w:color="auto"/>
      </w:divBdr>
      <w:divsChild>
        <w:div w:id="802502287">
          <w:marLeft w:val="0"/>
          <w:marRight w:val="0"/>
          <w:marTop w:val="0"/>
          <w:marBottom w:val="0"/>
          <w:divBdr>
            <w:top w:val="single" w:sz="2" w:space="0" w:color="D9D9E3"/>
            <w:left w:val="single" w:sz="2" w:space="0" w:color="D9D9E3"/>
            <w:bottom w:val="single" w:sz="2" w:space="0" w:color="D9D9E3"/>
            <w:right w:val="single" w:sz="2" w:space="0" w:color="D9D9E3"/>
          </w:divBdr>
          <w:divsChild>
            <w:div w:id="56443980">
              <w:marLeft w:val="0"/>
              <w:marRight w:val="0"/>
              <w:marTop w:val="0"/>
              <w:marBottom w:val="0"/>
              <w:divBdr>
                <w:top w:val="single" w:sz="2" w:space="0" w:color="D9D9E3"/>
                <w:left w:val="single" w:sz="2" w:space="0" w:color="D9D9E3"/>
                <w:bottom w:val="single" w:sz="2" w:space="0" w:color="D9D9E3"/>
                <w:right w:val="single" w:sz="2" w:space="0" w:color="D9D9E3"/>
              </w:divBdr>
              <w:divsChild>
                <w:div w:id="1480002290">
                  <w:marLeft w:val="0"/>
                  <w:marRight w:val="0"/>
                  <w:marTop w:val="0"/>
                  <w:marBottom w:val="0"/>
                  <w:divBdr>
                    <w:top w:val="single" w:sz="2" w:space="0" w:color="D9D9E3"/>
                    <w:left w:val="single" w:sz="2" w:space="0" w:color="D9D9E3"/>
                    <w:bottom w:val="single" w:sz="2" w:space="0" w:color="D9D9E3"/>
                    <w:right w:val="single" w:sz="2" w:space="0" w:color="D9D9E3"/>
                  </w:divBdr>
                  <w:divsChild>
                    <w:div w:id="934440883">
                      <w:marLeft w:val="0"/>
                      <w:marRight w:val="0"/>
                      <w:marTop w:val="0"/>
                      <w:marBottom w:val="0"/>
                      <w:divBdr>
                        <w:top w:val="single" w:sz="2" w:space="0" w:color="D9D9E3"/>
                        <w:left w:val="single" w:sz="2" w:space="0" w:color="D9D9E3"/>
                        <w:bottom w:val="single" w:sz="2" w:space="0" w:color="D9D9E3"/>
                        <w:right w:val="single" w:sz="2" w:space="0" w:color="D9D9E3"/>
                      </w:divBdr>
                      <w:divsChild>
                        <w:div w:id="993950236">
                          <w:marLeft w:val="0"/>
                          <w:marRight w:val="0"/>
                          <w:marTop w:val="0"/>
                          <w:marBottom w:val="0"/>
                          <w:divBdr>
                            <w:top w:val="single" w:sz="2" w:space="0" w:color="auto"/>
                            <w:left w:val="single" w:sz="2" w:space="0" w:color="auto"/>
                            <w:bottom w:val="single" w:sz="6" w:space="0" w:color="auto"/>
                            <w:right w:val="single" w:sz="2" w:space="0" w:color="auto"/>
                          </w:divBdr>
                          <w:divsChild>
                            <w:div w:id="1702050895">
                              <w:marLeft w:val="0"/>
                              <w:marRight w:val="0"/>
                              <w:marTop w:val="100"/>
                              <w:marBottom w:val="100"/>
                              <w:divBdr>
                                <w:top w:val="single" w:sz="2" w:space="0" w:color="D9D9E3"/>
                                <w:left w:val="single" w:sz="2" w:space="0" w:color="D9D9E3"/>
                                <w:bottom w:val="single" w:sz="2" w:space="0" w:color="D9D9E3"/>
                                <w:right w:val="single" w:sz="2" w:space="0" w:color="D9D9E3"/>
                              </w:divBdr>
                              <w:divsChild>
                                <w:div w:id="135729122">
                                  <w:marLeft w:val="0"/>
                                  <w:marRight w:val="0"/>
                                  <w:marTop w:val="0"/>
                                  <w:marBottom w:val="0"/>
                                  <w:divBdr>
                                    <w:top w:val="single" w:sz="2" w:space="0" w:color="D9D9E3"/>
                                    <w:left w:val="single" w:sz="2" w:space="0" w:color="D9D9E3"/>
                                    <w:bottom w:val="single" w:sz="2" w:space="0" w:color="D9D9E3"/>
                                    <w:right w:val="single" w:sz="2" w:space="0" w:color="D9D9E3"/>
                                  </w:divBdr>
                                  <w:divsChild>
                                    <w:div w:id="1298291805">
                                      <w:marLeft w:val="0"/>
                                      <w:marRight w:val="0"/>
                                      <w:marTop w:val="0"/>
                                      <w:marBottom w:val="0"/>
                                      <w:divBdr>
                                        <w:top w:val="single" w:sz="2" w:space="0" w:color="D9D9E3"/>
                                        <w:left w:val="single" w:sz="2" w:space="0" w:color="D9D9E3"/>
                                        <w:bottom w:val="single" w:sz="2" w:space="0" w:color="D9D9E3"/>
                                        <w:right w:val="single" w:sz="2" w:space="0" w:color="D9D9E3"/>
                                      </w:divBdr>
                                      <w:divsChild>
                                        <w:div w:id="519203946">
                                          <w:marLeft w:val="0"/>
                                          <w:marRight w:val="0"/>
                                          <w:marTop w:val="0"/>
                                          <w:marBottom w:val="0"/>
                                          <w:divBdr>
                                            <w:top w:val="single" w:sz="2" w:space="0" w:color="D9D9E3"/>
                                            <w:left w:val="single" w:sz="2" w:space="0" w:color="D9D9E3"/>
                                            <w:bottom w:val="single" w:sz="2" w:space="0" w:color="D9D9E3"/>
                                            <w:right w:val="single" w:sz="2" w:space="0" w:color="D9D9E3"/>
                                          </w:divBdr>
                                          <w:divsChild>
                                            <w:div w:id="22441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86941669">
          <w:marLeft w:val="0"/>
          <w:marRight w:val="0"/>
          <w:marTop w:val="0"/>
          <w:marBottom w:val="0"/>
          <w:divBdr>
            <w:top w:val="none" w:sz="0" w:space="0" w:color="auto"/>
            <w:left w:val="none" w:sz="0" w:space="0" w:color="auto"/>
            <w:bottom w:val="none" w:sz="0" w:space="0" w:color="auto"/>
            <w:right w:val="none" w:sz="0" w:space="0" w:color="auto"/>
          </w:divBdr>
        </w:div>
      </w:divsChild>
    </w:div>
    <w:div w:id="1337733607">
      <w:bodyDiv w:val="1"/>
      <w:marLeft w:val="0"/>
      <w:marRight w:val="0"/>
      <w:marTop w:val="0"/>
      <w:marBottom w:val="0"/>
      <w:divBdr>
        <w:top w:val="none" w:sz="0" w:space="0" w:color="auto"/>
        <w:left w:val="none" w:sz="0" w:space="0" w:color="auto"/>
        <w:bottom w:val="none" w:sz="0" w:space="0" w:color="auto"/>
        <w:right w:val="none" w:sz="0" w:space="0" w:color="auto"/>
      </w:divBdr>
    </w:div>
    <w:div w:id="1520269817">
      <w:bodyDiv w:val="1"/>
      <w:marLeft w:val="0"/>
      <w:marRight w:val="0"/>
      <w:marTop w:val="0"/>
      <w:marBottom w:val="0"/>
      <w:divBdr>
        <w:top w:val="none" w:sz="0" w:space="0" w:color="auto"/>
        <w:left w:val="none" w:sz="0" w:space="0" w:color="auto"/>
        <w:bottom w:val="none" w:sz="0" w:space="0" w:color="auto"/>
        <w:right w:val="none" w:sz="0" w:space="0" w:color="auto"/>
      </w:divBdr>
    </w:div>
    <w:div w:id="1523275054">
      <w:bodyDiv w:val="1"/>
      <w:marLeft w:val="0"/>
      <w:marRight w:val="0"/>
      <w:marTop w:val="0"/>
      <w:marBottom w:val="0"/>
      <w:divBdr>
        <w:top w:val="none" w:sz="0" w:space="0" w:color="auto"/>
        <w:left w:val="none" w:sz="0" w:space="0" w:color="auto"/>
        <w:bottom w:val="none" w:sz="0" w:space="0" w:color="auto"/>
        <w:right w:val="none" w:sz="0" w:space="0" w:color="auto"/>
      </w:divBdr>
      <w:divsChild>
        <w:div w:id="1364671161">
          <w:marLeft w:val="0"/>
          <w:marRight w:val="0"/>
          <w:marTop w:val="0"/>
          <w:marBottom w:val="0"/>
          <w:divBdr>
            <w:top w:val="single" w:sz="2" w:space="0" w:color="auto"/>
            <w:left w:val="single" w:sz="2" w:space="0" w:color="auto"/>
            <w:bottom w:val="single" w:sz="6" w:space="0" w:color="auto"/>
            <w:right w:val="single" w:sz="2" w:space="0" w:color="auto"/>
          </w:divBdr>
          <w:divsChild>
            <w:div w:id="395666261">
              <w:marLeft w:val="0"/>
              <w:marRight w:val="0"/>
              <w:marTop w:val="100"/>
              <w:marBottom w:val="100"/>
              <w:divBdr>
                <w:top w:val="single" w:sz="2" w:space="0" w:color="D9D9E3"/>
                <w:left w:val="single" w:sz="2" w:space="0" w:color="D9D9E3"/>
                <w:bottom w:val="single" w:sz="2" w:space="0" w:color="D9D9E3"/>
                <w:right w:val="single" w:sz="2" w:space="0" w:color="D9D9E3"/>
              </w:divBdr>
              <w:divsChild>
                <w:div w:id="1529104249">
                  <w:marLeft w:val="0"/>
                  <w:marRight w:val="0"/>
                  <w:marTop w:val="0"/>
                  <w:marBottom w:val="0"/>
                  <w:divBdr>
                    <w:top w:val="single" w:sz="2" w:space="0" w:color="D9D9E3"/>
                    <w:left w:val="single" w:sz="2" w:space="0" w:color="D9D9E3"/>
                    <w:bottom w:val="single" w:sz="2" w:space="0" w:color="D9D9E3"/>
                    <w:right w:val="single" w:sz="2" w:space="0" w:color="D9D9E3"/>
                  </w:divBdr>
                  <w:divsChild>
                    <w:div w:id="238173277">
                      <w:marLeft w:val="0"/>
                      <w:marRight w:val="0"/>
                      <w:marTop w:val="0"/>
                      <w:marBottom w:val="0"/>
                      <w:divBdr>
                        <w:top w:val="single" w:sz="2" w:space="0" w:color="D9D9E3"/>
                        <w:left w:val="single" w:sz="2" w:space="0" w:color="D9D9E3"/>
                        <w:bottom w:val="single" w:sz="2" w:space="0" w:color="D9D9E3"/>
                        <w:right w:val="single" w:sz="2" w:space="0" w:color="D9D9E3"/>
                      </w:divBdr>
                      <w:divsChild>
                        <w:div w:id="1947037657">
                          <w:marLeft w:val="0"/>
                          <w:marRight w:val="0"/>
                          <w:marTop w:val="0"/>
                          <w:marBottom w:val="0"/>
                          <w:divBdr>
                            <w:top w:val="single" w:sz="2" w:space="0" w:color="D9D9E3"/>
                            <w:left w:val="single" w:sz="2" w:space="0" w:color="D9D9E3"/>
                            <w:bottom w:val="single" w:sz="2" w:space="0" w:color="D9D9E3"/>
                            <w:right w:val="single" w:sz="2" w:space="0" w:color="D9D9E3"/>
                          </w:divBdr>
                          <w:divsChild>
                            <w:div w:id="1059598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62156345">
      <w:bodyDiv w:val="1"/>
      <w:marLeft w:val="0"/>
      <w:marRight w:val="0"/>
      <w:marTop w:val="0"/>
      <w:marBottom w:val="0"/>
      <w:divBdr>
        <w:top w:val="none" w:sz="0" w:space="0" w:color="auto"/>
        <w:left w:val="none" w:sz="0" w:space="0" w:color="auto"/>
        <w:bottom w:val="none" w:sz="0" w:space="0" w:color="auto"/>
        <w:right w:val="none" w:sz="0" w:space="0" w:color="auto"/>
      </w:divBdr>
    </w:div>
    <w:div w:id="1729303686">
      <w:bodyDiv w:val="1"/>
      <w:marLeft w:val="0"/>
      <w:marRight w:val="0"/>
      <w:marTop w:val="0"/>
      <w:marBottom w:val="0"/>
      <w:divBdr>
        <w:top w:val="none" w:sz="0" w:space="0" w:color="auto"/>
        <w:left w:val="none" w:sz="0" w:space="0" w:color="auto"/>
        <w:bottom w:val="none" w:sz="0" w:space="0" w:color="auto"/>
        <w:right w:val="none" w:sz="0" w:space="0" w:color="auto"/>
      </w:divBdr>
      <w:divsChild>
        <w:div w:id="1935282203">
          <w:marLeft w:val="0"/>
          <w:marRight w:val="0"/>
          <w:marTop w:val="0"/>
          <w:marBottom w:val="0"/>
          <w:divBdr>
            <w:top w:val="single" w:sz="2" w:space="0" w:color="auto"/>
            <w:left w:val="single" w:sz="2" w:space="0" w:color="auto"/>
            <w:bottom w:val="single" w:sz="6" w:space="0" w:color="auto"/>
            <w:right w:val="single" w:sz="2" w:space="0" w:color="auto"/>
          </w:divBdr>
          <w:divsChild>
            <w:div w:id="1686326420">
              <w:marLeft w:val="0"/>
              <w:marRight w:val="0"/>
              <w:marTop w:val="100"/>
              <w:marBottom w:val="100"/>
              <w:divBdr>
                <w:top w:val="single" w:sz="2" w:space="0" w:color="D9D9E3"/>
                <w:left w:val="single" w:sz="2" w:space="0" w:color="D9D9E3"/>
                <w:bottom w:val="single" w:sz="2" w:space="0" w:color="D9D9E3"/>
                <w:right w:val="single" w:sz="2" w:space="0" w:color="D9D9E3"/>
              </w:divBdr>
              <w:divsChild>
                <w:div w:id="1466459813">
                  <w:marLeft w:val="0"/>
                  <w:marRight w:val="0"/>
                  <w:marTop w:val="0"/>
                  <w:marBottom w:val="0"/>
                  <w:divBdr>
                    <w:top w:val="single" w:sz="2" w:space="0" w:color="D9D9E3"/>
                    <w:left w:val="single" w:sz="2" w:space="0" w:color="D9D9E3"/>
                    <w:bottom w:val="single" w:sz="2" w:space="0" w:color="D9D9E3"/>
                    <w:right w:val="single" w:sz="2" w:space="0" w:color="D9D9E3"/>
                  </w:divBdr>
                  <w:divsChild>
                    <w:div w:id="1784419435">
                      <w:marLeft w:val="0"/>
                      <w:marRight w:val="0"/>
                      <w:marTop w:val="0"/>
                      <w:marBottom w:val="0"/>
                      <w:divBdr>
                        <w:top w:val="single" w:sz="2" w:space="0" w:color="D9D9E3"/>
                        <w:left w:val="single" w:sz="2" w:space="0" w:color="D9D9E3"/>
                        <w:bottom w:val="single" w:sz="2" w:space="0" w:color="D9D9E3"/>
                        <w:right w:val="single" w:sz="2" w:space="0" w:color="D9D9E3"/>
                      </w:divBdr>
                      <w:divsChild>
                        <w:div w:id="87580885">
                          <w:marLeft w:val="0"/>
                          <w:marRight w:val="0"/>
                          <w:marTop w:val="0"/>
                          <w:marBottom w:val="0"/>
                          <w:divBdr>
                            <w:top w:val="single" w:sz="2" w:space="0" w:color="D9D9E3"/>
                            <w:left w:val="single" w:sz="2" w:space="0" w:color="D9D9E3"/>
                            <w:bottom w:val="single" w:sz="2" w:space="0" w:color="D9D9E3"/>
                            <w:right w:val="single" w:sz="2" w:space="0" w:color="D9D9E3"/>
                          </w:divBdr>
                          <w:divsChild>
                            <w:div w:id="634915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0292320">
      <w:bodyDiv w:val="1"/>
      <w:marLeft w:val="0"/>
      <w:marRight w:val="0"/>
      <w:marTop w:val="0"/>
      <w:marBottom w:val="0"/>
      <w:divBdr>
        <w:top w:val="none" w:sz="0" w:space="0" w:color="auto"/>
        <w:left w:val="none" w:sz="0" w:space="0" w:color="auto"/>
        <w:bottom w:val="none" w:sz="0" w:space="0" w:color="auto"/>
        <w:right w:val="none" w:sz="0" w:space="0" w:color="auto"/>
      </w:divBdr>
    </w:div>
    <w:div w:id="1979649706">
      <w:bodyDiv w:val="1"/>
      <w:marLeft w:val="0"/>
      <w:marRight w:val="0"/>
      <w:marTop w:val="0"/>
      <w:marBottom w:val="0"/>
      <w:divBdr>
        <w:top w:val="none" w:sz="0" w:space="0" w:color="auto"/>
        <w:left w:val="none" w:sz="0" w:space="0" w:color="auto"/>
        <w:bottom w:val="none" w:sz="0" w:space="0" w:color="auto"/>
        <w:right w:val="none" w:sz="0" w:space="0" w:color="auto"/>
      </w:divBdr>
    </w:div>
    <w:div w:id="2038460752">
      <w:bodyDiv w:val="1"/>
      <w:marLeft w:val="0"/>
      <w:marRight w:val="0"/>
      <w:marTop w:val="0"/>
      <w:marBottom w:val="0"/>
      <w:divBdr>
        <w:top w:val="none" w:sz="0" w:space="0" w:color="auto"/>
        <w:left w:val="none" w:sz="0" w:space="0" w:color="auto"/>
        <w:bottom w:val="none" w:sz="0" w:space="0" w:color="auto"/>
        <w:right w:val="none" w:sz="0" w:space="0" w:color="auto"/>
      </w:divBdr>
    </w:div>
    <w:div w:id="206806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7073C-B70E-40BF-9476-6A10CA89E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2596</Words>
  <Characters>14356</Characters>
  <Application>Microsoft Office Word</Application>
  <DocSecurity>0</DocSecurity>
  <Lines>270</Lines>
  <Paragraphs>68</Paragraphs>
  <ScaleCrop>false</ScaleCrop>
  <Company/>
  <LinksUpToDate>false</LinksUpToDate>
  <CharactersWithSpaces>16884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Acioli</dc:creator>
  <cp:keywords/>
  <dc:description/>
  <cp:lastModifiedBy>Celine Reynaud</cp:lastModifiedBy>
  <cp:revision>2</cp:revision>
  <dcterms:created xsi:type="dcterms:W3CDTF">2023-08-29T14:22:00Z</dcterms:created>
  <dcterms:modified xsi:type="dcterms:W3CDTF">2023-08-29T14:22:00Z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126d2fb4defe38ac4124726849a60c87f433e114d2b763c9a208b9dba3bb0266</vt:lpwstr>
  </property>
</Properties>
</file>