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025AC" w14:textId="77777777" w:rsidR="0016500E" w:rsidRDefault="0016500E">
      <w:pPr>
        <w:spacing w:after="240" w:line="360" w:lineRule="auto"/>
        <w:jc w:val="both"/>
        <w:rPr>
          <w:rFonts w:ascii="Times New Roman" w:hAnsi="Times New Roman" w:cs="Times New Roman"/>
          <w:sz w:val="21"/>
          <w:szCs w:val="21"/>
        </w:rPr>
      </w:pPr>
    </w:p>
    <w:p w14:paraId="2321E80A" w14:textId="77777777" w:rsidR="0016500E" w:rsidRDefault="0016500E">
      <w:pPr>
        <w:spacing w:after="240" w:line="360" w:lineRule="auto"/>
        <w:jc w:val="both"/>
        <w:rPr>
          <w:rFonts w:ascii="Times New Roman" w:hAnsi="Times New Roman" w:cs="Times New Roman"/>
          <w:sz w:val="21"/>
          <w:szCs w:val="21"/>
        </w:rPr>
      </w:pPr>
    </w:p>
    <w:p w14:paraId="66CF9615" w14:textId="77777777" w:rsidR="0016500E" w:rsidRDefault="0016500E">
      <w:pPr>
        <w:spacing w:after="240" w:line="360" w:lineRule="auto"/>
        <w:jc w:val="both"/>
        <w:rPr>
          <w:rFonts w:ascii="Times New Roman" w:hAnsi="Times New Roman" w:cs="Times New Roman"/>
          <w:sz w:val="21"/>
          <w:szCs w:val="21"/>
        </w:rPr>
      </w:pPr>
    </w:p>
    <w:p w14:paraId="44BD8449" w14:textId="77777777" w:rsidR="0016500E" w:rsidRDefault="0016500E">
      <w:pPr>
        <w:spacing w:after="240" w:line="360" w:lineRule="auto"/>
        <w:jc w:val="both"/>
        <w:rPr>
          <w:rFonts w:ascii="Times New Roman" w:hAnsi="Times New Roman" w:cs="Times New Roman"/>
          <w:sz w:val="21"/>
          <w:szCs w:val="21"/>
        </w:rPr>
      </w:pPr>
    </w:p>
    <w:p w14:paraId="3588CA7F" w14:textId="77777777" w:rsidR="0016500E" w:rsidRDefault="0016500E">
      <w:pPr>
        <w:spacing w:after="240" w:line="360" w:lineRule="auto"/>
        <w:jc w:val="both"/>
        <w:rPr>
          <w:rFonts w:ascii="Times New Roman" w:hAnsi="Times New Roman" w:cs="Times New Roman"/>
          <w:sz w:val="21"/>
          <w:szCs w:val="21"/>
        </w:rPr>
      </w:pPr>
    </w:p>
    <w:p w14:paraId="5BCD4C24" w14:textId="77777777" w:rsidR="0016500E" w:rsidRDefault="0016500E">
      <w:pPr>
        <w:spacing w:after="240" w:line="360" w:lineRule="auto"/>
        <w:jc w:val="both"/>
        <w:rPr>
          <w:rFonts w:ascii="Times New Roman" w:hAnsi="Times New Roman" w:cs="Times New Roman"/>
          <w:sz w:val="21"/>
          <w:szCs w:val="21"/>
        </w:rPr>
      </w:pPr>
    </w:p>
    <w:p w14:paraId="6DEEF165" w14:textId="77777777" w:rsidR="0016500E" w:rsidRDefault="0016500E">
      <w:pPr>
        <w:spacing w:after="240" w:line="360" w:lineRule="auto"/>
        <w:jc w:val="both"/>
        <w:rPr>
          <w:rFonts w:ascii="Times New Roman" w:hAnsi="Times New Roman" w:cs="Times New Roman"/>
          <w:sz w:val="21"/>
          <w:szCs w:val="21"/>
        </w:rPr>
      </w:pPr>
    </w:p>
    <w:p w14:paraId="02AF9440" w14:textId="77777777" w:rsidR="0016500E" w:rsidRDefault="0016500E">
      <w:pPr>
        <w:spacing w:after="240" w:line="360" w:lineRule="auto"/>
        <w:jc w:val="both"/>
        <w:rPr>
          <w:rFonts w:ascii="Times New Roman" w:hAnsi="Times New Roman" w:cs="Times New Roman"/>
          <w:sz w:val="21"/>
          <w:szCs w:val="21"/>
        </w:rPr>
      </w:pPr>
    </w:p>
    <w:p w14:paraId="24D705BD" w14:textId="77777777" w:rsidR="0016500E" w:rsidRDefault="0016500E">
      <w:pPr>
        <w:spacing w:after="240" w:line="360" w:lineRule="auto"/>
        <w:jc w:val="both"/>
        <w:rPr>
          <w:rFonts w:ascii="Times New Roman" w:hAnsi="Times New Roman" w:cs="Times New Roman"/>
          <w:sz w:val="21"/>
          <w:szCs w:val="21"/>
        </w:rPr>
      </w:pPr>
    </w:p>
    <w:p w14:paraId="6803D6C3" w14:textId="77777777" w:rsidR="0016500E" w:rsidRDefault="00000000">
      <w:pPr>
        <w:spacing w:after="240" w:line="360" w:lineRule="auto"/>
        <w:jc w:val="center"/>
        <w:rPr>
          <w:rFonts w:ascii="Times New Roman" w:hAnsi="Times New Roman" w:cs="Times New Roman"/>
          <w:b/>
          <w:sz w:val="21"/>
          <w:szCs w:val="21"/>
        </w:rPr>
      </w:pPr>
      <w:r>
        <w:rPr>
          <w:rFonts w:ascii="Times New Roman" w:hAnsi="Times New Roman" w:cs="Times New Roman"/>
          <w:b/>
          <w:sz w:val="21"/>
          <w:szCs w:val="21"/>
        </w:rPr>
        <w:t>SHADOW REPORT – CONVENTION ON THE ELIMINATION OF ALL FORMS OF DISCRIMINATION AGAINST WOMEN (CEDAW)</w:t>
      </w:r>
    </w:p>
    <w:p w14:paraId="7652E309" w14:textId="77777777" w:rsidR="0016500E" w:rsidRDefault="0016500E">
      <w:pPr>
        <w:spacing w:after="240" w:line="360" w:lineRule="auto"/>
        <w:jc w:val="both"/>
        <w:rPr>
          <w:rFonts w:ascii="Times New Roman" w:hAnsi="Times New Roman" w:cs="Times New Roman"/>
          <w:sz w:val="21"/>
          <w:szCs w:val="21"/>
        </w:rPr>
      </w:pPr>
    </w:p>
    <w:p w14:paraId="64DCB532" w14:textId="77777777" w:rsidR="0016500E" w:rsidRDefault="0016500E">
      <w:pPr>
        <w:spacing w:after="240" w:line="360" w:lineRule="auto"/>
        <w:jc w:val="both"/>
        <w:rPr>
          <w:rFonts w:ascii="Times New Roman" w:hAnsi="Times New Roman" w:cs="Times New Roman"/>
          <w:sz w:val="21"/>
          <w:szCs w:val="21"/>
        </w:rPr>
      </w:pPr>
    </w:p>
    <w:p w14:paraId="022032C8" w14:textId="77777777" w:rsidR="0016500E" w:rsidRDefault="0016500E">
      <w:pPr>
        <w:spacing w:after="240" w:line="360" w:lineRule="auto"/>
        <w:jc w:val="both"/>
        <w:rPr>
          <w:rFonts w:ascii="Times New Roman" w:hAnsi="Times New Roman" w:cs="Times New Roman"/>
          <w:sz w:val="21"/>
          <w:szCs w:val="21"/>
        </w:rPr>
      </w:pPr>
    </w:p>
    <w:p w14:paraId="2848E08C" w14:textId="77777777" w:rsidR="0016500E" w:rsidRDefault="0016500E">
      <w:pPr>
        <w:spacing w:after="240" w:line="360" w:lineRule="auto"/>
        <w:jc w:val="both"/>
        <w:rPr>
          <w:rFonts w:ascii="Times New Roman" w:hAnsi="Times New Roman" w:cs="Times New Roman"/>
          <w:sz w:val="21"/>
          <w:szCs w:val="21"/>
        </w:rPr>
      </w:pPr>
    </w:p>
    <w:p w14:paraId="0EDB360E" w14:textId="77777777" w:rsidR="0016500E" w:rsidRDefault="0016500E">
      <w:pPr>
        <w:spacing w:after="240" w:line="360" w:lineRule="auto"/>
        <w:jc w:val="both"/>
        <w:rPr>
          <w:rFonts w:ascii="Times New Roman" w:hAnsi="Times New Roman" w:cs="Times New Roman"/>
          <w:sz w:val="21"/>
          <w:szCs w:val="21"/>
        </w:rPr>
      </w:pPr>
    </w:p>
    <w:p w14:paraId="0AB55D61" w14:textId="77777777" w:rsidR="0016500E" w:rsidRDefault="0016500E">
      <w:pPr>
        <w:spacing w:after="240" w:line="360" w:lineRule="auto"/>
        <w:jc w:val="both"/>
        <w:rPr>
          <w:rFonts w:ascii="Times New Roman" w:hAnsi="Times New Roman" w:cs="Times New Roman"/>
          <w:sz w:val="21"/>
          <w:szCs w:val="21"/>
        </w:rPr>
      </w:pPr>
    </w:p>
    <w:p w14:paraId="6ACBFEBE" w14:textId="77777777" w:rsidR="0016500E" w:rsidRDefault="0016500E">
      <w:pPr>
        <w:spacing w:after="240" w:line="360" w:lineRule="auto"/>
        <w:jc w:val="both"/>
        <w:rPr>
          <w:rFonts w:ascii="Times New Roman" w:hAnsi="Times New Roman" w:cs="Times New Roman"/>
          <w:sz w:val="21"/>
          <w:szCs w:val="21"/>
        </w:rPr>
      </w:pPr>
    </w:p>
    <w:p w14:paraId="2EF8BB2E" w14:textId="77777777" w:rsidR="0016500E" w:rsidRDefault="0016500E">
      <w:pPr>
        <w:spacing w:after="240" w:line="360" w:lineRule="auto"/>
        <w:jc w:val="both"/>
        <w:rPr>
          <w:rFonts w:ascii="Times New Roman" w:hAnsi="Times New Roman" w:cs="Times New Roman"/>
          <w:sz w:val="21"/>
          <w:szCs w:val="21"/>
        </w:rPr>
      </w:pPr>
    </w:p>
    <w:p w14:paraId="1731ACCE" w14:textId="77777777" w:rsidR="0016500E" w:rsidRDefault="0016500E">
      <w:pPr>
        <w:spacing w:after="240" w:line="360" w:lineRule="auto"/>
        <w:jc w:val="both"/>
        <w:rPr>
          <w:rFonts w:ascii="Times New Roman" w:hAnsi="Times New Roman" w:cs="Times New Roman"/>
          <w:sz w:val="21"/>
          <w:szCs w:val="21"/>
        </w:rPr>
      </w:pPr>
    </w:p>
    <w:p w14:paraId="67BF0D30" w14:textId="77777777" w:rsidR="0016500E" w:rsidRDefault="0016500E">
      <w:pPr>
        <w:spacing w:after="240" w:line="360" w:lineRule="auto"/>
        <w:jc w:val="both"/>
        <w:rPr>
          <w:rFonts w:ascii="Times New Roman" w:hAnsi="Times New Roman" w:cs="Times New Roman"/>
          <w:sz w:val="21"/>
          <w:szCs w:val="21"/>
        </w:rPr>
      </w:pPr>
    </w:p>
    <w:p w14:paraId="2769C6AD" w14:textId="77777777" w:rsidR="0016500E" w:rsidRDefault="0016500E">
      <w:pPr>
        <w:spacing w:after="240" w:line="360" w:lineRule="auto"/>
        <w:jc w:val="both"/>
        <w:rPr>
          <w:rFonts w:ascii="Times New Roman" w:hAnsi="Times New Roman" w:cs="Times New Roman"/>
          <w:sz w:val="21"/>
          <w:szCs w:val="21"/>
        </w:rPr>
      </w:pPr>
    </w:p>
    <w:p w14:paraId="1FF7A554" w14:textId="77777777" w:rsidR="0016500E" w:rsidRDefault="0016500E">
      <w:pPr>
        <w:spacing w:after="240" w:line="360" w:lineRule="auto"/>
        <w:jc w:val="both"/>
        <w:rPr>
          <w:rFonts w:ascii="Times New Roman" w:hAnsi="Times New Roman" w:cs="Times New Roman"/>
          <w:sz w:val="21"/>
          <w:szCs w:val="21"/>
        </w:rPr>
      </w:pPr>
    </w:p>
    <w:p w14:paraId="7A8E501E" w14:textId="77777777" w:rsidR="0016500E" w:rsidRDefault="00000000">
      <w:pPr>
        <w:spacing w:after="240" w:line="360" w:lineRule="auto"/>
        <w:jc w:val="center"/>
        <w:rPr>
          <w:rFonts w:ascii="Times New Roman" w:hAnsi="Times New Roman" w:cs="Times New Roman"/>
          <w:sz w:val="21"/>
          <w:szCs w:val="21"/>
        </w:rPr>
      </w:pPr>
      <w:r>
        <w:rPr>
          <w:rFonts w:ascii="Times New Roman" w:hAnsi="Times New Roman" w:cs="Times New Roman"/>
          <w:sz w:val="21"/>
          <w:szCs w:val="21"/>
        </w:rPr>
        <w:t>Guinea-Bissau – 2025</w:t>
      </w:r>
    </w:p>
    <w:p w14:paraId="40A48F7A"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lastRenderedPageBreak/>
        <w:t>Introduction</w:t>
      </w:r>
    </w:p>
    <w:p w14:paraId="768EDED7" w14:textId="06CD8343" w:rsidR="001D6FF8" w:rsidRPr="00294014" w:rsidRDefault="00294014" w:rsidP="001D6FF8">
      <w:pPr>
        <w:pStyle w:val="PargrafodaLista"/>
        <w:numPr>
          <w:ilvl w:val="0"/>
          <w:numId w:val="1"/>
        </w:numPr>
        <w:spacing w:after="120" w:line="360" w:lineRule="auto"/>
        <w:ind w:left="714" w:hanging="357"/>
        <w:jc w:val="both"/>
        <w:rPr>
          <w:rFonts w:ascii="Times New Roman" w:hAnsi="Times New Roman" w:cs="Times New Roman"/>
          <w:sz w:val="21"/>
          <w:szCs w:val="21"/>
        </w:rPr>
      </w:pPr>
      <w:r w:rsidRPr="00294014">
        <w:rPr>
          <w:rFonts w:ascii="Times New Roman" w:hAnsi="Times New Roman" w:cs="Times New Roman"/>
          <w:sz w:val="21"/>
          <w:szCs w:val="21"/>
        </w:rPr>
        <w:t>This report, collaboratively prepared by various civil society organizations — notably the Federation of Associations for the Defense and Promotion of the Rights of Persons with Disabilities of Guinea-Bissau (FADPD-GB), in partnership with other CSOs committed to human rights and social justice, and with technical and financial support from Sightsavers — aims to expose the real situation experienced by women and girls with disabilities in the country. It also seeks to highlight the gaps in the implementation of CEDAW and provide concrete recommendations for its effective application.</w:t>
      </w:r>
    </w:p>
    <w:p w14:paraId="53B52F9B" w14:textId="0A2BA83F" w:rsidR="005C5E84" w:rsidRPr="005C5E84" w:rsidRDefault="005C5E84" w:rsidP="005C5E84">
      <w:pPr>
        <w:pStyle w:val="PargrafodaLista"/>
        <w:numPr>
          <w:ilvl w:val="0"/>
          <w:numId w:val="1"/>
        </w:numPr>
        <w:spacing w:after="120" w:line="360" w:lineRule="auto"/>
        <w:ind w:left="714" w:hanging="357"/>
        <w:jc w:val="both"/>
        <w:rPr>
          <w:rFonts w:ascii="Times New Roman" w:hAnsi="Times New Roman" w:cs="Times New Roman"/>
          <w:sz w:val="21"/>
          <w:szCs w:val="21"/>
        </w:rPr>
      </w:pPr>
      <w:r w:rsidRPr="005C5E84">
        <w:rPr>
          <w:rFonts w:ascii="Times New Roman" w:hAnsi="Times New Roman" w:cs="Times New Roman"/>
          <w:sz w:val="21"/>
          <w:szCs w:val="21"/>
        </w:rPr>
        <w:t>Guinea-Bissau ratified the Convention on the Elimination of All Forms of Discrimination against Women (CEDAW) on August 17, 1985, without reservations, thereby making a formal commitment to the promotion of gender equality and the elimination of all forms of discrimination against women. However, nearly four decades later, many women and girls in Guinea-Bissau — including those with disabilities — continue to face systematic discrimination and exclusion across multiple spheres of social, economic, and political life.</w:t>
      </w:r>
    </w:p>
    <w:p w14:paraId="68F0305D" w14:textId="77777777" w:rsidR="005C5E84" w:rsidRPr="005C5E84" w:rsidRDefault="005C5E84" w:rsidP="005C5E84">
      <w:pPr>
        <w:pStyle w:val="PargrafodaLista"/>
        <w:numPr>
          <w:ilvl w:val="0"/>
          <w:numId w:val="1"/>
        </w:numPr>
        <w:spacing w:after="120" w:line="360" w:lineRule="auto"/>
        <w:ind w:left="714" w:hanging="357"/>
        <w:jc w:val="both"/>
        <w:rPr>
          <w:rFonts w:ascii="Times New Roman" w:hAnsi="Times New Roman" w:cs="Times New Roman"/>
          <w:sz w:val="21"/>
          <w:szCs w:val="21"/>
        </w:rPr>
      </w:pPr>
      <w:r w:rsidRPr="005C5E84">
        <w:rPr>
          <w:rFonts w:ascii="Times New Roman" w:hAnsi="Times New Roman" w:cs="Times New Roman"/>
          <w:sz w:val="21"/>
          <w:szCs w:val="21"/>
        </w:rPr>
        <w:t>Persons with disabilities, in particular, remain among the most marginalized groups in society. These vulnerable segments are rarely considered in public investments aimed at protecting and fulfilling human rights. Public authorities have failed to address structural barriers, such as lack of physical accessibility, limited access to education, lack of mobility, exclusion from social benefits, among other challenges, resulting in serious harm and violations of fundamental human rights.</w:t>
      </w:r>
    </w:p>
    <w:p w14:paraId="617C3E91" w14:textId="77777777" w:rsidR="005C5E84" w:rsidRPr="005C5E84" w:rsidRDefault="005C5E84" w:rsidP="005C5E84">
      <w:pPr>
        <w:pStyle w:val="PargrafodaLista"/>
        <w:numPr>
          <w:ilvl w:val="0"/>
          <w:numId w:val="1"/>
        </w:numPr>
        <w:spacing w:after="120" w:line="360" w:lineRule="auto"/>
        <w:ind w:left="714" w:hanging="357"/>
        <w:jc w:val="both"/>
        <w:rPr>
          <w:rFonts w:ascii="Times New Roman" w:hAnsi="Times New Roman" w:cs="Times New Roman"/>
          <w:sz w:val="21"/>
          <w:szCs w:val="21"/>
        </w:rPr>
      </w:pPr>
      <w:r w:rsidRPr="005C5E84">
        <w:rPr>
          <w:rFonts w:ascii="Times New Roman" w:hAnsi="Times New Roman" w:cs="Times New Roman"/>
          <w:sz w:val="21"/>
          <w:szCs w:val="21"/>
        </w:rPr>
        <w:t>Although Guinea-Bissau has ratified several international legal instruments that protect the rights of women and persons with disabilities — and has committed to regularly report on their implementation — the reality is that these commitments have not been fulfilled consistently. This shadow report arises in that context, as a contribution from civil society to hold the State accountable under the framework of CEDAW.</w:t>
      </w:r>
    </w:p>
    <w:p w14:paraId="76793842" w14:textId="77777777" w:rsidR="005C5E84" w:rsidRPr="005C5E84" w:rsidRDefault="005C5E84" w:rsidP="005C5E84">
      <w:pPr>
        <w:pStyle w:val="PargrafodaLista"/>
        <w:numPr>
          <w:ilvl w:val="0"/>
          <w:numId w:val="1"/>
        </w:numPr>
        <w:spacing w:after="120" w:line="360" w:lineRule="auto"/>
        <w:ind w:left="714" w:hanging="357"/>
        <w:jc w:val="both"/>
        <w:rPr>
          <w:rFonts w:ascii="Times New Roman" w:hAnsi="Times New Roman" w:cs="Times New Roman"/>
          <w:sz w:val="21"/>
          <w:szCs w:val="21"/>
        </w:rPr>
      </w:pPr>
      <w:r w:rsidRPr="005C5E84">
        <w:rPr>
          <w:rFonts w:ascii="Times New Roman" w:hAnsi="Times New Roman" w:cs="Times New Roman"/>
          <w:sz w:val="21"/>
          <w:szCs w:val="21"/>
        </w:rPr>
        <w:t>The State has often justified delays in submitting reports by citing political crises and frequent changes in government. However, civil society organizations (CSOs) consider these explanations to reflect a lack of political will and genuine commitment to the rights of women, especially women with disabilities. The repeated closure of the National People’s Assembly and the absence of a clear and coherent agenda for the promotion of gender equality indicate that these issues are not prioritized. Even where public policies exist — such as the National Plan for Gender Equality and Equity (PNIEG) I and II — their implementation has been weak and below expectations.</w:t>
      </w:r>
    </w:p>
    <w:p w14:paraId="23703849" w14:textId="77777777" w:rsidR="005C5E84" w:rsidRPr="005C5E84" w:rsidRDefault="005C5E84" w:rsidP="005C5E84">
      <w:pPr>
        <w:pStyle w:val="PargrafodaLista"/>
        <w:numPr>
          <w:ilvl w:val="0"/>
          <w:numId w:val="1"/>
        </w:numPr>
        <w:spacing w:after="120" w:line="360" w:lineRule="auto"/>
        <w:ind w:left="714" w:hanging="357"/>
        <w:jc w:val="both"/>
        <w:rPr>
          <w:rFonts w:ascii="Times New Roman" w:hAnsi="Times New Roman" w:cs="Times New Roman"/>
          <w:sz w:val="21"/>
          <w:szCs w:val="21"/>
        </w:rPr>
      </w:pPr>
      <w:r w:rsidRPr="005C5E84">
        <w:rPr>
          <w:rFonts w:ascii="Times New Roman" w:hAnsi="Times New Roman" w:cs="Times New Roman"/>
          <w:sz w:val="21"/>
          <w:szCs w:val="21"/>
        </w:rPr>
        <w:t>Moreover, the State has not ensured the effective participation of women in political decision-making spaces, which perpetuates structural discrimination. Girls and women with disabilities remain doubly marginalized, facing additional barriers, invisibility, and exclusion.</w:t>
      </w:r>
    </w:p>
    <w:p w14:paraId="39F36858" w14:textId="77777777" w:rsidR="005C5E84" w:rsidRDefault="005C5E84" w:rsidP="005C5E84">
      <w:pPr>
        <w:spacing w:after="120" w:line="360" w:lineRule="auto"/>
        <w:jc w:val="both"/>
        <w:rPr>
          <w:rFonts w:ascii="Times New Roman" w:hAnsi="Times New Roman" w:cs="Times New Roman"/>
          <w:sz w:val="21"/>
          <w:szCs w:val="21"/>
        </w:rPr>
      </w:pPr>
    </w:p>
    <w:p w14:paraId="0F8412F9" w14:textId="77777777" w:rsidR="005C5E84" w:rsidRPr="005C5E84" w:rsidRDefault="005C5E84" w:rsidP="005C5E84">
      <w:pPr>
        <w:spacing w:after="120" w:line="360" w:lineRule="auto"/>
        <w:jc w:val="both"/>
        <w:rPr>
          <w:rFonts w:ascii="Times New Roman" w:hAnsi="Times New Roman" w:cs="Times New Roman"/>
          <w:sz w:val="21"/>
          <w:szCs w:val="21"/>
        </w:rPr>
      </w:pPr>
    </w:p>
    <w:p w14:paraId="5C584D96"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t>Demographic and Gender Structure of the Population</w:t>
      </w:r>
    </w:p>
    <w:p w14:paraId="42A55F04"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Based on the latest demographic projection (INE, 2022), Guinea-Bissau's population in 2024 is estimated at 1,816,449 people. The majority of the population (62.7%) is under 25 years old, while those aged 65 or older represent only 2.61%. Women continue to be slightly more numerous, accounting for 52.8% of the total population. The female-to-male ratio is 103.1 women for every 100 men, reflecting a consistent presence of women across almost all age groups, particularly between 15 and 54 years old, where the ratio is 102 women for every 100 men.</w:t>
      </w:r>
    </w:p>
    <w:p w14:paraId="5D3AE907"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Civil society emphasizes that this demographic composition demands specific actions for the protection of girls and women, especially those with disabilities, who remain invisible in public policies. Despite the slight numerical superiority of women, they continue to be underrepresented in decision-making spaces and essential services. Improvements in child survival should also consider the barriers faced by girls with disabilities, whose exclusion begins in childhood and tends to increase with age.</w:t>
      </w:r>
    </w:p>
    <w:p w14:paraId="380AA3CF"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Although data shows some progress in reducing infant mortality, the lack of disability-disaggregated data prevents a real analysis of the situation of girls with disabilities. Civil society stresses the urgent need for inclusive public policies and reliable data collection to ensure that no girl or woman with a disability is left behind.</w:t>
      </w:r>
    </w:p>
    <w:p w14:paraId="0B3B161E"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Women with disabilities are often abandoned by their partners during pregnancy, who refuse to assume paternity. The situation worsens when the child is also born with a disability, increasing the vulnerability of both mother and child.</w:t>
      </w:r>
    </w:p>
    <w:p w14:paraId="74CC2F2C"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t>CEDAW ARTICLE ANALYSIS</w:t>
      </w:r>
    </w:p>
    <w:p w14:paraId="583AA69D"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t>Articles 1, 2, 4, and 5 – Equality and Discrimination</w:t>
      </w:r>
    </w:p>
    <w:p w14:paraId="719B4A9C" w14:textId="77777777" w:rsidR="005C5E84" w:rsidRPr="005C5E84" w:rsidRDefault="005C5E84" w:rsidP="005C5E84">
      <w:pPr>
        <w:pStyle w:val="PargrafodaLista"/>
        <w:numPr>
          <w:ilvl w:val="0"/>
          <w:numId w:val="1"/>
        </w:numPr>
        <w:spacing w:after="240" w:line="360" w:lineRule="auto"/>
        <w:jc w:val="both"/>
        <w:rPr>
          <w:rFonts w:ascii="Times New Roman" w:hAnsi="Times New Roman" w:cs="Times New Roman"/>
          <w:sz w:val="21"/>
          <w:szCs w:val="21"/>
        </w:rPr>
      </w:pPr>
      <w:r w:rsidRPr="005C5E84">
        <w:rPr>
          <w:rFonts w:ascii="Times New Roman" w:hAnsi="Times New Roman" w:cs="Times New Roman"/>
          <w:sz w:val="21"/>
          <w:szCs w:val="21"/>
        </w:rPr>
        <w:t>Despite the progressive language of the new Article 13 and the formal recognition of rights in the Draft Revision of the Constitution of the Republic, the lived reality of women and girls — especially those who face multiple forms of discrimination, such as disability — remains marked by exclusion, poverty, and lack of access to basic rights. The mere constitutional provision has not been sufficient to bring about concrete changes in the lives of these populations, particularly in a country where laws are often not implemented.</w:t>
      </w:r>
    </w:p>
    <w:p w14:paraId="6D8A3815" w14:textId="506EA9B4" w:rsidR="005C5E84" w:rsidRPr="005C5E84" w:rsidRDefault="005C5E84" w:rsidP="005C5E84">
      <w:pPr>
        <w:pStyle w:val="PargrafodaLista"/>
        <w:numPr>
          <w:ilvl w:val="0"/>
          <w:numId w:val="1"/>
        </w:numPr>
        <w:spacing w:after="240" w:line="360" w:lineRule="auto"/>
        <w:jc w:val="both"/>
        <w:rPr>
          <w:rFonts w:ascii="Times New Roman" w:hAnsi="Times New Roman" w:cs="Times New Roman"/>
          <w:sz w:val="21"/>
          <w:szCs w:val="21"/>
        </w:rPr>
      </w:pPr>
      <w:r w:rsidRPr="005C5E84">
        <w:rPr>
          <w:rFonts w:ascii="Times New Roman" w:hAnsi="Times New Roman" w:cs="Times New Roman"/>
          <w:sz w:val="21"/>
          <w:szCs w:val="21"/>
        </w:rPr>
        <w:t xml:space="preserve">The promise of equal opportunities contrasts with the absence of effective mechanisms to ensure the political, social, and economic participation of women with disabilities. Article 20 mentions non-discrimination in access to decision-making bodies, but there are no specific affirmative action measures to ensure the effective and representative presence of these women in spaces of power. Additionally, while the legal protection of motherhood in Article 26 of the Constitution is necessary, in practice, it remains limited, particularly in cases </w:t>
      </w:r>
      <w:r w:rsidRPr="005C5E84">
        <w:rPr>
          <w:rFonts w:ascii="Times New Roman" w:hAnsi="Times New Roman" w:cs="Times New Roman"/>
          <w:sz w:val="21"/>
          <w:szCs w:val="21"/>
        </w:rPr>
        <w:lastRenderedPageBreak/>
        <w:t>involving children with disabilities versus those without. Women with disabilities often face barriers to accessing formal employment and, as a result, do not benefit from these rights. The absence of accessible and inclusive public policies — in areas such as sexual and reproductive health, education, and social protection — perpetuates marginalization and denies women with disabilities the opportunity to fully exercise their enshrined rights.</w:t>
      </w:r>
    </w:p>
    <w:p w14:paraId="6A966FBE" w14:textId="6FF7A52C" w:rsidR="005C5E84" w:rsidRPr="005C5E84" w:rsidRDefault="005C5E84" w:rsidP="001D6FF8">
      <w:pPr>
        <w:pStyle w:val="PargrafodaLista"/>
        <w:numPr>
          <w:ilvl w:val="0"/>
          <w:numId w:val="1"/>
        </w:numPr>
        <w:spacing w:after="240" w:line="360" w:lineRule="auto"/>
        <w:jc w:val="both"/>
        <w:rPr>
          <w:rFonts w:ascii="Times New Roman" w:hAnsi="Times New Roman" w:cs="Times New Roman"/>
          <w:sz w:val="21"/>
          <w:szCs w:val="21"/>
        </w:rPr>
      </w:pPr>
      <w:r w:rsidRPr="005C5E84">
        <w:rPr>
          <w:rFonts w:ascii="Times New Roman" w:hAnsi="Times New Roman" w:cs="Times New Roman"/>
          <w:sz w:val="21"/>
          <w:szCs w:val="21"/>
        </w:rPr>
        <w:t>It is evident that the incorporation of CEDAW standards into national legislation is still weak and insufficient. There is a lack of political will, concrete investments, and accountability mechanisms. The promise to discuss the constitutional draft only after the installation of a new Parliament — without specifically involving women with disabilities — further delays women's access to rights that have long been recognized but never guaranteed.</w:t>
      </w:r>
    </w:p>
    <w:p w14:paraId="2849BE71" w14:textId="27B44E90" w:rsidR="005C5E84" w:rsidRPr="005C5E84" w:rsidRDefault="005C5E84" w:rsidP="005C5E84">
      <w:pPr>
        <w:pStyle w:val="PargrafodaLista"/>
        <w:numPr>
          <w:ilvl w:val="0"/>
          <w:numId w:val="1"/>
        </w:numPr>
        <w:spacing w:after="240" w:line="360" w:lineRule="auto"/>
        <w:jc w:val="both"/>
        <w:rPr>
          <w:rFonts w:ascii="Times New Roman" w:hAnsi="Times New Roman" w:cs="Times New Roman"/>
          <w:sz w:val="21"/>
          <w:szCs w:val="21"/>
        </w:rPr>
      </w:pPr>
      <w:r w:rsidRPr="005C5E84">
        <w:rPr>
          <w:rFonts w:ascii="Times New Roman" w:hAnsi="Times New Roman" w:cs="Times New Roman"/>
          <w:sz w:val="21"/>
          <w:szCs w:val="21"/>
        </w:rPr>
        <w:t>The legislative progress made by Guinea-Bissau since 2010 in the area of gender equality is acknowledged. The adoption of laws such as the Parity Law (Law No. 4/2018), the Law on Domestic Violence (Law No. 6/2014), the Law on the Prevention and Combat of Human Trafficking (Law No. 12/2011), the Law Against Female Genital Mutilation (Law No. 14/2011), and the Basic Law on Sexual and Reproductive Health (Law No. 11/2010, of September 29) represent important State commitments in the fight against discriminatory practices and violence, but they are not inclusive of women with disabilities.</w:t>
      </w:r>
    </w:p>
    <w:p w14:paraId="301BB68A" w14:textId="1315C859" w:rsidR="005C5E84" w:rsidRPr="005C5E84" w:rsidRDefault="005C5E84" w:rsidP="005C5E84">
      <w:pPr>
        <w:pStyle w:val="PargrafodaLista"/>
        <w:numPr>
          <w:ilvl w:val="0"/>
          <w:numId w:val="1"/>
        </w:numPr>
        <w:spacing w:after="240" w:line="360" w:lineRule="auto"/>
        <w:jc w:val="both"/>
        <w:rPr>
          <w:rFonts w:ascii="Times New Roman" w:hAnsi="Times New Roman" w:cs="Times New Roman"/>
          <w:sz w:val="21"/>
          <w:szCs w:val="21"/>
        </w:rPr>
      </w:pPr>
      <w:r w:rsidRPr="005C5E84">
        <w:rPr>
          <w:rFonts w:ascii="Times New Roman" w:hAnsi="Times New Roman" w:cs="Times New Roman"/>
          <w:sz w:val="21"/>
          <w:szCs w:val="21"/>
        </w:rPr>
        <w:t>However, the practical implementation of these laws is very limited, especially when it comes to women with disabilities, who remain invisible within protection mechanisms, access to justice, empowerment programs, public services, and are still not covered by specific laws addressing their realities.</w:t>
      </w:r>
    </w:p>
    <w:p w14:paraId="32369C88" w14:textId="26A2499D" w:rsidR="005C5E84" w:rsidRPr="005C5E84" w:rsidRDefault="005C5E84" w:rsidP="001D6FF8">
      <w:pPr>
        <w:pStyle w:val="PargrafodaLista"/>
        <w:numPr>
          <w:ilvl w:val="0"/>
          <w:numId w:val="1"/>
        </w:numPr>
        <w:spacing w:after="240" w:line="360" w:lineRule="auto"/>
        <w:jc w:val="both"/>
        <w:rPr>
          <w:rFonts w:ascii="Times New Roman" w:hAnsi="Times New Roman" w:cs="Times New Roman"/>
          <w:sz w:val="21"/>
          <w:szCs w:val="21"/>
        </w:rPr>
      </w:pPr>
      <w:r w:rsidRPr="005C5E84">
        <w:rPr>
          <w:rFonts w:ascii="Times New Roman" w:hAnsi="Times New Roman" w:cs="Times New Roman"/>
          <w:sz w:val="21"/>
          <w:szCs w:val="21"/>
        </w:rPr>
        <w:t>Although the Interpersonal Relationships Education (ERI) — Comprehensive Sexuality Education (CSE) 2017/2018 report indicates that 35% of management positions are held by women, there is no disaggregated data on the participation of women with disabilities in these spaces, which reinforces their exclusion and lack of representation.</w:t>
      </w:r>
    </w:p>
    <w:p w14:paraId="741FE36C" w14:textId="01561AE2" w:rsidR="005C5E84" w:rsidRPr="005C5E84" w:rsidRDefault="005C5E84" w:rsidP="001D6FF8">
      <w:pPr>
        <w:pStyle w:val="PargrafodaLista"/>
        <w:numPr>
          <w:ilvl w:val="0"/>
          <w:numId w:val="1"/>
        </w:numPr>
        <w:spacing w:after="240" w:line="360" w:lineRule="auto"/>
        <w:jc w:val="both"/>
        <w:rPr>
          <w:rFonts w:ascii="Times New Roman" w:hAnsi="Times New Roman" w:cs="Times New Roman"/>
          <w:sz w:val="21"/>
          <w:szCs w:val="21"/>
        </w:rPr>
      </w:pPr>
      <w:r w:rsidRPr="005C5E84">
        <w:rPr>
          <w:rFonts w:ascii="Times New Roman" w:hAnsi="Times New Roman" w:cs="Times New Roman"/>
          <w:sz w:val="21"/>
          <w:szCs w:val="21"/>
        </w:rPr>
        <w:t>It is important to highlight that without specific actions and inclusive public policies, these laws will continue to have limited impact on women in the most vulnerable situations. It is necessary to explicitly integrate the disability dimension into gender equality strategies, along with adequate funding, institutional capacity building, and participatory monitoring mechanisms, with the direct involvement of representative organizations of persons with disabilities.</w:t>
      </w:r>
    </w:p>
    <w:p w14:paraId="07134589"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t>Article 6 – Trafficking in Persons</w:t>
      </w:r>
    </w:p>
    <w:p w14:paraId="43C3E04D" w14:textId="77777777" w:rsidR="009B6BCB" w:rsidRPr="009B6BCB" w:rsidRDefault="009B6BCB" w:rsidP="009B6BCB">
      <w:pPr>
        <w:pStyle w:val="PargrafodaLista"/>
        <w:numPr>
          <w:ilvl w:val="0"/>
          <w:numId w:val="1"/>
        </w:numPr>
        <w:spacing w:after="240" w:line="360" w:lineRule="auto"/>
        <w:jc w:val="both"/>
        <w:rPr>
          <w:rFonts w:ascii="Times New Roman" w:hAnsi="Times New Roman" w:cs="Times New Roman"/>
          <w:sz w:val="21"/>
          <w:szCs w:val="21"/>
        </w:rPr>
      </w:pPr>
      <w:r w:rsidRPr="009B6BCB">
        <w:rPr>
          <w:rFonts w:ascii="Times New Roman" w:hAnsi="Times New Roman" w:cs="Times New Roman"/>
          <w:sz w:val="21"/>
          <w:szCs w:val="21"/>
        </w:rPr>
        <w:t>Despite the existence of a relatively progressive legal framework — with laws such as the Domestic Violence Law (Law No. 6/2014), the Parity Law (No. 4/2018), and the Law Against Human Trafficking (Law No. 12/2011) — the reality experienced by thousands of women in Guinea-Bissau is marked by impunity, forced silence, normalization of violence, and lack of effective protection.</w:t>
      </w:r>
    </w:p>
    <w:p w14:paraId="4C80C370" w14:textId="7D7A2B1A" w:rsidR="009B6BCB" w:rsidRPr="009B6BCB" w:rsidRDefault="009B6BCB" w:rsidP="009B6BCB">
      <w:pPr>
        <w:pStyle w:val="PargrafodaLista"/>
        <w:numPr>
          <w:ilvl w:val="0"/>
          <w:numId w:val="1"/>
        </w:numPr>
        <w:spacing w:after="240" w:line="360" w:lineRule="auto"/>
        <w:jc w:val="both"/>
        <w:rPr>
          <w:rFonts w:ascii="Times New Roman" w:hAnsi="Times New Roman" w:cs="Times New Roman"/>
          <w:sz w:val="21"/>
          <w:szCs w:val="21"/>
        </w:rPr>
      </w:pPr>
      <w:r w:rsidRPr="009B6BCB">
        <w:rPr>
          <w:rFonts w:ascii="Times New Roman" w:hAnsi="Times New Roman" w:cs="Times New Roman"/>
          <w:sz w:val="21"/>
          <w:szCs w:val="21"/>
        </w:rPr>
        <w:lastRenderedPageBreak/>
        <w:t>Most women who are victims of violence have no access to justice. “In 2022, in Bafata, eastern Guinea-Bissau, a young woman with physical and intellectual disabilities was raped multiple times by men in her community and became pregnant. Despite the complaint, the authorities did not arrest the perpetrators, who remain unpunished.”</w:t>
      </w:r>
    </w:p>
    <w:p w14:paraId="02D674E3" w14:textId="1AD7CDF4" w:rsidR="009B6BCB" w:rsidRPr="009B6BCB" w:rsidRDefault="009B6BCB" w:rsidP="009B6BCB">
      <w:pPr>
        <w:pStyle w:val="PargrafodaLista"/>
        <w:numPr>
          <w:ilvl w:val="0"/>
          <w:numId w:val="1"/>
        </w:numPr>
        <w:spacing w:after="240" w:line="360" w:lineRule="auto"/>
        <w:jc w:val="both"/>
        <w:rPr>
          <w:rFonts w:ascii="Times New Roman" w:hAnsi="Times New Roman" w:cs="Times New Roman"/>
          <w:sz w:val="21"/>
          <w:szCs w:val="21"/>
        </w:rPr>
      </w:pPr>
      <w:r w:rsidRPr="009B6BCB">
        <w:rPr>
          <w:rFonts w:ascii="Times New Roman" w:hAnsi="Times New Roman" w:cs="Times New Roman"/>
          <w:sz w:val="21"/>
          <w:szCs w:val="21"/>
        </w:rPr>
        <w:t>This case reveals the lack of judicial response, the absence of support for the victim, institutional negligence, and the violation of the Convention on the Rights of Persons with Disabilities, which Guinea-Bissau has ratified.</w:t>
      </w:r>
    </w:p>
    <w:p w14:paraId="784EC9BB" w14:textId="60C116B7" w:rsidR="009B6BCB" w:rsidRPr="009B6BCB" w:rsidRDefault="009B6BCB" w:rsidP="009B6BCB">
      <w:pPr>
        <w:pStyle w:val="PargrafodaLista"/>
        <w:numPr>
          <w:ilvl w:val="0"/>
          <w:numId w:val="1"/>
        </w:numPr>
        <w:spacing w:after="240" w:line="360" w:lineRule="auto"/>
        <w:jc w:val="both"/>
        <w:rPr>
          <w:rFonts w:ascii="Times New Roman" w:hAnsi="Times New Roman" w:cs="Times New Roman"/>
          <w:sz w:val="21"/>
          <w:szCs w:val="21"/>
        </w:rPr>
      </w:pPr>
      <w:r w:rsidRPr="009B6BCB">
        <w:rPr>
          <w:rFonts w:ascii="Times New Roman" w:hAnsi="Times New Roman" w:cs="Times New Roman"/>
          <w:sz w:val="21"/>
          <w:szCs w:val="21"/>
        </w:rPr>
        <w:t>The lack of resources in police stations and courts, the low number of specialized officers, judicial delays, and the absence of immediate protection measures place women at continuous risk.</w:t>
      </w:r>
    </w:p>
    <w:p w14:paraId="019DFDA8" w14:textId="2990B241" w:rsidR="009B6BCB" w:rsidRPr="009B6BCB" w:rsidRDefault="009B6BCB" w:rsidP="009B6BCB">
      <w:pPr>
        <w:pStyle w:val="PargrafodaLista"/>
        <w:numPr>
          <w:ilvl w:val="0"/>
          <w:numId w:val="1"/>
        </w:numPr>
        <w:spacing w:after="240" w:line="360" w:lineRule="auto"/>
        <w:jc w:val="both"/>
        <w:rPr>
          <w:rFonts w:ascii="Times New Roman" w:hAnsi="Times New Roman" w:cs="Times New Roman"/>
          <w:sz w:val="21"/>
          <w:szCs w:val="21"/>
        </w:rPr>
      </w:pPr>
      <w:r w:rsidRPr="009B6BCB">
        <w:rPr>
          <w:rFonts w:ascii="Times New Roman" w:hAnsi="Times New Roman" w:cs="Times New Roman"/>
          <w:sz w:val="21"/>
          <w:szCs w:val="21"/>
        </w:rPr>
        <w:t>There is serious underreporting: many women do not report violence due to fear of retaliation, economic dependence, shame, or lack of trust in institutions. Even when cases are reported, they rarely lead to convictions, creating a cycle of discouragement and silence. Furthermore, many domestic violence cases are “resolved” within the family, mediated by village elders and community leaders, which imposes silent consent on the victims and further worsens their vulnerability.</w:t>
      </w:r>
    </w:p>
    <w:p w14:paraId="2518BDAC" w14:textId="01EB309A" w:rsidR="009B6BCB" w:rsidRPr="009B6BCB" w:rsidRDefault="009B6BCB" w:rsidP="009B6BCB">
      <w:pPr>
        <w:pStyle w:val="PargrafodaLista"/>
        <w:numPr>
          <w:ilvl w:val="0"/>
          <w:numId w:val="1"/>
        </w:numPr>
        <w:spacing w:after="240" w:line="360" w:lineRule="auto"/>
        <w:jc w:val="both"/>
        <w:rPr>
          <w:rFonts w:ascii="Times New Roman" w:hAnsi="Times New Roman" w:cs="Times New Roman"/>
          <w:sz w:val="21"/>
          <w:szCs w:val="21"/>
        </w:rPr>
      </w:pPr>
      <w:r w:rsidRPr="009B6BCB">
        <w:rPr>
          <w:rFonts w:ascii="Times New Roman" w:hAnsi="Times New Roman" w:cs="Times New Roman"/>
          <w:sz w:val="21"/>
          <w:szCs w:val="21"/>
        </w:rPr>
        <w:t>There are no shelters that provide protection and safety for women victims of domestic violence. This, combined with their economic vulnerability and dependence, often leads them to return to the home of their abuser, thereby perpetuating the cycle of violence.</w:t>
      </w:r>
    </w:p>
    <w:p w14:paraId="41312655" w14:textId="6BD0A836" w:rsidR="009B6BCB" w:rsidRPr="009B6BCB" w:rsidRDefault="009B6BCB" w:rsidP="009B6BCB">
      <w:pPr>
        <w:pStyle w:val="PargrafodaLista"/>
        <w:numPr>
          <w:ilvl w:val="0"/>
          <w:numId w:val="1"/>
        </w:numPr>
        <w:spacing w:after="240" w:line="360" w:lineRule="auto"/>
        <w:jc w:val="both"/>
        <w:rPr>
          <w:rFonts w:ascii="Times New Roman" w:hAnsi="Times New Roman" w:cs="Times New Roman"/>
          <w:sz w:val="21"/>
          <w:szCs w:val="21"/>
        </w:rPr>
      </w:pPr>
      <w:r w:rsidRPr="009B6BCB">
        <w:rPr>
          <w:rFonts w:ascii="Times New Roman" w:hAnsi="Times New Roman" w:cs="Times New Roman"/>
          <w:sz w:val="21"/>
          <w:szCs w:val="21"/>
        </w:rPr>
        <w:t>There is a lack of psychologists, social workers, free legal aid, and specialized shelter centers. Although Justice Access Centers (CAJ) exist, they are largely ineffective in practice, and many citizens are unaware of their services. In many cases, NGOs end up playing the role of the State due to the absence of public services.</w:t>
      </w:r>
    </w:p>
    <w:p w14:paraId="15986EB9" w14:textId="34535CAB" w:rsidR="009B6BCB" w:rsidRPr="009B6BCB" w:rsidRDefault="009B6BCB" w:rsidP="009B6BCB">
      <w:pPr>
        <w:pStyle w:val="PargrafodaLista"/>
        <w:numPr>
          <w:ilvl w:val="0"/>
          <w:numId w:val="1"/>
        </w:numPr>
        <w:spacing w:after="240" w:line="360" w:lineRule="auto"/>
        <w:jc w:val="both"/>
        <w:rPr>
          <w:rFonts w:ascii="Times New Roman" w:eastAsia="Times New Roman" w:hAnsi="Times New Roman" w:cs="Times New Roman"/>
          <w:sz w:val="24"/>
          <w:szCs w:val="24"/>
          <w:lang w:val="pt-GW" w:eastAsia="pt-GW"/>
        </w:rPr>
      </w:pPr>
      <w:r w:rsidRPr="009B6BCB">
        <w:rPr>
          <w:rFonts w:ascii="Times New Roman" w:hAnsi="Times New Roman" w:cs="Times New Roman"/>
          <w:sz w:val="21"/>
          <w:szCs w:val="21"/>
        </w:rPr>
        <w:t>The State does not provide effective, accessible, and confidential reporting mechanisms</w:t>
      </w:r>
      <w:r w:rsidRPr="009B6BCB">
        <w:rPr>
          <w:rFonts w:ascii="Times New Roman" w:eastAsia="Times New Roman" w:hAnsi="Times New Roman" w:cs="Times New Roman"/>
          <w:sz w:val="24"/>
          <w:szCs w:val="24"/>
          <w:lang w:val="pt-GW" w:eastAsia="pt-GW"/>
        </w:rPr>
        <w:t>, nor does it ensure the protection of victims after a complaint is made.</w:t>
      </w:r>
    </w:p>
    <w:p w14:paraId="079CB60C"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t>Article 7 - Participation in Political and Public Life</w:t>
      </w:r>
    </w:p>
    <w:p w14:paraId="2200A076" w14:textId="77777777" w:rsidR="0016500E" w:rsidRDefault="00000000">
      <w:pPr>
        <w:pStyle w:val="PargrafodaLista"/>
        <w:numPr>
          <w:ilvl w:val="0"/>
          <w:numId w:val="1"/>
        </w:numPr>
        <w:spacing w:after="240" w:line="360" w:lineRule="auto"/>
        <w:jc w:val="both"/>
        <w:rPr>
          <w:rFonts w:ascii="Times New Roman" w:hAnsi="Times New Roman" w:cs="Times New Roman"/>
          <w:b/>
          <w:sz w:val="21"/>
          <w:szCs w:val="21"/>
        </w:rPr>
      </w:pPr>
      <w:r>
        <w:rPr>
          <w:rFonts w:ascii="Times New Roman" w:hAnsi="Times New Roman" w:cs="Times New Roman"/>
          <w:sz w:val="21"/>
          <w:szCs w:val="21"/>
        </w:rPr>
        <w:t>Guinea-Bissau enshrines the principle of equality between men and women in the Constitution of the Republic, specifically in Article 25, guaranteeing equal rights and duties between men and women. This commitment has been reinforced by the approval of specific laws, such as:</w:t>
      </w:r>
    </w:p>
    <w:p w14:paraId="0D1887E4" w14:textId="77777777" w:rsidR="0016500E" w:rsidRDefault="00000000">
      <w:pPr>
        <w:pStyle w:val="PargrafodaLista"/>
        <w:numPr>
          <w:ilvl w:val="0"/>
          <w:numId w:val="1"/>
        </w:numPr>
        <w:spacing w:after="240" w:line="360" w:lineRule="auto"/>
        <w:jc w:val="both"/>
        <w:rPr>
          <w:rFonts w:ascii="Times New Roman" w:hAnsi="Times New Roman" w:cs="Times New Roman"/>
          <w:b/>
          <w:sz w:val="21"/>
          <w:szCs w:val="21"/>
        </w:rPr>
      </w:pPr>
      <w:r>
        <w:rPr>
          <w:rFonts w:ascii="Times New Roman" w:hAnsi="Times New Roman" w:cs="Times New Roman"/>
          <w:sz w:val="21"/>
          <w:szCs w:val="21"/>
        </w:rPr>
        <w:t>Law of Parity (Law No. 4/2018, of December 4): establishes a minimum quota of 36% women in electoral lists.</w:t>
      </w:r>
    </w:p>
    <w:p w14:paraId="0121F213" w14:textId="77777777" w:rsidR="0016500E" w:rsidRDefault="00000000">
      <w:pPr>
        <w:pStyle w:val="PargrafodaLista"/>
        <w:numPr>
          <w:ilvl w:val="0"/>
          <w:numId w:val="1"/>
        </w:numPr>
        <w:spacing w:after="240" w:line="360" w:lineRule="auto"/>
        <w:jc w:val="both"/>
        <w:rPr>
          <w:rFonts w:ascii="Times New Roman" w:hAnsi="Times New Roman" w:cs="Times New Roman"/>
          <w:b/>
          <w:sz w:val="21"/>
          <w:szCs w:val="21"/>
        </w:rPr>
      </w:pPr>
      <w:r>
        <w:rPr>
          <w:rFonts w:ascii="Times New Roman" w:hAnsi="Times New Roman" w:cs="Times New Roman"/>
          <w:sz w:val="21"/>
          <w:szCs w:val="21"/>
        </w:rPr>
        <w:t>Canchungo Declaration (2015): A strategic document adopted by women leaders proposing the revision of the Electoral Law, the CNE, and the creation of support mechanisms for victims of gender-based violence.</w:t>
      </w:r>
    </w:p>
    <w:p w14:paraId="0E5077E1" w14:textId="77777777" w:rsidR="0016500E" w:rsidRDefault="00000000">
      <w:pPr>
        <w:pStyle w:val="PargrafodaLista"/>
        <w:numPr>
          <w:ilvl w:val="0"/>
          <w:numId w:val="1"/>
        </w:numPr>
        <w:spacing w:after="240" w:line="360" w:lineRule="auto"/>
        <w:jc w:val="both"/>
        <w:rPr>
          <w:rFonts w:ascii="Times New Roman" w:hAnsi="Times New Roman" w:cs="Times New Roman"/>
          <w:b/>
          <w:sz w:val="21"/>
          <w:szCs w:val="21"/>
        </w:rPr>
      </w:pPr>
      <w:r>
        <w:rPr>
          <w:rFonts w:ascii="Times New Roman" w:hAnsi="Times New Roman" w:cs="Times New Roman"/>
          <w:sz w:val="21"/>
          <w:szCs w:val="21"/>
        </w:rPr>
        <w:t>Despite the normative progress, in practice, serious challenges persist that compromise the effectiveness of these measures, namely:</w:t>
      </w:r>
    </w:p>
    <w:p w14:paraId="4013B653" w14:textId="77777777" w:rsidR="0016500E" w:rsidRDefault="00000000">
      <w:pPr>
        <w:pStyle w:val="PargrafodaLista"/>
        <w:numPr>
          <w:ilvl w:val="0"/>
          <w:numId w:val="1"/>
        </w:numPr>
        <w:spacing w:after="240" w:line="360" w:lineRule="auto"/>
        <w:jc w:val="both"/>
        <w:rPr>
          <w:rFonts w:ascii="Times New Roman" w:hAnsi="Times New Roman" w:cs="Times New Roman"/>
          <w:b/>
          <w:sz w:val="21"/>
          <w:szCs w:val="21"/>
        </w:rPr>
      </w:pPr>
      <w:r>
        <w:rPr>
          <w:rFonts w:ascii="Times New Roman" w:hAnsi="Times New Roman" w:cs="Times New Roman"/>
          <w:sz w:val="21"/>
          <w:szCs w:val="21"/>
        </w:rPr>
        <w:lastRenderedPageBreak/>
        <w:t>Poor enforcement of the Law of Parity: although the law requires 36% female representation in electoral lists, many political parties do not fully comply with this provision. In some cases, women are placed in positions that hinder their effective election, contrary to the spirit of the law. The absence of clear penalties contributes to impunity. Also, the lack of regulation of the Parity Law contributes to the non-promotion of women's political participation rights.</w:t>
      </w:r>
    </w:p>
    <w:p w14:paraId="4F466D59" w14:textId="77777777" w:rsidR="0016500E" w:rsidRDefault="00000000">
      <w:pPr>
        <w:pStyle w:val="PargrafodaLista"/>
        <w:numPr>
          <w:ilvl w:val="0"/>
          <w:numId w:val="1"/>
        </w:numPr>
        <w:spacing w:after="240" w:line="360" w:lineRule="auto"/>
        <w:jc w:val="both"/>
        <w:rPr>
          <w:rFonts w:ascii="Times New Roman" w:hAnsi="Times New Roman" w:cs="Times New Roman"/>
          <w:b/>
          <w:sz w:val="21"/>
          <w:szCs w:val="21"/>
        </w:rPr>
      </w:pPr>
      <w:r>
        <w:rPr>
          <w:rFonts w:ascii="Times New Roman" w:hAnsi="Times New Roman" w:cs="Times New Roman"/>
          <w:sz w:val="21"/>
          <w:szCs w:val="21"/>
        </w:rPr>
        <w:t>The political participation of women with disabilities remains invisible and is not a priority in public policies. The Parity Law does not provide specific inclusion mechanisms for this vulnerable group, resulting in their systematic exclusion from decision-making processes.</w:t>
      </w:r>
    </w:p>
    <w:p w14:paraId="5BDDD3BC"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t>Article 9 - Nationality and Citizenship</w:t>
      </w:r>
    </w:p>
    <w:p w14:paraId="7FC6A300" w14:textId="77777777" w:rsidR="000974FC" w:rsidRPr="000974FC" w:rsidRDefault="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In Guinea-Bissau, the realization of the right to nationality, enshrined in Article 9 of CEDAW, remains hindered by structural and cultural barriers, with disproportionate impacts on girls with disabilities who are at risk of even greater exclusion.</w:t>
      </w:r>
    </w:p>
    <w:p w14:paraId="65194F01" w14:textId="2065E31D"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According to the Multiple Indicator Cluster Survey (MICS 2019), only 46% of children under five years of age were registered in the country, with the registration rate for children under one year falling to 36%. In rural areas, where most of the population lives, this number is even lower, severely affecting access to citizenship. Although there are no official disaggregated data by disability, estimates from UNICEF and the United Nations indicate that children with disabilities are even more excluded from civil registration systems, exacerbating their legal and social invisibility.</w:t>
      </w:r>
    </w:p>
    <w:p w14:paraId="16F8B60D"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Qualitative studies reveal that approximately 16% of children between the ages of 5 and 17 live with some form of disability in Guinea-Bissau, but many of these children do not have a birth certificate or any form of identification. The cultural stigma associated with disability contributes to this exclusion: traditional practices in some communities consider children with disabilities — especially those with intellectual or multiple disabilities — as “spirits” or “curses,” leading not only to the concealment of these children but, in extreme cases, to ritual infanticides, even though such acts are criminalized by the Penal Code (Decree-Law No. 4-A/1993, of April 2).</w:t>
      </w:r>
    </w:p>
    <w:p w14:paraId="5E6CDEA6"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Besides social exclusion, the lack of documents prevents access to basic services such as healthcare, education, and social protection.</w:t>
      </w:r>
    </w:p>
    <w:p w14:paraId="11A65C8D"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UNICEF reports that the non-registration of children with disabilities in the civil registry perpetuates a cycle of discrimination and marginalization that violates various fundamental human rights. Although the National Action Plan for the Rights of Persons with Disabilities (2023-2027) acknowledges the low registration rate among this group, the document fails to establish clear goals and a specific budget to address gender and disability inequality in access to citizenship.</w:t>
      </w:r>
    </w:p>
    <w:p w14:paraId="36394352"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 xml:space="preserve">Civil society, including organizations working with the rights of persons with disabilities, calls for the adoption of urgent and effective measures, such as awareness campaigns in </w:t>
      </w:r>
      <w:r>
        <w:rPr>
          <w:rFonts w:ascii="Times New Roman" w:hAnsi="Times New Roman" w:cs="Times New Roman"/>
          <w:sz w:val="21"/>
          <w:szCs w:val="21"/>
        </w:rPr>
        <w:lastRenderedPageBreak/>
        <w:t>communities, mobilization of religious and traditional leaders, and expansion of civil registration services in remote areas.</w:t>
      </w:r>
    </w:p>
    <w:p w14:paraId="4DD8802C"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Therefore, ensuring birth registration and the right to nationality for all children — including those with disabilities — requires the firm engagement of the State, technical and financial support from international partners, and an intersectional approach that simultaneously addresses the barriers of gender, disability, and poverty.</w:t>
      </w:r>
    </w:p>
    <w:p w14:paraId="05B9FA98"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t>Article 10 - Education</w:t>
      </w:r>
    </w:p>
    <w:p w14:paraId="4ACF4E31"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Despite legal and strategic advances in the education sector in Guinea-Bissau — such as the update of the Basic Education Law, the Sectoral Education Plan (2016-2025), the National Inclusive Education Plan (2022-2027), and the School Feeding Program — significant challenges persist in practice, especially regarding the inclusion of girls and women with disabilities.</w:t>
      </w:r>
    </w:p>
    <w:p w14:paraId="0DF797C1"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The State highlights investments in teacher training, distribution of materials, and the construction of regional centers, but teachers are not adequately trained to work with students with disabilities, and accessible resources such as braille materials, sign language, and adapted infrastructure are lacking. The absence of disaggregated data by disability and its limitations in the decision-making process further exacerbate the exclusion of this group. Although there is a formal commitment to inclusive education, the reality shows a deep gap between policies and their effective implementation, compromising the right to full education for all people, particularly for girls and women with disabilities.</w:t>
      </w:r>
    </w:p>
    <w:p w14:paraId="6E857471"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Inclusive Education: There is a national plan, but its implementation is deficient. Only 12% of public schools have access ramps (Ministry of Education, 2022).</w:t>
      </w:r>
    </w:p>
    <w:p w14:paraId="10D10F23" w14:textId="77777777"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Sexual and Reproductive Education: Programs are not adapted to the needs of girls with disabilities.</w:t>
      </w:r>
    </w:p>
    <w:p w14:paraId="66733DF9" w14:textId="77777777" w:rsidR="000974FC" w:rsidRPr="000974FC" w:rsidRDefault="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Accessibility: pedagogical materials in braille or sign language are mostly nonexistent in schools; there is a lack of wide doors for wheelchairs, adapted bathrooms, and adjustable chairs and desks.</w:t>
      </w:r>
    </w:p>
    <w:p w14:paraId="5691E7EC" w14:textId="5707EF46" w:rsidR="0016500E" w:rsidRDefault="00000000">
      <w:pPr>
        <w:pStyle w:val="PargrafodaLista"/>
        <w:numPr>
          <w:ilvl w:val="0"/>
          <w:numId w:val="1"/>
        </w:numPr>
        <w:spacing w:after="240" w:line="360" w:lineRule="auto"/>
        <w:jc w:val="both"/>
        <w:rPr>
          <w:rFonts w:ascii="Times New Roman" w:hAnsi="Times New Roman" w:cs="Times New Roman"/>
          <w:sz w:val="21"/>
          <w:szCs w:val="21"/>
        </w:rPr>
      </w:pPr>
      <w:r>
        <w:rPr>
          <w:rFonts w:ascii="Times New Roman" w:hAnsi="Times New Roman" w:cs="Times New Roman"/>
          <w:sz w:val="21"/>
          <w:szCs w:val="21"/>
        </w:rPr>
        <w:t>Harassment and Violence: The National Education Plan 2020-2025 does not include specific measures for the protection of girls with disabilities.</w:t>
      </w:r>
    </w:p>
    <w:p w14:paraId="367B28B8"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t>Article 11 - Employment and Working Conditions</w:t>
      </w:r>
    </w:p>
    <w:p w14:paraId="25FA9A66" w14:textId="77777777"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The Constitution of Guinea-Bissau and the new Labor Code (2022), as well as the Convention on the Rights of Persons with Disabilities, guarantee the right to work, social protection, labor security, freedom of association, and the right to strike. However, despite this legal framework, women — especially young women and those with disabilities — continue to face serious barriers to decent employment and economic empowerment.</w:t>
      </w:r>
    </w:p>
    <w:p w14:paraId="1A020217" w14:textId="45DC82CE"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lastRenderedPageBreak/>
        <w:t>The lack of accessible technical training, the scarcity of measures for work-life balance, and the absence of incentives for inclusive female entrepreneurship limit the real opportunities for full economic integration for this group. In practice, equality in access to work and income is still far from being achieved, especially for women with disabilities.</w:t>
      </w:r>
    </w:p>
    <w:p w14:paraId="5A16E753" w14:textId="01A2AAC1"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The unemployment rate in Guinea-Bissau, according to the Regional Integrated Survey on Employment and the Informal Sector (2017–2018), is 7.1%. Although the gap between men and women is small (7.3% versus 6.96%), unemployment rates are significantly higher among youth, especially those aged 15 to 34 (10.3% to 11.2%), and individuals with secondary or higher education (12.4% to 15.3%).</w:t>
      </w:r>
    </w:p>
    <w:p w14:paraId="3BB5331E" w14:textId="58A1E3FA"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Furthermore, underemployment and labor underutilization rates are alarming. Underutilization is more pronounced among women (26.4%) than men (15.5%), and it also affects younger generations and urban residents more severely. The underemployment rate reaches 13% of the active population, with an additional concern about the potential labor force (18.53%).</w:t>
      </w:r>
    </w:p>
    <w:p w14:paraId="3176E92E" w14:textId="17DED41E"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The predominance of informal jobs is another striking feature of Guinea-Bissau's labor market. Approximately 88.9% of jobs are informal, especially in the private and public sectors, where 99.3% and 12.9% of jobs are informal, respectively. The situation is even worse in the institutional agricultural sector, where 99.5% of jobs are informal.</w:t>
      </w:r>
    </w:p>
    <w:p w14:paraId="39DC570A" w14:textId="77777777"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55. The high unemployment rate especially affects young women and individuals with higher education, who face greater difficulty in finding formal and stable jobs.</w:t>
      </w:r>
    </w:p>
    <w:p w14:paraId="5503DF7E" w14:textId="77777777"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56. Legislation: there is no regulation requiring the public or private sector to employ persons with disabilities. In fact, persons with disabilities face enormous difficulties in accessing employment, as stigma and prejudice about their abilities to perform certain tasks persist in Guinean society.</w:t>
      </w:r>
    </w:p>
    <w:p w14:paraId="10A1BBD8" w14:textId="717D52CA"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Stereotypes and exclusion: women with disabilities are relegated to low-paying informal activities, such as street vending, or are even pushed into begging.</w:t>
      </w:r>
    </w:p>
    <w:p w14:paraId="27B0037E" w14:textId="3F82A517"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Harassment and safety: work environments are not prepared to welcome women with disabilities with dignity.</w:t>
      </w:r>
    </w:p>
    <w:p w14:paraId="2682D131" w14:textId="13827A56"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Vocational training for women with disabilities is limited in terms of access to training programs.</w:t>
      </w:r>
    </w:p>
    <w:p w14:paraId="59DFDA2D" w14:textId="77777777" w:rsidR="0016500E" w:rsidRDefault="00000000">
      <w:pPr>
        <w:spacing w:after="240" w:line="360" w:lineRule="auto"/>
        <w:jc w:val="both"/>
        <w:rPr>
          <w:rFonts w:ascii="Times New Roman" w:hAnsi="Times New Roman" w:cs="Times New Roman"/>
          <w:b/>
          <w:sz w:val="21"/>
          <w:szCs w:val="21"/>
        </w:rPr>
      </w:pPr>
      <w:r>
        <w:rPr>
          <w:rFonts w:ascii="Times New Roman" w:hAnsi="Times New Roman" w:cs="Times New Roman"/>
          <w:b/>
          <w:sz w:val="21"/>
          <w:szCs w:val="21"/>
        </w:rPr>
        <w:t>Article 12 - Health and Reproductive Rights</w:t>
      </w:r>
    </w:p>
    <w:p w14:paraId="2F18B18C" w14:textId="77777777"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The current Constitution of Guinea-Bissau emphasizes in Article 15 that "public health aims to promote the physical and mental well-being of the population and their balanced integration into the socio-ecological environment in which they live." It also states that public health "should be geared toward prevention and aim at the progressive socialization of medicine and the medical and pharmaceutical sectors."</w:t>
      </w:r>
    </w:p>
    <w:p w14:paraId="61600D51" w14:textId="0D30D1D1"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lastRenderedPageBreak/>
        <w:t>The law of Guinea-Bissau establishes that all individuals are equal in terms of their right to reproductive health and cannot be deprived of this right or discriminated against on the basis of sex, marital status, or social conditions. However, progress in achieving good maternal health is limited by restrictions on women's autonomy.</w:t>
      </w:r>
    </w:p>
    <w:p w14:paraId="3CEBC4E0" w14:textId="585B03DE"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In some parts of the country, especially in the eastern region of Bafata, women are prevented from making choices about their own reproductive health. Almost all health centers in the interior of the country, specifically in the Cambadju Sector, have reported cases of women being brought in by their husbands to have contraceptive implants or intrauterine devices removed because they had been inserted without the husband's consent.</w:t>
      </w:r>
    </w:p>
    <w:p w14:paraId="3BECA728" w14:textId="2A0C083E"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Health centers lack adapted equipment, and professionals are inadequately trained to deal with persons with disabilities. Physical barriers, high costs, and stigma further hinder access to healthcare.</w:t>
      </w:r>
    </w:p>
    <w:p w14:paraId="00D584F3" w14:textId="5380FCE6" w:rsidR="000974FC" w:rsidRPr="000974FC" w:rsidRDefault="000974FC" w:rsidP="000974FC">
      <w:pPr>
        <w:pStyle w:val="PargrafodaLista"/>
        <w:numPr>
          <w:ilvl w:val="0"/>
          <w:numId w:val="1"/>
        </w:numPr>
        <w:spacing w:after="240" w:line="360" w:lineRule="auto"/>
        <w:jc w:val="both"/>
        <w:rPr>
          <w:rFonts w:ascii="Times New Roman" w:hAnsi="Times New Roman" w:cs="Times New Roman"/>
          <w:sz w:val="21"/>
          <w:szCs w:val="21"/>
        </w:rPr>
      </w:pPr>
      <w:r w:rsidRPr="000974FC">
        <w:rPr>
          <w:rFonts w:ascii="Times New Roman" w:hAnsi="Times New Roman" w:cs="Times New Roman"/>
          <w:sz w:val="21"/>
          <w:szCs w:val="21"/>
        </w:rPr>
        <w:t>Sexual education is absent from school curricula and reproductive health programs. Women with disabilities are often excluded from these campaigns.</w:t>
      </w:r>
    </w:p>
    <w:p w14:paraId="2E26B7E4" w14:textId="29F125C7" w:rsidR="000974FC" w:rsidRPr="000974FC" w:rsidRDefault="00000000" w:rsidP="000974FC">
      <w:pPr>
        <w:spacing w:after="0" w:line="360" w:lineRule="auto"/>
        <w:jc w:val="both"/>
        <w:rPr>
          <w:rFonts w:ascii="Times New Roman" w:hAnsi="Times New Roman" w:cs="Times New Roman"/>
          <w:b/>
          <w:sz w:val="21"/>
          <w:szCs w:val="21"/>
        </w:rPr>
      </w:pPr>
      <w:r w:rsidRPr="00AE52A9">
        <w:rPr>
          <w:rFonts w:ascii="Times New Roman" w:hAnsi="Times New Roman" w:cs="Times New Roman"/>
          <w:b/>
        </w:rPr>
        <w:t>Conclusions and Recommendations</w:t>
      </w:r>
      <w:r w:rsidR="000974FC" w:rsidRPr="000974FC">
        <w:rPr>
          <w:rFonts w:ascii="Times New Roman" w:eastAsia="Times New Roman" w:hAnsi="Times New Roman" w:cs="Times New Roman"/>
          <w:sz w:val="21"/>
          <w:szCs w:val="21"/>
          <w:lang w:val="pt-GW" w:eastAsia="pt-GW"/>
        </w:rPr>
        <w:br/>
        <w:t>The situation of women with disabilities in Guinea-Bissau reveals a combination of structural neglect and the absence of specific policies and investment in normative development. FADPD-GB presents the following recommendations:</w:t>
      </w:r>
    </w:p>
    <w:p w14:paraId="1E6973C2" w14:textId="77777777" w:rsidR="000974FC" w:rsidRPr="000974FC" w:rsidRDefault="000974FC" w:rsidP="00AE52A9">
      <w:pPr>
        <w:numPr>
          <w:ilvl w:val="0"/>
          <w:numId w:val="7"/>
        </w:numPr>
        <w:spacing w:after="0" w:line="276" w:lineRule="auto"/>
        <w:ind w:left="714" w:hanging="357"/>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b/>
          <w:bCs/>
          <w:sz w:val="21"/>
          <w:szCs w:val="21"/>
          <w:lang w:val="pt-GW" w:eastAsia="pt-GW"/>
        </w:rPr>
        <w:t>Legislation and Public Policy</w:t>
      </w:r>
    </w:p>
    <w:p w14:paraId="4E8A895B" w14:textId="77777777" w:rsidR="000974FC" w:rsidRPr="000974FC" w:rsidRDefault="000974FC" w:rsidP="00AE52A9">
      <w:pPr>
        <w:numPr>
          <w:ilvl w:val="0"/>
          <w:numId w:val="8"/>
        </w:numPr>
        <w:spacing w:after="0" w:line="276" w:lineRule="auto"/>
        <w:ind w:left="714" w:hanging="357"/>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Approve an Equal Opportunities Law with specific provisions for women with disabilities.</w:t>
      </w:r>
    </w:p>
    <w:p w14:paraId="33C44485" w14:textId="77777777" w:rsidR="000974FC" w:rsidRPr="000974FC" w:rsidRDefault="000974FC" w:rsidP="00AE52A9">
      <w:pPr>
        <w:numPr>
          <w:ilvl w:val="0"/>
          <w:numId w:val="8"/>
        </w:numPr>
        <w:spacing w:after="0" w:line="276" w:lineRule="auto"/>
        <w:ind w:left="714" w:hanging="357"/>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Establish a national body for monitoring and protecting the rights of persons with disabilities, with its own budget.</w:t>
      </w:r>
    </w:p>
    <w:p w14:paraId="0B8581B4" w14:textId="77777777" w:rsidR="000974FC" w:rsidRPr="000974FC" w:rsidRDefault="000974FC" w:rsidP="00AE52A9">
      <w:pPr>
        <w:numPr>
          <w:ilvl w:val="0"/>
          <w:numId w:val="9"/>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b/>
          <w:bCs/>
          <w:sz w:val="21"/>
          <w:szCs w:val="21"/>
          <w:lang w:val="pt-GW" w:eastAsia="pt-GW"/>
        </w:rPr>
        <w:t>Education and Health</w:t>
      </w:r>
    </w:p>
    <w:p w14:paraId="1BCD92A3" w14:textId="77777777" w:rsidR="000974FC" w:rsidRPr="000974FC" w:rsidRDefault="000974FC" w:rsidP="00AE52A9">
      <w:pPr>
        <w:numPr>
          <w:ilvl w:val="0"/>
          <w:numId w:val="10"/>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Ensure the implementation of the inclusive education plan with clear goals and deadlines.</w:t>
      </w:r>
    </w:p>
    <w:p w14:paraId="387F2C31" w14:textId="77777777" w:rsidR="000974FC" w:rsidRPr="000974FC" w:rsidRDefault="000974FC" w:rsidP="00AE52A9">
      <w:pPr>
        <w:numPr>
          <w:ilvl w:val="0"/>
          <w:numId w:val="10"/>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Adapt reproductive health services to meet the needs of women with disabilities.</w:t>
      </w:r>
    </w:p>
    <w:p w14:paraId="01CF1764" w14:textId="77777777" w:rsidR="000974FC" w:rsidRPr="000974FC" w:rsidRDefault="000974FC" w:rsidP="00AE52A9">
      <w:pPr>
        <w:numPr>
          <w:ilvl w:val="0"/>
          <w:numId w:val="11"/>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b/>
          <w:bCs/>
          <w:sz w:val="21"/>
          <w:szCs w:val="21"/>
          <w:lang w:val="pt-GW" w:eastAsia="pt-GW"/>
        </w:rPr>
        <w:t>Employment and Political Participation</w:t>
      </w:r>
    </w:p>
    <w:p w14:paraId="00C104AA" w14:textId="77777777" w:rsidR="000974FC" w:rsidRPr="000974FC" w:rsidRDefault="000974FC" w:rsidP="00AE52A9">
      <w:pPr>
        <w:numPr>
          <w:ilvl w:val="0"/>
          <w:numId w:val="12"/>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Establish employment quotas in the public sector and promote inclusive entrepreneurship programs.</w:t>
      </w:r>
    </w:p>
    <w:p w14:paraId="07DC9D1E" w14:textId="77777777" w:rsidR="000974FC" w:rsidRPr="000974FC" w:rsidRDefault="000974FC" w:rsidP="00AE52A9">
      <w:pPr>
        <w:numPr>
          <w:ilvl w:val="0"/>
          <w:numId w:val="12"/>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Develop civic and political training programs for women with disabilities.</w:t>
      </w:r>
    </w:p>
    <w:p w14:paraId="35844A94" w14:textId="77777777" w:rsidR="000974FC" w:rsidRPr="000974FC" w:rsidRDefault="000974FC" w:rsidP="00AE52A9">
      <w:pPr>
        <w:numPr>
          <w:ilvl w:val="0"/>
          <w:numId w:val="13"/>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b/>
          <w:bCs/>
          <w:sz w:val="21"/>
          <w:szCs w:val="21"/>
          <w:lang w:val="pt-GW" w:eastAsia="pt-GW"/>
        </w:rPr>
        <w:t>Data and Monitoring</w:t>
      </w:r>
    </w:p>
    <w:p w14:paraId="2F2DEFCE" w14:textId="77777777" w:rsidR="000974FC" w:rsidRPr="000974FC" w:rsidRDefault="000974FC" w:rsidP="00AE52A9">
      <w:pPr>
        <w:numPr>
          <w:ilvl w:val="0"/>
          <w:numId w:val="14"/>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Collect disaggregated data by sex, age, type, and degree of disability.</w:t>
      </w:r>
    </w:p>
    <w:p w14:paraId="10558E4D" w14:textId="77777777" w:rsidR="000974FC" w:rsidRPr="000974FC" w:rsidRDefault="000974FC" w:rsidP="00AE52A9">
      <w:pPr>
        <w:numPr>
          <w:ilvl w:val="0"/>
          <w:numId w:val="14"/>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Integrate disability indicators into national development plans.</w:t>
      </w:r>
    </w:p>
    <w:p w14:paraId="3D40D8FE" w14:textId="77777777" w:rsidR="000974FC" w:rsidRPr="000974FC" w:rsidRDefault="000974FC" w:rsidP="00AE52A9">
      <w:pPr>
        <w:numPr>
          <w:ilvl w:val="0"/>
          <w:numId w:val="15"/>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b/>
          <w:bCs/>
          <w:sz w:val="21"/>
          <w:szCs w:val="21"/>
          <w:lang w:val="pt-GW" w:eastAsia="pt-GW"/>
        </w:rPr>
        <w:t>Combating Violence and Stigma</w:t>
      </w:r>
    </w:p>
    <w:p w14:paraId="7BD16AE0" w14:textId="77777777" w:rsidR="000974FC" w:rsidRPr="000974FC" w:rsidRDefault="000974FC" w:rsidP="00AE52A9">
      <w:pPr>
        <w:numPr>
          <w:ilvl w:val="0"/>
          <w:numId w:val="16"/>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Train justice, education, and health professionals on the rights of persons with disabilities.</w:t>
      </w:r>
    </w:p>
    <w:p w14:paraId="52A6884C" w14:textId="505266D7" w:rsidR="0016500E" w:rsidRPr="000974FC" w:rsidRDefault="000974FC" w:rsidP="00AE52A9">
      <w:pPr>
        <w:numPr>
          <w:ilvl w:val="0"/>
          <w:numId w:val="16"/>
        </w:numPr>
        <w:spacing w:before="100" w:beforeAutospacing="1" w:after="0" w:line="276" w:lineRule="auto"/>
        <w:rPr>
          <w:rFonts w:ascii="Times New Roman" w:eastAsia="Times New Roman" w:hAnsi="Times New Roman" w:cs="Times New Roman"/>
          <w:sz w:val="21"/>
          <w:szCs w:val="21"/>
          <w:lang w:val="pt-GW" w:eastAsia="pt-GW"/>
        </w:rPr>
      </w:pPr>
      <w:r w:rsidRPr="000974FC">
        <w:rPr>
          <w:rFonts w:ascii="Times New Roman" w:eastAsia="Times New Roman" w:hAnsi="Times New Roman" w:cs="Times New Roman"/>
          <w:sz w:val="21"/>
          <w:szCs w:val="21"/>
          <w:lang w:val="pt-GW" w:eastAsia="pt-GW"/>
        </w:rPr>
        <w:t>Launch national awareness campaigns to deconstruct stereotypes.</w:t>
      </w:r>
    </w:p>
    <w:sectPr w:rsidR="0016500E" w:rsidRPr="000974FC">
      <w:headerReference w:type="even" r:id="rId8"/>
      <w:headerReference w:type="default" r:id="rId9"/>
      <w:headerReference w:type="firs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8DEFE" w14:textId="77777777" w:rsidR="00874A86" w:rsidRDefault="00874A86">
      <w:pPr>
        <w:spacing w:line="240" w:lineRule="auto"/>
      </w:pPr>
      <w:r>
        <w:separator/>
      </w:r>
    </w:p>
  </w:endnote>
  <w:endnote w:type="continuationSeparator" w:id="0">
    <w:p w14:paraId="27AA9D63" w14:textId="77777777" w:rsidR="00874A86" w:rsidRDefault="00874A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8BB99" w14:textId="77777777" w:rsidR="00874A86" w:rsidRDefault="00874A86">
      <w:pPr>
        <w:spacing w:after="0"/>
      </w:pPr>
      <w:r>
        <w:separator/>
      </w:r>
    </w:p>
  </w:footnote>
  <w:footnote w:type="continuationSeparator" w:id="0">
    <w:p w14:paraId="278AD125" w14:textId="77777777" w:rsidR="00874A86" w:rsidRDefault="00874A8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44A4F" w14:textId="77777777" w:rsidR="0016500E" w:rsidRDefault="00000000">
    <w:pPr>
      <w:pStyle w:val="Cabealho"/>
    </w:pPr>
    <w:r>
      <w:pict w14:anchorId="7A2226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004610" o:spid="_x0000_s3075" type="#_x0000_t136" style="position:absolute;margin-left:0;margin-top:0;width:532.8pt;height:66.6pt;rotation:315;z-index:-251655168;mso-position-horizontal:center;mso-position-horizontal-relative:margin;mso-position-vertical:center;mso-position-vertical-relative:margin;mso-width-relative:page;mso-height-relative:page" o:allowincell="f" fillcolor="silver" stroked="f">
          <v:fill opacity=".5"/>
          <v:textpath style="font-family:&quot;Calibri&quot;;font-size:1pt" fitpath="t" string="NOTHING ABOUT US WITHOUT U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BCE16" w14:textId="77777777" w:rsidR="0016500E" w:rsidRDefault="00000000">
    <w:pPr>
      <w:pStyle w:val="Cabealho"/>
    </w:pPr>
    <w:r>
      <w:rPr>
        <w:rFonts w:ascii="Times New Roman" w:hAnsi="Times New Roman" w:cs="Times New Roman"/>
        <w:noProof/>
        <w:sz w:val="24"/>
        <w:szCs w:val="24"/>
      </w:rPr>
      <mc:AlternateContent>
        <mc:Choice Requires="wps">
          <w:drawing>
            <wp:anchor distT="0" distB="0" distL="113665" distR="113665" simplePos="0" relativeHeight="251664384" behindDoc="0" locked="0" layoutInCell="1" allowOverlap="1" wp14:anchorId="0B1F2155" wp14:editId="444E67F6">
              <wp:simplePos x="0" y="0"/>
              <wp:positionH relativeFrom="column">
                <wp:posOffset>672465</wp:posOffset>
              </wp:positionH>
              <wp:positionV relativeFrom="paragraph">
                <wp:posOffset>-316230</wp:posOffset>
              </wp:positionV>
              <wp:extent cx="0" cy="582930"/>
              <wp:effectExtent l="6350" t="0" r="12700" b="7620"/>
              <wp:wrapNone/>
              <wp:docPr id="3" name="Conexão recta 3"/>
              <wp:cNvGraphicFramePr/>
              <a:graphic xmlns:a="http://schemas.openxmlformats.org/drawingml/2006/main">
                <a:graphicData uri="http://schemas.microsoft.com/office/word/2010/wordprocessingShape">
                  <wps:wsp>
                    <wps:cNvCnPr/>
                    <wps:spPr>
                      <a:xfrm>
                        <a:off x="0" y="0"/>
                        <a:ext cx="0" cy="58293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wpsCustomData="http://www.wps.cn/officeDocument/2013/wpsCustomData">
          <w:pict>
            <v:line id="Conexão recta 3" o:spid="_x0000_s1026" o:spt="20" style="position:absolute;left:0pt;margin-left:52.95pt;margin-top:-24.9pt;height:45.9pt;width:0pt;z-index:251664384;mso-width-relative:page;mso-height-relative:page;" filled="f" stroked="t" coordsize="21600,21600" o:gfxdata="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FTH4XXZAAAACgEAAA8AAAAAAAAAAQAg&#10;AAAAIgAAAGRycy9kb3ducmV2LnhtbFBLAQIUABQAAAAIAIdO4kBCYHwN1AEAALADAAAOAAAAAAAA&#10;AAEAIAAAACgBAABkcnMvZTJvRG9jLnhtbFBLBQYAAAAABgAGAFkBAABuBQAAAAA=&#10;">
              <v:fill on="f" focussize="0,0"/>
              <v:stroke weight="1pt" color="#000000 [3200]" miterlimit="8" joinstyle="miter"/>
              <v:imagedata o:title=""/>
              <o:lock v:ext="edit" aspectratio="f"/>
            </v:line>
          </w:pict>
        </mc:Fallback>
      </mc:AlternateContent>
    </w:r>
    <w:r>
      <w:rPr>
        <w:noProof/>
      </w:rPr>
      <w:drawing>
        <wp:anchor distT="0" distB="0" distL="114300" distR="114300" simplePos="0" relativeHeight="251663360" behindDoc="1" locked="0" layoutInCell="1" allowOverlap="1" wp14:anchorId="0EF7170C" wp14:editId="383BD032">
          <wp:simplePos x="0" y="0"/>
          <wp:positionH relativeFrom="column">
            <wp:posOffset>-285750</wp:posOffset>
          </wp:positionH>
          <wp:positionV relativeFrom="paragraph">
            <wp:posOffset>-362585</wp:posOffset>
          </wp:positionV>
          <wp:extent cx="902335" cy="751205"/>
          <wp:effectExtent l="0" t="0" r="12065" b="10795"/>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02335" cy="751205"/>
                  </a:xfrm>
                  <a:prstGeom prst="rect">
                    <a:avLst/>
                  </a:prstGeom>
                  <a:noFill/>
                </pic:spPr>
              </pic:pic>
            </a:graphicData>
          </a:graphic>
        </wp:anchor>
      </w:drawing>
    </w:r>
    <w:r>
      <w:pict w14:anchorId="69AEE7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004611" o:spid="_x0000_s3074" type="#_x0000_t136" style="position:absolute;margin-left:0;margin-top:0;width:532.8pt;height:66.6pt;rotation:315;z-index:-251654144;mso-position-horizontal:center;mso-position-horizontal-relative:margin;mso-position-vertical:center;mso-position-vertical-relative:margin;mso-width-relative:page;mso-height-relative:page" o:allowincell="f" fillcolor="silver" stroked="f">
          <v:fill opacity=".5"/>
          <v:textpath style="font-family:&quot;Calibri&quot;;font-size:1pt" fitpath="t" string="NOTHING ABOUT US WITHOUT US"/>
          <w10:wrap anchorx="margin" anchory="margin"/>
        </v:shape>
      </w:pict>
    </w: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5FEA06C" wp14:editId="445D34FD">
              <wp:simplePos x="0" y="0"/>
              <wp:positionH relativeFrom="column">
                <wp:posOffset>676275</wp:posOffset>
              </wp:positionH>
              <wp:positionV relativeFrom="paragraph">
                <wp:posOffset>-362585</wp:posOffset>
              </wp:positionV>
              <wp:extent cx="5166995" cy="714375"/>
              <wp:effectExtent l="0" t="0" r="0" b="9525"/>
              <wp:wrapNone/>
              <wp:docPr id="4" name="Caixa de Texto 2"/>
              <wp:cNvGraphicFramePr/>
              <a:graphic xmlns:a="http://schemas.openxmlformats.org/drawingml/2006/main">
                <a:graphicData uri="http://schemas.microsoft.com/office/word/2010/wordprocessingShape">
                  <wps:wsp>
                    <wps:cNvSpPr txBox="1"/>
                    <wps:spPr>
                      <a:xfrm>
                        <a:off x="0" y="0"/>
                        <a:ext cx="5166995" cy="7143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3B5826" w14:textId="77777777" w:rsidR="0016500E" w:rsidRDefault="00000000">
                          <w:pPr>
                            <w:jc w:val="center"/>
                            <w:rPr>
                              <w:rFonts w:ascii="Times New Roman" w:hAnsi="Times New Roman" w:cs="Times New Roman"/>
                              <w:b/>
                              <w:sz w:val="28"/>
                              <w:szCs w:val="28"/>
                            </w:rPr>
                          </w:pPr>
                          <w:r>
                            <w:rPr>
                              <w:b/>
                            </w:rPr>
                            <w:t>FEDERATION OF ASSOCIATIONS FOR THE DEFENSE AND PROMOTION OF THE RIGHTS OF PERSONS WITH DISABILITIES OF GUINEA-BISSAU (FADPD-GB)</w:t>
                          </w:r>
                        </w:p>
                        <w:p w14:paraId="1BB184FF" w14:textId="77777777" w:rsidR="0016500E" w:rsidRDefault="00000000">
                          <w:pPr>
                            <w:pStyle w:val="SemEspaamento"/>
                            <w:shd w:val="clear" w:color="auto" w:fill="FFFF00"/>
                            <w:jc w:val="center"/>
                            <w:rPr>
                              <w:rFonts w:ascii="Times New Roman" w:hAnsi="Times New Roman" w:cs="Times New Roman"/>
                              <w:b/>
                              <w:i/>
                              <w:color w:val="00B050"/>
                              <w:sz w:val="24"/>
                              <w:szCs w:val="24"/>
                            </w:rPr>
                          </w:pPr>
                          <w:r>
                            <w:rPr>
                              <w:rFonts w:ascii="Times New Roman" w:hAnsi="Times New Roman" w:cs="Times New Roman"/>
                              <w:b/>
                              <w:i/>
                              <w:color w:val="00B050"/>
                              <w:sz w:val="24"/>
                              <w:szCs w:val="24"/>
                            </w:rPr>
                            <w:t xml:space="preserve"> “NOTHING ABOUT US WITHOUT US”</w:t>
                          </w:r>
                        </w:p>
                        <w:p w14:paraId="0447E04A" w14:textId="77777777" w:rsidR="0016500E" w:rsidRDefault="0016500E">
                          <w:pPr>
                            <w:jc w:val="center"/>
                            <w:rPr>
                              <w:rFonts w:ascii="Times New Roman" w:hAnsi="Times New Roman" w:cs="Times New Roman"/>
                              <w:b/>
                              <w:sz w:val="28"/>
                              <w:szCs w:val="28"/>
                            </w:rPr>
                          </w:pPr>
                        </w:p>
                        <w:p w14:paraId="54742C75" w14:textId="77777777" w:rsidR="0016500E" w:rsidRDefault="0016500E">
                          <w:pPr>
                            <w:jc w:val="center"/>
                            <w:rPr>
                              <w:rFonts w:ascii="Times New Roman" w:hAnsi="Times New Roman" w:cs="Times New Roman"/>
                              <w:b/>
                              <w:sz w:val="28"/>
                              <w:szCs w:val="2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75FEA06C" id="_x0000_t202" coordsize="21600,21600" o:spt="202" path="m,l,21600r21600,l21600,xe">
              <v:stroke joinstyle="miter"/>
              <v:path gradientshapeok="t" o:connecttype="rect"/>
            </v:shapetype>
            <v:shape id="Caixa de Texto 2" o:spid="_x0000_s1026" type="#_x0000_t202" style="position:absolute;margin-left:53.25pt;margin-top:-28.55pt;width:406.85pt;height:56.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" fillcolor="white [3201]" stroked="f" strokeweight=".5pt">
              <v:textbox>
                <w:txbxContent>
                  <w:p w14:paraId="4C3B5826" w14:textId="77777777" w:rsidR="0016500E" w:rsidRDefault="00000000">
                    <w:pPr>
                      <w:jc w:val="center"/>
                      <w:rPr>
                        <w:rFonts w:ascii="Times New Roman" w:hAnsi="Times New Roman" w:cs="Times New Roman"/>
                        <w:b/>
                        <w:sz w:val="28"/>
                        <w:szCs w:val="28"/>
                      </w:rPr>
                    </w:pPr>
                    <w:r>
                      <w:rPr>
                        <w:b/>
                      </w:rPr>
                      <w:t>FEDERATION OF ASSOCIATIONS FOR THE DEFENSE AND PROMOTION OF THE RIGHTS OF PERSONS WITH DISABILITIES OF GUINEA-BISSAU (FADPD-GB)</w:t>
                    </w:r>
                  </w:p>
                  <w:p w14:paraId="1BB184FF" w14:textId="77777777" w:rsidR="0016500E" w:rsidRDefault="00000000">
                    <w:pPr>
                      <w:pStyle w:val="SemEspaamento"/>
                      <w:shd w:val="clear" w:color="auto" w:fill="FFFF00"/>
                      <w:jc w:val="center"/>
                      <w:rPr>
                        <w:rFonts w:ascii="Times New Roman" w:hAnsi="Times New Roman" w:cs="Times New Roman"/>
                        <w:b/>
                        <w:i/>
                        <w:color w:val="00B050"/>
                        <w:sz w:val="24"/>
                        <w:szCs w:val="24"/>
                      </w:rPr>
                    </w:pPr>
                    <w:r>
                      <w:rPr>
                        <w:rFonts w:ascii="Times New Roman" w:hAnsi="Times New Roman" w:cs="Times New Roman"/>
                        <w:b/>
                        <w:i/>
                        <w:color w:val="00B050"/>
                        <w:sz w:val="24"/>
                        <w:szCs w:val="24"/>
                      </w:rPr>
                      <w:t xml:space="preserve"> “NOTHING ABOUT US WITHOUT US”</w:t>
                    </w:r>
                  </w:p>
                  <w:p w14:paraId="0447E04A" w14:textId="77777777" w:rsidR="0016500E" w:rsidRDefault="0016500E">
                    <w:pPr>
                      <w:jc w:val="center"/>
                      <w:rPr>
                        <w:rFonts w:ascii="Times New Roman" w:hAnsi="Times New Roman" w:cs="Times New Roman"/>
                        <w:b/>
                        <w:sz w:val="28"/>
                        <w:szCs w:val="28"/>
                      </w:rPr>
                    </w:pPr>
                  </w:p>
                  <w:p w14:paraId="54742C75" w14:textId="77777777" w:rsidR="0016500E" w:rsidRDefault="0016500E">
                    <w:pPr>
                      <w:jc w:val="center"/>
                      <w:rPr>
                        <w:rFonts w:ascii="Times New Roman" w:hAnsi="Times New Roman" w:cs="Times New Roman"/>
                        <w:b/>
                        <w:sz w:val="28"/>
                        <w:szCs w:val="28"/>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37D3D" w14:textId="77777777" w:rsidR="0016500E" w:rsidRDefault="00000000">
    <w:pPr>
      <w:pStyle w:val="Cabealho"/>
    </w:pPr>
    <w:r>
      <w:pict w14:anchorId="46C69B2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9004609" o:spid="_x0000_s3073" type="#_x0000_t136" style="position:absolute;margin-left:0;margin-top:0;width:532.8pt;height:66.6pt;rotation:315;z-index:-251656192;mso-position-horizontal:center;mso-position-horizontal-relative:margin;mso-position-vertical:center;mso-position-vertical-relative:margin;mso-width-relative:page;mso-height-relative:page" o:allowincell="f" fillcolor="silver" stroked="f">
          <v:fill opacity=".5"/>
          <v:textpath style="font-family:&quot;Calibri&quot;;font-size:1pt" fitpath="t" string="NOTHING ABOUT US WITHOUT U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D4328"/>
    <w:multiLevelType w:val="multilevel"/>
    <w:tmpl w:val="083D43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CB6652F"/>
    <w:multiLevelType w:val="multilevel"/>
    <w:tmpl w:val="EF1CB2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781B59"/>
    <w:multiLevelType w:val="multilevel"/>
    <w:tmpl w:val="DDAE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207695"/>
    <w:multiLevelType w:val="multilevel"/>
    <w:tmpl w:val="0A467C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D06C70"/>
    <w:multiLevelType w:val="multilevel"/>
    <w:tmpl w:val="19D06C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23B7B4F"/>
    <w:multiLevelType w:val="multilevel"/>
    <w:tmpl w:val="B5E48A8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F419F0"/>
    <w:multiLevelType w:val="multilevel"/>
    <w:tmpl w:val="67AA8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162EC3"/>
    <w:multiLevelType w:val="multilevel"/>
    <w:tmpl w:val="61382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A77564"/>
    <w:multiLevelType w:val="multilevel"/>
    <w:tmpl w:val="B5808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FA0BA0"/>
    <w:multiLevelType w:val="multilevel"/>
    <w:tmpl w:val="D5B2B302"/>
    <w:lvl w:ilvl="0">
      <w:start w:val="1"/>
      <w:numFmt w:val="decimal"/>
      <w:lvlText w:val="%1."/>
      <w:lvlJc w:val="left"/>
      <w:pPr>
        <w:ind w:left="720" w:hanging="360"/>
      </w:pPr>
      <w:rPr>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57F09C5"/>
    <w:multiLevelType w:val="multilevel"/>
    <w:tmpl w:val="DC542F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5B7D16"/>
    <w:multiLevelType w:val="multilevel"/>
    <w:tmpl w:val="365B7D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4E527413"/>
    <w:multiLevelType w:val="multilevel"/>
    <w:tmpl w:val="4E52741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6A366011"/>
    <w:multiLevelType w:val="multilevel"/>
    <w:tmpl w:val="6C902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BE6671"/>
    <w:multiLevelType w:val="multilevel"/>
    <w:tmpl w:val="70BE667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7BDF62CF"/>
    <w:multiLevelType w:val="multilevel"/>
    <w:tmpl w:val="B0AC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9368356">
    <w:abstractNumId w:val="9"/>
  </w:num>
  <w:num w:numId="2" w16cid:durableId="925457404">
    <w:abstractNumId w:val="0"/>
  </w:num>
  <w:num w:numId="3" w16cid:durableId="2033417733">
    <w:abstractNumId w:val="14"/>
  </w:num>
  <w:num w:numId="4" w16cid:durableId="1483156181">
    <w:abstractNumId w:val="4"/>
  </w:num>
  <w:num w:numId="5" w16cid:durableId="1510296898">
    <w:abstractNumId w:val="12"/>
  </w:num>
  <w:num w:numId="6" w16cid:durableId="383065744">
    <w:abstractNumId w:val="11"/>
  </w:num>
  <w:num w:numId="7" w16cid:durableId="1249852412">
    <w:abstractNumId w:val="2"/>
  </w:num>
  <w:num w:numId="8" w16cid:durableId="2140103854">
    <w:abstractNumId w:val="15"/>
  </w:num>
  <w:num w:numId="9" w16cid:durableId="734665073">
    <w:abstractNumId w:val="10"/>
  </w:num>
  <w:num w:numId="10" w16cid:durableId="770513521">
    <w:abstractNumId w:val="8"/>
  </w:num>
  <w:num w:numId="11" w16cid:durableId="364328167">
    <w:abstractNumId w:val="1"/>
  </w:num>
  <w:num w:numId="12" w16cid:durableId="1261378567">
    <w:abstractNumId w:val="6"/>
  </w:num>
  <w:num w:numId="13" w16cid:durableId="2137409152">
    <w:abstractNumId w:val="3"/>
  </w:num>
  <w:num w:numId="14" w16cid:durableId="1864516154">
    <w:abstractNumId w:val="13"/>
  </w:num>
  <w:num w:numId="15" w16cid:durableId="1970503124">
    <w:abstractNumId w:val="5"/>
  </w:num>
  <w:num w:numId="16" w16cid:durableId="2006337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noPunctuationKerning/>
  <w:characterSpacingControl w:val="doNotCompress"/>
  <w:hdrShapeDefaults>
    <o:shapedefaults v:ext="edit" spidmax="3076"/>
    <o:shapelayout v:ext="edit">
      <o:idmap v:ext="edit" data="1,3"/>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A68"/>
    <w:rsid w:val="0004770F"/>
    <w:rsid w:val="000974FC"/>
    <w:rsid w:val="0016500E"/>
    <w:rsid w:val="001D6FF8"/>
    <w:rsid w:val="00294014"/>
    <w:rsid w:val="005069E6"/>
    <w:rsid w:val="005C5E84"/>
    <w:rsid w:val="006F5C16"/>
    <w:rsid w:val="00700E42"/>
    <w:rsid w:val="00874A86"/>
    <w:rsid w:val="009121E7"/>
    <w:rsid w:val="009548D6"/>
    <w:rsid w:val="009823FB"/>
    <w:rsid w:val="009B6BCB"/>
    <w:rsid w:val="009D3D04"/>
    <w:rsid w:val="00AD2A68"/>
    <w:rsid w:val="00AE52A9"/>
    <w:rsid w:val="09425E80"/>
    <w:rsid w:val="40A10BBF"/>
  </w:rsids>
  <m:mathPr>
    <m:mathFont m:val="Cambria Math"/>
    <m:brkBin m:val="before"/>
    <m:brkBinSub m:val="--"/>
    <m:smallFrac m:val="0"/>
    <m:dispDef/>
    <m:lMargin m:val="0"/>
    <m:rMargin m:val="0"/>
    <m:defJc m:val="centerGroup"/>
    <m:wrapIndent m:val="1440"/>
    <m:intLim m:val="subSup"/>
    <m:naryLim m:val="undOvr"/>
  </m:mathPr>
  <w:themeFontLang w:val="pt-PT" w:eastAsia="zh-CN"/>
  <w:clrSchemeMapping w:bg1="light1" w:t1="dark1" w:bg2="light2" w:t2="dark2" w:accent1="accent1" w:accent2="accent2" w:accent3="accent3" w:accent4="accent4" w:accent5="accent5" w:accent6="accent6" w:hyperlink="hyperlink" w:followedHyperlink="followedHyperlink"/>
  <w:shapeDefaults>
    <o:shapedefaults v:ext="edit" spidmax="3076"/>
    <o:shapelayout v:ext="edit">
      <o:idmap v:ext="edit" data="2"/>
    </o:shapelayout>
  </w:shapeDefaults>
  <w:decimalSymbol w:val=","/>
  <w:listSeparator w:val=";"/>
  <w14:docId w14:val="234D7624"/>
  <w15:docId w15:val="{4AF9D573-0B81-4297-9C3B-CA82E1FE5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GW" w:eastAsia="pt-G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paragraph" w:styleId="NormalWeb">
    <w:name w:val="Normal (Web)"/>
    <w:uiPriority w:val="99"/>
    <w:semiHidden/>
    <w:unhideWhenUsed/>
    <w:qFormat/>
    <w:pPr>
      <w:spacing w:beforeAutospacing="1" w:afterAutospacing="1"/>
    </w:pPr>
    <w:rPr>
      <w:szCs w:val="24"/>
      <w:lang w:val="en-US" w:eastAsia="zh-CN"/>
    </w:r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PargrafodaLista">
    <w:name w:val="List Paragraph"/>
    <w:basedOn w:val="Normal"/>
    <w:uiPriority w:val="34"/>
    <w:qFormat/>
    <w:pPr>
      <w:ind w:left="720"/>
      <w:contextualSpacing/>
    </w:p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paragraph" w:styleId="SemEspaamento">
    <w:name w:val="No Spacing"/>
    <w:uiPriority w:val="1"/>
    <w:qFormat/>
    <w:rPr>
      <w:rFonts w:asciiTheme="minorHAnsi" w:eastAsiaTheme="minorEastAsia" w:hAnsiTheme="minorHAnsi" w:cstheme="minorBidi"/>
      <w:sz w:val="22"/>
      <w:szCs w:val="22"/>
      <w:lang w:val="pt-PT" w:eastAsia="pt-PT"/>
    </w:rPr>
  </w:style>
  <w:style w:type="character" w:styleId="nfase">
    <w:name w:val="Emphasis"/>
    <w:basedOn w:val="Fontepargpadro"/>
    <w:uiPriority w:val="20"/>
    <w:qFormat/>
    <w:rsid w:val="009B6B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752581">
      <w:bodyDiv w:val="1"/>
      <w:marLeft w:val="0"/>
      <w:marRight w:val="0"/>
      <w:marTop w:val="0"/>
      <w:marBottom w:val="0"/>
      <w:divBdr>
        <w:top w:val="none" w:sz="0" w:space="0" w:color="auto"/>
        <w:left w:val="none" w:sz="0" w:space="0" w:color="auto"/>
        <w:bottom w:val="none" w:sz="0" w:space="0" w:color="auto"/>
        <w:right w:val="none" w:sz="0" w:space="0" w:color="auto"/>
      </w:divBdr>
    </w:div>
    <w:div w:id="708795993">
      <w:bodyDiv w:val="1"/>
      <w:marLeft w:val="0"/>
      <w:marRight w:val="0"/>
      <w:marTop w:val="0"/>
      <w:marBottom w:val="0"/>
      <w:divBdr>
        <w:top w:val="none" w:sz="0" w:space="0" w:color="auto"/>
        <w:left w:val="none" w:sz="0" w:space="0" w:color="auto"/>
        <w:bottom w:val="none" w:sz="0" w:space="0" w:color="auto"/>
        <w:right w:val="none" w:sz="0" w:space="0" w:color="auto"/>
      </w:divBdr>
    </w:div>
    <w:div w:id="736902942">
      <w:bodyDiv w:val="1"/>
      <w:marLeft w:val="0"/>
      <w:marRight w:val="0"/>
      <w:marTop w:val="0"/>
      <w:marBottom w:val="0"/>
      <w:divBdr>
        <w:top w:val="none" w:sz="0" w:space="0" w:color="auto"/>
        <w:left w:val="none" w:sz="0" w:space="0" w:color="auto"/>
        <w:bottom w:val="none" w:sz="0" w:space="0" w:color="auto"/>
        <w:right w:val="none" w:sz="0" w:space="0" w:color="auto"/>
      </w:divBdr>
    </w:div>
    <w:div w:id="954600450">
      <w:bodyDiv w:val="1"/>
      <w:marLeft w:val="0"/>
      <w:marRight w:val="0"/>
      <w:marTop w:val="0"/>
      <w:marBottom w:val="0"/>
      <w:divBdr>
        <w:top w:val="none" w:sz="0" w:space="0" w:color="auto"/>
        <w:left w:val="none" w:sz="0" w:space="0" w:color="auto"/>
        <w:bottom w:val="none" w:sz="0" w:space="0" w:color="auto"/>
        <w:right w:val="none" w:sz="0" w:space="0" w:color="auto"/>
      </w:divBdr>
    </w:div>
    <w:div w:id="1042286089">
      <w:bodyDiv w:val="1"/>
      <w:marLeft w:val="0"/>
      <w:marRight w:val="0"/>
      <w:marTop w:val="0"/>
      <w:marBottom w:val="0"/>
      <w:divBdr>
        <w:top w:val="none" w:sz="0" w:space="0" w:color="auto"/>
        <w:left w:val="none" w:sz="0" w:space="0" w:color="auto"/>
        <w:bottom w:val="none" w:sz="0" w:space="0" w:color="auto"/>
        <w:right w:val="none" w:sz="0" w:space="0" w:color="auto"/>
      </w:divBdr>
    </w:div>
    <w:div w:id="1153837310">
      <w:bodyDiv w:val="1"/>
      <w:marLeft w:val="0"/>
      <w:marRight w:val="0"/>
      <w:marTop w:val="0"/>
      <w:marBottom w:val="0"/>
      <w:divBdr>
        <w:top w:val="none" w:sz="0" w:space="0" w:color="auto"/>
        <w:left w:val="none" w:sz="0" w:space="0" w:color="auto"/>
        <w:bottom w:val="none" w:sz="0" w:space="0" w:color="auto"/>
        <w:right w:val="none" w:sz="0" w:space="0" w:color="auto"/>
      </w:divBdr>
    </w:div>
    <w:div w:id="18129424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9</Pages>
  <Words>3373</Words>
  <Characters>19232</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jassirferes@live.co.uk</cp:lastModifiedBy>
  <cp:revision>4</cp:revision>
  <dcterms:created xsi:type="dcterms:W3CDTF">2025-05-08T23:54:00Z</dcterms:created>
  <dcterms:modified xsi:type="dcterms:W3CDTF">2025-05-19T11:44:00Z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808F0F560A764792BED33F19A70CEF73_12</vt:lpwstr>
  </property>
</Properties>
</file>