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E846" w14:textId="77777777" w:rsidR="008961E0" w:rsidRPr="008961E0" w:rsidRDefault="008961E0" w:rsidP="008961E0">
      <w:pPr>
        <w:contextualSpacing/>
        <w:jc w:val="center"/>
        <w:rPr>
          <w:rFonts w:ascii="MetaPro-Norm" w:hAnsi="MetaPro-Norm"/>
          <w:color w:val="000000" w:themeColor="text1"/>
          <w:sz w:val="22"/>
          <w:szCs w:val="22"/>
        </w:rPr>
      </w:pPr>
      <w:r w:rsidRPr="008961E0">
        <w:rPr>
          <w:rFonts w:ascii="MetaPro-Norm" w:hAnsi="MetaPro-Norm"/>
          <w:noProof/>
          <w:color w:val="000000" w:themeColor="text1"/>
          <w:sz w:val="22"/>
          <w:szCs w:val="22"/>
        </w:rPr>
        <w:drawing>
          <wp:inline distT="0" distB="0" distL="0" distR="0" wp14:anchorId="6A81FAB2" wp14:editId="177B5BE1">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28F6A078" w14:textId="77777777" w:rsidR="008961E0" w:rsidRPr="008961E0" w:rsidRDefault="008961E0" w:rsidP="008961E0">
      <w:pPr>
        <w:contextualSpacing/>
        <w:jc w:val="center"/>
        <w:rPr>
          <w:rFonts w:ascii="MetaPro-Norm" w:eastAsia="Calibri" w:hAnsi="MetaPro-Norm"/>
          <w:color w:val="000000" w:themeColor="text1"/>
          <w:sz w:val="22"/>
          <w:szCs w:val="22"/>
        </w:rPr>
      </w:pPr>
    </w:p>
    <w:p w14:paraId="5E5A4198" w14:textId="77777777" w:rsidR="008961E0" w:rsidRPr="008961E0" w:rsidRDefault="008961E0" w:rsidP="008961E0">
      <w:pPr>
        <w:contextualSpacing/>
        <w:jc w:val="center"/>
        <w:rPr>
          <w:rFonts w:ascii="MetaPro-Norm" w:eastAsia="Calibri" w:hAnsi="MetaPro-Norm"/>
          <w:color w:val="000000" w:themeColor="text1"/>
          <w:sz w:val="22"/>
          <w:szCs w:val="22"/>
        </w:rPr>
      </w:pPr>
    </w:p>
    <w:p w14:paraId="47935AD5" w14:textId="5F081B0D" w:rsidR="008961E0" w:rsidRPr="008961E0" w:rsidRDefault="008961E0" w:rsidP="008961E0">
      <w:pPr>
        <w:pStyle w:val="NoSpacing"/>
        <w:contextualSpacing/>
        <w:jc w:val="center"/>
        <w:rPr>
          <w:rFonts w:ascii="MetaPro-Norm" w:hAnsi="MetaPro-Norm"/>
          <w:b/>
          <w:bCs/>
          <w:color w:val="000000" w:themeColor="text1"/>
          <w:lang w:val="en-US"/>
        </w:rPr>
      </w:pPr>
      <w:r w:rsidRPr="008961E0">
        <w:rPr>
          <w:rFonts w:ascii="MetaPro-Norm" w:hAnsi="MetaPro-Norm"/>
          <w:b/>
          <w:bCs/>
          <w:color w:val="000000" w:themeColor="text1"/>
          <w:lang w:val="en-US"/>
        </w:rPr>
        <w:t xml:space="preserve">Submission to the </w:t>
      </w:r>
      <w:bookmarkStart w:id="0" w:name="_Hlk534376786"/>
      <w:r w:rsidRPr="008961E0">
        <w:rPr>
          <w:rFonts w:ascii="MetaPro-Norm" w:hAnsi="MetaPro-Norm"/>
          <w:b/>
          <w:bCs/>
          <w:color w:val="000000" w:themeColor="text1"/>
          <w:lang w:val="en-US"/>
        </w:rPr>
        <w:t xml:space="preserve">Committee </w:t>
      </w:r>
      <w:bookmarkEnd w:id="0"/>
      <w:r w:rsidRPr="008961E0">
        <w:rPr>
          <w:rFonts w:ascii="MetaPro-Norm" w:hAnsi="MetaPro-Norm"/>
          <w:b/>
          <w:bCs/>
          <w:color w:val="000000" w:themeColor="text1"/>
          <w:lang w:val="en-US"/>
        </w:rPr>
        <w:t xml:space="preserve">on the Elimination of Discrimination against Women Review of Ecuador </w:t>
      </w:r>
      <w:r w:rsidRPr="008961E0">
        <w:rPr>
          <w:rFonts w:ascii="MetaPro-Norm" w:hAnsi="MetaPro-Norm"/>
          <w:b/>
          <w:bCs/>
          <w:lang w:val="en-US"/>
        </w:rPr>
        <w:t>periodic report for the 80</w:t>
      </w:r>
      <w:r w:rsidRPr="008961E0">
        <w:rPr>
          <w:rFonts w:ascii="MetaPro-Norm" w:hAnsi="MetaPro-Norm"/>
          <w:b/>
          <w:bCs/>
          <w:vertAlign w:val="superscript"/>
          <w:lang w:val="en-US"/>
        </w:rPr>
        <w:t>th</w:t>
      </w:r>
      <w:r w:rsidRPr="008961E0">
        <w:rPr>
          <w:rFonts w:ascii="MetaPro-Norm" w:hAnsi="MetaPro-Norm"/>
          <w:b/>
          <w:bCs/>
          <w:lang w:val="en-US"/>
        </w:rPr>
        <w:t xml:space="preserve"> Session </w:t>
      </w:r>
    </w:p>
    <w:p w14:paraId="06104332" w14:textId="5502BAE1" w:rsidR="008961E0" w:rsidRPr="008961E0" w:rsidRDefault="008961E0" w:rsidP="008961E0">
      <w:pPr>
        <w:pStyle w:val="NoSpacing"/>
        <w:contextualSpacing/>
        <w:jc w:val="center"/>
        <w:rPr>
          <w:rFonts w:ascii="MetaPro-Norm" w:hAnsi="MetaPro-Norm"/>
          <w:b/>
          <w:bCs/>
          <w:color w:val="000000" w:themeColor="text1"/>
          <w:lang w:val="en-US"/>
        </w:rPr>
      </w:pPr>
      <w:r w:rsidRPr="008961E0">
        <w:rPr>
          <w:rFonts w:ascii="MetaPro-Norm" w:hAnsi="MetaPro-Norm"/>
          <w:b/>
          <w:bCs/>
          <w:i/>
          <w:iCs/>
          <w:color w:val="000000" w:themeColor="text1"/>
          <w:lang w:val="en-US"/>
        </w:rPr>
        <w:t xml:space="preserve">August 2021 </w:t>
      </w:r>
    </w:p>
    <w:p w14:paraId="15AE9196" w14:textId="6BB0432B" w:rsidR="00BA5256" w:rsidRDefault="008961E0" w:rsidP="008961E0">
      <w:pPr>
        <w:pStyle w:val="NoSpacing"/>
        <w:contextualSpacing/>
        <w:rPr>
          <w:rFonts w:ascii="MetaPro-Norm" w:hAnsi="MetaPro-Norm"/>
        </w:rPr>
      </w:pPr>
      <w:r w:rsidRPr="008961E0">
        <w:rPr>
          <w:rFonts w:ascii="MetaPro-Norm" w:hAnsi="MetaPro-Norm"/>
          <w:i/>
          <w:iCs/>
          <w:color w:val="000000" w:themeColor="text1"/>
          <w:lang w:val="en-US"/>
        </w:rPr>
        <w:br/>
      </w:r>
      <w:r w:rsidRPr="001F4F18">
        <w:rPr>
          <w:rFonts w:ascii="MetaPro-Norm" w:hAnsi="MetaPro-Norm"/>
        </w:rPr>
        <w:t>We write in advance of the 80</w:t>
      </w:r>
      <w:r w:rsidRPr="001F4F18">
        <w:rPr>
          <w:rFonts w:ascii="MetaPro-Norm" w:hAnsi="MetaPro-Norm"/>
          <w:vertAlign w:val="superscript"/>
        </w:rPr>
        <w:t>th</w:t>
      </w:r>
      <w:r w:rsidRPr="001F4F18">
        <w:rPr>
          <w:rFonts w:ascii="MetaPro-Norm" w:hAnsi="MetaPro-Norm"/>
        </w:rPr>
        <w:t xml:space="preserve"> session of the Committee on the Elimination of Discrimination against Women and its review of Ecuador’s compliance with the Convention on the Elimination of All Forms of Discrimination against Women (CEDAW). </w:t>
      </w:r>
      <w:r w:rsidR="00823230">
        <w:rPr>
          <w:rFonts w:ascii="MetaPro-Norm" w:hAnsi="MetaPro-Norm"/>
        </w:rPr>
        <w:t>This submission addresses articles 2,5, 10, 12</w:t>
      </w:r>
      <w:r w:rsidR="00C97BF3">
        <w:rPr>
          <w:rFonts w:ascii="MetaPro-Norm" w:hAnsi="MetaPro-Norm"/>
        </w:rPr>
        <w:t>, and 16</w:t>
      </w:r>
      <w:r w:rsidR="00823230">
        <w:rPr>
          <w:rFonts w:ascii="MetaPro-Norm" w:hAnsi="MetaPro-Norm"/>
        </w:rPr>
        <w:t xml:space="preserve"> of the Convention.</w:t>
      </w:r>
    </w:p>
    <w:p w14:paraId="48ACAC45" w14:textId="77777777" w:rsidR="00BA5256" w:rsidRDefault="00BA5256" w:rsidP="008961E0">
      <w:pPr>
        <w:pStyle w:val="NoSpacing"/>
        <w:contextualSpacing/>
        <w:rPr>
          <w:rFonts w:ascii="MetaPro-Norm" w:hAnsi="MetaPro-Norm"/>
        </w:rPr>
      </w:pPr>
    </w:p>
    <w:p w14:paraId="3418BCC6" w14:textId="7F9E0D12" w:rsidR="009E6CE9" w:rsidRDefault="00612623" w:rsidP="008961E0">
      <w:pPr>
        <w:pStyle w:val="NoSpacing"/>
        <w:contextualSpacing/>
        <w:rPr>
          <w:rFonts w:ascii="MetaPro-Norm" w:hAnsi="MetaPro-Norm"/>
        </w:rPr>
      </w:pPr>
      <w:r w:rsidRPr="001F4F18">
        <w:rPr>
          <w:rFonts w:ascii="MetaPro-Norm" w:hAnsi="MetaPro-Norm"/>
        </w:rPr>
        <w:t xml:space="preserve">This submission is based on the </w:t>
      </w:r>
      <w:r w:rsidR="000831C0">
        <w:rPr>
          <w:rFonts w:ascii="MetaPro-Norm" w:hAnsi="MetaPro-Norm"/>
        </w:rPr>
        <w:t xml:space="preserve">2021 </w:t>
      </w:r>
      <w:r w:rsidRPr="001F4F18">
        <w:rPr>
          <w:rFonts w:ascii="MetaPro-Norm" w:hAnsi="MetaPro-Norm"/>
        </w:rPr>
        <w:t xml:space="preserve">Human Rights Watch report, </w:t>
      </w:r>
      <w:hyperlink r:id="rId9" w:history="1">
        <w:r w:rsidR="00F84EA8">
          <w:rPr>
            <w:rStyle w:val="Hyperlink"/>
            <w:rFonts w:ascii="MetaPro-Norm" w:hAnsi="MetaPro-Norm"/>
          </w:rPr>
          <w:t>“</w:t>
        </w:r>
        <w:r w:rsidRPr="001F4F18">
          <w:rPr>
            <w:rStyle w:val="Hyperlink"/>
            <w:rFonts w:ascii="MetaPro-Norm" w:hAnsi="MetaPro-Norm"/>
          </w:rPr>
          <w:t xml:space="preserve">Why </w:t>
        </w:r>
        <w:r w:rsidR="00B81A08">
          <w:rPr>
            <w:rStyle w:val="Hyperlink"/>
            <w:rFonts w:ascii="MetaPro-Norm" w:hAnsi="MetaPro-Norm"/>
          </w:rPr>
          <w:t xml:space="preserve">Do </w:t>
        </w:r>
        <w:r w:rsidRPr="001F4F18">
          <w:rPr>
            <w:rStyle w:val="Hyperlink"/>
            <w:rFonts w:ascii="MetaPro-Norm" w:hAnsi="MetaPro-Norm"/>
          </w:rPr>
          <w:t>They Want To Make Me Suffer Again</w:t>
        </w:r>
        <w:r w:rsidR="00F84EA8">
          <w:rPr>
            <w:rStyle w:val="Hyperlink"/>
            <w:rFonts w:ascii="MetaPro-Norm" w:hAnsi="MetaPro-Norm"/>
          </w:rPr>
          <w:t>?”</w:t>
        </w:r>
        <w:r w:rsidRPr="001F4F18">
          <w:rPr>
            <w:rStyle w:val="Hyperlink"/>
            <w:rFonts w:ascii="MetaPro-Norm" w:hAnsi="MetaPro-Norm"/>
          </w:rPr>
          <w:t>: The Impact of Abortion Prosecutions in Ecuador</w:t>
        </w:r>
      </w:hyperlink>
      <w:r w:rsidRPr="001F4F18">
        <w:rPr>
          <w:rFonts w:ascii="MetaPro-Norm" w:hAnsi="MetaPro-Norm"/>
        </w:rPr>
        <w:t xml:space="preserve"> and </w:t>
      </w:r>
      <w:r w:rsidR="00F84EA8">
        <w:rPr>
          <w:rFonts w:ascii="MetaPro-Norm" w:hAnsi="MetaPro-Norm"/>
        </w:rPr>
        <w:t>the</w:t>
      </w:r>
      <w:r w:rsidR="00F84EA8" w:rsidRPr="001F4F18">
        <w:rPr>
          <w:rFonts w:ascii="MetaPro-Norm" w:hAnsi="MetaPro-Norm"/>
        </w:rPr>
        <w:t xml:space="preserve"> </w:t>
      </w:r>
      <w:r w:rsidRPr="001F4F18">
        <w:rPr>
          <w:rFonts w:ascii="MetaPro-Norm" w:hAnsi="MetaPro-Norm"/>
        </w:rPr>
        <w:t xml:space="preserve">2020 report </w:t>
      </w:r>
      <w:hyperlink r:id="rId10" w:history="1">
        <w:r w:rsidR="00F84EA8">
          <w:rPr>
            <w:rStyle w:val="Hyperlink"/>
            <w:rFonts w:ascii="MetaPro-Norm" w:hAnsi="MetaPro-Norm"/>
          </w:rPr>
          <w:t>“</w:t>
        </w:r>
        <w:r w:rsidRPr="001F4F18">
          <w:rPr>
            <w:rStyle w:val="Hyperlink"/>
            <w:rFonts w:ascii="MetaPro-Norm" w:hAnsi="MetaPro-Norm"/>
          </w:rPr>
          <w:t>It</w:t>
        </w:r>
        <w:r w:rsidR="00F84EA8">
          <w:rPr>
            <w:rStyle w:val="Hyperlink"/>
            <w:rFonts w:ascii="MetaPro-Norm" w:hAnsi="MetaPro-Norm"/>
          </w:rPr>
          <w:t>’</w:t>
        </w:r>
        <w:r w:rsidRPr="001F4F18">
          <w:rPr>
            <w:rStyle w:val="Hyperlink"/>
            <w:rFonts w:ascii="MetaPro-Norm" w:hAnsi="MetaPro-Norm"/>
          </w:rPr>
          <w:t>s a Constant Fight</w:t>
        </w:r>
        <w:r w:rsidR="00F84EA8">
          <w:rPr>
            <w:rStyle w:val="Hyperlink"/>
            <w:rFonts w:ascii="MetaPro-Norm" w:hAnsi="MetaPro-Norm"/>
          </w:rPr>
          <w:t>”</w:t>
        </w:r>
        <w:r w:rsidRPr="001F4F18">
          <w:rPr>
            <w:rStyle w:val="Hyperlink"/>
            <w:rFonts w:ascii="MetaPro-Norm" w:hAnsi="MetaPro-Norm"/>
          </w:rPr>
          <w:t>: School Related Sexual Violence and Young Survivors</w:t>
        </w:r>
        <w:r w:rsidR="00993B93">
          <w:rPr>
            <w:rStyle w:val="Hyperlink"/>
            <w:rFonts w:ascii="MetaPro-Norm" w:hAnsi="MetaPro-Norm"/>
          </w:rPr>
          <w:t>’</w:t>
        </w:r>
        <w:r w:rsidRPr="001F4F18">
          <w:rPr>
            <w:rStyle w:val="Hyperlink"/>
            <w:rFonts w:ascii="MetaPro-Norm" w:hAnsi="MetaPro-Norm"/>
          </w:rPr>
          <w:t xml:space="preserve"> Struggle  for Justice in Ecuador"</w:t>
        </w:r>
      </w:hyperlink>
      <w:r w:rsidRPr="001F4F18">
        <w:rPr>
          <w:rFonts w:ascii="MetaPro-Norm" w:hAnsi="MetaPro-Norm"/>
        </w:rPr>
        <w:t xml:space="preserve">. </w:t>
      </w:r>
    </w:p>
    <w:p w14:paraId="33792A72" w14:textId="77777777" w:rsidR="009E6CE9" w:rsidRDefault="009E6CE9" w:rsidP="008961E0">
      <w:pPr>
        <w:pStyle w:val="NoSpacing"/>
        <w:contextualSpacing/>
        <w:rPr>
          <w:rFonts w:ascii="MetaPro-Norm" w:hAnsi="MetaPro-Norm"/>
        </w:rPr>
      </w:pPr>
    </w:p>
    <w:p w14:paraId="0CEDCB9B" w14:textId="1A9F1BBD" w:rsidR="00F6642C" w:rsidRPr="00F30F28" w:rsidRDefault="002D27A4" w:rsidP="008961E0">
      <w:pPr>
        <w:pStyle w:val="NoSpacing"/>
        <w:contextualSpacing/>
        <w:rPr>
          <w:rFonts w:ascii="MetaPro-Norm" w:hAnsi="MetaPro-Norm"/>
          <w:b/>
          <w:bCs/>
        </w:rPr>
      </w:pPr>
      <w:r>
        <w:rPr>
          <w:rFonts w:ascii="MetaPro-Norm" w:hAnsi="MetaPro-Norm"/>
          <w:b/>
          <w:bCs/>
        </w:rPr>
        <w:t>Human Rights Implications of Criminalization of Abortion</w:t>
      </w:r>
      <w:r w:rsidR="00F6642C" w:rsidRPr="00F30F28">
        <w:rPr>
          <w:rFonts w:ascii="MetaPro-Norm" w:hAnsi="MetaPro-Norm"/>
          <w:b/>
          <w:bCs/>
        </w:rPr>
        <w:t xml:space="preserve"> (arts</w:t>
      </w:r>
      <w:r w:rsidR="004D0943" w:rsidRPr="00F30F28">
        <w:rPr>
          <w:rFonts w:ascii="MetaPro-Norm" w:hAnsi="MetaPro-Norm"/>
          <w:b/>
          <w:bCs/>
        </w:rPr>
        <w:t>. 2,</w:t>
      </w:r>
      <w:r w:rsidR="00F6642C" w:rsidRPr="00F30F28">
        <w:rPr>
          <w:rFonts w:ascii="MetaPro-Norm" w:hAnsi="MetaPro-Norm"/>
          <w:b/>
          <w:bCs/>
        </w:rPr>
        <w:t xml:space="preserve"> </w:t>
      </w:r>
      <w:r w:rsidR="0030190C">
        <w:rPr>
          <w:rFonts w:ascii="MetaPro-Norm" w:hAnsi="MetaPro-Norm"/>
          <w:b/>
          <w:bCs/>
        </w:rPr>
        <w:t xml:space="preserve">5, </w:t>
      </w:r>
      <w:r w:rsidR="00F6642C" w:rsidRPr="00F30F28">
        <w:rPr>
          <w:rFonts w:ascii="MetaPro-Norm" w:hAnsi="MetaPro-Norm"/>
          <w:b/>
          <w:bCs/>
        </w:rPr>
        <w:t>12</w:t>
      </w:r>
      <w:r w:rsidR="00956F9E" w:rsidRPr="00F30F28">
        <w:rPr>
          <w:rFonts w:ascii="MetaPro-Norm" w:hAnsi="MetaPro-Norm"/>
          <w:b/>
          <w:bCs/>
        </w:rPr>
        <w:t>,</w:t>
      </w:r>
      <w:r w:rsidR="00F6642C" w:rsidRPr="00F30F28">
        <w:rPr>
          <w:rFonts w:ascii="MetaPro-Norm" w:hAnsi="MetaPro-Norm"/>
          <w:b/>
          <w:bCs/>
        </w:rPr>
        <w:t xml:space="preserve"> and 16)</w:t>
      </w:r>
    </w:p>
    <w:p w14:paraId="3A9722E4" w14:textId="77777777" w:rsidR="00F6642C" w:rsidRPr="001F4F18" w:rsidRDefault="00F6642C" w:rsidP="008961E0">
      <w:pPr>
        <w:pStyle w:val="NoSpacing"/>
        <w:contextualSpacing/>
        <w:rPr>
          <w:rFonts w:ascii="MetaPro-Norm" w:hAnsi="MetaPro-Norm"/>
        </w:rPr>
      </w:pPr>
    </w:p>
    <w:p w14:paraId="3C8CC34F" w14:textId="61565ABB" w:rsidR="003D40BA" w:rsidRPr="001F4F18" w:rsidRDefault="003A1A54" w:rsidP="000F6D01">
      <w:pPr>
        <w:pStyle w:val="NoSpacing"/>
        <w:contextualSpacing/>
        <w:rPr>
          <w:rFonts w:ascii="MetaPro-Norm" w:eastAsia="SimSun" w:hAnsi="MetaPro-Norm"/>
          <w:lang w:eastAsia="zh-CN"/>
        </w:rPr>
      </w:pPr>
      <w:r>
        <w:rPr>
          <w:rFonts w:ascii="MetaPro-Norm" w:eastAsia="Times New Roman" w:hAnsi="MetaPro-Norm"/>
        </w:rPr>
        <w:t>A</w:t>
      </w:r>
      <w:r w:rsidR="003D40BA" w:rsidRPr="001F4F18">
        <w:rPr>
          <w:rFonts w:ascii="MetaPro-Norm" w:eastAsia="Times New Roman" w:hAnsi="MetaPro-Norm"/>
        </w:rPr>
        <w:t xml:space="preserve">bortion is a crime in Ecuador, punishable by up to two years in prison for women, girls or pregnant people who consent to </w:t>
      </w:r>
      <w:r w:rsidR="00F81E1B">
        <w:rPr>
          <w:rFonts w:ascii="MetaPro-Norm" w:eastAsia="Times New Roman" w:hAnsi="MetaPro-Norm"/>
        </w:rPr>
        <w:t>undergo</w:t>
      </w:r>
      <w:r w:rsidR="00F81E1B" w:rsidRPr="001F4F18">
        <w:rPr>
          <w:rFonts w:ascii="MetaPro-Norm" w:eastAsia="Times New Roman" w:hAnsi="MetaPro-Norm"/>
        </w:rPr>
        <w:t xml:space="preserve"> </w:t>
      </w:r>
      <w:r w:rsidR="003D40BA" w:rsidRPr="001F4F18">
        <w:rPr>
          <w:rFonts w:ascii="MetaPro-Norm" w:eastAsia="Times New Roman" w:hAnsi="MetaPro-Norm"/>
        </w:rPr>
        <w:t xml:space="preserve">abortions, and from one to three years for health providers who perform an abortion. The only exceptions </w:t>
      </w:r>
      <w:r w:rsidR="00C64BBC">
        <w:rPr>
          <w:rFonts w:ascii="MetaPro-Norm" w:eastAsia="Times New Roman" w:hAnsi="MetaPro-Norm"/>
        </w:rPr>
        <w:t>are when</w:t>
      </w:r>
      <w:r w:rsidR="003D40BA" w:rsidRPr="001F4F18">
        <w:rPr>
          <w:rFonts w:ascii="MetaPro-Norm" w:eastAsia="Times New Roman" w:hAnsi="MetaPro-Norm"/>
        </w:rPr>
        <w:t xml:space="preserve"> the pregnant person’s life and health is in danger and in all cases of rape</w:t>
      </w:r>
      <w:r w:rsidR="005D47B0">
        <w:rPr>
          <w:rFonts w:ascii="MetaPro-Norm" w:eastAsia="Times New Roman" w:hAnsi="MetaPro-Norm"/>
        </w:rPr>
        <w:t>,</w:t>
      </w:r>
      <w:r w:rsidR="00093D99" w:rsidRPr="001F4F18">
        <w:rPr>
          <w:rFonts w:ascii="MetaPro-Norm" w:eastAsia="Times New Roman" w:hAnsi="MetaPro-Norm"/>
        </w:rPr>
        <w:t xml:space="preserve"> according </w:t>
      </w:r>
      <w:r w:rsidR="00C64BBC">
        <w:rPr>
          <w:rFonts w:ascii="MetaPro-Norm" w:eastAsia="Times New Roman" w:hAnsi="MetaPro-Norm"/>
        </w:rPr>
        <w:t>to</w:t>
      </w:r>
      <w:r w:rsidR="00093D99" w:rsidRPr="001F4F18">
        <w:rPr>
          <w:rFonts w:ascii="MetaPro-Norm" w:eastAsia="Times New Roman" w:hAnsi="MetaPro-Norm"/>
        </w:rPr>
        <w:t xml:space="preserve"> </w:t>
      </w:r>
      <w:r w:rsidR="00F63679">
        <w:rPr>
          <w:rFonts w:ascii="MetaPro-Norm" w:eastAsia="Times New Roman" w:hAnsi="MetaPro-Norm"/>
        </w:rPr>
        <w:t xml:space="preserve">a </w:t>
      </w:r>
      <w:r w:rsidR="0037668D">
        <w:rPr>
          <w:rFonts w:ascii="MetaPro-Norm" w:eastAsia="Times New Roman" w:hAnsi="MetaPro-Norm"/>
        </w:rPr>
        <w:t>April</w:t>
      </w:r>
      <w:r w:rsidR="00F63679">
        <w:rPr>
          <w:rFonts w:ascii="MetaPro-Norm" w:eastAsia="Times New Roman" w:hAnsi="MetaPro-Norm"/>
        </w:rPr>
        <w:t xml:space="preserve"> </w:t>
      </w:r>
      <w:r w:rsidR="0037668D">
        <w:rPr>
          <w:rFonts w:ascii="MetaPro-Norm" w:eastAsia="Times New Roman" w:hAnsi="MetaPro-Norm"/>
        </w:rPr>
        <w:t xml:space="preserve">2021 </w:t>
      </w:r>
      <w:r w:rsidR="00F63679" w:rsidRPr="001F4F18">
        <w:rPr>
          <w:rFonts w:ascii="MetaPro-Norm" w:hAnsi="MetaPro-Norm"/>
        </w:rPr>
        <w:t>Constitutional Court</w:t>
      </w:r>
      <w:r w:rsidR="0037668D">
        <w:t xml:space="preserve"> </w:t>
      </w:r>
      <w:hyperlink r:id="rId11" w:history="1">
        <w:r w:rsidR="003D40BA" w:rsidRPr="001F4F18">
          <w:rPr>
            <w:rStyle w:val="Hyperlink"/>
            <w:rFonts w:ascii="MetaPro-Norm" w:hAnsi="MetaPro-Norm"/>
          </w:rPr>
          <w:t>ruling</w:t>
        </w:r>
      </w:hyperlink>
      <w:r w:rsidR="003D40BA" w:rsidRPr="001F4F18">
        <w:rPr>
          <w:rFonts w:ascii="MetaPro-Norm" w:hAnsi="MetaPro-Norm"/>
          <w:color w:val="000000"/>
        </w:rPr>
        <w:t xml:space="preserve">. A previous law allowed abortions </w:t>
      </w:r>
      <w:r w:rsidR="00F81E1B">
        <w:rPr>
          <w:rFonts w:ascii="MetaPro-Norm" w:hAnsi="MetaPro-Norm"/>
          <w:color w:val="000000"/>
        </w:rPr>
        <w:t xml:space="preserve">in cases of rape </w:t>
      </w:r>
      <w:r w:rsidR="003D40BA" w:rsidRPr="001F4F18">
        <w:rPr>
          <w:rFonts w:ascii="MetaPro-Norm" w:hAnsi="MetaPro-Norm"/>
          <w:color w:val="000000"/>
        </w:rPr>
        <w:t xml:space="preserve">only if the </w:t>
      </w:r>
      <w:r w:rsidR="00F81E1B">
        <w:rPr>
          <w:rFonts w:ascii="MetaPro-Norm" w:hAnsi="MetaPro-Norm"/>
          <w:color w:val="000000"/>
        </w:rPr>
        <w:t xml:space="preserve">pregnant </w:t>
      </w:r>
      <w:r w:rsidR="003D40BA" w:rsidRPr="001F4F18">
        <w:rPr>
          <w:rFonts w:ascii="MetaPro-Norm" w:hAnsi="MetaPro-Norm"/>
          <w:color w:val="000000"/>
        </w:rPr>
        <w:t>person had an intellectual disability</w:t>
      </w:r>
      <w:r w:rsidR="003D40BA" w:rsidRPr="001F4F18">
        <w:rPr>
          <w:rFonts w:ascii="MetaPro-Norm" w:hAnsi="MetaPro-Norm"/>
          <w:color w:val="444444"/>
        </w:rPr>
        <w:t>.</w:t>
      </w:r>
      <w:r w:rsidR="003D40BA" w:rsidRPr="001F4F18">
        <w:rPr>
          <w:rFonts w:ascii="MetaPro-Norm" w:hAnsi="MetaPro-Norm"/>
        </w:rPr>
        <w:t xml:space="preserve"> On June 28, 2021, the Ombudsperson’s Office presented a new law to the National Assembly </w:t>
      </w:r>
      <w:r w:rsidR="00F81E1B">
        <w:rPr>
          <w:rFonts w:ascii="MetaPro-Norm" w:hAnsi="MetaPro-Norm"/>
        </w:rPr>
        <w:t>to bring Ecuador’s legal framework</w:t>
      </w:r>
      <w:r w:rsidR="00AD3650">
        <w:rPr>
          <w:rFonts w:ascii="MetaPro-Norm" w:hAnsi="MetaPro-Norm"/>
        </w:rPr>
        <w:t xml:space="preserve"> into</w:t>
      </w:r>
      <w:r w:rsidR="00F81E1B" w:rsidRPr="001F4F18">
        <w:rPr>
          <w:rFonts w:ascii="MetaPro-Norm" w:hAnsi="MetaPro-Norm"/>
        </w:rPr>
        <w:t xml:space="preserve"> </w:t>
      </w:r>
      <w:r w:rsidR="003D40BA" w:rsidRPr="001F4F18">
        <w:rPr>
          <w:rFonts w:ascii="MetaPro-Norm" w:hAnsi="MetaPro-Norm"/>
        </w:rPr>
        <w:t>compliance with the court’s ruling</w:t>
      </w:r>
      <w:r w:rsidR="00C97C96">
        <w:rPr>
          <w:rFonts w:ascii="MetaPro-Norm" w:hAnsi="MetaPro-Norm"/>
        </w:rPr>
        <w:t>, which is now under consideration</w:t>
      </w:r>
      <w:r w:rsidR="002E2F95">
        <w:rPr>
          <w:rFonts w:ascii="MetaPro-Norm" w:hAnsi="MetaPro-Norm"/>
        </w:rPr>
        <w:t xml:space="preserve">. </w:t>
      </w:r>
    </w:p>
    <w:p w14:paraId="0E376785" w14:textId="106AF88B" w:rsidR="003D40BA" w:rsidRDefault="003D40BA" w:rsidP="008961E0">
      <w:pPr>
        <w:pStyle w:val="NoSpacing"/>
        <w:contextualSpacing/>
        <w:rPr>
          <w:rFonts w:ascii="MetaPro-Norm" w:eastAsia="SimSun" w:hAnsi="MetaPro-Norm"/>
          <w:lang w:eastAsia="zh-CN"/>
        </w:rPr>
      </w:pPr>
    </w:p>
    <w:p w14:paraId="40A5EDF0" w14:textId="797AC248" w:rsidR="007F17C4" w:rsidRDefault="0017261F" w:rsidP="00DA0D85">
      <w:pPr>
        <w:autoSpaceDE w:val="0"/>
        <w:autoSpaceDN w:val="0"/>
        <w:adjustRightInd w:val="0"/>
        <w:rPr>
          <w:rFonts w:ascii="MetaPro-Norm" w:eastAsia="SimSun" w:hAnsi="MetaPro-Norm"/>
          <w:sz w:val="22"/>
          <w:szCs w:val="22"/>
          <w:lang w:eastAsia="zh-CN"/>
        </w:rPr>
      </w:pPr>
      <w:r>
        <w:rPr>
          <w:rFonts w:ascii="MetaPro-Norm" w:hAnsi="MetaPro-Norm"/>
          <w:sz w:val="22"/>
          <w:szCs w:val="22"/>
        </w:rPr>
        <w:t>Human Rights Watch found that p</w:t>
      </w:r>
      <w:r w:rsidRPr="001F4F18">
        <w:rPr>
          <w:rFonts w:ascii="MetaPro-Norm" w:hAnsi="MetaPro-Norm"/>
          <w:sz w:val="22"/>
          <w:szCs w:val="22"/>
        </w:rPr>
        <w:t xml:space="preserve">eople face many barriers to accessing legal abortion and post-abortion care in Ecuador. These include criminal prosecution, stigma, mistreatment </w:t>
      </w:r>
      <w:r w:rsidRPr="001F4F18">
        <w:rPr>
          <w:rStyle w:val="bumpedfont15"/>
          <w:rFonts w:ascii="MetaPro-Norm" w:hAnsi="MetaPro-Norm"/>
          <w:sz w:val="22"/>
          <w:szCs w:val="22"/>
        </w:rPr>
        <w:t>by health professionals</w:t>
      </w:r>
      <w:r w:rsidRPr="001F4F18">
        <w:rPr>
          <w:rFonts w:ascii="MetaPro-Norm" w:hAnsi="MetaPro-Norm"/>
          <w:sz w:val="22"/>
          <w:szCs w:val="22"/>
        </w:rPr>
        <w:t>, and a narrow interpretation of the exception that permits abortion to protect the person’s health and life.</w:t>
      </w:r>
      <w:r w:rsidR="00DA0D85">
        <w:rPr>
          <w:rFonts w:ascii="MetaPro-Norm" w:hAnsi="MetaPro-Norm"/>
          <w:sz w:val="22"/>
          <w:szCs w:val="22"/>
        </w:rPr>
        <w:t xml:space="preserve"> </w:t>
      </w:r>
      <w:r w:rsidR="007F17C4" w:rsidRPr="001F4F18">
        <w:rPr>
          <w:rFonts w:ascii="MetaPro-Norm" w:eastAsia="SimSun" w:hAnsi="MetaPro-Norm"/>
          <w:sz w:val="22"/>
          <w:szCs w:val="22"/>
          <w:lang w:eastAsia="zh-CN"/>
        </w:rPr>
        <w:t xml:space="preserve">Ecuador’s current laws and policies create an environment that compels many girls and women to turn to </w:t>
      </w:r>
      <w:r w:rsidR="00555A90">
        <w:rPr>
          <w:rFonts w:ascii="MetaPro-Norm" w:eastAsia="SimSun" w:hAnsi="MetaPro-Norm"/>
          <w:sz w:val="22"/>
          <w:szCs w:val="22"/>
          <w:lang w:eastAsia="zh-CN"/>
        </w:rPr>
        <w:t>health- and life-threatening</w:t>
      </w:r>
      <w:r w:rsidR="00555A90" w:rsidRPr="001F4F18">
        <w:rPr>
          <w:rFonts w:ascii="MetaPro-Norm" w:eastAsia="SimSun" w:hAnsi="MetaPro-Norm"/>
          <w:sz w:val="22"/>
          <w:szCs w:val="22"/>
          <w:lang w:eastAsia="zh-CN"/>
        </w:rPr>
        <w:t xml:space="preserve"> </w:t>
      </w:r>
      <w:r w:rsidR="007F17C4" w:rsidRPr="001F4F18">
        <w:rPr>
          <w:rFonts w:ascii="MetaPro-Norm" w:eastAsia="SimSun" w:hAnsi="MetaPro-Norm"/>
          <w:sz w:val="22"/>
          <w:szCs w:val="22"/>
          <w:lang w:eastAsia="zh-CN"/>
        </w:rPr>
        <w:t xml:space="preserve">procedures. </w:t>
      </w:r>
    </w:p>
    <w:p w14:paraId="21104E19" w14:textId="77777777" w:rsidR="00DA0D85" w:rsidRPr="00F30F28" w:rsidRDefault="00DA0D85" w:rsidP="00F30F28">
      <w:pPr>
        <w:autoSpaceDE w:val="0"/>
        <w:autoSpaceDN w:val="0"/>
        <w:adjustRightInd w:val="0"/>
        <w:rPr>
          <w:rFonts w:ascii="MetaPro-Norm" w:hAnsi="MetaPro-Norm"/>
        </w:rPr>
      </w:pPr>
    </w:p>
    <w:p w14:paraId="169C8F3D" w14:textId="6D686718" w:rsidR="000A0145" w:rsidRDefault="003D40BA" w:rsidP="00E6635B">
      <w:pPr>
        <w:spacing w:line="264" w:lineRule="auto"/>
        <w:rPr>
          <w:rFonts w:ascii="MetaPro-Norm" w:hAnsi="MetaPro-Norm"/>
          <w:sz w:val="22"/>
          <w:szCs w:val="22"/>
        </w:rPr>
      </w:pPr>
      <w:r w:rsidRPr="001F4F18">
        <w:rPr>
          <w:rFonts w:ascii="MetaPro-Norm" w:hAnsi="MetaPro-Norm"/>
          <w:color w:val="000000"/>
          <w:sz w:val="22"/>
          <w:szCs w:val="22"/>
          <w:shd w:val="clear" w:color="auto" w:fill="FFFFFF"/>
        </w:rPr>
        <w:t xml:space="preserve">Human Rights Watch reviewed 148 </w:t>
      </w:r>
      <w:r w:rsidR="007A64BB">
        <w:rPr>
          <w:rFonts w:ascii="MetaPro-Norm" w:hAnsi="MetaPro-Norm"/>
          <w:color w:val="000000"/>
          <w:sz w:val="22"/>
          <w:szCs w:val="22"/>
          <w:shd w:val="clear" w:color="auto" w:fill="FFFFFF"/>
        </w:rPr>
        <w:t xml:space="preserve">criminal </w:t>
      </w:r>
      <w:r w:rsidRPr="001F4F18">
        <w:rPr>
          <w:rFonts w:ascii="MetaPro-Norm" w:hAnsi="MetaPro-Norm"/>
          <w:color w:val="000000"/>
          <w:sz w:val="22"/>
          <w:szCs w:val="22"/>
          <w:shd w:val="clear" w:color="auto" w:fill="FFFFFF"/>
        </w:rPr>
        <w:t>cases</w:t>
      </w:r>
      <w:r w:rsidRPr="001F4F18">
        <w:rPr>
          <w:rFonts w:ascii="MetaPro-Norm" w:hAnsi="MetaPro-Norm"/>
          <w:sz w:val="22"/>
          <w:szCs w:val="22"/>
        </w:rPr>
        <w:t xml:space="preserve"> involving women or girls, health providers, or companions charged with seeking or facilitating abortion</w:t>
      </w:r>
      <w:r w:rsidR="00487F8B">
        <w:rPr>
          <w:rFonts w:ascii="MetaPro-Norm" w:hAnsi="MetaPro-Norm"/>
          <w:sz w:val="22"/>
          <w:szCs w:val="22"/>
        </w:rPr>
        <w:t>s</w:t>
      </w:r>
      <w:r w:rsidRPr="001F4F18">
        <w:rPr>
          <w:rFonts w:ascii="MetaPro-Norm" w:hAnsi="MetaPro-Norm"/>
          <w:sz w:val="22"/>
          <w:szCs w:val="22"/>
        </w:rPr>
        <w:t xml:space="preserve"> between 2009 and 2019</w:t>
      </w:r>
      <w:r w:rsidRPr="001F4F18">
        <w:rPr>
          <w:rFonts w:ascii="MetaPro-Norm" w:hAnsi="MetaPro-Norm"/>
          <w:color w:val="000000"/>
          <w:sz w:val="22"/>
          <w:szCs w:val="22"/>
          <w:shd w:val="clear" w:color="auto" w:fill="FFFFFF"/>
        </w:rPr>
        <w:t>. Eighty-one percent of the</w:t>
      </w:r>
      <w:r w:rsidR="00424619">
        <w:rPr>
          <w:rFonts w:ascii="MetaPro-Norm" w:hAnsi="MetaPro-Norm"/>
          <w:color w:val="000000"/>
          <w:sz w:val="22"/>
          <w:szCs w:val="22"/>
          <w:shd w:val="clear" w:color="auto" w:fill="FFFFFF"/>
        </w:rPr>
        <w:t>se</w:t>
      </w:r>
      <w:r w:rsidRPr="001F4F18">
        <w:rPr>
          <w:rFonts w:ascii="MetaPro-Norm" w:hAnsi="MetaPro-Norm"/>
          <w:color w:val="000000"/>
          <w:sz w:val="22"/>
          <w:szCs w:val="22"/>
          <w:shd w:val="clear" w:color="auto" w:fill="FFFFFF"/>
        </w:rPr>
        <w:t xml:space="preserve"> cases were brought against women and girls</w:t>
      </w:r>
      <w:r w:rsidR="00424619">
        <w:rPr>
          <w:rFonts w:ascii="MetaPro-Norm" w:hAnsi="MetaPro-Norm"/>
          <w:color w:val="000000"/>
          <w:sz w:val="22"/>
          <w:szCs w:val="22"/>
          <w:shd w:val="clear" w:color="auto" w:fill="FFFFFF"/>
        </w:rPr>
        <w:t xml:space="preserve"> who </w:t>
      </w:r>
      <w:r w:rsidR="003963EB">
        <w:rPr>
          <w:rFonts w:ascii="MetaPro-Norm" w:hAnsi="MetaPro-Norm"/>
          <w:color w:val="000000"/>
          <w:sz w:val="22"/>
          <w:szCs w:val="22"/>
          <w:shd w:val="clear" w:color="auto" w:fill="FFFFFF"/>
        </w:rPr>
        <w:t>received abortions</w:t>
      </w:r>
      <w:r w:rsidR="002E3310">
        <w:rPr>
          <w:rFonts w:ascii="MetaPro-Norm" w:hAnsi="MetaPro-Norm"/>
          <w:color w:val="000000"/>
          <w:sz w:val="22"/>
          <w:szCs w:val="22"/>
          <w:shd w:val="clear" w:color="auto" w:fill="FFFFFF"/>
        </w:rPr>
        <w:t>. A</w:t>
      </w:r>
      <w:r w:rsidRPr="001F4F18">
        <w:rPr>
          <w:rFonts w:ascii="MetaPro-Norm" w:hAnsi="MetaPro-Norm"/>
          <w:color w:val="000000"/>
          <w:sz w:val="22"/>
          <w:szCs w:val="22"/>
          <w:shd w:val="clear" w:color="auto" w:fill="FFFFFF"/>
        </w:rPr>
        <w:t xml:space="preserve"> disproportionate number of them </w:t>
      </w:r>
      <w:r w:rsidR="003963EB">
        <w:rPr>
          <w:rFonts w:ascii="MetaPro-Norm" w:hAnsi="MetaPro-Norm"/>
          <w:color w:val="000000"/>
          <w:sz w:val="22"/>
          <w:szCs w:val="22"/>
          <w:shd w:val="clear" w:color="auto" w:fill="FFFFFF"/>
        </w:rPr>
        <w:t xml:space="preserve">live </w:t>
      </w:r>
      <w:r w:rsidRPr="001F4F18">
        <w:rPr>
          <w:rFonts w:ascii="MetaPro-Norm" w:hAnsi="MetaPro-Norm"/>
          <w:color w:val="000000"/>
          <w:sz w:val="22"/>
          <w:szCs w:val="22"/>
          <w:shd w:val="clear" w:color="auto" w:fill="FFFFFF"/>
        </w:rPr>
        <w:t xml:space="preserve">in provinces where a large proportion of the population </w:t>
      </w:r>
      <w:r w:rsidR="003963EB">
        <w:rPr>
          <w:rFonts w:ascii="MetaPro-Norm" w:hAnsi="MetaPro-Norm"/>
          <w:color w:val="000000"/>
          <w:sz w:val="22"/>
          <w:szCs w:val="22"/>
          <w:shd w:val="clear" w:color="auto" w:fill="FFFFFF"/>
        </w:rPr>
        <w:lastRenderedPageBreak/>
        <w:t>i</w:t>
      </w:r>
      <w:r w:rsidRPr="001F4F18">
        <w:rPr>
          <w:rFonts w:ascii="MetaPro-Norm" w:hAnsi="MetaPro-Norm"/>
          <w:color w:val="000000"/>
          <w:sz w:val="22"/>
          <w:szCs w:val="22"/>
          <w:shd w:val="clear" w:color="auto" w:fill="FFFFFF"/>
        </w:rPr>
        <w:t xml:space="preserve">s </w:t>
      </w:r>
      <w:r w:rsidR="00597637">
        <w:rPr>
          <w:rFonts w:ascii="MetaPro-Norm" w:hAnsi="MetaPro-Norm"/>
          <w:color w:val="000000"/>
          <w:sz w:val="22"/>
          <w:szCs w:val="22"/>
          <w:shd w:val="clear" w:color="auto" w:fill="FFFFFF"/>
        </w:rPr>
        <w:t>i</w:t>
      </w:r>
      <w:r w:rsidRPr="001F4F18">
        <w:rPr>
          <w:rFonts w:ascii="MetaPro-Norm" w:hAnsi="MetaPro-Norm"/>
          <w:color w:val="000000"/>
          <w:sz w:val="22"/>
          <w:szCs w:val="22"/>
          <w:shd w:val="clear" w:color="auto" w:fill="FFFFFF"/>
        </w:rPr>
        <w:t xml:space="preserve">ndigenous or Afro-descendant. Most were </w:t>
      </w:r>
      <w:r w:rsidR="006B6F52">
        <w:rPr>
          <w:rFonts w:ascii="MetaPro-Norm" w:hAnsi="MetaPro-Norm"/>
          <w:color w:val="000000"/>
          <w:sz w:val="22"/>
          <w:szCs w:val="22"/>
          <w:shd w:val="clear" w:color="auto" w:fill="FFFFFF"/>
        </w:rPr>
        <w:t>living in poverty and</w:t>
      </w:r>
      <w:r w:rsidR="0037668D">
        <w:rPr>
          <w:rFonts w:ascii="MetaPro-Norm" w:hAnsi="MetaPro-Norm"/>
          <w:color w:val="000000"/>
          <w:sz w:val="22"/>
          <w:szCs w:val="22"/>
          <w:shd w:val="clear" w:color="auto" w:fill="FFFFFF"/>
        </w:rPr>
        <w:t xml:space="preserve"> 61</w:t>
      </w:r>
      <w:r w:rsidRPr="001F4F18">
        <w:rPr>
          <w:rFonts w:ascii="MetaPro-Norm" w:hAnsi="MetaPro-Norm"/>
          <w:color w:val="000000"/>
          <w:sz w:val="22"/>
          <w:szCs w:val="22"/>
          <w:shd w:val="clear" w:color="auto" w:fill="FFFFFF"/>
        </w:rPr>
        <w:t xml:space="preserve"> percent were </w:t>
      </w:r>
      <w:r w:rsidR="0037668D">
        <w:rPr>
          <w:rFonts w:ascii="MetaPro-Norm" w:hAnsi="MetaPro-Norm"/>
          <w:color w:val="000000"/>
          <w:sz w:val="22"/>
          <w:szCs w:val="22"/>
          <w:shd w:val="clear" w:color="auto" w:fill="FFFFFF"/>
        </w:rPr>
        <w:t>young women under 24 years</w:t>
      </w:r>
      <w:r w:rsidRPr="001F4F18">
        <w:rPr>
          <w:rFonts w:ascii="MetaPro-Norm" w:hAnsi="MetaPro-Norm"/>
          <w:color w:val="000000"/>
          <w:sz w:val="22"/>
          <w:szCs w:val="22"/>
          <w:shd w:val="clear" w:color="auto" w:fill="FFFFFF"/>
        </w:rPr>
        <w:t>.</w:t>
      </w:r>
      <w:r w:rsidRPr="001F4F18">
        <w:rPr>
          <w:rFonts w:ascii="MetaPro-Norm" w:hAnsi="MetaPro-Norm"/>
          <w:sz w:val="22"/>
          <w:szCs w:val="22"/>
        </w:rPr>
        <w:br/>
      </w:r>
    </w:p>
    <w:p w14:paraId="70624EA5" w14:textId="336604F3" w:rsidR="002A53EB" w:rsidRPr="001F4F18" w:rsidRDefault="002A53EB" w:rsidP="00F30F28">
      <w:pPr>
        <w:spacing w:line="264" w:lineRule="auto"/>
        <w:rPr>
          <w:rFonts w:ascii="MetaPro-Norm" w:hAnsi="MetaPro-Norm"/>
          <w:b/>
          <w:bCs/>
          <w:i/>
          <w:iCs/>
          <w:sz w:val="22"/>
          <w:szCs w:val="22"/>
        </w:rPr>
      </w:pPr>
      <w:r w:rsidRPr="001F4F18">
        <w:rPr>
          <w:rFonts w:ascii="MetaPro-Norm" w:eastAsia="SimSun" w:hAnsi="MetaPro-Norm"/>
          <w:sz w:val="22"/>
          <w:szCs w:val="22"/>
          <w:lang w:eastAsia="zh-CN"/>
        </w:rPr>
        <w:t xml:space="preserve">Human Rights Watch reviewed nine case files involving girls who were prosecuted for having an abortion. </w:t>
      </w:r>
      <w:r>
        <w:rPr>
          <w:rFonts w:ascii="MetaPro-Norm" w:eastAsia="SimSun" w:hAnsi="MetaPro-Norm"/>
          <w:sz w:val="22"/>
          <w:szCs w:val="22"/>
          <w:lang w:eastAsia="zh-CN"/>
        </w:rPr>
        <w:t>Among these</w:t>
      </w:r>
      <w:r w:rsidRPr="001F4F18">
        <w:rPr>
          <w:rFonts w:ascii="MetaPro-Norm" w:eastAsia="SimSun" w:hAnsi="MetaPro-Norm"/>
          <w:sz w:val="22"/>
          <w:szCs w:val="22"/>
          <w:lang w:eastAsia="zh-CN"/>
        </w:rPr>
        <w:t xml:space="preserve">, a 17-year-old girl and a 15-year-old girl were initially charged as adults. </w:t>
      </w:r>
      <w:r>
        <w:rPr>
          <w:rFonts w:ascii="MetaPro-Norm" w:eastAsia="SimSun" w:hAnsi="MetaPro-Norm"/>
          <w:sz w:val="22"/>
          <w:szCs w:val="22"/>
          <w:lang w:eastAsia="zh-CN"/>
        </w:rPr>
        <w:t xml:space="preserve">The former </w:t>
      </w:r>
      <w:r w:rsidRPr="001F4F18">
        <w:rPr>
          <w:rFonts w:ascii="MetaPro-Norm" w:eastAsia="SimSun" w:hAnsi="MetaPro-Norm"/>
          <w:sz w:val="22"/>
          <w:szCs w:val="22"/>
          <w:lang w:eastAsia="zh-CN"/>
        </w:rPr>
        <w:t>was sentenced to three months house arrest</w:t>
      </w:r>
      <w:r w:rsidR="00AD3650">
        <w:rPr>
          <w:rFonts w:ascii="MetaPro-Norm" w:eastAsia="SimSun" w:hAnsi="MetaPro-Norm"/>
          <w:sz w:val="22"/>
          <w:szCs w:val="22"/>
          <w:lang w:eastAsia="zh-CN"/>
        </w:rPr>
        <w:t>,</w:t>
      </w:r>
      <w:r w:rsidRPr="001F4F18">
        <w:rPr>
          <w:rFonts w:ascii="MetaPro-Norm" w:eastAsia="SimSun" w:hAnsi="MetaPro-Norm"/>
          <w:sz w:val="22"/>
          <w:szCs w:val="22"/>
          <w:lang w:eastAsia="zh-CN"/>
        </w:rPr>
        <w:t xml:space="preserve"> </w:t>
      </w:r>
      <w:r w:rsidR="00AD3650">
        <w:rPr>
          <w:rFonts w:ascii="MetaPro-Norm" w:eastAsia="SimSun" w:hAnsi="MetaPro-Norm"/>
          <w:sz w:val="22"/>
          <w:szCs w:val="22"/>
          <w:lang w:eastAsia="zh-CN"/>
        </w:rPr>
        <w:t>which was counted as time served</w:t>
      </w:r>
      <w:r w:rsidRPr="001F4F18">
        <w:rPr>
          <w:rFonts w:ascii="MetaPro-Norm" w:eastAsia="SimSun" w:hAnsi="MetaPro-Norm"/>
          <w:sz w:val="22"/>
          <w:szCs w:val="22"/>
          <w:lang w:eastAsia="zh-CN"/>
        </w:rPr>
        <w:t xml:space="preserve"> as she had already spent eighteen months </w:t>
      </w:r>
      <w:r w:rsidR="00AD3650">
        <w:rPr>
          <w:rFonts w:ascii="MetaPro-Norm" w:eastAsia="SimSun" w:hAnsi="MetaPro-Norm"/>
          <w:sz w:val="22"/>
          <w:szCs w:val="22"/>
          <w:lang w:eastAsia="zh-CN"/>
        </w:rPr>
        <w:t>under</w:t>
      </w:r>
      <w:r w:rsidRPr="001F4F18">
        <w:rPr>
          <w:rFonts w:ascii="MetaPro-Norm" w:eastAsia="SimSun" w:hAnsi="MetaPro-Norm"/>
          <w:sz w:val="22"/>
          <w:szCs w:val="22"/>
          <w:lang w:eastAsia="zh-CN"/>
        </w:rPr>
        <w:t xml:space="preserve"> house arrest during trial.</w:t>
      </w:r>
      <w:r w:rsidRPr="001F4F18">
        <w:rPr>
          <w:rFonts w:ascii="MetaPro-Norm" w:eastAsia="SimSun" w:hAnsi="MetaPro-Norm"/>
          <w:sz w:val="22"/>
          <w:szCs w:val="22"/>
          <w:vertAlign w:val="superscript"/>
          <w:lang w:eastAsia="zh-CN"/>
        </w:rPr>
        <w:footnoteReference w:id="2"/>
      </w:r>
      <w:r w:rsidRPr="001F4F18">
        <w:rPr>
          <w:rFonts w:ascii="MetaPro-Norm" w:eastAsia="SimSun" w:hAnsi="MetaPro-Norm"/>
          <w:sz w:val="22"/>
          <w:szCs w:val="22"/>
          <w:lang w:eastAsia="zh-CN"/>
        </w:rPr>
        <w:t xml:space="preserve"> </w:t>
      </w:r>
      <w:r>
        <w:rPr>
          <w:rFonts w:ascii="MetaPro-Norm" w:eastAsia="SimSun" w:hAnsi="MetaPro-Norm"/>
          <w:sz w:val="22"/>
          <w:szCs w:val="22"/>
          <w:lang w:eastAsia="zh-CN"/>
        </w:rPr>
        <w:t xml:space="preserve"> </w:t>
      </w:r>
      <w:r w:rsidRPr="001F4F18">
        <w:rPr>
          <w:rFonts w:ascii="MetaPro-Norm" w:eastAsia="SimSun" w:hAnsi="MetaPro-Norm"/>
          <w:sz w:val="22"/>
          <w:szCs w:val="22"/>
          <w:lang w:eastAsia="zh-CN"/>
        </w:rPr>
        <w:t>The 15-year-old girl was c</w:t>
      </w:r>
      <w:r>
        <w:rPr>
          <w:rFonts w:ascii="MetaPro-Norm" w:eastAsia="SimSun" w:hAnsi="MetaPro-Norm"/>
          <w:sz w:val="22"/>
          <w:szCs w:val="22"/>
          <w:lang w:eastAsia="zh-CN"/>
        </w:rPr>
        <w:t>onvicted of</w:t>
      </w:r>
      <w:r w:rsidRPr="001F4F18">
        <w:rPr>
          <w:rFonts w:ascii="MetaPro-Norm" w:eastAsia="SimSun" w:hAnsi="MetaPro-Norm"/>
          <w:sz w:val="22"/>
          <w:szCs w:val="22"/>
          <w:lang w:eastAsia="zh-CN"/>
        </w:rPr>
        <w:t xml:space="preserve"> homicide and spent four years and three months in a juvenile center.</w:t>
      </w:r>
      <w:r w:rsidRPr="001F4F18">
        <w:rPr>
          <w:rFonts w:ascii="MetaPro-Norm" w:eastAsia="SimSun" w:hAnsi="MetaPro-Norm"/>
          <w:sz w:val="22"/>
          <w:szCs w:val="22"/>
          <w:vertAlign w:val="superscript"/>
          <w:lang w:eastAsia="zh-CN"/>
        </w:rPr>
        <w:footnoteReference w:id="3"/>
      </w:r>
      <w:r w:rsidRPr="001F4F18">
        <w:rPr>
          <w:rFonts w:ascii="MetaPro-Norm" w:eastAsia="SimSun" w:hAnsi="MetaPro-Norm"/>
          <w:sz w:val="22"/>
          <w:szCs w:val="22"/>
          <w:lang w:eastAsia="zh-CN"/>
        </w:rPr>
        <w:t xml:space="preserve"> </w:t>
      </w:r>
      <w:r w:rsidR="00AD3650">
        <w:rPr>
          <w:rFonts w:ascii="MetaPro-Norm" w:eastAsia="SimSun" w:hAnsi="MetaPro-Norm"/>
          <w:sz w:val="22"/>
          <w:szCs w:val="22"/>
          <w:lang w:eastAsia="zh-CN"/>
        </w:rPr>
        <w:t>The s</w:t>
      </w:r>
      <w:r w:rsidRPr="001F4F18">
        <w:rPr>
          <w:rFonts w:ascii="MetaPro-Norm" w:eastAsia="SimSun" w:hAnsi="MetaPro-Norm"/>
          <w:sz w:val="22"/>
          <w:szCs w:val="22"/>
          <w:lang w:eastAsia="zh-CN"/>
        </w:rPr>
        <w:t>even</w:t>
      </w:r>
      <w:r w:rsidR="00AD3650">
        <w:rPr>
          <w:rFonts w:ascii="MetaPro-Norm" w:eastAsia="SimSun" w:hAnsi="MetaPro-Norm"/>
          <w:sz w:val="22"/>
          <w:szCs w:val="22"/>
          <w:lang w:eastAsia="zh-CN"/>
        </w:rPr>
        <w:t xml:space="preserve"> remaining</w:t>
      </w:r>
      <w:r w:rsidRPr="001F4F18">
        <w:rPr>
          <w:rFonts w:ascii="MetaPro-Norm" w:eastAsia="SimSun" w:hAnsi="MetaPro-Norm"/>
          <w:sz w:val="22"/>
          <w:szCs w:val="22"/>
          <w:lang w:eastAsia="zh-CN"/>
        </w:rPr>
        <w:t xml:space="preserve"> cases were resolved through a suspended proceeding (that is, a plea bargaining process) as provided for in the </w:t>
      </w:r>
      <w:r w:rsidR="00AD3650">
        <w:rPr>
          <w:rFonts w:ascii="MetaPro-Norm" w:eastAsia="SimSun" w:hAnsi="MetaPro-Norm"/>
          <w:sz w:val="22"/>
          <w:szCs w:val="22"/>
          <w:lang w:eastAsia="zh-CN"/>
        </w:rPr>
        <w:t xml:space="preserve">2014 </w:t>
      </w:r>
      <w:r w:rsidRPr="001F4F18">
        <w:rPr>
          <w:rFonts w:ascii="MetaPro-Norm" w:eastAsia="SimSun" w:hAnsi="MetaPro-Norm"/>
          <w:sz w:val="22"/>
          <w:szCs w:val="22"/>
          <w:lang w:eastAsia="zh-CN"/>
        </w:rPr>
        <w:t>Children and Youth Code.</w:t>
      </w:r>
      <w:r w:rsidRPr="001F4F18">
        <w:rPr>
          <w:rFonts w:ascii="MetaPro-Norm" w:eastAsia="SimSun" w:hAnsi="MetaPro-Norm"/>
          <w:sz w:val="22"/>
          <w:szCs w:val="22"/>
          <w:vertAlign w:val="superscript"/>
          <w:lang w:eastAsia="zh-CN"/>
        </w:rPr>
        <w:footnoteReference w:id="4"/>
      </w:r>
      <w:r w:rsidRPr="001F4F18">
        <w:rPr>
          <w:rFonts w:ascii="MetaPro-Norm" w:eastAsia="SimSun" w:hAnsi="MetaPro-Norm"/>
          <w:sz w:val="22"/>
          <w:szCs w:val="22"/>
          <w:lang w:eastAsia="zh-CN"/>
        </w:rPr>
        <w:t xml:space="preserve"> Judges often imposed psychological therapy and “family support” in these cases. </w:t>
      </w:r>
    </w:p>
    <w:p w14:paraId="590BB08E" w14:textId="77777777" w:rsidR="002A53EB" w:rsidRDefault="002A53EB" w:rsidP="00F30F28">
      <w:pPr>
        <w:spacing w:line="264" w:lineRule="auto"/>
        <w:rPr>
          <w:rFonts w:ascii="MetaPro-Norm" w:eastAsia="SimSun" w:hAnsi="MetaPro-Norm"/>
          <w:sz w:val="22"/>
          <w:szCs w:val="22"/>
          <w:shd w:val="clear" w:color="auto" w:fill="FFFFFF"/>
          <w:lang w:eastAsia="zh-CN"/>
        </w:rPr>
      </w:pPr>
    </w:p>
    <w:p w14:paraId="1B6B0C04" w14:textId="19A951C3" w:rsidR="00DC72E1" w:rsidRPr="001F4F18" w:rsidRDefault="00106E0D" w:rsidP="00F30F28">
      <w:pPr>
        <w:pStyle w:val="NoSpacing"/>
        <w:rPr>
          <w:rFonts w:ascii="MetaPro-Norm" w:eastAsia="SimSun" w:hAnsi="MetaPro-Norm"/>
          <w:lang w:eastAsia="zh-CN"/>
        </w:rPr>
      </w:pPr>
      <w:r w:rsidRPr="001F4F18">
        <w:rPr>
          <w:rFonts w:ascii="MetaPro-Norm" w:eastAsia="SimSun" w:hAnsi="MetaPro-Norm"/>
          <w:lang w:eastAsia="zh-CN"/>
        </w:rPr>
        <w:t xml:space="preserve">In practice, in the period prior to the Constitutional Court’s ruling, Human Rights Watch found that many people who had become pregnant as the result of rape could not obtain an abortion, even though being forced to continue a pregnancy from rape can carry grave risks to the physical, mental, and social wellbeing of the pregnant person. </w:t>
      </w:r>
      <w:r>
        <w:rPr>
          <w:rFonts w:ascii="MetaPro-Norm" w:eastAsia="SimSun" w:hAnsi="MetaPro-Norm"/>
          <w:lang w:val="en-US" w:eastAsia="zh-CN"/>
        </w:rPr>
        <w:t>Other rape survivors have been</w:t>
      </w:r>
      <w:r w:rsidR="009C6712" w:rsidRPr="001F4F18">
        <w:rPr>
          <w:rFonts w:ascii="MetaPro-Norm" w:eastAsia="SimSun" w:hAnsi="MetaPro-Norm"/>
          <w:lang w:eastAsia="zh-CN"/>
        </w:rPr>
        <w:t xml:space="preserve"> prosecuted when they manage</w:t>
      </w:r>
      <w:r w:rsidR="00490033">
        <w:rPr>
          <w:rFonts w:ascii="MetaPro-Norm" w:eastAsia="SimSun" w:hAnsi="MetaPro-Norm"/>
          <w:lang w:eastAsia="zh-CN"/>
        </w:rPr>
        <w:t>d</w:t>
      </w:r>
      <w:r w:rsidR="009C6712" w:rsidRPr="001F4F18">
        <w:rPr>
          <w:rFonts w:ascii="MetaPro-Norm" w:eastAsia="SimSun" w:hAnsi="MetaPro-Norm"/>
          <w:lang w:eastAsia="zh-CN"/>
        </w:rPr>
        <w:t xml:space="preserve"> to access abortion.</w:t>
      </w:r>
      <w:r w:rsidR="00384B13" w:rsidRPr="001F4F18">
        <w:rPr>
          <w:rStyle w:val="FootnoteReference"/>
          <w:rFonts w:ascii="MetaPro-Norm" w:eastAsia="SimSun" w:hAnsi="MetaPro-Norm"/>
          <w:lang w:eastAsia="zh-CN"/>
        </w:rPr>
        <w:footnoteReference w:id="5"/>
      </w:r>
      <w:r w:rsidR="009C6712" w:rsidRPr="001F4F18">
        <w:rPr>
          <w:rFonts w:ascii="MetaPro-Norm" w:eastAsia="SimSun" w:hAnsi="MetaPro-Norm"/>
          <w:lang w:eastAsia="zh-CN"/>
        </w:rPr>
        <w:t xml:space="preserve"> </w:t>
      </w:r>
      <w:r w:rsidR="00DC72E1" w:rsidRPr="001F4F18">
        <w:rPr>
          <w:rFonts w:ascii="MetaPro-Norm" w:eastAsia="SimSun" w:hAnsi="MetaPro-Norm"/>
          <w:lang w:eastAsia="zh-CN"/>
        </w:rPr>
        <w:t>Human Rights Watch reviewed</w:t>
      </w:r>
      <w:r w:rsidR="00F50E15">
        <w:rPr>
          <w:rFonts w:ascii="MetaPro-Norm" w:eastAsia="SimSun" w:hAnsi="MetaPro-Norm"/>
          <w:lang w:eastAsia="zh-CN"/>
        </w:rPr>
        <w:t xml:space="preserve"> 17 cases</w:t>
      </w:r>
      <w:r w:rsidR="00CA5543">
        <w:rPr>
          <w:rFonts w:ascii="MetaPro-Norm" w:eastAsia="SimSun" w:hAnsi="MetaPro-Norm"/>
          <w:lang w:eastAsia="zh-CN"/>
        </w:rPr>
        <w:t xml:space="preserve"> prior to </w:t>
      </w:r>
      <w:r w:rsidR="001F6D61">
        <w:rPr>
          <w:rFonts w:ascii="MetaPro-Norm" w:eastAsia="SimSun" w:hAnsi="MetaPro-Norm"/>
          <w:lang w:eastAsia="zh-CN"/>
        </w:rPr>
        <w:t xml:space="preserve">the </w:t>
      </w:r>
      <w:r w:rsidR="00CA5543">
        <w:rPr>
          <w:rFonts w:ascii="MetaPro-Norm" w:eastAsia="SimSun" w:hAnsi="MetaPro-Norm"/>
          <w:lang w:eastAsia="zh-CN"/>
        </w:rPr>
        <w:t>2021 reform</w:t>
      </w:r>
      <w:r w:rsidR="00F50E15">
        <w:rPr>
          <w:rFonts w:ascii="MetaPro-Norm" w:eastAsia="SimSun" w:hAnsi="MetaPro-Norm"/>
          <w:lang w:eastAsia="zh-CN"/>
        </w:rPr>
        <w:t xml:space="preserve"> in which</w:t>
      </w:r>
      <w:r w:rsidR="00DC72E1" w:rsidRPr="001F4F18">
        <w:rPr>
          <w:rFonts w:ascii="MetaPro-Norm" w:eastAsia="SimSun" w:hAnsi="MetaPro-Norm"/>
          <w:lang w:eastAsia="zh-CN"/>
        </w:rPr>
        <w:t xml:space="preserve"> women accused of having an abortion introduced evidence in court</w:t>
      </w:r>
      <w:r w:rsidR="000270C8">
        <w:rPr>
          <w:rFonts w:ascii="MetaPro-Norm" w:eastAsia="SimSun" w:hAnsi="MetaPro-Norm"/>
          <w:lang w:eastAsia="zh-CN"/>
        </w:rPr>
        <w:t xml:space="preserve"> describing being</w:t>
      </w:r>
      <w:r w:rsidR="00DC72E1" w:rsidRPr="001F4F18">
        <w:rPr>
          <w:rFonts w:ascii="MetaPro-Norm" w:eastAsia="SimSun" w:hAnsi="MetaPro-Norm"/>
          <w:lang w:eastAsia="zh-CN"/>
        </w:rPr>
        <w:t xml:space="preserve"> victims of rape </w:t>
      </w:r>
      <w:r w:rsidR="000270C8">
        <w:rPr>
          <w:rFonts w:ascii="MetaPro-Norm" w:eastAsia="SimSun" w:hAnsi="MetaPro-Norm"/>
          <w:lang w:eastAsia="zh-CN"/>
        </w:rPr>
        <w:t xml:space="preserve">or </w:t>
      </w:r>
      <w:r w:rsidR="00DC72E1" w:rsidRPr="001F4F18">
        <w:rPr>
          <w:rFonts w:ascii="MetaPro-Norm" w:eastAsia="SimSun" w:hAnsi="MetaPro-Norm"/>
          <w:lang w:eastAsia="zh-CN"/>
        </w:rPr>
        <w:t>other forms of gender-based violence. In these cases, the judges did not meaningfully consider this information as exculpatory.</w:t>
      </w:r>
      <w:r w:rsidR="00686F13" w:rsidRPr="001F4F18">
        <w:rPr>
          <w:rStyle w:val="FootnoteReference"/>
          <w:rFonts w:ascii="MetaPro-Norm" w:eastAsia="SimSun" w:hAnsi="MetaPro-Norm"/>
          <w:lang w:eastAsia="zh-CN"/>
        </w:rPr>
        <w:footnoteReference w:id="6"/>
      </w:r>
      <w:r w:rsidR="00DC72E1" w:rsidRPr="001F4F18">
        <w:rPr>
          <w:rFonts w:ascii="MetaPro-Norm" w:eastAsia="SimSun" w:hAnsi="MetaPro-Norm"/>
          <w:lang w:eastAsia="zh-CN"/>
        </w:rPr>
        <w:t xml:space="preserve"> </w:t>
      </w:r>
    </w:p>
    <w:p w14:paraId="74B8BA29" w14:textId="77777777" w:rsidR="00DC72E1" w:rsidRPr="001F4F18" w:rsidRDefault="00DC72E1" w:rsidP="00DC72E1">
      <w:pPr>
        <w:spacing w:line="264" w:lineRule="auto"/>
        <w:rPr>
          <w:rFonts w:ascii="MetaPro-Norm" w:eastAsia="SimSun" w:hAnsi="MetaPro-Norm"/>
          <w:sz w:val="22"/>
          <w:szCs w:val="22"/>
          <w:lang w:eastAsia="zh-CN"/>
        </w:rPr>
      </w:pPr>
    </w:p>
    <w:p w14:paraId="1BE9433A" w14:textId="7BF4D660" w:rsidR="000507D6" w:rsidRDefault="00DC72E1" w:rsidP="00DC72E1">
      <w:pPr>
        <w:spacing w:line="264" w:lineRule="auto"/>
        <w:rPr>
          <w:rFonts w:ascii="MetaPro-Norm" w:eastAsia="SimSun" w:hAnsi="MetaPro-Norm"/>
          <w:sz w:val="22"/>
          <w:szCs w:val="22"/>
          <w:lang w:eastAsia="zh-CN"/>
        </w:rPr>
      </w:pPr>
      <w:r w:rsidRPr="001F4F18">
        <w:rPr>
          <w:rFonts w:ascii="MetaPro-Norm" w:eastAsia="SimSun" w:hAnsi="MetaPro-Norm"/>
          <w:sz w:val="22"/>
          <w:szCs w:val="22"/>
          <w:lang w:eastAsia="zh-CN"/>
        </w:rPr>
        <w:t xml:space="preserve">Many allegations, particularly from 2015 onward, of non-consensual abortion include allegations of sexual assault, with a partner forcibly inserting misoprostol pills into the pregnant woman’s vagina or doing so without her knowledge or consent; other cases describe verbal or emotional coercion or pressure by a partner to have an abortion. These cases are not investigated as sexual assault or domestic violence, and women’s allegations and accounts are </w:t>
      </w:r>
      <w:r w:rsidR="00AD3650">
        <w:rPr>
          <w:rFonts w:ascii="MetaPro-Norm" w:eastAsia="SimSun" w:hAnsi="MetaPro-Norm"/>
          <w:sz w:val="22"/>
          <w:szCs w:val="22"/>
          <w:lang w:eastAsia="zh-CN"/>
        </w:rPr>
        <w:t>often</w:t>
      </w:r>
      <w:r w:rsidR="00AD3650" w:rsidRPr="001F4F18">
        <w:rPr>
          <w:rFonts w:ascii="MetaPro-Norm" w:eastAsia="SimSun" w:hAnsi="MetaPro-Norm"/>
          <w:sz w:val="22"/>
          <w:szCs w:val="22"/>
          <w:lang w:eastAsia="zh-CN"/>
        </w:rPr>
        <w:t xml:space="preserve"> </w:t>
      </w:r>
      <w:r w:rsidR="00AD3650">
        <w:rPr>
          <w:rFonts w:ascii="MetaPro-Norm" w:eastAsia="SimSun" w:hAnsi="MetaPro-Norm"/>
          <w:sz w:val="22"/>
          <w:szCs w:val="22"/>
          <w:lang w:eastAsia="zh-CN"/>
        </w:rPr>
        <w:t xml:space="preserve">summarily </w:t>
      </w:r>
      <w:r w:rsidRPr="001F4F18">
        <w:rPr>
          <w:rFonts w:ascii="MetaPro-Norm" w:eastAsia="SimSun" w:hAnsi="MetaPro-Norm"/>
          <w:sz w:val="22"/>
          <w:szCs w:val="22"/>
          <w:lang w:eastAsia="zh-CN"/>
        </w:rPr>
        <w:t>disbelieved and discounted in legal proceedings.</w:t>
      </w:r>
    </w:p>
    <w:p w14:paraId="30E13D05" w14:textId="4C8D0C29" w:rsidR="000507D6" w:rsidRDefault="000507D6" w:rsidP="00DC72E1">
      <w:pPr>
        <w:spacing w:line="264" w:lineRule="auto"/>
        <w:rPr>
          <w:rFonts w:ascii="MetaPro-Norm" w:eastAsia="SimSun" w:hAnsi="MetaPro-Norm"/>
          <w:sz w:val="22"/>
          <w:szCs w:val="22"/>
          <w:lang w:eastAsia="zh-CN"/>
        </w:rPr>
      </w:pPr>
    </w:p>
    <w:p w14:paraId="610AACE9" w14:textId="77777777" w:rsidR="000507D6" w:rsidRPr="001F4F18" w:rsidRDefault="000507D6" w:rsidP="000507D6">
      <w:pPr>
        <w:rPr>
          <w:rFonts w:ascii="MetaPro-Norm" w:hAnsi="MetaPro-Norm"/>
          <w:i/>
          <w:iCs/>
          <w:sz w:val="22"/>
          <w:szCs w:val="22"/>
        </w:rPr>
      </w:pPr>
      <w:r w:rsidRPr="001F4F18">
        <w:rPr>
          <w:rFonts w:ascii="MetaPro-Norm" w:hAnsi="MetaPro-Norm"/>
          <w:i/>
          <w:iCs/>
          <w:sz w:val="22"/>
          <w:szCs w:val="22"/>
        </w:rPr>
        <w:t xml:space="preserve">Human Rights Watch recommends that the Committee call on the government of Ecuador to: </w:t>
      </w:r>
    </w:p>
    <w:p w14:paraId="71984880" w14:textId="44BDC4B3" w:rsidR="000507D6" w:rsidRDefault="000507D6" w:rsidP="000507D6">
      <w:pPr>
        <w:pStyle w:val="ListParagraph"/>
        <w:numPr>
          <w:ilvl w:val="0"/>
          <w:numId w:val="1"/>
        </w:numPr>
        <w:spacing w:line="264" w:lineRule="auto"/>
        <w:rPr>
          <w:rFonts w:ascii="MetaPro-Norm" w:eastAsia="SimSun" w:hAnsi="MetaPro-Norm"/>
          <w:lang w:eastAsia="zh-CN"/>
        </w:rPr>
      </w:pPr>
      <w:r w:rsidRPr="001F4F18">
        <w:rPr>
          <w:rFonts w:ascii="MetaPro-Norm" w:eastAsia="SimSun" w:hAnsi="MetaPro-Norm"/>
          <w:lang w:eastAsia="zh-CN"/>
        </w:rPr>
        <w:t xml:space="preserve">Ensure the </w:t>
      </w:r>
      <w:r w:rsidR="00AD3650" w:rsidRPr="001F4F18">
        <w:rPr>
          <w:rFonts w:ascii="MetaPro-Norm" w:eastAsia="SimSun" w:hAnsi="MetaPro-Norm"/>
          <w:lang w:eastAsia="zh-CN"/>
        </w:rPr>
        <w:t xml:space="preserve">order </w:t>
      </w:r>
      <w:r w:rsidR="00AD3650">
        <w:rPr>
          <w:rFonts w:ascii="MetaPro-Norm" w:eastAsia="SimSun" w:hAnsi="MetaPro-Norm"/>
          <w:lang w:eastAsia="zh-CN"/>
        </w:rPr>
        <w:t>of</w:t>
      </w:r>
      <w:r w:rsidR="00AD3650" w:rsidRPr="001F4F18">
        <w:rPr>
          <w:rFonts w:ascii="MetaPro-Norm" w:eastAsia="SimSun" w:hAnsi="MetaPro-Norm"/>
          <w:lang w:eastAsia="zh-CN"/>
        </w:rPr>
        <w:t xml:space="preserve"> the Constitutional Court</w:t>
      </w:r>
      <w:r w:rsidR="00AD3650">
        <w:rPr>
          <w:rFonts w:ascii="MetaPro-Norm" w:eastAsia="SimSun" w:hAnsi="MetaPro-Norm"/>
          <w:lang w:eastAsia="zh-CN"/>
        </w:rPr>
        <w:t xml:space="preserve"> is abided by and the</w:t>
      </w:r>
      <w:r w:rsidR="00AD3650" w:rsidRPr="001F4F18">
        <w:rPr>
          <w:rFonts w:ascii="MetaPro-Norm" w:eastAsia="SimSun" w:hAnsi="MetaPro-Norm"/>
          <w:lang w:eastAsia="zh-CN"/>
        </w:rPr>
        <w:t xml:space="preserve"> </w:t>
      </w:r>
      <w:r w:rsidRPr="001F4F18">
        <w:rPr>
          <w:rFonts w:ascii="MetaPro-Norm" w:eastAsia="SimSun" w:hAnsi="MetaPro-Norm"/>
          <w:lang w:eastAsia="zh-CN"/>
        </w:rPr>
        <w:t xml:space="preserve">National Assembly discusses the Organic Law on Abortion in Cases of Rape presented by the Ombudsperson’s Office within six months. </w:t>
      </w:r>
    </w:p>
    <w:p w14:paraId="7A2238E1" w14:textId="2D56595A" w:rsidR="000507D6" w:rsidRPr="001F4F18" w:rsidRDefault="000507D6" w:rsidP="000507D6">
      <w:pPr>
        <w:pStyle w:val="ListParagraph"/>
        <w:numPr>
          <w:ilvl w:val="0"/>
          <w:numId w:val="1"/>
        </w:numPr>
        <w:spacing w:line="264" w:lineRule="auto"/>
        <w:rPr>
          <w:rFonts w:ascii="MetaPro-Norm" w:eastAsia="SimSun" w:hAnsi="MetaPro-Norm"/>
          <w:lang w:eastAsia="zh-CN"/>
        </w:rPr>
      </w:pPr>
      <w:r w:rsidRPr="001F4F18">
        <w:rPr>
          <w:rFonts w:ascii="MetaPro-Norm" w:eastAsia="SimSun" w:hAnsi="MetaPro-Norm"/>
          <w:lang w:eastAsia="zh-CN"/>
        </w:rPr>
        <w:lastRenderedPageBreak/>
        <w:t>Work with relevant authorities to guarantee access to legal abortion for anyone eligible under current law, including all survivors of rape, as per the recent ruling of the Ecuadorian Constitutional Court, and in accordance with Ecuador’s international obligations and current recommendations from</w:t>
      </w:r>
      <w:r w:rsidR="001F6157" w:rsidRPr="001F4F18">
        <w:rPr>
          <w:rFonts w:ascii="MetaPro-Norm" w:eastAsia="SimSun" w:hAnsi="MetaPro-Norm"/>
          <w:lang w:eastAsia="zh-CN"/>
        </w:rPr>
        <w:t xml:space="preserve"> </w:t>
      </w:r>
      <w:r w:rsidRPr="001F4F18">
        <w:rPr>
          <w:rFonts w:ascii="MetaPro-Norm" w:eastAsia="SimSun" w:hAnsi="MetaPro-Norm"/>
          <w:lang w:eastAsia="zh-CN"/>
        </w:rPr>
        <w:t xml:space="preserve">UN </w:t>
      </w:r>
      <w:proofErr w:type="gramStart"/>
      <w:r w:rsidRPr="001F4F18">
        <w:rPr>
          <w:rFonts w:ascii="MetaPro-Norm" w:eastAsia="SimSun" w:hAnsi="MetaPro-Norm"/>
          <w:lang w:eastAsia="zh-CN"/>
        </w:rPr>
        <w:t>bodies;</w:t>
      </w:r>
      <w:proofErr w:type="gramEnd"/>
    </w:p>
    <w:p w14:paraId="0DECFC9D" w14:textId="77777777" w:rsidR="000507D6" w:rsidRPr="001F4F18" w:rsidRDefault="000507D6" w:rsidP="000507D6">
      <w:pPr>
        <w:pStyle w:val="ListParagraph"/>
        <w:numPr>
          <w:ilvl w:val="0"/>
          <w:numId w:val="1"/>
        </w:numPr>
        <w:rPr>
          <w:rFonts w:ascii="MetaPro-Norm" w:eastAsia="SimSun" w:hAnsi="MetaPro-Norm"/>
          <w:lang w:eastAsia="zh-CN"/>
        </w:rPr>
      </w:pPr>
      <w:r w:rsidRPr="001F4F18">
        <w:rPr>
          <w:rFonts w:ascii="MetaPro-Norm" w:eastAsia="SimSun" w:hAnsi="MetaPro-Norm"/>
          <w:lang w:eastAsia="zh-CN"/>
        </w:rPr>
        <w:t xml:space="preserve">Ensure public information is disseminated nationwide, particularly to girls and women and to national and local authorities and health professionals, clarifying the circumstances under which abortion is currently legal. Public messaging should clearly state the government’s obligation to provide abortion and post-abortion services and detail where these services can be </w:t>
      </w:r>
      <w:proofErr w:type="gramStart"/>
      <w:r w:rsidRPr="001F4F18">
        <w:rPr>
          <w:rFonts w:ascii="MetaPro-Norm" w:eastAsia="SimSun" w:hAnsi="MetaPro-Norm"/>
          <w:lang w:eastAsia="zh-CN"/>
        </w:rPr>
        <w:t>obtained;</w:t>
      </w:r>
      <w:proofErr w:type="gramEnd"/>
    </w:p>
    <w:p w14:paraId="1C4E52E3" w14:textId="1430B593" w:rsidR="008211DA" w:rsidRPr="00F30F28" w:rsidRDefault="000507D6" w:rsidP="00F30F28">
      <w:pPr>
        <w:pStyle w:val="ListParagraph"/>
        <w:numPr>
          <w:ilvl w:val="0"/>
          <w:numId w:val="1"/>
        </w:numPr>
        <w:spacing w:line="264" w:lineRule="auto"/>
        <w:rPr>
          <w:rFonts w:ascii="MetaPro-Norm" w:eastAsia="SimSun" w:hAnsi="MetaPro-Norm"/>
          <w:lang w:eastAsia="zh-CN"/>
        </w:rPr>
      </w:pPr>
      <w:r w:rsidRPr="001F4F18">
        <w:rPr>
          <w:rFonts w:ascii="MetaPro-Norm" w:eastAsia="SimSun" w:hAnsi="MetaPro-Norm"/>
          <w:lang w:eastAsia="zh-CN"/>
        </w:rPr>
        <w:t xml:space="preserve">Reform the Criminal Code to comply with Ecuador’s international human rights obligations by allowing pregnant people access to legal, voluntary, and safe abortions in all </w:t>
      </w:r>
      <w:proofErr w:type="gramStart"/>
      <w:r w:rsidRPr="001F4F18">
        <w:rPr>
          <w:rFonts w:ascii="MetaPro-Norm" w:eastAsia="SimSun" w:hAnsi="MetaPro-Norm"/>
          <w:lang w:eastAsia="zh-CN"/>
        </w:rPr>
        <w:t>circumstances;</w:t>
      </w:r>
      <w:proofErr w:type="gramEnd"/>
      <w:r w:rsidRPr="001F4F18">
        <w:rPr>
          <w:rFonts w:ascii="MetaPro-Norm" w:eastAsia="SimSun" w:hAnsi="MetaPro-Norm"/>
          <w:lang w:eastAsia="zh-CN"/>
        </w:rPr>
        <w:t xml:space="preserve"> </w:t>
      </w:r>
    </w:p>
    <w:p w14:paraId="248FFACC" w14:textId="77777777" w:rsidR="004C664E" w:rsidRPr="001F4F18" w:rsidRDefault="004C664E" w:rsidP="004C664E">
      <w:pPr>
        <w:rPr>
          <w:rFonts w:ascii="MetaPro-Norm" w:hAnsi="MetaPro-Norm"/>
          <w:sz w:val="22"/>
          <w:szCs w:val="22"/>
        </w:rPr>
      </w:pPr>
    </w:p>
    <w:p w14:paraId="76E55907" w14:textId="75748925" w:rsidR="004C664E" w:rsidRDefault="008A4137" w:rsidP="004C664E">
      <w:pPr>
        <w:rPr>
          <w:rFonts w:ascii="MetaPro-Norm" w:hAnsi="MetaPro-Norm"/>
          <w:b/>
          <w:bCs/>
          <w:i/>
          <w:iCs/>
          <w:sz w:val="22"/>
          <w:szCs w:val="22"/>
        </w:rPr>
      </w:pPr>
      <w:r>
        <w:rPr>
          <w:rFonts w:ascii="MetaPro-Norm" w:hAnsi="MetaPro-Norm"/>
          <w:b/>
          <w:bCs/>
          <w:i/>
          <w:iCs/>
          <w:sz w:val="22"/>
          <w:szCs w:val="22"/>
        </w:rPr>
        <w:t xml:space="preserve">Violations of </w:t>
      </w:r>
      <w:r w:rsidR="004C664E" w:rsidRPr="001F4F18">
        <w:rPr>
          <w:rFonts w:ascii="MetaPro-Norm" w:hAnsi="MetaPro-Norm"/>
          <w:b/>
          <w:bCs/>
          <w:i/>
          <w:iCs/>
          <w:sz w:val="22"/>
          <w:szCs w:val="22"/>
        </w:rPr>
        <w:t xml:space="preserve">Due Process Rights </w:t>
      </w:r>
      <w:r>
        <w:rPr>
          <w:rFonts w:ascii="MetaPro-Norm" w:hAnsi="MetaPro-Norm"/>
          <w:b/>
          <w:bCs/>
          <w:i/>
          <w:iCs/>
          <w:sz w:val="22"/>
          <w:szCs w:val="22"/>
        </w:rPr>
        <w:t xml:space="preserve">and Privacy of Health Information (arts. </w:t>
      </w:r>
      <w:r w:rsidR="00C45711">
        <w:rPr>
          <w:rFonts w:ascii="MetaPro-Norm" w:hAnsi="MetaPro-Norm"/>
          <w:b/>
          <w:bCs/>
          <w:i/>
          <w:iCs/>
          <w:sz w:val="22"/>
          <w:szCs w:val="22"/>
        </w:rPr>
        <w:t>2, 5, 12, 15)</w:t>
      </w:r>
    </w:p>
    <w:p w14:paraId="3A026662" w14:textId="77777777" w:rsidR="00D60655" w:rsidRPr="001F4F18" w:rsidRDefault="00D60655" w:rsidP="004C664E">
      <w:pPr>
        <w:rPr>
          <w:rFonts w:ascii="MetaPro-Norm" w:hAnsi="MetaPro-Norm"/>
          <w:b/>
          <w:bCs/>
          <w:i/>
          <w:iCs/>
          <w:sz w:val="22"/>
          <w:szCs w:val="22"/>
        </w:rPr>
      </w:pPr>
    </w:p>
    <w:p w14:paraId="68062A0A" w14:textId="2BB28086" w:rsidR="008334A5" w:rsidRDefault="004C664E" w:rsidP="004C664E">
      <w:pPr>
        <w:spacing w:line="264" w:lineRule="auto"/>
        <w:rPr>
          <w:rFonts w:ascii="MetaPro-Norm" w:hAnsi="MetaPro-Norm"/>
          <w:sz w:val="22"/>
          <w:szCs w:val="22"/>
        </w:rPr>
      </w:pPr>
      <w:r w:rsidRPr="001F4F18">
        <w:rPr>
          <w:rFonts w:ascii="MetaPro-Norm" w:eastAsia="SimSun" w:hAnsi="MetaPro-Norm"/>
          <w:sz w:val="22"/>
          <w:szCs w:val="22"/>
          <w:lang w:eastAsia="zh-CN"/>
        </w:rPr>
        <w:t xml:space="preserve">Human Rights Watch found that girls and women suspected of having sought abortions encountered barriers to accessing good quality legal </w:t>
      </w:r>
      <w:proofErr w:type="gramStart"/>
      <w:r w:rsidRPr="001F4F18">
        <w:rPr>
          <w:rFonts w:ascii="MetaPro-Norm" w:eastAsia="SimSun" w:hAnsi="MetaPro-Norm"/>
          <w:sz w:val="22"/>
          <w:szCs w:val="22"/>
          <w:lang w:eastAsia="zh-CN"/>
        </w:rPr>
        <w:t>representation, and</w:t>
      </w:r>
      <w:proofErr w:type="gramEnd"/>
      <w:r w:rsidRPr="001F4F18">
        <w:rPr>
          <w:rFonts w:ascii="MetaPro-Norm" w:eastAsia="SimSun" w:hAnsi="MetaPro-Norm"/>
          <w:sz w:val="22"/>
          <w:szCs w:val="22"/>
          <w:lang w:eastAsia="zh-CN"/>
        </w:rPr>
        <w:t xml:space="preserve"> </w:t>
      </w:r>
      <w:r w:rsidR="00FD1009">
        <w:rPr>
          <w:rFonts w:ascii="MetaPro-Norm" w:eastAsia="SimSun" w:hAnsi="MetaPro-Norm"/>
          <w:sz w:val="22"/>
          <w:szCs w:val="22"/>
          <w:lang w:eastAsia="zh-CN"/>
        </w:rPr>
        <w:t>faced</w:t>
      </w:r>
      <w:r w:rsidRPr="001F4F18">
        <w:rPr>
          <w:rFonts w:ascii="MetaPro-Norm" w:eastAsia="SimSun" w:hAnsi="MetaPro-Norm"/>
          <w:sz w:val="22"/>
          <w:szCs w:val="22"/>
          <w:lang w:eastAsia="zh-CN"/>
        </w:rPr>
        <w:t xml:space="preserve"> violations of their due process rights. </w:t>
      </w:r>
      <w:r w:rsidRPr="001F4F18">
        <w:rPr>
          <w:rFonts w:ascii="MetaPro-Norm" w:hAnsi="MetaPro-Norm"/>
          <w:sz w:val="22"/>
          <w:szCs w:val="22"/>
        </w:rPr>
        <w:t xml:space="preserve">Human Rights Watch found that girls and women are often charged and convicted of abortion-related crimes based on </w:t>
      </w:r>
      <w:r w:rsidR="00B04554">
        <w:rPr>
          <w:rFonts w:ascii="MetaPro-Norm" w:hAnsi="MetaPro-Norm"/>
          <w:sz w:val="22"/>
          <w:szCs w:val="22"/>
        </w:rPr>
        <w:t xml:space="preserve">improperly obtained </w:t>
      </w:r>
      <w:r w:rsidRPr="001F4F18">
        <w:rPr>
          <w:rFonts w:ascii="MetaPro-Norm" w:hAnsi="MetaPro-Norm"/>
          <w:sz w:val="22"/>
          <w:szCs w:val="22"/>
        </w:rPr>
        <w:t xml:space="preserve">evidence </w:t>
      </w:r>
      <w:r w:rsidR="00B04554">
        <w:rPr>
          <w:rFonts w:ascii="MetaPro-Norm" w:hAnsi="MetaPro-Norm"/>
          <w:sz w:val="22"/>
          <w:szCs w:val="22"/>
        </w:rPr>
        <w:t>involving</w:t>
      </w:r>
      <w:r w:rsidRPr="001F4F18">
        <w:rPr>
          <w:rFonts w:ascii="MetaPro-Norm" w:hAnsi="MetaPro-Norm"/>
          <w:sz w:val="22"/>
          <w:szCs w:val="22"/>
        </w:rPr>
        <w:t xml:space="preserve"> violations of their right to privacy, medically invalid tests, and interrogations conducted without the presence of counsel</w:t>
      </w:r>
      <w:r w:rsidR="006F5202">
        <w:rPr>
          <w:rFonts w:ascii="MetaPro-Norm" w:hAnsi="MetaPro-Norm"/>
          <w:sz w:val="22"/>
          <w:szCs w:val="22"/>
        </w:rPr>
        <w:t xml:space="preserve">, </w:t>
      </w:r>
      <w:r w:rsidRPr="001F4F18">
        <w:rPr>
          <w:rFonts w:ascii="MetaPro-Norm" w:hAnsi="MetaPro-Norm"/>
          <w:sz w:val="22"/>
          <w:szCs w:val="22"/>
        </w:rPr>
        <w:t xml:space="preserve">which often take place while a girl or woman is in hospital. </w:t>
      </w:r>
    </w:p>
    <w:p w14:paraId="3EB36D0A" w14:textId="77777777" w:rsidR="008334A5" w:rsidRDefault="008334A5" w:rsidP="004C664E">
      <w:pPr>
        <w:spacing w:line="264" w:lineRule="auto"/>
        <w:rPr>
          <w:rFonts w:ascii="MetaPro-Norm" w:hAnsi="MetaPro-Norm"/>
          <w:sz w:val="22"/>
          <w:szCs w:val="22"/>
        </w:rPr>
      </w:pPr>
    </w:p>
    <w:p w14:paraId="6BA0EBCA" w14:textId="266AED8F" w:rsidR="00E6635B" w:rsidRDefault="004C664E" w:rsidP="00E6635B">
      <w:pPr>
        <w:spacing w:line="264" w:lineRule="auto"/>
        <w:rPr>
          <w:rFonts w:ascii="MetaPro-Norm" w:hAnsi="MetaPro-Norm"/>
          <w:sz w:val="22"/>
          <w:szCs w:val="22"/>
        </w:rPr>
      </w:pPr>
      <w:r w:rsidRPr="001F4F18">
        <w:rPr>
          <w:rFonts w:ascii="MetaPro-Norm" w:hAnsi="MetaPro-Norm"/>
          <w:sz w:val="22"/>
          <w:szCs w:val="22"/>
        </w:rPr>
        <w:t>In most of the cases, the main evidence against girls and women who sought an abortion consists of the</w:t>
      </w:r>
      <w:r w:rsidR="00B04554">
        <w:rPr>
          <w:rFonts w:ascii="MetaPro-Norm" w:hAnsi="MetaPro-Norm"/>
          <w:sz w:val="22"/>
          <w:szCs w:val="22"/>
        </w:rPr>
        <w:t>ir</w:t>
      </w:r>
      <w:r w:rsidRPr="001F4F18">
        <w:rPr>
          <w:rFonts w:ascii="MetaPro-Norm" w:hAnsi="MetaPro-Norm"/>
          <w:sz w:val="22"/>
          <w:szCs w:val="22"/>
        </w:rPr>
        <w:t xml:space="preserve"> medical history, the emergency care sheet, and the testimony of health providers who reported the woman or girl to the police, all in violation of medical confidentiality. </w:t>
      </w:r>
      <w:r w:rsidR="00E6635B" w:rsidRPr="001F4F18">
        <w:rPr>
          <w:rFonts w:ascii="MetaPro-Norm" w:eastAsia="SimSun" w:hAnsi="MetaPro-Norm"/>
          <w:sz w:val="22"/>
          <w:szCs w:val="22"/>
          <w:lang w:eastAsia="zh-CN"/>
        </w:rPr>
        <w:t xml:space="preserve">Although Ecuador’s constitution guarantees confidentiality regarding individuals’ health information, Human Rights Watch found that seventy-three percent </w:t>
      </w:r>
      <w:r w:rsidR="00E6635B" w:rsidRPr="001F4F18">
        <w:rPr>
          <w:rFonts w:ascii="MetaPro-Norm" w:hAnsi="MetaPro-Norm"/>
          <w:sz w:val="22"/>
          <w:szCs w:val="22"/>
        </w:rPr>
        <w:t xml:space="preserve">of the cases reviewed were initiated after a healthcare provider reported a patient to the police, in violation of medical confidentiality. </w:t>
      </w:r>
    </w:p>
    <w:p w14:paraId="6929940D" w14:textId="77777777" w:rsidR="00D60655" w:rsidRPr="001F4F18" w:rsidRDefault="00D60655" w:rsidP="00E6635B">
      <w:pPr>
        <w:spacing w:line="264" w:lineRule="auto"/>
        <w:rPr>
          <w:rFonts w:ascii="MetaPro-Norm" w:eastAsia="SimSun" w:hAnsi="MetaPro-Norm"/>
          <w:sz w:val="22"/>
          <w:szCs w:val="22"/>
          <w:lang w:eastAsia="zh-CN"/>
        </w:rPr>
      </w:pPr>
    </w:p>
    <w:p w14:paraId="7454BCA1" w14:textId="10F7D97C" w:rsidR="005D20CB" w:rsidRDefault="005D20CB" w:rsidP="005D20CB">
      <w:pPr>
        <w:autoSpaceDE w:val="0"/>
        <w:autoSpaceDN w:val="0"/>
        <w:adjustRightInd w:val="0"/>
        <w:rPr>
          <w:rFonts w:ascii="MetaPro-Norm" w:eastAsia="SimSun" w:hAnsi="MetaPro-Norm"/>
          <w:sz w:val="22"/>
          <w:szCs w:val="22"/>
          <w:lang w:eastAsia="zh-CN"/>
        </w:rPr>
      </w:pPr>
      <w:r w:rsidRPr="001F4F18">
        <w:rPr>
          <w:rFonts w:ascii="MetaPro-Norm" w:hAnsi="MetaPro-Norm"/>
          <w:sz w:val="22"/>
          <w:szCs w:val="22"/>
        </w:rPr>
        <w:t xml:space="preserve">In 99 of the cases reviewed, the police interrogated the women </w:t>
      </w:r>
      <w:r w:rsidRPr="001F4F18">
        <w:rPr>
          <w:rFonts w:ascii="MetaPro-Norm" w:hAnsi="MetaPro-Norm"/>
          <w:color w:val="000000"/>
          <w:sz w:val="22"/>
          <w:szCs w:val="22"/>
        </w:rPr>
        <w:t>at the hospital</w:t>
      </w:r>
      <w:r w:rsidRPr="001F4F18">
        <w:rPr>
          <w:rFonts w:ascii="MetaPro-Norm" w:hAnsi="MetaPro-Norm"/>
          <w:sz w:val="22"/>
          <w:szCs w:val="22"/>
        </w:rPr>
        <w:t xml:space="preserve"> without a lawyer present, in violation of national law</w:t>
      </w:r>
      <w:r w:rsidRPr="001F4F18">
        <w:rPr>
          <w:rFonts w:ascii="MetaPro-Norm" w:hAnsi="MetaPro-Norm"/>
          <w:color w:val="000000"/>
          <w:sz w:val="22"/>
          <w:szCs w:val="22"/>
        </w:rPr>
        <w:t>, while she was experiencing or recovering from a medical emergency, sometimes a life-threatening one.</w:t>
      </w:r>
      <w:r>
        <w:rPr>
          <w:rFonts w:ascii="MetaPro-Norm" w:eastAsia="SimSun" w:hAnsi="MetaPro-Norm"/>
          <w:sz w:val="22"/>
          <w:szCs w:val="22"/>
          <w:lang w:eastAsia="zh-CN"/>
        </w:rPr>
        <w:t xml:space="preserve"> </w:t>
      </w:r>
      <w:r w:rsidRPr="001F4F18">
        <w:rPr>
          <w:rFonts w:ascii="MetaPro-Norm" w:eastAsia="SimSun" w:hAnsi="MetaPro-Norm"/>
          <w:sz w:val="22"/>
          <w:szCs w:val="22"/>
          <w:lang w:eastAsia="zh-CN"/>
        </w:rPr>
        <w:t>These interrogations also risked further compromising the</w:t>
      </w:r>
      <w:r w:rsidR="00B36A92">
        <w:rPr>
          <w:rFonts w:ascii="MetaPro-Norm" w:eastAsia="SimSun" w:hAnsi="MetaPro-Norm"/>
          <w:sz w:val="22"/>
          <w:szCs w:val="22"/>
          <w:lang w:eastAsia="zh-CN"/>
        </w:rPr>
        <w:t xml:space="preserve"> women’s</w:t>
      </w:r>
      <w:r w:rsidRPr="001F4F18">
        <w:rPr>
          <w:rFonts w:ascii="MetaPro-Norm" w:eastAsia="SimSun" w:hAnsi="MetaPro-Norm"/>
          <w:sz w:val="22"/>
          <w:szCs w:val="22"/>
          <w:lang w:eastAsia="zh-CN"/>
        </w:rPr>
        <w:t xml:space="preserve"> health by interrupting their treatment and interfering with their medical care and their relationship with their doctor. </w:t>
      </w:r>
    </w:p>
    <w:p w14:paraId="71D56A5D" w14:textId="77777777" w:rsidR="005D20CB" w:rsidRDefault="005D20CB" w:rsidP="005D20CB">
      <w:pPr>
        <w:autoSpaceDE w:val="0"/>
        <w:autoSpaceDN w:val="0"/>
        <w:adjustRightInd w:val="0"/>
        <w:rPr>
          <w:rFonts w:ascii="MetaPro-Norm" w:eastAsia="SimSun" w:hAnsi="MetaPro-Norm"/>
          <w:sz w:val="22"/>
          <w:szCs w:val="22"/>
          <w:lang w:eastAsia="zh-CN"/>
        </w:rPr>
      </w:pPr>
    </w:p>
    <w:p w14:paraId="235E77FC" w14:textId="77777777" w:rsidR="005D20CB" w:rsidRDefault="005D20CB" w:rsidP="005D20CB">
      <w:pPr>
        <w:autoSpaceDE w:val="0"/>
        <w:autoSpaceDN w:val="0"/>
        <w:adjustRightInd w:val="0"/>
        <w:rPr>
          <w:rFonts w:ascii="MetaPro-Norm" w:hAnsi="MetaPro-Norm"/>
          <w:color w:val="111111"/>
          <w:sz w:val="22"/>
          <w:szCs w:val="22"/>
          <w:shd w:val="clear" w:color="auto" w:fill="FFFFFF"/>
        </w:rPr>
      </w:pPr>
      <w:r w:rsidRPr="001F4F18">
        <w:rPr>
          <w:rFonts w:ascii="MetaPro-Norm" w:eastAsia="SimSun" w:hAnsi="MetaPro-Norm"/>
          <w:sz w:val="22"/>
          <w:szCs w:val="22"/>
          <w:lang w:eastAsia="zh-CN"/>
        </w:rPr>
        <w:t xml:space="preserve">Judicial conduct and decisions </w:t>
      </w:r>
      <w:r w:rsidRPr="001F4F18">
        <w:rPr>
          <w:rFonts w:ascii="MetaPro-Norm" w:eastAsia="SimSun" w:hAnsi="MetaPro-Norm"/>
          <w:sz w:val="22"/>
          <w:szCs w:val="22"/>
          <w:shd w:val="clear" w:color="auto" w:fill="FFFFFF"/>
          <w:lang w:eastAsia="zh-CN"/>
        </w:rPr>
        <w:t>often reflected gender stereotypes and religious considerations. In several cases women were</w:t>
      </w:r>
      <w:r w:rsidRPr="001F4F18" w:rsidDel="0029211E">
        <w:rPr>
          <w:rFonts w:ascii="MetaPro-Norm" w:eastAsia="SimSun" w:hAnsi="MetaPro-Norm"/>
          <w:sz w:val="22"/>
          <w:szCs w:val="22"/>
          <w:lang w:eastAsia="zh-CN"/>
        </w:rPr>
        <w:t xml:space="preserve"> </w:t>
      </w:r>
      <w:r w:rsidRPr="001F4F18">
        <w:rPr>
          <w:rFonts w:ascii="MetaPro-Norm" w:hAnsi="MetaPro-Norm"/>
          <w:color w:val="111111"/>
          <w:sz w:val="22"/>
          <w:szCs w:val="22"/>
          <w:shd w:val="clear" w:color="auto" w:fill="FFFFFF"/>
        </w:rPr>
        <w:t xml:space="preserve">sentenced to community service in orphanages or therapy intended to make them </w:t>
      </w:r>
      <w:r>
        <w:rPr>
          <w:rFonts w:ascii="MetaPro-Norm" w:hAnsi="MetaPro-Norm"/>
          <w:color w:val="111111"/>
          <w:sz w:val="22"/>
          <w:szCs w:val="22"/>
          <w:shd w:val="clear" w:color="auto" w:fill="FFFFFF"/>
        </w:rPr>
        <w:t>“</w:t>
      </w:r>
      <w:r w:rsidRPr="001F4F18">
        <w:rPr>
          <w:rFonts w:ascii="MetaPro-Norm" w:hAnsi="MetaPro-Norm"/>
          <w:color w:val="111111"/>
          <w:sz w:val="22"/>
          <w:szCs w:val="22"/>
          <w:shd w:val="clear" w:color="auto" w:fill="FFFFFF"/>
        </w:rPr>
        <w:t>good mothers</w:t>
      </w:r>
      <w:r>
        <w:rPr>
          <w:rFonts w:ascii="MetaPro-Norm" w:hAnsi="MetaPro-Norm"/>
          <w:color w:val="111111"/>
          <w:sz w:val="22"/>
          <w:szCs w:val="22"/>
          <w:shd w:val="clear" w:color="auto" w:fill="FFFFFF"/>
        </w:rPr>
        <w:t>”</w:t>
      </w:r>
      <w:r w:rsidRPr="001F4F18">
        <w:rPr>
          <w:rFonts w:ascii="MetaPro-Norm" w:hAnsi="MetaPro-Norm"/>
          <w:color w:val="111111"/>
          <w:sz w:val="22"/>
          <w:szCs w:val="22"/>
          <w:shd w:val="clear" w:color="auto" w:fill="FFFFFF"/>
        </w:rPr>
        <w:t>.</w:t>
      </w:r>
    </w:p>
    <w:p w14:paraId="16ABC6F8" w14:textId="77777777" w:rsidR="004C664E" w:rsidRPr="001F4F18" w:rsidRDefault="004C664E" w:rsidP="004C664E">
      <w:pPr>
        <w:rPr>
          <w:rFonts w:ascii="MetaPro-Norm" w:hAnsi="MetaPro-Norm"/>
          <w:sz w:val="22"/>
          <w:szCs w:val="22"/>
        </w:rPr>
      </w:pPr>
    </w:p>
    <w:p w14:paraId="56FCC3B3" w14:textId="77777777" w:rsidR="004C664E" w:rsidRPr="001F4F18" w:rsidRDefault="004C664E" w:rsidP="004C664E">
      <w:pPr>
        <w:rPr>
          <w:rFonts w:ascii="MetaPro-Norm" w:hAnsi="MetaPro-Norm"/>
          <w:i/>
          <w:iCs/>
          <w:sz w:val="22"/>
          <w:szCs w:val="22"/>
        </w:rPr>
      </w:pPr>
      <w:r w:rsidRPr="001F4F18">
        <w:rPr>
          <w:rFonts w:ascii="MetaPro-Norm" w:hAnsi="MetaPro-Norm"/>
          <w:i/>
          <w:iCs/>
          <w:sz w:val="22"/>
          <w:szCs w:val="22"/>
        </w:rPr>
        <w:t xml:space="preserve">Human Rights Watch recommends that the Committee call on the government of Ecuador to: </w:t>
      </w:r>
    </w:p>
    <w:p w14:paraId="39EC9F4A" w14:textId="77777777" w:rsidR="004C664E" w:rsidRPr="001F4F18" w:rsidRDefault="004C664E" w:rsidP="004C664E">
      <w:pPr>
        <w:rPr>
          <w:rFonts w:ascii="MetaPro-Norm" w:hAnsi="MetaPro-Norm"/>
          <w:i/>
          <w:iCs/>
          <w:sz w:val="22"/>
          <w:szCs w:val="22"/>
        </w:rPr>
      </w:pPr>
    </w:p>
    <w:p w14:paraId="77250451" w14:textId="715992C1" w:rsidR="00433BB6" w:rsidRPr="001F4F18" w:rsidRDefault="00B04554" w:rsidP="00433BB6">
      <w:pPr>
        <w:pStyle w:val="ListParagraph"/>
        <w:numPr>
          <w:ilvl w:val="0"/>
          <w:numId w:val="1"/>
        </w:numPr>
        <w:spacing w:line="264" w:lineRule="auto"/>
        <w:rPr>
          <w:rFonts w:ascii="MetaPro-Norm" w:eastAsia="SimSun" w:hAnsi="MetaPro-Norm"/>
          <w:lang w:eastAsia="zh-CN"/>
        </w:rPr>
      </w:pPr>
      <w:r w:rsidRPr="001F4F18">
        <w:rPr>
          <w:rFonts w:ascii="MetaPro-Norm" w:eastAsia="SimSun" w:hAnsi="MetaPro-Norm"/>
          <w:lang w:eastAsia="zh-CN"/>
        </w:rPr>
        <w:t>I</w:t>
      </w:r>
      <w:r>
        <w:rPr>
          <w:rFonts w:ascii="MetaPro-Norm" w:eastAsia="SimSun" w:hAnsi="MetaPro-Norm"/>
          <w:lang w:eastAsia="zh-CN"/>
        </w:rPr>
        <w:t>ntroduce</w:t>
      </w:r>
      <w:r w:rsidRPr="001F4F18">
        <w:rPr>
          <w:rFonts w:ascii="MetaPro-Norm" w:eastAsia="SimSun" w:hAnsi="MetaPro-Norm"/>
          <w:lang w:eastAsia="zh-CN"/>
        </w:rPr>
        <w:t xml:space="preserve"> </w:t>
      </w:r>
      <w:r w:rsidR="00433BB6" w:rsidRPr="001F4F18">
        <w:rPr>
          <w:rFonts w:ascii="MetaPro-Norm" w:eastAsia="SimSun" w:hAnsi="MetaPro-Norm"/>
          <w:lang w:eastAsia="zh-CN"/>
        </w:rPr>
        <w:t xml:space="preserve">legislation </w:t>
      </w:r>
      <w:r w:rsidRPr="001F4F18">
        <w:rPr>
          <w:rFonts w:ascii="MetaPro-Norm" w:eastAsia="SimSun" w:hAnsi="MetaPro-Norm"/>
          <w:lang w:eastAsia="zh-CN"/>
        </w:rPr>
        <w:t>rei</w:t>
      </w:r>
      <w:r>
        <w:rPr>
          <w:rFonts w:ascii="MetaPro-Norm" w:eastAsia="SimSun" w:hAnsi="MetaPro-Norm"/>
          <w:lang w:eastAsia="zh-CN"/>
        </w:rPr>
        <w:t>nforcing</w:t>
      </w:r>
      <w:r w:rsidRPr="001F4F18">
        <w:rPr>
          <w:rFonts w:ascii="MetaPro-Norm" w:eastAsia="SimSun" w:hAnsi="MetaPro-Norm"/>
          <w:lang w:eastAsia="zh-CN"/>
        </w:rPr>
        <w:t xml:space="preserve"> </w:t>
      </w:r>
      <w:r w:rsidR="00433BB6" w:rsidRPr="001F4F18">
        <w:rPr>
          <w:rFonts w:ascii="MetaPro-Norm" w:eastAsia="SimSun" w:hAnsi="MetaPro-Norm"/>
          <w:lang w:eastAsia="zh-CN"/>
        </w:rPr>
        <w:t xml:space="preserve">the constitutional requirement of medical confidentiality and specifying that in cases of obstetric emergencies related to abortions there is no duty to report. </w:t>
      </w:r>
    </w:p>
    <w:p w14:paraId="45A7BDFD" w14:textId="7B062194" w:rsidR="004C664E" w:rsidRDefault="004C664E" w:rsidP="004C664E">
      <w:pPr>
        <w:pStyle w:val="ListParagraph"/>
        <w:numPr>
          <w:ilvl w:val="0"/>
          <w:numId w:val="1"/>
        </w:numPr>
        <w:rPr>
          <w:rFonts w:ascii="MetaPro-Norm" w:hAnsi="MetaPro-Norm"/>
        </w:rPr>
      </w:pPr>
      <w:r w:rsidRPr="001F4F18">
        <w:rPr>
          <w:rFonts w:ascii="MetaPro-Norm" w:hAnsi="MetaPro-Norm"/>
        </w:rPr>
        <w:t xml:space="preserve">Develop and strengthen trainings for justice sector officials regarding the right to access abortion from a comprehensive health perspective, the obligation of health care professionals to protect patient confidentiality, and on eliminating negative gender </w:t>
      </w:r>
      <w:proofErr w:type="gramStart"/>
      <w:r w:rsidRPr="001F4F18">
        <w:rPr>
          <w:rFonts w:ascii="MetaPro-Norm" w:hAnsi="MetaPro-Norm"/>
        </w:rPr>
        <w:t>stereotypes;</w:t>
      </w:r>
      <w:proofErr w:type="gramEnd"/>
      <w:r w:rsidRPr="001F4F18">
        <w:rPr>
          <w:rFonts w:ascii="MetaPro-Norm" w:hAnsi="MetaPro-Norm"/>
        </w:rPr>
        <w:t xml:space="preserve"> </w:t>
      </w:r>
    </w:p>
    <w:p w14:paraId="3543171D" w14:textId="51FE2C71" w:rsidR="00F646EF" w:rsidRPr="00F30F28" w:rsidRDefault="00F646EF" w:rsidP="00F646EF">
      <w:pPr>
        <w:pStyle w:val="ListParagraph"/>
        <w:numPr>
          <w:ilvl w:val="0"/>
          <w:numId w:val="1"/>
        </w:numPr>
        <w:rPr>
          <w:rFonts w:ascii="MetaPro-Norm" w:hAnsi="MetaPro-Norm"/>
        </w:rPr>
      </w:pPr>
      <w:r>
        <w:rPr>
          <w:rFonts w:ascii="MetaPro-Norm" w:hAnsi="MetaPro-Norm"/>
        </w:rPr>
        <w:t>P</w:t>
      </w:r>
      <w:r w:rsidRPr="00F646EF">
        <w:rPr>
          <w:rFonts w:ascii="MetaPro-Norm" w:hAnsi="MetaPro-Norm"/>
        </w:rPr>
        <w:t>rohibit arrests or interviewing of women or girls while they are receiving emergency treatment or are in a healthcare facility in connection with alleged consensual abortions.</w:t>
      </w:r>
    </w:p>
    <w:p w14:paraId="4F306029" w14:textId="75E09E4A" w:rsidR="004C664E" w:rsidRPr="001F4F18" w:rsidRDefault="004C664E" w:rsidP="004C664E">
      <w:pPr>
        <w:pStyle w:val="ListParagraph"/>
        <w:numPr>
          <w:ilvl w:val="0"/>
          <w:numId w:val="1"/>
        </w:numPr>
        <w:rPr>
          <w:rFonts w:ascii="MetaPro-Norm" w:hAnsi="MetaPro-Norm"/>
        </w:rPr>
      </w:pPr>
      <w:r w:rsidRPr="001F4F18">
        <w:rPr>
          <w:rFonts w:ascii="MetaPro-Norm" w:hAnsi="MetaPro-Norm"/>
        </w:rPr>
        <w:t xml:space="preserve">Train staff in the Attorney General’s office and the Judiciary Council on gender sensitivity, including about gender-based </w:t>
      </w:r>
      <w:proofErr w:type="gramStart"/>
      <w:r w:rsidRPr="001F4F18">
        <w:rPr>
          <w:rFonts w:ascii="MetaPro-Norm" w:hAnsi="MetaPro-Norm"/>
        </w:rPr>
        <w:t>violence;</w:t>
      </w:r>
      <w:proofErr w:type="gramEnd"/>
      <w:r w:rsidRPr="001F4F18">
        <w:rPr>
          <w:rFonts w:ascii="MetaPro-Norm" w:hAnsi="MetaPro-Norm"/>
        </w:rPr>
        <w:t xml:space="preserve"> </w:t>
      </w:r>
    </w:p>
    <w:p w14:paraId="0DE5E927" w14:textId="65630C99" w:rsidR="004C664E" w:rsidRPr="001F4F18" w:rsidRDefault="00F32772" w:rsidP="004C664E">
      <w:pPr>
        <w:pStyle w:val="ListParagraph"/>
        <w:numPr>
          <w:ilvl w:val="0"/>
          <w:numId w:val="1"/>
        </w:numPr>
        <w:rPr>
          <w:rFonts w:ascii="MetaPro-Norm" w:hAnsi="MetaPro-Norm"/>
        </w:rPr>
      </w:pPr>
      <w:r>
        <w:rPr>
          <w:rFonts w:ascii="MetaPro-Norm" w:hAnsi="MetaPro-Norm"/>
        </w:rPr>
        <w:t>E</w:t>
      </w:r>
      <w:r w:rsidR="004C664E" w:rsidRPr="001F4F18">
        <w:rPr>
          <w:rFonts w:ascii="MetaPro-Norm" w:hAnsi="MetaPro-Norm"/>
        </w:rPr>
        <w:t>nsure that allegations of gender-based violence aris</w:t>
      </w:r>
      <w:r>
        <w:rPr>
          <w:rFonts w:ascii="MetaPro-Norm" w:hAnsi="MetaPro-Norm"/>
        </w:rPr>
        <w:t>ing</w:t>
      </w:r>
      <w:r w:rsidR="004C664E" w:rsidRPr="001F4F18">
        <w:rPr>
          <w:rFonts w:ascii="MetaPro-Norm" w:hAnsi="MetaPro-Norm"/>
        </w:rPr>
        <w:t xml:space="preserve"> in an abortion case are investigated and, as appropriate, </w:t>
      </w:r>
      <w:proofErr w:type="gramStart"/>
      <w:r w:rsidR="004C664E" w:rsidRPr="001F4F18">
        <w:rPr>
          <w:rFonts w:ascii="MetaPro-Norm" w:hAnsi="MetaPro-Norm"/>
        </w:rPr>
        <w:t>prosecuted;</w:t>
      </w:r>
      <w:proofErr w:type="gramEnd"/>
      <w:r w:rsidR="004C664E" w:rsidRPr="001F4F18">
        <w:rPr>
          <w:rFonts w:ascii="MetaPro-Norm" w:hAnsi="MetaPro-Norm"/>
        </w:rPr>
        <w:t xml:space="preserve"> </w:t>
      </w:r>
    </w:p>
    <w:p w14:paraId="482E31FE" w14:textId="75B1131E" w:rsidR="004C664E" w:rsidRDefault="004C664E" w:rsidP="004C664E">
      <w:pPr>
        <w:pStyle w:val="ListParagraph"/>
        <w:numPr>
          <w:ilvl w:val="0"/>
          <w:numId w:val="1"/>
        </w:numPr>
        <w:rPr>
          <w:rFonts w:ascii="MetaPro-Norm" w:hAnsi="MetaPro-Norm"/>
        </w:rPr>
      </w:pPr>
      <w:r w:rsidRPr="001F4F18">
        <w:rPr>
          <w:rFonts w:ascii="MetaPro-Norm" w:hAnsi="MetaPro-Norm"/>
        </w:rPr>
        <w:t>Regularly report the number of prosecutions for abortion, disaggregated by age.</w:t>
      </w:r>
    </w:p>
    <w:p w14:paraId="38BB1B4A" w14:textId="77777777" w:rsidR="00674C6A" w:rsidRPr="00674C6A" w:rsidRDefault="00674C6A" w:rsidP="00674C6A">
      <w:pPr>
        <w:rPr>
          <w:rFonts w:ascii="MetaPro-Norm" w:hAnsi="MetaPro-Norm"/>
        </w:rPr>
      </w:pPr>
    </w:p>
    <w:p w14:paraId="40F3659B" w14:textId="77777777" w:rsidR="00674C6A" w:rsidRPr="001F4F18" w:rsidRDefault="00674C6A" w:rsidP="00674C6A">
      <w:pPr>
        <w:spacing w:before="60" w:after="60"/>
        <w:outlineLvl w:val="1"/>
        <w:rPr>
          <w:rFonts w:ascii="MetaPro-Norm" w:eastAsia="SimSun" w:hAnsi="MetaPro-Norm" w:cs="SeriaArabic-Bold"/>
          <w:bCs/>
          <w:i/>
          <w:iCs/>
          <w:sz w:val="22"/>
          <w:szCs w:val="22"/>
          <w:lang w:eastAsia="zh-CN"/>
        </w:rPr>
      </w:pPr>
      <w:bookmarkStart w:id="1" w:name="_Toc49515241"/>
      <w:bookmarkStart w:id="2" w:name="_Toc64362674"/>
      <w:bookmarkStart w:id="3" w:name="_Toc75344603"/>
      <w:r w:rsidRPr="001F4F18">
        <w:rPr>
          <w:rFonts w:ascii="MetaPro-Norm" w:eastAsia="SimSun" w:hAnsi="MetaPro-Norm" w:cs="SeriaArabic-Bold"/>
          <w:bCs/>
          <w:i/>
          <w:iCs/>
          <w:sz w:val="22"/>
          <w:szCs w:val="22"/>
          <w:lang w:eastAsia="zh-CN"/>
        </w:rPr>
        <w:t>Maternal Mortality and Morbidity</w:t>
      </w:r>
      <w:bookmarkEnd w:id="1"/>
      <w:bookmarkEnd w:id="2"/>
      <w:bookmarkEnd w:id="3"/>
    </w:p>
    <w:p w14:paraId="548DD4E2" w14:textId="77777777" w:rsidR="00674C6A" w:rsidRPr="001F4F18" w:rsidRDefault="00674C6A" w:rsidP="00674C6A">
      <w:pPr>
        <w:spacing w:line="264" w:lineRule="auto"/>
        <w:rPr>
          <w:rFonts w:ascii="MetaPro-Norm" w:eastAsia="SimSun" w:hAnsi="MetaPro-Norm"/>
          <w:sz w:val="22"/>
          <w:szCs w:val="22"/>
          <w:lang w:eastAsia="zh-CN"/>
        </w:rPr>
      </w:pPr>
      <w:r w:rsidRPr="001F4F18">
        <w:rPr>
          <w:rFonts w:ascii="MetaPro-Norm" w:eastAsia="SimSun" w:hAnsi="MetaPro-Norm"/>
          <w:sz w:val="22"/>
          <w:szCs w:val="22"/>
          <w:lang w:eastAsia="zh-CN"/>
        </w:rPr>
        <w:t>Ecuador has high rates of maternal mortality and morbidity, including among girls.</w:t>
      </w:r>
      <w:r w:rsidRPr="001F4F18">
        <w:rPr>
          <w:rFonts w:ascii="MetaPro-Norm" w:eastAsia="SimSun" w:hAnsi="MetaPro-Norm"/>
          <w:sz w:val="22"/>
          <w:szCs w:val="22"/>
          <w:vertAlign w:val="superscript"/>
          <w:lang w:eastAsia="zh-CN"/>
        </w:rPr>
        <w:footnoteReference w:id="7"/>
      </w:r>
      <w:r w:rsidRPr="001F4F18">
        <w:rPr>
          <w:rFonts w:ascii="MetaPro-Norm" w:eastAsia="SimSun" w:hAnsi="MetaPro-Norm"/>
          <w:sz w:val="22"/>
          <w:szCs w:val="22"/>
          <w:lang w:eastAsia="zh-CN"/>
        </w:rPr>
        <w:t xml:space="preserve"> Ecuador’s maternal mortality rate in 2018 was reported to be 41.1 per 100,000 births.</w:t>
      </w:r>
      <w:r w:rsidRPr="001F4F18">
        <w:rPr>
          <w:rFonts w:ascii="MetaPro-Norm" w:eastAsia="SimSun" w:hAnsi="MetaPro-Norm"/>
          <w:sz w:val="22"/>
          <w:szCs w:val="22"/>
          <w:vertAlign w:val="superscript"/>
          <w:lang w:eastAsia="zh-CN"/>
        </w:rPr>
        <w:footnoteReference w:id="8"/>
      </w:r>
      <w:r w:rsidRPr="001F4F18">
        <w:rPr>
          <w:rFonts w:ascii="MetaPro-Norm" w:eastAsia="SimSun" w:hAnsi="MetaPro-Norm"/>
          <w:sz w:val="22"/>
          <w:szCs w:val="22"/>
          <w:lang w:eastAsia="zh-CN"/>
        </w:rPr>
        <w:t xml:space="preserve"> There were 221 maternal deaths that year, half of which were the deaths of adolescents and youth; 3 were girls under the age of 14.</w:t>
      </w:r>
      <w:r w:rsidRPr="001F4F18">
        <w:rPr>
          <w:rFonts w:ascii="MetaPro-Norm" w:eastAsia="SimSun" w:hAnsi="MetaPro-Norm"/>
          <w:sz w:val="22"/>
          <w:szCs w:val="22"/>
          <w:vertAlign w:val="superscript"/>
          <w:lang w:eastAsia="zh-CN"/>
        </w:rPr>
        <w:footnoteReference w:id="9"/>
      </w:r>
      <w:r w:rsidRPr="001F4F18">
        <w:rPr>
          <w:rFonts w:ascii="MetaPro-Norm" w:eastAsia="SimSun" w:hAnsi="MetaPro-Norm"/>
          <w:sz w:val="22"/>
          <w:szCs w:val="22"/>
          <w:lang w:eastAsia="zh-CN"/>
        </w:rPr>
        <w:t xml:space="preserve"> Inequalities persisted among poorer girls and women, and in rural areas.</w:t>
      </w:r>
      <w:r w:rsidRPr="001F4F18">
        <w:rPr>
          <w:rFonts w:ascii="MetaPro-Norm" w:eastAsia="SimSun" w:hAnsi="MetaPro-Norm"/>
          <w:sz w:val="22"/>
          <w:szCs w:val="22"/>
          <w:vertAlign w:val="superscript"/>
          <w:lang w:eastAsia="zh-CN"/>
        </w:rPr>
        <w:footnoteReference w:id="10"/>
      </w:r>
      <w:r w:rsidRPr="001F4F18">
        <w:rPr>
          <w:rFonts w:ascii="MetaPro-Norm" w:eastAsia="SimSun" w:hAnsi="MetaPro-Norm"/>
          <w:sz w:val="22"/>
          <w:szCs w:val="22"/>
          <w:lang w:eastAsia="zh-CN"/>
        </w:rPr>
        <w:t xml:space="preserve"> </w:t>
      </w:r>
    </w:p>
    <w:p w14:paraId="602CC4C8" w14:textId="77777777" w:rsidR="00674C6A" w:rsidRPr="001F4F18" w:rsidRDefault="00674C6A" w:rsidP="00674C6A">
      <w:pPr>
        <w:spacing w:line="264" w:lineRule="auto"/>
        <w:rPr>
          <w:rFonts w:ascii="MetaPro-Norm" w:eastAsia="SimSun" w:hAnsi="MetaPro-Norm"/>
          <w:sz w:val="22"/>
          <w:szCs w:val="22"/>
          <w:lang w:eastAsia="zh-CN"/>
        </w:rPr>
      </w:pPr>
    </w:p>
    <w:p w14:paraId="30860EF7" w14:textId="77777777" w:rsidR="00674C6A" w:rsidRPr="001F4F18" w:rsidRDefault="00674C6A" w:rsidP="00674C6A">
      <w:pPr>
        <w:spacing w:line="264" w:lineRule="auto"/>
        <w:rPr>
          <w:rFonts w:ascii="MetaPro-Norm" w:eastAsia="SimSun" w:hAnsi="MetaPro-Norm"/>
          <w:sz w:val="22"/>
          <w:szCs w:val="22"/>
          <w:lang w:eastAsia="zh-CN"/>
        </w:rPr>
      </w:pPr>
      <w:r w:rsidRPr="001F4F18">
        <w:rPr>
          <w:rFonts w:ascii="MetaPro-Norm" w:eastAsia="SimSun" w:hAnsi="MetaPro-Norm"/>
          <w:sz w:val="22"/>
          <w:szCs w:val="22"/>
          <w:lang w:eastAsia="zh-CN"/>
        </w:rPr>
        <w:t xml:space="preserve">The fear of prosecution can drive women and girls away from seeking medical care when they urgently need it if they experience complications from an unsafe abortion, or even when </w:t>
      </w:r>
      <w:r w:rsidRPr="001F4F18">
        <w:rPr>
          <w:rFonts w:ascii="MetaPro-Norm" w:eastAsia="SimSun" w:hAnsi="MetaPro-Norm"/>
          <w:sz w:val="22"/>
          <w:szCs w:val="22"/>
          <w:lang w:eastAsia="zh-CN"/>
        </w:rPr>
        <w:lastRenderedPageBreak/>
        <w:t xml:space="preserve">experiencing miscarriage, increasing their health risks. These barriers to access to abortion and proper post-abortion care seriously endanger the lives of girls. </w:t>
      </w:r>
    </w:p>
    <w:p w14:paraId="21F8D932" w14:textId="77777777" w:rsidR="00674C6A" w:rsidRPr="001F4F18" w:rsidRDefault="00674C6A" w:rsidP="00674C6A">
      <w:pPr>
        <w:spacing w:line="264" w:lineRule="auto"/>
        <w:rPr>
          <w:rFonts w:ascii="MetaPro-Norm" w:eastAsia="SimSun" w:hAnsi="MetaPro-Norm"/>
          <w:sz w:val="22"/>
          <w:szCs w:val="22"/>
          <w:lang w:eastAsia="zh-CN"/>
        </w:rPr>
      </w:pPr>
    </w:p>
    <w:p w14:paraId="62B1273B" w14:textId="0F5F11D6" w:rsidR="00674C6A" w:rsidRPr="001F4F18" w:rsidRDefault="00674C6A" w:rsidP="00674C6A">
      <w:pPr>
        <w:spacing w:line="264" w:lineRule="auto"/>
        <w:rPr>
          <w:rFonts w:ascii="MetaPro-Norm" w:eastAsia="SimSun" w:hAnsi="MetaPro-Norm"/>
          <w:sz w:val="22"/>
          <w:szCs w:val="22"/>
          <w:lang w:eastAsia="zh-CN"/>
        </w:rPr>
      </w:pPr>
      <w:r w:rsidRPr="001F4F18">
        <w:rPr>
          <w:rFonts w:ascii="MetaPro-Norm" w:eastAsia="SimSun" w:hAnsi="MetaPro-Norm"/>
          <w:sz w:val="22"/>
          <w:szCs w:val="22"/>
          <w:lang w:eastAsia="zh-CN"/>
        </w:rPr>
        <w:t xml:space="preserve">The Ecuadorian health system has inconsistently and arbitrarily interpreted what constitutes a threat to a girl or woman’s health. Often in practice, risks to a pregnant person’s mental health or social circumstances influencing physical or mental health are not considered sufficient to grant access to a legal abortion, contrary to what the </w:t>
      </w:r>
      <w:r w:rsidR="00633411" w:rsidRPr="001F4F18">
        <w:rPr>
          <w:rFonts w:ascii="MetaPro-Norm" w:eastAsia="SimSun" w:hAnsi="MetaPro-Norm"/>
          <w:sz w:val="22"/>
          <w:szCs w:val="22"/>
          <w:lang w:eastAsia="zh-CN"/>
        </w:rPr>
        <w:t xml:space="preserve">Clinical Practice Guidelines for Therapeutic Abortion </w:t>
      </w:r>
      <w:r w:rsidRPr="001F4F18">
        <w:rPr>
          <w:rFonts w:ascii="MetaPro-Norm" w:eastAsia="SimSun" w:hAnsi="MetaPro-Norm"/>
          <w:sz w:val="22"/>
          <w:szCs w:val="22"/>
          <w:lang w:eastAsia="zh-CN"/>
        </w:rPr>
        <w:t>state.</w:t>
      </w:r>
      <w:r w:rsidRPr="001F4F18">
        <w:rPr>
          <w:rFonts w:ascii="MetaPro-Norm" w:eastAsia="SimSun" w:hAnsi="MetaPro-Norm"/>
          <w:sz w:val="22"/>
          <w:szCs w:val="22"/>
          <w:vertAlign w:val="superscript"/>
          <w:lang w:eastAsia="zh-CN"/>
        </w:rPr>
        <w:footnoteReference w:id="11"/>
      </w:r>
      <w:r w:rsidRPr="001F4F18">
        <w:rPr>
          <w:rFonts w:ascii="MetaPro-Norm" w:eastAsia="SimSun" w:hAnsi="MetaPro-Norm"/>
          <w:sz w:val="22"/>
          <w:szCs w:val="22"/>
          <w:lang w:eastAsia="zh-CN"/>
        </w:rPr>
        <w:t xml:space="preserve"> </w:t>
      </w:r>
    </w:p>
    <w:p w14:paraId="413AFAFE" w14:textId="77777777" w:rsidR="00674C6A" w:rsidRPr="001F4F18" w:rsidRDefault="00674C6A" w:rsidP="00674C6A">
      <w:pPr>
        <w:spacing w:line="264" w:lineRule="auto"/>
        <w:rPr>
          <w:rFonts w:ascii="MetaPro-Norm" w:eastAsia="SimSun" w:hAnsi="MetaPro-Norm"/>
          <w:sz w:val="22"/>
          <w:szCs w:val="22"/>
          <w:lang w:val="en-GB" w:eastAsia="zh-CN"/>
        </w:rPr>
      </w:pPr>
    </w:p>
    <w:p w14:paraId="0EBBC615" w14:textId="2DE30EC9" w:rsidR="00674C6A" w:rsidRDefault="00674C6A" w:rsidP="00674C6A">
      <w:pPr>
        <w:spacing w:line="264" w:lineRule="auto"/>
        <w:rPr>
          <w:rFonts w:ascii="MetaPro-Norm" w:eastAsia="SimSun" w:hAnsi="MetaPro-Norm"/>
          <w:sz w:val="22"/>
          <w:szCs w:val="22"/>
          <w:lang w:eastAsia="zh-CN"/>
        </w:rPr>
      </w:pPr>
      <w:r w:rsidRPr="001F4F18">
        <w:rPr>
          <w:rFonts w:ascii="MetaPro-Norm" w:eastAsia="SimSun" w:hAnsi="MetaPro-Norm"/>
          <w:sz w:val="22"/>
          <w:szCs w:val="22"/>
          <w:lang w:eastAsia="zh-CN"/>
        </w:rPr>
        <w:t>Despite the official approval of the</w:t>
      </w:r>
      <w:r w:rsidR="00633411">
        <w:rPr>
          <w:rFonts w:ascii="MetaPro-Norm" w:eastAsia="SimSun" w:hAnsi="MetaPro-Norm"/>
          <w:sz w:val="22"/>
          <w:szCs w:val="22"/>
          <w:lang w:eastAsia="zh-CN"/>
        </w:rPr>
        <w:t>se guidelines</w:t>
      </w:r>
      <w:r w:rsidRPr="001F4F18">
        <w:rPr>
          <w:rFonts w:ascii="MetaPro-Norm" w:eastAsia="SimSun" w:hAnsi="MetaPro-Norm"/>
          <w:sz w:val="22"/>
          <w:szCs w:val="22"/>
          <w:lang w:eastAsia="zh-CN"/>
        </w:rPr>
        <w:t xml:space="preserve"> </w:t>
      </w:r>
      <w:bookmarkStart w:id="4" w:name="_Hlk49765185"/>
      <w:r w:rsidRPr="001F4F18">
        <w:rPr>
          <w:rFonts w:ascii="MetaPro-Norm" w:eastAsia="SimSun" w:hAnsi="MetaPro-Norm"/>
          <w:sz w:val="22"/>
          <w:szCs w:val="22"/>
          <w:lang w:eastAsia="zh-CN"/>
        </w:rPr>
        <w:t>in December 2014</w:t>
      </w:r>
      <w:bookmarkEnd w:id="4"/>
      <w:r w:rsidRPr="001F4F18">
        <w:rPr>
          <w:rFonts w:ascii="MetaPro-Norm" w:eastAsia="SimSun" w:hAnsi="MetaPro-Norm"/>
          <w:sz w:val="22"/>
          <w:szCs w:val="22"/>
          <w:lang w:eastAsia="zh-CN"/>
        </w:rPr>
        <w:t>,</w:t>
      </w:r>
      <w:r w:rsidRPr="001F4F18">
        <w:rPr>
          <w:rFonts w:ascii="MetaPro-Norm" w:eastAsia="SimSun" w:hAnsi="MetaPro-Norm"/>
          <w:sz w:val="22"/>
          <w:szCs w:val="22"/>
          <w:vertAlign w:val="superscript"/>
          <w:lang w:eastAsia="zh-CN"/>
        </w:rPr>
        <w:footnoteReference w:id="12"/>
      </w:r>
      <w:r w:rsidRPr="001F4F18">
        <w:rPr>
          <w:rFonts w:ascii="MetaPro-Norm" w:eastAsia="SimSun" w:hAnsi="MetaPro-Norm"/>
          <w:sz w:val="22"/>
          <w:szCs w:val="22"/>
          <w:lang w:eastAsia="zh-CN"/>
        </w:rPr>
        <w:t xml:space="preserve"> health providers interviewed by Human Rights Watch</w:t>
      </w:r>
      <w:r w:rsidR="00633411">
        <w:rPr>
          <w:rFonts w:ascii="MetaPro-Norm" w:eastAsia="SimSun" w:hAnsi="MetaPro-Norm"/>
          <w:sz w:val="22"/>
          <w:szCs w:val="22"/>
          <w:lang w:eastAsia="zh-CN"/>
        </w:rPr>
        <w:t xml:space="preserve"> said</w:t>
      </w:r>
      <w:r w:rsidRPr="001F4F18">
        <w:rPr>
          <w:rFonts w:ascii="MetaPro-Norm" w:eastAsia="SimSun" w:hAnsi="MetaPro-Norm"/>
          <w:sz w:val="22"/>
          <w:szCs w:val="22"/>
          <w:lang w:eastAsia="zh-CN"/>
        </w:rPr>
        <w:t xml:space="preserve"> the guidelines have not been systematically implemented. The government has not provided any timeline for when </w:t>
      </w:r>
      <w:r w:rsidR="003E7340">
        <w:rPr>
          <w:rFonts w:ascii="MetaPro-Norm" w:eastAsia="SimSun" w:hAnsi="MetaPro-Norm"/>
          <w:sz w:val="22"/>
          <w:szCs w:val="22"/>
          <w:lang w:eastAsia="zh-CN"/>
        </w:rPr>
        <w:t>they</w:t>
      </w:r>
      <w:r w:rsidR="003E7340" w:rsidRPr="001F4F18">
        <w:rPr>
          <w:rFonts w:ascii="MetaPro-Norm" w:eastAsia="SimSun" w:hAnsi="MetaPro-Norm"/>
          <w:sz w:val="22"/>
          <w:szCs w:val="22"/>
          <w:lang w:eastAsia="zh-CN"/>
        </w:rPr>
        <w:t xml:space="preserve"> </w:t>
      </w:r>
      <w:r w:rsidRPr="001F4F18">
        <w:rPr>
          <w:rFonts w:ascii="MetaPro-Norm" w:eastAsia="SimSun" w:hAnsi="MetaPro-Norm"/>
          <w:sz w:val="22"/>
          <w:szCs w:val="22"/>
          <w:lang w:eastAsia="zh-CN"/>
        </w:rPr>
        <w:t>will be implemented. Medical professionals interviewed by Human Rights Watch said they believed that the guidelines, if properly implemented applying a broad and comprehensive interpretation of the concept of health from a human rights perspective, could significantly contribute to reducing maternal mortality and morbidity associated with unsafe abortion.</w:t>
      </w:r>
    </w:p>
    <w:p w14:paraId="780AEB08" w14:textId="08F4B2FC" w:rsidR="006708F6" w:rsidRDefault="006708F6" w:rsidP="00674C6A">
      <w:pPr>
        <w:spacing w:line="264" w:lineRule="auto"/>
        <w:rPr>
          <w:rFonts w:ascii="MetaPro-Norm" w:eastAsia="SimSun" w:hAnsi="MetaPro-Norm"/>
          <w:sz w:val="22"/>
          <w:szCs w:val="22"/>
          <w:lang w:eastAsia="zh-CN"/>
        </w:rPr>
      </w:pPr>
    </w:p>
    <w:p w14:paraId="5B913C72" w14:textId="77777777" w:rsidR="006708F6" w:rsidRPr="001F4F18" w:rsidRDefault="006708F6" w:rsidP="006708F6">
      <w:pPr>
        <w:rPr>
          <w:rFonts w:ascii="MetaPro-Norm" w:hAnsi="MetaPro-Norm"/>
          <w:i/>
          <w:iCs/>
          <w:sz w:val="22"/>
          <w:szCs w:val="22"/>
        </w:rPr>
      </w:pPr>
      <w:r w:rsidRPr="001F4F18">
        <w:rPr>
          <w:rFonts w:ascii="MetaPro-Norm" w:hAnsi="MetaPro-Norm"/>
          <w:i/>
          <w:iCs/>
          <w:sz w:val="22"/>
          <w:szCs w:val="22"/>
        </w:rPr>
        <w:t xml:space="preserve">Human Rights Watch recommends that the Committee call on the government of Ecuador to: </w:t>
      </w:r>
    </w:p>
    <w:p w14:paraId="2E831C01" w14:textId="77777777" w:rsidR="006708F6" w:rsidRPr="001F4F18" w:rsidRDefault="006708F6" w:rsidP="00674C6A">
      <w:pPr>
        <w:spacing w:line="264" w:lineRule="auto"/>
        <w:rPr>
          <w:rFonts w:ascii="MetaPro-Norm" w:eastAsia="SimSun" w:hAnsi="MetaPro-Norm"/>
          <w:sz w:val="22"/>
          <w:szCs w:val="22"/>
          <w:lang w:eastAsia="zh-CN"/>
        </w:rPr>
      </w:pPr>
    </w:p>
    <w:p w14:paraId="02F2FF00" w14:textId="7AE56E87" w:rsidR="006708F6" w:rsidRPr="006708F6" w:rsidRDefault="006708F6" w:rsidP="006708F6">
      <w:pPr>
        <w:numPr>
          <w:ilvl w:val="0"/>
          <w:numId w:val="9"/>
        </w:numPr>
        <w:spacing w:line="264" w:lineRule="auto"/>
        <w:rPr>
          <w:rFonts w:ascii="MetaPro-Norm" w:eastAsia="SimSun" w:hAnsi="MetaPro-Norm"/>
          <w:sz w:val="22"/>
          <w:szCs w:val="22"/>
          <w:lang w:eastAsia="zh-CN"/>
        </w:rPr>
      </w:pPr>
      <w:r w:rsidRPr="006708F6">
        <w:rPr>
          <w:rFonts w:ascii="MetaPro-Norm" w:eastAsia="SimSun" w:hAnsi="MetaPro-Norm"/>
          <w:sz w:val="22"/>
          <w:szCs w:val="22"/>
          <w:lang w:eastAsia="zh-CN"/>
        </w:rPr>
        <w:t>Establish an effective system to inform patients of their right to confidentiality and to report violations of these rights, and their right to access legal abortion and other sexual and reproductive health care services.</w:t>
      </w:r>
    </w:p>
    <w:p w14:paraId="1CB5E216" w14:textId="77777777" w:rsidR="00674C6A" w:rsidRPr="00674C6A" w:rsidRDefault="00674C6A" w:rsidP="00674C6A">
      <w:pPr>
        <w:rPr>
          <w:rFonts w:ascii="MetaPro-Norm" w:hAnsi="MetaPro-Norm"/>
        </w:rPr>
      </w:pPr>
    </w:p>
    <w:p w14:paraId="1CB4C8C6" w14:textId="2D5CB970" w:rsidR="008211DA" w:rsidRPr="008211DA" w:rsidRDefault="008961E0" w:rsidP="008211DA">
      <w:pPr>
        <w:pStyle w:val="NoSpacing"/>
        <w:contextualSpacing/>
        <w:rPr>
          <w:rFonts w:ascii="MetaPro-Norm" w:eastAsia="Calibri" w:hAnsi="MetaPro-Norm"/>
          <w:b/>
          <w:iCs/>
        </w:rPr>
      </w:pPr>
      <w:r w:rsidRPr="00F30F28">
        <w:rPr>
          <w:rFonts w:ascii="MetaPro-Norm" w:hAnsi="MetaPro-Norm"/>
          <w:b/>
          <w:iCs/>
        </w:rPr>
        <w:t xml:space="preserve">School-Related Sexual Violence, including Digital Sexual Violence </w:t>
      </w:r>
      <w:r w:rsidR="008211DA" w:rsidRPr="008211DA">
        <w:rPr>
          <w:rFonts w:ascii="MetaPro-Norm" w:eastAsia="Calibri" w:hAnsi="MetaPro-Norm"/>
          <w:b/>
          <w:iCs/>
        </w:rPr>
        <w:t>(arts. 2, 5, 10, and 12)</w:t>
      </w:r>
    </w:p>
    <w:p w14:paraId="5E87109F" w14:textId="77777777" w:rsidR="008211DA" w:rsidRPr="001F4F18" w:rsidRDefault="008211DA" w:rsidP="008211DA">
      <w:pPr>
        <w:spacing w:line="264" w:lineRule="auto"/>
        <w:rPr>
          <w:rFonts w:ascii="MetaPro-Norm" w:eastAsia="SimSun" w:hAnsi="MetaPro-Norm"/>
          <w:sz w:val="22"/>
          <w:szCs w:val="22"/>
          <w:lang w:val="en-GB" w:eastAsia="zh-CN"/>
        </w:rPr>
      </w:pPr>
    </w:p>
    <w:p w14:paraId="6AA89753" w14:textId="77777777" w:rsidR="00237123" w:rsidRDefault="629F0D37" w:rsidP="3F57A714">
      <w:pPr>
        <w:rPr>
          <w:rFonts w:ascii="MetaPro-Norm" w:hAnsi="MetaPro-Norm"/>
          <w:sz w:val="22"/>
          <w:szCs w:val="22"/>
          <w:lang w:val="en-GB"/>
        </w:rPr>
      </w:pPr>
      <w:r w:rsidRPr="3F57A714">
        <w:rPr>
          <w:rFonts w:ascii="MetaPro-Norm" w:eastAsia="MetaPro-Norm" w:hAnsi="MetaPro-Norm" w:cs="MetaPro-Norm"/>
          <w:sz w:val="22"/>
          <w:szCs w:val="22"/>
        </w:rPr>
        <w:t>Sexual violence is a long-standing, pervasive problem in Ecuador’s education institutions.</w:t>
      </w:r>
      <w:r w:rsidR="00D22DAD" w:rsidRPr="00A36506">
        <w:rPr>
          <w:rFonts w:ascii="MetaPro-Norm" w:eastAsia="MetaPro-Norm" w:hAnsi="MetaPro-Norm" w:cs="MetaPro-Norm"/>
          <w:sz w:val="22"/>
          <w:szCs w:val="22"/>
          <w:vertAlign w:val="superscript"/>
        </w:rPr>
        <w:footnoteReference w:id="13"/>
      </w:r>
      <w:r w:rsidRPr="00A36506">
        <w:rPr>
          <w:rFonts w:ascii="MetaPro-Norm" w:eastAsia="MetaPro-Norm" w:hAnsi="MetaPro-Norm" w:cs="MetaPro-Norm"/>
          <w:sz w:val="22"/>
          <w:szCs w:val="22"/>
          <w:vertAlign w:val="superscript"/>
        </w:rPr>
        <w:t xml:space="preserve"> </w:t>
      </w:r>
      <w:r w:rsidR="000A5F8B" w:rsidRPr="00C039A5">
        <w:rPr>
          <w:rFonts w:ascii="MetaPro-Norm" w:hAnsi="MetaPro-Norm"/>
          <w:bCs/>
          <w:iCs/>
          <w:sz w:val="22"/>
          <w:szCs w:val="22"/>
        </w:rPr>
        <w:t>Ecuador still faces serious challenges in how schools</w:t>
      </w:r>
      <w:r w:rsidR="007F50C2">
        <w:rPr>
          <w:rFonts w:ascii="MetaPro-Norm" w:hAnsi="MetaPro-Norm"/>
          <w:bCs/>
          <w:iCs/>
          <w:sz w:val="22"/>
          <w:szCs w:val="22"/>
        </w:rPr>
        <w:t>,</w:t>
      </w:r>
      <w:r w:rsidR="000A5F8B" w:rsidRPr="00C039A5">
        <w:rPr>
          <w:rFonts w:ascii="MetaPro-Norm" w:hAnsi="MetaPro-Norm"/>
          <w:bCs/>
          <w:iCs/>
          <w:sz w:val="22"/>
          <w:szCs w:val="22"/>
        </w:rPr>
        <w:t xml:space="preserve"> education officials</w:t>
      </w:r>
      <w:r w:rsidR="007173F1">
        <w:rPr>
          <w:rFonts w:ascii="MetaPro-Norm" w:hAnsi="MetaPro-Norm"/>
          <w:bCs/>
          <w:iCs/>
          <w:sz w:val="22"/>
          <w:szCs w:val="22"/>
        </w:rPr>
        <w:t>,</w:t>
      </w:r>
      <w:r w:rsidR="000A5F8B" w:rsidRPr="00C039A5">
        <w:rPr>
          <w:rFonts w:ascii="MetaPro-Norm" w:hAnsi="MetaPro-Norm"/>
          <w:bCs/>
          <w:iCs/>
          <w:sz w:val="22"/>
          <w:szCs w:val="22"/>
        </w:rPr>
        <w:t xml:space="preserve"> </w:t>
      </w:r>
      <w:r w:rsidR="007F50C2">
        <w:rPr>
          <w:rFonts w:ascii="MetaPro-Norm" w:hAnsi="MetaPro-Norm"/>
          <w:bCs/>
          <w:iCs/>
          <w:sz w:val="22"/>
          <w:szCs w:val="22"/>
        </w:rPr>
        <w:t xml:space="preserve">and judicial institutions </w:t>
      </w:r>
      <w:r w:rsidR="000A5F8B" w:rsidRPr="00C039A5">
        <w:rPr>
          <w:rFonts w:ascii="MetaPro-Norm" w:hAnsi="MetaPro-Norm"/>
          <w:bCs/>
          <w:iCs/>
          <w:sz w:val="22"/>
          <w:szCs w:val="22"/>
        </w:rPr>
        <w:t>respond to sexual violence in educational institutions.</w:t>
      </w:r>
      <w:r w:rsidR="003C0205" w:rsidRPr="003C0205">
        <w:rPr>
          <w:rFonts w:ascii="MetaPro-Norm" w:hAnsi="MetaPro-Norm"/>
          <w:sz w:val="22"/>
          <w:szCs w:val="22"/>
          <w:lang w:val="en-GB"/>
        </w:rPr>
        <w:t xml:space="preserve"> </w:t>
      </w:r>
      <w:r w:rsidR="003C0205">
        <w:rPr>
          <w:rFonts w:ascii="MetaPro-Norm" w:hAnsi="MetaPro-Norm"/>
          <w:sz w:val="22"/>
          <w:szCs w:val="22"/>
          <w:lang w:val="en-GB"/>
        </w:rPr>
        <w:t>The</w:t>
      </w:r>
      <w:r w:rsidR="000D1053">
        <w:rPr>
          <w:rFonts w:ascii="MetaPro-Norm" w:hAnsi="MetaPro-Norm"/>
          <w:sz w:val="22"/>
          <w:szCs w:val="22"/>
          <w:lang w:val="en-GB"/>
        </w:rPr>
        <w:t>ir</w:t>
      </w:r>
      <w:r w:rsidR="003C0205" w:rsidRPr="3F57A714">
        <w:rPr>
          <w:rFonts w:ascii="MetaPro-Norm" w:hAnsi="MetaPro-Norm"/>
          <w:sz w:val="22"/>
          <w:szCs w:val="22"/>
          <w:lang w:val="en-GB"/>
        </w:rPr>
        <w:t xml:space="preserve"> response </w:t>
      </w:r>
      <w:r w:rsidR="003C0205">
        <w:rPr>
          <w:rFonts w:ascii="MetaPro-Norm" w:hAnsi="MetaPro-Norm"/>
          <w:sz w:val="22"/>
          <w:szCs w:val="22"/>
          <w:lang w:val="en-GB"/>
        </w:rPr>
        <w:t xml:space="preserve">continues to </w:t>
      </w:r>
      <w:r w:rsidR="003C0205" w:rsidRPr="3F57A714">
        <w:rPr>
          <w:rFonts w:ascii="MetaPro-Norm" w:hAnsi="MetaPro-Norm"/>
          <w:sz w:val="22"/>
          <w:szCs w:val="22"/>
          <w:lang w:val="en-GB"/>
        </w:rPr>
        <w:t>fall short of the government’s international human rights obligations.</w:t>
      </w:r>
    </w:p>
    <w:p w14:paraId="16E629D9" w14:textId="77777777" w:rsidR="00237123" w:rsidRDefault="00237123" w:rsidP="3F57A714">
      <w:pPr>
        <w:rPr>
          <w:rFonts w:ascii="MetaPro-Norm" w:hAnsi="MetaPro-Norm"/>
          <w:sz w:val="22"/>
          <w:szCs w:val="22"/>
          <w:lang w:val="en-GB"/>
        </w:rPr>
      </w:pPr>
    </w:p>
    <w:p w14:paraId="41EB55FB" w14:textId="1EDB4C0E" w:rsidR="003603B2" w:rsidRDefault="00237123" w:rsidP="003603B2">
      <w:pPr>
        <w:rPr>
          <w:rFonts w:ascii="MetaPro-Norm" w:hAnsi="MetaPro-Norm"/>
          <w:sz w:val="22"/>
          <w:szCs w:val="22"/>
        </w:rPr>
      </w:pPr>
      <w:r>
        <w:rPr>
          <w:rFonts w:ascii="MetaPro-Norm" w:hAnsi="MetaPro-Norm"/>
          <w:sz w:val="22"/>
          <w:szCs w:val="22"/>
          <w:lang w:val="en-GB"/>
        </w:rPr>
        <w:t>Human Rights Watch conducted research</w:t>
      </w:r>
      <w:r w:rsidR="00096790">
        <w:rPr>
          <w:rFonts w:ascii="MetaPro-Norm" w:hAnsi="MetaPro-Norm"/>
          <w:sz w:val="22"/>
          <w:szCs w:val="22"/>
          <w:lang w:val="en-GB"/>
        </w:rPr>
        <w:t xml:space="preserve"> on school-related sexual violence</w:t>
      </w:r>
      <w:r>
        <w:rPr>
          <w:rFonts w:ascii="MetaPro-Norm" w:hAnsi="MetaPro-Norm"/>
          <w:sz w:val="22"/>
          <w:szCs w:val="22"/>
          <w:lang w:val="en-GB"/>
        </w:rPr>
        <w:t xml:space="preserve"> between February 2019 and September 2020.</w:t>
      </w:r>
      <w:r w:rsidR="003C0205" w:rsidRPr="3F57A714">
        <w:rPr>
          <w:rFonts w:ascii="MetaPro-Norm" w:hAnsi="MetaPro-Norm"/>
          <w:sz w:val="22"/>
          <w:szCs w:val="22"/>
          <w:lang w:val="en-GB"/>
        </w:rPr>
        <w:t xml:space="preserve"> </w:t>
      </w:r>
      <w:r w:rsidR="003603B2">
        <w:rPr>
          <w:rFonts w:ascii="MetaPro-Norm" w:hAnsi="MetaPro-Norm"/>
          <w:sz w:val="22"/>
          <w:szCs w:val="22"/>
        </w:rPr>
        <w:t xml:space="preserve">Our research and data analysis reflects the situation in schools </w:t>
      </w:r>
      <w:r w:rsidR="003603B2">
        <w:rPr>
          <w:rFonts w:ascii="MetaPro-Norm" w:hAnsi="MetaPro-Norm"/>
          <w:sz w:val="22"/>
          <w:szCs w:val="22"/>
        </w:rPr>
        <w:lastRenderedPageBreak/>
        <w:t>prior to the government’s decision to order nationwide school-closures in March 2020, due to the Covid-19 pandemic. Schools have now remained closed or partially open, in a minority of locations, for over a year, impacting more than 5 million students.</w:t>
      </w:r>
      <w:r w:rsidR="003603B2">
        <w:rPr>
          <w:rStyle w:val="FootnoteReference"/>
          <w:rFonts w:ascii="MetaPro-Norm" w:hAnsi="MetaPro-Norm"/>
          <w:sz w:val="22"/>
          <w:szCs w:val="22"/>
        </w:rPr>
        <w:footnoteReference w:id="14"/>
      </w:r>
      <w:r w:rsidR="003603B2">
        <w:rPr>
          <w:rFonts w:ascii="MetaPro-Norm" w:hAnsi="MetaPro-Norm"/>
          <w:sz w:val="22"/>
          <w:szCs w:val="22"/>
        </w:rPr>
        <w:t xml:space="preserve"> Many students still lack internet access or adequate equipment to learn online.</w:t>
      </w:r>
      <w:r w:rsidR="003603B2">
        <w:rPr>
          <w:rStyle w:val="FootnoteReference"/>
          <w:rFonts w:ascii="MetaPro-Norm" w:hAnsi="MetaPro-Norm"/>
          <w:sz w:val="22"/>
          <w:szCs w:val="22"/>
        </w:rPr>
        <w:footnoteReference w:id="15"/>
      </w:r>
      <w:r w:rsidR="003603B2">
        <w:rPr>
          <w:rFonts w:ascii="MetaPro-Norm" w:hAnsi="MetaPro-Norm"/>
          <w:sz w:val="22"/>
          <w:szCs w:val="22"/>
        </w:rPr>
        <w:t xml:space="preserve"> </w:t>
      </w:r>
    </w:p>
    <w:p w14:paraId="5E018A94" w14:textId="77777777" w:rsidR="003603B2" w:rsidRDefault="003603B2" w:rsidP="003603B2">
      <w:pPr>
        <w:rPr>
          <w:rFonts w:ascii="MetaPro-Norm" w:hAnsi="MetaPro-Norm"/>
          <w:sz w:val="22"/>
          <w:szCs w:val="22"/>
        </w:rPr>
      </w:pPr>
    </w:p>
    <w:p w14:paraId="65CEB290" w14:textId="030C6E91" w:rsidR="00F02D2B" w:rsidRDefault="00090B70" w:rsidP="3F57A714">
      <w:pPr>
        <w:rPr>
          <w:rFonts w:ascii="MetaPro-Norm" w:hAnsi="MetaPro-Norm"/>
          <w:sz w:val="22"/>
          <w:szCs w:val="22"/>
        </w:rPr>
      </w:pPr>
      <w:r w:rsidRPr="3F57A714">
        <w:rPr>
          <w:rFonts w:ascii="MetaPro-Norm" w:hAnsi="MetaPro-Norm"/>
          <w:sz w:val="22"/>
          <w:szCs w:val="22"/>
        </w:rPr>
        <w:t>S</w:t>
      </w:r>
      <w:proofErr w:type="spellStart"/>
      <w:r w:rsidRPr="3F57A714">
        <w:rPr>
          <w:rFonts w:ascii="MetaPro-Norm" w:hAnsi="MetaPro-Norm"/>
          <w:sz w:val="22"/>
          <w:szCs w:val="22"/>
          <w:lang w:val="en-GB"/>
        </w:rPr>
        <w:t>ixteen</w:t>
      </w:r>
      <w:proofErr w:type="spellEnd"/>
      <w:r w:rsidRPr="3F57A714">
        <w:rPr>
          <w:rFonts w:ascii="MetaPro-Norm" w:hAnsi="MetaPro-Norm"/>
          <w:sz w:val="22"/>
          <w:szCs w:val="22"/>
          <w:lang w:val="en-GB"/>
        </w:rPr>
        <w:t xml:space="preserve"> out of 38 cases of school-related sexual violence documented by Human Rights Watch were perpetrated between 2017 and 2019, when the government began to enforce a more robust approach and response to school-related sexual violence.</w:t>
      </w:r>
      <w:r w:rsidRPr="3F57A714">
        <w:rPr>
          <w:rStyle w:val="FootnoteReference"/>
          <w:rFonts w:ascii="MetaPro-Norm" w:hAnsi="MetaPro-Norm"/>
          <w:sz w:val="22"/>
          <w:szCs w:val="22"/>
          <w:lang w:val="en-GB"/>
        </w:rPr>
        <w:footnoteReference w:id="16"/>
      </w:r>
      <w:r w:rsidRPr="3F57A714">
        <w:rPr>
          <w:rFonts w:ascii="MetaPro-Norm" w:hAnsi="MetaPro-Norm"/>
          <w:sz w:val="22"/>
          <w:szCs w:val="22"/>
          <w:lang w:val="en-GB"/>
        </w:rPr>
        <w:t xml:space="preserve"> </w:t>
      </w:r>
    </w:p>
    <w:p w14:paraId="57344CE9" w14:textId="77777777" w:rsidR="00AD6025" w:rsidRPr="001F4F18" w:rsidRDefault="00AD6025" w:rsidP="008961E0">
      <w:pPr>
        <w:shd w:val="clear" w:color="auto" w:fill="FFFFFF"/>
        <w:rPr>
          <w:rFonts w:ascii="MetaPro-Norm" w:hAnsi="MetaPro-Norm"/>
          <w:bCs/>
          <w:iCs/>
          <w:sz w:val="22"/>
          <w:szCs w:val="22"/>
        </w:rPr>
      </w:pPr>
    </w:p>
    <w:p w14:paraId="58D0BC66" w14:textId="38183D0F" w:rsidR="008961E0" w:rsidRPr="001F4F18" w:rsidRDefault="008961E0" w:rsidP="008961E0">
      <w:pPr>
        <w:shd w:val="clear" w:color="auto" w:fill="FFFFFF"/>
        <w:rPr>
          <w:rFonts w:ascii="MetaPro-Norm" w:hAnsi="MetaPro-Norm"/>
          <w:iCs/>
          <w:sz w:val="22"/>
          <w:szCs w:val="22"/>
        </w:rPr>
      </w:pPr>
      <w:r w:rsidRPr="001F4F18">
        <w:rPr>
          <w:rFonts w:ascii="MetaPro-Norm" w:hAnsi="MetaPro-Norm"/>
          <w:sz w:val="22"/>
          <w:szCs w:val="22"/>
        </w:rPr>
        <w:t>Human Rights Watch’s analysis of government data shows that from 2014 to May 2020, Ecuador’s Ministry of Education registered 3,607 cases of sexual violence against students that happened in or around schools.</w:t>
      </w:r>
      <w:r w:rsidRPr="3F57A714">
        <w:rPr>
          <w:rStyle w:val="FootnoteReference"/>
          <w:rFonts w:ascii="MetaPro-Norm" w:hAnsi="MetaPro-Norm"/>
          <w:sz w:val="22"/>
          <w:szCs w:val="22"/>
        </w:rPr>
        <w:footnoteReference w:id="17"/>
      </w:r>
      <w:r w:rsidRPr="001F4F18">
        <w:rPr>
          <w:rFonts w:ascii="MetaPro-Norm" w:hAnsi="MetaPro-Norm"/>
          <w:sz w:val="22"/>
          <w:szCs w:val="22"/>
        </w:rPr>
        <w:t xml:space="preserve"> These complaints affected 4,221 children and adolescents who suffered sexual violence by perpetrators inside education institutions. In </w:t>
      </w:r>
      <w:proofErr w:type="gramStart"/>
      <w:r w:rsidRPr="001F4F18">
        <w:rPr>
          <w:rFonts w:ascii="MetaPro-Norm" w:hAnsi="MetaPro-Norm"/>
          <w:sz w:val="22"/>
          <w:szCs w:val="22"/>
        </w:rPr>
        <w:t>the overwhelming majority of</w:t>
      </w:r>
      <w:proofErr w:type="gramEnd"/>
      <w:r w:rsidRPr="001F4F18">
        <w:rPr>
          <w:rFonts w:ascii="MetaPro-Norm" w:hAnsi="MetaPro-Norm"/>
          <w:sz w:val="22"/>
          <w:szCs w:val="22"/>
        </w:rPr>
        <w:t xml:space="preserve"> cases perpetrators were male: 3,480 compared to 95 female perpetrators.</w:t>
      </w:r>
      <w:r w:rsidRPr="001F4F18">
        <w:rPr>
          <w:rStyle w:val="FootnoteReference"/>
          <w:rFonts w:ascii="MetaPro-Norm" w:hAnsi="MetaPro-Norm"/>
          <w:sz w:val="22"/>
          <w:szCs w:val="22"/>
        </w:rPr>
        <w:footnoteReference w:id="18"/>
      </w:r>
      <w:r w:rsidRPr="3F57A714">
        <w:rPr>
          <w:rFonts w:ascii="MetaPro-Norm" w:hAnsi="MetaPro-Norm"/>
          <w:sz w:val="22"/>
          <w:szCs w:val="22"/>
        </w:rPr>
        <w:t xml:space="preserve"> </w:t>
      </w:r>
    </w:p>
    <w:p w14:paraId="5AD87A95" w14:textId="77777777" w:rsidR="008961E0" w:rsidRPr="001F4F18" w:rsidRDefault="008961E0" w:rsidP="008961E0">
      <w:pPr>
        <w:shd w:val="clear" w:color="auto" w:fill="FFFFFF"/>
        <w:rPr>
          <w:rFonts w:ascii="MetaPro-Norm" w:hAnsi="MetaPro-Norm"/>
          <w:bCs/>
          <w:iCs/>
          <w:sz w:val="22"/>
          <w:szCs w:val="22"/>
        </w:rPr>
      </w:pPr>
    </w:p>
    <w:p w14:paraId="74F75131" w14:textId="44E48EA1" w:rsidR="008961E0" w:rsidRPr="001F4F18" w:rsidRDefault="008961E0" w:rsidP="008961E0">
      <w:pPr>
        <w:rPr>
          <w:rFonts w:ascii="MetaPro-Norm" w:hAnsi="MetaPro-Norm"/>
          <w:sz w:val="22"/>
          <w:szCs w:val="22"/>
        </w:rPr>
      </w:pPr>
      <w:r w:rsidRPr="001F4F18">
        <w:rPr>
          <w:rFonts w:ascii="MetaPro-Norm" w:hAnsi="MetaPro-Norm"/>
          <w:bCs/>
          <w:iCs/>
          <w:sz w:val="22"/>
          <w:szCs w:val="22"/>
        </w:rPr>
        <w:t xml:space="preserve">Human Rights Watch found </w:t>
      </w:r>
      <w:r w:rsidR="00BB7C35" w:rsidRPr="001F4F18">
        <w:rPr>
          <w:rFonts w:ascii="MetaPro-Norm" w:hAnsi="MetaPro-Norm"/>
          <w:bCs/>
          <w:iCs/>
          <w:sz w:val="22"/>
          <w:szCs w:val="22"/>
        </w:rPr>
        <w:t>s</w:t>
      </w:r>
      <w:r w:rsidRPr="001F4F18">
        <w:rPr>
          <w:rFonts w:ascii="MetaPro-Norm" w:hAnsi="MetaPro-Norm"/>
          <w:bCs/>
          <w:iCs/>
          <w:sz w:val="22"/>
          <w:szCs w:val="22"/>
        </w:rPr>
        <w:t xml:space="preserve">urvivors were not only deeply affected by sexual violence, but they sometimes also faced harassment, bullying and intimidation after they reported the abuses. </w:t>
      </w:r>
      <w:r w:rsidRPr="001F4F18">
        <w:rPr>
          <w:rFonts w:ascii="MetaPro-Norm" w:hAnsi="MetaPro-Norm"/>
          <w:sz w:val="22"/>
          <w:szCs w:val="22"/>
        </w:rPr>
        <w:t>Cases documented by Human Rights Watch show that reporting—which is mandatory</w:t>
      </w:r>
      <w:r w:rsidR="00751FD4">
        <w:rPr>
          <w:rFonts w:ascii="MetaPro-Norm" w:hAnsi="MetaPro-Norm"/>
          <w:sz w:val="22"/>
          <w:szCs w:val="22"/>
        </w:rPr>
        <w:t xml:space="preserve"> for all school staff</w:t>
      </w:r>
      <w:r w:rsidRPr="001F4F18">
        <w:rPr>
          <w:rFonts w:ascii="MetaPro-Norm" w:hAnsi="MetaPro-Norm"/>
          <w:sz w:val="22"/>
          <w:szCs w:val="22"/>
        </w:rPr>
        <w:t xml:space="preserve">—is still tied to the willingness of school staff to apply and follow all government protocols. Private schools do not appear to follow government protocols in a uniform way. </w:t>
      </w:r>
      <w:r w:rsidR="007F50C2">
        <w:rPr>
          <w:rFonts w:ascii="MetaPro-Norm" w:hAnsi="MetaPro-Norm"/>
          <w:bCs/>
          <w:iCs/>
          <w:sz w:val="22"/>
          <w:szCs w:val="22"/>
        </w:rPr>
        <w:t>Young survivors face re-traumatization in schools and in judicial institutions.</w:t>
      </w:r>
      <w:r w:rsidR="00AE2F02">
        <w:rPr>
          <w:rStyle w:val="FootnoteReference"/>
          <w:rFonts w:ascii="MetaPro-Norm" w:hAnsi="MetaPro-Norm"/>
          <w:bCs/>
          <w:iCs/>
          <w:sz w:val="22"/>
          <w:szCs w:val="22"/>
        </w:rPr>
        <w:footnoteReference w:id="19"/>
      </w:r>
    </w:p>
    <w:p w14:paraId="7EF14296" w14:textId="77777777" w:rsidR="008961E0" w:rsidRPr="001F4F18" w:rsidRDefault="008961E0" w:rsidP="008961E0">
      <w:pPr>
        <w:rPr>
          <w:rFonts w:ascii="MetaPro-Norm" w:hAnsi="MetaPro-Norm"/>
          <w:bCs/>
          <w:iCs/>
          <w:sz w:val="22"/>
          <w:szCs w:val="22"/>
        </w:rPr>
      </w:pPr>
    </w:p>
    <w:p w14:paraId="2ED4C3E1" w14:textId="77777777" w:rsidR="008961E0" w:rsidRPr="00F30F28" w:rsidRDefault="008961E0" w:rsidP="008961E0">
      <w:pPr>
        <w:rPr>
          <w:rFonts w:ascii="MetaPro-Norm" w:hAnsi="MetaPro-Norm"/>
          <w:i/>
          <w:iCs/>
          <w:sz w:val="22"/>
          <w:szCs w:val="22"/>
        </w:rPr>
      </w:pPr>
      <w:r w:rsidRPr="00F30F28">
        <w:rPr>
          <w:rFonts w:ascii="MetaPro-Norm" w:hAnsi="MetaPro-Norm"/>
          <w:i/>
          <w:iCs/>
          <w:sz w:val="22"/>
          <w:szCs w:val="22"/>
        </w:rPr>
        <w:t>Limited National Budget for Prevention of Sexual Violence, Teenage Pregnancy</w:t>
      </w:r>
    </w:p>
    <w:p w14:paraId="53A84A2C" w14:textId="77777777" w:rsidR="000601F0" w:rsidRDefault="000601F0" w:rsidP="008961E0">
      <w:pPr>
        <w:shd w:val="clear" w:color="auto" w:fill="FFFFFF"/>
        <w:rPr>
          <w:rFonts w:ascii="MetaPro-Norm" w:hAnsi="MetaPro-Norm"/>
          <w:sz w:val="22"/>
          <w:szCs w:val="22"/>
        </w:rPr>
      </w:pPr>
    </w:p>
    <w:p w14:paraId="723A47E8" w14:textId="5B2C1639" w:rsidR="008961E0" w:rsidRPr="001F4F18" w:rsidRDefault="008961E0" w:rsidP="008961E0">
      <w:pPr>
        <w:shd w:val="clear" w:color="auto" w:fill="FFFFFF"/>
        <w:rPr>
          <w:rFonts w:ascii="MetaPro-Norm" w:hAnsi="MetaPro-Norm"/>
          <w:bCs/>
          <w:iCs/>
          <w:sz w:val="22"/>
          <w:szCs w:val="22"/>
        </w:rPr>
      </w:pPr>
      <w:r w:rsidRPr="001F4F18">
        <w:rPr>
          <w:rFonts w:ascii="MetaPro-Norm" w:hAnsi="MetaPro-Norm"/>
          <w:sz w:val="22"/>
          <w:szCs w:val="22"/>
        </w:rPr>
        <w:t>Ecuador has not invested consistently in tackling school-related sexual and gender-based violence</w:t>
      </w:r>
      <w:r w:rsidRPr="3F57A714">
        <w:rPr>
          <w:rFonts w:ascii="MetaPro-Norm" w:hAnsi="MetaPro-Norm"/>
          <w:sz w:val="22"/>
          <w:szCs w:val="22"/>
        </w:rPr>
        <w:t>.</w:t>
      </w:r>
      <w:r w:rsidRPr="3F57A714">
        <w:rPr>
          <w:rStyle w:val="FootnoteReference"/>
          <w:rFonts w:ascii="MetaPro-Norm" w:hAnsi="MetaPro-Norm"/>
          <w:sz w:val="22"/>
          <w:szCs w:val="22"/>
        </w:rPr>
        <w:footnoteReference w:id="20"/>
      </w:r>
      <w:r w:rsidR="00972AEA" w:rsidRPr="3F57A714">
        <w:rPr>
          <w:rFonts w:ascii="MetaPro-Norm" w:hAnsi="MetaPro-Norm"/>
          <w:sz w:val="22"/>
          <w:szCs w:val="22"/>
        </w:rPr>
        <w:t xml:space="preserve"> </w:t>
      </w:r>
      <w:r w:rsidRPr="3F57A714">
        <w:rPr>
          <w:rFonts w:ascii="MetaPro-Norm" w:hAnsi="MetaPro-Norm"/>
          <w:sz w:val="22"/>
          <w:szCs w:val="22"/>
        </w:rPr>
        <w:t xml:space="preserve">In 2020, amid wider austerity-related cuts, the government cut its budget for its national plan to prevent gender-based violence by 84 percent, from $5.4 million to nearly $877,000, and cut the entire modest budget to implement its policy on the prevention of </w:t>
      </w:r>
      <w:r w:rsidRPr="3F57A714">
        <w:rPr>
          <w:rFonts w:ascii="MetaPro-Norm" w:hAnsi="MetaPro-Norm"/>
          <w:sz w:val="22"/>
          <w:szCs w:val="22"/>
        </w:rPr>
        <w:lastRenderedPageBreak/>
        <w:t>teenage pregnancies, halting the implementation of key initiatives.</w:t>
      </w:r>
      <w:r w:rsidRPr="3F57A714">
        <w:rPr>
          <w:rStyle w:val="FootnoteReference"/>
          <w:rFonts w:ascii="MetaPro-Norm" w:hAnsi="MetaPro-Norm"/>
          <w:sz w:val="22"/>
          <w:szCs w:val="22"/>
        </w:rPr>
        <w:footnoteReference w:id="21"/>
      </w:r>
      <w:r w:rsidRPr="3F57A714">
        <w:rPr>
          <w:rFonts w:ascii="MetaPro-Norm" w:hAnsi="MetaPro-Norm"/>
          <w:sz w:val="22"/>
          <w:szCs w:val="22"/>
        </w:rPr>
        <w:t xml:space="preserve"> Due to these cuts, the Ministry of Education had to spread thin its scarce resources to tackle sexual violence and the prevention of teenage pregnancies, according to former government officials interviewed by Human Rights Watch.</w:t>
      </w:r>
      <w:r w:rsidR="00CF51AB">
        <w:rPr>
          <w:rStyle w:val="FootnoteReference"/>
          <w:rFonts w:ascii="MetaPro-Norm" w:hAnsi="MetaPro-Norm"/>
          <w:sz w:val="22"/>
          <w:szCs w:val="22"/>
        </w:rPr>
        <w:footnoteReference w:id="22"/>
      </w:r>
    </w:p>
    <w:p w14:paraId="59D70E5D" w14:textId="77777777" w:rsidR="008961E0" w:rsidRPr="001F4F18" w:rsidRDefault="008961E0" w:rsidP="008961E0">
      <w:pPr>
        <w:rPr>
          <w:rFonts w:ascii="MetaPro-Norm" w:hAnsi="MetaPro-Norm"/>
          <w:sz w:val="22"/>
          <w:szCs w:val="22"/>
        </w:rPr>
      </w:pPr>
    </w:p>
    <w:p w14:paraId="005CBA4C" w14:textId="5FEC5707" w:rsidR="00991275" w:rsidRPr="000601F0" w:rsidDel="0029211E" w:rsidRDefault="008961E0" w:rsidP="00AE234D">
      <w:pPr>
        <w:rPr>
          <w:rFonts w:ascii="MetaPro-Norm" w:eastAsia="SimSun" w:hAnsi="MetaPro-Norm"/>
          <w:bCs/>
          <w:sz w:val="22"/>
          <w:szCs w:val="22"/>
          <w:lang w:eastAsia="zh-CN"/>
        </w:rPr>
      </w:pPr>
      <w:r w:rsidRPr="00F30F28">
        <w:rPr>
          <w:rFonts w:ascii="MetaPro-Norm" w:hAnsi="MetaPro-Norm"/>
          <w:bCs/>
          <w:i/>
          <w:sz w:val="22"/>
          <w:szCs w:val="22"/>
        </w:rPr>
        <w:t xml:space="preserve">Lack of Compulsory Comprehensive Sexuality Education </w:t>
      </w:r>
      <w:r w:rsidR="00B64A3D">
        <w:rPr>
          <w:rFonts w:ascii="MetaPro-Norm" w:hAnsi="MetaPro-Norm"/>
          <w:bCs/>
          <w:i/>
          <w:sz w:val="22"/>
          <w:szCs w:val="22"/>
        </w:rPr>
        <w:t>(CSE)</w:t>
      </w:r>
      <w:r w:rsidRPr="00F30F28">
        <w:rPr>
          <w:rFonts w:ascii="MetaPro-Norm" w:hAnsi="MetaPro-Norm"/>
          <w:bCs/>
          <w:i/>
          <w:sz w:val="22"/>
          <w:szCs w:val="22"/>
        </w:rPr>
        <w:t xml:space="preserve"> </w:t>
      </w:r>
    </w:p>
    <w:p w14:paraId="04A42C0F" w14:textId="0655E6C5" w:rsidR="008961E0" w:rsidRPr="001F4F18" w:rsidRDefault="008961E0" w:rsidP="008961E0">
      <w:pPr>
        <w:rPr>
          <w:rFonts w:ascii="MetaPro-Norm" w:hAnsi="MetaPro-Norm"/>
          <w:sz w:val="22"/>
          <w:szCs w:val="22"/>
        </w:rPr>
      </w:pPr>
      <w:r w:rsidRPr="001F4F18">
        <w:rPr>
          <w:rFonts w:ascii="MetaPro-Norm" w:hAnsi="MetaPro-Norm"/>
          <w:sz w:val="22"/>
          <w:szCs w:val="22"/>
        </w:rPr>
        <w:t>Historically, Ecuador’s focus on sexuality education has been piecemeal, and tied to the government’s effort to curb teenage pregnancies.</w:t>
      </w:r>
      <w:r w:rsidRPr="001F4F18">
        <w:rPr>
          <w:rFonts w:ascii="MetaPro-Norm" w:eastAsia="Arial Unicode MS" w:hAnsi="MetaPro-Norm" w:cs="Arial"/>
          <w:sz w:val="22"/>
          <w:szCs w:val="22"/>
          <w:vertAlign w:val="superscript"/>
        </w:rPr>
        <w:footnoteReference w:id="23"/>
      </w:r>
      <w:r w:rsidRPr="001F4F18">
        <w:rPr>
          <w:rFonts w:ascii="MetaPro-Norm" w:hAnsi="MetaPro-Norm"/>
          <w:sz w:val="22"/>
          <w:szCs w:val="22"/>
        </w:rPr>
        <w:t xml:space="preserve"> </w:t>
      </w:r>
    </w:p>
    <w:p w14:paraId="293AE9AF" w14:textId="77777777" w:rsidR="008961E0" w:rsidRPr="001F4F18" w:rsidRDefault="008961E0" w:rsidP="008961E0">
      <w:pPr>
        <w:rPr>
          <w:rFonts w:ascii="MetaPro-Norm" w:hAnsi="MetaPro-Norm"/>
          <w:sz w:val="22"/>
          <w:szCs w:val="22"/>
        </w:rPr>
      </w:pPr>
    </w:p>
    <w:p w14:paraId="542394D2" w14:textId="145FDBA5" w:rsidR="008961E0" w:rsidRPr="001F4F18" w:rsidRDefault="008961E0" w:rsidP="008961E0">
      <w:pPr>
        <w:rPr>
          <w:rFonts w:ascii="MetaPro-Norm" w:hAnsi="MetaPro-Norm"/>
          <w:sz w:val="22"/>
          <w:szCs w:val="22"/>
        </w:rPr>
      </w:pPr>
      <w:r w:rsidRPr="001F4F18">
        <w:rPr>
          <w:rFonts w:ascii="MetaPro-Norm" w:hAnsi="MetaPro-Norm"/>
          <w:sz w:val="22"/>
          <w:szCs w:val="22"/>
        </w:rPr>
        <w:t>In 2018, the government took some steps to tackle previous regressive policies, including by adopting a strategy and new guidance to prevent teenage pregnancies</w:t>
      </w:r>
      <w:r w:rsidR="00AA7454" w:rsidRPr="001F4F18">
        <w:rPr>
          <w:rFonts w:ascii="MetaPro-Norm" w:hAnsi="MetaPro-Norm"/>
          <w:sz w:val="22"/>
          <w:szCs w:val="22"/>
        </w:rPr>
        <w:t>.</w:t>
      </w:r>
      <w:r w:rsidRPr="001F4F18">
        <w:rPr>
          <w:rStyle w:val="FootnoteReference"/>
          <w:rFonts w:ascii="MetaPro-Norm" w:hAnsi="MetaPro-Norm"/>
          <w:sz w:val="22"/>
          <w:szCs w:val="22"/>
        </w:rPr>
        <w:footnoteReference w:id="24"/>
      </w:r>
      <w:r w:rsidR="00AA7454" w:rsidRPr="001F4F18">
        <w:rPr>
          <w:rFonts w:ascii="MetaPro-Norm" w:hAnsi="MetaPro-Norm"/>
          <w:sz w:val="22"/>
          <w:szCs w:val="22"/>
        </w:rPr>
        <w:t xml:space="preserve"> </w:t>
      </w:r>
      <w:r w:rsidRPr="001F4F18">
        <w:rPr>
          <w:rFonts w:ascii="MetaPro-Norm" w:hAnsi="MetaPro-Norm"/>
          <w:sz w:val="22"/>
          <w:szCs w:val="22"/>
        </w:rPr>
        <w:t>It also published guidance to tackle violence and discrimination against lesbian, gay, bisexual, and transgender (LGBT) and gender non-conforming students.</w:t>
      </w:r>
      <w:r w:rsidRPr="001F4F18">
        <w:rPr>
          <w:rStyle w:val="FootnoteReference"/>
          <w:rFonts w:ascii="MetaPro-Norm" w:hAnsi="MetaPro-Norm"/>
          <w:sz w:val="22"/>
          <w:szCs w:val="22"/>
        </w:rPr>
        <w:footnoteReference w:id="25"/>
      </w:r>
      <w:r w:rsidRPr="001F4F18">
        <w:rPr>
          <w:rFonts w:ascii="MetaPro-Norm" w:hAnsi="MetaPro-Norm"/>
          <w:sz w:val="22"/>
          <w:szCs w:val="22"/>
        </w:rPr>
        <w:t xml:space="preserve"> In 2019, the Ministry of Education incorporated more CSE-related material into the existing curriculum. Ecuador’s 2011 Organic Law on Intercultural Education states that the aims of education include free access to information about sexuality and sexual and reproductive rights to ensure responsible and informed decision-making.</w:t>
      </w:r>
      <w:r w:rsidRPr="001F4F18">
        <w:rPr>
          <w:rStyle w:val="FootnoteReference"/>
          <w:rFonts w:ascii="MetaPro-Norm" w:hAnsi="MetaPro-Norm"/>
          <w:sz w:val="22"/>
          <w:szCs w:val="22"/>
        </w:rPr>
        <w:footnoteReference w:id="26"/>
      </w:r>
      <w:r w:rsidR="008663D7" w:rsidRPr="008663D7">
        <w:rPr>
          <w:rFonts w:ascii="MetaPro-Norm" w:hAnsi="MetaPro-Norm"/>
          <w:sz w:val="22"/>
          <w:szCs w:val="22"/>
        </w:rPr>
        <w:t xml:space="preserve"> </w:t>
      </w:r>
      <w:r w:rsidR="008663D7" w:rsidRPr="001F4F18">
        <w:rPr>
          <w:rFonts w:ascii="MetaPro-Norm" w:hAnsi="MetaPro-Norm"/>
          <w:sz w:val="22"/>
          <w:szCs w:val="22"/>
        </w:rPr>
        <w:t>Yet, at present, existing content is not framed through a human rights lens.</w:t>
      </w:r>
    </w:p>
    <w:p w14:paraId="7411299B" w14:textId="77777777" w:rsidR="008961E0" w:rsidRPr="001F4F18" w:rsidRDefault="008961E0" w:rsidP="008961E0">
      <w:pPr>
        <w:rPr>
          <w:rFonts w:ascii="MetaPro-Norm" w:hAnsi="MetaPro-Norm"/>
          <w:sz w:val="22"/>
          <w:szCs w:val="22"/>
        </w:rPr>
      </w:pPr>
    </w:p>
    <w:p w14:paraId="3CF2D85E" w14:textId="3C7A0137" w:rsidR="008961E0" w:rsidRPr="003A5807" w:rsidRDefault="007D080D" w:rsidP="008961E0">
      <w:pPr>
        <w:rPr>
          <w:rFonts w:ascii="MetaPro-Norm" w:hAnsi="MetaPro-Norm"/>
          <w:sz w:val="22"/>
          <w:szCs w:val="22"/>
        </w:rPr>
      </w:pPr>
      <w:r>
        <w:rPr>
          <w:rFonts w:ascii="MetaPro-Norm" w:hAnsi="MetaPro-Norm"/>
          <w:sz w:val="22"/>
          <w:szCs w:val="22"/>
        </w:rPr>
        <w:t>The lack of CS</w:t>
      </w:r>
      <w:r w:rsidR="006925D5">
        <w:rPr>
          <w:rFonts w:ascii="MetaPro-Norm" w:hAnsi="MetaPro-Norm"/>
          <w:sz w:val="22"/>
          <w:szCs w:val="22"/>
        </w:rPr>
        <w:t xml:space="preserve">E makes children and adolescents vulnerable to sexual violence, including </w:t>
      </w:r>
      <w:proofErr w:type="gramStart"/>
      <w:r w:rsidR="003422ED">
        <w:rPr>
          <w:rFonts w:ascii="MetaPro-Norm" w:hAnsi="MetaPro-Norm"/>
          <w:sz w:val="22"/>
          <w:szCs w:val="22"/>
        </w:rPr>
        <w:t>on line</w:t>
      </w:r>
      <w:proofErr w:type="gramEnd"/>
      <w:r w:rsidR="006925D5">
        <w:rPr>
          <w:rFonts w:ascii="MetaPro-Norm" w:hAnsi="MetaPro-Norm"/>
          <w:sz w:val="22"/>
          <w:szCs w:val="22"/>
        </w:rPr>
        <w:t>.</w:t>
      </w:r>
      <w:r w:rsidR="008961E0" w:rsidRPr="001F4F18">
        <w:rPr>
          <w:rFonts w:ascii="MetaPro-Norm" w:hAnsi="MetaPro-Norm"/>
          <w:sz w:val="22"/>
          <w:szCs w:val="22"/>
        </w:rPr>
        <w:t xml:space="preserve"> </w:t>
      </w:r>
      <w:r w:rsidR="008961E0" w:rsidRPr="001F4F18">
        <w:rPr>
          <w:rFonts w:ascii="MetaPro-Norm" w:hAnsi="MetaPro-Norm"/>
          <w:sz w:val="22"/>
          <w:szCs w:val="22"/>
          <w:lang w:val="en-GB"/>
        </w:rPr>
        <w:t>Human Rights Watch’s analysis of Ministry of Education data shows that 30 percent of cases of sexual violence detected in schools are perpetrated by children.</w:t>
      </w:r>
      <w:r w:rsidR="008961E0" w:rsidRPr="001F4F18">
        <w:rPr>
          <w:rStyle w:val="FootnoteReference"/>
          <w:rFonts w:ascii="MetaPro-Norm" w:hAnsi="MetaPro-Norm"/>
          <w:sz w:val="22"/>
          <w:szCs w:val="22"/>
          <w:lang w:val="en-GB"/>
        </w:rPr>
        <w:footnoteReference w:id="27"/>
      </w:r>
      <w:r w:rsidR="008961E0" w:rsidRPr="001F4F18">
        <w:rPr>
          <w:rFonts w:ascii="MetaPro-Norm" w:hAnsi="MetaPro-Norm"/>
          <w:sz w:val="22"/>
          <w:szCs w:val="22"/>
          <w:lang w:val="en-GB"/>
        </w:rPr>
        <w:t xml:space="preserve"> The Prosecutor’s Office has registered complaints and conducted investigations involving children for rape, sexual abuse, and distribution of pornographic material to other students.</w:t>
      </w:r>
      <w:r w:rsidR="008961E0" w:rsidRPr="001F4F18">
        <w:rPr>
          <w:rStyle w:val="FootnoteReference"/>
          <w:rFonts w:ascii="MetaPro-Norm" w:hAnsi="MetaPro-Norm"/>
          <w:sz w:val="22"/>
          <w:szCs w:val="22"/>
          <w:lang w:val="en-GB"/>
        </w:rPr>
        <w:footnoteReference w:id="28"/>
      </w:r>
      <w:r w:rsidR="008961E0" w:rsidRPr="001F4F18">
        <w:rPr>
          <w:rFonts w:ascii="MetaPro-Norm" w:hAnsi="MetaPro-Norm"/>
          <w:sz w:val="22"/>
          <w:szCs w:val="22"/>
          <w:lang w:val="en-GB"/>
        </w:rPr>
        <w:t xml:space="preserve"> Human Rights Watch also found that between January 2015 and December 2019, the Prosecutor’s Office registered 342 cases where girls and boys had been contacted for sexual purposes using online or electronic media.</w:t>
      </w:r>
      <w:r w:rsidR="008961E0" w:rsidRPr="001F4F18">
        <w:rPr>
          <w:rStyle w:val="FootnoteReference"/>
          <w:rFonts w:ascii="MetaPro-Norm" w:hAnsi="MetaPro-Norm"/>
          <w:sz w:val="22"/>
          <w:szCs w:val="22"/>
          <w:lang w:val="en-GB"/>
        </w:rPr>
        <w:footnoteReference w:id="29"/>
      </w:r>
      <w:r w:rsidR="00A872F6">
        <w:rPr>
          <w:rFonts w:ascii="MetaPro-Norm" w:hAnsi="MetaPro-Norm"/>
          <w:sz w:val="22"/>
          <w:szCs w:val="22"/>
          <w:lang w:val="en-GB"/>
        </w:rPr>
        <w:t xml:space="preserve"> </w:t>
      </w:r>
      <w:r w:rsidR="008F5019">
        <w:rPr>
          <w:rFonts w:ascii="MetaPro-Norm" w:hAnsi="MetaPro-Norm"/>
          <w:sz w:val="22"/>
          <w:szCs w:val="22"/>
          <w:lang w:val="en-GB"/>
        </w:rPr>
        <w:t xml:space="preserve">During the pandemic, many </w:t>
      </w:r>
      <w:r w:rsidR="000506E3">
        <w:rPr>
          <w:rFonts w:ascii="MetaPro-Norm" w:hAnsi="MetaPro-Norm"/>
          <w:sz w:val="22"/>
          <w:szCs w:val="22"/>
          <w:lang w:val="en-GB"/>
        </w:rPr>
        <w:t xml:space="preserve">more </w:t>
      </w:r>
      <w:r w:rsidR="008F5019">
        <w:rPr>
          <w:rFonts w:ascii="MetaPro-Norm" w:hAnsi="MetaPro-Norm"/>
          <w:sz w:val="22"/>
          <w:szCs w:val="22"/>
          <w:lang w:val="en-GB"/>
        </w:rPr>
        <w:t xml:space="preserve">children and adolescents </w:t>
      </w:r>
      <w:r w:rsidR="006B1600">
        <w:rPr>
          <w:rFonts w:ascii="MetaPro-Norm" w:hAnsi="MetaPro-Norm"/>
          <w:sz w:val="22"/>
          <w:szCs w:val="22"/>
          <w:lang w:val="en-GB"/>
        </w:rPr>
        <w:t xml:space="preserve">are </w:t>
      </w:r>
      <w:r w:rsidR="006B1600">
        <w:rPr>
          <w:rFonts w:ascii="MetaPro-Norm" w:hAnsi="MetaPro-Norm"/>
          <w:sz w:val="22"/>
          <w:szCs w:val="22"/>
          <w:lang w:val="en-GB"/>
        </w:rPr>
        <w:lastRenderedPageBreak/>
        <w:t>using</w:t>
      </w:r>
      <w:r w:rsidR="008F5019">
        <w:rPr>
          <w:rFonts w:ascii="MetaPro-Norm" w:hAnsi="MetaPro-Norm"/>
          <w:sz w:val="22"/>
          <w:szCs w:val="22"/>
          <w:lang w:val="en-GB"/>
        </w:rPr>
        <w:t xml:space="preserve"> online platforms </w:t>
      </w:r>
      <w:r w:rsidR="00110FB9">
        <w:rPr>
          <w:rFonts w:ascii="MetaPro-Norm" w:hAnsi="MetaPro-Norm"/>
          <w:sz w:val="22"/>
          <w:szCs w:val="22"/>
          <w:lang w:val="en-GB"/>
        </w:rPr>
        <w:t>for learning and communicating with peers– this</w:t>
      </w:r>
      <w:r w:rsidR="00483E54">
        <w:rPr>
          <w:rFonts w:ascii="MetaPro-Norm" w:hAnsi="MetaPro-Norm"/>
          <w:sz w:val="22"/>
          <w:szCs w:val="22"/>
          <w:lang w:val="en-GB"/>
        </w:rPr>
        <w:t xml:space="preserve"> has</w:t>
      </w:r>
      <w:r w:rsidR="00110FB9">
        <w:rPr>
          <w:rFonts w:ascii="MetaPro-Norm" w:hAnsi="MetaPro-Norm"/>
          <w:sz w:val="22"/>
          <w:szCs w:val="22"/>
          <w:lang w:val="en-GB"/>
        </w:rPr>
        <w:t xml:space="preserve"> </w:t>
      </w:r>
      <w:r w:rsidR="00483E54">
        <w:rPr>
          <w:rFonts w:ascii="MetaPro-Norm" w:hAnsi="MetaPro-Norm"/>
          <w:sz w:val="22"/>
          <w:szCs w:val="22"/>
          <w:lang w:val="en-GB"/>
        </w:rPr>
        <w:t xml:space="preserve">increased their risk of </w:t>
      </w:r>
      <w:r w:rsidR="00296C29">
        <w:rPr>
          <w:rFonts w:ascii="MetaPro-Norm" w:hAnsi="MetaPro-Norm"/>
          <w:sz w:val="22"/>
          <w:szCs w:val="22"/>
          <w:lang w:val="en-GB"/>
        </w:rPr>
        <w:t xml:space="preserve">experiencing </w:t>
      </w:r>
      <w:r w:rsidR="00483E54">
        <w:rPr>
          <w:rFonts w:ascii="MetaPro-Norm" w:hAnsi="MetaPro-Norm"/>
          <w:sz w:val="22"/>
          <w:szCs w:val="22"/>
          <w:lang w:val="en-GB"/>
        </w:rPr>
        <w:t xml:space="preserve">online sexual exploitation, bullying </w:t>
      </w:r>
      <w:r w:rsidR="00296C29">
        <w:rPr>
          <w:rFonts w:ascii="MetaPro-Norm" w:hAnsi="MetaPro-Norm"/>
          <w:sz w:val="22"/>
          <w:szCs w:val="22"/>
          <w:lang w:val="en-GB"/>
        </w:rPr>
        <w:t>and other cyber-related crimes.</w:t>
      </w:r>
      <w:r w:rsidR="00296C29">
        <w:rPr>
          <w:rStyle w:val="FootnoteReference"/>
          <w:rFonts w:ascii="MetaPro-Norm" w:hAnsi="MetaPro-Norm"/>
          <w:sz w:val="22"/>
          <w:szCs w:val="22"/>
          <w:lang w:val="en-GB"/>
        </w:rPr>
        <w:footnoteReference w:id="30"/>
      </w:r>
    </w:p>
    <w:p w14:paraId="1AE69890" w14:textId="77777777" w:rsidR="008961E0" w:rsidRPr="001F4F18" w:rsidRDefault="008961E0" w:rsidP="008961E0">
      <w:pPr>
        <w:rPr>
          <w:rFonts w:ascii="MetaPro-Norm" w:hAnsi="MetaPro-Norm"/>
          <w:sz w:val="22"/>
          <w:szCs w:val="22"/>
          <w:lang w:val="en-GB"/>
        </w:rPr>
      </w:pPr>
    </w:p>
    <w:p w14:paraId="1B7795AB" w14:textId="5ACA3864" w:rsidR="008961E0" w:rsidRPr="001F4F18" w:rsidRDefault="008961E0" w:rsidP="008961E0">
      <w:pPr>
        <w:spacing w:line="264" w:lineRule="auto"/>
        <w:rPr>
          <w:rFonts w:ascii="MetaPro-Norm" w:eastAsia="SimSun" w:hAnsi="MetaPro-Norm"/>
          <w:sz w:val="22"/>
          <w:szCs w:val="22"/>
          <w:lang w:eastAsia="zh-CN"/>
        </w:rPr>
      </w:pPr>
      <w:r w:rsidRPr="001F4F18">
        <w:rPr>
          <w:rFonts w:ascii="MetaPro-Norm" w:eastAsia="SimSun" w:hAnsi="MetaPro-Norm"/>
          <w:sz w:val="22"/>
          <w:szCs w:val="22"/>
          <w:lang w:eastAsia="zh-CN"/>
        </w:rPr>
        <w:t xml:space="preserve">Human Rights Watch has also found, in its research on girls and young adult women prosecuted for abortion, that the lack of CSE in Ecuador’s schools and the criminalization of abortion, blocks girls and women from accessing information about reproductive health and abortion. In many cases, girls lack a basic understanding of contraceptive methods. Human Rights Watch found cases where girls used misoprostol </w:t>
      </w:r>
      <w:r w:rsidRPr="001F4F18">
        <w:rPr>
          <w:rFonts w:ascii="MetaPro-Norm" w:hAnsi="MetaPro-Norm"/>
          <w:sz w:val="22"/>
          <w:szCs w:val="22"/>
        </w:rPr>
        <w:t xml:space="preserve">as </w:t>
      </w:r>
      <w:r w:rsidRPr="001F4F18">
        <w:rPr>
          <w:rFonts w:ascii="MetaPro-Norm" w:eastAsia="SimSun" w:hAnsi="MetaPro-Norm"/>
          <w:sz w:val="22"/>
          <w:szCs w:val="22"/>
          <w:lang w:eastAsia="zh-CN"/>
        </w:rPr>
        <w:t xml:space="preserve">a contraceptive method or to “regulate irregular menstrual </w:t>
      </w:r>
      <w:r w:rsidRPr="001F4F18" w:rsidDel="0029211E">
        <w:rPr>
          <w:rFonts w:ascii="MetaPro-Norm" w:eastAsia="SimSun" w:hAnsi="MetaPro-Norm"/>
          <w:sz w:val="22"/>
          <w:szCs w:val="22"/>
          <w:lang w:eastAsia="zh-CN"/>
        </w:rPr>
        <w:t>periods.”</w:t>
      </w:r>
      <w:r w:rsidRPr="001F4F18" w:rsidDel="0029211E">
        <w:rPr>
          <w:rFonts w:ascii="MetaPro-Norm" w:eastAsia="SimSun" w:hAnsi="MetaPro-Norm"/>
          <w:sz w:val="22"/>
          <w:szCs w:val="22"/>
          <w:vertAlign w:val="superscript"/>
          <w:lang w:eastAsia="zh-CN"/>
        </w:rPr>
        <w:footnoteReference w:id="31"/>
      </w:r>
      <w:r w:rsidRPr="001F4F18" w:rsidDel="0029211E">
        <w:rPr>
          <w:rFonts w:ascii="MetaPro-Norm" w:eastAsia="SimSun" w:hAnsi="MetaPro-Norm"/>
          <w:sz w:val="22"/>
          <w:szCs w:val="22"/>
          <w:lang w:eastAsia="zh-CN"/>
        </w:rPr>
        <w:t xml:space="preserve"> Others said they had asked in a pharmacy, or asked friends, for a pill “so that my period would come.”</w:t>
      </w:r>
      <w:r w:rsidRPr="001F4F18" w:rsidDel="0029211E">
        <w:rPr>
          <w:rFonts w:ascii="MetaPro-Norm" w:eastAsia="SimSun" w:hAnsi="MetaPro-Norm"/>
          <w:sz w:val="22"/>
          <w:szCs w:val="22"/>
          <w:vertAlign w:val="superscript"/>
          <w:lang w:eastAsia="zh-CN"/>
        </w:rPr>
        <w:footnoteReference w:id="32"/>
      </w:r>
      <w:r w:rsidRPr="001F4F18" w:rsidDel="0029211E">
        <w:rPr>
          <w:rFonts w:ascii="MetaPro-Norm" w:eastAsia="SimSun" w:hAnsi="MetaPro-Norm"/>
          <w:sz w:val="22"/>
          <w:szCs w:val="22"/>
          <w:lang w:eastAsia="zh-CN"/>
        </w:rPr>
        <w:t xml:space="preserve"> </w:t>
      </w:r>
    </w:p>
    <w:p w14:paraId="7DECD899" w14:textId="023E681C" w:rsidR="001C721E" w:rsidRPr="001F4F18" w:rsidRDefault="001C721E" w:rsidP="008961E0">
      <w:pPr>
        <w:spacing w:line="264" w:lineRule="auto"/>
        <w:rPr>
          <w:rFonts w:ascii="MetaPro-Norm" w:eastAsia="SimSun" w:hAnsi="MetaPro-Norm"/>
          <w:sz w:val="22"/>
          <w:szCs w:val="22"/>
          <w:lang w:eastAsia="zh-CN"/>
        </w:rPr>
      </w:pPr>
    </w:p>
    <w:p w14:paraId="627B6F0B" w14:textId="77777777" w:rsidR="001C721E" w:rsidRPr="001F4F18" w:rsidRDefault="001C721E" w:rsidP="001C721E">
      <w:pPr>
        <w:rPr>
          <w:rFonts w:ascii="MetaPro-Norm" w:hAnsi="MetaPro-Norm"/>
          <w:i/>
          <w:iCs/>
          <w:sz w:val="22"/>
          <w:szCs w:val="22"/>
        </w:rPr>
      </w:pPr>
      <w:r w:rsidRPr="001F4F18">
        <w:rPr>
          <w:rFonts w:ascii="MetaPro-Norm" w:hAnsi="MetaPro-Norm"/>
          <w:i/>
          <w:iCs/>
          <w:sz w:val="22"/>
          <w:szCs w:val="22"/>
        </w:rPr>
        <w:t xml:space="preserve">Human Rights Watch recommends that the Committee call on the government of Ecuador to: </w:t>
      </w:r>
    </w:p>
    <w:p w14:paraId="41F7AFBB" w14:textId="77777777" w:rsidR="0020755E" w:rsidRPr="001F4F18" w:rsidRDefault="0020755E" w:rsidP="004E5390">
      <w:pPr>
        <w:spacing w:line="264" w:lineRule="auto"/>
        <w:rPr>
          <w:rFonts w:ascii="MetaPro-Norm" w:hAnsi="MetaPro-Norm"/>
          <w:sz w:val="22"/>
          <w:szCs w:val="22"/>
          <w:lang w:val="en-GB"/>
        </w:rPr>
      </w:pPr>
    </w:p>
    <w:p w14:paraId="67FC7EFC" w14:textId="6CFBEE39" w:rsidR="002752B0" w:rsidRPr="001F4F18" w:rsidRDefault="002752B0" w:rsidP="002752B0">
      <w:pPr>
        <w:numPr>
          <w:ilvl w:val="0"/>
          <w:numId w:val="1"/>
        </w:numPr>
        <w:spacing w:line="264" w:lineRule="auto"/>
        <w:rPr>
          <w:rFonts w:ascii="MetaPro-Norm" w:hAnsi="MetaPro-Norm"/>
          <w:sz w:val="22"/>
          <w:szCs w:val="22"/>
          <w:lang w:val="en-GB"/>
        </w:rPr>
      </w:pPr>
      <w:r w:rsidRPr="001F4F18">
        <w:rPr>
          <w:rFonts w:ascii="MetaPro-Norm" w:hAnsi="MetaPro-Norm"/>
          <w:sz w:val="22"/>
          <w:szCs w:val="22"/>
          <w:lang w:val="en-GB"/>
        </w:rPr>
        <w:t xml:space="preserve">Ensure implementation of the Inter-American Court of Human Rights’ decision in the case of </w:t>
      </w:r>
      <w:r w:rsidRPr="00597637">
        <w:rPr>
          <w:rFonts w:ascii="MetaPro-Norm" w:hAnsi="MetaPro-Norm"/>
          <w:i/>
          <w:sz w:val="22"/>
          <w:szCs w:val="22"/>
          <w:lang w:val="en-GB"/>
        </w:rPr>
        <w:t xml:space="preserve">Paola Guzmán </w:t>
      </w:r>
      <w:proofErr w:type="spellStart"/>
      <w:r w:rsidRPr="00597637">
        <w:rPr>
          <w:rFonts w:ascii="MetaPro-Norm" w:hAnsi="MetaPro-Norm"/>
          <w:i/>
          <w:sz w:val="22"/>
          <w:szCs w:val="22"/>
          <w:lang w:val="en-GB"/>
        </w:rPr>
        <w:t>Albarracín</w:t>
      </w:r>
      <w:proofErr w:type="spellEnd"/>
      <w:r w:rsidRPr="00597637">
        <w:rPr>
          <w:rFonts w:ascii="MetaPro-Norm" w:hAnsi="MetaPro-Norm"/>
          <w:i/>
          <w:sz w:val="22"/>
          <w:szCs w:val="22"/>
          <w:lang w:val="en-GB"/>
        </w:rPr>
        <w:t xml:space="preserve"> v Ecuador</w:t>
      </w:r>
      <w:r w:rsidRPr="001F4F18">
        <w:rPr>
          <w:rFonts w:ascii="MetaPro-Norm" w:hAnsi="MetaPro-Norm"/>
          <w:sz w:val="22"/>
          <w:szCs w:val="22"/>
          <w:lang w:val="en-GB"/>
        </w:rPr>
        <w:t xml:space="preserve">, including by establishing a coordination mechanism among the Ministry of Education, the Ministry of Social Inclusion, Secretary of Human Rights and Attorney General’s Office, </w:t>
      </w:r>
      <w:r w:rsidR="003F2A4B">
        <w:rPr>
          <w:rFonts w:ascii="MetaPro-Norm" w:hAnsi="MetaPro-Norm"/>
          <w:sz w:val="22"/>
          <w:szCs w:val="22"/>
          <w:lang w:val="en-GB"/>
        </w:rPr>
        <w:t>and</w:t>
      </w:r>
      <w:r w:rsidRPr="001F4F18">
        <w:rPr>
          <w:rFonts w:ascii="MetaPro-Norm" w:hAnsi="MetaPro-Norm"/>
          <w:sz w:val="22"/>
          <w:szCs w:val="22"/>
          <w:lang w:val="en-GB"/>
        </w:rPr>
        <w:t>:</w:t>
      </w:r>
    </w:p>
    <w:p w14:paraId="5CA08541" w14:textId="5708797B" w:rsidR="002752B0" w:rsidRPr="001F4F18" w:rsidRDefault="002752B0" w:rsidP="002752B0">
      <w:pPr>
        <w:numPr>
          <w:ilvl w:val="1"/>
          <w:numId w:val="1"/>
        </w:numPr>
        <w:spacing w:line="264" w:lineRule="auto"/>
        <w:rPr>
          <w:rFonts w:ascii="MetaPro-Norm" w:hAnsi="MetaPro-Norm"/>
          <w:sz w:val="22"/>
          <w:szCs w:val="22"/>
          <w:lang w:val="en-GB"/>
        </w:rPr>
      </w:pPr>
      <w:r w:rsidRPr="3F57A714">
        <w:rPr>
          <w:rFonts w:ascii="MetaPro-Norm" w:hAnsi="MetaPro-Norm"/>
          <w:sz w:val="22"/>
          <w:szCs w:val="22"/>
          <w:lang w:val="en-GB"/>
        </w:rPr>
        <w:t>Regularly collect</w:t>
      </w:r>
      <w:r w:rsidR="003422ED">
        <w:rPr>
          <w:rFonts w:ascii="MetaPro-Norm" w:hAnsi="MetaPro-Norm"/>
          <w:sz w:val="22"/>
          <w:szCs w:val="22"/>
          <w:lang w:val="en-GB"/>
        </w:rPr>
        <w:t>ing</w:t>
      </w:r>
      <w:r w:rsidRPr="3F57A714">
        <w:rPr>
          <w:rFonts w:ascii="MetaPro-Norm" w:hAnsi="MetaPro-Norm"/>
          <w:sz w:val="22"/>
          <w:szCs w:val="22"/>
          <w:lang w:val="en-GB"/>
        </w:rPr>
        <w:t xml:space="preserve"> </w:t>
      </w:r>
      <w:r w:rsidR="000D665D" w:rsidRPr="3F57A714">
        <w:rPr>
          <w:rFonts w:ascii="MetaPro-Norm" w:hAnsi="MetaPro-Norm"/>
          <w:sz w:val="22"/>
          <w:szCs w:val="22"/>
          <w:lang w:val="en-GB"/>
        </w:rPr>
        <w:t>data on school-related cases of sexual violence, teenage pregnancy</w:t>
      </w:r>
      <w:r w:rsidR="000D665D">
        <w:rPr>
          <w:rFonts w:ascii="MetaPro-Norm" w:hAnsi="MetaPro-Norm"/>
          <w:sz w:val="22"/>
          <w:szCs w:val="22"/>
          <w:lang w:val="en-GB"/>
        </w:rPr>
        <w:t>,</w:t>
      </w:r>
      <w:r w:rsidR="000D665D" w:rsidRPr="3F57A714">
        <w:rPr>
          <w:rFonts w:ascii="MetaPro-Norm" w:hAnsi="MetaPro-Norm"/>
          <w:sz w:val="22"/>
          <w:szCs w:val="22"/>
          <w:lang w:val="en-GB"/>
        </w:rPr>
        <w:t xml:space="preserve"> and abortion </w:t>
      </w:r>
      <w:r w:rsidRPr="3F57A714">
        <w:rPr>
          <w:rFonts w:ascii="MetaPro-Norm" w:hAnsi="MetaPro-Norm"/>
          <w:sz w:val="22"/>
          <w:szCs w:val="22"/>
          <w:lang w:val="en-GB"/>
        </w:rPr>
        <w:t>and publish</w:t>
      </w:r>
      <w:r w:rsidR="003422ED">
        <w:rPr>
          <w:rFonts w:ascii="MetaPro-Norm" w:hAnsi="MetaPro-Norm"/>
          <w:sz w:val="22"/>
          <w:szCs w:val="22"/>
          <w:lang w:val="en-GB"/>
        </w:rPr>
        <w:t>ing it</w:t>
      </w:r>
      <w:r w:rsidRPr="3F57A714">
        <w:rPr>
          <w:rFonts w:ascii="MetaPro-Norm" w:hAnsi="MetaPro-Norm"/>
          <w:sz w:val="22"/>
          <w:szCs w:val="22"/>
          <w:lang w:val="en-GB"/>
        </w:rPr>
        <w:t xml:space="preserve"> on the </w:t>
      </w:r>
      <w:r w:rsidR="000D665D">
        <w:rPr>
          <w:rFonts w:ascii="MetaPro-Norm" w:hAnsi="MetaPro-Norm"/>
          <w:sz w:val="22"/>
          <w:szCs w:val="22"/>
          <w:lang w:val="en-GB"/>
        </w:rPr>
        <w:t xml:space="preserve">websites of the </w:t>
      </w:r>
      <w:r w:rsidRPr="3F57A714">
        <w:rPr>
          <w:rFonts w:ascii="MetaPro-Norm" w:hAnsi="MetaPro-Norm"/>
          <w:sz w:val="22"/>
          <w:szCs w:val="22"/>
          <w:lang w:val="en-GB"/>
        </w:rPr>
        <w:t>Ministr</w:t>
      </w:r>
      <w:r w:rsidR="000D665D">
        <w:rPr>
          <w:rFonts w:ascii="MetaPro-Norm" w:hAnsi="MetaPro-Norm"/>
          <w:sz w:val="22"/>
          <w:szCs w:val="22"/>
          <w:lang w:val="en-GB"/>
        </w:rPr>
        <w:t>ies</w:t>
      </w:r>
      <w:r w:rsidRPr="3F57A714">
        <w:rPr>
          <w:rFonts w:ascii="MetaPro-Norm" w:hAnsi="MetaPro-Norm"/>
          <w:sz w:val="22"/>
          <w:szCs w:val="22"/>
          <w:lang w:val="en-GB"/>
        </w:rPr>
        <w:t xml:space="preserve"> of </w:t>
      </w:r>
      <w:r w:rsidR="4F563713" w:rsidRPr="3F57A714">
        <w:rPr>
          <w:rFonts w:ascii="MetaPro-Norm" w:hAnsi="MetaPro-Norm"/>
          <w:sz w:val="22"/>
          <w:szCs w:val="22"/>
          <w:lang w:val="en-GB"/>
        </w:rPr>
        <w:t>Education</w:t>
      </w:r>
      <w:r w:rsidRPr="3F57A714">
        <w:rPr>
          <w:rFonts w:ascii="MetaPro-Norm" w:hAnsi="MetaPro-Norm"/>
          <w:sz w:val="22"/>
          <w:szCs w:val="22"/>
          <w:lang w:val="en-GB"/>
        </w:rPr>
        <w:t xml:space="preserve"> </w:t>
      </w:r>
      <w:r w:rsidR="709D0994" w:rsidRPr="3F57A714">
        <w:rPr>
          <w:rFonts w:ascii="MetaPro-Norm" w:hAnsi="MetaPro-Norm"/>
          <w:sz w:val="22"/>
          <w:szCs w:val="22"/>
          <w:lang w:val="en-GB"/>
        </w:rPr>
        <w:t>and Health</w:t>
      </w:r>
      <w:r w:rsidRPr="3F57A714">
        <w:rPr>
          <w:rFonts w:ascii="MetaPro-Norm" w:hAnsi="MetaPro-Norm"/>
          <w:sz w:val="22"/>
          <w:szCs w:val="22"/>
          <w:lang w:val="en-GB"/>
        </w:rPr>
        <w:t>.</w:t>
      </w:r>
    </w:p>
    <w:p w14:paraId="1524E42F" w14:textId="29E2BEAE" w:rsidR="002752B0" w:rsidRPr="001F4F18" w:rsidRDefault="002752B0" w:rsidP="002752B0">
      <w:pPr>
        <w:numPr>
          <w:ilvl w:val="1"/>
          <w:numId w:val="1"/>
        </w:numPr>
        <w:spacing w:line="264" w:lineRule="auto"/>
        <w:rPr>
          <w:rFonts w:ascii="MetaPro-Norm" w:hAnsi="MetaPro-Norm"/>
          <w:sz w:val="22"/>
          <w:szCs w:val="22"/>
          <w:lang w:val="en-GB"/>
        </w:rPr>
      </w:pPr>
      <w:r w:rsidRPr="3F57A714">
        <w:rPr>
          <w:rFonts w:ascii="MetaPro-Norm" w:hAnsi="MetaPro-Norm"/>
          <w:sz w:val="22"/>
          <w:szCs w:val="22"/>
          <w:lang w:val="en-GB"/>
        </w:rPr>
        <w:t>A</w:t>
      </w:r>
      <w:proofErr w:type="spellStart"/>
      <w:r w:rsidRPr="3F57A714">
        <w:rPr>
          <w:rFonts w:ascii="MetaPro-Norm" w:hAnsi="MetaPro-Norm"/>
          <w:sz w:val="22"/>
          <w:szCs w:val="22"/>
        </w:rPr>
        <w:t>dopt</w:t>
      </w:r>
      <w:r w:rsidR="003422ED">
        <w:rPr>
          <w:rFonts w:ascii="MetaPro-Norm" w:hAnsi="MetaPro-Norm"/>
          <w:sz w:val="22"/>
          <w:szCs w:val="22"/>
        </w:rPr>
        <w:t>ing</w:t>
      </w:r>
      <w:proofErr w:type="spellEnd"/>
      <w:r w:rsidRPr="3F57A714">
        <w:rPr>
          <w:rFonts w:ascii="MetaPro-Norm" w:hAnsi="MetaPro-Norm"/>
          <w:sz w:val="22"/>
          <w:szCs w:val="22"/>
        </w:rPr>
        <w:t xml:space="preserve"> age-appropriate comprehensive sexuality education and ensure it is a mandatory subject that is accessible to all students.</w:t>
      </w:r>
    </w:p>
    <w:p w14:paraId="10DF41BA" w14:textId="5E22A284" w:rsidR="001C721E" w:rsidRPr="001F4F18" w:rsidRDefault="001C721E" w:rsidP="001C721E">
      <w:pPr>
        <w:pStyle w:val="ListParagraph"/>
        <w:numPr>
          <w:ilvl w:val="0"/>
          <w:numId w:val="1"/>
        </w:numPr>
        <w:rPr>
          <w:rFonts w:ascii="MetaPro-Norm" w:hAnsi="MetaPro-Norm"/>
        </w:rPr>
      </w:pPr>
      <w:r w:rsidRPr="001F4F18">
        <w:rPr>
          <w:rFonts w:ascii="MetaPro-Norm" w:hAnsi="MetaPro-Norm"/>
        </w:rPr>
        <w:t>Allocate adequate resources to prevent and tackle school-related sexual violence</w:t>
      </w:r>
      <w:r w:rsidR="000506E3">
        <w:rPr>
          <w:rFonts w:ascii="MetaPro-Norm" w:hAnsi="MetaPro-Norm"/>
        </w:rPr>
        <w:t>, including digital or tech-enabled sexual violence</w:t>
      </w:r>
      <w:r w:rsidR="004C43E4" w:rsidRPr="001F4F18">
        <w:rPr>
          <w:rFonts w:ascii="MetaPro-Norm" w:hAnsi="MetaPro-Norm"/>
        </w:rPr>
        <w:t xml:space="preserve">. </w:t>
      </w:r>
    </w:p>
    <w:p w14:paraId="5CAC0BEC" w14:textId="77777777" w:rsidR="00F004FF" w:rsidRPr="001F4F18" w:rsidRDefault="00F004FF" w:rsidP="008961E0">
      <w:pPr>
        <w:spacing w:line="264" w:lineRule="auto"/>
        <w:rPr>
          <w:rFonts w:ascii="MetaPro-Norm" w:eastAsia="SimSun" w:hAnsi="MetaPro-Norm"/>
          <w:sz w:val="22"/>
          <w:szCs w:val="22"/>
          <w:lang w:eastAsia="zh-CN"/>
        </w:rPr>
      </w:pPr>
    </w:p>
    <w:sectPr w:rsidR="00F004FF" w:rsidRPr="001F4F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E5D2" w14:textId="77777777" w:rsidR="007532FB" w:rsidRDefault="007532FB" w:rsidP="008961E0">
      <w:r>
        <w:separator/>
      </w:r>
    </w:p>
  </w:endnote>
  <w:endnote w:type="continuationSeparator" w:id="0">
    <w:p w14:paraId="75ED6924" w14:textId="77777777" w:rsidR="007532FB" w:rsidRDefault="007532FB" w:rsidP="008961E0">
      <w:r>
        <w:continuationSeparator/>
      </w:r>
    </w:p>
  </w:endnote>
  <w:endnote w:type="continuationNotice" w:id="1">
    <w:p w14:paraId="60CD7C9C" w14:textId="77777777" w:rsidR="007532FB" w:rsidRDefault="00753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riaArabic-Bold">
    <w:panose1 w:val="02000000000000000000"/>
    <w:charset w:val="00"/>
    <w:family w:val="modern"/>
    <w:notTrueType/>
    <w:pitch w:val="variable"/>
    <w:sig w:usb0="A00020AF" w:usb1="D000A05A" w:usb2="00000008" w:usb3="00000000" w:csb0="0000015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97421"/>
      <w:docPartObj>
        <w:docPartGallery w:val="Page Numbers (Bottom of Page)"/>
        <w:docPartUnique/>
      </w:docPartObj>
    </w:sdtPr>
    <w:sdtEndPr>
      <w:rPr>
        <w:rFonts w:ascii="MetaPro-Norm" w:hAnsi="MetaPro-Norm"/>
        <w:noProof/>
        <w:sz w:val="16"/>
        <w:szCs w:val="16"/>
      </w:rPr>
    </w:sdtEndPr>
    <w:sdtContent>
      <w:p w14:paraId="495AAC53" w14:textId="77777777" w:rsidR="002A3B39" w:rsidRPr="00592C6A" w:rsidRDefault="000A69C9">
        <w:pPr>
          <w:pStyle w:val="Footer"/>
          <w:jc w:val="center"/>
          <w:rPr>
            <w:rFonts w:ascii="MetaPro-Norm" w:hAnsi="MetaPro-Norm"/>
            <w:sz w:val="16"/>
            <w:szCs w:val="16"/>
          </w:rPr>
        </w:pPr>
        <w:r w:rsidRPr="00592C6A">
          <w:rPr>
            <w:rFonts w:ascii="MetaPro-Norm" w:hAnsi="MetaPro-Norm"/>
            <w:sz w:val="16"/>
            <w:szCs w:val="16"/>
          </w:rPr>
          <w:fldChar w:fldCharType="begin"/>
        </w:r>
        <w:r w:rsidRPr="00592C6A">
          <w:rPr>
            <w:rFonts w:ascii="MetaPro-Norm" w:hAnsi="MetaPro-Norm"/>
            <w:sz w:val="16"/>
            <w:szCs w:val="16"/>
          </w:rPr>
          <w:instrText xml:space="preserve"> PAGE   \* MERGEFORMAT </w:instrText>
        </w:r>
        <w:r w:rsidRPr="00592C6A">
          <w:rPr>
            <w:rFonts w:ascii="MetaPro-Norm" w:hAnsi="MetaPro-Norm"/>
            <w:sz w:val="16"/>
            <w:szCs w:val="16"/>
          </w:rPr>
          <w:fldChar w:fldCharType="separate"/>
        </w:r>
        <w:r w:rsidRPr="00592C6A">
          <w:rPr>
            <w:rFonts w:ascii="MetaPro-Norm" w:hAnsi="MetaPro-Norm"/>
            <w:noProof/>
            <w:sz w:val="16"/>
            <w:szCs w:val="16"/>
          </w:rPr>
          <w:t>2</w:t>
        </w:r>
        <w:r w:rsidRPr="00592C6A">
          <w:rPr>
            <w:rFonts w:ascii="MetaPro-Norm" w:hAnsi="MetaPro-Norm"/>
            <w:noProof/>
            <w:sz w:val="16"/>
            <w:szCs w:val="16"/>
          </w:rPr>
          <w:fldChar w:fldCharType="end"/>
        </w:r>
      </w:p>
    </w:sdtContent>
  </w:sdt>
  <w:p w14:paraId="3691CF0F" w14:textId="77777777" w:rsidR="002A3B39" w:rsidRDefault="002A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5352" w14:textId="77777777" w:rsidR="007532FB" w:rsidRDefault="007532FB" w:rsidP="008961E0">
      <w:r>
        <w:separator/>
      </w:r>
    </w:p>
  </w:footnote>
  <w:footnote w:type="continuationSeparator" w:id="0">
    <w:p w14:paraId="2BE6B503" w14:textId="77777777" w:rsidR="007532FB" w:rsidRDefault="007532FB" w:rsidP="008961E0">
      <w:r>
        <w:continuationSeparator/>
      </w:r>
    </w:p>
  </w:footnote>
  <w:footnote w:type="continuationNotice" w:id="1">
    <w:p w14:paraId="3AE4E53E" w14:textId="77777777" w:rsidR="007532FB" w:rsidRDefault="007532FB"/>
  </w:footnote>
  <w:footnote w:id="2">
    <w:p w14:paraId="1208E5B5" w14:textId="77777777" w:rsidR="002A53EB" w:rsidRPr="004011F7" w:rsidRDefault="002A53EB" w:rsidP="002A53EB">
      <w:pPr>
        <w:pStyle w:val="FootnoteText"/>
        <w:rPr>
          <w:rFonts w:ascii="MetaPro-Norm" w:hAnsi="MetaPro-Norm" w:cstheme="majorHAnsi"/>
          <w:color w:val="000000"/>
          <w:sz w:val="16"/>
          <w:szCs w:val="16"/>
        </w:rPr>
      </w:pPr>
      <w:r w:rsidRPr="004011F7">
        <w:rPr>
          <w:rStyle w:val="FootnoteReference"/>
          <w:rFonts w:ascii="MetaPro-Norm" w:hAnsi="MetaPro-Norm" w:cstheme="majorHAnsi"/>
          <w:color w:val="000000"/>
          <w:sz w:val="16"/>
          <w:szCs w:val="16"/>
        </w:rPr>
        <w:footnoteRef/>
      </w:r>
      <w:r w:rsidRPr="004011F7">
        <w:rPr>
          <w:rFonts w:ascii="MetaPro-Norm" w:hAnsi="MetaPro-Norm" w:cstheme="majorHAnsi"/>
          <w:color w:val="000000"/>
          <w:sz w:val="16"/>
          <w:szCs w:val="16"/>
        </w:rPr>
        <w:t xml:space="preserve"> This is a case of the 148 cases </w:t>
      </w:r>
      <w:proofErr w:type="spellStart"/>
      <w:r w:rsidRPr="004011F7">
        <w:rPr>
          <w:rFonts w:ascii="MetaPro-Norm" w:hAnsi="MetaPro-Norm" w:cstheme="majorHAnsi"/>
          <w:color w:val="000000"/>
          <w:sz w:val="16"/>
          <w:szCs w:val="16"/>
        </w:rPr>
        <w:t>analyzed</w:t>
      </w:r>
      <w:proofErr w:type="spellEnd"/>
      <w:r w:rsidRPr="004011F7">
        <w:rPr>
          <w:rFonts w:ascii="MetaPro-Norm" w:hAnsi="MetaPro-Norm" w:cstheme="majorHAnsi"/>
          <w:color w:val="000000"/>
          <w:sz w:val="16"/>
          <w:szCs w:val="16"/>
        </w:rPr>
        <w:t xml:space="preserve"> by Human Rights Watch. This case is from 2014.</w:t>
      </w:r>
    </w:p>
  </w:footnote>
  <w:footnote w:id="3">
    <w:p w14:paraId="7A611D54" w14:textId="77777777" w:rsidR="002A53EB" w:rsidRPr="004011F7" w:rsidRDefault="002A53EB" w:rsidP="002A53EB">
      <w:pPr>
        <w:pStyle w:val="FootnoteText"/>
        <w:rPr>
          <w:rFonts w:ascii="MetaPro-Norm" w:hAnsi="MetaPro-Norm"/>
          <w:color w:val="000000"/>
          <w:sz w:val="16"/>
          <w:szCs w:val="16"/>
        </w:rPr>
      </w:pPr>
      <w:r w:rsidRPr="004011F7">
        <w:rPr>
          <w:rStyle w:val="FootnoteReference"/>
          <w:rFonts w:ascii="MetaPro-Norm" w:hAnsi="MetaPro-Norm"/>
          <w:color w:val="000000"/>
          <w:sz w:val="16"/>
          <w:szCs w:val="16"/>
        </w:rPr>
        <w:footnoteRef/>
      </w:r>
      <w:r w:rsidRPr="004011F7">
        <w:rPr>
          <w:rFonts w:ascii="MetaPro-Norm" w:hAnsi="MetaPro-Norm"/>
          <w:color w:val="000000"/>
          <w:sz w:val="16"/>
          <w:szCs w:val="16"/>
        </w:rPr>
        <w:t xml:space="preserve"> This is a case of the 148 cases </w:t>
      </w:r>
      <w:proofErr w:type="spellStart"/>
      <w:r w:rsidRPr="004011F7">
        <w:rPr>
          <w:rFonts w:ascii="MetaPro-Norm" w:hAnsi="MetaPro-Norm"/>
          <w:color w:val="000000"/>
          <w:sz w:val="16"/>
          <w:szCs w:val="16"/>
        </w:rPr>
        <w:t>analyzed</w:t>
      </w:r>
      <w:proofErr w:type="spellEnd"/>
      <w:r w:rsidRPr="004011F7">
        <w:rPr>
          <w:rFonts w:ascii="MetaPro-Norm" w:hAnsi="MetaPro-Norm"/>
          <w:color w:val="000000"/>
          <w:sz w:val="16"/>
          <w:szCs w:val="16"/>
        </w:rPr>
        <w:t xml:space="preserve"> by Human Rights Watch. This case is from 2015.</w:t>
      </w:r>
    </w:p>
  </w:footnote>
  <w:footnote w:id="4">
    <w:p w14:paraId="7AAF11C7" w14:textId="77777777" w:rsidR="002A53EB" w:rsidRPr="004011F7" w:rsidRDefault="002A53EB" w:rsidP="002A53EB">
      <w:pPr>
        <w:pStyle w:val="CommentText"/>
        <w:spacing w:line="220" w:lineRule="exac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w:t>
      </w:r>
      <w:r w:rsidRPr="004011F7">
        <w:rPr>
          <w:rStyle w:val="FootnoteTextChar"/>
          <w:rFonts w:ascii="MetaPro-Norm" w:hAnsi="MetaPro-Norm"/>
          <w:sz w:val="16"/>
          <w:szCs w:val="16"/>
        </w:rPr>
        <w:t>The Childhood and Adolescence Code, Law no. 2002-100, art. 54, provides youth defendants with the opportunity to seek that their police or judicial records are not made public, and that the confidentiality of procedural information is respected.</w:t>
      </w:r>
      <w:r w:rsidRPr="004011F7">
        <w:rPr>
          <w:rFonts w:ascii="MetaPro-Norm" w:hAnsi="MetaPro-Norm"/>
          <w:sz w:val="16"/>
          <w:szCs w:val="16"/>
        </w:rPr>
        <w:t xml:space="preserve"> </w:t>
      </w:r>
    </w:p>
  </w:footnote>
  <w:footnote w:id="5">
    <w:p w14:paraId="11B0230E" w14:textId="08F39BBE" w:rsidR="00384B13" w:rsidRPr="004011F7" w:rsidRDefault="00384B13">
      <w:pPr>
        <w:pStyle w:val="FootnoteText"/>
        <w:rPr>
          <w:rFonts w:ascii="MetaPro-Norm" w:hAnsi="MetaPro-Norm"/>
          <w:sz w:val="16"/>
          <w:szCs w:val="16"/>
          <w:lang w:val="en-US"/>
        </w:rPr>
      </w:pPr>
      <w:r w:rsidRPr="004011F7">
        <w:rPr>
          <w:rStyle w:val="FootnoteReference"/>
          <w:rFonts w:ascii="MetaPro-Norm" w:hAnsi="MetaPro-Norm"/>
          <w:sz w:val="16"/>
          <w:szCs w:val="16"/>
        </w:rPr>
        <w:footnoteRef/>
      </w:r>
      <w:r w:rsidRPr="004011F7">
        <w:rPr>
          <w:rFonts w:ascii="MetaPro-Norm" w:hAnsi="MetaPro-Norm"/>
          <w:sz w:val="16"/>
          <w:szCs w:val="16"/>
        </w:rPr>
        <w:t xml:space="preserve"> INEC, “National Survey on Family Relations and Gender Violence Against Women” (“</w:t>
      </w:r>
      <w:proofErr w:type="spellStart"/>
      <w:r w:rsidRPr="004011F7">
        <w:rPr>
          <w:rFonts w:ascii="MetaPro-Norm" w:hAnsi="MetaPro-Norm"/>
          <w:sz w:val="16"/>
          <w:szCs w:val="16"/>
        </w:rPr>
        <w:t>Mujeres</w:t>
      </w:r>
      <w:proofErr w:type="spellEnd"/>
      <w:r w:rsidRPr="004011F7">
        <w:rPr>
          <w:rFonts w:ascii="MetaPro-Norm" w:hAnsi="MetaPro-Norm"/>
          <w:sz w:val="16"/>
          <w:szCs w:val="16"/>
        </w:rPr>
        <w:t xml:space="preserve"> que </w:t>
      </w:r>
      <w:proofErr w:type="spellStart"/>
      <w:r w:rsidRPr="004011F7">
        <w:rPr>
          <w:rFonts w:ascii="MetaPro-Norm" w:hAnsi="MetaPro-Norm"/>
          <w:sz w:val="16"/>
          <w:szCs w:val="16"/>
        </w:rPr>
        <w:t>han</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vivido</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violencia</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psicologica</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fiscia</w:t>
      </w:r>
      <w:proofErr w:type="spellEnd"/>
      <w:r w:rsidRPr="004011F7">
        <w:rPr>
          <w:rFonts w:ascii="MetaPro-Norm" w:hAnsi="MetaPro-Norm"/>
          <w:sz w:val="16"/>
          <w:szCs w:val="16"/>
        </w:rPr>
        <w:t xml:space="preserve">, sexual y patrimonial”), 2012, www.ecuadorencifras.gob.ec/documentos/web-inec/Estadisticas_Sociales/sitio_violencia/presentacion.pdf </w:t>
      </w:r>
      <w:r w:rsidRPr="004011F7">
        <w:rPr>
          <w:rStyle w:val="Hyperlink"/>
          <w:rFonts w:ascii="MetaPro-Norm" w:hAnsi="MetaPro-Norm"/>
          <w:sz w:val="16"/>
          <w:szCs w:val="16"/>
        </w:rPr>
        <w:t xml:space="preserve">(accessed June 9, 2021). </w:t>
      </w:r>
    </w:p>
  </w:footnote>
  <w:footnote w:id="6">
    <w:p w14:paraId="377735E8" w14:textId="68FFA522" w:rsidR="00686F13" w:rsidRPr="004011F7" w:rsidRDefault="00686F13">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Human Rights Watch, “Why They Want Me To Suffer Again”, pp. </w:t>
      </w:r>
      <w:r w:rsidR="00471887" w:rsidRPr="004011F7">
        <w:rPr>
          <w:rFonts w:ascii="MetaPro-Norm" w:hAnsi="MetaPro-Norm"/>
          <w:sz w:val="16"/>
          <w:szCs w:val="16"/>
        </w:rPr>
        <w:t xml:space="preserve">55-59, </w:t>
      </w:r>
      <w:hyperlink r:id="rId1" w:history="1">
        <w:r w:rsidR="001E250B" w:rsidRPr="004011F7">
          <w:rPr>
            <w:rFonts w:ascii="MetaPro-Norm" w:eastAsia="Times New Roman" w:hAnsi="MetaPro-Norm" w:cs="Times New Roman"/>
            <w:color w:val="0000FF"/>
            <w:sz w:val="16"/>
            <w:szCs w:val="16"/>
            <w:u w:val="single"/>
            <w:lang w:val="en-US"/>
          </w:rPr>
          <w:t>The Impact of Abortion Prosecutions in Ecuador | HRW</w:t>
        </w:r>
      </w:hyperlink>
      <w:r w:rsidR="001E250B" w:rsidRPr="004011F7">
        <w:rPr>
          <w:rFonts w:ascii="MetaPro-Norm" w:eastAsia="Times New Roman" w:hAnsi="MetaPro-Norm" w:cs="Times New Roman"/>
          <w:sz w:val="16"/>
          <w:szCs w:val="16"/>
          <w:lang w:val="en-US"/>
        </w:rPr>
        <w:t xml:space="preserve"> </w:t>
      </w:r>
    </w:p>
  </w:footnote>
  <w:footnote w:id="7">
    <w:p w14:paraId="1BFCB203" w14:textId="77777777" w:rsidR="00674C6A" w:rsidRPr="004011F7" w:rsidRDefault="00674C6A" w:rsidP="00674C6A">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According to the Ecuadorian Ministry of Health data, almost 10 percent of maternal deaths in 2019 and 6 percent in 2020 were a consequence of unsafe abortion. Ministry of Health, “Epidemiological Gazette of Maternal Death 51” (“</w:t>
      </w:r>
      <w:proofErr w:type="spellStart"/>
      <w:r w:rsidRPr="004011F7">
        <w:rPr>
          <w:rFonts w:ascii="MetaPro-Norm" w:hAnsi="MetaPro-Norm"/>
          <w:sz w:val="16"/>
          <w:szCs w:val="16"/>
        </w:rPr>
        <w:t>Gaceta</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Epidemiologica</w:t>
      </w:r>
      <w:proofErr w:type="spellEnd"/>
      <w:r w:rsidRPr="004011F7">
        <w:rPr>
          <w:rFonts w:ascii="MetaPro-Norm" w:hAnsi="MetaPro-Norm"/>
          <w:sz w:val="16"/>
          <w:szCs w:val="16"/>
        </w:rPr>
        <w:t xml:space="preserve"> de </w:t>
      </w:r>
      <w:proofErr w:type="spellStart"/>
      <w:r w:rsidRPr="004011F7">
        <w:rPr>
          <w:rFonts w:ascii="MetaPro-Norm" w:hAnsi="MetaPro-Norm"/>
          <w:sz w:val="16"/>
          <w:szCs w:val="16"/>
        </w:rPr>
        <w:t>Muerte</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Materna</w:t>
      </w:r>
      <w:proofErr w:type="spellEnd"/>
      <w:r w:rsidRPr="004011F7">
        <w:rPr>
          <w:rFonts w:ascii="MetaPro-Norm" w:hAnsi="MetaPro-Norm"/>
          <w:sz w:val="16"/>
          <w:szCs w:val="16"/>
        </w:rPr>
        <w:t xml:space="preserve"> se 53”), 2020, </w:t>
      </w:r>
      <w:proofErr w:type="gramStart"/>
      <w:r w:rsidRPr="004011F7">
        <w:rPr>
          <w:rFonts w:ascii="MetaPro-Norm" w:hAnsi="MetaPro-Norm"/>
          <w:sz w:val="16"/>
          <w:szCs w:val="16"/>
        </w:rPr>
        <w:t>https://www.salud.gob.ec/wp-content/uploads/2021/01/Gaceta-SE-53-MM.pdf  (</w:t>
      </w:r>
      <w:proofErr w:type="gramEnd"/>
      <w:r w:rsidRPr="004011F7">
        <w:rPr>
          <w:rFonts w:ascii="MetaPro-Norm" w:hAnsi="MetaPro-Norm"/>
          <w:sz w:val="16"/>
          <w:szCs w:val="16"/>
        </w:rPr>
        <w:t>accessed June 14, 2021); Ministry of Health, Epidemiological Gazette of Maternal Death 50” (“</w:t>
      </w:r>
      <w:proofErr w:type="spellStart"/>
      <w:r w:rsidRPr="004011F7">
        <w:rPr>
          <w:rFonts w:ascii="MetaPro-Norm" w:hAnsi="MetaPro-Norm"/>
          <w:sz w:val="16"/>
          <w:szCs w:val="16"/>
        </w:rPr>
        <w:t>Gaceta</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Epidemiologica</w:t>
      </w:r>
      <w:proofErr w:type="spellEnd"/>
      <w:r w:rsidRPr="004011F7">
        <w:rPr>
          <w:rFonts w:ascii="MetaPro-Norm" w:hAnsi="MetaPro-Norm"/>
          <w:sz w:val="16"/>
          <w:szCs w:val="16"/>
        </w:rPr>
        <w:t xml:space="preserve"> de </w:t>
      </w:r>
      <w:proofErr w:type="spellStart"/>
      <w:r w:rsidRPr="004011F7">
        <w:rPr>
          <w:rFonts w:ascii="MetaPro-Norm" w:hAnsi="MetaPro-Norm"/>
          <w:sz w:val="16"/>
          <w:szCs w:val="16"/>
        </w:rPr>
        <w:t>Muerte</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Materna</w:t>
      </w:r>
      <w:proofErr w:type="spellEnd"/>
      <w:r w:rsidRPr="004011F7">
        <w:rPr>
          <w:rFonts w:ascii="MetaPro-Norm" w:hAnsi="MetaPro-Norm"/>
          <w:sz w:val="16"/>
          <w:szCs w:val="16"/>
        </w:rPr>
        <w:t xml:space="preserve"> se 50”), 2019, https://www.salud.gob.ec/wp-content/uploads/2020/01/Gaceta-SE-50-MM.pdf</w:t>
      </w:r>
      <w:r w:rsidRPr="004011F7" w:rsidDel="00F52CDC">
        <w:rPr>
          <w:rFonts w:ascii="MetaPro-Norm" w:hAnsi="MetaPro-Norm"/>
          <w:sz w:val="16"/>
          <w:szCs w:val="16"/>
        </w:rPr>
        <w:t xml:space="preserve"> </w:t>
      </w:r>
      <w:r w:rsidRPr="004011F7">
        <w:rPr>
          <w:rFonts w:ascii="MetaPro-Norm" w:hAnsi="MetaPro-Norm"/>
          <w:sz w:val="16"/>
          <w:szCs w:val="16"/>
        </w:rPr>
        <w:t xml:space="preserve">(accessed June 14, 2021). </w:t>
      </w:r>
    </w:p>
  </w:footnote>
  <w:footnote w:id="8">
    <w:p w14:paraId="4845E2B3" w14:textId="77777777" w:rsidR="00674C6A" w:rsidRPr="004011F7" w:rsidRDefault="00674C6A" w:rsidP="00674C6A">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UN Human Rights Council, Report of the Special Rapporteur on the right of everyone to the enjoyment of the highest attainable standard of physical and mental </w:t>
      </w:r>
      <w:r w:rsidRPr="004011F7" w:rsidDel="00D7456B">
        <w:rPr>
          <w:rFonts w:ascii="MetaPro-Norm" w:hAnsi="MetaPro-Norm"/>
          <w:sz w:val="16"/>
          <w:szCs w:val="16"/>
        </w:rPr>
        <w:t>health</w:t>
      </w:r>
      <w:r w:rsidRPr="004011F7">
        <w:rPr>
          <w:rFonts w:ascii="MetaPro-Norm" w:hAnsi="MetaPro-Norm"/>
          <w:sz w:val="16"/>
          <w:szCs w:val="16"/>
        </w:rPr>
        <w:t xml:space="preserve">, </w:t>
      </w:r>
      <w:proofErr w:type="spellStart"/>
      <w:r w:rsidRPr="004011F7">
        <w:rPr>
          <w:rFonts w:ascii="MetaPro-Norm" w:hAnsi="MetaPro-Norm"/>
          <w:sz w:val="16"/>
          <w:szCs w:val="16"/>
        </w:rPr>
        <w:t>Dainius</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Pūras</w:t>
      </w:r>
      <w:proofErr w:type="spellEnd"/>
      <w:r w:rsidRPr="004011F7">
        <w:rPr>
          <w:rFonts w:ascii="MetaPro-Norm" w:hAnsi="MetaPro-Norm"/>
          <w:sz w:val="16"/>
          <w:szCs w:val="16"/>
        </w:rPr>
        <w:t xml:space="preserve">, </w:t>
      </w:r>
      <w:proofErr w:type="gramStart"/>
      <w:r w:rsidRPr="004011F7">
        <w:rPr>
          <w:rFonts w:ascii="MetaPro-Norm" w:hAnsi="MetaPro-Norm"/>
          <w:sz w:val="16"/>
          <w:szCs w:val="16"/>
        </w:rPr>
        <w:t>Visit</w:t>
      </w:r>
      <w:proofErr w:type="gramEnd"/>
      <w:r w:rsidRPr="004011F7">
        <w:rPr>
          <w:rFonts w:ascii="MetaPro-Norm" w:hAnsi="MetaPro-Norm"/>
          <w:sz w:val="16"/>
          <w:szCs w:val="16"/>
        </w:rPr>
        <w:t xml:space="preserve"> to Ecuador, A/HRC/44/48/Add.1, May 6, 2020,</w:t>
      </w:r>
      <w:r w:rsidRPr="004011F7" w:rsidDel="005E3BC4">
        <w:rPr>
          <w:rFonts w:ascii="MetaPro-Norm" w:hAnsi="MetaPro-Norm"/>
          <w:sz w:val="16"/>
          <w:szCs w:val="16"/>
        </w:rPr>
        <w:t xml:space="preserve"> </w:t>
      </w:r>
      <w:r w:rsidRPr="004011F7">
        <w:rPr>
          <w:rFonts w:ascii="MetaPro-Norm" w:hAnsi="MetaPro-Norm"/>
          <w:sz w:val="16"/>
          <w:szCs w:val="16"/>
        </w:rPr>
        <w:t xml:space="preserve">https://undocs.org/en/A/HRC/44/48/Add.1 </w:t>
      </w:r>
      <w:r w:rsidRPr="004011F7">
        <w:rPr>
          <w:rStyle w:val="Hyperlink"/>
          <w:rFonts w:ascii="MetaPro-Norm" w:hAnsi="MetaPro-Norm"/>
          <w:sz w:val="16"/>
          <w:szCs w:val="16"/>
        </w:rPr>
        <w:t>(accessed August 31, 2020),</w:t>
      </w:r>
      <w:r w:rsidRPr="004011F7">
        <w:rPr>
          <w:rFonts w:ascii="MetaPro-Norm" w:hAnsi="MetaPro-Norm"/>
          <w:sz w:val="16"/>
          <w:szCs w:val="16"/>
        </w:rPr>
        <w:t xml:space="preserve"> para. 41; Ministry of Public Health, “Final Maternal Death Gazette of the Year 2018” (“</w:t>
      </w:r>
      <w:proofErr w:type="spellStart"/>
      <w:r w:rsidRPr="004011F7">
        <w:rPr>
          <w:rFonts w:ascii="MetaPro-Norm" w:hAnsi="MetaPro-Norm"/>
          <w:sz w:val="16"/>
          <w:szCs w:val="16"/>
        </w:rPr>
        <w:t>Gaceta</w:t>
      </w:r>
      <w:proofErr w:type="spellEnd"/>
      <w:r w:rsidRPr="004011F7">
        <w:rPr>
          <w:rFonts w:ascii="MetaPro-Norm" w:hAnsi="MetaPro-Norm"/>
          <w:sz w:val="16"/>
          <w:szCs w:val="16"/>
        </w:rPr>
        <w:t xml:space="preserve"> Final de </w:t>
      </w:r>
      <w:proofErr w:type="spellStart"/>
      <w:r w:rsidRPr="004011F7">
        <w:rPr>
          <w:rFonts w:ascii="MetaPro-Norm" w:hAnsi="MetaPro-Norm"/>
          <w:sz w:val="16"/>
          <w:szCs w:val="16"/>
        </w:rPr>
        <w:t>Muerte</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Materna</w:t>
      </w:r>
      <w:proofErr w:type="spellEnd"/>
      <w:r w:rsidRPr="004011F7">
        <w:rPr>
          <w:rFonts w:ascii="MetaPro-Norm" w:hAnsi="MetaPro-Norm"/>
          <w:sz w:val="16"/>
          <w:szCs w:val="16"/>
        </w:rPr>
        <w:t xml:space="preserve"> del </w:t>
      </w:r>
      <w:proofErr w:type="spellStart"/>
      <w:r w:rsidRPr="004011F7">
        <w:rPr>
          <w:rFonts w:ascii="MetaPro-Norm" w:hAnsi="MetaPro-Norm"/>
          <w:sz w:val="16"/>
          <w:szCs w:val="16"/>
        </w:rPr>
        <w:t>Año</w:t>
      </w:r>
      <w:proofErr w:type="spellEnd"/>
      <w:r w:rsidRPr="004011F7">
        <w:rPr>
          <w:rFonts w:ascii="MetaPro-Norm" w:hAnsi="MetaPro-Norm"/>
          <w:sz w:val="16"/>
          <w:szCs w:val="16"/>
        </w:rPr>
        <w:t xml:space="preserve"> 2018”), 2018, www.salud.gob.ec/wp-content/uploads/2019/09/Gaceta-del-2018-de-MM.pdf </w:t>
      </w:r>
      <w:r w:rsidRPr="004011F7">
        <w:rPr>
          <w:rStyle w:val="Hyperlink"/>
          <w:rFonts w:ascii="MetaPro-Norm" w:hAnsi="MetaPro-Norm"/>
          <w:sz w:val="16"/>
          <w:szCs w:val="16"/>
        </w:rPr>
        <w:t>(accessed August 31, 2020),</w:t>
      </w:r>
      <w:r w:rsidRPr="004011F7">
        <w:rPr>
          <w:rFonts w:ascii="MetaPro-Norm" w:hAnsi="MetaPro-Norm"/>
          <w:sz w:val="16"/>
          <w:szCs w:val="16"/>
        </w:rPr>
        <w:t xml:space="preserve"> p. 1.</w:t>
      </w:r>
    </w:p>
  </w:footnote>
  <w:footnote w:id="9">
    <w:p w14:paraId="3C16BD0D" w14:textId="77777777" w:rsidR="00674C6A" w:rsidRPr="004011F7" w:rsidRDefault="00674C6A" w:rsidP="00674C6A">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UN Human Rights Council (HRC), Report of the Special Rapporteur on the right of everyone to the enjoyment of the highest attainable standard of physical and mental </w:t>
      </w:r>
      <w:r w:rsidRPr="004011F7" w:rsidDel="00D7456B">
        <w:rPr>
          <w:rFonts w:ascii="MetaPro-Norm" w:hAnsi="MetaPro-Norm"/>
          <w:sz w:val="16"/>
          <w:szCs w:val="16"/>
        </w:rPr>
        <w:t>health</w:t>
      </w:r>
      <w:r w:rsidRPr="004011F7">
        <w:rPr>
          <w:rFonts w:ascii="MetaPro-Norm" w:hAnsi="MetaPro-Norm"/>
          <w:sz w:val="16"/>
          <w:szCs w:val="16"/>
        </w:rPr>
        <w:t xml:space="preserve">, </w:t>
      </w:r>
      <w:proofErr w:type="spellStart"/>
      <w:r w:rsidRPr="004011F7">
        <w:rPr>
          <w:rFonts w:ascii="MetaPro-Norm" w:hAnsi="MetaPro-Norm"/>
          <w:sz w:val="16"/>
          <w:szCs w:val="16"/>
        </w:rPr>
        <w:t>Dainius</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Pūras</w:t>
      </w:r>
      <w:proofErr w:type="spellEnd"/>
      <w:r w:rsidRPr="004011F7">
        <w:rPr>
          <w:rFonts w:ascii="MetaPro-Norm" w:hAnsi="MetaPro-Norm"/>
          <w:sz w:val="16"/>
          <w:szCs w:val="16"/>
        </w:rPr>
        <w:t xml:space="preserve">, </w:t>
      </w:r>
      <w:proofErr w:type="gramStart"/>
      <w:r w:rsidRPr="004011F7">
        <w:rPr>
          <w:rFonts w:ascii="MetaPro-Norm" w:hAnsi="MetaPro-Norm"/>
          <w:sz w:val="16"/>
          <w:szCs w:val="16"/>
        </w:rPr>
        <w:t>Visit</w:t>
      </w:r>
      <w:proofErr w:type="gramEnd"/>
      <w:r w:rsidRPr="004011F7">
        <w:rPr>
          <w:rFonts w:ascii="MetaPro-Norm" w:hAnsi="MetaPro-Norm"/>
          <w:sz w:val="16"/>
          <w:szCs w:val="16"/>
        </w:rPr>
        <w:t xml:space="preserve"> to Ecuador, A/HRC/44/48/Add.1, May 6, 2020,</w:t>
      </w:r>
      <w:r w:rsidRPr="004011F7" w:rsidDel="005E3BC4">
        <w:rPr>
          <w:rFonts w:ascii="MetaPro-Norm" w:hAnsi="MetaPro-Norm"/>
          <w:sz w:val="16"/>
          <w:szCs w:val="16"/>
        </w:rPr>
        <w:t xml:space="preserve"> </w:t>
      </w:r>
      <w:r w:rsidRPr="004011F7">
        <w:rPr>
          <w:rFonts w:ascii="MetaPro-Norm" w:hAnsi="MetaPro-Norm"/>
          <w:sz w:val="16"/>
          <w:szCs w:val="16"/>
        </w:rPr>
        <w:t xml:space="preserve">https://undocs.org/en/A/HRC/44/48/Add.1 </w:t>
      </w:r>
      <w:r w:rsidRPr="004011F7">
        <w:rPr>
          <w:rStyle w:val="Hyperlink"/>
          <w:rFonts w:ascii="MetaPro-Norm" w:hAnsi="MetaPro-Norm"/>
          <w:sz w:val="16"/>
          <w:szCs w:val="16"/>
        </w:rPr>
        <w:t>(accessed August 31, 2020),</w:t>
      </w:r>
      <w:r w:rsidRPr="004011F7">
        <w:rPr>
          <w:rFonts w:ascii="MetaPro-Norm" w:hAnsi="MetaPro-Norm"/>
          <w:sz w:val="16"/>
          <w:szCs w:val="16"/>
        </w:rPr>
        <w:t xml:space="preserve"> para. 41.</w:t>
      </w:r>
    </w:p>
  </w:footnote>
  <w:footnote w:id="10">
    <w:p w14:paraId="4F5F7543" w14:textId="77777777" w:rsidR="00674C6A" w:rsidRPr="004011F7" w:rsidRDefault="00674C6A" w:rsidP="00674C6A">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Ibid., para. 41. </w:t>
      </w:r>
    </w:p>
  </w:footnote>
  <w:footnote w:id="11">
    <w:p w14:paraId="1C226781" w14:textId="77777777" w:rsidR="00674C6A" w:rsidRPr="004011F7" w:rsidRDefault="00674C6A" w:rsidP="00674C6A">
      <w:pPr>
        <w:pStyle w:val="FootnoteText"/>
        <w:rPr>
          <w:rFonts w:ascii="MetaPro-Norm" w:hAnsi="MetaPro-Norm"/>
          <w:sz w:val="16"/>
          <w:szCs w:val="16"/>
          <w:lang w:val="es-ES"/>
        </w:rPr>
      </w:pPr>
      <w:r w:rsidRPr="004011F7">
        <w:rPr>
          <w:rStyle w:val="FootnoteReference"/>
          <w:rFonts w:ascii="MetaPro-Norm" w:hAnsi="MetaPro-Norm"/>
          <w:sz w:val="16"/>
          <w:szCs w:val="16"/>
        </w:rPr>
        <w:footnoteRef/>
      </w:r>
      <w:r w:rsidRPr="004011F7">
        <w:rPr>
          <w:rFonts w:ascii="MetaPro-Norm" w:hAnsi="MetaPro-Norm"/>
          <w:sz w:val="16"/>
          <w:szCs w:val="16"/>
        </w:rPr>
        <w:t xml:space="preserve"> In a survey conducted in 2016 at public hospitals in Cuenca, 81.5 percent of respondents knew that therapeutic abortion is legal in Ecuador; however, only 29.6 percent could correctly quote the grounds on which abortion is not punishable. </w:t>
      </w:r>
      <w:r w:rsidRPr="004011F7">
        <w:rPr>
          <w:rFonts w:ascii="MetaPro-Norm" w:hAnsi="MetaPro-Norm"/>
          <w:sz w:val="16"/>
          <w:szCs w:val="16"/>
          <w:lang w:val="es-ES"/>
        </w:rPr>
        <w:t>Bernardo José Vega Crespo et al., “</w:t>
      </w:r>
      <w:proofErr w:type="spellStart"/>
      <w:r w:rsidRPr="004011F7">
        <w:rPr>
          <w:rFonts w:ascii="MetaPro-Norm" w:hAnsi="MetaPro-Norm"/>
          <w:sz w:val="16"/>
          <w:szCs w:val="16"/>
          <w:lang w:val="es-ES"/>
        </w:rPr>
        <w:t>Knowledge</w:t>
      </w:r>
      <w:proofErr w:type="spellEnd"/>
      <w:r w:rsidRPr="004011F7">
        <w:rPr>
          <w:rFonts w:ascii="MetaPro-Norm" w:hAnsi="MetaPro-Norm"/>
          <w:sz w:val="16"/>
          <w:szCs w:val="16"/>
          <w:lang w:val="es-ES"/>
        </w:rPr>
        <w:t xml:space="preserve"> of </w:t>
      </w:r>
      <w:proofErr w:type="spellStart"/>
      <w:r w:rsidRPr="004011F7">
        <w:rPr>
          <w:rFonts w:ascii="MetaPro-Norm" w:hAnsi="MetaPro-Norm"/>
          <w:sz w:val="16"/>
          <w:szCs w:val="16"/>
          <w:lang w:val="es-ES"/>
        </w:rPr>
        <w:t>actions</w:t>
      </w:r>
      <w:proofErr w:type="spellEnd"/>
      <w:r w:rsidRPr="004011F7">
        <w:rPr>
          <w:rFonts w:ascii="MetaPro-Norm" w:hAnsi="MetaPro-Norm"/>
          <w:sz w:val="16"/>
          <w:szCs w:val="16"/>
          <w:lang w:val="es-ES"/>
        </w:rPr>
        <w:t xml:space="preserve"> and </w:t>
      </w:r>
      <w:proofErr w:type="spellStart"/>
      <w:r w:rsidRPr="004011F7">
        <w:rPr>
          <w:rFonts w:ascii="MetaPro-Norm" w:hAnsi="MetaPro-Norm"/>
          <w:sz w:val="16"/>
          <w:szCs w:val="16"/>
          <w:lang w:val="es-ES"/>
        </w:rPr>
        <w:t>practices</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regarding</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voluntary</w:t>
      </w:r>
      <w:proofErr w:type="spellEnd"/>
      <w:r w:rsidRPr="004011F7">
        <w:rPr>
          <w:rFonts w:ascii="MetaPro-Norm" w:hAnsi="MetaPro-Norm"/>
          <w:sz w:val="16"/>
          <w:szCs w:val="16"/>
          <w:lang w:val="es-ES"/>
        </w:rPr>
        <w:t xml:space="preserve"> and </w:t>
      </w:r>
      <w:proofErr w:type="spellStart"/>
      <w:r w:rsidRPr="004011F7">
        <w:rPr>
          <w:rFonts w:ascii="MetaPro-Norm" w:hAnsi="MetaPro-Norm"/>
          <w:sz w:val="16"/>
          <w:szCs w:val="16"/>
          <w:lang w:val="es-ES"/>
        </w:rPr>
        <w:t>therapeutic</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abortion</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by</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specialists</w:t>
      </w:r>
      <w:proofErr w:type="spellEnd"/>
      <w:r w:rsidRPr="004011F7">
        <w:rPr>
          <w:rFonts w:ascii="MetaPro-Norm" w:hAnsi="MetaPro-Norm"/>
          <w:sz w:val="16"/>
          <w:szCs w:val="16"/>
          <w:lang w:val="es-ES"/>
        </w:rPr>
        <w:t xml:space="preserve"> in </w:t>
      </w:r>
      <w:proofErr w:type="spellStart"/>
      <w:r w:rsidRPr="004011F7">
        <w:rPr>
          <w:rFonts w:ascii="MetaPro-Norm" w:hAnsi="MetaPro-Norm"/>
          <w:sz w:val="16"/>
          <w:szCs w:val="16"/>
          <w:lang w:val="es-ES"/>
        </w:rPr>
        <w:t>gynecology</w:t>
      </w:r>
      <w:proofErr w:type="spellEnd"/>
      <w:r w:rsidRPr="004011F7">
        <w:rPr>
          <w:rFonts w:ascii="MetaPro-Norm" w:hAnsi="MetaPro-Norm"/>
          <w:sz w:val="16"/>
          <w:szCs w:val="16"/>
          <w:lang w:val="es-ES"/>
        </w:rPr>
        <w:t xml:space="preserve"> and </w:t>
      </w:r>
      <w:proofErr w:type="spellStart"/>
      <w:r w:rsidRPr="004011F7">
        <w:rPr>
          <w:rFonts w:ascii="MetaPro-Norm" w:hAnsi="MetaPro-Norm"/>
          <w:sz w:val="16"/>
          <w:szCs w:val="16"/>
          <w:lang w:val="es-ES"/>
        </w:rPr>
        <w:t>obstetrics</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who</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work</w:t>
      </w:r>
      <w:proofErr w:type="spellEnd"/>
      <w:r w:rsidRPr="004011F7">
        <w:rPr>
          <w:rFonts w:ascii="MetaPro-Norm" w:hAnsi="MetaPro-Norm"/>
          <w:sz w:val="16"/>
          <w:szCs w:val="16"/>
          <w:lang w:val="es-ES"/>
        </w:rPr>
        <w:t xml:space="preserve"> in </w:t>
      </w:r>
      <w:proofErr w:type="spellStart"/>
      <w:r w:rsidRPr="004011F7">
        <w:rPr>
          <w:rFonts w:ascii="MetaPro-Norm" w:hAnsi="MetaPro-Norm"/>
          <w:sz w:val="16"/>
          <w:szCs w:val="16"/>
          <w:lang w:val="es-ES"/>
        </w:rPr>
        <w:t>public</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hospitals</w:t>
      </w:r>
      <w:proofErr w:type="spellEnd"/>
      <w:r w:rsidRPr="004011F7">
        <w:rPr>
          <w:rFonts w:ascii="MetaPro-Norm" w:hAnsi="MetaPro-Norm"/>
          <w:sz w:val="16"/>
          <w:szCs w:val="16"/>
          <w:lang w:val="es-ES"/>
        </w:rPr>
        <w:t xml:space="preserve"> in </w:t>
      </w:r>
      <w:proofErr w:type="spellStart"/>
      <w:r w:rsidRPr="004011F7">
        <w:rPr>
          <w:rFonts w:ascii="MetaPro-Norm" w:hAnsi="MetaPro-Norm"/>
          <w:sz w:val="16"/>
          <w:szCs w:val="16"/>
          <w:lang w:val="es-ES"/>
        </w:rPr>
        <w:t>the</w:t>
      </w:r>
      <w:proofErr w:type="spellEnd"/>
      <w:r w:rsidRPr="004011F7">
        <w:rPr>
          <w:rFonts w:ascii="MetaPro-Norm" w:hAnsi="MetaPro-Norm"/>
          <w:sz w:val="16"/>
          <w:szCs w:val="16"/>
          <w:lang w:val="es-ES"/>
        </w:rPr>
        <w:t xml:space="preserve"> </w:t>
      </w:r>
      <w:proofErr w:type="spellStart"/>
      <w:r w:rsidRPr="004011F7">
        <w:rPr>
          <w:rFonts w:ascii="MetaPro-Norm" w:hAnsi="MetaPro-Norm"/>
          <w:sz w:val="16"/>
          <w:szCs w:val="16"/>
          <w:lang w:val="es-ES"/>
        </w:rPr>
        <w:t>county</w:t>
      </w:r>
      <w:proofErr w:type="spellEnd"/>
      <w:r w:rsidRPr="004011F7">
        <w:rPr>
          <w:rFonts w:ascii="MetaPro-Norm" w:hAnsi="MetaPro-Norm"/>
          <w:sz w:val="16"/>
          <w:szCs w:val="16"/>
          <w:lang w:val="es-ES"/>
        </w:rPr>
        <w:t xml:space="preserve"> of Cuenca” (“Conocimiento actitudes y prácticas sobre el aborto voluntario y terapéutico en especialistas en ginecología y obstetricia que laboran en hospitales públicos del cantón Cuenca”), </w:t>
      </w:r>
      <w:r w:rsidRPr="004011F7">
        <w:rPr>
          <w:rFonts w:ascii="MetaPro-Norm" w:hAnsi="MetaPro-Norm"/>
          <w:i/>
          <w:iCs/>
          <w:sz w:val="16"/>
          <w:szCs w:val="16"/>
          <w:lang w:val="es-ES"/>
        </w:rPr>
        <w:t>Revista de la Facultad de Ciencias Médicas, Universidad de Cuenca</w:t>
      </w:r>
      <w:r w:rsidRPr="004011F7">
        <w:rPr>
          <w:rFonts w:ascii="MetaPro-Norm" w:hAnsi="MetaPro-Norm"/>
          <w:sz w:val="16"/>
          <w:szCs w:val="16"/>
          <w:lang w:val="es-ES"/>
        </w:rPr>
        <w:t xml:space="preserve">, vol. 34 (2016), p. 33. </w:t>
      </w:r>
    </w:p>
  </w:footnote>
  <w:footnote w:id="12">
    <w:p w14:paraId="6EE9835F" w14:textId="77777777" w:rsidR="00674C6A" w:rsidRPr="004011F7" w:rsidRDefault="00674C6A" w:rsidP="00674C6A">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Ecuadorian Ministry of Health, “</w:t>
      </w:r>
      <w:r w:rsidRPr="004011F7">
        <w:rPr>
          <w:rFonts w:ascii="MetaPro-Norm" w:eastAsia="Garamond" w:hAnsi="MetaPro-Norm" w:cs="Garamond"/>
          <w:color w:val="000000"/>
          <w:sz w:val="16"/>
          <w:szCs w:val="16"/>
        </w:rPr>
        <w:t xml:space="preserve">Clinical Practice Guidelines for Therapeutic Abortion,” 2015, </w:t>
      </w:r>
      <w:r w:rsidRPr="004011F7">
        <w:rPr>
          <w:rFonts w:ascii="MetaPro-Norm" w:hAnsi="MetaPro-Norm"/>
          <w:sz w:val="16"/>
          <w:szCs w:val="16"/>
        </w:rPr>
        <w:t>https://www.salud.gob.ec/wp-content/uploads/2016/09/Aborto-terapéutico.pdf</w:t>
      </w:r>
      <w:r w:rsidRPr="004011F7">
        <w:rPr>
          <w:rFonts w:ascii="MetaPro-Norm" w:eastAsia="Garamond" w:hAnsi="MetaPro-Norm" w:cs="Garamond"/>
          <w:color w:val="000000"/>
          <w:sz w:val="16"/>
          <w:szCs w:val="16"/>
        </w:rPr>
        <w:t xml:space="preserve"> (accessed June 17, 2021). </w:t>
      </w:r>
    </w:p>
  </w:footnote>
  <w:footnote w:id="13">
    <w:p w14:paraId="19FA3C1B" w14:textId="55C542ED" w:rsidR="3F57A714" w:rsidRPr="004011F7" w:rsidRDefault="3F57A714">
      <w:pPr>
        <w:rPr>
          <w:rFonts w:ascii="MetaPro-Norm" w:hAnsi="MetaPro-Norm"/>
          <w:sz w:val="16"/>
          <w:szCs w:val="16"/>
        </w:rPr>
      </w:pPr>
      <w:r w:rsidRPr="004011F7">
        <w:rPr>
          <w:rFonts w:ascii="MetaPro-Norm" w:hAnsi="MetaPro-Norm"/>
          <w:sz w:val="16"/>
          <w:szCs w:val="16"/>
        </w:rPr>
        <w:footnoteRef/>
      </w:r>
      <w:r w:rsidRPr="004011F7">
        <w:rPr>
          <w:rFonts w:ascii="MetaPro-Norm" w:hAnsi="MetaPro-Norm"/>
          <w:sz w:val="16"/>
          <w:szCs w:val="16"/>
        </w:rPr>
        <w:t xml:space="preserve"> See</w:t>
      </w:r>
      <w:r w:rsidR="00831938" w:rsidRPr="004011F7">
        <w:rPr>
          <w:rFonts w:ascii="MetaPro-Norm" w:hAnsi="MetaPro-Norm"/>
          <w:sz w:val="16"/>
          <w:szCs w:val="16"/>
        </w:rPr>
        <w:t xml:space="preserve"> also</w:t>
      </w:r>
      <w:r w:rsidRPr="004011F7">
        <w:rPr>
          <w:rFonts w:ascii="MetaPro-Norm" w:hAnsi="MetaPro-Norm"/>
          <w:sz w:val="16"/>
          <w:szCs w:val="16"/>
        </w:rPr>
        <w:t xml:space="preserve"> Human Rights Watch Submission to the Committee on the Rights of the Child Review of Ecuador, 90</w:t>
      </w:r>
      <w:r w:rsidRPr="004011F7">
        <w:rPr>
          <w:rFonts w:ascii="MetaPro-Norm" w:hAnsi="MetaPro-Norm"/>
          <w:sz w:val="16"/>
          <w:szCs w:val="16"/>
          <w:vertAlign w:val="superscript"/>
        </w:rPr>
        <w:t>th</w:t>
      </w:r>
      <w:r w:rsidRPr="004011F7">
        <w:rPr>
          <w:rFonts w:ascii="MetaPro-Norm" w:hAnsi="MetaPro-Norm"/>
          <w:sz w:val="16"/>
          <w:szCs w:val="16"/>
        </w:rPr>
        <w:t xml:space="preserve"> Pre-Session, July 2021, https://www.hrw.org/news/2021/07/13/submission-committee-rights-child-review-ecuador</w:t>
      </w:r>
    </w:p>
  </w:footnote>
  <w:footnote w:id="14">
    <w:p w14:paraId="63A51A95" w14:textId="77777777" w:rsidR="003603B2" w:rsidRPr="004011F7" w:rsidRDefault="003603B2" w:rsidP="003603B2">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Insights for Education, Country tracker for Ecuador, </w:t>
      </w:r>
      <w:hyperlink r:id="rId2" w:history="1">
        <w:r w:rsidRPr="004011F7">
          <w:rPr>
            <w:rStyle w:val="Hyperlink"/>
            <w:rFonts w:ascii="MetaPro-Norm" w:hAnsi="MetaPro-Norm"/>
            <w:sz w:val="16"/>
            <w:szCs w:val="16"/>
          </w:rPr>
          <w:t>https://infographic.education.org/insights/en/</w:t>
        </w:r>
      </w:hyperlink>
      <w:r w:rsidRPr="004011F7">
        <w:rPr>
          <w:rFonts w:ascii="MetaPro-Norm" w:hAnsi="MetaPro-Norm"/>
          <w:sz w:val="16"/>
          <w:szCs w:val="16"/>
        </w:rPr>
        <w:t xml:space="preserve"> (accessed August 4, 2021).</w:t>
      </w:r>
    </w:p>
  </w:footnote>
  <w:footnote w:id="15">
    <w:p w14:paraId="4FF9C2BC" w14:textId="77777777" w:rsidR="003603B2" w:rsidRPr="004011F7" w:rsidRDefault="003603B2" w:rsidP="003603B2">
      <w:pPr>
        <w:pStyle w:val="FootnoteText"/>
        <w:rPr>
          <w:rFonts w:ascii="MetaPro-Norm" w:hAnsi="MetaPro-Norm"/>
          <w:sz w:val="16"/>
          <w:szCs w:val="16"/>
          <w:lang w:val="es-419"/>
        </w:rPr>
      </w:pPr>
      <w:r w:rsidRPr="004011F7">
        <w:rPr>
          <w:rStyle w:val="FootnoteReference"/>
          <w:rFonts w:ascii="MetaPro-Norm" w:hAnsi="MetaPro-Norm"/>
          <w:sz w:val="16"/>
          <w:szCs w:val="16"/>
        </w:rPr>
        <w:footnoteRef/>
      </w:r>
      <w:r w:rsidRPr="004011F7">
        <w:rPr>
          <w:rFonts w:ascii="MetaPro-Norm" w:hAnsi="MetaPro-Norm"/>
          <w:sz w:val="16"/>
          <w:szCs w:val="16"/>
          <w:lang w:val="es-419"/>
        </w:rPr>
        <w:t xml:space="preserve"> Unicef, “Los </w:t>
      </w:r>
      <w:proofErr w:type="spellStart"/>
      <w:r w:rsidRPr="004011F7">
        <w:rPr>
          <w:rFonts w:ascii="MetaPro-Norm" w:hAnsi="MetaPro-Norm"/>
          <w:sz w:val="16"/>
          <w:szCs w:val="16"/>
          <w:lang w:val="es-419"/>
        </w:rPr>
        <w:t>Los</w:t>
      </w:r>
      <w:proofErr w:type="spellEnd"/>
      <w:r w:rsidRPr="004011F7">
        <w:rPr>
          <w:rFonts w:ascii="MetaPro-Norm" w:hAnsi="MetaPro-Norm"/>
          <w:sz w:val="16"/>
          <w:szCs w:val="16"/>
          <w:lang w:val="es-419"/>
        </w:rPr>
        <w:t xml:space="preserve"> niños no pueden seguir sin ir a la escuela, afirma UNICEF, </w:t>
      </w:r>
      <w:proofErr w:type="spellStart"/>
      <w:r w:rsidRPr="004011F7">
        <w:rPr>
          <w:rFonts w:ascii="MetaPro-Norm" w:hAnsi="MetaPro-Norm"/>
          <w:sz w:val="16"/>
          <w:szCs w:val="16"/>
          <w:lang w:val="es-419"/>
        </w:rPr>
        <w:t>February</w:t>
      </w:r>
      <w:proofErr w:type="spellEnd"/>
      <w:r w:rsidRPr="004011F7">
        <w:rPr>
          <w:rFonts w:ascii="MetaPro-Norm" w:hAnsi="MetaPro-Norm"/>
          <w:sz w:val="16"/>
          <w:szCs w:val="16"/>
          <w:lang w:val="es-419"/>
        </w:rPr>
        <w:t xml:space="preserve"> 9, 2021, </w:t>
      </w:r>
      <w:hyperlink r:id="rId3" w:history="1">
        <w:r w:rsidRPr="004011F7">
          <w:rPr>
            <w:rStyle w:val="Hyperlink"/>
            <w:rFonts w:ascii="MetaPro-Norm" w:hAnsi="MetaPro-Norm"/>
            <w:sz w:val="16"/>
            <w:szCs w:val="16"/>
            <w:lang w:val="es-419"/>
          </w:rPr>
          <w:t>https://www.unicef.org/ecuador/comunicados-prensa/los-ni%C3%B1os-no-pueden-seguir-sin-ir-la-escuela-afirma-unicef</w:t>
        </w:r>
      </w:hyperlink>
      <w:r w:rsidRPr="004011F7">
        <w:rPr>
          <w:rFonts w:ascii="MetaPro-Norm" w:hAnsi="MetaPro-Norm"/>
          <w:sz w:val="16"/>
          <w:szCs w:val="16"/>
          <w:lang w:val="es-419"/>
        </w:rPr>
        <w:t xml:space="preserve"> (</w:t>
      </w:r>
      <w:proofErr w:type="spellStart"/>
      <w:r w:rsidRPr="004011F7">
        <w:rPr>
          <w:rFonts w:ascii="MetaPro-Norm" w:hAnsi="MetaPro-Norm"/>
          <w:sz w:val="16"/>
          <w:szCs w:val="16"/>
          <w:lang w:val="es-419"/>
        </w:rPr>
        <w:t>accessed</w:t>
      </w:r>
      <w:proofErr w:type="spellEnd"/>
      <w:r w:rsidRPr="004011F7">
        <w:rPr>
          <w:rFonts w:ascii="MetaPro-Norm" w:hAnsi="MetaPro-Norm"/>
          <w:sz w:val="16"/>
          <w:szCs w:val="16"/>
          <w:lang w:val="es-419"/>
        </w:rPr>
        <w:t xml:space="preserve"> August 4, 2021). </w:t>
      </w:r>
    </w:p>
  </w:footnote>
  <w:footnote w:id="16">
    <w:p w14:paraId="257CCE77" w14:textId="77777777" w:rsidR="00090B70" w:rsidRPr="004011F7" w:rsidRDefault="00090B70" w:rsidP="00090B7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Human Rights Watch, “It’s a Constant Fight”: School-Related Sexual Violence and Young Survivors’ Struggle for Justice in Ecuador.</w:t>
      </w:r>
    </w:p>
  </w:footnote>
  <w:footnote w:id="17">
    <w:p w14:paraId="2EC03701" w14:textId="77777777" w:rsidR="008961E0" w:rsidRPr="004011F7"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Number out of a total number of 10,544 complaints registered by the Ministry of Education. Though school-related, the Ministry of Education counts cases involving school bus drivers as events happening outside of education institutions. Human Rights Watch included school bus drivers in this data analysis.</w:t>
      </w:r>
    </w:p>
  </w:footnote>
  <w:footnote w:id="18">
    <w:p w14:paraId="1F0AE447" w14:textId="77777777" w:rsidR="008961E0" w:rsidRPr="004011F7"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See, Human Rights Watch, “It’s a Constant Fight,” pp. 30 – 33.</w:t>
      </w:r>
    </w:p>
  </w:footnote>
  <w:footnote w:id="19">
    <w:p w14:paraId="38A9C48C" w14:textId="6DAC119F" w:rsidR="00AE2F02" w:rsidRPr="004011F7" w:rsidRDefault="00AE2F02">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w:t>
      </w:r>
      <w:r w:rsidR="001F7CCD" w:rsidRPr="004011F7">
        <w:rPr>
          <w:rFonts w:ascii="MetaPro-Norm" w:hAnsi="MetaPro-Norm"/>
          <w:sz w:val="16"/>
          <w:szCs w:val="16"/>
        </w:rPr>
        <w:t>See, Human Rights Watch, “It’s a Constant Fight,” pp. 56 – 69.</w:t>
      </w:r>
    </w:p>
  </w:footnote>
  <w:footnote w:id="20">
    <w:p w14:paraId="5AFBC46F" w14:textId="77777777" w:rsidR="008961E0" w:rsidRPr="004011F7" w:rsidRDefault="008961E0" w:rsidP="008961E0">
      <w:pPr>
        <w:pStyle w:val="FootnoteText"/>
        <w:rPr>
          <w:rFonts w:ascii="MetaPro-Norm" w:hAnsi="MetaPro-Norm"/>
          <w:sz w:val="16"/>
          <w:szCs w:val="16"/>
          <w:lang w:val="es-MX"/>
        </w:rPr>
      </w:pPr>
      <w:r w:rsidRPr="004011F7">
        <w:rPr>
          <w:rStyle w:val="FootnoteReference"/>
          <w:rFonts w:ascii="MetaPro-Norm" w:hAnsi="MetaPro-Norm"/>
          <w:sz w:val="16"/>
          <w:szCs w:val="16"/>
        </w:rPr>
        <w:footnoteRef/>
      </w:r>
      <w:r w:rsidRPr="004011F7">
        <w:rPr>
          <w:rFonts w:ascii="MetaPro-Norm" w:hAnsi="MetaPro-Norm"/>
          <w:sz w:val="16"/>
          <w:szCs w:val="16"/>
          <w:lang w:val="es-MX"/>
        </w:rPr>
        <w:t xml:space="preserve"> Ministerio de Economía y Finanzas, Proforma del Presupuesto General del Estado–Programa Anual de Inversiones Entidad–CUP Gastos (US </w:t>
      </w:r>
      <w:proofErr w:type="spellStart"/>
      <w:r w:rsidRPr="004011F7">
        <w:rPr>
          <w:rFonts w:ascii="MetaPro-Norm" w:hAnsi="MetaPro-Norm"/>
          <w:sz w:val="16"/>
          <w:szCs w:val="16"/>
          <w:lang w:val="es-MX"/>
        </w:rPr>
        <w:t>Dolares</w:t>
      </w:r>
      <w:proofErr w:type="spellEnd"/>
      <w:r w:rsidRPr="004011F7">
        <w:rPr>
          <w:rFonts w:ascii="MetaPro-Norm" w:hAnsi="MetaPro-Norm"/>
          <w:sz w:val="16"/>
          <w:szCs w:val="16"/>
          <w:lang w:val="es-MX"/>
        </w:rPr>
        <w:t xml:space="preserve">), Ejercicio: 2019, </w:t>
      </w:r>
      <w:proofErr w:type="spellStart"/>
      <w:r w:rsidRPr="004011F7">
        <w:rPr>
          <w:rFonts w:ascii="MetaPro-Norm" w:hAnsi="MetaPro-Norm"/>
          <w:sz w:val="16"/>
          <w:szCs w:val="16"/>
          <w:lang w:val="es-MX"/>
        </w:rPr>
        <w:t>copy</w:t>
      </w:r>
      <w:proofErr w:type="spellEnd"/>
      <w:r w:rsidRPr="004011F7">
        <w:rPr>
          <w:rFonts w:ascii="MetaPro-Norm" w:hAnsi="MetaPro-Norm"/>
          <w:sz w:val="16"/>
          <w:szCs w:val="16"/>
          <w:lang w:val="es-MX"/>
        </w:rPr>
        <w:t xml:space="preserve"> on file </w:t>
      </w:r>
      <w:proofErr w:type="spellStart"/>
      <w:r w:rsidRPr="004011F7">
        <w:rPr>
          <w:rFonts w:ascii="MetaPro-Norm" w:hAnsi="MetaPro-Norm"/>
          <w:sz w:val="16"/>
          <w:szCs w:val="16"/>
          <w:lang w:val="es-MX"/>
        </w:rPr>
        <w:t>with</w:t>
      </w:r>
      <w:proofErr w:type="spellEnd"/>
      <w:r w:rsidRPr="004011F7">
        <w:rPr>
          <w:rFonts w:ascii="MetaPro-Norm" w:hAnsi="MetaPro-Norm"/>
          <w:sz w:val="16"/>
          <w:szCs w:val="16"/>
          <w:lang w:val="es-MX"/>
        </w:rPr>
        <w:t xml:space="preserve"> Human Rights </w:t>
      </w:r>
      <w:proofErr w:type="spellStart"/>
      <w:r w:rsidRPr="004011F7">
        <w:rPr>
          <w:rFonts w:ascii="MetaPro-Norm" w:hAnsi="MetaPro-Norm"/>
          <w:sz w:val="16"/>
          <w:szCs w:val="16"/>
          <w:lang w:val="es-MX"/>
        </w:rPr>
        <w:t>Watch</w:t>
      </w:r>
      <w:proofErr w:type="spellEnd"/>
      <w:r w:rsidRPr="004011F7">
        <w:rPr>
          <w:rFonts w:ascii="MetaPro-Norm" w:hAnsi="MetaPro-Norm"/>
          <w:sz w:val="16"/>
          <w:szCs w:val="16"/>
          <w:lang w:val="es-MX"/>
        </w:rPr>
        <w:t xml:space="preserve">; Proforma del Presupuesto General del Estado–Consolidado por Plan Anual de Inversiones Entidad CUP–Egresos (US </w:t>
      </w:r>
      <w:proofErr w:type="spellStart"/>
      <w:r w:rsidRPr="004011F7">
        <w:rPr>
          <w:rFonts w:ascii="MetaPro-Norm" w:hAnsi="MetaPro-Norm"/>
          <w:sz w:val="16"/>
          <w:szCs w:val="16"/>
          <w:lang w:val="es-MX"/>
        </w:rPr>
        <w:t>Dolares</w:t>
      </w:r>
      <w:proofErr w:type="spellEnd"/>
      <w:r w:rsidRPr="004011F7">
        <w:rPr>
          <w:rFonts w:ascii="MetaPro-Norm" w:hAnsi="MetaPro-Norm"/>
          <w:sz w:val="16"/>
          <w:szCs w:val="16"/>
          <w:lang w:val="es-MX"/>
        </w:rPr>
        <w:t xml:space="preserve">), Ejercicio: 2020, </w:t>
      </w:r>
      <w:proofErr w:type="spellStart"/>
      <w:r w:rsidRPr="004011F7">
        <w:rPr>
          <w:rFonts w:ascii="MetaPro-Norm" w:hAnsi="MetaPro-Norm"/>
          <w:sz w:val="16"/>
          <w:szCs w:val="16"/>
          <w:lang w:val="es-MX"/>
        </w:rPr>
        <w:t>copy</w:t>
      </w:r>
      <w:proofErr w:type="spellEnd"/>
      <w:r w:rsidRPr="004011F7">
        <w:rPr>
          <w:rFonts w:ascii="MetaPro-Norm" w:hAnsi="MetaPro-Norm"/>
          <w:sz w:val="16"/>
          <w:szCs w:val="16"/>
          <w:lang w:val="es-MX"/>
        </w:rPr>
        <w:t xml:space="preserve"> on file </w:t>
      </w:r>
      <w:proofErr w:type="spellStart"/>
      <w:r w:rsidRPr="004011F7">
        <w:rPr>
          <w:rFonts w:ascii="MetaPro-Norm" w:hAnsi="MetaPro-Norm"/>
          <w:sz w:val="16"/>
          <w:szCs w:val="16"/>
          <w:lang w:val="es-MX"/>
        </w:rPr>
        <w:t>with</w:t>
      </w:r>
      <w:proofErr w:type="spellEnd"/>
      <w:r w:rsidRPr="004011F7">
        <w:rPr>
          <w:rFonts w:ascii="MetaPro-Norm" w:hAnsi="MetaPro-Norm"/>
          <w:sz w:val="16"/>
          <w:szCs w:val="16"/>
          <w:lang w:val="es-MX"/>
        </w:rPr>
        <w:t xml:space="preserve"> Human Rights </w:t>
      </w:r>
      <w:proofErr w:type="spellStart"/>
      <w:r w:rsidRPr="004011F7">
        <w:rPr>
          <w:rFonts w:ascii="MetaPro-Norm" w:hAnsi="MetaPro-Norm"/>
          <w:sz w:val="16"/>
          <w:szCs w:val="16"/>
          <w:lang w:val="es-MX"/>
        </w:rPr>
        <w:t>Watch</w:t>
      </w:r>
      <w:proofErr w:type="spellEnd"/>
      <w:r w:rsidRPr="004011F7">
        <w:rPr>
          <w:rFonts w:ascii="MetaPro-Norm" w:hAnsi="MetaPro-Norm"/>
          <w:sz w:val="16"/>
          <w:szCs w:val="16"/>
          <w:lang w:val="es-MX"/>
        </w:rPr>
        <w:t>.</w:t>
      </w:r>
    </w:p>
  </w:footnote>
  <w:footnote w:id="21">
    <w:p w14:paraId="07ABB6C3" w14:textId="77777777" w:rsidR="008961E0" w:rsidRPr="004011F7" w:rsidRDefault="008961E0" w:rsidP="008961E0">
      <w:pPr>
        <w:pStyle w:val="FootnoteText"/>
        <w:rPr>
          <w:rFonts w:ascii="MetaPro-Norm" w:hAnsi="MetaPro-Norm"/>
          <w:sz w:val="16"/>
          <w:szCs w:val="16"/>
          <w:lang w:val="es-MX"/>
        </w:rPr>
      </w:pPr>
      <w:r w:rsidRPr="004011F7">
        <w:rPr>
          <w:rStyle w:val="FootnoteReference"/>
          <w:rFonts w:ascii="MetaPro-Norm" w:hAnsi="MetaPro-Norm"/>
          <w:sz w:val="16"/>
          <w:szCs w:val="16"/>
        </w:rPr>
        <w:footnoteRef/>
      </w:r>
      <w:r w:rsidRPr="004011F7">
        <w:rPr>
          <w:rFonts w:ascii="MetaPro-Norm" w:hAnsi="MetaPro-Norm"/>
          <w:sz w:val="16"/>
          <w:szCs w:val="16"/>
          <w:lang w:val="es-MX"/>
        </w:rPr>
        <w:t xml:space="preserve"> Susana </w:t>
      </w:r>
      <w:r w:rsidRPr="004011F7">
        <w:rPr>
          <w:rFonts w:ascii="MetaPro-Norm" w:hAnsi="MetaPro-Norm"/>
          <w:sz w:val="16"/>
          <w:szCs w:val="16"/>
          <w:lang w:val="es-419"/>
        </w:rPr>
        <w:t xml:space="preserve">Roa </w:t>
      </w:r>
      <w:proofErr w:type="spellStart"/>
      <w:r w:rsidRPr="004011F7">
        <w:rPr>
          <w:rFonts w:ascii="MetaPro-Norm" w:hAnsi="MetaPro-Norm"/>
          <w:sz w:val="16"/>
          <w:szCs w:val="16"/>
          <w:lang w:val="es-419"/>
        </w:rPr>
        <w:t>Chejín</w:t>
      </w:r>
      <w:proofErr w:type="spellEnd"/>
      <w:r w:rsidRPr="004011F7">
        <w:rPr>
          <w:rFonts w:ascii="MetaPro-Norm" w:hAnsi="MetaPro-Norm"/>
          <w:sz w:val="16"/>
          <w:szCs w:val="16"/>
          <w:lang w:val="es-419"/>
        </w:rPr>
        <w:t xml:space="preserve">, “El país con la tasa más alta de embarazo adolescente podría quedarse sin presupuesto para prevenirlo,” </w:t>
      </w:r>
      <w:r w:rsidRPr="004011F7">
        <w:rPr>
          <w:rFonts w:ascii="MetaPro-Norm" w:hAnsi="MetaPro-Norm"/>
          <w:i/>
          <w:iCs/>
          <w:sz w:val="16"/>
          <w:szCs w:val="16"/>
          <w:lang w:val="es-419"/>
        </w:rPr>
        <w:t>GK</w:t>
      </w:r>
      <w:r w:rsidRPr="004011F7">
        <w:rPr>
          <w:rFonts w:ascii="MetaPro-Norm" w:hAnsi="MetaPro-Norm"/>
          <w:sz w:val="16"/>
          <w:szCs w:val="16"/>
          <w:lang w:val="es-419"/>
        </w:rPr>
        <w:t xml:space="preserve">, </w:t>
      </w:r>
      <w:proofErr w:type="spellStart"/>
      <w:r w:rsidRPr="004011F7">
        <w:rPr>
          <w:rFonts w:ascii="MetaPro-Norm" w:hAnsi="MetaPro-Norm"/>
          <w:sz w:val="16"/>
          <w:szCs w:val="16"/>
          <w:lang w:val="es-419"/>
        </w:rPr>
        <w:t>December</w:t>
      </w:r>
      <w:proofErr w:type="spellEnd"/>
      <w:r w:rsidRPr="004011F7">
        <w:rPr>
          <w:rFonts w:ascii="MetaPro-Norm" w:hAnsi="MetaPro-Norm"/>
          <w:sz w:val="16"/>
          <w:szCs w:val="16"/>
          <w:lang w:val="es-419"/>
        </w:rPr>
        <w:t xml:space="preserve"> 9, 2019, https://gk.city/2019/12/09/prevencion-embarazo-adolescente-ecuador-presupuesto/ (</w:t>
      </w:r>
      <w:proofErr w:type="spellStart"/>
      <w:r w:rsidRPr="004011F7">
        <w:rPr>
          <w:rFonts w:ascii="MetaPro-Norm" w:hAnsi="MetaPro-Norm"/>
          <w:sz w:val="16"/>
          <w:szCs w:val="16"/>
          <w:lang w:val="es-419"/>
        </w:rPr>
        <w:t>accessed</w:t>
      </w:r>
      <w:proofErr w:type="spellEnd"/>
      <w:r w:rsidRPr="004011F7">
        <w:rPr>
          <w:rFonts w:ascii="MetaPro-Norm" w:hAnsi="MetaPro-Norm"/>
          <w:sz w:val="16"/>
          <w:szCs w:val="16"/>
          <w:lang w:val="es-419"/>
        </w:rPr>
        <w:t xml:space="preserve"> </w:t>
      </w:r>
      <w:proofErr w:type="spellStart"/>
      <w:r w:rsidRPr="004011F7">
        <w:rPr>
          <w:rFonts w:ascii="MetaPro-Norm" w:hAnsi="MetaPro-Norm"/>
          <w:sz w:val="16"/>
          <w:szCs w:val="16"/>
          <w:lang w:val="es-419"/>
        </w:rPr>
        <w:t>July</w:t>
      </w:r>
      <w:proofErr w:type="spellEnd"/>
      <w:r w:rsidRPr="004011F7">
        <w:rPr>
          <w:rFonts w:ascii="MetaPro-Norm" w:hAnsi="MetaPro-Norm"/>
          <w:sz w:val="16"/>
          <w:szCs w:val="16"/>
          <w:lang w:val="es-419"/>
        </w:rPr>
        <w:t xml:space="preserve"> 15, 2020).</w:t>
      </w:r>
    </w:p>
  </w:footnote>
  <w:footnote w:id="22">
    <w:p w14:paraId="455D5E46" w14:textId="7B110C3B" w:rsidR="00CF51AB" w:rsidRPr="004011F7" w:rsidRDefault="00CF51AB">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w:t>
      </w:r>
      <w:r w:rsidR="00A71B9C" w:rsidRPr="004011F7">
        <w:rPr>
          <w:rFonts w:ascii="MetaPro-Norm" w:hAnsi="MetaPro-Norm"/>
          <w:sz w:val="16"/>
          <w:szCs w:val="16"/>
        </w:rPr>
        <w:t>See, Human Rights Watch, “It’s a Constant Fight,” p. 51.</w:t>
      </w:r>
    </w:p>
  </w:footnote>
  <w:footnote w:id="23">
    <w:p w14:paraId="43096A64" w14:textId="77777777" w:rsidR="008961E0" w:rsidRPr="004011F7" w:rsidRDefault="008961E0" w:rsidP="008961E0">
      <w:pPr>
        <w:pStyle w:val="FootnoteText"/>
        <w:rPr>
          <w:rFonts w:ascii="MetaPro-Norm" w:hAnsi="MetaPro-Norm"/>
          <w:sz w:val="16"/>
          <w:szCs w:val="16"/>
          <w:lang w:val="es-MX"/>
        </w:rPr>
      </w:pPr>
      <w:r w:rsidRPr="004011F7">
        <w:rPr>
          <w:rStyle w:val="FootnoteReference"/>
          <w:rFonts w:ascii="MetaPro-Norm" w:hAnsi="MetaPro-Norm" w:cs="Times New Roman"/>
          <w:sz w:val="16"/>
          <w:szCs w:val="16"/>
        </w:rPr>
        <w:footnoteRef/>
      </w:r>
      <w:r w:rsidRPr="004011F7">
        <w:rPr>
          <w:rFonts w:ascii="MetaPro-Norm" w:hAnsi="MetaPro-Norm" w:cs="Times New Roman"/>
          <w:sz w:val="16"/>
          <w:szCs w:val="16"/>
          <w:lang w:val="es-MX"/>
        </w:rPr>
        <w:t xml:space="preserve"> Ana María Carvajal, “Las cifras de embarazos en el país crecieron en niñas de 10 a 14 años,” </w:t>
      </w:r>
      <w:r w:rsidRPr="004011F7">
        <w:rPr>
          <w:rFonts w:ascii="MetaPro-Norm" w:hAnsi="MetaPro-Norm" w:cs="Times New Roman"/>
          <w:i/>
          <w:iCs/>
          <w:sz w:val="16"/>
          <w:szCs w:val="16"/>
          <w:lang w:val="es-MX"/>
        </w:rPr>
        <w:t>El Comercio</w:t>
      </w:r>
      <w:r w:rsidRPr="004011F7">
        <w:rPr>
          <w:rFonts w:ascii="MetaPro-Norm" w:hAnsi="MetaPro-Norm" w:cs="Times New Roman"/>
          <w:sz w:val="16"/>
          <w:szCs w:val="16"/>
          <w:lang w:val="es-MX"/>
        </w:rPr>
        <w:t xml:space="preserve">, March 2, 2015, https://www.elcomercio.com/tendencias/cifras-embarazosadolescentes-ecuador-enipla-planfamiliaecuador.html </w:t>
      </w:r>
      <w:r w:rsidRPr="004011F7">
        <w:rPr>
          <w:rStyle w:val="Hyperlink"/>
          <w:rFonts w:ascii="MetaPro-Norm" w:hAnsi="MetaPro-Norm" w:cs="Times New Roman"/>
          <w:sz w:val="16"/>
          <w:szCs w:val="16"/>
          <w:lang w:val="es-ES"/>
        </w:rPr>
        <w:t>(</w:t>
      </w:r>
      <w:proofErr w:type="spellStart"/>
      <w:r w:rsidRPr="004011F7">
        <w:rPr>
          <w:rStyle w:val="Hyperlink"/>
          <w:rFonts w:ascii="MetaPro-Norm" w:hAnsi="MetaPro-Norm" w:cs="Times New Roman"/>
          <w:sz w:val="16"/>
          <w:szCs w:val="16"/>
          <w:lang w:val="es-ES"/>
        </w:rPr>
        <w:t>accessed</w:t>
      </w:r>
      <w:proofErr w:type="spellEnd"/>
      <w:r w:rsidRPr="004011F7">
        <w:rPr>
          <w:rStyle w:val="Hyperlink"/>
          <w:rFonts w:ascii="MetaPro-Norm" w:hAnsi="MetaPro-Norm" w:cs="Times New Roman"/>
          <w:sz w:val="16"/>
          <w:szCs w:val="16"/>
          <w:lang w:val="es-ES"/>
        </w:rPr>
        <w:t xml:space="preserve"> August 31, 2020).</w:t>
      </w:r>
    </w:p>
  </w:footnote>
  <w:footnote w:id="24">
    <w:p w14:paraId="2E3278FA" w14:textId="77777777" w:rsidR="008961E0" w:rsidRPr="004011F7" w:rsidRDefault="008961E0" w:rsidP="008961E0">
      <w:pPr>
        <w:pStyle w:val="FootnoteText"/>
        <w:rPr>
          <w:rFonts w:ascii="MetaPro-Norm" w:hAnsi="MetaPro-Norm"/>
          <w:sz w:val="16"/>
          <w:szCs w:val="16"/>
          <w:lang w:val="es-419"/>
        </w:rPr>
      </w:pPr>
      <w:r w:rsidRPr="004011F7">
        <w:rPr>
          <w:rStyle w:val="FootnoteReference"/>
          <w:rFonts w:ascii="MetaPro-Norm" w:hAnsi="MetaPro-Norm"/>
          <w:sz w:val="16"/>
          <w:szCs w:val="16"/>
        </w:rPr>
        <w:footnoteRef/>
      </w:r>
      <w:r w:rsidRPr="004011F7">
        <w:rPr>
          <w:rFonts w:ascii="MetaPro-Norm" w:hAnsi="MetaPro-Norm"/>
          <w:sz w:val="16"/>
          <w:szCs w:val="16"/>
          <w:lang w:val="es-419"/>
        </w:rPr>
        <w:t xml:space="preserve"> Ministerio de Salud Pública, Ministerio de Educación, et al., </w:t>
      </w:r>
      <w:r w:rsidRPr="004011F7">
        <w:rPr>
          <w:rFonts w:ascii="MetaPro-Norm" w:hAnsi="MetaPro-Norm"/>
          <w:i/>
          <w:iCs/>
          <w:sz w:val="16"/>
          <w:szCs w:val="16"/>
          <w:lang w:val="es-419"/>
        </w:rPr>
        <w:t>Política Intersectorial de Prevención del Embarazo en Niñas y Adolescentes</w:t>
      </w:r>
      <w:r w:rsidRPr="004011F7">
        <w:rPr>
          <w:rFonts w:ascii="MetaPro-Norm" w:hAnsi="MetaPro-Norm"/>
          <w:sz w:val="16"/>
          <w:szCs w:val="16"/>
          <w:lang w:val="es-419"/>
        </w:rPr>
        <w:t xml:space="preserve">, </w:t>
      </w:r>
      <w:r w:rsidRPr="004011F7">
        <w:rPr>
          <w:rFonts w:ascii="MetaPro-Norm" w:hAnsi="MetaPro-Norm"/>
          <w:i/>
          <w:iCs/>
          <w:sz w:val="16"/>
          <w:szCs w:val="16"/>
          <w:lang w:val="es-419"/>
        </w:rPr>
        <w:t>Ecuador 2018-2025</w:t>
      </w:r>
      <w:r w:rsidRPr="004011F7">
        <w:rPr>
          <w:rFonts w:ascii="MetaPro-Norm" w:hAnsi="MetaPro-Norm"/>
          <w:sz w:val="16"/>
          <w:szCs w:val="16"/>
          <w:lang w:val="es-419"/>
        </w:rPr>
        <w:t xml:space="preserve">, </w:t>
      </w:r>
      <w:proofErr w:type="spellStart"/>
      <w:r w:rsidRPr="004011F7">
        <w:rPr>
          <w:rFonts w:ascii="MetaPro-Norm" w:hAnsi="MetaPro-Norm"/>
          <w:sz w:val="16"/>
          <w:szCs w:val="16"/>
          <w:lang w:val="es-419"/>
        </w:rPr>
        <w:t>July</w:t>
      </w:r>
      <w:proofErr w:type="spellEnd"/>
      <w:r w:rsidRPr="004011F7">
        <w:rPr>
          <w:rFonts w:ascii="MetaPro-Norm" w:hAnsi="MetaPro-Norm"/>
          <w:sz w:val="16"/>
          <w:szCs w:val="16"/>
          <w:lang w:val="es-419"/>
        </w:rPr>
        <w:t xml:space="preserve"> 2018, </w:t>
      </w:r>
      <w:r w:rsidRPr="004011F7">
        <w:rPr>
          <w:rFonts w:ascii="MetaPro-Norm" w:hAnsi="MetaPro-Norm"/>
          <w:sz w:val="16"/>
          <w:szCs w:val="16"/>
          <w:lang w:val="es-MX"/>
        </w:rPr>
        <w:t>https://ecuador.unfpa.org/sites/default/files/pub-pdf/Politica_Interseccional%20%282%29.pdf (</w:t>
      </w:r>
      <w:proofErr w:type="spellStart"/>
      <w:r w:rsidRPr="004011F7">
        <w:rPr>
          <w:rFonts w:ascii="MetaPro-Norm" w:hAnsi="MetaPro-Norm"/>
          <w:sz w:val="16"/>
          <w:szCs w:val="16"/>
          <w:lang w:val="es-MX"/>
        </w:rPr>
        <w:t>accessed</w:t>
      </w:r>
      <w:proofErr w:type="spellEnd"/>
      <w:r w:rsidRPr="004011F7">
        <w:rPr>
          <w:rFonts w:ascii="MetaPro-Norm" w:hAnsi="MetaPro-Norm"/>
          <w:sz w:val="16"/>
          <w:szCs w:val="16"/>
          <w:lang w:val="es-MX"/>
        </w:rPr>
        <w:t xml:space="preserve"> </w:t>
      </w:r>
      <w:proofErr w:type="spellStart"/>
      <w:r w:rsidRPr="004011F7">
        <w:rPr>
          <w:rFonts w:ascii="MetaPro-Norm" w:hAnsi="MetaPro-Norm"/>
          <w:sz w:val="16"/>
          <w:szCs w:val="16"/>
          <w:lang w:val="es-MX"/>
        </w:rPr>
        <w:t>July</w:t>
      </w:r>
      <w:proofErr w:type="spellEnd"/>
      <w:r w:rsidRPr="004011F7">
        <w:rPr>
          <w:rFonts w:ascii="MetaPro-Norm" w:hAnsi="MetaPro-Norm"/>
          <w:sz w:val="16"/>
          <w:szCs w:val="16"/>
          <w:lang w:val="es-MX"/>
        </w:rPr>
        <w:t xml:space="preserve"> 15, 2020).</w:t>
      </w:r>
    </w:p>
  </w:footnote>
  <w:footnote w:id="25">
    <w:p w14:paraId="6157D361" w14:textId="77777777" w:rsidR="008961E0" w:rsidRPr="004011F7" w:rsidRDefault="008961E0" w:rsidP="008961E0">
      <w:pPr>
        <w:pStyle w:val="FootnoteText"/>
        <w:rPr>
          <w:rFonts w:ascii="MetaPro-Norm" w:hAnsi="MetaPro-Norm"/>
          <w:sz w:val="16"/>
          <w:szCs w:val="16"/>
          <w:lang w:val="es-419"/>
        </w:rPr>
      </w:pPr>
      <w:r w:rsidRPr="004011F7">
        <w:rPr>
          <w:rStyle w:val="FootnoteReference"/>
          <w:rFonts w:ascii="MetaPro-Norm" w:hAnsi="MetaPro-Norm"/>
          <w:sz w:val="16"/>
          <w:szCs w:val="16"/>
        </w:rPr>
        <w:footnoteRef/>
      </w:r>
      <w:r w:rsidRPr="004011F7">
        <w:rPr>
          <w:rFonts w:ascii="MetaPro-Norm" w:hAnsi="MetaPro-Norm"/>
          <w:sz w:val="16"/>
          <w:szCs w:val="16"/>
          <w:lang w:val="es-419"/>
        </w:rPr>
        <w:t xml:space="preserve"> Consejo Nacional para la Igualdad de Género, </w:t>
      </w:r>
      <w:r w:rsidRPr="004011F7">
        <w:rPr>
          <w:rFonts w:ascii="MetaPro-Norm" w:hAnsi="MetaPro-Norm"/>
          <w:i/>
          <w:iCs/>
          <w:sz w:val="16"/>
          <w:szCs w:val="16"/>
          <w:lang w:val="es-419"/>
        </w:rPr>
        <w:t>Guía de Orientaciones técnicas para prevenir y combatir la discriminación por diversidad sexual e identidad de género en el sistema educativo nacional</w:t>
      </w:r>
      <w:r w:rsidRPr="004011F7">
        <w:rPr>
          <w:rFonts w:ascii="MetaPro-Norm" w:hAnsi="MetaPro-Norm"/>
          <w:sz w:val="16"/>
          <w:szCs w:val="16"/>
          <w:lang w:val="es-419"/>
        </w:rPr>
        <w:t>, 2018, https://www.igualdadgenero.gob.ec/wp-content/uploads/2019/02/GU%C3%8DADIVERSIDADES_FINAL.pdf (</w:t>
      </w:r>
      <w:proofErr w:type="spellStart"/>
      <w:r w:rsidRPr="004011F7">
        <w:rPr>
          <w:rFonts w:ascii="MetaPro-Norm" w:hAnsi="MetaPro-Norm"/>
          <w:sz w:val="16"/>
          <w:szCs w:val="16"/>
          <w:lang w:val="es-419"/>
        </w:rPr>
        <w:t>accessed</w:t>
      </w:r>
      <w:proofErr w:type="spellEnd"/>
      <w:r w:rsidRPr="004011F7">
        <w:rPr>
          <w:rFonts w:ascii="MetaPro-Norm" w:hAnsi="MetaPro-Norm"/>
          <w:sz w:val="16"/>
          <w:szCs w:val="16"/>
          <w:lang w:val="es-419"/>
        </w:rPr>
        <w:t xml:space="preserve"> </w:t>
      </w:r>
      <w:proofErr w:type="spellStart"/>
      <w:r w:rsidRPr="004011F7">
        <w:rPr>
          <w:rFonts w:ascii="MetaPro-Norm" w:hAnsi="MetaPro-Norm"/>
          <w:sz w:val="16"/>
          <w:szCs w:val="16"/>
          <w:lang w:val="es-419"/>
        </w:rPr>
        <w:t>October</w:t>
      </w:r>
      <w:proofErr w:type="spellEnd"/>
      <w:r w:rsidRPr="004011F7">
        <w:rPr>
          <w:rFonts w:ascii="MetaPro-Norm" w:hAnsi="MetaPro-Norm"/>
          <w:sz w:val="16"/>
          <w:szCs w:val="16"/>
          <w:lang w:val="es-419"/>
        </w:rPr>
        <w:t xml:space="preserve"> 10, 2020).</w:t>
      </w:r>
    </w:p>
  </w:footnote>
  <w:footnote w:id="26">
    <w:p w14:paraId="015511CD" w14:textId="77777777" w:rsidR="008961E0" w:rsidRPr="004011F7" w:rsidRDefault="008961E0" w:rsidP="008961E0">
      <w:pPr>
        <w:pStyle w:val="FootnoteText"/>
        <w:rPr>
          <w:rFonts w:ascii="MetaPro-Norm" w:hAnsi="MetaPro-Norm"/>
          <w:sz w:val="16"/>
          <w:szCs w:val="16"/>
          <w:lang w:val="es-419"/>
        </w:rPr>
      </w:pPr>
      <w:r w:rsidRPr="004011F7">
        <w:rPr>
          <w:rStyle w:val="FootnoteReference"/>
          <w:rFonts w:ascii="MetaPro-Norm" w:hAnsi="MetaPro-Norm"/>
          <w:sz w:val="16"/>
          <w:szCs w:val="16"/>
        </w:rPr>
        <w:footnoteRef/>
      </w:r>
      <w:r w:rsidRPr="004011F7">
        <w:rPr>
          <w:rFonts w:ascii="MetaPro-Norm" w:hAnsi="MetaPro-Norm"/>
          <w:sz w:val="16"/>
          <w:szCs w:val="16"/>
          <w:lang w:val="es-419"/>
        </w:rPr>
        <w:t xml:space="preserve"> Ley Orgánica de Educación Intercultural (LOEI), 2011, </w:t>
      </w:r>
    </w:p>
    <w:p w14:paraId="3798859E" w14:textId="77777777" w:rsidR="008961E0" w:rsidRPr="004011F7" w:rsidRDefault="008961E0" w:rsidP="008961E0">
      <w:pPr>
        <w:pStyle w:val="FootnoteText"/>
        <w:rPr>
          <w:rFonts w:ascii="MetaPro-Norm" w:hAnsi="MetaPro-Norm"/>
          <w:sz w:val="16"/>
          <w:szCs w:val="16"/>
        </w:rPr>
      </w:pPr>
      <w:r w:rsidRPr="004011F7">
        <w:rPr>
          <w:rFonts w:ascii="MetaPro-Norm" w:hAnsi="MetaPro-Norm"/>
          <w:sz w:val="16"/>
          <w:szCs w:val="16"/>
        </w:rPr>
        <w:t>https://educacion.gob.ec/wp-content/uploads/downloads/2020/06/LOEI.pdf (accessed July 9, 2021), art. 3 (unofficial translation by Human Rights Watch).</w:t>
      </w:r>
    </w:p>
  </w:footnote>
  <w:footnote w:id="27">
    <w:p w14:paraId="46BE083F" w14:textId="77777777" w:rsidR="008961E0" w:rsidRPr="004011F7"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Human Rights Watch analysis of Ministry of Education data from 2014 to September 2020. </w:t>
      </w:r>
    </w:p>
  </w:footnote>
  <w:footnote w:id="28">
    <w:p w14:paraId="034F2E29" w14:textId="024756FF" w:rsidR="008961E0" w:rsidRPr="004011F7"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Human Rights Watch analysis based on data from the Prosecutor’s Office “Sistema </w:t>
      </w:r>
      <w:proofErr w:type="spellStart"/>
      <w:r w:rsidRPr="004011F7">
        <w:rPr>
          <w:rFonts w:ascii="MetaPro-Norm" w:hAnsi="MetaPro-Norm"/>
          <w:sz w:val="16"/>
          <w:szCs w:val="16"/>
        </w:rPr>
        <w:t>Integrado</w:t>
      </w:r>
      <w:proofErr w:type="spellEnd"/>
      <w:r w:rsidRPr="004011F7">
        <w:rPr>
          <w:rFonts w:ascii="MetaPro-Norm" w:hAnsi="MetaPro-Norm"/>
          <w:sz w:val="16"/>
          <w:szCs w:val="16"/>
        </w:rPr>
        <w:t xml:space="preserve"> de </w:t>
      </w:r>
      <w:proofErr w:type="spellStart"/>
      <w:r w:rsidRPr="004011F7">
        <w:rPr>
          <w:rFonts w:ascii="MetaPro-Norm" w:hAnsi="MetaPro-Norm"/>
          <w:sz w:val="16"/>
          <w:szCs w:val="16"/>
        </w:rPr>
        <w:t>Actuaciones</w:t>
      </w:r>
      <w:proofErr w:type="spellEnd"/>
      <w:r w:rsidRPr="004011F7">
        <w:rPr>
          <w:rFonts w:ascii="MetaPro-Norm" w:hAnsi="MetaPro-Norm"/>
          <w:sz w:val="16"/>
          <w:szCs w:val="16"/>
        </w:rPr>
        <w:t xml:space="preserve"> </w:t>
      </w:r>
      <w:proofErr w:type="spellStart"/>
      <w:r w:rsidRPr="004011F7">
        <w:rPr>
          <w:rFonts w:ascii="MetaPro-Norm" w:hAnsi="MetaPro-Norm"/>
          <w:sz w:val="16"/>
          <w:szCs w:val="16"/>
        </w:rPr>
        <w:t>Fiscales</w:t>
      </w:r>
      <w:proofErr w:type="spellEnd"/>
      <w:r w:rsidRPr="004011F7">
        <w:rPr>
          <w:rFonts w:ascii="MetaPro-Norm" w:hAnsi="MetaPro-Norm"/>
          <w:sz w:val="16"/>
          <w:szCs w:val="16"/>
        </w:rPr>
        <w:t xml:space="preserve">” (SIAF), from January 2015 to September 2020. See, </w:t>
      </w:r>
      <w:r w:rsidR="00EF4A54" w:rsidRPr="004011F7">
        <w:rPr>
          <w:rFonts w:ascii="MetaPro-Norm" w:hAnsi="MetaPro-Norm"/>
          <w:sz w:val="16"/>
          <w:szCs w:val="16"/>
        </w:rPr>
        <w:t xml:space="preserve">Human Rights Watch, </w:t>
      </w:r>
      <w:r w:rsidR="003921C5" w:rsidRPr="004011F7">
        <w:rPr>
          <w:rFonts w:ascii="MetaPro-Norm" w:hAnsi="MetaPro-Norm"/>
          <w:sz w:val="16"/>
          <w:szCs w:val="16"/>
        </w:rPr>
        <w:t xml:space="preserve">“It’s a Constant Fight,” </w:t>
      </w:r>
      <w:r w:rsidR="00621852" w:rsidRPr="004011F7">
        <w:rPr>
          <w:rFonts w:ascii="MetaPro-Norm" w:hAnsi="MetaPro-Norm"/>
          <w:sz w:val="16"/>
          <w:szCs w:val="16"/>
        </w:rPr>
        <w:t xml:space="preserve">section </w:t>
      </w:r>
      <w:r w:rsidRPr="004011F7">
        <w:rPr>
          <w:rFonts w:ascii="MetaPro-Norm" w:hAnsi="MetaPro-Norm"/>
          <w:sz w:val="16"/>
          <w:szCs w:val="16"/>
        </w:rPr>
        <w:t>“Government Data Shows Very High Levels of School-Related Sexual Violence” for further information</w:t>
      </w:r>
      <w:r w:rsidR="00EF4A54" w:rsidRPr="004011F7">
        <w:rPr>
          <w:rFonts w:ascii="MetaPro-Norm" w:hAnsi="MetaPro-Norm"/>
          <w:sz w:val="16"/>
          <w:szCs w:val="16"/>
        </w:rPr>
        <w:t>, pp. 31 – 34.</w:t>
      </w:r>
    </w:p>
  </w:footnote>
  <w:footnote w:id="29">
    <w:p w14:paraId="0FAA8322" w14:textId="77777777" w:rsidR="008961E0" w:rsidRPr="004011F7"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Ibid. </w:t>
      </w:r>
    </w:p>
  </w:footnote>
  <w:footnote w:id="30">
    <w:p w14:paraId="332B1DE0" w14:textId="614E5FC3" w:rsidR="00296C29" w:rsidRPr="004011F7" w:rsidRDefault="00296C29">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See, UNICEF, COVID-19 and its implications for protecting children online, April 2020, </w:t>
      </w:r>
      <w:hyperlink r:id="rId4" w:history="1">
        <w:r w:rsidRPr="004011F7">
          <w:rPr>
            <w:rStyle w:val="Hyperlink"/>
            <w:rFonts w:ascii="MetaPro-Norm" w:hAnsi="MetaPro-Norm"/>
            <w:sz w:val="16"/>
            <w:szCs w:val="16"/>
          </w:rPr>
          <w:t>https://www.unicef.org/media/67396/file/COVID-19%20and%20Its%20Implications%20for%20Protecting%20Children%20Online.pdf</w:t>
        </w:r>
      </w:hyperlink>
      <w:r w:rsidRPr="004011F7">
        <w:rPr>
          <w:rFonts w:ascii="MetaPro-Norm" w:hAnsi="MetaPro-Norm"/>
          <w:sz w:val="16"/>
          <w:szCs w:val="16"/>
        </w:rPr>
        <w:t xml:space="preserve"> (accessed August 4, 2021).</w:t>
      </w:r>
    </w:p>
  </w:footnote>
  <w:footnote w:id="31">
    <w:p w14:paraId="0AFA813E" w14:textId="21C1EA67" w:rsidR="008961E0" w:rsidRPr="004011F7" w:rsidDel="0029211E"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w:t>
      </w:r>
      <w:r w:rsidR="001B78AE" w:rsidRPr="004011F7">
        <w:rPr>
          <w:rFonts w:ascii="MetaPro-Norm" w:hAnsi="MetaPro-Norm"/>
          <w:sz w:val="16"/>
          <w:szCs w:val="16"/>
        </w:rPr>
        <w:t>See</w:t>
      </w:r>
      <w:r w:rsidRPr="004011F7">
        <w:rPr>
          <w:rFonts w:ascii="MetaPro-Norm" w:hAnsi="MetaPro-Norm"/>
          <w:sz w:val="16"/>
          <w:szCs w:val="16"/>
        </w:rPr>
        <w:t xml:space="preserve">, </w:t>
      </w:r>
      <w:r w:rsidRPr="004011F7">
        <w:rPr>
          <w:rFonts w:ascii="MetaPro-Norm" w:hAnsi="MetaPro-Norm"/>
          <w:i/>
          <w:iCs/>
          <w:sz w:val="16"/>
          <w:szCs w:val="16"/>
        </w:rPr>
        <w:t xml:space="preserve">“Why Do They Want to Make Me Suffer Again?” The Impact of Abortion Prosecutions in </w:t>
      </w:r>
      <w:r w:rsidRPr="004011F7">
        <w:rPr>
          <w:rFonts w:ascii="MetaPro-Norm" w:hAnsi="MetaPro-Norm"/>
          <w:i/>
          <w:sz w:val="16"/>
          <w:szCs w:val="16"/>
        </w:rPr>
        <w:t>Ecuador</w:t>
      </w:r>
      <w:r w:rsidRPr="004011F7">
        <w:rPr>
          <w:rFonts w:ascii="MetaPro-Norm" w:hAnsi="MetaPro-Norm"/>
          <w:sz w:val="16"/>
          <w:szCs w:val="16"/>
        </w:rPr>
        <w:t>, July 2021</w:t>
      </w:r>
      <w:r w:rsidR="00621852" w:rsidRPr="004011F7">
        <w:rPr>
          <w:rFonts w:ascii="MetaPro-Norm" w:hAnsi="MetaPro-Norm"/>
          <w:sz w:val="16"/>
          <w:szCs w:val="16"/>
        </w:rPr>
        <w:t xml:space="preserve">, pp </w:t>
      </w:r>
      <w:r w:rsidR="000B44E2" w:rsidRPr="004011F7">
        <w:rPr>
          <w:rFonts w:ascii="MetaPro-Norm" w:hAnsi="MetaPro-Norm"/>
          <w:sz w:val="16"/>
          <w:szCs w:val="16"/>
        </w:rPr>
        <w:t>75</w:t>
      </w:r>
      <w:r w:rsidR="00621852" w:rsidRPr="004011F7">
        <w:rPr>
          <w:rFonts w:ascii="MetaPro-Norm" w:hAnsi="MetaPro-Norm"/>
          <w:sz w:val="16"/>
          <w:szCs w:val="16"/>
        </w:rPr>
        <w:t>.</w:t>
      </w:r>
    </w:p>
  </w:footnote>
  <w:footnote w:id="32">
    <w:p w14:paraId="473CCEA3" w14:textId="77777777" w:rsidR="008961E0" w:rsidRPr="004011F7" w:rsidDel="0029211E" w:rsidRDefault="008961E0" w:rsidP="008961E0">
      <w:pPr>
        <w:pStyle w:val="FootnoteText"/>
        <w:rPr>
          <w:rFonts w:ascii="MetaPro-Norm" w:hAnsi="MetaPro-Norm"/>
          <w:sz w:val="16"/>
          <w:szCs w:val="16"/>
        </w:rPr>
      </w:pPr>
      <w:r w:rsidRPr="004011F7">
        <w:rPr>
          <w:rStyle w:val="FootnoteReference"/>
          <w:rFonts w:ascii="MetaPro-Norm" w:hAnsi="MetaPro-Norm"/>
          <w:sz w:val="16"/>
          <w:szCs w:val="16"/>
        </w:rPr>
        <w:footnoteRef/>
      </w:r>
      <w:r w:rsidRPr="004011F7">
        <w:rPr>
          <w:rFonts w:ascii="MetaPro-Norm" w:hAnsi="MetaPro-Norm"/>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B83"/>
    <w:multiLevelType w:val="hybridMultilevel"/>
    <w:tmpl w:val="509A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5623D"/>
    <w:multiLevelType w:val="hybridMultilevel"/>
    <w:tmpl w:val="EB9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C7DD7"/>
    <w:multiLevelType w:val="hybridMultilevel"/>
    <w:tmpl w:val="E2E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430E0"/>
    <w:multiLevelType w:val="hybridMultilevel"/>
    <w:tmpl w:val="EC1E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7F70"/>
    <w:multiLevelType w:val="hybridMultilevel"/>
    <w:tmpl w:val="6A549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2003D"/>
    <w:multiLevelType w:val="hybridMultilevel"/>
    <w:tmpl w:val="48B2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76BFE"/>
    <w:multiLevelType w:val="multilevel"/>
    <w:tmpl w:val="832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A11DE8"/>
    <w:multiLevelType w:val="hybridMultilevel"/>
    <w:tmpl w:val="22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C42D7"/>
    <w:multiLevelType w:val="hybridMultilevel"/>
    <w:tmpl w:val="EB14F486"/>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F43A72"/>
    <w:multiLevelType w:val="multilevel"/>
    <w:tmpl w:val="B122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7"/>
  </w:num>
  <w:num w:numId="6">
    <w:abstractNumId w:val="1"/>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E0"/>
    <w:rsid w:val="00000326"/>
    <w:rsid w:val="000151F2"/>
    <w:rsid w:val="000201AF"/>
    <w:rsid w:val="00023EC2"/>
    <w:rsid w:val="0002693F"/>
    <w:rsid w:val="000270C8"/>
    <w:rsid w:val="00032177"/>
    <w:rsid w:val="000415C8"/>
    <w:rsid w:val="000439C6"/>
    <w:rsid w:val="00046EAF"/>
    <w:rsid w:val="0004716D"/>
    <w:rsid w:val="000506E3"/>
    <w:rsid w:val="000507D6"/>
    <w:rsid w:val="00052AD9"/>
    <w:rsid w:val="000601F0"/>
    <w:rsid w:val="000645E0"/>
    <w:rsid w:val="000831C0"/>
    <w:rsid w:val="00084124"/>
    <w:rsid w:val="00090B70"/>
    <w:rsid w:val="00092577"/>
    <w:rsid w:val="00093D99"/>
    <w:rsid w:val="00096790"/>
    <w:rsid w:val="000A0145"/>
    <w:rsid w:val="000A5F8B"/>
    <w:rsid w:val="000A69C9"/>
    <w:rsid w:val="000B32E7"/>
    <w:rsid w:val="000B44E2"/>
    <w:rsid w:val="000C214E"/>
    <w:rsid w:val="000C5516"/>
    <w:rsid w:val="000D1053"/>
    <w:rsid w:val="000D1F1B"/>
    <w:rsid w:val="000D486B"/>
    <w:rsid w:val="000D48F0"/>
    <w:rsid w:val="000D665D"/>
    <w:rsid w:val="000F6D01"/>
    <w:rsid w:val="0010156D"/>
    <w:rsid w:val="00106E0D"/>
    <w:rsid w:val="00110FB9"/>
    <w:rsid w:val="001207B6"/>
    <w:rsid w:val="00143F82"/>
    <w:rsid w:val="00147DEE"/>
    <w:rsid w:val="001574DB"/>
    <w:rsid w:val="001621F9"/>
    <w:rsid w:val="001653A9"/>
    <w:rsid w:val="00170C73"/>
    <w:rsid w:val="0017261F"/>
    <w:rsid w:val="00196663"/>
    <w:rsid w:val="001A6B12"/>
    <w:rsid w:val="001B454E"/>
    <w:rsid w:val="001B78AE"/>
    <w:rsid w:val="001C721E"/>
    <w:rsid w:val="001D47E1"/>
    <w:rsid w:val="001E250B"/>
    <w:rsid w:val="001F0D06"/>
    <w:rsid w:val="001F4F18"/>
    <w:rsid w:val="001F6157"/>
    <w:rsid w:val="001F6D61"/>
    <w:rsid w:val="001F7CCD"/>
    <w:rsid w:val="002018BB"/>
    <w:rsid w:val="0020190D"/>
    <w:rsid w:val="0020755E"/>
    <w:rsid w:val="002165A4"/>
    <w:rsid w:val="0022120E"/>
    <w:rsid w:val="0022293F"/>
    <w:rsid w:val="0023209F"/>
    <w:rsid w:val="00237123"/>
    <w:rsid w:val="00262BDD"/>
    <w:rsid w:val="002744DB"/>
    <w:rsid w:val="002752B0"/>
    <w:rsid w:val="00284EBE"/>
    <w:rsid w:val="00285C12"/>
    <w:rsid w:val="0028636A"/>
    <w:rsid w:val="00295D52"/>
    <w:rsid w:val="00296C29"/>
    <w:rsid w:val="002A3B39"/>
    <w:rsid w:val="002A53EB"/>
    <w:rsid w:val="002B611E"/>
    <w:rsid w:val="002D27A4"/>
    <w:rsid w:val="002D2C25"/>
    <w:rsid w:val="002D3CCE"/>
    <w:rsid w:val="002D5CBA"/>
    <w:rsid w:val="002E0D89"/>
    <w:rsid w:val="002E2F95"/>
    <w:rsid w:val="002E3310"/>
    <w:rsid w:val="0030190C"/>
    <w:rsid w:val="00303BB0"/>
    <w:rsid w:val="0031100A"/>
    <w:rsid w:val="003311C2"/>
    <w:rsid w:val="00334B6B"/>
    <w:rsid w:val="003422ED"/>
    <w:rsid w:val="0034308D"/>
    <w:rsid w:val="00355B5D"/>
    <w:rsid w:val="003603B2"/>
    <w:rsid w:val="00370073"/>
    <w:rsid w:val="00371A45"/>
    <w:rsid w:val="0037668D"/>
    <w:rsid w:val="00384B13"/>
    <w:rsid w:val="003921C5"/>
    <w:rsid w:val="003963EB"/>
    <w:rsid w:val="003A1A54"/>
    <w:rsid w:val="003A4030"/>
    <w:rsid w:val="003A5807"/>
    <w:rsid w:val="003B1FE6"/>
    <w:rsid w:val="003C0205"/>
    <w:rsid w:val="003D40BA"/>
    <w:rsid w:val="003E4D6B"/>
    <w:rsid w:val="003E7340"/>
    <w:rsid w:val="003F1C62"/>
    <w:rsid w:val="003F2A4B"/>
    <w:rsid w:val="004011F7"/>
    <w:rsid w:val="00402EC6"/>
    <w:rsid w:val="0041325C"/>
    <w:rsid w:val="0041646B"/>
    <w:rsid w:val="00423043"/>
    <w:rsid w:val="00424619"/>
    <w:rsid w:val="00433BB6"/>
    <w:rsid w:val="004438DE"/>
    <w:rsid w:val="00455236"/>
    <w:rsid w:val="00455A8A"/>
    <w:rsid w:val="00457340"/>
    <w:rsid w:val="00471887"/>
    <w:rsid w:val="004718F7"/>
    <w:rsid w:val="00473247"/>
    <w:rsid w:val="00476C2D"/>
    <w:rsid w:val="00480B5B"/>
    <w:rsid w:val="00483E54"/>
    <w:rsid w:val="0048542F"/>
    <w:rsid w:val="00487F8B"/>
    <w:rsid w:val="00490033"/>
    <w:rsid w:val="004A77DA"/>
    <w:rsid w:val="004B089C"/>
    <w:rsid w:val="004B30DC"/>
    <w:rsid w:val="004C43E4"/>
    <w:rsid w:val="004C60A8"/>
    <w:rsid w:val="004C664E"/>
    <w:rsid w:val="004D0943"/>
    <w:rsid w:val="004D2B3D"/>
    <w:rsid w:val="004D5A01"/>
    <w:rsid w:val="004E50BF"/>
    <w:rsid w:val="004E5390"/>
    <w:rsid w:val="0052104D"/>
    <w:rsid w:val="00555A90"/>
    <w:rsid w:val="00564BD0"/>
    <w:rsid w:val="00585605"/>
    <w:rsid w:val="00597637"/>
    <w:rsid w:val="00597A76"/>
    <w:rsid w:val="005A3372"/>
    <w:rsid w:val="005A7026"/>
    <w:rsid w:val="005B0A6B"/>
    <w:rsid w:val="005C653A"/>
    <w:rsid w:val="005C7FE8"/>
    <w:rsid w:val="005D20CB"/>
    <w:rsid w:val="005D47B0"/>
    <w:rsid w:val="005E01D5"/>
    <w:rsid w:val="005F2671"/>
    <w:rsid w:val="006018EB"/>
    <w:rsid w:val="006053B3"/>
    <w:rsid w:val="00611956"/>
    <w:rsid w:val="00612623"/>
    <w:rsid w:val="0061556E"/>
    <w:rsid w:val="00621852"/>
    <w:rsid w:val="00633411"/>
    <w:rsid w:val="006520A7"/>
    <w:rsid w:val="00657D6C"/>
    <w:rsid w:val="006708F6"/>
    <w:rsid w:val="00674C6A"/>
    <w:rsid w:val="00675F96"/>
    <w:rsid w:val="006833D4"/>
    <w:rsid w:val="00686F13"/>
    <w:rsid w:val="00687D58"/>
    <w:rsid w:val="00690696"/>
    <w:rsid w:val="006925D5"/>
    <w:rsid w:val="006A39F6"/>
    <w:rsid w:val="006A3A8C"/>
    <w:rsid w:val="006B1600"/>
    <w:rsid w:val="006B6F52"/>
    <w:rsid w:val="006C778E"/>
    <w:rsid w:val="006D2DB4"/>
    <w:rsid w:val="006D626F"/>
    <w:rsid w:val="006E0380"/>
    <w:rsid w:val="006E3323"/>
    <w:rsid w:val="006E6FE9"/>
    <w:rsid w:val="006F5202"/>
    <w:rsid w:val="00706AEE"/>
    <w:rsid w:val="007153EF"/>
    <w:rsid w:val="00716038"/>
    <w:rsid w:val="00716700"/>
    <w:rsid w:val="007173F1"/>
    <w:rsid w:val="007336BF"/>
    <w:rsid w:val="00736D6E"/>
    <w:rsid w:val="0074035F"/>
    <w:rsid w:val="00751FD4"/>
    <w:rsid w:val="007532FB"/>
    <w:rsid w:val="00754865"/>
    <w:rsid w:val="0076020B"/>
    <w:rsid w:val="00763487"/>
    <w:rsid w:val="0076481A"/>
    <w:rsid w:val="00775915"/>
    <w:rsid w:val="007A64BB"/>
    <w:rsid w:val="007D080D"/>
    <w:rsid w:val="007D3515"/>
    <w:rsid w:val="007D75B7"/>
    <w:rsid w:val="007D7EAD"/>
    <w:rsid w:val="007F17C4"/>
    <w:rsid w:val="007F50C2"/>
    <w:rsid w:val="00810EE8"/>
    <w:rsid w:val="008173A5"/>
    <w:rsid w:val="008211DA"/>
    <w:rsid w:val="00821BCA"/>
    <w:rsid w:val="00823230"/>
    <w:rsid w:val="008273A9"/>
    <w:rsid w:val="00831938"/>
    <w:rsid w:val="008334A5"/>
    <w:rsid w:val="00845FD2"/>
    <w:rsid w:val="00852AE0"/>
    <w:rsid w:val="00854818"/>
    <w:rsid w:val="008663D7"/>
    <w:rsid w:val="00867851"/>
    <w:rsid w:val="00887772"/>
    <w:rsid w:val="008904D8"/>
    <w:rsid w:val="00893B23"/>
    <w:rsid w:val="008961E0"/>
    <w:rsid w:val="00896723"/>
    <w:rsid w:val="00896EE0"/>
    <w:rsid w:val="008A09BA"/>
    <w:rsid w:val="008A4137"/>
    <w:rsid w:val="008C4292"/>
    <w:rsid w:val="008C42A1"/>
    <w:rsid w:val="008D028B"/>
    <w:rsid w:val="008E3CB0"/>
    <w:rsid w:val="008F145A"/>
    <w:rsid w:val="008F4FC5"/>
    <w:rsid w:val="008F5019"/>
    <w:rsid w:val="00903F73"/>
    <w:rsid w:val="00915667"/>
    <w:rsid w:val="00916B80"/>
    <w:rsid w:val="00922A79"/>
    <w:rsid w:val="00922F3E"/>
    <w:rsid w:val="00944140"/>
    <w:rsid w:val="00947E40"/>
    <w:rsid w:val="00953735"/>
    <w:rsid w:val="00956F9E"/>
    <w:rsid w:val="00957E07"/>
    <w:rsid w:val="009700E6"/>
    <w:rsid w:val="00972AEA"/>
    <w:rsid w:val="00991275"/>
    <w:rsid w:val="0099203B"/>
    <w:rsid w:val="00992D7D"/>
    <w:rsid w:val="00993B93"/>
    <w:rsid w:val="009A5E3F"/>
    <w:rsid w:val="009B7589"/>
    <w:rsid w:val="009C52E2"/>
    <w:rsid w:val="009C6712"/>
    <w:rsid w:val="009D1370"/>
    <w:rsid w:val="009D4224"/>
    <w:rsid w:val="009E1C01"/>
    <w:rsid w:val="009E6CE9"/>
    <w:rsid w:val="009F6619"/>
    <w:rsid w:val="00A2212B"/>
    <w:rsid w:val="00A22532"/>
    <w:rsid w:val="00A26E81"/>
    <w:rsid w:val="00A35E3A"/>
    <w:rsid w:val="00A36506"/>
    <w:rsid w:val="00A55E63"/>
    <w:rsid w:val="00A63F01"/>
    <w:rsid w:val="00A71B9C"/>
    <w:rsid w:val="00A872F6"/>
    <w:rsid w:val="00A90D91"/>
    <w:rsid w:val="00A95F7D"/>
    <w:rsid w:val="00AA3D9A"/>
    <w:rsid w:val="00AA7454"/>
    <w:rsid w:val="00AB02CB"/>
    <w:rsid w:val="00AC30BE"/>
    <w:rsid w:val="00AD078F"/>
    <w:rsid w:val="00AD3650"/>
    <w:rsid w:val="00AD6025"/>
    <w:rsid w:val="00AE234D"/>
    <w:rsid w:val="00AE2F02"/>
    <w:rsid w:val="00AF3816"/>
    <w:rsid w:val="00B04554"/>
    <w:rsid w:val="00B0642B"/>
    <w:rsid w:val="00B21B97"/>
    <w:rsid w:val="00B36A92"/>
    <w:rsid w:val="00B43D17"/>
    <w:rsid w:val="00B55E43"/>
    <w:rsid w:val="00B56C75"/>
    <w:rsid w:val="00B575C4"/>
    <w:rsid w:val="00B64A3D"/>
    <w:rsid w:val="00B81A08"/>
    <w:rsid w:val="00BA0506"/>
    <w:rsid w:val="00BA2FEC"/>
    <w:rsid w:val="00BA5256"/>
    <w:rsid w:val="00BB38C9"/>
    <w:rsid w:val="00BB7C35"/>
    <w:rsid w:val="00BC1552"/>
    <w:rsid w:val="00BC4238"/>
    <w:rsid w:val="00BC6C59"/>
    <w:rsid w:val="00BE6C1A"/>
    <w:rsid w:val="00C05CEC"/>
    <w:rsid w:val="00C3135E"/>
    <w:rsid w:val="00C41B8C"/>
    <w:rsid w:val="00C45711"/>
    <w:rsid w:val="00C46F7E"/>
    <w:rsid w:val="00C52BC0"/>
    <w:rsid w:val="00C64BBC"/>
    <w:rsid w:val="00C872AF"/>
    <w:rsid w:val="00C97BF3"/>
    <w:rsid w:val="00C97C96"/>
    <w:rsid w:val="00CA51F6"/>
    <w:rsid w:val="00CA5543"/>
    <w:rsid w:val="00CB0F2D"/>
    <w:rsid w:val="00CB2DBE"/>
    <w:rsid w:val="00CC6B73"/>
    <w:rsid w:val="00CD191C"/>
    <w:rsid w:val="00CE33DD"/>
    <w:rsid w:val="00CF0D28"/>
    <w:rsid w:val="00CF5011"/>
    <w:rsid w:val="00CF51AB"/>
    <w:rsid w:val="00D006EB"/>
    <w:rsid w:val="00D03477"/>
    <w:rsid w:val="00D04334"/>
    <w:rsid w:val="00D226DF"/>
    <w:rsid w:val="00D22DAD"/>
    <w:rsid w:val="00D34922"/>
    <w:rsid w:val="00D56B47"/>
    <w:rsid w:val="00D60655"/>
    <w:rsid w:val="00D76F25"/>
    <w:rsid w:val="00DA0D85"/>
    <w:rsid w:val="00DC6984"/>
    <w:rsid w:val="00DC72E1"/>
    <w:rsid w:val="00DC7DD7"/>
    <w:rsid w:val="00DD08E7"/>
    <w:rsid w:val="00DD2DCA"/>
    <w:rsid w:val="00DF08A0"/>
    <w:rsid w:val="00DF23DD"/>
    <w:rsid w:val="00DF6957"/>
    <w:rsid w:val="00E00DF3"/>
    <w:rsid w:val="00E25D87"/>
    <w:rsid w:val="00E308FD"/>
    <w:rsid w:val="00E34184"/>
    <w:rsid w:val="00E459D4"/>
    <w:rsid w:val="00E625FF"/>
    <w:rsid w:val="00E6635B"/>
    <w:rsid w:val="00E75DDF"/>
    <w:rsid w:val="00E774A8"/>
    <w:rsid w:val="00E82ADD"/>
    <w:rsid w:val="00E87D93"/>
    <w:rsid w:val="00EA5400"/>
    <w:rsid w:val="00EC4A38"/>
    <w:rsid w:val="00EC6B6B"/>
    <w:rsid w:val="00ED206D"/>
    <w:rsid w:val="00ED457C"/>
    <w:rsid w:val="00ED7D31"/>
    <w:rsid w:val="00EF4A54"/>
    <w:rsid w:val="00F004FF"/>
    <w:rsid w:val="00F02D2B"/>
    <w:rsid w:val="00F0757B"/>
    <w:rsid w:val="00F07F4A"/>
    <w:rsid w:val="00F26CA2"/>
    <w:rsid w:val="00F30F28"/>
    <w:rsid w:val="00F32772"/>
    <w:rsid w:val="00F50E15"/>
    <w:rsid w:val="00F63679"/>
    <w:rsid w:val="00F646EF"/>
    <w:rsid w:val="00F6642C"/>
    <w:rsid w:val="00F6725F"/>
    <w:rsid w:val="00F81AFC"/>
    <w:rsid w:val="00F81E1B"/>
    <w:rsid w:val="00F82B73"/>
    <w:rsid w:val="00F84EA8"/>
    <w:rsid w:val="00F85355"/>
    <w:rsid w:val="00F933BD"/>
    <w:rsid w:val="00FA4CF1"/>
    <w:rsid w:val="00FC3494"/>
    <w:rsid w:val="00FC418C"/>
    <w:rsid w:val="00FD0FDA"/>
    <w:rsid w:val="00FD1009"/>
    <w:rsid w:val="00FF5C1B"/>
    <w:rsid w:val="02068966"/>
    <w:rsid w:val="147E33AE"/>
    <w:rsid w:val="2F23A533"/>
    <w:rsid w:val="3CB936C9"/>
    <w:rsid w:val="3F57A714"/>
    <w:rsid w:val="4F563713"/>
    <w:rsid w:val="629F0D37"/>
    <w:rsid w:val="64494B61"/>
    <w:rsid w:val="64F61FE8"/>
    <w:rsid w:val="6848A10C"/>
    <w:rsid w:val="704CA7B4"/>
    <w:rsid w:val="709D0994"/>
    <w:rsid w:val="7C561F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B77F"/>
  <w15:docId w15:val="{FF5719EE-3D17-4970-9CEF-1EA4F78F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1E0"/>
    <w:pPr>
      <w:suppressAutoHyphens/>
      <w:spacing w:after="0" w:line="240" w:lineRule="auto"/>
    </w:pPr>
    <w:rPr>
      <w:rFonts w:cs="Times New Roman"/>
    </w:rPr>
  </w:style>
  <w:style w:type="character" w:styleId="FootnoteReference">
    <w:name w:val="footnote reference"/>
    <w:aliases w:val="a Footnote Reference,Footnote Text 1,BVI fnr,4_G,Footnotes refss Char,Ref Char,de nota al pie Char,16 Point Char,Superscript 6 Point Char,ftref Char,Footnote Reference Number Char,Footnote Reference1 Char, BVI fnr,f"/>
    <w:basedOn w:val="DefaultParagraphFont"/>
    <w:link w:val="16Point"/>
    <w:unhideWhenUsed/>
    <w:qFormat/>
    <w:rsid w:val="008961E0"/>
    <w:rPr>
      <w:vertAlign w:val="superscript"/>
    </w:rPr>
  </w:style>
  <w:style w:type="character" w:styleId="Hyperlink">
    <w:name w:val="Hyperlink"/>
    <w:basedOn w:val="DefaultParagraphFont"/>
    <w:uiPriority w:val="99"/>
    <w:unhideWhenUsed/>
    <w:qFormat/>
    <w:rsid w:val="008961E0"/>
    <w:rPr>
      <w:color w:val="0000FF"/>
      <w:u w:val="single"/>
    </w:rPr>
  </w:style>
  <w:style w:type="paragraph" w:styleId="FootnoteText">
    <w:name w:val="footnote text"/>
    <w:aliases w:val="5_G,Footnote Text Char Char,ft,single space,fn,footnote text,Footnote Text qer Char,Footnote Text qer,Footnote Text Char1 Char1,Footnote Text Char Char Char1,Footnote Text Char1 Char Char,Footnote Text Char Char Char Char,ALTS FOOTNOTE,ft2"/>
    <w:basedOn w:val="Normal"/>
    <w:link w:val="FootnoteTextChar"/>
    <w:uiPriority w:val="99"/>
    <w:unhideWhenUsed/>
    <w:qFormat/>
    <w:rsid w:val="008961E0"/>
    <w:rPr>
      <w:rFonts w:asciiTheme="minorHAnsi" w:eastAsiaTheme="minorHAnsi" w:hAnsiTheme="minorHAnsi" w:cstheme="minorBidi"/>
      <w:sz w:val="20"/>
      <w:szCs w:val="20"/>
      <w:lang w:val="en-GB"/>
    </w:rPr>
  </w:style>
  <w:style w:type="character" w:customStyle="1" w:styleId="FootnoteTextChar">
    <w:name w:val="Footnote Text Char"/>
    <w:aliases w:val="5_G Char,Footnote Text Char Char Char,ft Char,single space Char,fn Char,footnote text Char,Footnote Text qer Char Char,Footnote Text qer Char1,Footnote Text Char1 Char1 Char,Footnote Text Char Char Char1 Char,ALTS FOOTNOTE Char"/>
    <w:basedOn w:val="DefaultParagraphFont"/>
    <w:link w:val="FootnoteText"/>
    <w:uiPriority w:val="99"/>
    <w:rsid w:val="008961E0"/>
    <w:rPr>
      <w:sz w:val="20"/>
      <w:szCs w:val="20"/>
    </w:rPr>
  </w:style>
  <w:style w:type="paragraph" w:styleId="ListParagraph">
    <w:name w:val="List Paragraph"/>
    <w:basedOn w:val="Normal"/>
    <w:uiPriority w:val="34"/>
    <w:qFormat/>
    <w:rsid w:val="008961E0"/>
    <w:pPr>
      <w:spacing w:after="160" w:line="259" w:lineRule="auto"/>
      <w:ind w:left="720"/>
      <w:contextualSpacing/>
    </w:pPr>
    <w:rPr>
      <w:rFonts w:asciiTheme="minorHAnsi" w:eastAsiaTheme="minorHAnsi" w:hAnsiTheme="minorHAnsi" w:cstheme="minorBidi"/>
      <w:sz w:val="22"/>
      <w:szCs w:val="22"/>
      <w:lang w:val="en-GB"/>
    </w:rPr>
  </w:style>
  <w:style w:type="paragraph" w:styleId="CommentText">
    <w:name w:val="annotation text"/>
    <w:basedOn w:val="Normal"/>
    <w:link w:val="CommentTextChar"/>
    <w:uiPriority w:val="99"/>
    <w:unhideWhenUsed/>
    <w:rsid w:val="008961E0"/>
    <w:rPr>
      <w:sz w:val="20"/>
      <w:szCs w:val="20"/>
    </w:rPr>
  </w:style>
  <w:style w:type="character" w:customStyle="1" w:styleId="CommentTextChar">
    <w:name w:val="Comment Text Char"/>
    <w:basedOn w:val="DefaultParagraphFont"/>
    <w:link w:val="CommentText"/>
    <w:uiPriority w:val="99"/>
    <w:rsid w:val="008961E0"/>
    <w:rPr>
      <w:rFonts w:ascii="Times New Roman" w:eastAsia="Times New Roman" w:hAnsi="Times New Roman" w:cs="Times New Roman"/>
      <w:sz w:val="20"/>
      <w:szCs w:val="20"/>
      <w:lang w:val="en-US"/>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Footnotes refss,Ref"/>
    <w:basedOn w:val="Normal"/>
    <w:link w:val="FootnoteReference"/>
    <w:uiPriority w:val="99"/>
    <w:rsid w:val="008961E0"/>
    <w:pPr>
      <w:spacing w:after="160" w:line="240" w:lineRule="exact"/>
      <w:jc w:val="both"/>
    </w:pPr>
    <w:rPr>
      <w:rFonts w:asciiTheme="minorHAnsi" w:eastAsiaTheme="minorHAnsi" w:hAnsiTheme="minorHAnsi" w:cstheme="minorBidi"/>
      <w:sz w:val="22"/>
      <w:szCs w:val="22"/>
      <w:vertAlign w:val="superscript"/>
      <w:lang w:val="en-GB"/>
    </w:rPr>
  </w:style>
  <w:style w:type="paragraph" w:styleId="Footer">
    <w:name w:val="footer"/>
    <w:basedOn w:val="Normal"/>
    <w:link w:val="FooterChar"/>
    <w:uiPriority w:val="99"/>
    <w:unhideWhenUsed/>
    <w:rsid w:val="008961E0"/>
    <w:pPr>
      <w:tabs>
        <w:tab w:val="center" w:pos="4513"/>
        <w:tab w:val="right" w:pos="9026"/>
      </w:tabs>
    </w:pPr>
  </w:style>
  <w:style w:type="character" w:customStyle="1" w:styleId="FooterChar">
    <w:name w:val="Footer Char"/>
    <w:basedOn w:val="DefaultParagraphFont"/>
    <w:link w:val="Footer"/>
    <w:uiPriority w:val="99"/>
    <w:rsid w:val="008961E0"/>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12623"/>
    <w:rPr>
      <w:color w:val="605E5C"/>
      <w:shd w:val="clear" w:color="auto" w:fill="E1DFDD"/>
    </w:rPr>
  </w:style>
  <w:style w:type="character" w:customStyle="1" w:styleId="normaltextrun">
    <w:name w:val="normaltextrun"/>
    <w:basedOn w:val="DefaultParagraphFont"/>
    <w:rsid w:val="003D40BA"/>
  </w:style>
  <w:style w:type="character" w:customStyle="1" w:styleId="eop">
    <w:name w:val="eop"/>
    <w:basedOn w:val="DefaultParagraphFont"/>
    <w:rsid w:val="003D40BA"/>
  </w:style>
  <w:style w:type="character" w:customStyle="1" w:styleId="bumpedfont15">
    <w:name w:val="bumpedfont15"/>
    <w:basedOn w:val="DefaultParagraphFont"/>
    <w:rsid w:val="003D40B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6018EB"/>
    <w:pPr>
      <w:spacing w:after="160" w:line="240" w:lineRule="exact"/>
      <w:jc w:val="both"/>
    </w:pPr>
    <w:rPr>
      <w:rFonts w:eastAsiaTheme="minorHAnsi"/>
      <w:sz w:val="22"/>
      <w:szCs w:val="22"/>
      <w:vertAlign w:val="superscript"/>
    </w:rPr>
  </w:style>
  <w:style w:type="paragraph" w:styleId="Revision">
    <w:name w:val="Revision"/>
    <w:hidden/>
    <w:uiPriority w:val="99"/>
    <w:semiHidden/>
    <w:rsid w:val="00922F3E"/>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E0D89"/>
    <w:pPr>
      <w:tabs>
        <w:tab w:val="center" w:pos="4680"/>
        <w:tab w:val="right" w:pos="9360"/>
      </w:tabs>
    </w:pPr>
  </w:style>
  <w:style w:type="character" w:customStyle="1" w:styleId="HeaderChar">
    <w:name w:val="Header Char"/>
    <w:basedOn w:val="DefaultParagraphFont"/>
    <w:link w:val="Header"/>
    <w:uiPriority w:val="99"/>
    <w:rsid w:val="002E0D8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7E40"/>
    <w:rPr>
      <w:sz w:val="16"/>
      <w:szCs w:val="16"/>
    </w:rPr>
  </w:style>
  <w:style w:type="paragraph" w:styleId="CommentSubject">
    <w:name w:val="annotation subject"/>
    <w:basedOn w:val="CommentText"/>
    <w:next w:val="CommentText"/>
    <w:link w:val="CommentSubjectChar"/>
    <w:uiPriority w:val="99"/>
    <w:semiHidden/>
    <w:unhideWhenUsed/>
    <w:rsid w:val="00947E40"/>
    <w:rPr>
      <w:b/>
      <w:bCs/>
    </w:rPr>
  </w:style>
  <w:style w:type="character" w:customStyle="1" w:styleId="CommentSubjectChar">
    <w:name w:val="Comment Subject Char"/>
    <w:basedOn w:val="CommentTextChar"/>
    <w:link w:val="CommentSubject"/>
    <w:uiPriority w:val="99"/>
    <w:semiHidden/>
    <w:rsid w:val="00947E4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154">
      <w:bodyDiv w:val="1"/>
      <w:marLeft w:val="0"/>
      <w:marRight w:val="0"/>
      <w:marTop w:val="0"/>
      <w:marBottom w:val="0"/>
      <w:divBdr>
        <w:top w:val="none" w:sz="0" w:space="0" w:color="auto"/>
        <w:left w:val="none" w:sz="0" w:space="0" w:color="auto"/>
        <w:bottom w:val="none" w:sz="0" w:space="0" w:color="auto"/>
        <w:right w:val="none" w:sz="0" w:space="0" w:color="auto"/>
      </w:divBdr>
    </w:div>
    <w:div w:id="513879427">
      <w:bodyDiv w:val="1"/>
      <w:marLeft w:val="0"/>
      <w:marRight w:val="0"/>
      <w:marTop w:val="0"/>
      <w:marBottom w:val="0"/>
      <w:divBdr>
        <w:top w:val="none" w:sz="0" w:space="0" w:color="auto"/>
        <w:left w:val="none" w:sz="0" w:space="0" w:color="auto"/>
        <w:bottom w:val="none" w:sz="0" w:space="0" w:color="auto"/>
        <w:right w:val="none" w:sz="0" w:space="0" w:color="auto"/>
      </w:divBdr>
    </w:div>
    <w:div w:id="572011636">
      <w:bodyDiv w:val="1"/>
      <w:marLeft w:val="0"/>
      <w:marRight w:val="0"/>
      <w:marTop w:val="0"/>
      <w:marBottom w:val="0"/>
      <w:divBdr>
        <w:top w:val="none" w:sz="0" w:space="0" w:color="auto"/>
        <w:left w:val="none" w:sz="0" w:space="0" w:color="auto"/>
        <w:bottom w:val="none" w:sz="0" w:space="0" w:color="auto"/>
        <w:right w:val="none" w:sz="0" w:space="0" w:color="auto"/>
      </w:divBdr>
    </w:div>
    <w:div w:id="875698824">
      <w:bodyDiv w:val="1"/>
      <w:marLeft w:val="0"/>
      <w:marRight w:val="0"/>
      <w:marTop w:val="0"/>
      <w:marBottom w:val="0"/>
      <w:divBdr>
        <w:top w:val="none" w:sz="0" w:space="0" w:color="auto"/>
        <w:left w:val="none" w:sz="0" w:space="0" w:color="auto"/>
        <w:bottom w:val="none" w:sz="0" w:space="0" w:color="auto"/>
        <w:right w:val="none" w:sz="0" w:space="0" w:color="auto"/>
      </w:divBdr>
    </w:div>
    <w:div w:id="882182355">
      <w:bodyDiv w:val="1"/>
      <w:marLeft w:val="0"/>
      <w:marRight w:val="0"/>
      <w:marTop w:val="0"/>
      <w:marBottom w:val="0"/>
      <w:divBdr>
        <w:top w:val="none" w:sz="0" w:space="0" w:color="auto"/>
        <w:left w:val="none" w:sz="0" w:space="0" w:color="auto"/>
        <w:bottom w:val="none" w:sz="0" w:space="0" w:color="auto"/>
        <w:right w:val="none" w:sz="0" w:space="0" w:color="auto"/>
      </w:divBdr>
    </w:div>
    <w:div w:id="1183280027">
      <w:bodyDiv w:val="1"/>
      <w:marLeft w:val="0"/>
      <w:marRight w:val="0"/>
      <w:marTop w:val="0"/>
      <w:marBottom w:val="0"/>
      <w:divBdr>
        <w:top w:val="none" w:sz="0" w:space="0" w:color="auto"/>
        <w:left w:val="none" w:sz="0" w:space="0" w:color="auto"/>
        <w:bottom w:val="none" w:sz="0" w:space="0" w:color="auto"/>
        <w:right w:val="none" w:sz="0" w:space="0" w:color="auto"/>
      </w:divBdr>
    </w:div>
    <w:div w:id="1643197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acc.corteconstitucional.gob.ec/storage/api/v1/10_DWL_FL/e2NhcnBldGE6J3RyYW1pdGUnLCB1dWlkOidiZGE2NDE0YS1jNDI1LTQzMGMtYWViNi1jYjY0ODQ1YTQ2NWUucGRmJ3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hrw.org/report/2020/12/09/its-constant-fight/school-related-sexual-violence-and-young-survivors-struggle" TargetMode="External"/><Relationship Id="rId4" Type="http://schemas.openxmlformats.org/officeDocument/2006/relationships/settings" Target="settings.xml"/><Relationship Id="rId9" Type="http://schemas.openxmlformats.org/officeDocument/2006/relationships/hyperlink" Target="https://www.hrw.org/report/2021/07/14/why-do-they-want-make-me-suffer-again/impact-abortion-prosecutions-ecuado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cuador/comunicados-prensa/los-ni%C3%B1os-no-pueden-seguir-sin-ir-la-escuela-afirma-unicef" TargetMode="External"/><Relationship Id="rId2" Type="http://schemas.openxmlformats.org/officeDocument/2006/relationships/hyperlink" Target="https://infographic.education.org/insights/en/" TargetMode="External"/><Relationship Id="rId1" Type="http://schemas.openxmlformats.org/officeDocument/2006/relationships/hyperlink" Target="https://www.hrw.org/report/2021/07/14/why-do-they-want-make-me-suffer-again/impact-abortion-prosecutions-ecuador" TargetMode="External"/><Relationship Id="rId4" Type="http://schemas.openxmlformats.org/officeDocument/2006/relationships/hyperlink" Target="https://www.unicef.org/media/67396/file/COVID-19%20and%20Its%20Implications%20for%20Protecting%20Children%20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2B3BE-14F0-4212-94B3-379820ED6B27}">
  <ds:schemaRefs>
    <ds:schemaRef ds:uri="http://schemas.openxmlformats.org/officeDocument/2006/bibliography"/>
  </ds:schemaRefs>
</ds:datastoreItem>
</file>

<file path=customXml/itemProps2.xml><?xml version="1.0" encoding="utf-8"?>
<ds:datastoreItem xmlns:ds="http://schemas.openxmlformats.org/officeDocument/2006/customXml" ds:itemID="{33E5D2ED-F894-4836-9917-36A343DBA2C7}"/>
</file>

<file path=customXml/itemProps3.xml><?xml version="1.0" encoding="utf-8"?>
<ds:datastoreItem xmlns:ds="http://schemas.openxmlformats.org/officeDocument/2006/customXml" ds:itemID="{FA85C91E-706F-4712-AE19-3692E2A0635A}"/>
</file>

<file path=customXml/itemProps4.xml><?xml version="1.0" encoding="utf-8"?>
<ds:datastoreItem xmlns:ds="http://schemas.openxmlformats.org/officeDocument/2006/customXml" ds:itemID="{5479067E-B725-4B09-84EF-E3DA0D8C56F3}"/>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14672</Characters>
  <Application>Microsoft Office Word</Application>
  <DocSecurity>0</DocSecurity>
  <Lines>252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Links>
    <vt:vector size="24" baseType="variant">
      <vt:variant>
        <vt:i4>65604</vt:i4>
      </vt:variant>
      <vt:variant>
        <vt:i4>6</vt:i4>
      </vt:variant>
      <vt:variant>
        <vt:i4>0</vt:i4>
      </vt:variant>
      <vt:variant>
        <vt:i4>5</vt:i4>
      </vt:variant>
      <vt:variant>
        <vt:lpwstr>http://esacc.corteconstitucional.gob.ec/storage/api/v1/10_DWL_FL/e2NhcnBldGE6J3RyYW1pdGUnLCB1dWlkOidiZGE2NDE0YS1jNDI1LTQzMGMtYWViNi1jYjY0ODQ1YTQ2NWUucGRmJ30=</vt:lpwstr>
      </vt:variant>
      <vt:variant>
        <vt:lpwstr/>
      </vt:variant>
      <vt:variant>
        <vt:i4>851990</vt:i4>
      </vt:variant>
      <vt:variant>
        <vt:i4>3</vt:i4>
      </vt:variant>
      <vt:variant>
        <vt:i4>0</vt:i4>
      </vt:variant>
      <vt:variant>
        <vt:i4>5</vt:i4>
      </vt:variant>
      <vt:variant>
        <vt:lpwstr>https://www.hrw.org/report/2020/12/09/its-constant-fight/school-related-sexual-violence-and-young-survivors-struggle</vt:lpwstr>
      </vt:variant>
      <vt:variant>
        <vt:lpwstr/>
      </vt:variant>
      <vt:variant>
        <vt:i4>4980739</vt:i4>
      </vt:variant>
      <vt:variant>
        <vt:i4>0</vt:i4>
      </vt:variant>
      <vt:variant>
        <vt:i4>0</vt:i4>
      </vt:variant>
      <vt:variant>
        <vt:i4>5</vt:i4>
      </vt:variant>
      <vt:variant>
        <vt:lpwstr>https://www.hrw.org/report/2021/07/14/why-do-they-want-make-me-suffer-again/impact-abortion-prosecutions-ecuador</vt:lpwstr>
      </vt:variant>
      <vt:variant>
        <vt:lpwstr/>
      </vt:variant>
      <vt:variant>
        <vt:i4>4980739</vt:i4>
      </vt:variant>
      <vt:variant>
        <vt:i4>0</vt:i4>
      </vt:variant>
      <vt:variant>
        <vt:i4>0</vt:i4>
      </vt:variant>
      <vt:variant>
        <vt:i4>5</vt:i4>
      </vt:variant>
      <vt:variant>
        <vt:lpwstr>https://www.hrw.org/report/2021/07/14/why-do-they-want-make-me-suffer-again/impact-abortion-prosecutions-ecuador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Alex Firth</cp:lastModifiedBy>
  <cp:revision>3</cp:revision>
  <dcterms:created xsi:type="dcterms:W3CDTF">2021-09-16T15:40:00Z</dcterms:created>
  <dcterms:modified xsi:type="dcterms:W3CDTF">2021-09-16T15:46:00Z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