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B365" w14:textId="77777777" w:rsidR="00C05D9B" w:rsidRPr="004B1E4E" w:rsidRDefault="00956AA0" w:rsidP="00626C39">
      <w:pPr>
        <w:rPr>
          <w:color w:val="auto"/>
          <w:sz w:val="24"/>
          <w:szCs w:val="24"/>
          <w:lang w:eastAsia="zh-CN"/>
        </w:rPr>
      </w:pPr>
      <w:r>
        <w:rPr>
          <w:color w:val="auto"/>
          <w:sz w:val="24"/>
          <w:szCs w:val="24"/>
          <w:lang w:eastAsia="zh-CN"/>
        </w:rPr>
        <w:tab/>
      </w:r>
    </w:p>
    <w:p w14:paraId="4CF5E4E3" w14:textId="77777777" w:rsidR="005403E3" w:rsidRPr="004B1E4E" w:rsidRDefault="005403E3" w:rsidP="00626C39">
      <w:pPr>
        <w:rPr>
          <w:color w:val="auto"/>
          <w:sz w:val="24"/>
          <w:szCs w:val="24"/>
        </w:rPr>
      </w:pPr>
    </w:p>
    <w:p w14:paraId="105AAA7A" w14:textId="77777777" w:rsidR="005403E3" w:rsidRPr="004B1E4E" w:rsidRDefault="005403E3" w:rsidP="00626C39">
      <w:pPr>
        <w:rPr>
          <w:color w:val="auto"/>
          <w:sz w:val="24"/>
          <w:szCs w:val="24"/>
        </w:rPr>
      </w:pPr>
    </w:p>
    <w:p w14:paraId="2D23587B" w14:textId="3F3DD72E" w:rsidR="004B1E4E" w:rsidRPr="004B1E4E" w:rsidRDefault="00730CF4" w:rsidP="003E3DBA">
      <w:pPr>
        <w:jc w:val="center"/>
        <w:rPr>
          <w:b/>
          <w:sz w:val="24"/>
          <w:szCs w:val="24"/>
        </w:rPr>
      </w:pPr>
      <w:r>
        <w:rPr>
          <w:rFonts w:hint="eastAsia"/>
          <w:b/>
          <w:sz w:val="24"/>
          <w:szCs w:val="24"/>
        </w:rPr>
        <w:t>Nic</w:t>
      </w:r>
      <w:r>
        <w:rPr>
          <w:b/>
          <w:sz w:val="24"/>
          <w:szCs w:val="24"/>
        </w:rPr>
        <w:t>aragua</w:t>
      </w:r>
      <w:r w:rsidR="004B1E4E" w:rsidRPr="004B1E4E">
        <w:rPr>
          <w:b/>
          <w:sz w:val="24"/>
          <w:szCs w:val="24"/>
        </w:rPr>
        <w:t xml:space="preserve">’s Compliance with </w:t>
      </w:r>
      <w:r w:rsidR="004115C4">
        <w:rPr>
          <w:b/>
          <w:sz w:val="24"/>
          <w:szCs w:val="24"/>
        </w:rPr>
        <w:t xml:space="preserve">the </w:t>
      </w:r>
      <w:r>
        <w:rPr>
          <w:b/>
          <w:sz w:val="24"/>
          <w:szCs w:val="24"/>
        </w:rPr>
        <w:t>Convention on the Elimination of All Forms of Discrimination Against Women</w:t>
      </w:r>
    </w:p>
    <w:p w14:paraId="40061EE2" w14:textId="77777777" w:rsidR="004B1E4E" w:rsidRPr="004B1E4E" w:rsidRDefault="004B1E4E" w:rsidP="004B1E4E">
      <w:pPr>
        <w:jc w:val="center"/>
        <w:rPr>
          <w:sz w:val="24"/>
          <w:szCs w:val="24"/>
        </w:rPr>
      </w:pPr>
    </w:p>
    <w:p w14:paraId="45DB8BEC" w14:textId="77777777" w:rsidR="004B1E4E" w:rsidRPr="00D25C36" w:rsidRDefault="004B1E4E" w:rsidP="004B1E4E">
      <w:pPr>
        <w:jc w:val="center"/>
        <w:rPr>
          <w:b/>
          <w:sz w:val="24"/>
          <w:szCs w:val="24"/>
        </w:rPr>
      </w:pPr>
      <w:r w:rsidRPr="00D25C36">
        <w:rPr>
          <w:b/>
          <w:sz w:val="24"/>
          <w:szCs w:val="24"/>
        </w:rPr>
        <w:t xml:space="preserve">Submitted by </w:t>
      </w:r>
      <w:r w:rsidR="00AA7FCB" w:rsidRPr="00D25C36">
        <w:rPr>
          <w:b/>
          <w:sz w:val="24"/>
          <w:szCs w:val="24"/>
        </w:rPr>
        <w:t>T</w:t>
      </w:r>
      <w:r w:rsidRPr="00D25C36">
        <w:rPr>
          <w:b/>
          <w:sz w:val="24"/>
          <w:szCs w:val="24"/>
        </w:rPr>
        <w:t>he Advocates for Human Rights</w:t>
      </w:r>
    </w:p>
    <w:p w14:paraId="1293A75E" w14:textId="77777777" w:rsidR="004B1E4E" w:rsidRPr="004B1E4E" w:rsidRDefault="004B1E4E" w:rsidP="004B1E4E">
      <w:pPr>
        <w:jc w:val="center"/>
        <w:rPr>
          <w:sz w:val="24"/>
          <w:szCs w:val="24"/>
        </w:rPr>
      </w:pPr>
      <w:r w:rsidRPr="004B1E4E">
        <w:rPr>
          <w:sz w:val="24"/>
          <w:szCs w:val="24"/>
        </w:rPr>
        <w:t>a non-governmental organization in special consultative status with ECOSOC</w:t>
      </w:r>
      <w:r w:rsidR="00624A10">
        <w:rPr>
          <w:sz w:val="24"/>
          <w:szCs w:val="24"/>
        </w:rPr>
        <w:t xml:space="preserve"> since 1996</w:t>
      </w:r>
    </w:p>
    <w:p w14:paraId="45887154" w14:textId="77777777" w:rsidR="004B1E4E" w:rsidRPr="004B1E4E" w:rsidRDefault="004B1E4E" w:rsidP="004B1E4E">
      <w:pPr>
        <w:jc w:val="center"/>
        <w:rPr>
          <w:sz w:val="24"/>
          <w:szCs w:val="24"/>
        </w:rPr>
      </w:pPr>
    </w:p>
    <w:p w14:paraId="1E70757D" w14:textId="77777777" w:rsidR="004B1E4E" w:rsidRPr="000C380B" w:rsidRDefault="00D74637" w:rsidP="00D74637">
      <w:pPr>
        <w:jc w:val="center"/>
        <w:rPr>
          <w:b/>
          <w:sz w:val="24"/>
          <w:szCs w:val="24"/>
        </w:rPr>
      </w:pPr>
      <w:r>
        <w:rPr>
          <w:b/>
          <w:sz w:val="24"/>
          <w:szCs w:val="24"/>
        </w:rPr>
        <w:t>80</w:t>
      </w:r>
      <w:r w:rsidRPr="00D74637">
        <w:rPr>
          <w:b/>
          <w:sz w:val="24"/>
          <w:szCs w:val="24"/>
          <w:vertAlign w:val="superscript"/>
        </w:rPr>
        <w:t>th</w:t>
      </w:r>
      <w:r w:rsidR="00F55404">
        <w:rPr>
          <w:b/>
          <w:sz w:val="24"/>
          <w:szCs w:val="24"/>
        </w:rPr>
        <w:t xml:space="preserve"> Session of the Convention on the Elimination of All Forms of Discrimination Against Women</w:t>
      </w:r>
      <w:r w:rsidR="00D0222B">
        <w:rPr>
          <w:b/>
          <w:sz w:val="24"/>
          <w:szCs w:val="24"/>
        </w:rPr>
        <w:t xml:space="preserve"> </w:t>
      </w:r>
      <w:r>
        <w:rPr>
          <w:b/>
          <w:sz w:val="24"/>
          <w:szCs w:val="24"/>
        </w:rPr>
        <w:t>18 October – 12 November 2021</w:t>
      </w:r>
    </w:p>
    <w:p w14:paraId="5B580B4F" w14:textId="77777777" w:rsidR="001565F9" w:rsidRPr="004B1E4E" w:rsidRDefault="001565F9" w:rsidP="005132BB">
      <w:pPr>
        <w:rPr>
          <w:sz w:val="24"/>
          <w:szCs w:val="24"/>
          <w:lang w:val="es-ES"/>
        </w:rPr>
      </w:pPr>
    </w:p>
    <w:p w14:paraId="5BB6B9CD" w14:textId="77777777" w:rsidR="005132BB" w:rsidRPr="000C380B" w:rsidRDefault="000C380B" w:rsidP="000C380B">
      <w:pPr>
        <w:jc w:val="center"/>
        <w:rPr>
          <w:b/>
          <w:color w:val="auto"/>
          <w:sz w:val="24"/>
          <w:szCs w:val="24"/>
        </w:rPr>
      </w:pPr>
      <w:r w:rsidRPr="000C380B">
        <w:rPr>
          <w:b/>
          <w:color w:val="auto"/>
          <w:sz w:val="24"/>
          <w:szCs w:val="24"/>
        </w:rPr>
        <w:t>Submitted</w:t>
      </w:r>
      <w:r w:rsidR="00F55404">
        <w:rPr>
          <w:b/>
          <w:color w:val="auto"/>
          <w:sz w:val="24"/>
          <w:szCs w:val="24"/>
        </w:rPr>
        <w:t xml:space="preserve"> </w:t>
      </w:r>
      <w:r w:rsidR="00D74637">
        <w:rPr>
          <w:b/>
          <w:color w:val="auto"/>
          <w:sz w:val="24"/>
          <w:szCs w:val="24"/>
        </w:rPr>
        <w:t>20 September 2021</w:t>
      </w:r>
    </w:p>
    <w:p w14:paraId="0C02E117" w14:textId="77777777" w:rsidR="000C380B" w:rsidRPr="004B1E4E" w:rsidRDefault="000C380B" w:rsidP="000C380B">
      <w:pPr>
        <w:jc w:val="center"/>
        <w:rPr>
          <w:color w:val="auto"/>
          <w:sz w:val="24"/>
          <w:szCs w:val="24"/>
        </w:rPr>
      </w:pPr>
    </w:p>
    <w:p w14:paraId="6581ED3F" w14:textId="1981BA4B" w:rsidR="004B1E4E" w:rsidRDefault="004B1E4E" w:rsidP="00C14B91">
      <w:pPr>
        <w:jc w:val="both"/>
        <w:rPr>
          <w:sz w:val="24"/>
          <w:szCs w:val="24"/>
        </w:rPr>
      </w:pPr>
      <w:r w:rsidRPr="3F9CD3CD">
        <w:rPr>
          <w:b/>
          <w:bCs/>
          <w:sz w:val="24"/>
          <w:szCs w:val="24"/>
        </w:rPr>
        <w:t xml:space="preserve">The Advocates for Human Rights </w:t>
      </w:r>
      <w:r w:rsidRPr="3F9CD3CD">
        <w:rPr>
          <w:sz w:val="24"/>
          <w:szCs w:val="24"/>
        </w:rPr>
        <w:t>(The Advocates) is a volunteer-based non</w:t>
      </w:r>
      <w:r w:rsidR="00266AA3" w:rsidRPr="3F9CD3CD">
        <w:rPr>
          <w:sz w:val="24"/>
          <w:szCs w:val="24"/>
        </w:rPr>
        <w:t>-</w:t>
      </w:r>
      <w:r w:rsidRPr="3F9CD3CD">
        <w:rPr>
          <w:sz w:val="24"/>
          <w:szCs w:val="24"/>
        </w:rPr>
        <w:t xml:space="preserve">governmental organization committed to the impartial promotion and protection of international human rights standards and the rule of law. Established in 1983, The Advocates conducts a range of programs to promote human rights in the United States and around the world, </w:t>
      </w:r>
      <w:proofErr w:type="spellStart"/>
      <w:r w:rsidRPr="3F9CD3CD">
        <w:rPr>
          <w:sz w:val="24"/>
          <w:szCs w:val="24"/>
          <w:lang w:val="es-ES"/>
        </w:rPr>
        <w:t>including</w:t>
      </w:r>
      <w:proofErr w:type="spellEnd"/>
      <w:r w:rsidRPr="3F9CD3CD">
        <w:rPr>
          <w:sz w:val="24"/>
          <w:szCs w:val="24"/>
        </w:rPr>
        <w:t xml:space="preserve"> monitoring and fact finding, direct legal representation, education and training, and publications.</w:t>
      </w:r>
      <w:r w:rsidR="00507AB0" w:rsidRPr="3F9CD3CD">
        <w:rPr>
          <w:sz w:val="24"/>
          <w:szCs w:val="24"/>
        </w:rPr>
        <w:t xml:space="preserve"> The Advocates has published twenty-five reports on violence against women as a human rights issue, provided consultation and commentary of draft laws on domestic violence, and trained lawyers, police, prosecutors, judges, and other law enforcement personnel to implement effectively new and existing laws on domestic violence.</w:t>
      </w:r>
      <w:r w:rsidR="58142C8C" w:rsidRPr="3F9CD3CD">
        <w:rPr>
          <w:sz w:val="24"/>
          <w:szCs w:val="24"/>
        </w:rPr>
        <w:t xml:space="preserve"> The Advocates is the primary provider of legal services to low-income asylum seekers in the Upper Midwest region of the United States. The Advocates represents clients who have fled human rights abuses in Venezuela to seek asylum in the United States. They have shared their firsthand experiences of human rights abuses with The Advocates and given permission for the information to be used in this report</w:t>
      </w:r>
      <w:r w:rsidR="7F82C856" w:rsidRPr="3F9CD3CD">
        <w:rPr>
          <w:sz w:val="24"/>
          <w:szCs w:val="24"/>
        </w:rPr>
        <w:t>.</w:t>
      </w:r>
    </w:p>
    <w:p w14:paraId="44776513" w14:textId="77777777" w:rsidR="00553137" w:rsidRDefault="00553137" w:rsidP="004B1E4E">
      <w:pPr>
        <w:rPr>
          <w:sz w:val="24"/>
          <w:szCs w:val="24"/>
        </w:rPr>
      </w:pPr>
    </w:p>
    <w:p w14:paraId="336D65EA" w14:textId="77777777" w:rsidR="004B1E4E" w:rsidRDefault="004B1E4E" w:rsidP="00626C39">
      <w:pPr>
        <w:rPr>
          <w:color w:val="auto"/>
          <w:sz w:val="24"/>
          <w:szCs w:val="24"/>
        </w:rPr>
      </w:pPr>
    </w:p>
    <w:p w14:paraId="06EB9DF3" w14:textId="77777777" w:rsidR="00B76560" w:rsidRPr="004B1E4E" w:rsidRDefault="004B1E4E" w:rsidP="0075052B">
      <w:pPr>
        <w:spacing w:after="240"/>
        <w:jc w:val="center"/>
        <w:rPr>
          <w:b/>
          <w:caps/>
          <w:color w:val="auto"/>
          <w:sz w:val="24"/>
          <w:szCs w:val="24"/>
        </w:rPr>
      </w:pPr>
      <w:r>
        <w:rPr>
          <w:color w:val="auto"/>
          <w:sz w:val="24"/>
          <w:szCs w:val="24"/>
        </w:rPr>
        <w:br w:type="page"/>
      </w:r>
      <w:r w:rsidRPr="004B1E4E">
        <w:rPr>
          <w:b/>
          <w:caps/>
          <w:color w:val="auto"/>
          <w:sz w:val="24"/>
          <w:szCs w:val="24"/>
        </w:rPr>
        <w:lastRenderedPageBreak/>
        <w:t>Executive Summary</w:t>
      </w:r>
    </w:p>
    <w:p w14:paraId="181721E3" w14:textId="6E934013" w:rsidR="00771979" w:rsidRDefault="0034215D" w:rsidP="00B96360">
      <w:pPr>
        <w:numPr>
          <w:ilvl w:val="0"/>
          <w:numId w:val="22"/>
        </w:numPr>
        <w:autoSpaceDE w:val="0"/>
        <w:autoSpaceDN w:val="0"/>
        <w:adjustRightInd w:val="0"/>
        <w:spacing w:after="120"/>
        <w:jc w:val="both"/>
        <w:rPr>
          <w:rFonts w:cs="Helvetica"/>
          <w:kern w:val="0"/>
          <w:sz w:val="24"/>
          <w:szCs w:val="24"/>
          <w:lang w:eastAsia="zh-CN"/>
        </w:rPr>
      </w:pPr>
      <w:r>
        <w:rPr>
          <w:rFonts w:cs="Helvetica"/>
          <w:kern w:val="0"/>
          <w:sz w:val="24"/>
          <w:szCs w:val="24"/>
          <w:lang w:eastAsia="zh-CN"/>
        </w:rPr>
        <w:t xml:space="preserve">Widespread </w:t>
      </w:r>
      <w:r w:rsidR="001F6509">
        <w:rPr>
          <w:rFonts w:cs="Helvetica"/>
          <w:kern w:val="0"/>
          <w:sz w:val="24"/>
          <w:szCs w:val="24"/>
          <w:lang w:eastAsia="zh-CN"/>
        </w:rPr>
        <w:t xml:space="preserve">domestic violence and </w:t>
      </w:r>
      <w:r>
        <w:rPr>
          <w:rFonts w:cs="Helvetica"/>
          <w:kern w:val="0"/>
          <w:sz w:val="24"/>
          <w:szCs w:val="24"/>
          <w:lang w:eastAsia="zh-CN"/>
        </w:rPr>
        <w:t xml:space="preserve">gender-based violence against women continue to be serious problems in Nicaragua. </w:t>
      </w:r>
      <w:r w:rsidR="00771979">
        <w:rPr>
          <w:rFonts w:cs="Helvetica"/>
          <w:kern w:val="0"/>
          <w:sz w:val="24"/>
          <w:szCs w:val="24"/>
          <w:lang w:eastAsia="zh-CN"/>
        </w:rPr>
        <w:t xml:space="preserve">Entrenched patriarchal attitudes and negative stereotypes about women and their role in the family perpetuate this problem and leave women without the protection they need. </w:t>
      </w:r>
      <w:r w:rsidR="00A160A5">
        <w:rPr>
          <w:rFonts w:cs="Helvetica"/>
          <w:kern w:val="0"/>
          <w:sz w:val="24"/>
          <w:szCs w:val="24"/>
          <w:lang w:eastAsia="zh-CN"/>
        </w:rPr>
        <w:t xml:space="preserve">Women activists who participated in protests between 2018 and 2019 also report that </w:t>
      </w:r>
      <w:r w:rsidR="008C0FA0">
        <w:rPr>
          <w:rFonts w:cs="Helvetica"/>
          <w:kern w:val="0"/>
          <w:sz w:val="24"/>
          <w:szCs w:val="24"/>
          <w:lang w:eastAsia="zh-CN"/>
        </w:rPr>
        <w:t>g</w:t>
      </w:r>
      <w:r w:rsidR="00A160A5">
        <w:rPr>
          <w:rFonts w:cs="Helvetica"/>
          <w:kern w:val="0"/>
          <w:sz w:val="24"/>
          <w:szCs w:val="24"/>
          <w:lang w:eastAsia="zh-CN"/>
        </w:rPr>
        <w:t xml:space="preserve">overnment </w:t>
      </w:r>
      <w:r w:rsidR="008C0FA0">
        <w:rPr>
          <w:rFonts w:cs="Helvetica"/>
          <w:kern w:val="0"/>
          <w:sz w:val="24"/>
          <w:szCs w:val="24"/>
          <w:lang w:eastAsia="zh-CN"/>
        </w:rPr>
        <w:t xml:space="preserve">security forced used excessive force </w:t>
      </w:r>
      <w:r w:rsidR="00A160A5">
        <w:rPr>
          <w:rFonts w:cs="Helvetica"/>
          <w:kern w:val="0"/>
          <w:sz w:val="24"/>
          <w:szCs w:val="24"/>
          <w:lang w:eastAsia="zh-CN"/>
        </w:rPr>
        <w:t>against them</w:t>
      </w:r>
      <w:r w:rsidR="00771979">
        <w:rPr>
          <w:rFonts w:cs="Helvetica"/>
          <w:kern w:val="0"/>
          <w:sz w:val="24"/>
          <w:szCs w:val="24"/>
          <w:lang w:eastAsia="zh-CN"/>
        </w:rPr>
        <w:t>.</w:t>
      </w:r>
    </w:p>
    <w:p w14:paraId="4A7BB431" w14:textId="77777777" w:rsidR="0034215D" w:rsidRDefault="00771979" w:rsidP="00B96360">
      <w:pPr>
        <w:numPr>
          <w:ilvl w:val="0"/>
          <w:numId w:val="22"/>
        </w:numPr>
        <w:autoSpaceDE w:val="0"/>
        <w:autoSpaceDN w:val="0"/>
        <w:adjustRightInd w:val="0"/>
        <w:spacing w:after="120"/>
        <w:jc w:val="both"/>
        <w:rPr>
          <w:rFonts w:cs="Helvetica"/>
          <w:kern w:val="0"/>
          <w:sz w:val="24"/>
          <w:szCs w:val="24"/>
          <w:lang w:eastAsia="zh-CN"/>
        </w:rPr>
      </w:pPr>
      <w:r w:rsidRPr="00B76560">
        <w:rPr>
          <w:rFonts w:cs="Helvetica"/>
          <w:kern w:val="0"/>
          <w:sz w:val="24"/>
          <w:szCs w:val="24"/>
          <w:lang w:eastAsia="zh-CN"/>
        </w:rPr>
        <w:t xml:space="preserve">Following pressure from grassroots organizers, </w:t>
      </w:r>
      <w:r w:rsidR="001F6509">
        <w:rPr>
          <w:rFonts w:cs="Helvetica"/>
          <w:kern w:val="0"/>
          <w:sz w:val="24"/>
          <w:szCs w:val="24"/>
          <w:lang w:eastAsia="zh-CN"/>
        </w:rPr>
        <w:t>in 2012</w:t>
      </w:r>
      <w:r w:rsidR="00A160A5">
        <w:rPr>
          <w:rFonts w:cs="Helvetica"/>
          <w:kern w:val="0"/>
          <w:sz w:val="24"/>
          <w:szCs w:val="24"/>
          <w:lang w:eastAsia="zh-CN"/>
        </w:rPr>
        <w:t>,</w:t>
      </w:r>
      <w:r w:rsidR="001F6509">
        <w:rPr>
          <w:rFonts w:cs="Helvetica"/>
          <w:kern w:val="0"/>
          <w:sz w:val="24"/>
          <w:szCs w:val="24"/>
          <w:lang w:eastAsia="zh-CN"/>
        </w:rPr>
        <w:t xml:space="preserve"> </w:t>
      </w:r>
      <w:r w:rsidRPr="00B76560">
        <w:rPr>
          <w:rFonts w:cs="Helvetica"/>
          <w:kern w:val="0"/>
          <w:sz w:val="24"/>
          <w:szCs w:val="24"/>
          <w:lang w:eastAsia="zh-CN"/>
        </w:rPr>
        <w:t>Nicaragua passed Law 779, its first legislation combatting violence against women.</w:t>
      </w:r>
      <w:r w:rsidR="005261C7">
        <w:rPr>
          <w:rFonts w:cs="Helvetica"/>
          <w:kern w:val="0"/>
          <w:sz w:val="24"/>
          <w:szCs w:val="24"/>
          <w:lang w:eastAsia="zh-CN"/>
        </w:rPr>
        <w:t xml:space="preserve"> The Law included a provision that prohibits the use of mediation in cases of domestic violence.</w:t>
      </w:r>
      <w:r w:rsidRPr="00B76560">
        <w:rPr>
          <w:rFonts w:cs="Helvetica"/>
          <w:kern w:val="0"/>
          <w:sz w:val="24"/>
          <w:szCs w:val="24"/>
          <w:lang w:eastAsia="zh-CN"/>
        </w:rPr>
        <w:t xml:space="preserve"> </w:t>
      </w:r>
      <w:r w:rsidR="00B70B9E">
        <w:rPr>
          <w:rFonts w:cs="Helvetica"/>
          <w:kern w:val="0"/>
          <w:sz w:val="24"/>
          <w:szCs w:val="24"/>
          <w:lang w:eastAsia="zh-CN"/>
        </w:rPr>
        <w:t>In 2013, however, the National Assembly passed a modified law that reintroduced mediation for first and minor domestic violence offenses. President Ortega also issue</w:t>
      </w:r>
      <w:r w:rsidR="005261C7">
        <w:rPr>
          <w:rFonts w:cs="Helvetica"/>
          <w:kern w:val="0"/>
          <w:sz w:val="24"/>
          <w:szCs w:val="24"/>
          <w:lang w:eastAsia="zh-CN"/>
        </w:rPr>
        <w:t>d</w:t>
      </w:r>
      <w:r w:rsidR="00B70B9E">
        <w:rPr>
          <w:rFonts w:cs="Helvetica"/>
          <w:kern w:val="0"/>
          <w:sz w:val="24"/>
          <w:szCs w:val="24"/>
          <w:lang w:eastAsia="zh-CN"/>
        </w:rPr>
        <w:t xml:space="preserve"> two decrees in 2014 that reduced the scope of femicide and shifted responsibility </w:t>
      </w:r>
      <w:r w:rsidR="005261C7">
        <w:rPr>
          <w:rFonts w:cs="Helvetica"/>
          <w:kern w:val="0"/>
          <w:sz w:val="24"/>
          <w:szCs w:val="24"/>
          <w:lang w:eastAsia="zh-CN"/>
        </w:rPr>
        <w:t>of</w:t>
      </w:r>
      <w:r w:rsidR="00B70B9E">
        <w:rPr>
          <w:rFonts w:cs="Helvetica"/>
          <w:kern w:val="0"/>
          <w:sz w:val="24"/>
          <w:szCs w:val="24"/>
          <w:lang w:eastAsia="zh-CN"/>
        </w:rPr>
        <w:t xml:space="preserve"> implementing the law to the Ministry of the Family.</w:t>
      </w:r>
    </w:p>
    <w:p w14:paraId="06BC9485" w14:textId="77777777" w:rsidR="00771979" w:rsidRDefault="00771979" w:rsidP="00B96360">
      <w:pPr>
        <w:numPr>
          <w:ilvl w:val="0"/>
          <w:numId w:val="22"/>
        </w:numPr>
        <w:autoSpaceDE w:val="0"/>
        <w:autoSpaceDN w:val="0"/>
        <w:adjustRightInd w:val="0"/>
        <w:spacing w:after="120"/>
        <w:jc w:val="both"/>
        <w:rPr>
          <w:rFonts w:cs="Helvetica"/>
          <w:kern w:val="0"/>
          <w:sz w:val="24"/>
          <w:szCs w:val="24"/>
          <w:lang w:eastAsia="zh-CN"/>
        </w:rPr>
      </w:pPr>
      <w:r w:rsidRPr="00B76560">
        <w:rPr>
          <w:rFonts w:cs="Helvetica"/>
          <w:kern w:val="0"/>
          <w:sz w:val="24"/>
          <w:szCs w:val="24"/>
          <w:lang w:eastAsia="zh-CN"/>
        </w:rPr>
        <w:t xml:space="preserve">Law enforcement and other governmental bodies perpetuate gender-based violence and domestic violence. Women report that </w:t>
      </w:r>
      <w:r w:rsidR="00A160A5">
        <w:rPr>
          <w:rFonts w:cs="Helvetica"/>
          <w:kern w:val="0"/>
          <w:sz w:val="24"/>
          <w:szCs w:val="24"/>
          <w:lang w:eastAsia="zh-CN"/>
        </w:rPr>
        <w:t>officials close or dismiss their cases</w:t>
      </w:r>
      <w:r w:rsidRPr="00B76560">
        <w:rPr>
          <w:rFonts w:cs="Helvetica"/>
          <w:kern w:val="0"/>
          <w:sz w:val="24"/>
          <w:szCs w:val="24"/>
          <w:lang w:eastAsia="zh-CN"/>
        </w:rPr>
        <w:t xml:space="preserve"> because</w:t>
      </w:r>
      <w:r w:rsidR="00A160A5">
        <w:rPr>
          <w:rFonts w:cs="Helvetica"/>
          <w:kern w:val="0"/>
          <w:sz w:val="24"/>
          <w:szCs w:val="24"/>
          <w:lang w:eastAsia="zh-CN"/>
        </w:rPr>
        <w:t xml:space="preserve"> they</w:t>
      </w:r>
      <w:r w:rsidRPr="00B76560">
        <w:rPr>
          <w:rFonts w:cs="Helvetica"/>
          <w:kern w:val="0"/>
          <w:sz w:val="24"/>
          <w:szCs w:val="24"/>
          <w:lang w:eastAsia="zh-CN"/>
        </w:rPr>
        <w:t xml:space="preserve"> do not have adequate </w:t>
      </w:r>
      <w:r w:rsidR="001F6509">
        <w:rPr>
          <w:rFonts w:cs="Helvetica"/>
          <w:kern w:val="0"/>
          <w:sz w:val="24"/>
          <w:szCs w:val="24"/>
          <w:lang w:eastAsia="zh-CN"/>
        </w:rPr>
        <w:t>training</w:t>
      </w:r>
      <w:r w:rsidRPr="00B76560">
        <w:rPr>
          <w:rFonts w:cs="Helvetica"/>
          <w:kern w:val="0"/>
          <w:sz w:val="24"/>
          <w:szCs w:val="24"/>
          <w:lang w:eastAsia="zh-CN"/>
        </w:rPr>
        <w:t xml:space="preserve"> </w:t>
      </w:r>
      <w:r w:rsidR="006340C7">
        <w:rPr>
          <w:rFonts w:cs="Helvetica"/>
          <w:kern w:val="0"/>
          <w:sz w:val="24"/>
          <w:szCs w:val="24"/>
          <w:lang w:eastAsia="zh-CN"/>
        </w:rPr>
        <w:t>on</w:t>
      </w:r>
      <w:r w:rsidRPr="00B76560">
        <w:rPr>
          <w:rFonts w:cs="Helvetica"/>
          <w:kern w:val="0"/>
          <w:sz w:val="24"/>
          <w:szCs w:val="24"/>
          <w:lang w:eastAsia="zh-CN"/>
        </w:rPr>
        <w:t xml:space="preserve"> the seriousness of domestic violence.</w:t>
      </w:r>
      <w:r w:rsidR="006340C7">
        <w:rPr>
          <w:rFonts w:cs="Helvetica"/>
          <w:kern w:val="0"/>
          <w:sz w:val="24"/>
          <w:szCs w:val="24"/>
          <w:lang w:eastAsia="zh-CN"/>
        </w:rPr>
        <w:t xml:space="preserve"> Many women also report that officials reinforce negative stereotypes and attitudes.</w:t>
      </w:r>
      <w:r w:rsidRPr="00B76560">
        <w:rPr>
          <w:rFonts w:cs="Helvetica"/>
          <w:kern w:val="0"/>
          <w:sz w:val="24"/>
          <w:szCs w:val="24"/>
          <w:lang w:eastAsia="zh-CN"/>
        </w:rPr>
        <w:t xml:space="preserve"> Further, women often do not report violence because they fear the negative perceptions of law enforcement, their families, and society at large.</w:t>
      </w:r>
    </w:p>
    <w:p w14:paraId="0B9A6832" w14:textId="77777777" w:rsidR="00771979" w:rsidRPr="00B96360" w:rsidRDefault="00771979" w:rsidP="00771979">
      <w:pPr>
        <w:numPr>
          <w:ilvl w:val="0"/>
          <w:numId w:val="22"/>
        </w:numPr>
        <w:autoSpaceDE w:val="0"/>
        <w:autoSpaceDN w:val="0"/>
        <w:adjustRightInd w:val="0"/>
        <w:spacing w:after="120"/>
        <w:jc w:val="both"/>
        <w:rPr>
          <w:rFonts w:cs="Helvetica"/>
          <w:kern w:val="0"/>
          <w:sz w:val="24"/>
          <w:szCs w:val="24"/>
          <w:lang w:eastAsia="zh-CN"/>
        </w:rPr>
      </w:pPr>
      <w:r w:rsidRPr="00B76560">
        <w:rPr>
          <w:rFonts w:cs="Helvetica"/>
          <w:kern w:val="0"/>
          <w:sz w:val="24"/>
          <w:szCs w:val="24"/>
          <w:lang w:eastAsia="zh-CN"/>
        </w:rPr>
        <w:t>The Advocates for Human Rights has received direct information about gender-based violence</w:t>
      </w:r>
      <w:r w:rsidR="00090B12">
        <w:rPr>
          <w:rFonts w:cs="Helvetica"/>
          <w:kern w:val="0"/>
          <w:sz w:val="24"/>
          <w:szCs w:val="24"/>
          <w:lang w:eastAsia="zh-CN"/>
        </w:rPr>
        <w:t xml:space="preserve"> against women</w:t>
      </w:r>
      <w:r w:rsidRPr="00B76560">
        <w:rPr>
          <w:rFonts w:cs="Helvetica"/>
          <w:kern w:val="0"/>
          <w:sz w:val="24"/>
          <w:szCs w:val="24"/>
          <w:lang w:eastAsia="zh-CN"/>
        </w:rPr>
        <w:t>, domestic violence, and retaliation against political opposition</w:t>
      </w:r>
      <w:r w:rsidR="006340C7">
        <w:rPr>
          <w:rFonts w:cs="Helvetica"/>
          <w:kern w:val="0"/>
          <w:sz w:val="24"/>
          <w:szCs w:val="24"/>
          <w:lang w:eastAsia="zh-CN"/>
        </w:rPr>
        <w:t xml:space="preserve"> </w:t>
      </w:r>
      <w:r w:rsidR="001F6509">
        <w:rPr>
          <w:rFonts w:cs="Helvetica"/>
          <w:kern w:val="0"/>
          <w:sz w:val="24"/>
          <w:szCs w:val="24"/>
          <w:lang w:eastAsia="zh-CN"/>
        </w:rPr>
        <w:t xml:space="preserve">activists </w:t>
      </w:r>
      <w:r w:rsidR="006340C7">
        <w:rPr>
          <w:rFonts w:cs="Helvetica"/>
          <w:kern w:val="0"/>
          <w:sz w:val="24"/>
          <w:szCs w:val="24"/>
          <w:lang w:eastAsia="zh-CN"/>
        </w:rPr>
        <w:t>from survivors seeking asylum in the United States</w:t>
      </w:r>
      <w:r w:rsidRPr="00B76560">
        <w:rPr>
          <w:rFonts w:cs="Helvetica"/>
          <w:kern w:val="0"/>
          <w:sz w:val="24"/>
          <w:szCs w:val="24"/>
          <w:lang w:eastAsia="zh-CN"/>
        </w:rPr>
        <w:t xml:space="preserve">. The firsthand experiences of The Advocates’ asylum clients confirm that </w:t>
      </w:r>
      <w:r w:rsidR="004305F9" w:rsidRPr="00B76560">
        <w:rPr>
          <w:rFonts w:cs="Helvetica"/>
          <w:kern w:val="0"/>
          <w:sz w:val="24"/>
          <w:szCs w:val="24"/>
          <w:lang w:eastAsia="zh-CN"/>
        </w:rPr>
        <w:t xml:space="preserve">the </w:t>
      </w:r>
      <w:r w:rsidR="001F6509">
        <w:rPr>
          <w:rFonts w:cs="Helvetica"/>
          <w:kern w:val="0"/>
          <w:sz w:val="24"/>
          <w:szCs w:val="24"/>
          <w:lang w:eastAsia="zh-CN"/>
        </w:rPr>
        <w:t xml:space="preserve">country’s </w:t>
      </w:r>
      <w:r w:rsidR="004305F9" w:rsidRPr="00B76560">
        <w:rPr>
          <w:rFonts w:cs="Helvetica"/>
          <w:kern w:val="0"/>
          <w:sz w:val="24"/>
          <w:szCs w:val="24"/>
          <w:lang w:eastAsia="zh-CN"/>
        </w:rPr>
        <w:t>legal system and policies fail to protect women from violence, both in the public sphere and in the home.</w:t>
      </w:r>
      <w:r w:rsidR="004305F9">
        <w:rPr>
          <w:rStyle w:val="FootnoteReference"/>
          <w:rFonts w:cs="Helvetica"/>
          <w:kern w:val="0"/>
          <w:sz w:val="24"/>
          <w:szCs w:val="24"/>
          <w:lang w:eastAsia="zh-CN"/>
        </w:rPr>
        <w:footnoteReference w:id="1"/>
      </w:r>
    </w:p>
    <w:p w14:paraId="3D9BEA48" w14:textId="77777777" w:rsidR="0040394B" w:rsidRPr="007A5CD4" w:rsidRDefault="0040394B" w:rsidP="00B96360">
      <w:pPr>
        <w:spacing w:before="240" w:after="240"/>
        <w:jc w:val="center"/>
        <w:rPr>
          <w:b/>
          <w:sz w:val="24"/>
          <w:szCs w:val="24"/>
        </w:rPr>
      </w:pPr>
      <w:r w:rsidRPr="007A5CD4">
        <w:rPr>
          <w:b/>
          <w:color w:val="auto"/>
          <w:sz w:val="24"/>
          <w:szCs w:val="24"/>
        </w:rPr>
        <w:t>Nicaragua</w:t>
      </w:r>
      <w:r w:rsidR="008F2F99" w:rsidRPr="007A5CD4">
        <w:rPr>
          <w:b/>
          <w:color w:val="auto"/>
          <w:sz w:val="24"/>
          <w:szCs w:val="24"/>
        </w:rPr>
        <w:t xml:space="preserve"> fails to uphold it</w:t>
      </w:r>
      <w:r w:rsidRPr="007A5CD4">
        <w:rPr>
          <w:b/>
          <w:color w:val="auto"/>
          <w:sz w:val="24"/>
          <w:szCs w:val="24"/>
        </w:rPr>
        <w:t xml:space="preserve">s obligations under the </w:t>
      </w:r>
      <w:r w:rsidRPr="007A5CD4">
        <w:rPr>
          <w:b/>
          <w:sz w:val="24"/>
          <w:szCs w:val="24"/>
        </w:rPr>
        <w:t>Convention on the Elimination of All Forms of Discrimination Against Women</w:t>
      </w:r>
      <w:r w:rsidR="000258F5">
        <w:rPr>
          <w:b/>
          <w:sz w:val="24"/>
          <w:szCs w:val="24"/>
        </w:rPr>
        <w:t xml:space="preserve"> (CEDAW)</w:t>
      </w:r>
    </w:p>
    <w:p w14:paraId="217794C4" w14:textId="77777777" w:rsidR="007B5DFE" w:rsidRPr="00B96360" w:rsidRDefault="000258F5" w:rsidP="007B5DFE">
      <w:pPr>
        <w:numPr>
          <w:ilvl w:val="0"/>
          <w:numId w:val="22"/>
        </w:numPr>
        <w:autoSpaceDE w:val="0"/>
        <w:autoSpaceDN w:val="0"/>
        <w:adjustRightInd w:val="0"/>
        <w:spacing w:after="120"/>
        <w:jc w:val="both"/>
        <w:rPr>
          <w:rFonts w:cs="Helvetica"/>
          <w:kern w:val="0"/>
          <w:sz w:val="22"/>
          <w:szCs w:val="22"/>
          <w:lang w:eastAsia="zh-CN"/>
        </w:rPr>
      </w:pPr>
      <w:r w:rsidRPr="000258F5">
        <w:rPr>
          <w:rFonts w:cs="Helvetica"/>
          <w:kern w:val="0"/>
          <w:sz w:val="24"/>
          <w:szCs w:val="24"/>
          <w:lang w:eastAsia="zh-CN"/>
        </w:rPr>
        <w:t xml:space="preserve">As a State Party to CEDAW, Nicaragua </w:t>
      </w:r>
      <w:r w:rsidR="008329E3">
        <w:rPr>
          <w:rFonts w:cs="Helvetica"/>
          <w:kern w:val="0"/>
          <w:sz w:val="24"/>
          <w:szCs w:val="24"/>
          <w:lang w:eastAsia="zh-CN"/>
        </w:rPr>
        <w:t>is obligated</w:t>
      </w:r>
      <w:r w:rsidRPr="000258F5">
        <w:rPr>
          <w:rFonts w:cs="Helvetica"/>
          <w:kern w:val="0"/>
          <w:sz w:val="24"/>
          <w:szCs w:val="24"/>
          <w:lang w:eastAsia="zh-CN"/>
        </w:rPr>
        <w:t xml:space="preserve"> to provide women with legal protection from discrimination, ensure that public authorities do not discriminate against women, and eliminate discrimination against women by any person, institution, or enterprise (Article 2)</w:t>
      </w:r>
      <w:r w:rsidR="006340C7">
        <w:rPr>
          <w:rFonts w:cs="Helvetica"/>
          <w:kern w:val="0"/>
          <w:sz w:val="24"/>
          <w:szCs w:val="24"/>
          <w:lang w:eastAsia="zh-CN"/>
        </w:rPr>
        <w:t>.</w:t>
      </w:r>
      <w:r w:rsidR="008564A5" w:rsidRPr="000258F5">
        <w:rPr>
          <w:rFonts w:cs="Helvetica"/>
          <w:kern w:val="0"/>
          <w:sz w:val="24"/>
          <w:szCs w:val="24"/>
          <w:lang w:eastAsia="zh-CN"/>
        </w:rPr>
        <w:t xml:space="preserve"> </w:t>
      </w:r>
      <w:r w:rsidRPr="000258F5">
        <w:rPr>
          <w:rFonts w:cs="Helvetica"/>
          <w:kern w:val="0"/>
          <w:sz w:val="24"/>
          <w:szCs w:val="24"/>
          <w:lang w:eastAsia="zh-CN"/>
        </w:rPr>
        <w:t>Nicaragua is also obligated to eliminate prejudices and customary practices that reinforce harmful stereotypes of the roles of men and women, within the family or otherwise (Article 5). Nicaragua must treat</w:t>
      </w:r>
      <w:r w:rsidR="00BF0B11">
        <w:rPr>
          <w:rFonts w:cs="Helvetica"/>
          <w:kern w:val="0"/>
          <w:sz w:val="24"/>
          <w:szCs w:val="24"/>
          <w:lang w:eastAsia="zh-CN"/>
        </w:rPr>
        <w:t xml:space="preserve"> women and men equally before the law </w:t>
      </w:r>
      <w:r>
        <w:rPr>
          <w:rFonts w:cs="Helvetica"/>
          <w:kern w:val="0"/>
          <w:sz w:val="24"/>
          <w:szCs w:val="24"/>
          <w:lang w:eastAsia="zh-CN"/>
        </w:rPr>
        <w:t>(Article 15).</w:t>
      </w:r>
      <w:r w:rsidR="0009489F" w:rsidRPr="007A5CD4">
        <w:rPr>
          <w:rStyle w:val="FootnoteReference"/>
          <w:rFonts w:cs="Helvetica"/>
          <w:kern w:val="0"/>
          <w:sz w:val="24"/>
          <w:szCs w:val="24"/>
          <w:lang w:eastAsia="zh-CN"/>
        </w:rPr>
        <w:footnoteReference w:id="2"/>
      </w:r>
    </w:p>
    <w:p w14:paraId="16CE9A08" w14:textId="77777777" w:rsidR="004C0F14" w:rsidRDefault="004C0F14" w:rsidP="003761CC">
      <w:pPr>
        <w:keepNext/>
        <w:numPr>
          <w:ilvl w:val="0"/>
          <w:numId w:val="17"/>
        </w:numPr>
        <w:spacing w:after="240"/>
        <w:ind w:left="720" w:hanging="360"/>
        <w:jc w:val="both"/>
        <w:rPr>
          <w:b/>
          <w:bCs/>
          <w:color w:val="auto"/>
          <w:sz w:val="24"/>
          <w:szCs w:val="24"/>
        </w:rPr>
      </w:pPr>
      <w:r w:rsidRPr="00B96360">
        <w:rPr>
          <w:rFonts w:eastAsia="Times New Roman" w:cs="Arial"/>
          <w:b/>
          <w:bCs/>
          <w:sz w:val="24"/>
          <w:szCs w:val="24"/>
        </w:rPr>
        <w:lastRenderedPageBreak/>
        <w:t>Nicaragua fails to eradicate patriarchal attitudes and harmful stereotypes</w:t>
      </w:r>
      <w:r>
        <w:rPr>
          <w:b/>
          <w:bCs/>
          <w:color w:val="auto"/>
          <w:sz w:val="24"/>
          <w:szCs w:val="24"/>
        </w:rPr>
        <w:t xml:space="preserve"> about gender roles and the family.</w:t>
      </w:r>
    </w:p>
    <w:p w14:paraId="0EF7DE9B" w14:textId="77BE8C4D" w:rsidR="004C0F14" w:rsidRDefault="004C0F14" w:rsidP="004C0F14">
      <w:pPr>
        <w:numPr>
          <w:ilvl w:val="0"/>
          <w:numId w:val="22"/>
        </w:numPr>
        <w:spacing w:after="120"/>
        <w:ind w:hanging="450"/>
        <w:jc w:val="both"/>
        <w:rPr>
          <w:color w:val="auto"/>
          <w:sz w:val="24"/>
          <w:szCs w:val="24"/>
        </w:rPr>
      </w:pPr>
      <w:r>
        <w:rPr>
          <w:color w:val="auto"/>
          <w:sz w:val="24"/>
          <w:szCs w:val="24"/>
        </w:rPr>
        <w:t xml:space="preserve">In its 2020 List of Issues, the </w:t>
      </w:r>
      <w:r w:rsidR="65FEA9C5">
        <w:rPr>
          <w:color w:val="auto"/>
          <w:sz w:val="24"/>
          <w:szCs w:val="24"/>
        </w:rPr>
        <w:t xml:space="preserve">Committee </w:t>
      </w:r>
      <w:r w:rsidR="65FEA9C5" w:rsidRPr="3F9CD3CD">
        <w:rPr>
          <w:color w:val="auto"/>
          <w:sz w:val="24"/>
          <w:szCs w:val="24"/>
        </w:rPr>
        <w:t>on the Elimination of All Forms of Discrimination Against Women (</w:t>
      </w:r>
      <w:r w:rsidRPr="3F9CD3CD">
        <w:rPr>
          <w:color w:val="auto"/>
          <w:sz w:val="24"/>
          <w:szCs w:val="24"/>
        </w:rPr>
        <w:t>Committee</w:t>
      </w:r>
      <w:r w:rsidR="307DC0F3" w:rsidRPr="3F9CD3CD">
        <w:rPr>
          <w:color w:val="auto"/>
          <w:sz w:val="24"/>
          <w:szCs w:val="24"/>
        </w:rPr>
        <w:t>)</w:t>
      </w:r>
      <w:r w:rsidR="003761CC">
        <w:rPr>
          <w:color w:val="auto"/>
          <w:sz w:val="24"/>
          <w:szCs w:val="24"/>
        </w:rPr>
        <w:t>.</w:t>
      </w:r>
      <w:r w:rsidRPr="3F9CD3CD">
        <w:rPr>
          <w:rStyle w:val="FootnoteReference"/>
          <w:color w:val="auto"/>
          <w:sz w:val="24"/>
          <w:szCs w:val="24"/>
        </w:rPr>
        <w:footnoteReference w:id="3"/>
      </w:r>
    </w:p>
    <w:p w14:paraId="534805F8" w14:textId="04C3EAAE" w:rsidR="00095F0E" w:rsidRPr="00095F0E" w:rsidRDefault="00095F0E" w:rsidP="00095F0E">
      <w:pPr>
        <w:numPr>
          <w:ilvl w:val="0"/>
          <w:numId w:val="22"/>
        </w:numPr>
        <w:spacing w:after="120"/>
        <w:ind w:hanging="450"/>
        <w:jc w:val="both"/>
        <w:rPr>
          <w:color w:val="auto"/>
          <w:sz w:val="24"/>
          <w:szCs w:val="24"/>
        </w:rPr>
      </w:pPr>
      <w:r>
        <w:rPr>
          <w:color w:val="auto"/>
          <w:sz w:val="24"/>
          <w:szCs w:val="24"/>
        </w:rPr>
        <w:t>In its 2020 State Party Report, the Nicaraguan Government cited several awareness-raising campaigns to “make families stronger and prevent violence against women and girls by promoting values, gender equity, and complementariness.”</w:t>
      </w:r>
      <w:r>
        <w:rPr>
          <w:rStyle w:val="FootnoteReference"/>
          <w:color w:val="auto"/>
          <w:sz w:val="24"/>
          <w:szCs w:val="24"/>
        </w:rPr>
        <w:footnoteReference w:id="4"/>
      </w:r>
      <w:r>
        <w:rPr>
          <w:color w:val="auto"/>
          <w:sz w:val="24"/>
          <w:szCs w:val="24"/>
        </w:rPr>
        <w:t xml:space="preserve"> The report also outlined a program for parents to promote gender equality and to prevent violence as well the Ministry of Education’s curricular reform to include education to eradicate gender stereotypes.</w:t>
      </w:r>
      <w:r>
        <w:rPr>
          <w:rStyle w:val="FootnoteReference"/>
          <w:color w:val="auto"/>
          <w:sz w:val="24"/>
          <w:szCs w:val="24"/>
        </w:rPr>
        <w:footnoteReference w:id="5"/>
      </w:r>
    </w:p>
    <w:p w14:paraId="56238E8A" w14:textId="77777777" w:rsidR="004C0F14" w:rsidRDefault="004C0F14" w:rsidP="004C0F14">
      <w:pPr>
        <w:numPr>
          <w:ilvl w:val="0"/>
          <w:numId w:val="22"/>
        </w:numPr>
        <w:spacing w:after="120"/>
        <w:ind w:hanging="450"/>
        <w:jc w:val="both"/>
        <w:rPr>
          <w:color w:val="auto"/>
          <w:sz w:val="24"/>
          <w:szCs w:val="24"/>
        </w:rPr>
      </w:pPr>
      <w:r>
        <w:rPr>
          <w:color w:val="auto"/>
          <w:sz w:val="24"/>
          <w:szCs w:val="24"/>
        </w:rPr>
        <w:t>Due to their harmful perceptions about women and the family, police fail to adequately protect women who are victims of domestic violence. Stereotypes prevail and negatively affect the police response to violence. For instance, the police told one woman who was a victim of domestic violence that they were closing the case because it was a “private, family matter.”</w:t>
      </w:r>
      <w:r>
        <w:rPr>
          <w:rStyle w:val="FootnoteReference"/>
          <w:color w:val="auto"/>
          <w:sz w:val="24"/>
          <w:szCs w:val="24"/>
        </w:rPr>
        <w:footnoteReference w:id="6"/>
      </w:r>
      <w:r w:rsidRPr="0028660E">
        <w:rPr>
          <w:color w:val="auto"/>
          <w:sz w:val="24"/>
          <w:szCs w:val="24"/>
        </w:rPr>
        <w:t xml:space="preserve"> </w:t>
      </w:r>
    </w:p>
    <w:p w14:paraId="2D2020BF" w14:textId="77777777" w:rsidR="004C0F14" w:rsidRDefault="004C0F14" w:rsidP="004C0F14">
      <w:pPr>
        <w:numPr>
          <w:ilvl w:val="0"/>
          <w:numId w:val="22"/>
        </w:numPr>
        <w:spacing w:after="120"/>
        <w:ind w:hanging="450"/>
        <w:jc w:val="both"/>
        <w:rPr>
          <w:color w:val="auto"/>
          <w:sz w:val="24"/>
          <w:szCs w:val="24"/>
        </w:rPr>
      </w:pPr>
      <w:r>
        <w:rPr>
          <w:color w:val="auto"/>
          <w:sz w:val="24"/>
          <w:szCs w:val="24"/>
        </w:rPr>
        <w:t>Members of the justice system also limit women’s access to protection from violence based on similar misperceptions.</w:t>
      </w:r>
      <w:r w:rsidRPr="001843C0">
        <w:rPr>
          <w:color w:val="auto"/>
          <w:sz w:val="24"/>
          <w:szCs w:val="24"/>
        </w:rPr>
        <w:t xml:space="preserve"> </w:t>
      </w:r>
      <w:r>
        <w:rPr>
          <w:color w:val="auto"/>
          <w:sz w:val="24"/>
          <w:szCs w:val="24"/>
        </w:rPr>
        <w:t>O</w:t>
      </w:r>
      <w:r w:rsidRPr="001843C0">
        <w:rPr>
          <w:color w:val="auto"/>
          <w:sz w:val="24"/>
          <w:szCs w:val="24"/>
        </w:rPr>
        <w:t xml:space="preserve">fficials </w:t>
      </w:r>
      <w:r>
        <w:rPr>
          <w:color w:val="auto"/>
          <w:sz w:val="24"/>
          <w:szCs w:val="24"/>
        </w:rPr>
        <w:t>perpetuate</w:t>
      </w:r>
      <w:r w:rsidRPr="001843C0">
        <w:rPr>
          <w:color w:val="auto"/>
          <w:sz w:val="24"/>
          <w:szCs w:val="24"/>
        </w:rPr>
        <w:t xml:space="preserve"> stereotypes about gender roles and do not </w:t>
      </w:r>
      <w:r>
        <w:rPr>
          <w:color w:val="auto"/>
          <w:sz w:val="24"/>
          <w:szCs w:val="24"/>
        </w:rPr>
        <w:t xml:space="preserve">adequately respond to </w:t>
      </w:r>
      <w:r w:rsidRPr="001843C0">
        <w:rPr>
          <w:color w:val="auto"/>
          <w:sz w:val="24"/>
          <w:szCs w:val="24"/>
        </w:rPr>
        <w:t xml:space="preserve">cases of domestic violence. </w:t>
      </w:r>
      <w:r>
        <w:rPr>
          <w:color w:val="auto"/>
          <w:sz w:val="24"/>
          <w:szCs w:val="24"/>
        </w:rPr>
        <w:t>In one case handled by T</w:t>
      </w:r>
      <w:r w:rsidRPr="001843C0">
        <w:rPr>
          <w:color w:val="auto"/>
          <w:sz w:val="24"/>
          <w:szCs w:val="24"/>
        </w:rPr>
        <w:t xml:space="preserve">he Advocates, </w:t>
      </w:r>
      <w:r>
        <w:rPr>
          <w:color w:val="auto"/>
          <w:sz w:val="24"/>
          <w:szCs w:val="24"/>
        </w:rPr>
        <w:t xml:space="preserve">for instance, </w:t>
      </w:r>
      <w:r w:rsidRPr="001843C0">
        <w:rPr>
          <w:color w:val="auto"/>
          <w:sz w:val="24"/>
          <w:szCs w:val="24"/>
        </w:rPr>
        <w:t>the local Commission of Women told a victim of domestic abuse that her husband had the right to beat her</w:t>
      </w:r>
      <w:r>
        <w:rPr>
          <w:color w:val="auto"/>
          <w:sz w:val="24"/>
          <w:szCs w:val="24"/>
        </w:rPr>
        <w:t>. They informed her that by leaving her husband she was abandoning her family and her duties as a wife.</w:t>
      </w:r>
      <w:r w:rsidRPr="001843C0">
        <w:rPr>
          <w:rStyle w:val="FootnoteReference"/>
          <w:color w:val="auto"/>
          <w:sz w:val="24"/>
          <w:szCs w:val="24"/>
        </w:rPr>
        <w:footnoteReference w:id="7"/>
      </w:r>
    </w:p>
    <w:p w14:paraId="44950658" w14:textId="77777777" w:rsidR="004C0F14" w:rsidRDefault="004C0F14" w:rsidP="004C0F14">
      <w:pPr>
        <w:numPr>
          <w:ilvl w:val="0"/>
          <w:numId w:val="22"/>
        </w:numPr>
        <w:spacing w:after="120"/>
        <w:ind w:hanging="450"/>
        <w:jc w:val="both"/>
        <w:rPr>
          <w:color w:val="auto"/>
          <w:sz w:val="24"/>
          <w:szCs w:val="24"/>
        </w:rPr>
      </w:pPr>
      <w:r>
        <w:rPr>
          <w:color w:val="auto"/>
          <w:sz w:val="24"/>
          <w:szCs w:val="24"/>
        </w:rPr>
        <w:t xml:space="preserve">Such harmful perceptions about </w:t>
      </w:r>
      <w:r w:rsidRPr="001843C0">
        <w:rPr>
          <w:color w:val="auto"/>
          <w:sz w:val="24"/>
          <w:szCs w:val="24"/>
        </w:rPr>
        <w:t xml:space="preserve">domestic and sexual violence </w:t>
      </w:r>
      <w:r>
        <w:rPr>
          <w:color w:val="auto"/>
          <w:sz w:val="24"/>
          <w:szCs w:val="24"/>
        </w:rPr>
        <w:t>discourage women from seeking protection. In more than one case, clients from The Advocates have not been able to convince their families that they experienced abuse and did not receive protection they needed.</w:t>
      </w:r>
      <w:r w:rsidRPr="001843C0">
        <w:rPr>
          <w:rStyle w:val="FootnoteReference"/>
          <w:color w:val="auto"/>
          <w:sz w:val="24"/>
          <w:szCs w:val="24"/>
        </w:rPr>
        <w:footnoteReference w:id="8"/>
      </w:r>
      <w:r w:rsidRPr="002B2814">
        <w:rPr>
          <w:color w:val="auto"/>
          <w:sz w:val="24"/>
          <w:szCs w:val="24"/>
        </w:rPr>
        <w:t xml:space="preserve"> </w:t>
      </w:r>
      <w:r>
        <w:rPr>
          <w:color w:val="auto"/>
          <w:sz w:val="24"/>
          <w:szCs w:val="24"/>
        </w:rPr>
        <w:t>According to one study, Nicaraguan girls report that the biggest barrier they face to reporting violence is the fear that their families will perceive them negatively or dismiss their story.</w:t>
      </w:r>
      <w:r>
        <w:rPr>
          <w:rStyle w:val="FootnoteReference"/>
          <w:color w:val="auto"/>
          <w:sz w:val="24"/>
          <w:szCs w:val="24"/>
        </w:rPr>
        <w:footnoteReference w:id="9"/>
      </w:r>
    </w:p>
    <w:p w14:paraId="5FCBD6B2" w14:textId="0A3FE194" w:rsidR="004303F1" w:rsidRPr="004303F1" w:rsidRDefault="004C0F14" w:rsidP="004303F1">
      <w:pPr>
        <w:numPr>
          <w:ilvl w:val="0"/>
          <w:numId w:val="22"/>
        </w:numPr>
        <w:spacing w:after="120"/>
        <w:ind w:hanging="450"/>
        <w:jc w:val="both"/>
        <w:rPr>
          <w:color w:val="auto"/>
          <w:sz w:val="24"/>
          <w:szCs w:val="24"/>
        </w:rPr>
      </w:pPr>
      <w:r>
        <w:rPr>
          <w:color w:val="auto"/>
          <w:sz w:val="24"/>
          <w:szCs w:val="24"/>
        </w:rPr>
        <w:t xml:space="preserve">Women also do not report domestic violence due to distrust of the police. </w:t>
      </w:r>
      <w:r w:rsidRPr="001843C0">
        <w:rPr>
          <w:color w:val="auto"/>
          <w:sz w:val="24"/>
          <w:szCs w:val="24"/>
        </w:rPr>
        <w:t xml:space="preserve">In </w:t>
      </w:r>
      <w:r>
        <w:rPr>
          <w:color w:val="auto"/>
          <w:sz w:val="24"/>
          <w:szCs w:val="24"/>
        </w:rPr>
        <w:t>multiple cases handled by The Advocates,</w:t>
      </w:r>
      <w:r w:rsidRPr="001843C0">
        <w:rPr>
          <w:color w:val="auto"/>
          <w:sz w:val="24"/>
          <w:szCs w:val="24"/>
        </w:rPr>
        <w:t xml:space="preserve"> victims did not believe the police would protect them </w:t>
      </w:r>
      <w:r w:rsidRPr="001843C0">
        <w:rPr>
          <w:color w:val="auto"/>
          <w:sz w:val="24"/>
          <w:szCs w:val="24"/>
        </w:rPr>
        <w:lastRenderedPageBreak/>
        <w:t xml:space="preserve">from retaliation </w:t>
      </w:r>
      <w:r>
        <w:rPr>
          <w:color w:val="auto"/>
          <w:sz w:val="24"/>
          <w:szCs w:val="24"/>
        </w:rPr>
        <w:t>by</w:t>
      </w:r>
      <w:r w:rsidRPr="001843C0">
        <w:rPr>
          <w:color w:val="auto"/>
          <w:sz w:val="24"/>
          <w:szCs w:val="24"/>
        </w:rPr>
        <w:t xml:space="preserve"> the perpetrators</w:t>
      </w:r>
      <w:r>
        <w:rPr>
          <w:color w:val="auto"/>
          <w:sz w:val="24"/>
          <w:szCs w:val="24"/>
        </w:rPr>
        <w:t>.</w:t>
      </w:r>
      <w:r w:rsidRPr="00BE3C24">
        <w:rPr>
          <w:rStyle w:val="FootnoteReference"/>
          <w:color w:val="auto"/>
          <w:sz w:val="24"/>
          <w:szCs w:val="24"/>
        </w:rPr>
        <w:t xml:space="preserve"> </w:t>
      </w:r>
      <w:r w:rsidRPr="001843C0">
        <w:rPr>
          <w:rStyle w:val="FootnoteReference"/>
          <w:color w:val="auto"/>
          <w:sz w:val="24"/>
          <w:szCs w:val="24"/>
        </w:rPr>
        <w:footnoteReference w:id="10"/>
      </w:r>
      <w:r>
        <w:rPr>
          <w:color w:val="auto"/>
          <w:sz w:val="24"/>
          <w:szCs w:val="24"/>
        </w:rPr>
        <w:t xml:space="preserve"> As a result, they chose not to report incidents of violence to the police. </w:t>
      </w:r>
    </w:p>
    <w:p w14:paraId="0392D70F" w14:textId="0DD3AF5C" w:rsidR="007B5DFE" w:rsidRPr="00B96360" w:rsidRDefault="0093514D" w:rsidP="00FE704F">
      <w:pPr>
        <w:keepNext/>
        <w:numPr>
          <w:ilvl w:val="0"/>
          <w:numId w:val="17"/>
        </w:numPr>
        <w:spacing w:after="240"/>
        <w:ind w:left="720" w:hanging="360"/>
        <w:rPr>
          <w:rFonts w:eastAsia="Times New Roman" w:cs="Arial"/>
          <w:b/>
          <w:bCs/>
          <w:sz w:val="24"/>
          <w:szCs w:val="24"/>
        </w:rPr>
      </w:pPr>
      <w:r>
        <w:rPr>
          <w:rFonts w:eastAsia="Times New Roman" w:cs="Arial"/>
          <w:b/>
          <w:bCs/>
          <w:sz w:val="24"/>
          <w:szCs w:val="24"/>
        </w:rPr>
        <w:t xml:space="preserve">The </w:t>
      </w:r>
      <w:r w:rsidR="001F6509">
        <w:rPr>
          <w:rFonts w:eastAsia="Times New Roman" w:cs="Arial"/>
          <w:b/>
          <w:bCs/>
          <w:sz w:val="24"/>
          <w:szCs w:val="24"/>
        </w:rPr>
        <w:t>G</w:t>
      </w:r>
      <w:r>
        <w:rPr>
          <w:rFonts w:eastAsia="Times New Roman" w:cs="Arial"/>
          <w:b/>
          <w:bCs/>
          <w:sz w:val="24"/>
          <w:szCs w:val="24"/>
        </w:rPr>
        <w:t xml:space="preserve">overnment of Nicaragua fails to protect women from </w:t>
      </w:r>
      <w:r w:rsidR="00BF0B11">
        <w:rPr>
          <w:rFonts w:eastAsia="Times New Roman" w:cs="Arial"/>
          <w:b/>
          <w:bCs/>
          <w:sz w:val="24"/>
          <w:szCs w:val="24"/>
        </w:rPr>
        <w:t xml:space="preserve">domestic violence and </w:t>
      </w:r>
      <w:r>
        <w:rPr>
          <w:rFonts w:eastAsia="Times New Roman" w:cs="Arial"/>
          <w:b/>
          <w:bCs/>
          <w:sz w:val="24"/>
          <w:szCs w:val="24"/>
        </w:rPr>
        <w:t>gender-based violence against women.</w:t>
      </w:r>
    </w:p>
    <w:p w14:paraId="3351023D" w14:textId="77777777" w:rsidR="0093514D" w:rsidRDefault="007B5DFE" w:rsidP="00B96360">
      <w:pPr>
        <w:numPr>
          <w:ilvl w:val="0"/>
          <w:numId w:val="22"/>
        </w:numPr>
        <w:autoSpaceDE w:val="0"/>
        <w:autoSpaceDN w:val="0"/>
        <w:adjustRightInd w:val="0"/>
        <w:spacing w:after="120"/>
        <w:jc w:val="both"/>
        <w:rPr>
          <w:kern w:val="0"/>
          <w:sz w:val="24"/>
          <w:szCs w:val="24"/>
          <w:lang w:eastAsia="zh-CN"/>
        </w:rPr>
      </w:pPr>
      <w:r>
        <w:rPr>
          <w:color w:val="auto"/>
          <w:sz w:val="24"/>
          <w:szCs w:val="24"/>
        </w:rPr>
        <w:t xml:space="preserve">In </w:t>
      </w:r>
      <w:r w:rsidR="00340CF9">
        <w:rPr>
          <w:color w:val="auto"/>
          <w:sz w:val="24"/>
          <w:szCs w:val="24"/>
        </w:rPr>
        <w:t>2020 List of Issues, the Committee requested information on the prevalence of gender-based violence against women and killings of women, including information on measures taken to combat and prevent it. The Committee also asked for more information related to domestic violence legislation, including measures to encourage women to report, the implementation of protection orders, and the allocation of services for victims of domestic violence.</w:t>
      </w:r>
      <w:r w:rsidR="00340CF9">
        <w:rPr>
          <w:rStyle w:val="FootnoteReference"/>
          <w:color w:val="auto"/>
          <w:sz w:val="24"/>
          <w:szCs w:val="24"/>
        </w:rPr>
        <w:footnoteReference w:id="11"/>
      </w:r>
    </w:p>
    <w:p w14:paraId="1BFECC68" w14:textId="4EC72C2B" w:rsidR="00E22295" w:rsidRPr="0028660E" w:rsidRDefault="00E22295" w:rsidP="003761CC">
      <w:pPr>
        <w:numPr>
          <w:ilvl w:val="0"/>
          <w:numId w:val="22"/>
        </w:numPr>
        <w:spacing w:after="120"/>
        <w:jc w:val="both"/>
        <w:rPr>
          <w:color w:val="auto"/>
          <w:sz w:val="24"/>
          <w:szCs w:val="24"/>
        </w:rPr>
      </w:pPr>
      <w:r>
        <w:rPr>
          <w:color w:val="auto"/>
          <w:sz w:val="24"/>
          <w:szCs w:val="24"/>
        </w:rPr>
        <w:t xml:space="preserve">In its 2020 State Party Report, the Nicaraguan Government cited </w:t>
      </w:r>
      <w:proofErr w:type="gramStart"/>
      <w:r>
        <w:rPr>
          <w:color w:val="auto"/>
          <w:sz w:val="24"/>
          <w:szCs w:val="24"/>
        </w:rPr>
        <w:t>a number of</w:t>
      </w:r>
      <w:proofErr w:type="gramEnd"/>
      <w:r>
        <w:rPr>
          <w:color w:val="auto"/>
          <w:sz w:val="24"/>
          <w:szCs w:val="24"/>
        </w:rPr>
        <w:t xml:space="preserve"> Acts passed related to combating violence against women.</w:t>
      </w:r>
      <w:r>
        <w:rPr>
          <w:rStyle w:val="FootnoteReference"/>
          <w:color w:val="auto"/>
          <w:sz w:val="24"/>
          <w:szCs w:val="24"/>
        </w:rPr>
        <w:footnoteReference w:id="12"/>
      </w:r>
      <w:r>
        <w:rPr>
          <w:color w:val="auto"/>
          <w:sz w:val="24"/>
          <w:szCs w:val="24"/>
        </w:rPr>
        <w:t xml:space="preserve"> It also cited a 2017 campaign aimed at families to encourage them to “live together with mutual respect and in harmony, dignity, and safety.”</w:t>
      </w:r>
      <w:r>
        <w:rPr>
          <w:rStyle w:val="FootnoteReference"/>
          <w:color w:val="auto"/>
          <w:sz w:val="24"/>
          <w:szCs w:val="24"/>
        </w:rPr>
        <w:footnoteReference w:id="13"/>
      </w:r>
    </w:p>
    <w:p w14:paraId="49AAEE03" w14:textId="77777777" w:rsidR="007C30D8" w:rsidRDefault="0009489F" w:rsidP="007C30D8">
      <w:pPr>
        <w:numPr>
          <w:ilvl w:val="0"/>
          <w:numId w:val="22"/>
        </w:numPr>
        <w:spacing w:after="120"/>
        <w:jc w:val="both"/>
        <w:rPr>
          <w:color w:val="auto"/>
          <w:sz w:val="24"/>
          <w:szCs w:val="24"/>
        </w:rPr>
      </w:pPr>
      <w:r w:rsidRPr="00682BE2">
        <w:rPr>
          <w:b/>
          <w:bCs/>
          <w:color w:val="auto"/>
          <w:sz w:val="24"/>
          <w:szCs w:val="24"/>
        </w:rPr>
        <w:t>Violence against women</w:t>
      </w:r>
      <w:r w:rsidR="0010077B" w:rsidRPr="00682BE2">
        <w:rPr>
          <w:b/>
          <w:bCs/>
          <w:color w:val="auto"/>
          <w:sz w:val="24"/>
          <w:szCs w:val="24"/>
        </w:rPr>
        <w:t xml:space="preserve"> </w:t>
      </w:r>
      <w:r w:rsidRPr="00682BE2">
        <w:rPr>
          <w:b/>
          <w:bCs/>
          <w:color w:val="auto"/>
          <w:sz w:val="24"/>
          <w:szCs w:val="24"/>
        </w:rPr>
        <w:t>is a</w:t>
      </w:r>
      <w:r w:rsidR="0010077B" w:rsidRPr="00682BE2">
        <w:rPr>
          <w:b/>
          <w:bCs/>
          <w:color w:val="auto"/>
          <w:sz w:val="24"/>
          <w:szCs w:val="24"/>
        </w:rPr>
        <w:t xml:space="preserve"> serious problem in Nicaragua</w:t>
      </w:r>
      <w:r w:rsidR="0010077B">
        <w:rPr>
          <w:color w:val="auto"/>
          <w:sz w:val="24"/>
          <w:szCs w:val="24"/>
        </w:rPr>
        <w:t>. The most recent statistics available on violence against women show that one in every two women has experienced violence of some kind in her lifetime.</w:t>
      </w:r>
      <w:r w:rsidR="0010077B">
        <w:rPr>
          <w:rStyle w:val="FootnoteReference"/>
          <w:color w:val="auto"/>
          <w:sz w:val="24"/>
          <w:szCs w:val="24"/>
        </w:rPr>
        <w:footnoteReference w:id="14"/>
      </w:r>
      <w:r w:rsidR="0010077B">
        <w:rPr>
          <w:color w:val="auto"/>
          <w:sz w:val="24"/>
          <w:szCs w:val="24"/>
        </w:rPr>
        <w:t xml:space="preserve"> </w:t>
      </w:r>
      <w:r w:rsidR="006945AE">
        <w:rPr>
          <w:color w:val="auto"/>
          <w:sz w:val="24"/>
          <w:szCs w:val="24"/>
        </w:rPr>
        <w:t xml:space="preserve">In 2017, 198 women </w:t>
      </w:r>
      <w:r w:rsidR="001F6509">
        <w:rPr>
          <w:color w:val="auto"/>
          <w:sz w:val="24"/>
          <w:szCs w:val="24"/>
        </w:rPr>
        <w:t>experienced</w:t>
      </w:r>
      <w:r w:rsidR="006945AE">
        <w:rPr>
          <w:color w:val="auto"/>
          <w:sz w:val="24"/>
          <w:szCs w:val="24"/>
        </w:rPr>
        <w:t xml:space="preserve"> bodily injuries</w:t>
      </w:r>
      <w:r w:rsidR="001F6509">
        <w:rPr>
          <w:color w:val="auto"/>
          <w:sz w:val="24"/>
          <w:szCs w:val="24"/>
        </w:rPr>
        <w:t xml:space="preserve"> related to violence against women</w:t>
      </w:r>
      <w:r w:rsidR="006945AE">
        <w:rPr>
          <w:color w:val="auto"/>
          <w:sz w:val="24"/>
          <w:szCs w:val="24"/>
        </w:rPr>
        <w:t xml:space="preserve">, and 1080 women </w:t>
      </w:r>
      <w:r w:rsidR="001F6509">
        <w:rPr>
          <w:color w:val="auto"/>
          <w:sz w:val="24"/>
          <w:szCs w:val="24"/>
        </w:rPr>
        <w:t>experienced</w:t>
      </w:r>
      <w:r w:rsidR="006945AE">
        <w:rPr>
          <w:color w:val="auto"/>
          <w:sz w:val="24"/>
          <w:szCs w:val="24"/>
        </w:rPr>
        <w:t xml:space="preserve"> rape or sexual assault. In the same year, there were an estimated 58 victims of femicide due to </w:t>
      </w:r>
      <w:r>
        <w:rPr>
          <w:color w:val="auto"/>
          <w:sz w:val="24"/>
          <w:szCs w:val="24"/>
        </w:rPr>
        <w:t>“</w:t>
      </w:r>
      <w:r w:rsidR="006945AE">
        <w:rPr>
          <w:color w:val="auto"/>
          <w:sz w:val="24"/>
          <w:szCs w:val="24"/>
        </w:rPr>
        <w:t>problems in the home.</w:t>
      </w:r>
      <w:r>
        <w:rPr>
          <w:color w:val="auto"/>
          <w:sz w:val="24"/>
          <w:szCs w:val="24"/>
        </w:rPr>
        <w:t>”</w:t>
      </w:r>
      <w:r w:rsidR="006945AE">
        <w:rPr>
          <w:rStyle w:val="FootnoteReference"/>
          <w:color w:val="auto"/>
          <w:sz w:val="24"/>
          <w:szCs w:val="24"/>
        </w:rPr>
        <w:footnoteReference w:id="15"/>
      </w:r>
      <w:r w:rsidR="006945AE">
        <w:rPr>
          <w:color w:val="auto"/>
          <w:sz w:val="24"/>
          <w:szCs w:val="24"/>
        </w:rPr>
        <w:t xml:space="preserve"> </w:t>
      </w:r>
    </w:p>
    <w:p w14:paraId="3D79C999" w14:textId="77777777" w:rsidR="0009489F" w:rsidRPr="00B96360" w:rsidRDefault="007C30D8" w:rsidP="007C30D8">
      <w:pPr>
        <w:numPr>
          <w:ilvl w:val="0"/>
          <w:numId w:val="22"/>
        </w:numPr>
        <w:spacing w:after="120"/>
        <w:jc w:val="both"/>
        <w:rPr>
          <w:color w:val="auto"/>
          <w:sz w:val="24"/>
          <w:szCs w:val="24"/>
        </w:rPr>
      </w:pPr>
      <w:r>
        <w:rPr>
          <w:color w:val="auto"/>
          <w:sz w:val="24"/>
          <w:szCs w:val="24"/>
        </w:rPr>
        <w:t>Harmful</w:t>
      </w:r>
      <w:r w:rsidR="006945AE">
        <w:rPr>
          <w:color w:val="auto"/>
          <w:sz w:val="24"/>
          <w:szCs w:val="24"/>
        </w:rPr>
        <w:t xml:space="preserve"> stereotypes about gender roles </w:t>
      </w:r>
      <w:r w:rsidR="00340467">
        <w:rPr>
          <w:color w:val="auto"/>
          <w:sz w:val="24"/>
          <w:szCs w:val="24"/>
        </w:rPr>
        <w:t>within the</w:t>
      </w:r>
      <w:r w:rsidR="006945AE">
        <w:rPr>
          <w:color w:val="auto"/>
          <w:sz w:val="24"/>
          <w:szCs w:val="24"/>
        </w:rPr>
        <w:t xml:space="preserve"> family are </w:t>
      </w:r>
      <w:r>
        <w:rPr>
          <w:color w:val="auto"/>
          <w:sz w:val="24"/>
          <w:szCs w:val="24"/>
        </w:rPr>
        <w:t xml:space="preserve">also </w:t>
      </w:r>
      <w:r w:rsidR="006945AE">
        <w:rPr>
          <w:color w:val="auto"/>
          <w:sz w:val="24"/>
          <w:szCs w:val="24"/>
        </w:rPr>
        <w:t>prevalent in Nicaraguan society. A study on adolescent girls</w:t>
      </w:r>
      <w:r>
        <w:rPr>
          <w:color w:val="auto"/>
          <w:sz w:val="24"/>
          <w:szCs w:val="24"/>
        </w:rPr>
        <w:t>’ perception and experience of violence</w:t>
      </w:r>
      <w:r w:rsidR="006945AE">
        <w:rPr>
          <w:color w:val="auto"/>
          <w:sz w:val="24"/>
          <w:szCs w:val="24"/>
        </w:rPr>
        <w:t xml:space="preserve"> in Nicaragua showed </w:t>
      </w:r>
      <w:r>
        <w:rPr>
          <w:color w:val="auto"/>
          <w:sz w:val="24"/>
          <w:szCs w:val="24"/>
        </w:rPr>
        <w:t xml:space="preserve">that adolescent girls </w:t>
      </w:r>
      <w:r w:rsidRPr="00171690">
        <w:rPr>
          <w:color w:val="auto"/>
          <w:sz w:val="24"/>
          <w:szCs w:val="24"/>
        </w:rPr>
        <w:t>perceive</w:t>
      </w:r>
      <w:r w:rsidR="00171690" w:rsidRPr="00171690">
        <w:rPr>
          <w:color w:val="auto"/>
          <w:sz w:val="24"/>
          <w:szCs w:val="24"/>
        </w:rPr>
        <w:t xml:space="preserve"> that </w:t>
      </w:r>
      <w:r w:rsidRPr="00171690">
        <w:rPr>
          <w:color w:val="auto"/>
          <w:sz w:val="24"/>
          <w:szCs w:val="24"/>
        </w:rPr>
        <w:t xml:space="preserve">violence </w:t>
      </w:r>
      <w:r w:rsidR="00171690" w:rsidRPr="00171690">
        <w:rPr>
          <w:color w:val="auto"/>
          <w:sz w:val="24"/>
          <w:szCs w:val="24"/>
        </w:rPr>
        <w:t>is</w:t>
      </w:r>
      <w:r w:rsidRPr="00171690">
        <w:rPr>
          <w:color w:val="auto"/>
          <w:sz w:val="24"/>
          <w:szCs w:val="24"/>
        </w:rPr>
        <w:t xml:space="preserve"> normal</w:t>
      </w:r>
      <w:r w:rsidR="006945AE">
        <w:rPr>
          <w:color w:val="auto"/>
          <w:sz w:val="24"/>
          <w:szCs w:val="24"/>
        </w:rPr>
        <w:t xml:space="preserve"> in an intimate partnership. 43%</w:t>
      </w:r>
      <w:r>
        <w:rPr>
          <w:color w:val="auto"/>
          <w:sz w:val="24"/>
          <w:szCs w:val="24"/>
        </w:rPr>
        <w:t xml:space="preserve"> of adolescent girls</w:t>
      </w:r>
      <w:r w:rsidR="006945AE">
        <w:rPr>
          <w:color w:val="auto"/>
          <w:sz w:val="24"/>
          <w:szCs w:val="24"/>
        </w:rPr>
        <w:t xml:space="preserve"> agree</w:t>
      </w:r>
      <w:r>
        <w:rPr>
          <w:color w:val="auto"/>
          <w:sz w:val="24"/>
          <w:szCs w:val="24"/>
        </w:rPr>
        <w:t>d</w:t>
      </w:r>
      <w:r w:rsidR="006945AE">
        <w:rPr>
          <w:color w:val="auto"/>
          <w:sz w:val="24"/>
          <w:szCs w:val="24"/>
        </w:rPr>
        <w:t xml:space="preserve"> that it is sometimes acceptable for a man to use violence against his girlfriend or wife.</w:t>
      </w:r>
      <w:r w:rsidR="006945AE">
        <w:rPr>
          <w:rStyle w:val="FootnoteReference"/>
          <w:color w:val="auto"/>
          <w:sz w:val="24"/>
          <w:szCs w:val="24"/>
        </w:rPr>
        <w:footnoteReference w:id="16"/>
      </w:r>
    </w:p>
    <w:p w14:paraId="0437CAA0" w14:textId="77777777" w:rsidR="0093514D" w:rsidRPr="001843C0" w:rsidRDefault="008329E3" w:rsidP="008F3B20">
      <w:pPr>
        <w:numPr>
          <w:ilvl w:val="0"/>
          <w:numId w:val="22"/>
        </w:numPr>
        <w:spacing w:after="120"/>
        <w:ind w:hanging="450"/>
        <w:jc w:val="both"/>
        <w:rPr>
          <w:color w:val="auto"/>
          <w:sz w:val="24"/>
          <w:szCs w:val="24"/>
        </w:rPr>
      </w:pPr>
      <w:r>
        <w:rPr>
          <w:color w:val="auto"/>
          <w:sz w:val="24"/>
          <w:szCs w:val="24"/>
        </w:rPr>
        <w:t xml:space="preserve">Nicaragua has taken some steps to combat violence against women. </w:t>
      </w:r>
      <w:r w:rsidR="0093514D" w:rsidRPr="001843C0">
        <w:rPr>
          <w:color w:val="auto"/>
          <w:sz w:val="24"/>
          <w:szCs w:val="24"/>
        </w:rPr>
        <w:t xml:space="preserve">In 2012, </w:t>
      </w:r>
      <w:r w:rsidR="000534A5">
        <w:rPr>
          <w:color w:val="auto"/>
          <w:sz w:val="24"/>
          <w:szCs w:val="24"/>
        </w:rPr>
        <w:t>the Nicaraguan National Assembly</w:t>
      </w:r>
      <w:r w:rsidR="0093514D" w:rsidRPr="001843C0">
        <w:rPr>
          <w:color w:val="auto"/>
          <w:sz w:val="24"/>
          <w:szCs w:val="24"/>
        </w:rPr>
        <w:t xml:space="preserve"> passed Law 779, a comprehensive piece of legislation </w:t>
      </w:r>
      <w:r w:rsidR="0093514D" w:rsidRPr="001843C0">
        <w:rPr>
          <w:color w:val="auto"/>
          <w:sz w:val="24"/>
          <w:szCs w:val="24"/>
        </w:rPr>
        <w:lastRenderedPageBreak/>
        <w:t xml:space="preserve">that protects women against violence. The legislation offers women protection from violent perpetrators and </w:t>
      </w:r>
      <w:r w:rsidR="0009489F">
        <w:rPr>
          <w:color w:val="auto"/>
          <w:sz w:val="24"/>
          <w:szCs w:val="24"/>
        </w:rPr>
        <w:t xml:space="preserve">a </w:t>
      </w:r>
      <w:r w:rsidR="0093514D" w:rsidRPr="001843C0">
        <w:rPr>
          <w:color w:val="auto"/>
          <w:sz w:val="24"/>
          <w:szCs w:val="24"/>
        </w:rPr>
        <w:t>means of seeking legal action</w:t>
      </w:r>
      <w:r w:rsidR="0093514D">
        <w:rPr>
          <w:color w:val="auto"/>
          <w:sz w:val="24"/>
          <w:szCs w:val="24"/>
        </w:rPr>
        <w:t>.</w:t>
      </w:r>
      <w:r w:rsidR="00BE58DE">
        <w:rPr>
          <w:color w:val="auto"/>
          <w:sz w:val="24"/>
          <w:szCs w:val="24"/>
        </w:rPr>
        <w:t xml:space="preserve"> A key provision of Law 779 prohibits the use of mediation in cases of domestic violence.</w:t>
      </w:r>
      <w:r w:rsidR="0093514D" w:rsidRPr="001843C0">
        <w:rPr>
          <w:rStyle w:val="FootnoteReference"/>
          <w:color w:val="auto"/>
          <w:sz w:val="24"/>
          <w:szCs w:val="24"/>
        </w:rPr>
        <w:footnoteReference w:id="17"/>
      </w:r>
      <w:r w:rsidR="0093514D">
        <w:rPr>
          <w:color w:val="auto"/>
          <w:sz w:val="24"/>
          <w:szCs w:val="24"/>
        </w:rPr>
        <w:t xml:space="preserve"> </w:t>
      </w:r>
    </w:p>
    <w:p w14:paraId="6B652002" w14:textId="77777777" w:rsidR="00171690" w:rsidRPr="00402884" w:rsidRDefault="00171690" w:rsidP="007C30D8">
      <w:pPr>
        <w:numPr>
          <w:ilvl w:val="0"/>
          <w:numId w:val="22"/>
        </w:numPr>
        <w:spacing w:after="120"/>
        <w:ind w:hanging="450"/>
        <w:jc w:val="both"/>
        <w:rPr>
          <w:b/>
          <w:color w:val="auto"/>
          <w:sz w:val="24"/>
          <w:szCs w:val="24"/>
        </w:rPr>
      </w:pPr>
      <w:r w:rsidRPr="00171690">
        <w:rPr>
          <w:b/>
          <w:bCs/>
          <w:color w:val="auto"/>
          <w:sz w:val="24"/>
          <w:szCs w:val="24"/>
        </w:rPr>
        <w:t>In 2013, however,</w:t>
      </w:r>
      <w:r w:rsidR="0098320A">
        <w:rPr>
          <w:b/>
          <w:bCs/>
          <w:color w:val="auto"/>
          <w:sz w:val="24"/>
          <w:szCs w:val="24"/>
        </w:rPr>
        <w:t xml:space="preserve"> </w:t>
      </w:r>
      <w:r w:rsidRPr="00171690">
        <w:rPr>
          <w:b/>
          <w:bCs/>
          <w:color w:val="auto"/>
          <w:sz w:val="24"/>
          <w:szCs w:val="24"/>
        </w:rPr>
        <w:t>the National Assembly approved a modifi</w:t>
      </w:r>
      <w:r>
        <w:rPr>
          <w:b/>
          <w:bCs/>
          <w:color w:val="auto"/>
          <w:sz w:val="24"/>
          <w:szCs w:val="24"/>
        </w:rPr>
        <w:t>ed</w:t>
      </w:r>
      <w:r w:rsidRPr="00171690">
        <w:rPr>
          <w:b/>
          <w:bCs/>
          <w:color w:val="auto"/>
          <w:sz w:val="24"/>
          <w:szCs w:val="24"/>
        </w:rPr>
        <w:t xml:space="preserve"> law that reinstated mediation for first-level and minor offenses.</w:t>
      </w:r>
      <w:r>
        <w:rPr>
          <w:color w:val="auto"/>
          <w:sz w:val="24"/>
          <w:szCs w:val="24"/>
        </w:rPr>
        <w:t xml:space="preserve"> </w:t>
      </w:r>
      <w:r w:rsidR="0098320A">
        <w:rPr>
          <w:color w:val="auto"/>
          <w:sz w:val="24"/>
          <w:szCs w:val="24"/>
        </w:rPr>
        <w:t>Religious and other groups opposed the law both before and after it went into force. Members of the Association of God Church, for instance, claimed the law would “destroy marriage and the family.”</w:t>
      </w:r>
      <w:r w:rsidR="00682BE2">
        <w:rPr>
          <w:rStyle w:val="FootnoteReference"/>
          <w:color w:val="auto"/>
          <w:sz w:val="24"/>
          <w:szCs w:val="24"/>
        </w:rPr>
        <w:footnoteReference w:id="18"/>
      </w:r>
      <w:r w:rsidR="0098320A">
        <w:rPr>
          <w:color w:val="auto"/>
          <w:sz w:val="24"/>
          <w:szCs w:val="24"/>
        </w:rPr>
        <w:t xml:space="preserve"> In July 2012, the Association of Democratic Lawyers filed a formal challenge to the law with the Supreme Court. Though the Supreme Court ruled that the law was constitutional, the court asked the National Assembly to reintroduce mediation. The National Assembly </w:t>
      </w:r>
      <w:r w:rsidR="00C14B91">
        <w:rPr>
          <w:color w:val="auto"/>
          <w:sz w:val="24"/>
          <w:szCs w:val="24"/>
        </w:rPr>
        <w:t xml:space="preserve">then </w:t>
      </w:r>
      <w:r w:rsidR="0098320A">
        <w:rPr>
          <w:color w:val="auto"/>
          <w:sz w:val="24"/>
          <w:szCs w:val="24"/>
        </w:rPr>
        <w:t>approved a modified law that allows mediation if the perpetrator has no prior offenses, if it is a minor offense, or if the victim chooses to use mediation. The modified law entered into force in 2013.</w:t>
      </w:r>
      <w:r w:rsidR="006E7776">
        <w:rPr>
          <w:rStyle w:val="FootnoteReference"/>
          <w:color w:val="auto"/>
          <w:sz w:val="24"/>
          <w:szCs w:val="24"/>
        </w:rPr>
        <w:footnoteReference w:id="19"/>
      </w:r>
      <w:r w:rsidR="006C4C10">
        <w:rPr>
          <w:color w:val="auto"/>
          <w:sz w:val="24"/>
          <w:szCs w:val="24"/>
        </w:rPr>
        <w:t xml:space="preserve"> Mediation, however, runs contrary to international best practice standards that discourage its use in domestic violence for reasons as described below. </w:t>
      </w:r>
    </w:p>
    <w:p w14:paraId="2189DC4C" w14:textId="77777777" w:rsidR="0098320A" w:rsidRPr="00402884" w:rsidRDefault="0098320A" w:rsidP="00402884">
      <w:pPr>
        <w:numPr>
          <w:ilvl w:val="0"/>
          <w:numId w:val="22"/>
        </w:numPr>
        <w:spacing w:after="120"/>
        <w:ind w:hanging="450"/>
        <w:jc w:val="both"/>
        <w:rPr>
          <w:b/>
          <w:color w:val="auto"/>
          <w:sz w:val="24"/>
          <w:szCs w:val="24"/>
        </w:rPr>
      </w:pPr>
      <w:r w:rsidRPr="00402884">
        <w:rPr>
          <w:b/>
          <w:bCs/>
          <w:color w:val="auto"/>
          <w:sz w:val="24"/>
          <w:szCs w:val="24"/>
        </w:rPr>
        <w:t>In 2014, President Ortega issued two decrees that changed both the scope and implementation</w:t>
      </w:r>
      <w:r w:rsidR="006E7776" w:rsidRPr="00402884">
        <w:rPr>
          <w:b/>
          <w:bCs/>
          <w:color w:val="auto"/>
          <w:sz w:val="24"/>
          <w:szCs w:val="24"/>
        </w:rPr>
        <w:t xml:space="preserve"> of Law 779.</w:t>
      </w:r>
      <w:r w:rsidR="006E7776" w:rsidRPr="3F9CD3CD">
        <w:rPr>
          <w:b/>
          <w:bCs/>
          <w:color w:val="auto"/>
          <w:sz w:val="24"/>
          <w:szCs w:val="24"/>
        </w:rPr>
        <w:t xml:space="preserve"> </w:t>
      </w:r>
      <w:r w:rsidR="006E7776" w:rsidRPr="3F9CD3CD">
        <w:rPr>
          <w:color w:val="auto"/>
          <w:sz w:val="24"/>
          <w:szCs w:val="24"/>
        </w:rPr>
        <w:t xml:space="preserve">The decrees reduced the scope of femicide to include only killings that occur in the home and in the context of pre-existing relationships, rather than in both the private and public sphere. President Ortega also shifted </w:t>
      </w:r>
      <w:r w:rsidR="00C14B91" w:rsidRPr="3F9CD3CD">
        <w:rPr>
          <w:color w:val="auto"/>
          <w:sz w:val="24"/>
          <w:szCs w:val="24"/>
        </w:rPr>
        <w:t xml:space="preserve">the responsibility for implementing the law </w:t>
      </w:r>
      <w:r w:rsidR="006E7776" w:rsidRPr="3F9CD3CD">
        <w:rPr>
          <w:color w:val="auto"/>
          <w:sz w:val="24"/>
          <w:szCs w:val="24"/>
        </w:rPr>
        <w:t xml:space="preserve">from an interinstitutional commission to the Ministry of the Family. </w:t>
      </w:r>
      <w:r w:rsidR="00C14B91" w:rsidRPr="3F9CD3CD">
        <w:rPr>
          <w:color w:val="auto"/>
          <w:sz w:val="24"/>
          <w:szCs w:val="24"/>
        </w:rPr>
        <w:t xml:space="preserve">He </w:t>
      </w:r>
      <w:r w:rsidR="006E7776" w:rsidRPr="3F9CD3CD">
        <w:rPr>
          <w:color w:val="auto"/>
          <w:sz w:val="24"/>
          <w:szCs w:val="24"/>
        </w:rPr>
        <w:t>appointed religious and political leaders to conduct neighborhood-based counselling with victims to attempt to resolve family conflict before taking legal action.</w:t>
      </w:r>
      <w:r w:rsidR="006E7776" w:rsidRPr="3F9CD3CD">
        <w:rPr>
          <w:rStyle w:val="FootnoteReference"/>
          <w:color w:val="auto"/>
          <w:sz w:val="24"/>
          <w:szCs w:val="24"/>
        </w:rPr>
        <w:footnoteReference w:id="20"/>
      </w:r>
    </w:p>
    <w:p w14:paraId="40D514EB" w14:textId="77777777" w:rsidR="00EA03BD" w:rsidRPr="003422CD" w:rsidRDefault="00EA03BD" w:rsidP="00EA03BD">
      <w:pPr>
        <w:numPr>
          <w:ilvl w:val="0"/>
          <w:numId w:val="22"/>
        </w:numPr>
        <w:spacing w:after="120"/>
        <w:ind w:hanging="450"/>
        <w:jc w:val="both"/>
        <w:rPr>
          <w:color w:val="auto"/>
          <w:sz w:val="24"/>
          <w:szCs w:val="24"/>
        </w:rPr>
      </w:pPr>
      <w:r w:rsidRPr="00617901">
        <w:rPr>
          <w:color w:val="auto"/>
          <w:sz w:val="24"/>
          <w:szCs w:val="24"/>
        </w:rPr>
        <w:t>Police continue to recommend mediation for serious cases of domestic violence</w:t>
      </w:r>
      <w:r>
        <w:rPr>
          <w:color w:val="auto"/>
          <w:sz w:val="24"/>
          <w:szCs w:val="24"/>
        </w:rPr>
        <w:t xml:space="preserve">. </w:t>
      </w:r>
      <w:r w:rsidR="005E67E8" w:rsidRPr="005E67E8">
        <w:rPr>
          <w:color w:val="auto"/>
          <w:sz w:val="24"/>
          <w:szCs w:val="24"/>
        </w:rPr>
        <w:t>Mediation, no matter how serious the offense, is a harmful practice for victims because it leads to re-victimization and re-traumatization.</w:t>
      </w:r>
      <w:r w:rsidR="005E67E8" w:rsidRPr="005E67E8">
        <w:rPr>
          <w:rStyle w:val="FootnoteReference"/>
          <w:color w:val="auto"/>
          <w:sz w:val="24"/>
          <w:szCs w:val="24"/>
        </w:rPr>
        <w:footnoteReference w:id="21"/>
      </w:r>
      <w:r w:rsidR="005E67E8">
        <w:rPr>
          <w:color w:val="auto"/>
          <w:sz w:val="24"/>
          <w:szCs w:val="24"/>
        </w:rPr>
        <w:t xml:space="preserve"> </w:t>
      </w:r>
      <w:r w:rsidR="006C4C10" w:rsidRPr="006C4C10">
        <w:rPr>
          <w:color w:val="auto"/>
          <w:sz w:val="24"/>
          <w:szCs w:val="24"/>
        </w:rPr>
        <w:t xml:space="preserve">Standard mediation assumes that both parties are equal, meaning “that the parties should have relatively equal power in the relationship, full information about the resources available to each person and any outstanding or future financial obligations, sufficient independent economic capacity…and the ability to protect their own interests in the process of mediation.” </w:t>
      </w:r>
      <w:r w:rsidR="00532D85">
        <w:rPr>
          <w:color w:val="auto"/>
          <w:sz w:val="24"/>
          <w:szCs w:val="24"/>
        </w:rPr>
        <w:t>T</w:t>
      </w:r>
      <w:r w:rsidR="006C4C10" w:rsidRPr="006C4C10">
        <w:rPr>
          <w:color w:val="auto"/>
          <w:sz w:val="24"/>
          <w:szCs w:val="24"/>
        </w:rPr>
        <w:t>his is not the case in instances of domestic violence</w:t>
      </w:r>
      <w:r w:rsidR="00532D85">
        <w:rPr>
          <w:color w:val="auto"/>
          <w:sz w:val="24"/>
          <w:szCs w:val="24"/>
        </w:rPr>
        <w:t>, however,</w:t>
      </w:r>
      <w:r w:rsidR="006C4C10" w:rsidRPr="006C4C10">
        <w:rPr>
          <w:color w:val="auto"/>
          <w:sz w:val="24"/>
          <w:szCs w:val="24"/>
        </w:rPr>
        <w:t xml:space="preserve"> where the abuser holds </w:t>
      </w:r>
      <w:r w:rsidR="006C4C10" w:rsidRPr="006C4C10">
        <w:rPr>
          <w:color w:val="auto"/>
          <w:sz w:val="24"/>
          <w:szCs w:val="24"/>
        </w:rPr>
        <w:lastRenderedPageBreak/>
        <w:t>tremendous power over the victim</w:t>
      </w:r>
      <w:r w:rsidR="006C4C10">
        <w:rPr>
          <w:color w:val="auto"/>
          <w:sz w:val="24"/>
          <w:szCs w:val="24"/>
        </w:rPr>
        <w:t>.</w:t>
      </w:r>
      <w:r w:rsidR="006C4C10">
        <w:rPr>
          <w:rStyle w:val="FootnoteReference"/>
          <w:color w:val="auto"/>
          <w:sz w:val="24"/>
          <w:szCs w:val="24"/>
        </w:rPr>
        <w:footnoteReference w:id="22"/>
      </w:r>
      <w:r w:rsidR="006C4C10">
        <w:rPr>
          <w:color w:val="auto"/>
          <w:sz w:val="24"/>
          <w:szCs w:val="24"/>
        </w:rPr>
        <w:t xml:space="preserve"> </w:t>
      </w:r>
      <w:r w:rsidRPr="001843C0">
        <w:rPr>
          <w:color w:val="auto"/>
          <w:sz w:val="24"/>
          <w:szCs w:val="24"/>
        </w:rPr>
        <w:t xml:space="preserve">Public Radio International documented the story of a 25-year-old woman named </w:t>
      </w:r>
      <w:proofErr w:type="spellStart"/>
      <w:r w:rsidRPr="001843C0">
        <w:rPr>
          <w:color w:val="auto"/>
          <w:sz w:val="24"/>
          <w:szCs w:val="24"/>
        </w:rPr>
        <w:t>Exania</w:t>
      </w:r>
      <w:proofErr w:type="spellEnd"/>
      <w:r w:rsidRPr="001843C0">
        <w:rPr>
          <w:color w:val="auto"/>
          <w:sz w:val="24"/>
          <w:szCs w:val="24"/>
        </w:rPr>
        <w:t xml:space="preserve"> </w:t>
      </w:r>
      <w:proofErr w:type="spellStart"/>
      <w:r w:rsidRPr="001843C0">
        <w:rPr>
          <w:color w:val="auto"/>
          <w:sz w:val="24"/>
          <w:szCs w:val="24"/>
        </w:rPr>
        <w:t>Obregón</w:t>
      </w:r>
      <w:proofErr w:type="spellEnd"/>
      <w:r>
        <w:rPr>
          <w:color w:val="auto"/>
          <w:sz w:val="24"/>
          <w:szCs w:val="24"/>
        </w:rPr>
        <w:t>.</w:t>
      </w:r>
      <w:r w:rsidRPr="001843C0">
        <w:rPr>
          <w:color w:val="auto"/>
          <w:sz w:val="24"/>
          <w:szCs w:val="24"/>
        </w:rPr>
        <w:t xml:space="preserve"> </w:t>
      </w:r>
      <w:proofErr w:type="spellStart"/>
      <w:r w:rsidRPr="001843C0">
        <w:rPr>
          <w:color w:val="auto"/>
          <w:sz w:val="24"/>
          <w:szCs w:val="24"/>
        </w:rPr>
        <w:t>Obregón’s</w:t>
      </w:r>
      <w:proofErr w:type="spellEnd"/>
      <w:r w:rsidRPr="001843C0">
        <w:rPr>
          <w:color w:val="auto"/>
          <w:sz w:val="24"/>
          <w:szCs w:val="24"/>
        </w:rPr>
        <w:t xml:space="preserve"> ex-husband broke into her house in the middle of the night and tried to kill her. She </w:t>
      </w:r>
      <w:r>
        <w:rPr>
          <w:color w:val="auto"/>
          <w:sz w:val="24"/>
          <w:szCs w:val="24"/>
        </w:rPr>
        <w:t>reported the incident to</w:t>
      </w:r>
      <w:r w:rsidRPr="001843C0">
        <w:rPr>
          <w:color w:val="auto"/>
          <w:sz w:val="24"/>
          <w:szCs w:val="24"/>
        </w:rPr>
        <w:t xml:space="preserve"> local police under Law 779</w:t>
      </w:r>
      <w:r w:rsidR="006C4C10">
        <w:rPr>
          <w:color w:val="auto"/>
          <w:sz w:val="24"/>
          <w:szCs w:val="24"/>
        </w:rPr>
        <w:t xml:space="preserve">; instead of responding directly to the violence, </w:t>
      </w:r>
      <w:r>
        <w:rPr>
          <w:color w:val="auto"/>
          <w:sz w:val="24"/>
          <w:szCs w:val="24"/>
        </w:rPr>
        <w:t>they told her to seek mediation.</w:t>
      </w:r>
      <w:r w:rsidR="005E67E8" w:rsidRPr="001843C0">
        <w:rPr>
          <w:rStyle w:val="FootnoteReference"/>
          <w:color w:val="auto"/>
          <w:sz w:val="24"/>
          <w:szCs w:val="24"/>
        </w:rPr>
        <w:footnoteReference w:id="23"/>
      </w:r>
      <w:r w:rsidR="005E67E8" w:rsidRPr="001843C0">
        <w:rPr>
          <w:color w:val="auto"/>
          <w:sz w:val="24"/>
          <w:szCs w:val="24"/>
        </w:rPr>
        <w:t xml:space="preserve"> </w:t>
      </w:r>
      <w:r w:rsidR="005E67E8">
        <w:rPr>
          <w:color w:val="auto"/>
          <w:sz w:val="24"/>
          <w:szCs w:val="24"/>
        </w:rPr>
        <w:t xml:space="preserve">Though the incident occurred in 2014, after the modified law went into force, the police still failed to appropriately enforce the law for a serious offense. </w:t>
      </w:r>
    </w:p>
    <w:p w14:paraId="499055E2" w14:textId="77777777" w:rsidR="003422CD" w:rsidRPr="00171690" w:rsidRDefault="00882EB8" w:rsidP="007C30D8">
      <w:pPr>
        <w:numPr>
          <w:ilvl w:val="0"/>
          <w:numId w:val="22"/>
        </w:numPr>
        <w:spacing w:after="120"/>
        <w:ind w:hanging="450"/>
        <w:jc w:val="both"/>
        <w:rPr>
          <w:b/>
          <w:color w:val="auto"/>
          <w:sz w:val="24"/>
          <w:szCs w:val="24"/>
        </w:rPr>
      </w:pPr>
      <w:r>
        <w:rPr>
          <w:color w:val="auto"/>
          <w:sz w:val="24"/>
          <w:szCs w:val="24"/>
        </w:rPr>
        <w:t xml:space="preserve">The Nicaraguan </w:t>
      </w:r>
      <w:r w:rsidR="00002CD8">
        <w:rPr>
          <w:color w:val="auto"/>
          <w:sz w:val="24"/>
          <w:szCs w:val="24"/>
        </w:rPr>
        <w:t>G</w:t>
      </w:r>
      <w:r>
        <w:rPr>
          <w:color w:val="auto"/>
          <w:sz w:val="24"/>
          <w:szCs w:val="24"/>
        </w:rPr>
        <w:t xml:space="preserve">overnment does not </w:t>
      </w:r>
      <w:r w:rsidR="00617901">
        <w:rPr>
          <w:color w:val="auto"/>
          <w:sz w:val="24"/>
          <w:szCs w:val="24"/>
        </w:rPr>
        <w:t>allocate</w:t>
      </w:r>
      <w:r>
        <w:rPr>
          <w:color w:val="auto"/>
          <w:sz w:val="24"/>
          <w:szCs w:val="24"/>
        </w:rPr>
        <w:t xml:space="preserve"> adequate funding </w:t>
      </w:r>
      <w:r w:rsidR="00617901">
        <w:rPr>
          <w:color w:val="auto"/>
          <w:sz w:val="24"/>
          <w:szCs w:val="24"/>
        </w:rPr>
        <w:t>to</w:t>
      </w:r>
      <w:r>
        <w:rPr>
          <w:color w:val="auto"/>
          <w:sz w:val="24"/>
          <w:szCs w:val="24"/>
        </w:rPr>
        <w:t xml:space="preserve"> resources for victims of domestic violence. By 2015, Nicaragua had 162 </w:t>
      </w:r>
      <w:r w:rsidRPr="00171690">
        <w:rPr>
          <w:color w:val="auto"/>
          <w:sz w:val="24"/>
          <w:szCs w:val="24"/>
        </w:rPr>
        <w:t>police units specially designed to deal with cases of gender-based violence</w:t>
      </w:r>
      <w:r>
        <w:rPr>
          <w:color w:val="auto"/>
          <w:sz w:val="24"/>
          <w:szCs w:val="24"/>
        </w:rPr>
        <w:t xml:space="preserve">, called </w:t>
      </w:r>
      <w:proofErr w:type="spellStart"/>
      <w:r w:rsidRPr="3F9CD3CD">
        <w:rPr>
          <w:i/>
          <w:iCs/>
          <w:color w:val="auto"/>
          <w:sz w:val="24"/>
          <w:szCs w:val="24"/>
        </w:rPr>
        <w:t>comisarias</w:t>
      </w:r>
      <w:proofErr w:type="spellEnd"/>
      <w:r>
        <w:rPr>
          <w:color w:val="auto"/>
          <w:sz w:val="24"/>
          <w:szCs w:val="24"/>
        </w:rPr>
        <w:t xml:space="preserve">. Between 2006 and 2012, however, the </w:t>
      </w:r>
      <w:proofErr w:type="spellStart"/>
      <w:r w:rsidRPr="3F9CD3CD">
        <w:rPr>
          <w:i/>
          <w:iCs/>
          <w:color w:val="auto"/>
          <w:sz w:val="24"/>
          <w:szCs w:val="24"/>
        </w:rPr>
        <w:t>comisarias</w:t>
      </w:r>
      <w:proofErr w:type="spellEnd"/>
      <w:r>
        <w:rPr>
          <w:color w:val="auto"/>
          <w:sz w:val="24"/>
          <w:szCs w:val="24"/>
        </w:rPr>
        <w:t xml:space="preserve"> had only enough resources to process 187 of 403,740 total cases</w:t>
      </w:r>
      <w:r w:rsidR="00EA03BD">
        <w:rPr>
          <w:color w:val="auto"/>
          <w:sz w:val="24"/>
          <w:szCs w:val="24"/>
        </w:rPr>
        <w:t xml:space="preserve"> they received</w:t>
      </w:r>
      <w:r>
        <w:rPr>
          <w:color w:val="auto"/>
          <w:sz w:val="24"/>
          <w:szCs w:val="24"/>
        </w:rPr>
        <w:t>.</w:t>
      </w:r>
      <w:r w:rsidR="00012730">
        <w:rPr>
          <w:rStyle w:val="FootnoteReference"/>
          <w:color w:val="auto"/>
          <w:sz w:val="24"/>
          <w:szCs w:val="24"/>
        </w:rPr>
        <w:footnoteReference w:id="24"/>
      </w:r>
      <w:r>
        <w:rPr>
          <w:color w:val="auto"/>
          <w:sz w:val="24"/>
          <w:szCs w:val="24"/>
        </w:rPr>
        <w:t xml:space="preserve"> The </w:t>
      </w:r>
      <w:r w:rsidR="00002CD8">
        <w:rPr>
          <w:color w:val="auto"/>
          <w:sz w:val="24"/>
          <w:szCs w:val="24"/>
        </w:rPr>
        <w:t>G</w:t>
      </w:r>
      <w:r>
        <w:rPr>
          <w:color w:val="auto"/>
          <w:sz w:val="24"/>
          <w:szCs w:val="24"/>
        </w:rPr>
        <w:t xml:space="preserve">overnment ultimately shut down the </w:t>
      </w:r>
      <w:proofErr w:type="spellStart"/>
      <w:r w:rsidRPr="3F9CD3CD">
        <w:rPr>
          <w:i/>
          <w:iCs/>
          <w:color w:val="auto"/>
          <w:sz w:val="24"/>
          <w:szCs w:val="24"/>
        </w:rPr>
        <w:t>comisarias</w:t>
      </w:r>
      <w:proofErr w:type="spellEnd"/>
      <w:r>
        <w:rPr>
          <w:color w:val="auto"/>
          <w:sz w:val="24"/>
          <w:szCs w:val="24"/>
        </w:rPr>
        <w:t xml:space="preserve"> altogether in 2016 due to budget cuts</w:t>
      </w:r>
      <w:r w:rsidR="000E7252" w:rsidRPr="00171690">
        <w:rPr>
          <w:color w:val="auto"/>
          <w:sz w:val="24"/>
          <w:szCs w:val="24"/>
        </w:rPr>
        <w:t>.</w:t>
      </w:r>
      <w:r w:rsidR="000E7252" w:rsidRPr="00171690">
        <w:rPr>
          <w:rStyle w:val="FootnoteReference"/>
          <w:color w:val="auto"/>
          <w:sz w:val="24"/>
          <w:szCs w:val="24"/>
        </w:rPr>
        <w:footnoteReference w:id="25"/>
      </w:r>
      <w:r w:rsidR="009D7851" w:rsidRPr="3F9CD3CD">
        <w:rPr>
          <w:b/>
          <w:bCs/>
          <w:color w:val="auto"/>
          <w:sz w:val="24"/>
          <w:szCs w:val="24"/>
        </w:rPr>
        <w:t xml:space="preserve"> </w:t>
      </w:r>
    </w:p>
    <w:p w14:paraId="413BA920" w14:textId="77777777" w:rsidR="003422CD" w:rsidRPr="00B96360" w:rsidRDefault="00355FDA" w:rsidP="007C30D8">
      <w:pPr>
        <w:numPr>
          <w:ilvl w:val="0"/>
          <w:numId w:val="22"/>
        </w:numPr>
        <w:spacing w:after="120"/>
        <w:ind w:hanging="450"/>
        <w:jc w:val="both"/>
        <w:rPr>
          <w:color w:val="auto"/>
          <w:sz w:val="24"/>
          <w:szCs w:val="24"/>
        </w:rPr>
      </w:pPr>
      <w:r>
        <w:rPr>
          <w:color w:val="auto"/>
          <w:sz w:val="24"/>
          <w:szCs w:val="24"/>
        </w:rPr>
        <w:t xml:space="preserve">Nicaragua’s failure to institute adequate protections for women leaves them vulnerable to violence and abuse. For example, a client of </w:t>
      </w:r>
      <w:r w:rsidR="007C30D8">
        <w:rPr>
          <w:color w:val="auto"/>
          <w:sz w:val="24"/>
          <w:szCs w:val="24"/>
        </w:rPr>
        <w:t>T</w:t>
      </w:r>
      <w:r>
        <w:rPr>
          <w:color w:val="auto"/>
          <w:sz w:val="24"/>
          <w:szCs w:val="24"/>
        </w:rPr>
        <w:t>he Advocates report</w:t>
      </w:r>
      <w:r w:rsidR="0009489F">
        <w:rPr>
          <w:color w:val="auto"/>
          <w:sz w:val="24"/>
          <w:szCs w:val="24"/>
        </w:rPr>
        <w:t>ed</w:t>
      </w:r>
      <w:r>
        <w:rPr>
          <w:color w:val="auto"/>
          <w:sz w:val="24"/>
          <w:szCs w:val="24"/>
        </w:rPr>
        <w:t xml:space="preserve"> </w:t>
      </w:r>
      <w:r w:rsidR="007C30D8">
        <w:rPr>
          <w:color w:val="auto"/>
          <w:sz w:val="24"/>
          <w:szCs w:val="24"/>
        </w:rPr>
        <w:t xml:space="preserve">that her husband subjected her to physical and sexual abuse for years. </w:t>
      </w:r>
      <w:r>
        <w:rPr>
          <w:color w:val="auto"/>
          <w:sz w:val="24"/>
          <w:szCs w:val="24"/>
        </w:rPr>
        <w:t>He threw her against a table while she was pregnant, repeatedly raped her, and subjected her to physical and emotional abuse. When she sought help from the police, he</w:t>
      </w:r>
      <w:r w:rsidR="007C30D8">
        <w:rPr>
          <w:color w:val="auto"/>
          <w:sz w:val="24"/>
          <w:szCs w:val="24"/>
        </w:rPr>
        <w:t>r husband</w:t>
      </w:r>
      <w:r>
        <w:rPr>
          <w:color w:val="auto"/>
          <w:sz w:val="24"/>
          <w:szCs w:val="24"/>
        </w:rPr>
        <w:t xml:space="preserve"> threatened to kill her and her children.</w:t>
      </w:r>
      <w:r w:rsidR="0009489F">
        <w:rPr>
          <w:rStyle w:val="FootnoteReference"/>
          <w:color w:val="auto"/>
          <w:sz w:val="24"/>
          <w:szCs w:val="24"/>
        </w:rPr>
        <w:footnoteReference w:id="26"/>
      </w:r>
    </w:p>
    <w:p w14:paraId="2B82C7DD" w14:textId="5CE44FA8" w:rsidR="009D7851" w:rsidRPr="009D7851" w:rsidRDefault="008C0FA0" w:rsidP="3F9CD3CD">
      <w:pPr>
        <w:keepNext/>
        <w:numPr>
          <w:ilvl w:val="0"/>
          <w:numId w:val="17"/>
        </w:numPr>
        <w:spacing w:before="240" w:after="240"/>
        <w:ind w:left="720" w:hanging="450"/>
        <w:jc w:val="both"/>
        <w:rPr>
          <w:b/>
          <w:bCs/>
          <w:color w:val="auto"/>
          <w:sz w:val="24"/>
          <w:szCs w:val="24"/>
        </w:rPr>
      </w:pPr>
      <w:r w:rsidRPr="3F9CD3CD">
        <w:rPr>
          <w:b/>
          <w:bCs/>
          <w:sz w:val="24"/>
          <w:szCs w:val="24"/>
        </w:rPr>
        <w:t>Women</w:t>
      </w:r>
      <w:r w:rsidR="75050A66" w:rsidRPr="3F9CD3CD">
        <w:rPr>
          <w:b/>
          <w:bCs/>
          <w:sz w:val="24"/>
          <w:szCs w:val="24"/>
        </w:rPr>
        <w:t xml:space="preserve"> human rights defenders and </w:t>
      </w:r>
      <w:r w:rsidR="0009489F" w:rsidRPr="3F9CD3CD">
        <w:rPr>
          <w:b/>
          <w:bCs/>
          <w:sz w:val="24"/>
          <w:szCs w:val="24"/>
        </w:rPr>
        <w:t xml:space="preserve">activists experience violent retaliation from the </w:t>
      </w:r>
      <w:r w:rsidR="00594FE9" w:rsidRPr="3F9CD3CD">
        <w:rPr>
          <w:b/>
          <w:bCs/>
          <w:sz w:val="24"/>
          <w:szCs w:val="24"/>
        </w:rPr>
        <w:t>G</w:t>
      </w:r>
      <w:r w:rsidR="0009489F" w:rsidRPr="3F9CD3CD">
        <w:rPr>
          <w:b/>
          <w:bCs/>
          <w:sz w:val="24"/>
          <w:szCs w:val="24"/>
        </w:rPr>
        <w:t>overnment of Nicaragua.</w:t>
      </w:r>
    </w:p>
    <w:p w14:paraId="69FA07FC" w14:textId="43144AEB" w:rsidR="004C0F14" w:rsidRDefault="004C0F14" w:rsidP="007C30D8">
      <w:pPr>
        <w:numPr>
          <w:ilvl w:val="0"/>
          <w:numId w:val="22"/>
        </w:numPr>
        <w:spacing w:after="120"/>
        <w:ind w:hanging="450"/>
        <w:jc w:val="both"/>
        <w:rPr>
          <w:color w:val="auto"/>
          <w:sz w:val="24"/>
          <w:szCs w:val="24"/>
        </w:rPr>
      </w:pPr>
      <w:r>
        <w:rPr>
          <w:color w:val="auto"/>
          <w:sz w:val="24"/>
          <w:szCs w:val="24"/>
        </w:rPr>
        <w:t>In its 2020 List of Issues, the Committee requested more information on the government’s measures to protect women human rights defenders, including to prevent targeted reprisals and criminal investigations against them and to provide activists with adequate space to carry out their work.</w:t>
      </w:r>
      <w:r>
        <w:rPr>
          <w:rStyle w:val="FootnoteReference"/>
          <w:color w:val="auto"/>
          <w:sz w:val="24"/>
          <w:szCs w:val="24"/>
        </w:rPr>
        <w:footnoteReference w:id="27"/>
      </w:r>
    </w:p>
    <w:p w14:paraId="533A3FFA" w14:textId="0AF4BCC2" w:rsidR="009D7851" w:rsidRPr="009D7851" w:rsidRDefault="009D7851" w:rsidP="007C30D8">
      <w:pPr>
        <w:numPr>
          <w:ilvl w:val="0"/>
          <w:numId w:val="22"/>
        </w:numPr>
        <w:spacing w:after="120"/>
        <w:ind w:hanging="450"/>
        <w:jc w:val="both"/>
        <w:rPr>
          <w:color w:val="auto"/>
          <w:sz w:val="24"/>
          <w:szCs w:val="24"/>
        </w:rPr>
      </w:pPr>
      <w:r w:rsidRPr="009D7851">
        <w:rPr>
          <w:rFonts w:cs="Helvetica"/>
          <w:kern w:val="0"/>
          <w:sz w:val="24"/>
          <w:szCs w:val="24"/>
          <w:lang w:eastAsia="zh-CN"/>
        </w:rPr>
        <w:t>Since President Daniel Ortega came in</w:t>
      </w:r>
      <w:r w:rsidR="00145A5E">
        <w:rPr>
          <w:rFonts w:cs="Helvetica"/>
          <w:kern w:val="0"/>
          <w:sz w:val="24"/>
          <w:szCs w:val="24"/>
          <w:lang w:eastAsia="zh-CN"/>
        </w:rPr>
        <w:t>to</w:t>
      </w:r>
      <w:r w:rsidRPr="009D7851">
        <w:rPr>
          <w:rFonts w:cs="Helvetica"/>
          <w:kern w:val="0"/>
          <w:sz w:val="24"/>
          <w:szCs w:val="24"/>
          <w:lang w:eastAsia="zh-CN"/>
        </w:rPr>
        <w:t xml:space="preserve"> power, </w:t>
      </w:r>
      <w:r w:rsidR="00594FE9">
        <w:rPr>
          <w:rFonts w:cs="Helvetica"/>
          <w:kern w:val="0"/>
          <w:sz w:val="24"/>
          <w:szCs w:val="24"/>
          <w:lang w:eastAsia="zh-CN"/>
        </w:rPr>
        <w:t xml:space="preserve">the Nicaraguan </w:t>
      </w:r>
      <w:r w:rsidR="00002CD8">
        <w:rPr>
          <w:rFonts w:cs="Helvetica"/>
          <w:kern w:val="0"/>
          <w:sz w:val="24"/>
          <w:szCs w:val="24"/>
          <w:lang w:eastAsia="zh-CN"/>
        </w:rPr>
        <w:t>G</w:t>
      </w:r>
      <w:r w:rsidR="00594FE9">
        <w:rPr>
          <w:rFonts w:cs="Helvetica"/>
          <w:kern w:val="0"/>
          <w:sz w:val="24"/>
          <w:szCs w:val="24"/>
          <w:lang w:eastAsia="zh-CN"/>
        </w:rPr>
        <w:t>overnment has cracked down</w:t>
      </w:r>
      <w:r w:rsidR="00145A5E">
        <w:rPr>
          <w:rFonts w:cs="Helvetica"/>
          <w:kern w:val="0"/>
          <w:sz w:val="24"/>
          <w:szCs w:val="24"/>
          <w:lang w:eastAsia="zh-CN"/>
        </w:rPr>
        <w:t xml:space="preserve"> </w:t>
      </w:r>
      <w:r w:rsidRPr="009D7851">
        <w:rPr>
          <w:rFonts w:cs="Helvetica"/>
          <w:kern w:val="0"/>
          <w:sz w:val="24"/>
          <w:szCs w:val="24"/>
          <w:lang w:eastAsia="zh-CN"/>
        </w:rPr>
        <w:t xml:space="preserve">on civil disobedience. Women </w:t>
      </w:r>
      <w:r w:rsidR="00594FE9">
        <w:rPr>
          <w:rFonts w:cs="Helvetica"/>
          <w:kern w:val="0"/>
          <w:sz w:val="24"/>
          <w:szCs w:val="24"/>
          <w:lang w:eastAsia="zh-CN"/>
        </w:rPr>
        <w:t xml:space="preserve">activists </w:t>
      </w:r>
      <w:r w:rsidRPr="009D7851">
        <w:rPr>
          <w:rFonts w:cs="Helvetica"/>
          <w:kern w:val="0"/>
          <w:sz w:val="24"/>
          <w:szCs w:val="24"/>
          <w:lang w:eastAsia="zh-CN"/>
        </w:rPr>
        <w:t xml:space="preserve">have a played a key role in </w:t>
      </w:r>
      <w:r w:rsidR="0009489F">
        <w:rPr>
          <w:rFonts w:cs="Helvetica"/>
          <w:kern w:val="0"/>
          <w:sz w:val="24"/>
          <w:szCs w:val="24"/>
          <w:lang w:eastAsia="zh-CN"/>
        </w:rPr>
        <w:t xml:space="preserve">recent </w:t>
      </w:r>
      <w:r w:rsidRPr="009D7851">
        <w:rPr>
          <w:rFonts w:cs="Helvetica"/>
          <w:kern w:val="0"/>
          <w:sz w:val="24"/>
          <w:szCs w:val="24"/>
          <w:lang w:eastAsia="zh-CN"/>
        </w:rPr>
        <w:t xml:space="preserve">opposition to the </w:t>
      </w:r>
      <w:r w:rsidR="00002CD8">
        <w:rPr>
          <w:rFonts w:cs="Helvetica"/>
          <w:kern w:val="0"/>
          <w:sz w:val="24"/>
          <w:szCs w:val="24"/>
          <w:lang w:eastAsia="zh-CN"/>
        </w:rPr>
        <w:t>G</w:t>
      </w:r>
      <w:r w:rsidRPr="009D7851">
        <w:rPr>
          <w:rFonts w:cs="Helvetica"/>
          <w:kern w:val="0"/>
          <w:sz w:val="24"/>
          <w:szCs w:val="24"/>
          <w:lang w:eastAsia="zh-CN"/>
        </w:rPr>
        <w:t>overnment</w:t>
      </w:r>
      <w:r>
        <w:rPr>
          <w:rFonts w:cs="Helvetica"/>
          <w:kern w:val="0"/>
          <w:sz w:val="24"/>
          <w:szCs w:val="24"/>
          <w:lang w:eastAsia="zh-CN"/>
        </w:rPr>
        <w:t xml:space="preserve"> an</w:t>
      </w:r>
      <w:r w:rsidR="00E610F6">
        <w:rPr>
          <w:rFonts w:cs="Helvetica"/>
          <w:kern w:val="0"/>
          <w:sz w:val="24"/>
          <w:szCs w:val="24"/>
          <w:lang w:eastAsia="zh-CN"/>
        </w:rPr>
        <w:t>d</w:t>
      </w:r>
      <w:r>
        <w:rPr>
          <w:rFonts w:cs="Helvetica"/>
          <w:kern w:val="0"/>
          <w:sz w:val="24"/>
          <w:szCs w:val="24"/>
          <w:lang w:eastAsia="zh-CN"/>
        </w:rPr>
        <w:t xml:space="preserve"> have</w:t>
      </w:r>
      <w:r w:rsidRPr="009D7851">
        <w:rPr>
          <w:rFonts w:cs="Helvetica"/>
          <w:kern w:val="0"/>
          <w:sz w:val="24"/>
          <w:szCs w:val="24"/>
          <w:lang w:eastAsia="zh-CN"/>
        </w:rPr>
        <w:t xml:space="preserve"> </w:t>
      </w:r>
      <w:r w:rsidR="00594FE9">
        <w:rPr>
          <w:rFonts w:cs="Helvetica"/>
          <w:kern w:val="0"/>
          <w:sz w:val="24"/>
          <w:szCs w:val="24"/>
          <w:lang w:eastAsia="zh-CN"/>
        </w:rPr>
        <w:t>experienced</w:t>
      </w:r>
      <w:r w:rsidRPr="009D7851">
        <w:rPr>
          <w:rFonts w:cs="Helvetica"/>
          <w:kern w:val="0"/>
          <w:sz w:val="24"/>
          <w:szCs w:val="24"/>
          <w:lang w:eastAsia="zh-CN"/>
        </w:rPr>
        <w:t xml:space="preserve"> </w:t>
      </w:r>
      <w:r>
        <w:rPr>
          <w:rFonts w:cs="Helvetica"/>
          <w:kern w:val="0"/>
          <w:sz w:val="24"/>
          <w:szCs w:val="24"/>
          <w:lang w:eastAsia="zh-CN"/>
        </w:rPr>
        <w:t xml:space="preserve">violent </w:t>
      </w:r>
      <w:r w:rsidRPr="009D7851">
        <w:rPr>
          <w:rFonts w:cs="Helvetica"/>
          <w:kern w:val="0"/>
          <w:sz w:val="24"/>
          <w:szCs w:val="24"/>
          <w:lang w:eastAsia="zh-CN"/>
        </w:rPr>
        <w:t>retaliation</w:t>
      </w:r>
      <w:r>
        <w:rPr>
          <w:rFonts w:cs="Helvetica"/>
          <w:kern w:val="0"/>
          <w:sz w:val="24"/>
          <w:szCs w:val="24"/>
          <w:lang w:eastAsia="zh-CN"/>
        </w:rPr>
        <w:t xml:space="preserve"> from the </w:t>
      </w:r>
      <w:r w:rsidR="00002CD8">
        <w:rPr>
          <w:rFonts w:cs="Helvetica"/>
          <w:kern w:val="0"/>
          <w:sz w:val="24"/>
          <w:szCs w:val="24"/>
          <w:lang w:eastAsia="zh-CN"/>
        </w:rPr>
        <w:t>G</w:t>
      </w:r>
      <w:r>
        <w:rPr>
          <w:rFonts w:cs="Helvetica"/>
          <w:kern w:val="0"/>
          <w:sz w:val="24"/>
          <w:szCs w:val="24"/>
          <w:lang w:eastAsia="zh-CN"/>
        </w:rPr>
        <w:t>overnment</w:t>
      </w:r>
      <w:r w:rsidRPr="009D7851">
        <w:rPr>
          <w:rFonts w:cs="Helvetica"/>
          <w:kern w:val="0"/>
          <w:sz w:val="24"/>
          <w:szCs w:val="24"/>
          <w:lang w:eastAsia="zh-CN"/>
        </w:rPr>
        <w:t xml:space="preserve">. </w:t>
      </w:r>
    </w:p>
    <w:p w14:paraId="7CB539BA" w14:textId="77777777" w:rsidR="009D7851" w:rsidRPr="009D7851" w:rsidRDefault="009D7851" w:rsidP="007C30D8">
      <w:pPr>
        <w:numPr>
          <w:ilvl w:val="0"/>
          <w:numId w:val="22"/>
        </w:numPr>
        <w:spacing w:after="120"/>
        <w:ind w:hanging="446"/>
        <w:jc w:val="both"/>
        <w:rPr>
          <w:color w:val="auto"/>
          <w:sz w:val="24"/>
          <w:szCs w:val="24"/>
        </w:rPr>
      </w:pPr>
      <w:r w:rsidRPr="009D7851">
        <w:rPr>
          <w:rFonts w:cs="Helvetica"/>
          <w:kern w:val="0"/>
          <w:sz w:val="24"/>
          <w:szCs w:val="24"/>
          <w:lang w:eastAsia="zh-CN"/>
        </w:rPr>
        <w:lastRenderedPageBreak/>
        <w:t xml:space="preserve">The Nicaraguan Constitution gives citizens the right to criticize the </w:t>
      </w:r>
      <w:r w:rsidR="00002CD8">
        <w:rPr>
          <w:rFonts w:cs="Helvetica"/>
          <w:kern w:val="0"/>
          <w:sz w:val="24"/>
          <w:szCs w:val="24"/>
          <w:lang w:eastAsia="zh-CN"/>
        </w:rPr>
        <w:t>G</w:t>
      </w:r>
      <w:r w:rsidRPr="009D7851">
        <w:rPr>
          <w:rFonts w:cs="Helvetica"/>
          <w:kern w:val="0"/>
          <w:sz w:val="24"/>
          <w:szCs w:val="24"/>
          <w:lang w:eastAsia="zh-CN"/>
        </w:rPr>
        <w:t>overnment (Article 52) and the right to peaceful assembly (Article 53 and 54)</w:t>
      </w:r>
      <w:r w:rsidR="00145A5E">
        <w:rPr>
          <w:rFonts w:cs="Helvetica"/>
          <w:kern w:val="0"/>
          <w:sz w:val="24"/>
          <w:szCs w:val="24"/>
          <w:lang w:eastAsia="zh-CN"/>
        </w:rPr>
        <w:t>.</w:t>
      </w:r>
      <w:r w:rsidRPr="009D7851">
        <w:rPr>
          <w:rStyle w:val="FootnoteReference"/>
          <w:rFonts w:cs="Helvetica"/>
          <w:kern w:val="0"/>
          <w:sz w:val="24"/>
          <w:szCs w:val="24"/>
          <w:lang w:eastAsia="zh-CN"/>
        </w:rPr>
        <w:footnoteReference w:id="28"/>
      </w:r>
      <w:r w:rsidRPr="009D7851">
        <w:rPr>
          <w:rFonts w:cs="Helvetica"/>
          <w:kern w:val="0"/>
          <w:sz w:val="24"/>
          <w:szCs w:val="24"/>
          <w:lang w:eastAsia="zh-CN"/>
        </w:rPr>
        <w:t xml:space="preserve"> </w:t>
      </w:r>
    </w:p>
    <w:p w14:paraId="4F748197" w14:textId="77777777" w:rsidR="009D7851" w:rsidRPr="009D7851" w:rsidRDefault="009D7851" w:rsidP="007C30D8">
      <w:pPr>
        <w:numPr>
          <w:ilvl w:val="0"/>
          <w:numId w:val="22"/>
        </w:numPr>
        <w:spacing w:after="120"/>
        <w:ind w:hanging="450"/>
        <w:jc w:val="both"/>
        <w:rPr>
          <w:color w:val="auto"/>
          <w:sz w:val="24"/>
          <w:szCs w:val="24"/>
        </w:rPr>
      </w:pPr>
      <w:r w:rsidRPr="009D7851">
        <w:rPr>
          <w:rFonts w:cs="Helvetica"/>
          <w:kern w:val="0"/>
          <w:sz w:val="24"/>
          <w:szCs w:val="24"/>
          <w:lang w:eastAsia="zh-CN"/>
        </w:rPr>
        <w:t xml:space="preserve">During </w:t>
      </w:r>
      <w:proofErr w:type="gramStart"/>
      <w:r w:rsidRPr="009D7851">
        <w:rPr>
          <w:rFonts w:cs="Helvetica"/>
          <w:kern w:val="0"/>
          <w:sz w:val="24"/>
          <w:szCs w:val="24"/>
          <w:lang w:eastAsia="zh-CN"/>
        </w:rPr>
        <w:t>protests against</w:t>
      </w:r>
      <w:proofErr w:type="gramEnd"/>
      <w:r w:rsidRPr="009D7851">
        <w:rPr>
          <w:rFonts w:cs="Helvetica"/>
          <w:kern w:val="0"/>
          <w:sz w:val="24"/>
          <w:szCs w:val="24"/>
          <w:lang w:eastAsia="zh-CN"/>
        </w:rPr>
        <w:t xml:space="preserve"> the </w:t>
      </w:r>
      <w:r w:rsidR="00002CD8">
        <w:rPr>
          <w:rFonts w:cs="Helvetica"/>
          <w:kern w:val="0"/>
          <w:sz w:val="24"/>
          <w:szCs w:val="24"/>
          <w:lang w:eastAsia="zh-CN"/>
        </w:rPr>
        <w:t>G</w:t>
      </w:r>
      <w:r w:rsidRPr="009D7851">
        <w:rPr>
          <w:rFonts w:cs="Helvetica"/>
          <w:kern w:val="0"/>
          <w:sz w:val="24"/>
          <w:szCs w:val="24"/>
          <w:lang w:eastAsia="zh-CN"/>
        </w:rPr>
        <w:t xml:space="preserve">overnment between 2018 and 2019, the </w:t>
      </w:r>
      <w:r w:rsidR="00144896">
        <w:rPr>
          <w:rFonts w:cs="Helvetica"/>
          <w:kern w:val="0"/>
          <w:sz w:val="24"/>
          <w:szCs w:val="24"/>
          <w:lang w:eastAsia="zh-CN"/>
        </w:rPr>
        <w:t>G</w:t>
      </w:r>
      <w:r w:rsidRPr="009D7851">
        <w:rPr>
          <w:rFonts w:cs="Helvetica"/>
          <w:kern w:val="0"/>
          <w:sz w:val="24"/>
          <w:szCs w:val="24"/>
          <w:lang w:eastAsia="zh-CN"/>
        </w:rPr>
        <w:t xml:space="preserve">overnment of Nicaragua </w:t>
      </w:r>
      <w:r>
        <w:rPr>
          <w:rFonts w:cs="Helvetica"/>
          <w:kern w:val="0"/>
          <w:sz w:val="24"/>
          <w:szCs w:val="24"/>
          <w:lang w:eastAsia="zh-CN"/>
        </w:rPr>
        <w:t>engaged in violent retaliation</w:t>
      </w:r>
      <w:r w:rsidRPr="009D7851">
        <w:rPr>
          <w:rFonts w:cs="Helvetica"/>
          <w:kern w:val="0"/>
          <w:sz w:val="24"/>
          <w:szCs w:val="24"/>
          <w:lang w:eastAsia="zh-CN"/>
        </w:rPr>
        <w:t xml:space="preserve"> against protestors. The Inter-American Commission on Human Rights reported that police and armed groups committed abuses against largely unarmed protesters. Due to the support of the </w:t>
      </w:r>
      <w:r w:rsidR="00002CD8">
        <w:rPr>
          <w:rFonts w:cs="Helvetica"/>
          <w:kern w:val="0"/>
          <w:sz w:val="24"/>
          <w:szCs w:val="24"/>
          <w:lang w:eastAsia="zh-CN"/>
        </w:rPr>
        <w:t>G</w:t>
      </w:r>
      <w:r w:rsidRPr="009D7851">
        <w:rPr>
          <w:rFonts w:cs="Helvetica"/>
          <w:kern w:val="0"/>
          <w:sz w:val="24"/>
          <w:szCs w:val="24"/>
          <w:lang w:eastAsia="zh-CN"/>
        </w:rPr>
        <w:t xml:space="preserve">overnment, the armed forces </w:t>
      </w:r>
      <w:r w:rsidR="00144896">
        <w:rPr>
          <w:rFonts w:cs="Helvetica"/>
          <w:kern w:val="0"/>
          <w:sz w:val="24"/>
          <w:szCs w:val="24"/>
          <w:lang w:eastAsia="zh-CN"/>
        </w:rPr>
        <w:t>faced</w:t>
      </w:r>
      <w:r w:rsidRPr="009D7851">
        <w:rPr>
          <w:rFonts w:cs="Helvetica"/>
          <w:kern w:val="0"/>
          <w:sz w:val="24"/>
          <w:szCs w:val="24"/>
          <w:lang w:eastAsia="zh-CN"/>
        </w:rPr>
        <w:t xml:space="preserve"> few consequences. </w:t>
      </w:r>
      <w:r w:rsidR="00144896">
        <w:rPr>
          <w:rFonts w:cs="Helvetica"/>
          <w:kern w:val="0"/>
          <w:sz w:val="24"/>
          <w:szCs w:val="24"/>
          <w:lang w:eastAsia="zh-CN"/>
        </w:rPr>
        <w:t>Moreover</w:t>
      </w:r>
      <w:r w:rsidRPr="009D7851">
        <w:rPr>
          <w:rFonts w:cs="Helvetica"/>
          <w:kern w:val="0"/>
          <w:sz w:val="24"/>
          <w:szCs w:val="24"/>
          <w:lang w:eastAsia="zh-CN"/>
        </w:rPr>
        <w:t xml:space="preserve">, </w:t>
      </w:r>
      <w:r w:rsidR="00355FDA">
        <w:rPr>
          <w:rFonts w:cs="Helvetica"/>
          <w:kern w:val="0"/>
          <w:sz w:val="24"/>
          <w:szCs w:val="24"/>
          <w:lang w:eastAsia="zh-CN"/>
        </w:rPr>
        <w:t xml:space="preserve">while </w:t>
      </w:r>
      <w:r w:rsidRPr="009D7851">
        <w:rPr>
          <w:rFonts w:cs="Helvetica"/>
          <w:kern w:val="0"/>
          <w:sz w:val="24"/>
          <w:szCs w:val="24"/>
          <w:lang w:eastAsia="zh-CN"/>
        </w:rPr>
        <w:t xml:space="preserve">acting as chief of police, </w:t>
      </w:r>
      <w:r w:rsidR="00355FDA" w:rsidRPr="009D7851">
        <w:rPr>
          <w:rFonts w:cs="Helvetica"/>
          <w:kern w:val="0"/>
          <w:sz w:val="24"/>
          <w:szCs w:val="24"/>
          <w:lang w:eastAsia="zh-CN"/>
        </w:rPr>
        <w:t xml:space="preserve">President Ortega </w:t>
      </w:r>
      <w:r w:rsidRPr="009D7851">
        <w:rPr>
          <w:rFonts w:cs="Helvetica"/>
          <w:kern w:val="0"/>
          <w:sz w:val="24"/>
          <w:szCs w:val="24"/>
          <w:lang w:eastAsia="zh-CN"/>
        </w:rPr>
        <w:t xml:space="preserve">promoted officials involved in the violent crackdown </w:t>
      </w:r>
      <w:r w:rsidR="0009489F">
        <w:rPr>
          <w:rFonts w:cs="Helvetica"/>
          <w:kern w:val="0"/>
          <w:sz w:val="24"/>
          <w:szCs w:val="24"/>
          <w:lang w:eastAsia="zh-CN"/>
        </w:rPr>
        <w:t>rather than</w:t>
      </w:r>
      <w:r w:rsidRPr="009D7851">
        <w:rPr>
          <w:rFonts w:cs="Helvetica"/>
          <w:kern w:val="0"/>
          <w:sz w:val="24"/>
          <w:szCs w:val="24"/>
          <w:lang w:eastAsia="zh-CN"/>
        </w:rPr>
        <w:t xml:space="preserve"> bringing them to justice.</w:t>
      </w:r>
      <w:r w:rsidRPr="009D7851">
        <w:rPr>
          <w:rStyle w:val="FootnoteReference"/>
          <w:rFonts w:cs="Helvetica"/>
          <w:kern w:val="0"/>
          <w:sz w:val="24"/>
          <w:szCs w:val="24"/>
          <w:lang w:eastAsia="zh-CN"/>
        </w:rPr>
        <w:footnoteReference w:id="29"/>
      </w:r>
    </w:p>
    <w:p w14:paraId="439C62C9" w14:textId="77777777" w:rsidR="00145A5E" w:rsidRPr="00145A5E" w:rsidRDefault="009D7851" w:rsidP="007C30D8">
      <w:pPr>
        <w:numPr>
          <w:ilvl w:val="0"/>
          <w:numId w:val="22"/>
        </w:numPr>
        <w:spacing w:after="120"/>
        <w:ind w:hanging="450"/>
        <w:jc w:val="both"/>
        <w:rPr>
          <w:sz w:val="24"/>
          <w:szCs w:val="24"/>
        </w:rPr>
      </w:pPr>
      <w:r w:rsidRPr="009D7851">
        <w:rPr>
          <w:rFonts w:cs="Helvetica"/>
          <w:kern w:val="0"/>
          <w:sz w:val="24"/>
          <w:szCs w:val="24"/>
          <w:lang w:eastAsia="zh-CN"/>
        </w:rPr>
        <w:t>The government abused, detained</w:t>
      </w:r>
      <w:r>
        <w:rPr>
          <w:rFonts w:cs="Helvetica"/>
          <w:kern w:val="0"/>
          <w:sz w:val="24"/>
          <w:szCs w:val="24"/>
          <w:lang w:eastAsia="zh-CN"/>
        </w:rPr>
        <w:t>,</w:t>
      </w:r>
      <w:r w:rsidRPr="009D7851">
        <w:rPr>
          <w:rFonts w:cs="Helvetica"/>
          <w:kern w:val="0"/>
          <w:sz w:val="24"/>
          <w:szCs w:val="24"/>
          <w:lang w:eastAsia="zh-CN"/>
        </w:rPr>
        <w:t xml:space="preserve"> and executed many protestors, including women. According to Madelaine Caracas,</w:t>
      </w:r>
      <w:r w:rsidR="0009489F">
        <w:rPr>
          <w:rFonts w:cs="Helvetica"/>
          <w:kern w:val="0"/>
          <w:sz w:val="24"/>
          <w:szCs w:val="24"/>
          <w:lang w:eastAsia="zh-CN"/>
        </w:rPr>
        <w:t xml:space="preserve"> a prominent political activist,</w:t>
      </w:r>
      <w:r w:rsidRPr="009D7851">
        <w:rPr>
          <w:rFonts w:cs="Helvetica"/>
          <w:kern w:val="0"/>
          <w:sz w:val="24"/>
          <w:szCs w:val="24"/>
          <w:lang w:eastAsia="zh-CN"/>
        </w:rPr>
        <w:t xml:space="preserve"> women played an important role in the protest</w:t>
      </w:r>
      <w:r w:rsidR="0009489F">
        <w:rPr>
          <w:rFonts w:cs="Helvetica"/>
          <w:kern w:val="0"/>
          <w:sz w:val="24"/>
          <w:szCs w:val="24"/>
          <w:lang w:eastAsia="zh-CN"/>
        </w:rPr>
        <w:t>s</w:t>
      </w:r>
      <w:r w:rsidRPr="009D7851">
        <w:rPr>
          <w:rFonts w:cs="Helvetica"/>
          <w:kern w:val="0"/>
          <w:sz w:val="24"/>
          <w:szCs w:val="24"/>
          <w:lang w:eastAsia="zh-CN"/>
        </w:rPr>
        <w:t xml:space="preserve">. </w:t>
      </w:r>
      <w:r w:rsidR="00144896">
        <w:rPr>
          <w:rFonts w:cs="Helvetica"/>
          <w:kern w:val="0"/>
          <w:sz w:val="24"/>
          <w:szCs w:val="24"/>
          <w:lang w:eastAsia="zh-CN"/>
        </w:rPr>
        <w:t xml:space="preserve">Members of the </w:t>
      </w:r>
      <w:r w:rsidR="00002CD8">
        <w:rPr>
          <w:rFonts w:cs="Helvetica"/>
          <w:kern w:val="0"/>
          <w:sz w:val="24"/>
          <w:szCs w:val="24"/>
          <w:lang w:eastAsia="zh-CN"/>
        </w:rPr>
        <w:t>G</w:t>
      </w:r>
      <w:r w:rsidR="00144896">
        <w:rPr>
          <w:rFonts w:cs="Helvetica"/>
          <w:kern w:val="0"/>
          <w:sz w:val="24"/>
          <w:szCs w:val="24"/>
          <w:lang w:eastAsia="zh-CN"/>
        </w:rPr>
        <w:t xml:space="preserve">overnment frequently sent </w:t>
      </w:r>
      <w:r w:rsidR="0090315F">
        <w:rPr>
          <w:rFonts w:cs="Helvetica"/>
          <w:kern w:val="0"/>
          <w:sz w:val="24"/>
          <w:szCs w:val="24"/>
          <w:lang w:eastAsia="zh-CN"/>
        </w:rPr>
        <w:t xml:space="preserve">her </w:t>
      </w:r>
      <w:r w:rsidR="00144896">
        <w:rPr>
          <w:rFonts w:cs="Helvetica"/>
          <w:kern w:val="0"/>
          <w:sz w:val="24"/>
          <w:szCs w:val="24"/>
          <w:lang w:eastAsia="zh-CN"/>
        </w:rPr>
        <w:t xml:space="preserve">death threats and threats of rape. </w:t>
      </w:r>
      <w:r w:rsidRPr="009D7851">
        <w:rPr>
          <w:rFonts w:cs="Helvetica"/>
          <w:kern w:val="0"/>
          <w:sz w:val="24"/>
          <w:szCs w:val="24"/>
          <w:lang w:eastAsia="zh-CN"/>
        </w:rPr>
        <w:t>She fled to Costa Rica after the government ordered her arrest</w:t>
      </w:r>
      <w:r>
        <w:rPr>
          <w:rFonts w:cs="Helvetica"/>
          <w:kern w:val="0"/>
          <w:sz w:val="24"/>
          <w:szCs w:val="24"/>
          <w:lang w:eastAsia="zh-CN"/>
        </w:rPr>
        <w:t>.</w:t>
      </w:r>
      <w:r w:rsidRPr="009D7851">
        <w:rPr>
          <w:rStyle w:val="FootnoteReference"/>
          <w:rFonts w:cs="Helvetica"/>
          <w:kern w:val="0"/>
          <w:sz w:val="24"/>
          <w:szCs w:val="24"/>
          <w:lang w:eastAsia="zh-CN"/>
        </w:rPr>
        <w:footnoteReference w:id="30"/>
      </w:r>
      <w:r w:rsidR="0090315F">
        <w:rPr>
          <w:rFonts w:cs="Helvetica"/>
          <w:kern w:val="0"/>
          <w:sz w:val="24"/>
          <w:szCs w:val="24"/>
          <w:lang w:eastAsia="zh-CN"/>
        </w:rPr>
        <w:t xml:space="preserve"> Armed forces shot at one client of the Advocates with </w:t>
      </w:r>
      <w:r w:rsidR="00786F14">
        <w:rPr>
          <w:rFonts w:cs="Helvetica"/>
          <w:kern w:val="0"/>
          <w:sz w:val="24"/>
          <w:szCs w:val="24"/>
          <w:lang w:eastAsia="zh-CN"/>
        </w:rPr>
        <w:t>the</w:t>
      </w:r>
      <w:r w:rsidR="0090315F">
        <w:rPr>
          <w:rFonts w:cs="Helvetica"/>
          <w:kern w:val="0"/>
          <w:sz w:val="24"/>
          <w:szCs w:val="24"/>
          <w:lang w:eastAsia="zh-CN"/>
        </w:rPr>
        <w:t xml:space="preserve"> intent to kill. She knew their </w:t>
      </w:r>
      <w:r w:rsidR="00786F14">
        <w:rPr>
          <w:rFonts w:cs="Helvetica"/>
          <w:kern w:val="0"/>
          <w:sz w:val="24"/>
          <w:szCs w:val="24"/>
          <w:lang w:eastAsia="zh-CN"/>
        </w:rPr>
        <w:t xml:space="preserve">objective </w:t>
      </w:r>
      <w:r w:rsidR="0090315F">
        <w:rPr>
          <w:rFonts w:cs="Helvetica"/>
          <w:kern w:val="0"/>
          <w:sz w:val="24"/>
          <w:szCs w:val="24"/>
          <w:lang w:eastAsia="zh-CN"/>
        </w:rPr>
        <w:t>was to deter her from participating in political protests because she recognized th</w:t>
      </w:r>
      <w:r w:rsidR="00AE4D3F">
        <w:rPr>
          <w:rFonts w:cs="Helvetica"/>
          <w:kern w:val="0"/>
          <w:sz w:val="24"/>
          <w:szCs w:val="24"/>
          <w:lang w:eastAsia="zh-CN"/>
        </w:rPr>
        <w:t>em as members of President Ortega’s political party.</w:t>
      </w:r>
      <w:r w:rsidR="00AE4D3F">
        <w:rPr>
          <w:rStyle w:val="FootnoteReference"/>
          <w:rFonts w:cs="Helvetica"/>
          <w:kern w:val="0"/>
          <w:sz w:val="24"/>
          <w:szCs w:val="24"/>
          <w:lang w:eastAsia="zh-CN"/>
        </w:rPr>
        <w:footnoteReference w:id="31"/>
      </w:r>
    </w:p>
    <w:p w14:paraId="61868632" w14:textId="3B5E75D4" w:rsidR="009D7851" w:rsidRPr="004303F1" w:rsidRDefault="00145A5E" w:rsidP="007C30D8">
      <w:pPr>
        <w:numPr>
          <w:ilvl w:val="0"/>
          <w:numId w:val="22"/>
        </w:numPr>
        <w:spacing w:after="120"/>
        <w:ind w:hanging="450"/>
        <w:jc w:val="both"/>
        <w:rPr>
          <w:sz w:val="24"/>
          <w:szCs w:val="24"/>
        </w:rPr>
      </w:pPr>
      <w:r>
        <w:rPr>
          <w:rFonts w:cs="Helvetica"/>
          <w:kern w:val="0"/>
          <w:sz w:val="24"/>
          <w:szCs w:val="24"/>
          <w:lang w:eastAsia="zh-CN"/>
        </w:rPr>
        <w:t xml:space="preserve">Many women who participated in the protests received threats from the </w:t>
      </w:r>
      <w:r w:rsidR="00002CD8">
        <w:rPr>
          <w:rFonts w:cs="Helvetica"/>
          <w:kern w:val="0"/>
          <w:sz w:val="24"/>
          <w:szCs w:val="24"/>
          <w:lang w:eastAsia="zh-CN"/>
        </w:rPr>
        <w:t>G</w:t>
      </w:r>
      <w:r>
        <w:rPr>
          <w:rFonts w:cs="Helvetica"/>
          <w:kern w:val="0"/>
          <w:sz w:val="24"/>
          <w:szCs w:val="24"/>
          <w:lang w:eastAsia="zh-CN"/>
        </w:rPr>
        <w:t xml:space="preserve">overnment. </w:t>
      </w:r>
      <w:r w:rsidR="0009489F">
        <w:rPr>
          <w:rFonts w:cs="Helvetica"/>
          <w:kern w:val="0"/>
          <w:sz w:val="24"/>
          <w:szCs w:val="24"/>
          <w:lang w:eastAsia="zh-CN"/>
        </w:rPr>
        <w:t>Several female clients of The Advocates</w:t>
      </w:r>
      <w:r w:rsidR="009D7851" w:rsidRPr="009D7851">
        <w:rPr>
          <w:rFonts w:cs="Helvetica"/>
          <w:kern w:val="0"/>
          <w:sz w:val="24"/>
          <w:szCs w:val="24"/>
          <w:lang w:eastAsia="zh-CN"/>
        </w:rPr>
        <w:t xml:space="preserve"> fled the country </w:t>
      </w:r>
      <w:r w:rsidR="0009489F">
        <w:rPr>
          <w:rFonts w:cs="Helvetica"/>
          <w:kern w:val="0"/>
          <w:sz w:val="24"/>
          <w:szCs w:val="24"/>
          <w:lang w:eastAsia="zh-CN"/>
        </w:rPr>
        <w:t>due to</w:t>
      </w:r>
      <w:r w:rsidR="009D7851" w:rsidRPr="009D7851">
        <w:rPr>
          <w:rFonts w:cs="Helvetica"/>
          <w:kern w:val="0"/>
          <w:sz w:val="24"/>
          <w:szCs w:val="24"/>
          <w:lang w:eastAsia="zh-CN"/>
        </w:rPr>
        <w:t xml:space="preserve"> threats by the government or supporters of the government</w:t>
      </w:r>
      <w:r w:rsidR="009D7851">
        <w:rPr>
          <w:rFonts w:cs="Helvetica"/>
          <w:kern w:val="0"/>
          <w:sz w:val="24"/>
          <w:szCs w:val="24"/>
          <w:lang w:eastAsia="zh-CN"/>
        </w:rPr>
        <w:t>.</w:t>
      </w:r>
      <w:r w:rsidR="009D7851" w:rsidRPr="009D7851">
        <w:rPr>
          <w:rStyle w:val="FootnoteReference"/>
          <w:rFonts w:cs="Helvetica"/>
          <w:kern w:val="0"/>
          <w:sz w:val="24"/>
          <w:szCs w:val="24"/>
          <w:lang w:eastAsia="zh-CN"/>
        </w:rPr>
        <w:footnoteReference w:id="32"/>
      </w:r>
      <w:r w:rsidR="009D7851" w:rsidRPr="009D7851">
        <w:rPr>
          <w:rFonts w:cs="Helvetica"/>
          <w:kern w:val="0"/>
          <w:sz w:val="24"/>
          <w:szCs w:val="24"/>
          <w:lang w:eastAsia="zh-CN"/>
        </w:rPr>
        <w:t xml:space="preserve"> One client said </w:t>
      </w:r>
      <w:r w:rsidR="00144896">
        <w:rPr>
          <w:rFonts w:cs="Helvetica"/>
          <w:kern w:val="0"/>
          <w:sz w:val="24"/>
          <w:szCs w:val="24"/>
          <w:lang w:eastAsia="zh-CN"/>
        </w:rPr>
        <w:t>the police frequently visited and threatened her</w:t>
      </w:r>
      <w:r w:rsidR="009D7851" w:rsidRPr="009D7851">
        <w:rPr>
          <w:rFonts w:cs="Helvetica"/>
          <w:kern w:val="0"/>
          <w:sz w:val="24"/>
          <w:szCs w:val="24"/>
          <w:lang w:eastAsia="zh-CN"/>
        </w:rPr>
        <w:t xml:space="preserve"> after </w:t>
      </w:r>
      <w:r w:rsidR="00144896">
        <w:rPr>
          <w:rFonts w:cs="Helvetica"/>
          <w:kern w:val="0"/>
          <w:sz w:val="24"/>
          <w:szCs w:val="24"/>
          <w:lang w:eastAsia="zh-CN"/>
        </w:rPr>
        <w:t>she posted</w:t>
      </w:r>
      <w:r w:rsidR="009D7851" w:rsidRPr="009D7851">
        <w:rPr>
          <w:rFonts w:cs="Helvetica"/>
          <w:kern w:val="0"/>
          <w:sz w:val="24"/>
          <w:szCs w:val="24"/>
          <w:lang w:eastAsia="zh-CN"/>
        </w:rPr>
        <w:t xml:space="preserve"> about the protest on social media.</w:t>
      </w:r>
      <w:r w:rsidR="009D7851" w:rsidRPr="009D7851">
        <w:rPr>
          <w:rStyle w:val="FootnoteReference"/>
          <w:rFonts w:cs="Helvetica"/>
          <w:kern w:val="0"/>
          <w:sz w:val="24"/>
          <w:szCs w:val="24"/>
          <w:lang w:eastAsia="zh-CN"/>
        </w:rPr>
        <w:footnoteReference w:id="33"/>
      </w:r>
    </w:p>
    <w:p w14:paraId="31DB2986" w14:textId="0FDA68BF" w:rsidR="004303F1" w:rsidRPr="004303F1" w:rsidRDefault="004303F1" w:rsidP="004303F1">
      <w:pPr>
        <w:numPr>
          <w:ilvl w:val="0"/>
          <w:numId w:val="17"/>
        </w:numPr>
        <w:spacing w:after="120"/>
        <w:jc w:val="both"/>
        <w:rPr>
          <w:b/>
          <w:bCs/>
          <w:sz w:val="24"/>
          <w:szCs w:val="24"/>
        </w:rPr>
      </w:pPr>
      <w:r w:rsidRPr="004303F1">
        <w:rPr>
          <w:rFonts w:cs="Helvetica"/>
          <w:b/>
          <w:bCs/>
          <w:kern w:val="0"/>
          <w:sz w:val="24"/>
          <w:szCs w:val="24"/>
          <w:lang w:eastAsia="zh-CN"/>
        </w:rPr>
        <w:t>Suggested recommendations</w:t>
      </w:r>
    </w:p>
    <w:p w14:paraId="4FBD9B9E" w14:textId="77777777" w:rsidR="004303F1" w:rsidRPr="0009489F" w:rsidRDefault="004303F1" w:rsidP="004303F1">
      <w:pPr>
        <w:numPr>
          <w:ilvl w:val="0"/>
          <w:numId w:val="14"/>
        </w:numPr>
        <w:spacing w:after="120"/>
        <w:ind w:left="1252" w:hanging="446"/>
        <w:jc w:val="both"/>
        <w:textAlignment w:val="baseline"/>
        <w:rPr>
          <w:rFonts w:cs="Arial"/>
          <w:kern w:val="0"/>
          <w:sz w:val="24"/>
          <w:szCs w:val="24"/>
          <w:lang w:eastAsia="zh-CN"/>
        </w:rPr>
      </w:pPr>
      <w:r>
        <w:rPr>
          <w:rFonts w:cs="Arial"/>
          <w:kern w:val="0"/>
          <w:sz w:val="24"/>
          <w:szCs w:val="24"/>
          <w:lang w:eastAsia="zh-CN"/>
        </w:rPr>
        <w:t>Conduct awareness-raising campaigns about</w:t>
      </w:r>
      <w:r w:rsidRPr="0009489F">
        <w:rPr>
          <w:rFonts w:cs="Arial"/>
          <w:kern w:val="0"/>
          <w:sz w:val="24"/>
          <w:szCs w:val="24"/>
          <w:lang w:eastAsia="zh-CN"/>
        </w:rPr>
        <w:t xml:space="preserve"> </w:t>
      </w:r>
      <w:r>
        <w:rPr>
          <w:rFonts w:cs="Arial"/>
          <w:kern w:val="0"/>
          <w:sz w:val="24"/>
          <w:szCs w:val="24"/>
          <w:lang w:eastAsia="zh-CN"/>
        </w:rPr>
        <w:t xml:space="preserve">the </w:t>
      </w:r>
      <w:r w:rsidRPr="0009489F">
        <w:rPr>
          <w:rFonts w:cs="Arial"/>
          <w:kern w:val="0"/>
          <w:sz w:val="24"/>
          <w:szCs w:val="24"/>
          <w:lang w:eastAsia="zh-CN"/>
        </w:rPr>
        <w:t>severity</w:t>
      </w:r>
      <w:r>
        <w:rPr>
          <w:rFonts w:cs="Arial"/>
          <w:kern w:val="0"/>
          <w:sz w:val="24"/>
          <w:szCs w:val="24"/>
          <w:lang w:eastAsia="zh-CN"/>
        </w:rPr>
        <w:t xml:space="preserve"> and dynamics</w:t>
      </w:r>
      <w:r w:rsidRPr="0009489F">
        <w:rPr>
          <w:rFonts w:cs="Arial"/>
          <w:kern w:val="0"/>
          <w:sz w:val="24"/>
          <w:szCs w:val="24"/>
          <w:lang w:eastAsia="zh-CN"/>
        </w:rPr>
        <w:t xml:space="preserve"> of domestic violence </w:t>
      </w:r>
      <w:r>
        <w:rPr>
          <w:rFonts w:cs="Arial"/>
          <w:kern w:val="0"/>
          <w:sz w:val="24"/>
          <w:szCs w:val="24"/>
          <w:lang w:eastAsia="zh-CN"/>
        </w:rPr>
        <w:t>for Government officials, especially justice systems actors.</w:t>
      </w:r>
    </w:p>
    <w:p w14:paraId="3807E6B9" w14:textId="77777777" w:rsidR="004303F1" w:rsidRDefault="004303F1" w:rsidP="004303F1">
      <w:pPr>
        <w:numPr>
          <w:ilvl w:val="0"/>
          <w:numId w:val="14"/>
        </w:numPr>
        <w:spacing w:after="120"/>
        <w:ind w:left="1252" w:hanging="446"/>
        <w:jc w:val="both"/>
        <w:textAlignment w:val="baseline"/>
        <w:rPr>
          <w:rFonts w:cs="Arial"/>
          <w:kern w:val="0"/>
          <w:sz w:val="24"/>
          <w:szCs w:val="24"/>
          <w:lang w:eastAsia="zh-CN"/>
        </w:rPr>
      </w:pPr>
      <w:r>
        <w:rPr>
          <w:rFonts w:cs="Arial"/>
          <w:kern w:val="0"/>
          <w:sz w:val="24"/>
          <w:szCs w:val="24"/>
          <w:lang w:eastAsia="zh-CN"/>
        </w:rPr>
        <w:t>Take steps to ensure</w:t>
      </w:r>
      <w:r w:rsidRPr="0009489F">
        <w:rPr>
          <w:rFonts w:cs="Arial"/>
          <w:kern w:val="0"/>
          <w:sz w:val="24"/>
          <w:szCs w:val="24"/>
          <w:lang w:eastAsia="zh-CN"/>
        </w:rPr>
        <w:t xml:space="preserve"> that law enforcement and other members of the justice system </w:t>
      </w:r>
      <w:r>
        <w:rPr>
          <w:rFonts w:cs="Arial"/>
          <w:kern w:val="0"/>
          <w:sz w:val="24"/>
          <w:szCs w:val="24"/>
          <w:lang w:eastAsia="zh-CN"/>
        </w:rPr>
        <w:t>appropriately</w:t>
      </w:r>
      <w:r w:rsidRPr="0009489F">
        <w:rPr>
          <w:rFonts w:cs="Arial"/>
          <w:kern w:val="0"/>
          <w:sz w:val="24"/>
          <w:szCs w:val="24"/>
          <w:lang w:eastAsia="zh-CN"/>
        </w:rPr>
        <w:t xml:space="preserve"> </w:t>
      </w:r>
      <w:r>
        <w:rPr>
          <w:rFonts w:cs="Arial"/>
          <w:kern w:val="0"/>
          <w:sz w:val="24"/>
          <w:szCs w:val="24"/>
          <w:lang w:eastAsia="zh-CN"/>
        </w:rPr>
        <w:t xml:space="preserve">respond to and </w:t>
      </w:r>
      <w:r w:rsidRPr="0009489F">
        <w:rPr>
          <w:rFonts w:cs="Arial"/>
          <w:kern w:val="0"/>
          <w:sz w:val="24"/>
          <w:szCs w:val="24"/>
          <w:lang w:eastAsia="zh-CN"/>
        </w:rPr>
        <w:t>process cases of domestic violence</w:t>
      </w:r>
      <w:r>
        <w:rPr>
          <w:rFonts w:cs="Arial"/>
          <w:kern w:val="0"/>
          <w:sz w:val="24"/>
          <w:szCs w:val="24"/>
          <w:lang w:eastAsia="zh-CN"/>
        </w:rPr>
        <w:t xml:space="preserve">. </w:t>
      </w:r>
    </w:p>
    <w:p w14:paraId="222B1762" w14:textId="77777777" w:rsidR="004303F1" w:rsidRPr="0009489F" w:rsidRDefault="004303F1" w:rsidP="004303F1">
      <w:pPr>
        <w:numPr>
          <w:ilvl w:val="0"/>
          <w:numId w:val="14"/>
        </w:numPr>
        <w:spacing w:after="120"/>
        <w:ind w:left="1252" w:hanging="446"/>
        <w:jc w:val="both"/>
        <w:textAlignment w:val="baseline"/>
        <w:rPr>
          <w:rFonts w:cs="Arial"/>
          <w:kern w:val="0"/>
          <w:sz w:val="24"/>
          <w:szCs w:val="24"/>
          <w:lang w:eastAsia="zh-CN"/>
        </w:rPr>
      </w:pPr>
      <w:r>
        <w:rPr>
          <w:rFonts w:cs="Arial"/>
          <w:kern w:val="0"/>
          <w:sz w:val="24"/>
          <w:szCs w:val="24"/>
          <w:lang w:eastAsia="zh-CN"/>
        </w:rPr>
        <w:t>Hold accountable law enforcement and other state actors who do not respond appropriately to cases of domestic violence.</w:t>
      </w:r>
    </w:p>
    <w:p w14:paraId="6A2CCBB6" w14:textId="77777777" w:rsidR="004303F1" w:rsidRPr="0009489F" w:rsidRDefault="004303F1" w:rsidP="004303F1">
      <w:pPr>
        <w:numPr>
          <w:ilvl w:val="0"/>
          <w:numId w:val="14"/>
        </w:numPr>
        <w:spacing w:after="120"/>
        <w:ind w:left="1252" w:hanging="446"/>
        <w:jc w:val="both"/>
        <w:textAlignment w:val="baseline"/>
        <w:rPr>
          <w:rFonts w:cs="Arial"/>
          <w:kern w:val="0"/>
          <w:sz w:val="24"/>
          <w:szCs w:val="24"/>
          <w:lang w:eastAsia="zh-CN"/>
        </w:rPr>
      </w:pPr>
      <w:r>
        <w:rPr>
          <w:rFonts w:cs="Arial"/>
          <w:kern w:val="0"/>
          <w:sz w:val="24"/>
          <w:szCs w:val="24"/>
          <w:lang w:eastAsia="zh-CN"/>
        </w:rPr>
        <w:t>Provide</w:t>
      </w:r>
      <w:r w:rsidRPr="0009489F">
        <w:rPr>
          <w:rFonts w:cs="Arial"/>
          <w:kern w:val="0"/>
          <w:sz w:val="24"/>
          <w:szCs w:val="24"/>
          <w:lang w:eastAsia="zh-CN"/>
        </w:rPr>
        <w:t xml:space="preserve"> </w:t>
      </w:r>
      <w:r>
        <w:rPr>
          <w:rFonts w:cs="Arial"/>
          <w:kern w:val="0"/>
          <w:sz w:val="24"/>
          <w:szCs w:val="24"/>
          <w:lang w:eastAsia="zh-CN"/>
        </w:rPr>
        <w:t xml:space="preserve">training </w:t>
      </w:r>
      <w:r w:rsidRPr="0009489F">
        <w:rPr>
          <w:rFonts w:cs="Arial"/>
          <w:kern w:val="0"/>
          <w:sz w:val="24"/>
          <w:szCs w:val="24"/>
          <w:lang w:eastAsia="zh-CN"/>
        </w:rPr>
        <w:t>to members of law enforcement and the judiciary about domestic violence</w:t>
      </w:r>
      <w:r>
        <w:rPr>
          <w:rFonts w:cs="Arial"/>
          <w:kern w:val="0"/>
          <w:sz w:val="24"/>
          <w:szCs w:val="24"/>
          <w:lang w:eastAsia="zh-CN"/>
        </w:rPr>
        <w:t>. Conduct these trainings in consultation with NGOs that serve victims of domestic violence and best understand their needs.</w:t>
      </w:r>
    </w:p>
    <w:p w14:paraId="43A0D33A" w14:textId="77777777" w:rsidR="003E3DBA" w:rsidRDefault="003E3DBA" w:rsidP="003E3DBA">
      <w:pPr>
        <w:numPr>
          <w:ilvl w:val="0"/>
          <w:numId w:val="14"/>
        </w:numPr>
        <w:spacing w:after="120"/>
        <w:ind w:left="1252" w:hanging="446"/>
        <w:jc w:val="both"/>
        <w:textAlignment w:val="baseline"/>
        <w:rPr>
          <w:rFonts w:cs="Arial"/>
          <w:kern w:val="0"/>
          <w:sz w:val="24"/>
          <w:szCs w:val="24"/>
          <w:lang w:eastAsia="zh-CN"/>
        </w:rPr>
      </w:pPr>
      <w:r>
        <w:rPr>
          <w:rFonts w:cs="Arial"/>
          <w:kern w:val="0"/>
          <w:sz w:val="24"/>
          <w:szCs w:val="24"/>
          <w:lang w:eastAsia="zh-CN"/>
        </w:rPr>
        <w:t>Provide training to law enforcement and other governmental bodies about the harms of mediation and its effect on victims of domestic violence.</w:t>
      </w:r>
    </w:p>
    <w:p w14:paraId="538FFF66" w14:textId="77777777" w:rsidR="004303F1" w:rsidRPr="004C0F14" w:rsidRDefault="004303F1" w:rsidP="004303F1">
      <w:pPr>
        <w:numPr>
          <w:ilvl w:val="0"/>
          <w:numId w:val="14"/>
        </w:numPr>
        <w:spacing w:after="120"/>
        <w:ind w:left="1252" w:hanging="446"/>
        <w:jc w:val="both"/>
        <w:textAlignment w:val="baseline"/>
        <w:rPr>
          <w:rFonts w:cs="Arial"/>
          <w:kern w:val="0"/>
          <w:sz w:val="24"/>
          <w:szCs w:val="24"/>
          <w:lang w:eastAsia="zh-CN"/>
        </w:rPr>
      </w:pPr>
      <w:r>
        <w:rPr>
          <w:rFonts w:cs="Arial"/>
          <w:kern w:val="0"/>
          <w:sz w:val="24"/>
          <w:szCs w:val="24"/>
          <w:lang w:eastAsia="zh-CN"/>
        </w:rPr>
        <w:lastRenderedPageBreak/>
        <w:t>Amend current awareness-raising campaigns to prioritize the prevention of violence and providing women with safety and autonomy rather than maintaining harmony within the family.</w:t>
      </w:r>
    </w:p>
    <w:p w14:paraId="70F621D4" w14:textId="77777777" w:rsidR="004303F1" w:rsidRPr="00755773" w:rsidRDefault="004303F1" w:rsidP="004303F1">
      <w:pPr>
        <w:numPr>
          <w:ilvl w:val="0"/>
          <w:numId w:val="14"/>
        </w:numPr>
        <w:spacing w:after="120"/>
        <w:ind w:left="1252" w:hanging="446"/>
        <w:jc w:val="both"/>
        <w:textAlignment w:val="baseline"/>
        <w:rPr>
          <w:rFonts w:cs="Arial"/>
          <w:kern w:val="0"/>
          <w:sz w:val="24"/>
          <w:szCs w:val="24"/>
          <w:lang w:eastAsia="zh-CN"/>
        </w:rPr>
      </w:pPr>
      <w:r>
        <w:rPr>
          <w:rFonts w:cs="Arial"/>
          <w:kern w:val="0"/>
          <w:sz w:val="24"/>
          <w:szCs w:val="24"/>
          <w:lang w:eastAsia="zh-CN"/>
        </w:rPr>
        <w:t>Take concrete steps to prohibit the use of mediation in all cases of domestic violence and ensure adequate screening takes place to identify domestic violence.</w:t>
      </w:r>
    </w:p>
    <w:p w14:paraId="2D7CBFBF" w14:textId="77777777" w:rsidR="004303F1" w:rsidRDefault="004303F1" w:rsidP="004303F1">
      <w:pPr>
        <w:numPr>
          <w:ilvl w:val="0"/>
          <w:numId w:val="14"/>
        </w:numPr>
        <w:spacing w:after="120"/>
        <w:ind w:left="1252" w:hanging="446"/>
        <w:jc w:val="both"/>
        <w:textAlignment w:val="baseline"/>
        <w:rPr>
          <w:rFonts w:cs="Arial"/>
          <w:kern w:val="0"/>
          <w:sz w:val="24"/>
          <w:szCs w:val="24"/>
          <w:lang w:eastAsia="zh-CN"/>
        </w:rPr>
      </w:pPr>
      <w:r>
        <w:rPr>
          <w:rFonts w:cs="Arial"/>
          <w:kern w:val="0"/>
          <w:sz w:val="24"/>
          <w:szCs w:val="24"/>
          <w:lang w:eastAsia="zh-CN"/>
        </w:rPr>
        <w:t>Allocate adequate funding to the Ministry of the Family to facilitate the implementation of Law 779?</w:t>
      </w:r>
    </w:p>
    <w:p w14:paraId="514E8B85" w14:textId="758BEA0C" w:rsidR="004303F1" w:rsidRPr="004303F1" w:rsidRDefault="004303F1" w:rsidP="003E3DBA">
      <w:pPr>
        <w:numPr>
          <w:ilvl w:val="0"/>
          <w:numId w:val="14"/>
        </w:numPr>
        <w:spacing w:after="120"/>
        <w:ind w:left="1252" w:hanging="446"/>
        <w:jc w:val="both"/>
        <w:textAlignment w:val="baseline"/>
        <w:rPr>
          <w:rFonts w:cs="Arial"/>
          <w:kern w:val="0"/>
          <w:sz w:val="24"/>
          <w:szCs w:val="24"/>
          <w:lang w:eastAsia="zh-CN"/>
        </w:rPr>
      </w:pPr>
      <w:r>
        <w:rPr>
          <w:rFonts w:cs="Arial"/>
          <w:kern w:val="0"/>
          <w:sz w:val="24"/>
          <w:szCs w:val="24"/>
          <w:lang w:eastAsia="zh-CN"/>
        </w:rPr>
        <w:t>Allocate adequate funding to police units designed to handle cases of domestic violence.</w:t>
      </w:r>
    </w:p>
    <w:p w14:paraId="54926016" w14:textId="3E3D50B9" w:rsidR="00AD41A7" w:rsidRDefault="004303F1" w:rsidP="00920A7A">
      <w:pPr>
        <w:numPr>
          <w:ilvl w:val="0"/>
          <w:numId w:val="14"/>
        </w:numPr>
        <w:spacing w:after="120"/>
        <w:ind w:left="1252" w:hanging="446"/>
        <w:jc w:val="both"/>
        <w:textAlignment w:val="baseline"/>
        <w:rPr>
          <w:rFonts w:cs="Arial"/>
          <w:kern w:val="0"/>
          <w:sz w:val="24"/>
          <w:szCs w:val="24"/>
          <w:lang w:eastAsia="zh-CN"/>
        </w:rPr>
      </w:pPr>
      <w:r>
        <w:rPr>
          <w:rFonts w:cs="Arial"/>
          <w:kern w:val="0"/>
          <w:sz w:val="24"/>
          <w:szCs w:val="24"/>
          <w:lang w:eastAsia="zh-CN"/>
        </w:rPr>
        <w:t>Take measures to</w:t>
      </w:r>
      <w:r w:rsidR="00AD41A7">
        <w:rPr>
          <w:rFonts w:cs="Arial"/>
          <w:kern w:val="0"/>
          <w:sz w:val="24"/>
          <w:szCs w:val="24"/>
          <w:lang w:eastAsia="zh-CN"/>
        </w:rPr>
        <w:t xml:space="preserve"> stop </w:t>
      </w:r>
      <w:r w:rsidR="00786F14">
        <w:rPr>
          <w:rFonts w:cs="Arial"/>
          <w:kern w:val="0"/>
          <w:sz w:val="24"/>
          <w:szCs w:val="24"/>
          <w:lang w:eastAsia="zh-CN"/>
        </w:rPr>
        <w:t xml:space="preserve">and investigate </w:t>
      </w:r>
      <w:r w:rsidR="00AD41A7">
        <w:rPr>
          <w:rFonts w:cs="Arial"/>
          <w:kern w:val="0"/>
          <w:sz w:val="24"/>
          <w:szCs w:val="24"/>
          <w:lang w:eastAsia="zh-CN"/>
        </w:rPr>
        <w:t xml:space="preserve">threats against women political activists? </w:t>
      </w:r>
    </w:p>
    <w:p w14:paraId="0E7D07A2" w14:textId="7B181D5D" w:rsidR="009D7851" w:rsidRDefault="004303F1" w:rsidP="00920A7A">
      <w:pPr>
        <w:numPr>
          <w:ilvl w:val="0"/>
          <w:numId w:val="14"/>
        </w:numPr>
        <w:spacing w:after="120"/>
        <w:ind w:left="1252" w:hanging="446"/>
        <w:jc w:val="both"/>
        <w:textAlignment w:val="baseline"/>
        <w:rPr>
          <w:rFonts w:cs="Arial"/>
          <w:kern w:val="0"/>
          <w:sz w:val="24"/>
          <w:szCs w:val="24"/>
          <w:lang w:eastAsia="zh-CN"/>
        </w:rPr>
      </w:pPr>
      <w:r>
        <w:rPr>
          <w:rFonts w:cs="Arial"/>
          <w:kern w:val="0"/>
          <w:sz w:val="24"/>
          <w:szCs w:val="24"/>
          <w:lang w:eastAsia="zh-CN"/>
        </w:rPr>
        <w:t>Hold</w:t>
      </w:r>
      <w:r w:rsidR="00AD41A7">
        <w:rPr>
          <w:rFonts w:cs="Arial"/>
          <w:kern w:val="0"/>
          <w:sz w:val="24"/>
          <w:szCs w:val="24"/>
          <w:lang w:eastAsia="zh-CN"/>
        </w:rPr>
        <w:t xml:space="preserve"> </w:t>
      </w:r>
      <w:r>
        <w:rPr>
          <w:rFonts w:cs="Arial"/>
          <w:kern w:val="0"/>
          <w:sz w:val="24"/>
          <w:szCs w:val="24"/>
          <w:lang w:eastAsia="zh-CN"/>
        </w:rPr>
        <w:t>g</w:t>
      </w:r>
      <w:r w:rsidR="00AD41A7">
        <w:rPr>
          <w:rFonts w:cs="Arial"/>
          <w:kern w:val="0"/>
          <w:sz w:val="24"/>
          <w:szCs w:val="24"/>
          <w:lang w:eastAsia="zh-CN"/>
        </w:rPr>
        <w:t>overnment officials or police officers known to have threatened a woman political activist accountable for their actions</w:t>
      </w:r>
      <w:r>
        <w:rPr>
          <w:rFonts w:cs="Arial"/>
          <w:kern w:val="0"/>
          <w:sz w:val="24"/>
          <w:szCs w:val="24"/>
          <w:lang w:eastAsia="zh-CN"/>
        </w:rPr>
        <w:t>.</w:t>
      </w:r>
    </w:p>
    <w:p w14:paraId="6D9A9669" w14:textId="331EB04E" w:rsidR="00AD41A7" w:rsidRDefault="004303F1" w:rsidP="00920A7A">
      <w:pPr>
        <w:numPr>
          <w:ilvl w:val="0"/>
          <w:numId w:val="14"/>
        </w:numPr>
        <w:spacing w:after="120"/>
        <w:ind w:left="1252" w:hanging="446"/>
        <w:jc w:val="both"/>
        <w:textAlignment w:val="baseline"/>
        <w:rPr>
          <w:rFonts w:cs="Arial"/>
          <w:kern w:val="0"/>
          <w:sz w:val="24"/>
          <w:szCs w:val="24"/>
          <w:lang w:eastAsia="zh-CN"/>
        </w:rPr>
      </w:pPr>
      <w:r>
        <w:rPr>
          <w:rFonts w:cs="Arial"/>
          <w:kern w:val="0"/>
          <w:sz w:val="24"/>
          <w:szCs w:val="24"/>
          <w:lang w:eastAsia="zh-CN"/>
        </w:rPr>
        <w:t>Take steps</w:t>
      </w:r>
      <w:r w:rsidR="00AD41A7">
        <w:rPr>
          <w:rFonts w:cs="Arial"/>
          <w:kern w:val="0"/>
          <w:sz w:val="24"/>
          <w:szCs w:val="24"/>
          <w:lang w:eastAsia="zh-CN"/>
        </w:rPr>
        <w:t xml:space="preserve"> to ensure the women political activists</w:t>
      </w:r>
      <w:r>
        <w:rPr>
          <w:rFonts w:cs="Arial"/>
          <w:kern w:val="0"/>
          <w:sz w:val="24"/>
          <w:szCs w:val="24"/>
          <w:lang w:eastAsia="zh-CN"/>
        </w:rPr>
        <w:t xml:space="preserve"> </w:t>
      </w:r>
      <w:proofErr w:type="gramStart"/>
      <w:r>
        <w:rPr>
          <w:rFonts w:cs="Arial"/>
          <w:kern w:val="0"/>
          <w:sz w:val="24"/>
          <w:szCs w:val="24"/>
          <w:lang w:eastAsia="zh-CN"/>
        </w:rPr>
        <w:t>are able to</w:t>
      </w:r>
      <w:proofErr w:type="gramEnd"/>
      <w:r>
        <w:rPr>
          <w:rFonts w:cs="Arial"/>
          <w:kern w:val="0"/>
          <w:sz w:val="24"/>
          <w:szCs w:val="24"/>
          <w:lang w:eastAsia="zh-CN"/>
        </w:rPr>
        <w:t xml:space="preserve"> carry out their work without fear of harassment, violence, criminal investigations, and other reprisals.</w:t>
      </w:r>
    </w:p>
    <w:p w14:paraId="5E891BB3" w14:textId="77777777" w:rsidR="00477F14" w:rsidRPr="00920A7A" w:rsidRDefault="00477F14" w:rsidP="00AD41A7">
      <w:pPr>
        <w:spacing w:after="120"/>
        <w:jc w:val="both"/>
        <w:textAlignment w:val="baseline"/>
        <w:rPr>
          <w:rFonts w:cs="Arial"/>
          <w:kern w:val="0"/>
          <w:sz w:val="24"/>
          <w:szCs w:val="24"/>
          <w:lang w:eastAsia="zh-CN"/>
        </w:rPr>
      </w:pPr>
    </w:p>
    <w:sectPr w:rsidR="00477F14" w:rsidRPr="00920A7A" w:rsidSect="004B1E4E">
      <w:headerReference w:type="default" r:id="rId12"/>
      <w:footerReference w:type="default" r:id="rId13"/>
      <w:headerReference w:type="first" r:id="rId14"/>
      <w:footerReference w:type="first" r:id="rId15"/>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FF46" w14:textId="77777777" w:rsidR="002A737D" w:rsidRDefault="002A737D">
      <w:r>
        <w:separator/>
      </w:r>
    </w:p>
  </w:endnote>
  <w:endnote w:type="continuationSeparator" w:id="0">
    <w:p w14:paraId="6F1DF8AB" w14:textId="77777777" w:rsidR="002A737D" w:rsidRDefault="002A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6B8D" w14:textId="77777777" w:rsidR="00494FF3" w:rsidRDefault="00494FF3">
    <w:pPr>
      <w:pStyle w:val="Footer"/>
      <w:jc w:val="center"/>
    </w:pPr>
    <w:r>
      <w:fldChar w:fldCharType="begin"/>
    </w:r>
    <w:r>
      <w:instrText xml:space="preserve"> PAGE   \* MERGEFORMAT </w:instrText>
    </w:r>
    <w:r>
      <w:fldChar w:fldCharType="separate"/>
    </w:r>
    <w:r w:rsidR="006835A3">
      <w:rPr>
        <w:noProof/>
      </w:rPr>
      <w:t>4</w:t>
    </w:r>
    <w:r>
      <w:rPr>
        <w:noProof/>
      </w:rPr>
      <w:fldChar w:fldCharType="end"/>
    </w:r>
  </w:p>
  <w:p w14:paraId="11F6F44A" w14:textId="77777777" w:rsidR="00494FF3" w:rsidRPr="00C26130" w:rsidRDefault="00494FF3" w:rsidP="00C26130">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892F" w14:textId="77777777" w:rsidR="00494FF3" w:rsidRPr="000F3447" w:rsidRDefault="00DE373F" w:rsidP="000F3447">
    <w:pPr>
      <w:widowControl w:val="0"/>
      <w:jc w:val="center"/>
      <w:rPr>
        <w:color w:val="333333"/>
        <w:lang w:val="en"/>
      </w:rPr>
    </w:pPr>
    <w:r>
      <w:rPr>
        <w:noProof/>
        <w:color w:val="800080"/>
      </w:rPr>
      <w:pict w14:anchorId="7B8B4273">
        <v:line id="_x0000_s2068" style="position:absolute;left:0;text-align:left;flip:y;z-index:251658240" from="-28.05pt,10.45pt" to="495.55pt,10.45pt" strokecolor="#333"/>
      </w:pict>
    </w:r>
  </w:p>
  <w:p w14:paraId="105AC664" w14:textId="77777777" w:rsidR="00494FF3" w:rsidRPr="000F3447" w:rsidRDefault="00494FF3" w:rsidP="000F3447">
    <w:pPr>
      <w:widowControl w:val="0"/>
      <w:jc w:val="center"/>
      <w:rPr>
        <w:i/>
        <w:iCs/>
        <w:color w:val="542344"/>
        <w:lang w:val="en"/>
      </w:rPr>
    </w:pPr>
    <w:r w:rsidRPr="000F3447">
      <w:rPr>
        <w:color w:val="333333"/>
        <w:lang w:val="en"/>
      </w:rPr>
      <w:t>330 Second Avenue South • Suite 800 • Minneapolis, MN 55401 • USA</w:t>
    </w:r>
  </w:p>
  <w:p w14:paraId="0579969D" w14:textId="77777777" w:rsidR="00494FF3" w:rsidRPr="000F3447" w:rsidRDefault="00494FF3" w:rsidP="000F3447">
    <w:pPr>
      <w:widowControl w:val="0"/>
      <w:jc w:val="center"/>
      <w:rPr>
        <w:color w:val="333333"/>
        <w:lang w:val="en"/>
      </w:rPr>
    </w:pPr>
    <w:r w:rsidRPr="000F3447">
      <w:rPr>
        <w:color w:val="333333"/>
        <w:lang w:val="en"/>
      </w:rPr>
      <w:t>Tel</w:t>
    </w:r>
    <w:r>
      <w:rPr>
        <w:color w:val="333333"/>
        <w:lang w:val="en"/>
      </w:rPr>
      <w:t xml:space="preserve">: </w:t>
    </w:r>
    <w:r w:rsidRPr="000F3447">
      <w:rPr>
        <w:color w:val="333333"/>
        <w:lang w:val="en"/>
      </w:rPr>
      <w:t>612-341-3302 • Fax:  612-341-2971 • Email: hrights@advrights.org • www.TheAdvocatesForHumanRights.org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8F0C" w14:textId="77777777" w:rsidR="002A737D" w:rsidRDefault="002A737D">
      <w:r>
        <w:separator/>
      </w:r>
    </w:p>
  </w:footnote>
  <w:footnote w:type="continuationSeparator" w:id="0">
    <w:p w14:paraId="3F6C9830" w14:textId="77777777" w:rsidR="002A737D" w:rsidRDefault="002A737D">
      <w:r>
        <w:continuationSeparator/>
      </w:r>
    </w:p>
  </w:footnote>
  <w:footnote w:id="1">
    <w:p w14:paraId="28813DC6" w14:textId="77777777" w:rsidR="004305F9" w:rsidRPr="00670DD1" w:rsidRDefault="004305F9" w:rsidP="00B96360">
      <w:pPr>
        <w:pStyle w:val="FootnoteText"/>
        <w:jc w:val="both"/>
      </w:pPr>
      <w:r w:rsidRPr="00670DD1">
        <w:rPr>
          <w:rStyle w:val="FootnoteReference"/>
        </w:rPr>
        <w:footnoteRef/>
      </w:r>
      <w:r w:rsidRPr="00670DD1">
        <w:t xml:space="preserve"> The case information presented in this submission is compiled from intake and other interviews conducted by The Advocates for Human Rights with asylum seekers from Nicaragua between 2015 and 2019 (hereinafter referred to as “Interviews conducted by The Advocates (2015-2019)”). Some details have been removed to maintain confidentiality and to protect the identities of clients and their families. Information is used with permission</w:t>
      </w:r>
      <w:r w:rsidR="00BF0B11">
        <w:t>.</w:t>
      </w:r>
    </w:p>
  </w:footnote>
  <w:footnote w:id="2">
    <w:p w14:paraId="012BA27C" w14:textId="77777777" w:rsidR="0009489F" w:rsidRPr="00670DD1" w:rsidRDefault="0009489F" w:rsidP="00B96360">
      <w:pPr>
        <w:pStyle w:val="FootnoteText"/>
        <w:jc w:val="both"/>
      </w:pPr>
      <w:r w:rsidRPr="00670DD1">
        <w:rPr>
          <w:rStyle w:val="FootnoteReference"/>
        </w:rPr>
        <w:footnoteRef/>
      </w:r>
      <w:r w:rsidRPr="00670DD1">
        <w:t xml:space="preserve"> Convention on the Elimination of All Forms of Discrimination Against Women, 1979, Art. 2, Art. 5, Art. 15</w:t>
      </w:r>
    </w:p>
  </w:footnote>
  <w:footnote w:id="3">
    <w:p w14:paraId="00E339D4" w14:textId="385B31F1" w:rsidR="004C0F14" w:rsidRDefault="004C0F14">
      <w:pPr>
        <w:pStyle w:val="FootnoteText"/>
      </w:pPr>
      <w:r>
        <w:rPr>
          <w:rStyle w:val="FootnoteReference"/>
        </w:rPr>
        <w:footnoteRef/>
      </w:r>
      <w:r>
        <w:t xml:space="preserve"> Co</w:t>
      </w:r>
      <w:r w:rsidR="003761CC">
        <w:t>mmittee</w:t>
      </w:r>
      <w:r>
        <w:t xml:space="preserve"> on the Elimination of All Forms of Discrimination against Women, </w:t>
      </w:r>
      <w:r>
        <w:rPr>
          <w:i/>
          <w:iCs/>
        </w:rPr>
        <w:t xml:space="preserve">List of issues and questions in relation to the combined seventh to tenth periodic reports of Nicaragua, </w:t>
      </w:r>
      <w:r>
        <w:t>(11 March 2020), U.N. Doc. CEDAW/C/NIC/Q/7-10, ¶9.</w:t>
      </w:r>
    </w:p>
  </w:footnote>
  <w:footnote w:id="4">
    <w:p w14:paraId="0FD5B998" w14:textId="78CCDD1B" w:rsidR="00095F0E" w:rsidRDefault="00095F0E">
      <w:pPr>
        <w:pStyle w:val="FootnoteText"/>
      </w:pPr>
      <w:r>
        <w:rPr>
          <w:rStyle w:val="FootnoteReference"/>
        </w:rPr>
        <w:footnoteRef/>
      </w:r>
      <w:r>
        <w:t xml:space="preserve"> Committee on the Elimination of All Forms of Discrimination Against Women, </w:t>
      </w:r>
      <w:proofErr w:type="gramStart"/>
      <w:r>
        <w:rPr>
          <w:i/>
          <w:iCs/>
        </w:rPr>
        <w:t>Combined</w:t>
      </w:r>
      <w:proofErr w:type="gramEnd"/>
      <w:r>
        <w:rPr>
          <w:i/>
          <w:iCs/>
        </w:rPr>
        <w:t xml:space="preserve"> seventh to tenth periodic reports submitted by Nicaragua under article 18 of the Convention, due in 2010, </w:t>
      </w:r>
      <w:r>
        <w:t>(8 January 2020), U.N. Doc. CEDAW/C/NIC/7-10. ¶65.</w:t>
      </w:r>
    </w:p>
  </w:footnote>
  <w:footnote w:id="5">
    <w:p w14:paraId="6B0ED068" w14:textId="600D2C78" w:rsidR="00095F0E" w:rsidRDefault="00095F0E">
      <w:pPr>
        <w:pStyle w:val="FootnoteText"/>
      </w:pPr>
      <w:r>
        <w:rPr>
          <w:rStyle w:val="FootnoteReference"/>
        </w:rPr>
        <w:footnoteRef/>
      </w:r>
      <w:r>
        <w:t xml:space="preserve"> Committee on the Elimination of All Forms of Discrimination Against Women, </w:t>
      </w:r>
      <w:proofErr w:type="gramStart"/>
      <w:r>
        <w:rPr>
          <w:i/>
          <w:iCs/>
        </w:rPr>
        <w:t>Combined</w:t>
      </w:r>
      <w:proofErr w:type="gramEnd"/>
      <w:r>
        <w:rPr>
          <w:i/>
          <w:iCs/>
        </w:rPr>
        <w:t xml:space="preserve"> seventh to tenth periodic reports submitted by Nicaragua under article 18 of the Convention, due in 2010, </w:t>
      </w:r>
      <w:r>
        <w:t>(8 January 2020), U.N. Doc. CEDAW/C/NIC/7-10. ¶68.</w:t>
      </w:r>
    </w:p>
  </w:footnote>
  <w:footnote w:id="6">
    <w:p w14:paraId="30226CCB" w14:textId="77777777" w:rsidR="004C0F14" w:rsidRPr="00670DD1" w:rsidRDefault="004C0F14" w:rsidP="004C0F14">
      <w:pPr>
        <w:pStyle w:val="FootnoteText"/>
        <w:jc w:val="both"/>
      </w:pPr>
      <w:r w:rsidRPr="00670DD1">
        <w:rPr>
          <w:rStyle w:val="FootnoteReference"/>
        </w:rPr>
        <w:footnoteRef/>
      </w:r>
      <w:r w:rsidRPr="00670DD1">
        <w:t xml:space="preserve"> </w:t>
      </w:r>
      <w:bookmarkStart w:id="0" w:name="_Hlk30690677"/>
      <w:r w:rsidRPr="00670DD1">
        <w:t>Interviews conducted by The Advocates (2015-2019)</w:t>
      </w:r>
      <w:bookmarkEnd w:id="0"/>
      <w:r w:rsidRPr="00670DD1">
        <w:t>.</w:t>
      </w:r>
    </w:p>
  </w:footnote>
  <w:footnote w:id="7">
    <w:p w14:paraId="33B4797E" w14:textId="77777777" w:rsidR="004C0F14" w:rsidRPr="00670DD1" w:rsidRDefault="004C0F14" w:rsidP="004C0F14">
      <w:pPr>
        <w:pStyle w:val="FootnoteText"/>
        <w:jc w:val="both"/>
      </w:pPr>
      <w:r w:rsidRPr="00670DD1">
        <w:rPr>
          <w:rStyle w:val="FootnoteReference"/>
        </w:rPr>
        <w:footnoteRef/>
      </w:r>
      <w:r>
        <w:rPr>
          <w:rFonts w:eastAsia="Times New Roman"/>
          <w:kern w:val="0"/>
          <w:lang w:eastAsia="zh-CN"/>
        </w:rPr>
        <w:t xml:space="preserve"> </w:t>
      </w:r>
      <w:r w:rsidRPr="00670DD1">
        <w:rPr>
          <w:rFonts w:eastAsia="Times New Roman"/>
          <w:kern w:val="0"/>
          <w:lang w:eastAsia="zh-CN"/>
        </w:rPr>
        <w:t>Interviews conducted by The Advocates (2015-2019).</w:t>
      </w:r>
    </w:p>
  </w:footnote>
  <w:footnote w:id="8">
    <w:p w14:paraId="2DA5B722" w14:textId="77777777" w:rsidR="004C0F14" w:rsidRPr="00670DD1" w:rsidRDefault="004C0F14" w:rsidP="004C0F14">
      <w:pPr>
        <w:pStyle w:val="FootnoteText"/>
        <w:jc w:val="both"/>
      </w:pPr>
      <w:r w:rsidRPr="00670DD1">
        <w:rPr>
          <w:rStyle w:val="FootnoteReference"/>
        </w:rPr>
        <w:footnoteRef/>
      </w:r>
      <w:bookmarkStart w:id="1" w:name="_Hlk30672590"/>
      <w:r>
        <w:rPr>
          <w:rFonts w:eastAsia="Times New Roman"/>
          <w:kern w:val="0"/>
          <w:lang w:eastAsia="zh-CN"/>
        </w:rPr>
        <w:t xml:space="preserve"> </w:t>
      </w:r>
      <w:r w:rsidRPr="00670DD1">
        <w:rPr>
          <w:rFonts w:eastAsia="Times New Roman"/>
          <w:kern w:val="0"/>
          <w:lang w:eastAsia="zh-CN"/>
        </w:rPr>
        <w:t>Interviews conducted by The Advocates (2015-2019)</w:t>
      </w:r>
      <w:bookmarkEnd w:id="1"/>
      <w:r w:rsidRPr="00670DD1">
        <w:rPr>
          <w:rFonts w:eastAsia="Times New Roman"/>
          <w:kern w:val="0"/>
          <w:lang w:eastAsia="zh-CN"/>
        </w:rPr>
        <w:t>.</w:t>
      </w:r>
    </w:p>
  </w:footnote>
  <w:footnote w:id="9">
    <w:p w14:paraId="496F5D75" w14:textId="77777777" w:rsidR="004C0F14" w:rsidRPr="00670DD1" w:rsidRDefault="004C0F14" w:rsidP="004C0F14">
      <w:pPr>
        <w:pStyle w:val="FootnoteText"/>
        <w:jc w:val="both"/>
      </w:pPr>
      <w:r w:rsidRPr="00670DD1">
        <w:rPr>
          <w:rStyle w:val="FootnoteReference"/>
        </w:rPr>
        <w:footnoteRef/>
      </w:r>
      <w:r>
        <w:t xml:space="preserve"> </w:t>
      </w:r>
      <w:r w:rsidRPr="00670DD1">
        <w:t xml:space="preserve">Plan International, </w:t>
      </w:r>
      <w:r w:rsidRPr="00670DD1">
        <w:rPr>
          <w:i/>
          <w:iCs/>
        </w:rPr>
        <w:t xml:space="preserve">Counting the Invisible: Girls’ Rights and Realities, </w:t>
      </w:r>
      <w:r w:rsidRPr="00670DD1">
        <w:t>by Jean Casey and Linda Campbell</w:t>
      </w:r>
      <w:r w:rsidRPr="00670DD1">
        <w:rPr>
          <w:i/>
          <w:iCs/>
        </w:rPr>
        <w:t xml:space="preserve"> </w:t>
      </w:r>
      <w:r w:rsidRPr="00670DD1">
        <w:t xml:space="preserve">(February 2017), 64. Available at </w:t>
      </w:r>
      <w:hyperlink r:id="rId1" w:history="1">
        <w:r w:rsidRPr="00670DD1">
          <w:rPr>
            <w:rStyle w:val="Hyperlink"/>
            <w:color w:val="000000"/>
            <w:u w:val="none"/>
          </w:rPr>
          <w:t>file:///C:/Users/elacy/Downloads/countingtheinvisible_nicaragua.pdf</w:t>
        </w:r>
      </w:hyperlink>
      <w:r w:rsidRPr="00670DD1">
        <w:t>.</w:t>
      </w:r>
    </w:p>
  </w:footnote>
  <w:footnote w:id="10">
    <w:p w14:paraId="50611DA1" w14:textId="77777777" w:rsidR="004C0F14" w:rsidRPr="00670DD1" w:rsidRDefault="004C0F14" w:rsidP="004C0F14">
      <w:pPr>
        <w:pStyle w:val="FootnoteText"/>
        <w:jc w:val="both"/>
      </w:pPr>
      <w:r w:rsidRPr="00670DD1">
        <w:rPr>
          <w:rStyle w:val="FootnoteReference"/>
        </w:rPr>
        <w:footnoteRef/>
      </w:r>
      <w:r>
        <w:rPr>
          <w:rFonts w:eastAsia="Times New Roman"/>
          <w:kern w:val="0"/>
          <w:lang w:eastAsia="zh-CN"/>
        </w:rPr>
        <w:t xml:space="preserve"> </w:t>
      </w:r>
      <w:r w:rsidRPr="00670DD1">
        <w:rPr>
          <w:rFonts w:eastAsia="Times New Roman"/>
          <w:kern w:val="0"/>
          <w:lang w:eastAsia="zh-CN"/>
        </w:rPr>
        <w:t>Interviews conducted by The Advocates (2015-2019).</w:t>
      </w:r>
    </w:p>
  </w:footnote>
  <w:footnote w:id="11">
    <w:p w14:paraId="02052274" w14:textId="77777777" w:rsidR="00340CF9" w:rsidRPr="00340CF9" w:rsidRDefault="00340CF9">
      <w:pPr>
        <w:pStyle w:val="FootnoteText"/>
      </w:pPr>
      <w:r>
        <w:rPr>
          <w:rStyle w:val="FootnoteReference"/>
        </w:rPr>
        <w:footnoteRef/>
      </w:r>
      <w:r>
        <w:t xml:space="preserve"> Convention on the Elimination of All Forms of Discrimination against Women, </w:t>
      </w:r>
      <w:r>
        <w:rPr>
          <w:i/>
          <w:iCs/>
        </w:rPr>
        <w:t xml:space="preserve">List of issues and questions in relation to the combined seventh to tenth periodic reports of Nicaragua, </w:t>
      </w:r>
      <w:r>
        <w:t>(11 March 2020), U.N. Doc. CEDAW/C/NIC/Q/7-10, ¶¶10-11.</w:t>
      </w:r>
    </w:p>
  </w:footnote>
  <w:footnote w:id="12">
    <w:p w14:paraId="49F64716" w14:textId="666EC8A5" w:rsidR="00E22295" w:rsidRDefault="00E22295">
      <w:pPr>
        <w:pStyle w:val="FootnoteText"/>
      </w:pPr>
      <w:r>
        <w:rPr>
          <w:rStyle w:val="FootnoteReference"/>
        </w:rPr>
        <w:footnoteRef/>
      </w:r>
      <w:r>
        <w:t xml:space="preserve"> Committee on the Elimination of All Forms of Discrimination Against Women, </w:t>
      </w:r>
      <w:proofErr w:type="gramStart"/>
      <w:r>
        <w:rPr>
          <w:i/>
          <w:iCs/>
        </w:rPr>
        <w:t>Combined</w:t>
      </w:r>
      <w:proofErr w:type="gramEnd"/>
      <w:r>
        <w:rPr>
          <w:i/>
          <w:iCs/>
        </w:rPr>
        <w:t xml:space="preserve"> seventh to tenth periodic reports submitted by Nicaragua under article 18 of the Convention, due in 2010, </w:t>
      </w:r>
      <w:r>
        <w:t>(8 January 2020), U.N. Doc. CEDAW/C/NIC/7-10. ¶187.</w:t>
      </w:r>
    </w:p>
  </w:footnote>
  <w:footnote w:id="13">
    <w:p w14:paraId="19DDE34A" w14:textId="3B412F7A" w:rsidR="00E22295" w:rsidRPr="00E22295" w:rsidRDefault="00E22295">
      <w:pPr>
        <w:pStyle w:val="FootnoteText"/>
      </w:pPr>
      <w:r>
        <w:rPr>
          <w:rStyle w:val="FootnoteReference"/>
        </w:rPr>
        <w:footnoteRef/>
      </w:r>
      <w:r>
        <w:t xml:space="preserve"> Committee on the Elimination of All Forms of Discrimination Against Women, </w:t>
      </w:r>
      <w:proofErr w:type="gramStart"/>
      <w:r>
        <w:rPr>
          <w:i/>
          <w:iCs/>
        </w:rPr>
        <w:t>Combined</w:t>
      </w:r>
      <w:proofErr w:type="gramEnd"/>
      <w:r>
        <w:rPr>
          <w:i/>
          <w:iCs/>
        </w:rPr>
        <w:t xml:space="preserve"> seventh to tenth periodic reports submitted by Nicaragua under article 18 of the Convention, due in 2010, </w:t>
      </w:r>
      <w:r>
        <w:t>(8 January 2020), U.N. Doc. CEDAW/C/NIC/7-10. ¶189.</w:t>
      </w:r>
    </w:p>
  </w:footnote>
  <w:footnote w:id="14">
    <w:p w14:paraId="280D37B2" w14:textId="77777777" w:rsidR="0010077B" w:rsidRPr="00670DD1" w:rsidRDefault="0010077B" w:rsidP="00B96360">
      <w:pPr>
        <w:pStyle w:val="FootnoteText"/>
        <w:jc w:val="both"/>
      </w:pPr>
      <w:r w:rsidRPr="00670DD1">
        <w:rPr>
          <w:rStyle w:val="FootnoteReference"/>
        </w:rPr>
        <w:footnoteRef/>
      </w:r>
      <w:r w:rsidRPr="00670DD1">
        <w:t xml:space="preserve"> Pamela Neuman, </w:t>
      </w:r>
      <w:r w:rsidRPr="00670DD1">
        <w:rPr>
          <w:i/>
        </w:rPr>
        <w:t>In Nicaragua, a Failure to Address Violence Against Women</w:t>
      </w:r>
      <w:r w:rsidRPr="00670DD1">
        <w:t>, North America Congress on Latin America, 28 Apr</w:t>
      </w:r>
      <w:r w:rsidR="000534A5">
        <w:t>.</w:t>
      </w:r>
      <w:r w:rsidRPr="00670DD1">
        <w:t xml:space="preserve"> 2017, </w:t>
      </w:r>
      <w:hyperlink r:id="rId2" w:history="1">
        <w:r w:rsidRPr="00670DD1">
          <w:rPr>
            <w:rStyle w:val="Hyperlink"/>
            <w:rFonts w:eastAsia="Times New Roman"/>
            <w:color w:val="000000"/>
            <w:u w:val="none"/>
          </w:rPr>
          <w:t>https://nacla.org/news/2017/04/28/nicaragua-failure-address-violence-against-women</w:t>
        </w:r>
      </w:hyperlink>
      <w:r w:rsidRPr="00670DD1">
        <w:rPr>
          <w:rFonts w:eastAsia="Times New Roman"/>
        </w:rPr>
        <w:t>.</w:t>
      </w:r>
    </w:p>
  </w:footnote>
  <w:footnote w:id="15">
    <w:p w14:paraId="1E1E6D2A" w14:textId="77777777" w:rsidR="00A160A5" w:rsidRDefault="006945AE" w:rsidP="00617901">
      <w:pPr>
        <w:pStyle w:val="FootnoteText"/>
        <w:jc w:val="both"/>
      </w:pPr>
      <w:r w:rsidRPr="00670DD1">
        <w:rPr>
          <w:rStyle w:val="FootnoteReference"/>
        </w:rPr>
        <w:footnoteRef/>
      </w:r>
      <w:r w:rsidRPr="00670DD1">
        <w:t xml:space="preserve"> </w:t>
      </w:r>
      <w:r w:rsidR="00340467" w:rsidRPr="00670DD1">
        <w:t xml:space="preserve">Government of Reconciliation and National Unity, </w:t>
      </w:r>
      <w:proofErr w:type="spellStart"/>
      <w:r w:rsidR="00340467" w:rsidRPr="00670DD1">
        <w:rPr>
          <w:i/>
          <w:iCs/>
        </w:rPr>
        <w:t>Mapa</w:t>
      </w:r>
      <w:proofErr w:type="spellEnd"/>
      <w:r w:rsidR="00340467" w:rsidRPr="00670DD1">
        <w:rPr>
          <w:i/>
          <w:iCs/>
        </w:rPr>
        <w:t xml:space="preserve"> de </w:t>
      </w:r>
      <w:proofErr w:type="spellStart"/>
      <w:r w:rsidR="00340467" w:rsidRPr="00670DD1">
        <w:rPr>
          <w:i/>
          <w:iCs/>
        </w:rPr>
        <w:t>Violencia</w:t>
      </w:r>
      <w:proofErr w:type="spellEnd"/>
      <w:r w:rsidR="00340467" w:rsidRPr="00670DD1">
        <w:rPr>
          <w:i/>
          <w:iCs/>
        </w:rPr>
        <w:t xml:space="preserve"> Contra la </w:t>
      </w:r>
      <w:proofErr w:type="spellStart"/>
      <w:r w:rsidR="00340467" w:rsidRPr="00670DD1">
        <w:rPr>
          <w:i/>
          <w:iCs/>
        </w:rPr>
        <w:t>Mujer</w:t>
      </w:r>
      <w:proofErr w:type="spellEnd"/>
      <w:r w:rsidR="00340467" w:rsidRPr="00670DD1">
        <w:rPr>
          <w:i/>
          <w:iCs/>
        </w:rPr>
        <w:t xml:space="preserve"> </w:t>
      </w:r>
      <w:proofErr w:type="spellStart"/>
      <w:r w:rsidR="00340467" w:rsidRPr="00670DD1">
        <w:rPr>
          <w:i/>
          <w:iCs/>
        </w:rPr>
        <w:t>en</w:t>
      </w:r>
      <w:proofErr w:type="spellEnd"/>
      <w:r w:rsidR="00340467" w:rsidRPr="00670DD1">
        <w:rPr>
          <w:i/>
          <w:iCs/>
        </w:rPr>
        <w:t xml:space="preserve"> Nicaragua 2016-17</w:t>
      </w:r>
      <w:r w:rsidR="00340467" w:rsidRPr="00670DD1">
        <w:t xml:space="preserve"> (21 March 2018), 2-4</w:t>
      </w:r>
      <w:r w:rsidR="000534A5">
        <w:t>,</w:t>
      </w:r>
      <w:r w:rsidR="00A160A5">
        <w:t xml:space="preserve"> </w:t>
      </w:r>
    </w:p>
    <w:p w14:paraId="104E96A6" w14:textId="77777777" w:rsidR="006945AE" w:rsidRPr="0021762A" w:rsidRDefault="00DE373F" w:rsidP="00617901">
      <w:pPr>
        <w:pStyle w:val="FootnoteText"/>
        <w:jc w:val="both"/>
      </w:pPr>
      <w:hyperlink r:id="rId3" w:history="1">
        <w:r w:rsidR="00A160A5" w:rsidRPr="001B1899">
          <w:rPr>
            <w:rStyle w:val="Hyperlink"/>
          </w:rPr>
          <w:t>https://www.el19digital.com/app/webroot/tinymce/source/2018/​​00-Marzo/Del19al25deMarzo/Lunes19Mar/Mapa%20Violencia%20Contra%20las%20Mujeres%20-.%20Municipios%20%20Completos.%20ACTUALIZADO.pdf</w:t>
        </w:r>
      </w:hyperlink>
      <w:r w:rsidR="000534A5" w:rsidRPr="00D8620D">
        <w:t>.</w:t>
      </w:r>
      <w:r w:rsidR="000534A5" w:rsidRPr="0021762A">
        <w:t xml:space="preserve"> </w:t>
      </w:r>
    </w:p>
  </w:footnote>
  <w:footnote w:id="16">
    <w:p w14:paraId="31F62AD8" w14:textId="77777777" w:rsidR="006945AE" w:rsidRPr="00670DD1" w:rsidRDefault="006945AE" w:rsidP="00B96360">
      <w:pPr>
        <w:pStyle w:val="FootnoteText"/>
        <w:jc w:val="both"/>
      </w:pPr>
      <w:r w:rsidRPr="00670DD1">
        <w:rPr>
          <w:rStyle w:val="FootnoteReference"/>
        </w:rPr>
        <w:footnoteRef/>
      </w:r>
      <w:r w:rsidR="00340467" w:rsidRPr="00670DD1">
        <w:t xml:space="preserve"> </w:t>
      </w:r>
      <w:bookmarkStart w:id="2" w:name="_Hlk30749806"/>
      <w:r w:rsidR="00340467" w:rsidRPr="00670DD1">
        <w:t xml:space="preserve">Plan International, </w:t>
      </w:r>
      <w:r w:rsidR="00340467" w:rsidRPr="00670DD1">
        <w:rPr>
          <w:i/>
          <w:iCs/>
        </w:rPr>
        <w:t>Counting the Invisible: Girls’ Rights and Realities</w:t>
      </w:r>
      <w:r w:rsidR="005A5FC3" w:rsidRPr="00670DD1">
        <w:rPr>
          <w:i/>
          <w:iCs/>
        </w:rPr>
        <w:t xml:space="preserve">, </w:t>
      </w:r>
      <w:r w:rsidR="005A5FC3" w:rsidRPr="00670DD1">
        <w:t>by Jean Casey and Linda Campbell</w:t>
      </w:r>
      <w:r w:rsidR="00340467" w:rsidRPr="00670DD1">
        <w:rPr>
          <w:i/>
          <w:iCs/>
        </w:rPr>
        <w:t xml:space="preserve"> </w:t>
      </w:r>
      <w:r w:rsidR="00340467" w:rsidRPr="00670DD1">
        <w:t>(</w:t>
      </w:r>
      <w:r w:rsidR="005A5FC3" w:rsidRPr="00670DD1">
        <w:t>2017), 62</w:t>
      </w:r>
      <w:r w:rsidR="000534A5">
        <w:t xml:space="preserve">, </w:t>
      </w:r>
      <w:hyperlink r:id="rId4" w:history="1">
        <w:r w:rsidR="005A5FC3" w:rsidRPr="00670DD1">
          <w:rPr>
            <w:rStyle w:val="Hyperlink"/>
            <w:color w:val="000000"/>
            <w:u w:val="none"/>
          </w:rPr>
          <w:t>file:///C:/Users/elacy/Downloads/countingtheinvisible_nicaragua.pdf</w:t>
        </w:r>
      </w:hyperlink>
      <w:r w:rsidR="000534A5">
        <w:t xml:space="preserve">. </w:t>
      </w:r>
      <w:r w:rsidR="005A5FC3" w:rsidRPr="00670DD1">
        <w:t xml:space="preserve"> </w:t>
      </w:r>
      <w:bookmarkEnd w:id="2"/>
    </w:p>
  </w:footnote>
  <w:footnote w:id="17">
    <w:p w14:paraId="4BD67C11" w14:textId="77777777" w:rsidR="0093514D" w:rsidRPr="00670DD1" w:rsidRDefault="0093514D" w:rsidP="00B96360">
      <w:pPr>
        <w:pStyle w:val="FootnoteText"/>
        <w:jc w:val="both"/>
      </w:pPr>
      <w:r w:rsidRPr="00670DD1">
        <w:rPr>
          <w:rStyle w:val="FootnoteReference"/>
        </w:rPr>
        <w:footnoteRef/>
      </w:r>
      <w:r w:rsidR="005A5FC3" w:rsidRPr="00670DD1">
        <w:t xml:space="preserve"> D’Amico, </w:t>
      </w:r>
      <w:r w:rsidRPr="00670DD1">
        <w:t xml:space="preserve">Mara, </w:t>
      </w:r>
      <w:r w:rsidRPr="00670DD1">
        <w:rPr>
          <w:i/>
        </w:rPr>
        <w:t>Law 779: Addressing Violence Against Women in Nicaragua</w:t>
      </w:r>
      <w:r w:rsidRPr="00670DD1">
        <w:t>, The Arkansas Journal of Social Change and Public Service, 2014</w:t>
      </w:r>
      <w:r w:rsidR="005A5FC3" w:rsidRPr="00670DD1">
        <w:t xml:space="preserve">. </w:t>
      </w:r>
    </w:p>
  </w:footnote>
  <w:footnote w:id="18">
    <w:p w14:paraId="7E628754" w14:textId="77777777" w:rsidR="00682BE2" w:rsidRDefault="00682BE2">
      <w:pPr>
        <w:pStyle w:val="FootnoteText"/>
      </w:pPr>
      <w:r>
        <w:rPr>
          <w:rStyle w:val="FootnoteReference"/>
        </w:rPr>
        <w:footnoteRef/>
      </w:r>
      <w:r>
        <w:t xml:space="preserve"> Pamela J. Neumann, “Transnational Governance, Local Politics, and Gender Violence in Nicaragua,” </w:t>
      </w:r>
      <w:r>
        <w:rPr>
          <w:i/>
          <w:iCs/>
        </w:rPr>
        <w:t xml:space="preserve">Latin American Politics and Society, </w:t>
      </w:r>
      <w:r>
        <w:t xml:space="preserve">17 Apr., 2018, 73, </w:t>
      </w:r>
      <w:hyperlink r:id="rId5" w:history="1">
        <w:r w:rsidRPr="0021762A">
          <w:t>https://www.cambridge.org/core/services/aop-cambridge-core/content/view/C2F90E9F19DF6E1C5BD7E27F58EA0930/S1531426X18000067a.pdf/transnational_governance_local_politics_and_gender_violence_law_in_nicaragua.pdf</w:t>
        </w:r>
      </w:hyperlink>
      <w:r w:rsidRPr="0021762A">
        <w:t>.</w:t>
      </w:r>
    </w:p>
  </w:footnote>
  <w:footnote w:id="19">
    <w:p w14:paraId="24EEA04C" w14:textId="77777777" w:rsidR="006E7776" w:rsidRDefault="006E7776">
      <w:pPr>
        <w:pStyle w:val="FootnoteText"/>
      </w:pPr>
      <w:r>
        <w:rPr>
          <w:rStyle w:val="FootnoteReference"/>
        </w:rPr>
        <w:footnoteRef/>
      </w:r>
      <w:r w:rsidR="000534A5">
        <w:t xml:space="preserve"> </w:t>
      </w:r>
      <w:bookmarkStart w:id="3" w:name="_Hlk31202967"/>
      <w:r w:rsidR="000534A5">
        <w:t xml:space="preserve">Pamela J. Neumann, </w:t>
      </w:r>
      <w:r w:rsidR="00012730">
        <w:t xml:space="preserve">“Transnational Governance, Local Politics, and Gender Violence in Nicaragua,” </w:t>
      </w:r>
      <w:r w:rsidR="00012730">
        <w:rPr>
          <w:i/>
          <w:iCs/>
        </w:rPr>
        <w:t xml:space="preserve">Latin American Politics and Society, </w:t>
      </w:r>
      <w:r w:rsidR="00012730">
        <w:t>17 Apr., 2018, 73,</w:t>
      </w:r>
      <w:r>
        <w:t xml:space="preserve"> </w:t>
      </w:r>
      <w:hyperlink r:id="rId6" w:history="1">
        <w:r w:rsidRPr="0021762A">
          <w:t>https://www.cambridge.org/core/services/aop-cambridge-core/content/view/C2F90E9F19DF6E1C5BD7E27F58EA0930/S1531426X18000067a.pdf/transnational_governance_local_politics_and_gender_violence_law_in_nicaragua.pdf</w:t>
        </w:r>
      </w:hyperlink>
      <w:r w:rsidR="00012730" w:rsidRPr="0021762A">
        <w:t xml:space="preserve">. </w:t>
      </w:r>
      <w:bookmarkEnd w:id="3"/>
    </w:p>
  </w:footnote>
  <w:footnote w:id="20">
    <w:p w14:paraId="718843F8" w14:textId="77777777" w:rsidR="006E7776" w:rsidRDefault="006E7776">
      <w:pPr>
        <w:pStyle w:val="FootnoteText"/>
      </w:pPr>
      <w:r>
        <w:rPr>
          <w:rStyle w:val="FootnoteReference"/>
        </w:rPr>
        <w:footnoteRef/>
      </w:r>
      <w:r w:rsidR="00012730">
        <w:t xml:space="preserve"> Pamela J. Neumann, “Transnational Governance, Local Politics, and Gender Violence in Nicaragua,” </w:t>
      </w:r>
      <w:r w:rsidR="00012730">
        <w:rPr>
          <w:i/>
          <w:iCs/>
        </w:rPr>
        <w:t xml:space="preserve">Latin American Politics and Society, </w:t>
      </w:r>
      <w:r w:rsidR="00012730">
        <w:t xml:space="preserve">17 Apr., 2018, 74, </w:t>
      </w:r>
      <w:hyperlink r:id="rId7" w:history="1">
        <w:r w:rsidR="00012730" w:rsidRPr="00012730">
          <w:t>https://www.cambridge.org/core/services/aop-cambridge-core/content/view/C2F90E9F19DF6E1C5BD7E27F58EA0930/S1531426X18000067a.pdf/transnational_governance_local_politics_and_gender_violence_law_in_nicaragua.pdf</w:t>
        </w:r>
      </w:hyperlink>
      <w:r w:rsidR="00012730" w:rsidRPr="00012730">
        <w:t>.</w:t>
      </w:r>
    </w:p>
  </w:footnote>
  <w:footnote w:id="21">
    <w:p w14:paraId="13A4826C" w14:textId="77777777" w:rsidR="005E67E8" w:rsidRPr="00670DD1" w:rsidRDefault="005E67E8" w:rsidP="005E67E8">
      <w:pPr>
        <w:pStyle w:val="FootnoteText"/>
        <w:jc w:val="both"/>
      </w:pPr>
      <w:r w:rsidRPr="00670DD1">
        <w:rPr>
          <w:rStyle w:val="FootnoteReference"/>
        </w:rPr>
        <w:footnoteRef/>
      </w:r>
      <w:r w:rsidRPr="00670DD1">
        <w:t xml:space="preserve"> Press release, UN Watch, Defend the Rights of victims in Nicaragua (19 </w:t>
      </w:r>
      <w:proofErr w:type="gramStart"/>
      <w:r w:rsidRPr="00670DD1">
        <w:t>Sept</w:t>
      </w:r>
      <w:r w:rsidR="00012730">
        <w:t>.</w:t>
      </w:r>
      <w:r w:rsidRPr="00670DD1">
        <w:t>,</w:t>
      </w:r>
      <w:proofErr w:type="gramEnd"/>
      <w:r w:rsidR="008B752E">
        <w:t xml:space="preserve"> </w:t>
      </w:r>
      <w:r w:rsidRPr="00670DD1">
        <w:t>2014)</w:t>
      </w:r>
      <w:r w:rsidR="008B752E">
        <w:t xml:space="preserve">, </w:t>
      </w:r>
      <w:hyperlink r:id="rId8" w:history="1">
        <w:r w:rsidRPr="00670DD1">
          <w:rPr>
            <w:rStyle w:val="Hyperlink"/>
            <w:color w:val="000000"/>
            <w:u w:val="none"/>
          </w:rPr>
          <w:t>https://unwatch.org/defend-the-rights-of-victims-in-nicaragua/</w:t>
        </w:r>
      </w:hyperlink>
      <w:r w:rsidR="008B752E">
        <w:t>.</w:t>
      </w:r>
    </w:p>
  </w:footnote>
  <w:footnote w:id="22">
    <w:p w14:paraId="292C307E" w14:textId="77777777" w:rsidR="006C4C10" w:rsidRDefault="006C4C10">
      <w:pPr>
        <w:pStyle w:val="FootnoteText"/>
      </w:pPr>
      <w:r>
        <w:rPr>
          <w:rStyle w:val="FootnoteReference"/>
        </w:rPr>
        <w:footnoteRef/>
      </w:r>
      <w:r w:rsidR="007D5069">
        <w:t xml:space="preserve"> The Advocates for Human Rights, Stop Violence Against Women, “Mediation,” accessed February 3</w:t>
      </w:r>
      <w:r w:rsidR="007D5069" w:rsidRPr="007D5069">
        <w:rPr>
          <w:vertAlign w:val="superscript"/>
        </w:rPr>
        <w:t>rd</w:t>
      </w:r>
      <w:r w:rsidR="007D5069">
        <w:t xml:space="preserve">, </w:t>
      </w:r>
      <w:proofErr w:type="gramStart"/>
      <w:r w:rsidR="007D5069">
        <w:t xml:space="preserve">2020, </w:t>
      </w:r>
      <w:r>
        <w:t xml:space="preserve"> </w:t>
      </w:r>
      <w:r w:rsidR="007D5069" w:rsidRPr="007D5069">
        <w:t>http://www.stopvaw.org/mediation</w:t>
      </w:r>
      <w:proofErr w:type="gramEnd"/>
      <w:r w:rsidR="007D5069" w:rsidRPr="007D5069">
        <w:t>\</w:t>
      </w:r>
      <w:r w:rsidR="007D5069">
        <w:t>.</w:t>
      </w:r>
    </w:p>
  </w:footnote>
  <w:footnote w:id="23">
    <w:p w14:paraId="1F4D21A6" w14:textId="77777777" w:rsidR="005E67E8" w:rsidRPr="008C0FA0" w:rsidRDefault="005E67E8" w:rsidP="005E67E8">
      <w:pPr>
        <w:pStyle w:val="FootnoteText"/>
        <w:jc w:val="both"/>
        <w:rPr>
          <w:color w:val="auto"/>
        </w:rPr>
      </w:pPr>
      <w:r w:rsidRPr="008C0FA0">
        <w:rPr>
          <w:rStyle w:val="FootnoteReference"/>
        </w:rPr>
        <w:footnoteRef/>
      </w:r>
      <w:r w:rsidR="00A160A5" w:rsidRPr="008C0FA0">
        <w:t xml:space="preserve"> </w:t>
      </w:r>
      <w:r w:rsidRPr="008C0FA0">
        <w:t xml:space="preserve">Sara Van </w:t>
      </w:r>
      <w:r w:rsidRPr="008C0FA0">
        <w:rPr>
          <w:color w:val="auto"/>
        </w:rPr>
        <w:t xml:space="preserve">Note, </w:t>
      </w:r>
      <w:r w:rsidRPr="008C0FA0">
        <w:rPr>
          <w:i/>
          <w:color w:val="auto"/>
        </w:rPr>
        <w:t>The promise of justice is receding, Nicaraguan women say</w:t>
      </w:r>
      <w:r w:rsidRPr="008C0FA0">
        <w:rPr>
          <w:color w:val="auto"/>
        </w:rPr>
        <w:t xml:space="preserve">, Public Radio International, 10 Sep, 2015, </w:t>
      </w:r>
      <w:hyperlink r:id="rId9" w:history="1">
        <w:r w:rsidR="007D5069" w:rsidRPr="008C0FA0">
          <w:rPr>
            <w:rStyle w:val="Hyperlink"/>
            <w:rFonts w:eastAsia="Times New Roman"/>
            <w:color w:val="auto"/>
            <w:u w:val="none"/>
          </w:rPr>
          <w:t>https://www.pri.org/stories/2015-09-10/promise-justice-receding-nicaraguan-women-say</w:t>
        </w:r>
      </w:hyperlink>
      <w:r w:rsidRPr="008C0FA0">
        <w:rPr>
          <w:color w:val="auto"/>
        </w:rPr>
        <w:t xml:space="preserve">. </w:t>
      </w:r>
    </w:p>
  </w:footnote>
  <w:footnote w:id="24">
    <w:p w14:paraId="6D10A8E8" w14:textId="77777777" w:rsidR="00012730" w:rsidRDefault="00012730">
      <w:pPr>
        <w:pStyle w:val="FootnoteText"/>
      </w:pPr>
      <w:r>
        <w:rPr>
          <w:rStyle w:val="FootnoteReference"/>
        </w:rPr>
        <w:footnoteRef/>
      </w:r>
      <w:r>
        <w:t xml:space="preserve"> Pamela J. Neumann, “Transnational Governance, Local Politics, and Gender Violence in Nicaragua,” </w:t>
      </w:r>
      <w:r>
        <w:rPr>
          <w:i/>
          <w:iCs/>
        </w:rPr>
        <w:t xml:space="preserve">Latin American Politics and Society, </w:t>
      </w:r>
      <w:r>
        <w:t xml:space="preserve">17 Apr., 2018, 68, </w:t>
      </w:r>
      <w:hyperlink r:id="rId10" w:history="1">
        <w:r w:rsidRPr="00012730">
          <w:t>https://www.cambridge.org/core/services/aop-cambridge-core/content/view/C2F90E9F19DF6E1C5BD7E27F58EA0930/S1531426X18000067a.pdf/transnational_governance_local_politics_and_gender_violence_law_in_nicaragua.pdf</w:t>
        </w:r>
      </w:hyperlink>
      <w:r w:rsidRPr="00012730">
        <w:t>.</w:t>
      </w:r>
    </w:p>
  </w:footnote>
  <w:footnote w:id="25">
    <w:p w14:paraId="332CB0B0" w14:textId="77777777" w:rsidR="000E7252" w:rsidRPr="00670DD1" w:rsidRDefault="000E7252" w:rsidP="00B96360">
      <w:pPr>
        <w:pStyle w:val="FootnoteText"/>
        <w:jc w:val="both"/>
      </w:pPr>
      <w:r w:rsidRPr="00670DD1">
        <w:rPr>
          <w:rStyle w:val="FootnoteReference"/>
        </w:rPr>
        <w:footnoteRef/>
      </w:r>
      <w:r w:rsidRPr="00670DD1">
        <w:t xml:space="preserve"> Pamela Neuman, </w:t>
      </w:r>
      <w:r w:rsidRPr="00670DD1">
        <w:rPr>
          <w:i/>
        </w:rPr>
        <w:t>In Nicaragua, a Failure to Address Violence Against Women</w:t>
      </w:r>
      <w:r w:rsidRPr="00670DD1">
        <w:t xml:space="preserve">, North America Congress on Latin America, 28 Apr 2017, </w:t>
      </w:r>
      <w:hyperlink r:id="rId11" w:history="1">
        <w:r w:rsidR="003422CD" w:rsidRPr="00670DD1">
          <w:rPr>
            <w:rStyle w:val="Hyperlink"/>
            <w:rFonts w:eastAsia="Times New Roman"/>
            <w:color w:val="000000"/>
            <w:u w:val="none"/>
          </w:rPr>
          <w:t>https://nacla.org/news/2017/04/28/nicaragua-failure-address-violence-against-women</w:t>
        </w:r>
      </w:hyperlink>
      <w:r w:rsidRPr="00670DD1">
        <w:rPr>
          <w:rFonts w:eastAsia="Times New Roman"/>
        </w:rPr>
        <w:t>.</w:t>
      </w:r>
      <w:r w:rsidR="00882EB8">
        <w:rPr>
          <w:rFonts w:eastAsia="Times New Roman"/>
        </w:rPr>
        <w:t xml:space="preserve"> </w:t>
      </w:r>
    </w:p>
  </w:footnote>
  <w:footnote w:id="26">
    <w:p w14:paraId="548312B3" w14:textId="77777777" w:rsidR="0009489F" w:rsidRPr="00670DD1" w:rsidRDefault="0009489F" w:rsidP="00B96360">
      <w:pPr>
        <w:pStyle w:val="FootnoteText"/>
        <w:jc w:val="both"/>
      </w:pPr>
      <w:r w:rsidRPr="00670DD1">
        <w:rPr>
          <w:rStyle w:val="FootnoteReference"/>
        </w:rPr>
        <w:footnoteRef/>
      </w:r>
      <w:r w:rsidRPr="00670DD1">
        <w:t xml:space="preserve"> Interviews conducted by The Advocates (2015-2019)</w:t>
      </w:r>
      <w:r w:rsidR="00012730">
        <w:t>.</w:t>
      </w:r>
    </w:p>
  </w:footnote>
  <w:footnote w:id="27">
    <w:p w14:paraId="69D69F20" w14:textId="1CC4B6B5" w:rsidR="004C0F14" w:rsidRDefault="004C0F14">
      <w:pPr>
        <w:pStyle w:val="FootnoteText"/>
      </w:pPr>
      <w:r>
        <w:rPr>
          <w:rStyle w:val="FootnoteReference"/>
        </w:rPr>
        <w:footnoteRef/>
      </w:r>
      <w:r>
        <w:t xml:space="preserve"> Convention on the Elimination of All Forms of Discrimination against Women, </w:t>
      </w:r>
      <w:r>
        <w:rPr>
          <w:i/>
          <w:iCs/>
        </w:rPr>
        <w:t xml:space="preserve">List of issues and questions in relation to the combined seventh to tenth periodic reports of Nicaragua, </w:t>
      </w:r>
      <w:r>
        <w:t>(11 March 2020), U.N. Doc. CEDAW/C/NIC/Q/7-10, ¶14.</w:t>
      </w:r>
    </w:p>
  </w:footnote>
  <w:footnote w:id="28">
    <w:p w14:paraId="363AF76A" w14:textId="77777777" w:rsidR="009D7851" w:rsidRPr="00670DD1" w:rsidRDefault="009D7851" w:rsidP="00B96360">
      <w:pPr>
        <w:jc w:val="both"/>
        <w:rPr>
          <w:rFonts w:eastAsia="Times New Roman"/>
          <w:kern w:val="0"/>
          <w:lang w:eastAsia="zh-CN"/>
        </w:rPr>
      </w:pPr>
      <w:r w:rsidRPr="00670DD1">
        <w:rPr>
          <w:rStyle w:val="FootnoteReference"/>
        </w:rPr>
        <w:footnoteRef/>
      </w:r>
      <w:r w:rsidR="00012730">
        <w:rPr>
          <w:rFonts w:eastAsia="Times New Roman"/>
          <w:kern w:val="0"/>
          <w:lang w:eastAsia="zh-CN"/>
        </w:rPr>
        <w:t xml:space="preserve"> </w:t>
      </w:r>
      <w:proofErr w:type="spellStart"/>
      <w:r w:rsidRPr="00670DD1">
        <w:rPr>
          <w:rFonts w:eastAsia="Times New Roman"/>
          <w:kern w:val="0"/>
          <w:lang w:eastAsia="zh-CN"/>
        </w:rPr>
        <w:t>Constitución</w:t>
      </w:r>
      <w:proofErr w:type="spellEnd"/>
      <w:r w:rsidRPr="00670DD1">
        <w:rPr>
          <w:rFonts w:eastAsia="Times New Roman"/>
          <w:kern w:val="0"/>
          <w:lang w:eastAsia="zh-CN"/>
        </w:rPr>
        <w:t xml:space="preserve"> Política de la República de Nicaragua art. 52, 53, 54 [NI]</w:t>
      </w:r>
      <w:r w:rsidR="00012730">
        <w:rPr>
          <w:rFonts w:eastAsia="Times New Roman"/>
          <w:kern w:val="0"/>
          <w:lang w:eastAsia="zh-CN"/>
        </w:rPr>
        <w:t>.</w:t>
      </w:r>
    </w:p>
  </w:footnote>
  <w:footnote w:id="29">
    <w:p w14:paraId="0F3278D9" w14:textId="77777777" w:rsidR="00AD41A7" w:rsidRPr="00D8620D" w:rsidRDefault="009D7851" w:rsidP="00B96360">
      <w:pPr>
        <w:pStyle w:val="FootnoteText"/>
        <w:jc w:val="both"/>
      </w:pPr>
      <w:r w:rsidRPr="00670DD1">
        <w:rPr>
          <w:rStyle w:val="FootnoteReference"/>
        </w:rPr>
        <w:footnoteRef/>
      </w:r>
      <w:r w:rsidR="00145A5E" w:rsidRPr="00670DD1">
        <w:t xml:space="preserve"> </w:t>
      </w:r>
      <w:r w:rsidRPr="00670DD1">
        <w:t xml:space="preserve">Human Rights Watch, </w:t>
      </w:r>
      <w:r w:rsidRPr="00670DD1">
        <w:rPr>
          <w:i/>
        </w:rPr>
        <w:t>Crackdown in Nicaragua</w:t>
      </w:r>
      <w:r w:rsidR="00145A5E" w:rsidRPr="00670DD1">
        <w:t xml:space="preserve"> (</w:t>
      </w:r>
      <w:r w:rsidRPr="00670DD1">
        <w:t>June 19, 2019</w:t>
      </w:r>
      <w:r w:rsidR="00145A5E" w:rsidRPr="00670DD1">
        <w:t>)</w:t>
      </w:r>
      <w:r w:rsidR="00012730">
        <w:t>,</w:t>
      </w:r>
    </w:p>
    <w:p w14:paraId="1E52E06B" w14:textId="77777777" w:rsidR="009D7851" w:rsidRPr="0021762A" w:rsidRDefault="00DE373F" w:rsidP="00B96360">
      <w:pPr>
        <w:pStyle w:val="FootnoteText"/>
        <w:jc w:val="both"/>
      </w:pPr>
      <w:hyperlink r:id="rId12" w:history="1">
        <w:r w:rsidR="0099372B" w:rsidRPr="00D8620D">
          <w:rPr>
            <w:rStyle w:val="Hyperlink"/>
            <w:color w:val="000000"/>
            <w:u w:val="none"/>
          </w:rPr>
          <w:t>https://www.hrw.org/report/2019/06/19/crackdown-nicaragua/torture-ill-treatment-and-prosecutions-protesters-and</w:t>
        </w:r>
      </w:hyperlink>
      <w:r w:rsidR="00012730" w:rsidRPr="0021762A">
        <w:t>.</w:t>
      </w:r>
    </w:p>
  </w:footnote>
  <w:footnote w:id="30">
    <w:p w14:paraId="6C783C90" w14:textId="77777777" w:rsidR="009D7851" w:rsidRPr="00670DD1" w:rsidRDefault="009D7851" w:rsidP="00B96360">
      <w:pPr>
        <w:jc w:val="both"/>
        <w:rPr>
          <w:rFonts w:eastAsia="Times New Roman"/>
        </w:rPr>
      </w:pPr>
      <w:r w:rsidRPr="00670DD1">
        <w:rPr>
          <w:rStyle w:val="FootnoteReference"/>
        </w:rPr>
        <w:footnoteRef/>
      </w:r>
      <w:r w:rsidR="00145A5E" w:rsidRPr="00670DD1">
        <w:t xml:space="preserve"> </w:t>
      </w:r>
      <w:r w:rsidR="009E7732" w:rsidRPr="00670DD1">
        <w:t xml:space="preserve">Kenning, </w:t>
      </w:r>
      <w:r w:rsidRPr="00670DD1">
        <w:t xml:space="preserve">Chris, </w:t>
      </w:r>
      <w:r w:rsidRPr="00670DD1">
        <w:rPr>
          <w:i/>
          <w:iCs/>
        </w:rPr>
        <w:t>A year into Nicaragua Crisis women face ‘dramatic consequences</w:t>
      </w:r>
      <w:r w:rsidR="00012730">
        <w:rPr>
          <w:i/>
          <w:iCs/>
        </w:rPr>
        <w:t>,</w:t>
      </w:r>
      <w:r w:rsidRPr="00670DD1">
        <w:rPr>
          <w:i/>
          <w:iCs/>
        </w:rPr>
        <w:t>’</w:t>
      </w:r>
      <w:r w:rsidR="00BB34BC">
        <w:rPr>
          <w:i/>
          <w:iCs/>
        </w:rPr>
        <w:t xml:space="preserve"> </w:t>
      </w:r>
      <w:r w:rsidR="009E7732" w:rsidRPr="00670DD1">
        <w:t>Aljazeera,</w:t>
      </w:r>
      <w:r w:rsidRPr="00670DD1">
        <w:t xml:space="preserve"> 18 Apr</w:t>
      </w:r>
      <w:r w:rsidR="00012730">
        <w:t>.</w:t>
      </w:r>
      <w:r w:rsidRPr="00670DD1">
        <w:t xml:space="preserve"> 2019</w:t>
      </w:r>
      <w:r w:rsidR="00012730">
        <w:t xml:space="preserve">, </w:t>
      </w:r>
      <w:hyperlink r:id="rId13" w:history="1">
        <w:r w:rsidR="00012730" w:rsidRPr="0021762A">
          <w:rPr>
            <w:rStyle w:val="Hyperlink"/>
            <w:rFonts w:eastAsia="Times New Roman"/>
            <w:color w:val="000000"/>
            <w:u w:val="none"/>
          </w:rPr>
          <w:t>https://www.aljazeera.com/news/2019/04/year-nicaragua-crisis-women-face-dramatic-consequences-190418212037100.html</w:t>
        </w:r>
      </w:hyperlink>
      <w:r w:rsidR="00012730" w:rsidRPr="0021762A">
        <w:rPr>
          <w:rFonts w:eastAsia="Times New Roman"/>
        </w:rPr>
        <w:t xml:space="preserve">. </w:t>
      </w:r>
    </w:p>
  </w:footnote>
  <w:footnote w:id="31">
    <w:p w14:paraId="5BB85C64" w14:textId="77777777" w:rsidR="00AE4D3F" w:rsidRDefault="00AE4D3F">
      <w:pPr>
        <w:pStyle w:val="FootnoteText"/>
      </w:pPr>
      <w:r>
        <w:rPr>
          <w:rStyle w:val="FootnoteReference"/>
        </w:rPr>
        <w:footnoteRef/>
      </w:r>
      <w:r>
        <w:t xml:space="preserve"> </w:t>
      </w:r>
      <w:r w:rsidRPr="00670DD1">
        <w:rPr>
          <w:rFonts w:eastAsia="Times New Roman"/>
          <w:kern w:val="0"/>
          <w:lang w:eastAsia="zh-CN"/>
        </w:rPr>
        <w:t>Interviews conducted by The Advocates (2015-2019)</w:t>
      </w:r>
      <w:r>
        <w:rPr>
          <w:rFonts w:eastAsia="Times New Roman"/>
          <w:kern w:val="0"/>
          <w:lang w:eastAsia="zh-CN"/>
        </w:rPr>
        <w:t>.</w:t>
      </w:r>
    </w:p>
  </w:footnote>
  <w:footnote w:id="32">
    <w:p w14:paraId="4ABD60BD" w14:textId="77777777" w:rsidR="009D7851" w:rsidRPr="00670DD1" w:rsidRDefault="009D7851" w:rsidP="00B96360">
      <w:pPr>
        <w:pStyle w:val="FootnoteText"/>
        <w:jc w:val="both"/>
      </w:pPr>
      <w:r w:rsidRPr="00670DD1">
        <w:rPr>
          <w:rStyle w:val="FootnoteReference"/>
        </w:rPr>
        <w:footnoteRef/>
      </w:r>
      <w:r w:rsidR="00145A5E" w:rsidRPr="00670DD1">
        <w:rPr>
          <w:rFonts w:eastAsia="Times New Roman"/>
          <w:kern w:val="0"/>
          <w:lang w:eastAsia="zh-CN"/>
        </w:rPr>
        <w:t xml:space="preserve"> </w:t>
      </w:r>
      <w:bookmarkStart w:id="4" w:name="_Hlk31382406"/>
      <w:r w:rsidRPr="00670DD1">
        <w:rPr>
          <w:rFonts w:eastAsia="Times New Roman"/>
          <w:kern w:val="0"/>
          <w:lang w:eastAsia="zh-CN"/>
        </w:rPr>
        <w:t>Interviews conducted by The Advocates (2015-2019)</w:t>
      </w:r>
      <w:r w:rsidR="00012730">
        <w:rPr>
          <w:rFonts w:eastAsia="Times New Roman"/>
          <w:kern w:val="0"/>
          <w:lang w:eastAsia="zh-CN"/>
        </w:rPr>
        <w:t>.</w:t>
      </w:r>
      <w:bookmarkEnd w:id="4"/>
    </w:p>
  </w:footnote>
  <w:footnote w:id="33">
    <w:p w14:paraId="5E350887" w14:textId="77777777" w:rsidR="009D7851" w:rsidRPr="00670DD1" w:rsidRDefault="009D7851" w:rsidP="00B96360">
      <w:pPr>
        <w:pStyle w:val="FootnoteText"/>
        <w:jc w:val="both"/>
      </w:pPr>
      <w:r w:rsidRPr="00670DD1">
        <w:rPr>
          <w:rStyle w:val="FootnoteReference"/>
        </w:rPr>
        <w:footnoteRef/>
      </w:r>
      <w:r w:rsidR="00145A5E" w:rsidRPr="00670DD1">
        <w:rPr>
          <w:rFonts w:eastAsia="Times New Roman"/>
          <w:kern w:val="0"/>
          <w:lang w:eastAsia="zh-CN"/>
        </w:rPr>
        <w:t xml:space="preserve"> </w:t>
      </w:r>
      <w:r w:rsidRPr="00670DD1">
        <w:rPr>
          <w:rFonts w:eastAsia="Times New Roman"/>
          <w:kern w:val="0"/>
          <w:lang w:eastAsia="zh-CN"/>
        </w:rPr>
        <w:t>Interviews conducted by The Advocates (2015-2019)</w:t>
      </w:r>
      <w:r w:rsidR="00012730">
        <w:rPr>
          <w:rFonts w:eastAsia="Times New Roman"/>
          <w:kern w:val="0"/>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CA03" w14:textId="77777777" w:rsidR="00494FF3" w:rsidRDefault="00494FF3" w:rsidP="00C26130">
    <w:pPr>
      <w:pStyle w:val="Header"/>
      <w:tabs>
        <w:tab w:val="left" w:pos="27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3909" w14:textId="77777777" w:rsidR="00494FF3" w:rsidRDefault="00DE373F">
    <w:pPr>
      <w:pStyle w:val="Header"/>
    </w:pPr>
    <w:r>
      <w:rPr>
        <w:noProof/>
      </w:rPr>
      <w:pict w14:anchorId="71022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144.05pt;margin-top:-6.65pt;width:181.75pt;height:69.65pt;z-index:-251659264" wrapcoords="-89 0 -89 21368 21600 21368 21600 0 -89 0">
          <v:imagedata r:id="rId1" o:title="logos_-The Advocates"/>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D874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C4ADC"/>
    <w:multiLevelType w:val="multilevel"/>
    <w:tmpl w:val="4962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91A72"/>
    <w:multiLevelType w:val="hybridMultilevel"/>
    <w:tmpl w:val="A67EBB96"/>
    <w:lvl w:ilvl="0" w:tplc="04090001">
      <w:start w:val="1"/>
      <w:numFmt w:val="bullet"/>
      <w:lvlText w:val=""/>
      <w:lvlJc w:val="left"/>
      <w:pPr>
        <w:ind w:left="840" w:hanging="48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E5838"/>
    <w:multiLevelType w:val="hybridMultilevel"/>
    <w:tmpl w:val="11F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4B90"/>
    <w:multiLevelType w:val="hybridMultilevel"/>
    <w:tmpl w:val="F3DE0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E61781"/>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C2376"/>
    <w:multiLevelType w:val="hybridMultilevel"/>
    <w:tmpl w:val="991C3848"/>
    <w:lvl w:ilvl="0" w:tplc="9670D4BC">
      <w:start w:val="1"/>
      <w:numFmt w:val="decimal"/>
      <w:lvlText w:val="%1."/>
      <w:lvlJc w:val="left"/>
      <w:pPr>
        <w:tabs>
          <w:tab w:val="num" w:pos="720"/>
        </w:tabs>
        <w:ind w:left="720" w:hanging="360"/>
      </w:pPr>
      <w:rPr>
        <w:b w:val="0"/>
      </w:rPr>
    </w:lvl>
    <w:lvl w:ilvl="1" w:tplc="109A5DFE">
      <w:start w:val="1"/>
      <w:numFmt w:val="decimal"/>
      <w:lvlText w:val="%2."/>
      <w:lvlJc w:val="left"/>
      <w:pPr>
        <w:tabs>
          <w:tab w:val="num" w:pos="1440"/>
        </w:tabs>
        <w:ind w:left="1440" w:hanging="360"/>
      </w:pPr>
    </w:lvl>
    <w:lvl w:ilvl="2" w:tplc="4A260800">
      <w:start w:val="1"/>
      <w:numFmt w:val="decimal"/>
      <w:lvlText w:val="%3."/>
      <w:lvlJc w:val="left"/>
      <w:pPr>
        <w:tabs>
          <w:tab w:val="num" w:pos="2160"/>
        </w:tabs>
        <w:ind w:left="2160" w:hanging="360"/>
      </w:pPr>
    </w:lvl>
    <w:lvl w:ilvl="3" w:tplc="52223D66">
      <w:start w:val="1"/>
      <w:numFmt w:val="decimal"/>
      <w:lvlText w:val="%4."/>
      <w:lvlJc w:val="left"/>
      <w:pPr>
        <w:tabs>
          <w:tab w:val="num" w:pos="2880"/>
        </w:tabs>
        <w:ind w:left="2880" w:hanging="360"/>
      </w:pPr>
    </w:lvl>
    <w:lvl w:ilvl="4" w:tplc="D0A6172E">
      <w:start w:val="1"/>
      <w:numFmt w:val="decimal"/>
      <w:lvlText w:val="%5."/>
      <w:lvlJc w:val="left"/>
      <w:pPr>
        <w:tabs>
          <w:tab w:val="num" w:pos="3600"/>
        </w:tabs>
        <w:ind w:left="3600" w:hanging="360"/>
      </w:pPr>
    </w:lvl>
    <w:lvl w:ilvl="5" w:tplc="B8564790">
      <w:start w:val="1"/>
      <w:numFmt w:val="decimal"/>
      <w:lvlText w:val="%6."/>
      <w:lvlJc w:val="left"/>
      <w:pPr>
        <w:tabs>
          <w:tab w:val="num" w:pos="4320"/>
        </w:tabs>
        <w:ind w:left="4320" w:hanging="360"/>
      </w:pPr>
    </w:lvl>
    <w:lvl w:ilvl="6" w:tplc="F154A354">
      <w:start w:val="1"/>
      <w:numFmt w:val="decimal"/>
      <w:lvlText w:val="%7."/>
      <w:lvlJc w:val="left"/>
      <w:pPr>
        <w:tabs>
          <w:tab w:val="num" w:pos="5040"/>
        </w:tabs>
        <w:ind w:left="5040" w:hanging="360"/>
      </w:pPr>
    </w:lvl>
    <w:lvl w:ilvl="7" w:tplc="3CC00626">
      <w:start w:val="1"/>
      <w:numFmt w:val="decimal"/>
      <w:lvlText w:val="%8."/>
      <w:lvlJc w:val="left"/>
      <w:pPr>
        <w:tabs>
          <w:tab w:val="num" w:pos="5760"/>
        </w:tabs>
        <w:ind w:left="5760" w:hanging="360"/>
      </w:pPr>
    </w:lvl>
    <w:lvl w:ilvl="8" w:tplc="5008A68C">
      <w:start w:val="1"/>
      <w:numFmt w:val="decimal"/>
      <w:lvlText w:val="%9."/>
      <w:lvlJc w:val="left"/>
      <w:pPr>
        <w:tabs>
          <w:tab w:val="num" w:pos="6480"/>
        </w:tabs>
        <w:ind w:left="6480" w:hanging="360"/>
      </w:pPr>
    </w:lvl>
  </w:abstractNum>
  <w:abstractNum w:abstractNumId="7" w15:restartNumberingAfterBreak="0">
    <w:nsid w:val="1D5153BE"/>
    <w:multiLevelType w:val="hybridMultilevel"/>
    <w:tmpl w:val="208856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B4692"/>
    <w:multiLevelType w:val="hybridMultilevel"/>
    <w:tmpl w:val="F12844D4"/>
    <w:lvl w:ilvl="0" w:tplc="8CEE30D6">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10DD5"/>
    <w:multiLevelType w:val="hybridMultilevel"/>
    <w:tmpl w:val="C826E368"/>
    <w:lvl w:ilvl="0" w:tplc="04090001">
      <w:start w:val="1"/>
      <w:numFmt w:val="bullet"/>
      <w:lvlText w:val=""/>
      <w:lvlJc w:val="left"/>
      <w:pPr>
        <w:ind w:left="840" w:hanging="48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073C0"/>
    <w:multiLevelType w:val="hybridMultilevel"/>
    <w:tmpl w:val="BE6A5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A41173"/>
    <w:multiLevelType w:val="hybridMultilevel"/>
    <w:tmpl w:val="55727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5A46C4"/>
    <w:multiLevelType w:val="hybridMultilevel"/>
    <w:tmpl w:val="467A1396"/>
    <w:lvl w:ilvl="0" w:tplc="228E1F4E">
      <w:start w:val="2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E30340"/>
    <w:multiLevelType w:val="multilevel"/>
    <w:tmpl w:val="C584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016658"/>
    <w:multiLevelType w:val="hybridMultilevel"/>
    <w:tmpl w:val="CBA641E6"/>
    <w:lvl w:ilvl="0" w:tplc="BC741D8C">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41C3D"/>
    <w:multiLevelType w:val="hybridMultilevel"/>
    <w:tmpl w:val="087A7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8E0915"/>
    <w:multiLevelType w:val="hybridMultilevel"/>
    <w:tmpl w:val="61521D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D3799"/>
    <w:multiLevelType w:val="hybridMultilevel"/>
    <w:tmpl w:val="F3B63DE4"/>
    <w:lvl w:ilvl="0" w:tplc="B1F6C114">
      <w:start w:val="1"/>
      <w:numFmt w:val="decimal"/>
      <w:lvlText w:val="%1."/>
      <w:lvlJc w:val="left"/>
      <w:pPr>
        <w:ind w:left="720" w:hanging="360"/>
      </w:pPr>
      <w:rPr>
        <w:rFonts w:ascii="Times New Roman" w:eastAsia="SimSun" w:hAnsi="Times New Roman" w:cs="Helvetica"/>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94659"/>
    <w:multiLevelType w:val="hybridMultilevel"/>
    <w:tmpl w:val="6EBE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F6E6D"/>
    <w:multiLevelType w:val="hybridMultilevel"/>
    <w:tmpl w:val="540E06F4"/>
    <w:lvl w:ilvl="0" w:tplc="04090001">
      <w:start w:val="1"/>
      <w:numFmt w:val="bullet"/>
      <w:lvlText w:val=""/>
      <w:lvlJc w:val="left"/>
      <w:pPr>
        <w:ind w:left="840" w:hanging="48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D1B3D"/>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E30AB"/>
    <w:multiLevelType w:val="hybridMultilevel"/>
    <w:tmpl w:val="BAEEB74E"/>
    <w:lvl w:ilvl="0" w:tplc="99EA23CE">
      <w:start w:val="1"/>
      <w:numFmt w:val="upperRoman"/>
      <w:lvlText w:val="%1."/>
      <w:lvlJc w:val="left"/>
      <w:pPr>
        <w:ind w:left="1080" w:hanging="720"/>
      </w:pPr>
      <w:rPr>
        <w:rFonts w:eastAsia="SimSun" w:cs="Helvetica"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7"/>
  </w:num>
  <w:num w:numId="8">
    <w:abstractNumId w:val="20"/>
  </w:num>
  <w:num w:numId="9">
    <w:abstractNumId w:val="5"/>
  </w:num>
  <w:num w:numId="10">
    <w:abstractNumId w:val="16"/>
  </w:num>
  <w:num w:numId="11">
    <w:abstractNumId w:val="0"/>
  </w:num>
  <w:num w:numId="12">
    <w:abstractNumId w:val="1"/>
  </w:num>
  <w:num w:numId="13">
    <w:abstractNumId w:val="19"/>
  </w:num>
  <w:num w:numId="14">
    <w:abstractNumId w:val="2"/>
  </w:num>
  <w:num w:numId="15">
    <w:abstractNumId w:val="13"/>
  </w:num>
  <w:num w:numId="16">
    <w:abstractNumId w:val="9"/>
  </w:num>
  <w:num w:numId="17">
    <w:abstractNumId w:val="21"/>
  </w:num>
  <w:num w:numId="18">
    <w:abstractNumId w:val="8"/>
  </w:num>
  <w:num w:numId="19">
    <w:abstractNumId w:val="14"/>
  </w:num>
  <w:num w:numId="20">
    <w:abstractNumId w:val="18"/>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87"/>
  <w:displayVertic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41C9"/>
    <w:rsid w:val="00002CD8"/>
    <w:rsid w:val="000064F8"/>
    <w:rsid w:val="00012730"/>
    <w:rsid w:val="00012778"/>
    <w:rsid w:val="00013F2A"/>
    <w:rsid w:val="000258F5"/>
    <w:rsid w:val="00030F59"/>
    <w:rsid w:val="000342B6"/>
    <w:rsid w:val="00046377"/>
    <w:rsid w:val="000534A5"/>
    <w:rsid w:val="00056CF5"/>
    <w:rsid w:val="00065962"/>
    <w:rsid w:val="000734A4"/>
    <w:rsid w:val="00075DE5"/>
    <w:rsid w:val="0008238F"/>
    <w:rsid w:val="00085935"/>
    <w:rsid w:val="00090B12"/>
    <w:rsid w:val="000910FC"/>
    <w:rsid w:val="00093DFA"/>
    <w:rsid w:val="0009489F"/>
    <w:rsid w:val="00095F0E"/>
    <w:rsid w:val="0009644E"/>
    <w:rsid w:val="000A1F17"/>
    <w:rsid w:val="000A2D5B"/>
    <w:rsid w:val="000A66B8"/>
    <w:rsid w:val="000A68D8"/>
    <w:rsid w:val="000B042D"/>
    <w:rsid w:val="000B4DB3"/>
    <w:rsid w:val="000C380B"/>
    <w:rsid w:val="000C6340"/>
    <w:rsid w:val="000E1DDC"/>
    <w:rsid w:val="000E7252"/>
    <w:rsid w:val="000F1E67"/>
    <w:rsid w:val="000F3447"/>
    <w:rsid w:val="000F56E0"/>
    <w:rsid w:val="0010077B"/>
    <w:rsid w:val="001008D1"/>
    <w:rsid w:val="00110D35"/>
    <w:rsid w:val="00111994"/>
    <w:rsid w:val="001215B4"/>
    <w:rsid w:val="00136514"/>
    <w:rsid w:val="001366D8"/>
    <w:rsid w:val="001431A0"/>
    <w:rsid w:val="00143423"/>
    <w:rsid w:val="00144896"/>
    <w:rsid w:val="00145A5E"/>
    <w:rsid w:val="00147EA4"/>
    <w:rsid w:val="001565F9"/>
    <w:rsid w:val="00160BDA"/>
    <w:rsid w:val="00171690"/>
    <w:rsid w:val="00176BD8"/>
    <w:rsid w:val="00181B2A"/>
    <w:rsid w:val="001843C0"/>
    <w:rsid w:val="0018642B"/>
    <w:rsid w:val="0018647F"/>
    <w:rsid w:val="00193DE6"/>
    <w:rsid w:val="001A1531"/>
    <w:rsid w:val="001A59C1"/>
    <w:rsid w:val="001A5ED5"/>
    <w:rsid w:val="001A7AF4"/>
    <w:rsid w:val="001B1AC4"/>
    <w:rsid w:val="001B27D7"/>
    <w:rsid w:val="001B46C2"/>
    <w:rsid w:val="001B5E1E"/>
    <w:rsid w:val="001B799A"/>
    <w:rsid w:val="001C42EB"/>
    <w:rsid w:val="001E4E5E"/>
    <w:rsid w:val="001F6509"/>
    <w:rsid w:val="00200DA9"/>
    <w:rsid w:val="00207B79"/>
    <w:rsid w:val="0021762A"/>
    <w:rsid w:val="00220D48"/>
    <w:rsid w:val="00221440"/>
    <w:rsid w:val="0023085E"/>
    <w:rsid w:val="00237C8C"/>
    <w:rsid w:val="00242F64"/>
    <w:rsid w:val="002439A3"/>
    <w:rsid w:val="00243E14"/>
    <w:rsid w:val="00255789"/>
    <w:rsid w:val="00266AA3"/>
    <w:rsid w:val="00272519"/>
    <w:rsid w:val="002734D9"/>
    <w:rsid w:val="00282223"/>
    <w:rsid w:val="0028660E"/>
    <w:rsid w:val="00291BE8"/>
    <w:rsid w:val="002A0797"/>
    <w:rsid w:val="002A4838"/>
    <w:rsid w:val="002A737D"/>
    <w:rsid w:val="002B2814"/>
    <w:rsid w:val="002B3576"/>
    <w:rsid w:val="002C088E"/>
    <w:rsid w:val="002C57BC"/>
    <w:rsid w:val="002D36C6"/>
    <w:rsid w:val="002E34EA"/>
    <w:rsid w:val="00315C53"/>
    <w:rsid w:val="00322CB1"/>
    <w:rsid w:val="003369A6"/>
    <w:rsid w:val="00340467"/>
    <w:rsid w:val="00340484"/>
    <w:rsid w:val="00340CF9"/>
    <w:rsid w:val="0034215D"/>
    <w:rsid w:val="003422CD"/>
    <w:rsid w:val="00344140"/>
    <w:rsid w:val="00344556"/>
    <w:rsid w:val="00345B90"/>
    <w:rsid w:val="0035378E"/>
    <w:rsid w:val="0035424D"/>
    <w:rsid w:val="00355FDA"/>
    <w:rsid w:val="00356791"/>
    <w:rsid w:val="003761CC"/>
    <w:rsid w:val="00390AC3"/>
    <w:rsid w:val="003937C6"/>
    <w:rsid w:val="00397929"/>
    <w:rsid w:val="003A0BC2"/>
    <w:rsid w:val="003A1B0D"/>
    <w:rsid w:val="003A1D3E"/>
    <w:rsid w:val="003A6F6D"/>
    <w:rsid w:val="003C1E49"/>
    <w:rsid w:val="003C60FE"/>
    <w:rsid w:val="003C7112"/>
    <w:rsid w:val="003E0A84"/>
    <w:rsid w:val="003E3DBA"/>
    <w:rsid w:val="00402884"/>
    <w:rsid w:val="0040394B"/>
    <w:rsid w:val="0041001C"/>
    <w:rsid w:val="004115C4"/>
    <w:rsid w:val="00417CE5"/>
    <w:rsid w:val="004303F1"/>
    <w:rsid w:val="004305F9"/>
    <w:rsid w:val="00430A63"/>
    <w:rsid w:val="0044179D"/>
    <w:rsid w:val="00450118"/>
    <w:rsid w:val="00450405"/>
    <w:rsid w:val="00453314"/>
    <w:rsid w:val="00454CE7"/>
    <w:rsid w:val="004763A5"/>
    <w:rsid w:val="00476CC4"/>
    <w:rsid w:val="00477F14"/>
    <w:rsid w:val="004866AE"/>
    <w:rsid w:val="00494FF3"/>
    <w:rsid w:val="004A17D9"/>
    <w:rsid w:val="004A5B01"/>
    <w:rsid w:val="004A7D93"/>
    <w:rsid w:val="004A7FF9"/>
    <w:rsid w:val="004B1E4E"/>
    <w:rsid w:val="004B4CAF"/>
    <w:rsid w:val="004B73AF"/>
    <w:rsid w:val="004C0F14"/>
    <w:rsid w:val="004C2A96"/>
    <w:rsid w:val="004D2568"/>
    <w:rsid w:val="004D3EE9"/>
    <w:rsid w:val="004E7176"/>
    <w:rsid w:val="004E783D"/>
    <w:rsid w:val="004F2465"/>
    <w:rsid w:val="004F34E5"/>
    <w:rsid w:val="00507AB0"/>
    <w:rsid w:val="00512601"/>
    <w:rsid w:val="005126E2"/>
    <w:rsid w:val="005132BB"/>
    <w:rsid w:val="00524166"/>
    <w:rsid w:val="00524C18"/>
    <w:rsid w:val="005261C7"/>
    <w:rsid w:val="00532D85"/>
    <w:rsid w:val="005336C2"/>
    <w:rsid w:val="005403E3"/>
    <w:rsid w:val="00553137"/>
    <w:rsid w:val="0055461C"/>
    <w:rsid w:val="00571EF6"/>
    <w:rsid w:val="00594FE9"/>
    <w:rsid w:val="005965F8"/>
    <w:rsid w:val="0059754B"/>
    <w:rsid w:val="0059780F"/>
    <w:rsid w:val="005A5FC3"/>
    <w:rsid w:val="005B0C1B"/>
    <w:rsid w:val="005C0E30"/>
    <w:rsid w:val="005C183B"/>
    <w:rsid w:val="005C58B6"/>
    <w:rsid w:val="005C5BF7"/>
    <w:rsid w:val="005D4EE6"/>
    <w:rsid w:val="005E67E8"/>
    <w:rsid w:val="005F2A19"/>
    <w:rsid w:val="005F5E39"/>
    <w:rsid w:val="0060568A"/>
    <w:rsid w:val="0061778F"/>
    <w:rsid w:val="00617901"/>
    <w:rsid w:val="00624A10"/>
    <w:rsid w:val="00626C39"/>
    <w:rsid w:val="006340C7"/>
    <w:rsid w:val="00643D7A"/>
    <w:rsid w:val="00646D29"/>
    <w:rsid w:val="00657459"/>
    <w:rsid w:val="0066318F"/>
    <w:rsid w:val="00670DD1"/>
    <w:rsid w:val="00680EEE"/>
    <w:rsid w:val="00682BE2"/>
    <w:rsid w:val="006835A3"/>
    <w:rsid w:val="006927DD"/>
    <w:rsid w:val="006945AE"/>
    <w:rsid w:val="006B3EE8"/>
    <w:rsid w:val="006B7B89"/>
    <w:rsid w:val="006C4C10"/>
    <w:rsid w:val="006D39C4"/>
    <w:rsid w:val="006D66EF"/>
    <w:rsid w:val="006E7776"/>
    <w:rsid w:val="006E7D5B"/>
    <w:rsid w:val="006F1040"/>
    <w:rsid w:val="006F582F"/>
    <w:rsid w:val="007143B8"/>
    <w:rsid w:val="007262DC"/>
    <w:rsid w:val="00730CF4"/>
    <w:rsid w:val="007316AA"/>
    <w:rsid w:val="00741B9C"/>
    <w:rsid w:val="0075052B"/>
    <w:rsid w:val="00755773"/>
    <w:rsid w:val="00757A1C"/>
    <w:rsid w:val="007637D8"/>
    <w:rsid w:val="00765EBC"/>
    <w:rsid w:val="00771979"/>
    <w:rsid w:val="0077231B"/>
    <w:rsid w:val="00774643"/>
    <w:rsid w:val="007838DE"/>
    <w:rsid w:val="00786F14"/>
    <w:rsid w:val="00790D48"/>
    <w:rsid w:val="007A5CD4"/>
    <w:rsid w:val="007B5DFE"/>
    <w:rsid w:val="007C30D8"/>
    <w:rsid w:val="007C31B5"/>
    <w:rsid w:val="007C4387"/>
    <w:rsid w:val="007D01E7"/>
    <w:rsid w:val="007D2FB7"/>
    <w:rsid w:val="007D5069"/>
    <w:rsid w:val="007E79C4"/>
    <w:rsid w:val="007F23A8"/>
    <w:rsid w:val="007F779F"/>
    <w:rsid w:val="00804604"/>
    <w:rsid w:val="0081221D"/>
    <w:rsid w:val="0081427C"/>
    <w:rsid w:val="00826961"/>
    <w:rsid w:val="008329E3"/>
    <w:rsid w:val="00836428"/>
    <w:rsid w:val="00847C78"/>
    <w:rsid w:val="0085104B"/>
    <w:rsid w:val="00852B97"/>
    <w:rsid w:val="008564A5"/>
    <w:rsid w:val="0086404C"/>
    <w:rsid w:val="00870521"/>
    <w:rsid w:val="0087642D"/>
    <w:rsid w:val="00880456"/>
    <w:rsid w:val="00882EB8"/>
    <w:rsid w:val="008856D7"/>
    <w:rsid w:val="0089523C"/>
    <w:rsid w:val="008B752E"/>
    <w:rsid w:val="008C0FA0"/>
    <w:rsid w:val="008C3B9B"/>
    <w:rsid w:val="008C7B1F"/>
    <w:rsid w:val="008C7B63"/>
    <w:rsid w:val="008F0BDD"/>
    <w:rsid w:val="008F20E3"/>
    <w:rsid w:val="008F2F99"/>
    <w:rsid w:val="008F3B20"/>
    <w:rsid w:val="008F42E8"/>
    <w:rsid w:val="008F5EB5"/>
    <w:rsid w:val="008F6084"/>
    <w:rsid w:val="0090315F"/>
    <w:rsid w:val="00903540"/>
    <w:rsid w:val="009057C8"/>
    <w:rsid w:val="00905BF9"/>
    <w:rsid w:val="00920A7A"/>
    <w:rsid w:val="0093193B"/>
    <w:rsid w:val="009319E8"/>
    <w:rsid w:val="0093514D"/>
    <w:rsid w:val="00947170"/>
    <w:rsid w:val="00947B3D"/>
    <w:rsid w:val="00956AA0"/>
    <w:rsid w:val="00956E94"/>
    <w:rsid w:val="009573A4"/>
    <w:rsid w:val="00961093"/>
    <w:rsid w:val="009627A1"/>
    <w:rsid w:val="0097027E"/>
    <w:rsid w:val="009712FE"/>
    <w:rsid w:val="0098320A"/>
    <w:rsid w:val="009875AD"/>
    <w:rsid w:val="009924AF"/>
    <w:rsid w:val="0099372B"/>
    <w:rsid w:val="009A7F71"/>
    <w:rsid w:val="009B51D7"/>
    <w:rsid w:val="009D3BEA"/>
    <w:rsid w:val="009D5161"/>
    <w:rsid w:val="009D7851"/>
    <w:rsid w:val="009E4D16"/>
    <w:rsid w:val="009E7732"/>
    <w:rsid w:val="009F12E2"/>
    <w:rsid w:val="009F3358"/>
    <w:rsid w:val="009F478B"/>
    <w:rsid w:val="009F69C1"/>
    <w:rsid w:val="00A15FB2"/>
    <w:rsid w:val="00A160A5"/>
    <w:rsid w:val="00A1651E"/>
    <w:rsid w:val="00A40EE1"/>
    <w:rsid w:val="00A423ED"/>
    <w:rsid w:val="00A536F3"/>
    <w:rsid w:val="00A8777B"/>
    <w:rsid w:val="00A91D08"/>
    <w:rsid w:val="00AA6318"/>
    <w:rsid w:val="00AA7FCB"/>
    <w:rsid w:val="00AB59AE"/>
    <w:rsid w:val="00AB5BD9"/>
    <w:rsid w:val="00AB5DAF"/>
    <w:rsid w:val="00AD0AA1"/>
    <w:rsid w:val="00AD41A7"/>
    <w:rsid w:val="00AD5370"/>
    <w:rsid w:val="00AE07A3"/>
    <w:rsid w:val="00AE372A"/>
    <w:rsid w:val="00AE4D3F"/>
    <w:rsid w:val="00AF4519"/>
    <w:rsid w:val="00B00621"/>
    <w:rsid w:val="00B0069C"/>
    <w:rsid w:val="00B275A9"/>
    <w:rsid w:val="00B40DBF"/>
    <w:rsid w:val="00B44231"/>
    <w:rsid w:val="00B457C4"/>
    <w:rsid w:val="00B54060"/>
    <w:rsid w:val="00B601A1"/>
    <w:rsid w:val="00B70B9E"/>
    <w:rsid w:val="00B71178"/>
    <w:rsid w:val="00B76560"/>
    <w:rsid w:val="00B830BB"/>
    <w:rsid w:val="00B910AC"/>
    <w:rsid w:val="00B914A2"/>
    <w:rsid w:val="00B9541E"/>
    <w:rsid w:val="00B96360"/>
    <w:rsid w:val="00BA4CDE"/>
    <w:rsid w:val="00BA70D3"/>
    <w:rsid w:val="00BB0488"/>
    <w:rsid w:val="00BB34BC"/>
    <w:rsid w:val="00BB38B0"/>
    <w:rsid w:val="00BB3ED5"/>
    <w:rsid w:val="00BB4AB9"/>
    <w:rsid w:val="00BC07C0"/>
    <w:rsid w:val="00BD350F"/>
    <w:rsid w:val="00BD3CFF"/>
    <w:rsid w:val="00BE3C24"/>
    <w:rsid w:val="00BE58DE"/>
    <w:rsid w:val="00BE59BD"/>
    <w:rsid w:val="00BE7278"/>
    <w:rsid w:val="00BF0B11"/>
    <w:rsid w:val="00BF5FF4"/>
    <w:rsid w:val="00BF6095"/>
    <w:rsid w:val="00C0174A"/>
    <w:rsid w:val="00C05D9B"/>
    <w:rsid w:val="00C070D0"/>
    <w:rsid w:val="00C14B91"/>
    <w:rsid w:val="00C26130"/>
    <w:rsid w:val="00C315B6"/>
    <w:rsid w:val="00C3217E"/>
    <w:rsid w:val="00C376F3"/>
    <w:rsid w:val="00C4132F"/>
    <w:rsid w:val="00C463D2"/>
    <w:rsid w:val="00C62A44"/>
    <w:rsid w:val="00C72366"/>
    <w:rsid w:val="00C80A39"/>
    <w:rsid w:val="00C81936"/>
    <w:rsid w:val="00C84C4C"/>
    <w:rsid w:val="00C87121"/>
    <w:rsid w:val="00C9142E"/>
    <w:rsid w:val="00C971F8"/>
    <w:rsid w:val="00CA7D78"/>
    <w:rsid w:val="00CB631F"/>
    <w:rsid w:val="00CB64E5"/>
    <w:rsid w:val="00CC5314"/>
    <w:rsid w:val="00CD5498"/>
    <w:rsid w:val="00CE58AD"/>
    <w:rsid w:val="00D0019C"/>
    <w:rsid w:val="00D0222B"/>
    <w:rsid w:val="00D17F80"/>
    <w:rsid w:val="00D25C36"/>
    <w:rsid w:val="00D3182B"/>
    <w:rsid w:val="00D44B79"/>
    <w:rsid w:val="00D52AD6"/>
    <w:rsid w:val="00D73432"/>
    <w:rsid w:val="00D74637"/>
    <w:rsid w:val="00D861C1"/>
    <w:rsid w:val="00D8620D"/>
    <w:rsid w:val="00D86901"/>
    <w:rsid w:val="00D92835"/>
    <w:rsid w:val="00D94424"/>
    <w:rsid w:val="00DA6DB6"/>
    <w:rsid w:val="00DC03F6"/>
    <w:rsid w:val="00DC41C9"/>
    <w:rsid w:val="00DC42C4"/>
    <w:rsid w:val="00DC5473"/>
    <w:rsid w:val="00DD2F76"/>
    <w:rsid w:val="00DE373F"/>
    <w:rsid w:val="00DE5682"/>
    <w:rsid w:val="00DE6FE8"/>
    <w:rsid w:val="00DF1478"/>
    <w:rsid w:val="00DF339E"/>
    <w:rsid w:val="00E114C5"/>
    <w:rsid w:val="00E13D93"/>
    <w:rsid w:val="00E162F5"/>
    <w:rsid w:val="00E22295"/>
    <w:rsid w:val="00E239CA"/>
    <w:rsid w:val="00E24B8A"/>
    <w:rsid w:val="00E3230E"/>
    <w:rsid w:val="00E35775"/>
    <w:rsid w:val="00E44AFF"/>
    <w:rsid w:val="00E54FE3"/>
    <w:rsid w:val="00E610F6"/>
    <w:rsid w:val="00E62859"/>
    <w:rsid w:val="00E63AA4"/>
    <w:rsid w:val="00E64E84"/>
    <w:rsid w:val="00E717CB"/>
    <w:rsid w:val="00E74C37"/>
    <w:rsid w:val="00E826D1"/>
    <w:rsid w:val="00E95CF7"/>
    <w:rsid w:val="00EA03BD"/>
    <w:rsid w:val="00EA0EEB"/>
    <w:rsid w:val="00EA5118"/>
    <w:rsid w:val="00EA69F1"/>
    <w:rsid w:val="00EC5336"/>
    <w:rsid w:val="00ED2DCC"/>
    <w:rsid w:val="00EF2BE5"/>
    <w:rsid w:val="00F042FA"/>
    <w:rsid w:val="00F22813"/>
    <w:rsid w:val="00F2442A"/>
    <w:rsid w:val="00F51AFD"/>
    <w:rsid w:val="00F55404"/>
    <w:rsid w:val="00F612FF"/>
    <w:rsid w:val="00F6493F"/>
    <w:rsid w:val="00F75663"/>
    <w:rsid w:val="00F811E7"/>
    <w:rsid w:val="00F9056C"/>
    <w:rsid w:val="00FA1251"/>
    <w:rsid w:val="00FB4891"/>
    <w:rsid w:val="00FC686F"/>
    <w:rsid w:val="00FC7FBE"/>
    <w:rsid w:val="00FD3E97"/>
    <w:rsid w:val="00FE0378"/>
    <w:rsid w:val="00FE2347"/>
    <w:rsid w:val="00FE704F"/>
    <w:rsid w:val="00FF0780"/>
    <w:rsid w:val="2BC2AA35"/>
    <w:rsid w:val="2EFA4AF7"/>
    <w:rsid w:val="307DC0F3"/>
    <w:rsid w:val="3F9CD3CD"/>
    <w:rsid w:val="4903068C"/>
    <w:rsid w:val="58142C8C"/>
    <w:rsid w:val="65FEA9C5"/>
    <w:rsid w:val="6B72455D"/>
    <w:rsid w:val="75050A66"/>
    <w:rsid w:val="777F3E55"/>
    <w:rsid w:val="7F82C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3DADDF5B"/>
  <w15:chartTrackingRefBased/>
  <w15:docId w15:val="{4D06C56F-AD9D-4993-8328-625B2072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1C9"/>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1C9"/>
    <w:pPr>
      <w:tabs>
        <w:tab w:val="center" w:pos="4320"/>
        <w:tab w:val="right" w:pos="8640"/>
      </w:tabs>
    </w:pPr>
  </w:style>
  <w:style w:type="paragraph" w:styleId="Footer">
    <w:name w:val="footer"/>
    <w:basedOn w:val="Normal"/>
    <w:link w:val="FooterChar"/>
    <w:uiPriority w:val="99"/>
    <w:rsid w:val="00DC41C9"/>
    <w:pPr>
      <w:tabs>
        <w:tab w:val="center" w:pos="4320"/>
        <w:tab w:val="right" w:pos="8640"/>
      </w:tabs>
    </w:pPr>
  </w:style>
  <w:style w:type="paragraph" w:styleId="BodyText">
    <w:name w:val="Body Text"/>
    <w:aliases w:val="bt"/>
    <w:basedOn w:val="Normal"/>
    <w:rsid w:val="004F34E5"/>
    <w:rPr>
      <w:color w:val="auto"/>
      <w:kern w:val="0"/>
      <w:sz w:val="24"/>
    </w:rPr>
  </w:style>
  <w:style w:type="character" w:styleId="Hyperlink">
    <w:name w:val="Hyperlink"/>
    <w:uiPriority w:val="99"/>
    <w:rsid w:val="004F34E5"/>
    <w:rPr>
      <w:color w:val="0000FF"/>
      <w:u w:val="single"/>
    </w:rPr>
  </w:style>
  <w:style w:type="paragraph" w:styleId="BalloonText">
    <w:name w:val="Balloon Text"/>
    <w:basedOn w:val="Normal"/>
    <w:semiHidden/>
    <w:rsid w:val="00136514"/>
    <w:rPr>
      <w:rFonts w:ascii="Tahoma" w:hAnsi="Tahoma" w:cs="Tahoma"/>
      <w:sz w:val="16"/>
      <w:szCs w:val="16"/>
    </w:rPr>
  </w:style>
  <w:style w:type="character" w:customStyle="1" w:styleId="cthomas">
    <w:name w:val="cthomas"/>
    <w:semiHidden/>
    <w:rsid w:val="002E34EA"/>
    <w:rPr>
      <w:rFonts w:ascii="Arial" w:hAnsi="Arial" w:cs="Arial"/>
      <w:color w:val="auto"/>
      <w:sz w:val="20"/>
      <w:szCs w:val="20"/>
    </w:rPr>
  </w:style>
  <w:style w:type="paragraph" w:styleId="NormalWeb">
    <w:name w:val="Normal (Web)"/>
    <w:basedOn w:val="Normal"/>
    <w:uiPriority w:val="99"/>
    <w:rsid w:val="002C57BC"/>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2C57BC"/>
  </w:style>
  <w:style w:type="character" w:styleId="Strong">
    <w:name w:val="Strong"/>
    <w:qFormat/>
    <w:rsid w:val="002C57BC"/>
    <w:rPr>
      <w:b/>
      <w:bCs/>
    </w:rPr>
  </w:style>
  <w:style w:type="character" w:styleId="Emphasis">
    <w:name w:val="Emphasis"/>
    <w:uiPriority w:val="20"/>
    <w:qFormat/>
    <w:rsid w:val="002C57BC"/>
    <w:rPr>
      <w:i/>
      <w:iCs/>
    </w:rPr>
  </w:style>
  <w:style w:type="paragraph" w:styleId="BodyText2">
    <w:name w:val="Body Text 2"/>
    <w:basedOn w:val="Normal"/>
    <w:rsid w:val="007143B8"/>
    <w:pPr>
      <w:spacing w:after="120" w:line="480" w:lineRule="auto"/>
    </w:pPr>
  </w:style>
  <w:style w:type="paragraph" w:customStyle="1" w:styleId="ColorfulList-Accent11">
    <w:name w:val="Colorful List - Accent 11"/>
    <w:basedOn w:val="Normal"/>
    <w:uiPriority w:val="34"/>
    <w:qFormat/>
    <w:rsid w:val="004D3EE9"/>
    <w:pPr>
      <w:spacing w:after="200" w:line="276" w:lineRule="auto"/>
      <w:ind w:left="720"/>
      <w:contextualSpacing/>
    </w:pPr>
    <w:rPr>
      <w:rFonts w:ascii="Calibri" w:eastAsia="Calibri" w:hAnsi="Calibri"/>
      <w:color w:val="auto"/>
      <w:kern w:val="0"/>
      <w:sz w:val="22"/>
      <w:szCs w:val="22"/>
    </w:rPr>
  </w:style>
  <w:style w:type="character" w:customStyle="1" w:styleId="FooterChar">
    <w:name w:val="Footer Char"/>
    <w:link w:val="Footer"/>
    <w:uiPriority w:val="99"/>
    <w:rsid w:val="004B1E4E"/>
    <w:rPr>
      <w:color w:val="000000"/>
      <w:kern w:val="28"/>
    </w:rPr>
  </w:style>
  <w:style w:type="paragraph" w:styleId="FootnoteText">
    <w:name w:val="footnote text"/>
    <w:basedOn w:val="Normal"/>
    <w:link w:val="FootnoteTextChar"/>
    <w:uiPriority w:val="99"/>
    <w:rsid w:val="00D17F80"/>
  </w:style>
  <w:style w:type="character" w:customStyle="1" w:styleId="FootnoteTextChar">
    <w:name w:val="Footnote Text Char"/>
    <w:link w:val="FootnoteText"/>
    <w:uiPriority w:val="99"/>
    <w:rsid w:val="00D17F80"/>
    <w:rPr>
      <w:color w:val="000000"/>
      <w:kern w:val="28"/>
    </w:rPr>
  </w:style>
  <w:style w:type="character" w:styleId="FootnoteReference">
    <w:name w:val="footnote reference"/>
    <w:uiPriority w:val="99"/>
    <w:rsid w:val="00D17F80"/>
    <w:rPr>
      <w:vertAlign w:val="superscript"/>
    </w:rPr>
  </w:style>
  <w:style w:type="paragraph" w:styleId="Caption">
    <w:name w:val="caption"/>
    <w:basedOn w:val="Normal"/>
    <w:next w:val="Normal"/>
    <w:qFormat/>
    <w:rsid w:val="00E64E84"/>
    <w:rPr>
      <w:rFonts w:ascii="Calibri" w:hAnsi="Calibri"/>
    </w:rPr>
  </w:style>
  <w:style w:type="character" w:styleId="FollowedHyperlink">
    <w:name w:val="FollowedHyperlink"/>
    <w:rsid w:val="0093514D"/>
    <w:rPr>
      <w:color w:val="954F72"/>
      <w:u w:val="single"/>
    </w:rPr>
  </w:style>
  <w:style w:type="character" w:styleId="UnresolvedMention">
    <w:name w:val="Unresolved Mention"/>
    <w:uiPriority w:val="99"/>
    <w:semiHidden/>
    <w:unhideWhenUsed/>
    <w:rsid w:val="000E7252"/>
    <w:rPr>
      <w:color w:val="605E5C"/>
      <w:shd w:val="clear" w:color="auto" w:fill="E1DFDD"/>
    </w:rPr>
  </w:style>
  <w:style w:type="paragraph" w:styleId="ListParagraph">
    <w:name w:val="List Paragraph"/>
    <w:basedOn w:val="Normal"/>
    <w:uiPriority w:val="34"/>
    <w:qFormat/>
    <w:rsid w:val="003422CD"/>
    <w:pPr>
      <w:ind w:left="720"/>
    </w:pPr>
  </w:style>
  <w:style w:type="character" w:styleId="CommentReference">
    <w:name w:val="annotation reference"/>
    <w:rsid w:val="007C30D8"/>
    <w:rPr>
      <w:sz w:val="16"/>
      <w:szCs w:val="16"/>
    </w:rPr>
  </w:style>
  <w:style w:type="paragraph" w:styleId="CommentText">
    <w:name w:val="annotation text"/>
    <w:basedOn w:val="Normal"/>
    <w:link w:val="CommentTextChar"/>
    <w:rsid w:val="007C30D8"/>
  </w:style>
  <w:style w:type="character" w:customStyle="1" w:styleId="CommentTextChar">
    <w:name w:val="Comment Text Char"/>
    <w:link w:val="CommentText"/>
    <w:rsid w:val="007C30D8"/>
    <w:rPr>
      <w:color w:val="000000"/>
      <w:kern w:val="28"/>
    </w:rPr>
  </w:style>
  <w:style w:type="paragraph" w:styleId="CommentSubject">
    <w:name w:val="annotation subject"/>
    <w:basedOn w:val="CommentText"/>
    <w:next w:val="CommentText"/>
    <w:link w:val="CommentSubjectChar"/>
    <w:rsid w:val="007C30D8"/>
    <w:rPr>
      <w:b/>
      <w:bCs/>
    </w:rPr>
  </w:style>
  <w:style w:type="character" w:customStyle="1" w:styleId="CommentSubjectChar">
    <w:name w:val="Comment Subject Char"/>
    <w:link w:val="CommentSubject"/>
    <w:rsid w:val="007C30D8"/>
    <w:rPr>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3304">
      <w:bodyDiv w:val="1"/>
      <w:marLeft w:val="0"/>
      <w:marRight w:val="0"/>
      <w:marTop w:val="0"/>
      <w:marBottom w:val="0"/>
      <w:divBdr>
        <w:top w:val="none" w:sz="0" w:space="0" w:color="auto"/>
        <w:left w:val="none" w:sz="0" w:space="0" w:color="auto"/>
        <w:bottom w:val="none" w:sz="0" w:space="0" w:color="auto"/>
        <w:right w:val="none" w:sz="0" w:space="0" w:color="auto"/>
      </w:divBdr>
    </w:div>
    <w:div w:id="482504726">
      <w:bodyDiv w:val="1"/>
      <w:marLeft w:val="0"/>
      <w:marRight w:val="0"/>
      <w:marTop w:val="0"/>
      <w:marBottom w:val="0"/>
      <w:divBdr>
        <w:top w:val="none" w:sz="0" w:space="0" w:color="auto"/>
        <w:left w:val="none" w:sz="0" w:space="0" w:color="auto"/>
        <w:bottom w:val="none" w:sz="0" w:space="0" w:color="auto"/>
        <w:right w:val="none" w:sz="0" w:space="0" w:color="auto"/>
      </w:divBdr>
    </w:div>
    <w:div w:id="587466679">
      <w:bodyDiv w:val="1"/>
      <w:marLeft w:val="0"/>
      <w:marRight w:val="0"/>
      <w:marTop w:val="0"/>
      <w:marBottom w:val="0"/>
      <w:divBdr>
        <w:top w:val="none" w:sz="0" w:space="0" w:color="auto"/>
        <w:left w:val="none" w:sz="0" w:space="0" w:color="auto"/>
        <w:bottom w:val="none" w:sz="0" w:space="0" w:color="auto"/>
        <w:right w:val="none" w:sz="0" w:space="0" w:color="auto"/>
      </w:divBdr>
    </w:div>
    <w:div w:id="638925115">
      <w:bodyDiv w:val="1"/>
      <w:marLeft w:val="0"/>
      <w:marRight w:val="0"/>
      <w:marTop w:val="0"/>
      <w:marBottom w:val="0"/>
      <w:divBdr>
        <w:top w:val="none" w:sz="0" w:space="0" w:color="auto"/>
        <w:left w:val="none" w:sz="0" w:space="0" w:color="auto"/>
        <w:bottom w:val="none" w:sz="0" w:space="0" w:color="auto"/>
        <w:right w:val="none" w:sz="0" w:space="0" w:color="auto"/>
      </w:divBdr>
    </w:div>
    <w:div w:id="801920118">
      <w:bodyDiv w:val="1"/>
      <w:marLeft w:val="0"/>
      <w:marRight w:val="0"/>
      <w:marTop w:val="0"/>
      <w:marBottom w:val="0"/>
      <w:divBdr>
        <w:top w:val="none" w:sz="0" w:space="0" w:color="auto"/>
        <w:left w:val="none" w:sz="0" w:space="0" w:color="auto"/>
        <w:bottom w:val="none" w:sz="0" w:space="0" w:color="auto"/>
        <w:right w:val="none" w:sz="0" w:space="0" w:color="auto"/>
      </w:divBdr>
    </w:div>
    <w:div w:id="836503773">
      <w:bodyDiv w:val="1"/>
      <w:marLeft w:val="0"/>
      <w:marRight w:val="0"/>
      <w:marTop w:val="0"/>
      <w:marBottom w:val="0"/>
      <w:divBdr>
        <w:top w:val="none" w:sz="0" w:space="0" w:color="auto"/>
        <w:left w:val="none" w:sz="0" w:space="0" w:color="auto"/>
        <w:bottom w:val="none" w:sz="0" w:space="0" w:color="auto"/>
        <w:right w:val="none" w:sz="0" w:space="0" w:color="auto"/>
      </w:divBdr>
    </w:div>
    <w:div w:id="851994709">
      <w:bodyDiv w:val="1"/>
      <w:marLeft w:val="0"/>
      <w:marRight w:val="0"/>
      <w:marTop w:val="0"/>
      <w:marBottom w:val="0"/>
      <w:divBdr>
        <w:top w:val="none" w:sz="0" w:space="0" w:color="auto"/>
        <w:left w:val="none" w:sz="0" w:space="0" w:color="auto"/>
        <w:bottom w:val="none" w:sz="0" w:space="0" w:color="auto"/>
        <w:right w:val="none" w:sz="0" w:space="0" w:color="auto"/>
      </w:divBdr>
    </w:div>
    <w:div w:id="1036852547">
      <w:bodyDiv w:val="1"/>
      <w:marLeft w:val="0"/>
      <w:marRight w:val="0"/>
      <w:marTop w:val="0"/>
      <w:marBottom w:val="0"/>
      <w:divBdr>
        <w:top w:val="none" w:sz="0" w:space="0" w:color="auto"/>
        <w:left w:val="none" w:sz="0" w:space="0" w:color="auto"/>
        <w:bottom w:val="none" w:sz="0" w:space="0" w:color="auto"/>
        <w:right w:val="none" w:sz="0" w:space="0" w:color="auto"/>
      </w:divBdr>
    </w:div>
    <w:div w:id="1057168990">
      <w:bodyDiv w:val="1"/>
      <w:marLeft w:val="0"/>
      <w:marRight w:val="0"/>
      <w:marTop w:val="0"/>
      <w:marBottom w:val="0"/>
      <w:divBdr>
        <w:top w:val="none" w:sz="0" w:space="0" w:color="auto"/>
        <w:left w:val="none" w:sz="0" w:space="0" w:color="auto"/>
        <w:bottom w:val="none" w:sz="0" w:space="0" w:color="auto"/>
        <w:right w:val="none" w:sz="0" w:space="0" w:color="auto"/>
      </w:divBdr>
    </w:div>
    <w:div w:id="1271208179">
      <w:bodyDiv w:val="1"/>
      <w:marLeft w:val="0"/>
      <w:marRight w:val="0"/>
      <w:marTop w:val="0"/>
      <w:marBottom w:val="0"/>
      <w:divBdr>
        <w:top w:val="none" w:sz="0" w:space="0" w:color="auto"/>
        <w:left w:val="none" w:sz="0" w:space="0" w:color="auto"/>
        <w:bottom w:val="none" w:sz="0" w:space="0" w:color="auto"/>
        <w:right w:val="none" w:sz="0" w:space="0" w:color="auto"/>
      </w:divBdr>
    </w:div>
    <w:div w:id="1294290294">
      <w:bodyDiv w:val="1"/>
      <w:marLeft w:val="0"/>
      <w:marRight w:val="0"/>
      <w:marTop w:val="0"/>
      <w:marBottom w:val="0"/>
      <w:divBdr>
        <w:top w:val="none" w:sz="0" w:space="0" w:color="auto"/>
        <w:left w:val="none" w:sz="0" w:space="0" w:color="auto"/>
        <w:bottom w:val="none" w:sz="0" w:space="0" w:color="auto"/>
        <w:right w:val="none" w:sz="0" w:space="0" w:color="auto"/>
      </w:divBdr>
    </w:div>
    <w:div w:id="1312754747">
      <w:bodyDiv w:val="1"/>
      <w:marLeft w:val="0"/>
      <w:marRight w:val="0"/>
      <w:marTop w:val="0"/>
      <w:marBottom w:val="0"/>
      <w:divBdr>
        <w:top w:val="none" w:sz="0" w:space="0" w:color="auto"/>
        <w:left w:val="none" w:sz="0" w:space="0" w:color="auto"/>
        <w:bottom w:val="none" w:sz="0" w:space="0" w:color="auto"/>
        <w:right w:val="none" w:sz="0" w:space="0" w:color="auto"/>
      </w:divBdr>
    </w:div>
    <w:div w:id="1345936649">
      <w:bodyDiv w:val="1"/>
      <w:marLeft w:val="0"/>
      <w:marRight w:val="0"/>
      <w:marTop w:val="0"/>
      <w:marBottom w:val="0"/>
      <w:divBdr>
        <w:top w:val="none" w:sz="0" w:space="0" w:color="auto"/>
        <w:left w:val="none" w:sz="0" w:space="0" w:color="auto"/>
        <w:bottom w:val="none" w:sz="0" w:space="0" w:color="auto"/>
        <w:right w:val="none" w:sz="0" w:space="0" w:color="auto"/>
      </w:divBdr>
    </w:div>
    <w:div w:id="1393231624">
      <w:bodyDiv w:val="1"/>
      <w:marLeft w:val="0"/>
      <w:marRight w:val="0"/>
      <w:marTop w:val="0"/>
      <w:marBottom w:val="0"/>
      <w:divBdr>
        <w:top w:val="none" w:sz="0" w:space="0" w:color="auto"/>
        <w:left w:val="none" w:sz="0" w:space="0" w:color="auto"/>
        <w:bottom w:val="none" w:sz="0" w:space="0" w:color="auto"/>
        <w:right w:val="none" w:sz="0" w:space="0" w:color="auto"/>
      </w:divBdr>
    </w:div>
    <w:div w:id="1432821029">
      <w:bodyDiv w:val="1"/>
      <w:marLeft w:val="0"/>
      <w:marRight w:val="0"/>
      <w:marTop w:val="0"/>
      <w:marBottom w:val="0"/>
      <w:divBdr>
        <w:top w:val="none" w:sz="0" w:space="0" w:color="auto"/>
        <w:left w:val="none" w:sz="0" w:space="0" w:color="auto"/>
        <w:bottom w:val="none" w:sz="0" w:space="0" w:color="auto"/>
        <w:right w:val="none" w:sz="0" w:space="0" w:color="auto"/>
      </w:divBdr>
    </w:div>
    <w:div w:id="1624798998">
      <w:bodyDiv w:val="1"/>
      <w:marLeft w:val="0"/>
      <w:marRight w:val="0"/>
      <w:marTop w:val="0"/>
      <w:marBottom w:val="0"/>
      <w:divBdr>
        <w:top w:val="none" w:sz="0" w:space="0" w:color="auto"/>
        <w:left w:val="none" w:sz="0" w:space="0" w:color="auto"/>
        <w:bottom w:val="none" w:sz="0" w:space="0" w:color="auto"/>
        <w:right w:val="none" w:sz="0" w:space="0" w:color="auto"/>
      </w:divBdr>
    </w:div>
    <w:div w:id="1927419505">
      <w:bodyDiv w:val="1"/>
      <w:marLeft w:val="0"/>
      <w:marRight w:val="0"/>
      <w:marTop w:val="0"/>
      <w:marBottom w:val="0"/>
      <w:divBdr>
        <w:top w:val="none" w:sz="0" w:space="0" w:color="auto"/>
        <w:left w:val="none" w:sz="0" w:space="0" w:color="auto"/>
        <w:bottom w:val="none" w:sz="0" w:space="0" w:color="auto"/>
        <w:right w:val="none" w:sz="0" w:space="0" w:color="auto"/>
      </w:divBdr>
    </w:div>
    <w:div w:id="20245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unwatch.org/defend-the-rights-of-victims-in-nicaragua/" TargetMode="External"/><Relationship Id="rId13" Type="http://schemas.openxmlformats.org/officeDocument/2006/relationships/hyperlink" Target="https://www.aljazeera.com/news/2019/04/year-nicaragua-crisis-women-face-dramatic-consequences-190418212037100.html" TargetMode="External"/><Relationship Id="rId3" Type="http://schemas.openxmlformats.org/officeDocument/2006/relationships/hyperlink" Target="https://www.el19digital.com/app/webroot/tinymce/source/2018/&#8203;&#8203;00-Marzo/Del19al25deMarzo/Lunes19Mar/Mapa%20Violencia%20Contra%20las%20Mujeres%20-.%20Municipios%20%20Completos.%20ACTUALIZADO.pdf" TargetMode="External"/><Relationship Id="rId7" Type="http://schemas.openxmlformats.org/officeDocument/2006/relationships/hyperlink" Target="https://www.cambridge.org/core/services/aop-cambridge-core/content/view/C2F90E9F19DF6E1C5BD7E27F58EA0930/S1531426X18000067a.pdf/transnational_governance_local_politics_and_gender_violence_law_in_nicaragua.pdf" TargetMode="External"/><Relationship Id="rId12" Type="http://schemas.openxmlformats.org/officeDocument/2006/relationships/hyperlink" Target="https://www.hrw.org/report/2019/06/19/crackdown-nicaragua/torture-ill-treatment-and-prosecutions-protesters-and" TargetMode="External"/><Relationship Id="rId2" Type="http://schemas.openxmlformats.org/officeDocument/2006/relationships/hyperlink" Target="https://nacla.org/news/2017/04/28/nicaragua-failure-address-violence-against-women" TargetMode="External"/><Relationship Id="rId1" Type="http://schemas.openxmlformats.org/officeDocument/2006/relationships/hyperlink" Target="file:///C:/Users/elacy/Downloads/countingtheinvisible_nicaragua.pdf" TargetMode="External"/><Relationship Id="rId6" Type="http://schemas.openxmlformats.org/officeDocument/2006/relationships/hyperlink" Target="https://www.cambridge.org/core/services/aop-cambridge-core/content/view/C2F90E9F19DF6E1C5BD7E27F58EA0930/S1531426X18000067a.pdf/transnational_governance_local_politics_and_gender_violence_law_in_nicaragua.pdf" TargetMode="External"/><Relationship Id="rId11" Type="http://schemas.openxmlformats.org/officeDocument/2006/relationships/hyperlink" Target="https://nacla.org/news/2017/04/28/nicaragua-failure-address-violence-against-women" TargetMode="External"/><Relationship Id="rId5" Type="http://schemas.openxmlformats.org/officeDocument/2006/relationships/hyperlink" Target="https://www.cambridge.org/core/services/aop-cambridge-core/content/view/C2F90E9F19DF6E1C5BD7E27F58EA0930/S1531426X18000067a.pdf/transnational_governance_local_politics_and_gender_violence_law_in_nicaragua.pdf" TargetMode="External"/><Relationship Id="rId10" Type="http://schemas.openxmlformats.org/officeDocument/2006/relationships/hyperlink" Target="https://www.cambridge.org/core/services/aop-cambridge-core/content/view/C2F90E9F19DF6E1C5BD7E27F58EA0930/S1531426X18000067a.pdf/transnational_governance_local_politics_and_gender_violence_law_in_nicaragua.pdf" TargetMode="External"/><Relationship Id="rId4" Type="http://schemas.openxmlformats.org/officeDocument/2006/relationships/hyperlink" Target="file:///C:/Users/elacy/Downloads/countingtheinvisible_nicaragua.pdf" TargetMode="External"/><Relationship Id="rId9" Type="http://schemas.openxmlformats.org/officeDocument/2006/relationships/hyperlink" Target="https://www.pri.org/stories/2015-09-10/promise-justice-receding-nicaraguan-women-sa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CB454-CAE6-46E8-95D6-C229AE9829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9FC26-741B-43BC-84AC-5E015DBEA399}">
  <ds:schemaRefs>
    <ds:schemaRef ds:uri="http://schemas.microsoft.com/office/2006/metadata/longProperties"/>
  </ds:schemaRefs>
</ds:datastoreItem>
</file>

<file path=customXml/itemProps3.xml><?xml version="1.0" encoding="utf-8"?>
<ds:datastoreItem xmlns:ds="http://schemas.openxmlformats.org/officeDocument/2006/customXml" ds:itemID="{3A63E5B2-6364-4D09-81FC-EEA5A20DF76D}">
  <ds:schemaRefs>
    <ds:schemaRef ds:uri="http://schemas.openxmlformats.org/officeDocument/2006/bibliography"/>
  </ds:schemaRefs>
</ds:datastoreItem>
</file>

<file path=customXml/itemProps4.xml><?xml version="1.0" encoding="utf-8"?>
<ds:datastoreItem xmlns:ds="http://schemas.openxmlformats.org/officeDocument/2006/customXml" ds:itemID="{D2E324C6-A8A4-4648-A454-29A76C34AB48}">
  <ds:schemaRefs>
    <ds:schemaRef ds:uri="http://schemas.microsoft.com/sharepoint/v3/contenttype/forms"/>
  </ds:schemaRefs>
</ds:datastoreItem>
</file>

<file path=customXml/itemProps5.xml><?xml version="1.0" encoding="utf-8"?>
<ds:datastoreItem xmlns:ds="http://schemas.openxmlformats.org/officeDocument/2006/customXml" ds:itemID="{CDC30FC9-14F9-46EA-844E-839E74DE3C86}"/>
</file>

<file path=docProps/app.xml><?xml version="1.0" encoding="utf-8"?>
<Properties xmlns="http://schemas.openxmlformats.org/officeDocument/2006/extended-properties" xmlns:vt="http://schemas.openxmlformats.org/officeDocument/2006/docPropsVTypes">
  <Template>Normal</Template>
  <TotalTime>1</TotalTime>
  <Pages>8</Pages>
  <Words>2396</Words>
  <Characters>13663</Characters>
  <Application>Microsoft Office Word</Application>
  <DocSecurity>0</DocSecurity>
  <Lines>113</Lines>
  <Paragraphs>32</Paragraphs>
  <ScaleCrop>false</ScaleCrop>
  <Company>Minnesota Advocates for Human Rights</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Herder</dc:creator>
  <cp:keywords/>
  <cp:lastModifiedBy>Elizabeth Lacy</cp:lastModifiedBy>
  <cp:revision>2</cp:revision>
  <cp:lastPrinted>2020-01-24T15:32:00Z</cp:lastPrinted>
  <dcterms:created xsi:type="dcterms:W3CDTF">2021-09-17T18:50:00Z</dcterms:created>
  <dcterms:modified xsi:type="dcterms:W3CDTF">2021-09-17T18:50:00Z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Elizabeth Lacy</vt:lpwstr>
  </property>
  <property fmtid="{D5CDD505-2E9C-101B-9397-08002B2CF9AE}" pid="3" name="Order">
    <vt:lpwstr>254400.000000000</vt:lpwstr>
  </property>
  <property fmtid="{D5CDD505-2E9C-101B-9397-08002B2CF9AE}" pid="4" name="display_urn:schemas-microsoft-com:office:office#Author">
    <vt:lpwstr>Elizabeth Lacy</vt:lpwstr>
  </property>
  <property fmtid="{D5CDD505-2E9C-101B-9397-08002B2CF9AE}" pid="5" name="ContentTypeId">
    <vt:lpwstr>0x010100F397614B75B84E4C841CE911BA0CCB9D</vt:lpwstr>
  </property>
</Properties>
</file>