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822BD" w14:textId="77777777" w:rsidR="006426AD" w:rsidRDefault="006426AD" w:rsidP="00216A43"/>
    <w:p w14:paraId="3E7EAE80" w14:textId="24D8F5CF" w:rsidR="00E86556" w:rsidRPr="003306DA" w:rsidRDefault="00E86556" w:rsidP="00481997">
      <w:pPr>
        <w:jc w:val="center"/>
        <w:rPr>
          <w:rFonts w:eastAsia="MetaPro-Norm" w:cs="MetaPro-Norm"/>
          <w:b/>
          <w:bCs/>
          <w:szCs w:val="22"/>
        </w:rPr>
      </w:pPr>
      <w:r w:rsidRPr="003306DA">
        <w:rPr>
          <w:b/>
          <w:bCs/>
          <w:szCs w:val="22"/>
        </w:rPr>
        <w:t>S</w:t>
      </w:r>
      <w:r w:rsidRPr="003306DA">
        <w:rPr>
          <w:rFonts w:eastAsia="MetaPro-Norm" w:cs="MetaPro-Norm"/>
          <w:b/>
          <w:bCs/>
          <w:szCs w:val="22"/>
        </w:rPr>
        <w:t xml:space="preserve">ubmission to the </w:t>
      </w:r>
      <w:r w:rsidR="00EE591D" w:rsidRPr="003306DA">
        <w:rPr>
          <w:rFonts w:eastAsia="MetaPro-Norm" w:cs="MetaPro-Norm"/>
          <w:b/>
          <w:bCs/>
          <w:szCs w:val="22"/>
        </w:rPr>
        <w:t xml:space="preserve">United Nations </w:t>
      </w:r>
      <w:r w:rsidRPr="003306DA">
        <w:rPr>
          <w:rFonts w:eastAsia="MetaPro-Norm" w:cs="MetaPro-Norm"/>
          <w:b/>
          <w:bCs/>
          <w:szCs w:val="22"/>
        </w:rPr>
        <w:t xml:space="preserve">Committee on the Elimination of Discrimination </w:t>
      </w:r>
      <w:r w:rsidR="00C476D5" w:rsidRPr="003306DA">
        <w:rPr>
          <w:rFonts w:eastAsia="MetaPro-Norm" w:cs="MetaPro-Norm"/>
          <w:b/>
          <w:bCs/>
          <w:szCs w:val="22"/>
        </w:rPr>
        <w:t>A</w:t>
      </w:r>
      <w:r w:rsidRPr="003306DA">
        <w:rPr>
          <w:rFonts w:eastAsia="MetaPro-Norm" w:cs="MetaPro-Norm"/>
          <w:b/>
          <w:bCs/>
          <w:szCs w:val="22"/>
        </w:rPr>
        <w:t>gainst Women</w:t>
      </w:r>
      <w:r w:rsidR="00403E2B" w:rsidRPr="003306DA">
        <w:rPr>
          <w:rFonts w:eastAsia="MetaPro-Norm" w:cs="MetaPro-Norm"/>
          <w:b/>
          <w:bCs/>
          <w:szCs w:val="22"/>
        </w:rPr>
        <w:t xml:space="preserve"> on the </w:t>
      </w:r>
      <w:r w:rsidR="002E251E" w:rsidRPr="003306DA">
        <w:rPr>
          <w:rFonts w:eastAsia="MetaPro-Norm" w:cs="MetaPro-Norm"/>
          <w:b/>
          <w:bCs/>
          <w:szCs w:val="22"/>
        </w:rPr>
        <w:t>fifth periodic report of</w:t>
      </w:r>
      <w:r w:rsidRPr="003306DA">
        <w:rPr>
          <w:rFonts w:eastAsia="MetaPro-Norm" w:cs="MetaPro-Norm"/>
          <w:b/>
          <w:bCs/>
          <w:szCs w:val="22"/>
        </w:rPr>
        <w:t xml:space="preserve"> South Africa</w:t>
      </w:r>
    </w:p>
    <w:p w14:paraId="1CF947A2" w14:textId="77777777" w:rsidR="00E86556" w:rsidRPr="003306DA" w:rsidRDefault="00E86556" w:rsidP="00481997">
      <w:pPr>
        <w:jc w:val="center"/>
        <w:rPr>
          <w:rFonts w:eastAsia="MetaPro-Norm" w:cs="MetaPro-Norm"/>
          <w:b/>
          <w:bCs/>
          <w:szCs w:val="22"/>
        </w:rPr>
      </w:pPr>
      <w:r w:rsidRPr="003306DA">
        <w:rPr>
          <w:rFonts w:eastAsia="MetaPro-Norm" w:cs="MetaPro-Norm"/>
          <w:b/>
          <w:bCs/>
          <w:szCs w:val="22"/>
        </w:rPr>
        <w:t>80th Session</w:t>
      </w:r>
    </w:p>
    <w:p w14:paraId="223DD13E" w14:textId="0F93BBB8" w:rsidR="00E86556" w:rsidRPr="003306DA" w:rsidRDefault="01101215" w:rsidP="00481997">
      <w:pPr>
        <w:jc w:val="center"/>
        <w:rPr>
          <w:rFonts w:eastAsia="MetaPro-Norm" w:cs="MetaPro-Norm"/>
          <w:b/>
          <w:bCs/>
          <w:szCs w:val="22"/>
        </w:rPr>
      </w:pPr>
      <w:r w:rsidRPr="003306DA">
        <w:rPr>
          <w:rFonts w:eastAsia="MetaPro-Norm" w:cs="MetaPro-Norm"/>
          <w:b/>
          <w:bCs/>
          <w:szCs w:val="22"/>
        </w:rPr>
        <w:t xml:space="preserve">September </w:t>
      </w:r>
      <w:r w:rsidR="35A7B8CF" w:rsidRPr="003306DA">
        <w:rPr>
          <w:rFonts w:eastAsia="MetaPro-Norm" w:cs="MetaPro-Norm"/>
          <w:b/>
          <w:bCs/>
          <w:szCs w:val="22"/>
        </w:rPr>
        <w:t>2021</w:t>
      </w:r>
    </w:p>
    <w:p w14:paraId="389104A0" w14:textId="77777777" w:rsidR="00E86556" w:rsidRPr="00481997" w:rsidRDefault="00E86556" w:rsidP="00481997">
      <w:pPr>
        <w:rPr>
          <w:rFonts w:eastAsia="MetaPro-Norm" w:cs="MetaPro-Norm"/>
          <w:szCs w:val="22"/>
        </w:rPr>
      </w:pPr>
    </w:p>
    <w:p w14:paraId="2E6B4472" w14:textId="5106D267" w:rsidR="00E86556" w:rsidRPr="00481997" w:rsidRDefault="1836AE8E" w:rsidP="00481997">
      <w:pPr>
        <w:rPr>
          <w:rFonts w:eastAsia="MetaPro-Norm" w:cs="MetaPro-Norm"/>
          <w:szCs w:val="22"/>
          <w:highlight w:val="yellow"/>
        </w:rPr>
      </w:pPr>
      <w:r w:rsidRPr="00481997">
        <w:rPr>
          <w:rFonts w:eastAsia="MetaPro-Norm" w:cs="MetaPro-Norm"/>
          <w:szCs w:val="22"/>
        </w:rPr>
        <w:t xml:space="preserve">We write in advance of the 80th session of the Committee on the Elimination of Discrimination </w:t>
      </w:r>
      <w:r w:rsidR="00C476D5" w:rsidRPr="00481997">
        <w:rPr>
          <w:rFonts w:eastAsia="MetaPro-Norm" w:cs="MetaPro-Norm"/>
          <w:szCs w:val="22"/>
        </w:rPr>
        <w:t>A</w:t>
      </w:r>
      <w:r w:rsidRPr="00481997">
        <w:rPr>
          <w:rFonts w:eastAsia="MetaPro-Norm" w:cs="MetaPro-Norm"/>
          <w:szCs w:val="22"/>
        </w:rPr>
        <w:t>gainst Women and its adoption of a list of issues regarding South Africa’s compliance with the Convention on the Elimination of All Forms of Discrimination against Women</w:t>
      </w:r>
      <w:r w:rsidR="00C57F77">
        <w:rPr>
          <w:rFonts w:eastAsia="MetaPro-Norm" w:cs="MetaPro-Norm"/>
          <w:szCs w:val="22"/>
        </w:rPr>
        <w:t xml:space="preserve"> (CEDAW)</w:t>
      </w:r>
      <w:r w:rsidRPr="00481997">
        <w:rPr>
          <w:rFonts w:eastAsia="MetaPro-Norm" w:cs="MetaPro-Norm"/>
          <w:szCs w:val="22"/>
        </w:rPr>
        <w:t xml:space="preserve">. This submission includes information on access to education during the Covid-19 pandemic, </w:t>
      </w:r>
      <w:r w:rsidR="74402BA2" w:rsidRPr="00481997">
        <w:rPr>
          <w:rFonts w:eastAsia="MetaPro-Norm" w:cs="MetaPro-Norm"/>
          <w:szCs w:val="22"/>
        </w:rPr>
        <w:t xml:space="preserve">teenage pregnancies, </w:t>
      </w:r>
      <w:r w:rsidRPr="00481997">
        <w:rPr>
          <w:rFonts w:eastAsia="MetaPro-Norm" w:cs="MetaPro-Norm"/>
          <w:szCs w:val="22"/>
        </w:rPr>
        <w:t>protection of education from attack,</w:t>
      </w:r>
      <w:r w:rsidR="2603753C" w:rsidRPr="00481997">
        <w:rPr>
          <w:rFonts w:eastAsia="MetaPro-Norm" w:cs="MetaPro-Norm"/>
          <w:szCs w:val="22"/>
        </w:rPr>
        <w:t xml:space="preserve"> </w:t>
      </w:r>
      <w:r w:rsidR="46A5921C" w:rsidRPr="00481997">
        <w:rPr>
          <w:rFonts w:eastAsia="MetaPro-Norm" w:cs="MetaPro-Norm"/>
          <w:szCs w:val="22"/>
        </w:rPr>
        <w:t>a</w:t>
      </w:r>
      <w:r w:rsidR="3C01EAC3" w:rsidRPr="00481997">
        <w:rPr>
          <w:rFonts w:eastAsia="MetaPro-Norm" w:cs="MetaPro-Norm"/>
          <w:szCs w:val="22"/>
        </w:rPr>
        <w:t>nd how increased government support to shelters for victims of gender-based violence is even more important now.</w:t>
      </w:r>
    </w:p>
    <w:p w14:paraId="642D867B" w14:textId="77777777" w:rsidR="00E86556" w:rsidRPr="00481997" w:rsidRDefault="00E86556" w:rsidP="00481997">
      <w:pPr>
        <w:rPr>
          <w:rFonts w:eastAsia="MetaPro-Norm" w:cs="MetaPro-Norm"/>
          <w:szCs w:val="22"/>
        </w:rPr>
      </w:pPr>
    </w:p>
    <w:p w14:paraId="36168697" w14:textId="14E297F8" w:rsidR="00E656FD" w:rsidRPr="00C57F77" w:rsidRDefault="00E86556" w:rsidP="00481997">
      <w:pPr>
        <w:rPr>
          <w:rFonts w:eastAsia="MetaPro-Norm" w:cs="MetaPro-Norm"/>
          <w:b/>
          <w:bCs/>
          <w:szCs w:val="22"/>
        </w:rPr>
      </w:pPr>
      <w:r w:rsidRPr="00C57F77">
        <w:rPr>
          <w:rFonts w:eastAsia="MetaPro-Norm" w:cs="MetaPro-Norm"/>
          <w:b/>
          <w:bCs/>
          <w:szCs w:val="22"/>
        </w:rPr>
        <w:t>Access to Education during the Covid-19 Pandemic (Article 10)</w:t>
      </w:r>
    </w:p>
    <w:p w14:paraId="72460610" w14:textId="0C6A6F6A" w:rsidR="00E656FD" w:rsidRPr="00481997" w:rsidRDefault="00E656FD" w:rsidP="00481997">
      <w:pPr>
        <w:rPr>
          <w:rFonts w:eastAsia="MetaPro-Norm" w:cs="MetaPro-Norm"/>
          <w:szCs w:val="22"/>
        </w:rPr>
      </w:pPr>
    </w:p>
    <w:p w14:paraId="75A2B011" w14:textId="5D4091D1" w:rsidR="00E656FD" w:rsidRPr="00481997" w:rsidRDefault="7C66D874" w:rsidP="00481997">
      <w:pPr>
        <w:rPr>
          <w:rFonts w:eastAsia="MetaPro-Norm" w:cs="MetaPro-Norm"/>
          <w:szCs w:val="22"/>
        </w:rPr>
      </w:pPr>
      <w:r w:rsidRPr="00481997">
        <w:rPr>
          <w:rFonts w:eastAsia="MetaPro-Norm" w:cs="MetaPro-Norm"/>
          <w:szCs w:val="22"/>
        </w:rPr>
        <w:t>A</w:t>
      </w:r>
      <w:r w:rsidR="0DB7309A" w:rsidRPr="00481997">
        <w:rPr>
          <w:rFonts w:eastAsia="MetaPro-Norm" w:cs="MetaPro-Norm"/>
          <w:szCs w:val="22"/>
        </w:rPr>
        <w:t>s</w:t>
      </w:r>
      <w:r w:rsidR="624FAFDF" w:rsidRPr="00481997">
        <w:rPr>
          <w:rFonts w:eastAsia="MetaPro-Norm" w:cs="MetaPro-Norm"/>
          <w:szCs w:val="22"/>
        </w:rPr>
        <w:t xml:space="preserve"> of </w:t>
      </w:r>
      <w:r w:rsidR="0C49EAE8" w:rsidRPr="00481997">
        <w:rPr>
          <w:rFonts w:eastAsia="MetaPro-Norm" w:cs="MetaPro-Norm"/>
          <w:szCs w:val="22"/>
        </w:rPr>
        <w:t>August 30, 2021</w:t>
      </w:r>
      <w:r w:rsidR="2A468C47" w:rsidRPr="00481997">
        <w:rPr>
          <w:rFonts w:eastAsia="MetaPro-Norm" w:cs="MetaPro-Norm"/>
          <w:szCs w:val="22"/>
        </w:rPr>
        <w:t xml:space="preserve">, </w:t>
      </w:r>
      <w:r w:rsidR="14B3538C" w:rsidRPr="00481997">
        <w:rPr>
          <w:rFonts w:eastAsia="MetaPro-Norm" w:cs="MetaPro-Norm"/>
          <w:szCs w:val="22"/>
        </w:rPr>
        <w:t xml:space="preserve">children in </w:t>
      </w:r>
      <w:r w:rsidR="2A468C47" w:rsidRPr="00481997">
        <w:rPr>
          <w:rFonts w:eastAsia="MetaPro-Norm" w:cs="MetaPro-Norm"/>
          <w:szCs w:val="22"/>
        </w:rPr>
        <w:t xml:space="preserve">South Africa </w:t>
      </w:r>
      <w:r w:rsidR="0D02526B" w:rsidRPr="00481997">
        <w:rPr>
          <w:rFonts w:eastAsia="MetaPro-Norm" w:cs="MetaPro-Norm"/>
          <w:szCs w:val="22"/>
        </w:rPr>
        <w:t>had been affected</w:t>
      </w:r>
      <w:r w:rsidR="2A468C47" w:rsidRPr="00481997">
        <w:rPr>
          <w:rFonts w:eastAsia="MetaPro-Norm" w:cs="MetaPro-Norm"/>
          <w:szCs w:val="22"/>
        </w:rPr>
        <w:t xml:space="preserve"> </w:t>
      </w:r>
      <w:r w:rsidR="51FCE926" w:rsidRPr="00481997">
        <w:rPr>
          <w:rFonts w:eastAsia="MetaPro-Norm" w:cs="MetaPro-Norm"/>
          <w:szCs w:val="22"/>
        </w:rPr>
        <w:t xml:space="preserve">by </w:t>
      </w:r>
      <w:r w:rsidR="2A468C47" w:rsidRPr="00481997">
        <w:rPr>
          <w:rFonts w:eastAsia="MetaPro-Norm" w:cs="MetaPro-Norm"/>
          <w:szCs w:val="22"/>
        </w:rPr>
        <w:t>4</w:t>
      </w:r>
      <w:r w:rsidR="33F7A5B8" w:rsidRPr="00481997">
        <w:rPr>
          <w:rFonts w:eastAsia="MetaPro-Norm" w:cs="MetaPro-Norm"/>
          <w:szCs w:val="22"/>
        </w:rPr>
        <w:t>8</w:t>
      </w:r>
      <w:r w:rsidR="2A468C47" w:rsidRPr="00481997">
        <w:rPr>
          <w:rFonts w:eastAsia="MetaPro-Norm" w:cs="MetaPro-Norm"/>
          <w:szCs w:val="22"/>
        </w:rPr>
        <w:t xml:space="preserve"> weeks of full and partial school closures.</w:t>
      </w:r>
      <w:r w:rsidR="006B2DC8" w:rsidRPr="003306DA">
        <w:rPr>
          <w:rStyle w:val="FootnoteReference"/>
          <w:szCs w:val="22"/>
        </w:rPr>
        <w:footnoteReference w:id="2"/>
      </w:r>
      <w:r w:rsidR="1CBBAA49" w:rsidRPr="00481997">
        <w:rPr>
          <w:rFonts w:eastAsia="MetaPro-Norm" w:cs="MetaPro-Norm"/>
          <w:szCs w:val="22"/>
        </w:rPr>
        <w:t xml:space="preserve"> </w:t>
      </w:r>
      <w:r w:rsidR="64C6FE72" w:rsidRPr="00481997">
        <w:rPr>
          <w:rFonts w:eastAsia="MetaPro-Norm" w:cs="MetaPro-Norm"/>
          <w:szCs w:val="22"/>
        </w:rPr>
        <w:t>Some 500,000 learners have reportedly dropped out of school permanently during the pandemic, according to UNICEF.</w:t>
      </w:r>
      <w:r w:rsidR="007C21B9" w:rsidRPr="003306DA">
        <w:rPr>
          <w:rStyle w:val="FootnoteReference"/>
          <w:szCs w:val="22"/>
        </w:rPr>
        <w:footnoteReference w:id="3"/>
      </w:r>
    </w:p>
    <w:p w14:paraId="2F1D9B5A" w14:textId="7C36AB9A" w:rsidR="089179AC" w:rsidRPr="00481997" w:rsidRDefault="089179AC" w:rsidP="00481997">
      <w:pPr>
        <w:rPr>
          <w:szCs w:val="22"/>
        </w:rPr>
      </w:pPr>
    </w:p>
    <w:p w14:paraId="037D2B89" w14:textId="4E932BFC" w:rsidR="00671E5F" w:rsidRPr="00481997" w:rsidRDefault="1BF572F2" w:rsidP="00481997">
      <w:pPr>
        <w:rPr>
          <w:szCs w:val="22"/>
        </w:rPr>
      </w:pPr>
      <w:r w:rsidRPr="00481997">
        <w:rPr>
          <w:szCs w:val="22"/>
        </w:rPr>
        <w:t xml:space="preserve">The transition to </w:t>
      </w:r>
      <w:r w:rsidR="52EEF448" w:rsidRPr="00481997">
        <w:rPr>
          <w:szCs w:val="22"/>
        </w:rPr>
        <w:t xml:space="preserve">distance </w:t>
      </w:r>
      <w:r w:rsidRPr="00481997">
        <w:rPr>
          <w:szCs w:val="22"/>
        </w:rPr>
        <w:t xml:space="preserve">learning was difficult for </w:t>
      </w:r>
      <w:r w:rsidR="003E0184" w:rsidRPr="00481997">
        <w:rPr>
          <w:szCs w:val="22"/>
        </w:rPr>
        <w:t xml:space="preserve">some </w:t>
      </w:r>
      <w:r w:rsidRPr="00481997">
        <w:rPr>
          <w:szCs w:val="22"/>
        </w:rPr>
        <w:t>students</w:t>
      </w:r>
      <w:r w:rsidR="43C5C2DC" w:rsidRPr="00481997">
        <w:rPr>
          <w:szCs w:val="22"/>
        </w:rPr>
        <w:t xml:space="preserve">, </w:t>
      </w:r>
      <w:r w:rsidR="1DF04D58" w:rsidRPr="00481997">
        <w:rPr>
          <w:szCs w:val="22"/>
        </w:rPr>
        <w:t>and</w:t>
      </w:r>
      <w:r w:rsidR="00C476D5" w:rsidRPr="00481997">
        <w:rPr>
          <w:szCs w:val="22"/>
        </w:rPr>
        <w:t xml:space="preserve"> for many</w:t>
      </w:r>
      <w:r w:rsidR="1DF04D58" w:rsidRPr="00481997">
        <w:rPr>
          <w:szCs w:val="22"/>
        </w:rPr>
        <w:t xml:space="preserve"> it </w:t>
      </w:r>
      <w:r w:rsidR="43C5C2DC" w:rsidRPr="00481997">
        <w:rPr>
          <w:szCs w:val="22"/>
        </w:rPr>
        <w:t xml:space="preserve">affected the quality of </w:t>
      </w:r>
      <w:r w:rsidR="643547EE" w:rsidRPr="00481997">
        <w:rPr>
          <w:szCs w:val="22"/>
        </w:rPr>
        <w:t xml:space="preserve">their </w:t>
      </w:r>
      <w:r w:rsidR="43C5C2DC" w:rsidRPr="00481997">
        <w:rPr>
          <w:szCs w:val="22"/>
        </w:rPr>
        <w:t xml:space="preserve">learning during school closures. </w:t>
      </w:r>
      <w:r w:rsidR="04F9B4B2" w:rsidRPr="00481997">
        <w:rPr>
          <w:szCs w:val="22"/>
        </w:rPr>
        <w:t xml:space="preserve">Initially, </w:t>
      </w:r>
      <w:r w:rsidR="00C476D5" w:rsidRPr="00481997">
        <w:rPr>
          <w:szCs w:val="22"/>
        </w:rPr>
        <w:t>not all</w:t>
      </w:r>
      <w:r w:rsidR="04F9B4B2" w:rsidRPr="00481997">
        <w:rPr>
          <w:szCs w:val="22"/>
        </w:rPr>
        <w:t xml:space="preserve"> schools</w:t>
      </w:r>
      <w:r w:rsidR="00C476D5" w:rsidRPr="00481997">
        <w:rPr>
          <w:szCs w:val="22"/>
        </w:rPr>
        <w:t xml:space="preserve"> moved to on-line options</w:t>
      </w:r>
      <w:r w:rsidR="04F9B4B2" w:rsidRPr="00481997">
        <w:rPr>
          <w:szCs w:val="22"/>
        </w:rPr>
        <w:t xml:space="preserve"> to </w:t>
      </w:r>
      <w:r w:rsidR="643547EE" w:rsidRPr="00481997">
        <w:rPr>
          <w:szCs w:val="22"/>
        </w:rPr>
        <w:t>t</w:t>
      </w:r>
      <w:r w:rsidR="04F9B4B2" w:rsidRPr="00481997">
        <w:rPr>
          <w:szCs w:val="22"/>
        </w:rPr>
        <w:t>each students remotely. One 1</w:t>
      </w:r>
      <w:r w:rsidR="02EAD155" w:rsidRPr="00481997">
        <w:rPr>
          <w:szCs w:val="22"/>
        </w:rPr>
        <w:t>7</w:t>
      </w:r>
      <w:r w:rsidR="04F9B4B2" w:rsidRPr="00481997">
        <w:rPr>
          <w:szCs w:val="22"/>
        </w:rPr>
        <w:t>-year-old girl described her school’s approach at the beginning of the pandemic: “My school did not have any Zoom classes they just basically sent work over to you and you basically had to figure out what to do.”</w:t>
      </w:r>
      <w:r w:rsidR="00671E5F" w:rsidRPr="003306DA">
        <w:rPr>
          <w:rStyle w:val="FootnoteReference"/>
          <w:szCs w:val="22"/>
        </w:rPr>
        <w:footnoteReference w:id="4"/>
      </w:r>
      <w:r w:rsidR="04F9B4B2" w:rsidRPr="00481997">
        <w:rPr>
          <w:szCs w:val="22"/>
        </w:rPr>
        <w:t xml:space="preserve"> </w:t>
      </w:r>
      <w:r w:rsidR="00C476D5" w:rsidRPr="00481997">
        <w:rPr>
          <w:szCs w:val="22"/>
        </w:rPr>
        <w:t>W</w:t>
      </w:r>
      <w:r w:rsidR="04F9B4B2" w:rsidRPr="00481997">
        <w:rPr>
          <w:szCs w:val="22"/>
        </w:rPr>
        <w:t>hen the school realized students were not learning</w:t>
      </w:r>
      <w:r w:rsidR="00C476D5" w:rsidRPr="00481997">
        <w:rPr>
          <w:szCs w:val="22"/>
        </w:rPr>
        <w:t>,</w:t>
      </w:r>
      <w:r w:rsidR="04F9B4B2" w:rsidRPr="00481997">
        <w:rPr>
          <w:szCs w:val="22"/>
        </w:rPr>
        <w:t xml:space="preserve"> they </w:t>
      </w:r>
      <w:r w:rsidR="30BC39BA" w:rsidRPr="00481997">
        <w:rPr>
          <w:szCs w:val="22"/>
        </w:rPr>
        <w:t>beg</w:t>
      </w:r>
      <w:r w:rsidR="00C476D5" w:rsidRPr="00481997">
        <w:rPr>
          <w:szCs w:val="22"/>
        </w:rPr>
        <w:t>a</w:t>
      </w:r>
      <w:r w:rsidR="30BC39BA" w:rsidRPr="00481997">
        <w:rPr>
          <w:szCs w:val="22"/>
        </w:rPr>
        <w:t xml:space="preserve">n to </w:t>
      </w:r>
      <w:r w:rsidR="2BB3F264" w:rsidRPr="00481997">
        <w:rPr>
          <w:szCs w:val="22"/>
        </w:rPr>
        <w:t xml:space="preserve">utilize </w:t>
      </w:r>
      <w:r w:rsidR="04F9B4B2" w:rsidRPr="00481997">
        <w:rPr>
          <w:szCs w:val="22"/>
        </w:rPr>
        <w:t xml:space="preserve">digital platforms to </w:t>
      </w:r>
      <w:r w:rsidR="4934D0C2" w:rsidRPr="00481997">
        <w:rPr>
          <w:szCs w:val="22"/>
        </w:rPr>
        <w:t>teach</w:t>
      </w:r>
      <w:r w:rsidR="00C476D5" w:rsidRPr="00481997">
        <w:rPr>
          <w:szCs w:val="22"/>
        </w:rPr>
        <w:t xml:space="preserve"> with varying degrees of success</w:t>
      </w:r>
      <w:r w:rsidR="7E307AED" w:rsidRPr="00481997">
        <w:rPr>
          <w:szCs w:val="22"/>
        </w:rPr>
        <w:t xml:space="preserve">. </w:t>
      </w:r>
      <w:r w:rsidR="27D315A3" w:rsidRPr="00481997">
        <w:rPr>
          <w:szCs w:val="22"/>
        </w:rPr>
        <w:t xml:space="preserve">The same student </w:t>
      </w:r>
      <w:r w:rsidR="00C476D5" w:rsidRPr="00481997">
        <w:rPr>
          <w:szCs w:val="22"/>
        </w:rPr>
        <w:t xml:space="preserve">said that she was </w:t>
      </w:r>
      <w:r w:rsidR="00C476D5" w:rsidRPr="00481997">
        <w:rPr>
          <w:szCs w:val="22"/>
        </w:rPr>
        <w:lastRenderedPageBreak/>
        <w:t xml:space="preserve">“basically...failing” and </w:t>
      </w:r>
      <w:r w:rsidR="27D315A3" w:rsidRPr="00481997">
        <w:rPr>
          <w:szCs w:val="22"/>
        </w:rPr>
        <w:t>that she and some of her peers got bad marks.</w:t>
      </w:r>
      <w:r w:rsidR="440038ED" w:rsidRPr="003306DA">
        <w:rPr>
          <w:rStyle w:val="FootnoteReference"/>
          <w:szCs w:val="22"/>
        </w:rPr>
        <w:footnoteReference w:id="5"/>
      </w:r>
      <w:r w:rsidR="27D315A3" w:rsidRPr="00481997">
        <w:rPr>
          <w:szCs w:val="22"/>
        </w:rPr>
        <w:t xml:space="preserve"> Ultimately, she </w:t>
      </w:r>
      <w:r w:rsidR="04F9B4B2" w:rsidRPr="00481997">
        <w:rPr>
          <w:szCs w:val="22"/>
        </w:rPr>
        <w:t>described that “</w:t>
      </w:r>
      <w:r w:rsidR="74239FC2" w:rsidRPr="00481997">
        <w:rPr>
          <w:szCs w:val="22"/>
        </w:rPr>
        <w:t>o</w:t>
      </w:r>
      <w:r w:rsidR="04F9B4B2" w:rsidRPr="00481997">
        <w:rPr>
          <w:szCs w:val="22"/>
        </w:rPr>
        <w:t xml:space="preserve">nline </w:t>
      </w:r>
      <w:r w:rsidR="2BFFCE76" w:rsidRPr="00481997">
        <w:rPr>
          <w:szCs w:val="22"/>
        </w:rPr>
        <w:t xml:space="preserve">schooling is just not </w:t>
      </w:r>
      <w:r w:rsidR="52BADA42" w:rsidRPr="00481997">
        <w:rPr>
          <w:szCs w:val="22"/>
        </w:rPr>
        <w:t>for me</w:t>
      </w:r>
      <w:r w:rsidR="1A01F0D8" w:rsidRPr="00481997">
        <w:rPr>
          <w:szCs w:val="22"/>
        </w:rPr>
        <w:t>.</w:t>
      </w:r>
      <w:r w:rsidR="52BADA42" w:rsidRPr="00481997">
        <w:rPr>
          <w:szCs w:val="22"/>
        </w:rPr>
        <w:t>”</w:t>
      </w:r>
      <w:r w:rsidR="00671E5F" w:rsidRPr="003306DA">
        <w:rPr>
          <w:rStyle w:val="FootnoteReference"/>
          <w:szCs w:val="22"/>
        </w:rPr>
        <w:footnoteReference w:id="6"/>
      </w:r>
      <w:r w:rsidR="52BADA42" w:rsidRPr="00481997">
        <w:rPr>
          <w:szCs w:val="22"/>
        </w:rPr>
        <w:t xml:space="preserve"> </w:t>
      </w:r>
      <w:r w:rsidR="42FFC2A7" w:rsidRPr="00481997">
        <w:rPr>
          <w:szCs w:val="22"/>
        </w:rPr>
        <w:t>In another testimony, a</w:t>
      </w:r>
      <w:r w:rsidR="10DF751D" w:rsidRPr="00481997">
        <w:rPr>
          <w:szCs w:val="22"/>
        </w:rPr>
        <w:t xml:space="preserve"> mother of </w:t>
      </w:r>
      <w:r w:rsidR="0BF1583E" w:rsidRPr="00481997">
        <w:rPr>
          <w:szCs w:val="22"/>
        </w:rPr>
        <w:t>a 16-year-old girl said that while distance learning had initially been working for her daughter, her daughter eventually “checked out of it.”</w:t>
      </w:r>
      <w:r w:rsidR="00671E5F" w:rsidRPr="003306DA">
        <w:rPr>
          <w:rStyle w:val="FootnoteReference"/>
          <w:szCs w:val="22"/>
        </w:rPr>
        <w:footnoteReference w:id="7"/>
      </w:r>
      <w:r w:rsidR="0BF1583E" w:rsidRPr="00481997">
        <w:rPr>
          <w:szCs w:val="22"/>
        </w:rPr>
        <w:t xml:space="preserve"> </w:t>
      </w:r>
    </w:p>
    <w:p w14:paraId="3A176893" w14:textId="5E853E9C" w:rsidR="089179AC" w:rsidRPr="00481997" w:rsidRDefault="089179AC" w:rsidP="00481997">
      <w:pPr>
        <w:rPr>
          <w:szCs w:val="22"/>
        </w:rPr>
      </w:pPr>
    </w:p>
    <w:p w14:paraId="4A0CF727" w14:textId="220090A5" w:rsidR="00E86556" w:rsidRPr="00481997" w:rsidRDefault="00E86556" w:rsidP="00481997">
      <w:pPr>
        <w:rPr>
          <w:szCs w:val="22"/>
        </w:rPr>
      </w:pPr>
      <w:r w:rsidRPr="00481997">
        <w:rPr>
          <w:szCs w:val="22"/>
        </w:rPr>
        <w:t xml:space="preserve">The predictable consequence </w:t>
      </w:r>
      <w:r w:rsidR="00C476D5" w:rsidRPr="00481997">
        <w:rPr>
          <w:szCs w:val="22"/>
        </w:rPr>
        <w:t>for</w:t>
      </w:r>
      <w:r w:rsidRPr="00481997">
        <w:rPr>
          <w:szCs w:val="22"/>
        </w:rPr>
        <w:t xml:space="preserve"> children excluded from their schools and studies is</w:t>
      </w:r>
    </w:p>
    <w:p w14:paraId="19797673" w14:textId="6A2BA291" w:rsidR="0035205F" w:rsidRPr="00481997" w:rsidRDefault="5E8774B3" w:rsidP="00481997">
      <w:pPr>
        <w:rPr>
          <w:szCs w:val="22"/>
        </w:rPr>
      </w:pPr>
      <w:r w:rsidRPr="00481997">
        <w:rPr>
          <w:szCs w:val="22"/>
        </w:rPr>
        <w:t>that their learning slowed and regressed. However, the negative consequences</w:t>
      </w:r>
      <w:r w:rsidR="003E0184" w:rsidRPr="00481997">
        <w:rPr>
          <w:szCs w:val="22"/>
        </w:rPr>
        <w:t xml:space="preserve"> of Covid-19 related lockdowns</w:t>
      </w:r>
      <w:r w:rsidRPr="00481997">
        <w:rPr>
          <w:szCs w:val="22"/>
        </w:rPr>
        <w:t xml:space="preserve"> for children </w:t>
      </w:r>
      <w:r w:rsidR="00C476D5" w:rsidRPr="00481997">
        <w:rPr>
          <w:szCs w:val="22"/>
        </w:rPr>
        <w:t>extended beyond</w:t>
      </w:r>
      <w:r w:rsidRPr="00481997">
        <w:rPr>
          <w:szCs w:val="22"/>
        </w:rPr>
        <w:t xml:space="preserve"> the academic aspect of their lives</w:t>
      </w:r>
      <w:r w:rsidR="00422859" w:rsidRPr="00481997">
        <w:rPr>
          <w:szCs w:val="22"/>
        </w:rPr>
        <w:t>.</w:t>
      </w:r>
      <w:r w:rsidRPr="00481997">
        <w:rPr>
          <w:szCs w:val="22"/>
        </w:rPr>
        <w:t xml:space="preserve"> </w:t>
      </w:r>
      <w:r w:rsidR="00422859" w:rsidRPr="00481997">
        <w:rPr>
          <w:szCs w:val="22"/>
        </w:rPr>
        <w:t>M</w:t>
      </w:r>
      <w:r w:rsidRPr="00481997">
        <w:rPr>
          <w:szCs w:val="22"/>
        </w:rPr>
        <w:t xml:space="preserve">any children also felt social isolation, anxiety, stress, sadness, and depression. </w:t>
      </w:r>
      <w:r w:rsidR="003E0184" w:rsidRPr="00481997">
        <w:rPr>
          <w:szCs w:val="22"/>
        </w:rPr>
        <w:t xml:space="preserve">The interruption </w:t>
      </w:r>
      <w:r w:rsidR="6784C43F" w:rsidRPr="00481997">
        <w:rPr>
          <w:szCs w:val="22"/>
        </w:rPr>
        <w:t>of the daily routine of school, and the support of seeing friends there</w:t>
      </w:r>
      <w:r w:rsidR="003E0184" w:rsidRPr="00481997">
        <w:rPr>
          <w:szCs w:val="22"/>
        </w:rPr>
        <w:t>, contributed to these negative psychosocial consequences for many children</w:t>
      </w:r>
      <w:r w:rsidR="6784C43F" w:rsidRPr="00481997">
        <w:rPr>
          <w:szCs w:val="22"/>
        </w:rPr>
        <w:t>.</w:t>
      </w:r>
      <w:r w:rsidR="00E86556" w:rsidRPr="003306DA">
        <w:rPr>
          <w:rStyle w:val="FootnoteReference"/>
          <w:szCs w:val="22"/>
        </w:rPr>
        <w:footnoteReference w:id="8"/>
      </w:r>
      <w:r w:rsidR="59182A3B" w:rsidRPr="00481997">
        <w:rPr>
          <w:szCs w:val="22"/>
        </w:rPr>
        <w:t xml:space="preserve"> </w:t>
      </w:r>
      <w:r w:rsidR="67525C24" w:rsidRPr="00481997">
        <w:rPr>
          <w:szCs w:val="22"/>
        </w:rPr>
        <w:t xml:space="preserve">A mother of a 15-year-old girl described </w:t>
      </w:r>
      <w:r w:rsidR="16C66589" w:rsidRPr="00481997">
        <w:rPr>
          <w:szCs w:val="22"/>
        </w:rPr>
        <w:t xml:space="preserve">to Human Rights Watch </w:t>
      </w:r>
      <w:r w:rsidR="67525C24" w:rsidRPr="00481997">
        <w:rPr>
          <w:szCs w:val="22"/>
        </w:rPr>
        <w:t>her daughter</w:t>
      </w:r>
      <w:r w:rsidR="6DAD7ABD" w:rsidRPr="00481997">
        <w:rPr>
          <w:szCs w:val="22"/>
        </w:rPr>
        <w:t>’s change in personality during the lockdown: “</w:t>
      </w:r>
      <w:r w:rsidR="74ED46DC" w:rsidRPr="00481997">
        <w:rPr>
          <w:szCs w:val="22"/>
        </w:rPr>
        <w:t>S</w:t>
      </w:r>
      <w:r w:rsidR="456D3DC9" w:rsidRPr="00481997">
        <w:rPr>
          <w:szCs w:val="22"/>
        </w:rPr>
        <w:t>he's quite anxious about going out</w:t>
      </w:r>
      <w:r w:rsidR="00422859" w:rsidRPr="00481997">
        <w:rPr>
          <w:szCs w:val="22"/>
        </w:rPr>
        <w:t>…</w:t>
      </w:r>
      <w:r w:rsidR="456D3DC9" w:rsidRPr="00481997">
        <w:rPr>
          <w:szCs w:val="22"/>
        </w:rPr>
        <w:t>she's not normally an anxious child.”</w:t>
      </w:r>
      <w:r w:rsidR="1836AE8E" w:rsidRPr="003306DA">
        <w:rPr>
          <w:rStyle w:val="FootnoteReference"/>
          <w:szCs w:val="22"/>
        </w:rPr>
        <w:footnoteReference w:id="9"/>
      </w:r>
    </w:p>
    <w:p w14:paraId="253DEAD2" w14:textId="29C53352" w:rsidR="0035205F" w:rsidRPr="00481997" w:rsidRDefault="0035205F" w:rsidP="00481997">
      <w:pPr>
        <w:rPr>
          <w:rStyle w:val="FootnoteReference"/>
          <w:rFonts w:ascii="MetaPro-Norm" w:hAnsi="MetaPro-Norm"/>
          <w:szCs w:val="22"/>
        </w:rPr>
      </w:pPr>
    </w:p>
    <w:p w14:paraId="1FE77EAE" w14:textId="02CA74F7" w:rsidR="0035205F" w:rsidRPr="00481997" w:rsidRDefault="3023A6F4" w:rsidP="00481997">
      <w:pPr>
        <w:rPr>
          <w:szCs w:val="22"/>
        </w:rPr>
      </w:pPr>
      <w:r w:rsidRPr="00481997">
        <w:rPr>
          <w:szCs w:val="22"/>
        </w:rPr>
        <w:t>The South African Depression and Anxiety Group (SADAG) reported an increase in calls to its hotline from teens and adolescents, due to the uncertainty surrounding the pandemic, including uncertainty about their education and future.</w:t>
      </w:r>
      <w:r w:rsidR="00E86556" w:rsidRPr="003306DA">
        <w:rPr>
          <w:rStyle w:val="FootnoteReference"/>
          <w:szCs w:val="22"/>
        </w:rPr>
        <w:footnoteReference w:id="10"/>
      </w:r>
      <w:r w:rsidRPr="00481997">
        <w:rPr>
          <w:szCs w:val="22"/>
        </w:rPr>
        <w:t xml:space="preserve"> </w:t>
      </w:r>
      <w:r w:rsidR="4B659B61" w:rsidRPr="00481997">
        <w:rPr>
          <w:szCs w:val="22"/>
        </w:rPr>
        <w:t xml:space="preserve">The group expressed concerns </w:t>
      </w:r>
      <w:r w:rsidR="2A60791B" w:rsidRPr="00481997">
        <w:rPr>
          <w:szCs w:val="22"/>
        </w:rPr>
        <w:t>about</w:t>
      </w:r>
      <w:r w:rsidR="2A4142B2" w:rsidRPr="00481997">
        <w:rPr>
          <w:szCs w:val="22"/>
        </w:rPr>
        <w:t xml:space="preserve"> the mental health effects of the pandemic on youth as even before the pandemic, youth were at risk for depression, anxiety, and suicide.</w:t>
      </w:r>
      <w:r w:rsidR="00E86556" w:rsidRPr="003306DA">
        <w:rPr>
          <w:rStyle w:val="FootnoteReference"/>
          <w:szCs w:val="22"/>
        </w:rPr>
        <w:footnoteReference w:id="11"/>
      </w:r>
      <w:r w:rsidR="147D3D9A" w:rsidRPr="00481997">
        <w:rPr>
          <w:rStyle w:val="FootnoteReference"/>
          <w:rFonts w:ascii="MetaPro-Norm" w:hAnsi="MetaPro-Norm"/>
          <w:szCs w:val="22"/>
        </w:rPr>
        <w:t xml:space="preserve"> </w:t>
      </w:r>
      <w:r w:rsidR="6AF6EE12" w:rsidRPr="00481997">
        <w:rPr>
          <w:szCs w:val="22"/>
        </w:rPr>
        <w:t>Child government monitors working for the Commissioner of Children for the Western Cape detailed reports from children with feelings of loneliness, stress, and anxiety for being away from their support system in school.</w:t>
      </w:r>
      <w:r w:rsidR="5E8774B3" w:rsidRPr="003306DA">
        <w:rPr>
          <w:rStyle w:val="FootnoteReference"/>
          <w:szCs w:val="22"/>
        </w:rPr>
        <w:footnoteReference w:id="12"/>
      </w:r>
      <w:r w:rsidR="6AF6EE12" w:rsidRPr="00481997">
        <w:rPr>
          <w:rStyle w:val="FootnoteReference"/>
          <w:rFonts w:ascii="MetaPro-Norm" w:hAnsi="MetaPro-Norm"/>
          <w:szCs w:val="22"/>
        </w:rPr>
        <w:t xml:space="preserve"> </w:t>
      </w:r>
      <w:r w:rsidR="4A8866FD" w:rsidRPr="00481997">
        <w:rPr>
          <w:szCs w:val="22"/>
        </w:rPr>
        <w:t xml:space="preserve">Though some schools may have provided academic support while operating remotely, one </w:t>
      </w:r>
      <w:r w:rsidR="057E5CD6" w:rsidRPr="00481997">
        <w:rPr>
          <w:szCs w:val="22"/>
        </w:rPr>
        <w:t xml:space="preserve">17-year-old girl </w:t>
      </w:r>
      <w:r w:rsidR="4A8866FD" w:rsidRPr="00481997">
        <w:rPr>
          <w:szCs w:val="22"/>
        </w:rPr>
        <w:t xml:space="preserve">described that this </w:t>
      </w:r>
      <w:r w:rsidR="2CC642D8" w:rsidRPr="00481997">
        <w:rPr>
          <w:szCs w:val="22"/>
        </w:rPr>
        <w:t>did not include support for</w:t>
      </w:r>
      <w:r w:rsidR="37854276" w:rsidRPr="00481997">
        <w:rPr>
          <w:szCs w:val="22"/>
        </w:rPr>
        <w:t xml:space="preserve"> </w:t>
      </w:r>
      <w:r w:rsidR="37854276" w:rsidRPr="00481997">
        <w:rPr>
          <w:szCs w:val="22"/>
        </w:rPr>
        <w:lastRenderedPageBreak/>
        <w:t xml:space="preserve">mental health: </w:t>
      </w:r>
      <w:r w:rsidR="5C4B874E" w:rsidRPr="00481997">
        <w:rPr>
          <w:szCs w:val="22"/>
        </w:rPr>
        <w:t>“</w:t>
      </w:r>
      <w:r w:rsidR="496BA671" w:rsidRPr="00481997">
        <w:rPr>
          <w:szCs w:val="22"/>
        </w:rPr>
        <w:t>It was basically academic</w:t>
      </w:r>
      <w:r w:rsidR="363EDB16" w:rsidRPr="00481997">
        <w:rPr>
          <w:szCs w:val="22"/>
        </w:rPr>
        <w:t xml:space="preserve"> on their side</w:t>
      </w:r>
      <w:r w:rsidR="13225994" w:rsidRPr="00481997">
        <w:rPr>
          <w:szCs w:val="22"/>
        </w:rPr>
        <w:t xml:space="preserve"> </w:t>
      </w:r>
      <w:r w:rsidR="496BA671" w:rsidRPr="00481997">
        <w:rPr>
          <w:szCs w:val="22"/>
        </w:rPr>
        <w:t>rather than</w:t>
      </w:r>
      <w:r w:rsidR="15BC7AB7" w:rsidRPr="00481997">
        <w:rPr>
          <w:szCs w:val="22"/>
        </w:rPr>
        <w:t xml:space="preserve"> </w:t>
      </w:r>
      <w:r w:rsidR="6A62EF41" w:rsidRPr="00481997">
        <w:rPr>
          <w:szCs w:val="22"/>
        </w:rPr>
        <w:t>...</w:t>
      </w:r>
      <w:r w:rsidR="496BA671" w:rsidRPr="00481997">
        <w:rPr>
          <w:szCs w:val="22"/>
        </w:rPr>
        <w:t xml:space="preserve"> trying to figure out what’s the problem... how can I stay calm during this big pandemic?</w:t>
      </w:r>
      <w:r w:rsidR="22CA744F" w:rsidRPr="00481997">
        <w:rPr>
          <w:szCs w:val="22"/>
        </w:rPr>
        <w:t>..</w:t>
      </w:r>
      <w:r w:rsidR="4E752274" w:rsidRPr="00481997">
        <w:rPr>
          <w:szCs w:val="22"/>
        </w:rPr>
        <w:t>.</w:t>
      </w:r>
      <w:r w:rsidR="496BA671" w:rsidRPr="00481997">
        <w:rPr>
          <w:szCs w:val="22"/>
        </w:rPr>
        <w:t xml:space="preserve"> How can I de-stress myself from school and home and work?”</w:t>
      </w:r>
      <w:r w:rsidR="1836AE8E" w:rsidRPr="003306DA">
        <w:rPr>
          <w:rStyle w:val="FootnoteReference"/>
          <w:szCs w:val="22"/>
        </w:rPr>
        <w:footnoteReference w:id="13"/>
      </w:r>
    </w:p>
    <w:p w14:paraId="0C5B7AC0" w14:textId="32D56CFD" w:rsidR="2797D628" w:rsidRPr="00481997" w:rsidRDefault="2797D628" w:rsidP="00481997">
      <w:pPr>
        <w:rPr>
          <w:szCs w:val="22"/>
        </w:rPr>
      </w:pPr>
    </w:p>
    <w:p w14:paraId="0FEB930A" w14:textId="77777777" w:rsidR="00E86556" w:rsidRPr="00C57F77" w:rsidRDefault="00E86556" w:rsidP="00481997">
      <w:pPr>
        <w:rPr>
          <w:b/>
          <w:bCs/>
          <w:i/>
          <w:iCs/>
          <w:szCs w:val="22"/>
        </w:rPr>
      </w:pPr>
      <w:bookmarkStart w:id="0" w:name="_Hlk82108643"/>
      <w:r w:rsidRPr="00C57F77">
        <w:rPr>
          <w:b/>
          <w:bCs/>
          <w:i/>
          <w:iCs/>
          <w:szCs w:val="22"/>
        </w:rPr>
        <w:t>Human Rights Watch recommends that the Committee pose the following questions to the government of South Africa:</w:t>
      </w:r>
    </w:p>
    <w:bookmarkEnd w:id="0"/>
    <w:p w14:paraId="12377071" w14:textId="20349500" w:rsidR="7079B943" w:rsidRPr="00481997" w:rsidRDefault="7079B943" w:rsidP="00481997">
      <w:pPr>
        <w:rPr>
          <w:szCs w:val="22"/>
        </w:rPr>
      </w:pPr>
    </w:p>
    <w:p w14:paraId="24E4035A" w14:textId="7C8DEF10" w:rsidR="00E86556" w:rsidRPr="00481997" w:rsidRDefault="00E86556" w:rsidP="00481997">
      <w:pPr>
        <w:pStyle w:val="ListParagraph"/>
        <w:numPr>
          <w:ilvl w:val="0"/>
          <w:numId w:val="1"/>
        </w:numPr>
        <w:spacing w:line="264" w:lineRule="auto"/>
        <w:rPr>
          <w:rFonts w:ascii="MetaPro-Norm" w:eastAsia="MetaPro-Norm" w:hAnsi="MetaPro-Norm" w:cs="MetaPro-Norm"/>
          <w:sz w:val="22"/>
          <w:szCs w:val="22"/>
        </w:rPr>
      </w:pPr>
      <w:r w:rsidRPr="00481997">
        <w:rPr>
          <w:rFonts w:ascii="MetaPro-Norm" w:hAnsi="MetaPro-Norm"/>
          <w:sz w:val="22"/>
          <w:szCs w:val="22"/>
        </w:rPr>
        <w:t xml:space="preserve">How does the government plan to remedy learning time lost by children due to Covid-19 related school closures, </w:t>
      </w:r>
      <w:r w:rsidR="38A6F5CF" w:rsidRPr="00481997">
        <w:rPr>
          <w:rFonts w:ascii="MetaPro-Norm" w:hAnsi="MetaPro-Norm"/>
          <w:sz w:val="22"/>
          <w:szCs w:val="22"/>
        </w:rPr>
        <w:t>including</w:t>
      </w:r>
      <w:r w:rsidRPr="00481997">
        <w:rPr>
          <w:rFonts w:ascii="MetaPro-Norm" w:hAnsi="MetaPro-Norm"/>
          <w:sz w:val="22"/>
          <w:szCs w:val="22"/>
        </w:rPr>
        <w:t xml:space="preserve"> girls?</w:t>
      </w:r>
    </w:p>
    <w:p w14:paraId="5A615F39" w14:textId="2CC03665" w:rsidR="00E86556" w:rsidRPr="00481997" w:rsidRDefault="00E86556" w:rsidP="00481997">
      <w:pPr>
        <w:pStyle w:val="ListParagraph"/>
        <w:numPr>
          <w:ilvl w:val="0"/>
          <w:numId w:val="12"/>
        </w:numPr>
        <w:spacing w:line="264" w:lineRule="auto"/>
        <w:rPr>
          <w:rFonts w:ascii="MetaPro-Norm" w:eastAsia="MetaPro-Norm" w:hAnsi="MetaPro-Norm" w:cs="MetaPro-Norm"/>
          <w:sz w:val="22"/>
          <w:szCs w:val="22"/>
        </w:rPr>
      </w:pPr>
      <w:r w:rsidRPr="00481997">
        <w:rPr>
          <w:rFonts w:ascii="MetaPro-Norm" w:hAnsi="MetaPro-Norm"/>
          <w:sz w:val="22"/>
          <w:szCs w:val="22"/>
        </w:rPr>
        <w:t xml:space="preserve">What strategies are being adopted to mitigate the impacts of in-person school closures on children’s learning, </w:t>
      </w:r>
      <w:r w:rsidR="00C476D5" w:rsidRPr="00481997">
        <w:rPr>
          <w:rFonts w:ascii="MetaPro-Norm" w:hAnsi="MetaPro-Norm"/>
          <w:sz w:val="22"/>
          <w:szCs w:val="22"/>
        </w:rPr>
        <w:t xml:space="preserve">with </w:t>
      </w:r>
      <w:proofErr w:type="gramStart"/>
      <w:r w:rsidR="00C476D5" w:rsidRPr="00481997">
        <w:rPr>
          <w:rFonts w:ascii="MetaPro-Norm" w:hAnsi="MetaPro-Norm"/>
          <w:sz w:val="22"/>
          <w:szCs w:val="22"/>
        </w:rPr>
        <w:t>particular regard</w:t>
      </w:r>
      <w:proofErr w:type="gramEnd"/>
      <w:r w:rsidR="00C476D5" w:rsidRPr="00481997">
        <w:rPr>
          <w:rFonts w:ascii="MetaPro-Norm" w:hAnsi="MetaPro-Norm"/>
          <w:sz w:val="22"/>
          <w:szCs w:val="22"/>
        </w:rPr>
        <w:t xml:space="preserve"> as to whether there are impacts that fall disproportionately on </w:t>
      </w:r>
      <w:r w:rsidRPr="00481997">
        <w:rPr>
          <w:rFonts w:ascii="MetaPro-Norm" w:hAnsi="MetaPro-Norm"/>
          <w:sz w:val="22"/>
          <w:szCs w:val="22"/>
        </w:rPr>
        <w:t>girls?</w:t>
      </w:r>
    </w:p>
    <w:p w14:paraId="737EE27E" w14:textId="7C673ED8" w:rsidR="00C476D5" w:rsidRPr="00481997" w:rsidRDefault="00E86556" w:rsidP="00481997">
      <w:pPr>
        <w:pStyle w:val="ListParagraph"/>
        <w:numPr>
          <w:ilvl w:val="0"/>
          <w:numId w:val="12"/>
        </w:numPr>
        <w:spacing w:line="264" w:lineRule="auto"/>
        <w:rPr>
          <w:rFonts w:ascii="MetaPro-Norm" w:eastAsia="MetaPro-Norm" w:hAnsi="MetaPro-Norm" w:cs="MetaPro-Norm"/>
          <w:sz w:val="22"/>
          <w:szCs w:val="22"/>
        </w:rPr>
      </w:pPr>
      <w:r w:rsidRPr="00481997">
        <w:rPr>
          <w:rFonts w:ascii="MetaPro-Norm" w:hAnsi="MetaPro-Norm"/>
          <w:sz w:val="22"/>
          <w:szCs w:val="22"/>
        </w:rPr>
        <w:t xml:space="preserve">How has the </w:t>
      </w:r>
      <w:r w:rsidR="077442A0" w:rsidRPr="00481997">
        <w:rPr>
          <w:rFonts w:ascii="MetaPro-Norm" w:hAnsi="MetaPro-Norm"/>
          <w:sz w:val="22"/>
          <w:szCs w:val="22"/>
        </w:rPr>
        <w:t>Department of Basic</w:t>
      </w:r>
      <w:r w:rsidRPr="00481997">
        <w:rPr>
          <w:rFonts w:ascii="MetaPro-Norm" w:hAnsi="MetaPro-Norm"/>
          <w:sz w:val="22"/>
          <w:szCs w:val="22"/>
        </w:rPr>
        <w:t xml:space="preserve"> Education monitored and followed up students’ attendance and participation at school and during distance education</w:t>
      </w:r>
      <w:r w:rsidR="00C476D5" w:rsidRPr="00481997">
        <w:rPr>
          <w:rFonts w:ascii="MetaPro-Norm" w:hAnsi="MetaPro-Norm"/>
          <w:sz w:val="22"/>
          <w:szCs w:val="22"/>
        </w:rPr>
        <w:t>, including whether girls are more at risk of dropping out or not returning due to the interruption in learning</w:t>
      </w:r>
      <w:r w:rsidRPr="00481997">
        <w:rPr>
          <w:rFonts w:ascii="MetaPro-Norm" w:hAnsi="MetaPro-Norm"/>
          <w:sz w:val="22"/>
          <w:szCs w:val="22"/>
        </w:rPr>
        <w:t>?</w:t>
      </w:r>
    </w:p>
    <w:p w14:paraId="648EEB24" w14:textId="1C57E87E" w:rsidR="00E86556" w:rsidRPr="00481997" w:rsidRDefault="00E86556" w:rsidP="00481997">
      <w:pPr>
        <w:pStyle w:val="ListParagraph"/>
        <w:numPr>
          <w:ilvl w:val="0"/>
          <w:numId w:val="12"/>
        </w:numPr>
        <w:spacing w:line="264" w:lineRule="auto"/>
        <w:rPr>
          <w:rFonts w:ascii="MetaPro-Norm" w:eastAsia="MetaPro-Norm" w:hAnsi="MetaPro-Norm" w:cs="MetaPro-Norm"/>
          <w:sz w:val="22"/>
          <w:szCs w:val="22"/>
        </w:rPr>
      </w:pPr>
      <w:r w:rsidRPr="00481997">
        <w:rPr>
          <w:rFonts w:ascii="MetaPro-Norm" w:hAnsi="MetaPro-Norm"/>
          <w:sz w:val="22"/>
          <w:szCs w:val="22"/>
        </w:rPr>
        <w:t xml:space="preserve">How has the </w:t>
      </w:r>
      <w:r w:rsidR="077442A0" w:rsidRPr="00481997">
        <w:rPr>
          <w:rFonts w:ascii="MetaPro-Norm" w:hAnsi="MetaPro-Norm"/>
          <w:sz w:val="22"/>
          <w:szCs w:val="22"/>
        </w:rPr>
        <w:t xml:space="preserve">Department </w:t>
      </w:r>
      <w:r w:rsidRPr="00481997">
        <w:rPr>
          <w:rFonts w:ascii="MetaPro-Norm" w:hAnsi="MetaPro-Norm"/>
          <w:sz w:val="22"/>
          <w:szCs w:val="22"/>
        </w:rPr>
        <w:t>ensured regular direct contact between the teachers or other school officials and students?</w:t>
      </w:r>
    </w:p>
    <w:p w14:paraId="59DFB153" w14:textId="1FE2DD8E" w:rsidR="00E86556" w:rsidRPr="00481997" w:rsidRDefault="00E86556" w:rsidP="00481997">
      <w:pPr>
        <w:pStyle w:val="ListParagraph"/>
        <w:numPr>
          <w:ilvl w:val="0"/>
          <w:numId w:val="12"/>
        </w:numPr>
        <w:spacing w:line="264" w:lineRule="auto"/>
        <w:rPr>
          <w:rFonts w:ascii="MetaPro-Norm" w:eastAsia="MetaPro-Norm" w:hAnsi="MetaPro-Norm" w:cs="MetaPro-Norm"/>
          <w:sz w:val="22"/>
          <w:szCs w:val="22"/>
        </w:rPr>
      </w:pPr>
      <w:r w:rsidRPr="00481997">
        <w:rPr>
          <w:rFonts w:ascii="MetaPro-Norm" w:hAnsi="MetaPro-Norm"/>
          <w:sz w:val="22"/>
          <w:szCs w:val="22"/>
        </w:rPr>
        <w:t xml:space="preserve">How does the </w:t>
      </w:r>
      <w:r w:rsidR="077442A0" w:rsidRPr="00481997">
        <w:rPr>
          <w:rFonts w:ascii="MetaPro-Norm" w:hAnsi="MetaPro-Norm"/>
          <w:sz w:val="22"/>
          <w:szCs w:val="22"/>
        </w:rPr>
        <w:t xml:space="preserve">Department </w:t>
      </w:r>
      <w:r w:rsidRPr="00481997">
        <w:rPr>
          <w:rFonts w:ascii="MetaPro-Norm" w:hAnsi="MetaPro-Norm"/>
          <w:sz w:val="22"/>
          <w:szCs w:val="22"/>
        </w:rPr>
        <w:t>ensure girls’</w:t>
      </w:r>
      <w:r w:rsidR="077442A0" w:rsidRPr="00481997">
        <w:rPr>
          <w:rFonts w:ascii="MetaPro-Norm" w:hAnsi="MetaPro-Norm"/>
          <w:sz w:val="22"/>
          <w:szCs w:val="22"/>
        </w:rPr>
        <w:t>, including girls with disabilities,</w:t>
      </w:r>
      <w:r w:rsidRPr="00481997">
        <w:rPr>
          <w:rFonts w:ascii="MetaPro-Norm" w:hAnsi="MetaPro-Norm"/>
          <w:sz w:val="22"/>
          <w:szCs w:val="22"/>
        </w:rPr>
        <w:t xml:space="preserve"> attendance in </w:t>
      </w:r>
      <w:r w:rsidR="077442A0" w:rsidRPr="00481997">
        <w:rPr>
          <w:rFonts w:ascii="MetaPro-Norm" w:hAnsi="MetaPro-Norm"/>
          <w:sz w:val="22"/>
          <w:szCs w:val="22"/>
        </w:rPr>
        <w:t xml:space="preserve">provinces and </w:t>
      </w:r>
      <w:r w:rsidRPr="00481997">
        <w:rPr>
          <w:rFonts w:ascii="MetaPro-Norm" w:hAnsi="MetaPro-Norm"/>
          <w:sz w:val="22"/>
          <w:szCs w:val="22"/>
        </w:rPr>
        <w:t>areas with high incidence of exclusion</w:t>
      </w:r>
      <w:r w:rsidR="077442A0" w:rsidRPr="00481997">
        <w:rPr>
          <w:rFonts w:ascii="MetaPro-Norm" w:hAnsi="MetaPro-Norm"/>
          <w:sz w:val="22"/>
          <w:szCs w:val="22"/>
        </w:rPr>
        <w:t xml:space="preserve">, </w:t>
      </w:r>
      <w:r w:rsidRPr="00481997">
        <w:rPr>
          <w:rFonts w:ascii="MetaPro-Norm" w:hAnsi="MetaPro-Norm"/>
          <w:sz w:val="22"/>
          <w:szCs w:val="22"/>
        </w:rPr>
        <w:t xml:space="preserve">drop-out </w:t>
      </w:r>
      <w:proofErr w:type="gramStart"/>
      <w:r w:rsidRPr="00481997">
        <w:rPr>
          <w:rFonts w:ascii="MetaPro-Norm" w:hAnsi="MetaPro-Norm"/>
          <w:sz w:val="22"/>
          <w:szCs w:val="22"/>
        </w:rPr>
        <w:t>rates</w:t>
      </w:r>
      <w:proofErr w:type="gramEnd"/>
      <w:r w:rsidR="077442A0" w:rsidRPr="00481997">
        <w:rPr>
          <w:rFonts w:ascii="MetaPro-Norm" w:hAnsi="MetaPro-Norm"/>
          <w:sz w:val="22"/>
          <w:szCs w:val="22"/>
        </w:rPr>
        <w:t xml:space="preserve"> and teenage pregnancies</w:t>
      </w:r>
      <w:r w:rsidRPr="00481997">
        <w:rPr>
          <w:rFonts w:ascii="MetaPro-Norm" w:hAnsi="MetaPro-Norm"/>
          <w:sz w:val="22"/>
          <w:szCs w:val="22"/>
        </w:rPr>
        <w:t>?</w:t>
      </w:r>
    </w:p>
    <w:p w14:paraId="75A2908B" w14:textId="38357F40" w:rsidR="00E86556" w:rsidRPr="00481997" w:rsidRDefault="00E86556" w:rsidP="00481997">
      <w:pPr>
        <w:pStyle w:val="ListParagraph"/>
        <w:numPr>
          <w:ilvl w:val="0"/>
          <w:numId w:val="12"/>
        </w:numPr>
        <w:spacing w:line="264" w:lineRule="auto"/>
        <w:rPr>
          <w:rFonts w:ascii="MetaPro-Norm" w:eastAsia="MetaPro-Norm" w:hAnsi="MetaPro-Norm" w:cs="MetaPro-Norm"/>
          <w:sz w:val="22"/>
          <w:szCs w:val="22"/>
        </w:rPr>
      </w:pPr>
      <w:r w:rsidRPr="00481997">
        <w:rPr>
          <w:rFonts w:ascii="MetaPro-Norm" w:hAnsi="MetaPro-Norm"/>
          <w:sz w:val="22"/>
          <w:szCs w:val="22"/>
        </w:rPr>
        <w:t xml:space="preserve">How is the </w:t>
      </w:r>
      <w:r w:rsidR="077442A0" w:rsidRPr="00481997">
        <w:rPr>
          <w:rFonts w:ascii="MetaPro-Norm" w:hAnsi="MetaPro-Norm"/>
          <w:sz w:val="22"/>
          <w:szCs w:val="22"/>
        </w:rPr>
        <w:t xml:space="preserve">Department </w:t>
      </w:r>
      <w:r w:rsidRPr="00481997">
        <w:rPr>
          <w:rFonts w:ascii="MetaPro-Norm" w:hAnsi="MetaPro-Norm"/>
          <w:sz w:val="22"/>
          <w:szCs w:val="22"/>
        </w:rPr>
        <w:t>ensuring ongoing access to adequate mental health support for students?</w:t>
      </w:r>
    </w:p>
    <w:p w14:paraId="78902B10" w14:textId="06EF1D1A" w:rsidR="00E86556" w:rsidRPr="00481997" w:rsidRDefault="00E86556" w:rsidP="00481997">
      <w:pPr>
        <w:rPr>
          <w:szCs w:val="22"/>
        </w:rPr>
      </w:pPr>
    </w:p>
    <w:p w14:paraId="1E3C2286" w14:textId="0E63722E" w:rsidR="004F1DA4" w:rsidRPr="00C57F77" w:rsidRDefault="32A08ADB" w:rsidP="00481997">
      <w:pPr>
        <w:rPr>
          <w:b/>
          <w:bCs/>
          <w:szCs w:val="22"/>
        </w:rPr>
      </w:pPr>
      <w:r w:rsidRPr="00C57F77">
        <w:rPr>
          <w:b/>
          <w:bCs/>
          <w:szCs w:val="22"/>
        </w:rPr>
        <w:t xml:space="preserve">Teenage Pregnancies (Articles </w:t>
      </w:r>
      <w:r w:rsidR="1A0EFA2E" w:rsidRPr="00C57F77">
        <w:rPr>
          <w:b/>
          <w:bCs/>
          <w:szCs w:val="22"/>
        </w:rPr>
        <w:t xml:space="preserve">5, </w:t>
      </w:r>
      <w:r w:rsidRPr="00C57F77">
        <w:rPr>
          <w:b/>
          <w:bCs/>
          <w:szCs w:val="22"/>
        </w:rPr>
        <w:t xml:space="preserve">10, </w:t>
      </w:r>
      <w:r w:rsidR="5F8A16B9" w:rsidRPr="00C57F77">
        <w:rPr>
          <w:b/>
          <w:bCs/>
          <w:szCs w:val="22"/>
        </w:rPr>
        <w:t>12</w:t>
      </w:r>
      <w:r w:rsidRPr="00C57F77">
        <w:rPr>
          <w:b/>
          <w:bCs/>
          <w:szCs w:val="22"/>
        </w:rPr>
        <w:t>)</w:t>
      </w:r>
    </w:p>
    <w:p w14:paraId="3D2E6FDD" w14:textId="1239A8FB" w:rsidR="0035205F" w:rsidRPr="00481997" w:rsidRDefault="0035205F" w:rsidP="00481997">
      <w:pPr>
        <w:rPr>
          <w:szCs w:val="22"/>
        </w:rPr>
      </w:pPr>
    </w:p>
    <w:p w14:paraId="2142CB91" w14:textId="41B63843" w:rsidR="00FA58A8" w:rsidRPr="00481997" w:rsidRDefault="54CEBF4B" w:rsidP="00481997">
      <w:pPr>
        <w:rPr>
          <w:szCs w:val="22"/>
        </w:rPr>
      </w:pPr>
      <w:r w:rsidRPr="00481997">
        <w:rPr>
          <w:szCs w:val="22"/>
        </w:rPr>
        <w:t xml:space="preserve">Adolescent girls and young women face many barriers to their rights to education and sexual and reproductive rights, and thousands </w:t>
      </w:r>
      <w:r w:rsidR="00C476D5" w:rsidRPr="00481997">
        <w:rPr>
          <w:szCs w:val="22"/>
        </w:rPr>
        <w:t xml:space="preserve">experience </w:t>
      </w:r>
      <w:r w:rsidR="6D117B20" w:rsidRPr="00481997">
        <w:rPr>
          <w:szCs w:val="22"/>
        </w:rPr>
        <w:t>unwanted pregnancies</w:t>
      </w:r>
      <w:r w:rsidRPr="00481997">
        <w:rPr>
          <w:szCs w:val="22"/>
        </w:rPr>
        <w:t>. South Africa has a high rate of teenage pregnancies: around four percent of girls and women ages 14</w:t>
      </w:r>
      <w:r w:rsidR="00C57F77">
        <w:rPr>
          <w:szCs w:val="22"/>
        </w:rPr>
        <w:t xml:space="preserve"> to </w:t>
      </w:r>
      <w:r w:rsidRPr="00481997">
        <w:rPr>
          <w:szCs w:val="22"/>
        </w:rPr>
        <w:t>19 reported being pregnant between 2013 and 2018, according to UN data.</w:t>
      </w:r>
      <w:r w:rsidR="00930041" w:rsidRPr="003306DA">
        <w:rPr>
          <w:rStyle w:val="FootnoteReference"/>
          <w:szCs w:val="22"/>
        </w:rPr>
        <w:footnoteReference w:id="14"/>
      </w:r>
      <w:r w:rsidRPr="00481997">
        <w:rPr>
          <w:szCs w:val="22"/>
        </w:rPr>
        <w:t xml:space="preserve"> </w:t>
      </w:r>
      <w:r w:rsidR="44F738E0" w:rsidRPr="00481997">
        <w:rPr>
          <w:szCs w:val="22"/>
        </w:rPr>
        <w:lastRenderedPageBreak/>
        <w:t>Adolescent girls and young women are</w:t>
      </w:r>
      <w:r w:rsidR="45DAF8FB" w:rsidRPr="00481997">
        <w:rPr>
          <w:szCs w:val="22"/>
        </w:rPr>
        <w:t xml:space="preserve"> also</w:t>
      </w:r>
      <w:r w:rsidR="44F738E0" w:rsidRPr="00481997">
        <w:rPr>
          <w:szCs w:val="22"/>
        </w:rPr>
        <w:t xml:space="preserve"> among the key groups most </w:t>
      </w:r>
      <w:r w:rsidR="58E89887" w:rsidRPr="00481997">
        <w:rPr>
          <w:szCs w:val="22"/>
        </w:rPr>
        <w:t xml:space="preserve">heavily </w:t>
      </w:r>
      <w:r w:rsidR="44F738E0" w:rsidRPr="00481997">
        <w:rPr>
          <w:szCs w:val="22"/>
        </w:rPr>
        <w:t>affected by HIV infections.</w:t>
      </w:r>
      <w:r w:rsidR="00D21111" w:rsidRPr="003306DA">
        <w:rPr>
          <w:rStyle w:val="FootnoteReference"/>
          <w:szCs w:val="22"/>
        </w:rPr>
        <w:footnoteReference w:id="15"/>
      </w:r>
    </w:p>
    <w:p w14:paraId="28E0B6E4" w14:textId="4FD50478" w:rsidR="00EA3772" w:rsidRPr="00481997" w:rsidRDefault="00EA3772" w:rsidP="00481997">
      <w:pPr>
        <w:rPr>
          <w:szCs w:val="22"/>
        </w:rPr>
      </w:pPr>
    </w:p>
    <w:p w14:paraId="3A195FE9" w14:textId="0714620F" w:rsidR="00EA3772" w:rsidRPr="00481997" w:rsidRDefault="7F1AD79C" w:rsidP="00481997">
      <w:pPr>
        <w:rPr>
          <w:szCs w:val="22"/>
        </w:rPr>
      </w:pPr>
      <w:r w:rsidRPr="00481997">
        <w:rPr>
          <w:szCs w:val="22"/>
        </w:rPr>
        <w:t xml:space="preserve">Between 2017 and the first quarter of 2021, </w:t>
      </w:r>
      <w:r w:rsidR="7B43A87E" w:rsidRPr="00481997">
        <w:rPr>
          <w:szCs w:val="22"/>
        </w:rPr>
        <w:t>over 5</w:t>
      </w:r>
      <w:r w:rsidR="26A9772F" w:rsidRPr="00481997">
        <w:rPr>
          <w:szCs w:val="22"/>
        </w:rPr>
        <w:t>1</w:t>
      </w:r>
      <w:r w:rsidR="7B43A87E" w:rsidRPr="00481997">
        <w:rPr>
          <w:szCs w:val="22"/>
        </w:rPr>
        <w:t xml:space="preserve">2,000 girls and young women ages 10 </w:t>
      </w:r>
      <w:r w:rsidR="3CB661C2" w:rsidRPr="00481997">
        <w:rPr>
          <w:szCs w:val="22"/>
        </w:rPr>
        <w:t>to</w:t>
      </w:r>
      <w:r w:rsidR="7B43A87E" w:rsidRPr="00481997">
        <w:rPr>
          <w:szCs w:val="22"/>
        </w:rPr>
        <w:t xml:space="preserve"> 19 delivered children in health facilities</w:t>
      </w:r>
      <w:r w:rsidR="68FC27AD" w:rsidRPr="00481997">
        <w:rPr>
          <w:szCs w:val="22"/>
        </w:rPr>
        <w:t xml:space="preserve"> and </w:t>
      </w:r>
      <w:r w:rsidR="4C81D025" w:rsidRPr="00481997">
        <w:rPr>
          <w:szCs w:val="22"/>
        </w:rPr>
        <w:t>close to 57,000</w:t>
      </w:r>
      <w:r w:rsidR="68FC27AD" w:rsidRPr="00481997">
        <w:rPr>
          <w:szCs w:val="22"/>
        </w:rPr>
        <w:t xml:space="preserve"> terminated their pregnancies</w:t>
      </w:r>
      <w:r w:rsidR="525E97A8" w:rsidRPr="00481997">
        <w:rPr>
          <w:szCs w:val="22"/>
        </w:rPr>
        <w:t>, according to government data.</w:t>
      </w:r>
      <w:r w:rsidR="0031406E" w:rsidRPr="003306DA">
        <w:rPr>
          <w:rStyle w:val="FootnoteReference"/>
          <w:szCs w:val="22"/>
        </w:rPr>
        <w:footnoteReference w:id="16"/>
      </w:r>
    </w:p>
    <w:p w14:paraId="0BA8E472" w14:textId="69509F5C" w:rsidR="00395A73" w:rsidRPr="00481997" w:rsidRDefault="00395A73" w:rsidP="00481997">
      <w:pPr>
        <w:rPr>
          <w:szCs w:val="22"/>
        </w:rPr>
      </w:pPr>
    </w:p>
    <w:p w14:paraId="54FE843B" w14:textId="3731FC04" w:rsidR="00395A73" w:rsidRPr="00481997" w:rsidRDefault="318A8239" w:rsidP="00481997">
      <w:pPr>
        <w:rPr>
          <w:szCs w:val="22"/>
        </w:rPr>
      </w:pPr>
      <w:r w:rsidRPr="00481997">
        <w:rPr>
          <w:szCs w:val="22"/>
        </w:rPr>
        <w:t xml:space="preserve">Cases of sexual and gender-based violence </w:t>
      </w:r>
      <w:r w:rsidR="00C476D5" w:rsidRPr="00481997">
        <w:rPr>
          <w:szCs w:val="22"/>
        </w:rPr>
        <w:t xml:space="preserve">increased </w:t>
      </w:r>
      <w:r w:rsidR="6A321659" w:rsidRPr="00481997">
        <w:rPr>
          <w:szCs w:val="22"/>
        </w:rPr>
        <w:t>exponentially during the Covid-19 pandemic</w:t>
      </w:r>
      <w:r w:rsidR="54CEBF4B" w:rsidRPr="00481997">
        <w:rPr>
          <w:szCs w:val="22"/>
        </w:rPr>
        <w:t xml:space="preserve">, leading to a reported increase in </w:t>
      </w:r>
      <w:r w:rsidR="5EA57AD2" w:rsidRPr="00481997">
        <w:rPr>
          <w:szCs w:val="22"/>
        </w:rPr>
        <w:t xml:space="preserve">sexual exploitation, sexual </w:t>
      </w:r>
      <w:proofErr w:type="gramStart"/>
      <w:r w:rsidR="5EA57AD2" w:rsidRPr="00481997">
        <w:rPr>
          <w:szCs w:val="22"/>
        </w:rPr>
        <w:t>violence</w:t>
      </w:r>
      <w:proofErr w:type="gramEnd"/>
      <w:r w:rsidR="5EA57AD2" w:rsidRPr="00481997">
        <w:rPr>
          <w:szCs w:val="22"/>
        </w:rPr>
        <w:t xml:space="preserve"> and </w:t>
      </w:r>
      <w:r w:rsidR="54CEBF4B" w:rsidRPr="00481997">
        <w:rPr>
          <w:szCs w:val="22"/>
        </w:rPr>
        <w:t>teenage pregnancies</w:t>
      </w:r>
      <w:r w:rsidR="6A321659" w:rsidRPr="00481997">
        <w:rPr>
          <w:szCs w:val="22"/>
        </w:rPr>
        <w:t xml:space="preserve">. According to data published by the government, </w:t>
      </w:r>
      <w:r w:rsidR="09910E7A" w:rsidRPr="00481997">
        <w:rPr>
          <w:szCs w:val="22"/>
        </w:rPr>
        <w:t xml:space="preserve">cases of sexual assault and rape almost tripled </w:t>
      </w:r>
      <w:r w:rsidR="00C476D5" w:rsidRPr="00481997">
        <w:rPr>
          <w:szCs w:val="22"/>
        </w:rPr>
        <w:t xml:space="preserve">compared to </w:t>
      </w:r>
      <w:r w:rsidR="09910E7A" w:rsidRPr="00481997">
        <w:rPr>
          <w:szCs w:val="22"/>
        </w:rPr>
        <w:t>pre-lockdown rates.</w:t>
      </w:r>
      <w:r w:rsidR="00426664" w:rsidRPr="003306DA">
        <w:rPr>
          <w:rStyle w:val="FootnoteReference"/>
          <w:szCs w:val="22"/>
        </w:rPr>
        <w:footnoteReference w:id="17"/>
      </w:r>
      <w:r w:rsidRPr="00481997">
        <w:rPr>
          <w:szCs w:val="22"/>
        </w:rPr>
        <w:t xml:space="preserve"> </w:t>
      </w:r>
      <w:r w:rsidR="2C2B63DB" w:rsidRPr="00481997">
        <w:rPr>
          <w:szCs w:val="22"/>
        </w:rPr>
        <w:t xml:space="preserve">In Gauteng province, the Department of Health </w:t>
      </w:r>
      <w:hyperlink r:id="rId11" w:history="1">
        <w:r w:rsidR="2C2B63DB" w:rsidRPr="00481997">
          <w:rPr>
            <w:rStyle w:val="Hyperlink"/>
            <w:szCs w:val="22"/>
          </w:rPr>
          <w:t>registered</w:t>
        </w:r>
      </w:hyperlink>
      <w:r w:rsidR="2C2B63DB" w:rsidRPr="00481997">
        <w:rPr>
          <w:szCs w:val="22"/>
        </w:rPr>
        <w:t xml:space="preserve"> more than 23,000 pregnancies of girls</w:t>
      </w:r>
      <w:r w:rsidR="1EAF9FD7" w:rsidRPr="00481997">
        <w:rPr>
          <w:szCs w:val="22"/>
        </w:rPr>
        <w:t xml:space="preserve"> and young women</w:t>
      </w:r>
      <w:r w:rsidR="2C2B63DB" w:rsidRPr="00481997">
        <w:rPr>
          <w:szCs w:val="22"/>
        </w:rPr>
        <w:t xml:space="preserve"> ages 10 to 19, between April 2020 and March 2021.</w:t>
      </w:r>
      <w:r w:rsidR="001D228F" w:rsidRPr="003306DA">
        <w:rPr>
          <w:rStyle w:val="FootnoteReference"/>
          <w:szCs w:val="22"/>
        </w:rPr>
        <w:footnoteReference w:id="18"/>
      </w:r>
      <w:r w:rsidR="086606EE" w:rsidRPr="00481997">
        <w:rPr>
          <w:szCs w:val="22"/>
        </w:rPr>
        <w:t xml:space="preserve"> </w:t>
      </w:r>
      <w:r w:rsidR="4E294C6F" w:rsidRPr="00481997">
        <w:rPr>
          <w:szCs w:val="22"/>
        </w:rPr>
        <w:t xml:space="preserve">Nearly 3,000 </w:t>
      </w:r>
      <w:r w:rsidR="46FB129C" w:rsidRPr="00481997">
        <w:rPr>
          <w:szCs w:val="22"/>
        </w:rPr>
        <w:t xml:space="preserve">of these </w:t>
      </w:r>
      <w:r w:rsidR="4E294C6F" w:rsidRPr="00481997">
        <w:rPr>
          <w:szCs w:val="22"/>
        </w:rPr>
        <w:t>girls</w:t>
      </w:r>
      <w:r w:rsidR="46FB129C" w:rsidRPr="00481997">
        <w:rPr>
          <w:szCs w:val="22"/>
        </w:rPr>
        <w:t xml:space="preserve"> </w:t>
      </w:r>
      <w:r w:rsidR="4E294C6F" w:rsidRPr="00481997">
        <w:rPr>
          <w:szCs w:val="22"/>
        </w:rPr>
        <w:t>terminate</w:t>
      </w:r>
      <w:r w:rsidR="46FB129C" w:rsidRPr="00481997">
        <w:rPr>
          <w:szCs w:val="22"/>
        </w:rPr>
        <w:t>d</w:t>
      </w:r>
      <w:r w:rsidR="4E294C6F" w:rsidRPr="00481997">
        <w:rPr>
          <w:szCs w:val="22"/>
        </w:rPr>
        <w:t xml:space="preserve"> their pregnancy</w:t>
      </w:r>
      <w:r w:rsidR="0E7FFF25" w:rsidRPr="00481997">
        <w:rPr>
          <w:szCs w:val="22"/>
        </w:rPr>
        <w:t>, according to the data.</w:t>
      </w:r>
      <w:r w:rsidR="041040FC" w:rsidRPr="00481997">
        <w:rPr>
          <w:szCs w:val="22"/>
        </w:rPr>
        <w:t xml:space="preserve"> </w:t>
      </w:r>
      <w:r w:rsidR="3D7107C0" w:rsidRPr="00481997">
        <w:rPr>
          <w:szCs w:val="22"/>
        </w:rPr>
        <w:t xml:space="preserve">Gauteng </w:t>
      </w:r>
      <w:r w:rsidR="407386C7" w:rsidRPr="00481997">
        <w:rPr>
          <w:szCs w:val="22"/>
        </w:rPr>
        <w:t>province registered the lowest rate of teenage pregnancies in this period</w:t>
      </w:r>
      <w:r w:rsidR="52E97DDA" w:rsidRPr="00481997">
        <w:rPr>
          <w:szCs w:val="22"/>
        </w:rPr>
        <w:t>; provinces like the Northern Cape</w:t>
      </w:r>
      <w:r w:rsidR="32156F3C" w:rsidRPr="00481997">
        <w:rPr>
          <w:szCs w:val="22"/>
        </w:rPr>
        <w:t xml:space="preserve"> and the</w:t>
      </w:r>
      <w:r w:rsidR="52E97DDA" w:rsidRPr="00481997">
        <w:rPr>
          <w:szCs w:val="22"/>
        </w:rPr>
        <w:t xml:space="preserve"> Eastern Cape</w:t>
      </w:r>
      <w:r w:rsidR="1925EF78" w:rsidRPr="00481997">
        <w:rPr>
          <w:szCs w:val="22"/>
        </w:rPr>
        <w:t xml:space="preserve"> registered almost twice the rate of deliveries by girls and young w</w:t>
      </w:r>
      <w:r w:rsidR="6EFD0B51" w:rsidRPr="00481997">
        <w:rPr>
          <w:szCs w:val="22"/>
        </w:rPr>
        <w:t>omen.</w:t>
      </w:r>
      <w:r w:rsidR="00A312C5" w:rsidRPr="003306DA">
        <w:rPr>
          <w:rStyle w:val="FootnoteReference"/>
          <w:szCs w:val="22"/>
        </w:rPr>
        <w:footnoteReference w:id="19"/>
      </w:r>
    </w:p>
    <w:p w14:paraId="2AA16670" w14:textId="77777777" w:rsidR="0077295E" w:rsidRPr="00481997" w:rsidRDefault="0077295E" w:rsidP="00481997">
      <w:pPr>
        <w:rPr>
          <w:szCs w:val="22"/>
        </w:rPr>
      </w:pPr>
    </w:p>
    <w:p w14:paraId="6B6C208B" w14:textId="0CB252A8" w:rsidR="00485004" w:rsidRPr="00481997" w:rsidRDefault="07AA8239" w:rsidP="00481997">
      <w:pPr>
        <w:rPr>
          <w:szCs w:val="22"/>
        </w:rPr>
      </w:pPr>
      <w:r w:rsidRPr="00481997">
        <w:rPr>
          <w:szCs w:val="22"/>
        </w:rPr>
        <w:t>South Africa has had a policy on the prevention and management of student pregnancies since 2007, which states that school children who are pregnant shall not be unfairly discriminated against and cannot be expelled.</w:t>
      </w:r>
      <w:r w:rsidR="00FE0D67" w:rsidRPr="003306DA">
        <w:rPr>
          <w:rStyle w:val="FootnoteReference"/>
          <w:szCs w:val="22"/>
        </w:rPr>
        <w:footnoteReference w:id="20"/>
      </w:r>
      <w:r w:rsidRPr="00481997">
        <w:rPr>
          <w:szCs w:val="22"/>
        </w:rPr>
        <w:t xml:space="preserve"> </w:t>
      </w:r>
      <w:r w:rsidR="3ACE9E63" w:rsidRPr="00481997">
        <w:rPr>
          <w:szCs w:val="22"/>
        </w:rPr>
        <w:t>R</w:t>
      </w:r>
      <w:r w:rsidRPr="00481997">
        <w:rPr>
          <w:szCs w:val="22"/>
        </w:rPr>
        <w:t xml:space="preserve">esearch by South African </w:t>
      </w:r>
      <w:r w:rsidR="3ACE9E63" w:rsidRPr="00481997">
        <w:rPr>
          <w:szCs w:val="22"/>
        </w:rPr>
        <w:t xml:space="preserve">nongovernmental </w:t>
      </w:r>
      <w:r w:rsidR="536AF2FF" w:rsidRPr="00481997">
        <w:rPr>
          <w:szCs w:val="22"/>
        </w:rPr>
        <w:t>organizations</w:t>
      </w:r>
      <w:r w:rsidR="3ACE9E63" w:rsidRPr="00481997">
        <w:rPr>
          <w:szCs w:val="22"/>
        </w:rPr>
        <w:t xml:space="preserve"> (NGOs) </w:t>
      </w:r>
      <w:r w:rsidRPr="00481997">
        <w:rPr>
          <w:szCs w:val="22"/>
        </w:rPr>
        <w:t xml:space="preserve">indicates that </w:t>
      </w:r>
      <w:r w:rsidR="00C476D5" w:rsidRPr="00481997">
        <w:rPr>
          <w:szCs w:val="22"/>
        </w:rPr>
        <w:t xml:space="preserve">not all </w:t>
      </w:r>
      <w:r w:rsidRPr="00481997">
        <w:rPr>
          <w:szCs w:val="22"/>
        </w:rPr>
        <w:t>schools</w:t>
      </w:r>
      <w:r w:rsidR="00C476D5" w:rsidRPr="00481997">
        <w:rPr>
          <w:szCs w:val="22"/>
        </w:rPr>
        <w:t xml:space="preserve"> respect this policy</w:t>
      </w:r>
      <w:r w:rsidRPr="00481997">
        <w:rPr>
          <w:szCs w:val="22"/>
        </w:rPr>
        <w:t xml:space="preserve">, </w:t>
      </w:r>
      <w:r w:rsidRPr="00481997">
        <w:rPr>
          <w:szCs w:val="22"/>
        </w:rPr>
        <w:lastRenderedPageBreak/>
        <w:t>and schools have often discriminated against female students.</w:t>
      </w:r>
      <w:r w:rsidR="00564621" w:rsidRPr="003306DA">
        <w:rPr>
          <w:rStyle w:val="FootnoteReference"/>
          <w:szCs w:val="22"/>
        </w:rPr>
        <w:footnoteReference w:id="21"/>
      </w:r>
      <w:r w:rsidRPr="003306DA">
        <w:rPr>
          <w:rFonts w:ascii="MetaPro-Medi" w:hAnsi="MetaPro-Medi"/>
          <w:szCs w:val="22"/>
        </w:rPr>
        <w:t xml:space="preserve"> </w:t>
      </w:r>
      <w:r w:rsidR="3ACE9E63" w:rsidRPr="00481997">
        <w:rPr>
          <w:szCs w:val="22"/>
        </w:rPr>
        <w:t>S</w:t>
      </w:r>
      <w:r w:rsidRPr="00481997">
        <w:rPr>
          <w:szCs w:val="22"/>
        </w:rPr>
        <w:t xml:space="preserve">ome school officials continue to exclude pregnant girls from school or ask them to shift to other schools, </w:t>
      </w:r>
      <w:r w:rsidR="00C476D5" w:rsidRPr="00481997">
        <w:rPr>
          <w:szCs w:val="22"/>
        </w:rPr>
        <w:t xml:space="preserve">in violation of </w:t>
      </w:r>
      <w:r w:rsidRPr="00481997">
        <w:rPr>
          <w:szCs w:val="22"/>
        </w:rPr>
        <w:t>their obligations to respect student</w:t>
      </w:r>
      <w:r w:rsidR="029B4A81" w:rsidRPr="00481997">
        <w:rPr>
          <w:szCs w:val="22"/>
        </w:rPr>
        <w:t>s</w:t>
      </w:r>
      <w:r w:rsidRPr="00481997">
        <w:rPr>
          <w:szCs w:val="22"/>
        </w:rPr>
        <w:t>’ right to education.</w:t>
      </w:r>
      <w:r w:rsidR="00603270" w:rsidRPr="003306DA">
        <w:rPr>
          <w:rStyle w:val="FootnoteReference"/>
          <w:szCs w:val="22"/>
        </w:rPr>
        <w:footnoteReference w:id="22"/>
      </w:r>
      <w:r w:rsidR="00C476D5" w:rsidRPr="00481997">
        <w:rPr>
          <w:szCs w:val="22"/>
        </w:rPr>
        <w:t xml:space="preserve"> According to South Africa’s 2018 General Household Survey, approximately 33 percent of girls do not return to school after falling pregnant.</w:t>
      </w:r>
      <w:r w:rsidR="00C476D5" w:rsidRPr="003306DA">
        <w:rPr>
          <w:rStyle w:val="FootnoteReference"/>
          <w:szCs w:val="22"/>
        </w:rPr>
        <w:footnoteReference w:id="23"/>
      </w:r>
    </w:p>
    <w:p w14:paraId="0788A78A" w14:textId="77777777" w:rsidR="00485004" w:rsidRPr="00481997" w:rsidRDefault="00485004" w:rsidP="00481997">
      <w:pPr>
        <w:rPr>
          <w:szCs w:val="22"/>
        </w:rPr>
      </w:pPr>
    </w:p>
    <w:p w14:paraId="7F7B1C3F" w14:textId="011A6032" w:rsidR="0090163B" w:rsidRPr="00481997" w:rsidRDefault="61A011B9" w:rsidP="00C57F77">
      <w:pPr>
        <w:rPr>
          <w:szCs w:val="22"/>
        </w:rPr>
      </w:pPr>
      <w:r w:rsidRPr="00481997">
        <w:rPr>
          <w:szCs w:val="22"/>
        </w:rPr>
        <w:t>In 2018, the government initiated a consultation to develop a new policy on management and prevention of student pregnancies.</w:t>
      </w:r>
      <w:r w:rsidR="00B41A13" w:rsidRPr="003306DA">
        <w:rPr>
          <w:rStyle w:val="FootnoteReference"/>
          <w:szCs w:val="22"/>
        </w:rPr>
        <w:footnoteReference w:id="24"/>
      </w:r>
      <w:r w:rsidRPr="00481997">
        <w:rPr>
          <w:szCs w:val="22"/>
        </w:rPr>
        <w:t xml:space="preserve"> </w:t>
      </w:r>
      <w:r w:rsidR="76814F80" w:rsidRPr="00481997">
        <w:rPr>
          <w:szCs w:val="22"/>
        </w:rPr>
        <w:t>At time of writing in September 2021, the Department of Basic Education announced that the draft policy would be submitted to the Cabinet for approval.</w:t>
      </w:r>
      <w:r w:rsidR="00BF3016" w:rsidRPr="003306DA">
        <w:rPr>
          <w:rStyle w:val="FootnoteReference"/>
          <w:szCs w:val="22"/>
        </w:rPr>
        <w:footnoteReference w:id="25"/>
      </w:r>
      <w:r w:rsidR="76814F80" w:rsidRPr="00481997">
        <w:rPr>
          <w:szCs w:val="22"/>
        </w:rPr>
        <w:t xml:space="preserve"> </w:t>
      </w:r>
      <w:r w:rsidR="610926B8" w:rsidRPr="00481997">
        <w:rPr>
          <w:szCs w:val="22"/>
        </w:rPr>
        <w:t xml:space="preserve">In order to be effective, </w:t>
      </w:r>
      <w:r w:rsidRPr="00481997">
        <w:rPr>
          <w:szCs w:val="22"/>
        </w:rPr>
        <w:t xml:space="preserve">Human Rights Watch recommends that the </w:t>
      </w:r>
      <w:r w:rsidR="610926B8" w:rsidRPr="00481997">
        <w:rPr>
          <w:szCs w:val="22"/>
        </w:rPr>
        <w:t xml:space="preserve">new policy removes </w:t>
      </w:r>
      <w:r w:rsidRPr="00481997">
        <w:rPr>
          <w:szCs w:val="22"/>
        </w:rPr>
        <w:t>any conditional measures</w:t>
      </w:r>
      <w:r w:rsidR="00C57F77">
        <w:rPr>
          <w:szCs w:val="22"/>
        </w:rPr>
        <w:t>–</w:t>
      </w:r>
      <w:r w:rsidRPr="00481997">
        <w:rPr>
          <w:szCs w:val="22"/>
        </w:rPr>
        <w:t>currently applied through the government’s 2007 policy</w:t>
      </w:r>
      <w:r w:rsidR="00C57F77">
        <w:rPr>
          <w:szCs w:val="22"/>
        </w:rPr>
        <w:t>—</w:t>
      </w:r>
      <w:r w:rsidRPr="00481997">
        <w:rPr>
          <w:szCs w:val="22"/>
        </w:rPr>
        <w:t xml:space="preserve">that impact on girls’ education or deter them from going back to school. For example, students should not have to wait a conditional period until they can return to school. The new policy should ensure that pregnant students can stay in school while they are medically able to, and that they return to school as soon as they are ready. Schools should also provide basic accommodations for adolescent parents, </w:t>
      </w:r>
      <w:proofErr w:type="gramStart"/>
      <w:r w:rsidRPr="00481997">
        <w:rPr>
          <w:szCs w:val="22"/>
        </w:rPr>
        <w:t>including:</w:t>
      </w:r>
      <w:proofErr w:type="gramEnd"/>
      <w:r w:rsidRPr="00481997">
        <w:rPr>
          <w:szCs w:val="22"/>
        </w:rPr>
        <w:t xml:space="preserve"> time to </w:t>
      </w:r>
      <w:r w:rsidRPr="00481997">
        <w:rPr>
          <w:szCs w:val="22"/>
        </w:rPr>
        <w:lastRenderedPageBreak/>
        <w:t>breastfeed during breaks, and time off in case a student’s child is ill or to comply with other medical or bureaucratic requirements.</w:t>
      </w:r>
      <w:r w:rsidR="00D64BB7" w:rsidRPr="003306DA">
        <w:rPr>
          <w:rStyle w:val="FootnoteReference"/>
          <w:szCs w:val="22"/>
        </w:rPr>
        <w:footnoteReference w:id="26"/>
      </w:r>
    </w:p>
    <w:p w14:paraId="5CAD80E0" w14:textId="0736019F" w:rsidR="00874607" w:rsidRPr="00481997" w:rsidRDefault="00874607" w:rsidP="00481997">
      <w:pPr>
        <w:rPr>
          <w:szCs w:val="22"/>
        </w:rPr>
      </w:pPr>
    </w:p>
    <w:p w14:paraId="3DE8E7FC" w14:textId="5F99E081" w:rsidR="00874607" w:rsidRPr="00481997" w:rsidRDefault="1477417B" w:rsidP="00481997">
      <w:pPr>
        <w:rPr>
          <w:szCs w:val="22"/>
        </w:rPr>
      </w:pPr>
      <w:r w:rsidRPr="00481997">
        <w:rPr>
          <w:szCs w:val="22"/>
        </w:rPr>
        <w:t xml:space="preserve">The government has committed to </w:t>
      </w:r>
      <w:r w:rsidR="076B96D9" w:rsidRPr="00481997">
        <w:rPr>
          <w:szCs w:val="22"/>
        </w:rPr>
        <w:t>teaching comprehensive sexuality education in schools</w:t>
      </w:r>
      <w:r w:rsidR="0511C6D5" w:rsidRPr="00481997">
        <w:rPr>
          <w:szCs w:val="22"/>
        </w:rPr>
        <w:t xml:space="preserve">, in alignment with UNESCO’s international </w:t>
      </w:r>
      <w:r w:rsidR="7B4E5485" w:rsidRPr="00481997">
        <w:rPr>
          <w:szCs w:val="22"/>
        </w:rPr>
        <w:t xml:space="preserve">technical </w:t>
      </w:r>
      <w:r w:rsidR="0511C6D5" w:rsidRPr="00481997">
        <w:rPr>
          <w:szCs w:val="22"/>
        </w:rPr>
        <w:t>guidance</w:t>
      </w:r>
      <w:r w:rsidR="7B4E5485" w:rsidRPr="00481997">
        <w:rPr>
          <w:szCs w:val="22"/>
        </w:rPr>
        <w:t xml:space="preserve"> </w:t>
      </w:r>
      <w:r w:rsidR="12CAB2CC" w:rsidRPr="00481997">
        <w:rPr>
          <w:szCs w:val="22"/>
        </w:rPr>
        <w:t>on sexuality education.</w:t>
      </w:r>
      <w:r w:rsidR="00365ACD" w:rsidRPr="003306DA">
        <w:rPr>
          <w:rStyle w:val="FootnoteReference"/>
          <w:szCs w:val="22"/>
        </w:rPr>
        <w:footnoteReference w:id="27"/>
      </w:r>
    </w:p>
    <w:p w14:paraId="01DB5902" w14:textId="56F26370" w:rsidR="007C6FA4" w:rsidRPr="00481997" w:rsidRDefault="007C6FA4" w:rsidP="00481997">
      <w:pPr>
        <w:rPr>
          <w:szCs w:val="22"/>
        </w:rPr>
      </w:pPr>
    </w:p>
    <w:p w14:paraId="710F84EE" w14:textId="6BE8FEAE" w:rsidR="007C6FA4" w:rsidRDefault="224073DF" w:rsidP="00481997">
      <w:pPr>
        <w:rPr>
          <w:b/>
          <w:bCs/>
          <w:i/>
          <w:iCs/>
          <w:szCs w:val="22"/>
        </w:rPr>
      </w:pPr>
      <w:r w:rsidRPr="00C57F77">
        <w:rPr>
          <w:b/>
          <w:bCs/>
          <w:i/>
          <w:iCs/>
          <w:szCs w:val="22"/>
        </w:rPr>
        <w:t>Human Rights Watch recommends that the Committee pose the following questions to the government of South Africa:</w:t>
      </w:r>
    </w:p>
    <w:p w14:paraId="647F52F8" w14:textId="77777777" w:rsidR="00C57F77" w:rsidRPr="00C57F77" w:rsidRDefault="00C57F77" w:rsidP="00481997">
      <w:pPr>
        <w:rPr>
          <w:szCs w:val="22"/>
        </w:rPr>
      </w:pPr>
    </w:p>
    <w:p w14:paraId="2BDDA4FF" w14:textId="4CE0DE03" w:rsidR="007C6FA4" w:rsidRPr="00481997" w:rsidRDefault="63368254" w:rsidP="00481997">
      <w:pPr>
        <w:numPr>
          <w:ilvl w:val="0"/>
          <w:numId w:val="14"/>
        </w:numPr>
        <w:rPr>
          <w:szCs w:val="22"/>
        </w:rPr>
      </w:pPr>
      <w:r w:rsidRPr="00481997">
        <w:rPr>
          <w:szCs w:val="22"/>
        </w:rPr>
        <w:t xml:space="preserve">What steps is </w:t>
      </w:r>
      <w:r w:rsidR="077442A0" w:rsidRPr="00481997">
        <w:rPr>
          <w:szCs w:val="22"/>
        </w:rPr>
        <w:t>South Africa</w:t>
      </w:r>
      <w:r w:rsidRPr="00481997">
        <w:rPr>
          <w:szCs w:val="22"/>
        </w:rPr>
        <w:t xml:space="preserve"> taking to </w:t>
      </w:r>
      <w:r w:rsidR="6D14A13C" w:rsidRPr="00481997">
        <w:rPr>
          <w:szCs w:val="22"/>
        </w:rPr>
        <w:t xml:space="preserve">prevent </w:t>
      </w:r>
      <w:r w:rsidR="1EECBF64" w:rsidRPr="00481997">
        <w:rPr>
          <w:szCs w:val="22"/>
        </w:rPr>
        <w:t xml:space="preserve">further increases in teenage pregnancies during the Covid-19 pandemic? </w:t>
      </w:r>
    </w:p>
    <w:p w14:paraId="53B25F7C" w14:textId="5C82697B" w:rsidR="00DA50BE" w:rsidRPr="00481997" w:rsidRDefault="1EECBF64" w:rsidP="00481997">
      <w:pPr>
        <w:numPr>
          <w:ilvl w:val="0"/>
          <w:numId w:val="14"/>
        </w:numPr>
        <w:rPr>
          <w:szCs w:val="22"/>
        </w:rPr>
      </w:pPr>
      <w:r w:rsidRPr="00481997">
        <w:rPr>
          <w:szCs w:val="22"/>
        </w:rPr>
        <w:t xml:space="preserve">When will </w:t>
      </w:r>
      <w:r w:rsidR="077442A0" w:rsidRPr="00481997">
        <w:rPr>
          <w:szCs w:val="22"/>
        </w:rPr>
        <w:t xml:space="preserve">the Department of Basic Education </w:t>
      </w:r>
      <w:r w:rsidRPr="00481997">
        <w:rPr>
          <w:szCs w:val="22"/>
        </w:rPr>
        <w:t xml:space="preserve">adopt and implement its new policy on management and prevention of student pregnancies? How will it ensure that all schools adhere to the policy? </w:t>
      </w:r>
      <w:r w:rsidR="077442A0" w:rsidRPr="00481997">
        <w:rPr>
          <w:szCs w:val="22"/>
        </w:rPr>
        <w:t>How is this policy connected to other departments and agencies charged with delivering adolescent sexual and reproductive health services?</w:t>
      </w:r>
    </w:p>
    <w:p w14:paraId="38F0EE9A" w14:textId="4E29AA34" w:rsidR="00603270" w:rsidRPr="00481997" w:rsidRDefault="1EECBF64" w:rsidP="00481997">
      <w:pPr>
        <w:numPr>
          <w:ilvl w:val="0"/>
          <w:numId w:val="14"/>
        </w:numPr>
        <w:rPr>
          <w:szCs w:val="22"/>
        </w:rPr>
      </w:pPr>
      <w:r w:rsidRPr="00481997">
        <w:rPr>
          <w:szCs w:val="22"/>
        </w:rPr>
        <w:t xml:space="preserve">What steps is the </w:t>
      </w:r>
      <w:r w:rsidR="077442A0" w:rsidRPr="00481997">
        <w:rPr>
          <w:szCs w:val="22"/>
        </w:rPr>
        <w:t xml:space="preserve">Department of Basic Education </w:t>
      </w:r>
      <w:r w:rsidRPr="00481997">
        <w:rPr>
          <w:szCs w:val="22"/>
        </w:rPr>
        <w:t>taking to ensure all schools teach comprehensive sexuality education</w:t>
      </w:r>
      <w:r w:rsidR="0D8F1F34" w:rsidRPr="00481997">
        <w:rPr>
          <w:szCs w:val="22"/>
        </w:rPr>
        <w:t xml:space="preserve"> and </w:t>
      </w:r>
      <w:r w:rsidR="56A56879" w:rsidRPr="00481997">
        <w:rPr>
          <w:szCs w:val="22"/>
        </w:rPr>
        <w:t xml:space="preserve">monitor school’s </w:t>
      </w:r>
      <w:r w:rsidR="43554987" w:rsidRPr="00481997">
        <w:rPr>
          <w:szCs w:val="22"/>
        </w:rPr>
        <w:t>adequate and non-stigmatizing teaching of this curriculum</w:t>
      </w:r>
      <w:r w:rsidRPr="00481997">
        <w:rPr>
          <w:szCs w:val="22"/>
        </w:rPr>
        <w:t>?</w:t>
      </w:r>
    </w:p>
    <w:p w14:paraId="0998AF53" w14:textId="77777777" w:rsidR="004F1DA4" w:rsidRPr="00481997" w:rsidRDefault="004F1DA4" w:rsidP="00481997">
      <w:pPr>
        <w:rPr>
          <w:szCs w:val="22"/>
        </w:rPr>
      </w:pPr>
    </w:p>
    <w:p w14:paraId="4DD10DB5" w14:textId="35E7A30C" w:rsidR="00E86556" w:rsidRPr="00C57F77" w:rsidRDefault="00E86556" w:rsidP="00481997">
      <w:pPr>
        <w:rPr>
          <w:b/>
          <w:bCs/>
          <w:szCs w:val="22"/>
        </w:rPr>
      </w:pPr>
      <w:r w:rsidRPr="00C57F77">
        <w:rPr>
          <w:b/>
          <w:bCs/>
          <w:szCs w:val="22"/>
        </w:rPr>
        <w:t>Protection of Education from Attack (Article 10)</w:t>
      </w:r>
    </w:p>
    <w:p w14:paraId="6807AD32" w14:textId="77777777" w:rsidR="00E86556" w:rsidRPr="00481997" w:rsidRDefault="00E86556" w:rsidP="00481997">
      <w:pPr>
        <w:rPr>
          <w:szCs w:val="22"/>
        </w:rPr>
      </w:pPr>
    </w:p>
    <w:p w14:paraId="098C4C35" w14:textId="36A168CA" w:rsidR="00E86556" w:rsidRPr="00481997" w:rsidRDefault="1C1599E8" w:rsidP="00481997">
      <w:pPr>
        <w:rPr>
          <w:szCs w:val="22"/>
        </w:rPr>
      </w:pPr>
      <w:r w:rsidRPr="00481997">
        <w:rPr>
          <w:szCs w:val="22"/>
        </w:rPr>
        <w:t>As recognized by this Committee in its General Recommendation No. 30, attacks on students and schools, and the use of schools for military purposes, disproportionately affect girls, who are sometimes the focus of targeted attacks and are more likely to be kept out of school due to security concerns.</w:t>
      </w:r>
      <w:r w:rsidR="004F1DA4" w:rsidRPr="003306DA">
        <w:rPr>
          <w:rStyle w:val="FootnoteReference"/>
          <w:szCs w:val="22"/>
        </w:rPr>
        <w:footnoteReference w:id="28"/>
      </w:r>
    </w:p>
    <w:p w14:paraId="66543616" w14:textId="77777777" w:rsidR="00E86556" w:rsidRPr="00481997" w:rsidRDefault="00E86556" w:rsidP="00481997">
      <w:pPr>
        <w:rPr>
          <w:szCs w:val="22"/>
        </w:rPr>
      </w:pPr>
    </w:p>
    <w:p w14:paraId="47ABE9F8" w14:textId="4CBCA270" w:rsidR="00E86556" w:rsidRPr="00481997" w:rsidRDefault="1C1599E8" w:rsidP="00481997">
      <w:pPr>
        <w:rPr>
          <w:szCs w:val="22"/>
        </w:rPr>
      </w:pPr>
      <w:r w:rsidRPr="00481997">
        <w:rPr>
          <w:szCs w:val="22"/>
        </w:rPr>
        <w:lastRenderedPageBreak/>
        <w:t>The Safe Schools Declaration is an inter-governmental political commitment that provides countries the opportunity to express political support for the protection of students, teachers, and schools during times of armed conflict</w:t>
      </w:r>
      <w:r w:rsidR="2C5937FF" w:rsidRPr="00481997">
        <w:rPr>
          <w:szCs w:val="22"/>
        </w:rPr>
        <w:t>;</w:t>
      </w:r>
      <w:r w:rsidR="004F1DA4" w:rsidRPr="003306DA">
        <w:rPr>
          <w:rStyle w:val="FootnoteReference"/>
          <w:szCs w:val="22"/>
        </w:rPr>
        <w:footnoteReference w:id="29"/>
      </w:r>
      <w:r w:rsidRPr="00481997">
        <w:rPr>
          <w:szCs w:val="22"/>
        </w:rPr>
        <w:t xml:space="preserve"> the importance of the continuation of education during armed conflict; and the implementation of the Guidelines for Protecting Schools and Universities from Military Use during Armed Conflict.</w:t>
      </w:r>
      <w:r w:rsidR="004F1DA4" w:rsidRPr="003306DA">
        <w:rPr>
          <w:rStyle w:val="FootnoteReference"/>
          <w:szCs w:val="22"/>
        </w:rPr>
        <w:footnoteReference w:id="30"/>
      </w:r>
      <w:r w:rsidRPr="00481997">
        <w:rPr>
          <w:szCs w:val="22"/>
        </w:rPr>
        <w:t xml:space="preserve"> South Africa endorsed the Safe Schools Declaration in May 2015, contributing to global efforts to protect education and improve compliance with international law.</w:t>
      </w:r>
    </w:p>
    <w:p w14:paraId="3D7C5580" w14:textId="734F4AC1" w:rsidR="00F441C7" w:rsidRPr="00481997" w:rsidRDefault="00F441C7" w:rsidP="00481997">
      <w:pPr>
        <w:rPr>
          <w:szCs w:val="22"/>
        </w:rPr>
      </w:pPr>
    </w:p>
    <w:p w14:paraId="43F3B6F0" w14:textId="1A15EA75" w:rsidR="00F441C7" w:rsidRPr="00481997" w:rsidRDefault="42B41BC7" w:rsidP="00481997">
      <w:pPr>
        <w:rPr>
          <w:color w:val="000000"/>
          <w:szCs w:val="22"/>
        </w:rPr>
      </w:pPr>
      <w:r w:rsidRPr="00481997">
        <w:rPr>
          <w:szCs w:val="22"/>
        </w:rPr>
        <w:t>In October 2020, the African Committee of Experts on the Rights and Welfare of the Child issued a general comment on children and armed conflict in Africa, in which they stated that “all State Parties’ should either ban the use of schools for military purposes, or, at a minimum, enact concrete measures to deter the use of schools for military purposes in accordance with the Safe Schools Declaration’s Guidelines on Protecting Schools and Universities from Military Use during Armed Conflict, including through their legislation, doctrine, military manuals, rules of engagement, operational orders, and other means of dissemination to encourage appropriate practice throughout the chain of command.”</w:t>
      </w:r>
      <w:r w:rsidR="00F441C7" w:rsidRPr="003306DA">
        <w:rPr>
          <w:rStyle w:val="FootnoteReference"/>
          <w:szCs w:val="22"/>
        </w:rPr>
        <w:footnoteReference w:id="31"/>
      </w:r>
      <w:r w:rsidRPr="00481997">
        <w:rPr>
          <w:szCs w:val="22"/>
        </w:rPr>
        <w:t xml:space="preserve"> In</w:t>
      </w:r>
      <w:r w:rsidRPr="00481997">
        <w:rPr>
          <w:color w:val="000000"/>
          <w:szCs w:val="22"/>
        </w:rPr>
        <w:t xml:space="preserve"> January 2021, the African Union began requiring countries contributing troops to its peace operations to “ensure that schools are not attacked and used for military purposes.”</w:t>
      </w:r>
    </w:p>
    <w:p w14:paraId="55D04805" w14:textId="3267C687" w:rsidR="00F441C7" w:rsidRPr="00481997" w:rsidRDefault="00F441C7" w:rsidP="00481997">
      <w:pPr>
        <w:rPr>
          <w:color w:val="000000"/>
          <w:szCs w:val="22"/>
        </w:rPr>
      </w:pPr>
    </w:p>
    <w:p w14:paraId="7B8BA9E6" w14:textId="00B143D5" w:rsidR="00F441C7" w:rsidRPr="00481997" w:rsidRDefault="0871DB19" w:rsidP="00481997">
      <w:pPr>
        <w:rPr>
          <w:color w:val="000000"/>
          <w:szCs w:val="22"/>
        </w:rPr>
      </w:pPr>
      <w:r w:rsidRPr="00481997">
        <w:rPr>
          <w:color w:val="000000"/>
          <w:szCs w:val="22"/>
        </w:rPr>
        <w:t xml:space="preserve">As of </w:t>
      </w:r>
      <w:r w:rsidR="2909A7E3" w:rsidRPr="00481997">
        <w:rPr>
          <w:color w:val="000000"/>
          <w:szCs w:val="22"/>
        </w:rPr>
        <w:t xml:space="preserve">July </w:t>
      </w:r>
      <w:r w:rsidRPr="00481997">
        <w:rPr>
          <w:color w:val="000000"/>
          <w:szCs w:val="22"/>
        </w:rPr>
        <w:t xml:space="preserve">2021, South Africa was contributing </w:t>
      </w:r>
      <w:r w:rsidR="11CC67BD" w:rsidRPr="00481997">
        <w:rPr>
          <w:color w:val="000000"/>
          <w:szCs w:val="22"/>
        </w:rPr>
        <w:t>923</w:t>
      </w:r>
      <w:r w:rsidRPr="00481997">
        <w:rPr>
          <w:color w:val="000000"/>
          <w:szCs w:val="22"/>
        </w:rPr>
        <w:t xml:space="preserve"> troops to UN peacekeeping operations in </w:t>
      </w:r>
      <w:r w:rsidR="0FF855F6" w:rsidRPr="00481997">
        <w:rPr>
          <w:color w:val="000000"/>
          <w:szCs w:val="22"/>
        </w:rPr>
        <w:t xml:space="preserve">the </w:t>
      </w:r>
      <w:r w:rsidRPr="00481997">
        <w:rPr>
          <w:color w:val="000000"/>
          <w:szCs w:val="22"/>
        </w:rPr>
        <w:t>Democratic Republic of the Congo</w:t>
      </w:r>
      <w:r w:rsidR="4E824B99" w:rsidRPr="00481997">
        <w:rPr>
          <w:color w:val="000000"/>
          <w:szCs w:val="22"/>
        </w:rPr>
        <w:t>.</w:t>
      </w:r>
      <w:r w:rsidR="00F441C7" w:rsidRPr="003306DA">
        <w:rPr>
          <w:rStyle w:val="FootnoteReference"/>
          <w:szCs w:val="22"/>
        </w:rPr>
        <w:footnoteReference w:id="32"/>
      </w:r>
      <w:r w:rsidR="643547EE" w:rsidRPr="00481997">
        <w:rPr>
          <w:color w:val="000000"/>
          <w:szCs w:val="22"/>
        </w:rPr>
        <w:t xml:space="preserve"> </w:t>
      </w:r>
      <w:r w:rsidR="4078A7B1" w:rsidRPr="00481997">
        <w:rPr>
          <w:color w:val="000000"/>
          <w:szCs w:val="22"/>
        </w:rPr>
        <w:t xml:space="preserve">The Global Coalition to Protect Education from Attack (GCPEA) provided recommendations to the UN regarding peacekeeping forces to, </w:t>
      </w:r>
      <w:r w:rsidR="00C57F77">
        <w:rPr>
          <w:color w:val="000000"/>
          <w:szCs w:val="22"/>
        </w:rPr>
        <w:t>“</w:t>
      </w:r>
      <w:r w:rsidR="4078A7B1" w:rsidRPr="00481997">
        <w:rPr>
          <w:color w:val="000000"/>
          <w:szCs w:val="22"/>
        </w:rPr>
        <w:t xml:space="preserve">refrain from using schools and universities for military purposes, in keeping with the UN Department of Peacekeeping Operations’ 2017 child protection policy and the UN Infantry Battalion Manual, and integrate the Guidelines for Protecting Schools and Universities </w:t>
      </w:r>
      <w:r w:rsidR="4078A7B1" w:rsidRPr="00481997">
        <w:rPr>
          <w:color w:val="000000"/>
          <w:szCs w:val="22"/>
        </w:rPr>
        <w:lastRenderedPageBreak/>
        <w:t>from Military Use during Armed Conflict into operations, as far as is possible and appropriate.</w:t>
      </w:r>
      <w:r w:rsidR="00C57F77">
        <w:rPr>
          <w:color w:val="000000"/>
          <w:szCs w:val="22"/>
        </w:rPr>
        <w:t>”</w:t>
      </w:r>
      <w:r w:rsidR="006E5F9A" w:rsidRPr="003306DA">
        <w:rPr>
          <w:rStyle w:val="FootnoteReference"/>
          <w:szCs w:val="22"/>
        </w:rPr>
        <w:footnoteReference w:id="33"/>
      </w:r>
      <w:r w:rsidR="41F75158" w:rsidRPr="00481997">
        <w:rPr>
          <w:color w:val="000000"/>
          <w:szCs w:val="22"/>
        </w:rPr>
        <w:t xml:space="preserve"> </w:t>
      </w:r>
    </w:p>
    <w:p w14:paraId="02A59797" w14:textId="6EC270C5" w:rsidR="00F441C7" w:rsidRPr="00481997" w:rsidRDefault="00F441C7" w:rsidP="00481997">
      <w:pPr>
        <w:rPr>
          <w:color w:val="000000"/>
          <w:szCs w:val="22"/>
        </w:rPr>
      </w:pPr>
    </w:p>
    <w:p w14:paraId="5237F34C" w14:textId="5D7E65F0" w:rsidR="00F441C7" w:rsidRPr="00481997" w:rsidRDefault="525111B2" w:rsidP="00481997">
      <w:pPr>
        <w:rPr>
          <w:color w:val="000000"/>
          <w:szCs w:val="22"/>
        </w:rPr>
      </w:pPr>
      <w:r w:rsidRPr="00481997">
        <w:rPr>
          <w:color w:val="000000"/>
          <w:szCs w:val="22"/>
        </w:rPr>
        <w:t xml:space="preserve">As part of these recommendations, we wish to emphasize that the </w:t>
      </w:r>
      <w:r w:rsidR="42B41BC7" w:rsidRPr="00481997">
        <w:rPr>
          <w:color w:val="000000"/>
          <w:szCs w:val="22"/>
        </w:rPr>
        <w:t>2017 Child Protection Policy of the UN Department of Peace Operations, Department of Field Support, and Department of Political Affairs notes:</w:t>
      </w:r>
    </w:p>
    <w:p w14:paraId="5BB008A1" w14:textId="0B47E028" w:rsidR="0064346C" w:rsidRPr="00481997" w:rsidRDefault="0064346C" w:rsidP="00481997">
      <w:pPr>
        <w:rPr>
          <w:color w:val="000000"/>
          <w:szCs w:val="22"/>
        </w:rPr>
      </w:pPr>
    </w:p>
    <w:p w14:paraId="5F6F25F0" w14:textId="67E1DE01" w:rsidR="0064346C" w:rsidRPr="00481997" w:rsidRDefault="3EE7522F" w:rsidP="00481997">
      <w:pPr>
        <w:pStyle w:val="blockquote"/>
        <w:rPr>
          <w:szCs w:val="22"/>
        </w:rPr>
      </w:pPr>
      <w:r w:rsidRPr="00481997">
        <w:rPr>
          <w:szCs w:val="22"/>
        </w:rPr>
        <w:t>United Nations peace operations should refrain from all actions that impede children’s access to education, including the use of school premises. This applies particularly to uniformed personnel. Furthermore … United Nations peace operations personnel shall at no time and for no amount of time use schools for military purposes.</w:t>
      </w:r>
      <w:r w:rsidR="0064346C" w:rsidRPr="003306DA">
        <w:rPr>
          <w:rStyle w:val="FootnoteReference"/>
          <w:szCs w:val="22"/>
        </w:rPr>
        <w:footnoteReference w:id="34"/>
      </w:r>
    </w:p>
    <w:p w14:paraId="293BB23A" w14:textId="77777777" w:rsidR="00E86556" w:rsidRPr="00481997" w:rsidRDefault="00E86556" w:rsidP="00481997">
      <w:pPr>
        <w:rPr>
          <w:szCs w:val="22"/>
        </w:rPr>
      </w:pPr>
    </w:p>
    <w:p w14:paraId="72311A75" w14:textId="77777777" w:rsidR="00E86556" w:rsidRPr="00C57F77" w:rsidRDefault="00E86556" w:rsidP="00481997">
      <w:pPr>
        <w:rPr>
          <w:b/>
          <w:bCs/>
          <w:i/>
          <w:iCs/>
          <w:szCs w:val="22"/>
        </w:rPr>
      </w:pPr>
      <w:r w:rsidRPr="00C57F77">
        <w:rPr>
          <w:b/>
          <w:bCs/>
          <w:i/>
          <w:iCs/>
          <w:szCs w:val="22"/>
        </w:rPr>
        <w:t>Human Rights Watch recommends that the Committee pose the following questions to the government of South Africa:</w:t>
      </w:r>
    </w:p>
    <w:p w14:paraId="60D0EDF7" w14:textId="77777777" w:rsidR="00E86556" w:rsidRPr="00481997" w:rsidRDefault="00E86556" w:rsidP="00481997">
      <w:pPr>
        <w:rPr>
          <w:szCs w:val="22"/>
        </w:rPr>
      </w:pPr>
    </w:p>
    <w:p w14:paraId="4A46197C" w14:textId="77777777" w:rsidR="00E86556" w:rsidRPr="00481997" w:rsidRDefault="00E86556" w:rsidP="00481997">
      <w:pPr>
        <w:pStyle w:val="ListParagraph"/>
        <w:numPr>
          <w:ilvl w:val="0"/>
          <w:numId w:val="13"/>
        </w:numPr>
        <w:spacing w:line="264" w:lineRule="auto"/>
        <w:rPr>
          <w:rFonts w:ascii="MetaPro-Norm" w:hAnsi="MetaPro-Norm"/>
          <w:sz w:val="22"/>
          <w:szCs w:val="22"/>
        </w:rPr>
      </w:pPr>
      <w:r w:rsidRPr="00481997">
        <w:rPr>
          <w:rFonts w:ascii="MetaPro-Norm" w:hAnsi="MetaPro-Norm"/>
          <w:sz w:val="22"/>
          <w:szCs w:val="22"/>
        </w:rPr>
        <w:t>What steps has South Africa taken to implement the commitments in the Safe Schools Declaration?</w:t>
      </w:r>
    </w:p>
    <w:p w14:paraId="7E4C9471" w14:textId="6A4498B9" w:rsidR="00E86556" w:rsidRPr="00481997" w:rsidRDefault="00E86556" w:rsidP="00481997">
      <w:pPr>
        <w:pStyle w:val="ListParagraph"/>
        <w:numPr>
          <w:ilvl w:val="0"/>
          <w:numId w:val="13"/>
        </w:numPr>
        <w:spacing w:line="264" w:lineRule="auto"/>
        <w:rPr>
          <w:rFonts w:ascii="MetaPro-Norm" w:hAnsi="MetaPro-Norm"/>
          <w:sz w:val="22"/>
          <w:szCs w:val="22"/>
        </w:rPr>
      </w:pPr>
      <w:r w:rsidRPr="00481997">
        <w:rPr>
          <w:rFonts w:ascii="MetaPro-Norm" w:hAnsi="MetaPro-Norm"/>
          <w:sz w:val="22"/>
          <w:szCs w:val="22"/>
        </w:rPr>
        <w:t>Do any South African laws, policies, or trainings provide explicit protection for schools and universities from military use during armed conflict?</w:t>
      </w:r>
    </w:p>
    <w:p w14:paraId="64A3D010" w14:textId="19427D25" w:rsidR="008C6571" w:rsidRPr="00481997" w:rsidRDefault="4F7B11A2" w:rsidP="00481997">
      <w:pPr>
        <w:pStyle w:val="ListParagraph"/>
        <w:numPr>
          <w:ilvl w:val="0"/>
          <w:numId w:val="13"/>
        </w:numPr>
        <w:spacing w:line="264" w:lineRule="auto"/>
        <w:rPr>
          <w:rFonts w:ascii="MetaPro-Norm" w:hAnsi="MetaPro-Norm"/>
          <w:sz w:val="22"/>
          <w:szCs w:val="22"/>
        </w:rPr>
      </w:pPr>
      <w:r w:rsidRPr="00481997">
        <w:rPr>
          <w:rFonts w:ascii="MetaPro-Norm" w:hAnsi="MetaPro-Norm"/>
          <w:sz w:val="22"/>
          <w:szCs w:val="22"/>
        </w:rPr>
        <w:t>Does pre-deployment training for South African peacekeepers include the ban on using schools in military operations?</w:t>
      </w:r>
    </w:p>
    <w:p w14:paraId="5AE7B08E" w14:textId="77777777" w:rsidR="00E86556" w:rsidRPr="00481997" w:rsidRDefault="00E86556" w:rsidP="00481997">
      <w:pPr>
        <w:rPr>
          <w:szCs w:val="22"/>
        </w:rPr>
      </w:pPr>
    </w:p>
    <w:p w14:paraId="33C971AC" w14:textId="375A5EEE" w:rsidR="004A5DE6" w:rsidRPr="00C57F77" w:rsidRDefault="03D739B7" w:rsidP="00481997">
      <w:pPr>
        <w:rPr>
          <w:rFonts w:eastAsia="MetaPro-Norm" w:cs="MetaPro-Norm"/>
          <w:b/>
          <w:bCs/>
          <w:szCs w:val="22"/>
        </w:rPr>
      </w:pPr>
      <w:r w:rsidRPr="00C57F77">
        <w:rPr>
          <w:rFonts w:eastAsia="MetaPro-Norm" w:cs="MetaPro-Norm"/>
          <w:b/>
          <w:bCs/>
          <w:szCs w:val="22"/>
        </w:rPr>
        <w:t>Increased Support for GBV Shelters</w:t>
      </w:r>
      <w:r w:rsidR="34601A7A" w:rsidRPr="00C57F77">
        <w:rPr>
          <w:rFonts w:eastAsia="MetaPro-Norm" w:cs="MetaPro-Norm"/>
          <w:b/>
          <w:bCs/>
          <w:szCs w:val="22"/>
        </w:rPr>
        <w:t xml:space="preserve"> (Articles 1, 2</w:t>
      </w:r>
      <w:r w:rsidR="64F40EC7" w:rsidRPr="00C57F77">
        <w:rPr>
          <w:rFonts w:eastAsia="MetaPro-Norm" w:cs="MetaPro-Norm"/>
          <w:b/>
          <w:bCs/>
          <w:szCs w:val="22"/>
        </w:rPr>
        <w:t>)</w:t>
      </w:r>
    </w:p>
    <w:p w14:paraId="70B369E3" w14:textId="362D2491" w:rsidR="2797D628" w:rsidRPr="00481997" w:rsidRDefault="2797D628" w:rsidP="00481997">
      <w:pPr>
        <w:rPr>
          <w:rFonts w:eastAsia="MetaPro-Norm" w:cs="MetaPro-Norm"/>
          <w:szCs w:val="22"/>
          <w:highlight w:val="yellow"/>
        </w:rPr>
      </w:pPr>
    </w:p>
    <w:p w14:paraId="5D85EF30" w14:textId="2B840092" w:rsidR="1A8E69FC" w:rsidRPr="00481997" w:rsidRDefault="00E53494" w:rsidP="00481997">
      <w:pPr>
        <w:rPr>
          <w:rFonts w:eastAsia="MetaPro-Norm" w:cs="MetaPro-Norm"/>
          <w:szCs w:val="22"/>
        </w:rPr>
      </w:pPr>
      <w:r w:rsidRPr="00481997">
        <w:rPr>
          <w:rFonts w:eastAsia="MetaPro-Norm" w:cs="MetaPro-Norm"/>
          <w:szCs w:val="22"/>
        </w:rPr>
        <w:t>T</w:t>
      </w:r>
      <w:r w:rsidR="5B1C376F" w:rsidRPr="00481997">
        <w:rPr>
          <w:rFonts w:eastAsia="MetaPro-Norm" w:cs="MetaPro-Norm"/>
          <w:szCs w:val="22"/>
        </w:rPr>
        <w:t xml:space="preserve">he South African government </w:t>
      </w:r>
      <w:r w:rsidR="2070CE3E" w:rsidRPr="00481997">
        <w:rPr>
          <w:rFonts w:eastAsia="MetaPro-Norm" w:cs="MetaPro-Norm"/>
          <w:szCs w:val="22"/>
        </w:rPr>
        <w:t>decr</w:t>
      </w:r>
      <w:r w:rsidRPr="00481997">
        <w:rPr>
          <w:rFonts w:eastAsia="MetaPro-Norm" w:cs="MetaPro-Norm"/>
          <w:szCs w:val="22"/>
        </w:rPr>
        <w:t>ied</w:t>
      </w:r>
      <w:r w:rsidR="2070CE3E" w:rsidRPr="00481997">
        <w:rPr>
          <w:rFonts w:eastAsia="MetaPro-Norm" w:cs="MetaPro-Norm"/>
          <w:szCs w:val="22"/>
        </w:rPr>
        <w:t xml:space="preserve"> and </w:t>
      </w:r>
      <w:r w:rsidR="0E189355" w:rsidRPr="00481997">
        <w:rPr>
          <w:rFonts w:eastAsia="MetaPro-Norm" w:cs="MetaPro-Norm"/>
          <w:szCs w:val="22"/>
        </w:rPr>
        <w:t>committ</w:t>
      </w:r>
      <w:r w:rsidRPr="00481997">
        <w:rPr>
          <w:rFonts w:eastAsia="MetaPro-Norm" w:cs="MetaPro-Norm"/>
          <w:szCs w:val="22"/>
        </w:rPr>
        <w:t>ed</w:t>
      </w:r>
      <w:r w:rsidR="2070CE3E" w:rsidRPr="00481997">
        <w:rPr>
          <w:rFonts w:eastAsia="MetaPro-Norm" w:cs="MetaPro-Norm"/>
          <w:szCs w:val="22"/>
        </w:rPr>
        <w:t xml:space="preserve"> to address</w:t>
      </w:r>
      <w:r w:rsidR="5B1C376F" w:rsidRPr="00481997">
        <w:rPr>
          <w:rFonts w:eastAsia="MetaPro-Norm" w:cs="MetaPro-Norm"/>
          <w:szCs w:val="22"/>
        </w:rPr>
        <w:t xml:space="preserve"> </w:t>
      </w:r>
      <w:r w:rsidR="723B3D81" w:rsidRPr="00481997">
        <w:rPr>
          <w:rFonts w:eastAsia="MetaPro-Norm" w:cs="MetaPro-Norm"/>
          <w:szCs w:val="22"/>
        </w:rPr>
        <w:t xml:space="preserve">South Africa’s </w:t>
      </w:r>
      <w:r w:rsidR="5B1C376F" w:rsidRPr="00481997">
        <w:rPr>
          <w:rFonts w:eastAsia="MetaPro-Norm" w:cs="MetaPro-Norm"/>
          <w:szCs w:val="22"/>
        </w:rPr>
        <w:t>high rates of gender-based violence (GBV</w:t>
      </w:r>
      <w:r w:rsidR="37427B63" w:rsidRPr="00481997">
        <w:rPr>
          <w:rFonts w:eastAsia="MetaPro-Norm" w:cs="MetaPro-Norm"/>
          <w:szCs w:val="22"/>
        </w:rPr>
        <w:t xml:space="preserve">) </w:t>
      </w:r>
      <w:r w:rsidR="5B1C376F" w:rsidRPr="00481997">
        <w:rPr>
          <w:rFonts w:eastAsia="MetaPro-Norm" w:cs="MetaPro-Norm"/>
          <w:szCs w:val="22"/>
        </w:rPr>
        <w:t xml:space="preserve">both during and before the pandemic. But South African GBV experts told Human Rights Watch that despite </w:t>
      </w:r>
      <w:r w:rsidR="36F75588" w:rsidRPr="00481997">
        <w:rPr>
          <w:rFonts w:eastAsia="MetaPro-Norm" w:cs="MetaPro-Norm"/>
          <w:szCs w:val="22"/>
        </w:rPr>
        <w:t>important planning</w:t>
      </w:r>
      <w:r w:rsidR="00C57F77">
        <w:rPr>
          <w:rFonts w:eastAsia="MetaPro-Norm" w:cs="MetaPro-Norm"/>
          <w:szCs w:val="22"/>
        </w:rPr>
        <w:t>,</w:t>
      </w:r>
      <w:r w:rsidR="36F75588" w:rsidRPr="00481997">
        <w:rPr>
          <w:rFonts w:eastAsia="MetaPro-Norm" w:cs="MetaPro-Norm"/>
          <w:szCs w:val="22"/>
        </w:rPr>
        <w:t xml:space="preserve"> </w:t>
      </w:r>
      <w:r w:rsidR="5B1C376F" w:rsidRPr="00481997">
        <w:rPr>
          <w:rFonts w:eastAsia="MetaPro-Norm" w:cs="MetaPro-Norm"/>
          <w:szCs w:val="22"/>
        </w:rPr>
        <w:t xml:space="preserve">including in the </w:t>
      </w:r>
      <w:hyperlink r:id="rId12">
        <w:r w:rsidR="5B1C376F" w:rsidRPr="00481997">
          <w:rPr>
            <w:rStyle w:val="Hyperlink"/>
            <w:rFonts w:eastAsia="MetaPro-Norm" w:cs="MetaPro-Norm"/>
            <w:szCs w:val="22"/>
          </w:rPr>
          <w:t>National Strategic Plan</w:t>
        </w:r>
        <w:r w:rsidR="40FC370E" w:rsidRPr="00481997">
          <w:rPr>
            <w:rStyle w:val="Hyperlink"/>
            <w:rFonts w:eastAsia="MetaPro-Norm" w:cs="MetaPro-Norm"/>
            <w:szCs w:val="22"/>
          </w:rPr>
          <w:t>,</w:t>
        </w:r>
      </w:hyperlink>
      <w:r w:rsidR="5B1C376F" w:rsidRPr="00481997">
        <w:rPr>
          <w:rFonts w:eastAsia="MetaPro-Norm" w:cs="MetaPro-Norm"/>
          <w:szCs w:val="22"/>
        </w:rPr>
        <w:t xml:space="preserve"> the government has still failed to provide necessary funding for GBV shelters and other services.</w:t>
      </w:r>
    </w:p>
    <w:p w14:paraId="1610CAE0" w14:textId="23558A1C" w:rsidR="2797D628" w:rsidRPr="00481997" w:rsidRDefault="2797D628" w:rsidP="00481997">
      <w:pPr>
        <w:rPr>
          <w:rFonts w:eastAsia="MetaPro-Norm" w:cs="MetaPro-Norm"/>
          <w:szCs w:val="22"/>
        </w:rPr>
      </w:pPr>
    </w:p>
    <w:p w14:paraId="33AF8A3D" w14:textId="0065F34A" w:rsidR="069FD043" w:rsidRPr="00481997" w:rsidRDefault="069FD043" w:rsidP="00481997">
      <w:pPr>
        <w:rPr>
          <w:rFonts w:eastAsia="MetaPro-Norm" w:cs="MetaPro-Norm"/>
          <w:szCs w:val="22"/>
        </w:rPr>
      </w:pPr>
      <w:r w:rsidRPr="00481997">
        <w:rPr>
          <w:rFonts w:eastAsia="MetaPro-Norm" w:cs="MetaPro-Norm"/>
          <w:szCs w:val="22"/>
        </w:rPr>
        <w:lastRenderedPageBreak/>
        <w:t xml:space="preserve">As noted by the umbrella organization, the </w:t>
      </w:r>
      <w:hyperlink r:id="rId13">
        <w:r w:rsidRPr="00481997">
          <w:rPr>
            <w:rStyle w:val="Hyperlink"/>
            <w:rFonts w:eastAsia="MetaPro-Norm" w:cs="MetaPro-Norm"/>
            <w:szCs w:val="22"/>
          </w:rPr>
          <w:t>National Shelter Movemen</w:t>
        </w:r>
        <w:r w:rsidR="30ABDCFB" w:rsidRPr="00481997">
          <w:rPr>
            <w:rStyle w:val="Hyperlink"/>
            <w:rFonts w:eastAsia="MetaPro-Norm" w:cs="MetaPro-Norm"/>
            <w:szCs w:val="22"/>
          </w:rPr>
          <w:t>t</w:t>
        </w:r>
      </w:hyperlink>
      <w:r w:rsidR="419454AD" w:rsidRPr="00481997">
        <w:rPr>
          <w:rFonts w:eastAsia="MetaPro-Norm" w:cs="MetaPro-Norm"/>
          <w:szCs w:val="22"/>
        </w:rPr>
        <w:t xml:space="preserve"> as well as </w:t>
      </w:r>
      <w:r w:rsidRPr="00481997">
        <w:rPr>
          <w:rFonts w:eastAsia="MetaPro-Norm" w:cs="MetaPro-Norm"/>
          <w:szCs w:val="22"/>
        </w:rPr>
        <w:t xml:space="preserve">the </w:t>
      </w:r>
      <w:hyperlink r:id="rId14">
        <w:r w:rsidRPr="00481997">
          <w:rPr>
            <w:rStyle w:val="Hyperlink"/>
            <w:rFonts w:eastAsia="MetaPro-Norm" w:cs="MetaPro-Norm"/>
            <w:szCs w:val="22"/>
          </w:rPr>
          <w:t>Commission for Gender Equalit</w:t>
        </w:r>
        <w:r w:rsidR="0F7A1D72" w:rsidRPr="00481997">
          <w:rPr>
            <w:rStyle w:val="Hyperlink"/>
            <w:rFonts w:eastAsia="MetaPro-Norm" w:cs="MetaPro-Norm"/>
            <w:szCs w:val="22"/>
          </w:rPr>
          <w:t>y</w:t>
        </w:r>
      </w:hyperlink>
      <w:r w:rsidR="6EDD3DE8" w:rsidRPr="00481997">
        <w:rPr>
          <w:rFonts w:eastAsia="MetaPro-Norm" w:cs="MetaPro-Norm"/>
          <w:szCs w:val="22"/>
        </w:rPr>
        <w:t xml:space="preserve">, the </w:t>
      </w:r>
      <w:hyperlink r:id="rId15">
        <w:r w:rsidR="6EDD3DE8" w:rsidRPr="00481997">
          <w:rPr>
            <w:rStyle w:val="Hyperlink"/>
            <w:rFonts w:eastAsia="MetaPro-Norm" w:cs="MetaPro-Norm"/>
            <w:szCs w:val="22"/>
          </w:rPr>
          <w:t xml:space="preserve">Heinrich </w:t>
        </w:r>
        <w:proofErr w:type="spellStart"/>
        <w:r w:rsidR="6EDD3DE8" w:rsidRPr="00481997">
          <w:rPr>
            <w:rStyle w:val="Hyperlink"/>
            <w:rFonts w:eastAsia="MetaPro-Norm" w:cs="MetaPro-Norm"/>
            <w:szCs w:val="22"/>
          </w:rPr>
          <w:t>Böll</w:t>
        </w:r>
        <w:proofErr w:type="spellEnd"/>
        <w:r w:rsidR="6EDD3DE8" w:rsidRPr="00481997">
          <w:rPr>
            <w:rStyle w:val="Hyperlink"/>
            <w:rFonts w:eastAsia="MetaPro-Norm" w:cs="MetaPro-Norm"/>
            <w:szCs w:val="22"/>
          </w:rPr>
          <w:t xml:space="preserve"> Foundation</w:t>
        </w:r>
      </w:hyperlink>
      <w:r w:rsidR="6EDD3DE8" w:rsidRPr="00481997">
        <w:rPr>
          <w:rFonts w:eastAsia="MetaPro-Norm" w:cs="MetaPro-Norm"/>
          <w:szCs w:val="22"/>
        </w:rPr>
        <w:t>, funding in many provinces has been patchy</w:t>
      </w:r>
      <w:r w:rsidR="44CEBC6C" w:rsidRPr="00481997">
        <w:rPr>
          <w:rFonts w:eastAsia="MetaPro-Norm" w:cs="MetaPro-Norm"/>
          <w:szCs w:val="22"/>
        </w:rPr>
        <w:t xml:space="preserve"> for </w:t>
      </w:r>
      <w:r w:rsidR="4815A1B5" w:rsidRPr="00481997">
        <w:rPr>
          <w:rFonts w:eastAsia="MetaPro-Norm" w:cs="MetaPro-Norm"/>
          <w:szCs w:val="22"/>
        </w:rPr>
        <w:t xml:space="preserve">many </w:t>
      </w:r>
      <w:r w:rsidR="44CEBC6C" w:rsidRPr="00481997">
        <w:rPr>
          <w:rFonts w:eastAsia="MetaPro-Norm" w:cs="MetaPro-Norm"/>
          <w:szCs w:val="22"/>
        </w:rPr>
        <w:t>years with different shelters receiving differing support</w:t>
      </w:r>
      <w:r w:rsidR="321F2B62" w:rsidRPr="00481997">
        <w:rPr>
          <w:rFonts w:eastAsia="MetaPro-Norm" w:cs="MetaPro-Norm"/>
          <w:szCs w:val="22"/>
        </w:rPr>
        <w:t xml:space="preserve"> and with support arriving late, causing serious problems for shelters. This problem has continued during the Covid-19 period, </w:t>
      </w:r>
      <w:r w:rsidR="00C476D5" w:rsidRPr="00481997">
        <w:rPr>
          <w:rFonts w:eastAsia="MetaPro-Norm" w:cs="MetaPro-Norm"/>
          <w:szCs w:val="22"/>
        </w:rPr>
        <w:t xml:space="preserve">leading </w:t>
      </w:r>
      <w:r w:rsidR="52CCB8C9" w:rsidRPr="00481997">
        <w:rPr>
          <w:rFonts w:eastAsia="MetaPro-Norm" w:cs="MetaPro-Norm"/>
          <w:szCs w:val="22"/>
        </w:rPr>
        <w:t xml:space="preserve">some shelters </w:t>
      </w:r>
      <w:r w:rsidR="00C476D5" w:rsidRPr="00481997">
        <w:rPr>
          <w:rFonts w:eastAsia="MetaPro-Norm" w:cs="MetaPro-Norm"/>
          <w:szCs w:val="22"/>
        </w:rPr>
        <w:t xml:space="preserve">to contemplate </w:t>
      </w:r>
      <w:r w:rsidR="52CCB8C9" w:rsidRPr="00481997">
        <w:rPr>
          <w:rFonts w:eastAsia="MetaPro-Norm" w:cs="MetaPro-Norm"/>
          <w:szCs w:val="22"/>
        </w:rPr>
        <w:t>closure and adding pressure to others already struggling with responding to the pandemic.</w:t>
      </w:r>
    </w:p>
    <w:p w14:paraId="71793337" w14:textId="043342EA" w:rsidR="2797D628" w:rsidRPr="00481997" w:rsidRDefault="2797D628" w:rsidP="00481997">
      <w:pPr>
        <w:rPr>
          <w:rFonts w:eastAsia="MetaPro-Norm" w:cs="MetaPro-Norm"/>
          <w:szCs w:val="22"/>
        </w:rPr>
      </w:pPr>
    </w:p>
    <w:p w14:paraId="64E3BBAA" w14:textId="4D4E25FE" w:rsidR="6B37FA20" w:rsidRPr="00481997" w:rsidRDefault="6B37FA20" w:rsidP="00481997">
      <w:pPr>
        <w:rPr>
          <w:rFonts w:eastAsia="MetaPro-Norm" w:cs="MetaPro-Norm"/>
          <w:szCs w:val="22"/>
        </w:rPr>
      </w:pPr>
      <w:r w:rsidRPr="00481997">
        <w:rPr>
          <w:rFonts w:eastAsia="MetaPro-Norm" w:cs="MetaPro-Norm"/>
          <w:szCs w:val="22"/>
        </w:rPr>
        <w:t xml:space="preserve">Covid-19 and government shutdowns have made it harder both for victims of GBV to access shelters and social </w:t>
      </w:r>
      <w:r w:rsidR="66803D67" w:rsidRPr="00481997">
        <w:rPr>
          <w:rFonts w:eastAsia="MetaPro-Norm" w:cs="MetaPro-Norm"/>
          <w:szCs w:val="22"/>
        </w:rPr>
        <w:t xml:space="preserve">workers and other shelter workers to run these crucial services. </w:t>
      </w:r>
      <w:r w:rsidR="00C57F77">
        <w:rPr>
          <w:rFonts w:eastAsia="MetaPro-Norm" w:cs="MetaPro-Norm"/>
          <w:szCs w:val="22"/>
        </w:rPr>
        <w:t xml:space="preserve">In </w:t>
      </w:r>
      <w:r w:rsidR="00C476D5" w:rsidRPr="00481997">
        <w:rPr>
          <w:rFonts w:eastAsia="MetaPro-Norm" w:cs="MetaPro-Norm"/>
          <w:szCs w:val="22"/>
        </w:rPr>
        <w:t xml:space="preserve">Human Rights Watch’s </w:t>
      </w:r>
      <w:r w:rsidR="66803D67" w:rsidRPr="00481997">
        <w:rPr>
          <w:rFonts w:eastAsia="MetaPro-Norm" w:cs="MetaPro-Norm"/>
          <w:szCs w:val="22"/>
        </w:rPr>
        <w:t>recent research</w:t>
      </w:r>
      <w:r w:rsidR="00C476D5" w:rsidRPr="00481997">
        <w:rPr>
          <w:rFonts w:eastAsia="MetaPro-Norm" w:cs="MetaPro-Norm"/>
          <w:szCs w:val="22"/>
        </w:rPr>
        <w:t xml:space="preserve"> </w:t>
      </w:r>
      <w:r w:rsidR="66803D67" w:rsidRPr="00481997">
        <w:rPr>
          <w:rFonts w:eastAsia="MetaPro-Norm" w:cs="MetaPro-Norm"/>
          <w:szCs w:val="22"/>
        </w:rPr>
        <w:t xml:space="preserve">with GBV frontline workers and shelter staff as well as other experts in GBV </w:t>
      </w:r>
      <w:r w:rsidR="3A8AE940" w:rsidRPr="00481997">
        <w:rPr>
          <w:rFonts w:eastAsia="MetaPro-Norm" w:cs="MetaPro-Norm"/>
          <w:szCs w:val="22"/>
        </w:rPr>
        <w:t>in South Africa</w:t>
      </w:r>
      <w:r w:rsidR="68F68C9A" w:rsidRPr="00481997">
        <w:rPr>
          <w:rFonts w:eastAsia="MetaPro-Norm" w:cs="MetaPro-Norm"/>
          <w:szCs w:val="22"/>
        </w:rPr>
        <w:t>,</w:t>
      </w:r>
      <w:r w:rsidR="3A8AE940" w:rsidRPr="00481997">
        <w:rPr>
          <w:rFonts w:eastAsia="MetaPro-Norm" w:cs="MetaPro-Norm"/>
          <w:szCs w:val="22"/>
        </w:rPr>
        <w:t xml:space="preserve"> it also became evident that some groups such as sex workers, LGBT people and immigrants, asylum seekers and refugees </w:t>
      </w:r>
      <w:r w:rsidR="09440587" w:rsidRPr="00481997">
        <w:rPr>
          <w:rFonts w:eastAsia="MetaPro-Norm" w:cs="MetaPro-Norm"/>
          <w:szCs w:val="22"/>
        </w:rPr>
        <w:t xml:space="preserve">sometimes </w:t>
      </w:r>
      <w:r w:rsidR="003E0184" w:rsidRPr="00481997">
        <w:rPr>
          <w:rFonts w:eastAsia="MetaPro-Norm" w:cs="MetaPro-Norm"/>
          <w:szCs w:val="22"/>
        </w:rPr>
        <w:t xml:space="preserve">faced barriers </w:t>
      </w:r>
      <w:r w:rsidR="3A8AE940" w:rsidRPr="00481997">
        <w:rPr>
          <w:rFonts w:eastAsia="MetaPro-Norm" w:cs="MetaPro-Norm"/>
          <w:szCs w:val="22"/>
        </w:rPr>
        <w:t>accessing shelter</w:t>
      </w:r>
      <w:r w:rsidR="4888E59D" w:rsidRPr="00481997">
        <w:rPr>
          <w:rFonts w:eastAsia="MetaPro-Norm" w:cs="MetaPro-Norm"/>
          <w:szCs w:val="22"/>
        </w:rPr>
        <w:t>s</w:t>
      </w:r>
      <w:r w:rsidR="005A612C" w:rsidRPr="00481997">
        <w:rPr>
          <w:rFonts w:eastAsia="MetaPro-Norm" w:cs="MetaPro-Norm"/>
          <w:szCs w:val="22"/>
        </w:rPr>
        <w:t xml:space="preserve">, </w:t>
      </w:r>
      <w:r w:rsidR="005A612C" w:rsidRPr="00481997">
        <w:rPr>
          <w:rFonts w:eastAsia="MetaPro-Norm" w:cs="MetaPro-Norm"/>
          <w:szCs w:val="22"/>
        </w:rPr>
        <w:t>either because services are not advertised to them and they feel unwelcome and that they would face additional stigma at the shelter or because shelter staff worry that they are not trained or otherwise set up for this population</w:t>
      </w:r>
      <w:r w:rsidR="4888E59D" w:rsidRPr="00481997">
        <w:rPr>
          <w:rFonts w:eastAsia="MetaPro-Norm" w:cs="MetaPro-Norm"/>
          <w:szCs w:val="22"/>
        </w:rPr>
        <w:t>.</w:t>
      </w:r>
      <w:r w:rsidR="00C57F77">
        <w:rPr>
          <w:rFonts w:eastAsia="MetaPro-Norm" w:cs="MetaPro-Norm"/>
          <w:szCs w:val="22"/>
        </w:rPr>
        <w:t xml:space="preserve"> </w:t>
      </w:r>
      <w:r w:rsidR="00C476D5" w:rsidRPr="00481997">
        <w:rPr>
          <w:rFonts w:eastAsia="MetaPro-Norm" w:cs="MetaPro-Norm"/>
          <w:szCs w:val="22"/>
        </w:rPr>
        <w:t xml:space="preserve">Publication of this research is pending. </w:t>
      </w:r>
    </w:p>
    <w:p w14:paraId="3FB8C491" w14:textId="0963075E" w:rsidR="2797D628" w:rsidRPr="00481997" w:rsidRDefault="2797D628" w:rsidP="00481997">
      <w:pPr>
        <w:rPr>
          <w:szCs w:val="22"/>
        </w:rPr>
      </w:pPr>
    </w:p>
    <w:p w14:paraId="2E5F9B24" w14:textId="77777777" w:rsidR="64F40EC7" w:rsidRPr="00C57F77" w:rsidRDefault="64F40EC7" w:rsidP="00481997">
      <w:pPr>
        <w:rPr>
          <w:rFonts w:eastAsia="MetaPro-Norm" w:cs="MetaPro-Norm"/>
          <w:b/>
          <w:bCs/>
          <w:i/>
          <w:iCs/>
          <w:szCs w:val="22"/>
        </w:rPr>
      </w:pPr>
      <w:r w:rsidRPr="00C57F77">
        <w:rPr>
          <w:rFonts w:eastAsia="MetaPro-Norm" w:cs="MetaPro-Norm"/>
          <w:b/>
          <w:bCs/>
          <w:i/>
          <w:iCs/>
          <w:szCs w:val="22"/>
        </w:rPr>
        <w:t>Human Rights Watch recommends that the Committee pose the following questions to the government of South Africa:</w:t>
      </w:r>
    </w:p>
    <w:p w14:paraId="3990B9DB" w14:textId="77777777" w:rsidR="2797D628" w:rsidRPr="00481997" w:rsidRDefault="2797D628" w:rsidP="00481997">
      <w:pPr>
        <w:rPr>
          <w:rFonts w:eastAsia="MetaPro-Norm" w:cs="MetaPro-Norm"/>
          <w:szCs w:val="22"/>
        </w:rPr>
      </w:pPr>
    </w:p>
    <w:p w14:paraId="190D4C74" w14:textId="12601509" w:rsidR="3BDA12EF" w:rsidRPr="00481997" w:rsidRDefault="00C476D5" w:rsidP="00481997">
      <w:pPr>
        <w:pStyle w:val="ListParagraph"/>
        <w:numPr>
          <w:ilvl w:val="0"/>
          <w:numId w:val="13"/>
        </w:numPr>
        <w:spacing w:line="264" w:lineRule="auto"/>
        <w:rPr>
          <w:rFonts w:ascii="MetaPro-Norm" w:eastAsia="MetaPro-Norm" w:hAnsi="MetaPro-Norm" w:cs="MetaPro-Norm"/>
          <w:sz w:val="22"/>
          <w:szCs w:val="22"/>
        </w:rPr>
      </w:pPr>
      <w:r w:rsidRPr="00481997">
        <w:rPr>
          <w:rFonts w:ascii="MetaPro-Norm" w:eastAsia="MetaPro-Norm" w:hAnsi="MetaPro-Norm" w:cs="MetaPro-Norm"/>
          <w:color w:val="000000" w:themeColor="text1"/>
          <w:sz w:val="22"/>
          <w:szCs w:val="22"/>
          <w:lang w:val="en-GB"/>
        </w:rPr>
        <w:t xml:space="preserve">How is </w:t>
      </w:r>
      <w:r w:rsidR="559E1B3A" w:rsidRPr="00481997">
        <w:rPr>
          <w:rFonts w:ascii="MetaPro-Norm" w:eastAsia="MetaPro-Norm" w:hAnsi="MetaPro-Norm" w:cs="MetaPro-Norm"/>
          <w:color w:val="000000" w:themeColor="text1"/>
          <w:sz w:val="22"/>
          <w:szCs w:val="22"/>
          <w:lang w:val="en-GB"/>
        </w:rPr>
        <w:t>the</w:t>
      </w:r>
      <w:r w:rsidRPr="00481997">
        <w:rPr>
          <w:rFonts w:ascii="MetaPro-Norm" w:eastAsia="MetaPro-Norm" w:hAnsi="MetaPro-Norm" w:cs="MetaPro-Norm"/>
          <w:color w:val="000000" w:themeColor="text1"/>
          <w:sz w:val="22"/>
          <w:szCs w:val="22"/>
          <w:lang w:val="en-GB"/>
        </w:rPr>
        <w:t xml:space="preserve"> government planning</w:t>
      </w:r>
      <w:r w:rsidR="559E1B3A" w:rsidRPr="00481997">
        <w:rPr>
          <w:rFonts w:ascii="MetaPro-Norm" w:eastAsia="MetaPro-Norm" w:hAnsi="MetaPro-Norm" w:cs="MetaPro-Norm"/>
          <w:color w:val="000000" w:themeColor="text1"/>
          <w:sz w:val="22"/>
          <w:szCs w:val="22"/>
          <w:lang w:val="en-GB"/>
        </w:rPr>
        <w:t xml:space="preserve"> </w:t>
      </w:r>
      <w:r w:rsidRPr="00481997">
        <w:rPr>
          <w:rFonts w:ascii="MetaPro-Norm" w:eastAsia="MetaPro-Norm" w:hAnsi="MetaPro-Norm" w:cs="MetaPro-Norm"/>
          <w:color w:val="000000" w:themeColor="text1"/>
          <w:sz w:val="22"/>
          <w:szCs w:val="22"/>
          <w:lang w:val="en-GB"/>
        </w:rPr>
        <w:t xml:space="preserve">to remedy the problem </w:t>
      </w:r>
      <w:r w:rsidRPr="00481997">
        <w:rPr>
          <w:rFonts w:ascii="MetaPro-Norm" w:eastAsia="MetaPro-Norm" w:hAnsi="MetaPro-Norm" w:cs="MetaPro-Norm"/>
          <w:sz w:val="22"/>
          <w:szCs w:val="22"/>
        </w:rPr>
        <w:t xml:space="preserve">of </w:t>
      </w:r>
      <w:r w:rsidR="3FCE96EB" w:rsidRPr="00481997">
        <w:rPr>
          <w:rFonts w:ascii="MetaPro-Norm" w:eastAsia="MetaPro-Norm" w:hAnsi="MetaPro-Norm" w:cs="MetaPro-Norm"/>
          <w:sz w:val="22"/>
          <w:szCs w:val="22"/>
        </w:rPr>
        <w:t>slow and patchy disbursement of promised funding</w:t>
      </w:r>
      <w:r w:rsidRPr="00481997">
        <w:rPr>
          <w:rFonts w:ascii="MetaPro-Norm" w:eastAsia="MetaPro-Norm" w:hAnsi="MetaPro-Norm" w:cs="MetaPro-Norm"/>
          <w:sz w:val="22"/>
          <w:szCs w:val="22"/>
        </w:rPr>
        <w:t xml:space="preserve"> for shelters</w:t>
      </w:r>
      <w:r w:rsidR="3FCE96EB" w:rsidRPr="00481997">
        <w:rPr>
          <w:rFonts w:ascii="MetaPro-Norm" w:eastAsia="MetaPro-Norm" w:hAnsi="MetaPro-Norm" w:cs="MetaPro-Norm"/>
          <w:sz w:val="22"/>
          <w:szCs w:val="22"/>
        </w:rPr>
        <w:t xml:space="preserve"> from the Department of Social Development</w:t>
      </w:r>
      <w:r w:rsidRPr="00481997">
        <w:rPr>
          <w:rFonts w:ascii="MetaPro-Norm" w:eastAsia="MetaPro-Norm" w:hAnsi="MetaPro-Norm" w:cs="MetaPro-Norm"/>
          <w:sz w:val="22"/>
          <w:szCs w:val="22"/>
        </w:rPr>
        <w:t xml:space="preserve">, which has been happening in several provinces </w:t>
      </w:r>
      <w:r w:rsidRPr="00481997">
        <w:rPr>
          <w:rFonts w:ascii="MetaPro-Norm" w:eastAsia="MetaPro-Norm" w:hAnsi="MetaPro-Norm" w:cs="MetaPro-Norm"/>
          <w:color w:val="000000"/>
          <w:sz w:val="22"/>
          <w:szCs w:val="22"/>
          <w:lang w:val="en-GB"/>
        </w:rPr>
        <w:t>despite the government’s commitment to help fund GBV sheltering</w:t>
      </w:r>
      <w:r w:rsidR="3FCE96EB" w:rsidRPr="00481997">
        <w:rPr>
          <w:rFonts w:ascii="MetaPro-Norm" w:eastAsia="MetaPro-Norm" w:hAnsi="MetaPro-Norm" w:cs="MetaPro-Norm"/>
          <w:sz w:val="22"/>
          <w:szCs w:val="22"/>
        </w:rPr>
        <w:t>?</w:t>
      </w:r>
    </w:p>
    <w:p w14:paraId="22979977" w14:textId="27A9A35B" w:rsidR="5468D9D2" w:rsidRPr="00481997" w:rsidRDefault="00C476D5" w:rsidP="00481997">
      <w:pPr>
        <w:pStyle w:val="ListParagraph"/>
        <w:numPr>
          <w:ilvl w:val="0"/>
          <w:numId w:val="13"/>
        </w:numPr>
        <w:spacing w:line="264" w:lineRule="auto"/>
        <w:rPr>
          <w:rFonts w:ascii="MetaPro-Norm" w:eastAsia="MetaPro-Norm" w:hAnsi="MetaPro-Norm" w:cs="MetaPro-Norm"/>
          <w:sz w:val="22"/>
          <w:szCs w:val="22"/>
        </w:rPr>
      </w:pPr>
      <w:r w:rsidRPr="00481997">
        <w:rPr>
          <w:rFonts w:ascii="MetaPro-Norm" w:eastAsia="MetaPro-Norm" w:hAnsi="MetaPro-Norm" w:cs="MetaPro-Norm"/>
          <w:sz w:val="22"/>
          <w:szCs w:val="22"/>
        </w:rPr>
        <w:t>Does</w:t>
      </w:r>
      <w:r w:rsidR="0DAE38F2" w:rsidRPr="00481997">
        <w:rPr>
          <w:rFonts w:ascii="MetaPro-Norm" w:eastAsia="MetaPro-Norm" w:hAnsi="MetaPro-Norm" w:cs="MetaPro-Norm"/>
          <w:sz w:val="22"/>
          <w:szCs w:val="22"/>
        </w:rPr>
        <w:t xml:space="preserve"> the government have</w:t>
      </w:r>
      <w:r w:rsidRPr="00481997">
        <w:rPr>
          <w:rFonts w:ascii="MetaPro-Norm" w:eastAsia="MetaPro-Norm" w:hAnsi="MetaPro-Norm" w:cs="MetaPro-Norm"/>
          <w:sz w:val="22"/>
          <w:szCs w:val="22"/>
        </w:rPr>
        <w:t xml:space="preserve"> plans</w:t>
      </w:r>
      <w:r w:rsidR="0DAE38F2" w:rsidRPr="00481997">
        <w:rPr>
          <w:rFonts w:ascii="MetaPro-Norm" w:eastAsia="MetaPro-Norm" w:hAnsi="MetaPro-Norm" w:cs="MetaPro-Norm"/>
          <w:sz w:val="22"/>
          <w:szCs w:val="22"/>
        </w:rPr>
        <w:t xml:space="preserve"> to </w:t>
      </w:r>
      <w:r w:rsidR="003E0184" w:rsidRPr="00481997">
        <w:rPr>
          <w:rFonts w:ascii="MetaPro-Norm" w:eastAsia="MetaPro-Norm" w:hAnsi="MetaPro-Norm" w:cs="MetaPro-Norm"/>
          <w:sz w:val="22"/>
          <w:szCs w:val="22"/>
        </w:rPr>
        <w:t xml:space="preserve">identify and </w:t>
      </w:r>
      <w:r w:rsidRPr="00481997">
        <w:rPr>
          <w:rFonts w:ascii="MetaPro-Norm" w:eastAsia="MetaPro-Norm" w:hAnsi="MetaPro-Norm" w:cs="MetaPro-Norm"/>
          <w:sz w:val="22"/>
          <w:szCs w:val="22"/>
        </w:rPr>
        <w:t>tackle barriers of access</w:t>
      </w:r>
      <w:r w:rsidR="0DAE38F2" w:rsidRPr="00481997">
        <w:rPr>
          <w:rFonts w:ascii="MetaPro-Norm" w:eastAsia="MetaPro-Norm" w:hAnsi="MetaPro-Norm" w:cs="MetaPro-Norm"/>
          <w:sz w:val="22"/>
          <w:szCs w:val="22"/>
        </w:rPr>
        <w:t xml:space="preserve"> to GBV shelters </w:t>
      </w:r>
      <w:r w:rsidRPr="00481997">
        <w:rPr>
          <w:rFonts w:ascii="MetaPro-Norm" w:eastAsia="MetaPro-Norm" w:hAnsi="MetaPro-Norm" w:cs="MetaPro-Norm"/>
          <w:sz w:val="22"/>
          <w:szCs w:val="22"/>
        </w:rPr>
        <w:t>that groups such as</w:t>
      </w:r>
      <w:r w:rsidR="0DAE38F2" w:rsidRPr="00481997">
        <w:rPr>
          <w:rFonts w:ascii="MetaPro-Norm" w:eastAsia="MetaPro-Norm" w:hAnsi="MetaPro-Norm" w:cs="MetaPro-Norm"/>
          <w:sz w:val="22"/>
          <w:szCs w:val="22"/>
        </w:rPr>
        <w:t xml:space="preserve"> LGBT people, sex workers and asylum seekers</w:t>
      </w:r>
      <w:r w:rsidR="7755A1F9" w:rsidRPr="00481997">
        <w:rPr>
          <w:rFonts w:ascii="MetaPro-Norm" w:eastAsia="MetaPro-Norm" w:hAnsi="MetaPro-Norm" w:cs="MetaPro-Norm"/>
          <w:sz w:val="22"/>
          <w:szCs w:val="22"/>
        </w:rPr>
        <w:t xml:space="preserve">, </w:t>
      </w:r>
      <w:proofErr w:type="gramStart"/>
      <w:r w:rsidR="7755A1F9" w:rsidRPr="00481997">
        <w:rPr>
          <w:rFonts w:ascii="MetaPro-Norm" w:eastAsia="MetaPro-Norm" w:hAnsi="MetaPro-Norm" w:cs="MetaPro-Norm"/>
          <w:sz w:val="22"/>
          <w:szCs w:val="22"/>
        </w:rPr>
        <w:t>refugees</w:t>
      </w:r>
      <w:proofErr w:type="gramEnd"/>
      <w:r w:rsidR="7755A1F9" w:rsidRPr="00481997">
        <w:rPr>
          <w:rFonts w:ascii="MetaPro-Norm" w:eastAsia="MetaPro-Norm" w:hAnsi="MetaPro-Norm" w:cs="MetaPro-Norm"/>
          <w:sz w:val="22"/>
          <w:szCs w:val="22"/>
        </w:rPr>
        <w:t xml:space="preserve"> and undocumented migrants</w:t>
      </w:r>
      <w:r w:rsidRPr="00481997">
        <w:rPr>
          <w:rFonts w:ascii="MetaPro-Norm" w:eastAsia="MetaPro-Norm" w:hAnsi="MetaPro-Norm" w:cs="MetaPro-Norm"/>
          <w:sz w:val="22"/>
          <w:szCs w:val="22"/>
        </w:rPr>
        <w:t xml:space="preserve"> face</w:t>
      </w:r>
      <w:r w:rsidR="7755A1F9" w:rsidRPr="00481997">
        <w:rPr>
          <w:rFonts w:ascii="MetaPro-Norm" w:eastAsia="MetaPro-Norm" w:hAnsi="MetaPro-Norm" w:cs="MetaPro-Norm"/>
          <w:sz w:val="22"/>
          <w:szCs w:val="22"/>
        </w:rPr>
        <w:t>?</w:t>
      </w:r>
    </w:p>
    <w:sectPr w:rsidR="5468D9D2" w:rsidRPr="00481997" w:rsidSect="00926678">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800" w:bottom="1800" w:left="180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43608" w14:textId="77777777" w:rsidR="00363997" w:rsidRDefault="00363997">
      <w:r>
        <w:separator/>
      </w:r>
    </w:p>
  </w:endnote>
  <w:endnote w:type="continuationSeparator" w:id="0">
    <w:p w14:paraId="2FFC3733" w14:textId="77777777" w:rsidR="00363997" w:rsidRDefault="00363997">
      <w:r>
        <w:continuationSeparator/>
      </w:r>
    </w:p>
  </w:endnote>
  <w:endnote w:type="continuationNotice" w:id="1">
    <w:p w14:paraId="6395C2D7" w14:textId="77777777" w:rsidR="00363997" w:rsidRDefault="003639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etaPro-Norm">
    <w:altName w:val="﷽﷽﷽﷽﷽﷽﷽﷽"/>
    <w:panose1 w:val="020B0604020202020204"/>
    <w:charset w:val="00"/>
    <w:family w:val="swiss"/>
    <w:notTrueType/>
    <w:pitch w:val="variable"/>
    <w:sig w:usb0="A00002FF" w:usb1="4000207B" w:usb2="00000000" w:usb3="00000000" w:csb0="0000009F" w:csb1="00000000"/>
  </w:font>
  <w:font w:name="MetaPro-Bold">
    <w:panose1 w:val="020B0604020202020204"/>
    <w:charset w:val="00"/>
    <w:family w:val="swiss"/>
    <w:notTrueType/>
    <w:pitch w:val="variable"/>
    <w:sig w:usb0="A00002F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riaArabic-Bold">
    <w:panose1 w:val="020B0604020202020204"/>
    <w:charset w:val="B2"/>
    <w:family w:val="auto"/>
    <w:notTrueType/>
    <w:pitch w:val="variable"/>
    <w:sig w:usb0="800020AF" w:usb1="D000A05A" w:usb2="00000008" w:usb3="00000000" w:csb0="00000151" w:csb1="00000000"/>
  </w:font>
  <w:font w:name="MetaPro-CondMedi">
    <w:panose1 w:val="020B0604020202020204"/>
    <w:charset w:val="00"/>
    <w:family w:val="swiss"/>
    <w:notTrueType/>
    <w:pitch w:val="variable"/>
    <w:sig w:usb0="A00002FF" w:usb1="4000207B" w:usb2="00000000" w:usb3="00000000" w:csb0="0000009F" w:csb1="00000000"/>
  </w:font>
  <w:font w:name="MetaPro-CondBookIta">
    <w:panose1 w:val="020B0604020202020204"/>
    <w:charset w:val="00"/>
    <w:family w:val="swiss"/>
    <w:notTrueType/>
    <w:pitch w:val="variable"/>
    <w:sig w:usb0="A00002FF" w:usb1="4000207B" w:usb2="00000000" w:usb3="00000000" w:csb0="0000009F" w:csb1="00000000"/>
  </w:font>
  <w:font w:name="MetaPro-Medi">
    <w:panose1 w:val="020B0604020202020204"/>
    <w:charset w:val="00"/>
    <w:family w:val="swiss"/>
    <w:notTrueType/>
    <w:pitch w:val="variable"/>
    <w:sig w:usb0="A00002F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etaPro-CondBold">
    <w:panose1 w:val="020B0604020202020204"/>
    <w:charset w:val="00"/>
    <w:family w:val="swiss"/>
    <w:notTrueType/>
    <w:pitch w:val="variable"/>
    <w:sig w:usb0="A00002FF" w:usb1="4000207B" w:usb2="00000000" w:usb3="00000000" w:csb0="0000009F" w:csb1="00000000"/>
  </w:font>
  <w:font w:name="SeriaArabic-Black">
    <w:panose1 w:val="020B0604020202020204"/>
    <w:charset w:val="B2"/>
    <w:family w:val="auto"/>
    <w:notTrueType/>
    <w:pitch w:val="variable"/>
    <w:sig w:usb0="800020AF" w:usb1="D000A05A" w:usb2="00000008" w:usb3="00000000" w:csb0="00000151" w:csb1="00000000"/>
  </w:font>
  <w:font w:name="Arial">
    <w:panose1 w:val="020B0604020202020204"/>
    <w:charset w:val="00"/>
    <w:family w:val="swiss"/>
    <w:pitch w:val="variable"/>
    <w:sig w:usb0="E0002AFF" w:usb1="C0007843" w:usb2="00000009" w:usb3="00000000" w:csb0="000001FF" w:csb1="00000000"/>
  </w:font>
  <w:font w:name="MetaBold-Roman">
    <w:panose1 w:val="020B0604020202020204"/>
    <w:charset w:val="00"/>
    <w:family w:val="swiss"/>
    <w:pitch w:val="variable"/>
    <w:sig w:usb0="80000027" w:usb1="00000000" w:usb2="00000000" w:usb3="00000000" w:csb0="00000001" w:csb1="00000000"/>
  </w:font>
  <w:font w:name="SeriaArabic">
    <w:panose1 w:val="020B0604020202020204"/>
    <w:charset w:val="B2"/>
    <w:family w:val="auto"/>
    <w:notTrueType/>
    <w:pitch w:val="variable"/>
    <w:sig w:usb0="800020AF" w:usb1="D000A05A" w:usb2="00000008" w:usb3="00000000" w:csb0="0000015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2813558"/>
      <w:docPartObj>
        <w:docPartGallery w:val="Page Numbers (Bottom of Page)"/>
        <w:docPartUnique/>
      </w:docPartObj>
    </w:sdtPr>
    <w:sdtContent>
      <w:p w14:paraId="1D12EBE6" w14:textId="608A6983" w:rsidR="00926678" w:rsidRDefault="00926678" w:rsidP="00173B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tbl>
    <w:tblPr>
      <w:tblW w:w="0" w:type="auto"/>
      <w:tblLayout w:type="fixed"/>
      <w:tblLook w:val="06A0" w:firstRow="1" w:lastRow="0" w:firstColumn="1" w:lastColumn="0" w:noHBand="1" w:noVBand="1"/>
    </w:tblPr>
    <w:tblGrid>
      <w:gridCol w:w="2880"/>
      <w:gridCol w:w="2880"/>
      <w:gridCol w:w="2880"/>
    </w:tblGrid>
    <w:tr w:rsidR="32037FEF" w14:paraId="11444DC0" w14:textId="77777777" w:rsidTr="004D47A7">
      <w:tc>
        <w:tcPr>
          <w:tcW w:w="2880" w:type="dxa"/>
        </w:tcPr>
        <w:p w14:paraId="5C4C5B79" w14:textId="34EDF9F4" w:rsidR="32037FEF" w:rsidRDefault="32037FEF" w:rsidP="1D08BF3C">
          <w:pPr>
            <w:pStyle w:val="Header"/>
            <w:ind w:left="-115"/>
            <w:rPr>
              <w:szCs w:val="20"/>
            </w:rPr>
          </w:pPr>
        </w:p>
      </w:tc>
      <w:tc>
        <w:tcPr>
          <w:tcW w:w="2880" w:type="dxa"/>
        </w:tcPr>
        <w:p w14:paraId="4F02A773" w14:textId="733E6180" w:rsidR="32037FEF" w:rsidRDefault="32037FEF" w:rsidP="00926678">
          <w:pPr>
            <w:pStyle w:val="Header"/>
          </w:pPr>
        </w:p>
      </w:tc>
      <w:tc>
        <w:tcPr>
          <w:tcW w:w="2880" w:type="dxa"/>
        </w:tcPr>
        <w:p w14:paraId="38ECD995" w14:textId="39A54EB7" w:rsidR="32037FEF" w:rsidRDefault="32037FEF" w:rsidP="1D08BF3C">
          <w:pPr>
            <w:pStyle w:val="Header"/>
            <w:ind w:right="-115"/>
            <w:jc w:val="right"/>
            <w:rPr>
              <w:szCs w:val="20"/>
            </w:rPr>
          </w:pPr>
        </w:p>
      </w:tc>
    </w:tr>
  </w:tbl>
  <w:p w14:paraId="403E6846" w14:textId="6AEBC2E0" w:rsidR="32037FEF" w:rsidRDefault="32037FEF" w:rsidP="1D08B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8142078"/>
      <w:docPartObj>
        <w:docPartGallery w:val="Page Numbers (Bottom of Page)"/>
        <w:docPartUnique/>
      </w:docPartObj>
    </w:sdtPr>
    <w:sdtContent>
      <w:p w14:paraId="1BA26A88" w14:textId="78CD7E95" w:rsidR="00926678" w:rsidRDefault="00926678" w:rsidP="00173B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tbl>
    <w:tblPr>
      <w:tblW w:w="0" w:type="auto"/>
      <w:tblLayout w:type="fixed"/>
      <w:tblLook w:val="06A0" w:firstRow="1" w:lastRow="0" w:firstColumn="1" w:lastColumn="0" w:noHBand="1" w:noVBand="1"/>
    </w:tblPr>
    <w:tblGrid>
      <w:gridCol w:w="2880"/>
      <w:gridCol w:w="2880"/>
      <w:gridCol w:w="2880"/>
    </w:tblGrid>
    <w:tr w:rsidR="32037FEF" w14:paraId="01239B2C" w14:textId="77777777" w:rsidTr="004D47A7">
      <w:tc>
        <w:tcPr>
          <w:tcW w:w="2880" w:type="dxa"/>
        </w:tcPr>
        <w:p w14:paraId="59979E4D" w14:textId="5319D917" w:rsidR="32037FEF" w:rsidRDefault="32037FEF" w:rsidP="1D08BF3C">
          <w:pPr>
            <w:pStyle w:val="Header"/>
            <w:ind w:left="-115"/>
            <w:rPr>
              <w:szCs w:val="20"/>
            </w:rPr>
          </w:pPr>
        </w:p>
      </w:tc>
      <w:tc>
        <w:tcPr>
          <w:tcW w:w="2880" w:type="dxa"/>
        </w:tcPr>
        <w:p w14:paraId="5BF5FA3A" w14:textId="38FEA23A" w:rsidR="32037FEF" w:rsidRDefault="32037FEF" w:rsidP="1D08BF3C">
          <w:pPr>
            <w:pStyle w:val="Header"/>
            <w:jc w:val="center"/>
          </w:pPr>
        </w:p>
      </w:tc>
      <w:tc>
        <w:tcPr>
          <w:tcW w:w="2880" w:type="dxa"/>
        </w:tcPr>
        <w:p w14:paraId="095965D9" w14:textId="5109C9CB" w:rsidR="32037FEF" w:rsidRDefault="32037FEF" w:rsidP="1D08BF3C">
          <w:pPr>
            <w:pStyle w:val="Header"/>
            <w:ind w:right="-115"/>
            <w:jc w:val="right"/>
            <w:rPr>
              <w:szCs w:val="20"/>
            </w:rPr>
          </w:pPr>
        </w:p>
      </w:tc>
    </w:tr>
  </w:tbl>
  <w:p w14:paraId="6009F305" w14:textId="040CEBAF" w:rsidR="32037FEF" w:rsidRDefault="32037FEF" w:rsidP="1D08BF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27753"/>
      <w:docPartObj>
        <w:docPartGallery w:val="Page Numbers (Bottom of Page)"/>
        <w:docPartUnique/>
      </w:docPartObj>
    </w:sdtPr>
    <w:sdtContent>
      <w:p w14:paraId="2C50E706" w14:textId="20491A46" w:rsidR="00926678" w:rsidRDefault="00926678" w:rsidP="00173BD0">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992A90" w14:textId="77777777" w:rsidR="0094324D" w:rsidRDefault="0094324D" w:rsidP="0092667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1E836" w14:textId="77777777" w:rsidR="00363997" w:rsidRDefault="00363997">
      <w:r>
        <w:separator/>
      </w:r>
    </w:p>
  </w:footnote>
  <w:footnote w:type="continuationSeparator" w:id="0">
    <w:p w14:paraId="5B661C91" w14:textId="77777777" w:rsidR="00363997" w:rsidRDefault="00363997">
      <w:r>
        <w:continuationSeparator/>
      </w:r>
    </w:p>
  </w:footnote>
  <w:footnote w:type="continuationNotice" w:id="1">
    <w:p w14:paraId="267CCBB7" w14:textId="77777777" w:rsidR="00363997" w:rsidRDefault="00363997">
      <w:pPr>
        <w:spacing w:line="240" w:lineRule="auto"/>
      </w:pPr>
    </w:p>
  </w:footnote>
  <w:footnote w:id="2">
    <w:p w14:paraId="41B96007" w14:textId="603F5DA0" w:rsidR="006B2DC8" w:rsidRDefault="006B2DC8" w:rsidP="006B2DC8">
      <w:pPr>
        <w:pStyle w:val="FootnoteText"/>
      </w:pPr>
      <w:r>
        <w:rPr>
          <w:rStyle w:val="FootnoteReference"/>
        </w:rPr>
        <w:footnoteRef/>
      </w:r>
      <w:r w:rsidR="68927A11">
        <w:t xml:space="preserve"> United Nations Educational, Scientific and Cultural Organization, “Duration of School Closures”, undated, https://en.unesco.org/covid19/educationresponse#durationschoolclosures (accessed September 10</w:t>
      </w:r>
      <w:r w:rsidR="68927A11" w:rsidRPr="00F441C7">
        <w:t>, 2021).</w:t>
      </w:r>
    </w:p>
  </w:footnote>
  <w:footnote w:id="3">
    <w:p w14:paraId="5F941603" w14:textId="1569562C" w:rsidR="007C21B9" w:rsidRDefault="007C21B9" w:rsidP="7079B943">
      <w:pPr>
        <w:pStyle w:val="FootnoteText"/>
        <w:spacing w:line="240" w:lineRule="exact"/>
      </w:pPr>
      <w:r>
        <w:rPr>
          <w:rStyle w:val="FootnoteReference"/>
        </w:rPr>
        <w:footnoteRef/>
      </w:r>
      <w:r w:rsidR="68927A11" w:rsidRPr="68927A11">
        <w:t xml:space="preserve"> “Learners in South Africa up to one school year behind where they should be,” UNICEF press release, July 22, 2021, </w:t>
      </w:r>
      <w:r w:rsidR="68927A11">
        <w:t>https://www.unicef.org/press-releases/learners-south-africa-one-school-year-behind-where-they-should-be</w:t>
      </w:r>
      <w:r w:rsidR="68927A11" w:rsidRPr="007C21B9">
        <w:t xml:space="preserve"> </w:t>
      </w:r>
    </w:p>
    <w:p w14:paraId="38116D83" w14:textId="452ED97C" w:rsidR="7079B943" w:rsidRDefault="7079B943" w:rsidP="7079B943">
      <w:pPr>
        <w:pStyle w:val="FootnoteText"/>
        <w:spacing w:line="240" w:lineRule="exact"/>
        <w:rPr>
          <w:szCs w:val="16"/>
        </w:rPr>
      </w:pPr>
      <w:r w:rsidRPr="7079B943">
        <w:rPr>
          <w:szCs w:val="16"/>
        </w:rPr>
        <w:t>(</w:t>
      </w:r>
      <w:proofErr w:type="gramStart"/>
      <w:r w:rsidRPr="7079B943">
        <w:rPr>
          <w:szCs w:val="16"/>
        </w:rPr>
        <w:t>accessed</w:t>
      </w:r>
      <w:proofErr w:type="gramEnd"/>
      <w:r w:rsidRPr="7079B943">
        <w:rPr>
          <w:szCs w:val="16"/>
        </w:rPr>
        <w:t xml:space="preserve"> September 9, 2021).</w:t>
      </w:r>
    </w:p>
  </w:footnote>
  <w:footnote w:id="4">
    <w:p w14:paraId="6237326E" w14:textId="79557F98" w:rsidR="089179AC" w:rsidRDefault="089179AC" w:rsidP="68927A11">
      <w:pPr>
        <w:pStyle w:val="FootnoteText"/>
      </w:pPr>
      <w:r w:rsidRPr="68927A11">
        <w:rPr>
          <w:rStyle w:val="FootnoteReference"/>
          <w:rFonts w:eastAsia="MetaPro-Medi" w:cs="MetaPro-Medi"/>
        </w:rPr>
        <w:footnoteRef/>
      </w:r>
      <w:r w:rsidR="68927A11" w:rsidRPr="089179AC">
        <w:rPr>
          <w:szCs w:val="16"/>
        </w:rPr>
        <w:t xml:space="preserve"> </w:t>
      </w:r>
      <w:r w:rsidR="68927A11" w:rsidRPr="68927A11">
        <w:t xml:space="preserve">Human Rights Watch interview with </w:t>
      </w:r>
      <w:proofErr w:type="spellStart"/>
      <w:r w:rsidR="68927A11" w:rsidRPr="68927A11">
        <w:t>Lwandle</w:t>
      </w:r>
      <w:proofErr w:type="spellEnd"/>
      <w:r w:rsidR="68927A11" w:rsidRPr="68927A11">
        <w:t xml:space="preserve"> M., South Africa, June 6, 2020.</w:t>
      </w:r>
    </w:p>
  </w:footnote>
  <w:footnote w:id="5">
    <w:p w14:paraId="4B022C12" w14:textId="1664CE54" w:rsidR="7EDF2679" w:rsidRDefault="7EDF2679" w:rsidP="7EDF2679">
      <w:pPr>
        <w:pStyle w:val="FootnoteText"/>
      </w:pPr>
      <w:r w:rsidRPr="7EDF2679">
        <w:rPr>
          <w:rStyle w:val="FootnoteReference"/>
          <w:rFonts w:eastAsia="MetaPro-Medi" w:cs="MetaPro-Medi"/>
        </w:rPr>
        <w:footnoteRef/>
      </w:r>
      <w:r>
        <w:t xml:space="preserve"> Ibid.</w:t>
      </w:r>
    </w:p>
  </w:footnote>
  <w:footnote w:id="6">
    <w:p w14:paraId="1D3FE886" w14:textId="0AB48813" w:rsidR="089179AC" w:rsidRDefault="089179AC" w:rsidP="68927A11">
      <w:pPr>
        <w:pStyle w:val="FootnoteText"/>
      </w:pPr>
      <w:r w:rsidRPr="68927A11">
        <w:rPr>
          <w:rStyle w:val="FootnoteReference"/>
          <w:rFonts w:eastAsia="MetaPro-Medi" w:cs="MetaPro-Medi"/>
        </w:rPr>
        <w:footnoteRef/>
      </w:r>
      <w:r w:rsidR="68927A11" w:rsidRPr="089179AC">
        <w:rPr>
          <w:szCs w:val="16"/>
        </w:rPr>
        <w:t xml:space="preserve"> </w:t>
      </w:r>
      <w:r w:rsidR="68927A11" w:rsidRPr="68927A11">
        <w:t>Ibid.</w:t>
      </w:r>
    </w:p>
  </w:footnote>
  <w:footnote w:id="7">
    <w:p w14:paraId="49FDDFEF" w14:textId="23BF4014" w:rsidR="089179AC" w:rsidRDefault="089179AC" w:rsidP="68927A11">
      <w:pPr>
        <w:pStyle w:val="FootnoteText"/>
      </w:pPr>
      <w:r w:rsidRPr="68927A11">
        <w:rPr>
          <w:rStyle w:val="FootnoteReference"/>
          <w:rFonts w:eastAsia="MetaPro-Medi" w:cs="MetaPro-Medi"/>
        </w:rPr>
        <w:footnoteRef/>
      </w:r>
      <w:r w:rsidR="68927A11" w:rsidRPr="089179AC">
        <w:rPr>
          <w:szCs w:val="16"/>
        </w:rPr>
        <w:t xml:space="preserve"> </w:t>
      </w:r>
      <w:r w:rsidR="68927A11" w:rsidRPr="68927A11">
        <w:t>Human Rights Watch interview with mother, Cape Town, South Africa, June 25, 2020.</w:t>
      </w:r>
    </w:p>
  </w:footnote>
  <w:footnote w:id="8">
    <w:p w14:paraId="1B09ACB2" w14:textId="610F77C2" w:rsidR="2797D628" w:rsidRDefault="2797D628" w:rsidP="2797D628">
      <w:pPr>
        <w:pStyle w:val="FootnoteText"/>
        <w:spacing w:line="240" w:lineRule="exact"/>
      </w:pPr>
      <w:r w:rsidRPr="2797D628">
        <w:rPr>
          <w:rStyle w:val="FootnoteReference"/>
        </w:rPr>
        <w:footnoteRef/>
      </w:r>
      <w:r>
        <w:t xml:space="preserve"> Human Rights Watch, </w:t>
      </w:r>
      <w:r w:rsidRPr="2797D628">
        <w:rPr>
          <w:i/>
          <w:iCs/>
        </w:rPr>
        <w:t>“Years Don’t Wait for Them” Increased Inequalities in Children’s Right to Education Due to the Covid-19 Pandemic</w:t>
      </w:r>
      <w:r>
        <w:t>, May 2021, https://www.hrw.org/sites/default/files/media_2021/05/global_covideducation0521_web.pdf, p. 98.</w:t>
      </w:r>
    </w:p>
  </w:footnote>
  <w:footnote w:id="9">
    <w:p w14:paraId="5B505F71" w14:textId="4BF0CB3D" w:rsidR="089179AC" w:rsidRDefault="089179AC" w:rsidP="68927A11">
      <w:pPr>
        <w:pStyle w:val="FootnoteText"/>
      </w:pPr>
      <w:r w:rsidRPr="68927A11">
        <w:rPr>
          <w:rStyle w:val="FootnoteReference"/>
          <w:rFonts w:eastAsia="MetaPro-Medi" w:cs="MetaPro-Medi"/>
        </w:rPr>
        <w:footnoteRef/>
      </w:r>
      <w:r w:rsidR="68927A11" w:rsidRPr="089179AC">
        <w:rPr>
          <w:szCs w:val="16"/>
        </w:rPr>
        <w:t xml:space="preserve"> </w:t>
      </w:r>
      <w:r w:rsidR="68927A11" w:rsidRPr="68927A11">
        <w:t>Human Rights Watch interview with mother, Cape Town, South Africa, June 25, 2020.</w:t>
      </w:r>
    </w:p>
  </w:footnote>
  <w:footnote w:id="10">
    <w:p w14:paraId="6A00B06E" w14:textId="39EB5400" w:rsidR="2797D628" w:rsidRDefault="2797D628" w:rsidP="7079B943">
      <w:pPr>
        <w:pStyle w:val="FootnoteText"/>
      </w:pPr>
      <w:r w:rsidRPr="68927A11">
        <w:rPr>
          <w:rStyle w:val="FootnoteReference"/>
          <w:rFonts w:eastAsia="MetaPro-Medi" w:cs="MetaPro-Medi"/>
        </w:rPr>
        <w:footnoteRef/>
      </w:r>
      <w:r w:rsidR="68927A11" w:rsidRPr="68927A11">
        <w:t xml:space="preserve"> </w:t>
      </w:r>
      <w:proofErr w:type="spellStart"/>
      <w:r w:rsidR="68927A11" w:rsidRPr="68927A11">
        <w:t>Sipokazi</w:t>
      </w:r>
      <w:proofErr w:type="spellEnd"/>
      <w:r w:rsidR="68927A11" w:rsidRPr="68927A11">
        <w:t xml:space="preserve"> </w:t>
      </w:r>
      <w:proofErr w:type="spellStart"/>
      <w:r w:rsidR="68927A11" w:rsidRPr="68927A11">
        <w:t>Fokazi</w:t>
      </w:r>
      <w:proofErr w:type="spellEnd"/>
      <w:r w:rsidR="68927A11" w:rsidRPr="68927A11">
        <w:t xml:space="preserve">, “Impact of Covid-19 on school pupils has been detrimental – experts,” </w:t>
      </w:r>
      <w:proofErr w:type="spellStart"/>
      <w:r w:rsidR="68927A11" w:rsidRPr="003100A3">
        <w:rPr>
          <w:i/>
          <w:iCs/>
        </w:rPr>
        <w:t>TimesLive</w:t>
      </w:r>
      <w:proofErr w:type="spellEnd"/>
      <w:r w:rsidR="68927A11" w:rsidRPr="68927A11">
        <w:t>, September 14, 2021, https://www.timeslive.co.za/news/south-africa/2021-09-14-impact-of-covid-19-on-school-pupils-has-been-detrimental-experts/ (accessed September 14, 2021).</w:t>
      </w:r>
    </w:p>
  </w:footnote>
  <w:footnote w:id="11">
    <w:p w14:paraId="59D0A463" w14:textId="7ACCD58B" w:rsidR="2797D628" w:rsidRDefault="2797D628" w:rsidP="7079B943">
      <w:pPr>
        <w:pStyle w:val="FootnoteText"/>
        <w:rPr>
          <w:szCs w:val="16"/>
        </w:rPr>
      </w:pPr>
      <w:r w:rsidRPr="7079B943">
        <w:rPr>
          <w:rStyle w:val="FootnoteReference"/>
          <w:rFonts w:eastAsia="MetaPro-Medi" w:cs="MetaPro-Medi"/>
          <w:szCs w:val="22"/>
        </w:rPr>
        <w:footnoteRef/>
      </w:r>
      <w:r w:rsidR="7079B943" w:rsidRPr="2797D628">
        <w:rPr>
          <w:szCs w:val="16"/>
        </w:rPr>
        <w:t xml:space="preserve"> Ibid.</w:t>
      </w:r>
    </w:p>
  </w:footnote>
  <w:footnote w:id="12">
    <w:p w14:paraId="50284DDF" w14:textId="08373299" w:rsidR="68927A11" w:rsidRDefault="68927A11" w:rsidP="68927A11">
      <w:pPr>
        <w:pStyle w:val="FootnoteText"/>
      </w:pPr>
      <w:r w:rsidRPr="68927A11">
        <w:rPr>
          <w:rStyle w:val="FootnoteReference"/>
          <w:rFonts w:eastAsia="MetaPro-Medi" w:cs="MetaPro-Medi"/>
        </w:rPr>
        <w:footnoteRef/>
      </w:r>
      <w:r>
        <w:t xml:space="preserve"> Children’s Institute, University of Cape Town, “Children and Covid-19 Advocacy Brief: Mental health and wellbeing,” 2021, </w:t>
      </w:r>
      <w:r w:rsidRPr="003100A3">
        <w:t>http://www.ci.uct.ac.za/sites/default/files/image_tool/images/367/Projects/Current_Projects/covid-children/pdfs/Advocacy%20Brief_Mental_health_02_08.pdf</w:t>
      </w:r>
      <w:r>
        <w:t xml:space="preserve"> (accessed September 14, 2021).</w:t>
      </w:r>
    </w:p>
  </w:footnote>
  <w:footnote w:id="13">
    <w:p w14:paraId="20AF0293" w14:textId="2681D2BA" w:rsidR="089179AC" w:rsidRDefault="089179AC" w:rsidP="68927A11">
      <w:pPr>
        <w:pStyle w:val="FootnoteText"/>
      </w:pPr>
      <w:r w:rsidRPr="68927A11">
        <w:rPr>
          <w:rStyle w:val="FootnoteReference"/>
          <w:rFonts w:eastAsia="MetaPro-Medi" w:cs="MetaPro-Medi"/>
        </w:rPr>
        <w:footnoteRef/>
      </w:r>
      <w:r w:rsidR="68927A11" w:rsidRPr="089179AC">
        <w:rPr>
          <w:szCs w:val="16"/>
        </w:rPr>
        <w:t xml:space="preserve"> </w:t>
      </w:r>
      <w:r w:rsidR="68927A11" w:rsidRPr="68927A11">
        <w:t xml:space="preserve">Human Rights Watch interview with </w:t>
      </w:r>
      <w:proofErr w:type="spellStart"/>
      <w:r w:rsidR="68927A11" w:rsidRPr="68927A11">
        <w:t>Lwandle</w:t>
      </w:r>
      <w:proofErr w:type="spellEnd"/>
      <w:r w:rsidR="68927A11" w:rsidRPr="68927A11">
        <w:t xml:space="preserve"> M</w:t>
      </w:r>
      <w:r w:rsidR="68927A11" w:rsidRPr="089179AC">
        <w:rPr>
          <w:szCs w:val="16"/>
        </w:rPr>
        <w:t>.</w:t>
      </w:r>
      <w:r w:rsidR="68927A11" w:rsidRPr="68927A11">
        <w:t>, South Africa, June 6, 2020.</w:t>
      </w:r>
    </w:p>
  </w:footnote>
  <w:footnote w:id="14">
    <w:p w14:paraId="3DA95D29" w14:textId="43982F81" w:rsidR="00930041" w:rsidRDefault="00930041" w:rsidP="00930041">
      <w:pPr>
        <w:pStyle w:val="FootnoteText"/>
      </w:pPr>
      <w:r>
        <w:rPr>
          <w:rStyle w:val="FootnoteReference"/>
        </w:rPr>
        <w:footnoteRef/>
      </w:r>
      <w:r w:rsidR="68927A11" w:rsidRPr="7079B943">
        <w:rPr>
          <w:rFonts w:ascii="MetaPro-Medi" w:eastAsia="MetaPro-Medi" w:hAnsi="MetaPro-Medi" w:cs="MetaPro-Medi"/>
          <w:sz w:val="22"/>
          <w:szCs w:val="22"/>
        </w:rPr>
        <w:t xml:space="preserve"> </w:t>
      </w:r>
      <w:r w:rsidR="68927A11">
        <w:t xml:space="preserve">United Nations Population Fund, “South Africa,” undated, </w:t>
      </w:r>
      <w:r w:rsidR="68927A11" w:rsidRPr="003100A3">
        <w:t>https://www.unfpa.org/data/ZA</w:t>
      </w:r>
      <w:r w:rsidR="68927A11">
        <w:t xml:space="preserve"> (accessed September 9, 2021). </w:t>
      </w:r>
    </w:p>
  </w:footnote>
  <w:footnote w:id="15">
    <w:p w14:paraId="4905F747" w14:textId="455DD9F5" w:rsidR="00D21111" w:rsidRDefault="00D21111">
      <w:pPr>
        <w:pStyle w:val="FootnoteText"/>
      </w:pPr>
      <w:r>
        <w:rPr>
          <w:rStyle w:val="FootnoteReference"/>
        </w:rPr>
        <w:footnoteRef/>
      </w:r>
      <w:r w:rsidR="68927A11">
        <w:t xml:space="preserve"> South African National AIDS Council, “Let Our Actions Count - South Africa’s National Strategic Plan for HIV, TB, and STIs 2017 – 2022,” December 2019, </w:t>
      </w:r>
      <w:r w:rsidR="68927A11" w:rsidRPr="003100A3">
        <w:t>https://sanac.org.za/the-national-strategic-plan/</w:t>
      </w:r>
      <w:r w:rsidR="68927A11">
        <w:t xml:space="preserve"> (accessed September 9, 2021)</w:t>
      </w:r>
      <w:r w:rsidR="003100A3">
        <w:t>.</w:t>
      </w:r>
    </w:p>
  </w:footnote>
  <w:footnote w:id="16">
    <w:p w14:paraId="38504919" w14:textId="27CFB379" w:rsidR="0031406E" w:rsidRDefault="0031406E">
      <w:pPr>
        <w:pStyle w:val="FootnoteText"/>
      </w:pPr>
      <w:r>
        <w:rPr>
          <w:rStyle w:val="FootnoteReference"/>
        </w:rPr>
        <w:footnoteRef/>
      </w:r>
      <w:r w:rsidR="68927A11">
        <w:t xml:space="preserve"> See, Department of Basic Education, “Reducing Teenage Pregnancy in South Africa – The Role of the Department of Basic Education in Addressing Learner Pregnancy,” PowerPoint presentation, presented during Portfolio Committee on Basic Education meeting with the Department of Basic Education on “Teenage Pregnancies and Comprehensive Sexuality Education,” September 7, 2021, </w:t>
      </w:r>
      <w:r w:rsidR="68927A11" w:rsidRPr="003100A3">
        <w:t>https://pmg.org.za/committee-meeting/33580/</w:t>
      </w:r>
      <w:r w:rsidR="68927A11">
        <w:t xml:space="preserve"> (accessed September 9, 2021), “National AGYW Statistics: Teen Pregnancy,” Slide 17.</w:t>
      </w:r>
    </w:p>
  </w:footnote>
  <w:footnote w:id="17">
    <w:p w14:paraId="025EC32D" w14:textId="2DEB66C0" w:rsidR="00426664" w:rsidRDefault="00426664">
      <w:pPr>
        <w:pStyle w:val="FootnoteText"/>
      </w:pPr>
      <w:r>
        <w:rPr>
          <w:rStyle w:val="FootnoteReference"/>
        </w:rPr>
        <w:footnoteRef/>
      </w:r>
      <w:r w:rsidR="68927A11">
        <w:t xml:space="preserve"> Ibid., see, “National AGYW Statistics: GBV and Rape,” slides 13, 14. </w:t>
      </w:r>
    </w:p>
  </w:footnote>
  <w:footnote w:id="18">
    <w:p w14:paraId="4B78738C" w14:textId="044BF1FF" w:rsidR="001D228F" w:rsidRDefault="001D228F">
      <w:pPr>
        <w:pStyle w:val="FootnoteText"/>
      </w:pPr>
      <w:r>
        <w:rPr>
          <w:rStyle w:val="FootnoteReference"/>
        </w:rPr>
        <w:footnoteRef/>
      </w:r>
      <w:r w:rsidR="68927A11">
        <w:t xml:space="preserve"> “Bleak future for young girls with 23,226 reported teenage pregnancies in Gauteng,” August 17, 2021, </w:t>
      </w:r>
      <w:r w:rsidR="003100A3" w:rsidRPr="003100A3">
        <w:rPr>
          <w:i/>
          <w:iCs/>
        </w:rPr>
        <w:t>Polity</w:t>
      </w:r>
      <w:r w:rsidR="003100A3">
        <w:t xml:space="preserve">, </w:t>
      </w:r>
      <w:r w:rsidR="68927A11" w:rsidRPr="003100A3">
        <w:t>https://www.polity.org.za/article/bleak-future-for-young-girls-with-23-226-reported-teenage-pregnancies-in-gauteng-2021-08-17</w:t>
      </w:r>
      <w:r w:rsidR="68927A11">
        <w:t xml:space="preserve"> (accessed September 9, 2021).</w:t>
      </w:r>
    </w:p>
  </w:footnote>
  <w:footnote w:id="19">
    <w:p w14:paraId="6B0D667C" w14:textId="5D95F476" w:rsidR="53D93E37" w:rsidRDefault="53D93E37" w:rsidP="53D93E37">
      <w:pPr>
        <w:pStyle w:val="FootnoteText"/>
        <w:rPr>
          <w:szCs w:val="16"/>
        </w:rPr>
      </w:pPr>
      <w:r w:rsidRPr="7079B943">
        <w:rPr>
          <w:rStyle w:val="FootnoteReference"/>
          <w:rFonts w:eastAsia="MetaPro-Medi" w:cs="MetaPro-Medi"/>
          <w:szCs w:val="22"/>
        </w:rPr>
        <w:footnoteRef/>
      </w:r>
      <w:r w:rsidR="7079B943" w:rsidRPr="53D93E37">
        <w:rPr>
          <w:szCs w:val="16"/>
        </w:rPr>
        <w:t xml:space="preserve"> Department of Basic Education, “Reducing Teenage Pregnancy in South Africa – The Role of the Department of Basic Education in Addressing Learner Pregnancy,” PowerPoint presentation, slide 27.</w:t>
      </w:r>
    </w:p>
  </w:footnote>
  <w:footnote w:id="20">
    <w:p w14:paraId="138438E4" w14:textId="57C7AA59" w:rsidR="00FE0D67" w:rsidRDefault="00FE0D67">
      <w:pPr>
        <w:pStyle w:val="FootnoteText"/>
      </w:pPr>
      <w:r>
        <w:rPr>
          <w:rStyle w:val="FootnoteReference"/>
        </w:rPr>
        <w:footnoteRef/>
      </w:r>
      <w:r w:rsidR="68927A11">
        <w:t xml:space="preserve"> Republic of South Africa, Department of Basic Education, “Measures for the Prevention and Management of Learner Pregnancy,” 2007, </w:t>
      </w:r>
      <w:r w:rsidR="68927A11" w:rsidRPr="001C3206">
        <w:t>https://www.gov.za/af/documents/measures-prevention-and-management-learner-pregnancy</w:t>
      </w:r>
      <w:r w:rsidR="68927A11" w:rsidRPr="00A65E9C">
        <w:t xml:space="preserve"> </w:t>
      </w:r>
      <w:r w:rsidR="68927A11" w:rsidRPr="001C3206">
        <w:t xml:space="preserve">(accessed </w:t>
      </w:r>
      <w:r w:rsidR="68927A11" w:rsidRPr="00A65E9C">
        <w:t>September 9, 2021</w:t>
      </w:r>
      <w:r w:rsidR="68927A11" w:rsidRPr="001C3206">
        <w:t>),</w:t>
      </w:r>
      <w:r w:rsidR="68927A11">
        <w:t xml:space="preserve"> pp. 6–7.</w:t>
      </w:r>
    </w:p>
  </w:footnote>
  <w:footnote w:id="21">
    <w:p w14:paraId="4B5F2384" w14:textId="1A4E157C" w:rsidR="00564621" w:rsidRDefault="00564621">
      <w:pPr>
        <w:pStyle w:val="FootnoteText"/>
      </w:pPr>
      <w:r>
        <w:rPr>
          <w:rStyle w:val="FootnoteReference"/>
        </w:rPr>
        <w:footnoteRef/>
      </w:r>
      <w:r w:rsidR="68927A11">
        <w:t xml:space="preserve"> Equal Education Law Centre and Section 27, “Equal Education Law Centre and Section 27 Submission to the Department of Basic Education in Respect of the Draft “National Policy on the Prevention and Management of Learner Pregnancy in Schools,” April 2018, </w:t>
      </w:r>
      <w:r w:rsidR="68927A11" w:rsidRPr="00745E56">
        <w:t>https://www.section27.org.za/wp-content/uploads/2018/05/EELC-and-S27-Submissions-on-Draft-Pregnancy-Policy-.pdf</w:t>
      </w:r>
      <w:r w:rsidR="68927A11" w:rsidRPr="00A65E9C">
        <w:t xml:space="preserve"> </w:t>
      </w:r>
      <w:r w:rsidR="68927A11" w:rsidRPr="00745E56">
        <w:t xml:space="preserve">(accessed </w:t>
      </w:r>
      <w:r w:rsidR="68927A11" w:rsidRPr="00A65E9C">
        <w:t>September 9, 2021</w:t>
      </w:r>
      <w:r w:rsidR="68927A11" w:rsidRPr="00745E56">
        <w:t>).</w:t>
      </w:r>
    </w:p>
  </w:footnote>
  <w:footnote w:id="22">
    <w:p w14:paraId="2A79BC0C" w14:textId="49A5D30B" w:rsidR="00603270" w:rsidRDefault="00603270">
      <w:pPr>
        <w:pStyle w:val="FootnoteText"/>
      </w:pPr>
      <w:r>
        <w:rPr>
          <w:rStyle w:val="FootnoteReference"/>
        </w:rPr>
        <w:footnoteRef/>
      </w:r>
      <w:r w:rsidR="68927A11">
        <w:t xml:space="preserve"> Lisa </w:t>
      </w:r>
      <w:proofErr w:type="spellStart"/>
      <w:r w:rsidR="68927A11">
        <w:t>Draga</w:t>
      </w:r>
      <w:proofErr w:type="spellEnd"/>
      <w:r w:rsidR="68927A11">
        <w:t xml:space="preserve">, </w:t>
      </w:r>
      <w:proofErr w:type="spellStart"/>
      <w:r w:rsidR="68927A11">
        <w:t>Chandré</w:t>
      </w:r>
      <w:proofErr w:type="spellEnd"/>
      <w:r w:rsidR="68927A11">
        <w:t xml:space="preserve"> Stuurman, and </w:t>
      </w:r>
      <w:proofErr w:type="spellStart"/>
      <w:r w:rsidR="68927A11">
        <w:t>Demichelle</w:t>
      </w:r>
      <w:proofErr w:type="spellEnd"/>
      <w:r w:rsidR="68927A11">
        <w:t xml:space="preserve"> </w:t>
      </w:r>
      <w:proofErr w:type="spellStart"/>
      <w:r w:rsidR="68927A11">
        <w:t>Petherbridge</w:t>
      </w:r>
      <w:proofErr w:type="spellEnd"/>
      <w:r w:rsidR="68927A11">
        <w:t xml:space="preserve">, “Basic Education Rights Handbook – Education Rights in South Africa – Chapter 8: Pregnancy,” 2017, </w:t>
      </w:r>
      <w:r w:rsidR="68927A11" w:rsidRPr="003100A3">
        <w:t>http://section27.org.za/wp-content/uploads/2017/02/Chapter-8.pdf</w:t>
      </w:r>
      <w:r w:rsidR="68927A11">
        <w:t xml:space="preserve"> (accessed September 9, 2021).</w:t>
      </w:r>
    </w:p>
  </w:footnote>
  <w:footnote w:id="23">
    <w:p w14:paraId="791F4622" w14:textId="460D9157" w:rsidR="00C476D5" w:rsidRDefault="00C476D5" w:rsidP="00C476D5">
      <w:pPr>
        <w:pStyle w:val="FootnoteText"/>
      </w:pPr>
      <w:r>
        <w:rPr>
          <w:rStyle w:val="FootnoteReference"/>
        </w:rPr>
        <w:footnoteRef/>
      </w:r>
      <w:r>
        <w:t xml:space="preserve"> Parliament of the Republic of South Africa, “Media Statement: Basic Education Committee agrees holistic approach needed to curb teen pregnancies,” September 7, 2021, </w:t>
      </w:r>
      <w:r w:rsidRPr="003100A3">
        <w:t>https://www.parliament.gov.za/press-releases/media-statement-basic-education-committee-agrees-holistic-approach-needed-curb-teen-pregnancies</w:t>
      </w:r>
      <w:r>
        <w:t xml:space="preserve"> (accessed September 9, 2021). </w:t>
      </w:r>
    </w:p>
  </w:footnote>
  <w:footnote w:id="24">
    <w:p w14:paraId="0DD741E2" w14:textId="00F09FD0" w:rsidR="00B41A13" w:rsidRDefault="00B41A13">
      <w:pPr>
        <w:pStyle w:val="FootnoteText"/>
      </w:pPr>
      <w:r>
        <w:rPr>
          <w:rStyle w:val="FootnoteReference"/>
        </w:rPr>
        <w:footnoteRef/>
      </w:r>
      <w:r w:rsidR="68927A11">
        <w:t xml:space="preserve"> Department of Basic Education, “DBE Draft National Policy on the Prevention and Management of Learner Pregnancy in Schools,” 2018,</w:t>
      </w:r>
      <w:r w:rsidR="003100A3">
        <w:t xml:space="preserve"> </w:t>
      </w:r>
      <w:r w:rsidR="68927A11">
        <w:t>https://www.education.gov.za/Portals/0/Documents/Policies/Draft%20Pregnancy%20Policy%202018.pdf?ver=2018- 06-26-142235-</w:t>
      </w:r>
      <w:r w:rsidR="68927A11" w:rsidRPr="004818B0">
        <w:t xml:space="preserve">687 (accessed </w:t>
      </w:r>
      <w:r w:rsidR="68927A11" w:rsidRPr="00A65E9C">
        <w:t>September 9, 2021</w:t>
      </w:r>
      <w:r w:rsidR="68927A11" w:rsidRPr="004818B0">
        <w:t>).</w:t>
      </w:r>
    </w:p>
  </w:footnote>
  <w:footnote w:id="25">
    <w:p w14:paraId="475B4C5B" w14:textId="77C25662" w:rsidR="004038E0" w:rsidRDefault="00BF3016" w:rsidP="004038E0">
      <w:pPr>
        <w:pStyle w:val="FootnoteText"/>
      </w:pPr>
      <w:r>
        <w:rPr>
          <w:rStyle w:val="FootnoteReference"/>
        </w:rPr>
        <w:footnoteRef/>
      </w:r>
      <w:r w:rsidR="68927A11">
        <w:t xml:space="preserve"> Portfolio Committee on Basic Education virtual meeting with the Department of Basic Education on “Teenage Pregnancies and Comprehensive Sexuality Education,” September 7, 2021, </w:t>
      </w:r>
      <w:hyperlink r:id="rId1" w:history="1">
        <w:r w:rsidR="003100A3" w:rsidRPr="00173BD0">
          <w:rPr>
            <w:rStyle w:val="Hyperlink"/>
          </w:rPr>
          <w:t>https://pmg.org.za/committee-meeting/33580/</w:t>
        </w:r>
      </w:hyperlink>
      <w:r w:rsidR="003100A3">
        <w:t xml:space="preserve"> (accessed September 9, 2021)</w:t>
      </w:r>
      <w:r w:rsidR="68927A11">
        <w:t xml:space="preserve">; Oral Presentation by Dr. Granville Whittle, Department of Basic Education, </w:t>
      </w:r>
      <w:r w:rsidR="68927A11" w:rsidRPr="00F56D43">
        <w:t>https://www.youtube.com/watch?v=Sc-WfyR4kI0</w:t>
      </w:r>
      <w:r w:rsidR="68927A11">
        <w:t xml:space="preserve"> (accessed September 9, 2021).</w:t>
      </w:r>
    </w:p>
    <w:p w14:paraId="3E9BBC52" w14:textId="148D1228" w:rsidR="00BF3016" w:rsidRDefault="00BF3016">
      <w:pPr>
        <w:pStyle w:val="FootnoteText"/>
      </w:pPr>
    </w:p>
  </w:footnote>
  <w:footnote w:id="26">
    <w:p w14:paraId="5BDB8CB6" w14:textId="15F7D189" w:rsidR="00D64BB7" w:rsidRDefault="00D64BB7">
      <w:pPr>
        <w:pStyle w:val="FootnoteText"/>
      </w:pPr>
      <w:r>
        <w:rPr>
          <w:rStyle w:val="FootnoteReference"/>
        </w:rPr>
        <w:footnoteRef/>
      </w:r>
      <w:r w:rsidR="68927A11">
        <w:t xml:space="preserve"> Letter from Human Rights Watch to the Department of Basic Education regarding their draft pregnancy policy, August 16, 2018, https://www.hrw.org/news/2018/08/15/letter-south-africas-department-basic-education-regarding-their-draftpregnancy.</w:t>
      </w:r>
    </w:p>
  </w:footnote>
  <w:footnote w:id="27">
    <w:p w14:paraId="2D469AEB" w14:textId="39B83B7C" w:rsidR="00365ACD" w:rsidRDefault="00365ACD">
      <w:pPr>
        <w:pStyle w:val="FootnoteText"/>
      </w:pPr>
      <w:r>
        <w:rPr>
          <w:rStyle w:val="FootnoteReference"/>
        </w:rPr>
        <w:footnoteRef/>
      </w:r>
      <w:r w:rsidR="68927A11">
        <w:t xml:space="preserve"> Parliament of the Republic of South Africa, “Media Statement: Basic Education Committee agrees holistic approach needed to curb teen pregnancies,” September 7, 2021, </w:t>
      </w:r>
      <w:r w:rsidR="68927A11" w:rsidRPr="003100A3">
        <w:t>https://www.parliament.gov.za/press-releases/media-statement-basic-education-committee-agrees-holistic-approach-needed-curb-teen-pregnancies</w:t>
      </w:r>
      <w:r w:rsidR="68927A11">
        <w:t xml:space="preserve"> (accessed September 9, 2021).</w:t>
      </w:r>
    </w:p>
  </w:footnote>
  <w:footnote w:id="28">
    <w:p w14:paraId="693DE08D" w14:textId="2684FDBE" w:rsidR="004F1DA4" w:rsidRDefault="004F1DA4">
      <w:pPr>
        <w:pStyle w:val="FootnoteText"/>
      </w:pPr>
      <w:r>
        <w:rPr>
          <w:rStyle w:val="FootnoteReference"/>
        </w:rPr>
        <w:footnoteRef/>
      </w:r>
      <w:r w:rsidR="7079B943">
        <w:t xml:space="preserve"> </w:t>
      </w:r>
      <w:r w:rsidR="7079B943" w:rsidRPr="00F441C7">
        <w:t>UN Committee on the Elimination of Discrimination against Women, General Recommendation No. 30, Access to Education, Employment and Health, and rural women, U.N. Doc. CEDAW/C/GC/30 (2013), para. 48. See also African Committee on the Rights and Welfare of the Child, General Comment on Article 22: Children in Armed Conflict (2020), para. 78.</w:t>
      </w:r>
    </w:p>
  </w:footnote>
  <w:footnote w:id="29">
    <w:p w14:paraId="73EDF8B2" w14:textId="7D436B1D" w:rsidR="004F1DA4" w:rsidRDefault="004F1DA4">
      <w:pPr>
        <w:pStyle w:val="FootnoteText"/>
      </w:pPr>
      <w:r>
        <w:rPr>
          <w:rStyle w:val="FootnoteReference"/>
        </w:rPr>
        <w:footnoteRef/>
      </w:r>
      <w:r>
        <w:t xml:space="preserve"> </w:t>
      </w:r>
      <w:r w:rsidRPr="00F441C7">
        <w:t>Safe Schools Declaration, May 28, 2015, https://www.regjeringen.no/globalassets/departementene/ud/vedlegg/utvikling/safe_schools_declaration.pdf (accessed July 26, 2021).</w:t>
      </w:r>
    </w:p>
  </w:footnote>
  <w:footnote w:id="30">
    <w:p w14:paraId="395D8030" w14:textId="4151868E" w:rsidR="004F1DA4" w:rsidRDefault="004F1DA4">
      <w:pPr>
        <w:pStyle w:val="FootnoteText"/>
      </w:pPr>
      <w:r>
        <w:rPr>
          <w:rStyle w:val="FootnoteReference"/>
        </w:rPr>
        <w:footnoteRef/>
      </w:r>
      <w:r>
        <w:t xml:space="preserve"> </w:t>
      </w:r>
      <w:r w:rsidRPr="00F441C7">
        <w:t>Guidelines for Protecting Schools and Universities from Military Use during Armed Conflict, March 18, 2014, http://protectingeducation.org/sites/default/files/documents/guidelines_en.pdf (accessed July 26, 2021).</w:t>
      </w:r>
    </w:p>
  </w:footnote>
  <w:footnote w:id="31">
    <w:p w14:paraId="39195634" w14:textId="197FC5A3" w:rsidR="00F441C7" w:rsidRPr="00C772D0" w:rsidRDefault="00F441C7" w:rsidP="00F441C7">
      <w:pPr>
        <w:pStyle w:val="FootnoteText"/>
        <w:rPr>
          <w:sz w:val="18"/>
          <w:szCs w:val="18"/>
        </w:rPr>
      </w:pPr>
      <w:r w:rsidRPr="00F441C7">
        <w:rPr>
          <w:rStyle w:val="FootnoteReference"/>
        </w:rPr>
        <w:footnoteRef/>
      </w:r>
      <w:r w:rsidR="7079B943" w:rsidRPr="00C772D0">
        <w:rPr>
          <w:sz w:val="18"/>
          <w:szCs w:val="18"/>
        </w:rPr>
        <w:t xml:space="preserve"> </w:t>
      </w:r>
      <w:r w:rsidR="7079B943" w:rsidRPr="00F441C7">
        <w:t>African Committee on the Rights and Welfare of the Child, General Comment on Article 22: Children in Armed Conflict, (2020), para. 59.</w:t>
      </w:r>
    </w:p>
  </w:footnote>
  <w:footnote w:id="32">
    <w:p w14:paraId="058ECB44" w14:textId="6B7B6CA5" w:rsidR="00F441C7" w:rsidRDefault="00F441C7">
      <w:pPr>
        <w:pStyle w:val="FootnoteText"/>
      </w:pPr>
      <w:r>
        <w:rPr>
          <w:rStyle w:val="FootnoteReference"/>
        </w:rPr>
        <w:footnoteRef/>
      </w:r>
      <w:r w:rsidR="7079B943">
        <w:t xml:space="preserve"> United Nations Peacekeeping, “Troop and Police Contributors,” July 2021, </w:t>
      </w:r>
      <w:r w:rsidR="7079B943" w:rsidRPr="00AD0216">
        <w:t>https://peacekeeping.un.org/en/troop-and-police-contributors</w:t>
      </w:r>
      <w:r w:rsidR="7079B943">
        <w:t xml:space="preserve"> (accessed September 16, 2021).</w:t>
      </w:r>
    </w:p>
  </w:footnote>
  <w:footnote w:id="33">
    <w:p w14:paraId="7A08157F" w14:textId="6101AB85" w:rsidR="006E5F9A" w:rsidRDefault="006E5F9A">
      <w:pPr>
        <w:pStyle w:val="FootnoteText"/>
      </w:pPr>
      <w:r>
        <w:rPr>
          <w:rStyle w:val="FootnoteReference"/>
        </w:rPr>
        <w:footnoteRef/>
      </w:r>
      <w:r w:rsidR="3A1DAD46">
        <w:t xml:space="preserve"> The Global Coalition to Protect Education from Attack, </w:t>
      </w:r>
      <w:r w:rsidR="003306DA">
        <w:t>“</w:t>
      </w:r>
      <w:r w:rsidR="3A1DAD46">
        <w:t>Education Under Attack: 2020,” 2020, https://protectingeducation.org/wp-content/uploads/eua_2020_full.pdf (accessed July 28, 2021).</w:t>
      </w:r>
    </w:p>
  </w:footnote>
  <w:footnote w:id="34">
    <w:p w14:paraId="5F0EA8C0" w14:textId="004DC184" w:rsidR="0064346C" w:rsidRDefault="0064346C">
      <w:pPr>
        <w:pStyle w:val="FootnoteText"/>
      </w:pPr>
      <w:r>
        <w:rPr>
          <w:rStyle w:val="FootnoteReference"/>
        </w:rPr>
        <w:footnoteRef/>
      </w:r>
      <w:r>
        <w:t xml:space="preserve"> </w:t>
      </w:r>
      <w:r w:rsidRPr="0064346C">
        <w:t>UN Department of Peacekeeping Operations, Department of Field Support and Department of Political Affairs, “Child Protection in UN Peace Operations (Policy),” June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32037FEF" w14:paraId="3BF47C5F" w14:textId="77777777" w:rsidTr="004D47A7">
      <w:tc>
        <w:tcPr>
          <w:tcW w:w="2880" w:type="dxa"/>
        </w:tcPr>
        <w:p w14:paraId="6A4037BC" w14:textId="2267F7E8" w:rsidR="32037FEF" w:rsidRDefault="32037FEF" w:rsidP="1D08BF3C">
          <w:pPr>
            <w:pStyle w:val="Header"/>
            <w:ind w:left="-115"/>
            <w:rPr>
              <w:szCs w:val="20"/>
            </w:rPr>
          </w:pPr>
        </w:p>
      </w:tc>
      <w:tc>
        <w:tcPr>
          <w:tcW w:w="2880" w:type="dxa"/>
        </w:tcPr>
        <w:p w14:paraId="2A9B92F6" w14:textId="172F659D" w:rsidR="32037FEF" w:rsidRDefault="32037FEF" w:rsidP="1D08BF3C">
          <w:pPr>
            <w:pStyle w:val="Header"/>
            <w:jc w:val="center"/>
            <w:rPr>
              <w:szCs w:val="20"/>
            </w:rPr>
          </w:pPr>
        </w:p>
      </w:tc>
      <w:tc>
        <w:tcPr>
          <w:tcW w:w="2880" w:type="dxa"/>
        </w:tcPr>
        <w:p w14:paraId="589BA8BA" w14:textId="49E79B08" w:rsidR="32037FEF" w:rsidRDefault="32037FEF" w:rsidP="1D08BF3C">
          <w:pPr>
            <w:pStyle w:val="Header"/>
            <w:ind w:right="-115"/>
            <w:jc w:val="right"/>
            <w:rPr>
              <w:szCs w:val="20"/>
            </w:rPr>
          </w:pPr>
        </w:p>
      </w:tc>
    </w:tr>
  </w:tbl>
  <w:p w14:paraId="76890D03" w14:textId="3F663BEF" w:rsidR="32037FEF" w:rsidRDefault="32037FEF" w:rsidP="1D08BF3C">
    <w:pPr>
      <w:pStyle w:val="Heade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631B" w14:textId="2DD8C1B6" w:rsidR="00E86556" w:rsidRDefault="00C476D5" w:rsidP="00E86556">
    <w:pPr>
      <w:pStyle w:val="Header"/>
      <w:jc w:val="center"/>
    </w:pPr>
    <w:r>
      <w:rPr>
        <w:rFonts w:ascii="MetaPro-Norm" w:hAnsi="MetaPro-Norm"/>
        <w:noProof/>
        <w:color w:val="000000"/>
        <w:sz w:val="22"/>
        <w:szCs w:val="22"/>
        <w:shd w:val="clear" w:color="auto" w:fill="E6E6E6"/>
      </w:rPr>
      <w:drawing>
        <wp:inline distT="0" distB="0" distL="0" distR="0" wp14:anchorId="590EF4F8" wp14:editId="3C4F7C25">
          <wp:extent cx="1016635" cy="1016635"/>
          <wp:effectExtent l="0" t="0" r="0" b="0"/>
          <wp:docPr id="1" name="Picture 1" descr="HRW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RW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23F3" w14:textId="77777777" w:rsidR="0094324D" w:rsidRDefault="00C476D5" w:rsidP="00737310">
    <w:pPr>
      <w:pStyle w:val="Header"/>
      <w:jc w:val="center"/>
    </w:pPr>
    <w:r>
      <w:rPr>
        <w:noProof/>
        <w:color w:val="2B579A"/>
        <w:shd w:val="clear" w:color="auto" w:fill="E6E6E6"/>
        <w:lang w:eastAsia="en-US"/>
      </w:rPr>
      <w:drawing>
        <wp:inline distT="0" distB="0" distL="0" distR="0" wp14:anchorId="747BE14E" wp14:editId="505A6C7C">
          <wp:extent cx="914400" cy="914400"/>
          <wp:effectExtent l="0" t="0" r="0" b="0"/>
          <wp:docPr id="2" name="Picture 2" descr="HRW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RW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8430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C68C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1C51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A695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EAC6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5A16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9874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7C3F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4E92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8AB3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7816B0"/>
    <w:multiLevelType w:val="hybridMultilevel"/>
    <w:tmpl w:val="0556FAF4"/>
    <w:lvl w:ilvl="0" w:tplc="ECF4E2D0">
      <w:start w:val="1"/>
      <w:numFmt w:val="bullet"/>
      <w:lvlText w:val=""/>
      <w:lvlJc w:val="left"/>
      <w:pPr>
        <w:ind w:left="720" w:hanging="360"/>
      </w:pPr>
      <w:rPr>
        <w:rFonts w:ascii="Symbol" w:hAnsi="Symbol" w:hint="default"/>
      </w:rPr>
    </w:lvl>
    <w:lvl w:ilvl="1" w:tplc="FB42B6A8">
      <w:start w:val="1"/>
      <w:numFmt w:val="bullet"/>
      <w:lvlText w:val="o"/>
      <w:lvlJc w:val="left"/>
      <w:pPr>
        <w:ind w:left="1440" w:hanging="360"/>
      </w:pPr>
      <w:rPr>
        <w:rFonts w:ascii="Courier New" w:hAnsi="Courier New" w:hint="default"/>
      </w:rPr>
    </w:lvl>
    <w:lvl w:ilvl="2" w:tplc="C9707134">
      <w:start w:val="1"/>
      <w:numFmt w:val="bullet"/>
      <w:lvlText w:val=""/>
      <w:lvlJc w:val="left"/>
      <w:pPr>
        <w:ind w:left="2160" w:hanging="360"/>
      </w:pPr>
      <w:rPr>
        <w:rFonts w:ascii="Wingdings" w:hAnsi="Wingdings" w:hint="default"/>
      </w:rPr>
    </w:lvl>
    <w:lvl w:ilvl="3" w:tplc="4C804EA4">
      <w:start w:val="1"/>
      <w:numFmt w:val="bullet"/>
      <w:lvlText w:val=""/>
      <w:lvlJc w:val="left"/>
      <w:pPr>
        <w:ind w:left="2880" w:hanging="360"/>
      </w:pPr>
      <w:rPr>
        <w:rFonts w:ascii="Symbol" w:hAnsi="Symbol" w:hint="default"/>
      </w:rPr>
    </w:lvl>
    <w:lvl w:ilvl="4" w:tplc="52FCF2F0">
      <w:start w:val="1"/>
      <w:numFmt w:val="bullet"/>
      <w:lvlText w:val="o"/>
      <w:lvlJc w:val="left"/>
      <w:pPr>
        <w:ind w:left="3600" w:hanging="360"/>
      </w:pPr>
      <w:rPr>
        <w:rFonts w:ascii="Courier New" w:hAnsi="Courier New" w:hint="default"/>
      </w:rPr>
    </w:lvl>
    <w:lvl w:ilvl="5" w:tplc="726881B6">
      <w:start w:val="1"/>
      <w:numFmt w:val="bullet"/>
      <w:lvlText w:val=""/>
      <w:lvlJc w:val="left"/>
      <w:pPr>
        <w:ind w:left="4320" w:hanging="360"/>
      </w:pPr>
      <w:rPr>
        <w:rFonts w:ascii="Wingdings" w:hAnsi="Wingdings" w:hint="default"/>
      </w:rPr>
    </w:lvl>
    <w:lvl w:ilvl="6" w:tplc="89146F68">
      <w:start w:val="1"/>
      <w:numFmt w:val="bullet"/>
      <w:lvlText w:val=""/>
      <w:lvlJc w:val="left"/>
      <w:pPr>
        <w:ind w:left="5040" w:hanging="360"/>
      </w:pPr>
      <w:rPr>
        <w:rFonts w:ascii="Symbol" w:hAnsi="Symbol" w:hint="default"/>
      </w:rPr>
    </w:lvl>
    <w:lvl w:ilvl="7" w:tplc="5156B3C2">
      <w:start w:val="1"/>
      <w:numFmt w:val="bullet"/>
      <w:lvlText w:val="o"/>
      <w:lvlJc w:val="left"/>
      <w:pPr>
        <w:ind w:left="5760" w:hanging="360"/>
      </w:pPr>
      <w:rPr>
        <w:rFonts w:ascii="Courier New" w:hAnsi="Courier New" w:hint="default"/>
      </w:rPr>
    </w:lvl>
    <w:lvl w:ilvl="8" w:tplc="9B68504C">
      <w:start w:val="1"/>
      <w:numFmt w:val="bullet"/>
      <w:lvlText w:val=""/>
      <w:lvlJc w:val="left"/>
      <w:pPr>
        <w:ind w:left="6480" w:hanging="360"/>
      </w:pPr>
      <w:rPr>
        <w:rFonts w:ascii="Wingdings" w:hAnsi="Wingdings" w:hint="default"/>
      </w:rPr>
    </w:lvl>
  </w:abstractNum>
  <w:abstractNum w:abstractNumId="11" w15:restartNumberingAfterBreak="0">
    <w:nsid w:val="22875ADB"/>
    <w:multiLevelType w:val="hybridMultilevel"/>
    <w:tmpl w:val="BED8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2717F"/>
    <w:multiLevelType w:val="hybridMultilevel"/>
    <w:tmpl w:val="B8C2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532100"/>
    <w:multiLevelType w:val="hybridMultilevel"/>
    <w:tmpl w:val="7170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8"/>
  </w:num>
  <w:num w:numId="6">
    <w:abstractNumId w:val="3"/>
  </w:num>
  <w:num w:numId="7">
    <w:abstractNumId w:val="2"/>
  </w:num>
  <w:num w:numId="8">
    <w:abstractNumId w:val="1"/>
  </w:num>
  <w:num w:numId="9">
    <w:abstractNumId w:val="0"/>
  </w:num>
  <w:num w:numId="10">
    <w:abstractNumId w:val="5"/>
  </w:num>
  <w:num w:numId="11">
    <w:abstractNumId w:val="4"/>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2CE"/>
    <w:rsid w:val="000223A9"/>
    <w:rsid w:val="00035E96"/>
    <w:rsid w:val="00047D36"/>
    <w:rsid w:val="0005084F"/>
    <w:rsid w:val="00067200"/>
    <w:rsid w:val="000738A5"/>
    <w:rsid w:val="00075158"/>
    <w:rsid w:val="00091357"/>
    <w:rsid w:val="000A073B"/>
    <w:rsid w:val="000BCDF1"/>
    <w:rsid w:val="000C5B3D"/>
    <w:rsid w:val="000D3CAC"/>
    <w:rsid w:val="000D63AD"/>
    <w:rsid w:val="000E312E"/>
    <w:rsid w:val="000E5704"/>
    <w:rsid w:val="000F1949"/>
    <w:rsid w:val="000F42E2"/>
    <w:rsid w:val="00110797"/>
    <w:rsid w:val="001402C5"/>
    <w:rsid w:val="00142AE5"/>
    <w:rsid w:val="0014563D"/>
    <w:rsid w:val="00152F19"/>
    <w:rsid w:val="001562CE"/>
    <w:rsid w:val="00162862"/>
    <w:rsid w:val="00174BFC"/>
    <w:rsid w:val="00174F82"/>
    <w:rsid w:val="001B5A29"/>
    <w:rsid w:val="001C30DE"/>
    <w:rsid w:val="001C3206"/>
    <w:rsid w:val="001C5D05"/>
    <w:rsid w:val="001D228F"/>
    <w:rsid w:val="0020431A"/>
    <w:rsid w:val="002100E2"/>
    <w:rsid w:val="00216A43"/>
    <w:rsid w:val="00226D13"/>
    <w:rsid w:val="00236C8F"/>
    <w:rsid w:val="00247F05"/>
    <w:rsid w:val="00255FE1"/>
    <w:rsid w:val="00260B07"/>
    <w:rsid w:val="00273479"/>
    <w:rsid w:val="00281E92"/>
    <w:rsid w:val="002872DE"/>
    <w:rsid w:val="002A5583"/>
    <w:rsid w:val="002A7210"/>
    <w:rsid w:val="002C21E1"/>
    <w:rsid w:val="002E251E"/>
    <w:rsid w:val="002E6B38"/>
    <w:rsid w:val="002F4C34"/>
    <w:rsid w:val="00304B85"/>
    <w:rsid w:val="003051FB"/>
    <w:rsid w:val="00307146"/>
    <w:rsid w:val="003100A3"/>
    <w:rsid w:val="00311814"/>
    <w:rsid w:val="0031406E"/>
    <w:rsid w:val="003306DA"/>
    <w:rsid w:val="00347181"/>
    <w:rsid w:val="0035205F"/>
    <w:rsid w:val="00363997"/>
    <w:rsid w:val="00365ACD"/>
    <w:rsid w:val="0036724C"/>
    <w:rsid w:val="00382F6F"/>
    <w:rsid w:val="00390DAC"/>
    <w:rsid w:val="00394210"/>
    <w:rsid w:val="00395A73"/>
    <w:rsid w:val="003A6ADA"/>
    <w:rsid w:val="003B6072"/>
    <w:rsid w:val="003C13B8"/>
    <w:rsid w:val="003D2503"/>
    <w:rsid w:val="003D4F0A"/>
    <w:rsid w:val="003E0184"/>
    <w:rsid w:val="003F608E"/>
    <w:rsid w:val="004038E0"/>
    <w:rsid w:val="00403E2B"/>
    <w:rsid w:val="00422859"/>
    <w:rsid w:val="00422E03"/>
    <w:rsid w:val="00426664"/>
    <w:rsid w:val="00467CD1"/>
    <w:rsid w:val="004818B0"/>
    <w:rsid w:val="00481997"/>
    <w:rsid w:val="00482A53"/>
    <w:rsid w:val="00485004"/>
    <w:rsid w:val="0048725A"/>
    <w:rsid w:val="00494FBE"/>
    <w:rsid w:val="00497858"/>
    <w:rsid w:val="004A1323"/>
    <w:rsid w:val="004A5DE6"/>
    <w:rsid w:val="004B1999"/>
    <w:rsid w:val="004C38F8"/>
    <w:rsid w:val="004C6931"/>
    <w:rsid w:val="004D3DB4"/>
    <w:rsid w:val="004D47A7"/>
    <w:rsid w:val="004D5EFA"/>
    <w:rsid w:val="004E7638"/>
    <w:rsid w:val="004E7E95"/>
    <w:rsid w:val="004F1DA4"/>
    <w:rsid w:val="00503F03"/>
    <w:rsid w:val="005052AF"/>
    <w:rsid w:val="005063BD"/>
    <w:rsid w:val="00506EAA"/>
    <w:rsid w:val="005123AB"/>
    <w:rsid w:val="005467F1"/>
    <w:rsid w:val="00564621"/>
    <w:rsid w:val="005705C3"/>
    <w:rsid w:val="00576F1E"/>
    <w:rsid w:val="00581491"/>
    <w:rsid w:val="005A21E0"/>
    <w:rsid w:val="005A612C"/>
    <w:rsid w:val="005D0688"/>
    <w:rsid w:val="005D4D37"/>
    <w:rsid w:val="005D72E5"/>
    <w:rsid w:val="005F5968"/>
    <w:rsid w:val="00603270"/>
    <w:rsid w:val="00603886"/>
    <w:rsid w:val="00613760"/>
    <w:rsid w:val="006242A8"/>
    <w:rsid w:val="00625BC5"/>
    <w:rsid w:val="006331E4"/>
    <w:rsid w:val="006363CF"/>
    <w:rsid w:val="006426AD"/>
    <w:rsid w:val="0064346C"/>
    <w:rsid w:val="00646728"/>
    <w:rsid w:val="00651668"/>
    <w:rsid w:val="00671E5F"/>
    <w:rsid w:val="00683EFC"/>
    <w:rsid w:val="006971CE"/>
    <w:rsid w:val="0069744E"/>
    <w:rsid w:val="006B2DC8"/>
    <w:rsid w:val="006E15F3"/>
    <w:rsid w:val="006E5F9A"/>
    <w:rsid w:val="00736023"/>
    <w:rsid w:val="00737310"/>
    <w:rsid w:val="007416D3"/>
    <w:rsid w:val="00741E62"/>
    <w:rsid w:val="007431AF"/>
    <w:rsid w:val="00745E56"/>
    <w:rsid w:val="00746864"/>
    <w:rsid w:val="007646DD"/>
    <w:rsid w:val="00766BF1"/>
    <w:rsid w:val="0077295E"/>
    <w:rsid w:val="007852FD"/>
    <w:rsid w:val="007A5BFB"/>
    <w:rsid w:val="007B7280"/>
    <w:rsid w:val="007C21B9"/>
    <w:rsid w:val="007C6F37"/>
    <w:rsid w:val="007C6FA4"/>
    <w:rsid w:val="007D1913"/>
    <w:rsid w:val="007E5114"/>
    <w:rsid w:val="007F50C0"/>
    <w:rsid w:val="008234A1"/>
    <w:rsid w:val="00827ED1"/>
    <w:rsid w:val="008372A5"/>
    <w:rsid w:val="00840F08"/>
    <w:rsid w:val="008506E4"/>
    <w:rsid w:val="0085513B"/>
    <w:rsid w:val="0085728B"/>
    <w:rsid w:val="00874607"/>
    <w:rsid w:val="0089513B"/>
    <w:rsid w:val="00895E3F"/>
    <w:rsid w:val="008A6A14"/>
    <w:rsid w:val="008B9572"/>
    <w:rsid w:val="008C1AD3"/>
    <w:rsid w:val="008C2337"/>
    <w:rsid w:val="008C6571"/>
    <w:rsid w:val="008D2F46"/>
    <w:rsid w:val="008D6F64"/>
    <w:rsid w:val="008E0A2C"/>
    <w:rsid w:val="008E0D27"/>
    <w:rsid w:val="008E2165"/>
    <w:rsid w:val="008E602E"/>
    <w:rsid w:val="008F6B5E"/>
    <w:rsid w:val="0090163B"/>
    <w:rsid w:val="0091356E"/>
    <w:rsid w:val="00913D5C"/>
    <w:rsid w:val="00926678"/>
    <w:rsid w:val="00930041"/>
    <w:rsid w:val="009324FF"/>
    <w:rsid w:val="00933E6A"/>
    <w:rsid w:val="00935B9A"/>
    <w:rsid w:val="0094324D"/>
    <w:rsid w:val="00952C53"/>
    <w:rsid w:val="00962EA4"/>
    <w:rsid w:val="009650CC"/>
    <w:rsid w:val="009707FB"/>
    <w:rsid w:val="00987C7A"/>
    <w:rsid w:val="009D357B"/>
    <w:rsid w:val="009E54C0"/>
    <w:rsid w:val="00A14595"/>
    <w:rsid w:val="00A165A5"/>
    <w:rsid w:val="00A224DB"/>
    <w:rsid w:val="00A312C5"/>
    <w:rsid w:val="00A34D9F"/>
    <w:rsid w:val="00A35DF8"/>
    <w:rsid w:val="00A65E9C"/>
    <w:rsid w:val="00A675EC"/>
    <w:rsid w:val="00A67814"/>
    <w:rsid w:val="00A6798B"/>
    <w:rsid w:val="00A67F40"/>
    <w:rsid w:val="00A73C84"/>
    <w:rsid w:val="00A76191"/>
    <w:rsid w:val="00A76F0A"/>
    <w:rsid w:val="00A86D25"/>
    <w:rsid w:val="00A94CF4"/>
    <w:rsid w:val="00A9DFE8"/>
    <w:rsid w:val="00AB68B1"/>
    <w:rsid w:val="00AC01C7"/>
    <w:rsid w:val="00AC0E68"/>
    <w:rsid w:val="00AD0216"/>
    <w:rsid w:val="00AD5ED2"/>
    <w:rsid w:val="00AD7109"/>
    <w:rsid w:val="00AE1229"/>
    <w:rsid w:val="00AE165F"/>
    <w:rsid w:val="00AE433E"/>
    <w:rsid w:val="00B04313"/>
    <w:rsid w:val="00B24E0D"/>
    <w:rsid w:val="00B25D84"/>
    <w:rsid w:val="00B34F24"/>
    <w:rsid w:val="00B41A13"/>
    <w:rsid w:val="00B6043A"/>
    <w:rsid w:val="00B65EDB"/>
    <w:rsid w:val="00B71FE9"/>
    <w:rsid w:val="00B72AC1"/>
    <w:rsid w:val="00B75314"/>
    <w:rsid w:val="00BA7E57"/>
    <w:rsid w:val="00BB1172"/>
    <w:rsid w:val="00BC1ADE"/>
    <w:rsid w:val="00BC2886"/>
    <w:rsid w:val="00BE1318"/>
    <w:rsid w:val="00BE4388"/>
    <w:rsid w:val="00BE5917"/>
    <w:rsid w:val="00BE67A2"/>
    <w:rsid w:val="00BF21E5"/>
    <w:rsid w:val="00BF3016"/>
    <w:rsid w:val="00BF55E5"/>
    <w:rsid w:val="00C00789"/>
    <w:rsid w:val="00C06331"/>
    <w:rsid w:val="00C32BF1"/>
    <w:rsid w:val="00C4075E"/>
    <w:rsid w:val="00C42EF3"/>
    <w:rsid w:val="00C476D5"/>
    <w:rsid w:val="00C57F77"/>
    <w:rsid w:val="00C92C38"/>
    <w:rsid w:val="00C949B7"/>
    <w:rsid w:val="00C94CC0"/>
    <w:rsid w:val="00C95290"/>
    <w:rsid w:val="00CA276F"/>
    <w:rsid w:val="00CC50BD"/>
    <w:rsid w:val="00CD5A46"/>
    <w:rsid w:val="00CF3100"/>
    <w:rsid w:val="00D02EB2"/>
    <w:rsid w:val="00D055C2"/>
    <w:rsid w:val="00D21111"/>
    <w:rsid w:val="00D237DE"/>
    <w:rsid w:val="00D24AA9"/>
    <w:rsid w:val="00D322C0"/>
    <w:rsid w:val="00D47655"/>
    <w:rsid w:val="00D539C6"/>
    <w:rsid w:val="00D63FDE"/>
    <w:rsid w:val="00D64BB7"/>
    <w:rsid w:val="00D67004"/>
    <w:rsid w:val="00D77567"/>
    <w:rsid w:val="00D81C0D"/>
    <w:rsid w:val="00DA50BE"/>
    <w:rsid w:val="00DB7BE0"/>
    <w:rsid w:val="00DC6454"/>
    <w:rsid w:val="00DE10D9"/>
    <w:rsid w:val="00DE2A8E"/>
    <w:rsid w:val="00DE4624"/>
    <w:rsid w:val="00DE5AB9"/>
    <w:rsid w:val="00DF0F65"/>
    <w:rsid w:val="00DF2A7A"/>
    <w:rsid w:val="00E075C1"/>
    <w:rsid w:val="00E30FB1"/>
    <w:rsid w:val="00E36EC3"/>
    <w:rsid w:val="00E46E1C"/>
    <w:rsid w:val="00E51F43"/>
    <w:rsid w:val="00E53494"/>
    <w:rsid w:val="00E656FD"/>
    <w:rsid w:val="00E74F32"/>
    <w:rsid w:val="00E844EF"/>
    <w:rsid w:val="00E85C43"/>
    <w:rsid w:val="00E86556"/>
    <w:rsid w:val="00E93791"/>
    <w:rsid w:val="00E977FB"/>
    <w:rsid w:val="00EA1D05"/>
    <w:rsid w:val="00EA3772"/>
    <w:rsid w:val="00EA50AE"/>
    <w:rsid w:val="00EB2149"/>
    <w:rsid w:val="00EB7746"/>
    <w:rsid w:val="00EC0F99"/>
    <w:rsid w:val="00EE591D"/>
    <w:rsid w:val="00EF2BC1"/>
    <w:rsid w:val="00F02AA7"/>
    <w:rsid w:val="00F0339A"/>
    <w:rsid w:val="00F17B20"/>
    <w:rsid w:val="00F2073F"/>
    <w:rsid w:val="00F21B7C"/>
    <w:rsid w:val="00F23162"/>
    <w:rsid w:val="00F35862"/>
    <w:rsid w:val="00F436C7"/>
    <w:rsid w:val="00F441C7"/>
    <w:rsid w:val="00F471D6"/>
    <w:rsid w:val="00F50774"/>
    <w:rsid w:val="00F56D43"/>
    <w:rsid w:val="00F60386"/>
    <w:rsid w:val="00F630A4"/>
    <w:rsid w:val="00F75214"/>
    <w:rsid w:val="00F77D4E"/>
    <w:rsid w:val="00F9148E"/>
    <w:rsid w:val="00F939C2"/>
    <w:rsid w:val="00F95C10"/>
    <w:rsid w:val="00FA3736"/>
    <w:rsid w:val="00FA58A8"/>
    <w:rsid w:val="00FA6944"/>
    <w:rsid w:val="00FC6662"/>
    <w:rsid w:val="00FD304D"/>
    <w:rsid w:val="00FD67B7"/>
    <w:rsid w:val="00FE0D67"/>
    <w:rsid w:val="01101215"/>
    <w:rsid w:val="01426C88"/>
    <w:rsid w:val="01474A5A"/>
    <w:rsid w:val="01C2FC56"/>
    <w:rsid w:val="01F6C2C3"/>
    <w:rsid w:val="029B4A81"/>
    <w:rsid w:val="02A47C0F"/>
    <w:rsid w:val="02EAD155"/>
    <w:rsid w:val="02F5ECD6"/>
    <w:rsid w:val="030C979F"/>
    <w:rsid w:val="03D739B7"/>
    <w:rsid w:val="04061BCB"/>
    <w:rsid w:val="041040FC"/>
    <w:rsid w:val="048328A3"/>
    <w:rsid w:val="04BB2502"/>
    <w:rsid w:val="04C5549C"/>
    <w:rsid w:val="04F9B4B2"/>
    <w:rsid w:val="0511C6D5"/>
    <w:rsid w:val="051E7B1D"/>
    <w:rsid w:val="05468A54"/>
    <w:rsid w:val="057E5CD6"/>
    <w:rsid w:val="0587EDCE"/>
    <w:rsid w:val="058CF2F2"/>
    <w:rsid w:val="05BFB923"/>
    <w:rsid w:val="05C1E1F6"/>
    <w:rsid w:val="0622D63D"/>
    <w:rsid w:val="069FD043"/>
    <w:rsid w:val="06A7085F"/>
    <w:rsid w:val="06C3552C"/>
    <w:rsid w:val="06D4EEC8"/>
    <w:rsid w:val="072C3C48"/>
    <w:rsid w:val="076B96D9"/>
    <w:rsid w:val="077442A0"/>
    <w:rsid w:val="079D6381"/>
    <w:rsid w:val="07AA8239"/>
    <w:rsid w:val="07FEBFCA"/>
    <w:rsid w:val="081B19AA"/>
    <w:rsid w:val="081B27D5"/>
    <w:rsid w:val="083F9608"/>
    <w:rsid w:val="086606EE"/>
    <w:rsid w:val="0871DB19"/>
    <w:rsid w:val="089179AC"/>
    <w:rsid w:val="092268EC"/>
    <w:rsid w:val="0927183E"/>
    <w:rsid w:val="09440587"/>
    <w:rsid w:val="09910E7A"/>
    <w:rsid w:val="09D1A2D5"/>
    <w:rsid w:val="09E8756D"/>
    <w:rsid w:val="0A48AEB4"/>
    <w:rsid w:val="0B137FA2"/>
    <w:rsid w:val="0B31BD61"/>
    <w:rsid w:val="0B716CB8"/>
    <w:rsid w:val="0B840071"/>
    <w:rsid w:val="0B9691B9"/>
    <w:rsid w:val="0BF1583E"/>
    <w:rsid w:val="0C14C48B"/>
    <w:rsid w:val="0C49EAE8"/>
    <w:rsid w:val="0C987BCC"/>
    <w:rsid w:val="0CA570D4"/>
    <w:rsid w:val="0CD5A654"/>
    <w:rsid w:val="0CE48B06"/>
    <w:rsid w:val="0D02526B"/>
    <w:rsid w:val="0D142E80"/>
    <w:rsid w:val="0D20CF98"/>
    <w:rsid w:val="0D347DDB"/>
    <w:rsid w:val="0D44B2B0"/>
    <w:rsid w:val="0D66AC4A"/>
    <w:rsid w:val="0D7D8573"/>
    <w:rsid w:val="0D8F1F34"/>
    <w:rsid w:val="0DA3B021"/>
    <w:rsid w:val="0DAE38F2"/>
    <w:rsid w:val="0DB1A2AB"/>
    <w:rsid w:val="0DB7309A"/>
    <w:rsid w:val="0E036CE4"/>
    <w:rsid w:val="0E0FABA6"/>
    <w:rsid w:val="0E189355"/>
    <w:rsid w:val="0E5A7AD0"/>
    <w:rsid w:val="0E6C36E2"/>
    <w:rsid w:val="0E7FFF25"/>
    <w:rsid w:val="0E8BEB9B"/>
    <w:rsid w:val="0F51DAD7"/>
    <w:rsid w:val="0F5C7C9C"/>
    <w:rsid w:val="0F7A1D72"/>
    <w:rsid w:val="0FD7EA01"/>
    <w:rsid w:val="0FF855F6"/>
    <w:rsid w:val="102E4FF8"/>
    <w:rsid w:val="10398843"/>
    <w:rsid w:val="1088946E"/>
    <w:rsid w:val="10C683AB"/>
    <w:rsid w:val="10CF6374"/>
    <w:rsid w:val="10DF751D"/>
    <w:rsid w:val="113B0DA6"/>
    <w:rsid w:val="114BBF0E"/>
    <w:rsid w:val="11507701"/>
    <w:rsid w:val="1152DD6F"/>
    <w:rsid w:val="1153077A"/>
    <w:rsid w:val="118B5656"/>
    <w:rsid w:val="119B3792"/>
    <w:rsid w:val="11CC67BD"/>
    <w:rsid w:val="11E79FA3"/>
    <w:rsid w:val="120CABE7"/>
    <w:rsid w:val="1255CF49"/>
    <w:rsid w:val="12CAB2CC"/>
    <w:rsid w:val="1305B360"/>
    <w:rsid w:val="13120BD8"/>
    <w:rsid w:val="1320C0D3"/>
    <w:rsid w:val="13225994"/>
    <w:rsid w:val="133219AD"/>
    <w:rsid w:val="135E1E96"/>
    <w:rsid w:val="136213F2"/>
    <w:rsid w:val="1365FC0D"/>
    <w:rsid w:val="14027407"/>
    <w:rsid w:val="14353564"/>
    <w:rsid w:val="143EAB5C"/>
    <w:rsid w:val="145A83FF"/>
    <w:rsid w:val="146FA027"/>
    <w:rsid w:val="1477417B"/>
    <w:rsid w:val="147D3D9A"/>
    <w:rsid w:val="14B3538C"/>
    <w:rsid w:val="14E27829"/>
    <w:rsid w:val="151984AA"/>
    <w:rsid w:val="15392ECE"/>
    <w:rsid w:val="153BB490"/>
    <w:rsid w:val="1572935B"/>
    <w:rsid w:val="1596866E"/>
    <w:rsid w:val="15B167B7"/>
    <w:rsid w:val="15BC7AB7"/>
    <w:rsid w:val="160C11F1"/>
    <w:rsid w:val="160E7EC9"/>
    <w:rsid w:val="161BD835"/>
    <w:rsid w:val="1691ADB5"/>
    <w:rsid w:val="16C66589"/>
    <w:rsid w:val="16CCDE71"/>
    <w:rsid w:val="1722E62C"/>
    <w:rsid w:val="177B4E76"/>
    <w:rsid w:val="17DD0206"/>
    <w:rsid w:val="17FC390B"/>
    <w:rsid w:val="1806AB0D"/>
    <w:rsid w:val="1809DFCC"/>
    <w:rsid w:val="1836AE8E"/>
    <w:rsid w:val="183FC69E"/>
    <w:rsid w:val="18AE0C76"/>
    <w:rsid w:val="18C69EF9"/>
    <w:rsid w:val="18C6F660"/>
    <w:rsid w:val="18C8C88C"/>
    <w:rsid w:val="18CC7FDA"/>
    <w:rsid w:val="18F456D5"/>
    <w:rsid w:val="1901EBDF"/>
    <w:rsid w:val="190D03D9"/>
    <w:rsid w:val="1925EF78"/>
    <w:rsid w:val="1941A948"/>
    <w:rsid w:val="1977298C"/>
    <w:rsid w:val="19786A23"/>
    <w:rsid w:val="19F7E40E"/>
    <w:rsid w:val="1A005F38"/>
    <w:rsid w:val="1A01DD25"/>
    <w:rsid w:val="1A01F0D8"/>
    <w:rsid w:val="1A0EFA2E"/>
    <w:rsid w:val="1A2458D9"/>
    <w:rsid w:val="1A690ACC"/>
    <w:rsid w:val="1A8E69FC"/>
    <w:rsid w:val="1A92EC72"/>
    <w:rsid w:val="1AA26FCF"/>
    <w:rsid w:val="1BC241C2"/>
    <w:rsid w:val="1BF572F2"/>
    <w:rsid w:val="1C1599E8"/>
    <w:rsid w:val="1C255480"/>
    <w:rsid w:val="1C6054DB"/>
    <w:rsid w:val="1C762CA7"/>
    <w:rsid w:val="1C8F029A"/>
    <w:rsid w:val="1CBBAA49"/>
    <w:rsid w:val="1D08BF3C"/>
    <w:rsid w:val="1D2B81D1"/>
    <w:rsid w:val="1DDA51E5"/>
    <w:rsid w:val="1DF04D58"/>
    <w:rsid w:val="1E37C9C5"/>
    <w:rsid w:val="1E50A682"/>
    <w:rsid w:val="1E697C45"/>
    <w:rsid w:val="1E82A841"/>
    <w:rsid w:val="1EABC313"/>
    <w:rsid w:val="1EAF9FD7"/>
    <w:rsid w:val="1EECBF64"/>
    <w:rsid w:val="1F44F132"/>
    <w:rsid w:val="1F4F08DA"/>
    <w:rsid w:val="1F8598B4"/>
    <w:rsid w:val="1FCE47E6"/>
    <w:rsid w:val="203F189C"/>
    <w:rsid w:val="2070CE3E"/>
    <w:rsid w:val="20EF0129"/>
    <w:rsid w:val="20F8C5A3"/>
    <w:rsid w:val="2130831E"/>
    <w:rsid w:val="21591EF6"/>
    <w:rsid w:val="21999BF3"/>
    <w:rsid w:val="21BAEE62"/>
    <w:rsid w:val="21BD5E1F"/>
    <w:rsid w:val="223CC557"/>
    <w:rsid w:val="224073DF"/>
    <w:rsid w:val="225E810B"/>
    <w:rsid w:val="227C14B6"/>
    <w:rsid w:val="22B267E4"/>
    <w:rsid w:val="22CA744F"/>
    <w:rsid w:val="22F6C633"/>
    <w:rsid w:val="23356582"/>
    <w:rsid w:val="237253BD"/>
    <w:rsid w:val="241A2E07"/>
    <w:rsid w:val="24282EAB"/>
    <w:rsid w:val="24A5B851"/>
    <w:rsid w:val="24AF2991"/>
    <w:rsid w:val="24D3BD2B"/>
    <w:rsid w:val="24E53C2F"/>
    <w:rsid w:val="25711FD3"/>
    <w:rsid w:val="2603753C"/>
    <w:rsid w:val="260513DC"/>
    <w:rsid w:val="2608E123"/>
    <w:rsid w:val="2667BDEA"/>
    <w:rsid w:val="26A9772F"/>
    <w:rsid w:val="26C0ED5B"/>
    <w:rsid w:val="272A75DD"/>
    <w:rsid w:val="2755978D"/>
    <w:rsid w:val="275A1646"/>
    <w:rsid w:val="2797D628"/>
    <w:rsid w:val="279890C1"/>
    <w:rsid w:val="27D315A3"/>
    <w:rsid w:val="27EB459A"/>
    <w:rsid w:val="27ED93A0"/>
    <w:rsid w:val="28059C15"/>
    <w:rsid w:val="287ED108"/>
    <w:rsid w:val="2909A7E3"/>
    <w:rsid w:val="2970523E"/>
    <w:rsid w:val="297F323F"/>
    <w:rsid w:val="2997C5AA"/>
    <w:rsid w:val="29EAF64D"/>
    <w:rsid w:val="2A222FC8"/>
    <w:rsid w:val="2A324B03"/>
    <w:rsid w:val="2A4142B2"/>
    <w:rsid w:val="2A468C47"/>
    <w:rsid w:val="2A60791B"/>
    <w:rsid w:val="2A9828D4"/>
    <w:rsid w:val="2B01D818"/>
    <w:rsid w:val="2B30A8D1"/>
    <w:rsid w:val="2B753C33"/>
    <w:rsid w:val="2B767DFD"/>
    <w:rsid w:val="2BA85295"/>
    <w:rsid w:val="2BB3F264"/>
    <w:rsid w:val="2BE465C5"/>
    <w:rsid w:val="2BF74351"/>
    <w:rsid w:val="2BFFCE76"/>
    <w:rsid w:val="2C28087F"/>
    <w:rsid w:val="2C2B63DB"/>
    <w:rsid w:val="2C5937FF"/>
    <w:rsid w:val="2C5B2D03"/>
    <w:rsid w:val="2C9DA879"/>
    <w:rsid w:val="2CBA082F"/>
    <w:rsid w:val="2CBF0C7C"/>
    <w:rsid w:val="2CC642D8"/>
    <w:rsid w:val="2E318F55"/>
    <w:rsid w:val="2E48BB73"/>
    <w:rsid w:val="2E55E9ED"/>
    <w:rsid w:val="2EA17B02"/>
    <w:rsid w:val="2EAE1EBF"/>
    <w:rsid w:val="2EE973CE"/>
    <w:rsid w:val="2F065A75"/>
    <w:rsid w:val="2F1A6FE7"/>
    <w:rsid w:val="2F5A97BE"/>
    <w:rsid w:val="2FB4DE4A"/>
    <w:rsid w:val="2FC87730"/>
    <w:rsid w:val="301EE2AC"/>
    <w:rsid w:val="3023A6F4"/>
    <w:rsid w:val="30330301"/>
    <w:rsid w:val="30642A74"/>
    <w:rsid w:val="309F96E6"/>
    <w:rsid w:val="30ABDCFB"/>
    <w:rsid w:val="30BC39BA"/>
    <w:rsid w:val="30EAB256"/>
    <w:rsid w:val="31323DE6"/>
    <w:rsid w:val="3138104A"/>
    <w:rsid w:val="31523B5E"/>
    <w:rsid w:val="318A8239"/>
    <w:rsid w:val="31DF9807"/>
    <w:rsid w:val="32037FEF"/>
    <w:rsid w:val="32156F3C"/>
    <w:rsid w:val="321F2B62"/>
    <w:rsid w:val="322EBE28"/>
    <w:rsid w:val="3258E485"/>
    <w:rsid w:val="329A2606"/>
    <w:rsid w:val="32A08ADB"/>
    <w:rsid w:val="32A14C5A"/>
    <w:rsid w:val="32FC8418"/>
    <w:rsid w:val="33249FC9"/>
    <w:rsid w:val="33866439"/>
    <w:rsid w:val="33F4E110"/>
    <w:rsid w:val="33F7A5B8"/>
    <w:rsid w:val="341D4CDA"/>
    <w:rsid w:val="34225318"/>
    <w:rsid w:val="3435F667"/>
    <w:rsid w:val="3452BF1E"/>
    <w:rsid w:val="34601A7A"/>
    <w:rsid w:val="347A6041"/>
    <w:rsid w:val="349C7EBF"/>
    <w:rsid w:val="34D57B99"/>
    <w:rsid w:val="351824B4"/>
    <w:rsid w:val="354962F9"/>
    <w:rsid w:val="35839977"/>
    <w:rsid w:val="35A7B8CF"/>
    <w:rsid w:val="35B6C2D3"/>
    <w:rsid w:val="35D1C6C8"/>
    <w:rsid w:val="3605FE7F"/>
    <w:rsid w:val="363EDB16"/>
    <w:rsid w:val="36D15992"/>
    <w:rsid w:val="36F75588"/>
    <w:rsid w:val="373F2EBE"/>
    <w:rsid w:val="37427B63"/>
    <w:rsid w:val="376C2EFB"/>
    <w:rsid w:val="37754E71"/>
    <w:rsid w:val="377F30FD"/>
    <w:rsid w:val="37854276"/>
    <w:rsid w:val="37B6A7D2"/>
    <w:rsid w:val="37BE8EC8"/>
    <w:rsid w:val="383BD8A8"/>
    <w:rsid w:val="3876E9D3"/>
    <w:rsid w:val="38A0E3ED"/>
    <w:rsid w:val="38A6F5CF"/>
    <w:rsid w:val="38BB33BE"/>
    <w:rsid w:val="38F5C43B"/>
    <w:rsid w:val="3A0C9454"/>
    <w:rsid w:val="3A1DAD46"/>
    <w:rsid w:val="3A3368F8"/>
    <w:rsid w:val="3A3C18D4"/>
    <w:rsid w:val="3A57041F"/>
    <w:rsid w:val="3A570A9A"/>
    <w:rsid w:val="3A86A36B"/>
    <w:rsid w:val="3A87A440"/>
    <w:rsid w:val="3A8AE940"/>
    <w:rsid w:val="3AA537EB"/>
    <w:rsid w:val="3ACE9E63"/>
    <w:rsid w:val="3AD51A76"/>
    <w:rsid w:val="3B802C90"/>
    <w:rsid w:val="3B874745"/>
    <w:rsid w:val="3BAB374D"/>
    <w:rsid w:val="3BDA12EF"/>
    <w:rsid w:val="3BF47DA3"/>
    <w:rsid w:val="3C01EAC3"/>
    <w:rsid w:val="3CAE3210"/>
    <w:rsid w:val="3CB661C2"/>
    <w:rsid w:val="3D07FF93"/>
    <w:rsid w:val="3D148960"/>
    <w:rsid w:val="3D4E0EA8"/>
    <w:rsid w:val="3D7107C0"/>
    <w:rsid w:val="3DA0AB45"/>
    <w:rsid w:val="3DE96EF0"/>
    <w:rsid w:val="3E43008B"/>
    <w:rsid w:val="3E77FF64"/>
    <w:rsid w:val="3EE7522F"/>
    <w:rsid w:val="3F151741"/>
    <w:rsid w:val="3F3EA7F3"/>
    <w:rsid w:val="3F49B748"/>
    <w:rsid w:val="3F4C58FE"/>
    <w:rsid w:val="3F6E08B5"/>
    <w:rsid w:val="3FCE96EB"/>
    <w:rsid w:val="3FE23166"/>
    <w:rsid w:val="405F2107"/>
    <w:rsid w:val="407386C7"/>
    <w:rsid w:val="4078A7B1"/>
    <w:rsid w:val="4088EF8A"/>
    <w:rsid w:val="4095CA0C"/>
    <w:rsid w:val="40C7EEC6"/>
    <w:rsid w:val="40EDFC38"/>
    <w:rsid w:val="40FC370E"/>
    <w:rsid w:val="417FA08A"/>
    <w:rsid w:val="419454AD"/>
    <w:rsid w:val="41C31A9E"/>
    <w:rsid w:val="41ED386D"/>
    <w:rsid w:val="41F75158"/>
    <w:rsid w:val="42217FCB"/>
    <w:rsid w:val="42303167"/>
    <w:rsid w:val="42B41BC7"/>
    <w:rsid w:val="42BFD41F"/>
    <w:rsid w:val="42FFC2A7"/>
    <w:rsid w:val="43219B36"/>
    <w:rsid w:val="43554987"/>
    <w:rsid w:val="43774117"/>
    <w:rsid w:val="43BD502C"/>
    <w:rsid w:val="43C5C2DC"/>
    <w:rsid w:val="440038ED"/>
    <w:rsid w:val="440C749D"/>
    <w:rsid w:val="442E8686"/>
    <w:rsid w:val="4432F1D4"/>
    <w:rsid w:val="4467668D"/>
    <w:rsid w:val="447BFCBC"/>
    <w:rsid w:val="44CEBC6C"/>
    <w:rsid w:val="44EF2579"/>
    <w:rsid w:val="44F738E0"/>
    <w:rsid w:val="456D3DC9"/>
    <w:rsid w:val="4592C996"/>
    <w:rsid w:val="45CD16CF"/>
    <w:rsid w:val="45DAF8FB"/>
    <w:rsid w:val="4658A8FA"/>
    <w:rsid w:val="467DB7C6"/>
    <w:rsid w:val="46A5921C"/>
    <w:rsid w:val="46D28C60"/>
    <w:rsid w:val="46FB129C"/>
    <w:rsid w:val="47094AF2"/>
    <w:rsid w:val="4744155F"/>
    <w:rsid w:val="4783D9F5"/>
    <w:rsid w:val="47AE0D9B"/>
    <w:rsid w:val="47E5B5E8"/>
    <w:rsid w:val="47EA9C96"/>
    <w:rsid w:val="4815A1B5"/>
    <w:rsid w:val="484AB23A"/>
    <w:rsid w:val="486CEADB"/>
    <w:rsid w:val="4888E59D"/>
    <w:rsid w:val="49250430"/>
    <w:rsid w:val="4934D0C2"/>
    <w:rsid w:val="496BA671"/>
    <w:rsid w:val="499150AD"/>
    <w:rsid w:val="4A029C88"/>
    <w:rsid w:val="4A08BB3C"/>
    <w:rsid w:val="4A8866FD"/>
    <w:rsid w:val="4ABBE896"/>
    <w:rsid w:val="4AD8BF6F"/>
    <w:rsid w:val="4B085B36"/>
    <w:rsid w:val="4B20E72A"/>
    <w:rsid w:val="4B4EE5BC"/>
    <w:rsid w:val="4B659B61"/>
    <w:rsid w:val="4B692A9F"/>
    <w:rsid w:val="4B6D553F"/>
    <w:rsid w:val="4B8252FC"/>
    <w:rsid w:val="4B9C1193"/>
    <w:rsid w:val="4BA44ADA"/>
    <w:rsid w:val="4BA53320"/>
    <w:rsid w:val="4C7A2AFD"/>
    <w:rsid w:val="4C81D025"/>
    <w:rsid w:val="4CECE2EE"/>
    <w:rsid w:val="4D121E8F"/>
    <w:rsid w:val="4D64447F"/>
    <w:rsid w:val="4DACBCAC"/>
    <w:rsid w:val="4DDCD70D"/>
    <w:rsid w:val="4E294C6F"/>
    <w:rsid w:val="4E43EBC8"/>
    <w:rsid w:val="4E59075D"/>
    <w:rsid w:val="4E752274"/>
    <w:rsid w:val="4E824B99"/>
    <w:rsid w:val="4E8E47AE"/>
    <w:rsid w:val="4EAC113F"/>
    <w:rsid w:val="4EB9F3BE"/>
    <w:rsid w:val="4EBD65AD"/>
    <w:rsid w:val="4EDEB299"/>
    <w:rsid w:val="4F20C8E3"/>
    <w:rsid w:val="4F579FA3"/>
    <w:rsid w:val="4F671633"/>
    <w:rsid w:val="4F7B11A2"/>
    <w:rsid w:val="4FA8AC95"/>
    <w:rsid w:val="4FAFFDC7"/>
    <w:rsid w:val="4FD2CC67"/>
    <w:rsid w:val="50027B7F"/>
    <w:rsid w:val="507FC1B1"/>
    <w:rsid w:val="50B27256"/>
    <w:rsid w:val="50C12C2C"/>
    <w:rsid w:val="50CFD3D3"/>
    <w:rsid w:val="514BCE28"/>
    <w:rsid w:val="51B4EF1F"/>
    <w:rsid w:val="51B861D6"/>
    <w:rsid w:val="51BE2740"/>
    <w:rsid w:val="51D86C23"/>
    <w:rsid w:val="51E9E01F"/>
    <w:rsid w:val="51FCE926"/>
    <w:rsid w:val="5219847B"/>
    <w:rsid w:val="524D40BA"/>
    <w:rsid w:val="525111B2"/>
    <w:rsid w:val="525E97A8"/>
    <w:rsid w:val="527FE94C"/>
    <w:rsid w:val="5281D077"/>
    <w:rsid w:val="529FC84F"/>
    <w:rsid w:val="52BADA42"/>
    <w:rsid w:val="52CCB8C9"/>
    <w:rsid w:val="52E97DDA"/>
    <w:rsid w:val="52EEF448"/>
    <w:rsid w:val="5326CC5C"/>
    <w:rsid w:val="536AF2FF"/>
    <w:rsid w:val="53D93E37"/>
    <w:rsid w:val="53E2FF48"/>
    <w:rsid w:val="541BB9AD"/>
    <w:rsid w:val="5421EC04"/>
    <w:rsid w:val="5468D9D2"/>
    <w:rsid w:val="54CEBF4B"/>
    <w:rsid w:val="54D1CCE2"/>
    <w:rsid w:val="54F702ED"/>
    <w:rsid w:val="54FDE75E"/>
    <w:rsid w:val="552BCE27"/>
    <w:rsid w:val="557A830E"/>
    <w:rsid w:val="559E1B3A"/>
    <w:rsid w:val="5634F4EE"/>
    <w:rsid w:val="5662BBBA"/>
    <w:rsid w:val="5663CA94"/>
    <w:rsid w:val="5699FCB5"/>
    <w:rsid w:val="56A56879"/>
    <w:rsid w:val="56AC794D"/>
    <w:rsid w:val="56C8A436"/>
    <w:rsid w:val="56D8A8F2"/>
    <w:rsid w:val="570BD249"/>
    <w:rsid w:val="571CFDD1"/>
    <w:rsid w:val="5734F23F"/>
    <w:rsid w:val="5742314A"/>
    <w:rsid w:val="5755419A"/>
    <w:rsid w:val="5760E812"/>
    <w:rsid w:val="57864606"/>
    <w:rsid w:val="57BD6255"/>
    <w:rsid w:val="57D13667"/>
    <w:rsid w:val="57FF1825"/>
    <w:rsid w:val="58059A84"/>
    <w:rsid w:val="584A1E55"/>
    <w:rsid w:val="58A45BDE"/>
    <w:rsid w:val="58E89887"/>
    <w:rsid w:val="58ED852B"/>
    <w:rsid w:val="58FA6CED"/>
    <w:rsid w:val="59182A3B"/>
    <w:rsid w:val="597BF3E8"/>
    <w:rsid w:val="59C00104"/>
    <w:rsid w:val="59D39978"/>
    <w:rsid w:val="59DE66BA"/>
    <w:rsid w:val="59FDEA15"/>
    <w:rsid w:val="5A1049B4"/>
    <w:rsid w:val="5A965D3B"/>
    <w:rsid w:val="5B084D93"/>
    <w:rsid w:val="5B1C376F"/>
    <w:rsid w:val="5B2554A1"/>
    <w:rsid w:val="5B575724"/>
    <w:rsid w:val="5B791EA7"/>
    <w:rsid w:val="5B9FF145"/>
    <w:rsid w:val="5C15047A"/>
    <w:rsid w:val="5C4B874E"/>
    <w:rsid w:val="5C80A8E9"/>
    <w:rsid w:val="5C90B676"/>
    <w:rsid w:val="5C9A4AC3"/>
    <w:rsid w:val="5CCB9E76"/>
    <w:rsid w:val="5D0662A2"/>
    <w:rsid w:val="5D112E6E"/>
    <w:rsid w:val="5D22C760"/>
    <w:rsid w:val="5D55FDAC"/>
    <w:rsid w:val="5DC46C4A"/>
    <w:rsid w:val="5DD6C508"/>
    <w:rsid w:val="5DDA51BF"/>
    <w:rsid w:val="5DDF9284"/>
    <w:rsid w:val="5DE79C18"/>
    <w:rsid w:val="5E301B71"/>
    <w:rsid w:val="5E3A5557"/>
    <w:rsid w:val="5E509BAF"/>
    <w:rsid w:val="5E8774B3"/>
    <w:rsid w:val="5EA57AD2"/>
    <w:rsid w:val="5EC9EB6B"/>
    <w:rsid w:val="5EE3BAD7"/>
    <w:rsid w:val="5EF906DA"/>
    <w:rsid w:val="5F316ED2"/>
    <w:rsid w:val="5F6D3894"/>
    <w:rsid w:val="5F762220"/>
    <w:rsid w:val="5F8A16B9"/>
    <w:rsid w:val="5F9D7426"/>
    <w:rsid w:val="5FCBEBD2"/>
    <w:rsid w:val="5FDDB819"/>
    <w:rsid w:val="5FFCB95A"/>
    <w:rsid w:val="60002FB2"/>
    <w:rsid w:val="600041D4"/>
    <w:rsid w:val="602AAFA0"/>
    <w:rsid w:val="607288CA"/>
    <w:rsid w:val="60EE7DF3"/>
    <w:rsid w:val="610926B8"/>
    <w:rsid w:val="61A011B9"/>
    <w:rsid w:val="61BC5913"/>
    <w:rsid w:val="61D872B1"/>
    <w:rsid w:val="621FE0F9"/>
    <w:rsid w:val="62296467"/>
    <w:rsid w:val="624FAFDF"/>
    <w:rsid w:val="625391A0"/>
    <w:rsid w:val="62698926"/>
    <w:rsid w:val="62767AF5"/>
    <w:rsid w:val="6289D810"/>
    <w:rsid w:val="629F07B6"/>
    <w:rsid w:val="62CA2E39"/>
    <w:rsid w:val="632F2DC7"/>
    <w:rsid w:val="63368254"/>
    <w:rsid w:val="6368D65A"/>
    <w:rsid w:val="63E7DD8A"/>
    <w:rsid w:val="642A7FF6"/>
    <w:rsid w:val="643547EE"/>
    <w:rsid w:val="643CF317"/>
    <w:rsid w:val="64BAD029"/>
    <w:rsid w:val="64BCB951"/>
    <w:rsid w:val="64C6FE72"/>
    <w:rsid w:val="64F40EC7"/>
    <w:rsid w:val="6513D952"/>
    <w:rsid w:val="65693522"/>
    <w:rsid w:val="65A56D09"/>
    <w:rsid w:val="65B041C7"/>
    <w:rsid w:val="65E6A308"/>
    <w:rsid w:val="66077C8C"/>
    <w:rsid w:val="66803D67"/>
    <w:rsid w:val="66D5A45F"/>
    <w:rsid w:val="66EBFF5A"/>
    <w:rsid w:val="6744ADDF"/>
    <w:rsid w:val="67525C24"/>
    <w:rsid w:val="6784C43F"/>
    <w:rsid w:val="680CC438"/>
    <w:rsid w:val="681347C9"/>
    <w:rsid w:val="681BCC3E"/>
    <w:rsid w:val="684F688A"/>
    <w:rsid w:val="68927A11"/>
    <w:rsid w:val="6893E0C9"/>
    <w:rsid w:val="68A13AA1"/>
    <w:rsid w:val="68A1BF4D"/>
    <w:rsid w:val="68A9AAC7"/>
    <w:rsid w:val="68C15320"/>
    <w:rsid w:val="68D1C57A"/>
    <w:rsid w:val="68F68C9A"/>
    <w:rsid w:val="68FC27AD"/>
    <w:rsid w:val="6910E72A"/>
    <w:rsid w:val="6925A99C"/>
    <w:rsid w:val="69519464"/>
    <w:rsid w:val="6959D386"/>
    <w:rsid w:val="697749B6"/>
    <w:rsid w:val="6A025EC7"/>
    <w:rsid w:val="6A28EA49"/>
    <w:rsid w:val="6A321659"/>
    <w:rsid w:val="6A5E3D8F"/>
    <w:rsid w:val="6A62EF41"/>
    <w:rsid w:val="6A7B2D79"/>
    <w:rsid w:val="6AF6EE12"/>
    <w:rsid w:val="6B258620"/>
    <w:rsid w:val="6B37FA20"/>
    <w:rsid w:val="6B65ADBB"/>
    <w:rsid w:val="6B79E2B5"/>
    <w:rsid w:val="6BA91582"/>
    <w:rsid w:val="6BE14B89"/>
    <w:rsid w:val="6BFA0DF0"/>
    <w:rsid w:val="6C00A827"/>
    <w:rsid w:val="6C40DAD3"/>
    <w:rsid w:val="6C6AC3D2"/>
    <w:rsid w:val="6C765B3E"/>
    <w:rsid w:val="6CB559C3"/>
    <w:rsid w:val="6CCAF1EA"/>
    <w:rsid w:val="6CD24B95"/>
    <w:rsid w:val="6CD60A63"/>
    <w:rsid w:val="6CFEA618"/>
    <w:rsid w:val="6D117B20"/>
    <w:rsid w:val="6D14A13C"/>
    <w:rsid w:val="6D290DEA"/>
    <w:rsid w:val="6D48354A"/>
    <w:rsid w:val="6D63CFBC"/>
    <w:rsid w:val="6DA0BBE3"/>
    <w:rsid w:val="6DAD7ABD"/>
    <w:rsid w:val="6DAF6128"/>
    <w:rsid w:val="6DD74D2C"/>
    <w:rsid w:val="6E178874"/>
    <w:rsid w:val="6E34F474"/>
    <w:rsid w:val="6E7CFDB5"/>
    <w:rsid w:val="6ED3AA07"/>
    <w:rsid w:val="6EDD3DE8"/>
    <w:rsid w:val="6EFCC7D8"/>
    <w:rsid w:val="6EFD0B51"/>
    <w:rsid w:val="6F0694C4"/>
    <w:rsid w:val="6F080DDE"/>
    <w:rsid w:val="6F32664E"/>
    <w:rsid w:val="6F3848E9"/>
    <w:rsid w:val="6F4AAD41"/>
    <w:rsid w:val="6FC8B648"/>
    <w:rsid w:val="6FC8C36E"/>
    <w:rsid w:val="703E0301"/>
    <w:rsid w:val="704D53D8"/>
    <w:rsid w:val="705E51E2"/>
    <w:rsid w:val="7079B943"/>
    <w:rsid w:val="709200CC"/>
    <w:rsid w:val="70A9D83C"/>
    <w:rsid w:val="70B069B8"/>
    <w:rsid w:val="70C9E12C"/>
    <w:rsid w:val="70CE5772"/>
    <w:rsid w:val="71A841E1"/>
    <w:rsid w:val="71A8BB19"/>
    <w:rsid w:val="71B49E77"/>
    <w:rsid w:val="71CEB760"/>
    <w:rsid w:val="71E6DA50"/>
    <w:rsid w:val="71FD839D"/>
    <w:rsid w:val="723B3D81"/>
    <w:rsid w:val="724EF78D"/>
    <w:rsid w:val="725502FB"/>
    <w:rsid w:val="727E4D98"/>
    <w:rsid w:val="7282EDFC"/>
    <w:rsid w:val="728988B0"/>
    <w:rsid w:val="72A72326"/>
    <w:rsid w:val="72CAAEF8"/>
    <w:rsid w:val="73006430"/>
    <w:rsid w:val="7303E466"/>
    <w:rsid w:val="73111D7A"/>
    <w:rsid w:val="73DB32B0"/>
    <w:rsid w:val="74239FC2"/>
    <w:rsid w:val="742A4CF9"/>
    <w:rsid w:val="74402BA2"/>
    <w:rsid w:val="7442F387"/>
    <w:rsid w:val="746BF742"/>
    <w:rsid w:val="74757ADF"/>
    <w:rsid w:val="7476350D"/>
    <w:rsid w:val="7479FC0F"/>
    <w:rsid w:val="74D8F0DA"/>
    <w:rsid w:val="74E68A05"/>
    <w:rsid w:val="74ED46DC"/>
    <w:rsid w:val="7557E54E"/>
    <w:rsid w:val="75A5DCAA"/>
    <w:rsid w:val="75BE5401"/>
    <w:rsid w:val="75E3B638"/>
    <w:rsid w:val="75F34087"/>
    <w:rsid w:val="76632C34"/>
    <w:rsid w:val="76814F80"/>
    <w:rsid w:val="76E75E56"/>
    <w:rsid w:val="76F330BC"/>
    <w:rsid w:val="771C79B9"/>
    <w:rsid w:val="7755A1F9"/>
    <w:rsid w:val="778AAF84"/>
    <w:rsid w:val="77C4344B"/>
    <w:rsid w:val="77CCDA38"/>
    <w:rsid w:val="77E778A2"/>
    <w:rsid w:val="784BB6F9"/>
    <w:rsid w:val="78A97624"/>
    <w:rsid w:val="791961D1"/>
    <w:rsid w:val="795F543F"/>
    <w:rsid w:val="799D93F3"/>
    <w:rsid w:val="79CEA043"/>
    <w:rsid w:val="79F3165A"/>
    <w:rsid w:val="7AA26C64"/>
    <w:rsid w:val="7B43A87E"/>
    <w:rsid w:val="7B4E5485"/>
    <w:rsid w:val="7B6EBE83"/>
    <w:rsid w:val="7BBE9B33"/>
    <w:rsid w:val="7C30E831"/>
    <w:rsid w:val="7C66D874"/>
    <w:rsid w:val="7C8B5A8A"/>
    <w:rsid w:val="7C8EAB7B"/>
    <w:rsid w:val="7CE26213"/>
    <w:rsid w:val="7D3FBBA0"/>
    <w:rsid w:val="7DC9FC48"/>
    <w:rsid w:val="7DF35136"/>
    <w:rsid w:val="7E088CD5"/>
    <w:rsid w:val="7E0FC63D"/>
    <w:rsid w:val="7E307AED"/>
    <w:rsid w:val="7E6FFD8F"/>
    <w:rsid w:val="7E9B3F32"/>
    <w:rsid w:val="7E9EC311"/>
    <w:rsid w:val="7EB66582"/>
    <w:rsid w:val="7EDF2679"/>
    <w:rsid w:val="7F1AD3BF"/>
    <w:rsid w:val="7F1AD79C"/>
    <w:rsid w:val="7F1FF883"/>
    <w:rsid w:val="7F4BFCA1"/>
    <w:rsid w:val="7F67B597"/>
    <w:rsid w:val="7F8A5E96"/>
    <w:rsid w:val="7FAB96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D08AE9"/>
  <w15:chartTrackingRefBased/>
  <w15:docId w15:val="{120B209B-387D-4C88-B6A5-E509FBE7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21E0"/>
    <w:pPr>
      <w:spacing w:line="264" w:lineRule="auto"/>
    </w:pPr>
    <w:rPr>
      <w:rFonts w:ascii="MetaPro-Norm" w:hAnsi="MetaPro-Norm"/>
      <w:sz w:val="22"/>
      <w:szCs w:val="24"/>
      <w:lang w:val="en-US" w:eastAsia="zh-CN"/>
    </w:rPr>
  </w:style>
  <w:style w:type="paragraph" w:styleId="Heading1">
    <w:name w:val="heading 1"/>
    <w:basedOn w:val="Normal"/>
    <w:next w:val="Normal"/>
    <w:qFormat/>
    <w:rsid w:val="003D4F0A"/>
    <w:pPr>
      <w:spacing w:after="60" w:line="240" w:lineRule="auto"/>
      <w:jc w:val="center"/>
      <w:outlineLvl w:val="0"/>
    </w:pPr>
    <w:rPr>
      <w:rFonts w:ascii="MetaPro-Bold" w:eastAsia="Arial Unicode MS" w:hAnsi="MetaPro-Bold" w:cs="SeriaArabic-Bold"/>
      <w:bCs/>
      <w:sz w:val="34"/>
      <w:szCs w:val="36"/>
    </w:rPr>
  </w:style>
  <w:style w:type="paragraph" w:styleId="Heading2">
    <w:name w:val="heading 2"/>
    <w:basedOn w:val="Normal"/>
    <w:next w:val="Normal"/>
    <w:qFormat/>
    <w:rsid w:val="004B1999"/>
    <w:pPr>
      <w:spacing w:before="60" w:after="60" w:line="240" w:lineRule="auto"/>
      <w:outlineLvl w:val="1"/>
    </w:pPr>
    <w:rPr>
      <w:rFonts w:ascii="MetaPro-CondMedi" w:hAnsi="MetaPro-CondMedi" w:cs="SeriaArabic-Bold"/>
      <w:bCs/>
      <w:sz w:val="30"/>
      <w:szCs w:val="32"/>
    </w:rPr>
  </w:style>
  <w:style w:type="paragraph" w:styleId="Heading3">
    <w:name w:val="heading 3"/>
    <w:basedOn w:val="Normal"/>
    <w:next w:val="Normal"/>
    <w:qFormat/>
    <w:rsid w:val="004B1999"/>
    <w:pPr>
      <w:spacing w:before="60" w:after="60" w:line="240" w:lineRule="auto"/>
      <w:outlineLvl w:val="2"/>
    </w:pPr>
    <w:rPr>
      <w:rFonts w:ascii="MetaPro-CondBookIta" w:hAnsi="MetaPro-CondBookIta" w:cs="SeriaArabic-Bold"/>
      <w:bCs/>
      <w:iCs/>
      <w:sz w:val="26"/>
      <w:szCs w:val="28"/>
    </w:rPr>
  </w:style>
  <w:style w:type="paragraph" w:styleId="Heading4">
    <w:name w:val="heading 4"/>
    <w:basedOn w:val="Normal"/>
    <w:next w:val="Normal"/>
    <w:qFormat/>
    <w:rsid w:val="004B1999"/>
    <w:pPr>
      <w:spacing w:before="60" w:after="60" w:line="240" w:lineRule="auto"/>
      <w:outlineLvl w:val="3"/>
    </w:pPr>
    <w:rPr>
      <w:rFonts w:ascii="MetaPro-Medi" w:hAnsi="MetaPro-Medi"/>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506EAA"/>
    <w:pPr>
      <w:spacing w:before="20" w:after="20"/>
      <w:ind w:left="720" w:right="720"/>
    </w:pPr>
  </w:style>
  <w:style w:type="paragraph" w:customStyle="1" w:styleId="Caption1">
    <w:name w:val="Caption1"/>
    <w:basedOn w:val="Normal"/>
    <w:rsid w:val="0020431A"/>
    <w:pPr>
      <w:spacing w:line="240" w:lineRule="auto"/>
    </w:pPr>
    <w:rPr>
      <w:rFonts w:ascii="MetaPro-Medi" w:hAnsi="MetaPro-Medi"/>
      <w:bCs/>
      <w:color w:val="595959"/>
      <w:sz w:val="18"/>
      <w:szCs w:val="20"/>
    </w:rPr>
  </w:style>
  <w:style w:type="paragraph" w:styleId="NormalWeb">
    <w:name w:val="Normal (Web)"/>
    <w:basedOn w:val="Normal"/>
    <w:uiPriority w:val="99"/>
    <w:unhideWhenUsed/>
    <w:rsid w:val="002E6B38"/>
    <w:pPr>
      <w:spacing w:before="100" w:beforeAutospacing="1" w:after="100" w:afterAutospacing="1" w:line="240" w:lineRule="auto"/>
    </w:pPr>
    <w:rPr>
      <w:rFonts w:ascii="Times New Roman" w:eastAsia="Times New Roman" w:hAnsi="Times New Roman"/>
      <w:sz w:val="24"/>
      <w:lang w:eastAsia="en-US"/>
    </w:rPr>
  </w:style>
  <w:style w:type="character" w:styleId="Hyperlink">
    <w:name w:val="Hyperlink"/>
    <w:uiPriority w:val="99"/>
    <w:qFormat/>
    <w:rsid w:val="00EA1D05"/>
    <w:rPr>
      <w:color w:val="0000FF"/>
      <w:u w:val="single"/>
    </w:rPr>
  </w:style>
  <w:style w:type="paragraph" w:styleId="BalloonText">
    <w:name w:val="Balloon Text"/>
    <w:basedOn w:val="Normal"/>
    <w:link w:val="BalloonTextChar"/>
    <w:rsid w:val="00D322C0"/>
    <w:pPr>
      <w:spacing w:line="240" w:lineRule="auto"/>
    </w:pPr>
    <w:rPr>
      <w:rFonts w:ascii="Tahoma" w:hAnsi="Tahoma" w:cs="Tahoma"/>
      <w:sz w:val="16"/>
      <w:szCs w:val="16"/>
    </w:rPr>
  </w:style>
  <w:style w:type="paragraph" w:styleId="Title">
    <w:name w:val="Title"/>
    <w:basedOn w:val="Normal"/>
    <w:qFormat/>
    <w:rsid w:val="004B1999"/>
    <w:pPr>
      <w:spacing w:line="240" w:lineRule="auto"/>
      <w:jc w:val="center"/>
    </w:pPr>
    <w:rPr>
      <w:rFonts w:ascii="MetaPro-CondBold" w:hAnsi="MetaPro-CondBold" w:cs="SeriaArabic-Black"/>
      <w:bCs/>
      <w:sz w:val="36"/>
      <w:szCs w:val="48"/>
    </w:rPr>
  </w:style>
  <w:style w:type="paragraph" w:styleId="Subtitle">
    <w:name w:val="Subtitle"/>
    <w:basedOn w:val="Normal"/>
    <w:qFormat/>
    <w:rsid w:val="004B1999"/>
    <w:pPr>
      <w:spacing w:line="240" w:lineRule="auto"/>
      <w:jc w:val="center"/>
    </w:pPr>
    <w:rPr>
      <w:rFonts w:ascii="MetaPro-CondMedi" w:hAnsi="MetaPro-CondMedi" w:cs="SeriaArabic-Bold"/>
      <w:bCs/>
      <w:sz w:val="30"/>
      <w:szCs w:val="36"/>
    </w:rPr>
  </w:style>
  <w:style w:type="paragraph" w:styleId="Header">
    <w:name w:val="header"/>
    <w:basedOn w:val="Normal"/>
    <w:rsid w:val="0020431A"/>
    <w:rPr>
      <w:rFonts w:ascii="MetaPro-Bold" w:hAnsi="MetaPro-Bold" w:cs="SeriaArabic-Bold"/>
      <w:bCs/>
      <w:smallCaps/>
      <w:sz w:val="20"/>
    </w:rPr>
  </w:style>
  <w:style w:type="paragraph" w:styleId="Footer">
    <w:name w:val="footer"/>
    <w:basedOn w:val="Normal"/>
    <w:rsid w:val="0020431A"/>
    <w:rPr>
      <w:rFonts w:ascii="MetaPro-Bold" w:hAnsi="MetaPro-Bold" w:cs="SeriaArabic-Bold"/>
      <w:bCs/>
      <w:smallCaps/>
      <w:sz w:val="20"/>
      <w:szCs w:val="20"/>
    </w:rPr>
  </w:style>
  <w:style w:type="character" w:styleId="PageNumber">
    <w:name w:val="page number"/>
    <w:rsid w:val="00A224DB"/>
    <w:rPr>
      <w:rFonts w:ascii="MetaPro-Bold" w:hAnsi="MetaPro-Bold" w:cs="Arial"/>
      <w:smallCaps/>
      <w:dstrike w:val="0"/>
      <w:color w:val="auto"/>
      <w:sz w:val="20"/>
      <w:szCs w:val="16"/>
      <w:u w:val="none"/>
      <w:effect w:val="none"/>
      <w:vertAlign w:val="baseline"/>
    </w:rPr>
  </w:style>
  <w:style w:type="paragraph" w:styleId="FootnoteText">
    <w:name w:val="footnote text"/>
    <w:basedOn w:val="Normal"/>
    <w:link w:val="FootnoteTextChar"/>
    <w:uiPriority w:val="99"/>
    <w:rsid w:val="003D4F0A"/>
    <w:pPr>
      <w:spacing w:after="40" w:line="220" w:lineRule="exact"/>
    </w:pPr>
    <w:rPr>
      <w:sz w:val="16"/>
      <w:szCs w:val="20"/>
    </w:rPr>
  </w:style>
  <w:style w:type="character" w:styleId="FootnoteReference">
    <w:name w:val="footnote reference"/>
    <w:uiPriority w:val="99"/>
    <w:rsid w:val="00BA7E57"/>
    <w:rPr>
      <w:rFonts w:ascii="MetaPro-Medi" w:eastAsia="Arial Unicode MS" w:hAnsi="MetaPro-Medi" w:cs="Arial"/>
      <w:color w:val="auto"/>
      <w:sz w:val="22"/>
      <w:szCs w:val="20"/>
      <w:u w:val="none"/>
      <w:vertAlign w:val="superscript"/>
    </w:rPr>
  </w:style>
  <w:style w:type="paragraph" w:styleId="TOC1">
    <w:name w:val="toc 1"/>
    <w:basedOn w:val="Normal"/>
    <w:next w:val="Normal"/>
    <w:autoRedefine/>
    <w:rsid w:val="005A21E0"/>
    <w:pPr>
      <w:spacing w:before="220"/>
    </w:pPr>
    <w:rPr>
      <w:rFonts w:ascii="MetaBold-Roman" w:hAnsi="MetaBold-Roman" w:cs="SeriaArabic-Bold"/>
      <w:bCs/>
    </w:rPr>
  </w:style>
  <w:style w:type="paragraph" w:styleId="TOC2">
    <w:name w:val="toc 2"/>
    <w:basedOn w:val="Normal"/>
    <w:next w:val="Normal"/>
    <w:autoRedefine/>
    <w:rsid w:val="005A21E0"/>
    <w:pPr>
      <w:ind w:left="360"/>
    </w:pPr>
    <w:rPr>
      <w:rFonts w:cs="SeriaArabic"/>
      <w:sz w:val="20"/>
      <w:szCs w:val="20"/>
    </w:rPr>
  </w:style>
  <w:style w:type="paragraph" w:styleId="TOC3">
    <w:name w:val="toc 3"/>
    <w:basedOn w:val="Normal"/>
    <w:next w:val="Normal"/>
    <w:autoRedefine/>
    <w:rsid w:val="005A21E0"/>
    <w:pPr>
      <w:ind w:left="720"/>
    </w:pPr>
    <w:rPr>
      <w:rFonts w:cs="SeriaArabic"/>
      <w:sz w:val="20"/>
      <w:szCs w:val="20"/>
    </w:rPr>
  </w:style>
  <w:style w:type="paragraph" w:styleId="TOC4">
    <w:name w:val="toc 4"/>
    <w:basedOn w:val="Normal"/>
    <w:next w:val="Normal"/>
    <w:autoRedefine/>
    <w:semiHidden/>
    <w:rsid w:val="00952C53"/>
    <w:pPr>
      <w:spacing w:line="300" w:lineRule="auto"/>
      <w:ind w:left="1080"/>
    </w:pPr>
  </w:style>
  <w:style w:type="character" w:customStyle="1" w:styleId="BalloonTextChar">
    <w:name w:val="Balloon Text Char"/>
    <w:link w:val="BalloonText"/>
    <w:rsid w:val="00D322C0"/>
    <w:rPr>
      <w:rFonts w:ascii="Tahoma" w:hAnsi="Tahoma" w:cs="Tahoma"/>
      <w:sz w:val="16"/>
      <w:szCs w:val="16"/>
      <w:lang w:eastAsia="zh-CN"/>
    </w:rPr>
  </w:style>
  <w:style w:type="table" w:styleId="TableGrid">
    <w:name w:val="Table Grid"/>
    <w:basedOn w:val="TableNormal"/>
    <w:rsid w:val="00895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6556"/>
    <w:pPr>
      <w:spacing w:line="240" w:lineRule="auto"/>
      <w:ind w:left="720"/>
      <w:contextualSpacing/>
    </w:pPr>
    <w:rPr>
      <w:rFonts w:ascii="Calibri" w:eastAsia="Calibri" w:hAnsi="Calibri" w:cs="Arial"/>
      <w:sz w:val="24"/>
      <w:lang w:eastAsia="en-US"/>
    </w:rPr>
  </w:style>
  <w:style w:type="character" w:styleId="UnresolvedMention">
    <w:name w:val="Unresolved Mention"/>
    <w:uiPriority w:val="99"/>
    <w:semiHidden/>
    <w:unhideWhenUsed/>
    <w:rsid w:val="004F1DA4"/>
    <w:rPr>
      <w:color w:val="605E5C"/>
      <w:shd w:val="clear" w:color="auto" w:fill="E1DFDD"/>
    </w:rPr>
  </w:style>
  <w:style w:type="character" w:customStyle="1" w:styleId="FootnoteTextChar">
    <w:name w:val="Footnote Text Char"/>
    <w:link w:val="FootnoteText"/>
    <w:uiPriority w:val="99"/>
    <w:rsid w:val="00F441C7"/>
    <w:rPr>
      <w:rFonts w:ascii="MetaPro-Norm" w:hAnsi="MetaPro-Norm"/>
      <w:sz w:val="16"/>
      <w:lang w:eastAsia="zh-CN"/>
    </w:rPr>
  </w:style>
  <w:style w:type="character" w:styleId="FollowedHyperlink">
    <w:name w:val="FollowedHyperlink"/>
    <w:rsid w:val="006E5F9A"/>
    <w:rPr>
      <w:color w:val="954F72"/>
      <w:u w:val="single"/>
    </w:rPr>
  </w:style>
  <w:style w:type="character" w:styleId="CommentReference">
    <w:name w:val="annotation reference"/>
    <w:uiPriority w:val="99"/>
    <w:rsid w:val="00D539C6"/>
    <w:rPr>
      <w:sz w:val="16"/>
      <w:szCs w:val="16"/>
    </w:rPr>
  </w:style>
  <w:style w:type="paragraph" w:styleId="CommentText">
    <w:name w:val="annotation text"/>
    <w:basedOn w:val="Normal"/>
    <w:link w:val="CommentTextChar"/>
    <w:uiPriority w:val="99"/>
    <w:rsid w:val="00D539C6"/>
    <w:rPr>
      <w:sz w:val="20"/>
      <w:szCs w:val="20"/>
    </w:rPr>
  </w:style>
  <w:style w:type="character" w:customStyle="1" w:styleId="CommentTextChar">
    <w:name w:val="Comment Text Char"/>
    <w:link w:val="CommentText"/>
    <w:uiPriority w:val="99"/>
    <w:rsid w:val="00D539C6"/>
    <w:rPr>
      <w:rFonts w:ascii="MetaPro-Norm" w:hAnsi="MetaPro-Norm"/>
      <w:lang w:eastAsia="zh-CN"/>
    </w:rPr>
  </w:style>
  <w:style w:type="paragraph" w:styleId="CommentSubject">
    <w:name w:val="annotation subject"/>
    <w:basedOn w:val="CommentText"/>
    <w:next w:val="CommentText"/>
    <w:link w:val="CommentSubjectChar"/>
    <w:rsid w:val="00D539C6"/>
    <w:rPr>
      <w:b/>
      <w:bCs/>
    </w:rPr>
  </w:style>
  <w:style w:type="character" w:customStyle="1" w:styleId="CommentSubjectChar">
    <w:name w:val="Comment Subject Char"/>
    <w:link w:val="CommentSubject"/>
    <w:rsid w:val="00D539C6"/>
    <w:rPr>
      <w:rFonts w:ascii="MetaPro-Norm" w:hAnsi="MetaPro-Norm"/>
      <w:b/>
      <w:bCs/>
      <w:lang w:eastAsia="zh-CN"/>
    </w:rPr>
  </w:style>
  <w:style w:type="character" w:styleId="Mention">
    <w:name w:val="Mention"/>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7291">
      <w:bodyDiv w:val="1"/>
      <w:marLeft w:val="0"/>
      <w:marRight w:val="0"/>
      <w:marTop w:val="0"/>
      <w:marBottom w:val="0"/>
      <w:divBdr>
        <w:top w:val="none" w:sz="0" w:space="0" w:color="auto"/>
        <w:left w:val="none" w:sz="0" w:space="0" w:color="auto"/>
        <w:bottom w:val="none" w:sz="0" w:space="0" w:color="auto"/>
        <w:right w:val="none" w:sz="0" w:space="0" w:color="auto"/>
      </w:divBdr>
    </w:div>
    <w:div w:id="465587556">
      <w:bodyDiv w:val="1"/>
      <w:marLeft w:val="0"/>
      <w:marRight w:val="0"/>
      <w:marTop w:val="0"/>
      <w:marBottom w:val="0"/>
      <w:divBdr>
        <w:top w:val="none" w:sz="0" w:space="0" w:color="auto"/>
        <w:left w:val="none" w:sz="0" w:space="0" w:color="auto"/>
        <w:bottom w:val="none" w:sz="0" w:space="0" w:color="auto"/>
        <w:right w:val="none" w:sz="0" w:space="0" w:color="auto"/>
      </w:divBdr>
    </w:div>
    <w:div w:id="512426398">
      <w:bodyDiv w:val="1"/>
      <w:marLeft w:val="0"/>
      <w:marRight w:val="0"/>
      <w:marTop w:val="0"/>
      <w:marBottom w:val="0"/>
      <w:divBdr>
        <w:top w:val="none" w:sz="0" w:space="0" w:color="auto"/>
        <w:left w:val="none" w:sz="0" w:space="0" w:color="auto"/>
        <w:bottom w:val="none" w:sz="0" w:space="0" w:color="auto"/>
        <w:right w:val="none" w:sz="0" w:space="0" w:color="auto"/>
      </w:divBdr>
    </w:div>
    <w:div w:id="676732544">
      <w:bodyDiv w:val="1"/>
      <w:marLeft w:val="0"/>
      <w:marRight w:val="0"/>
      <w:marTop w:val="0"/>
      <w:marBottom w:val="0"/>
      <w:divBdr>
        <w:top w:val="none" w:sz="0" w:space="0" w:color="auto"/>
        <w:left w:val="none" w:sz="0" w:space="0" w:color="auto"/>
        <w:bottom w:val="none" w:sz="0" w:space="0" w:color="auto"/>
        <w:right w:val="none" w:sz="0" w:space="0" w:color="auto"/>
      </w:divBdr>
    </w:div>
    <w:div w:id="678195896">
      <w:bodyDiv w:val="1"/>
      <w:marLeft w:val="0"/>
      <w:marRight w:val="0"/>
      <w:marTop w:val="0"/>
      <w:marBottom w:val="0"/>
      <w:divBdr>
        <w:top w:val="none" w:sz="0" w:space="0" w:color="auto"/>
        <w:left w:val="none" w:sz="0" w:space="0" w:color="auto"/>
        <w:bottom w:val="none" w:sz="0" w:space="0" w:color="auto"/>
        <w:right w:val="none" w:sz="0" w:space="0" w:color="auto"/>
      </w:divBdr>
    </w:div>
    <w:div w:id="866064801">
      <w:bodyDiv w:val="1"/>
      <w:marLeft w:val="0"/>
      <w:marRight w:val="0"/>
      <w:marTop w:val="0"/>
      <w:marBottom w:val="0"/>
      <w:divBdr>
        <w:top w:val="none" w:sz="0" w:space="0" w:color="auto"/>
        <w:left w:val="none" w:sz="0" w:space="0" w:color="auto"/>
        <w:bottom w:val="none" w:sz="0" w:space="0" w:color="auto"/>
        <w:right w:val="none" w:sz="0" w:space="0" w:color="auto"/>
      </w:divBdr>
    </w:div>
    <w:div w:id="1058742508">
      <w:bodyDiv w:val="1"/>
      <w:marLeft w:val="0"/>
      <w:marRight w:val="0"/>
      <w:marTop w:val="0"/>
      <w:marBottom w:val="0"/>
      <w:divBdr>
        <w:top w:val="none" w:sz="0" w:space="0" w:color="auto"/>
        <w:left w:val="none" w:sz="0" w:space="0" w:color="auto"/>
        <w:bottom w:val="none" w:sz="0" w:space="0" w:color="auto"/>
        <w:right w:val="none" w:sz="0" w:space="0" w:color="auto"/>
      </w:divBdr>
    </w:div>
    <w:div w:id="1577014017">
      <w:bodyDiv w:val="1"/>
      <w:marLeft w:val="0"/>
      <w:marRight w:val="0"/>
      <w:marTop w:val="0"/>
      <w:marBottom w:val="0"/>
      <w:divBdr>
        <w:top w:val="none" w:sz="0" w:space="0" w:color="auto"/>
        <w:left w:val="none" w:sz="0" w:space="0" w:color="auto"/>
        <w:bottom w:val="none" w:sz="0" w:space="0" w:color="auto"/>
        <w:right w:val="none" w:sz="0" w:space="0" w:color="auto"/>
      </w:divBdr>
    </w:div>
    <w:div w:id="175362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ol.co.za/news/politics/national-shelter-movement-pens-open-letter-to-ramaphosa-on-poor-service-delivery-women-abuse-88195c98-c527-48c8-adaf-9b3a3fbb1b8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justice.gov.za/vg/gbv/NSP-GBVF-FINAL-DOC-04-05.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lity.org.za/article/bleak-future-for-young-girls-with-23-226-reported-teenage-pregnancies-in-gauteng-2021-08-17"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za.boell.org/en/2019/05/30/out-harms-way-womens-shelters-eastern-and-northern-cap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ic.pmg.org.za/1/CGE_Report_on_Shelters_2019.20.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mg.org.za/committee-meeting/3358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t\AppData\Local\Microsoft\Windows\INetCache\Content.Outlook\TL58F0WH\report%20template%20(002).dot" TargetMode="External"/></Relationships>
</file>

<file path=word/documenttasks/documenttasks1.xml><?xml version="1.0" encoding="utf-8"?>
<t:Tasks xmlns:t="http://schemas.microsoft.com/office/tasks/2019/documenttasks" xmlns:oel="http://schemas.microsoft.com/office/2019/extlst">
  <t:Task id="{49308424-E051-45C0-97EE-7204F69B1C55}">
    <t:Anchor>
      <t:Comment id="618979120"/>
    </t:Anchor>
    <t:History>
      <t:Event id="{118A431C-9EDC-4EC4-B1A7-BD93E86CC14B}" time="2021-09-15T16:21:23.962Z">
        <t:Attribution userId="S::lapuenk@hrw.org::8774efbf-7d21-4829-9cd9-21e95255c116" userProvider="AD" userName="Katherine La Puente"/>
        <t:Anchor>
          <t:Comment id="1530599629"/>
        </t:Anchor>
        <t:Create/>
      </t:Event>
      <t:Event id="{B487B253-27B6-4CCA-B522-8A08763319B3}" time="2021-09-15T16:21:23.962Z">
        <t:Attribution userId="S::lapuenk@hrw.org::8774efbf-7d21-4829-9cd9-21e95255c116" userProvider="AD" userName="Katherine La Puente"/>
        <t:Anchor>
          <t:Comment id="1530599629"/>
        </t:Anchor>
        <t:Assign userId="S::martine@hrw.org::cd6d0587-375b-4a01-b490-aeb944fa7296" userProvider="AD" userName="Elin Martinez"/>
      </t:Event>
      <t:Event id="{05BE72FC-82CF-4432-B9BF-F515A3CFBAFA}" time="2021-09-15T16:21:23.962Z">
        <t:Attribution userId="S::lapuenk@hrw.org::8774efbf-7d21-4829-9cd9-21e95255c116" userProvider="AD" userName="Katherine La Puente"/>
        <t:Anchor>
          <t:Comment id="1530599629"/>
        </t:Anchor>
        <t:SetTitle title="@Elin Martinez Any updates on this, Elin? I anticipate sending it for review tonight or tomorrow A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791B8-B545-4599-A051-4FE70EB4F263}"/>
</file>

<file path=customXml/itemProps2.xml><?xml version="1.0" encoding="utf-8"?>
<ds:datastoreItem xmlns:ds="http://schemas.openxmlformats.org/officeDocument/2006/customXml" ds:itemID="{378CAB47-1F1B-4F22-9ADE-2C966F170F24}">
  <ds:schemaRefs>
    <ds:schemaRef ds:uri="http://schemas.microsoft.com/sharepoint/v3/contenttype/forms"/>
  </ds:schemaRefs>
</ds:datastoreItem>
</file>

<file path=customXml/itemProps3.xml><?xml version="1.0" encoding="utf-8"?>
<ds:datastoreItem xmlns:ds="http://schemas.openxmlformats.org/officeDocument/2006/customXml" ds:itemID="{EB5955B9-B86F-4D17-AFBD-ECD8DD21C4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1FAF62-442E-4864-9197-53F58403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C:\Users\carrt\AppData\Local\Microsoft\Windows\INetCache\Content.Outlook\TL58F0WH\report template (002).dot</Template>
  <TotalTime>31</TotalTime>
  <Pages>9</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Human Rights Watch</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Carr</dc:creator>
  <cp:keywords/>
  <cp:lastModifiedBy>Katherine La Puente</cp:lastModifiedBy>
  <cp:revision>9</cp:revision>
  <dcterms:created xsi:type="dcterms:W3CDTF">2021-09-29T18:15:00Z</dcterms:created>
  <dcterms:modified xsi:type="dcterms:W3CDTF">2021-09-29T18:51:00Z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