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C1BCC4" w14:textId="77777777" w:rsidR="00621D77" w:rsidRPr="00621D77" w:rsidRDefault="00621D77" w:rsidP="00621D77">
      <w:pPr>
        <w:suppressAutoHyphens w:val="0"/>
        <w:spacing w:line="240" w:lineRule="auto"/>
        <w:ind w:leftChars="0" w:left="3" w:firstLineChars="0" w:hanging="5"/>
        <w:jc w:val="center"/>
        <w:textDirection w:val="lrTb"/>
        <w:textAlignment w:val="auto"/>
        <w:outlineLvl w:val="9"/>
        <w:rPr>
          <w:color w:val="000000"/>
          <w:position w:val="0"/>
          <w:lang w:eastAsia="en-GB"/>
        </w:rPr>
      </w:pPr>
      <w:r w:rsidRPr="00621D77">
        <w:rPr>
          <w:rFonts w:ascii="A_BISMILLAH" w:hAnsi="A_BISMILLAH"/>
          <w:color w:val="000000"/>
          <w:position w:val="0"/>
          <w:sz w:val="48"/>
          <w:szCs w:val="48"/>
          <w:lang w:eastAsia="en-GB"/>
        </w:rPr>
        <w:t>c</w:t>
      </w:r>
    </w:p>
    <w:p w14:paraId="257395E7" w14:textId="77777777" w:rsidR="00621D77" w:rsidRPr="00621D77" w:rsidRDefault="00621D77" w:rsidP="00621D77">
      <w:pPr>
        <w:suppressAutoHyphens w:val="0"/>
        <w:spacing w:line="240" w:lineRule="auto"/>
        <w:ind w:leftChars="0" w:left="0" w:firstLineChars="0" w:firstLine="0"/>
        <w:textDirection w:val="lrTb"/>
        <w:textAlignment w:val="auto"/>
        <w:outlineLvl w:val="9"/>
        <w:rPr>
          <w:color w:val="000000"/>
          <w:position w:val="0"/>
          <w:lang w:eastAsia="en-GB"/>
        </w:rPr>
      </w:pPr>
    </w:p>
    <w:p w14:paraId="51903DA8" w14:textId="0D24B7FA" w:rsidR="00C25FF8" w:rsidRDefault="00621D77" w:rsidP="00C25FF8">
      <w:pPr>
        <w:suppressAutoHyphens w:val="0"/>
        <w:spacing w:line="240" w:lineRule="auto"/>
        <w:ind w:leftChars="0" w:left="0" w:firstLineChars="0" w:firstLine="0"/>
        <w:jc w:val="center"/>
        <w:textDirection w:val="lrTb"/>
        <w:textAlignment w:val="auto"/>
        <w:outlineLvl w:val="9"/>
        <w:rPr>
          <w:rFonts w:ascii="Belleza" w:hAnsi="Belleza"/>
          <w:color w:val="000000"/>
          <w:position w:val="0"/>
          <w:sz w:val="22"/>
          <w:szCs w:val="22"/>
          <w:bdr w:val="none" w:sz="0" w:space="0" w:color="auto" w:frame="1"/>
          <w:lang w:eastAsia="en-GB"/>
        </w:rPr>
      </w:pPr>
      <w:r w:rsidRPr="00621D77">
        <w:rPr>
          <w:rFonts w:ascii="Belleza" w:hAnsi="Belleza"/>
          <w:color w:val="000000"/>
          <w:position w:val="0"/>
          <w:sz w:val="22"/>
          <w:szCs w:val="22"/>
          <w:bdr w:val="none" w:sz="0" w:space="0" w:color="auto" w:frame="1"/>
          <w:lang w:eastAsia="en-GB"/>
        </w:rPr>
        <w:fldChar w:fldCharType="begin"/>
      </w:r>
      <w:r w:rsidRPr="00621D77">
        <w:rPr>
          <w:rFonts w:ascii="Belleza" w:hAnsi="Belleza"/>
          <w:color w:val="000000"/>
          <w:position w:val="0"/>
          <w:sz w:val="22"/>
          <w:szCs w:val="22"/>
          <w:bdr w:val="none" w:sz="0" w:space="0" w:color="auto" w:frame="1"/>
          <w:lang w:eastAsia="en-GB"/>
        </w:rPr>
        <w:instrText xml:space="preserve"> INCLUDEPICTURE "https://lh7-us.googleusercontent.com/J3pzw2TCjs9VjO8KGEOTKmdTZn8HBAU1rIWsVkMd0zy_pVvmy0Z4R_pNTqAx-nPdApok24Yo4vxuOq6VCBS8zmHHXSax1UoFz5_O3viOOmT8Sgt2-2R16jFajGWD1wcjT_br8W45aVGh" \* MERGEFORMATINET </w:instrText>
      </w:r>
      <w:r w:rsidRPr="00621D77">
        <w:rPr>
          <w:rFonts w:ascii="Belleza" w:hAnsi="Belleza"/>
          <w:color w:val="000000"/>
          <w:position w:val="0"/>
          <w:sz w:val="22"/>
          <w:szCs w:val="22"/>
          <w:bdr w:val="none" w:sz="0" w:space="0" w:color="auto" w:frame="1"/>
          <w:lang w:eastAsia="en-GB"/>
        </w:rPr>
        <w:fldChar w:fldCharType="separate"/>
      </w:r>
      <w:r w:rsidRPr="00621D77">
        <w:rPr>
          <w:rFonts w:ascii="Belleza" w:hAnsi="Belleza"/>
          <w:noProof/>
          <w:color w:val="000000"/>
          <w:position w:val="0"/>
          <w:sz w:val="22"/>
          <w:szCs w:val="22"/>
          <w:bdr w:val="none" w:sz="0" w:space="0" w:color="auto" w:frame="1"/>
          <w:lang w:eastAsia="en-GB"/>
        </w:rPr>
        <w:drawing>
          <wp:inline distT="0" distB="0" distL="0" distR="0" wp14:anchorId="1A7E712A" wp14:editId="3D67C29E">
            <wp:extent cx="1225009" cy="1083945"/>
            <wp:effectExtent l="0" t="0" r="0" b="0"/>
            <wp:docPr id="12078095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61541" cy="1116270"/>
                    </a:xfrm>
                    <a:prstGeom prst="rect">
                      <a:avLst/>
                    </a:prstGeom>
                    <a:noFill/>
                    <a:ln>
                      <a:noFill/>
                    </a:ln>
                  </pic:spPr>
                </pic:pic>
              </a:graphicData>
            </a:graphic>
          </wp:inline>
        </w:drawing>
      </w:r>
      <w:r w:rsidRPr="00621D77">
        <w:rPr>
          <w:rFonts w:ascii="Belleza" w:hAnsi="Belleza"/>
          <w:color w:val="000000"/>
          <w:position w:val="0"/>
          <w:sz w:val="22"/>
          <w:szCs w:val="22"/>
          <w:bdr w:val="none" w:sz="0" w:space="0" w:color="auto" w:frame="1"/>
          <w:lang w:eastAsia="en-GB"/>
        </w:rPr>
        <w:fldChar w:fldCharType="end"/>
      </w:r>
      <w:r w:rsidR="007D5CD3">
        <w:rPr>
          <w:rFonts w:ascii="Belleza" w:hAnsi="Belleza"/>
          <w:color w:val="000000"/>
          <w:position w:val="0"/>
          <w:sz w:val="22"/>
          <w:szCs w:val="22"/>
          <w:bdr w:val="none" w:sz="0" w:space="0" w:color="auto" w:frame="1"/>
          <w:lang w:val="en-US" w:eastAsia="en-GB"/>
        </w:rPr>
        <w:t xml:space="preserve">  </w:t>
      </w:r>
      <w:r w:rsidR="00B91FB3">
        <w:rPr>
          <w:rFonts w:ascii="Belleza" w:hAnsi="Belleza"/>
          <w:color w:val="000000"/>
          <w:position w:val="0"/>
          <w:sz w:val="22"/>
          <w:szCs w:val="22"/>
          <w:bdr w:val="none" w:sz="0" w:space="0" w:color="auto" w:frame="1"/>
          <w:lang w:val="en-US" w:eastAsia="en-GB"/>
        </w:rPr>
        <w:t xml:space="preserve"> </w:t>
      </w:r>
      <w:r w:rsidRPr="00621D77">
        <w:rPr>
          <w:rFonts w:ascii="Belleza" w:hAnsi="Belleza"/>
          <w:color w:val="000000"/>
          <w:position w:val="0"/>
          <w:sz w:val="22"/>
          <w:szCs w:val="22"/>
          <w:lang w:eastAsia="en-GB"/>
        </w:rPr>
        <w:t xml:space="preserve">  </w:t>
      </w:r>
      <w:r w:rsidR="006177E8">
        <w:rPr>
          <w:rFonts w:ascii="Belleza" w:hAnsi="Belleza"/>
          <w:color w:val="000000"/>
          <w:position w:val="0"/>
          <w:sz w:val="22"/>
          <w:szCs w:val="22"/>
          <w:lang w:val="en-US" w:eastAsia="en-GB"/>
        </w:rPr>
        <w:t xml:space="preserve"> </w:t>
      </w:r>
      <w:r w:rsidR="006177E8" w:rsidRPr="00621D77">
        <w:rPr>
          <w:rFonts w:ascii="Belleza" w:hAnsi="Belleza"/>
          <w:color w:val="000000"/>
          <w:position w:val="0"/>
          <w:sz w:val="22"/>
          <w:szCs w:val="22"/>
          <w:bdr w:val="none" w:sz="0" w:space="0" w:color="auto" w:frame="1"/>
          <w:lang w:eastAsia="en-GB"/>
        </w:rPr>
        <w:fldChar w:fldCharType="begin"/>
      </w:r>
      <w:r w:rsidR="006177E8" w:rsidRPr="00621D77">
        <w:rPr>
          <w:rFonts w:ascii="Belleza" w:hAnsi="Belleza"/>
          <w:color w:val="000000"/>
          <w:position w:val="0"/>
          <w:sz w:val="22"/>
          <w:szCs w:val="22"/>
          <w:bdr w:val="none" w:sz="0" w:space="0" w:color="auto" w:frame="1"/>
          <w:lang w:eastAsia="en-GB"/>
        </w:rPr>
        <w:instrText xml:space="preserve"> INCLUDEPICTURE "https://lh7-us.googleusercontent.com/_Pwvlb2rSxurJV0TWRzi8kATeKV6Ad018bG8M3Hf6jRI68-mqONk1sFywPC-UjhLG74RbyNVbJX23iejGL1t2PU8yfN9kXbwOJBRS-4twX2PFGWIoyEm2h7PSXc4__dap2FhcyEX236w" \* MERGEFORMATINET </w:instrText>
      </w:r>
      <w:r w:rsidR="006177E8" w:rsidRPr="00621D77">
        <w:rPr>
          <w:rFonts w:ascii="Belleza" w:hAnsi="Belleza"/>
          <w:color w:val="000000"/>
          <w:position w:val="0"/>
          <w:sz w:val="22"/>
          <w:szCs w:val="22"/>
          <w:bdr w:val="none" w:sz="0" w:space="0" w:color="auto" w:frame="1"/>
          <w:lang w:eastAsia="en-GB"/>
        </w:rPr>
        <w:fldChar w:fldCharType="separate"/>
      </w:r>
      <w:r w:rsidR="006177E8" w:rsidRPr="00621D77">
        <w:rPr>
          <w:rFonts w:ascii="Belleza" w:hAnsi="Belleza"/>
          <w:noProof/>
          <w:color w:val="000000"/>
          <w:position w:val="0"/>
          <w:sz w:val="22"/>
          <w:szCs w:val="22"/>
          <w:bdr w:val="none" w:sz="0" w:space="0" w:color="auto" w:frame="1"/>
          <w:lang w:eastAsia="en-GB"/>
        </w:rPr>
        <w:drawing>
          <wp:inline distT="0" distB="0" distL="0" distR="0" wp14:anchorId="27CB7E1A" wp14:editId="341DA756">
            <wp:extent cx="1574462" cy="1313484"/>
            <wp:effectExtent l="0" t="0" r="635" b="0"/>
            <wp:docPr id="14618143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05445" cy="1339331"/>
                    </a:xfrm>
                    <a:prstGeom prst="rect">
                      <a:avLst/>
                    </a:prstGeom>
                    <a:noFill/>
                    <a:ln>
                      <a:noFill/>
                    </a:ln>
                  </pic:spPr>
                </pic:pic>
              </a:graphicData>
            </a:graphic>
          </wp:inline>
        </w:drawing>
      </w:r>
      <w:r w:rsidR="006177E8" w:rsidRPr="00621D77">
        <w:rPr>
          <w:rFonts w:ascii="Belleza" w:hAnsi="Belleza"/>
          <w:color w:val="000000"/>
          <w:position w:val="0"/>
          <w:sz w:val="22"/>
          <w:szCs w:val="22"/>
          <w:bdr w:val="none" w:sz="0" w:space="0" w:color="auto" w:frame="1"/>
          <w:lang w:eastAsia="en-GB"/>
        </w:rPr>
        <w:fldChar w:fldCharType="end"/>
      </w:r>
      <w:r w:rsidR="006177E8">
        <w:rPr>
          <w:rFonts w:ascii="Belleza" w:hAnsi="Belleza"/>
          <w:color w:val="000000"/>
          <w:position w:val="0"/>
          <w:sz w:val="22"/>
          <w:szCs w:val="22"/>
          <w:bdr w:val="none" w:sz="0" w:space="0" w:color="auto" w:frame="1"/>
          <w:lang w:val="en-US" w:eastAsia="en-GB"/>
        </w:rPr>
        <w:t xml:space="preserve"> </w:t>
      </w:r>
      <w:r w:rsidR="00B91FB3">
        <w:rPr>
          <w:rFonts w:ascii="Belleza" w:hAnsi="Belleza"/>
          <w:color w:val="000000"/>
          <w:position w:val="0"/>
          <w:sz w:val="22"/>
          <w:szCs w:val="22"/>
          <w:bdr w:val="none" w:sz="0" w:space="0" w:color="auto" w:frame="1"/>
          <w:lang w:val="en-US" w:eastAsia="en-GB"/>
        </w:rPr>
        <w:t xml:space="preserve">  </w:t>
      </w:r>
      <w:r w:rsidR="007D5CD3">
        <w:rPr>
          <w:rFonts w:ascii="Belleza" w:hAnsi="Belleza"/>
          <w:color w:val="000000"/>
          <w:position w:val="0"/>
          <w:sz w:val="22"/>
          <w:szCs w:val="22"/>
          <w:bdr w:val="none" w:sz="0" w:space="0" w:color="auto" w:frame="1"/>
          <w:lang w:val="en-US" w:eastAsia="en-GB"/>
        </w:rPr>
        <w:t xml:space="preserve">    </w:t>
      </w:r>
      <w:r w:rsidR="00C25FF8">
        <w:rPr>
          <w:rFonts w:ascii="Belleza" w:hAnsi="Belleza"/>
          <w:noProof/>
          <w:color w:val="000000"/>
          <w:position w:val="0"/>
          <w:sz w:val="22"/>
          <w:szCs w:val="22"/>
          <w:bdr w:val="none" w:sz="0" w:space="0" w:color="auto" w:frame="1"/>
          <w:lang w:eastAsia="en-GB"/>
        </w:rPr>
        <w:drawing>
          <wp:inline distT="0" distB="0" distL="0" distR="0" wp14:anchorId="43E2B3AE" wp14:editId="46C6E275">
            <wp:extent cx="802398" cy="1087120"/>
            <wp:effectExtent l="0" t="0" r="0" b="5080"/>
            <wp:docPr id="166436233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362334" name="Picture 1664362334"/>
                    <pic:cNvPicPr/>
                  </pic:nvPicPr>
                  <pic:blipFill>
                    <a:blip r:embed="rId10">
                      <a:extLst>
                        <a:ext uri="{28A0092B-C50C-407E-A947-70E740481C1C}">
                          <a14:useLocalDpi xmlns:a14="http://schemas.microsoft.com/office/drawing/2010/main" val="0"/>
                        </a:ext>
                      </a:extLst>
                    </a:blip>
                    <a:stretch>
                      <a:fillRect/>
                    </a:stretch>
                  </pic:blipFill>
                  <pic:spPr>
                    <a:xfrm>
                      <a:off x="0" y="0"/>
                      <a:ext cx="826422" cy="1119668"/>
                    </a:xfrm>
                    <a:prstGeom prst="rect">
                      <a:avLst/>
                    </a:prstGeom>
                  </pic:spPr>
                </pic:pic>
              </a:graphicData>
            </a:graphic>
          </wp:inline>
        </w:drawing>
      </w:r>
      <w:r w:rsidR="00B91FB3">
        <w:rPr>
          <w:rFonts w:ascii="Belleza" w:hAnsi="Belleza"/>
          <w:color w:val="000000"/>
          <w:position w:val="0"/>
          <w:sz w:val="22"/>
          <w:szCs w:val="22"/>
          <w:bdr w:val="none" w:sz="0" w:space="0" w:color="auto" w:frame="1"/>
          <w:lang w:val="en-US" w:eastAsia="en-GB"/>
        </w:rPr>
        <w:t xml:space="preserve">  </w:t>
      </w:r>
      <w:r w:rsidR="00C25FF8">
        <w:rPr>
          <w:rFonts w:ascii="Belleza" w:hAnsi="Belleza"/>
          <w:color w:val="000000"/>
          <w:position w:val="0"/>
          <w:sz w:val="22"/>
          <w:szCs w:val="22"/>
          <w:bdr w:val="none" w:sz="0" w:space="0" w:color="auto" w:frame="1"/>
          <w:lang w:val="en-US" w:eastAsia="en-GB"/>
        </w:rPr>
        <w:t xml:space="preserve"> </w:t>
      </w:r>
      <w:r w:rsidR="007D5CD3">
        <w:rPr>
          <w:rFonts w:ascii="Belleza" w:hAnsi="Belleza"/>
          <w:color w:val="000000"/>
          <w:position w:val="0"/>
          <w:sz w:val="22"/>
          <w:szCs w:val="22"/>
          <w:bdr w:val="none" w:sz="0" w:space="0" w:color="auto" w:frame="1"/>
          <w:lang w:val="en-US" w:eastAsia="en-GB"/>
        </w:rPr>
        <w:t xml:space="preserve"> </w:t>
      </w:r>
      <w:r w:rsidR="00C25FF8" w:rsidRPr="00621D77">
        <w:rPr>
          <w:rFonts w:ascii="Belleza" w:hAnsi="Belleza"/>
          <w:color w:val="000000"/>
          <w:position w:val="0"/>
          <w:sz w:val="22"/>
          <w:szCs w:val="22"/>
          <w:bdr w:val="none" w:sz="0" w:space="0" w:color="auto" w:frame="1"/>
          <w:lang w:eastAsia="en-GB"/>
        </w:rPr>
        <w:fldChar w:fldCharType="begin"/>
      </w:r>
      <w:r w:rsidR="00C25FF8" w:rsidRPr="00621D77">
        <w:rPr>
          <w:rFonts w:ascii="Belleza" w:hAnsi="Belleza"/>
          <w:color w:val="000000"/>
          <w:position w:val="0"/>
          <w:sz w:val="22"/>
          <w:szCs w:val="22"/>
          <w:bdr w:val="none" w:sz="0" w:space="0" w:color="auto" w:frame="1"/>
          <w:lang w:eastAsia="en-GB"/>
        </w:rPr>
        <w:instrText xml:space="preserve"> INCLUDEPICTURE "https://lh7-us.googleusercontent.com/ChxXk4I66sJpsq383XfdsOhepgjhGe2RrVCoSnl2m1OgxjNhH9aTYIpbXvy6jFT4Cxgo-VTc3nzOXsEKwZNxL5hxEoFRg9VCxUkv9P8y5BS4KGt5B9auCNSdvpLTdmnmsT3wrZFsYMSk" \* MERGEFORMATINET </w:instrText>
      </w:r>
      <w:r w:rsidR="00C25FF8" w:rsidRPr="00621D77">
        <w:rPr>
          <w:rFonts w:ascii="Belleza" w:hAnsi="Belleza"/>
          <w:color w:val="000000"/>
          <w:position w:val="0"/>
          <w:sz w:val="22"/>
          <w:szCs w:val="22"/>
          <w:bdr w:val="none" w:sz="0" w:space="0" w:color="auto" w:frame="1"/>
          <w:lang w:eastAsia="en-GB"/>
        </w:rPr>
        <w:fldChar w:fldCharType="separate"/>
      </w:r>
      <w:r w:rsidR="00C25FF8" w:rsidRPr="00621D77">
        <w:rPr>
          <w:rFonts w:ascii="Belleza" w:hAnsi="Belleza"/>
          <w:noProof/>
          <w:color w:val="000000"/>
          <w:position w:val="0"/>
          <w:sz w:val="22"/>
          <w:szCs w:val="22"/>
          <w:bdr w:val="none" w:sz="0" w:space="0" w:color="auto" w:frame="1"/>
          <w:lang w:eastAsia="en-GB"/>
        </w:rPr>
        <w:drawing>
          <wp:inline distT="0" distB="0" distL="0" distR="0" wp14:anchorId="211079EB" wp14:editId="677CFC00">
            <wp:extent cx="1016000" cy="1016000"/>
            <wp:effectExtent l="0" t="0" r="0" b="0"/>
            <wp:docPr id="4604915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40688" cy="1040688"/>
                    </a:xfrm>
                    <a:prstGeom prst="rect">
                      <a:avLst/>
                    </a:prstGeom>
                    <a:noFill/>
                    <a:ln>
                      <a:noFill/>
                    </a:ln>
                  </pic:spPr>
                </pic:pic>
              </a:graphicData>
            </a:graphic>
          </wp:inline>
        </w:drawing>
      </w:r>
      <w:r w:rsidR="00C25FF8" w:rsidRPr="00621D77">
        <w:rPr>
          <w:rFonts w:ascii="Belleza" w:hAnsi="Belleza"/>
          <w:color w:val="000000"/>
          <w:position w:val="0"/>
          <w:sz w:val="22"/>
          <w:szCs w:val="22"/>
          <w:bdr w:val="none" w:sz="0" w:space="0" w:color="auto" w:frame="1"/>
          <w:lang w:eastAsia="en-GB"/>
        </w:rPr>
        <w:fldChar w:fldCharType="end"/>
      </w:r>
    </w:p>
    <w:p w14:paraId="0E05DCA1" w14:textId="77777777" w:rsidR="007D5CD3" w:rsidRDefault="007D5CD3" w:rsidP="00C25FF8">
      <w:pPr>
        <w:suppressAutoHyphens w:val="0"/>
        <w:spacing w:line="240" w:lineRule="auto"/>
        <w:ind w:leftChars="0" w:left="0" w:firstLineChars="0" w:firstLine="0"/>
        <w:jc w:val="center"/>
        <w:textDirection w:val="lrTb"/>
        <w:textAlignment w:val="auto"/>
        <w:outlineLvl w:val="9"/>
        <w:rPr>
          <w:rFonts w:ascii="Belleza" w:hAnsi="Belleza"/>
          <w:color w:val="000000"/>
          <w:position w:val="0"/>
          <w:sz w:val="22"/>
          <w:szCs w:val="22"/>
          <w:bdr w:val="none" w:sz="0" w:space="0" w:color="auto" w:frame="1"/>
          <w:lang w:val="en-US" w:eastAsia="en-GB"/>
        </w:rPr>
      </w:pPr>
    </w:p>
    <w:p w14:paraId="5E4A8B91" w14:textId="21FB5706" w:rsidR="00621D77" w:rsidRPr="00621D77" w:rsidRDefault="006177E8" w:rsidP="00621D77">
      <w:pPr>
        <w:suppressAutoHyphens w:val="0"/>
        <w:spacing w:line="240" w:lineRule="auto"/>
        <w:ind w:leftChars="0" w:left="0" w:firstLineChars="0" w:firstLine="0"/>
        <w:jc w:val="center"/>
        <w:textDirection w:val="lrTb"/>
        <w:textAlignment w:val="auto"/>
        <w:outlineLvl w:val="9"/>
        <w:rPr>
          <w:color w:val="000000"/>
          <w:position w:val="0"/>
          <w:lang w:eastAsia="en-GB"/>
        </w:rPr>
      </w:pPr>
      <w:r>
        <w:rPr>
          <w:rFonts w:ascii="Belleza" w:hAnsi="Belleza"/>
          <w:color w:val="000000"/>
          <w:position w:val="0"/>
          <w:sz w:val="22"/>
          <w:szCs w:val="22"/>
          <w:bdr w:val="none" w:sz="0" w:space="0" w:color="auto" w:frame="1"/>
          <w:lang w:val="en-US" w:eastAsia="en-GB"/>
        </w:rPr>
        <w:t xml:space="preserve"> </w:t>
      </w:r>
      <w:r w:rsidR="007D5CD3">
        <w:rPr>
          <w:rFonts w:ascii="Belleza" w:hAnsi="Belleza"/>
          <w:noProof/>
          <w:color w:val="000000"/>
          <w:position w:val="0"/>
          <w:sz w:val="22"/>
          <w:szCs w:val="22"/>
          <w:bdr w:val="none" w:sz="0" w:space="0" w:color="auto" w:frame="1"/>
          <w:lang w:val="en-US" w:eastAsia="en-GB"/>
        </w:rPr>
        <w:drawing>
          <wp:inline distT="0" distB="0" distL="0" distR="0" wp14:anchorId="4492A1A4" wp14:editId="27846477">
            <wp:extent cx="1808480" cy="41949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for website.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40632" cy="426951"/>
                    </a:xfrm>
                    <a:prstGeom prst="rect">
                      <a:avLst/>
                    </a:prstGeom>
                  </pic:spPr>
                </pic:pic>
              </a:graphicData>
            </a:graphic>
          </wp:inline>
        </w:drawing>
      </w:r>
      <w:r w:rsidR="00B91FB3">
        <w:rPr>
          <w:rFonts w:ascii="Belleza" w:hAnsi="Belleza"/>
          <w:color w:val="000000"/>
          <w:position w:val="0"/>
          <w:sz w:val="22"/>
          <w:szCs w:val="22"/>
          <w:bdr w:val="none" w:sz="0" w:space="0" w:color="auto" w:frame="1"/>
          <w:lang w:val="en-US" w:eastAsia="en-GB"/>
        </w:rPr>
        <w:t xml:space="preserve">   </w:t>
      </w:r>
      <w:r>
        <w:rPr>
          <w:rFonts w:ascii="Belleza" w:hAnsi="Belleza"/>
          <w:color w:val="000000"/>
          <w:position w:val="0"/>
          <w:sz w:val="22"/>
          <w:szCs w:val="22"/>
          <w:bdr w:val="none" w:sz="0" w:space="0" w:color="auto" w:frame="1"/>
          <w:lang w:val="en-US" w:eastAsia="en-GB"/>
        </w:rPr>
        <w:t xml:space="preserve">  </w:t>
      </w:r>
      <w:r w:rsidRPr="00621D77">
        <w:rPr>
          <w:rFonts w:ascii="Belleza" w:hAnsi="Belleza"/>
          <w:color w:val="000000"/>
          <w:position w:val="0"/>
          <w:sz w:val="22"/>
          <w:szCs w:val="22"/>
          <w:bdr w:val="none" w:sz="0" w:space="0" w:color="auto" w:frame="1"/>
          <w:lang w:eastAsia="en-GB"/>
        </w:rPr>
        <w:fldChar w:fldCharType="begin"/>
      </w:r>
      <w:r w:rsidRPr="00621D77">
        <w:rPr>
          <w:rFonts w:ascii="Belleza" w:hAnsi="Belleza"/>
          <w:color w:val="000000"/>
          <w:position w:val="0"/>
          <w:sz w:val="22"/>
          <w:szCs w:val="22"/>
          <w:bdr w:val="none" w:sz="0" w:space="0" w:color="auto" w:frame="1"/>
          <w:lang w:eastAsia="en-GB"/>
        </w:rPr>
        <w:instrText xml:space="preserve"> INCLUDEPICTURE "https://lh7-us.googleusercontent.com/5tArB1qANgPFWw9vG-5oxhMB6a5MBZNEYTMLmut5ag8F634zTX5GQyid5YkzS5Z5BQMe7kbWvCqmoNu0Bg5ee6Xo6YyVKn0ScDXF4EC4TKq4fJn-jBp-j9y0Vx5_lTpvNREOKwCJkcpN" \* MERGEFORMATINET </w:instrText>
      </w:r>
      <w:r w:rsidRPr="00621D77">
        <w:rPr>
          <w:rFonts w:ascii="Belleza" w:hAnsi="Belleza"/>
          <w:color w:val="000000"/>
          <w:position w:val="0"/>
          <w:sz w:val="22"/>
          <w:szCs w:val="22"/>
          <w:bdr w:val="none" w:sz="0" w:space="0" w:color="auto" w:frame="1"/>
          <w:lang w:eastAsia="en-GB"/>
        </w:rPr>
        <w:fldChar w:fldCharType="separate"/>
      </w:r>
      <w:r w:rsidRPr="00621D77">
        <w:rPr>
          <w:rFonts w:ascii="Belleza" w:hAnsi="Belleza"/>
          <w:noProof/>
          <w:color w:val="000000"/>
          <w:position w:val="0"/>
          <w:sz w:val="22"/>
          <w:szCs w:val="22"/>
          <w:bdr w:val="none" w:sz="0" w:space="0" w:color="auto" w:frame="1"/>
          <w:lang w:eastAsia="en-GB"/>
        </w:rPr>
        <w:drawing>
          <wp:inline distT="0" distB="0" distL="0" distR="0" wp14:anchorId="53DFF75D" wp14:editId="357DDFC8">
            <wp:extent cx="1998470" cy="541233"/>
            <wp:effectExtent l="0" t="0" r="0" b="5080"/>
            <wp:docPr id="1067037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10199" cy="571492"/>
                    </a:xfrm>
                    <a:prstGeom prst="rect">
                      <a:avLst/>
                    </a:prstGeom>
                    <a:noFill/>
                    <a:ln>
                      <a:noFill/>
                    </a:ln>
                  </pic:spPr>
                </pic:pic>
              </a:graphicData>
            </a:graphic>
          </wp:inline>
        </w:drawing>
      </w:r>
      <w:r w:rsidRPr="00621D77">
        <w:rPr>
          <w:rFonts w:ascii="Belleza" w:hAnsi="Belleza"/>
          <w:color w:val="000000"/>
          <w:position w:val="0"/>
          <w:sz w:val="22"/>
          <w:szCs w:val="22"/>
          <w:bdr w:val="none" w:sz="0" w:space="0" w:color="auto" w:frame="1"/>
          <w:lang w:eastAsia="en-GB"/>
        </w:rPr>
        <w:fldChar w:fldCharType="end"/>
      </w:r>
    </w:p>
    <w:p w14:paraId="6CD932E8" w14:textId="11EDB208" w:rsidR="00621D77" w:rsidRDefault="00621D77" w:rsidP="00621D77">
      <w:pPr>
        <w:suppressAutoHyphens w:val="0"/>
        <w:spacing w:line="240" w:lineRule="auto"/>
        <w:ind w:leftChars="0" w:left="0" w:firstLineChars="0" w:firstLine="0"/>
        <w:jc w:val="center"/>
        <w:textDirection w:val="lrTb"/>
        <w:textAlignment w:val="auto"/>
        <w:outlineLvl w:val="9"/>
        <w:rPr>
          <w:color w:val="000000"/>
          <w:position w:val="0"/>
          <w:lang w:eastAsia="en-GB"/>
        </w:rPr>
      </w:pPr>
    </w:p>
    <w:p w14:paraId="66D39074" w14:textId="77777777" w:rsidR="007D5CD3" w:rsidRPr="00621D77" w:rsidRDefault="007D5CD3" w:rsidP="00621D77">
      <w:pPr>
        <w:suppressAutoHyphens w:val="0"/>
        <w:spacing w:line="240" w:lineRule="auto"/>
        <w:ind w:leftChars="0" w:left="0" w:firstLineChars="0" w:firstLine="0"/>
        <w:jc w:val="center"/>
        <w:textDirection w:val="lrTb"/>
        <w:textAlignment w:val="auto"/>
        <w:outlineLvl w:val="9"/>
        <w:rPr>
          <w:color w:val="000000"/>
          <w:position w:val="0"/>
          <w:lang w:eastAsia="en-GB"/>
        </w:rPr>
      </w:pPr>
    </w:p>
    <w:p w14:paraId="6382EA70" w14:textId="77777777" w:rsidR="00621D77" w:rsidRPr="00621D77" w:rsidRDefault="00621D77" w:rsidP="00621D77">
      <w:pPr>
        <w:suppressAutoHyphens w:val="0"/>
        <w:spacing w:line="240" w:lineRule="auto"/>
        <w:ind w:leftChars="0" w:left="0" w:firstLineChars="0" w:firstLine="0"/>
        <w:textDirection w:val="lrTb"/>
        <w:textAlignment w:val="auto"/>
        <w:outlineLvl w:val="9"/>
        <w:rPr>
          <w:color w:val="000000"/>
          <w:position w:val="0"/>
          <w:lang w:eastAsia="en-GB"/>
        </w:rPr>
      </w:pPr>
    </w:p>
    <w:p w14:paraId="3068A3C7" w14:textId="77777777" w:rsidR="00621D77" w:rsidRPr="00621D77" w:rsidRDefault="00621D77" w:rsidP="00621D77">
      <w:pPr>
        <w:suppressAutoHyphens w:val="0"/>
        <w:spacing w:line="240" w:lineRule="auto"/>
        <w:ind w:leftChars="0" w:left="0" w:firstLineChars="0" w:firstLine="0"/>
        <w:jc w:val="center"/>
        <w:textDirection w:val="lrTb"/>
        <w:textAlignment w:val="auto"/>
        <w:outlineLvl w:val="9"/>
        <w:rPr>
          <w:color w:val="000000"/>
          <w:position w:val="0"/>
          <w:lang w:eastAsia="en-GB"/>
        </w:rPr>
      </w:pPr>
      <w:r w:rsidRPr="00621D77">
        <w:rPr>
          <w:rFonts w:ascii="Arial" w:hAnsi="Arial" w:cs="Arial"/>
          <w:b/>
          <w:bCs/>
          <w:color w:val="000000"/>
          <w:position w:val="0"/>
          <w:lang w:eastAsia="en-GB"/>
        </w:rPr>
        <w:t>ALTERNATIVE REPORT ON THE IMPLEMENTATION OF INTERNATIONAL COVENANT ON CIVIL AND POLITICAL RIGHTS</w:t>
      </w:r>
    </w:p>
    <w:p w14:paraId="395FE202" w14:textId="77777777" w:rsidR="00621D77" w:rsidRPr="00621D77" w:rsidRDefault="00621D77" w:rsidP="00621D77">
      <w:pPr>
        <w:suppressAutoHyphens w:val="0"/>
        <w:spacing w:line="240" w:lineRule="auto"/>
        <w:ind w:leftChars="0" w:left="0" w:firstLineChars="0" w:firstLine="0"/>
        <w:textDirection w:val="lrTb"/>
        <w:textAlignment w:val="auto"/>
        <w:outlineLvl w:val="9"/>
        <w:rPr>
          <w:color w:val="000000"/>
          <w:position w:val="0"/>
          <w:lang w:eastAsia="en-GB"/>
        </w:rPr>
      </w:pPr>
    </w:p>
    <w:p w14:paraId="2E6E42F7" w14:textId="77777777" w:rsidR="00621D77" w:rsidRPr="00621D77" w:rsidRDefault="00621D77" w:rsidP="00621D77">
      <w:pPr>
        <w:suppressAutoHyphens w:val="0"/>
        <w:spacing w:line="240" w:lineRule="auto"/>
        <w:ind w:leftChars="0" w:left="0" w:firstLineChars="0" w:firstLine="0"/>
        <w:jc w:val="center"/>
        <w:textDirection w:val="lrTb"/>
        <w:textAlignment w:val="auto"/>
        <w:outlineLvl w:val="9"/>
        <w:rPr>
          <w:color w:val="000000"/>
          <w:position w:val="0"/>
          <w:lang w:eastAsia="en-GB"/>
        </w:rPr>
      </w:pPr>
      <w:r w:rsidRPr="00621D77">
        <w:rPr>
          <w:rFonts w:ascii="Arial" w:hAnsi="Arial" w:cs="Arial"/>
          <w:b/>
          <w:bCs/>
          <w:color w:val="000000"/>
          <w:position w:val="0"/>
          <w:lang w:eastAsia="en-GB"/>
        </w:rPr>
        <w:t>SUNDAY, 02 JUNE 2024</w:t>
      </w:r>
    </w:p>
    <w:p w14:paraId="570BC835" w14:textId="77777777" w:rsidR="00621D77" w:rsidRPr="00621D77" w:rsidRDefault="00621D77" w:rsidP="00621D77">
      <w:pPr>
        <w:pBdr>
          <w:bottom w:val="single" w:sz="12" w:space="1" w:color="000000"/>
        </w:pBdr>
        <w:suppressAutoHyphens w:val="0"/>
        <w:spacing w:line="240" w:lineRule="auto"/>
        <w:ind w:leftChars="0" w:left="0" w:firstLineChars="0" w:firstLine="0"/>
        <w:textDirection w:val="lrTb"/>
        <w:textAlignment w:val="auto"/>
        <w:outlineLvl w:val="9"/>
        <w:rPr>
          <w:color w:val="000000"/>
          <w:position w:val="0"/>
          <w:lang w:eastAsia="en-GB"/>
        </w:rPr>
      </w:pPr>
    </w:p>
    <w:p w14:paraId="24EE4D0B" w14:textId="77777777" w:rsidR="006177E8" w:rsidRDefault="006177E8" w:rsidP="00621D77">
      <w:pPr>
        <w:suppressAutoHyphens w:val="0"/>
        <w:spacing w:line="240" w:lineRule="auto"/>
        <w:ind w:leftChars="0" w:left="0" w:firstLineChars="0" w:firstLine="0"/>
        <w:textDirection w:val="lrTb"/>
        <w:textAlignment w:val="auto"/>
        <w:outlineLvl w:val="9"/>
        <w:rPr>
          <w:color w:val="000000"/>
          <w:position w:val="0"/>
          <w:lang w:eastAsia="en-GB"/>
        </w:rPr>
      </w:pPr>
    </w:p>
    <w:p w14:paraId="4DD2CCEC" w14:textId="61EB8F88" w:rsidR="00621D77" w:rsidRPr="00621D77" w:rsidRDefault="00621D77" w:rsidP="00621D77">
      <w:pPr>
        <w:suppressAutoHyphens w:val="0"/>
        <w:spacing w:line="240" w:lineRule="auto"/>
        <w:ind w:leftChars="0" w:left="0" w:firstLineChars="0" w:firstLine="0"/>
        <w:textDirection w:val="lrTb"/>
        <w:textAlignment w:val="auto"/>
        <w:outlineLvl w:val="9"/>
        <w:rPr>
          <w:color w:val="000000"/>
          <w:position w:val="0"/>
          <w:lang w:eastAsia="en-GB"/>
        </w:rPr>
      </w:pPr>
      <w:r w:rsidRPr="00621D77">
        <w:rPr>
          <w:b/>
          <w:bCs/>
          <w:color w:val="000000"/>
          <w:position w:val="0"/>
          <w:lang w:eastAsia="en-GB"/>
        </w:rPr>
        <w:t>Introduction</w:t>
      </w:r>
    </w:p>
    <w:p w14:paraId="2B0C47E3" w14:textId="650E6367" w:rsidR="00621D77" w:rsidRPr="00621D77" w:rsidRDefault="00621D77" w:rsidP="00621D77">
      <w:pPr>
        <w:suppressAutoHyphens w:val="0"/>
        <w:spacing w:line="240" w:lineRule="auto"/>
        <w:ind w:leftChars="0" w:left="0" w:firstLineChars="0" w:firstLine="0"/>
        <w:textDirection w:val="lrTb"/>
        <w:textAlignment w:val="auto"/>
        <w:outlineLvl w:val="9"/>
        <w:rPr>
          <w:color w:val="000000"/>
          <w:position w:val="0"/>
          <w:lang w:eastAsia="en-GB"/>
        </w:rPr>
      </w:pPr>
      <w:bookmarkStart w:id="0" w:name="_GoBack"/>
      <w:bookmarkEnd w:id="0"/>
    </w:p>
    <w:p w14:paraId="5C215A80" w14:textId="11E24D54" w:rsidR="006177E8" w:rsidRPr="006177E8"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177E8">
        <w:rPr>
          <w:color w:val="000000"/>
          <w:position w:val="0"/>
          <w:lang w:eastAsia="en-GB"/>
        </w:rPr>
        <w:t>This is a submission to the Human Rights Committee (HRC) on the review of Maldives on the implementation of International Covenant on Civil and Political Rights (ICCPR). This submission is prepared by the following civil society organisations registered in the Maldives.</w:t>
      </w:r>
    </w:p>
    <w:p w14:paraId="5462F832" w14:textId="77777777" w:rsidR="006177E8" w:rsidRPr="006177E8" w:rsidRDefault="006177E8" w:rsidP="006177E8">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538689BE" w14:textId="77777777" w:rsidR="006177E8" w:rsidRPr="006177E8"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b/>
          <w:bCs/>
          <w:color w:val="000000"/>
          <w:position w:val="0"/>
          <w:lang w:eastAsia="en-GB"/>
        </w:rPr>
        <w:t>Advocating the Rights of Children (ARC)</w:t>
      </w:r>
      <w:r w:rsidRPr="00621D77">
        <w:rPr>
          <w:color w:val="000000"/>
          <w:position w:val="0"/>
          <w:lang w:eastAsia="en-GB"/>
        </w:rPr>
        <w:t>: Advocating the Rights of Children (ARC) stands as a beacon of hope for the children of the Maldives. Established in December 2009, this non-governmental, non-partisan, and non-profit organisation is committed to safeguarding and promoting the rights and well-being of every child in the Maldives.</w:t>
      </w:r>
    </w:p>
    <w:p w14:paraId="6B5F2353" w14:textId="41CD3492" w:rsidR="006177E8" w:rsidRPr="006177E8" w:rsidRDefault="006177E8" w:rsidP="006177E8">
      <w:pPr>
        <w:pStyle w:val="ListParagraph"/>
        <w:suppressAutoHyphens w:val="0"/>
        <w:spacing w:line="240" w:lineRule="auto"/>
        <w:ind w:leftChars="0" w:left="360" w:firstLineChars="0" w:firstLine="0"/>
        <w:jc w:val="both"/>
        <w:textAlignment w:val="baseline"/>
        <w:outlineLvl w:val="9"/>
        <w:rPr>
          <w:color w:val="000000"/>
          <w:position w:val="0"/>
          <w:lang w:eastAsia="en-GB"/>
        </w:rPr>
      </w:pPr>
    </w:p>
    <w:p w14:paraId="47BE82B1" w14:textId="154357A8"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b/>
          <w:bCs/>
          <w:color w:val="000000"/>
          <w:position w:val="0"/>
          <w:lang w:eastAsia="en-GB"/>
        </w:rPr>
        <w:t>FANSA Maldives</w:t>
      </w:r>
      <w:r w:rsidRPr="00621D77">
        <w:rPr>
          <w:color w:val="000000"/>
          <w:position w:val="0"/>
          <w:lang w:eastAsia="en-GB"/>
        </w:rPr>
        <w:t>: FANSA Maldives is the national chapter of Freshwater Action Network South Asia (FANSA) launched on 15 December 2020 FANSA is a semi-formal network of organisations active in the WASH sector in South Asia. </w:t>
      </w:r>
    </w:p>
    <w:p w14:paraId="72A88981" w14:textId="4595C60B" w:rsidR="00621D77" w:rsidRPr="006177E8" w:rsidRDefault="00621D77" w:rsidP="006177E8">
      <w:pPr>
        <w:suppressAutoHyphens w:val="0"/>
        <w:spacing w:line="240" w:lineRule="auto"/>
        <w:ind w:leftChars="0" w:left="0" w:firstLineChars="0" w:firstLine="0"/>
        <w:jc w:val="both"/>
        <w:textDirection w:val="lrTb"/>
        <w:textAlignment w:val="baseline"/>
        <w:outlineLvl w:val="9"/>
        <w:rPr>
          <w:color w:val="000000"/>
          <w:position w:val="0"/>
          <w:lang w:eastAsia="en-GB"/>
        </w:rPr>
      </w:pPr>
    </w:p>
    <w:p w14:paraId="4303BF21" w14:textId="77777777" w:rsidR="006177E8"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b/>
          <w:bCs/>
          <w:color w:val="000000"/>
          <w:position w:val="0"/>
          <w:lang w:eastAsia="en-GB"/>
        </w:rPr>
        <w:t>Hope for Women (HFW)</w:t>
      </w:r>
      <w:r w:rsidRPr="00621D77">
        <w:rPr>
          <w:color w:val="000000"/>
          <w:position w:val="0"/>
          <w:lang w:eastAsia="en-GB"/>
        </w:rPr>
        <w:t xml:space="preserve">:  Hope for Women is a non-governmental organisation in the Maldives, registered in 2010, working towards ending all forms of violence against women and domestic violence, while also promoting gender equality and women’s participation in public life. At the moment HFW’s activities are mostly project-based with funding from few well-wishing individuals and organisations. However, it is exploring other avenues for resource mobilisation in order to sustain the functioning of the </w:t>
      </w:r>
      <w:r w:rsidRPr="00621D77">
        <w:rPr>
          <w:color w:val="000000"/>
          <w:position w:val="0"/>
          <w:lang w:eastAsia="en-GB"/>
        </w:rPr>
        <w:lastRenderedPageBreak/>
        <w:t>organisation and expand the scope of its work, in particular impacting public policy and improving outreach.</w:t>
      </w:r>
    </w:p>
    <w:p w14:paraId="69CE5369" w14:textId="37F25CBB" w:rsidR="00621D77" w:rsidRPr="006177E8" w:rsidRDefault="00621D77" w:rsidP="006177E8">
      <w:pPr>
        <w:tabs>
          <w:tab w:val="num" w:pos="0"/>
        </w:tabs>
        <w:suppressAutoHyphens w:val="0"/>
        <w:spacing w:line="240" w:lineRule="auto"/>
        <w:ind w:leftChars="0" w:left="0" w:firstLineChars="0" w:firstLine="0"/>
        <w:jc w:val="both"/>
        <w:textDirection w:val="lrTb"/>
        <w:textAlignment w:val="baseline"/>
        <w:outlineLvl w:val="9"/>
        <w:rPr>
          <w:color w:val="000000"/>
          <w:position w:val="0"/>
          <w:lang w:eastAsia="en-GB"/>
        </w:rPr>
      </w:pPr>
    </w:p>
    <w:p w14:paraId="2B62D14A" w14:textId="77777777"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b/>
          <w:bCs/>
          <w:color w:val="000000"/>
          <w:position w:val="0"/>
          <w:lang w:eastAsia="en-GB"/>
        </w:rPr>
        <w:t>Mental Health Support Group (MHSG)</w:t>
      </w:r>
      <w:r w:rsidRPr="00621D77">
        <w:rPr>
          <w:color w:val="000000"/>
          <w:position w:val="0"/>
          <w:lang w:eastAsia="en-GB"/>
        </w:rPr>
        <w:t>: MHSG is the only civil society organisation in Maldives that was founded and run by persons with mental health conditions and psychosocial disabilities. The organisation began as a peer-support network in 2018 and is now a registered CSO. MHSG works to protect and ensure rights, promote justice, improve accountability and reduce barriers to access to services for persons with mental health conditions and disabilities. including psychosocial disabilities.</w:t>
      </w:r>
    </w:p>
    <w:p w14:paraId="0903DE2D" w14:textId="67DC42C7" w:rsidR="00621D77" w:rsidRPr="00621D77" w:rsidRDefault="00621D77" w:rsidP="006177E8">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3152616A" w14:textId="7466D5ED" w:rsidR="006177E8" w:rsidRPr="006177E8"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b/>
          <w:bCs/>
          <w:color w:val="000000"/>
          <w:position w:val="0"/>
          <w:lang w:eastAsia="en-GB"/>
        </w:rPr>
        <w:t xml:space="preserve">Maldives Association of Persons with </w:t>
      </w:r>
      <w:r w:rsidR="006177E8" w:rsidRPr="006177E8">
        <w:rPr>
          <w:b/>
          <w:bCs/>
          <w:color w:val="000000"/>
          <w:position w:val="0"/>
          <w:lang w:val="en-US" w:eastAsia="en-GB"/>
        </w:rPr>
        <w:t>Disabilities</w:t>
      </w:r>
      <w:r w:rsidRPr="00621D77">
        <w:rPr>
          <w:b/>
          <w:bCs/>
          <w:color w:val="000000"/>
          <w:position w:val="0"/>
          <w:lang w:eastAsia="en-GB"/>
        </w:rPr>
        <w:t xml:space="preserve"> (MAPD)</w:t>
      </w:r>
      <w:r w:rsidRPr="00621D77">
        <w:rPr>
          <w:color w:val="000000"/>
          <w:position w:val="0"/>
          <w:lang w:eastAsia="en-GB"/>
        </w:rPr>
        <w:t>: MAPD is a DPO established in 2013, with the objectives of protecting the rights of persons with disabilities (PWDs) and empowering them to become productive citizens. Working to protect the rights of PWDs, and inclusive communities, MAPD’s mission is “Empowering PWDs through education, training and employment”, to become productive citizens. Additionally, MAPD advocates for equal opportunities in education, health, employment, accessibility, disability sports and training for them. MAPD’s main mandate is to serve cross disabilities nationally and internationally. Hence, MAPD works in partnership with government and other organizations of persons with disabilities (OPDs/DPOs) and civil society organisations (CSOs) to serve and protect the rights of PWDs. Developing an inclusive community through the 2030 Agenda for Sustainable Development Goals (SDGs) requires the government and all stakeholders to work hand in hand.</w:t>
      </w:r>
    </w:p>
    <w:p w14:paraId="643CB378" w14:textId="02705BB8" w:rsidR="00621D77" w:rsidRPr="006177E8" w:rsidRDefault="00621D77" w:rsidP="006177E8">
      <w:pPr>
        <w:suppressAutoHyphens w:val="0"/>
        <w:spacing w:line="240" w:lineRule="auto"/>
        <w:ind w:leftChars="0" w:left="0" w:firstLineChars="0" w:firstLine="0"/>
        <w:jc w:val="both"/>
        <w:textDirection w:val="lrTb"/>
        <w:textAlignment w:val="baseline"/>
        <w:outlineLvl w:val="9"/>
        <w:rPr>
          <w:color w:val="000000"/>
          <w:position w:val="0"/>
          <w:lang w:eastAsia="en-GB"/>
        </w:rPr>
      </w:pPr>
    </w:p>
    <w:p w14:paraId="562408DB" w14:textId="6050479B" w:rsidR="006177E8" w:rsidRPr="006177E8"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b/>
          <w:bCs/>
          <w:color w:val="000000"/>
          <w:position w:val="0"/>
          <w:lang w:eastAsia="en-GB"/>
        </w:rPr>
        <w:t>Water Care:</w:t>
      </w:r>
      <w:r w:rsidRPr="00621D77">
        <w:rPr>
          <w:color w:val="000000"/>
          <w:position w:val="0"/>
          <w:lang w:eastAsia="en-GB"/>
        </w:rPr>
        <w:t xml:space="preserve"> Water Care is a Maldivian Social Enterprise with the purpose of increasing research-based water awareness and conducting advocacy on water, sanitation &amp; hygiene.​</w:t>
      </w:r>
    </w:p>
    <w:p w14:paraId="1E19ADD2" w14:textId="37624193" w:rsidR="00621D77" w:rsidRPr="006177E8" w:rsidRDefault="00621D77" w:rsidP="006177E8">
      <w:pPr>
        <w:suppressAutoHyphens w:val="0"/>
        <w:spacing w:line="240" w:lineRule="auto"/>
        <w:ind w:leftChars="0" w:left="0" w:firstLineChars="0" w:firstLine="0"/>
        <w:jc w:val="both"/>
        <w:textDirection w:val="lrTb"/>
        <w:textAlignment w:val="baseline"/>
        <w:outlineLvl w:val="9"/>
        <w:rPr>
          <w:color w:val="000000"/>
          <w:position w:val="0"/>
          <w:lang w:eastAsia="en-GB"/>
        </w:rPr>
      </w:pPr>
    </w:p>
    <w:p w14:paraId="5A2E109A" w14:textId="77777777"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This submission is drafted focusing on the issues of concern for participating organisations, and as such is analysed through a lens of child protection, gender equality and rights of persons living with mental health conditions and disabilities. Submission also explores the civil and political rights that are linked to water, sanitation and hygiene (WASH). Where applicable the submission also highlights the plight of migrant workers although none of the participating CSOs directly work with migrant workers or is included in their mandates. </w:t>
      </w:r>
    </w:p>
    <w:p w14:paraId="343FD071" w14:textId="77777777" w:rsidR="00621D77" w:rsidRPr="00621D77" w:rsidRDefault="00621D77" w:rsidP="006177E8">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0F2C597E" w14:textId="77777777" w:rsidR="00621D77" w:rsidRPr="00621D77" w:rsidRDefault="00621D77" w:rsidP="00621D77">
      <w:pPr>
        <w:suppressAutoHyphens w:val="0"/>
        <w:spacing w:line="240" w:lineRule="auto"/>
        <w:ind w:leftChars="0" w:left="0" w:firstLineChars="0" w:firstLine="0"/>
        <w:jc w:val="both"/>
        <w:textDirection w:val="lrTb"/>
        <w:textAlignment w:val="auto"/>
        <w:outlineLvl w:val="9"/>
        <w:rPr>
          <w:color w:val="000000"/>
          <w:position w:val="0"/>
          <w:lang w:eastAsia="en-GB"/>
        </w:rPr>
      </w:pPr>
      <w:r w:rsidRPr="00621D77">
        <w:rPr>
          <w:b/>
          <w:bCs/>
          <w:color w:val="000000"/>
          <w:position w:val="0"/>
          <w:lang w:eastAsia="en-GB"/>
        </w:rPr>
        <w:t>Article 1: Self-determination </w:t>
      </w:r>
    </w:p>
    <w:p w14:paraId="3371F377" w14:textId="6C110F8F" w:rsidR="00621D77" w:rsidRPr="00621D77" w:rsidRDefault="00621D77" w:rsidP="00CD6E1D">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3595FB04" w14:textId="77777777"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PWDs generally find it challenging to have autonomy and control over their financial resources, including disability allowance and salary, violating their right to self-determination. It is common practice to have the disability allowance be credited to a joint account of the guardian and the PWD or in cases, just to the guardian. This applies to PWDs who do not have impairments that might limit their capacity for personal financial management as well. There are instances where OPDs/DPOs have threatened legal action against guardians on behalf of PWDs. </w:t>
      </w:r>
    </w:p>
    <w:p w14:paraId="55CB99AD" w14:textId="2C14BF08" w:rsidR="00621D77" w:rsidRPr="00621D77" w:rsidRDefault="00621D77" w:rsidP="00CD6E1D">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7ED357C9" w14:textId="77777777"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 xml:space="preserve">A person who uses a wheelchair stated that “I have been employed for over 7 years now, however, my salary and disability allowance get credited to a joint account which my father has control over. I only get access to a limited amount of money per week. My wallet </w:t>
      </w:r>
      <w:r w:rsidRPr="00621D77">
        <w:rPr>
          <w:color w:val="000000"/>
          <w:position w:val="0"/>
          <w:lang w:eastAsia="en-GB"/>
        </w:rPr>
        <w:lastRenderedPageBreak/>
        <w:t>gets checked whenever I come home after going out. I am an adult in my 30s, who is employed. I should be able to use my money however I want.”</w:t>
      </w:r>
    </w:p>
    <w:p w14:paraId="0CDBC756" w14:textId="32F155F9" w:rsidR="00621D77" w:rsidRPr="00621D77" w:rsidRDefault="00621D77" w:rsidP="00CD6E1D">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667AF7BF" w14:textId="77777777"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Control over personal finances is a key aspect of an individual's ability to freely pursue their economic and social development, especially for PWDs who face significant barriers to financial inclusion. </w:t>
      </w:r>
    </w:p>
    <w:p w14:paraId="167F3B7F" w14:textId="6F7BF08B" w:rsidR="00621D77" w:rsidRPr="00621D77" w:rsidRDefault="00621D77" w:rsidP="00CD6E1D">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2A1A3A33" w14:textId="77777777"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Further to the challenges already noted regarding the autonomy of PWDs over their financial resources, it is crucial to emphasise the need for legislative reform. The existing practices not only contravene Article 1 of the ICCPR, which guarantees the right to freely pursue economic development but also impede the social and economic inclusion of PWDs. </w:t>
      </w:r>
    </w:p>
    <w:p w14:paraId="4B377FCF" w14:textId="00C80274" w:rsidR="00621D77" w:rsidRPr="00621D77" w:rsidRDefault="00621D77" w:rsidP="00CD6E1D">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2B2EF467" w14:textId="77777777"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b/>
          <w:bCs/>
          <w:color w:val="000000"/>
          <w:position w:val="0"/>
          <w:lang w:eastAsia="en-GB"/>
        </w:rPr>
        <w:t>RECOMMENDATION</w:t>
      </w:r>
      <w:r w:rsidRPr="00621D77">
        <w:rPr>
          <w:color w:val="000000"/>
          <w:position w:val="0"/>
          <w:lang w:eastAsia="en-GB"/>
        </w:rPr>
        <w:t>: Maldives shall revise its guardianship laws to ensure that they align with the principles of self-determination and respect for autonomy under the UNCRPD.</w:t>
      </w:r>
    </w:p>
    <w:p w14:paraId="4362E2D8" w14:textId="77777777" w:rsidR="00621D77" w:rsidRPr="00621D77" w:rsidRDefault="00621D77" w:rsidP="00CD6E1D">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43A540A0" w14:textId="77777777" w:rsidR="00621D77" w:rsidRPr="00621D77" w:rsidRDefault="00621D77" w:rsidP="00621D77">
      <w:pPr>
        <w:suppressAutoHyphens w:val="0"/>
        <w:spacing w:line="240" w:lineRule="auto"/>
        <w:ind w:leftChars="0" w:left="0" w:firstLineChars="0" w:firstLine="0"/>
        <w:jc w:val="both"/>
        <w:textDirection w:val="lrTb"/>
        <w:textAlignment w:val="auto"/>
        <w:outlineLvl w:val="9"/>
        <w:rPr>
          <w:color w:val="000000"/>
          <w:position w:val="0"/>
          <w:lang w:eastAsia="en-GB"/>
        </w:rPr>
      </w:pPr>
      <w:r w:rsidRPr="00621D77">
        <w:rPr>
          <w:b/>
          <w:bCs/>
          <w:color w:val="000000"/>
          <w:position w:val="0"/>
          <w:lang w:eastAsia="en-GB"/>
        </w:rPr>
        <w:t>Article 2: Non-discrimination </w:t>
      </w:r>
    </w:p>
    <w:p w14:paraId="35AD10E5" w14:textId="1412DCA8" w:rsidR="00621D77" w:rsidRPr="00621D77" w:rsidRDefault="00621D77" w:rsidP="00CD6E1D">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4B6DE1B4" w14:textId="77777777"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According to the U.S. State Department’s  human rights report 2023, despite the equality and non discrimination guaranteed by Disabilities Act (08/2010) and other relevant laws, significant challenges remain in ensuring the full participation and inclusion of persons with disabilities in society.</w:t>
      </w:r>
    </w:p>
    <w:p w14:paraId="51789F4A" w14:textId="32A7DB92" w:rsidR="00621D77" w:rsidRPr="00621D77" w:rsidRDefault="00621D77" w:rsidP="00CD6E1D">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25D34379" w14:textId="76B38567" w:rsidR="00CD6E1D" w:rsidRPr="00CD6E1D"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The majority of PWDs applying for disability allowance have physical disabilities as per the State Report submitted to the Committee on the Rights of Persons with Disabilities, highlighting the need for targeted support for physical accessibility measures to guarantee the particular group’s exercise of rights. Public spaces, transportation, and buildings in the Maldives are frequently not equipped to accommodate PWDs, according to Muawiyath Mohamed Didi, an advocate for persons with disabilities, who himself has cerebral palsy. </w:t>
      </w:r>
    </w:p>
    <w:p w14:paraId="28477E39" w14:textId="66A93005" w:rsidR="00621D77" w:rsidRPr="00CD6E1D" w:rsidRDefault="00621D77" w:rsidP="00CD6E1D">
      <w:pPr>
        <w:suppressAutoHyphens w:val="0"/>
        <w:spacing w:line="240" w:lineRule="auto"/>
        <w:ind w:leftChars="0" w:left="0" w:firstLineChars="0" w:firstLine="0"/>
        <w:jc w:val="both"/>
        <w:textDirection w:val="lrTb"/>
        <w:textAlignment w:val="baseline"/>
        <w:outlineLvl w:val="9"/>
        <w:rPr>
          <w:color w:val="000000"/>
          <w:position w:val="0"/>
          <w:lang w:eastAsia="en-GB"/>
        </w:rPr>
      </w:pPr>
    </w:p>
    <w:p w14:paraId="48637570" w14:textId="77777777" w:rsidR="00CD6E1D" w:rsidRPr="00CD6E1D"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Looking at the ever growing number of restaurants and cafes in Maldives, only a handful are physically accessible, while none of the two Cinemas in the greater Male’ region are.</w:t>
      </w:r>
    </w:p>
    <w:p w14:paraId="2A9D227B" w14:textId="77777777" w:rsidR="00CD6E1D" w:rsidRPr="00CD6E1D" w:rsidRDefault="00CD6E1D" w:rsidP="00CD6E1D">
      <w:pPr>
        <w:pStyle w:val="ListParagraph"/>
        <w:ind w:left="0" w:hanging="2"/>
        <w:rPr>
          <w:color w:val="000000"/>
          <w:position w:val="0"/>
          <w:lang w:eastAsia="en-GB"/>
        </w:rPr>
      </w:pPr>
    </w:p>
    <w:p w14:paraId="2BBAED0E" w14:textId="0AC21A19" w:rsidR="00621D77" w:rsidRPr="00CD6E1D"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Employers have attempted to coerce employees with mental health conditions and/or taking medication into resigning, when they come to know about the employees mental health details. Public awareness of constitutional and human rights is still low in the Maldives, leading to victims of violations having no knowledge of recourse.</w:t>
      </w:r>
      <w:r w:rsidRPr="00CD6E1D">
        <w:rPr>
          <w:color w:val="000000"/>
          <w:position w:val="0"/>
          <w:lang w:eastAsia="en-GB"/>
        </w:rPr>
        <w:br/>
      </w:r>
    </w:p>
    <w:p w14:paraId="58932294" w14:textId="77777777" w:rsidR="00CD6E1D" w:rsidRPr="00CD6E1D"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 xml:space="preserve">Job-adverts, laws, public awareness and education, and other public information are often provided in non-accessible formats, leaving PWDs inaccessible from their legal obligations, rights, potential higher education, employment or financial opportunities. Despite recent progress in access for education for children with disabilities, children with disabilities continue to face challenges in education, lack of physical accessibility, accessible curriculum, lack of trained personnel. Despite having an Inclusive Education (IE) policy, a recent report by UNICEF highlighted the restriction of equitable educational </w:t>
      </w:r>
      <w:r w:rsidRPr="00621D77">
        <w:rPr>
          <w:color w:val="000000"/>
          <w:position w:val="0"/>
          <w:lang w:eastAsia="en-GB"/>
        </w:rPr>
        <w:lastRenderedPageBreak/>
        <w:t>opportunities for children with disabilities due to limited capacity of teachers and scarcity of resources to implement it. </w:t>
      </w:r>
    </w:p>
    <w:p w14:paraId="5DE3BB8D" w14:textId="77777777" w:rsidR="00CD6E1D" w:rsidRPr="00CD6E1D" w:rsidRDefault="00CD6E1D" w:rsidP="00CD6E1D">
      <w:pPr>
        <w:tabs>
          <w:tab w:val="num" w:pos="0"/>
        </w:tabs>
        <w:suppressAutoHyphens w:val="0"/>
        <w:spacing w:line="240" w:lineRule="auto"/>
        <w:ind w:leftChars="0" w:left="0" w:firstLineChars="0" w:firstLine="0"/>
        <w:jc w:val="both"/>
        <w:textDirection w:val="lrTb"/>
        <w:textAlignment w:val="baseline"/>
        <w:outlineLvl w:val="9"/>
        <w:rPr>
          <w:color w:val="000000"/>
          <w:position w:val="0"/>
          <w:lang w:eastAsia="en-GB"/>
        </w:rPr>
      </w:pPr>
    </w:p>
    <w:p w14:paraId="4913B38C" w14:textId="77777777" w:rsidR="00CD6E1D" w:rsidRPr="00CD6E1D"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Highlighting the difficulty in enrolling children with disabilities to private schools, a parent remarked that “Unfortunately, schools like Billabong High International School, Ghiyaasuddin International School and Finland International School have rejected  [name of child] due to her Down Syndrome. I approached Ajial International School with hope…However when I followed up on the meeting with the principal, I received a sudden rejection without any reason or assessment.” This further corroborates that IE policy is not adopted in the private education sector and direct discriminatory practices exist without repercussions. It is also important to note that private schools in the Maldives are run with significant subsidies, including subsidised rent for the land as well as for buildings already constructed by the State. </w:t>
      </w:r>
    </w:p>
    <w:p w14:paraId="13DBCAB1" w14:textId="77777777" w:rsidR="00CD6E1D" w:rsidRPr="00CD6E1D" w:rsidRDefault="00CD6E1D" w:rsidP="00CD6E1D">
      <w:pPr>
        <w:pStyle w:val="ListParagraph"/>
        <w:ind w:left="0" w:hanging="2"/>
        <w:rPr>
          <w:color w:val="000000"/>
          <w:position w:val="0"/>
          <w:lang w:eastAsia="en-GB"/>
        </w:rPr>
      </w:pPr>
    </w:p>
    <w:p w14:paraId="0E4F3CAC" w14:textId="77777777" w:rsidR="00CD6E1D" w:rsidRPr="00CD6E1D"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PWDs are also discriminated against in tenancy, although Tenancy Act (21/2021) prohibits such discrimination and the Disability Council is mandated to investigate such cases. However, the Disability Council does not have the capacity to investigate such cases. </w:t>
      </w:r>
    </w:p>
    <w:p w14:paraId="10D73A6D" w14:textId="77777777" w:rsidR="00CD6E1D" w:rsidRPr="00CD6E1D" w:rsidRDefault="00CD6E1D" w:rsidP="00CD6E1D">
      <w:pPr>
        <w:pStyle w:val="ListParagraph"/>
        <w:ind w:left="0" w:hanging="2"/>
        <w:rPr>
          <w:color w:val="000000"/>
          <w:position w:val="0"/>
          <w:lang w:eastAsia="en-GB"/>
        </w:rPr>
      </w:pPr>
    </w:p>
    <w:p w14:paraId="73BD4660" w14:textId="77777777" w:rsidR="00CD6E1D" w:rsidRPr="00CD6E1D"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The Maldives needs to make significant efforts to guarantee that PWDs have equal access to the education, health, legal system, public services, and participation in all facets of society by implementing accessibility standards, providing reasonable accommodations, and ensuring accountability of services and individual people who both directly and indirectly discriminate people based on their disability. </w:t>
      </w:r>
    </w:p>
    <w:p w14:paraId="3F41CF81" w14:textId="77777777" w:rsidR="00CD6E1D" w:rsidRPr="00CD6E1D" w:rsidRDefault="00CD6E1D" w:rsidP="00CD6E1D">
      <w:pPr>
        <w:pStyle w:val="ListParagraph"/>
        <w:ind w:left="0" w:hanging="2"/>
        <w:rPr>
          <w:color w:val="000000"/>
          <w:position w:val="0"/>
          <w:lang w:eastAsia="en-GB"/>
        </w:rPr>
      </w:pPr>
    </w:p>
    <w:p w14:paraId="437EE950" w14:textId="6B906827"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According to UNICEF Maldives, poverty is greater in female-headed households on the atolls, in households with children younger than 17 years of age and in households with a PWD. While the Maldives had made progress in eradicating extreme poverty, significant disparities exist based on gender, region and age</w:t>
      </w:r>
      <w:r w:rsidR="00700FD7">
        <w:rPr>
          <w:rStyle w:val="FootnoteReference"/>
          <w:color w:val="000000"/>
          <w:position w:val="0"/>
          <w:lang w:eastAsia="en-GB"/>
        </w:rPr>
        <w:footnoteReference w:id="1"/>
      </w:r>
      <w:r w:rsidRPr="00621D77">
        <w:rPr>
          <w:color w:val="000000"/>
          <w:position w:val="0"/>
          <w:lang w:eastAsia="en-GB"/>
        </w:rPr>
        <w:t>. COVID 19 also proved that while many may live above the poverty line, most of the families are just above the poverty line, dangerously exposing them to shocks such as COVID 19 and other economic threats. </w:t>
      </w:r>
    </w:p>
    <w:p w14:paraId="76C98770" w14:textId="2643B427" w:rsidR="00621D77" w:rsidRPr="00CD6E1D" w:rsidRDefault="00621D77" w:rsidP="00CD6E1D">
      <w:pPr>
        <w:suppressAutoHyphens w:val="0"/>
        <w:spacing w:line="240" w:lineRule="auto"/>
        <w:ind w:leftChars="0" w:left="0" w:firstLineChars="0" w:firstLine="0"/>
        <w:jc w:val="both"/>
        <w:textDirection w:val="lrTb"/>
        <w:textAlignment w:val="baseline"/>
        <w:outlineLvl w:val="9"/>
        <w:rPr>
          <w:color w:val="000000"/>
          <w:position w:val="0"/>
          <w:lang w:eastAsia="en-GB"/>
        </w:rPr>
      </w:pPr>
    </w:p>
    <w:p w14:paraId="250D3E9C" w14:textId="77777777" w:rsidR="00CD6E1D" w:rsidRPr="00CD6E1D"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In designing Water, Sanitation and Hygiene (WASH) it is important to design them with input from all types of PWDs, bearing in mind universal design and reasonable accommodation. Meaningful involvement of DPOs/OPDs is important in designing as well as in implementation phases. Due to the basic nature of WASH, its scope is high ranging from schools to hospitals to detention facilities.</w:t>
      </w:r>
    </w:p>
    <w:p w14:paraId="0827B9C5" w14:textId="77777777" w:rsidR="00CD6E1D" w:rsidRPr="00CD6E1D" w:rsidRDefault="00CD6E1D" w:rsidP="00CD6E1D">
      <w:pPr>
        <w:pStyle w:val="ListParagraph"/>
        <w:ind w:left="0" w:hanging="2"/>
        <w:rPr>
          <w:color w:val="000000"/>
          <w:position w:val="0"/>
          <w:lang w:eastAsia="en-GB"/>
        </w:rPr>
      </w:pPr>
    </w:p>
    <w:p w14:paraId="00365E58" w14:textId="77777777"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Social housing scheme’s rankings include extra points for households with persons with disabilities. However the social housing provided is not designed or constructed accessibly. For instance, apartments, rooms and bathrooms at the Hiyaa housing projects in Hulhumalé phase II are too small and cramped. Even those with the financial means to refit these housing units with accessibility aids cannot do so due to space constraints. The disability lift in each Hiyaa Tower is designated as the cargo lift and is the lift designated to carry large objects such as furniture. PWDs rights are infringed upon for the comfort and ease of others.</w:t>
      </w:r>
    </w:p>
    <w:p w14:paraId="40CDF61D" w14:textId="012FEE87" w:rsidR="00621D77" w:rsidRPr="00621D77" w:rsidRDefault="00621D77" w:rsidP="00CD6E1D">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38678D74" w14:textId="77777777"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With its postcard perfect beaches and oceans with every shade of blue imaginable, above sea level Maldives is fascinating. But underwater, it is nothing short of spectacular. But these white sandy beaches and mesmerising marine life may as well be a thing of the past with the impact of global climate change felt on the ground everyday. For the Maldives climate change poses an existential threat. Coastal erosion is observed at rates never seen before, as oceans encroach into the very homes and livelihoods of the communities. The intensity and frequency of storms inundated the communities whose highest elevation is below 1 metre and much of Maldives populations live less than 100 metres from the coastline. Changing weather patterns and rain disrupts its award-winning and multi-billion dollar tourism sector, whose slogan ironically is “sunny side of life”. Coral-bleaching due to increasing oceanic temperatures is killing its reefs, taking away the rich biodiversity with it, impacting both tourism and fisheries sectors accounting to a 30% of the GDP. Impacts of climate change are going to further increase the economic disparity between the rich and the poor.</w:t>
      </w:r>
    </w:p>
    <w:p w14:paraId="77AA77F9" w14:textId="4F8A2EF1" w:rsidR="00621D77" w:rsidRPr="00621D77" w:rsidRDefault="00621D77" w:rsidP="00CD6E1D">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61C98DAE" w14:textId="77777777"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In addition, lack of monitoring and supervision of sanitation system operation leading to sewer leakages to streets and groundwater contamination posing health risks. Poorly managed wastewater facilities can also cause health hazards. Lack of regulatory measures and  guidelines, best practise to ensure access to sanitation impacts civil and political rights, particularly for the marginalised at public places. Marine disposal of raw sewage with no comprehensive monitoring impacts are on the food chain, coral health, health of divers and swimmers. </w:t>
      </w:r>
    </w:p>
    <w:p w14:paraId="0C4D4094" w14:textId="0337A24E" w:rsidR="00621D77" w:rsidRPr="00621D77" w:rsidRDefault="00621D77" w:rsidP="00CD6E1D">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0AB3249E" w14:textId="77777777"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b/>
          <w:bCs/>
          <w:color w:val="000000"/>
          <w:position w:val="0"/>
          <w:lang w:eastAsia="en-GB"/>
        </w:rPr>
        <w:t>RECOMMENDATION</w:t>
      </w:r>
      <w:r w:rsidRPr="00621D77">
        <w:rPr>
          <w:color w:val="000000"/>
          <w:position w:val="0"/>
          <w:lang w:eastAsia="en-GB"/>
        </w:rPr>
        <w:t>: Amore aggressive approach to realise accessibility for persons with disabilities and to eliminate discrimination against them, including through implementation of comprehensive accessibility standards and robust anti-discrimination laws that are effectively enforced. This would include mandatory accessibility audits especially for public places, incentivizing accessibility in businesses as well as through penalties for non-compliance.</w:t>
      </w:r>
    </w:p>
    <w:p w14:paraId="15907361" w14:textId="085A3A25" w:rsidR="00621D77" w:rsidRPr="00621D77" w:rsidRDefault="00621D77" w:rsidP="00CD6E1D">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61A709A2" w14:textId="3A768729"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b/>
          <w:bCs/>
          <w:color w:val="000000"/>
          <w:position w:val="0"/>
          <w:lang w:eastAsia="en-GB"/>
        </w:rPr>
        <w:t>RECOMMENDATION</w:t>
      </w:r>
      <w:r w:rsidRPr="00621D77">
        <w:rPr>
          <w:color w:val="000000"/>
          <w:position w:val="0"/>
          <w:lang w:eastAsia="en-GB"/>
        </w:rPr>
        <w:t>: According to the Human Rights Commission of the Maldives (HRCM)</w:t>
      </w:r>
      <w:r w:rsidR="00CD6E1D" w:rsidRPr="00CD6E1D">
        <w:rPr>
          <w:rStyle w:val="FootnoteReference"/>
          <w:color w:val="000000"/>
          <w:position w:val="0"/>
          <w:lang w:eastAsia="en-GB"/>
        </w:rPr>
        <w:t xml:space="preserve"> </w:t>
      </w:r>
      <w:r w:rsidR="00CD6E1D">
        <w:rPr>
          <w:rStyle w:val="FootnoteReference"/>
          <w:color w:val="000000"/>
          <w:position w:val="0"/>
          <w:lang w:eastAsia="en-GB"/>
        </w:rPr>
        <w:footnoteReference w:id="2"/>
      </w:r>
      <w:r w:rsidRPr="00621D77">
        <w:rPr>
          <w:color w:val="000000"/>
          <w:position w:val="0"/>
          <w:lang w:eastAsia="en-GB"/>
        </w:rPr>
        <w:t>, neither Maldives Police Service (MPS) or Prosecutor General's Office (PGO) has no segregated data on crimes motivated by discrimination. CSOs recommend the MPS to collect disaggregated data on crimes driven by discrimination. </w:t>
      </w:r>
    </w:p>
    <w:p w14:paraId="60296AEF" w14:textId="77777777" w:rsidR="00621D77" w:rsidRPr="00621D77" w:rsidRDefault="00621D77" w:rsidP="00CD6E1D">
      <w:pPr>
        <w:pStyle w:val="ListParagraph"/>
        <w:suppressAutoHyphens w:val="0"/>
        <w:spacing w:line="240" w:lineRule="auto"/>
        <w:ind w:leftChars="0" w:left="360" w:firstLineChars="0" w:firstLine="0"/>
        <w:jc w:val="both"/>
        <w:textDirection w:val="lrTb"/>
        <w:textAlignment w:val="baseline"/>
        <w:outlineLvl w:val="9"/>
        <w:rPr>
          <w:b/>
          <w:bCs/>
          <w:color w:val="000000"/>
          <w:position w:val="0"/>
          <w:lang w:eastAsia="en-GB"/>
        </w:rPr>
      </w:pPr>
    </w:p>
    <w:p w14:paraId="03E6B561" w14:textId="77777777" w:rsidR="009E54E3" w:rsidRDefault="009E54E3" w:rsidP="00621D77">
      <w:pPr>
        <w:suppressAutoHyphens w:val="0"/>
        <w:spacing w:line="240" w:lineRule="auto"/>
        <w:ind w:leftChars="0" w:left="0" w:firstLineChars="0" w:firstLine="0"/>
        <w:jc w:val="both"/>
        <w:textDirection w:val="lrTb"/>
        <w:textAlignment w:val="auto"/>
        <w:outlineLvl w:val="9"/>
        <w:rPr>
          <w:b/>
          <w:bCs/>
          <w:color w:val="000000"/>
          <w:position w:val="0"/>
          <w:lang w:eastAsia="en-GB"/>
        </w:rPr>
      </w:pPr>
    </w:p>
    <w:p w14:paraId="2FF83FEC" w14:textId="1DDB5F60" w:rsidR="00621D77" w:rsidRPr="00621D77" w:rsidRDefault="00621D77" w:rsidP="00621D77">
      <w:pPr>
        <w:suppressAutoHyphens w:val="0"/>
        <w:spacing w:line="240" w:lineRule="auto"/>
        <w:ind w:leftChars="0" w:left="0" w:firstLineChars="0" w:firstLine="0"/>
        <w:jc w:val="both"/>
        <w:textDirection w:val="lrTb"/>
        <w:textAlignment w:val="auto"/>
        <w:outlineLvl w:val="9"/>
        <w:rPr>
          <w:color w:val="000000"/>
          <w:position w:val="0"/>
          <w:lang w:eastAsia="en-GB"/>
        </w:rPr>
      </w:pPr>
      <w:r w:rsidRPr="00621D77">
        <w:rPr>
          <w:b/>
          <w:bCs/>
          <w:color w:val="000000"/>
          <w:position w:val="0"/>
          <w:lang w:eastAsia="en-GB"/>
        </w:rPr>
        <w:t>Article 3: Gender Equality </w:t>
      </w:r>
    </w:p>
    <w:p w14:paraId="61B90631" w14:textId="7EF89EED" w:rsidR="00621D77" w:rsidRPr="00621D77" w:rsidRDefault="00621D77" w:rsidP="00621D77">
      <w:pPr>
        <w:suppressAutoHyphens w:val="0"/>
        <w:spacing w:line="240" w:lineRule="auto"/>
        <w:ind w:leftChars="0" w:left="0" w:firstLineChars="0" w:firstLine="0"/>
        <w:textDirection w:val="lrTb"/>
        <w:textAlignment w:val="auto"/>
        <w:outlineLvl w:val="9"/>
        <w:rPr>
          <w:color w:val="000000"/>
          <w:position w:val="0"/>
          <w:lang w:eastAsia="en-GB"/>
        </w:rPr>
      </w:pPr>
    </w:p>
    <w:p w14:paraId="64521535" w14:textId="77777777" w:rsidR="00CD6E1D"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It is essential to underline the unique hurdles that women with disabilities face. These issues extend beyond generic discrimination; they intersect significantly with barriers to healthcare, education, employment, and particularly protection against abuse. Women with disabilities often encounter egregious violations of their rights, including sexual abuse and domestic violence, which frequently go unaddressed and/or are normalized by societal attitudes.</w:t>
      </w:r>
    </w:p>
    <w:p w14:paraId="575FA8EB" w14:textId="77777777" w:rsidR="00CD6E1D" w:rsidRDefault="00CD6E1D" w:rsidP="00CD6E1D">
      <w:pPr>
        <w:tabs>
          <w:tab w:val="num" w:pos="0"/>
        </w:tabs>
        <w:suppressAutoHyphens w:val="0"/>
        <w:spacing w:line="240" w:lineRule="auto"/>
        <w:ind w:leftChars="0" w:left="0" w:firstLineChars="0" w:firstLine="0"/>
        <w:jc w:val="both"/>
        <w:textDirection w:val="lrTb"/>
        <w:textAlignment w:val="baseline"/>
        <w:outlineLvl w:val="9"/>
        <w:rPr>
          <w:color w:val="000000"/>
          <w:position w:val="0"/>
          <w:lang w:eastAsia="en-GB"/>
        </w:rPr>
      </w:pPr>
    </w:p>
    <w:p w14:paraId="25A16152" w14:textId="77777777"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lastRenderedPageBreak/>
        <w:t>For instance, cases of rape and abuse against women with disabilities might briefly capture media attention but often fade quickly from public and legal scrutiny. The initial outrage does not reliably translate into sustained advocacy or legal action, leading to a disturbing normalisation of such incidents. These abuses are sometimes dismissed as isolated incidents rather than recognized as part of a broader systemic failure to protect vulnerable populations, as well as conscious decisions from perpetrators as it is much easier to get away with such crimes because of the victims' disabilities. This societal desensitisation undermines the pursuit of justice and the principle of gender equality as mandated by the ICCPR, which insists on equal civil and political rights for men and women.</w:t>
      </w:r>
    </w:p>
    <w:p w14:paraId="3B1F5158" w14:textId="0BE01624" w:rsidR="00621D77" w:rsidRPr="00621D77" w:rsidRDefault="00621D77" w:rsidP="00CD6E1D">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3B806C8B" w14:textId="77777777"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To genuinely support women with disabilities, policies must not only prevent discrimination but also actively facilitate access to justice and healthcare, and promote awareness that counters the dismissal and normalisation of abuse. It is imperative that state mechanisms are vigilant and responsive to these issues, ensuring that women with disabilities are not doubly marginalised but are supported to live with dignity and equality.</w:t>
      </w:r>
    </w:p>
    <w:p w14:paraId="48D0E697" w14:textId="2EBE2398" w:rsidR="00621D77" w:rsidRPr="00621D77" w:rsidRDefault="00621D77" w:rsidP="00CD6E1D">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112AFD62" w14:textId="77777777"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Women with disabilities face significant hurdles in accessing suitable WASH facilities. These facilities often lack essential features such as ramps, adequate door widths, and accessible toilets, which severely limits their usability for women with physical disabilities. This inaccessibility not only hinders their ability to use these vital services but also increases their health risks, as inadequate facilities can lead to heightened exposure to infections such as urinary tract and skin infections.</w:t>
      </w:r>
    </w:p>
    <w:p w14:paraId="394759DD" w14:textId="4F6840C1" w:rsidR="00621D77" w:rsidRPr="00621D77" w:rsidRDefault="00621D77" w:rsidP="00CD6E1D">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014F5525" w14:textId="77777777"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The security and privacy of WASH facilities are also a major concern, as women with disabilities are particularly vulnerable to abuse and violence in inadequately secured public or communal settings. This vulnerability contributes to greater social stigma and isolation, distancing them from community interactions and essential support systems.</w:t>
      </w:r>
    </w:p>
    <w:p w14:paraId="5B822875" w14:textId="6D891157" w:rsidR="00621D77" w:rsidRPr="00621D77" w:rsidRDefault="00621D77" w:rsidP="00CD6E1D">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2B56FD4D" w14:textId="77777777"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A significant factor exacerbating these challenges is the general lack of awareness and education about the specific needs of women with disabilities regarding WASH facilities. This gap in understanding can lead to inadequate planning and implementation of facilities that do not meet their needs, thereby perpetuating their exclusion from full participation in society.</w:t>
      </w:r>
    </w:p>
    <w:p w14:paraId="43404E63" w14:textId="3E6B1FA8" w:rsidR="00621D77" w:rsidRPr="00621D77" w:rsidRDefault="00621D77" w:rsidP="00CD6E1D">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06FD1BE5" w14:textId="244F6860" w:rsidR="00621D77" w:rsidRPr="00BA6196"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The economic impact of these barriers cannot be overstated, as restricted access to appropriate WASH facilities often limits the ability of women with disabilities to participate in education and employment, reinforcing cycles of poverty and dependency.</w:t>
      </w:r>
      <w:r w:rsidRPr="00BA6196">
        <w:rPr>
          <w:color w:val="000000"/>
          <w:position w:val="0"/>
          <w:lang w:eastAsia="en-GB"/>
        </w:rPr>
        <w:br/>
      </w:r>
    </w:p>
    <w:p w14:paraId="3723CFEC" w14:textId="77777777"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b/>
          <w:bCs/>
          <w:color w:val="000000"/>
          <w:position w:val="0"/>
          <w:lang w:eastAsia="en-GB"/>
        </w:rPr>
        <w:t>RECOMMENDATION</w:t>
      </w:r>
      <w:r w:rsidRPr="00621D77">
        <w:rPr>
          <w:color w:val="000000"/>
          <w:position w:val="0"/>
          <w:lang w:eastAsia="en-GB"/>
        </w:rPr>
        <w:t>: Rigorous enforcement of regulations for the accessibility and safety of WASH facilities, the incorporation of inclusive design in public infrastructure, and targeted awareness campaigns to educate the public and policymakers about the unique challenges faced by women with disabilities in accessing WASH facilities and its importance.</w:t>
      </w:r>
    </w:p>
    <w:p w14:paraId="73EC5F42" w14:textId="77777777" w:rsidR="00621D77" w:rsidRPr="00621D77" w:rsidRDefault="00621D77" w:rsidP="00621D77">
      <w:pPr>
        <w:suppressAutoHyphens w:val="0"/>
        <w:spacing w:line="240" w:lineRule="auto"/>
        <w:ind w:leftChars="0" w:left="0" w:firstLineChars="0" w:firstLine="0"/>
        <w:textDirection w:val="lrTb"/>
        <w:textAlignment w:val="auto"/>
        <w:outlineLvl w:val="9"/>
        <w:rPr>
          <w:color w:val="000000"/>
          <w:position w:val="0"/>
          <w:lang w:eastAsia="en-GB"/>
        </w:rPr>
      </w:pPr>
    </w:p>
    <w:p w14:paraId="4E0F4E9A" w14:textId="77777777" w:rsidR="00621D77" w:rsidRPr="00621D77" w:rsidRDefault="00621D77" w:rsidP="00621D77">
      <w:pPr>
        <w:suppressAutoHyphens w:val="0"/>
        <w:spacing w:line="240" w:lineRule="auto"/>
        <w:ind w:leftChars="0" w:left="0" w:firstLineChars="0" w:firstLine="0"/>
        <w:jc w:val="both"/>
        <w:textDirection w:val="lrTb"/>
        <w:textAlignment w:val="auto"/>
        <w:outlineLvl w:val="9"/>
        <w:rPr>
          <w:color w:val="000000"/>
          <w:position w:val="0"/>
          <w:lang w:eastAsia="en-GB"/>
        </w:rPr>
      </w:pPr>
      <w:r w:rsidRPr="00621D77">
        <w:rPr>
          <w:b/>
          <w:bCs/>
          <w:color w:val="000000"/>
          <w:position w:val="0"/>
          <w:lang w:eastAsia="en-GB"/>
        </w:rPr>
        <w:t>Article 6: Right to Life </w:t>
      </w:r>
    </w:p>
    <w:p w14:paraId="3C474BE1" w14:textId="1563EEB0" w:rsidR="00621D77" w:rsidRPr="00621D77" w:rsidRDefault="00621D77" w:rsidP="00BA6196">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1636B9BA" w14:textId="77777777"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lastRenderedPageBreak/>
        <w:t>By Article 29 (d) of the Child Rights Protection Act (19/2019) as well as by Article 74-1 (b) of the Juvenile Justice Act (JJA) (18/2019) death penalty cannot be imposed on crimes committed as a minor, effectively abolishing death penalty for minors by law in the Maldives. This step from the Maldives shall be welcomed and mus ensure that it does not revert this stand.  </w:t>
      </w:r>
    </w:p>
    <w:p w14:paraId="4C7FD6E2" w14:textId="77777777" w:rsidR="00621D77" w:rsidRPr="00621D77" w:rsidRDefault="00621D77" w:rsidP="00BA6196">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5F636C6C" w14:textId="77777777" w:rsidR="00621D77" w:rsidRPr="00621D77" w:rsidRDefault="00621D77" w:rsidP="00621D77">
      <w:pPr>
        <w:suppressAutoHyphens w:val="0"/>
        <w:spacing w:line="240" w:lineRule="auto"/>
        <w:ind w:leftChars="0" w:left="0" w:firstLineChars="0" w:firstLine="0"/>
        <w:jc w:val="both"/>
        <w:textDirection w:val="lrTb"/>
        <w:textAlignment w:val="auto"/>
        <w:outlineLvl w:val="9"/>
        <w:rPr>
          <w:color w:val="000000"/>
          <w:position w:val="0"/>
          <w:lang w:eastAsia="en-GB"/>
        </w:rPr>
      </w:pPr>
      <w:r w:rsidRPr="00621D77">
        <w:rPr>
          <w:b/>
          <w:bCs/>
          <w:color w:val="000000"/>
          <w:position w:val="0"/>
          <w:lang w:eastAsia="en-GB"/>
        </w:rPr>
        <w:t>Article 7: Prevention of Torture </w:t>
      </w:r>
    </w:p>
    <w:p w14:paraId="044360A7" w14:textId="5E24C5E2" w:rsidR="00621D77" w:rsidRPr="00621D77" w:rsidRDefault="00621D77" w:rsidP="00621D77">
      <w:pPr>
        <w:suppressAutoHyphens w:val="0"/>
        <w:spacing w:line="240" w:lineRule="auto"/>
        <w:ind w:leftChars="0" w:left="0" w:firstLineChars="0" w:firstLine="0"/>
        <w:textDirection w:val="lrTb"/>
        <w:textAlignment w:val="auto"/>
        <w:outlineLvl w:val="9"/>
        <w:rPr>
          <w:color w:val="000000"/>
          <w:position w:val="0"/>
          <w:lang w:eastAsia="en-GB"/>
        </w:rPr>
      </w:pPr>
    </w:p>
    <w:p w14:paraId="27DF8BFC" w14:textId="35ECAA6F"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The state run Home for Persons with Special Needs (HPSN) in Kaafu Guraidhoo is an under-resourced, mismanaged institution with an employee stating in 2014 that “The people are suffering here”</w:t>
      </w:r>
      <w:r w:rsidR="00BA6196" w:rsidRPr="00BA6196">
        <w:rPr>
          <w:rStyle w:val="FootnoteReference"/>
          <w:color w:val="000000"/>
          <w:position w:val="0"/>
          <w:lang w:eastAsia="en-GB"/>
        </w:rPr>
        <w:t xml:space="preserve"> </w:t>
      </w:r>
      <w:r w:rsidR="008749D7">
        <w:rPr>
          <w:rStyle w:val="FootnoteReference"/>
          <w:color w:val="000000"/>
          <w:position w:val="0"/>
          <w:lang w:eastAsia="en-GB"/>
        </w:rPr>
        <w:footnoteReference w:id="3"/>
      </w:r>
      <w:r w:rsidRPr="00621D77">
        <w:rPr>
          <w:color w:val="000000"/>
          <w:position w:val="0"/>
          <w:lang w:eastAsia="en-GB"/>
        </w:rPr>
        <w:t>. Persons with disabilities being held at the institution have also disappeared</w:t>
      </w:r>
      <w:r w:rsidR="00700FD7">
        <w:rPr>
          <w:rStyle w:val="FootnoteReference"/>
          <w:color w:val="000000"/>
          <w:position w:val="0"/>
          <w:lang w:eastAsia="en-GB"/>
        </w:rPr>
        <w:footnoteReference w:id="4"/>
      </w:r>
      <w:r w:rsidRPr="00621D77">
        <w:rPr>
          <w:color w:val="000000"/>
          <w:position w:val="0"/>
          <w:lang w:eastAsia="en-GB"/>
        </w:rPr>
        <w:t xml:space="preserve"> and in 2022 the Human Rights Commission raised concerns including that the centre had been operating without psychiatrists for the past 9 years</w:t>
      </w:r>
      <w:r w:rsidR="00700FD7">
        <w:rPr>
          <w:rStyle w:val="FootnoteReference"/>
          <w:color w:val="000000"/>
          <w:position w:val="0"/>
          <w:lang w:eastAsia="en-GB"/>
        </w:rPr>
        <w:footnoteReference w:id="5"/>
      </w:r>
      <w:r w:rsidRPr="00621D77">
        <w:rPr>
          <w:color w:val="000000"/>
          <w:position w:val="0"/>
          <w:lang w:eastAsia="en-GB"/>
        </w:rPr>
        <w:t>. Furthermore, the Section 113 d (3) of the Maldivian Penal code continues to criminalise attempted suicide as a class 1 misdemeanour</w:t>
      </w:r>
      <w:r w:rsidR="008749D7">
        <w:rPr>
          <w:rStyle w:val="FootnoteReference"/>
          <w:color w:val="000000"/>
          <w:position w:val="0"/>
          <w:lang w:eastAsia="en-GB"/>
        </w:rPr>
        <w:footnoteReference w:id="6"/>
      </w:r>
      <w:r w:rsidRPr="00621D77">
        <w:rPr>
          <w:color w:val="000000"/>
          <w:position w:val="0"/>
          <w:lang w:eastAsia="en-GB"/>
        </w:rPr>
        <w:t>. The absence of a psychiatrist and adequate medical care in such facilities not only constitutes neglect but may also rise to the level of inhuman or degrading treatment. Immediate actions are necessary to rectify these conditions and to ensure compliance with international standards.</w:t>
      </w:r>
    </w:p>
    <w:p w14:paraId="460A078E" w14:textId="67FD1B48" w:rsidR="00621D77" w:rsidRPr="00621D77" w:rsidRDefault="00621D77" w:rsidP="00BA6196">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09D0B798" w14:textId="77777777"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Individuals with intellectual disabilities detained in various facilities or even confined within their own homes require specialised considerations to ensure humane treatment, as mandated by the ICCPR. These individuals often struggle with understanding the rules and social dynamics, which makes them particularly vulnerable to misunderstandings and mistreatment, including being inappropriately locked in their own homes by caregivers or family members who may not fully understand their needs or rights.</w:t>
      </w:r>
    </w:p>
    <w:p w14:paraId="271FF000" w14:textId="677C6CB3" w:rsidR="00621D77" w:rsidRPr="00621D77" w:rsidRDefault="00621D77" w:rsidP="008749D7">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0F47092B" w14:textId="77777777"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Staff in detention facilities and those responsible for care at home frequently lack the necessary training to support individuals with intellectual disabilities effectively, leading to neglect or inhumane treatment. Moreover, the psychological impact of such confinement, whether in institutions or home settings, can be severe, necessitating tailored mental health support that is often lacking.</w:t>
      </w:r>
    </w:p>
    <w:p w14:paraId="33376FF1" w14:textId="2B630ACF" w:rsidR="00621D77" w:rsidRPr="00621D77" w:rsidRDefault="00621D77" w:rsidP="008749D7">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70CE48AA" w14:textId="77777777"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To adhere to the ICCPR’s standards, it is crucial to implement training for both institutional staff and caregivers on the specific needs of individuals with intellectual disabilities, provide necessary medical and psychological care, and establish robust safeguarding policies to protect these individuals from exploitation and abuse.</w:t>
      </w:r>
    </w:p>
    <w:p w14:paraId="34C692FA" w14:textId="11A283BD" w:rsidR="00621D77" w:rsidRPr="00621D77" w:rsidRDefault="00621D77" w:rsidP="008749D7">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410145FB" w14:textId="77777777"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b/>
          <w:bCs/>
          <w:color w:val="000000"/>
          <w:position w:val="0"/>
          <w:lang w:eastAsia="en-GB"/>
        </w:rPr>
        <w:t>RECOMMENDATION</w:t>
      </w:r>
      <w:r w:rsidRPr="00621D77">
        <w:rPr>
          <w:color w:val="000000"/>
          <w:position w:val="0"/>
          <w:lang w:eastAsia="en-GB"/>
        </w:rPr>
        <w:t>: Decriminalise attempting suicide and make provisions for adequate prevention as well as post-attempt care and support based on medical and psychological recommendations.</w:t>
      </w:r>
    </w:p>
    <w:p w14:paraId="68E67AC2" w14:textId="22A4A9A7" w:rsidR="00621D77" w:rsidRPr="00621D77" w:rsidRDefault="00621D77" w:rsidP="008749D7">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6D0056BD" w14:textId="77777777"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b/>
          <w:bCs/>
          <w:color w:val="000000"/>
          <w:position w:val="0"/>
          <w:lang w:eastAsia="en-GB"/>
        </w:rPr>
        <w:lastRenderedPageBreak/>
        <w:t>RECOMMENDATION</w:t>
      </w:r>
      <w:r w:rsidRPr="00621D77">
        <w:rPr>
          <w:color w:val="000000"/>
          <w:position w:val="0"/>
          <w:lang w:eastAsia="en-GB"/>
        </w:rPr>
        <w:t>: Conduct and publish an audit of the Special Needs Center in Kaafu Guraidhoo and bring changes to the centre based on a de-institutionalisation model.</w:t>
      </w:r>
    </w:p>
    <w:p w14:paraId="410C90F0" w14:textId="77777777" w:rsidR="00621D77" w:rsidRPr="00621D77" w:rsidRDefault="00621D77" w:rsidP="008749D7">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1A211FD5" w14:textId="77777777" w:rsidR="00621D77" w:rsidRPr="00621D77" w:rsidRDefault="00621D77" w:rsidP="00621D77">
      <w:pPr>
        <w:suppressAutoHyphens w:val="0"/>
        <w:spacing w:line="240" w:lineRule="auto"/>
        <w:ind w:leftChars="0" w:left="0" w:firstLineChars="0" w:firstLine="0"/>
        <w:jc w:val="both"/>
        <w:textDirection w:val="lrTb"/>
        <w:textAlignment w:val="auto"/>
        <w:outlineLvl w:val="9"/>
        <w:rPr>
          <w:color w:val="000000"/>
          <w:position w:val="0"/>
          <w:lang w:eastAsia="en-GB"/>
        </w:rPr>
      </w:pPr>
      <w:r w:rsidRPr="00621D77">
        <w:rPr>
          <w:b/>
          <w:bCs/>
          <w:color w:val="000000"/>
          <w:position w:val="0"/>
          <w:lang w:eastAsia="en-GB"/>
        </w:rPr>
        <w:t>Article 8: Prevention of Slavery</w:t>
      </w:r>
    </w:p>
    <w:p w14:paraId="03CEDD4A" w14:textId="67C53ECA" w:rsidR="00621D77" w:rsidRPr="00621D77" w:rsidRDefault="00621D77" w:rsidP="008749D7">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320C081F" w14:textId="77777777"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The Anti-Human Trafficking Act (12/2013) remains largely unimplemented and the Anti-Human Trafficking Steering Committee, enacted to oversee the implementation of the Act, has not met since 7 February 2022. The new administration has shifted the anti-human trafficking mandate from the Ministry of Defense and National Security to the Ministry of Homeland Security and Technology.   </w:t>
      </w:r>
    </w:p>
    <w:p w14:paraId="12A0557F" w14:textId="1506B93B" w:rsidR="00621D77" w:rsidRPr="00621D77" w:rsidRDefault="00621D77" w:rsidP="008749D7">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2BFCA083" w14:textId="77777777"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According to US State Department's Human Trafficking Report 2023 “Government of Maldives does not fully meet the minimum standards for the elimination of trafficking but is making significant efforts to do so” and as a result has remained on the Tier 2. </w:t>
      </w:r>
    </w:p>
    <w:p w14:paraId="15A67DFC" w14:textId="77777777" w:rsidR="00621D77" w:rsidRPr="00621D77" w:rsidRDefault="00621D77" w:rsidP="008749D7">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2F3BEF76" w14:textId="77777777" w:rsidR="00621D77" w:rsidRPr="00621D77" w:rsidRDefault="00621D77" w:rsidP="00621D77">
      <w:pPr>
        <w:suppressAutoHyphens w:val="0"/>
        <w:spacing w:line="240" w:lineRule="auto"/>
        <w:ind w:leftChars="0" w:left="0" w:firstLineChars="0" w:firstLine="0"/>
        <w:jc w:val="both"/>
        <w:textDirection w:val="lrTb"/>
        <w:textAlignment w:val="auto"/>
        <w:outlineLvl w:val="9"/>
        <w:rPr>
          <w:color w:val="000000"/>
          <w:position w:val="0"/>
          <w:lang w:eastAsia="en-GB"/>
        </w:rPr>
      </w:pPr>
      <w:r w:rsidRPr="00621D77">
        <w:rPr>
          <w:b/>
          <w:bCs/>
          <w:color w:val="000000"/>
          <w:position w:val="0"/>
          <w:lang w:eastAsia="en-GB"/>
        </w:rPr>
        <w:t>Article 10: Prisoner Rights</w:t>
      </w:r>
    </w:p>
    <w:p w14:paraId="295E3D36" w14:textId="3DFCCAD9" w:rsidR="00621D77" w:rsidRPr="00621D77" w:rsidRDefault="00621D77" w:rsidP="008749D7">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1F5F1510" w14:textId="6121227D"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A serious concern on children in conflict with the law in the Maldives has been incarceration of children with adults. However, due to repeated calls from UN bodies, international communities and civil society organisations a separate wing was developed at Asseyri Prison, a facility designated for low-risk prisoners. However, the children's wing is still in close proximity to adults and both groups can communicate with each other, according to the HRCM</w:t>
      </w:r>
      <w:r w:rsidR="00727061">
        <w:rPr>
          <w:rStyle w:val="FootnoteReference"/>
          <w:color w:val="000000"/>
          <w:position w:val="0"/>
          <w:lang w:eastAsia="en-GB"/>
        </w:rPr>
        <w:footnoteReference w:id="7"/>
      </w:r>
      <w:r w:rsidRPr="00621D77">
        <w:rPr>
          <w:color w:val="000000"/>
          <w:position w:val="0"/>
          <w:lang w:eastAsia="en-GB"/>
        </w:rPr>
        <w:t>. CSOs are generally not granted access to juvenile detention facilities or other detention facilities.</w:t>
      </w:r>
    </w:p>
    <w:p w14:paraId="1DB7D57D" w14:textId="6DA1EC94" w:rsidR="00621D77" w:rsidRPr="00621D77" w:rsidRDefault="00621D77" w:rsidP="008749D7">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3085EB9C" w14:textId="50F95449"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The recommendations of the Prison Audit Report of 2019</w:t>
      </w:r>
      <w:r w:rsidR="00727061">
        <w:rPr>
          <w:rStyle w:val="FootnoteReference"/>
          <w:color w:val="000000"/>
          <w:position w:val="0"/>
          <w:lang w:eastAsia="en-GB"/>
        </w:rPr>
        <w:footnoteReference w:id="8"/>
      </w:r>
      <w:r w:rsidRPr="00621D77">
        <w:rPr>
          <w:color w:val="000000"/>
          <w:position w:val="0"/>
          <w:lang w:eastAsia="en-GB"/>
        </w:rPr>
        <w:t xml:space="preserve"> have not been implemented except for some half-measures. The report outlined grave human rights violations and inhumane conditions within detention facilities in the Maldives, including extreme overcrowding. Certain facilities were deemed “unfit for human habitation”.</w:t>
      </w:r>
    </w:p>
    <w:p w14:paraId="1CAC994A" w14:textId="77FDE671" w:rsidR="00621D77" w:rsidRPr="00621D77" w:rsidRDefault="00621D77" w:rsidP="008749D7">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248168A7" w14:textId="77777777"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Impunity for Correctional Service and Maldives Police Service personnel tasked with the administration of prisons and detention facilities is rampant. Such personnel who have allegations against them, of torture and mistreatment of prisoners that violate the Convention Against Torture, continue to remain in their positions. These complaints are rarely investigated and perpetrators go unpunished.</w:t>
      </w:r>
    </w:p>
    <w:p w14:paraId="13988E0F" w14:textId="627E86D8" w:rsidR="00621D77" w:rsidRPr="00621D77" w:rsidRDefault="00621D77" w:rsidP="008749D7">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5E8EA28D" w14:textId="77777777"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b/>
          <w:bCs/>
          <w:color w:val="000000"/>
          <w:position w:val="0"/>
          <w:lang w:eastAsia="en-GB"/>
        </w:rPr>
        <w:t>RECOMMENDATION</w:t>
      </w:r>
      <w:r w:rsidRPr="00621D77">
        <w:rPr>
          <w:color w:val="000000"/>
          <w:position w:val="0"/>
          <w:lang w:eastAsia="en-GB"/>
        </w:rPr>
        <w:t>: Implement all the recommendations outlined in the 2019 Prison Audit Report.</w:t>
      </w:r>
    </w:p>
    <w:p w14:paraId="20FED18B" w14:textId="2B07E7CF" w:rsidR="00621D77" w:rsidRPr="00621D77" w:rsidRDefault="00621D77" w:rsidP="008749D7">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6AB97E8F" w14:textId="77777777"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b/>
          <w:bCs/>
          <w:color w:val="000000"/>
          <w:position w:val="0"/>
          <w:lang w:eastAsia="en-GB"/>
        </w:rPr>
        <w:t>RECOMMENDATION</w:t>
      </w:r>
      <w:r w:rsidRPr="00621D77">
        <w:rPr>
          <w:color w:val="000000"/>
          <w:position w:val="0"/>
          <w:lang w:eastAsia="en-GB"/>
        </w:rPr>
        <w:t>: Allow access for civil society actors into prisons and detention facilities to monitor situations within such facilities.</w:t>
      </w:r>
    </w:p>
    <w:p w14:paraId="69393593" w14:textId="77777777" w:rsidR="00621D77" w:rsidRPr="008749D7" w:rsidRDefault="00621D77" w:rsidP="008749D7">
      <w:pPr>
        <w:suppressAutoHyphens w:val="0"/>
        <w:spacing w:line="240" w:lineRule="auto"/>
        <w:ind w:leftChars="0" w:left="0" w:firstLineChars="0" w:firstLine="0"/>
        <w:jc w:val="both"/>
        <w:textDirection w:val="lrTb"/>
        <w:textAlignment w:val="baseline"/>
        <w:outlineLvl w:val="9"/>
        <w:rPr>
          <w:color w:val="000000"/>
          <w:position w:val="0"/>
          <w:lang w:eastAsia="en-GB"/>
        </w:rPr>
      </w:pPr>
    </w:p>
    <w:p w14:paraId="52C92B62" w14:textId="77777777" w:rsidR="00621D77" w:rsidRPr="00621D77" w:rsidRDefault="00621D77" w:rsidP="00621D77">
      <w:pPr>
        <w:suppressAutoHyphens w:val="0"/>
        <w:spacing w:line="240" w:lineRule="auto"/>
        <w:ind w:leftChars="0" w:left="0" w:firstLineChars="0" w:firstLine="0"/>
        <w:jc w:val="both"/>
        <w:textDirection w:val="lrTb"/>
        <w:textAlignment w:val="auto"/>
        <w:outlineLvl w:val="9"/>
        <w:rPr>
          <w:color w:val="000000"/>
          <w:position w:val="0"/>
          <w:lang w:eastAsia="en-GB"/>
        </w:rPr>
      </w:pPr>
      <w:r w:rsidRPr="00621D77">
        <w:rPr>
          <w:b/>
          <w:bCs/>
          <w:color w:val="000000"/>
          <w:position w:val="0"/>
          <w:lang w:eastAsia="en-GB"/>
        </w:rPr>
        <w:t>Article 12: Freedom of Movement</w:t>
      </w:r>
    </w:p>
    <w:p w14:paraId="0A92266C" w14:textId="0CB594D7" w:rsidR="00621D77" w:rsidRPr="008749D7" w:rsidRDefault="00621D77" w:rsidP="008749D7">
      <w:pPr>
        <w:suppressAutoHyphens w:val="0"/>
        <w:spacing w:line="240" w:lineRule="auto"/>
        <w:ind w:leftChars="0" w:left="0" w:firstLineChars="0" w:hanging="2"/>
        <w:jc w:val="both"/>
        <w:textDirection w:val="lrTb"/>
        <w:textAlignment w:val="baseline"/>
        <w:outlineLvl w:val="9"/>
        <w:rPr>
          <w:color w:val="000000"/>
          <w:position w:val="0"/>
          <w:lang w:eastAsia="en-GB"/>
        </w:rPr>
      </w:pPr>
    </w:p>
    <w:p w14:paraId="23D8AC37" w14:textId="77777777"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lastRenderedPageBreak/>
        <w:t>Accessibility is a very fundamental issue for PWDs in their everyday lives. Lack of accessibility emanates from a variety of reasons including general lack of understanding on accessibility, overcrowding in urban centres such as Male City being one of the most densely populated places on the planet, lack of awareness and funding. While some types of accessibility does not cost much, lack of priority from state authorities and local councils is also a challenge. </w:t>
      </w:r>
    </w:p>
    <w:p w14:paraId="4A538F8C" w14:textId="65D4983A" w:rsidR="00621D77" w:rsidRPr="00621D77" w:rsidRDefault="00621D77" w:rsidP="008749D7">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02B6D856" w14:textId="77777777"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For instance, the Superior Courts in the capital city Malé  being housed in historic structures constructed before establishment of accessibility guidelines limit physical access, impacting on their right to an equal access to justice. Apart from 2 vehicles operated by MAPD and the buses operated by Maldives Transport and Contracting Company PLC (MTCC) that are consistently at full capacity, there are no options for private hire vehicles/taxi services with accessible vehicles. Public services are a relatively new phenomenon in urban centres, while there are some accessibility features, there is room for improvement by announcing the stops. There are instances in which PWDs are not picked by taxis due to physical disabilities, while children with ASD are asked to leave taxis for throwing tantrums. Even when PWDs are picked up by taxis they are subject to higher charges due to minor inconveniences for the drivers. </w:t>
      </w:r>
    </w:p>
    <w:p w14:paraId="3B9612FD" w14:textId="27E0E8E6" w:rsidR="00621D77" w:rsidRPr="00621D77" w:rsidRDefault="00621D77" w:rsidP="008749D7">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07635326" w14:textId="77777777"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The obstacles to the freedom of movement for PWDs in Maldives reflect a broader disregard for the rights enshrined in Article 12 of the ICCPR. Practical measures such as the development of accessible public transport systems, proper urban planning that incorporates the needs of PWDs, and enforcement of existing accessibility laws are urgent to ensure that PWDs can live independently and participate fully in society.</w:t>
      </w:r>
    </w:p>
    <w:p w14:paraId="08799E1E" w14:textId="7A5394BF" w:rsidR="00621D77" w:rsidRPr="00621D77" w:rsidRDefault="00621D77" w:rsidP="008749D7">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3CB3990D" w14:textId="77777777"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But nothing restricts PWDs right to freedom of movement more than individuals from public parking their vehicles blocking the ramps and other access points designated for PWDs. Once the access is blocked PWDs or their guardians generally call MPS and often arrive at the scene and move the vehicle to a nearby parking zone. According to MPS their only solution is moving vehicles to a parking zone or fine the owner at best. Traffic violation fines are generally waived by politicians during election cycles. </w:t>
      </w:r>
    </w:p>
    <w:p w14:paraId="51034B62" w14:textId="737E5161" w:rsidR="00621D77" w:rsidRPr="00621D77" w:rsidRDefault="00621D77" w:rsidP="008749D7">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7560EC9D" w14:textId="77777777" w:rsidR="008749D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There are disability parking spots in Male' but there is no proper policy governing it and no way to identify the vehicles to a PWD unless it has modification. Hence it is hard to track and police officers often give parking tickets to PWDs who are actually allowed to park in these designated areas. . </w:t>
      </w:r>
    </w:p>
    <w:p w14:paraId="22624689" w14:textId="77777777" w:rsidR="008749D7" w:rsidRPr="008749D7" w:rsidRDefault="008749D7" w:rsidP="008749D7">
      <w:pPr>
        <w:pStyle w:val="ListParagraph"/>
        <w:ind w:left="0" w:hanging="2"/>
        <w:rPr>
          <w:color w:val="000000"/>
          <w:position w:val="0"/>
          <w:lang w:eastAsia="en-GB"/>
        </w:rPr>
      </w:pPr>
    </w:p>
    <w:p w14:paraId="68E9E764" w14:textId="77777777"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b/>
          <w:bCs/>
          <w:color w:val="000000"/>
          <w:position w:val="0"/>
          <w:lang w:eastAsia="en-GB"/>
        </w:rPr>
        <w:t>RECOMMENDATION</w:t>
      </w:r>
      <w:r w:rsidRPr="00621D77">
        <w:rPr>
          <w:color w:val="000000"/>
          <w:position w:val="0"/>
          <w:lang w:eastAsia="en-GB"/>
        </w:rPr>
        <w:t>: Disability is not a choice, but our indifference to it is always a choice. Hence, the State's response to illegal parking blocking disability access needs to be strengthened, with towing vehicles followed by restricting owner’s access to the vehicle at least for 48 hours. </w:t>
      </w:r>
    </w:p>
    <w:p w14:paraId="705EE009" w14:textId="77777777" w:rsidR="00621D77" w:rsidRPr="00621D77" w:rsidRDefault="00621D77" w:rsidP="001E490D">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02C5AB04" w14:textId="77777777" w:rsidR="00621D77" w:rsidRPr="00621D77" w:rsidRDefault="00621D77" w:rsidP="00621D77">
      <w:pPr>
        <w:suppressAutoHyphens w:val="0"/>
        <w:spacing w:line="240" w:lineRule="auto"/>
        <w:ind w:leftChars="0" w:left="0" w:firstLineChars="0" w:firstLine="0"/>
        <w:jc w:val="both"/>
        <w:textDirection w:val="lrTb"/>
        <w:textAlignment w:val="auto"/>
        <w:outlineLvl w:val="9"/>
        <w:rPr>
          <w:color w:val="000000"/>
          <w:position w:val="0"/>
          <w:lang w:eastAsia="en-GB"/>
        </w:rPr>
      </w:pPr>
      <w:r w:rsidRPr="00621D77">
        <w:rPr>
          <w:b/>
          <w:bCs/>
          <w:color w:val="000000"/>
          <w:position w:val="0"/>
          <w:lang w:eastAsia="en-GB"/>
        </w:rPr>
        <w:t>Article 14: Equality Before the Law</w:t>
      </w:r>
    </w:p>
    <w:p w14:paraId="743E6196" w14:textId="0F687811" w:rsidR="00621D77" w:rsidRPr="001E490D" w:rsidRDefault="00621D77" w:rsidP="001E490D">
      <w:pPr>
        <w:suppressAutoHyphens w:val="0"/>
        <w:spacing w:line="240" w:lineRule="auto"/>
        <w:ind w:leftChars="0" w:left="0" w:firstLineChars="0" w:hanging="2"/>
        <w:jc w:val="both"/>
        <w:textDirection w:val="lrTb"/>
        <w:textAlignment w:val="baseline"/>
        <w:outlineLvl w:val="9"/>
        <w:rPr>
          <w:color w:val="000000"/>
          <w:position w:val="0"/>
          <w:lang w:eastAsia="en-GB"/>
        </w:rPr>
      </w:pPr>
    </w:p>
    <w:p w14:paraId="6B2302C1" w14:textId="0498243D" w:rsidR="00621D77" w:rsidRPr="001E490D"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 xml:space="preserve">There is no functioning mechanism in the Maldives to hold mental health service providers and practitioners accountable. The mandate of accountability of mental health workers is held by the Maldives Allied Health Council (MAHC) established under the </w:t>
      </w:r>
      <w:r w:rsidRPr="00621D77">
        <w:rPr>
          <w:color w:val="000000"/>
          <w:position w:val="0"/>
          <w:lang w:eastAsia="en-GB"/>
        </w:rPr>
        <w:lastRenderedPageBreak/>
        <w:t>Health Care Professionals Act (13/2015)</w:t>
      </w:r>
      <w:r w:rsidR="00727061" w:rsidRPr="00727061">
        <w:rPr>
          <w:rStyle w:val="FootnoteReference"/>
          <w:color w:val="000000"/>
          <w:position w:val="0"/>
          <w:lang w:eastAsia="en-GB"/>
        </w:rPr>
        <w:t xml:space="preserve"> </w:t>
      </w:r>
      <w:r w:rsidR="00727061">
        <w:rPr>
          <w:rStyle w:val="FootnoteReference"/>
          <w:color w:val="000000"/>
          <w:position w:val="0"/>
          <w:lang w:eastAsia="en-GB"/>
        </w:rPr>
        <w:footnoteReference w:id="9"/>
      </w:r>
      <w:r w:rsidRPr="00621D77">
        <w:rPr>
          <w:color w:val="000000"/>
          <w:position w:val="0"/>
          <w:lang w:eastAsia="en-GB"/>
        </w:rPr>
        <w:t>. However, the MACH is focused on licensing, registrations and other administrative tasks with no regard for their role in accountability. </w:t>
      </w:r>
      <w:r w:rsidRPr="001E490D">
        <w:rPr>
          <w:color w:val="000000"/>
          <w:position w:val="0"/>
          <w:lang w:eastAsia="en-GB"/>
        </w:rPr>
        <w:br/>
      </w:r>
    </w:p>
    <w:p w14:paraId="26EDA7A0" w14:textId="4EEFB3A0" w:rsidR="00621D77" w:rsidRPr="001E490D"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Allegations of gross misconduct against mental health practitioners and health care centres surface periodically but corrupt government relations with specific practitioners have made it impossible to hold them accountable. After years of repeated allegations of misconduct and misdiagnosis, a client announced their intention to pursue legal action against a well-known mental health practitioner in 2022 and asked others to come forward. Dozens of allegations surfaced, leading to a public outcry which made way for the Ministry of Health to declare an investigation in October 2022</w:t>
      </w:r>
      <w:r w:rsidR="00A95AE0">
        <w:rPr>
          <w:rStyle w:val="FootnoteReference"/>
          <w:color w:val="000000"/>
          <w:position w:val="0"/>
          <w:lang w:eastAsia="en-GB"/>
        </w:rPr>
        <w:footnoteReference w:id="10"/>
      </w:r>
      <w:r w:rsidRPr="00621D77">
        <w:rPr>
          <w:color w:val="000000"/>
          <w:position w:val="0"/>
          <w:lang w:eastAsia="en-GB"/>
        </w:rPr>
        <w:t>. However, the case was closed without completion, while the client was harassed and doxxed into dropping their complaint.</w:t>
      </w:r>
      <w:r w:rsidRPr="001E490D">
        <w:rPr>
          <w:color w:val="000000"/>
          <w:position w:val="0"/>
          <w:lang w:eastAsia="en-GB"/>
        </w:rPr>
        <w:br/>
      </w:r>
    </w:p>
    <w:p w14:paraId="2972EC35" w14:textId="77777777" w:rsidR="001E490D"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Clients attempting to submit complaints so far have been deterred due to such targeting, resulting in not a single mental health professional being held accountable to date. Although the MAHC has the power to conduct investigations in the event they have become aware of any allegations even without any complaints being submitted, the council has not utilised this mandate.</w:t>
      </w:r>
    </w:p>
    <w:p w14:paraId="7B7A4074" w14:textId="77777777" w:rsidR="001E490D" w:rsidRDefault="001E490D" w:rsidP="001E490D">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354C8AEB" w14:textId="77777777" w:rsidR="001E490D"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There is a lack of easy-to-read documents that accommodate individuals with intellectual disabilities further impeding their ability to access information and services crucial for independent living and societal participation. This absence of accessible information is a significant barrier that must be addressed.</w:t>
      </w:r>
    </w:p>
    <w:p w14:paraId="547A3A41" w14:textId="77777777" w:rsidR="001E490D" w:rsidRPr="001E490D" w:rsidRDefault="001E490D" w:rsidP="001E490D">
      <w:pPr>
        <w:pStyle w:val="ListParagraph"/>
        <w:ind w:left="0" w:hanging="2"/>
        <w:rPr>
          <w:color w:val="000000"/>
          <w:position w:val="0"/>
          <w:lang w:eastAsia="en-GB"/>
        </w:rPr>
      </w:pPr>
    </w:p>
    <w:p w14:paraId="78A8D0BF" w14:textId="77777777"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b/>
          <w:bCs/>
          <w:color w:val="000000"/>
          <w:position w:val="0"/>
          <w:lang w:eastAsia="en-GB"/>
        </w:rPr>
        <w:t>RECOMMENDATION</w:t>
      </w:r>
      <w:r w:rsidRPr="00621D77">
        <w:rPr>
          <w:color w:val="000000"/>
          <w:position w:val="0"/>
          <w:lang w:eastAsia="en-GB"/>
        </w:rPr>
        <w:t>: Reform the Maldives Allied Health Council and establish protocols and amendments informed by public consultations and civil society participation, ensuring participation even throughout the implementation of the complaints procedure. Establish procedures and policies to protect the personal data (such as identity, address, contact details) of clients who submit complaints.</w:t>
      </w:r>
    </w:p>
    <w:p w14:paraId="7F5D2CBD" w14:textId="77777777" w:rsidR="00621D77" w:rsidRPr="00621D77" w:rsidRDefault="00621D77" w:rsidP="001E490D">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348A4A85" w14:textId="77777777" w:rsidR="00621D77" w:rsidRPr="00621D77" w:rsidRDefault="00621D77" w:rsidP="00621D77">
      <w:pPr>
        <w:suppressAutoHyphens w:val="0"/>
        <w:spacing w:line="240" w:lineRule="auto"/>
        <w:ind w:leftChars="0" w:left="0" w:firstLineChars="0" w:firstLine="0"/>
        <w:jc w:val="both"/>
        <w:textDirection w:val="lrTb"/>
        <w:textAlignment w:val="auto"/>
        <w:outlineLvl w:val="9"/>
        <w:rPr>
          <w:color w:val="000000"/>
          <w:position w:val="0"/>
          <w:lang w:eastAsia="en-GB"/>
        </w:rPr>
      </w:pPr>
      <w:r w:rsidRPr="00621D77">
        <w:rPr>
          <w:b/>
          <w:bCs/>
          <w:color w:val="000000"/>
          <w:position w:val="0"/>
          <w:lang w:eastAsia="en-GB"/>
        </w:rPr>
        <w:t>Article 17: Right to Privacy</w:t>
      </w:r>
    </w:p>
    <w:p w14:paraId="38598D89" w14:textId="4087BE1A" w:rsidR="00621D77" w:rsidRPr="00621D77" w:rsidRDefault="00621D77" w:rsidP="001E490D">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75A0AC0B" w14:textId="29F49FE9" w:rsidR="00621D77" w:rsidRPr="001E490D"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Privacy of survivors of abuse has been compromised on many occasions. MPS publish information on abuse cases with a generalised geography of the location and refrain from naming the islands to protect the identity of the survivor. However media outlets at times have mentioned the islands, often leading to the identification of the victim. At times such information is revealed not necessarily in the article itself, but from the general public who shares or comments on those articles. It is imperative for the media outlets to not only refrain from reporting information that may lead to the identity of the survivor but also not to tolerate such information through comments on their social media platforms. </w:t>
      </w:r>
      <w:r w:rsidRPr="001E490D">
        <w:rPr>
          <w:color w:val="000000"/>
          <w:position w:val="0"/>
          <w:lang w:eastAsia="en-GB"/>
        </w:rPr>
        <w:br/>
      </w:r>
    </w:p>
    <w:p w14:paraId="69FCF265" w14:textId="1EA71701" w:rsidR="00621D77" w:rsidRPr="001E490D"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 xml:space="preserve">However, such disclosure is not limited to the media. At times parents themselves go to social media highlighting the supposed abuse or bullying of their children or relatives, in the process revealing the identity of the victim. It is important to note that such steps are </w:t>
      </w:r>
      <w:r w:rsidRPr="00621D77">
        <w:rPr>
          <w:color w:val="000000"/>
          <w:position w:val="0"/>
          <w:lang w:eastAsia="en-GB"/>
        </w:rPr>
        <w:lastRenderedPageBreak/>
        <w:t>taken after repeated attempts to seek justice and redress through official and private channels, and are used as an act of last resort. Nevertheless, such actions are prohibited by Article 33 of the Child Rights Protection Act (CRPA) (19/2019) and may often lead to re-victimisation. </w:t>
      </w:r>
      <w:r w:rsidRPr="001E490D">
        <w:rPr>
          <w:color w:val="000000"/>
          <w:position w:val="0"/>
          <w:lang w:eastAsia="en-GB"/>
        </w:rPr>
        <w:br/>
      </w:r>
    </w:p>
    <w:p w14:paraId="615C0475" w14:textId="77777777" w:rsidR="001E490D"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Children in conflict with the law also face such privacy issues. For instance a child in state care ran away in 2019. His details with photos were provided to the media in an effort to bring him back safely to state care. In an effort to dissuade the pressure and criticism for failure to protect children in State’s very own custody, a ministerial level official of the state revealed that the child in question is actually a child in conflict with the law. As the child’s identity and the photo was well circulated in the media, this revelation was against the standard operating procedure of not revealing the identity of children in conflict with the law. </w:t>
      </w:r>
    </w:p>
    <w:p w14:paraId="24A66B27" w14:textId="2223F524" w:rsidR="00621D77" w:rsidRPr="001E490D" w:rsidRDefault="00621D77" w:rsidP="001E490D">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76EFEEF0" w14:textId="77777777" w:rsidR="001E490D"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The breaches of privacy for PWDs, especially in the context of abuse, highlight serious violations of Article 17 of the ICCPR, which protects against arbitrary or unlawful interference with privacy. These breaches are particularly alarming when sensitive information about PWDs who are victims of abuse or other crimes is mishandled or disclosed improperly.</w:t>
      </w:r>
    </w:p>
    <w:p w14:paraId="6DAE6DB0" w14:textId="77777777" w:rsidR="001E490D" w:rsidRPr="001E490D" w:rsidRDefault="001E490D" w:rsidP="001E490D">
      <w:pPr>
        <w:pStyle w:val="ListParagraph"/>
        <w:ind w:left="0" w:hanging="2"/>
        <w:rPr>
          <w:color w:val="000000"/>
          <w:position w:val="0"/>
          <w:lang w:eastAsia="en-GB"/>
        </w:rPr>
      </w:pPr>
    </w:p>
    <w:p w14:paraId="42AB0C9A" w14:textId="77777777"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For example, there have been instances where the personal details of abuse victims with disabilities have been inappropriately shared within community networks or even through media outlets. This not only compromises their safety and well-being but also subjects them to further stigmatisation and discrimination. In one reported case, the identity of a woman with a disability who was a victim of domestic violence was inadvertently revealed in public records and press reports. As a result, she faced community ostracism and severe mental distress, exacerbating her vulnerability and isolation.</w:t>
      </w:r>
    </w:p>
    <w:p w14:paraId="370F3CE6" w14:textId="52BAB95D" w:rsidR="00621D77" w:rsidRPr="00621D77" w:rsidRDefault="00621D77" w:rsidP="001E490D">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5EA00BEF" w14:textId="77777777"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Furthermore, the unauthorised sharing of medical information is another prevalent issue. There have been cases where the health records of PWDs, including details of their psychological assessments, were accessed without consent by non-medical personnel or leaked to entities outside the healthcare system. This not only breaches their right to privacy but also discourages many from seeking necessary medical or psychological help.</w:t>
      </w:r>
    </w:p>
    <w:p w14:paraId="3CF6BB7F" w14:textId="6065F495" w:rsidR="00621D77" w:rsidRPr="00621D77" w:rsidRDefault="00621D77" w:rsidP="001E490D">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07FBCB65" w14:textId="77777777" w:rsidR="001E490D"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There is a serious issue with health data protection and privacy of the national health insurance scheme (Aasandha) which is having serious negative ramifications for individuals (especially adults) with mental health conditions and psychosocial disabilities.. Aasandha uses a digital database and portal to coordinate patient information between the different actors involved in providing healthcare and medication to individuals. However the portal does not protect patient information, with sensitive personal health information being accessible to everyone from the pharmacy staff to receptionists in health care facilities. The diagnosis and details are also printed on the prescription itself (it is mandatory for a diagnosis to be included in the prescription for the pharmacy to be able to release the medication). This breach of data is often detrimental to the social and financial standing of individuals with highly stigmatised health conditions, especially mental health and psychosocial disabilities.</w:t>
      </w:r>
    </w:p>
    <w:p w14:paraId="61B6A679" w14:textId="77777777" w:rsidR="001E490D" w:rsidRPr="001E490D" w:rsidRDefault="001E490D" w:rsidP="001E490D">
      <w:pPr>
        <w:pStyle w:val="ListParagraph"/>
        <w:ind w:left="0" w:hanging="2"/>
        <w:rPr>
          <w:color w:val="000000"/>
          <w:position w:val="0"/>
          <w:lang w:eastAsia="en-GB"/>
        </w:rPr>
      </w:pPr>
    </w:p>
    <w:p w14:paraId="1B9BEC2E" w14:textId="77777777"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lastRenderedPageBreak/>
        <w:t>To address these violations, there must be stricter controls on information disclosure, including clear guidelines and severe penalties for violations. Institutions and individuals handling sensitive information must be held to higher standards of protection. Training on privacy rights should be mandatory for all professionals working with PWDs, ensuring they understand the legal and ethical implications of mishandling personal information.</w:t>
      </w:r>
    </w:p>
    <w:p w14:paraId="47C0724F" w14:textId="77777777" w:rsidR="00621D77" w:rsidRPr="00621D77" w:rsidRDefault="00621D77" w:rsidP="001E490D">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3CEE131F" w14:textId="77777777" w:rsidR="00621D77" w:rsidRPr="00621D77" w:rsidRDefault="00621D77" w:rsidP="00621D77">
      <w:pPr>
        <w:suppressAutoHyphens w:val="0"/>
        <w:spacing w:line="240" w:lineRule="auto"/>
        <w:ind w:leftChars="0" w:left="0" w:firstLineChars="0" w:firstLine="0"/>
        <w:jc w:val="both"/>
        <w:textDirection w:val="lrTb"/>
        <w:textAlignment w:val="auto"/>
        <w:outlineLvl w:val="9"/>
        <w:rPr>
          <w:color w:val="000000"/>
          <w:position w:val="0"/>
          <w:lang w:eastAsia="en-GB"/>
        </w:rPr>
      </w:pPr>
      <w:r w:rsidRPr="00621D77">
        <w:rPr>
          <w:b/>
          <w:bCs/>
          <w:color w:val="000000"/>
          <w:position w:val="0"/>
          <w:lang w:eastAsia="en-GB"/>
        </w:rPr>
        <w:t>Article 19: Freedom of Opinion and Expression</w:t>
      </w:r>
    </w:p>
    <w:p w14:paraId="14605E9C" w14:textId="6CE4085F" w:rsidR="00621D77" w:rsidRPr="00621D77" w:rsidRDefault="00621D77" w:rsidP="001E490D">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58B498EA" w14:textId="2DC7DDDB" w:rsidR="001E490D"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Media outlets in the Maldives are funded by state and non-state actors who use the media to push their own agendas and as such there is no independent media in the Maldives. A large part of media funding comes from State-Owned Enterprises (SOEs) often with the condition that the media will not publish articles that portray the SOE and/or the state in a negative light. In May 2024 the new government announced that they would be providing funding for the media via the state budget</w:t>
      </w:r>
      <w:r w:rsidR="00A95AE0">
        <w:rPr>
          <w:rStyle w:val="FootnoteReference"/>
          <w:color w:val="000000"/>
          <w:position w:val="0"/>
          <w:lang w:eastAsia="en-GB"/>
        </w:rPr>
        <w:footnoteReference w:id="11"/>
      </w:r>
      <w:r w:rsidRPr="00621D77">
        <w:rPr>
          <w:color w:val="000000"/>
          <w:position w:val="0"/>
          <w:lang w:eastAsia="en-GB"/>
        </w:rPr>
        <w:t>. This raises concerns of the independence of an already compromised media environment.</w:t>
      </w:r>
    </w:p>
    <w:p w14:paraId="1CCA8C39" w14:textId="235B34AF" w:rsidR="00621D77" w:rsidRPr="001E490D" w:rsidRDefault="00621D77" w:rsidP="001E490D">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217235D5" w14:textId="5AC397C4"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Although the Maldivian Constitution grants the right to freedom of expression, freedom of the media and information, the right continues to be violated. The controversial Evidence Act of 2022 (11/2022)</w:t>
      </w:r>
      <w:r w:rsidR="00A95AE0">
        <w:rPr>
          <w:rStyle w:val="FootnoteReference"/>
          <w:color w:val="000000"/>
          <w:position w:val="0"/>
          <w:lang w:eastAsia="en-GB"/>
        </w:rPr>
        <w:footnoteReference w:id="12"/>
      </w:r>
      <w:r w:rsidRPr="00621D77">
        <w:rPr>
          <w:color w:val="000000"/>
          <w:position w:val="0"/>
          <w:lang w:eastAsia="en-GB"/>
        </w:rPr>
        <w:t xml:space="preserve"> violates the constitution by giving powers to the courts to mandate journalists to reveal their sources</w:t>
      </w:r>
      <w:r w:rsidR="00A95AE0">
        <w:rPr>
          <w:rStyle w:val="FootnoteReference"/>
          <w:color w:val="000000"/>
          <w:position w:val="0"/>
          <w:lang w:eastAsia="en-GB"/>
        </w:rPr>
        <w:footnoteReference w:id="13"/>
      </w:r>
      <w:r w:rsidRPr="00621D77">
        <w:rPr>
          <w:color w:val="000000"/>
          <w:position w:val="0"/>
          <w:lang w:eastAsia="en-GB"/>
        </w:rPr>
        <w:t>. Journalists and media in the Maldives face censorship, targeting, and even physical violence and assault from law enforcement while covering news such as protests. Journalists and news channels face death threats and harassment, online and offline, including an opposition-leaning TV-station fined multiple times and eventually set on fire. </w:t>
      </w:r>
    </w:p>
    <w:p w14:paraId="3587FF07" w14:textId="7D00D1B9" w:rsidR="00621D77" w:rsidRPr="00621D77" w:rsidRDefault="00621D77" w:rsidP="001E490D">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2B991157" w14:textId="1C568A13" w:rsidR="00621D77" w:rsidRPr="001E490D"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The Right to Information (RTI) (1/2014) Act is a fundamental legislative measure intended to foster transparency and ensure public access to information under government control. However, the effectiveness of the RTI Act is significantly diminished by accessibility barriers that prevent visually impaired individuals from utilising this tool fully.</w:t>
      </w:r>
      <w:r w:rsidRPr="001E490D">
        <w:rPr>
          <w:color w:val="000000"/>
          <w:position w:val="0"/>
          <w:lang w:eastAsia="en-GB"/>
        </w:rPr>
        <w:br/>
      </w:r>
    </w:p>
    <w:p w14:paraId="2CD5F47F" w14:textId="77777777" w:rsidR="001E490D"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A critical issue within the current RTI system is the lack of digital accessibility. This gap in the system's design means that visually impaired persons face undue hurdles in accessing information that should be freely available. The absence of alternative text formats, non-compatible website designs, and lack of support for screen readers are primary concerns that need immediate address.</w:t>
      </w:r>
    </w:p>
    <w:p w14:paraId="359126FE" w14:textId="27116C34" w:rsidR="00621D77" w:rsidRPr="001E490D" w:rsidRDefault="00621D77" w:rsidP="001E490D">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55E8B2F8" w14:textId="77777777" w:rsidR="001E490D"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 xml:space="preserve">The digital platforms used to file RTI requests and access information are not universally designed to accommodate the needs of visually impaired users. This oversight violates the inclusive principles set forth under Article 19 of the Universal Declaration of Human Rights (UDHR), which emphasises the right to freedom of opinion and expression. This right includes the freedom to seek, receive, and impart information and ideas through </w:t>
      </w:r>
      <w:r w:rsidRPr="00621D77">
        <w:rPr>
          <w:color w:val="000000"/>
          <w:position w:val="0"/>
          <w:lang w:eastAsia="en-GB"/>
        </w:rPr>
        <w:lastRenderedPageBreak/>
        <w:t>any media regardless of frontiers, implicitly demanding that such mediums be accessible to all, including people with disabilities.</w:t>
      </w:r>
    </w:p>
    <w:p w14:paraId="5B26C097" w14:textId="77777777" w:rsidR="001E490D" w:rsidRPr="001E490D" w:rsidRDefault="001E490D" w:rsidP="001E490D">
      <w:pPr>
        <w:pStyle w:val="ListParagraph"/>
        <w:ind w:left="0" w:hanging="2"/>
        <w:rPr>
          <w:color w:val="000000"/>
          <w:position w:val="0"/>
          <w:lang w:eastAsia="en-GB"/>
        </w:rPr>
      </w:pPr>
    </w:p>
    <w:p w14:paraId="3FE8B5D1" w14:textId="2151BA35" w:rsidR="001E490D"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Despite a strong Right To Information Act (2014), the act is not being properly implemented across all levels of the government. A study in 2022 by the Association for Democracy (ADM) in the Maldives showed that none of the 73 state institutions that were monitored fully complied with mandated proactive disclosure requirements under the RTI Act</w:t>
      </w:r>
      <w:r w:rsidR="00A95AE0">
        <w:rPr>
          <w:rStyle w:val="FootnoteReference"/>
          <w:color w:val="000000"/>
          <w:position w:val="0"/>
          <w:lang w:eastAsia="en-GB"/>
        </w:rPr>
        <w:footnoteReference w:id="14"/>
      </w:r>
      <w:r w:rsidRPr="00621D77">
        <w:rPr>
          <w:color w:val="000000"/>
          <w:position w:val="0"/>
          <w:lang w:eastAsia="en-GB"/>
        </w:rPr>
        <w:t>. Another study in 2023 found that current practices in the Maldives do not ensure the right to information in an effective or timely manner</w:t>
      </w:r>
      <w:r w:rsidR="00A95AE0">
        <w:rPr>
          <w:rStyle w:val="FootnoteReference"/>
          <w:color w:val="000000"/>
          <w:position w:val="0"/>
          <w:lang w:eastAsia="en-GB"/>
        </w:rPr>
        <w:footnoteReference w:id="15"/>
      </w:r>
      <w:r w:rsidRPr="00621D77">
        <w:rPr>
          <w:color w:val="000000"/>
          <w:position w:val="0"/>
          <w:lang w:eastAsia="en-GB"/>
        </w:rPr>
        <w:t>. There is a fear that the RTI Act might actually be repealed in future owing to the “cost of implementing the Act”, including dissolution of the Office of Information Commissioner (ICOM). </w:t>
      </w:r>
    </w:p>
    <w:p w14:paraId="5D93F528" w14:textId="77777777" w:rsidR="001E490D" w:rsidRPr="001E490D" w:rsidRDefault="001E490D" w:rsidP="001E490D">
      <w:pPr>
        <w:pStyle w:val="ListParagraph"/>
        <w:ind w:left="0" w:hanging="2"/>
        <w:rPr>
          <w:color w:val="000000"/>
          <w:position w:val="0"/>
          <w:lang w:eastAsia="en-GB"/>
        </w:rPr>
      </w:pPr>
    </w:p>
    <w:p w14:paraId="0935F062" w14:textId="37B7D84C"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Some state institutions have responded to those utilising the right to information regime with hostility and even threats. In 2022 when a right to information practitioner received threats and intimidation from a phone number attributed to the Malé city council, the police refused to investigate the case stating that they did not have enough evidence to investigate and that the case should be submitted to the Information Commissioner's Office (ICOM) instead</w:t>
      </w:r>
      <w:r w:rsidR="00B92BCB">
        <w:rPr>
          <w:rStyle w:val="FootnoteReference"/>
          <w:color w:val="000000"/>
          <w:position w:val="0"/>
          <w:lang w:eastAsia="en-GB"/>
        </w:rPr>
        <w:footnoteReference w:id="16"/>
      </w:r>
      <w:r w:rsidRPr="00621D77">
        <w:rPr>
          <w:color w:val="000000"/>
          <w:position w:val="0"/>
          <w:lang w:eastAsia="en-GB"/>
        </w:rPr>
        <w:t>. It should be noted that intimidation and threats are a criminal offence as per Section 2 of the Prohibition of Intimidation and Possession of Dangerous Weapons and Sharp Objects Act (17/2010).</w:t>
      </w:r>
    </w:p>
    <w:p w14:paraId="28F5BD0C" w14:textId="77777777" w:rsidR="00C25FF8" w:rsidRDefault="00C25FF8" w:rsidP="00621D77">
      <w:pPr>
        <w:suppressAutoHyphens w:val="0"/>
        <w:spacing w:line="240" w:lineRule="auto"/>
        <w:ind w:leftChars="0" w:left="0" w:firstLineChars="0" w:firstLine="0"/>
        <w:jc w:val="both"/>
        <w:textDirection w:val="lrTb"/>
        <w:textAlignment w:val="auto"/>
        <w:outlineLvl w:val="9"/>
        <w:rPr>
          <w:b/>
          <w:bCs/>
          <w:color w:val="000000"/>
          <w:position w:val="0"/>
          <w:lang w:eastAsia="en-GB"/>
        </w:rPr>
      </w:pPr>
    </w:p>
    <w:p w14:paraId="240FE2FD" w14:textId="31947FC0" w:rsidR="00621D77" w:rsidRPr="00621D77" w:rsidRDefault="00621D77" w:rsidP="00621D77">
      <w:pPr>
        <w:suppressAutoHyphens w:val="0"/>
        <w:spacing w:line="240" w:lineRule="auto"/>
        <w:ind w:leftChars="0" w:left="0" w:firstLineChars="0" w:firstLine="0"/>
        <w:jc w:val="both"/>
        <w:textDirection w:val="lrTb"/>
        <w:textAlignment w:val="auto"/>
        <w:outlineLvl w:val="9"/>
        <w:rPr>
          <w:color w:val="000000"/>
          <w:position w:val="0"/>
          <w:lang w:eastAsia="en-GB"/>
        </w:rPr>
      </w:pPr>
      <w:r w:rsidRPr="00621D77">
        <w:rPr>
          <w:b/>
          <w:bCs/>
          <w:color w:val="000000"/>
          <w:position w:val="0"/>
          <w:lang w:eastAsia="en-GB"/>
        </w:rPr>
        <w:t>Article 21: Freedom of Assembly</w:t>
      </w:r>
    </w:p>
    <w:p w14:paraId="1083CDDE" w14:textId="74477602" w:rsidR="00621D77" w:rsidRPr="001E490D" w:rsidRDefault="00621D77" w:rsidP="001E490D">
      <w:pPr>
        <w:suppressAutoHyphens w:val="0"/>
        <w:spacing w:line="240" w:lineRule="auto"/>
        <w:ind w:leftChars="0" w:left="0" w:firstLineChars="0" w:firstLine="0"/>
        <w:jc w:val="both"/>
        <w:textDirection w:val="lrTb"/>
        <w:textAlignment w:val="baseline"/>
        <w:outlineLvl w:val="9"/>
        <w:rPr>
          <w:color w:val="000000"/>
          <w:position w:val="0"/>
          <w:lang w:eastAsia="en-GB"/>
        </w:rPr>
      </w:pPr>
    </w:p>
    <w:p w14:paraId="1A66D4DF" w14:textId="77777777" w:rsidR="001E490D"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The right to freedom of assembly granted in the 2008 Maldivian constitution is restricted by the 2016 amendments to the Freedom of Peaceful Assembly Act (1/2013). These restrictions include the mandating prior approval from the Ministry of Homeland Security and the MPS to hold gatherings.</w:t>
      </w:r>
    </w:p>
    <w:p w14:paraId="27804576" w14:textId="77777777" w:rsidR="001E490D" w:rsidRDefault="001E490D" w:rsidP="001E490D">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380C255D" w14:textId="77777777" w:rsid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The Maldivian Democratic Party pledged to repeal these restrictions when they were in the opposition. However once elected they instead justified and used these restrictions on groups such as migrant workers protesting unpaid wages and labour/human rights violations, women's rights and child rights advocacy groups. Despite submitting an amendment to the Parliament to repeal the restrictions, it was “parked” at the committee stage in a parliament that was controlled by the same political party. </w:t>
      </w:r>
    </w:p>
    <w:p w14:paraId="75482112" w14:textId="77777777" w:rsidR="00B92BCB" w:rsidRPr="00B92BCB" w:rsidRDefault="00B92BCB" w:rsidP="00B92BCB">
      <w:pPr>
        <w:suppressAutoHyphens w:val="0"/>
        <w:spacing w:line="240" w:lineRule="auto"/>
        <w:ind w:leftChars="0" w:left="0" w:firstLineChars="0" w:firstLine="0"/>
        <w:jc w:val="both"/>
        <w:textDirection w:val="lrTb"/>
        <w:textAlignment w:val="baseline"/>
        <w:outlineLvl w:val="9"/>
        <w:rPr>
          <w:color w:val="000000"/>
          <w:position w:val="0"/>
          <w:lang w:eastAsia="en-GB"/>
        </w:rPr>
      </w:pPr>
    </w:p>
    <w:p w14:paraId="34708F40" w14:textId="5EEBF977" w:rsidR="00621D77" w:rsidRPr="001E490D"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The application of the law and restrictions to Freedom of Assembly are also selective with some parties being able to exercise the right freely while others such as opposition political parties, civil society and rights advocates are not allowed to do so.</w:t>
      </w:r>
      <w:r w:rsidRPr="001E490D">
        <w:rPr>
          <w:color w:val="000000"/>
          <w:position w:val="0"/>
          <w:lang w:eastAsia="en-GB"/>
        </w:rPr>
        <w:br/>
      </w:r>
    </w:p>
    <w:p w14:paraId="43EBDF89" w14:textId="39598E92" w:rsidR="001E490D"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This right is further restricted for expatriate workers in the Maldives who are often exploited and trafficked into the country. In 2020 the government used xenophobic and fear-mongering tactics to justify violent crackdowns on protests by exploited expatriate workers</w:t>
      </w:r>
      <w:r w:rsidR="00B92BCB">
        <w:rPr>
          <w:rStyle w:val="FootnoteReference"/>
          <w:color w:val="000000"/>
          <w:position w:val="0"/>
          <w:lang w:eastAsia="en-GB"/>
        </w:rPr>
        <w:footnoteReference w:id="17"/>
      </w:r>
      <w:r w:rsidRPr="00621D77">
        <w:rPr>
          <w:color w:val="000000"/>
          <w:position w:val="0"/>
          <w:lang w:eastAsia="en-GB"/>
        </w:rPr>
        <w:t xml:space="preserve">. Senior defence officials called the protests a threat to national security and equated them with terrorism. Xenophobia against migrant workers also comes from the </w:t>
      </w:r>
      <w:r w:rsidRPr="00621D77">
        <w:rPr>
          <w:color w:val="000000"/>
          <w:position w:val="0"/>
          <w:lang w:eastAsia="en-GB"/>
        </w:rPr>
        <w:lastRenderedPageBreak/>
        <w:t>general public, for instance there was a hesitancy to provide COVID vaccination for migrant workers for free. Nevertheless, such retaliation reduced with State’s explanation that vaccinating migrant workers will not only benefit migrant workers themselves but also Maldivian citizens as herd immunity threshold would be difficult to reach without vaccinating the ever-growing migrant population. </w:t>
      </w:r>
    </w:p>
    <w:p w14:paraId="3EE5040A" w14:textId="4AEB6B21" w:rsidR="00621D77" w:rsidRPr="001E490D" w:rsidRDefault="00621D77" w:rsidP="001E490D">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72D8BEEF" w14:textId="77777777"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b/>
          <w:bCs/>
          <w:color w:val="000000"/>
          <w:position w:val="0"/>
          <w:lang w:eastAsia="en-GB"/>
        </w:rPr>
        <w:t>RECOMMENDATION</w:t>
      </w:r>
      <w:r w:rsidRPr="00621D77">
        <w:rPr>
          <w:color w:val="000000"/>
          <w:position w:val="0"/>
          <w:lang w:eastAsia="en-GB"/>
        </w:rPr>
        <w:t>: Repeal the amendments to the Freedom of Assembly Act and ensure the right to freedom of assembly.</w:t>
      </w:r>
    </w:p>
    <w:p w14:paraId="0021C5B9" w14:textId="77777777" w:rsidR="00621D77" w:rsidRPr="00621D77" w:rsidRDefault="00621D77" w:rsidP="001E490D">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2AAAF717" w14:textId="77777777" w:rsidR="00621D77" w:rsidRPr="00621D77" w:rsidRDefault="00621D77" w:rsidP="00621D77">
      <w:pPr>
        <w:suppressAutoHyphens w:val="0"/>
        <w:spacing w:line="240" w:lineRule="auto"/>
        <w:ind w:leftChars="0" w:left="0" w:firstLineChars="0" w:firstLine="0"/>
        <w:jc w:val="both"/>
        <w:textDirection w:val="lrTb"/>
        <w:textAlignment w:val="auto"/>
        <w:outlineLvl w:val="9"/>
        <w:rPr>
          <w:color w:val="000000"/>
          <w:position w:val="0"/>
          <w:lang w:eastAsia="en-GB"/>
        </w:rPr>
      </w:pPr>
      <w:r w:rsidRPr="00621D77">
        <w:rPr>
          <w:b/>
          <w:bCs/>
          <w:color w:val="000000"/>
          <w:position w:val="0"/>
          <w:lang w:eastAsia="en-GB"/>
        </w:rPr>
        <w:t>Article 22: Freedom of Association</w:t>
      </w:r>
    </w:p>
    <w:p w14:paraId="7BD5FFA0" w14:textId="230B3841" w:rsidR="00621D77" w:rsidRPr="001E490D" w:rsidRDefault="00621D77" w:rsidP="001E490D">
      <w:pPr>
        <w:suppressAutoHyphens w:val="0"/>
        <w:spacing w:line="240" w:lineRule="auto"/>
        <w:ind w:leftChars="0" w:left="0" w:firstLineChars="0" w:firstLine="0"/>
        <w:jc w:val="both"/>
        <w:textDirection w:val="lrTb"/>
        <w:textAlignment w:val="baseline"/>
        <w:outlineLvl w:val="9"/>
        <w:rPr>
          <w:color w:val="000000"/>
          <w:position w:val="0"/>
          <w:lang w:eastAsia="en-GB"/>
        </w:rPr>
      </w:pPr>
    </w:p>
    <w:p w14:paraId="6CDE3D6B" w14:textId="763B5FCD" w:rsidR="00621D77" w:rsidRPr="001E490D"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The new Associations Act of 2022 imposes undue limitations on the right to Freedom of Association and grants the registrar control over the regulation of associations.</w:t>
      </w:r>
      <w:r w:rsidRPr="001E490D">
        <w:rPr>
          <w:color w:val="000000"/>
          <w:position w:val="0"/>
          <w:lang w:eastAsia="en-GB"/>
        </w:rPr>
        <w:br/>
      </w:r>
    </w:p>
    <w:p w14:paraId="7BEF9E03" w14:textId="77777777" w:rsidR="001E490D"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The Registrar of Association has the mandate of registering and deregistering civil society organisations. Despite concerns raised by civil society organisations, the Registrar of Association continues to be a politically appointed position. </w:t>
      </w:r>
    </w:p>
    <w:p w14:paraId="5042E512" w14:textId="328DCF07" w:rsidR="00621D77" w:rsidRPr="001E490D" w:rsidRDefault="00621D77" w:rsidP="001E490D">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315AC7CB" w14:textId="77777777"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One of the key limitations in the new Act is that an individual can be in an Executive Committee of one CSO. Most CSO personnel are still voluntary portfolios and do not earn a salary from being a member of the Executive Committee. Despite the sheer number of registered NGOs, individuals associated with active NGOs are very few and as such work in multiple CSOs. The new Act also allows multiple CSOs to create a network by law and in such situations the nominations for the networks Executive Committee has to be members outside of the member CSOs Executive Committee as they can't sit in both the CSO Executive Committees and the Network’s Executive Committee. Such provisions are very impractical for a CSO community as small as in the Maldives. </w:t>
      </w:r>
    </w:p>
    <w:p w14:paraId="02AF91F0" w14:textId="3EDA2945" w:rsidR="00621D77" w:rsidRPr="001E490D" w:rsidRDefault="00621D77" w:rsidP="001E490D">
      <w:pPr>
        <w:suppressAutoHyphens w:val="0"/>
        <w:spacing w:line="240" w:lineRule="auto"/>
        <w:ind w:leftChars="0" w:left="0" w:firstLineChars="0" w:firstLine="0"/>
        <w:jc w:val="both"/>
        <w:textDirection w:val="lrTb"/>
        <w:textAlignment w:val="baseline"/>
        <w:outlineLvl w:val="9"/>
        <w:rPr>
          <w:color w:val="000000"/>
          <w:position w:val="0"/>
          <w:lang w:eastAsia="en-GB"/>
        </w:rPr>
      </w:pPr>
    </w:p>
    <w:p w14:paraId="247E59D7" w14:textId="77777777"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Civic space continues to shrink in the Maldives and civil Society Organisations continue to be targeted by both state and non-state actors. Including CSOs being subject to arbitrary de-registration and human rights defenders being forced into exile.</w:t>
      </w:r>
    </w:p>
    <w:p w14:paraId="1E4942AF" w14:textId="526E250A" w:rsidR="00621D77" w:rsidRPr="00621D77" w:rsidRDefault="00621D77" w:rsidP="001E490D">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7B8FF92E" w14:textId="640B69DA"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Rights-based organisations (such as human rights, women and child rights, gender rights) are often subject to targeting. In 2020 Uthema was targeted and a police case lodged against them following their report on the Maldives to the UN Committee on the Elimination of Discrimination against Women  under the Convention on the Elimination of All Forms of Discrimination Against Women</w:t>
      </w:r>
      <w:r w:rsidR="00B92BCB">
        <w:rPr>
          <w:color w:val="000000"/>
          <w:position w:val="0"/>
          <w:lang w:val="en-US" w:eastAsia="en-GB"/>
        </w:rPr>
        <w:t xml:space="preserve"> </w:t>
      </w:r>
      <w:r w:rsidR="00B92BCB" w:rsidRPr="00621D77">
        <w:rPr>
          <w:color w:val="000000"/>
          <w:position w:val="0"/>
          <w:lang w:eastAsia="en-GB"/>
        </w:rPr>
        <w:t>(CEDAW)</w:t>
      </w:r>
      <w:r w:rsidR="00B92BCB" w:rsidRPr="00B92BCB">
        <w:rPr>
          <w:rStyle w:val="FootnoteReference"/>
          <w:color w:val="000000"/>
          <w:position w:val="0"/>
          <w:lang w:eastAsia="en-GB"/>
        </w:rPr>
        <w:t xml:space="preserve"> </w:t>
      </w:r>
      <w:r w:rsidR="00B92BCB">
        <w:rPr>
          <w:rStyle w:val="FootnoteReference"/>
          <w:color w:val="000000"/>
          <w:position w:val="0"/>
          <w:lang w:eastAsia="en-GB"/>
        </w:rPr>
        <w:footnoteReference w:id="18"/>
      </w:r>
      <w:r w:rsidRPr="00621D77">
        <w:rPr>
          <w:color w:val="000000"/>
          <w:position w:val="0"/>
          <w:lang w:eastAsia="en-GB"/>
        </w:rPr>
        <w:t>.</w:t>
      </w:r>
    </w:p>
    <w:p w14:paraId="5D575019" w14:textId="668FDCD4" w:rsidR="00621D77" w:rsidRPr="00621D77" w:rsidRDefault="00621D77" w:rsidP="001E490D">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79A8A89E" w14:textId="77777777"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CSOs working on sensitive and stigmated issues (such as substance abuse, children in conflict with the law, prisoners, and violent extremism) face negative attitudes and lack of support for their work from communities.</w:t>
      </w:r>
    </w:p>
    <w:p w14:paraId="5659B7EC" w14:textId="381795F2" w:rsidR="00621D77" w:rsidRPr="00621D77" w:rsidRDefault="00621D77" w:rsidP="001E490D">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4AF1C29C" w14:textId="77777777"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 xml:space="preserve">Due to these challenges, CSOs and OPDs/DPOs are not active in all relevant areas. For instance WASH is an area where civil society is extremely inactive, and as a result CSOs input is not adequate in designing and implementing WASH.  Lack of space for CSO engagement from policy, implementation, operation to service provision of WASH hinders </w:t>
      </w:r>
      <w:r w:rsidRPr="00621D77">
        <w:rPr>
          <w:color w:val="000000"/>
          <w:position w:val="0"/>
          <w:lang w:eastAsia="en-GB"/>
        </w:rPr>
        <w:lastRenderedPageBreak/>
        <w:t>service provision as well as development of WASH multi-stakeholder networks. For WASH there are no planned periodic multi-stakeholder engagement mechanisms or platforms supported by the government or mechanisms to direct issues to policy level. CSOs have a responsibility to create this awareness and initiate corrective action from the grassroots.</w:t>
      </w:r>
    </w:p>
    <w:p w14:paraId="37C3A766" w14:textId="7BE03216" w:rsidR="00621D77" w:rsidRPr="00621D77" w:rsidRDefault="00621D77" w:rsidP="001E490D">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03B1B8AF" w14:textId="77777777" w:rsidR="001E490D"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b/>
          <w:bCs/>
          <w:color w:val="000000"/>
          <w:position w:val="0"/>
          <w:lang w:eastAsia="en-GB"/>
        </w:rPr>
        <w:t>RECOMMENDATION</w:t>
      </w:r>
      <w:r w:rsidRPr="00621D77">
        <w:rPr>
          <w:color w:val="000000"/>
          <w:position w:val="0"/>
          <w:lang w:eastAsia="en-GB"/>
        </w:rPr>
        <w:t>: Ensure protections for civil society actors, rights defenders and journalists to be able to carry out their work without threats, reprisals, harassment and attacks.</w:t>
      </w:r>
    </w:p>
    <w:p w14:paraId="5406CC3E" w14:textId="77777777" w:rsidR="001E490D" w:rsidRPr="001E490D" w:rsidRDefault="001E490D" w:rsidP="001E490D">
      <w:pPr>
        <w:pStyle w:val="ListParagraph"/>
        <w:ind w:left="0" w:hanging="2"/>
        <w:rPr>
          <w:color w:val="000000"/>
          <w:position w:val="0"/>
          <w:lang w:eastAsia="en-GB"/>
        </w:rPr>
      </w:pPr>
    </w:p>
    <w:p w14:paraId="7CD446AC" w14:textId="77777777"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b/>
          <w:bCs/>
          <w:color w:val="000000"/>
          <w:position w:val="0"/>
          <w:lang w:eastAsia="en-GB"/>
        </w:rPr>
        <w:t>RECOMMENDATION</w:t>
      </w:r>
      <w:r w:rsidRPr="00621D77">
        <w:rPr>
          <w:color w:val="000000"/>
          <w:position w:val="0"/>
          <w:lang w:eastAsia="en-GB"/>
        </w:rPr>
        <w:t>: Conduct impartial and effective investigations into attacks and threats against civil society actors, rights defenders and journalists</w:t>
      </w:r>
    </w:p>
    <w:p w14:paraId="76A82925" w14:textId="77777777" w:rsidR="00621D77" w:rsidRPr="00621D77" w:rsidRDefault="00621D77" w:rsidP="001E490D">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2C3F699A" w14:textId="77777777" w:rsidR="00621D77" w:rsidRPr="00621D77" w:rsidRDefault="00621D77" w:rsidP="00621D77">
      <w:pPr>
        <w:suppressAutoHyphens w:val="0"/>
        <w:spacing w:line="240" w:lineRule="auto"/>
        <w:ind w:leftChars="0" w:left="0" w:firstLineChars="0" w:firstLine="0"/>
        <w:jc w:val="both"/>
        <w:textDirection w:val="lrTb"/>
        <w:textAlignment w:val="auto"/>
        <w:outlineLvl w:val="9"/>
        <w:rPr>
          <w:color w:val="000000"/>
          <w:position w:val="0"/>
          <w:lang w:eastAsia="en-GB"/>
        </w:rPr>
      </w:pPr>
      <w:r w:rsidRPr="00621D77">
        <w:rPr>
          <w:b/>
          <w:bCs/>
          <w:color w:val="000000"/>
          <w:position w:val="0"/>
          <w:lang w:eastAsia="en-GB"/>
        </w:rPr>
        <w:t>Article 23: Marriage and Family</w:t>
      </w:r>
    </w:p>
    <w:p w14:paraId="17C307D9" w14:textId="16AE3318" w:rsidR="00621D77" w:rsidRPr="00621D77" w:rsidRDefault="00621D77" w:rsidP="001E490D">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2188C6A9" w14:textId="77777777" w:rsidR="001E490D"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By Article 25 of the CRPA, Maldives closed the gap in the Family Act (4/2000) which allowed children aged 16 and 17 to get married, provided that they meet a certain criteria and their parents consent to them being married. This step must be welcomed as it effectively abolished child marriage in the Maldives. In the Maldives children are not allowed to join most state jobs, or operate a bank account, or obtain a driving licence in a country where public transport was non-existent. These practical limitations leave married children at the mercy of their adult spouses leaving them prone to abuse and exploitation. It is important to keep this new progressive stand to ensure that no child is subjected to child marriages. </w:t>
      </w:r>
    </w:p>
    <w:p w14:paraId="0FAB4DA8" w14:textId="173A08F4" w:rsidR="00621D77" w:rsidRPr="001E490D" w:rsidRDefault="00621D77" w:rsidP="001E490D">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39CEE3EC" w14:textId="77777777"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Nevertheless, underage and out of court marriages do happen as per the reports issued by the state. Underage marriages, although rare, often happens in the context of religious extremism. While underage marriages happen out of court due to legal restrictions, marriages between adults also happen out of court largely to avoid the restrictions imposed by law, especially for polygamous marriages. Maldivians are mandated to register marriages that happen outside of its borders in the Maldives Family Court. However, many fail to do so for various reasons, and often become problematic when they have children or when cases of domestic abuse are reported or if it ends in divorce. </w:t>
      </w:r>
    </w:p>
    <w:p w14:paraId="510AAFEC" w14:textId="28763E07" w:rsidR="00621D77" w:rsidRPr="00621D77" w:rsidRDefault="00621D77" w:rsidP="001E490D">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220BCCC0" w14:textId="4C67191E"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According to UNICEF Maldives</w:t>
      </w:r>
      <w:r w:rsidR="00B92BCB">
        <w:rPr>
          <w:rStyle w:val="FootnoteReference"/>
          <w:color w:val="000000"/>
          <w:position w:val="0"/>
          <w:lang w:eastAsia="en-GB"/>
        </w:rPr>
        <w:footnoteReference w:id="19"/>
      </w:r>
      <w:r w:rsidRPr="00621D77">
        <w:rPr>
          <w:color w:val="000000"/>
          <w:position w:val="0"/>
          <w:lang w:eastAsia="en-GB"/>
        </w:rPr>
        <w:t>, an unpublished report on child marriage in the Maldives found general disapproval towards the practice of child marriage and are aware of its negative consequences such as difficult pregnancy, labor and delivery, increased school drop-outs and decreased income. The respondents also indicated that they would likely report child marriage cases to relevant authorities. </w:t>
      </w:r>
    </w:p>
    <w:p w14:paraId="39BA9753" w14:textId="77777777" w:rsidR="00621D77" w:rsidRPr="00621D77" w:rsidRDefault="00621D77" w:rsidP="001E490D">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4106BD70" w14:textId="6A8B02BE" w:rsidR="001E490D" w:rsidRDefault="00621D77" w:rsidP="001E490D">
      <w:pPr>
        <w:suppressAutoHyphens w:val="0"/>
        <w:spacing w:line="240" w:lineRule="auto"/>
        <w:ind w:leftChars="0" w:left="0" w:firstLineChars="0" w:firstLine="0"/>
        <w:jc w:val="both"/>
        <w:textDirection w:val="lrTb"/>
        <w:textAlignment w:val="auto"/>
        <w:outlineLvl w:val="9"/>
        <w:rPr>
          <w:b/>
          <w:bCs/>
          <w:color w:val="000000"/>
          <w:position w:val="0"/>
          <w:lang w:eastAsia="en-GB"/>
        </w:rPr>
      </w:pPr>
      <w:r w:rsidRPr="00621D77">
        <w:rPr>
          <w:b/>
          <w:bCs/>
          <w:color w:val="000000"/>
          <w:position w:val="0"/>
          <w:lang w:eastAsia="en-GB"/>
        </w:rPr>
        <w:t>Article 24: Child Rights</w:t>
      </w:r>
    </w:p>
    <w:p w14:paraId="64E39EF3" w14:textId="77777777" w:rsidR="001E490D" w:rsidRPr="00621D77" w:rsidRDefault="001E490D" w:rsidP="001E490D">
      <w:pPr>
        <w:suppressAutoHyphens w:val="0"/>
        <w:spacing w:line="240" w:lineRule="auto"/>
        <w:ind w:leftChars="0" w:left="0" w:firstLineChars="0" w:firstLine="0"/>
        <w:jc w:val="both"/>
        <w:textDirection w:val="lrTb"/>
        <w:textAlignment w:val="auto"/>
        <w:outlineLvl w:val="9"/>
        <w:rPr>
          <w:b/>
          <w:bCs/>
          <w:color w:val="000000"/>
          <w:position w:val="0"/>
          <w:lang w:eastAsia="en-GB"/>
        </w:rPr>
      </w:pPr>
    </w:p>
    <w:p w14:paraId="685D6507" w14:textId="77777777" w:rsidR="001E490D"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 xml:space="preserve">CRPA and JJA also determined 15 as the age of criminal responsibility. With an increasing amount of children in conflict with law, including in gang violence and other violent crimes, age of criminal responsibility is a sensitive topic in the Maldives. After a </w:t>
      </w:r>
      <w:r w:rsidRPr="00621D77">
        <w:rPr>
          <w:color w:val="000000"/>
          <w:position w:val="0"/>
          <w:lang w:eastAsia="en-GB"/>
        </w:rPr>
        <w:lastRenderedPageBreak/>
        <w:t>high-profile bullying case, in April 2024, State has expressed its desire to revert the age of criminal responsibility to 13 citing lack of actions that can be taken against children in conflict with the law aged 13 and 14. </w:t>
      </w:r>
    </w:p>
    <w:p w14:paraId="418A0762" w14:textId="61F9B0A2" w:rsidR="00621D77" w:rsidRPr="001E490D" w:rsidRDefault="00621D77" w:rsidP="001E490D">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674A0514" w14:textId="77777777"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As Juvenile Justice Act is based on the concept of restorative justice, as opposed to the retributive justice principles, the primary goal of JJA is to keep children away from crime. While the age of criminal responsibility is set at 15, JJA also provides opportunities for relevant state institutions to address crimes committed by children aged 14 and below. </w:t>
      </w:r>
    </w:p>
    <w:p w14:paraId="1DB1BF3D" w14:textId="42FA10B1" w:rsidR="00621D77" w:rsidRPr="00621D77" w:rsidRDefault="00621D77" w:rsidP="001E490D">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02C0D479" w14:textId="77777777" w:rsidR="001E490D"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There are four key challenges for implementing JJA. First is the absence of restorative justice pathways that the Act envisages as well as detention facilities that are introduced by the Act. Second challenge is substantive actions against legal guardians' neglect and/or abuse, which is a common prelude for children in conflict with law. Third challenge is the lack of actions against gangs and other criminal elements in society who exploit children in their criminal activities. A final and fourth challenge is that protections guaranteed in the JJA are not extended to certain types of crimes committed by children. Case in point includes children who are victims of substance abuse and children in conflict with the law returning from war zones, who will be tried through Drug Act (17/2011) and Anti-Terrorism Act (32/2015) respectively. </w:t>
      </w:r>
    </w:p>
    <w:p w14:paraId="3AA3E0ED" w14:textId="77777777" w:rsidR="001E490D" w:rsidRPr="001E490D" w:rsidRDefault="001E490D" w:rsidP="001E490D">
      <w:pPr>
        <w:pStyle w:val="ListParagraph"/>
        <w:ind w:left="0" w:hanging="2"/>
        <w:rPr>
          <w:color w:val="000000"/>
          <w:position w:val="0"/>
          <w:lang w:eastAsia="en-GB"/>
        </w:rPr>
      </w:pPr>
    </w:p>
    <w:p w14:paraId="51DBFF4F" w14:textId="77777777" w:rsid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Given these challenges in implementing JJA, priority shall be to implement the JJA rather than removing the key concepts of the Act as well as regressing to a retributive justice model for children. </w:t>
      </w:r>
    </w:p>
    <w:p w14:paraId="40E986AE" w14:textId="77777777" w:rsidR="001E490D" w:rsidRPr="001E490D" w:rsidRDefault="001E490D" w:rsidP="001E490D">
      <w:pPr>
        <w:pStyle w:val="ListParagraph"/>
        <w:ind w:left="0" w:hanging="2"/>
        <w:rPr>
          <w:color w:val="000000"/>
          <w:position w:val="0"/>
          <w:lang w:eastAsia="en-GB"/>
        </w:rPr>
      </w:pPr>
    </w:p>
    <w:p w14:paraId="0DC1F79F" w14:textId="7A783C63"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Despite the enactment of CRPA and protection measures introduced by the Act, high prevalence of child abuse as well as lower reporting and inefficiency of the protection system is a cause for concern. According to UNICEF Maldives</w:t>
      </w:r>
      <w:r w:rsidR="00C25FF8">
        <w:rPr>
          <w:rStyle w:val="FootnoteReference"/>
          <w:color w:val="000000"/>
          <w:position w:val="0"/>
          <w:lang w:eastAsia="en-GB"/>
        </w:rPr>
        <w:footnoteReference w:id="20"/>
      </w:r>
      <w:r w:rsidRPr="00621D77">
        <w:rPr>
          <w:color w:val="000000"/>
          <w:position w:val="0"/>
          <w:lang w:eastAsia="en-GB"/>
        </w:rPr>
        <w:t>, there is a correlation between violence against children, gender based violence and poverty rates, leaving marginalised groups of children paying a higher price for such violence, which will only worsen due to the impact of COVID 19. </w:t>
      </w:r>
    </w:p>
    <w:p w14:paraId="65454070" w14:textId="492C34CD" w:rsidR="00621D77" w:rsidRPr="00621D77" w:rsidRDefault="00621D77" w:rsidP="001E490D">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4105AA65" w14:textId="68F5307D" w:rsidR="00621D77" w:rsidRPr="001E490D"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Other types of child neglect are also evident in data. In 2009, Demographic Health Survey (DHS) revealed that vaccination coverage was at 93%, which fell to 77% in 2017 DHS. The concern within the health and child protection sector is that if the vaccination falls below herd immunity threshold, Maldives may regress in eradication and/or prevalence of diseases that are preventable through vaccination. For instance, DHS found that measles second dose at 75%, well below required 92-94% herd immunity threshold. Subsequently in early 2020 Maldives had a measles outbreak, just three years after declaring a “measles-free” country in 2017. Hesitancy towards vaccination comes from extreme religious interpretations and theories that linked vaccination to autism and other disabilities, both debunked by islamic scholars and scientists respectively. </w:t>
      </w:r>
      <w:r w:rsidRPr="001E490D">
        <w:rPr>
          <w:color w:val="000000"/>
          <w:position w:val="0"/>
          <w:lang w:eastAsia="en-GB"/>
        </w:rPr>
        <w:br/>
      </w:r>
    </w:p>
    <w:p w14:paraId="1166A9EE" w14:textId="77777777"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 xml:space="preserve">By Article 3 of the Law on Birth and Death Registration (23/2022) legal guardians are mandated to apply for birth registration within 7 days of child’s birth. Failure to do so is a punishable offence and can be fined for up to MVR 10,000.00 (USD 648.51). </w:t>
      </w:r>
      <w:r w:rsidRPr="00621D77">
        <w:rPr>
          <w:color w:val="000000"/>
          <w:position w:val="0"/>
          <w:lang w:eastAsia="en-GB"/>
        </w:rPr>
        <w:lastRenderedPageBreak/>
        <w:t>Nevertheless, Maldives is yet to reach a universal birth registration, with UNICEF reporting 88.9% of children being registered across the country. </w:t>
      </w:r>
    </w:p>
    <w:p w14:paraId="2A91BCA5" w14:textId="1D51FD00" w:rsidR="00621D77" w:rsidRPr="00621D77" w:rsidRDefault="00621D77" w:rsidP="00700FD7">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7F3E4581" w14:textId="77777777" w:rsidR="00700FD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Exploitation of children for production of child sexual abuse materials (CSAM) is of particular concern in the Maldives. According to MPS in 2023 alone 21 children were victimised in CSAM cases. However, it is difficult to ascertain the percentage of children used in the production of CSAM and being exposed to CSAM. Maldives also remains vulnerable to online sexual exploitation of children due to two risk factors: first being lack of legal protection including cyber laws and second being high internet penetration at 85%, highest in the South Asian region. </w:t>
      </w:r>
    </w:p>
    <w:p w14:paraId="51270C7F" w14:textId="12FD6C23" w:rsidR="00621D77" w:rsidRPr="00700FD7" w:rsidRDefault="00621D77" w:rsidP="00700FD7">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4E692DEE" w14:textId="77777777" w:rsidR="00700FD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Mental health for children has been an issue, particularly laid bare by the COVID 19 and its impact and disruption on children. Documented increase of child abuse and domestic violence cases during COVID 19 would further complicated the mental health situation of children. Maldives Global School-based Health Survey 2014 revealed that  1 in 5 children had made a plan for how they would attempt suicide and 1 in 8 children had seriously considered attempting suicide.</w:t>
      </w:r>
    </w:p>
    <w:p w14:paraId="3413D73B" w14:textId="77777777" w:rsidR="00700FD7" w:rsidRPr="00700FD7" w:rsidRDefault="00700FD7" w:rsidP="00700FD7">
      <w:pPr>
        <w:pStyle w:val="ListParagraph"/>
        <w:ind w:left="0" w:hanging="2"/>
        <w:rPr>
          <w:color w:val="000000"/>
          <w:position w:val="0"/>
          <w:lang w:eastAsia="en-GB"/>
        </w:rPr>
      </w:pPr>
    </w:p>
    <w:p w14:paraId="7F07B90C" w14:textId="77777777"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Previous administration (2018-2023) introduced a policy of moving children living in Male’ City’s shelters to 9 facilities located across the country. While this may address some of the most pressing issues such as overcrowding of shelters in Male’ area, the policy was implemented without proper preparations both with children as well as in host islands, introducing a new dynamic to these small island communities. This move also made the monitoring and evaluation of shelters and service provision difficult. </w:t>
      </w:r>
    </w:p>
    <w:p w14:paraId="665304B5" w14:textId="7C6660F3" w:rsidR="00621D77" w:rsidRPr="00621D77" w:rsidRDefault="00621D77" w:rsidP="00700FD7">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19E87DA1" w14:textId="77777777"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Some NGOs routinely conducted programmes for children in shelters as well as capacity-building programmes for staff of these institutions. However, as a response to COVID 19 the Ministry of Gender, Family and Social Services restricted access to shelters, and continued to impose those restrictions until November 2023. New administration however lifted the restrictions in May 2024 providing a renewed opportunity for civil society to conduct meaningful programmes for children living in shelters. </w:t>
      </w:r>
    </w:p>
    <w:p w14:paraId="07285638" w14:textId="7EA23439" w:rsidR="00621D77" w:rsidRPr="00621D77" w:rsidRDefault="00621D77" w:rsidP="00700FD7">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318055D2" w14:textId="77777777"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Children born out of wedlock are an extremely vulnerable group who experience discrimination both by law and in practice. These discriminations may include, but are not limited to fathers names (even when the father requests that his name be added), inheritance and child maintenance. CSOs distributing food aid to vulnerable families during COVID 19 also noted that when asked to list down families needing food assistance in the community, some island councils would not include families with children born out of wedlock as they see such families “unworthy” of receiving such assistance, while CSOs intent is to provide such assistance to vulnerable families without discrimination. Discrimination both in law and in practice against children born out of wedlock warrants more focus in policy dialogue and in implementing child protection measures. </w:t>
      </w:r>
    </w:p>
    <w:p w14:paraId="23692AF7" w14:textId="2FBA68C4" w:rsidR="00621D77" w:rsidRPr="00621D77" w:rsidRDefault="00621D77" w:rsidP="00700FD7">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14A1F8C2" w14:textId="77777777"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 xml:space="preserve">There was a renewed emphasis on WASH in schools when children were returning to physical classrooms after the COVID lockdowns. According to UNICEF Maldives, a low rate of diarrheal infections in the Maldives suggest that WASH and infant nutrition programmes are effective. However, children with disabilities continue to face </w:t>
      </w:r>
      <w:r w:rsidRPr="00621D77">
        <w:rPr>
          <w:color w:val="000000"/>
          <w:position w:val="0"/>
          <w:lang w:eastAsia="en-GB"/>
        </w:rPr>
        <w:lastRenderedPageBreak/>
        <w:t>challenges in schools on WASH with lack of accessible toilets. Even when accessible bathrooms were designed, some schools use it as storerooms or for other purposes owing to the lack of children with disabilities who warrant such bathrooms. </w:t>
      </w:r>
    </w:p>
    <w:p w14:paraId="24D0F8B4" w14:textId="77777777" w:rsidR="00621D77" w:rsidRPr="00621D77" w:rsidRDefault="00621D77" w:rsidP="00700FD7">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7FE1DD24" w14:textId="77777777" w:rsidR="00621D77" w:rsidRPr="00621D77" w:rsidRDefault="00621D77" w:rsidP="00621D77">
      <w:pPr>
        <w:suppressAutoHyphens w:val="0"/>
        <w:spacing w:line="240" w:lineRule="auto"/>
        <w:ind w:leftChars="0" w:left="0" w:firstLineChars="0" w:firstLine="0"/>
        <w:jc w:val="both"/>
        <w:textDirection w:val="lrTb"/>
        <w:textAlignment w:val="auto"/>
        <w:outlineLvl w:val="9"/>
        <w:rPr>
          <w:color w:val="000000"/>
          <w:position w:val="0"/>
          <w:lang w:eastAsia="en-GB"/>
        </w:rPr>
      </w:pPr>
      <w:r w:rsidRPr="00621D77">
        <w:rPr>
          <w:b/>
          <w:bCs/>
          <w:color w:val="000000"/>
          <w:position w:val="0"/>
          <w:lang w:eastAsia="en-GB"/>
        </w:rPr>
        <w:t>Article 25: Right to Public Life</w:t>
      </w:r>
    </w:p>
    <w:p w14:paraId="16EDA06C" w14:textId="10403F53" w:rsidR="00621D77" w:rsidRPr="00621D77" w:rsidRDefault="00621D77" w:rsidP="00700FD7">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353009C1" w14:textId="77777777"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The challenges faced by persons with disabilities (PWDs) in participating in public life, particularly in voting, starkly contrast with the principles outlined in Article 25 of the ICCPR, which guarantees the right and opportunity for every citizen to participate in the conduct of public affairs, including voting. This right is undermined when accessibility and appropriate accommodations at polling stations are lacking.</w:t>
      </w:r>
    </w:p>
    <w:p w14:paraId="0EF305A3" w14:textId="0BCA04C2" w:rsidR="00621D77" w:rsidRPr="00621D77" w:rsidRDefault="00621D77" w:rsidP="00700FD7">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1C2BED7F" w14:textId="77777777"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Recent elections have highlighted significant issues, such as a large number of votes being invalidated due to minor errors. For instance, voters with visual impairments or physical impairements often face difficulties in marking ballots correctly, leading to their votes being deemed invalid. This situation was exacerbated by a lack of adequate arrangements for elderly and voters with disabilities, who reportedly faced long waits without necessary support, such as priority voting or wheelchair access, resulting in some leaving without casting their votes.</w:t>
      </w:r>
    </w:p>
    <w:p w14:paraId="5C42EC37" w14:textId="60254364" w:rsidR="00621D77" w:rsidRPr="00621D77" w:rsidRDefault="00621D77" w:rsidP="00700FD7">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0E6CD3F9" w14:textId="77777777"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The issue of voter education for PWDs encompasses not only the provision of accessible information and voting methods but also addresses the ethical treatment of PWDs within the political arena. Unfortunately, there are concerning practices where PWDs are often utilised as props in political campaigns to garner sympathy and support from the electorate. This manipulation undermines the autonomy and dignity of individuals with disabilities by reducing their role to mere tools in political strategy rather than recognizing them as equal participants in the democratic process.</w:t>
      </w:r>
    </w:p>
    <w:p w14:paraId="000CB0B5" w14:textId="10974705" w:rsidR="00621D77" w:rsidRPr="00621D77" w:rsidRDefault="00621D77" w:rsidP="00700FD7">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01E3BA8B" w14:textId="77777777"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Furthermore, there have been instances where PWDs are provided financial aid or other incentives by political entities to publicly endorse or support specific candidates. Such practices not only exploit the financial vulnerabilities of PWDs but also skew the genuine political engagement and expression of this demographic. This approach distorts the democratic process by influencing votes through sympathy gained from showcasing support from vulnerable groups rather than through fair and equitable policy proposals that address the needs of those groups.</w:t>
      </w:r>
    </w:p>
    <w:p w14:paraId="18780F1D" w14:textId="168C4FAE" w:rsidR="00621D77" w:rsidRPr="00621D77" w:rsidRDefault="00621D77" w:rsidP="00700FD7">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50E87789" w14:textId="77777777"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To genuinely support the rights of PWDs to participate in public life as outlined in Article 25, comprehensive voter education programs must be implemented. These programs should ensure that PWDs are fully informed about their voting rights and the policies that affect them, without being subjected to manipulation. Such education, however, is not limited to PWDs themselves, but to policymakers as well as public officials administering voting processes, and most importantly to candidates and political parties. </w:t>
      </w:r>
    </w:p>
    <w:p w14:paraId="013EACAB" w14:textId="77777777" w:rsidR="00621D77" w:rsidRPr="00621D77" w:rsidRDefault="00621D77" w:rsidP="00700FD7">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5C72BA9E" w14:textId="77777777" w:rsidR="00621D77" w:rsidRPr="00621D77" w:rsidRDefault="00621D77" w:rsidP="00621D77">
      <w:pPr>
        <w:suppressAutoHyphens w:val="0"/>
        <w:spacing w:line="240" w:lineRule="auto"/>
        <w:ind w:leftChars="0" w:left="0" w:firstLineChars="0" w:firstLine="0"/>
        <w:jc w:val="both"/>
        <w:textDirection w:val="lrTb"/>
        <w:textAlignment w:val="auto"/>
        <w:outlineLvl w:val="9"/>
        <w:rPr>
          <w:color w:val="000000"/>
          <w:position w:val="0"/>
          <w:lang w:eastAsia="en-GB"/>
        </w:rPr>
      </w:pPr>
      <w:r w:rsidRPr="00621D77">
        <w:rPr>
          <w:b/>
          <w:bCs/>
          <w:color w:val="000000"/>
          <w:position w:val="0"/>
          <w:lang w:eastAsia="en-GB"/>
        </w:rPr>
        <w:t>Article 26: Access to Justice</w:t>
      </w:r>
    </w:p>
    <w:p w14:paraId="386E1678" w14:textId="3B9866B3" w:rsidR="00621D77" w:rsidRPr="00621D77" w:rsidRDefault="00621D77" w:rsidP="00700FD7">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03F5E508" w14:textId="0100F4BF" w:rsidR="00621D77" w:rsidRPr="00700FD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 xml:space="preserve">The absence of adequate interpretation services for persons with disabilities (PWDs) is a critical barrier that impedes their full and equal access to justice, as ensured by Article 26 of the ICCPR. This gap in services affects a wide range of disabilities, </w:t>
      </w:r>
      <w:r w:rsidRPr="00621D77">
        <w:rPr>
          <w:color w:val="000000"/>
          <w:position w:val="0"/>
          <w:lang w:eastAsia="en-GB"/>
        </w:rPr>
        <w:lastRenderedPageBreak/>
        <w:t>including those with hearing impairments, individuals with visual impairments, and those with intellectual or developmental disabilities who may require specialised communication methods.</w:t>
      </w:r>
      <w:r w:rsidRPr="00700FD7">
        <w:rPr>
          <w:color w:val="000000"/>
          <w:position w:val="0"/>
          <w:lang w:eastAsia="en-GB"/>
        </w:rPr>
        <w:br/>
      </w:r>
    </w:p>
    <w:p w14:paraId="63CC4997" w14:textId="77777777" w:rsidR="00700FD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For individuals with hearing impairments the lack of sign language interpreters in legal settings can prevent them from understanding proceedings, participating in their defence, or expressing their needs and narratives effectively. Similarly, people with visual impairments often face challenges when accessible formats for documents and digital content are not provided, hindering their ability to review legal documents, evidence, or participate fully in legal processes.</w:t>
      </w:r>
    </w:p>
    <w:p w14:paraId="7FDE22BC" w14:textId="2F301713" w:rsidR="00621D77" w:rsidRPr="00700FD7" w:rsidRDefault="00621D77" w:rsidP="00700FD7">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07E7944A" w14:textId="77777777"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For those with intellectual disabilities, the absence of interpretation or communication support can make legal concepts and procedures difficult to comprehend, leaving them at a significant disadvantage in both civil and criminal matters. This not only affects their ability to claim their rights but also places them at a higher risk of manipulation or misunderstanding legal agreements and consents.</w:t>
      </w:r>
    </w:p>
    <w:p w14:paraId="5A309673" w14:textId="62F1F8FC" w:rsidR="00621D77" w:rsidRPr="00621D77" w:rsidRDefault="00621D77" w:rsidP="00700FD7">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1508A321" w14:textId="77777777"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color w:val="000000"/>
          <w:position w:val="0"/>
          <w:lang w:eastAsia="en-GB"/>
        </w:rPr>
        <w:t>The lack of proper interpretation services thus denies PWDs equal protection and undermines their fundamental rights to fair treatment and justice. </w:t>
      </w:r>
    </w:p>
    <w:p w14:paraId="0766EB4E" w14:textId="77E9C784" w:rsidR="00621D77" w:rsidRPr="00621D77" w:rsidRDefault="00621D77" w:rsidP="00700FD7">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211BEF31" w14:textId="77777777" w:rsidR="00700FD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b/>
          <w:bCs/>
          <w:color w:val="000000"/>
          <w:position w:val="0"/>
          <w:lang w:eastAsia="en-GB"/>
        </w:rPr>
        <w:t>Physical Accessibility</w:t>
      </w:r>
      <w:r w:rsidRPr="00621D77">
        <w:rPr>
          <w:color w:val="000000"/>
          <w:position w:val="0"/>
          <w:lang w:eastAsia="en-GB"/>
        </w:rPr>
        <w:t>: As previously mentioned under accessibility, many courthouses and legal offices lack physical accessibility features such as ramps, elevators, and accessible restrooms. This makes it challenging for individuals with mobility impairments to physically access these spaces to attend hearings, meet with legal counsel, or file documents.</w:t>
      </w:r>
    </w:p>
    <w:p w14:paraId="47B3DECD" w14:textId="77777777" w:rsidR="00700FD7" w:rsidRPr="00700FD7" w:rsidRDefault="00700FD7" w:rsidP="00700FD7">
      <w:pPr>
        <w:pStyle w:val="ListParagraph"/>
        <w:ind w:left="0" w:hanging="2"/>
        <w:rPr>
          <w:color w:val="000000"/>
          <w:position w:val="0"/>
          <w:lang w:eastAsia="en-GB"/>
        </w:rPr>
      </w:pPr>
    </w:p>
    <w:p w14:paraId="2E878A13" w14:textId="77777777"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b/>
          <w:bCs/>
          <w:color w:val="000000"/>
          <w:position w:val="0"/>
          <w:lang w:eastAsia="en-GB"/>
        </w:rPr>
        <w:t>Communication Barriers</w:t>
      </w:r>
      <w:r w:rsidRPr="00621D77">
        <w:rPr>
          <w:color w:val="000000"/>
          <w:position w:val="0"/>
          <w:lang w:eastAsia="en-GB"/>
        </w:rPr>
        <w:t>: As previously noted, the lack of interpretation services, including sign language interpreters and materials in accessible formats (braille, large print, easy-to-read documents), restricts the ability of PWDs to understand and participate effectively in legal proceedings. This is crucial not only for those with hearing or visual impairments but also for individuals with intellectual disabilities who may require simplified language to comprehend complex legal information.</w:t>
      </w:r>
    </w:p>
    <w:p w14:paraId="20C8BFEA" w14:textId="77777777" w:rsidR="00621D77" w:rsidRPr="00621D77" w:rsidRDefault="00621D77" w:rsidP="00700FD7">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r w:rsidRPr="00621D77">
        <w:rPr>
          <w:color w:val="000000"/>
          <w:position w:val="0"/>
          <w:lang w:eastAsia="en-GB"/>
        </w:rPr>
        <w:br/>
      </w:r>
    </w:p>
    <w:p w14:paraId="30DA3B83" w14:textId="77777777" w:rsidR="00700FD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b/>
          <w:bCs/>
          <w:color w:val="000000"/>
          <w:position w:val="0"/>
          <w:lang w:eastAsia="en-GB"/>
        </w:rPr>
        <w:t>Lack of Legal Representation</w:t>
      </w:r>
      <w:r w:rsidRPr="00621D77">
        <w:rPr>
          <w:color w:val="000000"/>
          <w:position w:val="0"/>
          <w:lang w:eastAsia="en-GB"/>
        </w:rPr>
        <w:t>: PWDs often face difficulties securing legal representation that is adequately trained to address their specific needs. Many attorneys and legal professionals lack training on disability rights and may not be equipped to advocate effectively on behalf of clients with disabilities. PWDs may also find it difficult to obtain legal services due to the high cost of such services as </w:t>
      </w:r>
    </w:p>
    <w:p w14:paraId="07DEDE74" w14:textId="3F29E7E2" w:rsidR="00621D77" w:rsidRPr="00700FD7" w:rsidRDefault="00621D77" w:rsidP="00700FD7">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0C08BAF2" w14:textId="77777777" w:rsidR="00621D77" w:rsidRPr="00621D7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b/>
          <w:bCs/>
          <w:color w:val="000000"/>
          <w:position w:val="0"/>
          <w:lang w:eastAsia="en-GB"/>
        </w:rPr>
        <w:t>Discrimination and Bias</w:t>
      </w:r>
      <w:r w:rsidRPr="00621D77">
        <w:rPr>
          <w:color w:val="000000"/>
          <w:position w:val="0"/>
          <w:lang w:eastAsia="en-GB"/>
        </w:rPr>
        <w:t>: Systemic bias and discrimination against PWDs can lead to their concerns and rights being minimised or overlooked within the legal system. This can affect the outcomes of legal proceedings and the willingness of law enforcement to take the complaints of PWDs seriously.</w:t>
      </w:r>
    </w:p>
    <w:p w14:paraId="45F88F3C" w14:textId="45B19408" w:rsidR="00621D77" w:rsidRPr="00621D77" w:rsidRDefault="00621D77" w:rsidP="00700FD7">
      <w:pPr>
        <w:pStyle w:val="ListParagraph"/>
        <w:suppressAutoHyphens w:val="0"/>
        <w:spacing w:line="240" w:lineRule="auto"/>
        <w:ind w:leftChars="0" w:left="360" w:firstLineChars="0" w:firstLine="0"/>
        <w:jc w:val="both"/>
        <w:textDirection w:val="lrTb"/>
        <w:textAlignment w:val="baseline"/>
        <w:outlineLvl w:val="9"/>
        <w:rPr>
          <w:color w:val="000000"/>
          <w:position w:val="0"/>
          <w:lang w:eastAsia="en-GB"/>
        </w:rPr>
      </w:pPr>
    </w:p>
    <w:p w14:paraId="527783DC" w14:textId="2AB4F8BD" w:rsidR="00621D77" w:rsidRPr="00700FD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b/>
          <w:bCs/>
          <w:color w:val="000000"/>
          <w:position w:val="0"/>
          <w:lang w:eastAsia="en-GB"/>
        </w:rPr>
        <w:t>Financial Constraints</w:t>
      </w:r>
      <w:r w:rsidRPr="00621D77">
        <w:rPr>
          <w:color w:val="000000"/>
          <w:position w:val="0"/>
          <w:lang w:eastAsia="en-GB"/>
        </w:rPr>
        <w:t xml:space="preserve">: The financial burden associated with pursuing legal action can be prohibitive for many PWDs. Given the higher rates of unemployment and poverty among this demographic, affording legal fees, transportation costs, and other </w:t>
      </w:r>
      <w:r w:rsidRPr="00621D77">
        <w:rPr>
          <w:color w:val="000000"/>
          <w:position w:val="0"/>
          <w:lang w:eastAsia="en-GB"/>
        </w:rPr>
        <w:lastRenderedPageBreak/>
        <w:t>related expenses is often a significant barrier. Much of the free legal advice available from the state is actually available for criminal defence, while the vast majority of the legal services needed for PWDs is civil in nature. While there are CSOs that provide free legal services, even those are limited to migrant workers, domestic violence and custody cases.</w:t>
      </w:r>
      <w:r w:rsidRPr="00700FD7">
        <w:rPr>
          <w:color w:val="000000"/>
          <w:position w:val="0"/>
          <w:lang w:eastAsia="en-GB"/>
        </w:rPr>
        <w:br/>
      </w:r>
    </w:p>
    <w:p w14:paraId="030833FF" w14:textId="6FC5D025" w:rsidR="00621D77" w:rsidRPr="00700FD7" w:rsidRDefault="00621D77" w:rsidP="00530C15">
      <w:pPr>
        <w:pStyle w:val="ListParagraph"/>
        <w:numPr>
          <w:ilvl w:val="0"/>
          <w:numId w:val="1"/>
        </w:numPr>
        <w:tabs>
          <w:tab w:val="clear" w:pos="720"/>
          <w:tab w:val="num" w:pos="0"/>
        </w:tabs>
        <w:suppressAutoHyphens w:val="0"/>
        <w:spacing w:line="240" w:lineRule="auto"/>
        <w:ind w:leftChars="0" w:left="0" w:firstLineChars="0" w:firstLine="360"/>
        <w:jc w:val="both"/>
        <w:textDirection w:val="lrTb"/>
        <w:textAlignment w:val="baseline"/>
        <w:outlineLvl w:val="9"/>
        <w:rPr>
          <w:color w:val="000000"/>
          <w:position w:val="0"/>
          <w:lang w:eastAsia="en-GB"/>
        </w:rPr>
      </w:pPr>
      <w:r w:rsidRPr="00621D77">
        <w:rPr>
          <w:b/>
          <w:bCs/>
          <w:color w:val="000000"/>
          <w:position w:val="0"/>
          <w:lang w:eastAsia="en-GB"/>
        </w:rPr>
        <w:t>Awareness and Information</w:t>
      </w:r>
      <w:r w:rsidRPr="00621D77">
        <w:rPr>
          <w:color w:val="000000"/>
          <w:position w:val="0"/>
          <w:lang w:eastAsia="en-GB"/>
        </w:rPr>
        <w:t>: A lack of targeted information about legal rights and the availability of supports and accommodations can prevent PWDs from pursuing justice. Without knowledge of their rights or the specific accommodations they are entitled to, PWDs may not seek legal redress when wronged.</w:t>
      </w:r>
    </w:p>
    <w:p w14:paraId="6CBF632C" w14:textId="77777777" w:rsidR="00621D77" w:rsidRPr="00621D77" w:rsidRDefault="00621D77" w:rsidP="00621D77">
      <w:pPr>
        <w:suppressAutoHyphens w:val="0"/>
        <w:spacing w:line="240" w:lineRule="auto"/>
        <w:ind w:leftChars="0" w:left="720" w:firstLineChars="0" w:firstLine="0"/>
        <w:jc w:val="both"/>
        <w:textDirection w:val="lrTb"/>
        <w:textAlignment w:val="auto"/>
        <w:outlineLvl w:val="9"/>
        <w:rPr>
          <w:color w:val="000000"/>
          <w:position w:val="0"/>
          <w:lang w:eastAsia="en-GB"/>
        </w:rPr>
      </w:pPr>
      <w:r w:rsidRPr="00621D77">
        <w:rPr>
          <w:color w:val="000000"/>
          <w:position w:val="0"/>
          <w:lang w:eastAsia="en-GB"/>
        </w:rPr>
        <w:t> </w:t>
      </w:r>
    </w:p>
    <w:p w14:paraId="054C8F45" w14:textId="77777777" w:rsidR="00621D77" w:rsidRPr="00621D77" w:rsidRDefault="00621D77" w:rsidP="00621D77">
      <w:pPr>
        <w:suppressAutoHyphens w:val="0"/>
        <w:spacing w:line="240" w:lineRule="auto"/>
        <w:ind w:leftChars="0" w:left="720" w:firstLineChars="0" w:firstLine="0"/>
        <w:jc w:val="both"/>
        <w:textDirection w:val="lrTb"/>
        <w:textAlignment w:val="auto"/>
        <w:outlineLvl w:val="9"/>
        <w:rPr>
          <w:color w:val="000000"/>
          <w:position w:val="0"/>
          <w:lang w:eastAsia="en-GB"/>
        </w:rPr>
      </w:pPr>
      <w:r w:rsidRPr="00621D77">
        <w:rPr>
          <w:rFonts w:ascii="Arial" w:hAnsi="Arial" w:cs="Arial"/>
          <w:color w:val="000000"/>
          <w:position w:val="0"/>
          <w:sz w:val="22"/>
          <w:szCs w:val="22"/>
          <w:lang w:eastAsia="en-GB"/>
        </w:rPr>
        <w:t> </w:t>
      </w:r>
    </w:p>
    <w:p w14:paraId="6520ECE8" w14:textId="77777777" w:rsidR="00621D77" w:rsidRPr="00621D77" w:rsidRDefault="00621D77" w:rsidP="00621D77">
      <w:pPr>
        <w:suppressAutoHyphens w:val="0"/>
        <w:spacing w:line="240" w:lineRule="auto"/>
        <w:ind w:leftChars="0" w:left="720" w:firstLineChars="0" w:firstLine="0"/>
        <w:jc w:val="center"/>
        <w:textDirection w:val="lrTb"/>
        <w:textAlignment w:val="auto"/>
        <w:outlineLvl w:val="9"/>
        <w:rPr>
          <w:color w:val="000000"/>
          <w:position w:val="0"/>
          <w:lang w:eastAsia="en-GB"/>
        </w:rPr>
      </w:pPr>
      <w:r w:rsidRPr="00621D77">
        <w:rPr>
          <w:rFonts w:ascii="Arial" w:hAnsi="Arial" w:cs="Arial"/>
          <w:color w:val="000000"/>
          <w:position w:val="0"/>
          <w:sz w:val="22"/>
          <w:szCs w:val="22"/>
          <w:lang w:eastAsia="en-GB"/>
        </w:rPr>
        <w:t>______________________________</w:t>
      </w:r>
    </w:p>
    <w:p w14:paraId="58906A48" w14:textId="77777777" w:rsidR="00621D77" w:rsidRPr="00621D77" w:rsidRDefault="00621D77" w:rsidP="00C25FF8">
      <w:pPr>
        <w:suppressAutoHyphens w:val="0"/>
        <w:spacing w:line="240" w:lineRule="auto"/>
        <w:ind w:leftChars="0" w:left="0" w:firstLineChars="0" w:firstLine="0"/>
        <w:textDirection w:val="lrTb"/>
        <w:textAlignment w:val="auto"/>
        <w:outlineLvl w:val="9"/>
        <w:rPr>
          <w:position w:val="0"/>
          <w:lang w:eastAsia="en-GB"/>
        </w:rPr>
      </w:pPr>
    </w:p>
    <w:sectPr w:rsidR="00621D77" w:rsidRPr="00621D77">
      <w:headerReference w:type="default" r:id="rId14"/>
      <w:footerReference w:type="default" r:id="rId15"/>
      <w:pgSz w:w="12240" w:h="15840"/>
      <w:pgMar w:top="1440" w:right="1800" w:bottom="1440" w:left="18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406037" w14:textId="77777777" w:rsidR="00530C15" w:rsidRDefault="00530C15">
      <w:pPr>
        <w:spacing w:line="240" w:lineRule="auto"/>
        <w:ind w:left="0" w:hanging="2"/>
      </w:pPr>
      <w:r>
        <w:separator/>
      </w:r>
    </w:p>
  </w:endnote>
  <w:endnote w:type="continuationSeparator" w:id="0">
    <w:p w14:paraId="19BA125B" w14:textId="77777777" w:rsidR="00530C15" w:rsidRDefault="00530C15">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embedRegular r:id="rId1" w:fontKey="{5A992660-196F-8841-991F-1DA42E792551}"/>
    <w:embedBold r:id="rId2" w:fontKey="{3CFE91C7-F549-4A41-A892-CD1126993263}"/>
  </w:font>
  <w:font w:name="Georgia">
    <w:panose1 w:val="02040502050405020303"/>
    <w:charset w:val="00"/>
    <w:family w:val="roman"/>
    <w:pitch w:val="variable"/>
    <w:sig w:usb0="00000287" w:usb1="00000000" w:usb2="00000000" w:usb3="00000000" w:csb0="0000009F" w:csb1="00000000"/>
    <w:embedRegular r:id="rId3" w:fontKey="{8A99D2FB-7073-0C4D-AF56-61F2DE6DD3DB}"/>
    <w:embedItalic r:id="rId4" w:fontKey="{9D2B0A5E-B6C8-564C-8809-5222025B6CBD}"/>
  </w:font>
  <w:font w:name="A_BISMILLAH">
    <w:altName w:val="Calibri"/>
    <w:panose1 w:val="020B0604020202020204"/>
    <w:charset w:val="00"/>
    <w:family w:val="auto"/>
    <w:pitch w:val="variable"/>
    <w:sig w:usb0="00000003" w:usb1="00000000" w:usb2="00000000" w:usb3="00000000" w:csb0="00000001" w:csb1="00000000"/>
    <w:embedRegular r:id="rId5" w:fontKey="{0760BDFA-F10C-7646-A409-17D855FD0FE5}"/>
  </w:font>
  <w:font w:name="Belleza">
    <w:charset w:val="00"/>
    <w:family w:val="auto"/>
    <w:pitch w:val="default"/>
    <w:embedRegular r:id="rId6" w:fontKey="{0E301F91-5E09-AD46-A32B-8376AFEBAECD}"/>
  </w:font>
  <w:font w:name="Arial">
    <w:panose1 w:val="020B0604020202020204"/>
    <w:charset w:val="00"/>
    <w:family w:val="swiss"/>
    <w:pitch w:val="variable"/>
    <w:sig w:usb0="E0002AFF" w:usb1="C0007843" w:usb2="00000009" w:usb3="00000000" w:csb0="000001FF" w:csb1="00000000"/>
    <w:embedRegular r:id="rId7" w:fontKey="{7491B049-1490-B74A-8500-E894BB7F6842}"/>
    <w:embedBold r:id="rId8" w:fontKey="{04F6C78B-A233-4E42-B222-98313872C1F9}"/>
  </w:font>
  <w:font w:name="Calibri">
    <w:panose1 w:val="020F0502020204030204"/>
    <w:charset w:val="00"/>
    <w:family w:val="swiss"/>
    <w:pitch w:val="variable"/>
    <w:sig w:usb0="E0002AFF" w:usb1="C000ACFF" w:usb2="00000009" w:usb3="00000000" w:csb0="000001FF" w:csb1="00000000"/>
    <w:embedRegular r:id="rId9" w:fontKey="{2E47E454-B4BF-2746-9DC4-71D180B2FE32}"/>
  </w:font>
  <w:font w:name="Cambria">
    <w:panose1 w:val="02040503050406030204"/>
    <w:charset w:val="00"/>
    <w:family w:val="roman"/>
    <w:pitch w:val="variable"/>
    <w:sig w:usb0="E00002FF" w:usb1="400004FF" w:usb2="00000000" w:usb3="00000000" w:csb0="0000019F" w:csb1="00000000"/>
    <w:embedRegular r:id="rId10" w:fontKey="{7FF3A0C9-9130-2048-B751-CA2BB1F9FBE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BE" w14:textId="3716B4DA" w:rsidR="007F7998" w:rsidRDefault="00530C15">
    <w:pPr>
      <w:ind w:left="0" w:hanging="2"/>
      <w:jc w:val="right"/>
    </w:pPr>
    <w:r>
      <w:fldChar w:fldCharType="begin"/>
    </w:r>
    <w:r>
      <w:instrText>PAGE</w:instrText>
    </w:r>
    <w:r>
      <w:fldChar w:fldCharType="separate"/>
    </w:r>
    <w:r w:rsidR="00114FC3">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F20AF1" w14:textId="77777777" w:rsidR="00530C15" w:rsidRDefault="00530C15">
      <w:pPr>
        <w:spacing w:line="240" w:lineRule="auto"/>
        <w:ind w:left="0" w:hanging="2"/>
      </w:pPr>
      <w:r>
        <w:separator/>
      </w:r>
    </w:p>
  </w:footnote>
  <w:footnote w:type="continuationSeparator" w:id="0">
    <w:p w14:paraId="4068C999" w14:textId="77777777" w:rsidR="00530C15" w:rsidRDefault="00530C15">
      <w:pPr>
        <w:spacing w:line="240" w:lineRule="auto"/>
        <w:ind w:left="0" w:hanging="2"/>
      </w:pPr>
      <w:r>
        <w:continuationSeparator/>
      </w:r>
    </w:p>
  </w:footnote>
  <w:footnote w:id="1">
    <w:p w14:paraId="1DF88519" w14:textId="77777777" w:rsidR="00700FD7" w:rsidRPr="00CD6E1D" w:rsidRDefault="00700FD7" w:rsidP="00700FD7">
      <w:pPr>
        <w:pStyle w:val="FootnoteText"/>
        <w:ind w:left="0" w:hanging="2"/>
        <w:rPr>
          <w:lang w:val="en-US"/>
        </w:rPr>
      </w:pPr>
      <w:r>
        <w:rPr>
          <w:rStyle w:val="FootnoteReference"/>
        </w:rPr>
        <w:footnoteRef/>
      </w:r>
      <w:r>
        <w:t xml:space="preserve"> </w:t>
      </w:r>
      <w:r>
        <w:rPr>
          <w:color w:val="000000"/>
        </w:rPr>
        <w:t>UNICEF Situation Analysis of Children and Youth in the Maldives 2021</w:t>
      </w:r>
    </w:p>
  </w:footnote>
  <w:footnote w:id="2">
    <w:p w14:paraId="6718B8CD" w14:textId="34988E74" w:rsidR="00CD6E1D" w:rsidRPr="00CD6E1D" w:rsidRDefault="00CD6E1D" w:rsidP="00CD6E1D">
      <w:pPr>
        <w:pStyle w:val="FootnoteText"/>
        <w:ind w:left="0" w:hanging="2"/>
        <w:rPr>
          <w:lang w:val="en-US"/>
        </w:rPr>
      </w:pPr>
      <w:r>
        <w:rPr>
          <w:rStyle w:val="FootnoteReference"/>
        </w:rPr>
        <w:footnoteRef/>
      </w:r>
      <w:r>
        <w:t xml:space="preserve"> </w:t>
      </w:r>
      <w:r>
        <w:rPr>
          <w:color w:val="000000"/>
        </w:rPr>
        <w:t>HRCM Shadow Report to the HRC 2024</w:t>
      </w:r>
    </w:p>
  </w:footnote>
  <w:footnote w:id="3">
    <w:p w14:paraId="1F9B468B" w14:textId="77777777" w:rsidR="008749D7" w:rsidRPr="00CD6E1D" w:rsidRDefault="008749D7" w:rsidP="008749D7">
      <w:pPr>
        <w:pStyle w:val="FootnoteText"/>
        <w:ind w:left="0" w:hanging="2"/>
        <w:rPr>
          <w:lang w:val="en-US"/>
        </w:rPr>
      </w:pPr>
      <w:r>
        <w:rPr>
          <w:rStyle w:val="FootnoteReference"/>
        </w:rPr>
        <w:footnoteRef/>
      </w:r>
      <w:r>
        <w:t xml:space="preserve"> </w:t>
      </w:r>
      <w:r>
        <w:rPr>
          <w:color w:val="000000"/>
        </w:rPr>
        <w:t>https://minivannewsarchive.com/society/anantara-donates-over-us10000-to-guraidhoo-special-needs-centre-91247</w:t>
      </w:r>
    </w:p>
  </w:footnote>
  <w:footnote w:id="4">
    <w:p w14:paraId="6EC77075" w14:textId="77777777" w:rsidR="00700FD7" w:rsidRPr="00CD6E1D" w:rsidRDefault="00700FD7" w:rsidP="00700FD7">
      <w:pPr>
        <w:pStyle w:val="FootnoteText"/>
        <w:ind w:left="0" w:hanging="2"/>
        <w:rPr>
          <w:lang w:val="en-US"/>
        </w:rPr>
      </w:pPr>
      <w:r>
        <w:rPr>
          <w:rStyle w:val="FootnoteReference"/>
        </w:rPr>
        <w:footnoteRef/>
      </w:r>
      <w:r>
        <w:t xml:space="preserve"> </w:t>
      </w:r>
      <w:r>
        <w:rPr>
          <w:color w:val="000000"/>
        </w:rPr>
        <w:t>https://minivannewsarchive.com/news-in-brief/special-needs-patient-still-missing-from-guraidhoo-91606</w:t>
      </w:r>
    </w:p>
  </w:footnote>
  <w:footnote w:id="5">
    <w:p w14:paraId="5353242A" w14:textId="77777777" w:rsidR="00700FD7" w:rsidRPr="00CD6E1D" w:rsidRDefault="00700FD7" w:rsidP="00700FD7">
      <w:pPr>
        <w:pStyle w:val="FootnoteText"/>
        <w:ind w:left="0" w:hanging="2"/>
        <w:rPr>
          <w:lang w:val="en-US"/>
        </w:rPr>
      </w:pPr>
      <w:r>
        <w:rPr>
          <w:rStyle w:val="FootnoteReference"/>
        </w:rPr>
        <w:footnoteRef/>
      </w:r>
      <w:r>
        <w:t xml:space="preserve"> </w:t>
      </w:r>
      <w:r>
        <w:rPr>
          <w:color w:val="000000"/>
        </w:rPr>
        <w:t>https://edition.mv/report/24232</w:t>
      </w:r>
    </w:p>
  </w:footnote>
  <w:footnote w:id="6">
    <w:p w14:paraId="0FB4D7E4" w14:textId="1E56F7BC" w:rsidR="008749D7" w:rsidRPr="00CD6E1D" w:rsidRDefault="008749D7" w:rsidP="008749D7">
      <w:pPr>
        <w:pStyle w:val="FootnoteText"/>
        <w:ind w:left="0" w:hanging="2"/>
        <w:rPr>
          <w:lang w:val="en-US"/>
        </w:rPr>
      </w:pPr>
      <w:r>
        <w:rPr>
          <w:rStyle w:val="FootnoteReference"/>
        </w:rPr>
        <w:footnoteRef/>
      </w:r>
      <w:r>
        <w:t xml:space="preserve"> </w:t>
      </w:r>
      <w:r>
        <w:rPr>
          <w:color w:val="000000"/>
        </w:rPr>
        <w:t>https://www.law.upenn.edu/live/files/4203-maldives-penal-code-2014</w:t>
      </w:r>
    </w:p>
  </w:footnote>
  <w:footnote w:id="7">
    <w:p w14:paraId="4F34F458" w14:textId="055B7BD1" w:rsidR="00727061" w:rsidRPr="00CD6E1D" w:rsidRDefault="00727061" w:rsidP="00727061">
      <w:pPr>
        <w:pStyle w:val="FootnoteText"/>
        <w:ind w:left="0" w:hanging="2"/>
        <w:rPr>
          <w:lang w:val="en-US"/>
        </w:rPr>
      </w:pPr>
      <w:r>
        <w:rPr>
          <w:rStyle w:val="FootnoteReference"/>
        </w:rPr>
        <w:footnoteRef/>
      </w:r>
      <w:r>
        <w:t xml:space="preserve"> </w:t>
      </w:r>
      <w:r>
        <w:rPr>
          <w:color w:val="000000"/>
        </w:rPr>
        <w:t>HRCM Shadow Report to the HRC 2024</w:t>
      </w:r>
    </w:p>
  </w:footnote>
  <w:footnote w:id="8">
    <w:p w14:paraId="0823442C" w14:textId="71F0246A" w:rsidR="00727061" w:rsidRPr="00CD6E1D" w:rsidRDefault="00727061" w:rsidP="00727061">
      <w:pPr>
        <w:pStyle w:val="FootnoteText"/>
        <w:ind w:left="0" w:hanging="2"/>
        <w:rPr>
          <w:lang w:val="en-US"/>
        </w:rPr>
      </w:pPr>
      <w:r>
        <w:rPr>
          <w:rStyle w:val="FootnoteReference"/>
        </w:rPr>
        <w:footnoteRef/>
      </w:r>
      <w:r>
        <w:t xml:space="preserve"> </w:t>
      </w:r>
      <w:r>
        <w:rPr>
          <w:color w:val="000000"/>
        </w:rPr>
        <w:t>Maldives Prisons Audit 2019, Commission for Prison Audits, Ministry of Home Affairs</w:t>
      </w:r>
    </w:p>
  </w:footnote>
  <w:footnote w:id="9">
    <w:p w14:paraId="59BFDC62" w14:textId="67EBB27C" w:rsidR="00727061" w:rsidRPr="00CD6E1D" w:rsidRDefault="00727061" w:rsidP="00727061">
      <w:pPr>
        <w:pStyle w:val="FootnoteText"/>
        <w:ind w:left="0" w:hanging="2"/>
        <w:rPr>
          <w:lang w:val="en-US"/>
        </w:rPr>
      </w:pPr>
      <w:r>
        <w:rPr>
          <w:rStyle w:val="FootnoteReference"/>
        </w:rPr>
        <w:footnoteRef/>
      </w:r>
      <w:r w:rsidR="00A95AE0">
        <w:t xml:space="preserve"> </w:t>
      </w:r>
      <w:r>
        <w:rPr>
          <w:color w:val="000000"/>
        </w:rPr>
        <w:t>https://mmdc.gov.mv/?page_id=281#:~:text=This%20Act%20provides%20for%20guidelines,guidelines%20and%20standards%20incidental%20thereto</w:t>
      </w:r>
    </w:p>
  </w:footnote>
  <w:footnote w:id="10">
    <w:p w14:paraId="5CCAEDD8" w14:textId="679DC5B4" w:rsidR="00A95AE0" w:rsidRPr="00CD6E1D" w:rsidRDefault="00A95AE0" w:rsidP="00A95AE0">
      <w:pPr>
        <w:pStyle w:val="FootnoteText"/>
        <w:ind w:left="0" w:hanging="2"/>
        <w:rPr>
          <w:lang w:val="en-US"/>
        </w:rPr>
      </w:pPr>
      <w:r>
        <w:rPr>
          <w:rStyle w:val="FootnoteReference"/>
        </w:rPr>
        <w:footnoteRef/>
      </w:r>
      <w:r>
        <w:t xml:space="preserve"> </w:t>
      </w:r>
      <w:r>
        <w:rPr>
          <w:color w:val="000000"/>
        </w:rPr>
        <w:t>https://en.sun.mv/78613</w:t>
      </w:r>
    </w:p>
  </w:footnote>
  <w:footnote w:id="11">
    <w:p w14:paraId="6796E26A" w14:textId="525E0D3B" w:rsidR="00A95AE0" w:rsidRPr="00CD6E1D" w:rsidRDefault="00A95AE0" w:rsidP="00A95AE0">
      <w:pPr>
        <w:pStyle w:val="FootnoteText"/>
        <w:ind w:left="0" w:hanging="2"/>
        <w:rPr>
          <w:lang w:val="en-US"/>
        </w:rPr>
      </w:pPr>
      <w:r>
        <w:rPr>
          <w:rStyle w:val="FootnoteReference"/>
        </w:rPr>
        <w:footnoteRef/>
      </w:r>
      <w:r>
        <w:t xml:space="preserve"> </w:t>
      </w:r>
      <w:r>
        <w:rPr>
          <w:color w:val="000000"/>
        </w:rPr>
        <w:t>https://www.presidencymaldives.gov.mv/Press/Article/30680</w:t>
      </w:r>
    </w:p>
  </w:footnote>
  <w:footnote w:id="12">
    <w:p w14:paraId="09061ABE" w14:textId="23286E72" w:rsidR="00A95AE0" w:rsidRPr="00CD6E1D" w:rsidRDefault="00A95AE0" w:rsidP="00A95AE0">
      <w:pPr>
        <w:pStyle w:val="FootnoteText"/>
        <w:ind w:left="0" w:hanging="2"/>
        <w:rPr>
          <w:lang w:val="en-US"/>
        </w:rPr>
      </w:pPr>
      <w:r>
        <w:rPr>
          <w:rStyle w:val="FootnoteReference"/>
        </w:rPr>
        <w:footnoteRef/>
      </w:r>
      <w:r>
        <w:t xml:space="preserve"> </w:t>
      </w:r>
      <w:r>
        <w:rPr>
          <w:color w:val="000000"/>
        </w:rPr>
        <w:t>https://perma.cc/5QEU-538N</w:t>
      </w:r>
    </w:p>
  </w:footnote>
  <w:footnote w:id="13">
    <w:p w14:paraId="1CA230BE" w14:textId="524F7905" w:rsidR="00A95AE0" w:rsidRPr="00CD6E1D" w:rsidRDefault="00A95AE0" w:rsidP="00A95AE0">
      <w:pPr>
        <w:pStyle w:val="FootnoteText"/>
        <w:ind w:left="0" w:hanging="2"/>
        <w:rPr>
          <w:lang w:val="en-US"/>
        </w:rPr>
      </w:pPr>
      <w:r>
        <w:rPr>
          <w:rStyle w:val="FootnoteReference"/>
        </w:rPr>
        <w:footnoteRef/>
      </w:r>
      <w:r>
        <w:t xml:space="preserve"> </w:t>
      </w:r>
      <w:r>
        <w:rPr>
          <w:color w:val="000000"/>
        </w:rPr>
        <w:t>https://www.loc.gov/item/global-legal-monitor/2022-08-09/maldives-president-ratifies-new-evidence-act-with-controversial-provision-on-revealing-journalist-sources/</w:t>
      </w:r>
    </w:p>
  </w:footnote>
  <w:footnote w:id="14">
    <w:p w14:paraId="4D7EEE65" w14:textId="33B8475E" w:rsidR="00A95AE0" w:rsidRPr="00CD6E1D" w:rsidRDefault="00A95AE0" w:rsidP="00A95AE0">
      <w:pPr>
        <w:pStyle w:val="FootnoteText"/>
        <w:ind w:left="0" w:hanging="2"/>
        <w:rPr>
          <w:lang w:val="en-US"/>
        </w:rPr>
      </w:pPr>
      <w:r>
        <w:rPr>
          <w:rStyle w:val="FootnoteReference"/>
        </w:rPr>
        <w:footnoteRef/>
      </w:r>
      <w:r>
        <w:t xml:space="preserve"> </w:t>
      </w:r>
      <w:r w:rsidRPr="00A95AE0">
        <w:rPr>
          <w:color w:val="000000"/>
        </w:rPr>
        <w:t>https://democracymaldives.org/?p=248</w:t>
      </w:r>
      <w:r>
        <w:rPr>
          <w:color w:val="000000"/>
        </w:rPr>
        <w:t xml:space="preserve"> </w:t>
      </w:r>
    </w:p>
  </w:footnote>
  <w:footnote w:id="15">
    <w:p w14:paraId="5761579F" w14:textId="3CEBB964" w:rsidR="00A95AE0" w:rsidRPr="00CD6E1D" w:rsidRDefault="00A95AE0" w:rsidP="00A95AE0">
      <w:pPr>
        <w:pStyle w:val="FootnoteText"/>
        <w:ind w:left="0" w:hanging="2"/>
        <w:rPr>
          <w:lang w:val="en-US"/>
        </w:rPr>
      </w:pPr>
      <w:r>
        <w:rPr>
          <w:rStyle w:val="FootnoteReference"/>
        </w:rPr>
        <w:footnoteRef/>
      </w:r>
      <w:r>
        <w:t xml:space="preserve"> </w:t>
      </w:r>
      <w:r w:rsidRPr="00A95AE0">
        <w:rPr>
          <w:color w:val="000000"/>
        </w:rPr>
        <w:t>https://democracymaldives.org/?p=269</w:t>
      </w:r>
    </w:p>
  </w:footnote>
  <w:footnote w:id="16">
    <w:p w14:paraId="22F19DB3" w14:textId="62B94EB0" w:rsidR="00B92BCB" w:rsidRPr="00CD6E1D" w:rsidRDefault="00B92BCB" w:rsidP="00B92BCB">
      <w:pPr>
        <w:pStyle w:val="FootnoteText"/>
        <w:ind w:left="0" w:hanging="2"/>
        <w:rPr>
          <w:lang w:val="en-US"/>
        </w:rPr>
      </w:pPr>
      <w:r>
        <w:rPr>
          <w:rStyle w:val="FootnoteReference"/>
        </w:rPr>
        <w:footnoteRef/>
      </w:r>
      <w:r>
        <w:t xml:space="preserve"> </w:t>
      </w:r>
      <w:r>
        <w:rPr>
          <w:color w:val="000000"/>
        </w:rPr>
        <w:t>https://democracymaldives.org/?p=212</w:t>
      </w:r>
    </w:p>
  </w:footnote>
  <w:footnote w:id="17">
    <w:p w14:paraId="3BBF444A" w14:textId="31887129" w:rsidR="00B92BCB" w:rsidRPr="00CD6E1D" w:rsidRDefault="00B92BCB" w:rsidP="00B92BCB">
      <w:pPr>
        <w:pStyle w:val="FootnoteText"/>
        <w:ind w:left="0" w:hanging="2"/>
        <w:rPr>
          <w:lang w:val="en-US"/>
        </w:rPr>
      </w:pPr>
      <w:r>
        <w:rPr>
          <w:rStyle w:val="FootnoteReference"/>
        </w:rPr>
        <w:footnoteRef/>
      </w:r>
      <w:r>
        <w:t xml:space="preserve"> </w:t>
      </w:r>
      <w:r>
        <w:rPr>
          <w:color w:val="000000"/>
        </w:rPr>
        <w:t>https://edition.mv/news/18043</w:t>
      </w:r>
    </w:p>
  </w:footnote>
  <w:footnote w:id="18">
    <w:p w14:paraId="77C5383D" w14:textId="2DFB2145" w:rsidR="00B92BCB" w:rsidRPr="00CD6E1D" w:rsidRDefault="00B92BCB" w:rsidP="00B92BCB">
      <w:pPr>
        <w:pStyle w:val="FootnoteText"/>
        <w:ind w:left="0" w:hanging="2"/>
        <w:rPr>
          <w:lang w:val="en-US"/>
        </w:rPr>
      </w:pPr>
      <w:r>
        <w:rPr>
          <w:rStyle w:val="FootnoteReference"/>
        </w:rPr>
        <w:footnoteRef/>
      </w:r>
      <w:r>
        <w:t xml:space="preserve"> </w:t>
      </w:r>
      <w:r w:rsidRPr="00B92BCB">
        <w:rPr>
          <w:color w:val="000000"/>
        </w:rPr>
        <w:t>https://uthema.org/press-misrep/</w:t>
      </w:r>
    </w:p>
  </w:footnote>
  <w:footnote w:id="19">
    <w:p w14:paraId="2A3B7C5A" w14:textId="63E73A26" w:rsidR="00B92BCB" w:rsidRPr="00CD6E1D" w:rsidRDefault="00B92BCB" w:rsidP="00B92BCB">
      <w:pPr>
        <w:pStyle w:val="FootnoteText"/>
        <w:ind w:left="0" w:hanging="2"/>
        <w:rPr>
          <w:lang w:val="en-US"/>
        </w:rPr>
      </w:pPr>
      <w:r>
        <w:rPr>
          <w:rStyle w:val="FootnoteReference"/>
        </w:rPr>
        <w:footnoteRef/>
      </w:r>
      <w:r>
        <w:t xml:space="preserve"> </w:t>
      </w:r>
      <w:r>
        <w:rPr>
          <w:color w:val="000000"/>
        </w:rPr>
        <w:t>UNICEF Maldives KAP Study on Child Marriage (Unpublished)</w:t>
      </w:r>
    </w:p>
  </w:footnote>
  <w:footnote w:id="20">
    <w:p w14:paraId="71B19055" w14:textId="6A803EC3" w:rsidR="00C25FF8" w:rsidRPr="00CD6E1D" w:rsidRDefault="00C25FF8" w:rsidP="00C25FF8">
      <w:pPr>
        <w:pStyle w:val="FootnoteText"/>
        <w:ind w:left="0" w:hanging="2"/>
        <w:rPr>
          <w:lang w:val="en-US"/>
        </w:rPr>
      </w:pPr>
      <w:r>
        <w:rPr>
          <w:rStyle w:val="FootnoteReference"/>
        </w:rPr>
        <w:footnoteRef/>
      </w:r>
      <w:r>
        <w:t xml:space="preserve"> </w:t>
      </w:r>
      <w:r>
        <w:rPr>
          <w:color w:val="000000"/>
        </w:rPr>
        <w:t>UNICEF Situation Analysis of Children and Youth in the Maldives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BD" w14:textId="77777777" w:rsidR="007F7998" w:rsidRDefault="007F7998">
    <w:pP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3F028D1"/>
    <w:multiLevelType w:val="multilevel"/>
    <w:tmpl w:val="40C2DEBA"/>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7998"/>
    <w:rsid w:val="000F3F12"/>
    <w:rsid w:val="00106380"/>
    <w:rsid w:val="00111B5E"/>
    <w:rsid w:val="00114FC3"/>
    <w:rsid w:val="0018016D"/>
    <w:rsid w:val="001950C7"/>
    <w:rsid w:val="001E490D"/>
    <w:rsid w:val="001E7840"/>
    <w:rsid w:val="002028DA"/>
    <w:rsid w:val="002575FE"/>
    <w:rsid w:val="00291969"/>
    <w:rsid w:val="002A7C1D"/>
    <w:rsid w:val="002D7117"/>
    <w:rsid w:val="00317BF6"/>
    <w:rsid w:val="003C5428"/>
    <w:rsid w:val="004219CB"/>
    <w:rsid w:val="00450F50"/>
    <w:rsid w:val="00530C15"/>
    <w:rsid w:val="006177E8"/>
    <w:rsid w:val="00621D77"/>
    <w:rsid w:val="00633763"/>
    <w:rsid w:val="00700FD7"/>
    <w:rsid w:val="00727061"/>
    <w:rsid w:val="00730D9D"/>
    <w:rsid w:val="007536E2"/>
    <w:rsid w:val="007D5CD3"/>
    <w:rsid w:val="007F7998"/>
    <w:rsid w:val="008749D7"/>
    <w:rsid w:val="009C4BE5"/>
    <w:rsid w:val="009C61D7"/>
    <w:rsid w:val="009E24D7"/>
    <w:rsid w:val="009E54E3"/>
    <w:rsid w:val="00A95AE0"/>
    <w:rsid w:val="00B2380E"/>
    <w:rsid w:val="00B91FB3"/>
    <w:rsid w:val="00B92BCB"/>
    <w:rsid w:val="00BA6196"/>
    <w:rsid w:val="00C25FF8"/>
    <w:rsid w:val="00CD6E1D"/>
    <w:rsid w:val="00CF160E"/>
    <w:rsid w:val="00D04A0F"/>
    <w:rsid w:val="00E26E71"/>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decimalSymbol w:val="."/>
  <w:listSeparator w:val=","/>
  <w14:docId w14:val="7915D7CB"/>
  <w15:docId w15:val="{0167C818-7BBE-BD4E-9D47-B07330005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lang w:eastAsia="en-US"/>
    </w:rPr>
  </w:style>
  <w:style w:type="paragraph" w:styleId="Heading1">
    <w:name w:val="heading 1"/>
    <w:basedOn w:val="Normal"/>
    <w:next w:val="Normal"/>
    <w:uiPriority w:val="9"/>
    <w:qFormat/>
    <w:pPr>
      <w:keepNext/>
      <w:keepLines/>
      <w:spacing w:before="480" w:after="12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B2380E"/>
    <w:pPr>
      <w:ind w:left="720"/>
      <w:contextualSpacing/>
    </w:pPr>
  </w:style>
  <w:style w:type="paragraph" w:styleId="NormalWeb">
    <w:name w:val="Normal (Web)"/>
    <w:basedOn w:val="Normal"/>
    <w:uiPriority w:val="99"/>
    <w:semiHidden/>
    <w:unhideWhenUsed/>
    <w:rsid w:val="00CF160E"/>
    <w:pPr>
      <w:suppressAutoHyphens w:val="0"/>
      <w:spacing w:before="100" w:beforeAutospacing="1" w:after="100" w:afterAutospacing="1" w:line="240" w:lineRule="auto"/>
      <w:ind w:leftChars="0" w:left="0" w:firstLineChars="0" w:firstLine="0"/>
      <w:textDirection w:val="lrTb"/>
      <w:textAlignment w:val="auto"/>
      <w:outlineLvl w:val="9"/>
    </w:pPr>
    <w:rPr>
      <w:position w:val="0"/>
      <w:lang w:eastAsia="en-GB"/>
    </w:rPr>
  </w:style>
  <w:style w:type="paragraph" w:styleId="FootnoteText">
    <w:name w:val="footnote text"/>
    <w:basedOn w:val="Normal"/>
    <w:link w:val="FootnoteTextChar"/>
    <w:uiPriority w:val="99"/>
    <w:semiHidden/>
    <w:unhideWhenUsed/>
    <w:rsid w:val="00CD6E1D"/>
    <w:pPr>
      <w:spacing w:line="240" w:lineRule="auto"/>
    </w:pPr>
    <w:rPr>
      <w:sz w:val="20"/>
      <w:szCs w:val="20"/>
    </w:rPr>
  </w:style>
  <w:style w:type="character" w:customStyle="1" w:styleId="FootnoteTextChar">
    <w:name w:val="Footnote Text Char"/>
    <w:basedOn w:val="DefaultParagraphFont"/>
    <w:link w:val="FootnoteText"/>
    <w:uiPriority w:val="99"/>
    <w:semiHidden/>
    <w:rsid w:val="00CD6E1D"/>
    <w:rPr>
      <w:position w:val="-1"/>
      <w:sz w:val="20"/>
      <w:szCs w:val="20"/>
      <w:lang w:eastAsia="en-US"/>
    </w:rPr>
  </w:style>
  <w:style w:type="character" w:styleId="FootnoteReference">
    <w:name w:val="footnote reference"/>
    <w:basedOn w:val="DefaultParagraphFont"/>
    <w:uiPriority w:val="99"/>
    <w:semiHidden/>
    <w:unhideWhenUsed/>
    <w:rsid w:val="00CD6E1D"/>
    <w:rPr>
      <w:vertAlign w:val="superscript"/>
    </w:rPr>
  </w:style>
  <w:style w:type="character" w:styleId="Hyperlink">
    <w:name w:val="Hyperlink"/>
    <w:basedOn w:val="DefaultParagraphFont"/>
    <w:uiPriority w:val="99"/>
    <w:semiHidden/>
    <w:unhideWhenUsed/>
    <w:rsid w:val="00A95AE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5504830">
      <w:bodyDiv w:val="1"/>
      <w:marLeft w:val="0"/>
      <w:marRight w:val="0"/>
      <w:marTop w:val="0"/>
      <w:marBottom w:val="0"/>
      <w:divBdr>
        <w:top w:val="none" w:sz="0" w:space="0" w:color="auto"/>
        <w:left w:val="none" w:sz="0" w:space="0" w:color="auto"/>
        <w:bottom w:val="none" w:sz="0" w:space="0" w:color="auto"/>
        <w:right w:val="none" w:sz="0" w:space="0" w:color="auto"/>
      </w:divBdr>
    </w:div>
    <w:div w:id="17786713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kamtVkboEAVFb4iM7yyFNLMldQ==">CgMxLjAyDWguNndrOTZ0a3RqMnEyDmguam16YXlwaTQzeGJ3Mg5oLnQ4cW1wMzNlNG1sZjIOaC53dm43YmdsaG9vYm8yDmguN2YzNW41czZweGw2OABqIQoUc3VnZ2VzdC40OXU2dHNiYWg5emkSCVVsYSBBaG1lZGohChRzdWdnZXN0Lm13dWFhcWp1bnMzbxIJVWxhIEFobWVkciExUk80WjBOQ2IwOFNtSG13MW5JRG43cnVncGxVckY3REQ=</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26" ma:contentTypeDescription="Create a new document." ma:contentTypeScope="" ma:versionID="f021828d0d52de11bee13c162099c435">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94456f96f9b913f000871160840a921e"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D8B3601-8CB7-4FAB-B3D4-EC5306BE03E0}"/>
</file>

<file path=customXml/itemProps3.xml><?xml version="1.0" encoding="utf-8"?>
<ds:datastoreItem xmlns:ds="http://schemas.openxmlformats.org/officeDocument/2006/customXml" ds:itemID="{7AD44109-B5BD-4B30-AA54-879C314E9847}"/>
</file>

<file path=docProps/app.xml><?xml version="1.0" encoding="utf-8"?>
<Properties xmlns="http://schemas.openxmlformats.org/officeDocument/2006/extended-properties" xmlns:vt="http://schemas.openxmlformats.org/officeDocument/2006/docPropsVTypes">
  <Template>Normal.dotm</Template>
  <TotalTime>9</TotalTime>
  <Pages>20</Pages>
  <Words>8585</Words>
  <Characters>48938</Characters>
  <Application>Microsoft Office Word</Application>
  <DocSecurity>0</DocSecurity>
  <Lines>407</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Intern User</dc:creator>
  <cp:lastModifiedBy>Microsoft Office User</cp:lastModifiedBy>
  <cp:revision>5</cp:revision>
  <cp:lastPrinted>2024-06-02T09:40:00Z</cp:lastPrinted>
  <dcterms:created xsi:type="dcterms:W3CDTF">2024-06-02T09:39:00Z</dcterms:created>
  <dcterms:modified xsi:type="dcterms:W3CDTF">2024-06-02T10:18:00Z</dcterms:modified>
</cp:coreProperties>
</file>