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56E9C" w:rsidTr="00E56873">
        <w:trPr>
          <w:cantSplit/>
          <w:trHeight w:hRule="exact" w:val="851"/>
        </w:trPr>
        <w:tc>
          <w:tcPr>
            <w:tcW w:w="1276" w:type="dxa"/>
            <w:tcBorders>
              <w:bottom w:val="single" w:sz="4" w:space="0" w:color="auto"/>
            </w:tcBorders>
            <w:vAlign w:val="bottom"/>
          </w:tcPr>
          <w:p w:rsidR="00B56E9C" w:rsidRPr="00ED616A" w:rsidRDefault="00B56E9C" w:rsidP="00E56873">
            <w:pPr>
              <w:pStyle w:val="SingleTxtG"/>
            </w:pPr>
          </w:p>
        </w:tc>
        <w:tc>
          <w:tcPr>
            <w:tcW w:w="2268" w:type="dxa"/>
            <w:tcBorders>
              <w:bottom w:val="single" w:sz="4" w:space="0" w:color="auto"/>
            </w:tcBorders>
            <w:vAlign w:val="bottom"/>
          </w:tcPr>
          <w:p w:rsidR="00B56E9C" w:rsidRPr="00B97172" w:rsidRDefault="00B56E9C" w:rsidP="00E56873">
            <w:pPr>
              <w:spacing w:after="80" w:line="300" w:lineRule="exact"/>
              <w:rPr>
                <w:b/>
                <w:sz w:val="24"/>
                <w:szCs w:val="24"/>
              </w:rPr>
            </w:pPr>
          </w:p>
        </w:tc>
        <w:tc>
          <w:tcPr>
            <w:tcW w:w="6095" w:type="dxa"/>
            <w:gridSpan w:val="2"/>
            <w:tcBorders>
              <w:bottom w:val="single" w:sz="4" w:space="0" w:color="auto"/>
            </w:tcBorders>
            <w:vAlign w:val="bottom"/>
          </w:tcPr>
          <w:p w:rsidR="00B56E9C" w:rsidRPr="002E51B7" w:rsidRDefault="009C4F1E" w:rsidP="009C4F1E">
            <w:pPr>
              <w:jc w:val="right"/>
            </w:pPr>
            <w:r w:rsidRPr="009C4F1E">
              <w:rPr>
                <w:sz w:val="40"/>
              </w:rPr>
              <w:t>CEDAW</w:t>
            </w:r>
            <w:r>
              <w:t>/C/FSM/CO/1-3/Add.1</w:t>
            </w:r>
          </w:p>
        </w:tc>
      </w:tr>
      <w:tr w:rsidR="00B56E9C" w:rsidTr="00E56873">
        <w:trPr>
          <w:cantSplit/>
          <w:trHeight w:hRule="exact" w:val="2835"/>
        </w:trPr>
        <w:tc>
          <w:tcPr>
            <w:tcW w:w="1276" w:type="dxa"/>
            <w:tcBorders>
              <w:top w:val="single" w:sz="4" w:space="0" w:color="auto"/>
              <w:bottom w:val="single" w:sz="12" w:space="0" w:color="auto"/>
            </w:tcBorders>
          </w:tcPr>
          <w:p w:rsidR="00B56E9C" w:rsidRDefault="00B56E9C" w:rsidP="00E56873">
            <w:pPr>
              <w:spacing w:before="120"/>
              <w:jc w:val="center"/>
            </w:pPr>
          </w:p>
        </w:tc>
        <w:tc>
          <w:tcPr>
            <w:tcW w:w="5528" w:type="dxa"/>
            <w:gridSpan w:val="2"/>
            <w:tcBorders>
              <w:top w:val="single" w:sz="4" w:space="0" w:color="auto"/>
              <w:bottom w:val="single" w:sz="12" w:space="0" w:color="auto"/>
            </w:tcBorders>
          </w:tcPr>
          <w:p w:rsidR="00B56E9C" w:rsidRDefault="00B56E9C" w:rsidP="00E56873">
            <w:pPr>
              <w:spacing w:before="120" w:line="420" w:lineRule="exact"/>
            </w:pPr>
          </w:p>
        </w:tc>
        <w:tc>
          <w:tcPr>
            <w:tcW w:w="2835" w:type="dxa"/>
            <w:tcBorders>
              <w:top w:val="single" w:sz="4" w:space="0" w:color="auto"/>
              <w:bottom w:val="single" w:sz="12" w:space="0" w:color="auto"/>
            </w:tcBorders>
          </w:tcPr>
          <w:p w:rsidR="00B56E9C" w:rsidRDefault="009C4F1E" w:rsidP="009C4F1E">
            <w:pPr>
              <w:spacing w:before="240" w:line="240" w:lineRule="exact"/>
            </w:pPr>
            <w:r>
              <w:t>Distr.: General</w:t>
            </w:r>
          </w:p>
          <w:p w:rsidR="00FB12E2" w:rsidRDefault="00C502BC" w:rsidP="009C4F1E">
            <w:pPr>
              <w:spacing w:line="240" w:lineRule="exact"/>
            </w:pPr>
            <w:r>
              <w:t>18</w:t>
            </w:r>
            <w:r w:rsidR="009C4F1E">
              <w:t xml:space="preserve"> November 2019</w:t>
            </w:r>
          </w:p>
          <w:p w:rsidR="009C54C5" w:rsidRDefault="009C54C5" w:rsidP="009C4F1E">
            <w:pPr>
              <w:spacing w:line="240" w:lineRule="exact"/>
            </w:pPr>
          </w:p>
          <w:p w:rsidR="009C4F1E" w:rsidRDefault="009C4F1E" w:rsidP="009C4F1E">
            <w:pPr>
              <w:spacing w:line="240" w:lineRule="exact"/>
            </w:pPr>
            <w:r>
              <w:t>Original: English</w:t>
            </w:r>
          </w:p>
          <w:p w:rsidR="009C4F1E" w:rsidRDefault="00C502BC" w:rsidP="009C4F1E">
            <w:pPr>
              <w:spacing w:line="240" w:lineRule="exact"/>
            </w:pPr>
            <w:r>
              <w:t>English, French and Spanish only</w:t>
            </w:r>
          </w:p>
          <w:p w:rsidR="00486D4B" w:rsidRDefault="00486D4B" w:rsidP="00486D4B">
            <w:pPr>
              <w:spacing w:line="240" w:lineRule="exact"/>
            </w:pPr>
          </w:p>
          <w:p w:rsidR="00486D4B" w:rsidRDefault="00486D4B" w:rsidP="00486D4B">
            <w:pPr>
              <w:spacing w:line="240" w:lineRule="exact"/>
            </w:pPr>
          </w:p>
          <w:p w:rsidR="00486D4B" w:rsidRDefault="00486D4B" w:rsidP="00486D4B">
            <w:pPr>
              <w:spacing w:line="240" w:lineRule="exact"/>
            </w:pPr>
            <w:r>
              <w:rPr>
                <w:b/>
                <w:bCs/>
                <w:sz w:val="18"/>
                <w:szCs w:val="18"/>
                <w:u w:val="single"/>
              </w:rPr>
              <w:t>ADVANCE UNEDITED VERSION</w:t>
            </w:r>
          </w:p>
        </w:tc>
      </w:tr>
    </w:tbl>
    <w:p w:rsidR="00C502BC" w:rsidRDefault="00C502BC" w:rsidP="00C502BC">
      <w:pPr>
        <w:pStyle w:val="H1"/>
        <w:ind w:left="0" w:right="4075" w:firstLine="0"/>
      </w:pPr>
      <w:r>
        <w:t>Committee on the Elimination of Discrimination against Women</w:t>
      </w:r>
      <w:bookmarkStart w:id="0" w:name="_GoBack"/>
      <w:bookmarkEnd w:id="0"/>
    </w:p>
    <w:p w:rsidR="009C4F1E" w:rsidRPr="00C502BC" w:rsidRDefault="009C4F1E" w:rsidP="009C4F1E">
      <w:pPr>
        <w:pStyle w:val="HChG"/>
      </w:pPr>
      <w:r w:rsidRPr="0055095F">
        <w:tab/>
      </w:r>
      <w:r w:rsidRPr="00C502BC">
        <w:tab/>
        <w:t xml:space="preserve">Concluding observations on the combined initial to third periodic reports of </w:t>
      </w:r>
      <w:r w:rsidR="00C502BC">
        <w:t xml:space="preserve">the Federated States of </w:t>
      </w:r>
      <w:r w:rsidRPr="00C502BC">
        <w:t>Micronesia</w:t>
      </w:r>
    </w:p>
    <w:p w:rsidR="009C4F1E" w:rsidRPr="00C502BC" w:rsidRDefault="009C4F1E" w:rsidP="009C4F1E">
      <w:pPr>
        <w:pStyle w:val="H23G"/>
      </w:pPr>
      <w:r w:rsidRPr="00C502BC">
        <w:tab/>
      </w:r>
      <w:r w:rsidRPr="00C502BC">
        <w:tab/>
        <w:t>Addendum</w:t>
      </w:r>
    </w:p>
    <w:p w:rsidR="009C4F1E" w:rsidRPr="00C502BC" w:rsidRDefault="009C4F1E" w:rsidP="009C4F1E">
      <w:pPr>
        <w:pStyle w:val="HChG"/>
      </w:pPr>
      <w:r w:rsidRPr="00C502BC">
        <w:tab/>
      </w:r>
      <w:r w:rsidRPr="00C502BC">
        <w:tab/>
        <w:t xml:space="preserve">Information provided by </w:t>
      </w:r>
      <w:r w:rsidR="00C502BC">
        <w:t xml:space="preserve">the Federated States of </w:t>
      </w:r>
      <w:r w:rsidRPr="00C502BC">
        <w:t>Micronesia on follow-up to the concluding observations</w:t>
      </w:r>
      <w:r w:rsidRPr="00C502BC">
        <w:rPr>
          <w:rStyle w:val="FootnoteReference"/>
          <w:b w:val="0"/>
          <w:sz w:val="20"/>
        </w:rPr>
        <w:footnoteReference w:customMarkFollows="1" w:id="2"/>
        <w:t>*</w:t>
      </w:r>
    </w:p>
    <w:p w:rsidR="009C4F1E" w:rsidRPr="00C502BC" w:rsidRDefault="009C4F1E" w:rsidP="009C4F1E">
      <w:pPr>
        <w:pStyle w:val="SingleTxtG"/>
        <w:jc w:val="right"/>
      </w:pPr>
      <w:r w:rsidRPr="00C502BC">
        <w:t xml:space="preserve">[Date received: </w:t>
      </w:r>
      <w:r w:rsidR="00C502BC" w:rsidRPr="00C502BC">
        <w:t>15 November 2019</w:t>
      </w:r>
      <w:r w:rsidRPr="00C502BC">
        <w:t>]</w:t>
      </w:r>
    </w:p>
    <w:p w:rsidR="009C4F1E" w:rsidRDefault="009C4F1E" w:rsidP="007C7EF9">
      <w:pPr>
        <w:pStyle w:val="H1G"/>
        <w:rPr>
          <w:lang w:val="en-US"/>
        </w:rPr>
      </w:pPr>
      <w:r w:rsidRPr="00C502BC">
        <w:br w:type="page"/>
      </w:r>
      <w:r>
        <w:lastRenderedPageBreak/>
        <w:tab/>
      </w:r>
      <w:r w:rsidR="00B45189">
        <w:tab/>
      </w:r>
      <w:r w:rsidR="00C502BC">
        <w:rPr>
          <w:lang w:val="en-US"/>
        </w:rPr>
        <w:t>Introduction</w:t>
      </w:r>
    </w:p>
    <w:p w:rsidR="008D79EB" w:rsidRPr="008D79EB" w:rsidRDefault="009C4F1E" w:rsidP="008D79EB">
      <w:pPr>
        <w:pStyle w:val="SingleTxtG"/>
        <w:numPr>
          <w:ilvl w:val="0"/>
          <w:numId w:val="25"/>
        </w:numPr>
        <w:kinsoku w:val="0"/>
        <w:overflowPunct w:val="0"/>
        <w:autoSpaceDE w:val="0"/>
        <w:autoSpaceDN w:val="0"/>
        <w:adjustRightInd w:val="0"/>
        <w:snapToGrid w:val="0"/>
        <w:ind w:left="1134" w:firstLine="0"/>
        <w:rPr>
          <w:lang w:val="en-US"/>
        </w:rPr>
      </w:pPr>
      <w:r w:rsidRPr="008D79EB">
        <w:rPr>
          <w:rFonts w:eastAsiaTheme="minorHAnsi"/>
        </w:rPr>
        <w:t>The Federated States of Micronesia (FSM) presents its Follow-Up Report to the UN Committee on the Elimination of All Forms of Discrimination Against Women (the Committee) in response to paragraph 56 of the Concluding observations on the combined initial to third periodic reports made on 9th March 2017 and a follow up correspondence by the CEDAW committee follow up rapporteur on Septemb</w:t>
      </w:r>
      <w:r w:rsidR="00C502BC">
        <w:rPr>
          <w:rFonts w:eastAsiaTheme="minorHAnsi"/>
        </w:rPr>
        <w:t>er 9, 2019.</w:t>
      </w:r>
    </w:p>
    <w:p w:rsidR="008D79EB" w:rsidRDefault="009C4F1E" w:rsidP="008D79EB">
      <w:pPr>
        <w:pStyle w:val="SingleTxtG"/>
        <w:numPr>
          <w:ilvl w:val="0"/>
          <w:numId w:val="25"/>
        </w:numPr>
        <w:kinsoku w:val="0"/>
        <w:overflowPunct w:val="0"/>
        <w:autoSpaceDE w:val="0"/>
        <w:autoSpaceDN w:val="0"/>
        <w:adjustRightInd w:val="0"/>
        <w:snapToGrid w:val="0"/>
        <w:ind w:left="1134" w:firstLine="0"/>
        <w:rPr>
          <w:lang w:val="en-US"/>
        </w:rPr>
      </w:pPr>
      <w:r w:rsidRPr="008D79EB">
        <w:rPr>
          <w:rFonts w:eastAsiaTheme="minorHAnsi"/>
        </w:rPr>
        <w:t>Paragraph 56 states, 'The Committee requests the State party to provide, within two years, written information on the steps taken to implement the recommendations con</w:t>
      </w:r>
      <w:r w:rsidR="008D79EB" w:rsidRPr="008D79EB">
        <w:rPr>
          <w:rFonts w:eastAsiaTheme="minorHAnsi"/>
        </w:rPr>
        <w:t>tained by paragraphs 9, 25(a),</w:t>
      </w:r>
      <w:r w:rsidRPr="008D79EB">
        <w:rPr>
          <w:rFonts w:eastAsiaTheme="minorHAnsi"/>
        </w:rPr>
        <w:t xml:space="preserve"> 27(b) and 37(b) above.' Though FSM is delayed in its submission of the report, the urge by the rapporteur for FSM to submit the report within the month of that correspondence gave the reinforcement needed to submit its follow up report.</w:t>
      </w:r>
      <w:r w:rsidR="008D79EB">
        <w:rPr>
          <w:lang w:val="en-US"/>
        </w:rPr>
        <w:t xml:space="preserve"> </w:t>
      </w:r>
    </w:p>
    <w:p w:rsidR="00DB3183" w:rsidRDefault="009C4F1E" w:rsidP="00F91FDB">
      <w:pPr>
        <w:pStyle w:val="SingleTxtG"/>
        <w:numPr>
          <w:ilvl w:val="0"/>
          <w:numId w:val="25"/>
        </w:numPr>
        <w:kinsoku w:val="0"/>
        <w:overflowPunct w:val="0"/>
        <w:autoSpaceDE w:val="0"/>
        <w:autoSpaceDN w:val="0"/>
        <w:adjustRightInd w:val="0"/>
        <w:snapToGrid w:val="0"/>
        <w:ind w:left="1134" w:firstLine="0"/>
        <w:rPr>
          <w:lang w:val="en-US"/>
        </w:rPr>
      </w:pPr>
      <w:r w:rsidRPr="00DB3183">
        <w:rPr>
          <w:rFonts w:eastAsiaTheme="minorHAnsi"/>
        </w:rPr>
        <w:t>The</w:t>
      </w:r>
      <w:r w:rsidRPr="00DB3183">
        <w:rPr>
          <w:lang w:val="en-US"/>
        </w:rPr>
        <w:t xml:space="preserve"> concluding observations requested to be reported in the </w:t>
      </w:r>
      <w:r w:rsidR="007C7EF9" w:rsidRPr="00DB3183">
        <w:rPr>
          <w:lang w:val="en-US"/>
        </w:rPr>
        <w:t>mid-term</w:t>
      </w:r>
      <w:r w:rsidRPr="00DB3183">
        <w:rPr>
          <w:lang w:val="en-US"/>
        </w:rPr>
        <w:t xml:space="preserve"> review are the issues of the</w:t>
      </w:r>
      <w:r w:rsidR="00FB12E2" w:rsidRPr="00DB3183">
        <w:rPr>
          <w:lang w:val="en-US"/>
        </w:rPr>
        <w:t xml:space="preserve"> </w:t>
      </w:r>
      <w:r w:rsidRPr="00DB3183">
        <w:rPr>
          <w:lang w:val="en-US"/>
        </w:rPr>
        <w:t xml:space="preserve">lifting of specific Reservations; education and awareness on CEDAW in </w:t>
      </w:r>
      <w:r w:rsidRPr="00DB3183">
        <w:rPr>
          <w:rFonts w:eastAsiaTheme="minorHAnsi"/>
        </w:rPr>
        <w:t>communities</w:t>
      </w:r>
      <w:r w:rsidRPr="00DB3183">
        <w:rPr>
          <w:lang w:val="en-US"/>
        </w:rPr>
        <w:t xml:space="preserve">, </w:t>
      </w:r>
      <w:r w:rsidR="00FB12E2" w:rsidRPr="00DB3183">
        <w:rPr>
          <w:lang w:val="en-US"/>
        </w:rPr>
        <w:t xml:space="preserve">including with </w:t>
      </w:r>
      <w:r w:rsidRPr="00DB3183">
        <w:rPr>
          <w:lang w:val="en-US"/>
        </w:rPr>
        <w:t xml:space="preserve">tradition and religious leaders; establishment of an Eliminating Violence Against Women </w:t>
      </w:r>
      <w:r w:rsidR="00FB12E2" w:rsidRPr="00DB3183">
        <w:rPr>
          <w:lang w:val="en-US"/>
        </w:rPr>
        <w:t xml:space="preserve">(EVAW) policy </w:t>
      </w:r>
      <w:r w:rsidRPr="00DB3183">
        <w:rPr>
          <w:lang w:val="en-US"/>
        </w:rPr>
        <w:t xml:space="preserve">and legalizing </w:t>
      </w:r>
      <w:r w:rsidR="00DB3183" w:rsidRPr="00DB3183">
        <w:rPr>
          <w:lang w:val="en-US"/>
        </w:rPr>
        <w:t>of abortion.</w:t>
      </w:r>
    </w:p>
    <w:p w:rsidR="008D79EB" w:rsidRPr="00DB3183" w:rsidRDefault="009C4F1E" w:rsidP="00F91FDB">
      <w:pPr>
        <w:pStyle w:val="SingleTxtG"/>
        <w:numPr>
          <w:ilvl w:val="0"/>
          <w:numId w:val="25"/>
        </w:numPr>
        <w:kinsoku w:val="0"/>
        <w:overflowPunct w:val="0"/>
        <w:autoSpaceDE w:val="0"/>
        <w:autoSpaceDN w:val="0"/>
        <w:adjustRightInd w:val="0"/>
        <w:snapToGrid w:val="0"/>
        <w:ind w:left="1134" w:firstLine="0"/>
        <w:rPr>
          <w:lang w:val="en-US"/>
        </w:rPr>
      </w:pPr>
      <w:r w:rsidRPr="00DB3183">
        <w:rPr>
          <w:lang w:val="en-US"/>
        </w:rPr>
        <w:t xml:space="preserve">This report however addresses the following concluding observations as </w:t>
      </w:r>
      <w:r w:rsidR="00FB12E2" w:rsidRPr="00DB3183">
        <w:rPr>
          <w:lang w:val="en-US"/>
        </w:rPr>
        <w:t xml:space="preserve">the priorities during this </w:t>
      </w:r>
      <w:r w:rsidR="007C7EF9" w:rsidRPr="00DB3183">
        <w:rPr>
          <w:lang w:val="en-US"/>
        </w:rPr>
        <w:t>mid-term</w:t>
      </w:r>
      <w:r w:rsidRPr="00DB3183">
        <w:rPr>
          <w:lang w:val="en-US"/>
        </w:rPr>
        <w:t xml:space="preserve"> review. FSM has not put in emphasis on addressing the issues of the lifting of its reservations on CEDAW and the legalization of abortion due to constraint of res</w:t>
      </w:r>
      <w:r w:rsidR="008D79EB" w:rsidRPr="00DB3183">
        <w:rPr>
          <w:lang w:val="en-US"/>
        </w:rPr>
        <w:t>ources and time at the moment.</w:t>
      </w:r>
    </w:p>
    <w:p w:rsidR="008D79EB" w:rsidRDefault="008D79EB" w:rsidP="007C7EF9">
      <w:pPr>
        <w:pStyle w:val="H1G"/>
        <w:rPr>
          <w:lang w:val="en-US"/>
        </w:rPr>
      </w:pPr>
      <w:r>
        <w:rPr>
          <w:lang w:val="en-US"/>
        </w:rPr>
        <w:tab/>
      </w:r>
      <w:r w:rsidR="00FB12E2" w:rsidRPr="008D79EB">
        <w:rPr>
          <w:lang w:val="en-US"/>
        </w:rPr>
        <w:tab/>
      </w:r>
      <w:r w:rsidR="009C4F1E" w:rsidRPr="008D79EB">
        <w:rPr>
          <w:lang w:val="en-US"/>
        </w:rPr>
        <w:t>Educational and awareness-raising campaigns targeting men and women including traditional and religious</w:t>
      </w:r>
      <w:r w:rsidR="009C54C5">
        <w:rPr>
          <w:lang w:val="en-US"/>
        </w:rPr>
        <w:t xml:space="preserve"> leaders on CEDAW</w:t>
      </w:r>
      <w:r w:rsidR="00FB12E2" w:rsidRPr="008D79EB">
        <w:rPr>
          <w:lang w:val="en-US"/>
        </w:rPr>
        <w:t xml:space="preserve"> </w:t>
      </w:r>
    </w:p>
    <w:p w:rsidR="00B5659B" w:rsidRDefault="009C4F1E" w:rsidP="00E86659">
      <w:pPr>
        <w:pStyle w:val="SingleTxtG"/>
        <w:numPr>
          <w:ilvl w:val="0"/>
          <w:numId w:val="25"/>
        </w:numPr>
        <w:kinsoku w:val="0"/>
        <w:overflowPunct w:val="0"/>
        <w:autoSpaceDE w:val="0"/>
        <w:autoSpaceDN w:val="0"/>
        <w:adjustRightInd w:val="0"/>
        <w:snapToGrid w:val="0"/>
        <w:ind w:left="1134" w:firstLine="0"/>
        <w:rPr>
          <w:lang w:val="en-US"/>
        </w:rPr>
      </w:pPr>
      <w:r w:rsidRPr="008D79EB">
        <w:rPr>
          <w:lang w:val="en-US"/>
        </w:rPr>
        <w:t xml:space="preserve">Paragraph 25(a) of the CEDAW Concluding Observations on the combined initial to third report for FSM states that the Committee recommends the State party put in place, without delay, a comprehensive strategy with specific targets to modify or eliminate discriminatory stereotypes about the roles and responsibilities of women and men in the family and in society, in conformity with articles (f) and 5(a) of the Convention. It also recommends that the State party: (a) Carry out educational and awareness-raising campaigns targeting women and men, including traditional and religious leaders, on women's rights and gender equality to effectively promote the substantive equality of women and overcome patriarchal attitudes and deep-rooted discriminatory stereotypes concerning the roles and responsibilities of women and men in the family </w:t>
      </w:r>
      <w:r w:rsidR="008D79EB" w:rsidRPr="008D79EB">
        <w:rPr>
          <w:lang w:val="en-US"/>
        </w:rPr>
        <w:t>and society.</w:t>
      </w:r>
    </w:p>
    <w:p w:rsidR="00B5659B" w:rsidRDefault="00B5659B" w:rsidP="00B5659B">
      <w:pPr>
        <w:pStyle w:val="H23G"/>
        <w:rPr>
          <w:lang w:val="en-US"/>
        </w:rPr>
      </w:pPr>
      <w:r>
        <w:rPr>
          <w:lang w:val="bg-BG"/>
        </w:rPr>
        <w:tab/>
      </w:r>
      <w:r>
        <w:rPr>
          <w:lang w:val="bg-BG"/>
        </w:rPr>
        <w:tab/>
      </w:r>
      <w:r w:rsidRPr="00B5659B">
        <w:rPr>
          <w:lang w:val="bg-BG"/>
        </w:rPr>
        <w:t>Follow-up information relating to paragraph</w:t>
      </w:r>
      <w:r>
        <w:t xml:space="preserve"> 25 (a) o</w:t>
      </w:r>
      <w:r w:rsidRPr="00B5659B">
        <w:rPr>
          <w:lang w:val="bg-BG"/>
        </w:rPr>
        <w:t>f the concluding observations (</w:t>
      </w:r>
      <w:r w:rsidR="00B45189">
        <w:t>CEDAW/C/FSM/CO/1-3</w:t>
      </w:r>
      <w:r w:rsidRPr="00B5659B">
        <w:rPr>
          <w:lang w:val="bg-BG"/>
        </w:rPr>
        <w:t>)</w:t>
      </w:r>
    </w:p>
    <w:p w:rsidR="00DB3183" w:rsidRDefault="009C4F1E" w:rsidP="00B5659B">
      <w:pPr>
        <w:pStyle w:val="SingleTxtG"/>
        <w:numPr>
          <w:ilvl w:val="0"/>
          <w:numId w:val="25"/>
        </w:numPr>
        <w:kinsoku w:val="0"/>
        <w:overflowPunct w:val="0"/>
        <w:autoSpaceDE w:val="0"/>
        <w:autoSpaceDN w:val="0"/>
        <w:adjustRightInd w:val="0"/>
        <w:snapToGrid w:val="0"/>
        <w:ind w:left="1134" w:firstLine="0"/>
        <w:rPr>
          <w:lang w:val="en-US"/>
        </w:rPr>
      </w:pPr>
      <w:r w:rsidRPr="009C4F1E">
        <w:rPr>
          <w:lang w:val="en-US"/>
        </w:rPr>
        <w:t>The Government has mobilized the FSM states through a funding support that came through the Canada Funding for Local lnitiative Project. This has allowed the mobilization of the state interest officers and civil society groups and non-governmental organizations to undertake a series of awareness-raising on human rights, gender equality and CEDAW. Through a series of town hall meetings, community meetings, and workshops targeting men, women, church leaders, traditional leaders, legislature, congress, this initiative was able to reach close to 4,000 people from the four states and National government.</w:t>
      </w:r>
    </w:p>
    <w:p w:rsidR="00B5659B" w:rsidRDefault="009C4F1E" w:rsidP="00B5659B">
      <w:pPr>
        <w:pStyle w:val="SingleTxtG"/>
        <w:numPr>
          <w:ilvl w:val="0"/>
          <w:numId w:val="25"/>
        </w:numPr>
        <w:kinsoku w:val="0"/>
        <w:overflowPunct w:val="0"/>
        <w:autoSpaceDE w:val="0"/>
        <w:autoSpaceDN w:val="0"/>
        <w:adjustRightInd w:val="0"/>
        <w:snapToGrid w:val="0"/>
        <w:ind w:left="1134" w:firstLine="0"/>
        <w:rPr>
          <w:lang w:val="en-US"/>
        </w:rPr>
      </w:pPr>
      <w:r w:rsidRPr="009C4F1E">
        <w:rPr>
          <w:lang w:val="en-US"/>
        </w:rPr>
        <w:t xml:space="preserve">The Canada funding supported individual meetings with the targeted groups which allowed a more detailed and free discussions notably the congress, state legislatures, church and traditional leaders. </w:t>
      </w:r>
    </w:p>
    <w:p w:rsidR="00B5659B" w:rsidRDefault="009C4F1E" w:rsidP="00B5659B">
      <w:pPr>
        <w:pStyle w:val="SingleTxtG"/>
        <w:numPr>
          <w:ilvl w:val="0"/>
          <w:numId w:val="25"/>
        </w:numPr>
        <w:kinsoku w:val="0"/>
        <w:overflowPunct w:val="0"/>
        <w:autoSpaceDE w:val="0"/>
        <w:autoSpaceDN w:val="0"/>
        <w:adjustRightInd w:val="0"/>
        <w:snapToGrid w:val="0"/>
        <w:ind w:left="1134" w:firstLine="0"/>
        <w:rPr>
          <w:lang w:val="en-US"/>
        </w:rPr>
      </w:pPr>
      <w:r w:rsidRPr="009C4F1E">
        <w:rPr>
          <w:lang w:val="en-US"/>
        </w:rPr>
        <w:t>These awareness-raising efforts also helped with the advocacy for and passing of legislations that were subsequently passed e.g. raising of the consent age and the Domestic Violence Act for Pohnpei State.</w:t>
      </w:r>
    </w:p>
    <w:p w:rsidR="00B45189" w:rsidRDefault="00B45189" w:rsidP="007C7EF9">
      <w:pPr>
        <w:pStyle w:val="H1G"/>
        <w:rPr>
          <w:lang w:val="en-US"/>
        </w:rPr>
      </w:pPr>
      <w:r>
        <w:rPr>
          <w:lang w:val="en-US"/>
        </w:rPr>
        <w:tab/>
      </w:r>
      <w:r>
        <w:rPr>
          <w:lang w:val="en-US"/>
        </w:rPr>
        <w:tab/>
      </w:r>
      <w:r w:rsidR="007C7EF9">
        <w:rPr>
          <w:lang w:val="en-US"/>
        </w:rPr>
        <w:t>EVAW policy</w:t>
      </w:r>
    </w:p>
    <w:p w:rsidR="00B45189" w:rsidRDefault="009C4F1E" w:rsidP="00B45189">
      <w:pPr>
        <w:pStyle w:val="SingleTxtG"/>
        <w:numPr>
          <w:ilvl w:val="0"/>
          <w:numId w:val="25"/>
        </w:numPr>
        <w:kinsoku w:val="0"/>
        <w:overflowPunct w:val="0"/>
        <w:autoSpaceDE w:val="0"/>
        <w:autoSpaceDN w:val="0"/>
        <w:adjustRightInd w:val="0"/>
        <w:snapToGrid w:val="0"/>
        <w:ind w:left="1134" w:firstLine="0"/>
        <w:rPr>
          <w:lang w:val="en-US"/>
        </w:rPr>
      </w:pPr>
      <w:r w:rsidRPr="00B45189">
        <w:rPr>
          <w:lang w:val="en-US"/>
        </w:rPr>
        <w:t xml:space="preserve">In accordance with its general recommendation No.19 (1.992) on violence against women, the Committee recommends that the State party give high priority to putting in place </w:t>
      </w:r>
      <w:r w:rsidRPr="00B45189">
        <w:rPr>
          <w:lang w:val="en-US"/>
        </w:rPr>
        <w:lastRenderedPageBreak/>
        <w:t xml:space="preserve">comprehensive measures to address all forms of gender-based violence against women and girls. It also recommends that the State party: (b) Put in place a comprehensive national policy to eliminate gender-based violence against women, including domestic violence, with adequate resources for its implementation. </w:t>
      </w:r>
    </w:p>
    <w:p w:rsidR="00B45189" w:rsidRPr="00B45189" w:rsidRDefault="00B45189" w:rsidP="007C7EF9">
      <w:pPr>
        <w:pStyle w:val="H23G"/>
        <w:rPr>
          <w:lang w:val="bg-BG"/>
        </w:rPr>
      </w:pPr>
      <w:r>
        <w:rPr>
          <w:lang w:val="en-US"/>
        </w:rPr>
        <w:tab/>
      </w:r>
      <w:r>
        <w:rPr>
          <w:lang w:val="en-US"/>
        </w:rPr>
        <w:tab/>
      </w:r>
      <w:r w:rsidRPr="00B45189">
        <w:rPr>
          <w:lang w:val="bg-BG"/>
        </w:rPr>
        <w:t>Follow-up information relating to paragraph</w:t>
      </w:r>
      <w:r>
        <w:t xml:space="preserve"> 27 (b) o</w:t>
      </w:r>
      <w:r w:rsidRPr="00B45189">
        <w:rPr>
          <w:lang w:val="bg-BG"/>
        </w:rPr>
        <w:t xml:space="preserve">f the concluding observations </w:t>
      </w:r>
    </w:p>
    <w:p w:rsidR="00B45189" w:rsidRPr="00DB3183" w:rsidRDefault="009C4F1E" w:rsidP="00B8761D">
      <w:pPr>
        <w:pStyle w:val="SingleTxtG"/>
        <w:numPr>
          <w:ilvl w:val="0"/>
          <w:numId w:val="25"/>
        </w:numPr>
        <w:kinsoku w:val="0"/>
        <w:overflowPunct w:val="0"/>
        <w:autoSpaceDE w:val="0"/>
        <w:autoSpaceDN w:val="0"/>
        <w:adjustRightInd w:val="0"/>
        <w:snapToGrid w:val="0"/>
        <w:ind w:left="1134" w:firstLine="0"/>
        <w:rPr>
          <w:lang w:val="en-US"/>
        </w:rPr>
      </w:pPr>
      <w:r w:rsidRPr="00DB3183">
        <w:rPr>
          <w:lang w:val="en-US"/>
        </w:rPr>
        <w:t>The National Government with technical support largely from UNFPA along with other partners, Pacific Women Shaping Pacific Development and SPC have worked with the four FSM States to develop a draft Elimination of Violence Against Women (EVAW) policy. Concurrent to this work, individual state action plans were also developed to guide progress against the EVAW policy. The policy though in review and endorsement phase has already provided the states the guidi</w:t>
      </w:r>
      <w:r w:rsidR="00B45189" w:rsidRPr="00DB3183">
        <w:rPr>
          <w:lang w:val="en-US"/>
        </w:rPr>
        <w:t>ng framework needed to initiate</w:t>
      </w:r>
      <w:r w:rsidR="00DB3183" w:rsidRPr="00DB3183">
        <w:rPr>
          <w:lang w:val="en-US"/>
        </w:rPr>
        <w:t xml:space="preserve"> </w:t>
      </w:r>
      <w:r w:rsidR="00DB3183">
        <w:rPr>
          <w:lang w:val="en-US"/>
        </w:rPr>
        <w:t>i</w:t>
      </w:r>
      <w:r w:rsidRPr="00DB3183">
        <w:rPr>
          <w:lang w:val="en-US"/>
        </w:rPr>
        <w:t>mplementation of the policy. For example, taskforces are established to coordinate and monitor the implementation of the action plans and development of clinical guidelines at the health service providers.</w:t>
      </w:r>
    </w:p>
    <w:p w:rsidR="00B45189" w:rsidRPr="00B45189" w:rsidRDefault="009C4F1E" w:rsidP="00B322A2">
      <w:pPr>
        <w:pStyle w:val="SingleTxtG"/>
        <w:numPr>
          <w:ilvl w:val="0"/>
          <w:numId w:val="25"/>
        </w:numPr>
        <w:kinsoku w:val="0"/>
        <w:overflowPunct w:val="0"/>
        <w:autoSpaceDE w:val="0"/>
        <w:autoSpaceDN w:val="0"/>
        <w:adjustRightInd w:val="0"/>
        <w:snapToGrid w:val="0"/>
        <w:ind w:left="1134" w:firstLine="0"/>
        <w:rPr>
          <w:u w:val="single"/>
          <w:lang w:val="en-US"/>
        </w:rPr>
      </w:pPr>
      <w:r w:rsidRPr="00B45189">
        <w:rPr>
          <w:lang w:val="en-US"/>
        </w:rPr>
        <w:t xml:space="preserve">The EVAW policy is guided by these principles and approaches and are inscribed here from the text of the policy itself. </w:t>
      </w:r>
    </w:p>
    <w:p w:rsidR="00DB3183" w:rsidRDefault="00DB3183" w:rsidP="007C7EF9">
      <w:pPr>
        <w:pStyle w:val="H23G"/>
        <w:rPr>
          <w:lang w:val="en-US"/>
        </w:rPr>
      </w:pPr>
      <w:r>
        <w:rPr>
          <w:lang w:val="en-US"/>
        </w:rPr>
        <w:tab/>
      </w:r>
      <w:r>
        <w:rPr>
          <w:lang w:val="en-US"/>
        </w:rPr>
        <w:tab/>
      </w:r>
      <w:r w:rsidR="009C4F1E" w:rsidRPr="009C54C5">
        <w:rPr>
          <w:lang w:val="en-US"/>
        </w:rPr>
        <w:t xml:space="preserve">Survivor-centered </w:t>
      </w:r>
      <w:r>
        <w:rPr>
          <w:lang w:val="en-US"/>
        </w:rPr>
        <w:t>approach</w:t>
      </w:r>
    </w:p>
    <w:p w:rsidR="00DB3183" w:rsidRDefault="009C4F1E" w:rsidP="008D755B">
      <w:pPr>
        <w:pStyle w:val="SingleTxtG"/>
        <w:numPr>
          <w:ilvl w:val="0"/>
          <w:numId w:val="25"/>
        </w:numPr>
        <w:kinsoku w:val="0"/>
        <w:overflowPunct w:val="0"/>
        <w:autoSpaceDE w:val="0"/>
        <w:autoSpaceDN w:val="0"/>
        <w:adjustRightInd w:val="0"/>
        <w:snapToGrid w:val="0"/>
        <w:ind w:left="1134" w:firstLine="0"/>
        <w:rPr>
          <w:lang w:val="en-US"/>
        </w:rPr>
      </w:pPr>
      <w:r w:rsidRPr="00DB3183">
        <w:rPr>
          <w:lang w:val="en-US"/>
        </w:rPr>
        <w:t>A survivor-centered approach creates a supportive environment in which the survivor's rights and wishes are respected, their safety is ensured, and they are treated with dignity and respect. A survivor-centered approach is based on the following guiding principles:</w:t>
      </w:r>
      <w:r w:rsidR="009C54C5" w:rsidRPr="00DB3183">
        <w:rPr>
          <w:lang w:val="en-US"/>
        </w:rPr>
        <w:t xml:space="preserve"> </w:t>
      </w:r>
    </w:p>
    <w:p w:rsidR="00DB3183" w:rsidRDefault="00DB3183" w:rsidP="00DB3183">
      <w:pPr>
        <w:pStyle w:val="H4G"/>
        <w:rPr>
          <w:lang w:val="en-US"/>
        </w:rPr>
      </w:pPr>
      <w:r>
        <w:rPr>
          <w:lang w:val="en-US"/>
        </w:rPr>
        <w:tab/>
      </w:r>
      <w:r>
        <w:rPr>
          <w:lang w:val="en-US"/>
        </w:rPr>
        <w:tab/>
      </w:r>
      <w:r w:rsidR="007C7EF9">
        <w:rPr>
          <w:lang w:val="en-US"/>
        </w:rPr>
        <w:tab/>
      </w:r>
      <w:r w:rsidR="007C7EF9">
        <w:rPr>
          <w:lang w:val="en-US"/>
        </w:rPr>
        <w:tab/>
      </w:r>
      <w:r w:rsidRPr="00DB3183">
        <w:rPr>
          <w:lang w:val="en-US"/>
        </w:rPr>
        <w:t>Safety</w:t>
      </w:r>
    </w:p>
    <w:p w:rsidR="009C54C5" w:rsidRPr="00DB3183" w:rsidRDefault="009C4F1E" w:rsidP="007C7EF9">
      <w:pPr>
        <w:pStyle w:val="Bullet1G"/>
        <w:rPr>
          <w:lang w:val="en-US"/>
        </w:rPr>
      </w:pPr>
      <w:r w:rsidRPr="00DB3183">
        <w:rPr>
          <w:lang w:val="en-US"/>
        </w:rPr>
        <w:t>The safety and security of the survivor and her/his children is the primary considerat</w:t>
      </w:r>
      <w:r w:rsidR="007C7EF9">
        <w:rPr>
          <w:lang w:val="en-US"/>
        </w:rPr>
        <w:t>ion.</w:t>
      </w:r>
      <w:r w:rsidR="009C54C5" w:rsidRPr="00DB3183">
        <w:rPr>
          <w:lang w:val="en-US"/>
        </w:rPr>
        <w:t xml:space="preserve"> </w:t>
      </w:r>
    </w:p>
    <w:p w:rsidR="00DB3183" w:rsidRDefault="00DB3183" w:rsidP="00DB3183">
      <w:pPr>
        <w:pStyle w:val="H4G"/>
        <w:rPr>
          <w:lang w:val="en-US"/>
        </w:rPr>
      </w:pPr>
      <w:r>
        <w:rPr>
          <w:lang w:val="en-US"/>
        </w:rPr>
        <w:tab/>
      </w:r>
      <w:r>
        <w:rPr>
          <w:lang w:val="en-US"/>
        </w:rPr>
        <w:tab/>
      </w:r>
      <w:r w:rsidR="007C7EF9">
        <w:rPr>
          <w:lang w:val="en-US"/>
        </w:rPr>
        <w:tab/>
      </w:r>
      <w:r w:rsidR="007C7EF9">
        <w:rPr>
          <w:lang w:val="en-US"/>
        </w:rPr>
        <w:tab/>
      </w:r>
      <w:r w:rsidR="009C4F1E" w:rsidRPr="009C54C5">
        <w:rPr>
          <w:lang w:val="en-US"/>
        </w:rPr>
        <w:t>Confidentiality</w:t>
      </w:r>
    </w:p>
    <w:p w:rsidR="009C54C5" w:rsidRPr="009C54C5" w:rsidRDefault="009C4F1E" w:rsidP="007C7EF9">
      <w:pPr>
        <w:pStyle w:val="Bullet1G"/>
        <w:rPr>
          <w:lang w:val="en-US"/>
        </w:rPr>
      </w:pPr>
      <w:r w:rsidRPr="009C54C5">
        <w:rPr>
          <w:lang w:val="en-US"/>
        </w:rPr>
        <w:t xml:space="preserve">Survivors have the right to choose to whom they will or will not tell their story, and information should only be shared with the informed consent of the survivor. </w:t>
      </w:r>
    </w:p>
    <w:p w:rsidR="00D93DAA" w:rsidRDefault="00D93DAA" w:rsidP="00D93DAA">
      <w:pPr>
        <w:pStyle w:val="H4G"/>
        <w:rPr>
          <w:lang w:val="en-US"/>
        </w:rPr>
      </w:pPr>
      <w:r>
        <w:rPr>
          <w:lang w:val="en-US"/>
        </w:rPr>
        <w:tab/>
      </w:r>
      <w:r>
        <w:rPr>
          <w:lang w:val="en-US"/>
        </w:rPr>
        <w:tab/>
      </w:r>
      <w:r w:rsidR="007C7EF9">
        <w:rPr>
          <w:lang w:val="en-US"/>
        </w:rPr>
        <w:tab/>
      </w:r>
      <w:r w:rsidR="007C7EF9">
        <w:rPr>
          <w:lang w:val="en-US"/>
        </w:rPr>
        <w:tab/>
      </w:r>
      <w:r w:rsidR="009C4F1E" w:rsidRPr="009C54C5">
        <w:rPr>
          <w:lang w:val="en-US"/>
        </w:rPr>
        <w:t>Respect</w:t>
      </w:r>
    </w:p>
    <w:p w:rsidR="009C54C5" w:rsidRPr="009C54C5" w:rsidRDefault="009C4F1E" w:rsidP="007C7EF9">
      <w:pPr>
        <w:pStyle w:val="Bullet1G"/>
        <w:rPr>
          <w:lang w:val="en-US"/>
        </w:rPr>
      </w:pPr>
      <w:r w:rsidRPr="009C54C5">
        <w:rPr>
          <w:lang w:val="en-US"/>
        </w:rPr>
        <w:t xml:space="preserve">All actions taken should be guided by respect for the choices, wishes, rights and dignity of the survivor. The role of helpers is to facilitate recovery and provide resources to aid the survivor. </w:t>
      </w:r>
    </w:p>
    <w:p w:rsidR="00D93DAA" w:rsidRDefault="00D93DAA" w:rsidP="00D93DAA">
      <w:pPr>
        <w:pStyle w:val="H4G"/>
        <w:rPr>
          <w:lang w:val="en-US"/>
        </w:rPr>
      </w:pPr>
      <w:r>
        <w:rPr>
          <w:lang w:val="en-US"/>
        </w:rPr>
        <w:tab/>
      </w:r>
      <w:r>
        <w:rPr>
          <w:lang w:val="en-US"/>
        </w:rPr>
        <w:tab/>
      </w:r>
      <w:r w:rsidR="007C7EF9">
        <w:rPr>
          <w:lang w:val="en-US"/>
        </w:rPr>
        <w:tab/>
      </w:r>
      <w:r w:rsidR="007C7EF9">
        <w:rPr>
          <w:lang w:val="en-US"/>
        </w:rPr>
        <w:tab/>
      </w:r>
      <w:r w:rsidR="009C4F1E" w:rsidRPr="009C54C5">
        <w:rPr>
          <w:lang w:val="en-US"/>
        </w:rPr>
        <w:t>Non-discrimination</w:t>
      </w:r>
    </w:p>
    <w:p w:rsidR="009C54C5" w:rsidRPr="009C54C5" w:rsidRDefault="009C4F1E" w:rsidP="007C7EF9">
      <w:pPr>
        <w:pStyle w:val="Bullet1G"/>
        <w:rPr>
          <w:lang w:val="en-US"/>
        </w:rPr>
      </w:pPr>
      <w:r w:rsidRPr="009C54C5">
        <w:rPr>
          <w:lang w:val="en-US"/>
        </w:rPr>
        <w:t>Survivors should receive equal and fair treatment regardless of their age, gender, race, religion, nationality, ethnicity, sexual orientation or any other characteristic.</w:t>
      </w:r>
    </w:p>
    <w:p w:rsidR="00D93DAA" w:rsidRDefault="00D93DAA" w:rsidP="00D93DAA">
      <w:pPr>
        <w:pStyle w:val="H4G"/>
        <w:rPr>
          <w:lang w:val="en-US"/>
        </w:rPr>
      </w:pPr>
      <w:r>
        <w:rPr>
          <w:lang w:val="en-US"/>
        </w:rPr>
        <w:tab/>
      </w:r>
      <w:r>
        <w:rPr>
          <w:lang w:val="en-US"/>
        </w:rPr>
        <w:tab/>
      </w:r>
      <w:r w:rsidR="007C7EF9">
        <w:rPr>
          <w:lang w:val="en-US"/>
        </w:rPr>
        <w:tab/>
      </w:r>
      <w:r>
        <w:rPr>
          <w:lang w:val="en-US"/>
        </w:rPr>
        <w:tab/>
      </w:r>
      <w:r w:rsidR="007C7EF9">
        <w:rPr>
          <w:lang w:val="en-US"/>
        </w:rPr>
        <w:t>Rights-based approach</w:t>
      </w:r>
    </w:p>
    <w:p w:rsidR="009C54C5" w:rsidRPr="009C54C5" w:rsidRDefault="009C4F1E" w:rsidP="007C7EF9">
      <w:pPr>
        <w:pStyle w:val="Bullet1G"/>
        <w:rPr>
          <w:lang w:val="en-US"/>
        </w:rPr>
      </w:pPr>
      <w:r w:rsidRPr="009C54C5">
        <w:rPr>
          <w:lang w:val="en-US"/>
        </w:rPr>
        <w:t xml:space="preserve">A rights-based approach seeks to analyze and address the root causes of discrimination and inequality to ensure that everyone, regardless of their gender, age, ethnicity or religion, has the right to live with freedom and dignity, safe from violence, exploitation and abuse, in accordance with principles of human rights law. </w:t>
      </w:r>
    </w:p>
    <w:p w:rsidR="00D93DAA" w:rsidRDefault="00D93DAA" w:rsidP="00D93DAA">
      <w:pPr>
        <w:pStyle w:val="H4G"/>
        <w:rPr>
          <w:lang w:val="en-US"/>
        </w:rPr>
      </w:pPr>
      <w:r>
        <w:rPr>
          <w:lang w:val="en-US"/>
        </w:rPr>
        <w:tab/>
      </w:r>
      <w:r>
        <w:rPr>
          <w:lang w:val="en-US"/>
        </w:rPr>
        <w:tab/>
      </w:r>
      <w:r w:rsidR="007C7EF9">
        <w:rPr>
          <w:lang w:val="en-US"/>
        </w:rPr>
        <w:tab/>
      </w:r>
      <w:r w:rsidR="007C7EF9">
        <w:rPr>
          <w:lang w:val="en-US"/>
        </w:rPr>
        <w:tab/>
      </w:r>
      <w:r w:rsidR="009C4F1E" w:rsidRPr="009C54C5">
        <w:rPr>
          <w:lang w:val="en-US"/>
        </w:rPr>
        <w:t>Community-based approach</w:t>
      </w:r>
    </w:p>
    <w:p w:rsidR="009C54C5" w:rsidRPr="009C54C5" w:rsidRDefault="009C4F1E" w:rsidP="007C7EF9">
      <w:pPr>
        <w:pStyle w:val="Bullet1G"/>
        <w:rPr>
          <w:lang w:val="en-US"/>
        </w:rPr>
      </w:pPr>
      <w:r w:rsidRPr="009C54C5">
        <w:rPr>
          <w:lang w:val="en-US"/>
        </w:rPr>
        <w:t>A community-based approach ensures that affected populations are actively engaged as partners in developing strategies related to their protection from violence both with respect to response and prevention interventions. This approach involves direct consultation with women, girls and other at-risk groups to support program interventions to build on existing community-based protection mechanisms</w:t>
      </w:r>
      <w:r w:rsidR="007C7EF9">
        <w:rPr>
          <w:lang w:val="en-US"/>
        </w:rPr>
        <w:t>.</w:t>
      </w:r>
    </w:p>
    <w:p w:rsidR="00D93DAA" w:rsidRPr="00D93DAA" w:rsidRDefault="007C7EF9" w:rsidP="007C7EF9">
      <w:pPr>
        <w:pStyle w:val="H4G"/>
        <w:ind w:left="1701" w:firstLine="0"/>
      </w:pPr>
      <w:r>
        <w:rPr>
          <w:lang w:val="en-US"/>
        </w:rPr>
        <w:lastRenderedPageBreak/>
        <w:t xml:space="preserve">“Do no harm” </w:t>
      </w:r>
      <w:r w:rsidR="00D93DAA">
        <w:rPr>
          <w:lang w:val="en-US"/>
        </w:rPr>
        <w:t>approach</w:t>
      </w:r>
    </w:p>
    <w:p w:rsidR="009C54C5" w:rsidRPr="009C54C5" w:rsidRDefault="007C7EF9" w:rsidP="007C7EF9">
      <w:pPr>
        <w:pStyle w:val="Bullet1G"/>
      </w:pPr>
      <w:r>
        <w:rPr>
          <w:lang w:val="en-US"/>
        </w:rPr>
        <w:t>A “do no harm”</w:t>
      </w:r>
      <w:r w:rsidR="009C4F1E" w:rsidRPr="009C54C5">
        <w:rPr>
          <w:lang w:val="en-US"/>
        </w:rPr>
        <w:t xml:space="preserve"> approach involves taking all measures necessary to avoid exposing people to further harm as a result of the actions of service providers. </w:t>
      </w:r>
    </w:p>
    <w:p w:rsidR="00E61D3D" w:rsidRPr="00D93DAA" w:rsidRDefault="009C4F1E" w:rsidP="009C54C5">
      <w:pPr>
        <w:pStyle w:val="SingleTxtG"/>
        <w:numPr>
          <w:ilvl w:val="0"/>
          <w:numId w:val="25"/>
        </w:numPr>
        <w:kinsoku w:val="0"/>
        <w:overflowPunct w:val="0"/>
        <w:autoSpaceDE w:val="0"/>
        <w:autoSpaceDN w:val="0"/>
        <w:adjustRightInd w:val="0"/>
        <w:snapToGrid w:val="0"/>
        <w:ind w:left="1134" w:firstLine="0"/>
      </w:pPr>
      <w:r w:rsidRPr="009C54C5">
        <w:rPr>
          <w:lang w:val="en-US"/>
        </w:rPr>
        <w:t>FSM National Government through the support of UNFPA had secured an expert who had done assessment and clinical management training of sexual violence in the four state health departments last year to come back and assist with the formulation of clinical management guidelines. This is scheduled for the last quarter of this year, 2019</w:t>
      </w:r>
      <w:r w:rsidR="00D93DAA">
        <w:rPr>
          <w:lang w:val="en-US"/>
        </w:rPr>
        <w:t>.</w:t>
      </w:r>
    </w:p>
    <w:p w:rsidR="00D93DAA" w:rsidRPr="007C7EF9" w:rsidRDefault="007C7EF9" w:rsidP="007C7EF9">
      <w:pPr>
        <w:pStyle w:val="SingleTxtG"/>
        <w:kinsoku w:val="0"/>
        <w:overflowPunct w:val="0"/>
        <w:autoSpaceDE w:val="0"/>
        <w:autoSpaceDN w:val="0"/>
        <w:adjustRightInd w:val="0"/>
        <w:snapToGrid w:val="0"/>
        <w:spacing w:before="240" w:after="0"/>
        <w:jc w:val="center"/>
        <w:rPr>
          <w:u w:val="single"/>
        </w:rPr>
      </w:pPr>
      <w:r>
        <w:tab/>
      </w:r>
      <w:r>
        <w:rPr>
          <w:u w:val="single"/>
        </w:rPr>
        <w:tab/>
      </w:r>
      <w:r>
        <w:rPr>
          <w:u w:val="single"/>
        </w:rPr>
        <w:tab/>
      </w:r>
      <w:r>
        <w:rPr>
          <w:u w:val="single"/>
        </w:rPr>
        <w:tab/>
      </w:r>
    </w:p>
    <w:sectPr w:rsidR="00D93DAA" w:rsidRPr="007C7EF9" w:rsidSect="009C4F1E">
      <w:headerReference w:type="even" r:id="rId7"/>
      <w:headerReference w:type="default" r:id="rId8"/>
      <w:footerReference w:type="even" r:id="rId9"/>
      <w:footerReference w:type="default" r:id="rId10"/>
      <w:footerReference w:type="first" r:id="rId1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F1E" w:rsidRDefault="009C4F1E"/>
  </w:endnote>
  <w:endnote w:type="continuationSeparator" w:id="0">
    <w:p w:rsidR="009C4F1E" w:rsidRDefault="009C4F1E"/>
  </w:endnote>
  <w:endnote w:type="continuationNotice" w:id="1">
    <w:p w:rsidR="009C4F1E" w:rsidRDefault="009C4F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F1E" w:rsidRPr="009C4F1E" w:rsidRDefault="009C4F1E" w:rsidP="009C4F1E">
    <w:pPr>
      <w:pStyle w:val="Footer"/>
      <w:tabs>
        <w:tab w:val="right" w:pos="9638"/>
      </w:tabs>
      <w:rPr>
        <w:sz w:val="18"/>
      </w:rPr>
    </w:pPr>
    <w:r w:rsidRPr="009C4F1E">
      <w:rPr>
        <w:b/>
        <w:sz w:val="18"/>
      </w:rPr>
      <w:fldChar w:fldCharType="begin"/>
    </w:r>
    <w:r w:rsidRPr="009C4F1E">
      <w:rPr>
        <w:b/>
        <w:sz w:val="18"/>
      </w:rPr>
      <w:instrText xml:space="preserve"> PAGE  \* MERGEFORMAT </w:instrText>
    </w:r>
    <w:r w:rsidRPr="009C4F1E">
      <w:rPr>
        <w:b/>
        <w:sz w:val="18"/>
      </w:rPr>
      <w:fldChar w:fldCharType="separate"/>
    </w:r>
    <w:r w:rsidR="00486D4B">
      <w:rPr>
        <w:b/>
        <w:noProof/>
        <w:sz w:val="18"/>
      </w:rPr>
      <w:t>4</w:t>
    </w:r>
    <w:r w:rsidRPr="009C4F1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F1E" w:rsidRPr="009C4F1E" w:rsidRDefault="009C4F1E" w:rsidP="009C4F1E">
    <w:pPr>
      <w:pStyle w:val="Footer"/>
      <w:tabs>
        <w:tab w:val="right" w:pos="9638"/>
      </w:tabs>
      <w:rPr>
        <w:b/>
        <w:sz w:val="18"/>
      </w:rPr>
    </w:pPr>
    <w:r>
      <w:tab/>
    </w:r>
    <w:r w:rsidRPr="009C4F1E">
      <w:rPr>
        <w:b/>
        <w:sz w:val="18"/>
      </w:rPr>
      <w:fldChar w:fldCharType="begin"/>
    </w:r>
    <w:r w:rsidRPr="009C4F1E">
      <w:rPr>
        <w:b/>
        <w:sz w:val="18"/>
      </w:rPr>
      <w:instrText xml:space="preserve"> PAGE  \* MERGEFORMAT </w:instrText>
    </w:r>
    <w:r w:rsidRPr="009C4F1E">
      <w:rPr>
        <w:b/>
        <w:sz w:val="18"/>
      </w:rPr>
      <w:fldChar w:fldCharType="separate"/>
    </w:r>
    <w:r w:rsidR="00486D4B">
      <w:rPr>
        <w:b/>
        <w:noProof/>
        <w:sz w:val="18"/>
      </w:rPr>
      <w:t>3</w:t>
    </w:r>
    <w:r w:rsidRPr="009C4F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130" w:rsidRPr="009C4F1E" w:rsidRDefault="008D10AB" w:rsidP="009B4A1B">
    <w:pPr>
      <w:pStyle w:val="Footer"/>
      <w:rPr>
        <w:sz w:val="20"/>
      </w:rPr>
    </w:pPr>
    <w:r>
      <w:rPr>
        <w:noProof/>
        <w:lang w:eastAsia="en-GB"/>
      </w:rPr>
      <w:drawing>
        <wp:anchor distT="0" distB="0" distL="114300" distR="114300" simplePos="0" relativeHeight="251660288" behindDoc="0" locked="1" layoutInCell="1" allowOverlap="1" wp14:anchorId="19B87E28" wp14:editId="55CC7E00">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F1E" w:rsidRPr="000B175B" w:rsidRDefault="009C4F1E" w:rsidP="000B175B">
      <w:pPr>
        <w:tabs>
          <w:tab w:val="right" w:pos="2155"/>
        </w:tabs>
        <w:spacing w:after="80"/>
        <w:ind w:left="680"/>
        <w:rPr>
          <w:u w:val="single"/>
        </w:rPr>
      </w:pPr>
      <w:r>
        <w:rPr>
          <w:u w:val="single"/>
        </w:rPr>
        <w:tab/>
      </w:r>
    </w:p>
  </w:footnote>
  <w:footnote w:type="continuationSeparator" w:id="0">
    <w:p w:rsidR="009C4F1E" w:rsidRPr="00FC68B7" w:rsidRDefault="009C4F1E" w:rsidP="00FC68B7">
      <w:pPr>
        <w:tabs>
          <w:tab w:val="left" w:pos="2155"/>
        </w:tabs>
        <w:spacing w:after="80"/>
        <w:ind w:left="680"/>
        <w:rPr>
          <w:u w:val="single"/>
        </w:rPr>
      </w:pPr>
      <w:r>
        <w:rPr>
          <w:u w:val="single"/>
        </w:rPr>
        <w:tab/>
      </w:r>
    </w:p>
  </w:footnote>
  <w:footnote w:type="continuationNotice" w:id="1">
    <w:p w:rsidR="009C4F1E" w:rsidRDefault="009C4F1E"/>
  </w:footnote>
  <w:footnote w:id="2">
    <w:p w:rsidR="009C4F1E" w:rsidRPr="001440E0" w:rsidRDefault="009C4F1E" w:rsidP="009C4F1E">
      <w:pPr>
        <w:pStyle w:val="FootnoteText"/>
        <w:rPr>
          <w:lang w:val="en-US"/>
        </w:rPr>
      </w:pPr>
      <w:r>
        <w:tab/>
      </w:r>
      <w:r w:rsidRPr="00987051">
        <w:rPr>
          <w:rStyle w:val="FootnoteReference"/>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F1E" w:rsidRPr="009C4F1E" w:rsidRDefault="00BC7642">
    <w:pPr>
      <w:pStyle w:val="Header"/>
    </w:pPr>
    <w:fldSimple w:instr=" TITLE  \* MERGEFORMAT ">
      <w:r w:rsidR="009C4F1E">
        <w:t>CEDAW/C/FSM/CO/1-3/Add.1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F1E" w:rsidRPr="009C4F1E" w:rsidRDefault="00BC7642" w:rsidP="009C4F1E">
    <w:pPr>
      <w:pStyle w:val="Header"/>
      <w:jc w:val="right"/>
    </w:pPr>
    <w:fldSimple w:instr=" TITLE  \* MERGEFORMAT ">
      <w:r w:rsidR="009C4F1E">
        <w:t>CEDAW/C/FSM/CO/1-3/Add.1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155B81"/>
    <w:multiLevelType w:val="hybridMultilevel"/>
    <w:tmpl w:val="66CE7A5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560254"/>
    <w:multiLevelType w:val="hybridMultilevel"/>
    <w:tmpl w:val="0EF2CDB6"/>
    <w:lvl w:ilvl="0" w:tplc="08090001">
      <w:start w:val="1"/>
      <w:numFmt w:val="bullet"/>
      <w:lvlText w:val=""/>
      <w:lvlJc w:val="left"/>
      <w:pPr>
        <w:ind w:left="1494" w:hanging="360"/>
      </w:pPr>
      <w:rPr>
        <w:rFonts w:ascii="Symbol" w:hAnsi="Symbol"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BF055C6"/>
    <w:multiLevelType w:val="hybridMultilevel"/>
    <w:tmpl w:val="C51425C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2C74BB9"/>
    <w:multiLevelType w:val="hybridMultilevel"/>
    <w:tmpl w:val="6E4006B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3B5D21D7"/>
    <w:multiLevelType w:val="hybridMultilevel"/>
    <w:tmpl w:val="1948653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D773205"/>
    <w:multiLevelType w:val="hybridMultilevel"/>
    <w:tmpl w:val="5C2802DC"/>
    <w:lvl w:ilvl="0" w:tplc="0809000F">
      <w:start w:val="1"/>
      <w:numFmt w:val="decimal"/>
      <w:lvlText w:val="%1."/>
      <w:lvlJc w:val="left"/>
      <w:pPr>
        <w:ind w:left="1494" w:hanging="360"/>
      </w:pPr>
      <w:rPr>
        <w:rFont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15:restartNumberingAfterBreak="0">
    <w:nsid w:val="480B09F7"/>
    <w:multiLevelType w:val="hybridMultilevel"/>
    <w:tmpl w:val="F5A0B000"/>
    <w:lvl w:ilvl="0" w:tplc="0574865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853038"/>
    <w:multiLevelType w:val="hybridMultilevel"/>
    <w:tmpl w:val="425C1CA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7FC33D41"/>
    <w:multiLevelType w:val="hybridMultilevel"/>
    <w:tmpl w:val="552CCF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4"/>
  </w:num>
  <w:num w:numId="13">
    <w:abstractNumId w:val="11"/>
  </w:num>
  <w:num w:numId="14">
    <w:abstractNumId w:val="10"/>
  </w:num>
  <w:num w:numId="15">
    <w:abstractNumId w:val="22"/>
  </w:num>
  <w:num w:numId="16">
    <w:abstractNumId w:val="12"/>
  </w:num>
  <w:num w:numId="17">
    <w:abstractNumId w:val="16"/>
  </w:num>
  <w:num w:numId="18">
    <w:abstractNumId w:val="13"/>
  </w:num>
  <w:num w:numId="19">
    <w:abstractNumId w:val="24"/>
  </w:num>
  <w:num w:numId="20">
    <w:abstractNumId w:val="20"/>
  </w:num>
  <w:num w:numId="21">
    <w:abstractNumId w:val="18"/>
  </w:num>
  <w:num w:numId="22">
    <w:abstractNumId w:val="23"/>
  </w:num>
  <w:num w:numId="23">
    <w:abstractNumId w:val="15"/>
  </w:num>
  <w:num w:numId="24">
    <w:abstractNumId w:val="17"/>
  </w:num>
  <w:num w:numId="25">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AES" w:cryptAlgorithmClass="hash" w:cryptAlgorithmType="typeAny" w:cryptAlgorithmSid="14" w:cryptSpinCount="100000" w:hash="EZOnrD9qcrNG/sXEG9ays0Xk+agmUOXHoVEYTm5IO76IgSlq+HGxY+YCZbcLOUN9dlZhQjVpqzn5hRbgy29WfA==" w:salt="u4yXMUBHFmck9Zi8f6MeZA=="/>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F1E"/>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453A"/>
    <w:rsid w:val="001C6663"/>
    <w:rsid w:val="001C7895"/>
    <w:rsid w:val="001D26DF"/>
    <w:rsid w:val="001D2F63"/>
    <w:rsid w:val="001E5AA0"/>
    <w:rsid w:val="00202DA8"/>
    <w:rsid w:val="00211E0B"/>
    <w:rsid w:val="002B0464"/>
    <w:rsid w:val="002B6071"/>
    <w:rsid w:val="002C6D5C"/>
    <w:rsid w:val="002F175C"/>
    <w:rsid w:val="003229D8"/>
    <w:rsid w:val="003305AB"/>
    <w:rsid w:val="00352709"/>
    <w:rsid w:val="00371178"/>
    <w:rsid w:val="003A4810"/>
    <w:rsid w:val="003A6810"/>
    <w:rsid w:val="003C2CC4"/>
    <w:rsid w:val="003D4B23"/>
    <w:rsid w:val="00405DDC"/>
    <w:rsid w:val="00410C89"/>
    <w:rsid w:val="004325CB"/>
    <w:rsid w:val="0045495B"/>
    <w:rsid w:val="00486D4B"/>
    <w:rsid w:val="00490E1A"/>
    <w:rsid w:val="004D25E4"/>
    <w:rsid w:val="00517B36"/>
    <w:rsid w:val="005420F2"/>
    <w:rsid w:val="005B3DB3"/>
    <w:rsid w:val="005B5E1E"/>
    <w:rsid w:val="005C6A79"/>
    <w:rsid w:val="006001EE"/>
    <w:rsid w:val="00611FC4"/>
    <w:rsid w:val="006176FB"/>
    <w:rsid w:val="00640B26"/>
    <w:rsid w:val="006B4BDB"/>
    <w:rsid w:val="006E564B"/>
    <w:rsid w:val="0072632A"/>
    <w:rsid w:val="00733D56"/>
    <w:rsid w:val="007B112D"/>
    <w:rsid w:val="007B6BA5"/>
    <w:rsid w:val="007C3390"/>
    <w:rsid w:val="007C4F4B"/>
    <w:rsid w:val="007C7EF9"/>
    <w:rsid w:val="007E61A6"/>
    <w:rsid w:val="007F6462"/>
    <w:rsid w:val="007F6611"/>
    <w:rsid w:val="008242D7"/>
    <w:rsid w:val="00832D01"/>
    <w:rsid w:val="00860B80"/>
    <w:rsid w:val="008979B1"/>
    <w:rsid w:val="008A6B25"/>
    <w:rsid w:val="008A6C4F"/>
    <w:rsid w:val="008B2335"/>
    <w:rsid w:val="008D10AB"/>
    <w:rsid w:val="008D79EB"/>
    <w:rsid w:val="008E0548"/>
    <w:rsid w:val="009223CA"/>
    <w:rsid w:val="009369F6"/>
    <w:rsid w:val="00940F93"/>
    <w:rsid w:val="009603EF"/>
    <w:rsid w:val="00994B9F"/>
    <w:rsid w:val="009B4A1B"/>
    <w:rsid w:val="009C0EE8"/>
    <w:rsid w:val="009C14AA"/>
    <w:rsid w:val="009C4F1E"/>
    <w:rsid w:val="009C54C5"/>
    <w:rsid w:val="00A01489"/>
    <w:rsid w:val="00A21AD8"/>
    <w:rsid w:val="00A61CCD"/>
    <w:rsid w:val="00A72F22"/>
    <w:rsid w:val="00A748A6"/>
    <w:rsid w:val="00A776B4"/>
    <w:rsid w:val="00A94361"/>
    <w:rsid w:val="00AC1552"/>
    <w:rsid w:val="00B06775"/>
    <w:rsid w:val="00B30179"/>
    <w:rsid w:val="00B45189"/>
    <w:rsid w:val="00B5659B"/>
    <w:rsid w:val="00B56E9C"/>
    <w:rsid w:val="00B64B1F"/>
    <w:rsid w:val="00B6553F"/>
    <w:rsid w:val="00B81E12"/>
    <w:rsid w:val="00BC74E9"/>
    <w:rsid w:val="00BC7642"/>
    <w:rsid w:val="00BF68A8"/>
    <w:rsid w:val="00C3206E"/>
    <w:rsid w:val="00C463DD"/>
    <w:rsid w:val="00C4724C"/>
    <w:rsid w:val="00C475AB"/>
    <w:rsid w:val="00C502BC"/>
    <w:rsid w:val="00C53A77"/>
    <w:rsid w:val="00C629A0"/>
    <w:rsid w:val="00C745C3"/>
    <w:rsid w:val="00C75FB9"/>
    <w:rsid w:val="00CC00AC"/>
    <w:rsid w:val="00CC24D2"/>
    <w:rsid w:val="00CE4A8F"/>
    <w:rsid w:val="00D2031B"/>
    <w:rsid w:val="00D218CB"/>
    <w:rsid w:val="00D25FE2"/>
    <w:rsid w:val="00D43252"/>
    <w:rsid w:val="00D51E7F"/>
    <w:rsid w:val="00D7767E"/>
    <w:rsid w:val="00D93DAA"/>
    <w:rsid w:val="00D978C6"/>
    <w:rsid w:val="00DA3C1C"/>
    <w:rsid w:val="00DB3183"/>
    <w:rsid w:val="00DE0130"/>
    <w:rsid w:val="00E109FB"/>
    <w:rsid w:val="00E20A6E"/>
    <w:rsid w:val="00E56873"/>
    <w:rsid w:val="00E61D3D"/>
    <w:rsid w:val="00E63389"/>
    <w:rsid w:val="00E71BC8"/>
    <w:rsid w:val="00E7260F"/>
    <w:rsid w:val="00E96630"/>
    <w:rsid w:val="00ED32A3"/>
    <w:rsid w:val="00ED616A"/>
    <w:rsid w:val="00ED7A2A"/>
    <w:rsid w:val="00EF1D7F"/>
    <w:rsid w:val="00F32B3C"/>
    <w:rsid w:val="00F34583"/>
    <w:rsid w:val="00F504DF"/>
    <w:rsid w:val="00FA271C"/>
    <w:rsid w:val="00FB12E2"/>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B9A633"/>
  <w15:docId w15:val="{1B470F13-D358-48AB-87B0-7C470DA1A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548"/>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semiHidden/>
    <w:qFormat/>
    <w:rsid w:val="00E61D3D"/>
    <w:pPr>
      <w:spacing w:line="240" w:lineRule="auto"/>
      <w:outlineLvl w:val="1"/>
    </w:pPr>
  </w:style>
  <w:style w:type="paragraph" w:styleId="Heading3">
    <w:name w:val="heading 3"/>
    <w:basedOn w:val="Normal"/>
    <w:next w:val="Normal"/>
    <w:semiHidden/>
    <w:qFormat/>
    <w:rsid w:val="00E61D3D"/>
    <w:pPr>
      <w:spacing w:line="240" w:lineRule="auto"/>
      <w:outlineLvl w:val="2"/>
    </w:pPr>
  </w:style>
  <w:style w:type="paragraph" w:styleId="Heading4">
    <w:name w:val="heading 4"/>
    <w:basedOn w:val="Normal"/>
    <w:next w:val="Normal"/>
    <w:semiHidden/>
    <w:qFormat/>
    <w:rsid w:val="00E61D3D"/>
    <w:pPr>
      <w:spacing w:line="240" w:lineRule="auto"/>
      <w:outlineLvl w:val="3"/>
    </w:pPr>
  </w:style>
  <w:style w:type="paragraph" w:styleId="Heading5">
    <w:name w:val="heading 5"/>
    <w:basedOn w:val="Normal"/>
    <w:next w:val="Normal"/>
    <w:semiHidden/>
    <w:qFormat/>
    <w:rsid w:val="00E61D3D"/>
    <w:pPr>
      <w:spacing w:line="240" w:lineRule="auto"/>
      <w:outlineLvl w:val="4"/>
    </w:pPr>
  </w:style>
  <w:style w:type="paragraph" w:styleId="Heading6">
    <w:name w:val="heading 6"/>
    <w:basedOn w:val="Normal"/>
    <w:next w:val="Normal"/>
    <w:semiHidden/>
    <w:qFormat/>
    <w:rsid w:val="00E61D3D"/>
    <w:pPr>
      <w:spacing w:line="240" w:lineRule="auto"/>
      <w:outlineLvl w:val="5"/>
    </w:pPr>
  </w:style>
  <w:style w:type="paragraph" w:styleId="Heading7">
    <w:name w:val="heading 7"/>
    <w:basedOn w:val="Normal"/>
    <w:next w:val="Normal"/>
    <w:semiHidden/>
    <w:qFormat/>
    <w:rsid w:val="00E61D3D"/>
    <w:pPr>
      <w:spacing w:line="240" w:lineRule="auto"/>
      <w:outlineLvl w:val="6"/>
    </w:pPr>
  </w:style>
  <w:style w:type="paragraph" w:styleId="Heading8">
    <w:name w:val="heading 8"/>
    <w:basedOn w:val="Normal"/>
    <w:next w:val="Normal"/>
    <w:semiHidden/>
    <w:qFormat/>
    <w:rsid w:val="00E61D3D"/>
    <w:pPr>
      <w:spacing w:line="240" w:lineRule="auto"/>
      <w:outlineLvl w:val="7"/>
    </w:pPr>
  </w:style>
  <w:style w:type="paragraph" w:styleId="Heading9">
    <w:name w:val="heading 9"/>
    <w:basedOn w:val="Normal"/>
    <w:next w:val="Normal"/>
    <w:semiHidden/>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61D3D"/>
    <w:pPr>
      <w:keepNext/>
      <w:keepLines/>
      <w:tabs>
        <w:tab w:val="right" w:pos="851"/>
      </w:tabs>
      <w:spacing w:before="360" w:after="240" w:line="300" w:lineRule="exact"/>
      <w:ind w:left="1134" w:right="1134" w:hanging="1134"/>
    </w:pPr>
    <w:rPr>
      <w:b/>
      <w:sz w:val="28"/>
    </w:rPr>
  </w:style>
  <w:style w:type="paragraph" w:styleId="BalloonText">
    <w:name w:val="Balloon Text"/>
    <w:basedOn w:val="Normal"/>
    <w:link w:val="BalloonTextChar"/>
    <w:semiHidden/>
    <w:rsid w:val="008E0548"/>
    <w:pPr>
      <w:spacing w:line="240" w:lineRule="auto"/>
    </w:pPr>
    <w:rPr>
      <w:rFonts w:ascii="Tahoma" w:hAnsi="Tahoma" w:cs="Tahoma"/>
      <w:sz w:val="16"/>
      <w:szCs w:val="16"/>
    </w:rPr>
  </w:style>
  <w:style w:type="paragraph" w:customStyle="1" w:styleId="SingleTxtG">
    <w:name w:val="_ Single Txt_G"/>
    <w:basedOn w:val="Normal"/>
    <w:link w:val="SingleTxtGChar"/>
    <w:qFormat/>
    <w:rsid w:val="00E61D3D"/>
    <w:pPr>
      <w:spacing w:after="120"/>
      <w:ind w:left="1134" w:right="1134"/>
      <w:jc w:val="both"/>
    </w:pPr>
  </w:style>
  <w:style w:type="character" w:styleId="PageNumber">
    <w:name w:val="page number"/>
    <w:aliases w:val="7_G"/>
    <w:basedOn w:val="DefaultParagraphFont"/>
    <w:qFormat/>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E61D3D"/>
    <w:rPr>
      <w:rFonts w:ascii="Times New Roman" w:hAnsi="Times New Roman"/>
      <w:sz w:val="18"/>
      <w:vertAlign w:val="superscript"/>
    </w:rPr>
  </w:style>
  <w:style w:type="character" w:styleId="FootnoteReference">
    <w:name w:val="footnote reference"/>
    <w:aliases w:val="4_G"/>
    <w:basedOn w:val="DefaultParagraphFont"/>
    <w:qFormat/>
    <w:rsid w:val="00E61D3D"/>
    <w:rPr>
      <w:rFonts w:ascii="Times New Roman" w:hAnsi="Times New Roman"/>
      <w:sz w:val="18"/>
      <w:vertAlign w:val="superscript"/>
    </w:rPr>
  </w:style>
  <w:style w:type="paragraph" w:styleId="FootnoteText">
    <w:name w:val="footnote text"/>
    <w:aliases w:val="5_G"/>
    <w:basedOn w:val="Normal"/>
    <w:link w:val="FootnoteTextChar"/>
    <w:qFormat/>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qFormat/>
    <w:rsid w:val="00E61D3D"/>
    <w:pPr>
      <w:numPr>
        <w:numId w:val="14"/>
      </w:numPr>
      <w:spacing w:after="120"/>
      <w:ind w:right="1134"/>
      <w:jc w:val="both"/>
    </w:pPr>
  </w:style>
  <w:style w:type="paragraph" w:styleId="EndnoteText">
    <w:name w:val="endnote text"/>
    <w:aliases w:val="2_G"/>
    <w:basedOn w:val="FootnoteText"/>
    <w:qFormat/>
    <w:rsid w:val="00E61D3D"/>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qFormat/>
    <w:rsid w:val="00E61D3D"/>
    <w:pPr>
      <w:spacing w:line="240" w:lineRule="auto"/>
    </w:pPr>
    <w:rPr>
      <w:sz w:val="16"/>
    </w:rPr>
  </w:style>
  <w:style w:type="paragraph" w:styleId="Header">
    <w:name w:val="header"/>
    <w:aliases w:val="6_G"/>
    <w:basedOn w:val="Normal"/>
    <w:link w:val="HeaderChar"/>
    <w:qFormat/>
    <w:rsid w:val="00E61D3D"/>
    <w:pPr>
      <w:pBdr>
        <w:bottom w:val="single" w:sz="4" w:space="4" w:color="auto"/>
      </w:pBdr>
      <w:spacing w:line="240" w:lineRule="auto"/>
    </w:pPr>
    <w:rPr>
      <w:b/>
      <w:sz w:val="18"/>
    </w:rPr>
  </w:style>
  <w:style w:type="character" w:customStyle="1" w:styleId="BalloonTextChar">
    <w:name w:val="Balloon Text Char"/>
    <w:basedOn w:val="DefaultParagraphFont"/>
    <w:link w:val="BalloonText"/>
    <w:semiHidden/>
    <w:rsid w:val="008E0548"/>
    <w:rPr>
      <w:rFonts w:ascii="Tahoma" w:hAnsi="Tahoma" w:cs="Tahoma"/>
      <w:sz w:val="16"/>
      <w:szCs w:val="16"/>
      <w:lang w:val="en-GB" w:eastAsia="en-US"/>
    </w:rPr>
  </w:style>
  <w:style w:type="paragraph" w:customStyle="1" w:styleId="ParNoG">
    <w:name w:val="_ParNo_G"/>
    <w:basedOn w:val="SingleTxtG"/>
    <w:qFormat/>
    <w:rsid w:val="00A21AD8"/>
    <w:pPr>
      <w:numPr>
        <w:numId w:val="16"/>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9C4F1E"/>
    <w:rPr>
      <w:sz w:val="18"/>
      <w:lang w:val="en-GB" w:eastAsia="en-US"/>
    </w:rPr>
  </w:style>
  <w:style w:type="character" w:customStyle="1" w:styleId="SingleTxtGChar">
    <w:name w:val="_ Single Txt_G Char"/>
    <w:link w:val="SingleTxtG"/>
    <w:locked/>
    <w:rsid w:val="008D79EB"/>
    <w:rPr>
      <w:lang w:val="en-GB" w:eastAsia="en-US"/>
    </w:rPr>
  </w:style>
  <w:style w:type="character" w:customStyle="1" w:styleId="HeaderChar">
    <w:name w:val="Header Char"/>
    <w:aliases w:val="6_G Char"/>
    <w:basedOn w:val="DefaultParagraphFont"/>
    <w:link w:val="Header"/>
    <w:rsid w:val="00B5659B"/>
    <w:rPr>
      <w:b/>
      <w:sz w:val="18"/>
      <w:lang w:val="en-GB" w:eastAsia="en-US"/>
    </w:rPr>
  </w:style>
  <w:style w:type="paragraph" w:customStyle="1" w:styleId="H1">
    <w:name w:val="_ H_1"/>
    <w:basedOn w:val="Normal"/>
    <w:next w:val="Normal"/>
    <w:rsid w:val="00C502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82864">
      <w:bodyDiv w:val="1"/>
      <w:marLeft w:val="0"/>
      <w:marRight w:val="0"/>
      <w:marTop w:val="0"/>
      <w:marBottom w:val="0"/>
      <w:divBdr>
        <w:top w:val="none" w:sz="0" w:space="0" w:color="auto"/>
        <w:left w:val="none" w:sz="0" w:space="0" w:color="auto"/>
        <w:bottom w:val="none" w:sz="0" w:space="0" w:color="auto"/>
        <w:right w:val="none" w:sz="0" w:space="0" w:color="auto"/>
      </w:divBdr>
    </w:div>
    <w:div w:id="70695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AW\CEDAW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7F5CAD-8F37-4D57-B551-C607A55293DC}"/>
</file>

<file path=customXml/itemProps2.xml><?xml version="1.0" encoding="utf-8"?>
<ds:datastoreItem xmlns:ds="http://schemas.openxmlformats.org/officeDocument/2006/customXml" ds:itemID="{76892DEA-41DF-4019-A4A1-C3FD43720D88}"/>
</file>

<file path=customXml/itemProps3.xml><?xml version="1.0" encoding="utf-8"?>
<ds:datastoreItem xmlns:ds="http://schemas.openxmlformats.org/officeDocument/2006/customXml" ds:itemID="{7A92E20E-FFBF-45F2-A162-128366245439}"/>
</file>

<file path=docProps/app.xml><?xml version="1.0" encoding="utf-8"?>
<Properties xmlns="http://schemas.openxmlformats.org/officeDocument/2006/extended-properties" xmlns:vt="http://schemas.openxmlformats.org/officeDocument/2006/docPropsVTypes">
  <Template>CEDAW_E.dotm</Template>
  <TotalTime>0</TotalTime>
  <Pages>4</Pages>
  <Words>1153</Words>
  <Characters>6577</Characters>
  <Application>Microsoft Office Word</Application>
  <DocSecurity>8</DocSecurity>
  <Lines>54</Lines>
  <Paragraphs>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CEDAW/C/FSM/CO/1-3/Add.1</vt:lpstr>
      <vt:lpstr>United Nations</vt:lpstr>
    </vt:vector>
  </TitlesOfParts>
  <Company>CSD</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CEDAW/C/FSM/CO/1-3/Add.1</dc:title>
  <dc:creator>SPASOVA Galya</dc:creator>
  <cp:lastModifiedBy>Irene del Pilar Sandoval</cp:lastModifiedBy>
  <cp:revision>2</cp:revision>
  <cp:lastPrinted>2008-01-29T13:17:00Z</cp:lastPrinted>
  <dcterms:created xsi:type="dcterms:W3CDTF">2019-11-17T20:00:00Z</dcterms:created>
  <dcterms:modified xsi:type="dcterms:W3CDTF">2019-11-17T20:00:00Z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