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4C5" w:rsidRPr="008B47F5" w:rsidRDefault="00A724C5" w:rsidP="008B47F5">
      <w:pPr>
        <w:spacing w:line="240" w:lineRule="auto"/>
        <w:rPr>
          <w:rFonts w:ascii="Cambria" w:hAnsi="Cambria"/>
          <w:lang w:val="en-US"/>
        </w:rPr>
      </w:pPr>
      <w:r w:rsidRPr="008B47F5">
        <w:rPr>
          <w:rFonts w:ascii="Cambria" w:hAnsi="Cambria"/>
          <w:lang w:val="en-US"/>
        </w:rPr>
        <w:tab/>
      </w:r>
      <w:r w:rsidRPr="008B47F5">
        <w:rPr>
          <w:rFonts w:ascii="Cambria" w:hAnsi="Cambria"/>
          <w:lang w:val="en-US"/>
        </w:rPr>
        <w:tab/>
      </w:r>
      <w:r w:rsidRPr="008B47F5">
        <w:rPr>
          <w:rFonts w:ascii="Cambria" w:hAnsi="Cambria"/>
          <w:lang w:val="en-US"/>
        </w:rPr>
        <w:tab/>
      </w:r>
      <w:r w:rsidRPr="008B47F5">
        <w:rPr>
          <w:rFonts w:ascii="Cambria" w:hAnsi="Cambria"/>
          <w:lang w:val="en-US"/>
        </w:rPr>
        <w:tab/>
      </w:r>
      <w:r w:rsidRPr="008B47F5">
        <w:rPr>
          <w:rFonts w:ascii="Cambria" w:hAnsi="Cambria"/>
          <w:noProof/>
          <w:lang w:val="en-US"/>
        </w:rPr>
        <w:drawing>
          <wp:inline distT="0" distB="0" distL="0" distR="0" wp14:anchorId="74ECB387" wp14:editId="37B02ED7">
            <wp:extent cx="5731510" cy="1262380"/>
            <wp:effectExtent l="0" t="0" r="0" b="0"/>
            <wp:docPr id="2" name="Picture 2" descr="C:\Users\User\Downloads\antet_engl@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antet_engl@2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62380"/>
                    </a:xfrm>
                    <a:prstGeom prst="rect">
                      <a:avLst/>
                    </a:prstGeom>
                    <a:noFill/>
                    <a:ln>
                      <a:noFill/>
                    </a:ln>
                  </pic:spPr>
                </pic:pic>
              </a:graphicData>
            </a:graphic>
          </wp:inline>
        </w:drawing>
      </w:r>
      <w:r w:rsidRPr="008B47F5">
        <w:rPr>
          <w:rFonts w:ascii="Cambria" w:hAnsi="Cambria"/>
          <w:lang w:val="en-US"/>
        </w:rPr>
        <w:tab/>
      </w:r>
    </w:p>
    <w:p w:rsidR="00A724C5" w:rsidRPr="008B47F5" w:rsidRDefault="00A724C5" w:rsidP="008B47F5">
      <w:pPr>
        <w:spacing w:line="240" w:lineRule="auto"/>
        <w:rPr>
          <w:rFonts w:ascii="Cambria" w:hAnsi="Cambria"/>
          <w:lang w:val="en-US"/>
        </w:rPr>
      </w:pPr>
    </w:p>
    <w:tbl>
      <w:tblPr>
        <w:tblStyle w:val="TableGrid"/>
        <w:tblW w:w="0" w:type="auto"/>
        <w:shd w:val="clear" w:color="auto" w:fill="D5DCE4" w:themeFill="text2" w:themeFillTint="33"/>
        <w:tblLook w:val="04A0" w:firstRow="1" w:lastRow="0" w:firstColumn="1" w:lastColumn="0" w:noHBand="0" w:noVBand="1"/>
      </w:tblPr>
      <w:tblGrid>
        <w:gridCol w:w="9016"/>
      </w:tblGrid>
      <w:tr w:rsidR="00A724C5" w:rsidRPr="008B47F5" w:rsidTr="00F57B66">
        <w:tc>
          <w:tcPr>
            <w:tcW w:w="10763" w:type="dxa"/>
            <w:shd w:val="clear" w:color="auto" w:fill="D5DCE4" w:themeFill="text2" w:themeFillTint="33"/>
          </w:tcPr>
          <w:p w:rsidR="00A724C5" w:rsidRPr="008B47F5" w:rsidRDefault="00A724C5" w:rsidP="008B47F5">
            <w:pPr>
              <w:spacing w:after="160"/>
              <w:jc w:val="center"/>
              <w:rPr>
                <w:rFonts w:ascii="Cambria" w:hAnsi="Cambria"/>
                <w:b/>
                <w:lang w:val="en-US"/>
              </w:rPr>
            </w:pPr>
            <w:r w:rsidRPr="008B47F5">
              <w:rPr>
                <w:rFonts w:ascii="Cambria" w:hAnsi="Cambria"/>
                <w:b/>
                <w:lang w:val="en-US"/>
              </w:rPr>
              <w:t>REPUBLIC OF MOLDOVA</w:t>
            </w:r>
          </w:p>
          <w:p w:rsidR="002F4093" w:rsidRPr="008B47F5" w:rsidRDefault="002F4093" w:rsidP="008B47F5">
            <w:pPr>
              <w:spacing w:after="160"/>
              <w:jc w:val="center"/>
              <w:rPr>
                <w:rFonts w:ascii="Cambria" w:hAnsi="Cambria"/>
                <w:b/>
              </w:rPr>
            </w:pPr>
            <w:r w:rsidRPr="008B47F5">
              <w:rPr>
                <w:rFonts w:ascii="Cambria" w:hAnsi="Cambria"/>
                <w:b/>
                <w:lang w:val="en-US"/>
              </w:rPr>
              <w:t>I</w:t>
            </w:r>
            <w:r w:rsidRPr="008B47F5">
              <w:rPr>
                <w:rFonts w:ascii="Cambria" w:hAnsi="Cambria"/>
                <w:b/>
              </w:rPr>
              <w:t xml:space="preserve">SSUES RELATED TO THE RIGHT TO EDUCATION WITHOUT DISCRIMINATION </w:t>
            </w:r>
          </w:p>
          <w:p w:rsidR="00A724C5" w:rsidRPr="008B47F5" w:rsidRDefault="002F4093" w:rsidP="008B47F5">
            <w:pPr>
              <w:spacing w:after="160"/>
              <w:jc w:val="center"/>
              <w:rPr>
                <w:rFonts w:ascii="Cambria" w:hAnsi="Cambria"/>
                <w:b/>
                <w:lang w:val="en-US"/>
              </w:rPr>
            </w:pPr>
            <w:r w:rsidRPr="008B47F5">
              <w:rPr>
                <w:rFonts w:ascii="Cambria" w:hAnsi="Cambria"/>
                <w:b/>
              </w:rPr>
              <w:t>IN THE REPUBLIC OF MOLDOVA’S TRANSNISTRIAN REGION</w:t>
            </w:r>
          </w:p>
        </w:tc>
      </w:tr>
    </w:tbl>
    <w:p w:rsidR="00A724C5" w:rsidRPr="008B47F5" w:rsidRDefault="00A724C5" w:rsidP="008B47F5">
      <w:pPr>
        <w:spacing w:line="240" w:lineRule="auto"/>
        <w:rPr>
          <w:rFonts w:ascii="Cambria" w:hAnsi="Cambria"/>
          <w:lang w:val="en-US"/>
        </w:rPr>
      </w:pPr>
    </w:p>
    <w:p w:rsidR="004914C9" w:rsidRPr="008B47F5" w:rsidRDefault="004914C9" w:rsidP="008B47F5">
      <w:pPr>
        <w:spacing w:line="240" w:lineRule="auto"/>
        <w:jc w:val="center"/>
        <w:rPr>
          <w:rFonts w:ascii="Cambria" w:hAnsi="Cambria"/>
          <w:bCs/>
          <w:iCs/>
          <w:lang w:val="en-US"/>
        </w:rPr>
      </w:pPr>
      <w:r w:rsidRPr="008B47F5">
        <w:rPr>
          <w:rFonts w:ascii="Cambria" w:hAnsi="Cambria"/>
          <w:b/>
          <w:bCs/>
          <w:iCs/>
          <w:lang w:val="en-US"/>
        </w:rPr>
        <w:t>Suggested List of Issues Prior to Reporting</w:t>
      </w:r>
      <w:r w:rsidRPr="008B47F5">
        <w:rPr>
          <w:rFonts w:ascii="Cambria" w:hAnsi="Cambria"/>
          <w:bCs/>
          <w:iCs/>
          <w:lang w:val="en-US"/>
        </w:rPr>
        <w:br/>
      </w:r>
      <w:r w:rsidRPr="008B47F5">
        <w:rPr>
          <w:rFonts w:ascii="Cambria" w:hAnsi="Cambria"/>
          <w:b/>
          <w:bCs/>
          <w:iCs/>
          <w:lang w:val="en-US"/>
        </w:rPr>
        <w:t>Individual Submission to the UN Committee on Economic, Social and Cultural Rights (CESCR)</w:t>
      </w:r>
    </w:p>
    <w:p w:rsidR="004914C9" w:rsidRPr="008B47F5" w:rsidRDefault="00453CAA" w:rsidP="008B47F5">
      <w:pPr>
        <w:spacing w:after="0" w:line="240" w:lineRule="auto"/>
        <w:jc w:val="center"/>
        <w:rPr>
          <w:rFonts w:ascii="Cambria" w:hAnsi="Cambria"/>
          <w:lang w:val="en-US"/>
        </w:rPr>
      </w:pPr>
      <w:r w:rsidRPr="008B47F5">
        <w:rPr>
          <w:rFonts w:ascii="Cambria" w:hAnsi="Cambria"/>
          <w:bCs/>
          <w:lang w:val="en-US"/>
        </w:rPr>
        <w:t>78th Session</w:t>
      </w:r>
      <w:r w:rsidR="00A724C5" w:rsidRPr="008B47F5">
        <w:rPr>
          <w:rFonts w:ascii="Cambria" w:hAnsi="Cambria"/>
          <w:lang w:val="en-US"/>
        </w:rPr>
        <w:t xml:space="preserve"> </w:t>
      </w:r>
    </w:p>
    <w:p w:rsidR="00A724C5" w:rsidRPr="008B47F5" w:rsidRDefault="00A724C5" w:rsidP="008B47F5">
      <w:pPr>
        <w:spacing w:after="0" w:line="240" w:lineRule="auto"/>
        <w:jc w:val="center"/>
        <w:rPr>
          <w:rFonts w:ascii="Cambria" w:hAnsi="Cambria"/>
          <w:lang w:val="en-US"/>
        </w:rPr>
      </w:pPr>
      <w:r w:rsidRPr="008B47F5">
        <w:rPr>
          <w:rFonts w:ascii="Cambria" w:hAnsi="Cambria"/>
          <w:lang w:val="en-US"/>
        </w:rPr>
        <w:t>(</w:t>
      </w:r>
      <w:r w:rsidR="00453CAA" w:rsidRPr="008B47F5">
        <w:rPr>
          <w:rFonts w:ascii="Cambria" w:hAnsi="Cambria"/>
          <w:lang w:val="en-US"/>
        </w:rPr>
        <w:t>08 Sep - 03 Oct 2025</w:t>
      </w:r>
      <w:r w:rsidRPr="008B47F5">
        <w:rPr>
          <w:rFonts w:ascii="Cambria" w:hAnsi="Cambria"/>
          <w:lang w:val="en-US"/>
        </w:rPr>
        <w:t>)</w:t>
      </w:r>
    </w:p>
    <w:p w:rsidR="00A724C5" w:rsidRPr="008B47F5" w:rsidRDefault="00A724C5" w:rsidP="008B47F5">
      <w:pPr>
        <w:spacing w:line="240" w:lineRule="auto"/>
        <w:rPr>
          <w:rFonts w:ascii="Cambria" w:hAnsi="Cambria"/>
          <w:i/>
          <w:iCs/>
          <w:lang w:val="en-US"/>
        </w:rPr>
      </w:pPr>
    </w:p>
    <w:p w:rsidR="00A724C5" w:rsidRPr="008B47F5" w:rsidRDefault="00A724C5" w:rsidP="008B47F5">
      <w:pPr>
        <w:spacing w:line="240" w:lineRule="auto"/>
        <w:rPr>
          <w:rFonts w:ascii="Cambria" w:hAnsi="Cambria"/>
          <w:i/>
          <w:iCs/>
          <w:lang w:val="en-US"/>
        </w:rPr>
      </w:pPr>
    </w:p>
    <w:p w:rsidR="00A724C5" w:rsidRPr="008B47F5" w:rsidRDefault="00A724C5" w:rsidP="008B47F5">
      <w:pPr>
        <w:spacing w:line="240" w:lineRule="auto"/>
        <w:rPr>
          <w:rFonts w:ascii="Cambria" w:hAnsi="Cambria"/>
          <w:i/>
          <w:iCs/>
          <w:lang w:val="en-US"/>
        </w:rPr>
      </w:pPr>
    </w:p>
    <w:p w:rsidR="00A724C5" w:rsidRPr="008B47F5" w:rsidRDefault="00A724C5" w:rsidP="008B47F5">
      <w:pPr>
        <w:spacing w:line="240" w:lineRule="auto"/>
        <w:rPr>
          <w:rFonts w:ascii="Cambria" w:hAnsi="Cambria"/>
          <w:i/>
          <w:iCs/>
          <w:lang w:val="en-US"/>
        </w:rPr>
      </w:pPr>
    </w:p>
    <w:p w:rsidR="00A724C5" w:rsidRPr="008B47F5" w:rsidRDefault="00A724C5" w:rsidP="008B47F5">
      <w:pPr>
        <w:spacing w:line="240" w:lineRule="auto"/>
        <w:rPr>
          <w:rFonts w:ascii="Cambria" w:hAnsi="Cambria"/>
          <w:i/>
          <w:iCs/>
          <w:lang w:val="en-US"/>
        </w:rPr>
      </w:pPr>
    </w:p>
    <w:p w:rsidR="00A724C5" w:rsidRPr="008B47F5" w:rsidRDefault="00A724C5" w:rsidP="008B47F5">
      <w:pPr>
        <w:spacing w:line="240" w:lineRule="auto"/>
        <w:rPr>
          <w:rFonts w:ascii="Cambria" w:hAnsi="Cambria"/>
          <w:i/>
          <w:lang w:val="en-US"/>
        </w:rPr>
      </w:pPr>
    </w:p>
    <w:p w:rsidR="00A724C5" w:rsidRPr="008B47F5" w:rsidRDefault="00A724C5" w:rsidP="008B47F5">
      <w:pPr>
        <w:spacing w:line="240" w:lineRule="auto"/>
        <w:rPr>
          <w:rFonts w:ascii="Cambria" w:hAnsi="Cambria"/>
          <w:lang w:val="en-US"/>
        </w:rPr>
      </w:pPr>
      <w:r w:rsidRPr="008B47F5">
        <w:rPr>
          <w:rFonts w:ascii="Cambria" w:hAnsi="Cambria"/>
          <w:b/>
          <w:lang w:val="en-US"/>
        </w:rPr>
        <w:t xml:space="preserve">Submitted on: </w:t>
      </w:r>
      <w:r w:rsidRPr="008B47F5">
        <w:rPr>
          <w:rFonts w:ascii="Cambria" w:hAnsi="Cambria"/>
          <w:lang w:val="en-US"/>
        </w:rPr>
        <w:t>30 June 2025</w:t>
      </w:r>
    </w:p>
    <w:tbl>
      <w:tblPr>
        <w:tblStyle w:val="TableGrid"/>
        <w:tblW w:w="0" w:type="auto"/>
        <w:shd w:val="clear" w:color="auto" w:fill="D5DCE4" w:themeFill="text2" w:themeFillTint="33"/>
        <w:tblLook w:val="04A0" w:firstRow="1" w:lastRow="0" w:firstColumn="1" w:lastColumn="0" w:noHBand="0" w:noVBand="1"/>
      </w:tblPr>
      <w:tblGrid>
        <w:gridCol w:w="9016"/>
      </w:tblGrid>
      <w:tr w:rsidR="00A724C5" w:rsidRPr="008B47F5" w:rsidTr="00F57B66">
        <w:tc>
          <w:tcPr>
            <w:tcW w:w="10763" w:type="dxa"/>
            <w:shd w:val="clear" w:color="auto" w:fill="D5DCE4" w:themeFill="text2" w:themeFillTint="33"/>
          </w:tcPr>
          <w:p w:rsidR="00A724C5" w:rsidRPr="008B47F5" w:rsidRDefault="00E17FE1" w:rsidP="008B47F5">
            <w:pPr>
              <w:spacing w:after="160"/>
              <w:rPr>
                <w:rFonts w:ascii="Cambria" w:hAnsi="Cambria"/>
                <w:lang w:val="en-US"/>
              </w:rPr>
            </w:pPr>
            <w:r w:rsidRPr="008B47F5">
              <w:rPr>
                <w:rFonts w:ascii="Cambria" w:hAnsi="Cambria"/>
                <w:lang w:val="en-US"/>
              </w:rPr>
              <w:t xml:space="preserve">Authors of the individual </w:t>
            </w:r>
            <w:r w:rsidR="00A724C5" w:rsidRPr="008B47F5">
              <w:rPr>
                <w:rFonts w:ascii="Cambria" w:hAnsi="Cambria"/>
                <w:lang w:val="en-US"/>
              </w:rPr>
              <w:t>submission:</w:t>
            </w:r>
          </w:p>
          <w:p w:rsidR="00A724C5" w:rsidRPr="008B47F5" w:rsidRDefault="00A724C5" w:rsidP="008B47F5">
            <w:pPr>
              <w:numPr>
                <w:ilvl w:val="0"/>
                <w:numId w:val="1"/>
              </w:numPr>
              <w:spacing w:after="160"/>
              <w:rPr>
                <w:rFonts w:ascii="Cambria" w:hAnsi="Cambria"/>
                <w:b/>
              </w:rPr>
            </w:pPr>
            <w:r w:rsidRPr="008B47F5">
              <w:rPr>
                <w:rFonts w:ascii="Cambria" w:hAnsi="Cambria"/>
                <w:b/>
              </w:rPr>
              <w:t>Promo-LEX</w:t>
            </w:r>
            <w:r w:rsidRPr="008B47F5">
              <w:rPr>
                <w:rFonts w:ascii="Cambria" w:hAnsi="Cambria"/>
                <w:b/>
                <w:vertAlign w:val="superscript"/>
              </w:rPr>
              <w:footnoteReference w:id="1"/>
            </w:r>
          </w:p>
          <w:p w:rsidR="00A724C5" w:rsidRPr="008B47F5" w:rsidRDefault="00A724C5" w:rsidP="008B47F5">
            <w:pPr>
              <w:spacing w:after="160"/>
              <w:jc w:val="both"/>
              <w:rPr>
                <w:rFonts w:ascii="Cambria" w:hAnsi="Cambria"/>
              </w:rPr>
            </w:pPr>
            <w:r w:rsidRPr="008B47F5">
              <w:rPr>
                <w:rFonts w:ascii="Cambria" w:hAnsi="Cambria"/>
              </w:rPr>
              <w:t xml:space="preserve">The “Promo-LEX” Association is a civil society organization with special consultative status with the UN (ECOSOC) based in Chisinau, whose purpose is to advance democracy in the Republic of Moldova through promoting and defending human rights and monitoring democratic processes. Promo-LEX was founded in 2002 and is based in Chisinau. Promo-LEX works through the Human Rights Program and the Monitoring Democratic Processes Program.  </w:t>
            </w:r>
            <w:r w:rsidRPr="008B47F5">
              <w:rPr>
                <w:rFonts w:ascii="Cambria" w:hAnsi="Cambria"/>
                <w:lang w:val="en-US"/>
              </w:rPr>
              <w:br w:type="page"/>
            </w:r>
          </w:p>
        </w:tc>
      </w:tr>
    </w:tbl>
    <w:p w:rsidR="00F13DCC" w:rsidRPr="008B47F5" w:rsidRDefault="00F13DCC" w:rsidP="008B47F5">
      <w:pPr>
        <w:spacing w:line="240" w:lineRule="auto"/>
        <w:rPr>
          <w:rFonts w:ascii="Cambria" w:hAnsi="Cambria"/>
          <w:b/>
          <w:bCs/>
          <w:lang w:val="en-US"/>
        </w:rPr>
      </w:pPr>
    </w:p>
    <w:p w:rsidR="00F13DCC" w:rsidRPr="008B47F5" w:rsidRDefault="00F13DCC" w:rsidP="008B47F5">
      <w:pPr>
        <w:spacing w:line="240" w:lineRule="auto"/>
        <w:rPr>
          <w:rFonts w:ascii="Cambria" w:hAnsi="Cambria"/>
          <w:b/>
          <w:bCs/>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sdt>
      <w:sdtPr>
        <w:rPr>
          <w:rFonts w:ascii="Cambria" w:eastAsiaTheme="minorHAnsi" w:hAnsi="Cambria" w:cstheme="minorBidi"/>
          <w:color w:val="auto"/>
          <w:sz w:val="22"/>
          <w:szCs w:val="22"/>
          <w:lang w:val="en-GB"/>
        </w:rPr>
        <w:id w:val="1056744727"/>
        <w:docPartObj>
          <w:docPartGallery w:val="Table of Contents"/>
          <w:docPartUnique/>
        </w:docPartObj>
      </w:sdtPr>
      <w:sdtEndPr>
        <w:rPr>
          <w:b/>
          <w:bCs/>
          <w:noProof/>
        </w:rPr>
      </w:sdtEndPr>
      <w:sdtContent>
        <w:p w:rsidR="00F13DCC" w:rsidRPr="008B47F5" w:rsidRDefault="00F13DCC" w:rsidP="008B47F5">
          <w:pPr>
            <w:pStyle w:val="TOCHeading"/>
            <w:spacing w:line="240" w:lineRule="auto"/>
            <w:rPr>
              <w:rFonts w:ascii="Cambria" w:hAnsi="Cambria"/>
              <w:sz w:val="22"/>
              <w:szCs w:val="22"/>
            </w:rPr>
          </w:pPr>
          <w:r w:rsidRPr="008B47F5">
            <w:rPr>
              <w:rFonts w:ascii="Cambria" w:hAnsi="Cambria"/>
              <w:sz w:val="22"/>
              <w:szCs w:val="22"/>
            </w:rPr>
            <w:t>Contents</w:t>
          </w:r>
        </w:p>
        <w:p w:rsidR="00477EC0" w:rsidRPr="008B47F5" w:rsidRDefault="00F13DCC" w:rsidP="008B47F5">
          <w:pPr>
            <w:pStyle w:val="TOC1"/>
            <w:tabs>
              <w:tab w:val="left" w:pos="440"/>
              <w:tab w:val="right" w:leader="dot" w:pos="9016"/>
            </w:tabs>
            <w:spacing w:line="240" w:lineRule="auto"/>
            <w:rPr>
              <w:rFonts w:ascii="Cambria" w:eastAsiaTheme="minorEastAsia" w:hAnsi="Cambria"/>
              <w:noProof/>
              <w:lang w:val="en-US"/>
            </w:rPr>
          </w:pPr>
          <w:r w:rsidRPr="008B47F5">
            <w:rPr>
              <w:rFonts w:ascii="Cambria" w:hAnsi="Cambria"/>
            </w:rPr>
            <w:fldChar w:fldCharType="begin"/>
          </w:r>
          <w:r w:rsidRPr="008B47F5">
            <w:rPr>
              <w:rFonts w:ascii="Cambria" w:hAnsi="Cambria"/>
            </w:rPr>
            <w:instrText xml:space="preserve"> TOC \o "1-3" \h \z \u </w:instrText>
          </w:r>
          <w:r w:rsidRPr="008B47F5">
            <w:rPr>
              <w:rFonts w:ascii="Cambria" w:hAnsi="Cambria"/>
            </w:rPr>
            <w:fldChar w:fldCharType="separate"/>
          </w:r>
          <w:hyperlink w:anchor="_Toc202220831" w:history="1">
            <w:r w:rsidR="00477EC0" w:rsidRPr="008B47F5">
              <w:rPr>
                <w:rStyle w:val="Hyperlink"/>
                <w:rFonts w:ascii="Cambria" w:hAnsi="Cambria"/>
                <w:b/>
                <w:bCs/>
                <w:noProof/>
                <w:lang w:val="en-US"/>
              </w:rPr>
              <w:t>A.</w:t>
            </w:r>
            <w:r w:rsidR="00477EC0" w:rsidRPr="008B47F5">
              <w:rPr>
                <w:rFonts w:ascii="Cambria" w:eastAsiaTheme="minorEastAsia" w:hAnsi="Cambria"/>
                <w:noProof/>
                <w:lang w:val="en-US"/>
              </w:rPr>
              <w:tab/>
            </w:r>
            <w:r w:rsidR="00477EC0" w:rsidRPr="008B47F5">
              <w:rPr>
                <w:rStyle w:val="Hyperlink"/>
                <w:rFonts w:ascii="Cambria" w:hAnsi="Cambria"/>
                <w:b/>
                <w:bCs/>
                <w:noProof/>
                <w:lang w:val="en-US"/>
              </w:rPr>
              <w:t>Introduction</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_Toc202220831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3</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32" w:history="1">
            <w:r w:rsidR="00477EC0" w:rsidRPr="008B47F5">
              <w:rPr>
                <w:rStyle w:val="Hyperlink"/>
                <w:rFonts w:ascii="Cambria" w:hAnsi="Cambria"/>
                <w:b/>
                <w:noProof/>
                <w:lang w:val="en-US"/>
              </w:rPr>
              <w:t>B.</w:t>
            </w:r>
            <w:r w:rsidR="00477EC0" w:rsidRPr="008B47F5">
              <w:rPr>
                <w:rFonts w:ascii="Cambria" w:eastAsiaTheme="minorEastAsia" w:hAnsi="Cambria"/>
                <w:noProof/>
                <w:lang w:val="en-US"/>
              </w:rPr>
              <w:tab/>
            </w:r>
            <w:r w:rsidR="00477EC0" w:rsidRPr="008B47F5">
              <w:rPr>
                <w:rStyle w:val="Hyperlink"/>
                <w:rFonts w:ascii="Cambria" w:hAnsi="Cambria"/>
                <w:b/>
                <w:bCs/>
                <w:noProof/>
                <w:lang w:val="en-US"/>
              </w:rPr>
              <w:t>Legal Framework and State Obligations under the ICESCR</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_Toc202220832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4</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33" w:history="1">
            <w:r w:rsidR="00477EC0" w:rsidRPr="008B47F5">
              <w:rPr>
                <w:rStyle w:val="Hyperlink"/>
                <w:rFonts w:ascii="Cambria" w:hAnsi="Cambria"/>
                <w:bCs/>
                <w:noProof/>
                <w:lang w:val="en-US"/>
              </w:rPr>
              <w:t>I.</w:t>
            </w:r>
            <w:r w:rsidR="00477EC0" w:rsidRPr="008B47F5">
              <w:rPr>
                <w:rFonts w:ascii="Cambria" w:eastAsiaTheme="minorEastAsia" w:hAnsi="Cambria"/>
                <w:noProof/>
                <w:lang w:val="en-US"/>
              </w:rPr>
              <w:tab/>
            </w:r>
            <w:r w:rsidR="00477EC0" w:rsidRPr="008B47F5">
              <w:rPr>
                <w:rStyle w:val="Hyperlink"/>
                <w:rFonts w:ascii="Cambria" w:hAnsi="Cambria"/>
                <w:bCs/>
                <w:noProof/>
                <w:lang w:val="en-US"/>
              </w:rPr>
              <w:t>Article 13 - Right to Education</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_Toc202220833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4</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34" w:history="1">
            <w:r w:rsidR="00477EC0" w:rsidRPr="008B47F5">
              <w:rPr>
                <w:rStyle w:val="Hyperlink"/>
                <w:rFonts w:ascii="Cambria" w:hAnsi="Cambria"/>
                <w:bCs/>
                <w:noProof/>
                <w:lang w:val="en-US"/>
              </w:rPr>
              <w:t>II.</w:t>
            </w:r>
            <w:r w:rsidR="00477EC0" w:rsidRPr="008B47F5">
              <w:rPr>
                <w:rFonts w:ascii="Cambria" w:eastAsiaTheme="minorEastAsia" w:hAnsi="Cambria"/>
                <w:noProof/>
                <w:lang w:val="en-US"/>
              </w:rPr>
              <w:tab/>
            </w:r>
            <w:r w:rsidR="00477EC0" w:rsidRPr="008B47F5">
              <w:rPr>
                <w:rStyle w:val="Hyperlink"/>
                <w:rFonts w:ascii="Cambria" w:hAnsi="Cambria"/>
                <w:bCs/>
                <w:noProof/>
                <w:lang w:val="en-US"/>
              </w:rPr>
              <w:t>Article 2(2) – Non-discrimination</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_Toc202220834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4</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35" w:history="1">
            <w:r w:rsidR="00477EC0" w:rsidRPr="008B47F5">
              <w:rPr>
                <w:rStyle w:val="Hyperlink"/>
                <w:rFonts w:ascii="Cambria" w:hAnsi="Cambria"/>
                <w:b/>
                <w:noProof/>
              </w:rPr>
              <w:t>C.</w:t>
            </w:r>
            <w:r w:rsidR="00477EC0" w:rsidRPr="008B47F5">
              <w:rPr>
                <w:rFonts w:ascii="Cambria" w:eastAsiaTheme="minorEastAsia" w:hAnsi="Cambria"/>
                <w:noProof/>
                <w:lang w:val="en-US"/>
              </w:rPr>
              <w:tab/>
            </w:r>
            <w:r w:rsidR="00477EC0" w:rsidRPr="008B47F5">
              <w:rPr>
                <w:rStyle w:val="Hyperlink"/>
                <w:rFonts w:ascii="Cambria" w:hAnsi="Cambria"/>
                <w:b/>
                <w:noProof/>
              </w:rPr>
              <w:t xml:space="preserve">Lack of Adequate and Non-Discriminatory Access to Education in the eight </w:t>
            </w:r>
            <w:r w:rsidR="00477EC0" w:rsidRPr="008B47F5">
              <w:rPr>
                <w:rStyle w:val="Hyperlink"/>
                <w:rFonts w:ascii="Cambria" w:hAnsi="Cambria"/>
                <w:b/>
                <w:noProof/>
                <w:lang w:val="en-US"/>
              </w:rPr>
              <w:t xml:space="preserve">Romanian-language Schools </w:t>
            </w:r>
            <w:r w:rsidR="00477EC0" w:rsidRPr="008B47F5">
              <w:rPr>
                <w:rStyle w:val="Hyperlink"/>
                <w:rFonts w:ascii="Cambria" w:hAnsi="Cambria"/>
                <w:b/>
                <w:noProof/>
              </w:rPr>
              <w:t>located in the Transnistrian Region of the Republic of Moldova</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_Toc202220835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5</w:t>
            </w:r>
            <w:r w:rsidR="00477EC0" w:rsidRPr="008B47F5">
              <w:rPr>
                <w:rFonts w:ascii="Cambria" w:hAnsi="Cambria"/>
                <w:noProof/>
                <w:webHidden/>
              </w:rPr>
              <w:fldChar w:fldCharType="end"/>
            </w:r>
          </w:hyperlink>
        </w:p>
        <w:p w:rsidR="00477EC0" w:rsidRPr="008B47F5" w:rsidRDefault="00664CCD" w:rsidP="008B47F5">
          <w:pPr>
            <w:pStyle w:val="TOC2"/>
            <w:tabs>
              <w:tab w:val="left" w:pos="660"/>
              <w:tab w:val="right" w:leader="dot" w:pos="9016"/>
            </w:tabs>
            <w:spacing w:line="240" w:lineRule="auto"/>
            <w:rPr>
              <w:rFonts w:ascii="Cambria" w:eastAsiaTheme="minorEastAsia" w:hAnsi="Cambria"/>
              <w:noProof/>
              <w:lang w:val="en-US"/>
            </w:rPr>
          </w:pPr>
          <w:hyperlink w:anchor="_Toc202220836" w:history="1">
            <w:r w:rsidR="00477EC0" w:rsidRPr="008B47F5">
              <w:rPr>
                <w:rStyle w:val="Hyperlink"/>
                <w:rFonts w:ascii="Cambria" w:hAnsi="Cambria"/>
                <w:noProof/>
                <w:lang w:val="en-US"/>
              </w:rPr>
              <w:t>I.</w:t>
            </w:r>
            <w:r w:rsidR="00477EC0" w:rsidRPr="008B47F5">
              <w:rPr>
                <w:rFonts w:ascii="Cambria" w:eastAsiaTheme="minorEastAsia" w:hAnsi="Cambria"/>
                <w:noProof/>
                <w:lang w:val="en-US"/>
              </w:rPr>
              <w:tab/>
            </w:r>
            <w:r w:rsidR="00477EC0" w:rsidRPr="008B47F5">
              <w:rPr>
                <w:rStyle w:val="Hyperlink"/>
                <w:rFonts w:ascii="Cambria" w:hAnsi="Cambria"/>
                <w:noProof/>
                <w:lang w:val="en-US"/>
              </w:rPr>
              <w:t>Context general</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_Toc202220836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5</w:t>
            </w:r>
            <w:r w:rsidR="00477EC0" w:rsidRPr="008B47F5">
              <w:rPr>
                <w:rFonts w:ascii="Cambria" w:hAnsi="Cambria"/>
                <w:noProof/>
                <w:webHidden/>
              </w:rPr>
              <w:fldChar w:fldCharType="end"/>
            </w:r>
          </w:hyperlink>
        </w:p>
        <w:p w:rsidR="00477EC0" w:rsidRPr="008B47F5" w:rsidRDefault="00664CCD" w:rsidP="008B47F5">
          <w:pPr>
            <w:pStyle w:val="TOC2"/>
            <w:tabs>
              <w:tab w:val="left" w:pos="660"/>
              <w:tab w:val="right" w:leader="dot" w:pos="9016"/>
            </w:tabs>
            <w:spacing w:line="240" w:lineRule="auto"/>
            <w:rPr>
              <w:rFonts w:ascii="Cambria" w:eastAsiaTheme="minorEastAsia" w:hAnsi="Cambria"/>
              <w:noProof/>
              <w:lang w:val="en-US"/>
            </w:rPr>
          </w:pPr>
          <w:hyperlink w:anchor="_Toc202220837" w:history="1">
            <w:r w:rsidR="00477EC0" w:rsidRPr="008B47F5">
              <w:rPr>
                <w:rStyle w:val="Hyperlink"/>
                <w:rFonts w:ascii="Cambria" w:hAnsi="Cambria"/>
                <w:noProof/>
              </w:rPr>
              <w:t>II.</w:t>
            </w:r>
            <w:r w:rsidR="00477EC0" w:rsidRPr="008B47F5">
              <w:rPr>
                <w:rFonts w:ascii="Cambria" w:eastAsiaTheme="minorEastAsia" w:hAnsi="Cambria"/>
                <w:noProof/>
                <w:lang w:val="en-US"/>
              </w:rPr>
              <w:tab/>
            </w:r>
            <w:r w:rsidR="00477EC0" w:rsidRPr="008B47F5">
              <w:rPr>
                <w:rStyle w:val="Hyperlink"/>
                <w:rFonts w:ascii="Cambria" w:hAnsi="Cambria"/>
                <w:noProof/>
              </w:rPr>
              <w:t>Lack of Adequate Premises, Transportation, Institutional Support and Protection from Repressive Practices</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_Toc202220837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7</w:t>
            </w:r>
            <w:r w:rsidR="00477EC0" w:rsidRPr="008B47F5">
              <w:rPr>
                <w:rFonts w:ascii="Cambria" w:hAnsi="Cambria"/>
                <w:noProof/>
                <w:webHidden/>
              </w:rPr>
              <w:fldChar w:fldCharType="end"/>
            </w:r>
          </w:hyperlink>
        </w:p>
        <w:p w:rsidR="00477EC0" w:rsidRPr="008B47F5" w:rsidRDefault="00664CCD" w:rsidP="008B47F5">
          <w:pPr>
            <w:pStyle w:val="TOC3"/>
            <w:tabs>
              <w:tab w:val="left" w:pos="880"/>
              <w:tab w:val="right" w:leader="dot" w:pos="9016"/>
            </w:tabs>
            <w:spacing w:line="240" w:lineRule="auto"/>
            <w:rPr>
              <w:rFonts w:ascii="Cambria" w:eastAsiaTheme="minorEastAsia" w:hAnsi="Cambria"/>
              <w:noProof/>
              <w:color w:val="1F4E79" w:themeColor="accent1" w:themeShade="80"/>
              <w:lang w:val="en-US"/>
            </w:rPr>
          </w:pPr>
          <w:hyperlink w:anchor="_Toc202220838" w:history="1">
            <w:r w:rsidR="00477EC0" w:rsidRPr="008B47F5">
              <w:rPr>
                <w:rStyle w:val="Hyperlink"/>
                <w:rFonts w:ascii="Cambria" w:hAnsi="Cambria"/>
                <w:bCs/>
                <w:i/>
                <w:noProof/>
                <w:color w:val="1F4E79" w:themeColor="accent1" w:themeShade="80"/>
                <w:lang w:val="en-US"/>
              </w:rPr>
              <w:t>a)</w:t>
            </w:r>
            <w:r w:rsidR="00477EC0" w:rsidRPr="008B47F5">
              <w:rPr>
                <w:rFonts w:ascii="Cambria" w:eastAsiaTheme="minorEastAsia" w:hAnsi="Cambria"/>
                <w:noProof/>
                <w:color w:val="1F4E79" w:themeColor="accent1" w:themeShade="80"/>
                <w:lang w:val="en-US"/>
              </w:rPr>
              <w:tab/>
            </w:r>
            <w:r w:rsidR="00477EC0" w:rsidRPr="008B47F5">
              <w:rPr>
                <w:rStyle w:val="Hyperlink"/>
                <w:rFonts w:ascii="Cambria" w:hAnsi="Cambria"/>
                <w:bCs/>
                <w:i/>
                <w:noProof/>
                <w:color w:val="1F4E79" w:themeColor="accent1" w:themeShade="80"/>
                <w:lang w:val="en-US"/>
              </w:rPr>
              <w:t>Shortage of Teaching Staff</w:t>
            </w:r>
            <w:r w:rsidR="00477EC0" w:rsidRPr="008B47F5">
              <w:rPr>
                <w:rFonts w:ascii="Cambria" w:hAnsi="Cambria"/>
                <w:noProof/>
                <w:webHidden/>
                <w:color w:val="1F4E79" w:themeColor="accent1" w:themeShade="80"/>
              </w:rPr>
              <w:tab/>
            </w:r>
            <w:r w:rsidR="00477EC0" w:rsidRPr="008B47F5">
              <w:rPr>
                <w:rFonts w:ascii="Cambria" w:hAnsi="Cambria"/>
                <w:noProof/>
                <w:webHidden/>
                <w:color w:val="1F4E79" w:themeColor="accent1" w:themeShade="80"/>
              </w:rPr>
              <w:fldChar w:fldCharType="begin"/>
            </w:r>
            <w:r w:rsidR="00477EC0" w:rsidRPr="008B47F5">
              <w:rPr>
                <w:rFonts w:ascii="Cambria" w:hAnsi="Cambria"/>
                <w:noProof/>
                <w:webHidden/>
                <w:color w:val="1F4E79" w:themeColor="accent1" w:themeShade="80"/>
              </w:rPr>
              <w:instrText xml:space="preserve"> PAGEREF _Toc202220838 \h </w:instrText>
            </w:r>
            <w:r w:rsidR="00477EC0" w:rsidRPr="008B47F5">
              <w:rPr>
                <w:rFonts w:ascii="Cambria" w:hAnsi="Cambria"/>
                <w:noProof/>
                <w:webHidden/>
                <w:color w:val="1F4E79" w:themeColor="accent1" w:themeShade="80"/>
              </w:rPr>
            </w:r>
            <w:r w:rsidR="00477EC0" w:rsidRPr="008B47F5">
              <w:rPr>
                <w:rFonts w:ascii="Cambria" w:hAnsi="Cambria"/>
                <w:noProof/>
                <w:webHidden/>
                <w:color w:val="1F4E79" w:themeColor="accent1" w:themeShade="80"/>
              </w:rPr>
              <w:fldChar w:fldCharType="separate"/>
            </w:r>
            <w:r w:rsidR="004F63D7">
              <w:rPr>
                <w:rFonts w:ascii="Cambria" w:hAnsi="Cambria"/>
                <w:noProof/>
                <w:webHidden/>
                <w:color w:val="1F4E79" w:themeColor="accent1" w:themeShade="80"/>
              </w:rPr>
              <w:t>7</w:t>
            </w:r>
            <w:r w:rsidR="00477EC0" w:rsidRPr="008B47F5">
              <w:rPr>
                <w:rFonts w:ascii="Cambria" w:hAnsi="Cambria"/>
                <w:noProof/>
                <w:webHidden/>
                <w:color w:val="1F4E79" w:themeColor="accent1" w:themeShade="80"/>
              </w:rPr>
              <w:fldChar w:fldCharType="end"/>
            </w:r>
          </w:hyperlink>
        </w:p>
        <w:p w:rsidR="00477EC0" w:rsidRPr="008B47F5" w:rsidRDefault="00664CCD" w:rsidP="008B47F5">
          <w:pPr>
            <w:pStyle w:val="TOC3"/>
            <w:tabs>
              <w:tab w:val="left" w:pos="880"/>
              <w:tab w:val="right" w:leader="dot" w:pos="9016"/>
            </w:tabs>
            <w:spacing w:line="240" w:lineRule="auto"/>
            <w:rPr>
              <w:rFonts w:ascii="Cambria" w:eastAsiaTheme="minorEastAsia" w:hAnsi="Cambria"/>
              <w:noProof/>
              <w:color w:val="1F4E79" w:themeColor="accent1" w:themeShade="80"/>
              <w:lang w:val="en-US"/>
            </w:rPr>
          </w:pPr>
          <w:hyperlink w:anchor="_Toc202220839" w:history="1">
            <w:r w:rsidR="00477EC0" w:rsidRPr="008B47F5">
              <w:rPr>
                <w:rStyle w:val="Hyperlink"/>
                <w:rFonts w:ascii="Cambria" w:hAnsi="Cambria"/>
                <w:bCs/>
                <w:i/>
                <w:noProof/>
                <w:color w:val="1F4E79" w:themeColor="accent1" w:themeShade="80"/>
                <w:lang w:val="en-US"/>
              </w:rPr>
              <w:t>b)</w:t>
            </w:r>
            <w:r w:rsidR="00477EC0" w:rsidRPr="008B47F5">
              <w:rPr>
                <w:rFonts w:ascii="Cambria" w:eastAsiaTheme="minorEastAsia" w:hAnsi="Cambria"/>
                <w:noProof/>
                <w:color w:val="1F4E79" w:themeColor="accent1" w:themeShade="80"/>
                <w:lang w:val="en-US"/>
              </w:rPr>
              <w:tab/>
            </w:r>
            <w:r w:rsidR="00477EC0" w:rsidRPr="008B47F5">
              <w:rPr>
                <w:rStyle w:val="Hyperlink"/>
                <w:rFonts w:ascii="Cambria" w:hAnsi="Cambria"/>
                <w:bCs/>
                <w:i/>
                <w:noProof/>
                <w:color w:val="1F4E79" w:themeColor="accent1" w:themeShade="80"/>
                <w:lang w:val="en-US"/>
              </w:rPr>
              <w:t>Infrastructure Deficiencies in Romanian-language Schools</w:t>
            </w:r>
            <w:r w:rsidR="00477EC0" w:rsidRPr="008B47F5">
              <w:rPr>
                <w:rFonts w:ascii="Cambria" w:hAnsi="Cambria"/>
                <w:noProof/>
                <w:webHidden/>
                <w:color w:val="1F4E79" w:themeColor="accent1" w:themeShade="80"/>
              </w:rPr>
              <w:tab/>
            </w:r>
            <w:r w:rsidR="00477EC0" w:rsidRPr="008B47F5">
              <w:rPr>
                <w:rFonts w:ascii="Cambria" w:hAnsi="Cambria"/>
                <w:noProof/>
                <w:webHidden/>
                <w:color w:val="1F4E79" w:themeColor="accent1" w:themeShade="80"/>
              </w:rPr>
              <w:fldChar w:fldCharType="begin"/>
            </w:r>
            <w:r w:rsidR="00477EC0" w:rsidRPr="008B47F5">
              <w:rPr>
                <w:rFonts w:ascii="Cambria" w:hAnsi="Cambria"/>
                <w:noProof/>
                <w:webHidden/>
                <w:color w:val="1F4E79" w:themeColor="accent1" w:themeShade="80"/>
              </w:rPr>
              <w:instrText xml:space="preserve"> PAGEREF _Toc202220839 \h </w:instrText>
            </w:r>
            <w:r w:rsidR="00477EC0" w:rsidRPr="008B47F5">
              <w:rPr>
                <w:rFonts w:ascii="Cambria" w:hAnsi="Cambria"/>
                <w:noProof/>
                <w:webHidden/>
                <w:color w:val="1F4E79" w:themeColor="accent1" w:themeShade="80"/>
              </w:rPr>
            </w:r>
            <w:r w:rsidR="00477EC0" w:rsidRPr="008B47F5">
              <w:rPr>
                <w:rFonts w:ascii="Cambria" w:hAnsi="Cambria"/>
                <w:noProof/>
                <w:webHidden/>
                <w:color w:val="1F4E79" w:themeColor="accent1" w:themeShade="80"/>
              </w:rPr>
              <w:fldChar w:fldCharType="separate"/>
            </w:r>
            <w:r w:rsidR="004F63D7">
              <w:rPr>
                <w:rFonts w:ascii="Cambria" w:hAnsi="Cambria"/>
                <w:noProof/>
                <w:webHidden/>
                <w:color w:val="1F4E79" w:themeColor="accent1" w:themeShade="80"/>
              </w:rPr>
              <w:t>7</w:t>
            </w:r>
            <w:r w:rsidR="00477EC0" w:rsidRPr="008B47F5">
              <w:rPr>
                <w:rFonts w:ascii="Cambria" w:hAnsi="Cambria"/>
                <w:noProof/>
                <w:webHidden/>
                <w:color w:val="1F4E79" w:themeColor="accent1" w:themeShade="80"/>
              </w:rPr>
              <w:fldChar w:fldCharType="end"/>
            </w:r>
          </w:hyperlink>
        </w:p>
        <w:p w:rsidR="00477EC0" w:rsidRPr="008B47F5" w:rsidRDefault="00664CCD" w:rsidP="008B47F5">
          <w:pPr>
            <w:pStyle w:val="TOC3"/>
            <w:tabs>
              <w:tab w:val="left" w:pos="880"/>
              <w:tab w:val="right" w:leader="dot" w:pos="9016"/>
            </w:tabs>
            <w:spacing w:line="240" w:lineRule="auto"/>
            <w:rPr>
              <w:rFonts w:ascii="Cambria" w:eastAsiaTheme="minorEastAsia" w:hAnsi="Cambria"/>
              <w:noProof/>
              <w:lang w:val="en-US"/>
            </w:rPr>
          </w:pPr>
          <w:hyperlink w:anchor="_Toc202220840" w:history="1">
            <w:r w:rsidR="00477EC0" w:rsidRPr="008B47F5">
              <w:rPr>
                <w:rStyle w:val="Hyperlink"/>
                <w:rFonts w:ascii="Cambria" w:hAnsi="Cambria"/>
                <w:i/>
                <w:noProof/>
                <w:color w:val="023160" w:themeColor="hyperlink" w:themeShade="80"/>
                <w:lang w:val="en-US"/>
              </w:rPr>
              <w:t>a)</w:t>
            </w:r>
            <w:r w:rsidR="00477EC0" w:rsidRPr="008B47F5">
              <w:rPr>
                <w:rFonts w:ascii="Cambria" w:eastAsiaTheme="minorEastAsia" w:hAnsi="Cambria"/>
                <w:noProof/>
                <w:lang w:val="en-US"/>
              </w:rPr>
              <w:tab/>
            </w:r>
            <w:r w:rsidR="00477EC0" w:rsidRPr="008B47F5">
              <w:rPr>
                <w:rStyle w:val="Hyperlink"/>
                <w:rFonts w:ascii="Cambria" w:hAnsi="Cambria"/>
                <w:i/>
                <w:noProof/>
                <w:color w:val="023160" w:themeColor="hyperlink" w:themeShade="80"/>
                <w:lang w:val="en-US"/>
              </w:rPr>
              <w:t>Transportation</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_Toc202220840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7</w:t>
            </w:r>
            <w:r w:rsidR="00477EC0" w:rsidRPr="008B47F5">
              <w:rPr>
                <w:rFonts w:ascii="Cambria" w:hAnsi="Cambria"/>
                <w:noProof/>
                <w:webHidden/>
              </w:rPr>
              <w:fldChar w:fldCharType="end"/>
            </w:r>
          </w:hyperlink>
        </w:p>
        <w:p w:rsidR="00477EC0" w:rsidRPr="008B47F5" w:rsidRDefault="00664CCD" w:rsidP="008B47F5">
          <w:pPr>
            <w:pStyle w:val="TOC3"/>
            <w:tabs>
              <w:tab w:val="left" w:pos="880"/>
              <w:tab w:val="right" w:leader="dot" w:pos="9016"/>
            </w:tabs>
            <w:spacing w:line="240" w:lineRule="auto"/>
            <w:rPr>
              <w:rFonts w:ascii="Cambria" w:eastAsiaTheme="minorEastAsia" w:hAnsi="Cambria"/>
              <w:noProof/>
              <w:lang w:val="en-US"/>
            </w:rPr>
          </w:pPr>
          <w:hyperlink w:anchor="_Toc202220841" w:history="1">
            <w:r w:rsidR="00477EC0" w:rsidRPr="008B47F5">
              <w:rPr>
                <w:rStyle w:val="Hyperlink"/>
                <w:rFonts w:ascii="Cambria" w:hAnsi="Cambria"/>
                <w:i/>
                <w:noProof/>
                <w:color w:val="023160" w:themeColor="hyperlink" w:themeShade="80"/>
                <w:lang w:val="en-US"/>
              </w:rPr>
              <w:t>b)</w:t>
            </w:r>
            <w:r w:rsidR="00477EC0" w:rsidRPr="008B47F5">
              <w:rPr>
                <w:rFonts w:ascii="Cambria" w:eastAsiaTheme="minorEastAsia" w:hAnsi="Cambria"/>
                <w:noProof/>
                <w:lang w:val="en-US"/>
              </w:rPr>
              <w:tab/>
            </w:r>
            <w:r w:rsidR="00477EC0" w:rsidRPr="008B47F5">
              <w:rPr>
                <w:rStyle w:val="Hyperlink"/>
                <w:rFonts w:ascii="Cambria" w:hAnsi="Cambria"/>
                <w:i/>
                <w:noProof/>
                <w:color w:val="023160" w:themeColor="hyperlink" w:themeShade="80"/>
                <w:lang w:val="en-US"/>
              </w:rPr>
              <w:t>Abuses committed against schools in 2024: utility tariffs</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_Toc202220841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8</w:t>
            </w:r>
            <w:r w:rsidR="00477EC0" w:rsidRPr="008B47F5">
              <w:rPr>
                <w:rFonts w:ascii="Cambria" w:hAnsi="Cambria"/>
                <w:noProof/>
                <w:webHidden/>
              </w:rPr>
              <w:fldChar w:fldCharType="end"/>
            </w:r>
          </w:hyperlink>
        </w:p>
        <w:p w:rsidR="00477EC0" w:rsidRPr="008B47F5" w:rsidRDefault="00664CCD" w:rsidP="008B47F5">
          <w:pPr>
            <w:pStyle w:val="TOC3"/>
            <w:tabs>
              <w:tab w:val="left" w:pos="880"/>
              <w:tab w:val="right" w:leader="dot" w:pos="9016"/>
            </w:tabs>
            <w:spacing w:line="240" w:lineRule="auto"/>
            <w:rPr>
              <w:rFonts w:ascii="Cambria" w:eastAsiaTheme="minorEastAsia" w:hAnsi="Cambria"/>
              <w:noProof/>
              <w:lang w:val="en-US"/>
            </w:rPr>
          </w:pPr>
          <w:hyperlink w:anchor="_Toc202220842" w:history="1">
            <w:r w:rsidR="00477EC0" w:rsidRPr="008B47F5">
              <w:rPr>
                <w:rStyle w:val="Hyperlink"/>
                <w:rFonts w:ascii="Cambria" w:hAnsi="Cambria"/>
                <w:i/>
                <w:noProof/>
                <w:color w:val="023160" w:themeColor="hyperlink" w:themeShade="80"/>
                <w:lang w:val="en-US"/>
              </w:rPr>
              <w:t>c)</w:t>
            </w:r>
            <w:r w:rsidR="00477EC0" w:rsidRPr="008B47F5">
              <w:rPr>
                <w:rFonts w:ascii="Cambria" w:eastAsiaTheme="minorEastAsia" w:hAnsi="Cambria"/>
                <w:noProof/>
                <w:lang w:val="en-US"/>
              </w:rPr>
              <w:tab/>
            </w:r>
            <w:r w:rsidR="00477EC0" w:rsidRPr="008B47F5">
              <w:rPr>
                <w:rStyle w:val="Hyperlink"/>
                <w:rFonts w:ascii="Cambria" w:hAnsi="Cambria"/>
                <w:i/>
                <w:noProof/>
                <w:color w:val="023160" w:themeColor="hyperlink" w:themeShade="80"/>
                <w:lang w:val="en-US"/>
              </w:rPr>
              <w:t>M</w:t>
            </w:r>
            <w:r w:rsidR="00477EC0" w:rsidRPr="008B47F5">
              <w:rPr>
                <w:rStyle w:val="Hyperlink"/>
                <w:rFonts w:ascii="Cambria" w:hAnsi="Cambria"/>
                <w:i/>
                <w:noProof/>
                <w:color w:val="023160" w:themeColor="hyperlink" w:themeShade="80"/>
              </w:rPr>
              <w:t>ilitary registration with paramilitary forces</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_Toc202220842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9</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43" w:history="1">
            <w:r w:rsidR="00477EC0" w:rsidRPr="008B47F5">
              <w:rPr>
                <w:rStyle w:val="Hyperlink"/>
                <w:rFonts w:ascii="Cambria" w:hAnsi="Cambria"/>
                <w:b/>
                <w:bCs/>
                <w:noProof/>
                <w:lang w:val="en-US"/>
              </w:rPr>
              <w:t>D.</w:t>
            </w:r>
            <w:r w:rsidR="00477EC0" w:rsidRPr="008B47F5">
              <w:rPr>
                <w:rFonts w:ascii="Cambria" w:eastAsiaTheme="minorEastAsia" w:hAnsi="Cambria"/>
                <w:noProof/>
                <w:lang w:val="en-US"/>
              </w:rPr>
              <w:tab/>
            </w:r>
            <w:r w:rsidR="00477EC0" w:rsidRPr="008B47F5">
              <w:rPr>
                <w:rStyle w:val="Hyperlink"/>
                <w:rFonts w:ascii="Cambria" w:hAnsi="Cambria"/>
                <w:b/>
                <w:bCs/>
                <w:noProof/>
                <w:lang w:val="en-US"/>
              </w:rPr>
              <w:t>Militarization of Education in Schools Controlled by the transnistrian regim</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_Toc202220843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9</w:t>
            </w:r>
            <w:r w:rsidR="00477EC0" w:rsidRPr="008B47F5">
              <w:rPr>
                <w:rFonts w:ascii="Cambria" w:hAnsi="Cambria"/>
                <w:noProof/>
                <w:webHidden/>
              </w:rPr>
              <w:fldChar w:fldCharType="end"/>
            </w:r>
          </w:hyperlink>
        </w:p>
        <w:p w:rsidR="00477EC0" w:rsidRPr="008B47F5" w:rsidRDefault="00664CCD" w:rsidP="008B47F5">
          <w:pPr>
            <w:pStyle w:val="TOC2"/>
            <w:tabs>
              <w:tab w:val="left" w:pos="660"/>
              <w:tab w:val="right" w:leader="dot" w:pos="9016"/>
            </w:tabs>
            <w:spacing w:line="240" w:lineRule="auto"/>
            <w:rPr>
              <w:rFonts w:ascii="Cambria" w:eastAsiaTheme="minorEastAsia" w:hAnsi="Cambria"/>
              <w:noProof/>
              <w:lang w:val="en-US"/>
            </w:rPr>
          </w:pPr>
          <w:hyperlink w:anchor="_Toc202220844" w:history="1">
            <w:r w:rsidR="00477EC0" w:rsidRPr="008B47F5">
              <w:rPr>
                <w:rStyle w:val="Hyperlink"/>
                <w:rFonts w:ascii="Cambria" w:hAnsi="Cambria"/>
                <w:bCs/>
                <w:noProof/>
                <w:lang w:val="ro-RO"/>
              </w:rPr>
              <w:t>I.</w:t>
            </w:r>
            <w:r w:rsidR="00477EC0" w:rsidRPr="008B47F5">
              <w:rPr>
                <w:rFonts w:ascii="Cambria" w:eastAsiaTheme="minorEastAsia" w:hAnsi="Cambria"/>
                <w:noProof/>
                <w:lang w:val="en-US"/>
              </w:rPr>
              <w:tab/>
            </w:r>
            <w:r w:rsidR="00477EC0" w:rsidRPr="008B47F5">
              <w:rPr>
                <w:rStyle w:val="Hyperlink"/>
                <w:rFonts w:ascii="Cambria" w:hAnsi="Cambria"/>
                <w:bCs/>
                <w:noProof/>
              </w:rPr>
              <w:t>Orphaned Children: Isolated, Socially Excluded, and Vulnerable to Militarization</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_Toc202220844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9</w:t>
            </w:r>
            <w:r w:rsidR="00477EC0" w:rsidRPr="008B47F5">
              <w:rPr>
                <w:rFonts w:ascii="Cambria" w:hAnsi="Cambria"/>
                <w:noProof/>
                <w:webHidden/>
              </w:rPr>
              <w:fldChar w:fldCharType="end"/>
            </w:r>
          </w:hyperlink>
        </w:p>
        <w:p w:rsidR="00477EC0" w:rsidRPr="008B47F5" w:rsidRDefault="00664CCD" w:rsidP="008B47F5">
          <w:pPr>
            <w:pStyle w:val="TOC1"/>
            <w:tabs>
              <w:tab w:val="left" w:pos="440"/>
              <w:tab w:val="right" w:leader="dot" w:pos="9016"/>
            </w:tabs>
            <w:spacing w:line="240" w:lineRule="auto"/>
            <w:rPr>
              <w:rFonts w:ascii="Cambria" w:eastAsiaTheme="minorEastAsia" w:hAnsi="Cambria"/>
              <w:noProof/>
              <w:lang w:val="en-US"/>
            </w:rPr>
          </w:pPr>
          <w:hyperlink w:anchor="_Toc202220845" w:history="1">
            <w:r w:rsidR="00477EC0" w:rsidRPr="008B47F5">
              <w:rPr>
                <w:rStyle w:val="Hyperlink"/>
                <w:rFonts w:ascii="Cambria" w:hAnsi="Cambria"/>
                <w:b/>
                <w:noProof/>
                <w:lang w:val="en-US"/>
              </w:rPr>
              <w:t>E.</w:t>
            </w:r>
            <w:r w:rsidR="00477EC0" w:rsidRPr="008B47F5">
              <w:rPr>
                <w:rFonts w:ascii="Cambria" w:eastAsiaTheme="minorEastAsia" w:hAnsi="Cambria"/>
                <w:noProof/>
                <w:lang w:val="en-US"/>
              </w:rPr>
              <w:tab/>
            </w:r>
            <w:r w:rsidR="00477EC0" w:rsidRPr="008B47F5">
              <w:rPr>
                <w:rStyle w:val="Hyperlink"/>
                <w:rFonts w:ascii="Cambria" w:hAnsi="Cambria"/>
                <w:b/>
                <w:bCs/>
                <w:noProof/>
                <w:lang w:val="en-US"/>
              </w:rPr>
              <w:t>Recommendations for the List of Issues</w:t>
            </w:r>
            <w:r w:rsidR="00477EC0" w:rsidRPr="008B47F5">
              <w:rPr>
                <w:rFonts w:ascii="Cambria" w:hAnsi="Cambria"/>
                <w:noProof/>
                <w:webHidden/>
              </w:rPr>
              <w:tab/>
            </w:r>
            <w:r w:rsidR="00477EC0" w:rsidRPr="008B47F5">
              <w:rPr>
                <w:rFonts w:ascii="Cambria" w:hAnsi="Cambria"/>
                <w:noProof/>
                <w:webHidden/>
              </w:rPr>
              <w:fldChar w:fldCharType="begin"/>
            </w:r>
            <w:r w:rsidR="00477EC0" w:rsidRPr="008B47F5">
              <w:rPr>
                <w:rFonts w:ascii="Cambria" w:hAnsi="Cambria"/>
                <w:noProof/>
                <w:webHidden/>
              </w:rPr>
              <w:instrText xml:space="preserve"> PAGEREF _Toc202220845 \h </w:instrText>
            </w:r>
            <w:r w:rsidR="00477EC0" w:rsidRPr="008B47F5">
              <w:rPr>
                <w:rFonts w:ascii="Cambria" w:hAnsi="Cambria"/>
                <w:noProof/>
                <w:webHidden/>
              </w:rPr>
            </w:r>
            <w:r w:rsidR="00477EC0" w:rsidRPr="008B47F5">
              <w:rPr>
                <w:rFonts w:ascii="Cambria" w:hAnsi="Cambria"/>
                <w:noProof/>
                <w:webHidden/>
              </w:rPr>
              <w:fldChar w:fldCharType="separate"/>
            </w:r>
            <w:r w:rsidR="004F63D7">
              <w:rPr>
                <w:rFonts w:ascii="Cambria" w:hAnsi="Cambria"/>
                <w:noProof/>
                <w:webHidden/>
              </w:rPr>
              <w:t>11</w:t>
            </w:r>
            <w:r w:rsidR="00477EC0" w:rsidRPr="008B47F5">
              <w:rPr>
                <w:rFonts w:ascii="Cambria" w:hAnsi="Cambria"/>
                <w:noProof/>
                <w:webHidden/>
              </w:rPr>
              <w:fldChar w:fldCharType="end"/>
            </w:r>
          </w:hyperlink>
        </w:p>
        <w:p w:rsidR="00F13DCC" w:rsidRPr="008B47F5" w:rsidRDefault="00F13DCC" w:rsidP="008B47F5">
          <w:pPr>
            <w:spacing w:line="240" w:lineRule="auto"/>
            <w:rPr>
              <w:rFonts w:ascii="Cambria" w:hAnsi="Cambria"/>
            </w:rPr>
          </w:pPr>
          <w:r w:rsidRPr="008B47F5">
            <w:rPr>
              <w:rFonts w:ascii="Cambria" w:hAnsi="Cambria"/>
              <w:b/>
              <w:bCs/>
              <w:noProof/>
            </w:rPr>
            <w:fldChar w:fldCharType="end"/>
          </w:r>
        </w:p>
      </w:sdtContent>
    </w:sdt>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p>
    <w:p w:rsidR="00C33823" w:rsidRPr="008B47F5" w:rsidRDefault="00C33823" w:rsidP="008B47F5">
      <w:pPr>
        <w:spacing w:line="240" w:lineRule="auto"/>
        <w:rPr>
          <w:rFonts w:ascii="Cambria" w:hAnsi="Cambria"/>
          <w:lang w:val="en-US"/>
        </w:rPr>
      </w:pPr>
    </w:p>
    <w:p w:rsidR="00C33823" w:rsidRPr="008B47F5" w:rsidRDefault="00C33823" w:rsidP="008B47F5">
      <w:pPr>
        <w:spacing w:line="240" w:lineRule="auto"/>
        <w:rPr>
          <w:rFonts w:ascii="Cambria" w:hAnsi="Cambria"/>
          <w:lang w:val="en-US"/>
        </w:rPr>
      </w:pPr>
    </w:p>
    <w:p w:rsidR="00C33823" w:rsidRPr="008B47F5" w:rsidRDefault="00C33823" w:rsidP="008B47F5">
      <w:pPr>
        <w:spacing w:line="240" w:lineRule="auto"/>
        <w:rPr>
          <w:rFonts w:ascii="Cambria" w:hAnsi="Cambria"/>
          <w:lang w:val="en-US"/>
        </w:rPr>
      </w:pPr>
    </w:p>
    <w:p w:rsidR="002F4093" w:rsidRDefault="002F4093" w:rsidP="008B47F5">
      <w:pPr>
        <w:spacing w:line="240" w:lineRule="auto"/>
        <w:rPr>
          <w:rFonts w:ascii="Cambria" w:hAnsi="Cambria"/>
          <w:lang w:val="en-US"/>
        </w:rPr>
      </w:pPr>
    </w:p>
    <w:p w:rsidR="007D73C7" w:rsidRPr="008B47F5" w:rsidRDefault="007D73C7" w:rsidP="008B47F5">
      <w:pPr>
        <w:spacing w:line="240" w:lineRule="auto"/>
        <w:rPr>
          <w:rFonts w:ascii="Cambria" w:hAnsi="Cambria"/>
          <w:lang w:val="en-US"/>
        </w:rPr>
      </w:pPr>
    </w:p>
    <w:p w:rsidR="002F4093" w:rsidRPr="008B47F5" w:rsidRDefault="002F4093" w:rsidP="008B47F5">
      <w:pPr>
        <w:spacing w:line="240" w:lineRule="auto"/>
        <w:rPr>
          <w:rFonts w:ascii="Cambria" w:hAnsi="Cambria"/>
          <w:lang w:val="en-US"/>
        </w:rPr>
      </w:pPr>
    </w:p>
    <w:p w:rsidR="00F13DCC" w:rsidRPr="008B47F5" w:rsidRDefault="00F13DCC" w:rsidP="008B47F5">
      <w:pPr>
        <w:spacing w:line="240" w:lineRule="auto"/>
        <w:rPr>
          <w:rFonts w:ascii="Cambria" w:hAnsi="Cambria"/>
          <w:lang w:val="en-US"/>
        </w:rPr>
      </w:pPr>
      <w:bookmarkStart w:id="0" w:name="_GoBack"/>
      <w:bookmarkEnd w:id="0"/>
    </w:p>
    <w:p w:rsidR="00665492" w:rsidRPr="008B47F5" w:rsidRDefault="00665492" w:rsidP="008B47F5">
      <w:pPr>
        <w:spacing w:line="240" w:lineRule="auto"/>
        <w:rPr>
          <w:rFonts w:ascii="Cambria" w:hAnsi="Cambria"/>
          <w:lang w:val="en-US"/>
        </w:rPr>
      </w:pPr>
    </w:p>
    <w:p w:rsidR="006234AE" w:rsidRPr="007D73C7" w:rsidRDefault="00564196" w:rsidP="006234AE">
      <w:pPr>
        <w:pStyle w:val="Heading1"/>
        <w:numPr>
          <w:ilvl w:val="0"/>
          <w:numId w:val="6"/>
        </w:numPr>
        <w:spacing w:line="240" w:lineRule="auto"/>
        <w:rPr>
          <w:rFonts w:ascii="Cambria" w:hAnsi="Cambria"/>
          <w:b/>
          <w:bCs/>
          <w:sz w:val="22"/>
          <w:szCs w:val="22"/>
          <w:lang w:val="en-US"/>
        </w:rPr>
      </w:pPr>
      <w:bookmarkStart w:id="1" w:name="_Toc202220831"/>
      <w:r w:rsidRPr="008B47F5">
        <w:rPr>
          <w:rFonts w:ascii="Cambria" w:hAnsi="Cambria"/>
          <w:b/>
          <w:bCs/>
          <w:sz w:val="22"/>
          <w:szCs w:val="22"/>
          <w:lang w:val="en-US"/>
        </w:rPr>
        <w:lastRenderedPageBreak/>
        <w:t>Introduction</w:t>
      </w:r>
      <w:bookmarkEnd w:id="1"/>
      <w:r w:rsidRPr="008B47F5">
        <w:rPr>
          <w:rFonts w:ascii="Cambria" w:hAnsi="Cambria"/>
          <w:b/>
          <w:bCs/>
          <w:sz w:val="22"/>
          <w:szCs w:val="22"/>
          <w:lang w:val="en-US"/>
        </w:rPr>
        <w:t xml:space="preserve"> </w:t>
      </w:r>
    </w:p>
    <w:p w:rsidR="00355FAC" w:rsidRPr="008B47F5" w:rsidRDefault="00355FAC" w:rsidP="008B47F5">
      <w:pPr>
        <w:spacing w:line="240" w:lineRule="auto"/>
        <w:jc w:val="both"/>
        <w:rPr>
          <w:rFonts w:ascii="Cambria" w:hAnsi="Cambria"/>
          <w:lang w:val="en-US"/>
        </w:rPr>
      </w:pPr>
      <w:r w:rsidRPr="008B47F5">
        <w:rPr>
          <w:rFonts w:ascii="Cambria" w:hAnsi="Cambria"/>
          <w:lang w:val="en-US"/>
        </w:rPr>
        <w:t>This alternative report was prepared by Promo-LEX Association in the context of the review of the periodic report of the Republic of Moldova by the United Nations Committee on Economic, Social and Cultural Rights (CESCR). Its aim is to contribute to the development of the List of Issues Prior to Reporting (LOIPR), in accordance with Articles 16 and 17 of the International Covenant on Economic, Social and Cultural Rights (ICESCR).</w:t>
      </w:r>
    </w:p>
    <w:p w:rsidR="00355FAC" w:rsidRPr="008B47F5" w:rsidRDefault="00355FAC" w:rsidP="008B47F5">
      <w:pPr>
        <w:spacing w:line="240" w:lineRule="auto"/>
        <w:jc w:val="both"/>
        <w:rPr>
          <w:rFonts w:ascii="Cambria" w:hAnsi="Cambria"/>
          <w:lang w:val="en-US"/>
        </w:rPr>
      </w:pPr>
      <w:r w:rsidRPr="008B47F5">
        <w:rPr>
          <w:rFonts w:ascii="Cambria" w:hAnsi="Cambria"/>
          <w:lang w:val="en-US"/>
        </w:rPr>
        <w:t>On the left bank of the Dniester River, in a territory of the Republic of Moldova currently under the control of the Tiraspol-based administration (referred to as the "Transnistrian region," "Transnistria," or the so-called “Pridnestrovian Moldavian Republic” – "pmr"), a parallel and unrecognized pseudo-institutional system operates with the military, political, and economic support of the Russian Federation. Although this region is, under international law, an integral part of the Republic of Moldova, the constitutional authorities do not exercise effective control over it. The local Transnistrian structures act outside national and international legal frameworks, benefiting from Russia's direct support.</w:t>
      </w:r>
    </w:p>
    <w:p w:rsidR="00355FAC" w:rsidRPr="008B47F5" w:rsidRDefault="00355FAC" w:rsidP="008B47F5">
      <w:pPr>
        <w:spacing w:line="240" w:lineRule="auto"/>
        <w:jc w:val="both"/>
        <w:rPr>
          <w:rFonts w:ascii="Cambria" w:hAnsi="Cambria"/>
          <w:lang w:val="en-US"/>
        </w:rPr>
      </w:pPr>
      <w:r w:rsidRPr="008B47F5">
        <w:rPr>
          <w:rFonts w:ascii="Cambria" w:hAnsi="Cambria"/>
          <w:lang w:val="en-US"/>
        </w:rPr>
        <w:t xml:space="preserve">The persistent state of impunity and lack of access to effective remedies in the region have been acknowledged by international judicial bodies, particularly the European Court of Human Rights (ECtHR), in landmark cases such as </w:t>
      </w:r>
      <w:r w:rsidRPr="008B47F5">
        <w:rPr>
          <w:rFonts w:ascii="Cambria" w:hAnsi="Cambria"/>
          <w:i/>
          <w:iCs/>
          <w:lang w:val="en-US"/>
        </w:rPr>
        <w:t>Ilașcu and Others v. Moldova and Russia</w:t>
      </w:r>
      <w:r w:rsidRPr="008B47F5">
        <w:rPr>
          <w:rFonts w:ascii="Cambria" w:hAnsi="Cambria"/>
          <w:lang w:val="en-US"/>
        </w:rPr>
        <w:t xml:space="preserve"> (2004), </w:t>
      </w:r>
      <w:r w:rsidRPr="008B47F5">
        <w:rPr>
          <w:rFonts w:ascii="Cambria" w:hAnsi="Cambria"/>
          <w:i/>
          <w:iCs/>
          <w:lang w:val="en-US"/>
        </w:rPr>
        <w:t>Catan and Others v. Moldova and Russia</w:t>
      </w:r>
      <w:r w:rsidRPr="008B47F5">
        <w:rPr>
          <w:rFonts w:ascii="Cambria" w:hAnsi="Cambria"/>
          <w:lang w:val="en-US"/>
        </w:rPr>
        <w:t xml:space="preserve"> (2012), and </w:t>
      </w:r>
      <w:r w:rsidRPr="008B47F5">
        <w:rPr>
          <w:rFonts w:ascii="Cambria" w:hAnsi="Cambria"/>
          <w:i/>
          <w:iCs/>
          <w:lang w:val="en-US"/>
        </w:rPr>
        <w:t>Mozer v. Moldova and Russia</w:t>
      </w:r>
      <w:r w:rsidRPr="008B47F5">
        <w:rPr>
          <w:rFonts w:ascii="Cambria" w:hAnsi="Cambria"/>
          <w:lang w:val="en-US"/>
        </w:rPr>
        <w:t xml:space="preserve"> (2016). In </w:t>
      </w:r>
      <w:r w:rsidRPr="008B47F5">
        <w:rPr>
          <w:rFonts w:ascii="Cambria" w:hAnsi="Cambria"/>
          <w:i/>
          <w:iCs/>
          <w:lang w:val="en-US"/>
        </w:rPr>
        <w:t>Catan and Others</w:t>
      </w:r>
      <w:r w:rsidRPr="008B47F5">
        <w:rPr>
          <w:rFonts w:ascii="Cambria" w:hAnsi="Cambria"/>
          <w:bCs/>
          <w:i/>
          <w:iCs/>
          <w:vertAlign w:val="superscript"/>
          <w:lang w:val="ro-RO"/>
        </w:rPr>
        <w:footnoteReference w:id="2"/>
      </w:r>
      <w:r w:rsidRPr="008B47F5">
        <w:rPr>
          <w:rFonts w:ascii="Cambria" w:hAnsi="Cambria"/>
          <w:lang w:val="en-US"/>
        </w:rPr>
        <w:t>, the Court found a serious violation of the right to education of children attending Romanian-language schools, who were subjected to pressure and harassment by the Transnistrian authorities. This judgment remains under enhanced supervision by the Committee of Ministers of the Council of Europe</w:t>
      </w:r>
      <w:r w:rsidRPr="008B47F5">
        <w:rPr>
          <w:rFonts w:ascii="Cambria" w:hAnsi="Cambria"/>
          <w:bCs/>
          <w:vertAlign w:val="superscript"/>
          <w:lang w:val="ro-RO"/>
        </w:rPr>
        <w:footnoteReference w:id="3"/>
      </w:r>
      <w:r w:rsidRPr="008B47F5">
        <w:rPr>
          <w:rFonts w:ascii="Cambria" w:hAnsi="Cambria"/>
          <w:lang w:val="en-US"/>
        </w:rPr>
        <w:t>.</w:t>
      </w:r>
    </w:p>
    <w:p w:rsidR="00355FAC" w:rsidRPr="008B47F5" w:rsidRDefault="00355FAC" w:rsidP="008B47F5">
      <w:pPr>
        <w:spacing w:after="0" w:line="240" w:lineRule="auto"/>
        <w:jc w:val="both"/>
        <w:rPr>
          <w:rFonts w:ascii="Cambria" w:hAnsi="Cambria"/>
          <w:lang w:val="en-US"/>
        </w:rPr>
      </w:pPr>
      <w:r w:rsidRPr="008B47F5">
        <w:rPr>
          <w:rFonts w:ascii="Cambria" w:hAnsi="Cambria"/>
          <w:lang w:val="en-US"/>
        </w:rPr>
        <w:t>This report is based on the ongoing human rights monitoring conducted by Promo-LEX in the Transnistrian region and draws on the following key sources:</w:t>
      </w:r>
    </w:p>
    <w:p w:rsidR="00355FAC" w:rsidRPr="008B47F5" w:rsidRDefault="00355FAC" w:rsidP="008B47F5">
      <w:pPr>
        <w:numPr>
          <w:ilvl w:val="0"/>
          <w:numId w:val="25"/>
        </w:numPr>
        <w:spacing w:after="0" w:line="240" w:lineRule="auto"/>
        <w:jc w:val="both"/>
        <w:rPr>
          <w:rFonts w:ascii="Cambria" w:hAnsi="Cambria"/>
          <w:lang w:val="en-US"/>
        </w:rPr>
      </w:pPr>
      <w:r w:rsidRPr="008B47F5">
        <w:rPr>
          <w:rFonts w:ascii="Cambria" w:hAnsi="Cambria"/>
          <w:lang w:val="en-US"/>
        </w:rPr>
        <w:t>The annual human rights report published by Promo-LEX</w:t>
      </w:r>
      <w:r w:rsidRPr="008B47F5">
        <w:rPr>
          <w:rFonts w:ascii="Cambria" w:hAnsi="Cambria"/>
          <w:bCs/>
          <w:i/>
          <w:vertAlign w:val="superscript"/>
          <w:lang w:val="ro-RO"/>
        </w:rPr>
        <w:footnoteReference w:id="4"/>
      </w:r>
      <w:r w:rsidRPr="008B47F5">
        <w:rPr>
          <w:rFonts w:ascii="Cambria" w:hAnsi="Cambria"/>
          <w:lang w:val="en-US"/>
        </w:rPr>
        <w:t>;</w:t>
      </w:r>
    </w:p>
    <w:p w:rsidR="00355FAC" w:rsidRPr="008B47F5" w:rsidRDefault="00355FAC" w:rsidP="008B47F5">
      <w:pPr>
        <w:numPr>
          <w:ilvl w:val="0"/>
          <w:numId w:val="25"/>
        </w:numPr>
        <w:spacing w:after="0" w:line="240" w:lineRule="auto"/>
        <w:jc w:val="both"/>
        <w:rPr>
          <w:rFonts w:ascii="Cambria" w:hAnsi="Cambria"/>
          <w:lang w:val="en-US"/>
        </w:rPr>
      </w:pPr>
      <w:r w:rsidRPr="008B47F5">
        <w:rPr>
          <w:rFonts w:ascii="Cambria" w:hAnsi="Cambria"/>
          <w:lang w:val="en-US"/>
        </w:rPr>
        <w:t>Three thematic studies on the militarization of education and the ideological indoctrination of children in the region</w:t>
      </w:r>
      <w:r w:rsidRPr="008B47F5">
        <w:rPr>
          <w:rFonts w:ascii="Cambria" w:hAnsi="Cambria"/>
          <w:bCs/>
          <w:i/>
          <w:vertAlign w:val="superscript"/>
          <w:lang w:val="ro-RO"/>
        </w:rPr>
        <w:t xml:space="preserve"> </w:t>
      </w:r>
      <w:r w:rsidRPr="008B47F5">
        <w:rPr>
          <w:rFonts w:ascii="Cambria" w:hAnsi="Cambria"/>
          <w:bCs/>
          <w:i/>
          <w:vertAlign w:val="superscript"/>
          <w:lang w:val="ro-RO"/>
        </w:rPr>
        <w:footnoteReference w:id="5"/>
      </w:r>
      <w:r w:rsidRPr="008B47F5">
        <w:rPr>
          <w:rFonts w:ascii="Cambria" w:hAnsi="Cambria"/>
          <w:bCs/>
          <w:i/>
          <w:lang w:val="ro-RO"/>
        </w:rPr>
        <w:t xml:space="preserve">, </w:t>
      </w:r>
      <w:r w:rsidRPr="008B47F5">
        <w:rPr>
          <w:rFonts w:ascii="Cambria" w:hAnsi="Cambria"/>
          <w:bCs/>
          <w:i/>
          <w:vertAlign w:val="superscript"/>
          <w:lang w:val="ro-RO"/>
        </w:rPr>
        <w:footnoteReference w:id="6"/>
      </w:r>
      <w:r w:rsidRPr="008B47F5">
        <w:rPr>
          <w:rFonts w:ascii="Cambria" w:hAnsi="Cambria"/>
          <w:bCs/>
          <w:i/>
          <w:lang w:val="ro-RO"/>
        </w:rPr>
        <w:t xml:space="preserve">, </w:t>
      </w:r>
      <w:r w:rsidRPr="008B47F5">
        <w:rPr>
          <w:rFonts w:ascii="Cambria" w:hAnsi="Cambria"/>
          <w:bCs/>
          <w:i/>
          <w:vertAlign w:val="superscript"/>
          <w:lang w:val="ro-RO"/>
        </w:rPr>
        <w:footnoteReference w:id="7"/>
      </w:r>
      <w:r w:rsidRPr="008B47F5">
        <w:rPr>
          <w:rFonts w:ascii="Cambria" w:hAnsi="Cambria"/>
          <w:bCs/>
          <w:i/>
          <w:lang w:val="ro-RO"/>
        </w:rPr>
        <w:t>;</w:t>
      </w:r>
    </w:p>
    <w:p w:rsidR="00355FAC" w:rsidRPr="008B47F5" w:rsidRDefault="00355FAC" w:rsidP="008B47F5">
      <w:pPr>
        <w:numPr>
          <w:ilvl w:val="0"/>
          <w:numId w:val="25"/>
        </w:numPr>
        <w:spacing w:after="0" w:line="240" w:lineRule="auto"/>
        <w:jc w:val="both"/>
        <w:rPr>
          <w:rFonts w:ascii="Cambria" w:hAnsi="Cambria"/>
          <w:lang w:val="en-US"/>
        </w:rPr>
      </w:pPr>
      <w:r w:rsidRPr="008B47F5">
        <w:rPr>
          <w:rFonts w:ascii="Cambria" w:hAnsi="Cambria"/>
          <w:lang w:val="en-US"/>
        </w:rPr>
        <w:t xml:space="preserve">A submission submitted by Promo-LEX to the Committee of Ministers of the Council of Europe regarding the implementation of the ECtHR judgment in </w:t>
      </w:r>
      <w:r w:rsidRPr="008B47F5">
        <w:rPr>
          <w:rFonts w:ascii="Cambria" w:hAnsi="Cambria"/>
          <w:i/>
          <w:iCs/>
          <w:lang w:val="en-US"/>
        </w:rPr>
        <w:t>Catan and Others v. Moldova and Russia</w:t>
      </w:r>
      <w:r w:rsidRPr="008B47F5">
        <w:rPr>
          <w:rFonts w:ascii="Cambria" w:hAnsi="Cambria"/>
          <w:bCs/>
          <w:i/>
          <w:iCs/>
          <w:vertAlign w:val="superscript"/>
          <w:lang w:val="ro-RO"/>
        </w:rPr>
        <w:footnoteReference w:id="8"/>
      </w:r>
      <w:r w:rsidRPr="008B47F5">
        <w:rPr>
          <w:rFonts w:ascii="Cambria" w:hAnsi="Cambria"/>
          <w:lang w:val="en-US"/>
        </w:rPr>
        <w:t>.</w:t>
      </w:r>
    </w:p>
    <w:p w:rsidR="00355FAC" w:rsidRPr="008B47F5" w:rsidRDefault="00355FAC" w:rsidP="008B47F5">
      <w:pPr>
        <w:spacing w:after="0" w:line="240" w:lineRule="auto"/>
        <w:jc w:val="both"/>
        <w:rPr>
          <w:rFonts w:ascii="Cambria" w:hAnsi="Cambria"/>
          <w:lang w:val="en-US"/>
        </w:rPr>
      </w:pPr>
      <w:r w:rsidRPr="008B47F5">
        <w:rPr>
          <w:rFonts w:ascii="Cambria" w:hAnsi="Cambria"/>
          <w:lang w:val="en-US"/>
        </w:rPr>
        <w:t xml:space="preserve">The report examines the impact of these issues on the realization of economic, social, and cultural rights in the Transnistrian region, with a specific focus on the obligations of the Republic of </w:t>
      </w:r>
      <w:r w:rsidRPr="008B47F5">
        <w:rPr>
          <w:rFonts w:ascii="Cambria" w:hAnsi="Cambria"/>
          <w:lang w:val="en-US"/>
        </w:rPr>
        <w:lastRenderedPageBreak/>
        <w:t>Moldova under the ICESCR. The right to education in the region continues to be severely undermined in two major respects:</w:t>
      </w:r>
    </w:p>
    <w:p w:rsidR="00355FAC" w:rsidRPr="008B47F5" w:rsidRDefault="00355FAC" w:rsidP="008B47F5">
      <w:pPr>
        <w:numPr>
          <w:ilvl w:val="0"/>
          <w:numId w:val="26"/>
        </w:numPr>
        <w:spacing w:after="0" w:line="240" w:lineRule="auto"/>
        <w:jc w:val="both"/>
        <w:rPr>
          <w:rFonts w:ascii="Cambria" w:hAnsi="Cambria"/>
          <w:lang w:val="en-US"/>
        </w:rPr>
      </w:pPr>
      <w:r w:rsidRPr="008B47F5">
        <w:rPr>
          <w:rFonts w:ascii="Cambria" w:hAnsi="Cambria"/>
          <w:b/>
          <w:bCs/>
          <w:lang w:val="en-US"/>
        </w:rPr>
        <w:t>Access to Romanian-language education</w:t>
      </w:r>
      <w:r w:rsidRPr="008B47F5">
        <w:rPr>
          <w:rFonts w:ascii="Cambria" w:hAnsi="Cambria"/>
          <w:lang w:val="en-US"/>
        </w:rPr>
        <w:t>: The eight Romanian-language schools under the jurisdiction of Moldova’s constitutional authorities operate under constant pressure from the de facto Tiraspol administration. These pressures include abusive administrative practices, arbitrary rental fees, logistical blockades, and denial of access to adequate school facilities.</w:t>
      </w:r>
    </w:p>
    <w:p w:rsidR="00355FAC" w:rsidRPr="008B47F5" w:rsidRDefault="00355FAC" w:rsidP="008B47F5">
      <w:pPr>
        <w:numPr>
          <w:ilvl w:val="0"/>
          <w:numId w:val="26"/>
        </w:numPr>
        <w:spacing w:after="0" w:line="240" w:lineRule="auto"/>
        <w:jc w:val="both"/>
        <w:rPr>
          <w:rFonts w:ascii="Cambria" w:hAnsi="Cambria"/>
          <w:lang w:val="en-US"/>
        </w:rPr>
      </w:pPr>
      <w:r w:rsidRPr="008B47F5">
        <w:rPr>
          <w:rFonts w:ascii="Cambria" w:hAnsi="Cambria"/>
          <w:b/>
          <w:bCs/>
          <w:lang w:val="en-US"/>
        </w:rPr>
        <w:t>Militarization of education</w:t>
      </w:r>
      <w:r w:rsidRPr="008B47F5">
        <w:rPr>
          <w:rFonts w:ascii="Cambria" w:hAnsi="Cambria"/>
          <w:lang w:val="en-US"/>
        </w:rPr>
        <w:t>: In schools controlled by the de facto regime, paramilitary and ideological education programs are imposed. These programs promote loyalty to the occupying administration and glorify war, severely affecting the psychological development of children and violating their right to coercion-free education in accordance with international standards.</w:t>
      </w:r>
    </w:p>
    <w:p w:rsidR="00355FAC" w:rsidRPr="008B47F5" w:rsidRDefault="00355FAC" w:rsidP="008B47F5">
      <w:pPr>
        <w:spacing w:line="240" w:lineRule="auto"/>
        <w:jc w:val="both"/>
        <w:rPr>
          <w:rFonts w:ascii="Cambria" w:hAnsi="Cambria"/>
          <w:lang w:val="en-US"/>
        </w:rPr>
      </w:pPr>
      <w:r w:rsidRPr="008B47F5">
        <w:rPr>
          <w:rFonts w:ascii="Cambria" w:hAnsi="Cambria"/>
          <w:lang w:val="en-US"/>
        </w:rPr>
        <w:t>Although UN mechanisms – including CESCR’s General Comment No. 13 – provide clear guidance on the right to education and the principle of non-discrimination (Article 2(2) of the ICESCR), Moldova has consistently failed to provide detailed information on the educational situation in the Transnistrian region in its previous reports. This alternative submission aims to address that gap, focusing on the systemic barriers to accessing education in the region, particularly for children enrolled in Romanian-language schools and those exposed to militarized instruction.</w:t>
      </w:r>
    </w:p>
    <w:p w:rsidR="00355FAC" w:rsidRPr="008B47F5" w:rsidRDefault="00355FAC" w:rsidP="008B47F5">
      <w:pPr>
        <w:spacing w:line="240" w:lineRule="auto"/>
        <w:jc w:val="both"/>
        <w:rPr>
          <w:rFonts w:ascii="Cambria" w:hAnsi="Cambria"/>
          <w:lang w:val="en-US"/>
        </w:rPr>
      </w:pPr>
      <w:r w:rsidRPr="008B47F5">
        <w:rPr>
          <w:rFonts w:ascii="Cambria" w:hAnsi="Cambria"/>
          <w:lang w:val="en-US"/>
        </w:rPr>
        <w:t>Given the heightened vulnerability of these groups – especially in the context of institutional opacity, lack of effective remedies, and insufficient protection by the constitutional authorities – we urge the CESCR to give priority attention to these issues in the List of Issues Prior to Reporting and in its future dialogue with the State party.</w:t>
      </w:r>
    </w:p>
    <w:p w:rsidR="00665492" w:rsidRPr="008B47F5" w:rsidRDefault="00564196" w:rsidP="008B47F5">
      <w:pPr>
        <w:pStyle w:val="Heading1"/>
        <w:numPr>
          <w:ilvl w:val="0"/>
          <w:numId w:val="6"/>
        </w:numPr>
        <w:spacing w:line="240" w:lineRule="auto"/>
        <w:rPr>
          <w:rFonts w:ascii="Cambria" w:hAnsi="Cambria"/>
          <w:sz w:val="22"/>
          <w:szCs w:val="22"/>
          <w:lang w:val="en-US"/>
        </w:rPr>
      </w:pPr>
      <w:bookmarkStart w:id="2" w:name="_Toc202220832"/>
      <w:r w:rsidRPr="008B47F5">
        <w:rPr>
          <w:rFonts w:ascii="Cambria" w:hAnsi="Cambria"/>
          <w:b/>
          <w:bCs/>
          <w:sz w:val="22"/>
          <w:szCs w:val="22"/>
          <w:lang w:val="en-US"/>
        </w:rPr>
        <w:t>Legal Framework and State Obligations under the ICESCR</w:t>
      </w:r>
      <w:bookmarkEnd w:id="2"/>
    </w:p>
    <w:p w:rsidR="00665492" w:rsidRPr="008B47F5" w:rsidRDefault="00665492" w:rsidP="008B47F5">
      <w:pPr>
        <w:pStyle w:val="Heading1"/>
        <w:numPr>
          <w:ilvl w:val="0"/>
          <w:numId w:val="22"/>
        </w:numPr>
        <w:spacing w:line="240" w:lineRule="auto"/>
        <w:rPr>
          <w:rFonts w:ascii="Cambria" w:hAnsi="Cambria"/>
          <w:bCs/>
          <w:sz w:val="22"/>
          <w:szCs w:val="22"/>
          <w:lang w:val="en-US"/>
        </w:rPr>
      </w:pPr>
      <w:bookmarkStart w:id="3" w:name="_Toc202220833"/>
      <w:r w:rsidRPr="008B47F5">
        <w:rPr>
          <w:rFonts w:ascii="Cambria" w:hAnsi="Cambria"/>
          <w:bCs/>
          <w:sz w:val="22"/>
          <w:szCs w:val="22"/>
          <w:lang w:val="en-US"/>
        </w:rPr>
        <w:t>Article 13 - Right to Education</w:t>
      </w:r>
      <w:bookmarkEnd w:id="3"/>
    </w:p>
    <w:p w:rsidR="00355FAC" w:rsidRPr="008B47F5" w:rsidRDefault="00355FAC" w:rsidP="008B47F5">
      <w:pPr>
        <w:spacing w:after="0" w:line="240" w:lineRule="auto"/>
        <w:jc w:val="both"/>
        <w:rPr>
          <w:rFonts w:ascii="Cambria" w:hAnsi="Cambria"/>
          <w:bCs/>
          <w:lang w:val="en-US"/>
        </w:rPr>
      </w:pPr>
      <w:r w:rsidRPr="008B47F5">
        <w:rPr>
          <w:rFonts w:ascii="Cambria" w:hAnsi="Cambria"/>
          <w:bCs/>
          <w:lang w:val="en-US"/>
        </w:rPr>
        <w:t>According to Article 13 of the International Covenant on Economic, Social and Cultural Rights (ICESCR), States Parties recognize the right of everyone to education, which must be available, accessible, acceptable, and adaptable, without discrimination. The State has an obligation to ensure the effective protection of this right, including in territories where it does not exercise effective control but which remain under its jurisdiction under international law - such as the Transnistrian region of the Republic of Moldova. Accordingly, the Republic of Moldova is required to take reasonable, continuous, and proactive measures to support the exercise of the right to education in the region, including:</w:t>
      </w:r>
    </w:p>
    <w:p w:rsidR="00355FAC" w:rsidRPr="008B47F5" w:rsidRDefault="00355FAC" w:rsidP="008B47F5">
      <w:pPr>
        <w:numPr>
          <w:ilvl w:val="0"/>
          <w:numId w:val="27"/>
        </w:numPr>
        <w:spacing w:after="0" w:line="240" w:lineRule="auto"/>
        <w:jc w:val="both"/>
        <w:rPr>
          <w:rFonts w:ascii="Cambria" w:hAnsi="Cambria"/>
          <w:bCs/>
          <w:i/>
          <w:lang w:val="en-US"/>
        </w:rPr>
      </w:pPr>
      <w:r w:rsidRPr="008B47F5">
        <w:rPr>
          <w:rFonts w:ascii="Cambria" w:hAnsi="Cambria"/>
          <w:bCs/>
          <w:i/>
          <w:lang w:val="en-US"/>
        </w:rPr>
        <w:t>engaging in diplomatic dialogue and using international mechanisms (e.g., the UN, OSCE, and Council of Europe);</w:t>
      </w:r>
    </w:p>
    <w:p w:rsidR="00355FAC" w:rsidRPr="008B47F5" w:rsidRDefault="00355FAC" w:rsidP="008B47F5">
      <w:pPr>
        <w:numPr>
          <w:ilvl w:val="0"/>
          <w:numId w:val="27"/>
        </w:numPr>
        <w:spacing w:after="0" w:line="240" w:lineRule="auto"/>
        <w:jc w:val="both"/>
        <w:rPr>
          <w:rFonts w:ascii="Cambria" w:hAnsi="Cambria"/>
          <w:bCs/>
          <w:i/>
          <w:lang w:val="en-US"/>
        </w:rPr>
      </w:pPr>
      <w:r w:rsidRPr="008B47F5">
        <w:rPr>
          <w:rFonts w:ascii="Cambria" w:hAnsi="Cambria"/>
          <w:bCs/>
          <w:i/>
          <w:lang w:val="en-US"/>
        </w:rPr>
        <w:t>maintaining the issue on the agenda of negotiations concerning the Transnistrian settlement process;</w:t>
      </w:r>
    </w:p>
    <w:p w:rsidR="00355FAC" w:rsidRPr="008B47F5" w:rsidRDefault="00355FAC" w:rsidP="008B47F5">
      <w:pPr>
        <w:numPr>
          <w:ilvl w:val="0"/>
          <w:numId w:val="27"/>
        </w:numPr>
        <w:spacing w:after="0" w:line="240" w:lineRule="auto"/>
        <w:jc w:val="both"/>
        <w:rPr>
          <w:rFonts w:ascii="Cambria" w:hAnsi="Cambria"/>
          <w:bCs/>
          <w:i/>
          <w:lang w:val="en-US"/>
        </w:rPr>
      </w:pPr>
      <w:r w:rsidRPr="008B47F5">
        <w:rPr>
          <w:rFonts w:ascii="Cambria" w:hAnsi="Cambria"/>
          <w:bCs/>
          <w:i/>
          <w:lang w:val="en-US"/>
        </w:rPr>
        <w:t>systematically documenting and reporting violations;</w:t>
      </w:r>
    </w:p>
    <w:p w:rsidR="00355FAC" w:rsidRPr="008B47F5" w:rsidRDefault="00355FAC" w:rsidP="008B47F5">
      <w:pPr>
        <w:numPr>
          <w:ilvl w:val="0"/>
          <w:numId w:val="27"/>
        </w:numPr>
        <w:spacing w:after="0" w:line="240" w:lineRule="auto"/>
        <w:jc w:val="both"/>
        <w:rPr>
          <w:rFonts w:ascii="Cambria" w:hAnsi="Cambria"/>
          <w:bCs/>
          <w:i/>
          <w:lang w:val="en-US"/>
        </w:rPr>
      </w:pPr>
      <w:r w:rsidRPr="008B47F5">
        <w:rPr>
          <w:rFonts w:ascii="Cambria" w:hAnsi="Cambria"/>
          <w:bCs/>
          <w:i/>
          <w:lang w:val="en-US"/>
        </w:rPr>
        <w:t>cooperating with international organizations to ensure logistical support, monitoring, and protection.</w:t>
      </w:r>
    </w:p>
    <w:p w:rsidR="00B76ACE" w:rsidRPr="00B76ACE" w:rsidRDefault="00B76ACE" w:rsidP="008B47F5">
      <w:pPr>
        <w:spacing w:after="0" w:line="240" w:lineRule="auto"/>
        <w:rPr>
          <w:rFonts w:ascii="Cambria" w:eastAsia="Times New Roman" w:hAnsi="Cambria" w:cs="Times New Roman"/>
          <w:lang w:val="en-US"/>
        </w:rPr>
      </w:pPr>
      <w:r w:rsidRPr="00B76ACE">
        <w:rPr>
          <w:rFonts w:ascii="Cambria" w:eastAsia="Times New Roman" w:hAnsi="Cambria" w:cs="Times New Roman"/>
          <w:lang w:val="en-US"/>
        </w:rPr>
        <w:t>In the case of the ideologized and militarized education implemented in schools controlled by the Transnistrian regime, the Republic of Moldova must:</w:t>
      </w:r>
    </w:p>
    <w:p w:rsidR="00B76ACE" w:rsidRPr="00B76ACE" w:rsidRDefault="00B76ACE" w:rsidP="008B47F5">
      <w:pPr>
        <w:numPr>
          <w:ilvl w:val="0"/>
          <w:numId w:val="28"/>
        </w:numPr>
        <w:spacing w:after="0" w:line="240" w:lineRule="auto"/>
        <w:rPr>
          <w:rFonts w:ascii="Cambria" w:eastAsia="Times New Roman" w:hAnsi="Cambria" w:cs="Times New Roman"/>
          <w:i/>
          <w:lang w:val="en-US"/>
        </w:rPr>
      </w:pPr>
      <w:r w:rsidRPr="00B76ACE">
        <w:rPr>
          <w:rFonts w:ascii="Cambria" w:eastAsia="Times New Roman" w:hAnsi="Cambria" w:cs="Times New Roman"/>
          <w:i/>
          <w:lang w:val="en-US"/>
        </w:rPr>
        <w:t>monitor and publicly denounce these practices in international fora;</w:t>
      </w:r>
    </w:p>
    <w:p w:rsidR="00B76ACE" w:rsidRPr="00B76ACE" w:rsidRDefault="00B76ACE" w:rsidP="008B47F5">
      <w:pPr>
        <w:numPr>
          <w:ilvl w:val="0"/>
          <w:numId w:val="28"/>
        </w:numPr>
        <w:spacing w:before="100" w:beforeAutospacing="1" w:after="100" w:afterAutospacing="1" w:line="240" w:lineRule="auto"/>
        <w:rPr>
          <w:rFonts w:ascii="Cambria" w:eastAsia="Times New Roman" w:hAnsi="Cambria" w:cs="Times New Roman"/>
          <w:i/>
          <w:lang w:val="en-US"/>
        </w:rPr>
      </w:pPr>
      <w:r w:rsidRPr="00B76ACE">
        <w:rPr>
          <w:rFonts w:ascii="Cambria" w:eastAsia="Times New Roman" w:hAnsi="Cambria" w:cs="Times New Roman"/>
          <w:i/>
          <w:lang w:val="en-US"/>
        </w:rPr>
        <w:t>develop alternative options for the education and documentation of affected children;</w:t>
      </w:r>
    </w:p>
    <w:p w:rsidR="00B76ACE" w:rsidRPr="008B47F5" w:rsidRDefault="00B76ACE" w:rsidP="008B47F5">
      <w:pPr>
        <w:numPr>
          <w:ilvl w:val="0"/>
          <w:numId w:val="28"/>
        </w:numPr>
        <w:spacing w:after="0" w:line="240" w:lineRule="auto"/>
        <w:rPr>
          <w:rFonts w:ascii="Cambria" w:eastAsia="Times New Roman" w:hAnsi="Cambria" w:cs="Times New Roman"/>
          <w:i/>
          <w:lang w:val="en-US"/>
        </w:rPr>
      </w:pPr>
      <w:r w:rsidRPr="00B76ACE">
        <w:rPr>
          <w:rFonts w:ascii="Cambria" w:eastAsia="Times New Roman" w:hAnsi="Cambria" w:cs="Times New Roman"/>
          <w:i/>
          <w:lang w:val="en-US"/>
        </w:rPr>
        <w:t>conduct awareness-raising and support campaigns within vulnerable communities.</w:t>
      </w:r>
    </w:p>
    <w:p w:rsidR="00B76ACE" w:rsidRPr="00B76ACE" w:rsidRDefault="00B76ACE" w:rsidP="008B47F5">
      <w:pPr>
        <w:spacing w:after="0" w:line="240" w:lineRule="auto"/>
        <w:jc w:val="both"/>
        <w:rPr>
          <w:rFonts w:ascii="Cambria" w:eastAsia="Times New Roman" w:hAnsi="Cambria" w:cs="Times New Roman"/>
        </w:rPr>
      </w:pPr>
      <w:r w:rsidRPr="008B47F5">
        <w:rPr>
          <w:rFonts w:ascii="Cambria" w:eastAsia="Times New Roman" w:hAnsi="Cambria" w:cs="Times New Roman"/>
        </w:rPr>
        <w:t>The State’s actions should aim to prevent the irreversible disconnection of children from democratic values, from their language and national identity, and from a rights-based educational system.</w:t>
      </w:r>
    </w:p>
    <w:p w:rsidR="00665492" w:rsidRPr="008B47F5" w:rsidRDefault="00665492" w:rsidP="008B47F5">
      <w:pPr>
        <w:pStyle w:val="Heading1"/>
        <w:numPr>
          <w:ilvl w:val="0"/>
          <w:numId w:val="22"/>
        </w:numPr>
        <w:spacing w:line="240" w:lineRule="auto"/>
        <w:rPr>
          <w:rFonts w:ascii="Cambria" w:hAnsi="Cambria"/>
          <w:bCs/>
          <w:sz w:val="22"/>
          <w:szCs w:val="22"/>
          <w:lang w:val="en-US"/>
        </w:rPr>
      </w:pPr>
      <w:bookmarkStart w:id="4" w:name="_Toc202220834"/>
      <w:r w:rsidRPr="008B47F5">
        <w:rPr>
          <w:rFonts w:ascii="Cambria" w:hAnsi="Cambria"/>
          <w:bCs/>
          <w:sz w:val="22"/>
          <w:szCs w:val="22"/>
          <w:lang w:val="en-US"/>
        </w:rPr>
        <w:t>Article 2(2) – Non-discrimination</w:t>
      </w:r>
      <w:bookmarkEnd w:id="4"/>
    </w:p>
    <w:p w:rsidR="00B76ACE" w:rsidRPr="008B47F5" w:rsidRDefault="00B76ACE" w:rsidP="008B47F5">
      <w:pPr>
        <w:spacing w:line="240" w:lineRule="auto"/>
        <w:jc w:val="both"/>
        <w:rPr>
          <w:rFonts w:ascii="Cambria" w:hAnsi="Cambria"/>
          <w:bCs/>
          <w:lang w:val="en-US"/>
        </w:rPr>
      </w:pPr>
      <w:r w:rsidRPr="008B47F5">
        <w:rPr>
          <w:rFonts w:ascii="Cambria" w:hAnsi="Cambria"/>
          <w:bCs/>
          <w:lang w:val="en-US"/>
        </w:rPr>
        <w:t xml:space="preserve">Article 2(2) of the ICESCR prohibits discrimination in the exercise of the rights guaranteed by the Covenant, including on the grounds of language, origin, or political opinion. In the Transnistrian </w:t>
      </w:r>
      <w:r w:rsidRPr="008B47F5">
        <w:rPr>
          <w:rFonts w:ascii="Cambria" w:hAnsi="Cambria"/>
          <w:bCs/>
          <w:lang w:val="en-US"/>
        </w:rPr>
        <w:lastRenderedPageBreak/>
        <w:t>region, Romanian-speaking students and their families are subject to systematic discriminatory practices, including restrictions on access to education in their mother tongue, administrative pressures, and the absence of effective protection mechanisms. At the same time, the imposition of ideological and military education programs violates the child’s right to education free from coercion and propaganda, undermining their harmonious development and access to an education aligned with international standards on the best interests of the child.</w:t>
      </w:r>
    </w:p>
    <w:p w:rsidR="00C1155E" w:rsidRDefault="009704EB" w:rsidP="008B47F5">
      <w:pPr>
        <w:pStyle w:val="Heading1"/>
        <w:numPr>
          <w:ilvl w:val="0"/>
          <w:numId w:val="6"/>
        </w:numPr>
        <w:spacing w:line="240" w:lineRule="auto"/>
        <w:jc w:val="both"/>
        <w:rPr>
          <w:rFonts w:ascii="Cambria" w:hAnsi="Cambria"/>
          <w:b/>
          <w:sz w:val="22"/>
          <w:szCs w:val="22"/>
        </w:rPr>
      </w:pPr>
      <w:bookmarkStart w:id="5" w:name="_Toc202220835"/>
      <w:r w:rsidRPr="008B47F5">
        <w:rPr>
          <w:rFonts w:ascii="Cambria" w:hAnsi="Cambria"/>
          <w:b/>
          <w:sz w:val="22"/>
          <w:szCs w:val="22"/>
        </w:rPr>
        <w:t>Lack of Adequate and Non-Discriminat</w:t>
      </w:r>
      <w:r w:rsidR="00C1155E" w:rsidRPr="008B47F5">
        <w:rPr>
          <w:rFonts w:ascii="Cambria" w:hAnsi="Cambria"/>
          <w:b/>
          <w:sz w:val="22"/>
          <w:szCs w:val="22"/>
        </w:rPr>
        <w:t>ory Access to Education in the e</w:t>
      </w:r>
      <w:r w:rsidRPr="008B47F5">
        <w:rPr>
          <w:rFonts w:ascii="Cambria" w:hAnsi="Cambria"/>
          <w:b/>
          <w:sz w:val="22"/>
          <w:szCs w:val="22"/>
        </w:rPr>
        <w:t xml:space="preserve">ight </w:t>
      </w:r>
      <w:r w:rsidR="00C1155E" w:rsidRPr="008B47F5">
        <w:rPr>
          <w:rFonts w:ascii="Cambria" w:hAnsi="Cambria"/>
          <w:b/>
          <w:sz w:val="22"/>
          <w:szCs w:val="22"/>
          <w:lang w:val="en-US"/>
        </w:rPr>
        <w:t xml:space="preserve">Romanian-language Schools </w:t>
      </w:r>
      <w:r w:rsidR="00C1155E" w:rsidRPr="008B47F5">
        <w:rPr>
          <w:rFonts w:ascii="Cambria" w:hAnsi="Cambria"/>
          <w:b/>
          <w:sz w:val="22"/>
          <w:szCs w:val="22"/>
        </w:rPr>
        <w:t xml:space="preserve">located </w:t>
      </w:r>
      <w:r w:rsidRPr="008B47F5">
        <w:rPr>
          <w:rFonts w:ascii="Cambria" w:hAnsi="Cambria"/>
          <w:b/>
          <w:sz w:val="22"/>
          <w:szCs w:val="22"/>
        </w:rPr>
        <w:t>in the Transnistrian Region of the Republic of Moldova</w:t>
      </w:r>
      <w:bookmarkEnd w:id="5"/>
    </w:p>
    <w:p w:rsidR="006234AE" w:rsidRPr="006234AE" w:rsidRDefault="006234AE" w:rsidP="006234AE"/>
    <w:p w:rsidR="003C7AB9" w:rsidRPr="008B47F5" w:rsidRDefault="000F59B5" w:rsidP="008B47F5">
      <w:pPr>
        <w:pStyle w:val="Heading2"/>
        <w:numPr>
          <w:ilvl w:val="0"/>
          <w:numId w:val="7"/>
        </w:numPr>
        <w:spacing w:line="240" w:lineRule="auto"/>
        <w:rPr>
          <w:rFonts w:ascii="Cambria" w:hAnsi="Cambria"/>
          <w:sz w:val="22"/>
          <w:szCs w:val="22"/>
          <w:lang w:val="en-US"/>
        </w:rPr>
      </w:pPr>
      <w:bookmarkStart w:id="6" w:name="_Toc202220836"/>
      <w:r w:rsidRPr="008B47F5">
        <w:rPr>
          <w:rFonts w:ascii="Cambria" w:hAnsi="Cambria"/>
          <w:sz w:val="22"/>
          <w:szCs w:val="22"/>
          <w:lang w:val="en-US"/>
        </w:rPr>
        <w:t>Context general</w:t>
      </w:r>
      <w:bookmarkEnd w:id="6"/>
    </w:p>
    <w:p w:rsidR="00B76ACE" w:rsidRPr="008B47F5" w:rsidRDefault="00B76ACE" w:rsidP="008B47F5">
      <w:pPr>
        <w:spacing w:line="240" w:lineRule="auto"/>
        <w:jc w:val="both"/>
        <w:rPr>
          <w:rFonts w:ascii="Cambria" w:hAnsi="Cambria"/>
          <w:lang w:val="ro-RO"/>
        </w:rPr>
      </w:pPr>
      <w:r w:rsidRPr="008B47F5">
        <w:rPr>
          <w:rFonts w:ascii="Cambria" w:hAnsi="Cambria"/>
        </w:rPr>
        <w:t>Following the occupation of territories on the left bank of the Dniester by the separatist Transnistrian structures, militarily and politically supported by the Russian Federation, a limited number of educational institutions in the region refused to integrate into the system imposed by the de facto authorities and chose to remain under the jurisdiction of the constitutional authorities of the Republic of Moldova. These eight schools, which teach in Romanian using the Latin script, continue to operate under the authority of the Ministry of Education, following the national curriculum and standards recognized by the Republic of Moldova. However, they continue to function in a hostile environment, marked by ongoing interference from the Tiraspol regime. Although these schools are under the constitutional jurisdiction of the Republic of Moldova, they are persistently subjected to administrative pressure, intimidation, and a lack of stable access to adequate school infrastructure.</w:t>
      </w:r>
    </w:p>
    <w:p w:rsidR="00D9344A" w:rsidRPr="008B47F5" w:rsidRDefault="00B76ACE" w:rsidP="008B47F5">
      <w:pPr>
        <w:spacing w:line="240" w:lineRule="auto"/>
        <w:jc w:val="both"/>
        <w:rPr>
          <w:rFonts w:ascii="Cambria" w:hAnsi="Cambria"/>
          <w:lang w:val="ro-RO"/>
        </w:rPr>
      </w:pPr>
      <w:r w:rsidRPr="008B47F5">
        <w:rPr>
          <w:rFonts w:ascii="Cambria" w:hAnsi="Cambria"/>
        </w:rPr>
        <w:t xml:space="preserve">The case of </w:t>
      </w:r>
      <w:r w:rsidRPr="008B47F5">
        <w:rPr>
          <w:rFonts w:ascii="Cambria" w:hAnsi="Cambria"/>
          <w:i/>
          <w:iCs/>
        </w:rPr>
        <w:t>Catan and Others v. Moldova and Russia</w:t>
      </w:r>
      <w:r w:rsidRPr="008B47F5">
        <w:rPr>
          <w:rFonts w:ascii="Cambria" w:hAnsi="Cambria"/>
        </w:rPr>
        <w:t xml:space="preserve"> provides extensive documentation on the context in which these schools were subjected to a sustained campaign of pressure, intimidation, and discriminatory restrictions following their refusal to adopt the Cyrillic script and the curricula imposed by the Transnistrian regime. This pressure culminated in the summer of 2004, when the Transnistrian structures ordered the forced closure of Latin-script schools in Bender, Rîbnița, and Tiraspol. Access for students was blocked by paramilitary units, and several parents and teachers were detained. In some cases, families occupied the school buildings in an attempt to prevent eviction. These actions were strongly condemned by the international community. The OSCE High Commissioner on National Minorities, Rolf Ekeus, described the situation of these schools as </w:t>
      </w:r>
      <w:r w:rsidR="00BB7881" w:rsidRPr="008B47F5">
        <w:rPr>
          <w:rFonts w:ascii="Cambria" w:hAnsi="Cambria"/>
        </w:rPr>
        <w:t>a case of “linguistic cleansing</w:t>
      </w:r>
      <w:r w:rsidRPr="008B47F5">
        <w:rPr>
          <w:rFonts w:ascii="Cambria" w:hAnsi="Cambria"/>
        </w:rPr>
        <w:t>”</w:t>
      </w:r>
      <w:r w:rsidR="00665492" w:rsidRPr="008B47F5">
        <w:rPr>
          <w:rStyle w:val="FootnoteReference"/>
          <w:rFonts w:ascii="Cambria" w:hAnsi="Cambria"/>
          <w:lang w:val="ro-RO"/>
        </w:rPr>
        <w:footnoteReference w:id="9"/>
      </w:r>
      <w:r w:rsidR="00D9344A" w:rsidRPr="008B47F5">
        <w:rPr>
          <w:rFonts w:ascii="Cambria" w:hAnsi="Cambria"/>
          <w:lang w:val="ro-RO"/>
        </w:rPr>
        <w:t>.</w:t>
      </w:r>
    </w:p>
    <w:p w:rsidR="0074003B" w:rsidRPr="008B47F5" w:rsidRDefault="00BB7881" w:rsidP="008B47F5">
      <w:pPr>
        <w:spacing w:line="240" w:lineRule="auto"/>
        <w:jc w:val="both"/>
        <w:rPr>
          <w:rFonts w:ascii="Cambria" w:hAnsi="Cambria"/>
          <w:lang w:val="ro-RO"/>
        </w:rPr>
      </w:pPr>
      <w:r w:rsidRPr="008B47F5">
        <w:rPr>
          <w:rFonts w:ascii="Cambria" w:hAnsi="Cambria"/>
        </w:rPr>
        <w:t>After the change of leadership in Tiraspol in December 2011, the pressure on the Latin-script schools temporarily decreased. However, fundamental problems - such as the lack of adequate premises - remained unresolved. Starting in the second half of 2013, the situation began to deteriorate once again</w:t>
      </w:r>
      <w:r w:rsidR="000F59B5" w:rsidRPr="008B47F5">
        <w:rPr>
          <w:rFonts w:ascii="Cambria" w:hAnsi="Cambria"/>
          <w:lang w:val="ro-RO"/>
        </w:rPr>
        <w:t>.</w:t>
      </w:r>
      <w:r w:rsidR="00F57B66" w:rsidRPr="008B47F5">
        <w:rPr>
          <w:rStyle w:val="FootnoteReference"/>
          <w:rFonts w:ascii="Cambria" w:hAnsi="Cambria"/>
          <w:lang w:val="ro-RO"/>
        </w:rPr>
        <w:footnoteReference w:id="10"/>
      </w:r>
    </w:p>
    <w:p w:rsidR="00BB7881" w:rsidRPr="008B47F5" w:rsidRDefault="0074003B" w:rsidP="008B47F5">
      <w:pPr>
        <w:spacing w:line="240" w:lineRule="auto"/>
        <w:jc w:val="both"/>
        <w:rPr>
          <w:rFonts w:ascii="Cambria" w:hAnsi="Cambria"/>
          <w:lang w:val="en-US"/>
        </w:rPr>
      </w:pPr>
      <w:r w:rsidRPr="008B47F5">
        <w:rPr>
          <w:rFonts w:ascii="Cambria" w:hAnsi="Cambria"/>
          <w:lang w:val="en-US"/>
        </w:rPr>
        <w:t>In 2024, Romanian-language schools in the Transnistrian region continued to face illegal actions from local structures, ranging from significantly increased utility tariffs compared to Tiraspol-subordinated schools, to intrusive inspections and threats directed at teachers crossing illegal checkpoints. Parents have been intimidated and interrogated to force them to transfer their children to institutions controlled by Tiraspol, while the schools themselves have been required to provide student lists for enlistme</w:t>
      </w:r>
      <w:r w:rsidR="00927D67" w:rsidRPr="008B47F5">
        <w:rPr>
          <w:rFonts w:ascii="Cambria" w:hAnsi="Cambria"/>
          <w:lang w:val="en-US"/>
        </w:rPr>
        <w:t xml:space="preserve">nt by paramilitary structures. </w:t>
      </w:r>
      <w:r w:rsidRPr="008B47F5">
        <w:rPr>
          <w:rFonts w:ascii="Cambria" w:hAnsi="Cambria"/>
          <w:lang w:val="en-US"/>
        </w:rPr>
        <w:t xml:space="preserve">Meanwhile, longstanding structural problems, such as the lack of adequate transport and insufficient or substandard </w:t>
      </w:r>
      <w:r w:rsidRPr="008B47F5">
        <w:rPr>
          <w:rFonts w:ascii="Cambria" w:hAnsi="Cambria"/>
          <w:lang w:val="en-US"/>
        </w:rPr>
        <w:lastRenderedPageBreak/>
        <w:t xml:space="preserve">teaching facilities, remain largely unresolved. Financial constraints limit the schools’ ability to expand or improve classroom spaces, and the growing number of students only intensifies these challenges. At the same time, more support is needed to integrate non-Romanian-speaking pupils, promote the learning of Romanian, and improve access to cultural services in the Romanian language. </w:t>
      </w:r>
    </w:p>
    <w:p w:rsidR="00BB7881" w:rsidRPr="008B47F5" w:rsidRDefault="00BB7881" w:rsidP="008B47F5">
      <w:pPr>
        <w:spacing w:line="240" w:lineRule="auto"/>
        <w:jc w:val="both"/>
        <w:rPr>
          <w:rFonts w:ascii="Cambria" w:hAnsi="Cambria"/>
          <w:lang w:val="ro-RO"/>
        </w:rPr>
      </w:pPr>
      <w:r w:rsidRPr="008B47F5">
        <w:rPr>
          <w:rFonts w:ascii="Cambria" w:hAnsi="Cambria"/>
        </w:rPr>
        <w:t>In the past four years, there has been a slight upward trend in the number of students enrolled in the eight Romanian-language schools in the Transnistrian region. Moreover, the students’ places of origin are becoming increasingly diverse. Compared to the 2023–2024 academic year, the total number of students increased by 123 in the current school year</w:t>
      </w:r>
      <w:r w:rsidRPr="008B47F5">
        <w:rPr>
          <w:rFonts w:ascii="Cambria" w:hAnsi="Cambria"/>
          <w:vertAlign w:val="superscript"/>
          <w:lang w:val="ro-RO"/>
        </w:rPr>
        <w:footnoteReference w:id="11"/>
      </w:r>
      <w:r w:rsidRPr="008B47F5">
        <w:rPr>
          <w:rFonts w:ascii="Cambria" w:hAnsi="Cambria"/>
        </w:rPr>
        <w:t>. At Roghi Gymnasium alone, enrolment rose by 20%</w:t>
      </w:r>
      <w:r w:rsidRPr="008B47F5">
        <w:rPr>
          <w:rFonts w:ascii="Cambria" w:hAnsi="Cambria"/>
          <w:vertAlign w:val="superscript"/>
          <w:lang w:val="ro-RO"/>
        </w:rPr>
        <w:footnoteReference w:id="12"/>
      </w:r>
      <w:r w:rsidRPr="008B47F5">
        <w:rPr>
          <w:rFonts w:ascii="Cambria" w:hAnsi="Cambria"/>
        </w:rPr>
        <w:t>. While during the 2022–2023 academic year all students came from the village of Roghi, the school now also hosts children from the nearby villages of Țâbuleuca and Corjova, as well as from the town of Dubăsari.</w:t>
      </w:r>
    </w:p>
    <w:p w:rsidR="00BB7881" w:rsidRPr="008B47F5" w:rsidRDefault="00BB7881" w:rsidP="008B47F5">
      <w:pPr>
        <w:spacing w:line="240" w:lineRule="auto"/>
        <w:jc w:val="both"/>
        <w:rPr>
          <w:rFonts w:ascii="Cambria" w:hAnsi="Cambria"/>
          <w:lang w:val="ro-RO"/>
        </w:rPr>
      </w:pPr>
      <w:r w:rsidRPr="008B47F5">
        <w:rPr>
          <w:rFonts w:ascii="Cambria" w:hAnsi="Cambria"/>
        </w:rPr>
        <w:t>While the number of students enrolled in the eight Romanian-language schools continues to grow by an average of 5% annually, nearly half of the 158 schools controlled by the de facto Transnistrian authorities are experiencing an acute decline in student numbers. In the districts of Rîbnița, Grigoriopol, Slobozia, and Dubăsari, there are over 40 schools where the number of staff significantly exceeds the number of students, with some classrooms hosting only 1–2 pupils</w:t>
      </w:r>
      <w:r w:rsidRPr="008B47F5">
        <w:rPr>
          <w:rFonts w:ascii="Cambria" w:hAnsi="Cambria"/>
          <w:vertAlign w:val="superscript"/>
          <w:lang w:val="ro-RO"/>
        </w:rPr>
        <w:footnoteReference w:id="13"/>
      </w:r>
      <w:r w:rsidRPr="008B47F5">
        <w:rPr>
          <w:rFonts w:ascii="Cambria" w:hAnsi="Cambria"/>
        </w:rPr>
        <w:t>. These schools also face a severe shortage of qualified teaching personnel. In smaller institutions, core subjects are often taught either by pre-school educators or by individuals who do not hold a teaching degree</w:t>
      </w:r>
      <w:r w:rsidRPr="008B47F5">
        <w:rPr>
          <w:rFonts w:ascii="Cambria" w:hAnsi="Cambria"/>
          <w:vertAlign w:val="superscript"/>
          <w:lang w:val="ro-RO"/>
        </w:rPr>
        <w:footnoteReference w:id="14"/>
      </w:r>
      <w:r w:rsidRPr="008B47F5">
        <w:rPr>
          <w:rFonts w:ascii="Cambria" w:hAnsi="Cambria"/>
          <w:lang w:val="ro-RO"/>
        </w:rPr>
        <w:t>.</w:t>
      </w:r>
      <w:r w:rsidRPr="008B47F5">
        <w:rPr>
          <w:rFonts w:ascii="Cambria" w:hAnsi="Cambria"/>
        </w:rPr>
        <w:t xml:space="preserve"> The de facto authorities are reportedly considering the closure of under-enrolled schools, including some with Romanian-language instruction using Cyrillic script</w:t>
      </w:r>
      <w:r w:rsidRPr="008B47F5">
        <w:rPr>
          <w:rFonts w:ascii="Cambria" w:hAnsi="Cambria"/>
          <w:vertAlign w:val="superscript"/>
          <w:lang w:val="ro-RO"/>
        </w:rPr>
        <w:footnoteReference w:id="15"/>
      </w:r>
      <w:r w:rsidRPr="008B47F5">
        <w:rPr>
          <w:rFonts w:ascii="Cambria" w:hAnsi="Cambria"/>
          <w:lang w:val="ro-RO"/>
        </w:rPr>
        <w:t>.</w:t>
      </w:r>
      <w:r w:rsidRPr="008B47F5">
        <w:rPr>
          <w:rFonts w:ascii="Cambria" w:hAnsi="Cambria"/>
        </w:rPr>
        <w:t xml:space="preserve"> Such developments could lead to an increase in enrolment in the Romanian-language schools subordinated to the constitutional authorities of the Republic of Moldova.</w:t>
      </w:r>
    </w:p>
    <w:p w:rsidR="0074003B" w:rsidRPr="008B47F5" w:rsidRDefault="0074003B" w:rsidP="008B47F5">
      <w:pPr>
        <w:spacing w:line="240" w:lineRule="auto"/>
        <w:jc w:val="both"/>
        <w:rPr>
          <w:rFonts w:ascii="Cambria" w:hAnsi="Cambria"/>
          <w:lang w:val="en-US"/>
        </w:rPr>
      </w:pPr>
      <w:r w:rsidRPr="008B47F5">
        <w:rPr>
          <w:rFonts w:ascii="Cambria" w:hAnsi="Cambria"/>
          <w:lang w:val="en-US"/>
        </w:rPr>
        <w:t>Over the past few years, these Romanian-language schools have become increasingly attractive, especially for Russian-speaking families seeking a nationally or internationally recognized diploma. This recognition opens the way for students to continue their education at universities on the right bank of the Dniester or in European Union member states. The rise in enrollment, however, requires additional budget allocations for expanding and restructuring school buildings, improving study conditions, opening new classes, and purchasing modern, larger-capacity buses. An example is the recent refusal of “Mihai Eminescu” Theoretical Lyceum in Dubăsari to open two extra 12th-grade classes in Russ</w:t>
      </w:r>
      <w:r w:rsidR="0003501A" w:rsidRPr="008B47F5">
        <w:rPr>
          <w:rFonts w:ascii="Cambria" w:hAnsi="Cambria"/>
          <w:lang w:val="en-US"/>
        </w:rPr>
        <w:t xml:space="preserve">ian, due to a lack of resources - </w:t>
      </w:r>
      <w:r w:rsidRPr="008B47F5">
        <w:rPr>
          <w:rFonts w:ascii="Cambria" w:hAnsi="Cambria"/>
          <w:lang w:val="en-US"/>
        </w:rPr>
        <w:t xml:space="preserve">even though an increasing number of Russian-speaking pupils have sought admission. The school currently operates three high school classes in Russian, serving a total of 46 students. </w:t>
      </w:r>
    </w:p>
    <w:p w:rsidR="003C7AB9" w:rsidRPr="008B47F5" w:rsidRDefault="0074003B" w:rsidP="008B47F5">
      <w:pPr>
        <w:spacing w:line="240" w:lineRule="auto"/>
        <w:jc w:val="both"/>
        <w:rPr>
          <w:rFonts w:ascii="Cambria" w:hAnsi="Cambria"/>
        </w:rPr>
      </w:pPr>
      <w:r w:rsidRPr="008B47F5">
        <w:rPr>
          <w:rFonts w:ascii="Cambria" w:hAnsi="Cambria"/>
        </w:rPr>
        <w:t xml:space="preserve">This growing demand for Romanian-language education in the Transnistrian region offers an opportunity for national authorities to integrate more children and youth from the temporarily occupied territory into the national education system. Such efforts would promote Romanian-language studies, foster national culture, and encourage a more democratic and pluralistic educational model. For students in the Transnistrian region, these institutions are the sole </w:t>
      </w:r>
      <w:r w:rsidRPr="008B47F5">
        <w:rPr>
          <w:rFonts w:ascii="Cambria" w:hAnsi="Cambria"/>
        </w:rPr>
        <w:lastRenderedPageBreak/>
        <w:t>alternative to Tiraspol-administered schools, where political indoctrination and militarization often prevail</w:t>
      </w:r>
      <w:r w:rsidR="0003501A" w:rsidRPr="008B47F5">
        <w:rPr>
          <w:rStyle w:val="FootnoteReference"/>
          <w:rFonts w:ascii="Cambria" w:hAnsi="Cambria"/>
        </w:rPr>
        <w:footnoteReference w:id="16"/>
      </w:r>
      <w:r w:rsidRPr="008B47F5">
        <w:rPr>
          <w:rFonts w:ascii="Cambria" w:hAnsi="Cambria"/>
        </w:rPr>
        <w:t xml:space="preserve">. </w:t>
      </w:r>
    </w:p>
    <w:p w:rsidR="007D73C7" w:rsidRPr="007D73C7" w:rsidRDefault="00752728" w:rsidP="007D73C7">
      <w:pPr>
        <w:pStyle w:val="Heading2"/>
        <w:numPr>
          <w:ilvl w:val="0"/>
          <w:numId w:val="7"/>
        </w:numPr>
        <w:spacing w:before="0" w:line="240" w:lineRule="auto"/>
        <w:rPr>
          <w:rFonts w:ascii="Cambria" w:hAnsi="Cambria"/>
          <w:sz w:val="22"/>
          <w:szCs w:val="22"/>
        </w:rPr>
      </w:pPr>
      <w:bookmarkStart w:id="7" w:name="_Toc202220837"/>
      <w:r w:rsidRPr="008B47F5">
        <w:rPr>
          <w:rFonts w:ascii="Cambria" w:hAnsi="Cambria"/>
          <w:sz w:val="22"/>
          <w:szCs w:val="22"/>
        </w:rPr>
        <w:t>Lack of Adequate Premises, Transportation, Institutional Support and Protection from Repressive Practices</w:t>
      </w:r>
      <w:bookmarkEnd w:id="7"/>
    </w:p>
    <w:p w:rsidR="00BB7881" w:rsidRPr="008B47F5" w:rsidRDefault="00BB7881" w:rsidP="008B47F5">
      <w:pPr>
        <w:pStyle w:val="Heading3"/>
        <w:numPr>
          <w:ilvl w:val="0"/>
          <w:numId w:val="30"/>
        </w:numPr>
        <w:spacing w:before="0" w:line="240" w:lineRule="auto"/>
        <w:rPr>
          <w:rFonts w:ascii="Cambria" w:hAnsi="Cambria"/>
          <w:bCs/>
          <w:i/>
          <w:sz w:val="22"/>
          <w:szCs w:val="22"/>
          <w:lang w:val="en-US"/>
        </w:rPr>
      </w:pPr>
      <w:bookmarkStart w:id="8" w:name="_Toc202220838"/>
      <w:r w:rsidRPr="008B47F5">
        <w:rPr>
          <w:rFonts w:ascii="Cambria" w:hAnsi="Cambria"/>
          <w:bCs/>
          <w:i/>
          <w:sz w:val="22"/>
          <w:szCs w:val="22"/>
          <w:lang w:val="en-US"/>
        </w:rPr>
        <w:t>Shortage of Teaching Staff</w:t>
      </w:r>
      <w:bookmarkEnd w:id="8"/>
    </w:p>
    <w:p w:rsidR="00BB7881" w:rsidRPr="008B47F5" w:rsidRDefault="00BB7881" w:rsidP="008B47F5">
      <w:pPr>
        <w:spacing w:line="240" w:lineRule="auto"/>
        <w:jc w:val="both"/>
        <w:rPr>
          <w:rFonts w:ascii="Cambria" w:hAnsi="Cambria"/>
          <w:lang w:val="en-US"/>
        </w:rPr>
      </w:pPr>
      <w:r w:rsidRPr="008B47F5">
        <w:rPr>
          <w:rFonts w:ascii="Cambria" w:hAnsi="Cambria"/>
          <w:lang w:val="en-US"/>
        </w:rPr>
        <w:t>In the context of a growing student population, the shortage of qualified teaching staff poses a challenge for three out of the eight Romanian-language educational institutions. Notably, there are no special incentives for young teachers who choose to work in these schools located in the Transnistrian region. Furthermore, provisions concerning one-time settlement allowances and compensation for housing rent, electricity, and heating expenses do not apply to newly qualified teachers residing in the region. This is due to the fact that financial resources allocated by the Ministry of Education for beginner teaching staff are disbursed through the budgets of second-level administrative-territoria</w:t>
      </w:r>
      <w:r w:rsidR="00485EE2" w:rsidRPr="008B47F5">
        <w:rPr>
          <w:rFonts w:ascii="Cambria" w:hAnsi="Cambria"/>
          <w:lang w:val="en-US"/>
        </w:rPr>
        <w:t>l units</w:t>
      </w:r>
      <w:r w:rsidR="00485EE2" w:rsidRPr="008B47F5">
        <w:rPr>
          <w:rFonts w:ascii="Cambria" w:hAnsi="Cambria"/>
          <w:vertAlign w:val="superscript"/>
          <w:lang w:val="ro-RO"/>
        </w:rPr>
        <w:footnoteReference w:id="17"/>
      </w:r>
      <w:r w:rsidRPr="008B47F5">
        <w:rPr>
          <w:rFonts w:ascii="Cambria" w:hAnsi="Cambria"/>
          <w:lang w:val="en-US"/>
        </w:rPr>
        <w:t>.</w:t>
      </w:r>
    </w:p>
    <w:p w:rsidR="00BB7881" w:rsidRPr="008B47F5" w:rsidRDefault="00BB7881" w:rsidP="008B47F5">
      <w:pPr>
        <w:pStyle w:val="Heading3"/>
        <w:numPr>
          <w:ilvl w:val="0"/>
          <w:numId w:val="30"/>
        </w:numPr>
        <w:spacing w:line="240" w:lineRule="auto"/>
        <w:rPr>
          <w:rFonts w:ascii="Cambria" w:hAnsi="Cambria"/>
          <w:bCs/>
          <w:i/>
          <w:sz w:val="22"/>
          <w:szCs w:val="22"/>
          <w:lang w:val="en-US"/>
        </w:rPr>
      </w:pPr>
      <w:bookmarkStart w:id="9" w:name="_Toc202220839"/>
      <w:r w:rsidRPr="008B47F5">
        <w:rPr>
          <w:rFonts w:ascii="Cambria" w:hAnsi="Cambria"/>
          <w:bCs/>
          <w:i/>
          <w:sz w:val="22"/>
          <w:szCs w:val="22"/>
          <w:lang w:val="en-US"/>
        </w:rPr>
        <w:t>Infrastructure Deficiencies in Romanian-language Schools</w:t>
      </w:r>
      <w:bookmarkEnd w:id="9"/>
    </w:p>
    <w:p w:rsidR="00BB7881" w:rsidRPr="008B47F5" w:rsidRDefault="00BB7881" w:rsidP="008B47F5">
      <w:pPr>
        <w:spacing w:line="240" w:lineRule="auto"/>
        <w:jc w:val="both"/>
        <w:rPr>
          <w:rFonts w:ascii="Cambria" w:hAnsi="Cambria"/>
          <w:lang w:val="en-US"/>
        </w:rPr>
      </w:pPr>
      <w:r w:rsidRPr="008B47F5">
        <w:rPr>
          <w:rFonts w:ascii="Cambria" w:hAnsi="Cambria"/>
          <w:lang w:val="en-US"/>
        </w:rPr>
        <w:t>One of the main challenges faced by Romanian-language schools in the Transnistrian region is the lack of proper facilities and the absence of conditions that meet the standards for quality education. This problem is becoming increasingly acute as student enrolment grows each year, requiring either the restructuring and expansion of existing premises or the identification of alternative study spaces.</w:t>
      </w:r>
    </w:p>
    <w:p w:rsidR="00BB7881" w:rsidRPr="008B47F5" w:rsidRDefault="00BB7881" w:rsidP="008B47F5">
      <w:pPr>
        <w:spacing w:line="240" w:lineRule="auto"/>
        <w:jc w:val="both"/>
        <w:rPr>
          <w:rFonts w:ascii="Cambria" w:hAnsi="Cambria"/>
          <w:lang w:val="en-US"/>
        </w:rPr>
      </w:pPr>
      <w:r w:rsidRPr="008B47F5">
        <w:rPr>
          <w:rFonts w:ascii="Cambria" w:hAnsi="Cambria"/>
          <w:lang w:val="en-US"/>
        </w:rPr>
        <w:t>Most of the eight schools under the jurisdiction of Moldova’s constitutional authorities operate in inadequate buildings that have not undergone major renovations in the last two decades. Efforts to renovate, reconfigure, or adapt these spaces to meet the basic requirements of a safe and modern educational process are often hindered by a lack of financial resources. Budgetary allocations cover only minor repair works, and in some cases, maintenance costs are borne by parents.</w:t>
      </w:r>
    </w:p>
    <w:p w:rsidR="00BB7881" w:rsidRPr="008B47F5" w:rsidRDefault="00BB7881" w:rsidP="008B47F5">
      <w:pPr>
        <w:spacing w:line="240" w:lineRule="auto"/>
        <w:jc w:val="both"/>
        <w:rPr>
          <w:rFonts w:ascii="Cambria" w:hAnsi="Cambria"/>
          <w:lang w:val="en-US"/>
        </w:rPr>
      </w:pPr>
      <w:r w:rsidRPr="008B47F5">
        <w:rPr>
          <w:rFonts w:ascii="Cambria" w:hAnsi="Cambria"/>
          <w:lang w:val="en-US"/>
        </w:rPr>
        <w:t>It is also important to note that most of these schools operate based on short-term lease agreements signed with the de facto Transnistrian authorities. These contracts are set to expire in 2027, and there is no guarantee that they will be extended, nor are the conditions for renewal known. Another significant limitation is the maximum lease duration of 10 years, which severely restricts access to external funding, as many donors requ</w:t>
      </w:r>
      <w:r w:rsidR="00485EE2" w:rsidRPr="008B47F5">
        <w:rPr>
          <w:rFonts w:ascii="Cambria" w:hAnsi="Cambria"/>
          <w:lang w:val="en-US"/>
        </w:rPr>
        <w:t xml:space="preserve">ire longer-term lease contracts typically 20–25 years - </w:t>
      </w:r>
      <w:r w:rsidRPr="008B47F5">
        <w:rPr>
          <w:rFonts w:ascii="Cambria" w:hAnsi="Cambria"/>
          <w:lang w:val="en-US"/>
        </w:rPr>
        <w:t>as an eligibility criterion.</w:t>
      </w:r>
    </w:p>
    <w:p w:rsidR="00960429" w:rsidRPr="008B47F5" w:rsidRDefault="00752728" w:rsidP="006234AE">
      <w:pPr>
        <w:pStyle w:val="ListParagraph"/>
        <w:numPr>
          <w:ilvl w:val="0"/>
          <w:numId w:val="9"/>
        </w:numPr>
        <w:spacing w:after="0" w:line="240" w:lineRule="auto"/>
        <w:jc w:val="both"/>
        <w:outlineLvl w:val="2"/>
        <w:rPr>
          <w:rFonts w:ascii="Cambria" w:hAnsi="Cambria"/>
          <w:i/>
          <w:color w:val="1F4E79" w:themeColor="accent1" w:themeShade="80"/>
          <w:lang w:val="en-US"/>
        </w:rPr>
      </w:pPr>
      <w:bookmarkStart w:id="10" w:name="_Toc202220840"/>
      <w:r w:rsidRPr="008B47F5">
        <w:rPr>
          <w:rFonts w:ascii="Cambria" w:hAnsi="Cambria"/>
          <w:i/>
          <w:color w:val="1F4E79" w:themeColor="accent1" w:themeShade="80"/>
          <w:lang w:val="en-US"/>
        </w:rPr>
        <w:t>Transportation</w:t>
      </w:r>
      <w:bookmarkEnd w:id="10"/>
    </w:p>
    <w:p w:rsidR="003225AA" w:rsidRPr="008B47F5" w:rsidRDefault="007A3267" w:rsidP="006234AE">
      <w:pPr>
        <w:spacing w:after="0" w:line="240" w:lineRule="auto"/>
        <w:jc w:val="both"/>
        <w:rPr>
          <w:rFonts w:ascii="Cambria" w:hAnsi="Cambria"/>
          <w:lang w:val="en-US"/>
        </w:rPr>
      </w:pPr>
      <w:r w:rsidRPr="008B47F5">
        <w:rPr>
          <w:rFonts w:ascii="Cambria" w:hAnsi="Cambria"/>
          <w:lang w:val="en-US"/>
        </w:rPr>
        <w:t>Transportation remains a significant challenge for the Romanian-language schools in the Transnistrian re</w:t>
      </w:r>
      <w:r w:rsidR="000C772D" w:rsidRPr="008B47F5">
        <w:rPr>
          <w:rFonts w:ascii="Cambria" w:hAnsi="Cambria"/>
          <w:lang w:val="en-US"/>
        </w:rPr>
        <w:t xml:space="preserve">gion. Most of the vehicles used, whether buses or </w:t>
      </w:r>
      <w:r w:rsidR="003225AA" w:rsidRPr="008B47F5">
        <w:rPr>
          <w:rFonts w:ascii="Cambria" w:hAnsi="Cambria"/>
          <w:lang w:val="en-US"/>
        </w:rPr>
        <w:t>minibuses, are</w:t>
      </w:r>
      <w:r w:rsidRPr="008B47F5">
        <w:rPr>
          <w:rFonts w:ascii="Cambria" w:hAnsi="Cambria"/>
          <w:lang w:val="en-US"/>
        </w:rPr>
        <w:t xml:space="preserve"> outdated and require frequent, often costly repairs, made more difficult by the lack of spare parts. The growing enrollment in these schools, with students coming from increasingly distant localities, underscores the need for mod</w:t>
      </w:r>
      <w:r w:rsidR="008A5404" w:rsidRPr="008B47F5">
        <w:rPr>
          <w:rFonts w:ascii="Cambria" w:hAnsi="Cambria"/>
          <w:lang w:val="en-US"/>
        </w:rPr>
        <w:t xml:space="preserve">ern, higher-capacity vehicles. </w:t>
      </w:r>
      <w:r w:rsidRPr="008B47F5">
        <w:rPr>
          <w:rFonts w:ascii="Cambria" w:hAnsi="Cambria"/>
          <w:lang w:val="en-US"/>
        </w:rPr>
        <w:t xml:space="preserve">Several schools stand out for their particularly urgent transportation needs. </w:t>
      </w:r>
    </w:p>
    <w:p w:rsidR="003225AA" w:rsidRPr="008B47F5" w:rsidRDefault="007A3267" w:rsidP="008B47F5">
      <w:pPr>
        <w:pStyle w:val="ListParagraph"/>
        <w:numPr>
          <w:ilvl w:val="0"/>
          <w:numId w:val="23"/>
        </w:numPr>
        <w:spacing w:after="0" w:line="240" w:lineRule="auto"/>
        <w:jc w:val="both"/>
        <w:rPr>
          <w:rFonts w:ascii="Cambria" w:hAnsi="Cambria"/>
          <w:lang w:val="en-US"/>
        </w:rPr>
      </w:pPr>
      <w:r w:rsidRPr="008B47F5">
        <w:rPr>
          <w:rFonts w:ascii="Cambria" w:hAnsi="Cambria"/>
          <w:lang w:val="en-US"/>
        </w:rPr>
        <w:t xml:space="preserve">“Alexandru cel Bun” Theoretical Lyceum in Bender transports 270 students daily, relying on vehicles that make 12 trips each day within the city. The school urgently needs a bus with at least 50 seats. </w:t>
      </w:r>
    </w:p>
    <w:p w:rsidR="003225AA" w:rsidRPr="008B47F5" w:rsidRDefault="007A3267" w:rsidP="008B47F5">
      <w:pPr>
        <w:pStyle w:val="ListParagraph"/>
        <w:numPr>
          <w:ilvl w:val="0"/>
          <w:numId w:val="23"/>
        </w:numPr>
        <w:spacing w:line="240" w:lineRule="auto"/>
        <w:jc w:val="both"/>
        <w:rPr>
          <w:rFonts w:ascii="Cambria" w:hAnsi="Cambria"/>
          <w:lang w:val="en-US"/>
        </w:rPr>
      </w:pPr>
      <w:r w:rsidRPr="008B47F5">
        <w:rPr>
          <w:rFonts w:ascii="Cambria" w:hAnsi="Cambria"/>
          <w:lang w:val="en-US"/>
        </w:rPr>
        <w:t xml:space="preserve">“Evrika” Theoretical Lyceum in Rîbnița, which transports 111 students daily from five rural communities over distances of up to 80–90 kilometers (round trip), similarly requires a 35-seat bus. Two of its three vehicles are no longer repairable due to discontinued spare parts. </w:t>
      </w:r>
    </w:p>
    <w:p w:rsidR="007A3267" w:rsidRPr="008B47F5" w:rsidRDefault="007A3267" w:rsidP="008B47F5">
      <w:pPr>
        <w:pStyle w:val="ListParagraph"/>
        <w:numPr>
          <w:ilvl w:val="0"/>
          <w:numId w:val="23"/>
        </w:numPr>
        <w:spacing w:line="240" w:lineRule="auto"/>
        <w:jc w:val="both"/>
        <w:rPr>
          <w:rFonts w:ascii="Cambria" w:hAnsi="Cambria"/>
          <w:lang w:val="en-US"/>
        </w:rPr>
      </w:pPr>
      <w:r w:rsidRPr="008B47F5">
        <w:rPr>
          <w:rFonts w:ascii="Cambria" w:hAnsi="Cambria"/>
          <w:lang w:val="en-US"/>
        </w:rPr>
        <w:lastRenderedPageBreak/>
        <w:t>At “Lucian Blaga” Theoretical Lyceum in Tiraspol, 167 s</w:t>
      </w:r>
      <w:r w:rsidR="004F63D7">
        <w:rPr>
          <w:rFonts w:ascii="Cambria" w:hAnsi="Cambria"/>
          <w:lang w:val="en-US"/>
        </w:rPr>
        <w:t xml:space="preserve">tudents - around 69% of the total - </w:t>
      </w:r>
      <w:r w:rsidRPr="008B47F5">
        <w:rPr>
          <w:rFonts w:ascii="Cambria" w:hAnsi="Cambria"/>
          <w:lang w:val="en-US"/>
        </w:rPr>
        <w:t xml:space="preserve">are transported daily, some from localities as far as 40 kilometers away, such as Dnestrovsc. The school currently operates three outdated vehicles (16, 18, and 19 seats, respectively) and rents a 55-seat bus. The rental alone costs approximately 230,000 lei per semester. </w:t>
      </w:r>
    </w:p>
    <w:p w:rsidR="003225AA" w:rsidRPr="008B47F5" w:rsidRDefault="007A3267" w:rsidP="008B47F5">
      <w:pPr>
        <w:pStyle w:val="ListParagraph"/>
        <w:numPr>
          <w:ilvl w:val="0"/>
          <w:numId w:val="23"/>
        </w:numPr>
        <w:spacing w:line="240" w:lineRule="auto"/>
        <w:jc w:val="both"/>
        <w:rPr>
          <w:rFonts w:ascii="Cambria" w:hAnsi="Cambria"/>
          <w:lang w:val="en-US"/>
        </w:rPr>
      </w:pPr>
      <w:r w:rsidRPr="008B47F5">
        <w:rPr>
          <w:rFonts w:ascii="Cambria" w:hAnsi="Cambria"/>
          <w:lang w:val="en-US"/>
        </w:rPr>
        <w:t xml:space="preserve">“Ștefan cel Mare și Sfânt” Lyceum leases five coaches, each with 50–55 seats, transporting 310 students from five different localities, at an annual cost of about 2.1 million lei. Because the school lacks parking space in Grigoriopol, purchasing its own buses is not an option. At “Mihai Eminescu” Theoretical Lyceum in Corjova, Dubăsari, 500 students and over 40 staff members travel daily from eight localities. The school has six vehicles with a combined capacity of 151 seats, forcing each bus to make three or four daily runs. In 2024, the school received one new 17-seat bus (part of a batch of 69 funded by the Romanian government), but it still needs three large-capacity buses to replace older models. </w:t>
      </w:r>
    </w:p>
    <w:p w:rsidR="007A3267" w:rsidRPr="008B47F5" w:rsidRDefault="007A3267" w:rsidP="008B47F5">
      <w:pPr>
        <w:pStyle w:val="ListParagraph"/>
        <w:numPr>
          <w:ilvl w:val="0"/>
          <w:numId w:val="23"/>
        </w:numPr>
        <w:spacing w:line="240" w:lineRule="auto"/>
        <w:jc w:val="both"/>
        <w:rPr>
          <w:rFonts w:ascii="Cambria" w:hAnsi="Cambria"/>
          <w:lang w:val="en-US"/>
        </w:rPr>
      </w:pPr>
      <w:r w:rsidRPr="008B47F5">
        <w:rPr>
          <w:rFonts w:ascii="Cambria" w:hAnsi="Cambria"/>
          <w:lang w:val="en-US"/>
        </w:rPr>
        <w:t xml:space="preserve">“Constantin Sucitu” Gymnasium in Corjova currently owns a 16-seat minibus, which transports 32 students from Dubăsari, Lunga, and Mahala, and urgently needs a bus with around 40 seats to keep pace with enrollment growth. Roghi Gymnasium now has one new 17-seat bus (again part of the Romanian-supported acquisition) to serve 22 students from Țîbuleuca and Dubăsari, covering distances of approximately 25 kilometers. However, the school still requires an additional vehicle to run both routes simultaneously. </w:t>
      </w:r>
    </w:p>
    <w:p w:rsidR="00960429" w:rsidRPr="008B47F5" w:rsidRDefault="007A3267" w:rsidP="008B47F5">
      <w:pPr>
        <w:spacing w:line="240" w:lineRule="auto"/>
        <w:jc w:val="both"/>
        <w:rPr>
          <w:rFonts w:ascii="Cambria" w:hAnsi="Cambria"/>
          <w:lang w:val="en-US"/>
        </w:rPr>
      </w:pPr>
      <w:r w:rsidRPr="008B47F5">
        <w:rPr>
          <w:rFonts w:ascii="Cambria" w:hAnsi="Cambria"/>
          <w:lang w:val="en-US"/>
        </w:rPr>
        <w:t>In all these cases, the lack of suitable transport not only strains financial resources but also risks students’ safety and convenience, particularly as enrollment continues to rise. Without consistent, reliable mobility, families face further challenges in accessing Romanian-language education, potentially discouraging them from enrolling th</w:t>
      </w:r>
      <w:r w:rsidR="00FA0E93" w:rsidRPr="008B47F5">
        <w:rPr>
          <w:rFonts w:ascii="Cambria" w:hAnsi="Cambria"/>
          <w:lang w:val="en-US"/>
        </w:rPr>
        <w:t xml:space="preserve">eir children in these schools. </w:t>
      </w:r>
    </w:p>
    <w:p w:rsidR="00485EE2" w:rsidRPr="008B47F5" w:rsidRDefault="00752728" w:rsidP="007D73C7">
      <w:pPr>
        <w:pStyle w:val="ListParagraph"/>
        <w:numPr>
          <w:ilvl w:val="0"/>
          <w:numId w:val="9"/>
        </w:numPr>
        <w:spacing w:after="0" w:line="240" w:lineRule="auto"/>
        <w:jc w:val="both"/>
        <w:outlineLvl w:val="2"/>
        <w:rPr>
          <w:rFonts w:ascii="Cambria" w:hAnsi="Cambria"/>
          <w:i/>
          <w:color w:val="1F4E79" w:themeColor="accent1" w:themeShade="80"/>
          <w:lang w:val="en-US"/>
        </w:rPr>
      </w:pPr>
      <w:bookmarkStart w:id="11" w:name="_Toc202220841"/>
      <w:r w:rsidRPr="008B47F5">
        <w:rPr>
          <w:rFonts w:ascii="Cambria" w:hAnsi="Cambria"/>
          <w:i/>
          <w:color w:val="1F4E79" w:themeColor="accent1" w:themeShade="80"/>
          <w:lang w:val="en-US"/>
        </w:rPr>
        <w:t>Abuses committed against schools in 2024: utility tariffs</w:t>
      </w:r>
      <w:bookmarkEnd w:id="11"/>
    </w:p>
    <w:p w:rsidR="00485EE2" w:rsidRPr="008B47F5" w:rsidRDefault="00485EE2" w:rsidP="007D73C7">
      <w:pPr>
        <w:spacing w:after="0" w:line="240" w:lineRule="auto"/>
        <w:jc w:val="both"/>
        <w:rPr>
          <w:rFonts w:ascii="Cambria" w:hAnsi="Cambria"/>
          <w:lang w:val="en-US"/>
        </w:rPr>
      </w:pPr>
      <w:r w:rsidRPr="008B47F5">
        <w:rPr>
          <w:rFonts w:ascii="Cambria" w:hAnsi="Cambria"/>
          <w:lang w:val="en-US"/>
        </w:rPr>
        <w:t>A significant portion of the budgets of Romanian-language schools is allocated to covering utility costs, following the substantial and discriminatory increase in tariffs imposed by the Transnistrian regime at the beginning of 2024. For instance, the boarding school in Bender allocated 44.8% of its budget to utility payments, while the “Alexandru cel Bun” Lyceum in Bender, the “Ștefan cel Mare și Sfânt” Lyceum in Grigoriopol, the “Mihai Eminescu” Lyceum in Dubăsari, and the “Evrika” Lyceum in Rîbnița allocated 16.2%</w:t>
      </w:r>
      <w:r w:rsidRPr="008B47F5">
        <w:rPr>
          <w:rFonts w:ascii="Cambria" w:hAnsi="Cambria"/>
          <w:vertAlign w:val="superscript"/>
          <w:lang w:val="ro-RO"/>
        </w:rPr>
        <w:footnoteReference w:id="18"/>
      </w:r>
      <w:r w:rsidRPr="008B47F5">
        <w:rPr>
          <w:rFonts w:ascii="Cambria" w:hAnsi="Cambria"/>
          <w:lang w:val="ro-RO"/>
        </w:rPr>
        <w:t>.</w:t>
      </w:r>
    </w:p>
    <w:p w:rsidR="00485EE2" w:rsidRPr="008B47F5" w:rsidRDefault="00485EE2" w:rsidP="008B47F5">
      <w:pPr>
        <w:spacing w:line="240" w:lineRule="auto"/>
        <w:jc w:val="both"/>
        <w:rPr>
          <w:rFonts w:ascii="Cambria" w:hAnsi="Cambria"/>
          <w:color w:val="1F4E79" w:themeColor="accent1" w:themeShade="80"/>
          <w:lang w:val="en-US"/>
        </w:rPr>
      </w:pPr>
      <w:r w:rsidRPr="008B47F5">
        <w:rPr>
          <w:rFonts w:ascii="Cambria" w:hAnsi="Cambria"/>
          <w:lang w:val="en-US"/>
        </w:rPr>
        <w:t>In response to the entry into force of the new Customs Code of the Republic of Moldova - which requires economic operators in the Transnistrian region registered with the Public Services Agency to pay the same customs duties as companies on the right bank of the Nistru River - the Transnistrian regime adopted new abusive measures targeting Romanian-language schools. Utility tariffs in the Transnistrian region for 2024 were established through a so-called “ordinance” signed by the self-proclaimed “prime minister of the pmr,” Aleksandr Rosenberg, on 31 May 2023</w:t>
      </w:r>
      <w:r w:rsidRPr="008B47F5">
        <w:rPr>
          <w:rFonts w:ascii="Cambria" w:hAnsi="Cambria"/>
          <w:vertAlign w:val="superscript"/>
          <w:lang w:val="ro-RO"/>
        </w:rPr>
        <w:footnoteReference w:id="19"/>
      </w:r>
      <w:r w:rsidRPr="008B47F5">
        <w:rPr>
          <w:rFonts w:ascii="Cambria" w:hAnsi="Cambria"/>
          <w:lang w:val="en-US"/>
        </w:rPr>
        <w:t>. On 15 January 2024, the ordinance was amended specifically to increase the tariffs for communal services applicable to both commercial and non-commercial institutions not registered in the Transnistrian region, as well as to individuals who are not “citizens of the pmr” and own non-residential premises on the left bank of the Nistru and in the municipality of Bender</w:t>
      </w:r>
      <w:r w:rsidRPr="008B47F5">
        <w:rPr>
          <w:rFonts w:ascii="Cambria" w:hAnsi="Cambria"/>
          <w:vertAlign w:val="superscript"/>
          <w:lang w:val="ro-RO"/>
        </w:rPr>
        <w:footnoteReference w:id="20"/>
      </w:r>
      <w:r w:rsidRPr="008B47F5">
        <w:rPr>
          <w:rFonts w:ascii="Cambria" w:hAnsi="Cambria"/>
          <w:lang w:val="en-US"/>
        </w:rPr>
        <w:t>. An analysis of the tariffs set by this “ordinance” reveals that the highest costs across all categories of utility services are imposed on institutions subordinated to Chișinău, including the Romanian-language schools operating in the Transnistrian region</w:t>
      </w:r>
      <w:r w:rsidRPr="008B47F5">
        <w:rPr>
          <w:rFonts w:ascii="Cambria" w:hAnsi="Cambria"/>
          <w:vertAlign w:val="superscript"/>
          <w:lang w:val="ro-RO"/>
        </w:rPr>
        <w:footnoteReference w:id="21"/>
      </w:r>
      <w:r w:rsidRPr="008B47F5">
        <w:rPr>
          <w:rFonts w:ascii="Cambria" w:hAnsi="Cambria"/>
          <w:lang w:val="ro-RO"/>
        </w:rPr>
        <w:t>.</w:t>
      </w:r>
    </w:p>
    <w:p w:rsidR="002A4D52" w:rsidRPr="008B47F5" w:rsidRDefault="00752728" w:rsidP="007D73C7">
      <w:pPr>
        <w:pStyle w:val="ListParagraph"/>
        <w:numPr>
          <w:ilvl w:val="0"/>
          <w:numId w:val="9"/>
        </w:numPr>
        <w:spacing w:after="0" w:line="240" w:lineRule="auto"/>
        <w:outlineLvl w:val="2"/>
        <w:rPr>
          <w:rFonts w:ascii="Cambria" w:hAnsi="Cambria"/>
          <w:i/>
          <w:color w:val="1F4E79" w:themeColor="accent1" w:themeShade="80"/>
          <w:lang w:val="en-US"/>
        </w:rPr>
      </w:pPr>
      <w:bookmarkStart w:id="12" w:name="_Toc202220842"/>
      <w:r w:rsidRPr="008B47F5">
        <w:rPr>
          <w:rFonts w:ascii="Cambria" w:hAnsi="Cambria"/>
          <w:i/>
          <w:color w:val="1F4E79" w:themeColor="accent1" w:themeShade="80"/>
          <w:lang w:val="en-US"/>
        </w:rPr>
        <w:lastRenderedPageBreak/>
        <w:t>M</w:t>
      </w:r>
      <w:r w:rsidRPr="008B47F5">
        <w:rPr>
          <w:rFonts w:ascii="Cambria" w:hAnsi="Cambria"/>
          <w:i/>
          <w:color w:val="1F4E79" w:themeColor="accent1" w:themeShade="80"/>
        </w:rPr>
        <w:t>ilitary registration with paramilitary forces</w:t>
      </w:r>
      <w:bookmarkEnd w:id="12"/>
    </w:p>
    <w:p w:rsidR="002A4D52" w:rsidRPr="008B47F5" w:rsidRDefault="002A4D52" w:rsidP="007D73C7">
      <w:pPr>
        <w:spacing w:after="0" w:line="240" w:lineRule="auto"/>
        <w:jc w:val="both"/>
        <w:rPr>
          <w:rFonts w:ascii="Cambria" w:hAnsi="Cambria"/>
          <w:lang w:val="en-US"/>
        </w:rPr>
      </w:pPr>
      <w:r w:rsidRPr="008B47F5">
        <w:rPr>
          <w:rFonts w:ascii="Cambria" w:hAnsi="Cambria"/>
          <w:lang w:val="en-US"/>
        </w:rPr>
        <w:t xml:space="preserve">According to reports from 2024, the Transnistrian </w:t>
      </w:r>
      <w:r w:rsidR="008D74A1" w:rsidRPr="008B47F5">
        <w:rPr>
          <w:rFonts w:ascii="Cambria" w:hAnsi="Cambria"/>
          <w:lang w:val="en-US"/>
        </w:rPr>
        <w:t xml:space="preserve">regime </w:t>
      </w:r>
      <w:r w:rsidRPr="008B47F5">
        <w:rPr>
          <w:rFonts w:ascii="Cambria" w:hAnsi="Cambria"/>
          <w:lang w:val="en-US"/>
        </w:rPr>
        <w:t>continue to request from school administrators the names of 16-year-old boys in order to register them for possible future conscription into paramilitary forces. This registration process is managed by the so-called “rmn ministry of defense,” headed by Oleg Obrucikov, and includes data</w:t>
      </w:r>
      <w:r w:rsidR="008D74A1" w:rsidRPr="008B47F5">
        <w:rPr>
          <w:rFonts w:ascii="Cambria" w:hAnsi="Cambria"/>
          <w:lang w:val="en-US"/>
        </w:rPr>
        <w:t xml:space="preserve"> on all residents of the region - </w:t>
      </w:r>
      <w:r w:rsidRPr="008B47F5">
        <w:rPr>
          <w:rFonts w:ascii="Cambria" w:hAnsi="Cambria"/>
          <w:lang w:val="en-US"/>
        </w:rPr>
        <w:t xml:space="preserve">regardless of whether they </w:t>
      </w:r>
      <w:r w:rsidR="008D74A1" w:rsidRPr="008B47F5">
        <w:rPr>
          <w:rFonts w:ascii="Cambria" w:hAnsi="Cambria"/>
          <w:lang w:val="en-US"/>
        </w:rPr>
        <w:t>hold Transnistrian “citizenship</w:t>
      </w:r>
      <w:r w:rsidRPr="008B47F5">
        <w:rPr>
          <w:rFonts w:ascii="Cambria" w:hAnsi="Cambria"/>
          <w:lang w:val="en-US"/>
        </w:rPr>
        <w:t>”</w:t>
      </w:r>
      <w:r w:rsidR="008D74A1" w:rsidRPr="008B47F5">
        <w:rPr>
          <w:rStyle w:val="FootnoteReference"/>
          <w:rFonts w:ascii="Cambria" w:hAnsi="Cambria"/>
          <w:lang w:val="en-US"/>
        </w:rPr>
        <w:footnoteReference w:id="22"/>
      </w:r>
      <w:r w:rsidRPr="008B47F5">
        <w:rPr>
          <w:rFonts w:ascii="Cambria" w:hAnsi="Cambria"/>
          <w:lang w:val="en-US"/>
        </w:rPr>
        <w:t xml:space="preserve"> Only young people living permanently outside the region, individuals who have renounced Transnistrian “citizenship,” those unfit for service due to health reasons, those already sentenced to imprisonment, people who have completed at least 12 months of military service in another state, or those over 27 are exempt from conscription. </w:t>
      </w:r>
    </w:p>
    <w:p w:rsidR="002A4D52" w:rsidRPr="008B47F5" w:rsidRDefault="002A4D52" w:rsidP="008B47F5">
      <w:pPr>
        <w:spacing w:line="240" w:lineRule="auto"/>
        <w:jc w:val="both"/>
        <w:rPr>
          <w:rFonts w:ascii="Cambria" w:hAnsi="Cambria"/>
        </w:rPr>
      </w:pPr>
      <w:r w:rsidRPr="008B47F5">
        <w:rPr>
          <w:rFonts w:ascii="Cambria" w:hAnsi="Cambria"/>
          <w:lang w:val="en-US"/>
        </w:rPr>
        <w:t xml:space="preserve">Most students attending Romanian-language schools in the Transnistrian region were born there and therefore hold “rmn citizenship,” which makes them vulnerable to forced conscription. For decades, local authorities have conditioned access to various public services on obtaining Transnistrian documents, including birth certificates and “rmn citizenship.” To avoid appearing on military rolls, 16-year-olds must register with Moldovan military commissariats on the right bank of the Dniester (or in another country) and, in many cases, change their residence accordingly. However, if they hold Transnistrian “citizenship” and remain in the region for more than 90 days, or if they wish to obtain a Transnistrian passport, they are still required to register with the de facto forces. </w:t>
      </w:r>
    </w:p>
    <w:p w:rsidR="0074003B" w:rsidRPr="008B47F5" w:rsidRDefault="002A4D52" w:rsidP="008B47F5">
      <w:pPr>
        <w:spacing w:line="240" w:lineRule="auto"/>
        <w:jc w:val="both"/>
        <w:rPr>
          <w:rFonts w:ascii="Cambria" w:hAnsi="Cambria"/>
          <w:lang w:val="en-US"/>
        </w:rPr>
      </w:pPr>
      <w:r w:rsidRPr="008B47F5">
        <w:rPr>
          <w:rFonts w:ascii="Cambria" w:hAnsi="Cambria"/>
          <w:lang w:val="en-US"/>
        </w:rPr>
        <w:t>The constitutional authorities do not currently collect data on how many students in these eight schools hold Transnistrian “citizenship” or proactively provide information to families about how to avoid forced conscription. No dedicated hotlines or publicly available guidelines exist on official websites to help residents navigate this issue. When asked about formal measures or protocols to protect students at risk of forced registration, the Bureau for Reintegration (BPR) referred only to maintaining continuous dialogue with school administrations, encouraging families to register on the right bank, and offering case-by-case support</w:t>
      </w:r>
      <w:r w:rsidR="008D74A1" w:rsidRPr="008B47F5">
        <w:rPr>
          <w:rStyle w:val="FootnoteReference"/>
          <w:rFonts w:ascii="Cambria" w:hAnsi="Cambria"/>
          <w:lang w:val="en-US"/>
        </w:rPr>
        <w:footnoteReference w:id="23"/>
      </w:r>
      <w:r w:rsidRPr="008B47F5">
        <w:rPr>
          <w:rFonts w:ascii="Cambria" w:hAnsi="Cambria"/>
          <w:lang w:val="en-US"/>
        </w:rPr>
        <w:t>. Beyond these general statements, however, there appear to be no detailed preventive measures or a form</w:t>
      </w:r>
      <w:r w:rsidR="008D74A1" w:rsidRPr="008B47F5">
        <w:rPr>
          <w:rFonts w:ascii="Cambria" w:hAnsi="Cambria"/>
          <w:lang w:val="en-US"/>
        </w:rPr>
        <w:t xml:space="preserve">al interinstitutional mechanism - </w:t>
      </w:r>
      <w:r w:rsidRPr="008B47F5">
        <w:rPr>
          <w:rFonts w:ascii="Cambria" w:hAnsi="Cambria"/>
          <w:lang w:val="en-US"/>
        </w:rPr>
        <w:t>uniting the Ministry of Education, the B</w:t>
      </w:r>
      <w:r w:rsidR="008D74A1" w:rsidRPr="008B47F5">
        <w:rPr>
          <w:rFonts w:ascii="Cambria" w:hAnsi="Cambria"/>
          <w:lang w:val="en-US"/>
        </w:rPr>
        <w:t xml:space="preserve">PR, and the Ministry of Defense - </w:t>
      </w:r>
      <w:r w:rsidRPr="008B47F5">
        <w:rPr>
          <w:rFonts w:ascii="Cambria" w:hAnsi="Cambria"/>
          <w:lang w:val="en-US"/>
        </w:rPr>
        <w:t>to shield students from conscription. As a result, the help offered remains largely reactive, leaving families and young people in a precarious situation</w:t>
      </w:r>
      <w:r w:rsidR="008D74A1" w:rsidRPr="008B47F5">
        <w:rPr>
          <w:rFonts w:ascii="Cambria" w:hAnsi="Cambria"/>
          <w:lang w:val="en-US"/>
        </w:rPr>
        <w:t xml:space="preserve">. </w:t>
      </w:r>
    </w:p>
    <w:p w:rsidR="006234AE" w:rsidRPr="007D73C7" w:rsidRDefault="00564196" w:rsidP="006234AE">
      <w:pPr>
        <w:pStyle w:val="Heading1"/>
        <w:numPr>
          <w:ilvl w:val="0"/>
          <w:numId w:val="6"/>
        </w:numPr>
        <w:spacing w:before="0" w:line="240" w:lineRule="auto"/>
        <w:jc w:val="both"/>
        <w:rPr>
          <w:rFonts w:ascii="Cambria" w:hAnsi="Cambria"/>
          <w:b/>
          <w:bCs/>
          <w:sz w:val="22"/>
          <w:szCs w:val="22"/>
          <w:lang w:val="en-US"/>
        </w:rPr>
      </w:pPr>
      <w:bookmarkStart w:id="13" w:name="_Toc202220843"/>
      <w:r w:rsidRPr="008B47F5">
        <w:rPr>
          <w:rFonts w:ascii="Cambria" w:hAnsi="Cambria"/>
          <w:b/>
          <w:bCs/>
          <w:sz w:val="22"/>
          <w:szCs w:val="22"/>
          <w:lang w:val="en-US"/>
        </w:rPr>
        <w:t xml:space="preserve">Militarization of Education in Schools Controlled by the </w:t>
      </w:r>
      <w:r w:rsidR="007229FD" w:rsidRPr="008B47F5">
        <w:rPr>
          <w:rFonts w:ascii="Cambria" w:hAnsi="Cambria"/>
          <w:b/>
          <w:bCs/>
          <w:sz w:val="22"/>
          <w:szCs w:val="22"/>
          <w:lang w:val="en-US"/>
        </w:rPr>
        <w:t>transnistrian regim</w:t>
      </w:r>
      <w:bookmarkEnd w:id="13"/>
    </w:p>
    <w:p w:rsidR="00485EE2" w:rsidRPr="008B47F5" w:rsidRDefault="00485EE2" w:rsidP="008B47F5">
      <w:pPr>
        <w:spacing w:line="240" w:lineRule="auto"/>
        <w:jc w:val="both"/>
        <w:rPr>
          <w:rFonts w:ascii="Cambria" w:hAnsi="Cambria"/>
          <w:lang w:val="en-US"/>
        </w:rPr>
      </w:pPr>
      <w:r w:rsidRPr="008B47F5">
        <w:rPr>
          <w:rFonts w:ascii="Cambria" w:hAnsi="Cambria"/>
          <w:lang w:val="en-US"/>
        </w:rPr>
        <w:t>This chapter documents the systematic militarization and ideological indoctrination of children in schools under the control of the Tiraspol regime. The practices examined constitute serious violations of the child's right to peaceful, inclusive, and non-discriminatory education, as enshrined in Articles 13 and 10 of the International Covenant on Economic, Social and Cultural Rights (ICESCR).</w:t>
      </w:r>
      <w:r w:rsidR="001E03E5" w:rsidRPr="008B47F5">
        <w:rPr>
          <w:rFonts w:ascii="Cambria" w:hAnsi="Cambria"/>
          <w:lang w:val="en-US"/>
        </w:rPr>
        <w:t xml:space="preserve"> </w:t>
      </w:r>
      <w:r w:rsidRPr="008B47F5">
        <w:rPr>
          <w:rFonts w:ascii="Cambria" w:hAnsi="Cambria"/>
          <w:lang w:val="en-US"/>
        </w:rPr>
        <w:t>Although the Republic of Moldova does not exercise effective control over the Transnistrian region, its positive obligations under the Covenant require clear and sustained actions to prevent, docume</w:t>
      </w:r>
      <w:r w:rsidR="001E03E5" w:rsidRPr="008B47F5">
        <w:rPr>
          <w:rFonts w:ascii="Cambria" w:hAnsi="Cambria"/>
          <w:lang w:val="en-US"/>
        </w:rPr>
        <w:t>nt, and counter this phenomenon.</w:t>
      </w:r>
    </w:p>
    <w:p w:rsidR="006234AE" w:rsidRPr="007D73C7" w:rsidRDefault="001E03E5" w:rsidP="006234AE">
      <w:pPr>
        <w:pStyle w:val="Heading2"/>
        <w:numPr>
          <w:ilvl w:val="1"/>
          <w:numId w:val="10"/>
        </w:numPr>
        <w:spacing w:line="240" w:lineRule="auto"/>
        <w:jc w:val="both"/>
        <w:rPr>
          <w:rFonts w:ascii="Cambria" w:hAnsi="Cambria"/>
          <w:bCs/>
          <w:sz w:val="22"/>
          <w:szCs w:val="22"/>
        </w:rPr>
      </w:pPr>
      <w:bookmarkStart w:id="14" w:name="_Toc202220844"/>
      <w:r w:rsidRPr="008B47F5">
        <w:rPr>
          <w:rFonts w:ascii="Cambria" w:hAnsi="Cambria"/>
          <w:bCs/>
          <w:sz w:val="22"/>
          <w:szCs w:val="22"/>
        </w:rPr>
        <w:t>Orphaned Children: Isolated, Socially Excluded, and Vulnerable to Militarization</w:t>
      </w:r>
      <w:bookmarkEnd w:id="14"/>
    </w:p>
    <w:p w:rsidR="001E03E5" w:rsidRPr="008B47F5" w:rsidRDefault="001E03E5" w:rsidP="008B47F5">
      <w:pPr>
        <w:spacing w:line="240" w:lineRule="auto"/>
        <w:jc w:val="both"/>
        <w:rPr>
          <w:rFonts w:ascii="Cambria" w:hAnsi="Cambria"/>
          <w:lang w:val="ro-RO"/>
        </w:rPr>
      </w:pPr>
      <w:r w:rsidRPr="008B47F5">
        <w:rPr>
          <w:rFonts w:ascii="Cambria" w:hAnsi="Cambria"/>
        </w:rPr>
        <w:t xml:space="preserve">The so-called “military-patriotic” education in the Transnistrian region specifically targets the most vulnerable groups of children, particularly orphans or those lacking parental care. These children are deprived of access to independent child protection mechanisms and are subjected to prolonged institutional isolation. As of 1 January 2024, the number of children at risk was 2,742, </w:t>
      </w:r>
      <w:r w:rsidRPr="008B47F5">
        <w:rPr>
          <w:rFonts w:ascii="Cambria" w:hAnsi="Cambria"/>
        </w:rPr>
        <w:lastRenderedPageBreak/>
        <w:t>of whom 1,476 were living in boarding schools or special institutions, and 771 were under the guardianship of individuals</w:t>
      </w:r>
      <w:r w:rsidRPr="008B47F5">
        <w:rPr>
          <w:rFonts w:ascii="Cambria" w:hAnsi="Cambria"/>
          <w:vertAlign w:val="superscript"/>
          <w:lang w:val="ro-RO"/>
        </w:rPr>
        <w:footnoteReference w:id="24"/>
      </w:r>
      <w:r w:rsidRPr="008B47F5">
        <w:rPr>
          <w:rFonts w:ascii="Cambria" w:hAnsi="Cambria"/>
          <w:lang w:val="ro-RO"/>
        </w:rPr>
        <w:t>.</w:t>
      </w:r>
      <w:r w:rsidRPr="008B47F5">
        <w:rPr>
          <w:rFonts w:ascii="Cambria" w:hAnsi="Cambria"/>
        </w:rPr>
        <w:t xml:space="preserve"> These children cannot be issued Moldovan identity documents, which restricts the exercise of multiple fundamental rights. Administrators of Romanian-language schools have reported that they receive annual requests from Moldovan citizens seeking to enroll adopted children residing in Transnistria. However, due to the absence of a proper documentation mechanism, enrolling these children in schools subordinated to the constitutional authorities of the Republic of Moldova is not possible. Consequently, parents are often forced to enroll their children in schools under the control of the Tiraspol regime. The situation of these children is further aggravated by poor living conditions. The report of the so-called “Ombudsman” in the Transnistrian region highlights that, in some cases, the living conditions in boarding schools violate human dignity</w:t>
      </w:r>
      <w:r w:rsidRPr="008B47F5">
        <w:rPr>
          <w:rFonts w:ascii="Cambria" w:hAnsi="Cambria"/>
          <w:bCs/>
          <w:vertAlign w:val="superscript"/>
          <w:lang w:val="ro-RO"/>
        </w:rPr>
        <w:footnoteReference w:id="25"/>
      </w:r>
      <w:r w:rsidRPr="008B47F5">
        <w:rPr>
          <w:rFonts w:ascii="Cambria" w:hAnsi="Cambria"/>
          <w:lang w:val="ro-RO"/>
        </w:rPr>
        <w:t xml:space="preserve">. </w:t>
      </w:r>
      <w:r w:rsidRPr="008B47F5">
        <w:rPr>
          <w:rFonts w:ascii="Cambria" w:hAnsi="Cambria"/>
        </w:rPr>
        <w:t xml:space="preserve"> These institutions face chronic underfunding: in 2024, only 56% of the planned repair budget was actually executed due to a lack of funds or delays in budget allocations</w:t>
      </w:r>
      <w:r w:rsidRPr="008B47F5">
        <w:rPr>
          <w:rFonts w:ascii="Cambria" w:hAnsi="Cambria"/>
          <w:vertAlign w:val="superscript"/>
          <w:lang w:val="ro-RO"/>
        </w:rPr>
        <w:footnoteReference w:id="26"/>
      </w:r>
      <w:r w:rsidRPr="008B47F5">
        <w:rPr>
          <w:rFonts w:ascii="Cambria" w:hAnsi="Cambria"/>
          <w:lang w:val="ro-RO"/>
        </w:rPr>
        <w:t>.</w:t>
      </w:r>
    </w:p>
    <w:p w:rsidR="001E03E5" w:rsidRPr="008B47F5" w:rsidRDefault="001E03E5" w:rsidP="008B47F5">
      <w:pPr>
        <w:spacing w:line="240" w:lineRule="auto"/>
        <w:jc w:val="both"/>
        <w:rPr>
          <w:rFonts w:ascii="Cambria" w:hAnsi="Cambria"/>
          <w:lang w:val="ro-RO"/>
        </w:rPr>
      </w:pPr>
      <w:r w:rsidRPr="008B47F5">
        <w:rPr>
          <w:rFonts w:ascii="Cambria" w:hAnsi="Cambria"/>
        </w:rPr>
        <w:t>Another particularly concerning issue is the isolation of children from their families or relatives. Although in theory these children are entitled to unlimited visits and telephone calls, in practice there is no functioning mechanism to guarantee the exercise of these rights. There are no established procedures for scheduling visits or phone calls, and both children and their relatives are not informed of these entitlements</w:t>
      </w:r>
      <w:r w:rsidRPr="008B47F5">
        <w:rPr>
          <w:rFonts w:ascii="Cambria" w:hAnsi="Cambria"/>
          <w:vertAlign w:val="superscript"/>
          <w:lang w:val="ro-RO"/>
        </w:rPr>
        <w:footnoteReference w:id="27"/>
      </w:r>
      <w:r w:rsidRPr="008B47F5">
        <w:rPr>
          <w:rFonts w:ascii="Cambria" w:hAnsi="Cambria"/>
        </w:rPr>
        <w:t>. Despite the known and documented hardships faced by these children, the regime does not offer real solutions. Instead, it actively draws them into paramilitary structures, which are promoted as their only viable path to a secure future.</w:t>
      </w:r>
    </w:p>
    <w:p w:rsidR="001E03E5" w:rsidRPr="008B47F5" w:rsidRDefault="001E03E5" w:rsidP="008B47F5">
      <w:pPr>
        <w:spacing w:line="240" w:lineRule="auto"/>
        <w:jc w:val="both"/>
        <w:rPr>
          <w:rFonts w:ascii="Cambria" w:hAnsi="Cambria"/>
          <w:lang w:val="en-US"/>
        </w:rPr>
      </w:pPr>
      <w:r w:rsidRPr="008B47F5">
        <w:rPr>
          <w:rFonts w:ascii="Cambria" w:hAnsi="Cambria"/>
          <w:lang w:val="en-US"/>
        </w:rPr>
        <w:t>Within these boarding schools, the educational process is explicitly oriented toward instilling deep loyalty to the so-called “rmn”</w:t>
      </w:r>
      <w:r w:rsidRPr="008B47F5">
        <w:rPr>
          <w:rFonts w:ascii="Cambria" w:hAnsi="Cambria"/>
          <w:vertAlign w:val="superscript"/>
          <w:lang w:val="ro-RO"/>
        </w:rPr>
        <w:t xml:space="preserve"> </w:t>
      </w:r>
      <w:r w:rsidRPr="008B47F5">
        <w:rPr>
          <w:rFonts w:ascii="Cambria" w:hAnsi="Cambria"/>
          <w:vertAlign w:val="superscript"/>
          <w:lang w:val="ro-RO"/>
        </w:rPr>
        <w:footnoteReference w:id="28"/>
      </w:r>
      <w:r w:rsidRPr="008B47F5">
        <w:rPr>
          <w:rFonts w:ascii="Cambria" w:hAnsi="Cambria"/>
          <w:lang w:val="ro-RO"/>
        </w:rPr>
        <w:t>.</w:t>
      </w:r>
      <w:r w:rsidRPr="008B47F5">
        <w:rPr>
          <w:rFonts w:ascii="Cambria" w:hAnsi="Cambria"/>
          <w:lang w:val="en-US"/>
        </w:rPr>
        <w:t xml:space="preserve"> “Patriotic” education for orphaned children seeks to achieve the following objectives: (1) promote readiness to support the occupation regime under any circumstances through practical military training, (2) cultivate absolute belief in the regime’s narratives, (3) foster a positive attitude toward war and willingness to follow the “heroic example” of the Russian army, and (4) nurture hostility toward the right bank of the Nistru and the constitutional authorities of the Republic of Moldova.</w:t>
      </w:r>
    </w:p>
    <w:p w:rsidR="001E03E5" w:rsidRPr="008B47F5" w:rsidRDefault="001E03E5" w:rsidP="008B47F5">
      <w:pPr>
        <w:spacing w:line="240" w:lineRule="auto"/>
        <w:jc w:val="both"/>
        <w:rPr>
          <w:rFonts w:ascii="Cambria" w:hAnsi="Cambria"/>
          <w:lang w:val="en-US"/>
        </w:rPr>
      </w:pPr>
      <w:r w:rsidRPr="008B47F5">
        <w:rPr>
          <w:rFonts w:ascii="Cambria" w:hAnsi="Cambria"/>
          <w:lang w:val="en-US"/>
        </w:rPr>
        <w:t>For children aged 3 to 6, activities such as sports games titled “minefield” or “transport the ammunition,” and clay modeling workshops on themes like “battlefield,” introduce war-associated concepts at a very early age</w:t>
      </w:r>
      <w:r w:rsidRPr="008B47F5">
        <w:rPr>
          <w:rFonts w:ascii="Cambria" w:hAnsi="Cambria"/>
          <w:vertAlign w:val="superscript"/>
          <w:lang w:val="ro-RO"/>
        </w:rPr>
        <w:footnoteReference w:id="29"/>
      </w:r>
      <w:r w:rsidRPr="008B47F5">
        <w:rPr>
          <w:rFonts w:ascii="Cambria" w:hAnsi="Cambria"/>
          <w:lang w:val="ro-RO"/>
        </w:rPr>
        <w:t>,</w:t>
      </w:r>
      <w:r w:rsidRPr="008B47F5">
        <w:rPr>
          <w:rFonts w:ascii="Cambria" w:hAnsi="Cambria"/>
          <w:vertAlign w:val="superscript"/>
          <w:lang w:val="ro-RO"/>
        </w:rPr>
        <w:footnoteReference w:id="30"/>
      </w:r>
      <w:r w:rsidRPr="008B47F5">
        <w:rPr>
          <w:rFonts w:ascii="Cambria" w:hAnsi="Cambria"/>
          <w:lang w:val="en-US"/>
        </w:rPr>
        <w:t>. One-third of all students enrolled in the “Grigori Potemkin-Tavricheski Republican Cadet Corps” and the “Suvorov Military School” in Tiraspol are either orphans, children without parental care, or from disadvantaged backgrounds</w:t>
      </w:r>
      <w:r w:rsidRPr="008B47F5">
        <w:rPr>
          <w:rFonts w:ascii="Cambria" w:hAnsi="Cambria"/>
          <w:vertAlign w:val="superscript"/>
          <w:lang w:val="ro-RO"/>
        </w:rPr>
        <w:footnoteReference w:id="31"/>
      </w:r>
      <w:r w:rsidRPr="008B47F5">
        <w:rPr>
          <w:rFonts w:ascii="Cambria" w:hAnsi="Cambria"/>
          <w:lang w:val="en-US"/>
        </w:rPr>
        <w:t>. From the very foundation of the Suvorov Military School in 2017, representatives of the Tiraspol regime have explicitly stated that its target group is made up of children in such vulnerable situations</w:t>
      </w:r>
      <w:r w:rsidRPr="008B47F5">
        <w:rPr>
          <w:rFonts w:ascii="Cambria" w:hAnsi="Cambria"/>
          <w:vertAlign w:val="superscript"/>
          <w:lang w:val="ro-RO"/>
        </w:rPr>
        <w:footnoteReference w:id="32"/>
      </w:r>
      <w:r w:rsidRPr="008B47F5">
        <w:rPr>
          <w:rFonts w:ascii="Cambria" w:hAnsi="Cambria"/>
          <w:lang w:val="en-US"/>
        </w:rPr>
        <w:t xml:space="preserve">. </w:t>
      </w:r>
      <w:r w:rsidRPr="008B47F5">
        <w:rPr>
          <w:rFonts w:ascii="Cambria" w:hAnsi="Cambria"/>
          <w:lang w:val="en-US"/>
        </w:rPr>
        <w:lastRenderedPageBreak/>
        <w:t>The regime has deliberately promoted the narrative that military schools represent the only viable alternative for children without family support.</w:t>
      </w:r>
    </w:p>
    <w:p w:rsidR="00A724C5" w:rsidRPr="008B47F5" w:rsidRDefault="00564196" w:rsidP="008B47F5">
      <w:pPr>
        <w:pStyle w:val="Heading1"/>
        <w:numPr>
          <w:ilvl w:val="0"/>
          <w:numId w:val="6"/>
        </w:numPr>
        <w:spacing w:line="240" w:lineRule="auto"/>
        <w:rPr>
          <w:rFonts w:ascii="Cambria" w:hAnsi="Cambria"/>
          <w:sz w:val="22"/>
          <w:szCs w:val="22"/>
          <w:lang w:val="en-US"/>
        </w:rPr>
      </w:pPr>
      <w:bookmarkStart w:id="15" w:name="_Toc202220845"/>
      <w:r w:rsidRPr="008B47F5">
        <w:rPr>
          <w:rFonts w:ascii="Cambria" w:hAnsi="Cambria"/>
          <w:b/>
          <w:bCs/>
          <w:sz w:val="22"/>
          <w:szCs w:val="22"/>
          <w:lang w:val="en-US"/>
        </w:rPr>
        <w:t>Recommendations for the List of Issues</w:t>
      </w:r>
      <w:bookmarkEnd w:id="15"/>
    </w:p>
    <w:p w:rsidR="00A6710A" w:rsidRPr="008B47F5" w:rsidRDefault="00A6710A" w:rsidP="008B47F5">
      <w:pPr>
        <w:spacing w:after="0" w:line="240" w:lineRule="auto"/>
        <w:jc w:val="both"/>
        <w:rPr>
          <w:rFonts w:ascii="Cambria" w:hAnsi="Cambria"/>
          <w:lang w:val="en-US"/>
        </w:rPr>
      </w:pPr>
      <w:r w:rsidRPr="008B47F5">
        <w:rPr>
          <w:rFonts w:ascii="Cambria" w:hAnsi="Cambria"/>
          <w:lang w:val="en-US"/>
        </w:rPr>
        <w:t>The persistent situation of Romanian-language schools</w:t>
      </w:r>
      <w:r w:rsidR="00477EC0" w:rsidRPr="008B47F5">
        <w:rPr>
          <w:rFonts w:ascii="Cambria" w:hAnsi="Cambria"/>
          <w:lang w:val="en-US"/>
        </w:rPr>
        <w:t xml:space="preserve"> </w:t>
      </w:r>
      <w:r w:rsidRPr="008B47F5">
        <w:rPr>
          <w:rFonts w:ascii="Cambria" w:hAnsi="Cambria"/>
          <w:lang w:val="en-US"/>
        </w:rPr>
        <w:t>subjected to intimidation, discriminati</w:t>
      </w:r>
      <w:r w:rsidR="00477EC0" w:rsidRPr="008B47F5">
        <w:rPr>
          <w:rFonts w:ascii="Cambria" w:hAnsi="Cambria"/>
          <w:lang w:val="en-US"/>
        </w:rPr>
        <w:t xml:space="preserve">on, and administrative pressure - </w:t>
      </w:r>
      <w:r w:rsidRPr="008B47F5">
        <w:rPr>
          <w:rFonts w:ascii="Cambria" w:hAnsi="Cambria"/>
          <w:lang w:val="en-US"/>
        </w:rPr>
        <w:t>alongside the militarization of education in schools controlled by the Tiraspol regime, constitutes serious violations of the obligations undertaken by the Republic of Moldova under Article 13 and Article 2(2) of the International Covenant on Economic, Social and Cultural Rights. Despite the lack of effective control over the region, the Republic of Moldova remains internationally responsible for taking positive, reasonable, and continuous measures aimed at:</w:t>
      </w:r>
    </w:p>
    <w:p w:rsidR="00A6710A" w:rsidRPr="008B47F5" w:rsidRDefault="00A6710A" w:rsidP="008B47F5">
      <w:pPr>
        <w:numPr>
          <w:ilvl w:val="0"/>
          <w:numId w:val="31"/>
        </w:numPr>
        <w:spacing w:after="0" w:line="240" w:lineRule="auto"/>
        <w:jc w:val="both"/>
        <w:rPr>
          <w:rFonts w:ascii="Cambria" w:hAnsi="Cambria"/>
          <w:i/>
          <w:lang w:val="en-US"/>
        </w:rPr>
      </w:pPr>
      <w:r w:rsidRPr="008B47F5">
        <w:rPr>
          <w:rFonts w:ascii="Cambria" w:hAnsi="Cambria"/>
          <w:i/>
          <w:lang w:val="en-US"/>
        </w:rPr>
        <w:t>protecting the right to education without discrimination for pupils attending schools under its jurisdiction;</w:t>
      </w:r>
    </w:p>
    <w:p w:rsidR="006234AE" w:rsidRPr="007D73C7" w:rsidRDefault="00A6710A" w:rsidP="007D73C7">
      <w:pPr>
        <w:numPr>
          <w:ilvl w:val="0"/>
          <w:numId w:val="31"/>
        </w:numPr>
        <w:spacing w:after="0" w:line="240" w:lineRule="auto"/>
        <w:jc w:val="both"/>
        <w:rPr>
          <w:rFonts w:ascii="Cambria" w:hAnsi="Cambria"/>
          <w:i/>
          <w:lang w:val="en-US"/>
        </w:rPr>
      </w:pPr>
      <w:r w:rsidRPr="008B47F5">
        <w:rPr>
          <w:rFonts w:ascii="Cambria" w:hAnsi="Cambria"/>
          <w:i/>
          <w:lang w:val="en-US"/>
        </w:rPr>
        <w:t>combating the militarization and ideological indoctrination of children in institutions controlled by the Tiraspol regime.</w:t>
      </w:r>
    </w:p>
    <w:p w:rsidR="00A6710A" w:rsidRPr="008B47F5" w:rsidRDefault="00A6710A" w:rsidP="008B47F5">
      <w:pPr>
        <w:spacing w:line="240" w:lineRule="auto"/>
        <w:jc w:val="both"/>
        <w:rPr>
          <w:rFonts w:ascii="Cambria" w:hAnsi="Cambria"/>
          <w:b/>
          <w:lang w:val="en-US"/>
        </w:rPr>
      </w:pPr>
      <w:r w:rsidRPr="008B47F5">
        <w:rPr>
          <w:rFonts w:ascii="Cambria" w:hAnsi="Cambria"/>
          <w:b/>
          <w:lang w:val="en-US"/>
        </w:rPr>
        <w:t>In conclusion, we provide below a set of recommendations that may be considered by the Committee for inclusion in the List of Issues Prior to Reporting, with a view to strengthening the monitoring of the right to education without discrimination in the Transnistrian region of the Republic of Moldova.</w:t>
      </w:r>
    </w:p>
    <w:p w:rsidR="00477EC0" w:rsidRPr="008B47F5" w:rsidRDefault="00477EC0" w:rsidP="008B47F5">
      <w:pPr>
        <w:spacing w:after="0" w:line="240" w:lineRule="auto"/>
        <w:rPr>
          <w:rFonts w:ascii="Cambria" w:hAnsi="Cambria"/>
          <w:lang w:val="en-US"/>
        </w:rPr>
      </w:pP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1.</w:t>
      </w:r>
      <w:r w:rsidRPr="008B47F5">
        <w:rPr>
          <w:rFonts w:ascii="Cambria" w:hAnsi="Cambria"/>
          <w:lang w:val="en-US"/>
        </w:rPr>
        <w:t xml:space="preserve"> Allocate additional financial resources for the expansion and modernization of Romanian-language educational institutions in the Transnistrian region, so that they can meet the increasing number of pupils, including non-native Romanian speakers who choose to study in these schools.</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2.</w:t>
      </w:r>
      <w:r w:rsidRPr="008B47F5">
        <w:rPr>
          <w:rFonts w:ascii="Cambria" w:hAnsi="Cambria"/>
          <w:lang w:val="en-US"/>
        </w:rPr>
        <w:t xml:space="preserve"> Identify and implement solutions to increase the capacity of Romanian-language schools, including the creation of new educational facilities and the provision of adequate transport for students from remote localities.</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3.</w:t>
      </w:r>
      <w:r w:rsidRPr="008B47F5">
        <w:rPr>
          <w:rFonts w:ascii="Cambria" w:hAnsi="Cambria"/>
          <w:lang w:val="en-US"/>
        </w:rPr>
        <w:t xml:space="preserve"> Explore the feasibility of opening Romanian-language preschool groups in the districts of Bender, Tiraspol, Slobozia, Dnestrovsc, and Grigoriopol, to ensure early access to mother-tongue education.</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4.</w:t>
      </w:r>
      <w:r w:rsidRPr="008B47F5">
        <w:rPr>
          <w:rFonts w:ascii="Cambria" w:hAnsi="Cambria"/>
          <w:lang w:val="en-US"/>
        </w:rPr>
        <w:t xml:space="preserve"> Develop and implement a supplementary Romanian language learning programme targeting non-native children and youth in the Transnistrian region, through extracurricular courses and adapted educational activities.</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5.</w:t>
      </w:r>
      <w:r w:rsidRPr="008B47F5">
        <w:rPr>
          <w:rFonts w:ascii="Cambria" w:hAnsi="Cambria"/>
          <w:lang w:val="en-US"/>
        </w:rPr>
        <w:t xml:space="preserve"> Design an awareness-raising programme for parents and pupils in the Transnistrian region on the risks of forced recruitment into paramilitary structures and ways to prevent such enlistment. The programme should include public information campaigns, educational sessions, and accessible informational materials.</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6.</w:t>
      </w:r>
      <w:r w:rsidRPr="008B47F5">
        <w:rPr>
          <w:rFonts w:ascii="Cambria" w:hAnsi="Cambria"/>
          <w:lang w:val="en-US"/>
        </w:rPr>
        <w:t xml:space="preserve"> Collect and analyse data on the number of pupils holding so-called "rmn citizenship", with a view to identifying vulnerable groups and developing appropriate protection measures in cooperation with educational institutions and local constitutional authorities.</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7.</w:t>
      </w:r>
      <w:r w:rsidRPr="008B47F5">
        <w:rPr>
          <w:rFonts w:ascii="Cambria" w:hAnsi="Cambria"/>
          <w:lang w:val="en-US"/>
        </w:rPr>
        <w:t xml:space="preserve"> Examine the phenomenon of political indoctrination and the militarization of education in the Transnistrian region and identify effective measures to prevent and combat it, including through policies targeting early childhood education.</w:t>
      </w:r>
    </w:p>
    <w:p w:rsidR="00477EC0" w:rsidRPr="008B47F5" w:rsidRDefault="00477EC0" w:rsidP="008B47F5">
      <w:pPr>
        <w:spacing w:after="0" w:line="240" w:lineRule="auto"/>
        <w:jc w:val="both"/>
        <w:rPr>
          <w:rFonts w:ascii="Cambria" w:hAnsi="Cambria"/>
          <w:lang w:val="en-US"/>
        </w:rPr>
      </w:pPr>
      <w:r w:rsidRPr="008B47F5">
        <w:rPr>
          <w:rFonts w:ascii="Cambria" w:hAnsi="Cambria"/>
          <w:b/>
          <w:bCs/>
          <w:lang w:val="en-US"/>
        </w:rPr>
        <w:t>Recommendation 8.</w:t>
      </w:r>
      <w:r w:rsidRPr="008B47F5">
        <w:rPr>
          <w:rFonts w:ascii="Cambria" w:hAnsi="Cambria"/>
          <w:lang w:val="en-US"/>
        </w:rPr>
        <w:t xml:space="preserve"> Ensure the systematic documentation of abuses and militarization practices in education and make use of international platforms (UN, OSCE, CoE) to expose the phenomenon and request support.</w:t>
      </w:r>
    </w:p>
    <w:p w:rsidR="00477EC0" w:rsidRPr="008B47F5" w:rsidRDefault="00477EC0" w:rsidP="008B47F5">
      <w:pPr>
        <w:spacing w:after="0" w:line="240" w:lineRule="auto"/>
        <w:rPr>
          <w:rFonts w:ascii="Cambria" w:hAnsi="Cambria"/>
          <w:lang w:val="en-US"/>
        </w:rPr>
      </w:pPr>
    </w:p>
    <w:sectPr w:rsidR="00477EC0" w:rsidRPr="008B47F5" w:rsidSect="00F3617E">
      <w:headerReference w:type="default" r:id="rId9"/>
      <w:footerReference w:type="default" r:id="rId1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CCD" w:rsidRDefault="00664CCD" w:rsidP="00A724C5">
      <w:pPr>
        <w:spacing w:after="0" w:line="240" w:lineRule="auto"/>
      </w:pPr>
      <w:r>
        <w:separator/>
      </w:r>
    </w:p>
  </w:endnote>
  <w:endnote w:type="continuationSeparator" w:id="0">
    <w:p w:rsidR="00664CCD" w:rsidRDefault="00664CCD" w:rsidP="00A72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510501"/>
      <w:docPartObj>
        <w:docPartGallery w:val="Page Numbers (Bottom of Page)"/>
        <w:docPartUnique/>
      </w:docPartObj>
    </w:sdtPr>
    <w:sdtEndPr>
      <w:rPr>
        <w:noProof/>
      </w:rPr>
    </w:sdtEndPr>
    <w:sdtContent>
      <w:p w:rsidR="00F3617E" w:rsidRDefault="00F3617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F3617E" w:rsidRDefault="00F361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CCD" w:rsidRDefault="00664CCD" w:rsidP="00A724C5">
      <w:pPr>
        <w:spacing w:after="0" w:line="240" w:lineRule="auto"/>
      </w:pPr>
      <w:r>
        <w:separator/>
      </w:r>
    </w:p>
  </w:footnote>
  <w:footnote w:type="continuationSeparator" w:id="0">
    <w:p w:rsidR="00664CCD" w:rsidRDefault="00664CCD" w:rsidP="00A724C5">
      <w:pPr>
        <w:spacing w:after="0" w:line="240" w:lineRule="auto"/>
      </w:pPr>
      <w:r>
        <w:continuationSeparator/>
      </w:r>
    </w:p>
  </w:footnote>
  <w:footnote w:id="1">
    <w:p w:rsidR="00BA012E" w:rsidRPr="00D24FD4" w:rsidRDefault="00BA012E" w:rsidP="00A724C5">
      <w:pPr>
        <w:pStyle w:val="FootnoteText"/>
        <w:rPr>
          <w:rFonts w:ascii="Cambria" w:hAnsi="Cambria"/>
          <w:sz w:val="18"/>
          <w:szCs w:val="18"/>
        </w:rPr>
      </w:pPr>
      <w:r w:rsidRPr="00D24FD4">
        <w:rPr>
          <w:rStyle w:val="FootnoteReference"/>
          <w:rFonts w:ascii="Cambria" w:hAnsi="Cambria"/>
          <w:sz w:val="18"/>
          <w:szCs w:val="18"/>
        </w:rPr>
        <w:footnoteRef/>
      </w:r>
      <w:r w:rsidRPr="00D24FD4">
        <w:rPr>
          <w:rFonts w:ascii="Cambria" w:hAnsi="Cambria"/>
          <w:sz w:val="18"/>
          <w:szCs w:val="18"/>
        </w:rPr>
        <w:t xml:space="preserve"> </w:t>
      </w:r>
      <w:hyperlink r:id="rId1" w:history="1">
        <w:r w:rsidRPr="00D24FD4">
          <w:rPr>
            <w:rStyle w:val="Hyperlink"/>
            <w:rFonts w:ascii="Cambria" w:hAnsi="Cambria"/>
            <w:sz w:val="18"/>
            <w:szCs w:val="18"/>
          </w:rPr>
          <w:t>https://promolex.md/?lang=ro</w:t>
        </w:r>
      </w:hyperlink>
      <w:r w:rsidRPr="00D24FD4">
        <w:rPr>
          <w:rFonts w:ascii="Cambria" w:hAnsi="Cambria"/>
          <w:sz w:val="18"/>
          <w:szCs w:val="18"/>
        </w:rPr>
        <w:t xml:space="preserve"> </w:t>
      </w:r>
    </w:p>
  </w:footnote>
  <w:footnote w:id="2">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European Court of Human Rights, </w:t>
      </w:r>
      <w:r w:rsidRPr="008B47F5">
        <w:rPr>
          <w:rFonts w:ascii="Cambria" w:hAnsi="Cambria"/>
          <w:i/>
          <w:iCs/>
          <w:sz w:val="18"/>
          <w:szCs w:val="18"/>
          <w:lang w:val="en-GB"/>
        </w:rPr>
        <w:t>Catan and Others v. Moldova and Russia</w:t>
      </w:r>
      <w:r w:rsidRPr="008B47F5">
        <w:rPr>
          <w:rFonts w:ascii="Cambria" w:hAnsi="Cambria"/>
          <w:sz w:val="18"/>
          <w:szCs w:val="18"/>
          <w:lang w:val="en-GB"/>
        </w:rPr>
        <w:t xml:space="preserve">, no. 43370/04, Judgment of 19 October 2012, HUDOC, </w:t>
      </w:r>
      <w:hyperlink r:id="rId2" w:anchor="%7B%22fulltext%22:%5B%22Catan%22%5D,%22itemid%22:%5B%22001-99961%22%5D%7D" w:tgtFrame="_new" w:history="1">
        <w:r w:rsidRPr="008B47F5">
          <w:rPr>
            <w:rStyle w:val="Hyperlink"/>
            <w:rFonts w:ascii="Cambria" w:hAnsi="Cambria"/>
            <w:sz w:val="18"/>
            <w:szCs w:val="18"/>
            <w:lang w:val="en-GB"/>
          </w:rPr>
          <w:t>https://hudoc.echr.coe.int/#{%22fulltext%22:[%22Catan%22],%22itemid%22:[%22001-99961%22]}</w:t>
        </w:r>
      </w:hyperlink>
      <w:r w:rsidRPr="008B47F5">
        <w:rPr>
          <w:rFonts w:ascii="Cambria" w:hAnsi="Cambria"/>
          <w:sz w:val="18"/>
          <w:szCs w:val="18"/>
          <w:lang w:val="en-GB"/>
        </w:rPr>
        <w:t xml:space="preserve"> (accessed June 30, 2025).</w:t>
      </w:r>
    </w:p>
  </w:footnote>
  <w:footnote w:id="3">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Committee of Ministers of the Council of Europe, </w:t>
      </w:r>
      <w:r w:rsidRPr="008B47F5">
        <w:rPr>
          <w:rFonts w:ascii="Cambria" w:hAnsi="Cambria"/>
          <w:i/>
          <w:iCs/>
          <w:sz w:val="18"/>
          <w:szCs w:val="18"/>
          <w:lang w:val="en-GB"/>
        </w:rPr>
        <w:t>Supervision of the Execution of the Judgment in the Case of Catan and Others v. Moldova and Russia</w:t>
      </w:r>
      <w:r w:rsidRPr="008B47F5">
        <w:rPr>
          <w:rFonts w:ascii="Cambria" w:hAnsi="Cambria"/>
          <w:sz w:val="18"/>
          <w:szCs w:val="18"/>
          <w:lang w:val="en-GB"/>
        </w:rPr>
        <w:t xml:space="preserve">, DH-DD(2025)128E, HUDOC-EXEC, </w:t>
      </w:r>
      <w:hyperlink r:id="rId3" w:anchor="%7B%22execidentifier%22:%5B%22DH-DD(2025)128E%22%5D%7D" w:tgtFrame="_new" w:history="1">
        <w:r w:rsidRPr="008B47F5">
          <w:rPr>
            <w:rStyle w:val="Hyperlink"/>
            <w:rFonts w:ascii="Cambria" w:hAnsi="Cambria"/>
            <w:sz w:val="18"/>
            <w:szCs w:val="18"/>
            <w:lang w:val="en-GB"/>
          </w:rPr>
          <w:t>https://hudoc.exec.coe.int/#{%22execidentifier%22:[%22DH-DD(2025)128E%22]}</w:t>
        </w:r>
      </w:hyperlink>
      <w:r w:rsidRPr="008B47F5">
        <w:rPr>
          <w:rFonts w:ascii="Cambria" w:hAnsi="Cambria"/>
          <w:sz w:val="18"/>
          <w:szCs w:val="18"/>
          <w:lang w:val="en-GB"/>
        </w:rPr>
        <w:t xml:space="preserve"> (accessed June 30, 2025).</w:t>
      </w:r>
    </w:p>
  </w:footnote>
  <w:footnote w:id="4">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Promo-LEX. </w:t>
      </w:r>
      <w:r w:rsidRPr="008B47F5">
        <w:rPr>
          <w:rFonts w:ascii="Cambria" w:hAnsi="Cambria"/>
          <w:i/>
          <w:iCs/>
          <w:sz w:val="18"/>
          <w:szCs w:val="18"/>
          <w:lang w:val="en-GB"/>
        </w:rPr>
        <w:t>Report on the Human Rights Situation in the Transnistrian Region of the Republic of Moldova in 2024</w:t>
      </w:r>
      <w:r w:rsidRPr="008B47F5">
        <w:rPr>
          <w:rFonts w:ascii="Cambria" w:hAnsi="Cambria"/>
          <w:sz w:val="18"/>
          <w:szCs w:val="18"/>
          <w:lang w:val="en-GB"/>
        </w:rPr>
        <w:t xml:space="preserve">. February 2025. </w:t>
      </w:r>
      <w:hyperlink r:id="rId4" w:tgtFrame="_new" w:history="1">
        <w:r w:rsidRPr="008B47F5">
          <w:rPr>
            <w:rStyle w:val="Hyperlink"/>
            <w:rFonts w:ascii="Cambria" w:hAnsi="Cambria"/>
            <w:sz w:val="18"/>
            <w:szCs w:val="18"/>
            <w:lang w:val="en-GB"/>
          </w:rPr>
          <w:t>https://promolex.md/wp-content/uploads/2025/02/sumar-raport-dort-2024_ru-1.pdf</w:t>
        </w:r>
      </w:hyperlink>
      <w:r w:rsidRPr="008B47F5">
        <w:rPr>
          <w:rFonts w:ascii="Cambria" w:hAnsi="Cambria"/>
          <w:sz w:val="18"/>
          <w:szCs w:val="18"/>
          <w:lang w:val="en-GB"/>
        </w:rPr>
        <w:t xml:space="preserve"> (accessed June 30, 2025).</w:t>
      </w:r>
    </w:p>
  </w:footnote>
  <w:footnote w:id="5">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Promo-LEX. </w:t>
      </w:r>
      <w:r w:rsidRPr="008B47F5">
        <w:rPr>
          <w:rFonts w:ascii="Cambria" w:hAnsi="Cambria"/>
          <w:i/>
          <w:iCs/>
          <w:sz w:val="18"/>
          <w:szCs w:val="18"/>
          <w:lang w:val="en-GB"/>
        </w:rPr>
        <w:t>Children from the Transnistrian Region Sent Again in 2025 to Re-education Camps for Ukrainian Children Organized by the Artek Center in Occupied Crimea</w:t>
      </w:r>
      <w:r w:rsidRPr="008B47F5">
        <w:rPr>
          <w:rFonts w:ascii="Cambria" w:hAnsi="Cambria"/>
          <w:sz w:val="18"/>
          <w:szCs w:val="18"/>
          <w:lang w:val="en-GB"/>
        </w:rPr>
        <w:t xml:space="preserve">. June 17, 2025. </w:t>
      </w:r>
      <w:hyperlink r:id="rId5" w:tgtFrame="_new" w:history="1">
        <w:r w:rsidRPr="008B47F5">
          <w:rPr>
            <w:rStyle w:val="Hyperlink"/>
            <w:rFonts w:ascii="Cambria" w:hAnsi="Cambria"/>
            <w:sz w:val="18"/>
            <w:szCs w:val="18"/>
            <w:lang w:val="en-GB"/>
          </w:rPr>
          <w:t>https://promolex.md/copiii-din-regiunea-transnistreana-au-ajuns-si-in-2025-in-taberele-de-reeducare-a-copiilor-ucraineni-organizate-de-centrul-artek-din-crimeea-ocupata/</w:t>
        </w:r>
      </w:hyperlink>
      <w:r w:rsidRPr="008B47F5">
        <w:rPr>
          <w:rFonts w:ascii="Cambria" w:hAnsi="Cambria"/>
          <w:sz w:val="18"/>
          <w:szCs w:val="18"/>
          <w:lang w:val="en-GB"/>
        </w:rPr>
        <w:t xml:space="preserve"> (accessed June 30, 2025).</w:t>
      </w:r>
    </w:p>
  </w:footnote>
  <w:footnote w:id="6">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Promo-LEX. </w:t>
      </w:r>
      <w:r w:rsidRPr="008B47F5">
        <w:rPr>
          <w:rFonts w:ascii="Cambria" w:hAnsi="Cambria"/>
          <w:i/>
          <w:iCs/>
          <w:sz w:val="18"/>
          <w:szCs w:val="18"/>
          <w:lang w:val="en-GB"/>
        </w:rPr>
        <w:t>How Children in the Transnistrian Region Are Trained for War: Childhood Spent in Cadet Schools</w:t>
      </w:r>
      <w:r w:rsidRPr="008B47F5">
        <w:rPr>
          <w:rFonts w:ascii="Cambria" w:hAnsi="Cambria"/>
          <w:sz w:val="18"/>
          <w:szCs w:val="18"/>
          <w:lang w:val="en-GB"/>
        </w:rPr>
        <w:t xml:space="preserve">. June 3, 2024. </w:t>
      </w:r>
      <w:hyperlink r:id="rId6" w:tgtFrame="_new" w:history="1">
        <w:r w:rsidRPr="008B47F5">
          <w:rPr>
            <w:rStyle w:val="Hyperlink"/>
            <w:rFonts w:ascii="Cambria" w:hAnsi="Cambria"/>
            <w:sz w:val="18"/>
            <w:szCs w:val="18"/>
            <w:lang w:val="en-GB"/>
          </w:rPr>
          <w:t>https://promolex.md/cum-sunt-pregatiti-copiii-din-regiunea-transnistreana-pentru-razboi-copilaria-petrecuta-in-scoala-de-cadeti/</w:t>
        </w:r>
      </w:hyperlink>
      <w:r w:rsidRPr="008B47F5">
        <w:rPr>
          <w:rFonts w:ascii="Cambria" w:hAnsi="Cambria"/>
          <w:sz w:val="18"/>
          <w:szCs w:val="18"/>
          <w:lang w:val="en-GB"/>
        </w:rPr>
        <w:t xml:space="preserve"> (accessed June 30, 2025).</w:t>
      </w:r>
    </w:p>
  </w:footnote>
  <w:footnote w:id="7">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Promo-LEX. </w:t>
      </w:r>
      <w:r w:rsidRPr="008B47F5">
        <w:rPr>
          <w:rFonts w:ascii="Cambria" w:hAnsi="Cambria"/>
          <w:i/>
          <w:iCs/>
          <w:sz w:val="18"/>
          <w:szCs w:val="18"/>
          <w:lang w:val="en-GB"/>
        </w:rPr>
        <w:t>Without Family Support but Wearing a Military Uniform: The Tiraspol Regime Militarizes the Education of Orphaned Children</w:t>
      </w:r>
      <w:r w:rsidRPr="008B47F5">
        <w:rPr>
          <w:rFonts w:ascii="Cambria" w:hAnsi="Cambria"/>
          <w:sz w:val="18"/>
          <w:szCs w:val="18"/>
          <w:lang w:val="en-GB"/>
        </w:rPr>
        <w:t xml:space="preserve">. March 5, 2024. </w:t>
      </w:r>
      <w:hyperlink r:id="rId7" w:tgtFrame="_new" w:history="1">
        <w:r w:rsidRPr="008B47F5">
          <w:rPr>
            <w:rStyle w:val="Hyperlink"/>
            <w:rFonts w:ascii="Cambria" w:hAnsi="Cambria"/>
            <w:sz w:val="18"/>
            <w:szCs w:val="18"/>
            <w:lang w:val="en-GB"/>
          </w:rPr>
          <w:t>https://promolex.md/fara-sprijin-familial-dar-cu-uniforma-militara-regimul-de-la-tiraspol-militarizeaza-educatia-copiilor-orfani/</w:t>
        </w:r>
      </w:hyperlink>
      <w:r w:rsidRPr="008B47F5">
        <w:rPr>
          <w:rFonts w:ascii="Cambria" w:hAnsi="Cambria"/>
          <w:sz w:val="18"/>
          <w:szCs w:val="18"/>
          <w:lang w:val="en-GB"/>
        </w:rPr>
        <w:t xml:space="preserve"> (accessed June 30, 2025).</w:t>
      </w:r>
    </w:p>
  </w:footnote>
  <w:footnote w:id="8">
    <w:p w:rsidR="00355FAC" w:rsidRPr="008B47F5" w:rsidRDefault="00355FAC" w:rsidP="00355FAC">
      <w:pPr>
        <w:pStyle w:val="FootnoteText"/>
        <w:rPr>
          <w:rFonts w:ascii="Cambria" w:hAnsi="Cambria"/>
          <w:sz w:val="18"/>
          <w:szCs w:val="18"/>
        </w:rPr>
      </w:pPr>
      <w:r w:rsidRPr="008B47F5">
        <w:rPr>
          <w:rStyle w:val="FootnoteReference"/>
          <w:rFonts w:ascii="Cambria" w:hAnsi="Cambria"/>
          <w:sz w:val="18"/>
          <w:szCs w:val="18"/>
        </w:rPr>
        <w:footnoteRef/>
      </w:r>
      <w:r w:rsidRPr="008B47F5">
        <w:rPr>
          <w:rFonts w:ascii="Cambria" w:hAnsi="Cambria"/>
          <w:sz w:val="18"/>
          <w:szCs w:val="18"/>
        </w:rPr>
        <w:t xml:space="preserve"> </w:t>
      </w:r>
      <w:r w:rsidRPr="008B47F5">
        <w:rPr>
          <w:rFonts w:ascii="Cambria" w:hAnsi="Cambria"/>
          <w:sz w:val="18"/>
          <w:szCs w:val="18"/>
          <w:lang w:val="en-GB"/>
        </w:rPr>
        <w:t xml:space="preserve">Committee of Ministers of the Council of Europe, </w:t>
      </w:r>
      <w:r w:rsidRPr="008B47F5">
        <w:rPr>
          <w:rFonts w:ascii="Cambria" w:hAnsi="Cambria"/>
          <w:i/>
          <w:iCs/>
          <w:sz w:val="18"/>
          <w:szCs w:val="18"/>
          <w:lang w:val="en-GB"/>
        </w:rPr>
        <w:t>Supervision of the Execution of the Judgment in the Case of Catan and Others v. Moldova and Russia</w:t>
      </w:r>
      <w:r w:rsidRPr="008B47F5">
        <w:rPr>
          <w:rFonts w:ascii="Cambria" w:hAnsi="Cambria"/>
          <w:sz w:val="18"/>
          <w:szCs w:val="18"/>
          <w:lang w:val="en-GB"/>
        </w:rPr>
        <w:t xml:space="preserve">, DH-DD(2025)128E, HUDOC-EXEC, </w:t>
      </w:r>
      <w:hyperlink r:id="rId8" w:anchor="%7B%22execidentifier%22:%5B%22DH-DD(2025)128E%22%5D%7D" w:tgtFrame="_new" w:history="1">
        <w:r w:rsidRPr="008B47F5">
          <w:rPr>
            <w:rStyle w:val="Hyperlink"/>
            <w:rFonts w:ascii="Cambria" w:hAnsi="Cambria"/>
            <w:sz w:val="18"/>
            <w:szCs w:val="18"/>
            <w:lang w:val="en-GB"/>
          </w:rPr>
          <w:t>https://hudoc.exec.coe.int/#{%22execidentifier%22:[%22DH-DD(2025)128E%22]}</w:t>
        </w:r>
      </w:hyperlink>
      <w:r w:rsidRPr="008B47F5">
        <w:rPr>
          <w:rFonts w:ascii="Cambria" w:hAnsi="Cambria"/>
          <w:sz w:val="18"/>
          <w:szCs w:val="18"/>
          <w:lang w:val="en-GB"/>
        </w:rPr>
        <w:t xml:space="preserve"> (accessed June 30, 2025).</w:t>
      </w:r>
    </w:p>
    <w:p w:rsidR="00355FAC" w:rsidRPr="00BA012E" w:rsidRDefault="00355FAC" w:rsidP="00355FAC">
      <w:pPr>
        <w:pStyle w:val="FootnoteText"/>
      </w:pPr>
    </w:p>
  </w:footnote>
  <w:footnote w:id="9">
    <w:p w:rsidR="00BA012E" w:rsidRPr="00477EC0" w:rsidRDefault="00BA012E">
      <w:pPr>
        <w:pStyle w:val="FootnoteText"/>
        <w:rPr>
          <w:rFonts w:ascii="Cambria" w:hAnsi="Cambria"/>
          <w:sz w:val="18"/>
          <w:szCs w:val="18"/>
          <w:lang w:val="ro-RO"/>
        </w:rPr>
      </w:pPr>
      <w:r w:rsidRPr="00477EC0">
        <w:rPr>
          <w:rStyle w:val="FootnoteReference"/>
          <w:rFonts w:ascii="Cambria" w:hAnsi="Cambria"/>
          <w:sz w:val="18"/>
          <w:szCs w:val="18"/>
        </w:rPr>
        <w:footnoteRef/>
      </w:r>
      <w:r w:rsidRPr="00477EC0">
        <w:rPr>
          <w:rFonts w:ascii="Cambria" w:hAnsi="Cambria"/>
          <w:sz w:val="18"/>
          <w:szCs w:val="18"/>
          <w:lang w:val="ro-RO"/>
        </w:rPr>
        <w:t xml:space="preserve"> </w:t>
      </w:r>
      <w:r w:rsidR="00477EC0" w:rsidRPr="00477EC0">
        <w:rPr>
          <w:rFonts w:ascii="Cambria" w:hAnsi="Cambria"/>
          <w:sz w:val="18"/>
          <w:szCs w:val="18"/>
          <w:lang w:val="en-GB"/>
        </w:rPr>
        <w:t xml:space="preserve">Organization for Security and Co-operation in Europe (OSCE). </w:t>
      </w:r>
      <w:r w:rsidR="00477EC0" w:rsidRPr="00477EC0">
        <w:rPr>
          <w:rFonts w:ascii="Cambria" w:hAnsi="Cambria"/>
          <w:i/>
          <w:iCs/>
          <w:sz w:val="18"/>
          <w:szCs w:val="18"/>
          <w:lang w:val="en-GB"/>
        </w:rPr>
        <w:t>OSCE Mission to Moldova</w:t>
      </w:r>
      <w:r w:rsidR="00477EC0" w:rsidRPr="00477EC0">
        <w:rPr>
          <w:rFonts w:ascii="Cambria" w:hAnsi="Cambria"/>
          <w:sz w:val="18"/>
          <w:szCs w:val="18"/>
          <w:lang w:val="en-GB"/>
        </w:rPr>
        <w:t xml:space="preserve">. Accessed June 30, 2025. </w:t>
      </w:r>
      <w:hyperlink r:id="rId9" w:tgtFrame="_new" w:history="1">
        <w:r w:rsidR="00477EC0" w:rsidRPr="00477EC0">
          <w:rPr>
            <w:rStyle w:val="Hyperlink"/>
            <w:rFonts w:ascii="Cambria" w:hAnsi="Cambria"/>
            <w:sz w:val="18"/>
            <w:szCs w:val="18"/>
            <w:lang w:val="en-GB"/>
          </w:rPr>
          <w:t>https://www.osce.org/moldova/58104</w:t>
        </w:r>
      </w:hyperlink>
      <w:r w:rsidR="00477EC0" w:rsidRPr="00477EC0">
        <w:rPr>
          <w:rFonts w:ascii="Cambria" w:hAnsi="Cambria"/>
          <w:sz w:val="18"/>
          <w:szCs w:val="18"/>
          <w:lang w:val="en-GB"/>
        </w:rPr>
        <w:t>.</w:t>
      </w:r>
    </w:p>
  </w:footnote>
  <w:footnote w:id="10">
    <w:p w:rsidR="00BA012E" w:rsidRPr="00F57B66" w:rsidRDefault="00BA012E" w:rsidP="00F57B66">
      <w:pPr>
        <w:pStyle w:val="FootnoteText"/>
      </w:pPr>
      <w:r w:rsidRPr="00477EC0">
        <w:rPr>
          <w:rStyle w:val="FootnoteReference"/>
          <w:rFonts w:ascii="Cambria" w:hAnsi="Cambria"/>
          <w:sz w:val="18"/>
          <w:szCs w:val="18"/>
        </w:rPr>
        <w:footnoteRef/>
      </w:r>
      <w:r w:rsidRPr="00477EC0">
        <w:rPr>
          <w:rFonts w:ascii="Cambria" w:hAnsi="Cambria"/>
          <w:sz w:val="18"/>
          <w:szCs w:val="18"/>
        </w:rPr>
        <w:t xml:space="preserve"> More detailed information to see in Communication from the Republic of Moldova (02/12/2014): Non Paper on the situation of the Latin script schools from the Transnistrian region administered by the Government of the Republic of </w:t>
      </w:r>
      <w:r w:rsidRPr="00477EC0">
        <w:rPr>
          <w:rFonts w:ascii="Cambria" w:hAnsi="Cambria"/>
          <w:sz w:val="18"/>
          <w:szCs w:val="18"/>
          <w:lang w:val="en-GB"/>
        </w:rPr>
        <w:t xml:space="preserve">Moldova (DH-DD(2014)1466E Date: 02/12/2014). </w:t>
      </w:r>
      <w:hyperlink r:id="rId10" w:anchor="{%22CoEIdentifier%22:[%2209000016805b3b5c%22],%22sort%22:[%22CoEValidationDate%20Descending%22]}" w:history="1">
        <w:r w:rsidRPr="00477EC0">
          <w:rPr>
            <w:rStyle w:val="Hyperlink"/>
            <w:rFonts w:ascii="Cambria" w:hAnsi="Cambria"/>
            <w:sz w:val="18"/>
            <w:szCs w:val="18"/>
            <w:lang w:val="en-GB"/>
          </w:rPr>
          <w:t>https://search.coe.int/cm#{%22CoEIdentifier%22:[%2209000016805b3b5c%22],%22sort%22:[%22CoEValidationDate%20Descending%22]}</w:t>
        </w:r>
      </w:hyperlink>
      <w:r>
        <w:rPr>
          <w:lang w:val="en-GB"/>
        </w:rPr>
        <w:t xml:space="preserve"> </w:t>
      </w:r>
    </w:p>
  </w:footnote>
  <w:footnote w:id="11">
    <w:p w:rsidR="00BB7881" w:rsidRPr="009441E1" w:rsidRDefault="00BB7881" w:rsidP="00BB7881">
      <w:pPr>
        <w:pStyle w:val="FootnoteText"/>
        <w:jc w:val="both"/>
        <w:rPr>
          <w:rFonts w:ascii="Cambria" w:hAnsi="Cambria"/>
          <w:sz w:val="18"/>
          <w:szCs w:val="18"/>
          <w:lang w:val="ro-RO"/>
        </w:rPr>
      </w:pPr>
      <w:r w:rsidRPr="009441E1">
        <w:rPr>
          <w:rStyle w:val="FootnoteReference"/>
          <w:rFonts w:ascii="Cambria" w:hAnsi="Cambria"/>
          <w:sz w:val="18"/>
          <w:szCs w:val="18"/>
          <w:lang w:val="ro-RO"/>
        </w:rPr>
        <w:footnoteRef/>
      </w:r>
      <w:r w:rsidRPr="009441E1">
        <w:rPr>
          <w:rFonts w:ascii="Cambria" w:hAnsi="Cambria"/>
          <w:sz w:val="18"/>
          <w:szCs w:val="18"/>
          <w:lang w:val="ro-RO"/>
        </w:rPr>
        <w:t xml:space="preserve"> </w:t>
      </w:r>
      <w:r w:rsidRPr="009441E1">
        <w:rPr>
          <w:rFonts w:ascii="Cambria" w:hAnsi="Cambria"/>
          <w:sz w:val="18"/>
          <w:szCs w:val="18"/>
          <w:lang w:val="en-GB"/>
        </w:rPr>
        <w:t xml:space="preserve">Government of the Republic of Moldova. </w:t>
      </w:r>
      <w:r w:rsidRPr="009441E1">
        <w:rPr>
          <w:rFonts w:ascii="Cambria" w:hAnsi="Cambria"/>
          <w:i/>
          <w:iCs/>
          <w:sz w:val="18"/>
          <w:szCs w:val="18"/>
          <w:lang w:val="en-GB"/>
        </w:rPr>
        <w:t>On the Evolution of the Number of Children in the Eight Romanian-Language Educational Institutions in the Transnistrian Region</w:t>
      </w:r>
      <w:r w:rsidRPr="009441E1">
        <w:rPr>
          <w:rFonts w:ascii="Cambria" w:hAnsi="Cambria"/>
          <w:sz w:val="18"/>
          <w:szCs w:val="18"/>
          <w:lang w:val="en-GB"/>
        </w:rPr>
        <w:t xml:space="preserve">, 2024. Accessed June 30, 2025. </w:t>
      </w:r>
      <w:hyperlink r:id="rId11" w:tgtFrame="_new" w:history="1">
        <w:r w:rsidRPr="009441E1">
          <w:rPr>
            <w:rStyle w:val="Hyperlink"/>
            <w:rFonts w:ascii="Cambria" w:hAnsi="Cambria"/>
            <w:sz w:val="18"/>
            <w:szCs w:val="18"/>
            <w:lang w:val="en-GB"/>
          </w:rPr>
          <w:t>https://www.gov.md/en/node/53306</w:t>
        </w:r>
      </w:hyperlink>
    </w:p>
  </w:footnote>
  <w:footnote w:id="12">
    <w:p w:rsidR="00BB7881" w:rsidRPr="009441E1" w:rsidRDefault="00BB7881" w:rsidP="00BB7881">
      <w:pPr>
        <w:pStyle w:val="FootnoteText"/>
        <w:jc w:val="both"/>
        <w:rPr>
          <w:rFonts w:ascii="Cambria" w:hAnsi="Cambria"/>
          <w:sz w:val="18"/>
          <w:szCs w:val="18"/>
          <w:lang w:val="ro-RO"/>
        </w:rPr>
      </w:pPr>
      <w:r w:rsidRPr="009441E1">
        <w:rPr>
          <w:rStyle w:val="FootnoteReference"/>
          <w:rFonts w:ascii="Cambria" w:hAnsi="Cambria"/>
          <w:sz w:val="18"/>
          <w:szCs w:val="18"/>
          <w:lang w:val="ro-RO"/>
        </w:rPr>
        <w:footnoteRef/>
      </w:r>
      <w:r w:rsidRPr="009441E1">
        <w:rPr>
          <w:rFonts w:ascii="Cambria" w:hAnsi="Cambria"/>
          <w:sz w:val="18"/>
          <w:szCs w:val="18"/>
          <w:lang w:val="ro-RO"/>
        </w:rPr>
        <w:t xml:space="preserve"> </w:t>
      </w:r>
      <w:r w:rsidRPr="009441E1">
        <w:rPr>
          <w:rFonts w:ascii="Cambria" w:hAnsi="Cambria"/>
          <w:bCs/>
          <w:sz w:val="18"/>
          <w:szCs w:val="18"/>
          <w:lang w:val="en-GB"/>
        </w:rPr>
        <w:t>Bureau for Reintegration Policies.</w:t>
      </w:r>
      <w:r w:rsidRPr="009441E1">
        <w:rPr>
          <w:rFonts w:ascii="Cambria" w:hAnsi="Cambria"/>
          <w:sz w:val="18"/>
          <w:szCs w:val="18"/>
          <w:lang w:val="en-GB"/>
        </w:rPr>
        <w:t xml:space="preserve"> </w:t>
      </w:r>
      <w:r w:rsidRPr="009441E1">
        <w:rPr>
          <w:rFonts w:ascii="Cambria" w:hAnsi="Cambria"/>
          <w:i/>
          <w:iCs/>
          <w:sz w:val="18"/>
          <w:szCs w:val="18"/>
          <w:lang w:val="en-GB"/>
        </w:rPr>
        <w:t>Reply No. 23-78-14223 of 24 December 2024 to the Access to Information Request submitted by Promo-LEX.</w:t>
      </w:r>
    </w:p>
  </w:footnote>
  <w:footnote w:id="13">
    <w:p w:rsidR="00BB7881" w:rsidRPr="009441E1" w:rsidRDefault="00BB7881" w:rsidP="00BB7881">
      <w:pPr>
        <w:pStyle w:val="FootnoteText"/>
        <w:jc w:val="both"/>
        <w:rPr>
          <w:rFonts w:ascii="Cambria" w:hAnsi="Cambria"/>
          <w:sz w:val="18"/>
          <w:szCs w:val="18"/>
          <w:lang w:val="ro-RO"/>
        </w:rPr>
      </w:pPr>
      <w:r w:rsidRPr="009441E1">
        <w:rPr>
          <w:rStyle w:val="FootnoteReference"/>
          <w:rFonts w:ascii="Cambria" w:hAnsi="Cambria"/>
          <w:sz w:val="18"/>
          <w:szCs w:val="18"/>
          <w:lang w:val="ro-RO"/>
        </w:rPr>
        <w:footnoteRef/>
      </w:r>
      <w:r w:rsidR="008B47F5">
        <w:rPr>
          <w:rFonts w:ascii="Cambria" w:hAnsi="Cambria"/>
          <w:sz w:val="18"/>
          <w:szCs w:val="18"/>
          <w:lang w:val="ro-RO"/>
        </w:rPr>
        <w:t xml:space="preserve"> </w:t>
      </w:r>
      <w:r w:rsidRPr="009441E1">
        <w:rPr>
          <w:rFonts w:ascii="Cambria" w:hAnsi="Cambria"/>
          <w:bCs/>
          <w:sz w:val="18"/>
          <w:szCs w:val="18"/>
          <w:lang w:val="en-GB"/>
        </w:rPr>
        <w:t>“Government of the rmn”, ”q</w:t>
      </w:r>
      <w:r w:rsidRPr="009441E1">
        <w:rPr>
          <w:rFonts w:ascii="Cambria" w:hAnsi="Cambria"/>
          <w:i/>
          <w:iCs/>
          <w:sz w:val="18"/>
          <w:szCs w:val="18"/>
          <w:lang w:val="en-GB"/>
        </w:rPr>
        <w:t>uality school education – a priority”</w:t>
      </w:r>
      <w:r w:rsidRPr="009441E1">
        <w:rPr>
          <w:rFonts w:ascii="Cambria" w:hAnsi="Cambria"/>
          <w:sz w:val="18"/>
          <w:szCs w:val="18"/>
          <w:lang w:val="en-GB"/>
        </w:rPr>
        <w:t xml:space="preserve">, 2024. Accessed June 30, 2025. </w:t>
      </w:r>
      <w:hyperlink r:id="rId12" w:tgtFrame="_new" w:history="1">
        <w:r w:rsidRPr="009441E1">
          <w:rPr>
            <w:rStyle w:val="Hyperlink"/>
            <w:rFonts w:ascii="Cambria" w:hAnsi="Cambria"/>
            <w:sz w:val="18"/>
            <w:szCs w:val="18"/>
            <w:lang w:val="en-GB"/>
          </w:rPr>
          <w:t>https://government.gospmr.org/kachestvennoe-shkolnoe-obrazovanie-prioritet/</w:t>
        </w:r>
      </w:hyperlink>
      <w:r w:rsidRPr="009441E1">
        <w:rPr>
          <w:rFonts w:ascii="Cambria" w:hAnsi="Cambria"/>
          <w:sz w:val="18"/>
          <w:szCs w:val="18"/>
          <w:lang w:val="en-GB"/>
        </w:rPr>
        <w:t>.</w:t>
      </w:r>
    </w:p>
  </w:footnote>
  <w:footnote w:id="14">
    <w:p w:rsidR="00BB7881" w:rsidRPr="009441E1" w:rsidRDefault="00BB7881" w:rsidP="00BB7881">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w:t>
      </w:r>
      <w:r w:rsidRPr="009441E1">
        <w:rPr>
          <w:rFonts w:ascii="Cambria" w:hAnsi="Cambria"/>
          <w:b/>
          <w:bCs/>
          <w:sz w:val="18"/>
          <w:szCs w:val="18"/>
          <w:lang w:val="en-GB"/>
        </w:rPr>
        <w:t>“</w:t>
      </w:r>
      <w:r w:rsidRPr="009441E1">
        <w:rPr>
          <w:rFonts w:ascii="Cambria" w:hAnsi="Cambria"/>
          <w:bCs/>
          <w:sz w:val="18"/>
          <w:szCs w:val="18"/>
          <w:lang w:val="en-GB"/>
        </w:rPr>
        <w:t>government of the rmn”</w:t>
      </w:r>
      <w:r w:rsidRPr="009441E1">
        <w:rPr>
          <w:rFonts w:ascii="Cambria" w:hAnsi="Cambria"/>
          <w:sz w:val="18"/>
          <w:szCs w:val="18"/>
          <w:lang w:val="en-GB"/>
        </w:rPr>
        <w:t>, ”t</w:t>
      </w:r>
      <w:r w:rsidRPr="009441E1">
        <w:rPr>
          <w:rFonts w:ascii="Cambria" w:hAnsi="Cambria"/>
          <w:i/>
          <w:iCs/>
          <w:sz w:val="18"/>
          <w:szCs w:val="18"/>
          <w:lang w:val="en-GB"/>
        </w:rPr>
        <w:t>he goal Is to ensure high-quality full secondary education in all schools of the republic”</w:t>
      </w:r>
      <w:r w:rsidRPr="009441E1">
        <w:rPr>
          <w:rFonts w:ascii="Cambria" w:hAnsi="Cambria"/>
          <w:sz w:val="18"/>
          <w:szCs w:val="18"/>
          <w:lang w:val="en-GB"/>
        </w:rPr>
        <w:t xml:space="preserve">, 2024. Accessed June 30, 2025. </w:t>
      </w:r>
      <w:hyperlink r:id="rId13" w:tgtFrame="_new" w:history="1">
        <w:r w:rsidRPr="009441E1">
          <w:rPr>
            <w:rStyle w:val="Hyperlink"/>
            <w:rFonts w:ascii="Cambria" w:hAnsi="Cambria"/>
            <w:sz w:val="18"/>
            <w:szCs w:val="18"/>
            <w:lang w:val="en-GB"/>
          </w:rPr>
          <w:t>https://government.gospmr.org/czel-obespechit-kachestvennoe-polnoe-srednee-obrazovanie-vovseh-shkolah-respubliki/</w:t>
        </w:r>
      </w:hyperlink>
      <w:r w:rsidRPr="009441E1">
        <w:rPr>
          <w:rFonts w:ascii="Cambria" w:hAnsi="Cambria"/>
          <w:sz w:val="18"/>
          <w:szCs w:val="18"/>
          <w:lang w:val="en-GB"/>
        </w:rPr>
        <w:t>.</w:t>
      </w:r>
    </w:p>
  </w:footnote>
  <w:footnote w:id="15">
    <w:p w:rsidR="00BB7881" w:rsidRPr="009441E1" w:rsidRDefault="00BB7881" w:rsidP="00BB7881">
      <w:pPr>
        <w:pStyle w:val="FootnoteText"/>
        <w:rPr>
          <w:rFonts w:ascii="Cambria" w:hAnsi="Cambria"/>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w:t>
      </w:r>
      <w:r w:rsidRPr="009441E1">
        <w:rPr>
          <w:rFonts w:ascii="Cambria" w:hAnsi="Cambria"/>
          <w:bCs/>
          <w:sz w:val="18"/>
          <w:szCs w:val="18"/>
          <w:lang w:val="en-GB"/>
        </w:rPr>
        <w:t>“supreme soviet of the rmn”</w:t>
      </w:r>
      <w:r w:rsidRPr="009441E1">
        <w:rPr>
          <w:rFonts w:ascii="Cambria" w:hAnsi="Cambria"/>
          <w:sz w:val="18"/>
          <w:szCs w:val="18"/>
          <w:lang w:val="en-GB"/>
        </w:rPr>
        <w:t>, ”</w:t>
      </w:r>
      <w:r w:rsidRPr="009441E1">
        <w:rPr>
          <w:rFonts w:ascii="Cambria" w:hAnsi="Cambria"/>
          <w:i/>
          <w:iCs/>
          <w:sz w:val="18"/>
          <w:szCs w:val="18"/>
          <w:lang w:val="en-GB"/>
        </w:rPr>
        <w:t>the presidential administration discussed the Issue of small schools”</w:t>
      </w:r>
      <w:r w:rsidRPr="009441E1">
        <w:rPr>
          <w:rFonts w:ascii="Cambria" w:hAnsi="Cambria"/>
          <w:sz w:val="18"/>
          <w:szCs w:val="18"/>
          <w:lang w:val="en-GB"/>
        </w:rPr>
        <w:t xml:space="preserve">, 2024. Accessed June 30, 2025. </w:t>
      </w:r>
      <w:hyperlink r:id="rId14" w:tgtFrame="_new" w:history="1">
        <w:r w:rsidRPr="009441E1">
          <w:rPr>
            <w:rStyle w:val="Hyperlink"/>
            <w:rFonts w:ascii="Cambria" w:hAnsi="Cambria"/>
            <w:sz w:val="18"/>
            <w:szCs w:val="18"/>
            <w:lang w:val="en-GB"/>
          </w:rPr>
          <w:t>https://vspmr.org/news/supreme-council/v-administratsii-prezidenta-obsudili-problemu-malokomplektnih-shkol.html</w:t>
        </w:r>
      </w:hyperlink>
      <w:r w:rsidRPr="009441E1">
        <w:rPr>
          <w:rFonts w:ascii="Cambria" w:hAnsi="Cambria"/>
          <w:sz w:val="18"/>
          <w:szCs w:val="18"/>
          <w:lang w:val="en-GB"/>
        </w:rPr>
        <w:t>.</w:t>
      </w:r>
    </w:p>
  </w:footnote>
  <w:footnote w:id="16">
    <w:p w:rsidR="00BA012E" w:rsidRPr="00C33823" w:rsidRDefault="00BA012E">
      <w:pPr>
        <w:pStyle w:val="FootnoteText"/>
        <w:rPr>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009441E1" w:rsidRPr="009441E1">
        <w:rPr>
          <w:rFonts w:ascii="Cambria" w:hAnsi="Cambria"/>
          <w:bCs/>
          <w:sz w:val="18"/>
          <w:szCs w:val="18"/>
          <w:lang w:val="en-GB"/>
        </w:rPr>
        <w:t>Novosti Pridnestrovia, ”</w:t>
      </w:r>
      <w:r w:rsidR="009441E1" w:rsidRPr="009441E1">
        <w:rPr>
          <w:rFonts w:ascii="Cambria" w:hAnsi="Cambria"/>
          <w:i/>
          <w:iCs/>
          <w:sz w:val="18"/>
          <w:szCs w:val="18"/>
          <w:lang w:val="en-GB"/>
        </w:rPr>
        <w:t>patriotic education”</w:t>
      </w:r>
      <w:r w:rsidR="009441E1" w:rsidRPr="009441E1">
        <w:rPr>
          <w:rFonts w:ascii="Cambria" w:hAnsi="Cambria"/>
          <w:sz w:val="18"/>
          <w:szCs w:val="18"/>
          <w:lang w:val="en-GB"/>
        </w:rPr>
        <w:t xml:space="preserve">. Accessed June 30, 2025. </w:t>
      </w:r>
      <w:hyperlink r:id="rId15" w:tgtFrame="_new" w:history="1">
        <w:r w:rsidR="009441E1" w:rsidRPr="009441E1">
          <w:rPr>
            <w:rStyle w:val="Hyperlink"/>
            <w:rFonts w:ascii="Cambria" w:hAnsi="Cambria"/>
            <w:sz w:val="18"/>
            <w:szCs w:val="18"/>
            <w:lang w:val="en-GB"/>
          </w:rPr>
          <w:t>https://novostipmr.com/ru/hash/patrioticheskoevospitanie</w:t>
        </w:r>
      </w:hyperlink>
      <w:r w:rsidR="009441E1" w:rsidRPr="009441E1">
        <w:rPr>
          <w:rFonts w:ascii="Cambria" w:hAnsi="Cambria"/>
          <w:sz w:val="18"/>
          <w:szCs w:val="18"/>
          <w:lang w:val="en-GB"/>
        </w:rPr>
        <w:t>.</w:t>
      </w:r>
    </w:p>
  </w:footnote>
  <w:footnote w:id="17">
    <w:p w:rsidR="00485EE2" w:rsidRPr="009441E1" w:rsidRDefault="00485EE2" w:rsidP="00485EE2">
      <w:pPr>
        <w:pStyle w:val="FootnoteText"/>
        <w:rPr>
          <w:rFonts w:ascii="Cambria" w:hAnsi="Cambria"/>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bCs/>
          <w:sz w:val="18"/>
          <w:szCs w:val="18"/>
          <w:lang w:val="en-GB"/>
        </w:rPr>
        <w:t>Parliament of the Republic of Moldova.</w:t>
      </w:r>
      <w:r w:rsidRPr="009441E1">
        <w:rPr>
          <w:rFonts w:ascii="Cambria" w:hAnsi="Cambria"/>
          <w:sz w:val="18"/>
          <w:szCs w:val="18"/>
          <w:lang w:val="en-GB"/>
        </w:rPr>
        <w:t xml:space="preserve"> </w:t>
      </w:r>
      <w:r w:rsidRPr="009441E1">
        <w:rPr>
          <w:rFonts w:ascii="Cambria" w:hAnsi="Cambria"/>
          <w:i/>
          <w:iCs/>
          <w:sz w:val="18"/>
          <w:szCs w:val="18"/>
          <w:lang w:val="en-GB"/>
        </w:rPr>
        <w:t>Education Code of the Republic of Moldova No. 152 of July 17, 2014</w:t>
      </w:r>
      <w:r w:rsidRPr="009441E1">
        <w:rPr>
          <w:rFonts w:ascii="Cambria" w:hAnsi="Cambria"/>
          <w:sz w:val="18"/>
          <w:szCs w:val="18"/>
          <w:lang w:val="en-GB"/>
        </w:rPr>
        <w:t xml:space="preserve">. Accessed January 13, 2025. </w:t>
      </w:r>
      <w:hyperlink r:id="rId16" w:tgtFrame="_new" w:history="1">
        <w:r w:rsidRPr="009441E1">
          <w:rPr>
            <w:rStyle w:val="Hyperlink"/>
            <w:rFonts w:ascii="Cambria" w:hAnsi="Cambria"/>
            <w:sz w:val="18"/>
            <w:szCs w:val="18"/>
            <w:lang w:val="en-GB"/>
          </w:rPr>
          <w:t>https://www.legis.md/cautare/getResults?doc_id=110112&amp;lang=ro</w:t>
        </w:r>
      </w:hyperlink>
      <w:r w:rsidRPr="009441E1">
        <w:rPr>
          <w:rFonts w:ascii="Cambria" w:hAnsi="Cambria"/>
          <w:sz w:val="18"/>
          <w:szCs w:val="18"/>
          <w:lang w:val="en-GB"/>
        </w:rPr>
        <w:t>.</w:t>
      </w:r>
    </w:p>
  </w:footnote>
  <w:footnote w:id="18">
    <w:p w:rsidR="00485EE2" w:rsidRPr="009441E1" w:rsidRDefault="00485EE2" w:rsidP="00485EE2">
      <w:pPr>
        <w:pStyle w:val="FootnoteText"/>
        <w:rPr>
          <w:rFonts w:ascii="Cambria" w:hAnsi="Cambria"/>
          <w:sz w:val="18"/>
          <w:szCs w:val="18"/>
          <w:lang w:val="ro-RO"/>
        </w:rPr>
      </w:pPr>
      <w:r w:rsidRPr="009441E1">
        <w:rPr>
          <w:rStyle w:val="FootnoteReference"/>
          <w:rFonts w:ascii="Cambria" w:hAnsi="Cambria"/>
          <w:sz w:val="18"/>
          <w:szCs w:val="18"/>
        </w:rPr>
        <w:footnoteRef/>
      </w:r>
      <w:r>
        <w:rPr>
          <w:rFonts w:ascii="Cambria" w:hAnsi="Cambria"/>
          <w:bCs/>
          <w:sz w:val="18"/>
          <w:szCs w:val="18"/>
          <w:lang w:val="en-GB"/>
        </w:rPr>
        <w:t xml:space="preserve"> </w:t>
      </w:r>
      <w:r w:rsidRPr="009441E1">
        <w:rPr>
          <w:rFonts w:ascii="Cambria" w:hAnsi="Cambria"/>
          <w:bCs/>
          <w:sz w:val="18"/>
          <w:szCs w:val="18"/>
          <w:lang w:val="en-GB"/>
        </w:rPr>
        <w:t>Unofficial response of the Ministry of Education and Research</w:t>
      </w:r>
      <w:r w:rsidRPr="009441E1">
        <w:rPr>
          <w:rFonts w:ascii="Cambria" w:hAnsi="Cambria"/>
          <w:sz w:val="18"/>
          <w:szCs w:val="18"/>
          <w:lang w:val="en-GB"/>
        </w:rPr>
        <w:t xml:space="preserve"> to the access to information request submitted by Promo-LEX Association.</w:t>
      </w:r>
    </w:p>
  </w:footnote>
  <w:footnote w:id="19">
    <w:p w:rsidR="00485EE2" w:rsidRPr="009441E1" w:rsidRDefault="00485EE2" w:rsidP="00485EE2">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rmn </w:t>
      </w:r>
      <w:r w:rsidRPr="009441E1">
        <w:rPr>
          <w:rFonts w:ascii="Cambria" w:hAnsi="Cambria"/>
          <w:i/>
          <w:iCs/>
          <w:sz w:val="18"/>
          <w:szCs w:val="18"/>
          <w:lang w:val="en-GB"/>
        </w:rPr>
        <w:t xml:space="preserve">government," ”ordinance No. 183 of 31 May 2023”, </w:t>
      </w:r>
      <w:r w:rsidRPr="009441E1">
        <w:rPr>
          <w:rFonts w:ascii="Cambria" w:hAnsi="Cambria"/>
          <w:sz w:val="18"/>
          <w:szCs w:val="18"/>
          <w:lang w:val="en-GB"/>
        </w:rPr>
        <w:t xml:space="preserve">accessed June 30, 2025, </w:t>
      </w:r>
      <w:hyperlink r:id="rId17" w:tgtFrame="_new" w:history="1">
        <w:r w:rsidRPr="009441E1">
          <w:rPr>
            <w:rStyle w:val="Hyperlink"/>
            <w:rFonts w:ascii="Cambria" w:hAnsi="Cambria"/>
            <w:sz w:val="18"/>
            <w:szCs w:val="18"/>
            <w:lang w:val="en-GB"/>
          </w:rPr>
          <w:t>https://mer.gospmr.org/wp-content/uploads/2024/09/post-%E2%84%96-183.pdf</w:t>
        </w:r>
      </w:hyperlink>
      <w:r w:rsidRPr="009441E1">
        <w:rPr>
          <w:rFonts w:ascii="Cambria" w:hAnsi="Cambria"/>
          <w:sz w:val="18"/>
          <w:szCs w:val="18"/>
          <w:lang w:val="en-GB"/>
        </w:rPr>
        <w:t>.</w:t>
      </w:r>
    </w:p>
  </w:footnote>
  <w:footnote w:id="20">
    <w:p w:rsidR="00485EE2" w:rsidRPr="009441E1" w:rsidRDefault="00485EE2" w:rsidP="00485EE2">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i/>
          <w:iCs/>
          <w:sz w:val="18"/>
          <w:szCs w:val="18"/>
          <w:lang w:val="en-GB"/>
        </w:rPr>
        <w:t>"rmn government," ”ordinance No. 22 of 15 January 2024”,</w:t>
      </w:r>
      <w:r w:rsidRPr="009441E1">
        <w:rPr>
          <w:rFonts w:ascii="Cambria" w:hAnsi="Cambria"/>
          <w:sz w:val="18"/>
          <w:szCs w:val="18"/>
          <w:lang w:val="en-GB"/>
        </w:rPr>
        <w:t xml:space="preserve"> accessed June 30, 2025, </w:t>
      </w:r>
      <w:hyperlink r:id="rId18" w:tgtFrame="_new" w:history="1">
        <w:r w:rsidRPr="009441E1">
          <w:rPr>
            <w:rStyle w:val="Hyperlink"/>
            <w:rFonts w:ascii="Cambria" w:hAnsi="Cambria"/>
            <w:sz w:val="18"/>
            <w:szCs w:val="18"/>
            <w:lang w:val="en-GB"/>
          </w:rPr>
          <w:t>https://government.gospmr.org/wpcontent/uploads/2024/01/postanovlenie-%E2%84%96-22.pdf</w:t>
        </w:r>
      </w:hyperlink>
      <w:r w:rsidRPr="009441E1">
        <w:rPr>
          <w:rFonts w:ascii="Cambria" w:hAnsi="Cambria"/>
          <w:sz w:val="18"/>
          <w:szCs w:val="18"/>
          <w:lang w:val="en-GB"/>
        </w:rPr>
        <w:t>.</w:t>
      </w:r>
    </w:p>
  </w:footnote>
  <w:footnote w:id="21">
    <w:p w:rsidR="00485EE2" w:rsidRPr="00C33823" w:rsidRDefault="00485EE2" w:rsidP="00485EE2">
      <w:pPr>
        <w:pStyle w:val="FootnoteText"/>
        <w:rPr>
          <w:sz w:val="18"/>
          <w:szCs w:val="18"/>
          <w:lang w:val="ro-RO"/>
        </w:rPr>
      </w:pPr>
      <w:r w:rsidRPr="009441E1">
        <w:rPr>
          <w:rStyle w:val="FootnoteReference"/>
          <w:rFonts w:ascii="Cambria" w:hAnsi="Cambria"/>
          <w:sz w:val="18"/>
          <w:szCs w:val="18"/>
        </w:rPr>
        <w:footnoteRef/>
      </w:r>
      <w:r w:rsidRPr="009441E1">
        <w:rPr>
          <w:rFonts w:ascii="Cambria" w:hAnsi="Cambria"/>
          <w:sz w:val="18"/>
          <w:szCs w:val="18"/>
          <w:lang w:val="ro-RO"/>
        </w:rPr>
        <w:t xml:space="preserve"> </w:t>
      </w:r>
      <w:r w:rsidRPr="009441E1">
        <w:rPr>
          <w:rFonts w:ascii="Cambria" w:hAnsi="Cambria"/>
          <w:i/>
          <w:iCs/>
          <w:sz w:val="18"/>
          <w:szCs w:val="18"/>
          <w:lang w:val="en-GB"/>
        </w:rPr>
        <w:t xml:space="preserve">"rmn government," ”on amendments to ordinance No. 183 of 31 May 2023”, </w:t>
      </w:r>
      <w:r w:rsidRPr="009441E1">
        <w:rPr>
          <w:rFonts w:ascii="Cambria" w:hAnsi="Cambria"/>
          <w:sz w:val="18"/>
          <w:szCs w:val="18"/>
          <w:lang w:val="en-GB"/>
        </w:rPr>
        <w:t xml:space="preserve"> accessed June 30, 2025, </w:t>
      </w:r>
      <w:hyperlink r:id="rId19" w:tgtFrame="_new" w:history="1">
        <w:r w:rsidRPr="009441E1">
          <w:rPr>
            <w:rStyle w:val="Hyperlink"/>
            <w:rFonts w:ascii="Cambria" w:hAnsi="Cambria"/>
            <w:sz w:val="18"/>
            <w:szCs w:val="18"/>
            <w:lang w:val="en-GB"/>
          </w:rPr>
          <w:t>https://government.gospmr.org/o-vnesenii-izmenenij-v-postanovlenie-pravitelstva-pridnestrovskoj-moldavskoj-respubliki-ot-31-maya-2023-goda-%e2%84%96-183-ob-ustanovlenii-na-2024-god-predelnyh-urovnej-tarifov-na-uslugi-gaz-3/</w:t>
        </w:r>
      </w:hyperlink>
      <w:r w:rsidRPr="009441E1">
        <w:rPr>
          <w:rFonts w:ascii="Cambria" w:hAnsi="Cambria"/>
          <w:sz w:val="18"/>
          <w:szCs w:val="18"/>
          <w:lang w:val="en-GB"/>
        </w:rPr>
        <w:t>.</w:t>
      </w:r>
    </w:p>
  </w:footnote>
  <w:footnote w:id="22">
    <w:p w:rsidR="00BA012E" w:rsidRPr="009441E1" w:rsidRDefault="00BA012E">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w:t>
      </w:r>
      <w:r w:rsidR="009441E1" w:rsidRPr="009441E1">
        <w:rPr>
          <w:rFonts w:ascii="Cambria" w:hAnsi="Cambria"/>
          <w:bCs/>
          <w:sz w:val="18"/>
          <w:szCs w:val="18"/>
          <w:lang w:val="en-GB"/>
        </w:rPr>
        <w:t>“supreme soviet of the rmn,” ”</w:t>
      </w:r>
      <w:r w:rsidR="009441E1" w:rsidRPr="009441E1">
        <w:rPr>
          <w:rFonts w:ascii="Cambria" w:hAnsi="Cambria"/>
          <w:bCs/>
          <w:i/>
          <w:iCs/>
          <w:sz w:val="18"/>
          <w:szCs w:val="18"/>
          <w:lang w:val="en-GB"/>
        </w:rPr>
        <w:t>law of the rmn on universal military duty and military service</w:t>
      </w:r>
      <w:r w:rsidR="009441E1" w:rsidRPr="009441E1">
        <w:rPr>
          <w:rFonts w:ascii="Cambria" w:hAnsi="Cambria"/>
          <w:bCs/>
          <w:sz w:val="18"/>
          <w:szCs w:val="18"/>
          <w:lang w:val="en-GB"/>
        </w:rPr>
        <w:t>” (updated version of November 23, 2024),</w:t>
      </w:r>
      <w:r w:rsidR="009441E1" w:rsidRPr="009441E1">
        <w:rPr>
          <w:rFonts w:ascii="Cambria" w:hAnsi="Cambria"/>
          <w:sz w:val="18"/>
          <w:szCs w:val="18"/>
          <w:lang w:val="en-GB"/>
        </w:rPr>
        <w:t xml:space="preserve"> 2024, accessed June 30, 2025, </w:t>
      </w:r>
      <w:hyperlink r:id="rId20" w:tgtFrame="_new" w:history="1">
        <w:r w:rsidR="009441E1" w:rsidRPr="009441E1">
          <w:rPr>
            <w:rStyle w:val="Hyperlink"/>
            <w:rFonts w:ascii="Cambria" w:hAnsi="Cambria"/>
            <w:sz w:val="18"/>
            <w:szCs w:val="18"/>
            <w:lang w:val="en-GB"/>
          </w:rPr>
          <w:t>https://www.vspmr.org/legislation/laws/zakonodateljnie-akti-v-voennoy-sfere-i-v-sfere-oboroni/zakon-pridnestrovskoymoldavskoy-respubliki-o-vseobschey-voinskoy-obyazannosti-i-voennoy-slujbe.html</w:t>
        </w:r>
      </w:hyperlink>
      <w:r w:rsidR="009441E1" w:rsidRPr="009441E1">
        <w:rPr>
          <w:rFonts w:ascii="Cambria" w:hAnsi="Cambria"/>
          <w:sz w:val="18"/>
          <w:szCs w:val="18"/>
          <w:lang w:val="en-GB"/>
        </w:rPr>
        <w:t>.</w:t>
      </w:r>
    </w:p>
  </w:footnote>
  <w:footnote w:id="23">
    <w:p w:rsidR="00BA012E" w:rsidRPr="00C33823" w:rsidRDefault="00BA012E">
      <w:pPr>
        <w:pStyle w:val="FootnoteText"/>
        <w:rPr>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009441E1" w:rsidRPr="009441E1">
        <w:rPr>
          <w:rFonts w:ascii="Cambria" w:hAnsi="Cambria"/>
          <w:bCs/>
          <w:sz w:val="18"/>
          <w:szCs w:val="18"/>
          <w:lang w:val="en-GB"/>
        </w:rPr>
        <w:t>Bureau for Reintegration Policies of the Republic of Moldova</w:t>
      </w:r>
      <w:r w:rsidR="009441E1" w:rsidRPr="009441E1">
        <w:rPr>
          <w:rFonts w:ascii="Cambria" w:hAnsi="Cambria"/>
          <w:sz w:val="18"/>
          <w:szCs w:val="18"/>
          <w:lang w:val="en-GB"/>
        </w:rPr>
        <w:t xml:space="preserve">, </w:t>
      </w:r>
      <w:r w:rsidR="009441E1" w:rsidRPr="009441E1">
        <w:rPr>
          <w:rFonts w:ascii="Cambria" w:hAnsi="Cambria"/>
          <w:i/>
          <w:iCs/>
          <w:sz w:val="18"/>
          <w:szCs w:val="18"/>
          <w:lang w:val="en-GB"/>
        </w:rPr>
        <w:t>Official Response No. 23-78-14223 of 24 December 2024 to the Access to Information Request Submitted by Promo-LEX Association</w:t>
      </w:r>
    </w:p>
  </w:footnote>
  <w:footnote w:id="24">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“Report of the so-called ‘ministry of education’ on the situation of children in Transnistria for the year 2023,” 2024, p. 102, accessed April 13, 2025, </w:t>
      </w:r>
      <w:hyperlink r:id="rId21" w:tgtFrame="_new" w:history="1">
        <w:r w:rsidRPr="009441E1">
          <w:rPr>
            <w:rStyle w:val="Hyperlink"/>
            <w:rFonts w:ascii="Cambria" w:hAnsi="Cambria"/>
            <w:sz w:val="18"/>
            <w:szCs w:val="18"/>
            <w:lang w:val="en-GB"/>
          </w:rPr>
          <w:t>https://minpros.gospmr.org/about/9952</w:t>
        </w:r>
      </w:hyperlink>
      <w:r w:rsidRPr="009441E1">
        <w:rPr>
          <w:rFonts w:ascii="Cambria" w:hAnsi="Cambria"/>
          <w:sz w:val="18"/>
          <w:szCs w:val="18"/>
          <w:lang w:val="en-GB"/>
        </w:rPr>
        <w:t>.</w:t>
      </w:r>
    </w:p>
  </w:footnote>
  <w:footnote w:id="25">
    <w:p w:rsidR="001E03E5" w:rsidRPr="009441E1" w:rsidRDefault="001E03E5" w:rsidP="001E03E5">
      <w:pPr>
        <w:pStyle w:val="FootnoteText"/>
        <w:rPr>
          <w:rFonts w:ascii="Cambria" w:hAnsi="Cambria"/>
          <w:sz w:val="18"/>
          <w:szCs w:val="18"/>
          <w:lang w:val="en-GB"/>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“Report of the so-called ‘commissioner for human rights’ for the year 2023,” 2024, pp. 94–95, accessed June 30, 2025, </w:t>
      </w:r>
      <w:hyperlink r:id="rId22" w:tgtFrame="_new" w:history="1">
        <w:r w:rsidRPr="009441E1">
          <w:rPr>
            <w:rStyle w:val="Hyperlink"/>
            <w:rFonts w:ascii="Cambria" w:hAnsi="Cambria"/>
            <w:sz w:val="18"/>
            <w:szCs w:val="18"/>
            <w:lang w:val="en-GB"/>
          </w:rPr>
          <w:t>http://www.ombudsmanpmr.org/doclady_upolnomochennogo.htm</w:t>
        </w:r>
      </w:hyperlink>
      <w:r w:rsidRPr="009441E1">
        <w:rPr>
          <w:rFonts w:ascii="Cambria" w:hAnsi="Cambria"/>
          <w:sz w:val="18"/>
          <w:szCs w:val="18"/>
          <w:lang w:val="en-GB"/>
        </w:rPr>
        <w:t>.</w:t>
      </w:r>
    </w:p>
  </w:footnote>
  <w:footnote w:id="26">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“Report of the so-called ‘ministry of labour and social protection’,” 2024, p. 60, accessed June 30, 2025, </w:t>
      </w:r>
      <w:hyperlink r:id="rId23" w:tgtFrame="_new" w:history="1">
        <w:r w:rsidRPr="009441E1">
          <w:rPr>
            <w:rStyle w:val="Hyperlink"/>
            <w:rFonts w:ascii="Cambria" w:hAnsi="Cambria"/>
            <w:sz w:val="18"/>
            <w:szCs w:val="18"/>
            <w:lang w:val="en-GB"/>
          </w:rPr>
          <w:t>https://minsoctrud.gospmr.org/otchet_o_deyatelnosti_ministerstva_po_sotsialnoy_zaschite_i_trudu_pmr/</w:t>
        </w:r>
      </w:hyperlink>
      <w:r w:rsidRPr="009441E1">
        <w:rPr>
          <w:rFonts w:ascii="Cambria" w:hAnsi="Cambria"/>
          <w:sz w:val="18"/>
          <w:szCs w:val="18"/>
          <w:lang w:val="en-GB"/>
        </w:rPr>
        <w:t>.</w:t>
      </w:r>
    </w:p>
  </w:footnote>
  <w:footnote w:id="27">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lang w:val="en-GB"/>
        </w:rPr>
        <w:t xml:space="preserve"> “Report of the so-called ‘commissioner for human rights’ for the year 2023,” 2024, p. 102, accessed June 30, 2025, </w:t>
      </w:r>
      <w:hyperlink r:id="rId24" w:tgtFrame="_new" w:history="1">
        <w:r w:rsidRPr="009441E1">
          <w:rPr>
            <w:rStyle w:val="Hyperlink"/>
            <w:rFonts w:ascii="Cambria" w:hAnsi="Cambria"/>
            <w:sz w:val="18"/>
            <w:szCs w:val="18"/>
            <w:lang w:val="en-GB"/>
          </w:rPr>
          <w:t>http://www.ombudsmanpmr.org/doclady_upolnomochennogo.htm</w:t>
        </w:r>
      </w:hyperlink>
      <w:r w:rsidRPr="009441E1">
        <w:rPr>
          <w:rFonts w:ascii="Cambria" w:hAnsi="Cambria"/>
          <w:sz w:val="18"/>
          <w:szCs w:val="18"/>
          <w:lang w:val="en-GB"/>
        </w:rPr>
        <w:t>.</w:t>
      </w:r>
    </w:p>
  </w:footnote>
  <w:footnote w:id="28">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lang w:val="en-GB"/>
        </w:rPr>
        <w:t xml:space="preserve"> Tiraspol boarding school, “Education for patriotism,” 2019, accessed June 30, 2025, </w:t>
      </w:r>
      <w:hyperlink r:id="rId25" w:tgtFrame="_new" w:history="1">
        <w:r w:rsidRPr="009441E1">
          <w:rPr>
            <w:rStyle w:val="Hyperlink"/>
            <w:rFonts w:ascii="Cambria" w:hAnsi="Cambria"/>
            <w:sz w:val="18"/>
            <w:szCs w:val="18"/>
            <w:lang w:val="en-GB"/>
          </w:rPr>
          <w:t>https://domrebenka.idknet.com/index159.html</w:t>
        </w:r>
      </w:hyperlink>
      <w:r w:rsidRPr="009441E1">
        <w:rPr>
          <w:rFonts w:ascii="Cambria" w:hAnsi="Cambria"/>
          <w:sz w:val="18"/>
          <w:szCs w:val="18"/>
          <w:lang w:val="en-GB"/>
        </w:rPr>
        <w:t>.</w:t>
      </w:r>
    </w:p>
  </w:footnote>
  <w:footnote w:id="29">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Tiraspol boarding school, “Education for patriotism,” 2019, accessed June 30, 2025, </w:t>
      </w:r>
      <w:hyperlink r:id="rId26" w:tgtFrame="_new" w:history="1">
        <w:r w:rsidRPr="009441E1">
          <w:rPr>
            <w:rStyle w:val="Hyperlink"/>
            <w:rFonts w:ascii="Cambria" w:hAnsi="Cambria"/>
            <w:sz w:val="18"/>
            <w:szCs w:val="18"/>
            <w:lang w:val="en-GB"/>
          </w:rPr>
          <w:t>https://domrebenka.idknet.com/index159.html</w:t>
        </w:r>
      </w:hyperlink>
      <w:r w:rsidRPr="009441E1">
        <w:rPr>
          <w:rFonts w:ascii="Cambria" w:hAnsi="Cambria"/>
          <w:sz w:val="18"/>
          <w:szCs w:val="18"/>
          <w:lang w:val="en-GB"/>
        </w:rPr>
        <w:t>.</w:t>
      </w:r>
    </w:p>
  </w:footnote>
  <w:footnote w:id="30">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Bender boarding school, “One, two – that’s who we are, little soldiers!” – under this slogan, sports competitions were held for preschoolers at the Bender boarding school, 2023, accessed June 30, 2025, </w:t>
      </w:r>
      <w:hyperlink r:id="rId27" w:history="1">
        <w:r w:rsidRPr="009441E1">
          <w:rPr>
            <w:rStyle w:val="Hyperlink"/>
            <w:rFonts w:ascii="Cambria" w:hAnsi="Cambria"/>
            <w:sz w:val="18"/>
            <w:szCs w:val="18"/>
            <w:lang w:val="en-GB"/>
          </w:rPr>
          <w:t>https://www.detdompmr.ru/index.php?option=com_content&amp;view=article&amp;id=345:l––r––––&amp;catid=1:2012-07-02-16-22-53&amp;Itemid=16</w:t>
        </w:r>
      </w:hyperlink>
      <w:r w:rsidRPr="009441E1">
        <w:rPr>
          <w:rFonts w:ascii="Cambria" w:hAnsi="Cambria"/>
          <w:sz w:val="18"/>
          <w:szCs w:val="18"/>
          <w:lang w:val="en-GB"/>
        </w:rPr>
        <w:t xml:space="preserve">. </w:t>
      </w:r>
    </w:p>
  </w:footnote>
  <w:footnote w:id="31">
    <w:p w:rsidR="001E03E5" w:rsidRPr="009441E1" w:rsidRDefault="001E03E5" w:rsidP="001E03E5">
      <w:pPr>
        <w:pStyle w:val="FootnoteText"/>
        <w:rPr>
          <w:rFonts w:ascii="Cambria" w:hAnsi="Cambria"/>
          <w:sz w:val="18"/>
          <w:szCs w:val="18"/>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“ministry of internal affairs,” “History of the republican cadet corps,” accessed June, 30 2025, </w:t>
      </w:r>
      <w:hyperlink r:id="rId28" w:tgtFrame="_new" w:history="1">
        <w:r w:rsidRPr="009441E1">
          <w:rPr>
            <w:rStyle w:val="Hyperlink"/>
            <w:rFonts w:ascii="Cambria" w:hAnsi="Cambria"/>
            <w:sz w:val="18"/>
            <w:szCs w:val="18"/>
            <w:lang w:val="en-GB"/>
          </w:rPr>
          <w:t>https://mvdpmr.org/podrazdeleniya-mvd/gou-rkk/o-korpuse/25577-istoriya-rkk.html</w:t>
        </w:r>
      </w:hyperlink>
      <w:r w:rsidRPr="009441E1">
        <w:rPr>
          <w:rFonts w:ascii="Cambria" w:hAnsi="Cambria"/>
          <w:sz w:val="18"/>
          <w:szCs w:val="18"/>
          <w:lang w:val="en-GB"/>
        </w:rPr>
        <w:t>.</w:t>
      </w:r>
    </w:p>
  </w:footnote>
  <w:footnote w:id="32">
    <w:p w:rsidR="001E03E5" w:rsidRPr="00CA685F" w:rsidRDefault="001E03E5" w:rsidP="001E03E5">
      <w:pPr>
        <w:pStyle w:val="FootnoteText"/>
        <w:rPr>
          <w:lang w:val="ro-RO"/>
        </w:rPr>
      </w:pPr>
      <w:r w:rsidRPr="009441E1">
        <w:rPr>
          <w:rStyle w:val="FootnoteReference"/>
          <w:rFonts w:ascii="Cambria" w:hAnsi="Cambria"/>
          <w:sz w:val="18"/>
          <w:szCs w:val="18"/>
        </w:rPr>
        <w:footnoteRef/>
      </w:r>
      <w:r w:rsidRPr="009441E1">
        <w:rPr>
          <w:rFonts w:ascii="Cambria" w:hAnsi="Cambria"/>
          <w:sz w:val="18"/>
          <w:szCs w:val="18"/>
        </w:rPr>
        <w:t xml:space="preserve"> </w:t>
      </w:r>
      <w:r w:rsidRPr="009441E1">
        <w:rPr>
          <w:rFonts w:ascii="Cambria" w:hAnsi="Cambria"/>
          <w:sz w:val="18"/>
          <w:szCs w:val="18"/>
          <w:lang w:val="en-GB"/>
        </w:rPr>
        <w:t xml:space="preserve"> </w:t>
      </w:r>
      <w:r w:rsidRPr="009441E1">
        <w:rPr>
          <w:rFonts w:ascii="Cambria" w:hAnsi="Cambria"/>
          <w:bCs/>
          <w:sz w:val="18"/>
          <w:szCs w:val="18"/>
          <w:lang w:val="en-GB"/>
        </w:rPr>
        <w:t>“suvorov military school,”</w:t>
      </w:r>
      <w:r w:rsidRPr="009441E1">
        <w:rPr>
          <w:rFonts w:ascii="Cambria" w:hAnsi="Cambria"/>
          <w:sz w:val="18"/>
          <w:szCs w:val="18"/>
          <w:lang w:val="en-GB"/>
        </w:rPr>
        <w:t xml:space="preserve"> “Issues related to preparation for the beginning of the new academic year were discussed during a meeting with the head of state,” 2017, accessed April 15, 2025, </w:t>
      </w:r>
      <w:hyperlink r:id="rId29" w:tgtFrame="_new" w:history="1">
        <w:r w:rsidRPr="009441E1">
          <w:rPr>
            <w:rStyle w:val="Hyperlink"/>
            <w:rFonts w:ascii="Cambria" w:hAnsi="Cambria"/>
            <w:sz w:val="18"/>
            <w:szCs w:val="18"/>
            <w:lang w:val="en-GB"/>
          </w:rPr>
          <w:t>https://www.tsvu.idknet.com/index.php/2301-voprosy-svyazannye-s-podgotovkoj-k-nachalu-uchebnogo-goda-obsudili-na-soveshchanii-u-glavy-gosudarstva</w:t>
        </w:r>
      </w:hyperlink>
      <w:r w:rsidRPr="009441E1">
        <w:rPr>
          <w:rFonts w:ascii="Cambria" w:hAnsi="Cambria"/>
          <w:sz w:val="18"/>
          <w:szCs w:val="18"/>
          <w:lang w:val="en-GB"/>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FA5" w:rsidRDefault="00F75FA5">
    <w:pPr>
      <w:pStyle w:val="Header"/>
      <w:jc w:val="right"/>
    </w:pPr>
  </w:p>
  <w:p w:rsidR="00F75FA5" w:rsidRDefault="00F75FA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6E82"/>
    <w:multiLevelType w:val="multilevel"/>
    <w:tmpl w:val="6F68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D4AD3"/>
    <w:multiLevelType w:val="multilevel"/>
    <w:tmpl w:val="867C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15BDD"/>
    <w:multiLevelType w:val="multilevel"/>
    <w:tmpl w:val="26DC37C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14E14"/>
    <w:multiLevelType w:val="hybridMultilevel"/>
    <w:tmpl w:val="53F08FD4"/>
    <w:lvl w:ilvl="0" w:tplc="D8A0161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80CBE"/>
    <w:multiLevelType w:val="multilevel"/>
    <w:tmpl w:val="FAE2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D6566"/>
    <w:multiLevelType w:val="hybridMultilevel"/>
    <w:tmpl w:val="59B842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323DA8"/>
    <w:multiLevelType w:val="multilevel"/>
    <w:tmpl w:val="18FC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B4D83"/>
    <w:multiLevelType w:val="hybridMultilevel"/>
    <w:tmpl w:val="EDE2A706"/>
    <w:lvl w:ilvl="0" w:tplc="D1C2B5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E3CF0"/>
    <w:multiLevelType w:val="multilevel"/>
    <w:tmpl w:val="114C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ADB"/>
    <w:multiLevelType w:val="hybridMultilevel"/>
    <w:tmpl w:val="10C0E21A"/>
    <w:lvl w:ilvl="0" w:tplc="DD5CA1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7E1F88"/>
    <w:multiLevelType w:val="hybridMultilevel"/>
    <w:tmpl w:val="3620D732"/>
    <w:lvl w:ilvl="0" w:tplc="662633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754F82"/>
    <w:multiLevelType w:val="multilevel"/>
    <w:tmpl w:val="D624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003756"/>
    <w:multiLevelType w:val="hybridMultilevel"/>
    <w:tmpl w:val="AB102296"/>
    <w:lvl w:ilvl="0" w:tplc="E8B06C22">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390435"/>
    <w:multiLevelType w:val="multilevel"/>
    <w:tmpl w:val="10D66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0E321D"/>
    <w:multiLevelType w:val="multilevel"/>
    <w:tmpl w:val="6F2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822D7"/>
    <w:multiLevelType w:val="multilevel"/>
    <w:tmpl w:val="B58E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8633B9"/>
    <w:multiLevelType w:val="multilevel"/>
    <w:tmpl w:val="EA8E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A63DB"/>
    <w:multiLevelType w:val="hybridMultilevel"/>
    <w:tmpl w:val="5BFEAF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C5E5C"/>
    <w:multiLevelType w:val="hybridMultilevel"/>
    <w:tmpl w:val="F22AE554"/>
    <w:lvl w:ilvl="0" w:tplc="96AE2622">
      <w:start w:val="1"/>
      <w:numFmt w:val="upperLetter"/>
      <w:lvlText w:val="%1."/>
      <w:lvlJc w:val="left"/>
      <w:pPr>
        <w:ind w:left="720" w:hanging="360"/>
      </w:pPr>
      <w:rPr>
        <w:rFonts w:hint="default"/>
      </w:rPr>
    </w:lvl>
    <w:lvl w:ilvl="1" w:tplc="649054EC" w:tentative="1">
      <w:start w:val="1"/>
      <w:numFmt w:val="lowerLetter"/>
      <w:lvlText w:val="%2."/>
      <w:lvlJc w:val="left"/>
      <w:pPr>
        <w:ind w:left="1440" w:hanging="360"/>
      </w:pPr>
    </w:lvl>
    <w:lvl w:ilvl="2" w:tplc="4D869152" w:tentative="1">
      <w:start w:val="1"/>
      <w:numFmt w:val="lowerRoman"/>
      <w:lvlText w:val="%3."/>
      <w:lvlJc w:val="right"/>
      <w:pPr>
        <w:ind w:left="2160" w:hanging="180"/>
      </w:pPr>
    </w:lvl>
    <w:lvl w:ilvl="3" w:tplc="6C768506" w:tentative="1">
      <w:start w:val="1"/>
      <w:numFmt w:val="decimal"/>
      <w:lvlText w:val="%4."/>
      <w:lvlJc w:val="left"/>
      <w:pPr>
        <w:ind w:left="2880" w:hanging="360"/>
      </w:pPr>
    </w:lvl>
    <w:lvl w:ilvl="4" w:tplc="A2120DB0" w:tentative="1">
      <w:start w:val="1"/>
      <w:numFmt w:val="lowerLetter"/>
      <w:lvlText w:val="%5."/>
      <w:lvlJc w:val="left"/>
      <w:pPr>
        <w:ind w:left="3600" w:hanging="360"/>
      </w:pPr>
    </w:lvl>
    <w:lvl w:ilvl="5" w:tplc="921A8AAC" w:tentative="1">
      <w:start w:val="1"/>
      <w:numFmt w:val="lowerRoman"/>
      <w:lvlText w:val="%6."/>
      <w:lvlJc w:val="right"/>
      <w:pPr>
        <w:ind w:left="4320" w:hanging="180"/>
      </w:pPr>
    </w:lvl>
    <w:lvl w:ilvl="6" w:tplc="500099F0" w:tentative="1">
      <w:start w:val="1"/>
      <w:numFmt w:val="decimal"/>
      <w:lvlText w:val="%7."/>
      <w:lvlJc w:val="left"/>
      <w:pPr>
        <w:ind w:left="5040" w:hanging="360"/>
      </w:pPr>
    </w:lvl>
    <w:lvl w:ilvl="7" w:tplc="002A8FF2" w:tentative="1">
      <w:start w:val="1"/>
      <w:numFmt w:val="lowerLetter"/>
      <w:lvlText w:val="%8."/>
      <w:lvlJc w:val="left"/>
      <w:pPr>
        <w:ind w:left="5760" w:hanging="360"/>
      </w:pPr>
    </w:lvl>
    <w:lvl w:ilvl="8" w:tplc="C55E5576" w:tentative="1">
      <w:start w:val="1"/>
      <w:numFmt w:val="lowerRoman"/>
      <w:lvlText w:val="%9."/>
      <w:lvlJc w:val="right"/>
      <w:pPr>
        <w:ind w:left="6480" w:hanging="180"/>
      </w:pPr>
    </w:lvl>
  </w:abstractNum>
  <w:abstractNum w:abstractNumId="19" w15:restartNumberingAfterBreak="0">
    <w:nsid w:val="4DBD1BD0"/>
    <w:multiLevelType w:val="multilevel"/>
    <w:tmpl w:val="3BE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25A69"/>
    <w:multiLevelType w:val="hybridMultilevel"/>
    <w:tmpl w:val="F7644D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260F9C"/>
    <w:multiLevelType w:val="multilevel"/>
    <w:tmpl w:val="03BC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D6351C"/>
    <w:multiLevelType w:val="multilevel"/>
    <w:tmpl w:val="78167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6D6985"/>
    <w:multiLevelType w:val="multilevel"/>
    <w:tmpl w:val="E062C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FB1132"/>
    <w:multiLevelType w:val="multilevel"/>
    <w:tmpl w:val="A78C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5D4C66"/>
    <w:multiLevelType w:val="multilevel"/>
    <w:tmpl w:val="504C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EE18E1"/>
    <w:multiLevelType w:val="multilevel"/>
    <w:tmpl w:val="6B5AD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BC180A"/>
    <w:multiLevelType w:val="multilevel"/>
    <w:tmpl w:val="DC9A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793E17"/>
    <w:multiLevelType w:val="multilevel"/>
    <w:tmpl w:val="9172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D21CD0"/>
    <w:multiLevelType w:val="multilevel"/>
    <w:tmpl w:val="8968049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C425D5"/>
    <w:multiLevelType w:val="multilevel"/>
    <w:tmpl w:val="4110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3"/>
  </w:num>
  <w:num w:numId="3">
    <w:abstractNumId w:val="11"/>
  </w:num>
  <w:num w:numId="4">
    <w:abstractNumId w:val="29"/>
  </w:num>
  <w:num w:numId="5">
    <w:abstractNumId w:val="26"/>
  </w:num>
  <w:num w:numId="6">
    <w:abstractNumId w:val="3"/>
  </w:num>
  <w:num w:numId="7">
    <w:abstractNumId w:val="10"/>
  </w:num>
  <w:num w:numId="8">
    <w:abstractNumId w:val="9"/>
  </w:num>
  <w:num w:numId="9">
    <w:abstractNumId w:val="17"/>
  </w:num>
  <w:num w:numId="10">
    <w:abstractNumId w:val="2"/>
  </w:num>
  <w:num w:numId="11">
    <w:abstractNumId w:val="4"/>
  </w:num>
  <w:num w:numId="12">
    <w:abstractNumId w:val="27"/>
  </w:num>
  <w:num w:numId="13">
    <w:abstractNumId w:val="21"/>
  </w:num>
  <w:num w:numId="14">
    <w:abstractNumId w:val="22"/>
  </w:num>
  <w:num w:numId="15">
    <w:abstractNumId w:val="24"/>
  </w:num>
  <w:num w:numId="16">
    <w:abstractNumId w:val="13"/>
  </w:num>
  <w:num w:numId="17">
    <w:abstractNumId w:val="19"/>
  </w:num>
  <w:num w:numId="18">
    <w:abstractNumId w:val="28"/>
  </w:num>
  <w:num w:numId="19">
    <w:abstractNumId w:val="25"/>
  </w:num>
  <w:num w:numId="20">
    <w:abstractNumId w:val="8"/>
  </w:num>
  <w:num w:numId="21">
    <w:abstractNumId w:val="6"/>
  </w:num>
  <w:num w:numId="22">
    <w:abstractNumId w:val="7"/>
  </w:num>
  <w:num w:numId="23">
    <w:abstractNumId w:val="12"/>
  </w:num>
  <w:num w:numId="24">
    <w:abstractNumId w:val="0"/>
  </w:num>
  <w:num w:numId="25">
    <w:abstractNumId w:val="14"/>
  </w:num>
  <w:num w:numId="26">
    <w:abstractNumId w:val="16"/>
  </w:num>
  <w:num w:numId="27">
    <w:abstractNumId w:val="1"/>
  </w:num>
  <w:num w:numId="28">
    <w:abstractNumId w:val="15"/>
  </w:num>
  <w:num w:numId="29">
    <w:abstractNumId w:val="5"/>
  </w:num>
  <w:num w:numId="30">
    <w:abstractNumId w:val="20"/>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4C5"/>
    <w:rsid w:val="0003501A"/>
    <w:rsid w:val="000B21A4"/>
    <w:rsid w:val="000C772D"/>
    <w:rsid w:val="000F59B5"/>
    <w:rsid w:val="00153164"/>
    <w:rsid w:val="001E03E5"/>
    <w:rsid w:val="00201B17"/>
    <w:rsid w:val="002A4D52"/>
    <w:rsid w:val="002B6E6D"/>
    <w:rsid w:val="002F4093"/>
    <w:rsid w:val="003225AA"/>
    <w:rsid w:val="00355FAC"/>
    <w:rsid w:val="003C7AB9"/>
    <w:rsid w:val="00416D90"/>
    <w:rsid w:val="00453CAA"/>
    <w:rsid w:val="00477EC0"/>
    <w:rsid w:val="00485EE2"/>
    <w:rsid w:val="004914C9"/>
    <w:rsid w:val="004F63D7"/>
    <w:rsid w:val="005010ED"/>
    <w:rsid w:val="00564196"/>
    <w:rsid w:val="006234AE"/>
    <w:rsid w:val="006330A6"/>
    <w:rsid w:val="00664CCD"/>
    <w:rsid w:val="00665492"/>
    <w:rsid w:val="006F28EA"/>
    <w:rsid w:val="006F327A"/>
    <w:rsid w:val="007229FD"/>
    <w:rsid w:val="0074003B"/>
    <w:rsid w:val="00752728"/>
    <w:rsid w:val="007A3267"/>
    <w:rsid w:val="007D73C7"/>
    <w:rsid w:val="007F18DA"/>
    <w:rsid w:val="008120CB"/>
    <w:rsid w:val="00831E33"/>
    <w:rsid w:val="00873C33"/>
    <w:rsid w:val="008A5404"/>
    <w:rsid w:val="008B47F5"/>
    <w:rsid w:val="008D74A1"/>
    <w:rsid w:val="00913C41"/>
    <w:rsid w:val="00927D67"/>
    <w:rsid w:val="009441E1"/>
    <w:rsid w:val="00946BBB"/>
    <w:rsid w:val="00960429"/>
    <w:rsid w:val="009704EB"/>
    <w:rsid w:val="009B770D"/>
    <w:rsid w:val="009D5C14"/>
    <w:rsid w:val="00A440F3"/>
    <w:rsid w:val="00A6710A"/>
    <w:rsid w:val="00A70CAF"/>
    <w:rsid w:val="00A724C5"/>
    <w:rsid w:val="00B76ACE"/>
    <w:rsid w:val="00BA012E"/>
    <w:rsid w:val="00BB6439"/>
    <w:rsid w:val="00BB7881"/>
    <w:rsid w:val="00BE0356"/>
    <w:rsid w:val="00C1155E"/>
    <w:rsid w:val="00C33823"/>
    <w:rsid w:val="00C34C2B"/>
    <w:rsid w:val="00C61E58"/>
    <w:rsid w:val="00C85DDF"/>
    <w:rsid w:val="00CA685F"/>
    <w:rsid w:val="00CD6118"/>
    <w:rsid w:val="00CE3922"/>
    <w:rsid w:val="00D317AF"/>
    <w:rsid w:val="00D9344A"/>
    <w:rsid w:val="00DA70C8"/>
    <w:rsid w:val="00E00188"/>
    <w:rsid w:val="00E17FE1"/>
    <w:rsid w:val="00E60CB2"/>
    <w:rsid w:val="00F136C3"/>
    <w:rsid w:val="00F13DCC"/>
    <w:rsid w:val="00F3617E"/>
    <w:rsid w:val="00F57B66"/>
    <w:rsid w:val="00F75FA5"/>
    <w:rsid w:val="00FA0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4C37D"/>
  <w15:chartTrackingRefBased/>
  <w15:docId w15:val="{8929CEC8-F2EB-4127-BBED-F90A44608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13D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3D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229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229F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5_G"/>
    <w:basedOn w:val="Normal"/>
    <w:link w:val="FootnoteTextChar"/>
    <w:uiPriority w:val="99"/>
    <w:unhideWhenUsed/>
    <w:qFormat/>
    <w:rsid w:val="00A724C5"/>
    <w:pPr>
      <w:spacing w:after="0" w:line="240" w:lineRule="auto"/>
    </w:pPr>
    <w:rPr>
      <w:sz w:val="20"/>
      <w:szCs w:val="20"/>
      <w:lang w:val="en-US"/>
    </w:r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5_G Char"/>
    <w:basedOn w:val="DefaultParagraphFont"/>
    <w:link w:val="FootnoteText"/>
    <w:uiPriority w:val="99"/>
    <w:rsid w:val="00A724C5"/>
    <w:rPr>
      <w:sz w:val="20"/>
      <w:szCs w:val="20"/>
    </w:rPr>
  </w:style>
  <w:style w:type="character" w:styleId="FootnoteReference">
    <w:name w:val="footnote reference"/>
    <w:aliases w:val="4_G,4_G Zchn Zchn,Appel note de bas de p.,BVI fnr Zchn Zchn,Footnote Reference Number Zchn Zchn,Footnote Refernece Zchn Zchn,Footnote Zchn Zchn,Footnote text,Footnotes refss,Fußnotenzeichen_Raxen Zchn Zchn,callout Zchn Zchn,note TESI"/>
    <w:basedOn w:val="DefaultParagraphFont"/>
    <w:uiPriority w:val="99"/>
    <w:unhideWhenUsed/>
    <w:qFormat/>
    <w:rsid w:val="00A724C5"/>
    <w:rPr>
      <w:vertAlign w:val="superscript"/>
    </w:rPr>
  </w:style>
  <w:style w:type="character" w:styleId="Hyperlink">
    <w:name w:val="Hyperlink"/>
    <w:basedOn w:val="DefaultParagraphFont"/>
    <w:uiPriority w:val="99"/>
    <w:unhideWhenUsed/>
    <w:rsid w:val="00A724C5"/>
    <w:rPr>
      <w:color w:val="0563C1" w:themeColor="hyperlink"/>
      <w:u w:val="single"/>
    </w:rPr>
  </w:style>
  <w:style w:type="character" w:customStyle="1" w:styleId="Heading1Char">
    <w:name w:val="Heading 1 Char"/>
    <w:basedOn w:val="DefaultParagraphFont"/>
    <w:link w:val="Heading1"/>
    <w:uiPriority w:val="9"/>
    <w:rsid w:val="00F13DCC"/>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F13DCC"/>
    <w:pPr>
      <w:outlineLvl w:val="9"/>
    </w:pPr>
    <w:rPr>
      <w:lang w:val="en-US"/>
    </w:rPr>
  </w:style>
  <w:style w:type="character" w:customStyle="1" w:styleId="Heading2Char">
    <w:name w:val="Heading 2 Char"/>
    <w:basedOn w:val="DefaultParagraphFont"/>
    <w:link w:val="Heading2"/>
    <w:uiPriority w:val="9"/>
    <w:rsid w:val="00F13DCC"/>
    <w:rPr>
      <w:rFonts w:asciiTheme="majorHAnsi" w:eastAsiaTheme="majorEastAsia" w:hAnsiTheme="majorHAnsi" w:cstheme="majorBidi"/>
      <w:color w:val="2E74B5" w:themeColor="accent1" w:themeShade="BF"/>
      <w:sz w:val="26"/>
      <w:szCs w:val="26"/>
      <w:lang w:val="en-GB"/>
    </w:rPr>
  </w:style>
  <w:style w:type="paragraph" w:styleId="TOC1">
    <w:name w:val="toc 1"/>
    <w:basedOn w:val="Normal"/>
    <w:next w:val="Normal"/>
    <w:autoRedefine/>
    <w:uiPriority w:val="39"/>
    <w:unhideWhenUsed/>
    <w:rsid w:val="00F13DCC"/>
    <w:pPr>
      <w:spacing w:after="100"/>
    </w:pPr>
  </w:style>
  <w:style w:type="paragraph" w:styleId="TOC2">
    <w:name w:val="toc 2"/>
    <w:basedOn w:val="Normal"/>
    <w:next w:val="Normal"/>
    <w:autoRedefine/>
    <w:uiPriority w:val="39"/>
    <w:unhideWhenUsed/>
    <w:rsid w:val="00F13DCC"/>
    <w:pPr>
      <w:spacing w:after="100"/>
      <w:ind w:left="220"/>
    </w:pPr>
  </w:style>
  <w:style w:type="paragraph" w:styleId="ListParagraph">
    <w:name w:val="List Paragraph"/>
    <w:basedOn w:val="Normal"/>
    <w:uiPriority w:val="34"/>
    <w:qFormat/>
    <w:rsid w:val="00752728"/>
    <w:pPr>
      <w:ind w:left="720"/>
      <w:contextualSpacing/>
    </w:pPr>
  </w:style>
  <w:style w:type="paragraph" w:styleId="TOC3">
    <w:name w:val="toc 3"/>
    <w:basedOn w:val="Normal"/>
    <w:next w:val="Normal"/>
    <w:autoRedefine/>
    <w:uiPriority w:val="39"/>
    <w:unhideWhenUsed/>
    <w:rsid w:val="00A70CAF"/>
    <w:pPr>
      <w:spacing w:after="100"/>
      <w:ind w:left="440"/>
    </w:pPr>
  </w:style>
  <w:style w:type="character" w:customStyle="1" w:styleId="Heading3Char">
    <w:name w:val="Heading 3 Char"/>
    <w:basedOn w:val="DefaultParagraphFont"/>
    <w:link w:val="Heading3"/>
    <w:uiPriority w:val="9"/>
    <w:rsid w:val="007229FD"/>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7229FD"/>
    <w:rPr>
      <w:rFonts w:asciiTheme="majorHAnsi" w:eastAsiaTheme="majorEastAsia" w:hAnsiTheme="majorHAnsi" w:cstheme="majorBidi"/>
      <w:i/>
      <w:iCs/>
      <w:color w:val="2E74B5" w:themeColor="accent1" w:themeShade="BF"/>
      <w:lang w:val="en-GB"/>
    </w:rPr>
  </w:style>
  <w:style w:type="character" w:styleId="FollowedHyperlink">
    <w:name w:val="FollowedHyperlink"/>
    <w:basedOn w:val="DefaultParagraphFont"/>
    <w:uiPriority w:val="99"/>
    <w:semiHidden/>
    <w:unhideWhenUsed/>
    <w:rsid w:val="002F4093"/>
    <w:rPr>
      <w:color w:val="954F72" w:themeColor="followedHyperlink"/>
      <w:u w:val="single"/>
    </w:rPr>
  </w:style>
  <w:style w:type="paragraph" w:styleId="NormalWeb">
    <w:name w:val="Normal (Web)"/>
    <w:basedOn w:val="Normal"/>
    <w:uiPriority w:val="99"/>
    <w:semiHidden/>
    <w:unhideWhenUsed/>
    <w:rsid w:val="009441E1"/>
    <w:rPr>
      <w:rFonts w:ascii="Times New Roman" w:hAnsi="Times New Roman"/>
      <w:sz w:val="24"/>
      <w:szCs w:val="24"/>
    </w:rPr>
  </w:style>
  <w:style w:type="paragraph" w:styleId="Header">
    <w:name w:val="header"/>
    <w:basedOn w:val="Normal"/>
    <w:link w:val="HeaderChar"/>
    <w:uiPriority w:val="99"/>
    <w:unhideWhenUsed/>
    <w:rsid w:val="00F75F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FA5"/>
    <w:rPr>
      <w:lang w:val="en-GB"/>
    </w:rPr>
  </w:style>
  <w:style w:type="paragraph" w:styleId="Footer">
    <w:name w:val="footer"/>
    <w:basedOn w:val="Normal"/>
    <w:link w:val="FooterChar"/>
    <w:uiPriority w:val="99"/>
    <w:unhideWhenUsed/>
    <w:rsid w:val="00F75F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FA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528436">
      <w:bodyDiv w:val="1"/>
      <w:marLeft w:val="0"/>
      <w:marRight w:val="0"/>
      <w:marTop w:val="0"/>
      <w:marBottom w:val="0"/>
      <w:divBdr>
        <w:top w:val="none" w:sz="0" w:space="0" w:color="auto"/>
        <w:left w:val="none" w:sz="0" w:space="0" w:color="auto"/>
        <w:bottom w:val="none" w:sz="0" w:space="0" w:color="auto"/>
        <w:right w:val="none" w:sz="0" w:space="0" w:color="auto"/>
      </w:divBdr>
    </w:div>
    <w:div w:id="249318680">
      <w:bodyDiv w:val="1"/>
      <w:marLeft w:val="0"/>
      <w:marRight w:val="0"/>
      <w:marTop w:val="0"/>
      <w:marBottom w:val="0"/>
      <w:divBdr>
        <w:top w:val="none" w:sz="0" w:space="0" w:color="auto"/>
        <w:left w:val="none" w:sz="0" w:space="0" w:color="auto"/>
        <w:bottom w:val="none" w:sz="0" w:space="0" w:color="auto"/>
        <w:right w:val="none" w:sz="0" w:space="0" w:color="auto"/>
      </w:divBdr>
    </w:div>
    <w:div w:id="318508534">
      <w:bodyDiv w:val="1"/>
      <w:marLeft w:val="0"/>
      <w:marRight w:val="0"/>
      <w:marTop w:val="0"/>
      <w:marBottom w:val="0"/>
      <w:divBdr>
        <w:top w:val="none" w:sz="0" w:space="0" w:color="auto"/>
        <w:left w:val="none" w:sz="0" w:space="0" w:color="auto"/>
        <w:bottom w:val="none" w:sz="0" w:space="0" w:color="auto"/>
        <w:right w:val="none" w:sz="0" w:space="0" w:color="auto"/>
      </w:divBdr>
    </w:div>
    <w:div w:id="418405518">
      <w:bodyDiv w:val="1"/>
      <w:marLeft w:val="0"/>
      <w:marRight w:val="0"/>
      <w:marTop w:val="0"/>
      <w:marBottom w:val="0"/>
      <w:divBdr>
        <w:top w:val="none" w:sz="0" w:space="0" w:color="auto"/>
        <w:left w:val="none" w:sz="0" w:space="0" w:color="auto"/>
        <w:bottom w:val="none" w:sz="0" w:space="0" w:color="auto"/>
        <w:right w:val="none" w:sz="0" w:space="0" w:color="auto"/>
      </w:divBdr>
    </w:div>
    <w:div w:id="444858873">
      <w:bodyDiv w:val="1"/>
      <w:marLeft w:val="0"/>
      <w:marRight w:val="0"/>
      <w:marTop w:val="0"/>
      <w:marBottom w:val="0"/>
      <w:divBdr>
        <w:top w:val="none" w:sz="0" w:space="0" w:color="auto"/>
        <w:left w:val="none" w:sz="0" w:space="0" w:color="auto"/>
        <w:bottom w:val="none" w:sz="0" w:space="0" w:color="auto"/>
        <w:right w:val="none" w:sz="0" w:space="0" w:color="auto"/>
      </w:divBdr>
    </w:div>
    <w:div w:id="494491849">
      <w:bodyDiv w:val="1"/>
      <w:marLeft w:val="0"/>
      <w:marRight w:val="0"/>
      <w:marTop w:val="0"/>
      <w:marBottom w:val="0"/>
      <w:divBdr>
        <w:top w:val="none" w:sz="0" w:space="0" w:color="auto"/>
        <w:left w:val="none" w:sz="0" w:space="0" w:color="auto"/>
        <w:bottom w:val="none" w:sz="0" w:space="0" w:color="auto"/>
        <w:right w:val="none" w:sz="0" w:space="0" w:color="auto"/>
      </w:divBdr>
    </w:div>
    <w:div w:id="564217885">
      <w:bodyDiv w:val="1"/>
      <w:marLeft w:val="0"/>
      <w:marRight w:val="0"/>
      <w:marTop w:val="0"/>
      <w:marBottom w:val="0"/>
      <w:divBdr>
        <w:top w:val="none" w:sz="0" w:space="0" w:color="auto"/>
        <w:left w:val="none" w:sz="0" w:space="0" w:color="auto"/>
        <w:bottom w:val="none" w:sz="0" w:space="0" w:color="auto"/>
        <w:right w:val="none" w:sz="0" w:space="0" w:color="auto"/>
      </w:divBdr>
    </w:div>
    <w:div w:id="590629254">
      <w:bodyDiv w:val="1"/>
      <w:marLeft w:val="0"/>
      <w:marRight w:val="0"/>
      <w:marTop w:val="0"/>
      <w:marBottom w:val="0"/>
      <w:divBdr>
        <w:top w:val="none" w:sz="0" w:space="0" w:color="auto"/>
        <w:left w:val="none" w:sz="0" w:space="0" w:color="auto"/>
        <w:bottom w:val="none" w:sz="0" w:space="0" w:color="auto"/>
        <w:right w:val="none" w:sz="0" w:space="0" w:color="auto"/>
      </w:divBdr>
    </w:div>
    <w:div w:id="615480679">
      <w:bodyDiv w:val="1"/>
      <w:marLeft w:val="0"/>
      <w:marRight w:val="0"/>
      <w:marTop w:val="0"/>
      <w:marBottom w:val="0"/>
      <w:divBdr>
        <w:top w:val="none" w:sz="0" w:space="0" w:color="auto"/>
        <w:left w:val="none" w:sz="0" w:space="0" w:color="auto"/>
        <w:bottom w:val="none" w:sz="0" w:space="0" w:color="auto"/>
        <w:right w:val="none" w:sz="0" w:space="0" w:color="auto"/>
      </w:divBdr>
    </w:div>
    <w:div w:id="738791508">
      <w:bodyDiv w:val="1"/>
      <w:marLeft w:val="0"/>
      <w:marRight w:val="0"/>
      <w:marTop w:val="0"/>
      <w:marBottom w:val="0"/>
      <w:divBdr>
        <w:top w:val="none" w:sz="0" w:space="0" w:color="auto"/>
        <w:left w:val="none" w:sz="0" w:space="0" w:color="auto"/>
        <w:bottom w:val="none" w:sz="0" w:space="0" w:color="auto"/>
        <w:right w:val="none" w:sz="0" w:space="0" w:color="auto"/>
      </w:divBdr>
    </w:div>
    <w:div w:id="744109247">
      <w:bodyDiv w:val="1"/>
      <w:marLeft w:val="0"/>
      <w:marRight w:val="0"/>
      <w:marTop w:val="0"/>
      <w:marBottom w:val="0"/>
      <w:divBdr>
        <w:top w:val="none" w:sz="0" w:space="0" w:color="auto"/>
        <w:left w:val="none" w:sz="0" w:space="0" w:color="auto"/>
        <w:bottom w:val="none" w:sz="0" w:space="0" w:color="auto"/>
        <w:right w:val="none" w:sz="0" w:space="0" w:color="auto"/>
      </w:divBdr>
    </w:div>
    <w:div w:id="792401795">
      <w:bodyDiv w:val="1"/>
      <w:marLeft w:val="0"/>
      <w:marRight w:val="0"/>
      <w:marTop w:val="0"/>
      <w:marBottom w:val="0"/>
      <w:divBdr>
        <w:top w:val="none" w:sz="0" w:space="0" w:color="auto"/>
        <w:left w:val="none" w:sz="0" w:space="0" w:color="auto"/>
        <w:bottom w:val="none" w:sz="0" w:space="0" w:color="auto"/>
        <w:right w:val="none" w:sz="0" w:space="0" w:color="auto"/>
      </w:divBdr>
    </w:div>
    <w:div w:id="824669317">
      <w:bodyDiv w:val="1"/>
      <w:marLeft w:val="0"/>
      <w:marRight w:val="0"/>
      <w:marTop w:val="0"/>
      <w:marBottom w:val="0"/>
      <w:divBdr>
        <w:top w:val="none" w:sz="0" w:space="0" w:color="auto"/>
        <w:left w:val="none" w:sz="0" w:space="0" w:color="auto"/>
        <w:bottom w:val="none" w:sz="0" w:space="0" w:color="auto"/>
        <w:right w:val="none" w:sz="0" w:space="0" w:color="auto"/>
      </w:divBdr>
    </w:div>
    <w:div w:id="845442496">
      <w:bodyDiv w:val="1"/>
      <w:marLeft w:val="0"/>
      <w:marRight w:val="0"/>
      <w:marTop w:val="0"/>
      <w:marBottom w:val="0"/>
      <w:divBdr>
        <w:top w:val="none" w:sz="0" w:space="0" w:color="auto"/>
        <w:left w:val="none" w:sz="0" w:space="0" w:color="auto"/>
        <w:bottom w:val="none" w:sz="0" w:space="0" w:color="auto"/>
        <w:right w:val="none" w:sz="0" w:space="0" w:color="auto"/>
      </w:divBdr>
    </w:div>
    <w:div w:id="1061438814">
      <w:bodyDiv w:val="1"/>
      <w:marLeft w:val="0"/>
      <w:marRight w:val="0"/>
      <w:marTop w:val="0"/>
      <w:marBottom w:val="0"/>
      <w:divBdr>
        <w:top w:val="none" w:sz="0" w:space="0" w:color="auto"/>
        <w:left w:val="none" w:sz="0" w:space="0" w:color="auto"/>
        <w:bottom w:val="none" w:sz="0" w:space="0" w:color="auto"/>
        <w:right w:val="none" w:sz="0" w:space="0" w:color="auto"/>
      </w:divBdr>
    </w:div>
    <w:div w:id="1079055804">
      <w:bodyDiv w:val="1"/>
      <w:marLeft w:val="0"/>
      <w:marRight w:val="0"/>
      <w:marTop w:val="0"/>
      <w:marBottom w:val="0"/>
      <w:divBdr>
        <w:top w:val="none" w:sz="0" w:space="0" w:color="auto"/>
        <w:left w:val="none" w:sz="0" w:space="0" w:color="auto"/>
        <w:bottom w:val="none" w:sz="0" w:space="0" w:color="auto"/>
        <w:right w:val="none" w:sz="0" w:space="0" w:color="auto"/>
      </w:divBdr>
    </w:div>
    <w:div w:id="1120106686">
      <w:bodyDiv w:val="1"/>
      <w:marLeft w:val="0"/>
      <w:marRight w:val="0"/>
      <w:marTop w:val="0"/>
      <w:marBottom w:val="0"/>
      <w:divBdr>
        <w:top w:val="none" w:sz="0" w:space="0" w:color="auto"/>
        <w:left w:val="none" w:sz="0" w:space="0" w:color="auto"/>
        <w:bottom w:val="none" w:sz="0" w:space="0" w:color="auto"/>
        <w:right w:val="none" w:sz="0" w:space="0" w:color="auto"/>
      </w:divBdr>
    </w:div>
    <w:div w:id="1161115797">
      <w:bodyDiv w:val="1"/>
      <w:marLeft w:val="0"/>
      <w:marRight w:val="0"/>
      <w:marTop w:val="0"/>
      <w:marBottom w:val="0"/>
      <w:divBdr>
        <w:top w:val="none" w:sz="0" w:space="0" w:color="auto"/>
        <w:left w:val="none" w:sz="0" w:space="0" w:color="auto"/>
        <w:bottom w:val="none" w:sz="0" w:space="0" w:color="auto"/>
        <w:right w:val="none" w:sz="0" w:space="0" w:color="auto"/>
      </w:divBdr>
    </w:div>
    <w:div w:id="1279607874">
      <w:bodyDiv w:val="1"/>
      <w:marLeft w:val="0"/>
      <w:marRight w:val="0"/>
      <w:marTop w:val="0"/>
      <w:marBottom w:val="0"/>
      <w:divBdr>
        <w:top w:val="none" w:sz="0" w:space="0" w:color="auto"/>
        <w:left w:val="none" w:sz="0" w:space="0" w:color="auto"/>
        <w:bottom w:val="none" w:sz="0" w:space="0" w:color="auto"/>
        <w:right w:val="none" w:sz="0" w:space="0" w:color="auto"/>
      </w:divBdr>
    </w:div>
    <w:div w:id="1324359059">
      <w:bodyDiv w:val="1"/>
      <w:marLeft w:val="0"/>
      <w:marRight w:val="0"/>
      <w:marTop w:val="0"/>
      <w:marBottom w:val="0"/>
      <w:divBdr>
        <w:top w:val="none" w:sz="0" w:space="0" w:color="auto"/>
        <w:left w:val="none" w:sz="0" w:space="0" w:color="auto"/>
        <w:bottom w:val="none" w:sz="0" w:space="0" w:color="auto"/>
        <w:right w:val="none" w:sz="0" w:space="0" w:color="auto"/>
      </w:divBdr>
    </w:div>
    <w:div w:id="1354382486">
      <w:bodyDiv w:val="1"/>
      <w:marLeft w:val="0"/>
      <w:marRight w:val="0"/>
      <w:marTop w:val="0"/>
      <w:marBottom w:val="0"/>
      <w:divBdr>
        <w:top w:val="none" w:sz="0" w:space="0" w:color="auto"/>
        <w:left w:val="none" w:sz="0" w:space="0" w:color="auto"/>
        <w:bottom w:val="none" w:sz="0" w:space="0" w:color="auto"/>
        <w:right w:val="none" w:sz="0" w:space="0" w:color="auto"/>
      </w:divBdr>
    </w:div>
    <w:div w:id="1397435329">
      <w:bodyDiv w:val="1"/>
      <w:marLeft w:val="0"/>
      <w:marRight w:val="0"/>
      <w:marTop w:val="0"/>
      <w:marBottom w:val="0"/>
      <w:divBdr>
        <w:top w:val="none" w:sz="0" w:space="0" w:color="auto"/>
        <w:left w:val="none" w:sz="0" w:space="0" w:color="auto"/>
        <w:bottom w:val="none" w:sz="0" w:space="0" w:color="auto"/>
        <w:right w:val="none" w:sz="0" w:space="0" w:color="auto"/>
      </w:divBdr>
    </w:div>
    <w:div w:id="1492402142">
      <w:bodyDiv w:val="1"/>
      <w:marLeft w:val="0"/>
      <w:marRight w:val="0"/>
      <w:marTop w:val="0"/>
      <w:marBottom w:val="0"/>
      <w:divBdr>
        <w:top w:val="none" w:sz="0" w:space="0" w:color="auto"/>
        <w:left w:val="none" w:sz="0" w:space="0" w:color="auto"/>
        <w:bottom w:val="none" w:sz="0" w:space="0" w:color="auto"/>
        <w:right w:val="none" w:sz="0" w:space="0" w:color="auto"/>
      </w:divBdr>
    </w:div>
    <w:div w:id="1536649006">
      <w:bodyDiv w:val="1"/>
      <w:marLeft w:val="0"/>
      <w:marRight w:val="0"/>
      <w:marTop w:val="0"/>
      <w:marBottom w:val="0"/>
      <w:divBdr>
        <w:top w:val="none" w:sz="0" w:space="0" w:color="auto"/>
        <w:left w:val="none" w:sz="0" w:space="0" w:color="auto"/>
        <w:bottom w:val="none" w:sz="0" w:space="0" w:color="auto"/>
        <w:right w:val="none" w:sz="0" w:space="0" w:color="auto"/>
      </w:divBdr>
    </w:div>
    <w:div w:id="1606812811">
      <w:bodyDiv w:val="1"/>
      <w:marLeft w:val="0"/>
      <w:marRight w:val="0"/>
      <w:marTop w:val="0"/>
      <w:marBottom w:val="0"/>
      <w:divBdr>
        <w:top w:val="none" w:sz="0" w:space="0" w:color="auto"/>
        <w:left w:val="none" w:sz="0" w:space="0" w:color="auto"/>
        <w:bottom w:val="none" w:sz="0" w:space="0" w:color="auto"/>
        <w:right w:val="none" w:sz="0" w:space="0" w:color="auto"/>
      </w:divBdr>
    </w:div>
    <w:div w:id="1755518219">
      <w:bodyDiv w:val="1"/>
      <w:marLeft w:val="0"/>
      <w:marRight w:val="0"/>
      <w:marTop w:val="0"/>
      <w:marBottom w:val="0"/>
      <w:divBdr>
        <w:top w:val="none" w:sz="0" w:space="0" w:color="auto"/>
        <w:left w:val="none" w:sz="0" w:space="0" w:color="auto"/>
        <w:bottom w:val="none" w:sz="0" w:space="0" w:color="auto"/>
        <w:right w:val="none" w:sz="0" w:space="0" w:color="auto"/>
      </w:divBdr>
    </w:div>
    <w:div w:id="1865367441">
      <w:bodyDiv w:val="1"/>
      <w:marLeft w:val="0"/>
      <w:marRight w:val="0"/>
      <w:marTop w:val="0"/>
      <w:marBottom w:val="0"/>
      <w:divBdr>
        <w:top w:val="none" w:sz="0" w:space="0" w:color="auto"/>
        <w:left w:val="none" w:sz="0" w:space="0" w:color="auto"/>
        <w:bottom w:val="none" w:sz="0" w:space="0" w:color="auto"/>
        <w:right w:val="none" w:sz="0" w:space="0" w:color="auto"/>
      </w:divBdr>
    </w:div>
    <w:div w:id="1871406613">
      <w:bodyDiv w:val="1"/>
      <w:marLeft w:val="0"/>
      <w:marRight w:val="0"/>
      <w:marTop w:val="0"/>
      <w:marBottom w:val="0"/>
      <w:divBdr>
        <w:top w:val="none" w:sz="0" w:space="0" w:color="auto"/>
        <w:left w:val="none" w:sz="0" w:space="0" w:color="auto"/>
        <w:bottom w:val="none" w:sz="0" w:space="0" w:color="auto"/>
        <w:right w:val="none" w:sz="0" w:space="0" w:color="auto"/>
      </w:divBdr>
      <w:divsChild>
        <w:div w:id="1461654508">
          <w:marLeft w:val="0"/>
          <w:marRight w:val="0"/>
          <w:marTop w:val="0"/>
          <w:marBottom w:val="0"/>
          <w:divBdr>
            <w:top w:val="none" w:sz="0" w:space="0" w:color="auto"/>
            <w:left w:val="none" w:sz="0" w:space="0" w:color="auto"/>
            <w:bottom w:val="none" w:sz="0" w:space="0" w:color="auto"/>
            <w:right w:val="none" w:sz="0" w:space="0" w:color="auto"/>
          </w:divBdr>
        </w:div>
        <w:div w:id="1294678156">
          <w:marLeft w:val="0"/>
          <w:marRight w:val="0"/>
          <w:marTop w:val="0"/>
          <w:marBottom w:val="0"/>
          <w:divBdr>
            <w:top w:val="none" w:sz="0" w:space="0" w:color="auto"/>
            <w:left w:val="none" w:sz="0" w:space="0" w:color="auto"/>
            <w:bottom w:val="none" w:sz="0" w:space="0" w:color="auto"/>
            <w:right w:val="none" w:sz="0" w:space="0" w:color="auto"/>
          </w:divBdr>
        </w:div>
      </w:divsChild>
    </w:div>
    <w:div w:id="1899898186">
      <w:bodyDiv w:val="1"/>
      <w:marLeft w:val="0"/>
      <w:marRight w:val="0"/>
      <w:marTop w:val="0"/>
      <w:marBottom w:val="0"/>
      <w:divBdr>
        <w:top w:val="none" w:sz="0" w:space="0" w:color="auto"/>
        <w:left w:val="none" w:sz="0" w:space="0" w:color="auto"/>
        <w:bottom w:val="none" w:sz="0" w:space="0" w:color="auto"/>
        <w:right w:val="none" w:sz="0" w:space="0" w:color="auto"/>
      </w:divBdr>
    </w:div>
    <w:div w:id="2010207665">
      <w:bodyDiv w:val="1"/>
      <w:marLeft w:val="0"/>
      <w:marRight w:val="0"/>
      <w:marTop w:val="0"/>
      <w:marBottom w:val="0"/>
      <w:divBdr>
        <w:top w:val="none" w:sz="0" w:space="0" w:color="auto"/>
        <w:left w:val="none" w:sz="0" w:space="0" w:color="auto"/>
        <w:bottom w:val="none" w:sz="0" w:space="0" w:color="auto"/>
        <w:right w:val="none" w:sz="0" w:space="0" w:color="auto"/>
      </w:divBdr>
    </w:div>
    <w:div w:id="2019429816">
      <w:bodyDiv w:val="1"/>
      <w:marLeft w:val="0"/>
      <w:marRight w:val="0"/>
      <w:marTop w:val="0"/>
      <w:marBottom w:val="0"/>
      <w:divBdr>
        <w:top w:val="none" w:sz="0" w:space="0" w:color="auto"/>
        <w:left w:val="none" w:sz="0" w:space="0" w:color="auto"/>
        <w:bottom w:val="none" w:sz="0" w:space="0" w:color="auto"/>
        <w:right w:val="none" w:sz="0" w:space="0" w:color="auto"/>
      </w:divBdr>
    </w:div>
    <w:div w:id="2061325298">
      <w:bodyDiv w:val="1"/>
      <w:marLeft w:val="0"/>
      <w:marRight w:val="0"/>
      <w:marTop w:val="0"/>
      <w:marBottom w:val="0"/>
      <w:divBdr>
        <w:top w:val="none" w:sz="0" w:space="0" w:color="auto"/>
        <w:left w:val="none" w:sz="0" w:space="0" w:color="auto"/>
        <w:bottom w:val="none" w:sz="0" w:space="0" w:color="auto"/>
        <w:right w:val="none" w:sz="0" w:space="0" w:color="auto"/>
      </w:divBdr>
    </w:div>
    <w:div w:id="21368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 TargetMode="External"/><Relationship Id="rId13" Type="http://schemas.openxmlformats.org/officeDocument/2006/relationships/hyperlink" Target="https://government.gospmr.org/czel-obespechit-kachestvennoe-polnoe-srednee-obrazovanie-vovseh-shkolah-respubliki/" TargetMode="External"/><Relationship Id="rId18" Type="http://schemas.openxmlformats.org/officeDocument/2006/relationships/hyperlink" Target="https://government.gospmr.org/wpcontent/uploads/2024/01/postanovlenie-%E2%84%96-22.pdf" TargetMode="External"/><Relationship Id="rId26" Type="http://schemas.openxmlformats.org/officeDocument/2006/relationships/hyperlink" Target="https://domrebenka.idknet.com/index159.html" TargetMode="External"/><Relationship Id="rId3" Type="http://schemas.openxmlformats.org/officeDocument/2006/relationships/hyperlink" Target="https://hudoc.exec.coe.int/" TargetMode="External"/><Relationship Id="rId21" Type="http://schemas.openxmlformats.org/officeDocument/2006/relationships/hyperlink" Target="https://minpros.gospmr.org/about/9952" TargetMode="External"/><Relationship Id="rId7" Type="http://schemas.openxmlformats.org/officeDocument/2006/relationships/hyperlink" Target="https://promolex.md/fara-sprijin-familial-dar-cu-uniforma-militara-regimul-de-la-tiraspol-militarizeaza-educatia-copiilor-orfani/" TargetMode="External"/><Relationship Id="rId12" Type="http://schemas.openxmlformats.org/officeDocument/2006/relationships/hyperlink" Target="https://government.gospmr.org/kachestvennoe-shkolnoe-obrazovanie-prioritet/" TargetMode="External"/><Relationship Id="rId17" Type="http://schemas.openxmlformats.org/officeDocument/2006/relationships/hyperlink" Target="https://mer.gospmr.org/wp-content/uploads/2024/09/post-%E2%84%96-183.pdf" TargetMode="External"/><Relationship Id="rId25" Type="http://schemas.openxmlformats.org/officeDocument/2006/relationships/hyperlink" Target="https://domrebenka.idknet.com/index159.html" TargetMode="External"/><Relationship Id="rId2" Type="http://schemas.openxmlformats.org/officeDocument/2006/relationships/hyperlink" Target="https://hudoc.echr.coe.int/" TargetMode="External"/><Relationship Id="rId16" Type="http://schemas.openxmlformats.org/officeDocument/2006/relationships/hyperlink" Target="https://www.legis.md/cautare/getResults?doc_id=110112&amp;lang=ro" TargetMode="External"/><Relationship Id="rId20" Type="http://schemas.openxmlformats.org/officeDocument/2006/relationships/hyperlink" Target="https://www.vspmr.org/legislation/laws/zakonodateljnie-akti-v-voennoy-sfere-i-v-sfere-oboroni/zakon-pridnestrovskoymoldavskoy-respubliki-o-vseobschey-voinskoy-obyazannosti-i-voennoy-slujbe.html" TargetMode="External"/><Relationship Id="rId29" Type="http://schemas.openxmlformats.org/officeDocument/2006/relationships/hyperlink" Target="https://www.tsvu.idknet.com/index.php/2301-voprosy-svyazannye-s-podgotovkoj-k-nachalu-uchebnogo-goda-obsudili-na-soveshchanii-u-glavy-gosudarstva" TargetMode="External"/><Relationship Id="rId1" Type="http://schemas.openxmlformats.org/officeDocument/2006/relationships/hyperlink" Target="https://promolex.md/?lang=ro" TargetMode="External"/><Relationship Id="rId6" Type="http://schemas.openxmlformats.org/officeDocument/2006/relationships/hyperlink" Target="https://promolex.md/cum-sunt-pregatiti-copiii-din-regiunea-transnistreana-pentru-razboi-copilaria-petrecuta-in-scoala-de-cadeti/" TargetMode="External"/><Relationship Id="rId11" Type="http://schemas.openxmlformats.org/officeDocument/2006/relationships/hyperlink" Target="https://www.gov.md/en/node/53306" TargetMode="External"/><Relationship Id="rId24" Type="http://schemas.openxmlformats.org/officeDocument/2006/relationships/hyperlink" Target="http://www.ombudsmanpmr.org/doclady_upolnomochennogo.htm" TargetMode="External"/><Relationship Id="rId5" Type="http://schemas.openxmlformats.org/officeDocument/2006/relationships/hyperlink" Target="https://promolex.md/copiii-din-regiunea-transnistreana-au-ajuns-si-in-2025-in-taberele-de-reeducare-a-copiilor-ucraineni-organizate-de-centrul-artek-din-crimeea-ocupata/" TargetMode="External"/><Relationship Id="rId15" Type="http://schemas.openxmlformats.org/officeDocument/2006/relationships/hyperlink" Target="https://novostipmr.com/ru/hash/patrioticheskoevospitanie" TargetMode="External"/><Relationship Id="rId23" Type="http://schemas.openxmlformats.org/officeDocument/2006/relationships/hyperlink" Target="https://minsoctrud.gospmr.org/otchet_o_deyatelnosti_ministerstva_po_sotsialnoy_zaschite_i_trudu_pmr/" TargetMode="External"/><Relationship Id="rId28" Type="http://schemas.openxmlformats.org/officeDocument/2006/relationships/hyperlink" Target="https://mvdpmr.org/podrazdeleniya-mvd/gou-rkk/o-korpuse/25577-istoriya-rkk.html" TargetMode="External"/><Relationship Id="rId10" Type="http://schemas.openxmlformats.org/officeDocument/2006/relationships/hyperlink" Target="https://search.coe.int/cm" TargetMode="External"/><Relationship Id="rId19" Type="http://schemas.openxmlformats.org/officeDocument/2006/relationships/hyperlink" Target="https://government.gospmr.org/o-vnesenii-izmenenij-v-postanovlenie-pravitelstva-pridnestrovskoj-moldavskoj-respubliki-ot-31-maya-2023-goda-%e2%84%96-183-ob-ustanovlenii-na-2024-god-predelnyh-urovnej-tarifov-na-uslugi-gaz-3/" TargetMode="External"/><Relationship Id="rId4" Type="http://schemas.openxmlformats.org/officeDocument/2006/relationships/hyperlink" Target="https://promolex.md/wp-content/uploads/2025/02/sumar-raport-dort-2024_ru-1.pdf" TargetMode="External"/><Relationship Id="rId9" Type="http://schemas.openxmlformats.org/officeDocument/2006/relationships/hyperlink" Target="https://www.osce.org/moldova/58104" TargetMode="External"/><Relationship Id="rId14" Type="http://schemas.openxmlformats.org/officeDocument/2006/relationships/hyperlink" Target="https://vspmr.org/news/supreme-council/v-administratsii-prezidenta-obsudili-problemu-malokomplektnih-shkol.html" TargetMode="External"/><Relationship Id="rId22" Type="http://schemas.openxmlformats.org/officeDocument/2006/relationships/hyperlink" Target="http://www.ombudsmanpmr.org/doclady_upolnomochennogo.htm" TargetMode="External"/><Relationship Id="rId27" Type="http://schemas.openxmlformats.org/officeDocument/2006/relationships/hyperlink" Target="https://www.detdompmr.ru/index.php?option=com_content&amp;view=article&amp;id=345:l&#8211;&#8211;r&#8211;&#8211;&#8211;&#8211;&amp;catid=1:2012-07-02-16-22-53&amp;Itemid=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C21207-58F6-4703-AE3B-14573FAF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4996</Words>
  <Characters>28483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Hriplivii</dc:creator>
  <cp:keywords/>
  <dc:description/>
  <cp:lastModifiedBy>Nicoleta Hriplivii</cp:lastModifiedBy>
  <cp:revision>2</cp:revision>
  <cp:lastPrinted>2025-06-30T21:14:00Z</cp:lastPrinted>
  <dcterms:created xsi:type="dcterms:W3CDTF">2025-06-30T21:20:00Z</dcterms:created>
  <dcterms:modified xsi:type="dcterms:W3CDTF">2025-06-30T21:20:00Z</dcterms:modified>
</cp:coreProperties>
</file>