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0715CE3D" w:rsidR="00525B41" w:rsidRDefault="00525B41" w:rsidP="00435CD8">
      <w:pPr>
        <w:spacing w:line="360" w:lineRule="auto"/>
        <w:jc w:val="center"/>
        <w:rPr>
          <w:sz w:val="28"/>
          <w:szCs w:val="28"/>
        </w:rPr>
      </w:pPr>
      <w:r>
        <w:rPr>
          <w:sz w:val="28"/>
          <w:szCs w:val="28"/>
        </w:rPr>
        <w:t>8</w:t>
      </w:r>
      <w:r w:rsidR="00C37F86">
        <w:rPr>
          <w:sz w:val="28"/>
          <w:szCs w:val="28"/>
        </w:rPr>
        <w:t>6</w:t>
      </w:r>
      <w:r w:rsidR="006922F4">
        <w:rPr>
          <w:sz w:val="28"/>
          <w:szCs w:val="28"/>
        </w:rPr>
        <w:t>th</w:t>
      </w:r>
      <w:r>
        <w:rPr>
          <w:sz w:val="28"/>
          <w:szCs w:val="28"/>
        </w:rPr>
        <w:t xml:space="preserve"> session</w:t>
      </w:r>
    </w:p>
    <w:p w14:paraId="62E9B576" w14:textId="3DB3A0D0" w:rsidR="00525B41" w:rsidRPr="001B6288" w:rsidRDefault="00525B41" w:rsidP="00435CD8">
      <w:pPr>
        <w:spacing w:line="360" w:lineRule="auto"/>
        <w:jc w:val="center"/>
        <w:rPr>
          <w:sz w:val="28"/>
          <w:szCs w:val="28"/>
        </w:rPr>
      </w:pPr>
      <w:r>
        <w:rPr>
          <w:sz w:val="28"/>
          <w:szCs w:val="28"/>
        </w:rPr>
        <w:t xml:space="preserve">Geneva, </w:t>
      </w:r>
      <w:r w:rsidR="00C37F86">
        <w:rPr>
          <w:sz w:val="28"/>
          <w:szCs w:val="28"/>
        </w:rPr>
        <w:t>9</w:t>
      </w:r>
      <w:r w:rsidR="00834040">
        <w:rPr>
          <w:sz w:val="28"/>
          <w:szCs w:val="28"/>
        </w:rPr>
        <w:t xml:space="preserve"> to </w:t>
      </w:r>
      <w:r w:rsidR="009C22E9">
        <w:rPr>
          <w:sz w:val="28"/>
          <w:szCs w:val="28"/>
        </w:rPr>
        <w:t>2</w:t>
      </w:r>
      <w:r w:rsidR="00C37F86">
        <w:rPr>
          <w:sz w:val="28"/>
          <w:szCs w:val="28"/>
        </w:rPr>
        <w:t>7</w:t>
      </w:r>
      <w:r w:rsidR="00EB7155">
        <w:rPr>
          <w:sz w:val="28"/>
          <w:szCs w:val="28"/>
        </w:rPr>
        <w:t xml:space="preserve"> </w:t>
      </w:r>
      <w:r w:rsidR="00C37F86">
        <w:rPr>
          <w:sz w:val="28"/>
          <w:szCs w:val="28"/>
        </w:rPr>
        <w:t xml:space="preserve">October </w:t>
      </w:r>
      <w:r>
        <w:rPr>
          <w:sz w:val="28"/>
          <w:szCs w:val="28"/>
        </w:rPr>
        <w:t>202</w:t>
      </w:r>
      <w:r w:rsidR="00695108">
        <w:rPr>
          <w:sz w:val="28"/>
          <w:szCs w:val="28"/>
        </w:rPr>
        <w:t>3</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4F8B6F95" w:rsidR="00435CD8" w:rsidRPr="001B6288" w:rsidRDefault="00435CD8" w:rsidP="00435CD8">
      <w:pPr>
        <w:ind w:left="360"/>
        <w:jc w:val="center"/>
        <w:rPr>
          <w:sz w:val="28"/>
          <w:szCs w:val="28"/>
          <w:lang w:val="en-US"/>
        </w:rPr>
      </w:pPr>
      <w:r w:rsidRPr="001B6288">
        <w:rPr>
          <w:sz w:val="28"/>
          <w:szCs w:val="28"/>
          <w:lang w:val="en-US"/>
        </w:rPr>
        <w:t xml:space="preserve">Mr. </w:t>
      </w:r>
      <w:r w:rsidR="00A167E1">
        <w:rPr>
          <w:sz w:val="28"/>
          <w:szCs w:val="28"/>
          <w:lang w:val="en-US"/>
        </w:rPr>
        <w:t>An</w:t>
      </w:r>
      <w:r w:rsidR="00B3389B">
        <w:rPr>
          <w:sz w:val="28"/>
          <w:szCs w:val="28"/>
          <w:lang w:val="en-US"/>
        </w:rPr>
        <w:t>d</w:t>
      </w:r>
      <w:r w:rsidR="00A167E1">
        <w:rPr>
          <w:sz w:val="28"/>
          <w:szCs w:val="28"/>
          <w:lang w:val="en-US"/>
        </w:rPr>
        <w:t>rea Ori</w:t>
      </w:r>
    </w:p>
    <w:p w14:paraId="1A17B982" w14:textId="2304AA09" w:rsidR="00A447B3"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04FBDE1C" w14:textId="2722E5BC" w:rsidR="00A167E1" w:rsidRPr="001B6288" w:rsidRDefault="00A167E1" w:rsidP="00A447B3">
      <w:pPr>
        <w:ind w:left="360"/>
        <w:jc w:val="center"/>
        <w:rPr>
          <w:sz w:val="28"/>
          <w:szCs w:val="28"/>
          <w:lang w:val="en-US"/>
        </w:rPr>
      </w:pPr>
      <w:r>
        <w:rPr>
          <w:sz w:val="28"/>
          <w:szCs w:val="28"/>
          <w:lang w:val="en-US"/>
        </w:rPr>
        <w:t>Groups in Focus Section</w:t>
      </w:r>
    </w:p>
    <w:p w14:paraId="512E5041" w14:textId="36DECFE2" w:rsidR="00286592" w:rsidRDefault="00EB7155" w:rsidP="00A447B3">
      <w:pPr>
        <w:ind w:left="360"/>
        <w:jc w:val="center"/>
        <w:rPr>
          <w:sz w:val="28"/>
          <w:szCs w:val="28"/>
          <w:lang w:val="en-US"/>
        </w:rPr>
      </w:pPr>
      <w:r>
        <w:rPr>
          <w:sz w:val="28"/>
          <w:szCs w:val="28"/>
          <w:lang w:val="en-US"/>
        </w:rPr>
        <w:t>Human Rights Treaties Branch</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2BB004CD" w:rsidR="00435CD8" w:rsidRDefault="00C37F86"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 xml:space="preserve">9 October </w:t>
      </w:r>
      <w:r w:rsidR="00435CD8" w:rsidRPr="001B6288">
        <w:rPr>
          <w:rFonts w:eastAsia="Calibri"/>
          <w:sz w:val="28"/>
          <w:szCs w:val="28"/>
          <w:lang w:val="en-US" w:eastAsia="en-US"/>
        </w:rPr>
        <w:t>202</w:t>
      </w:r>
      <w:r w:rsidR="006922F4">
        <w:rPr>
          <w:rFonts w:eastAsia="Calibri"/>
          <w:sz w:val="28"/>
          <w:szCs w:val="28"/>
          <w:lang w:val="en-US" w:eastAsia="en-US"/>
        </w:rPr>
        <w:t>3</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39BB3CDB"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86592">
        <w:rPr>
          <w:b/>
          <w:sz w:val="28"/>
          <w:szCs w:val="28"/>
        </w:rPr>
        <w:t>y-</w:t>
      </w:r>
      <w:r w:rsidR="00C37F86">
        <w:rPr>
          <w:b/>
          <w:sz w:val="28"/>
          <w:szCs w:val="28"/>
        </w:rPr>
        <w:t>sixth</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5F1A6CD5" w14:textId="058C8CA1" w:rsidR="00C00D1E" w:rsidRDefault="00C00D1E" w:rsidP="006922F4">
      <w:pPr>
        <w:ind w:firstLine="720"/>
        <w:jc w:val="both"/>
        <w:rPr>
          <w:sz w:val="28"/>
          <w:szCs w:val="28"/>
        </w:rPr>
      </w:pPr>
    </w:p>
    <w:p w14:paraId="7BFBBB80" w14:textId="77777777" w:rsidR="00C00D1E" w:rsidRDefault="00C00D1E" w:rsidP="006922F4">
      <w:pPr>
        <w:ind w:firstLine="720"/>
        <w:jc w:val="both"/>
        <w:rPr>
          <w:sz w:val="28"/>
          <w:szCs w:val="28"/>
        </w:rPr>
      </w:pPr>
    </w:p>
    <w:p w14:paraId="3F031401" w14:textId="77777777" w:rsidR="00C00D1E" w:rsidRPr="004215A1" w:rsidRDefault="00C00D1E" w:rsidP="00C00D1E">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62144760" w14:textId="742333F1" w:rsidR="00C00D1E" w:rsidRDefault="00C00D1E" w:rsidP="00C00D1E">
      <w:pPr>
        <w:jc w:val="both"/>
        <w:rPr>
          <w:sz w:val="28"/>
          <w:szCs w:val="28"/>
        </w:rPr>
      </w:pPr>
      <w:r w:rsidRPr="007A1CBF">
        <w:rPr>
          <w:b/>
          <w:sz w:val="28"/>
          <w:szCs w:val="28"/>
          <w:shd w:val="clear" w:color="auto" w:fill="FFFFFF"/>
        </w:rPr>
        <w:t>Distinguished members,</w:t>
      </w:r>
    </w:p>
    <w:p w14:paraId="6B8914D1" w14:textId="77777777" w:rsidR="00C37F86" w:rsidRDefault="00C37F86" w:rsidP="003F43B3">
      <w:pPr>
        <w:autoSpaceDE w:val="0"/>
        <w:autoSpaceDN w:val="0"/>
        <w:adjustRightInd w:val="0"/>
        <w:jc w:val="both"/>
        <w:rPr>
          <w:b/>
          <w:sz w:val="28"/>
          <w:szCs w:val="28"/>
          <w:shd w:val="clear" w:color="auto" w:fill="FFFFFF"/>
        </w:rPr>
      </w:pPr>
    </w:p>
    <w:p w14:paraId="5234F8AC" w14:textId="289A8868" w:rsidR="00C37F86" w:rsidRPr="00C37F86" w:rsidRDefault="00C37F86" w:rsidP="00C37F86">
      <w:pPr>
        <w:ind w:firstLine="567"/>
        <w:jc w:val="both"/>
        <w:rPr>
          <w:sz w:val="28"/>
          <w:szCs w:val="28"/>
        </w:rPr>
      </w:pPr>
      <w:r w:rsidRPr="00C37F86">
        <w:rPr>
          <w:sz w:val="28"/>
          <w:szCs w:val="28"/>
        </w:rPr>
        <w:t>This year marks the seventy-fifth anniversary of the Universal Declaration of Human Rights, a fundamental document which was influenced and shaped by the work of the visionary women who contributed to its drafting. Both as part of the Drafting Commit</w:t>
      </w:r>
      <w:r>
        <w:rPr>
          <w:sz w:val="28"/>
          <w:szCs w:val="28"/>
        </w:rPr>
        <w:t>t</w:t>
      </w:r>
      <w:r w:rsidRPr="00C37F86">
        <w:rPr>
          <w:sz w:val="28"/>
          <w:szCs w:val="28"/>
        </w:rPr>
        <w:t xml:space="preserve">ee and of the Commission on Human Rights, women delegates introduced particular rights and tailored the language of the text to ensure that women’s human rights were adequately integrated into the </w:t>
      </w:r>
      <w:r w:rsidR="0030385E">
        <w:rPr>
          <w:sz w:val="28"/>
          <w:szCs w:val="28"/>
        </w:rPr>
        <w:t xml:space="preserve">Universal </w:t>
      </w:r>
      <w:r w:rsidRPr="00C37F86">
        <w:rPr>
          <w:sz w:val="28"/>
          <w:szCs w:val="28"/>
        </w:rPr>
        <w:t>Declaration.</w:t>
      </w:r>
    </w:p>
    <w:p w14:paraId="0C4E0725" w14:textId="77777777" w:rsidR="00C37F86" w:rsidRPr="00C37F86" w:rsidRDefault="00C37F86" w:rsidP="00C37F86">
      <w:pPr>
        <w:ind w:firstLine="567"/>
        <w:jc w:val="both"/>
        <w:rPr>
          <w:sz w:val="28"/>
          <w:szCs w:val="28"/>
        </w:rPr>
      </w:pPr>
    </w:p>
    <w:p w14:paraId="50A6683A" w14:textId="28A520F5" w:rsidR="00D04139" w:rsidRDefault="00C37F86" w:rsidP="00F70235">
      <w:pPr>
        <w:ind w:firstLine="567"/>
        <w:jc w:val="both"/>
        <w:rPr>
          <w:sz w:val="28"/>
          <w:szCs w:val="28"/>
        </w:rPr>
      </w:pPr>
      <w:r w:rsidRPr="00C37F86">
        <w:rPr>
          <w:rFonts w:eastAsia="Calibri"/>
          <w:sz w:val="28"/>
          <w:szCs w:val="28"/>
        </w:rPr>
        <w:t xml:space="preserve">The participation and equal representation of women in </w:t>
      </w:r>
      <w:r>
        <w:rPr>
          <w:rFonts w:eastAsia="Calibri"/>
          <w:sz w:val="28"/>
          <w:szCs w:val="28"/>
        </w:rPr>
        <w:t>decision-making</w:t>
      </w:r>
      <w:r w:rsidRPr="00C37F86">
        <w:rPr>
          <w:sz w:val="28"/>
          <w:szCs w:val="28"/>
        </w:rPr>
        <w:t xml:space="preserve"> is paramount to ensure the protection and promotion of human rights for all</w:t>
      </w:r>
      <w:r>
        <w:rPr>
          <w:sz w:val="28"/>
          <w:szCs w:val="28"/>
        </w:rPr>
        <w:t xml:space="preserve">. It is </w:t>
      </w:r>
      <w:r w:rsidR="00D04139">
        <w:rPr>
          <w:sz w:val="28"/>
          <w:szCs w:val="28"/>
        </w:rPr>
        <w:t xml:space="preserve">not only a question of justice or democracy, but </w:t>
      </w:r>
      <w:r w:rsidRPr="00C37F86">
        <w:rPr>
          <w:rFonts w:eastAsia="Times New Roman"/>
          <w:sz w:val="28"/>
          <w:szCs w:val="28"/>
        </w:rPr>
        <w:t>also a crucial factor to address the multiple global challenges we are facing, including climate change, protracted conflicts, and economic crises.</w:t>
      </w:r>
      <w:r w:rsidR="00D04139">
        <w:rPr>
          <w:rFonts w:eastAsia="Times New Roman"/>
          <w:sz w:val="28"/>
          <w:szCs w:val="28"/>
        </w:rPr>
        <w:t xml:space="preserve"> </w:t>
      </w:r>
      <w:r w:rsidR="00D04139">
        <w:rPr>
          <w:sz w:val="28"/>
          <w:szCs w:val="28"/>
        </w:rPr>
        <w:t xml:space="preserve">In this context, I commend the Committee on its </w:t>
      </w:r>
      <w:r w:rsidR="0030385E">
        <w:rPr>
          <w:sz w:val="28"/>
          <w:szCs w:val="28"/>
        </w:rPr>
        <w:t xml:space="preserve">important </w:t>
      </w:r>
      <w:r w:rsidR="00D04139">
        <w:rPr>
          <w:sz w:val="28"/>
          <w:szCs w:val="28"/>
        </w:rPr>
        <w:t xml:space="preserve">work on </w:t>
      </w:r>
      <w:r w:rsidR="0030385E">
        <w:rPr>
          <w:sz w:val="28"/>
          <w:szCs w:val="28"/>
        </w:rPr>
        <w:t>draft G</w:t>
      </w:r>
      <w:r w:rsidR="00D04139">
        <w:rPr>
          <w:sz w:val="28"/>
          <w:szCs w:val="28"/>
        </w:rPr>
        <w:t xml:space="preserve">eneral </w:t>
      </w:r>
      <w:r w:rsidR="0030385E">
        <w:rPr>
          <w:sz w:val="28"/>
          <w:szCs w:val="28"/>
        </w:rPr>
        <w:t>R</w:t>
      </w:r>
      <w:r w:rsidR="00D04139">
        <w:rPr>
          <w:sz w:val="28"/>
          <w:szCs w:val="28"/>
        </w:rPr>
        <w:t xml:space="preserve">ecommendation </w:t>
      </w:r>
      <w:r w:rsidR="0030385E">
        <w:rPr>
          <w:sz w:val="28"/>
          <w:szCs w:val="28"/>
        </w:rPr>
        <w:t xml:space="preserve">No. 40 </w:t>
      </w:r>
      <w:r w:rsidR="00D04139">
        <w:rPr>
          <w:sz w:val="28"/>
          <w:szCs w:val="28"/>
        </w:rPr>
        <w:t>on the equal and inclusive representation of women in decision-making systems.</w:t>
      </w:r>
      <w:r w:rsidR="0030385E">
        <w:rPr>
          <w:sz w:val="28"/>
          <w:szCs w:val="28"/>
        </w:rPr>
        <w:t xml:space="preserve"> Equally important, I wish to acknowledge the Committee’s preparatory work for a general recommendation on gender stereotypes. The elimination of </w:t>
      </w:r>
      <w:r w:rsidR="00711B70">
        <w:rPr>
          <w:sz w:val="28"/>
          <w:szCs w:val="28"/>
        </w:rPr>
        <w:t xml:space="preserve">gender </w:t>
      </w:r>
      <w:r w:rsidR="0030385E">
        <w:rPr>
          <w:sz w:val="28"/>
          <w:szCs w:val="28"/>
        </w:rPr>
        <w:t xml:space="preserve">stereotypes is an essential condition for women’s full enjoyment of </w:t>
      </w:r>
      <w:r w:rsidR="00711B70">
        <w:rPr>
          <w:sz w:val="28"/>
          <w:szCs w:val="28"/>
        </w:rPr>
        <w:t xml:space="preserve">all </w:t>
      </w:r>
      <w:r w:rsidR="0030385E">
        <w:rPr>
          <w:sz w:val="28"/>
          <w:szCs w:val="28"/>
        </w:rPr>
        <w:t xml:space="preserve">human rights and </w:t>
      </w:r>
      <w:r w:rsidR="00711B70">
        <w:rPr>
          <w:sz w:val="28"/>
          <w:szCs w:val="28"/>
        </w:rPr>
        <w:t xml:space="preserve">their </w:t>
      </w:r>
      <w:r w:rsidR="0030385E">
        <w:rPr>
          <w:sz w:val="28"/>
          <w:szCs w:val="28"/>
        </w:rPr>
        <w:t>equal participation</w:t>
      </w:r>
      <w:r w:rsidR="00711B70">
        <w:rPr>
          <w:sz w:val="28"/>
          <w:szCs w:val="28"/>
        </w:rPr>
        <w:t>,</w:t>
      </w:r>
      <w:r w:rsidR="0030385E">
        <w:rPr>
          <w:sz w:val="28"/>
          <w:szCs w:val="28"/>
        </w:rPr>
        <w:t xml:space="preserve"> free from gender-based violence and discrimination</w:t>
      </w:r>
      <w:r w:rsidR="00711B70">
        <w:rPr>
          <w:sz w:val="28"/>
          <w:szCs w:val="28"/>
        </w:rPr>
        <w:t>,</w:t>
      </w:r>
      <w:r w:rsidR="0030385E">
        <w:rPr>
          <w:sz w:val="28"/>
          <w:szCs w:val="28"/>
        </w:rPr>
        <w:t xml:space="preserve"> in </w:t>
      </w:r>
      <w:r w:rsidR="00711B70">
        <w:rPr>
          <w:sz w:val="28"/>
          <w:szCs w:val="28"/>
        </w:rPr>
        <w:t>decision-making</w:t>
      </w:r>
      <w:r w:rsidR="0030385E">
        <w:rPr>
          <w:sz w:val="28"/>
          <w:szCs w:val="28"/>
        </w:rPr>
        <w:t>.</w:t>
      </w:r>
    </w:p>
    <w:p w14:paraId="693F2E34" w14:textId="77777777" w:rsidR="00D04139" w:rsidRDefault="00D04139" w:rsidP="00F70235">
      <w:pPr>
        <w:ind w:firstLine="567"/>
        <w:jc w:val="both"/>
        <w:rPr>
          <w:sz w:val="28"/>
          <w:szCs w:val="28"/>
        </w:rPr>
      </w:pPr>
    </w:p>
    <w:p w14:paraId="0039E158" w14:textId="77777777" w:rsidR="00711B70" w:rsidRDefault="00D04139" w:rsidP="00F70235">
      <w:pPr>
        <w:ind w:firstLine="567"/>
        <w:jc w:val="both"/>
        <w:rPr>
          <w:rFonts w:cstheme="minorHAnsi"/>
          <w:sz w:val="28"/>
          <w:szCs w:val="28"/>
        </w:rPr>
      </w:pPr>
      <w:r>
        <w:rPr>
          <w:sz w:val="28"/>
          <w:szCs w:val="28"/>
        </w:rPr>
        <w:t xml:space="preserve">I am pleased </w:t>
      </w:r>
      <w:r w:rsidR="00711B70">
        <w:rPr>
          <w:sz w:val="28"/>
          <w:szCs w:val="28"/>
        </w:rPr>
        <w:t xml:space="preserve">to inform you </w:t>
      </w:r>
      <w:r>
        <w:rPr>
          <w:sz w:val="28"/>
          <w:szCs w:val="28"/>
        </w:rPr>
        <w:t>that the Office of the High Commissioner for Human Rights and the Inter-Parliamentary Union jointly published the second revised edition of the CEDW Handbook for Parliamentarians</w:t>
      </w:r>
      <w:r w:rsidR="0030385E">
        <w:rPr>
          <w:sz w:val="28"/>
          <w:szCs w:val="28"/>
        </w:rPr>
        <w:t>, in four languages</w:t>
      </w:r>
      <w:r>
        <w:rPr>
          <w:sz w:val="28"/>
          <w:szCs w:val="28"/>
        </w:rPr>
        <w:t xml:space="preserve">. The Handbook was launched on 22 June at a hybrid event at IPU Headquarters, in which many </w:t>
      </w:r>
      <w:r w:rsidR="0030385E">
        <w:rPr>
          <w:sz w:val="28"/>
          <w:szCs w:val="28"/>
        </w:rPr>
        <w:t>of you</w:t>
      </w:r>
      <w:r>
        <w:rPr>
          <w:sz w:val="28"/>
          <w:szCs w:val="28"/>
        </w:rPr>
        <w:t xml:space="preserve"> participated</w:t>
      </w:r>
      <w:r w:rsidRPr="0030385E">
        <w:rPr>
          <w:sz w:val="28"/>
          <w:szCs w:val="28"/>
        </w:rPr>
        <w:t xml:space="preserve">. </w:t>
      </w:r>
      <w:r w:rsidR="0030385E" w:rsidRPr="0030385E">
        <w:rPr>
          <w:sz w:val="28"/>
          <w:szCs w:val="28"/>
        </w:rPr>
        <w:t xml:space="preserve">It </w:t>
      </w:r>
      <w:r w:rsidR="0030385E" w:rsidRPr="0030385E">
        <w:rPr>
          <w:rFonts w:cstheme="minorHAnsi"/>
          <w:sz w:val="28"/>
          <w:szCs w:val="28"/>
        </w:rPr>
        <w:t>aims to serve as a practical tool for Parliamentarians so that they can better understand relevant obligations and standards under the Convention and domesticate them through national law-making. It draws on the guidance of the Committee and other relevant mechanisms and showcases national good practices in implementing the Convention.</w:t>
      </w:r>
    </w:p>
    <w:p w14:paraId="51BCF0D1" w14:textId="4786A264" w:rsidR="001A60C2" w:rsidRPr="00AC1053" w:rsidRDefault="001A60C2" w:rsidP="001A60C2">
      <w:pPr>
        <w:ind w:firstLine="567"/>
        <w:jc w:val="both"/>
        <w:rPr>
          <w:sz w:val="28"/>
          <w:szCs w:val="28"/>
          <w:lang w:eastAsia="en-GB"/>
        </w:rPr>
      </w:pPr>
    </w:p>
    <w:p w14:paraId="53CB6539" w14:textId="300E33E7" w:rsidR="008517C9" w:rsidRPr="004215A1" w:rsidRDefault="008517C9" w:rsidP="004E0BEB">
      <w:pPr>
        <w:autoSpaceDE w:val="0"/>
        <w:autoSpaceDN w:val="0"/>
        <w:adjustRightInd w:val="0"/>
        <w:jc w:val="both"/>
        <w:rPr>
          <w:b/>
          <w:sz w:val="28"/>
          <w:szCs w:val="28"/>
          <w:shd w:val="clear" w:color="auto" w:fill="FFFFFF"/>
        </w:rPr>
      </w:pPr>
      <w:r w:rsidRPr="004215A1">
        <w:rPr>
          <w:b/>
          <w:sz w:val="28"/>
          <w:szCs w:val="28"/>
          <w:shd w:val="clear" w:color="auto" w:fill="FFFFFF"/>
        </w:rPr>
        <w:lastRenderedPageBreak/>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78330B5D" w14:textId="737399E7" w:rsidR="00614681" w:rsidRDefault="00711B70" w:rsidP="007A1CBF">
      <w:pPr>
        <w:ind w:firstLine="720"/>
        <w:contextualSpacing/>
        <w:jc w:val="both"/>
        <w:rPr>
          <w:sz w:val="28"/>
          <w:szCs w:val="28"/>
        </w:rPr>
      </w:pPr>
      <w:r>
        <w:rPr>
          <w:sz w:val="28"/>
          <w:szCs w:val="28"/>
        </w:rPr>
        <w:t>Today, the Human Rights Council goes into the last week of its 54</w:t>
      </w:r>
      <w:r w:rsidRPr="00711B70">
        <w:rPr>
          <w:sz w:val="28"/>
          <w:szCs w:val="28"/>
          <w:vertAlign w:val="superscript"/>
        </w:rPr>
        <w:t>th</w:t>
      </w:r>
      <w:r>
        <w:rPr>
          <w:sz w:val="28"/>
          <w:szCs w:val="28"/>
        </w:rPr>
        <w:t xml:space="preserve"> session. </w:t>
      </w:r>
      <w:r w:rsidR="007D0D89">
        <w:rPr>
          <w:sz w:val="28"/>
          <w:szCs w:val="28"/>
        </w:rPr>
        <w:t xml:space="preserve">On </w:t>
      </w:r>
      <w:r>
        <w:rPr>
          <w:sz w:val="28"/>
          <w:szCs w:val="28"/>
        </w:rPr>
        <w:t xml:space="preserve">25 September, it held its annual discussion on the integration of a gender perspective throughout the work of the Council and that of its mechanisms, which focused on gender parity as a key element of gender equality and how it contributes to the integration of a gender perspective </w:t>
      </w:r>
      <w:r w:rsidR="00614681">
        <w:rPr>
          <w:sz w:val="28"/>
          <w:szCs w:val="28"/>
        </w:rPr>
        <w:t>in the work of international human rights bodies. The panel discussion was opened by the Deputy High Commissioner, Nada Al-Nashif, and took stock of the progress achieved and remaining challenges to achieve parity in the Council, its mechanisms and other international human rights bodies and ensure a more balanced participation of women and men in decision-making processes.</w:t>
      </w:r>
    </w:p>
    <w:p w14:paraId="34E4349F" w14:textId="31C37B6C" w:rsidR="00614681" w:rsidRDefault="00614681" w:rsidP="007A1CBF">
      <w:pPr>
        <w:ind w:firstLine="720"/>
        <w:contextualSpacing/>
        <w:jc w:val="both"/>
        <w:rPr>
          <w:sz w:val="28"/>
          <w:szCs w:val="28"/>
        </w:rPr>
      </w:pPr>
    </w:p>
    <w:p w14:paraId="3362B8E6" w14:textId="5EC147F2" w:rsidR="00614681" w:rsidRDefault="00614681" w:rsidP="007A1CBF">
      <w:pPr>
        <w:ind w:firstLine="720"/>
        <w:contextualSpacing/>
        <w:jc w:val="both"/>
        <w:rPr>
          <w:sz w:val="28"/>
          <w:szCs w:val="28"/>
        </w:rPr>
      </w:pPr>
      <w:r>
        <w:rPr>
          <w:sz w:val="28"/>
          <w:szCs w:val="28"/>
        </w:rPr>
        <w:t xml:space="preserve">On 27 September, the Council convened its annual half-day panel discussion on the rights of indigenous peoples under the theme “The impact of certain development projects on the rights of indigenous peoples, in particular the impact on indigenous women”. </w:t>
      </w:r>
      <w:r w:rsidR="003570B1">
        <w:rPr>
          <w:sz w:val="28"/>
          <w:szCs w:val="28"/>
        </w:rPr>
        <w:t xml:space="preserve">The panel was opened by the Assistant Secretary-General for Human Rights, Ilze Brands Kehris. </w:t>
      </w:r>
      <w:r w:rsidR="00F9466A">
        <w:rPr>
          <w:sz w:val="28"/>
          <w:szCs w:val="28"/>
        </w:rPr>
        <w:t>I</w:t>
      </w:r>
      <w:r>
        <w:rPr>
          <w:sz w:val="28"/>
          <w:szCs w:val="28"/>
        </w:rPr>
        <w:t xml:space="preserve">t focused </w:t>
      </w:r>
      <w:r w:rsidR="00F9466A">
        <w:rPr>
          <w:sz w:val="28"/>
          <w:szCs w:val="28"/>
        </w:rPr>
        <w:t xml:space="preserve">on </w:t>
      </w:r>
      <w:r>
        <w:rPr>
          <w:sz w:val="28"/>
          <w:szCs w:val="28"/>
        </w:rPr>
        <w:t>land rights, access to natural resources, cultural preservation, and socio-economic opportunities.</w:t>
      </w:r>
      <w:r w:rsidR="00F9466A">
        <w:rPr>
          <w:sz w:val="28"/>
          <w:szCs w:val="28"/>
        </w:rPr>
        <w:t xml:space="preserve"> </w:t>
      </w:r>
      <w:r w:rsidR="00873D4E">
        <w:rPr>
          <w:sz w:val="28"/>
          <w:szCs w:val="28"/>
        </w:rPr>
        <w:t xml:space="preserve">Recalling </w:t>
      </w:r>
      <w:r w:rsidR="00F9466A">
        <w:rPr>
          <w:sz w:val="28"/>
          <w:szCs w:val="28"/>
        </w:rPr>
        <w:t xml:space="preserve">CEDAW’s General Recommendation No. 39 (2022) on the rights of indigenous women and girls, </w:t>
      </w:r>
      <w:r w:rsidR="00873D4E">
        <w:rPr>
          <w:sz w:val="28"/>
          <w:szCs w:val="28"/>
        </w:rPr>
        <w:t xml:space="preserve">the concept note for the panel </w:t>
      </w:r>
      <w:r w:rsidR="00F9466A">
        <w:rPr>
          <w:sz w:val="28"/>
          <w:szCs w:val="28"/>
        </w:rPr>
        <w:t xml:space="preserve">highlighted that indigenous women’s </w:t>
      </w:r>
      <w:r w:rsidR="00873D4E">
        <w:rPr>
          <w:sz w:val="28"/>
          <w:szCs w:val="28"/>
        </w:rPr>
        <w:t xml:space="preserve">lack of legal title to indigenous territories leaves them susceptible to the adverse impact of development projects without their free, prior and informed consent. It also recalled that opposition to non-consensual development projects subjects many indigenous women human rights defenders to threats, violence, killings, harassment, arbitrary </w:t>
      </w:r>
      <w:r w:rsidR="00C11B4A">
        <w:rPr>
          <w:sz w:val="28"/>
          <w:szCs w:val="28"/>
        </w:rPr>
        <w:t>detention,</w:t>
      </w:r>
      <w:r w:rsidR="00873D4E">
        <w:rPr>
          <w:sz w:val="28"/>
          <w:szCs w:val="28"/>
        </w:rPr>
        <w:t xml:space="preserve"> and the criminalization of their work.</w:t>
      </w:r>
    </w:p>
    <w:p w14:paraId="35F6251C" w14:textId="77777777" w:rsidR="00614681" w:rsidRPr="003570B1" w:rsidRDefault="00614681" w:rsidP="007A1CBF">
      <w:pPr>
        <w:ind w:firstLine="720"/>
        <w:contextualSpacing/>
        <w:jc w:val="both"/>
        <w:rPr>
          <w:sz w:val="28"/>
          <w:szCs w:val="28"/>
        </w:rPr>
      </w:pPr>
    </w:p>
    <w:p w14:paraId="4CC196DE" w14:textId="2B244D2F" w:rsidR="00AF2E13" w:rsidRDefault="00B3389B" w:rsidP="007A1CBF">
      <w:pPr>
        <w:ind w:firstLine="720"/>
        <w:contextualSpacing/>
        <w:jc w:val="both"/>
        <w:rPr>
          <w:rStyle w:val="normaltextrun"/>
          <w:sz w:val="28"/>
          <w:szCs w:val="28"/>
          <w:shd w:val="clear" w:color="auto" w:fill="FFFFFF"/>
          <w:lang w:val="en-US"/>
        </w:rPr>
      </w:pPr>
      <w:hyperlink r:id="rId9" w:tgtFrame="_blank" w:history="1">
        <w:r w:rsidR="003570B1" w:rsidRPr="003570B1">
          <w:rPr>
            <w:rStyle w:val="normaltextrun"/>
            <w:sz w:val="28"/>
            <w:szCs w:val="28"/>
            <w:shd w:val="clear" w:color="auto" w:fill="FFFFFF"/>
            <w:lang w:val="en-US"/>
          </w:rPr>
          <w:t xml:space="preserve">The </w:t>
        </w:r>
        <w:r w:rsidR="003570B1">
          <w:rPr>
            <w:rStyle w:val="normaltextrun"/>
            <w:sz w:val="28"/>
            <w:szCs w:val="28"/>
            <w:shd w:val="clear" w:color="auto" w:fill="FFFFFF"/>
            <w:lang w:val="en-US"/>
          </w:rPr>
          <w:t xml:space="preserve">Human Rights </w:t>
        </w:r>
        <w:r w:rsidR="003570B1" w:rsidRPr="003570B1">
          <w:rPr>
            <w:rStyle w:val="normaltextrun"/>
            <w:sz w:val="28"/>
            <w:szCs w:val="28"/>
            <w:shd w:val="clear" w:color="auto" w:fill="FFFFFF"/>
            <w:lang w:val="en-US"/>
          </w:rPr>
          <w:t xml:space="preserve">Council will also adopt </w:t>
        </w:r>
      </w:hyperlink>
      <w:r w:rsidR="003570B1" w:rsidRPr="003570B1">
        <w:rPr>
          <w:sz w:val="28"/>
          <w:szCs w:val="28"/>
        </w:rPr>
        <w:t>several resolutions with a focus on women’s rights and gender equality, including on care and support (for the first time), on the prevention of maternal mortality and morbidity and the right to education of every girl in the context of climate change.</w:t>
      </w:r>
    </w:p>
    <w:p w14:paraId="3CC5BD9E" w14:textId="77777777" w:rsidR="001A60C2" w:rsidRDefault="001A60C2" w:rsidP="007A1CBF">
      <w:pPr>
        <w:ind w:firstLine="720"/>
        <w:contextualSpacing/>
        <w:jc w:val="both"/>
        <w:rPr>
          <w:sz w:val="28"/>
          <w:szCs w:val="28"/>
        </w:rPr>
      </w:pPr>
    </w:p>
    <w:p w14:paraId="3C5F3F61" w14:textId="6138C38D" w:rsidR="00507049" w:rsidRPr="003570B1" w:rsidRDefault="00507049" w:rsidP="003570B1">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3DC6C186" w14:textId="77777777" w:rsidR="00507049" w:rsidRDefault="00507049" w:rsidP="007A1CBF">
      <w:pPr>
        <w:ind w:firstLine="720"/>
        <w:contextualSpacing/>
        <w:jc w:val="both"/>
        <w:rPr>
          <w:sz w:val="28"/>
          <w:szCs w:val="28"/>
        </w:rPr>
      </w:pPr>
    </w:p>
    <w:p w14:paraId="793DB4EC" w14:textId="0ED19890" w:rsidR="00790C7F" w:rsidRDefault="007A1CBF" w:rsidP="00790C7F">
      <w:pPr>
        <w:ind w:firstLine="720"/>
        <w:contextualSpacing/>
        <w:jc w:val="both"/>
        <w:rPr>
          <w:sz w:val="28"/>
          <w:szCs w:val="28"/>
        </w:rPr>
      </w:pPr>
      <w:r w:rsidRPr="004030A1">
        <w:rPr>
          <w:sz w:val="28"/>
          <w:szCs w:val="28"/>
        </w:rPr>
        <w:t xml:space="preserve">The Office of the High </w:t>
      </w:r>
      <w:r w:rsidRPr="00790C7F">
        <w:rPr>
          <w:sz w:val="28"/>
          <w:szCs w:val="28"/>
        </w:rPr>
        <w:t xml:space="preserve">Commissioner </w:t>
      </w:r>
      <w:r w:rsidRPr="00790C7F">
        <w:rPr>
          <w:iCs/>
          <w:sz w:val="28"/>
          <w:szCs w:val="28"/>
        </w:rPr>
        <w:t xml:space="preserve">continues </w:t>
      </w:r>
      <w:r w:rsidR="004030A1" w:rsidRPr="00790C7F">
        <w:rPr>
          <w:sz w:val="28"/>
          <w:szCs w:val="28"/>
        </w:rPr>
        <w:t>to support the strengthening of the treaty bodies</w:t>
      </w:r>
      <w:r w:rsidR="00790C7F" w:rsidRPr="00790C7F">
        <w:rPr>
          <w:sz w:val="28"/>
          <w:szCs w:val="28"/>
        </w:rPr>
        <w:t xml:space="preserve">. We are confident that the </w:t>
      </w:r>
      <w:hyperlink r:id="rId10" w:history="1">
        <w:r w:rsidR="00790C7F" w:rsidRPr="00790C7F">
          <w:rPr>
            <w:rStyle w:val="Hyperlink"/>
            <w:sz w:val="28"/>
            <w:szCs w:val="28"/>
            <w:u w:val="none"/>
          </w:rPr>
          <w:t>conclusions</w:t>
        </w:r>
      </w:hyperlink>
      <w:r w:rsidR="00790C7F" w:rsidRPr="00790C7F">
        <w:rPr>
          <w:sz w:val="28"/>
          <w:szCs w:val="28"/>
        </w:rPr>
        <w:t xml:space="preserve"> adopted by the Chairs of the treaty bodies at their 35</w:t>
      </w:r>
      <w:r w:rsidR="00790C7F" w:rsidRPr="00790C7F">
        <w:rPr>
          <w:sz w:val="28"/>
          <w:szCs w:val="28"/>
          <w:vertAlign w:val="superscript"/>
        </w:rPr>
        <w:t>th</w:t>
      </w:r>
      <w:r w:rsidR="00790C7F" w:rsidRPr="00790C7F">
        <w:rPr>
          <w:sz w:val="28"/>
          <w:szCs w:val="28"/>
        </w:rPr>
        <w:t xml:space="preserve"> annual meeting held in </w:t>
      </w:r>
      <w:r w:rsidR="00790C7F">
        <w:rPr>
          <w:sz w:val="28"/>
          <w:szCs w:val="28"/>
        </w:rPr>
        <w:t xml:space="preserve">New York in </w:t>
      </w:r>
      <w:r w:rsidR="00790C7F" w:rsidRPr="00790C7F">
        <w:rPr>
          <w:sz w:val="28"/>
          <w:szCs w:val="28"/>
        </w:rPr>
        <w:t xml:space="preserve">May/June 2023, based on the </w:t>
      </w:r>
      <w:hyperlink r:id="rId11" w:history="1">
        <w:r w:rsidR="00790C7F" w:rsidRPr="00790C7F">
          <w:rPr>
            <w:rStyle w:val="Hyperlink"/>
            <w:sz w:val="28"/>
            <w:szCs w:val="28"/>
            <w:u w:val="none"/>
          </w:rPr>
          <w:t>OHCHR Working Paper</w:t>
        </w:r>
      </w:hyperlink>
      <w:r w:rsidR="00790C7F" w:rsidRPr="00790C7F">
        <w:rPr>
          <w:rStyle w:val="Hyperlink"/>
          <w:sz w:val="28"/>
          <w:szCs w:val="28"/>
          <w:u w:val="none"/>
        </w:rPr>
        <w:t xml:space="preserve"> </w:t>
      </w:r>
      <w:r w:rsidR="00790C7F" w:rsidRPr="00790C7F">
        <w:rPr>
          <w:sz w:val="28"/>
          <w:szCs w:val="28"/>
        </w:rPr>
        <w:t>on options for the development of an implementation plan for the</w:t>
      </w:r>
      <w:r w:rsidR="00790C7F">
        <w:rPr>
          <w:sz w:val="28"/>
          <w:szCs w:val="28"/>
        </w:rPr>
        <w:t xml:space="preserve"> predictable review calendar, the harmonization of working methods and the digital uplift</w:t>
      </w:r>
      <w:r w:rsidR="00790C7F" w:rsidRPr="00790C7F">
        <w:rPr>
          <w:sz w:val="28"/>
          <w:szCs w:val="28"/>
        </w:rPr>
        <w:t>, have the potential to significantly improve your work and that of the treaty body system as a whole.</w:t>
      </w:r>
      <w:r w:rsidR="00790C7F">
        <w:rPr>
          <w:sz w:val="28"/>
          <w:szCs w:val="28"/>
        </w:rPr>
        <w:t xml:space="preserve"> </w:t>
      </w:r>
      <w:r w:rsidR="00790C7F" w:rsidRPr="000535DB">
        <w:rPr>
          <w:sz w:val="28"/>
          <w:szCs w:val="28"/>
        </w:rPr>
        <w:t xml:space="preserve">The Chairs </w:t>
      </w:r>
      <w:r w:rsidR="00790C7F" w:rsidRPr="005B5B9E">
        <w:rPr>
          <w:sz w:val="28"/>
          <w:szCs w:val="28"/>
        </w:rPr>
        <w:t xml:space="preserve">“welcome[d] the Working Paper as an important step and a </w:t>
      </w:r>
      <w:r w:rsidR="00790C7F" w:rsidRPr="005B5B9E">
        <w:rPr>
          <w:sz w:val="28"/>
          <w:szCs w:val="28"/>
        </w:rPr>
        <w:lastRenderedPageBreak/>
        <w:t xml:space="preserve">comprehensive, detailed, and technical tool to guide the consultations towards the implementation of the Chairs’ conclusions, </w:t>
      </w:r>
      <w:r w:rsidR="00AD18BE">
        <w:rPr>
          <w:sz w:val="28"/>
          <w:szCs w:val="28"/>
        </w:rPr>
        <w:t>to provide</w:t>
      </w:r>
      <w:r w:rsidR="00790C7F" w:rsidRPr="005B5B9E">
        <w:rPr>
          <w:sz w:val="28"/>
          <w:szCs w:val="28"/>
        </w:rPr>
        <w:t xml:space="preserve"> possible elements for the next biennial General Assembly resolution on the human rights treaty body system in December 2024</w:t>
      </w:r>
      <w:r w:rsidR="00790C7F">
        <w:rPr>
          <w:sz w:val="28"/>
          <w:szCs w:val="28"/>
        </w:rPr>
        <w:t>.</w:t>
      </w:r>
      <w:r w:rsidR="00790C7F" w:rsidRPr="005B5B9E">
        <w:rPr>
          <w:sz w:val="28"/>
          <w:szCs w:val="28"/>
        </w:rPr>
        <w:t>”</w:t>
      </w:r>
    </w:p>
    <w:p w14:paraId="33D8B218" w14:textId="77777777" w:rsidR="00790C7F" w:rsidRDefault="00790C7F" w:rsidP="00790C7F">
      <w:pPr>
        <w:ind w:firstLine="720"/>
        <w:contextualSpacing/>
        <w:jc w:val="both"/>
        <w:rPr>
          <w:sz w:val="28"/>
          <w:szCs w:val="28"/>
        </w:rPr>
      </w:pPr>
    </w:p>
    <w:p w14:paraId="0665E1B3" w14:textId="172CE877" w:rsidR="00790C7F" w:rsidRDefault="00790C7F" w:rsidP="00790C7F">
      <w:pPr>
        <w:ind w:firstLine="720"/>
        <w:contextualSpacing/>
        <w:jc w:val="both"/>
        <w:rPr>
          <w:sz w:val="28"/>
          <w:szCs w:val="28"/>
        </w:rPr>
      </w:pPr>
      <w:r>
        <w:rPr>
          <w:sz w:val="28"/>
          <w:szCs w:val="28"/>
        </w:rPr>
        <w:t xml:space="preserve">In New York, the Chairs </w:t>
      </w:r>
      <w:r w:rsidRPr="005B5B9E">
        <w:rPr>
          <w:sz w:val="28"/>
          <w:szCs w:val="28"/>
        </w:rPr>
        <w:t xml:space="preserve">focused their discussions on the harmonization of working methods </w:t>
      </w:r>
      <w:r>
        <w:rPr>
          <w:sz w:val="28"/>
          <w:szCs w:val="28"/>
        </w:rPr>
        <w:t>and agreed</w:t>
      </w:r>
      <w:r w:rsidRPr="000535DB">
        <w:rPr>
          <w:sz w:val="28"/>
          <w:szCs w:val="28"/>
        </w:rPr>
        <w:t xml:space="preserve">, among other things, to establish a coordination mechanism </w:t>
      </w:r>
      <w:r>
        <w:rPr>
          <w:sz w:val="28"/>
          <w:szCs w:val="28"/>
        </w:rPr>
        <w:t xml:space="preserve">for the simplification and harmonization </w:t>
      </w:r>
      <w:r w:rsidRPr="000535DB">
        <w:rPr>
          <w:sz w:val="28"/>
          <w:szCs w:val="28"/>
        </w:rPr>
        <w:t xml:space="preserve">of </w:t>
      </w:r>
      <w:r>
        <w:rPr>
          <w:sz w:val="28"/>
          <w:szCs w:val="28"/>
        </w:rPr>
        <w:t xml:space="preserve">the Committees’ </w:t>
      </w:r>
      <w:r w:rsidRPr="000535DB">
        <w:rPr>
          <w:sz w:val="28"/>
          <w:szCs w:val="28"/>
        </w:rPr>
        <w:t xml:space="preserve">working methods and substantive coordination on common </w:t>
      </w:r>
      <w:r>
        <w:rPr>
          <w:sz w:val="28"/>
          <w:szCs w:val="28"/>
        </w:rPr>
        <w:t xml:space="preserve">and </w:t>
      </w:r>
      <w:r w:rsidRPr="000535DB">
        <w:rPr>
          <w:sz w:val="28"/>
          <w:szCs w:val="28"/>
        </w:rPr>
        <w:t>intersectional issues.</w:t>
      </w:r>
      <w:r>
        <w:rPr>
          <w:sz w:val="28"/>
          <w:szCs w:val="28"/>
        </w:rPr>
        <w:t xml:space="preserve"> </w:t>
      </w:r>
      <w:r w:rsidRPr="000535DB">
        <w:rPr>
          <w:sz w:val="28"/>
          <w:szCs w:val="28"/>
        </w:rPr>
        <w:t xml:space="preserve">The Chairs also considered the options for the rolling out of the 8-year predictable review calendar in practice, including intermittent follow-up reviews, and </w:t>
      </w:r>
      <w:r>
        <w:rPr>
          <w:sz w:val="28"/>
          <w:szCs w:val="28"/>
        </w:rPr>
        <w:t xml:space="preserve">stated </w:t>
      </w:r>
      <w:r w:rsidRPr="000535DB">
        <w:rPr>
          <w:sz w:val="28"/>
          <w:szCs w:val="28"/>
        </w:rPr>
        <w:t xml:space="preserve">that they are in line with the </w:t>
      </w:r>
      <w:hyperlink r:id="rId12" w:history="1">
        <w:r w:rsidRPr="00790C7F">
          <w:rPr>
            <w:rStyle w:val="Hyperlink"/>
            <w:sz w:val="28"/>
            <w:szCs w:val="28"/>
            <w:u w:val="none"/>
          </w:rPr>
          <w:t>conclusions</w:t>
        </w:r>
      </w:hyperlink>
      <w:r w:rsidRPr="00790C7F">
        <w:rPr>
          <w:sz w:val="28"/>
          <w:szCs w:val="28"/>
        </w:rPr>
        <w:t xml:space="preserve"> </w:t>
      </w:r>
      <w:r>
        <w:rPr>
          <w:sz w:val="28"/>
          <w:szCs w:val="28"/>
        </w:rPr>
        <w:t>reached</w:t>
      </w:r>
      <w:r w:rsidRPr="000535DB">
        <w:rPr>
          <w:sz w:val="28"/>
          <w:szCs w:val="28"/>
        </w:rPr>
        <w:t xml:space="preserve"> at their 34</w:t>
      </w:r>
      <w:r w:rsidRPr="000535DB">
        <w:rPr>
          <w:sz w:val="28"/>
          <w:szCs w:val="28"/>
          <w:vertAlign w:val="superscript"/>
        </w:rPr>
        <w:t>th</w:t>
      </w:r>
      <w:r w:rsidRPr="000535DB">
        <w:rPr>
          <w:sz w:val="28"/>
          <w:szCs w:val="28"/>
        </w:rPr>
        <w:t xml:space="preserve"> annual meeting in 2022. The Chairs confirmed that any of the options for the introduction of an 8-year predictable schedule of reviews and the further digit</w:t>
      </w:r>
      <w:r>
        <w:rPr>
          <w:sz w:val="28"/>
          <w:szCs w:val="28"/>
        </w:rPr>
        <w:t>al</w:t>
      </w:r>
      <w:r w:rsidRPr="000535DB">
        <w:rPr>
          <w:sz w:val="28"/>
          <w:szCs w:val="28"/>
        </w:rPr>
        <w:t>ization of their work can and will be implemented by all human rights treaty bodies, if the necessary human, technical and financial resources can be provided by Member States.</w:t>
      </w:r>
    </w:p>
    <w:p w14:paraId="71AB86D8" w14:textId="77777777" w:rsidR="00790C7F" w:rsidRDefault="00790C7F" w:rsidP="00790C7F">
      <w:pPr>
        <w:ind w:firstLine="720"/>
        <w:contextualSpacing/>
        <w:jc w:val="both"/>
        <w:rPr>
          <w:sz w:val="28"/>
          <w:szCs w:val="28"/>
        </w:rPr>
      </w:pPr>
    </w:p>
    <w:p w14:paraId="16CE4AF5" w14:textId="37F1FA5D" w:rsidR="00790C7F" w:rsidRDefault="00790C7F" w:rsidP="00790C7F">
      <w:pPr>
        <w:ind w:firstLine="720"/>
        <w:contextualSpacing/>
        <w:jc w:val="both"/>
        <w:rPr>
          <w:sz w:val="28"/>
          <w:szCs w:val="28"/>
        </w:rPr>
      </w:pPr>
      <w:r w:rsidRPr="000535DB">
        <w:rPr>
          <w:sz w:val="28"/>
          <w:szCs w:val="28"/>
        </w:rPr>
        <w:t xml:space="preserve">While </w:t>
      </w:r>
      <w:r>
        <w:rPr>
          <w:sz w:val="28"/>
          <w:szCs w:val="28"/>
        </w:rPr>
        <w:t xml:space="preserve">key </w:t>
      </w:r>
      <w:r w:rsidRPr="000535DB">
        <w:rPr>
          <w:sz w:val="28"/>
          <w:szCs w:val="28"/>
        </w:rPr>
        <w:t>decisions on these issues</w:t>
      </w:r>
      <w:r>
        <w:rPr>
          <w:sz w:val="28"/>
          <w:szCs w:val="28"/>
        </w:rPr>
        <w:t>, including on resources,</w:t>
      </w:r>
      <w:r w:rsidRPr="000535DB">
        <w:rPr>
          <w:sz w:val="28"/>
          <w:szCs w:val="28"/>
        </w:rPr>
        <w:t xml:space="preserve"> remain in the hands of Member States, the Secretary-General, the High Commissioner for Human Rights and the Assistant Secretary-General for Human Rights have expressed their firm commitment to continue </w:t>
      </w:r>
      <w:r>
        <w:rPr>
          <w:sz w:val="28"/>
          <w:szCs w:val="28"/>
        </w:rPr>
        <w:t xml:space="preserve">supporting </w:t>
      </w:r>
      <w:r w:rsidRPr="000535DB">
        <w:rPr>
          <w:sz w:val="28"/>
          <w:szCs w:val="28"/>
        </w:rPr>
        <w:t>the treaty body strengthening process, including</w:t>
      </w:r>
      <w:r w:rsidR="00AD18BE">
        <w:rPr>
          <w:sz w:val="28"/>
          <w:szCs w:val="28"/>
        </w:rPr>
        <w:t xml:space="preserve"> about</w:t>
      </w:r>
      <w:r w:rsidRPr="000535DB">
        <w:rPr>
          <w:sz w:val="28"/>
          <w:szCs w:val="28"/>
        </w:rPr>
        <w:t xml:space="preserve"> the budgetary implications of the reform of the UN human rights treaty bodies.</w:t>
      </w:r>
      <w:r>
        <w:rPr>
          <w:sz w:val="28"/>
          <w:szCs w:val="28"/>
        </w:rPr>
        <w:t xml:space="preserve"> The High Commissioner will convene an informal briefing with Member States on 1 November 2023 in Geneva, </w:t>
      </w:r>
      <w:r w:rsidR="004215A1">
        <w:rPr>
          <w:sz w:val="28"/>
          <w:szCs w:val="28"/>
        </w:rPr>
        <w:t>to which you have all been invited</w:t>
      </w:r>
      <w:r>
        <w:rPr>
          <w:sz w:val="28"/>
          <w:szCs w:val="28"/>
        </w:rPr>
        <w:t xml:space="preserve">, to solicit the views and preferences of Member States on the options and guiding questions in the </w:t>
      </w:r>
      <w:hyperlink r:id="rId13" w:history="1">
        <w:r w:rsidRPr="004215A1">
          <w:rPr>
            <w:rStyle w:val="Hyperlink"/>
            <w:sz w:val="28"/>
            <w:szCs w:val="28"/>
            <w:u w:val="none"/>
          </w:rPr>
          <w:t>OHCHR Working Paper</w:t>
        </w:r>
      </w:hyperlink>
      <w:r w:rsidRPr="004215A1">
        <w:rPr>
          <w:sz w:val="28"/>
          <w:szCs w:val="28"/>
        </w:rPr>
        <w:t>.</w:t>
      </w:r>
      <w:r>
        <w:rPr>
          <w:sz w:val="28"/>
          <w:szCs w:val="28"/>
        </w:rPr>
        <w:t xml:space="preserve"> In a</w:t>
      </w:r>
      <w:r w:rsidRPr="00F07FF6">
        <w:rPr>
          <w:rFonts w:eastAsiaTheme="minorHAnsi"/>
        </w:rPr>
        <w:t xml:space="preserve"> </w:t>
      </w:r>
      <w:r w:rsidRPr="00F07FF6">
        <w:rPr>
          <w:sz w:val="28"/>
          <w:szCs w:val="28"/>
        </w:rPr>
        <w:t>subsequent process</w:t>
      </w:r>
      <w:r w:rsidR="004215A1">
        <w:rPr>
          <w:sz w:val="28"/>
          <w:szCs w:val="28"/>
        </w:rPr>
        <w:t>,</w:t>
      </w:r>
      <w:r w:rsidRPr="00F07FF6">
        <w:rPr>
          <w:sz w:val="28"/>
          <w:szCs w:val="28"/>
        </w:rPr>
        <w:t xml:space="preserve"> </w:t>
      </w:r>
      <w:r>
        <w:rPr>
          <w:sz w:val="28"/>
          <w:szCs w:val="28"/>
        </w:rPr>
        <w:t xml:space="preserve">the High Commissioner intends to reach out to Member States in </w:t>
      </w:r>
      <w:r w:rsidR="004215A1">
        <w:rPr>
          <w:sz w:val="28"/>
          <w:szCs w:val="28"/>
        </w:rPr>
        <w:t xml:space="preserve">the </w:t>
      </w:r>
      <w:r>
        <w:rPr>
          <w:sz w:val="28"/>
          <w:szCs w:val="28"/>
        </w:rPr>
        <w:t xml:space="preserve">spring </w:t>
      </w:r>
      <w:r w:rsidR="004215A1">
        <w:rPr>
          <w:sz w:val="28"/>
          <w:szCs w:val="28"/>
        </w:rPr>
        <w:t xml:space="preserve">of </w:t>
      </w:r>
      <w:r>
        <w:rPr>
          <w:sz w:val="28"/>
          <w:szCs w:val="28"/>
        </w:rPr>
        <w:t xml:space="preserve">2024 </w:t>
      </w:r>
      <w:r w:rsidRPr="00F07FF6">
        <w:rPr>
          <w:sz w:val="28"/>
          <w:szCs w:val="28"/>
        </w:rPr>
        <w:t>in New York</w:t>
      </w:r>
      <w:r>
        <w:rPr>
          <w:sz w:val="28"/>
          <w:szCs w:val="28"/>
        </w:rPr>
        <w:t>.</w:t>
      </w:r>
    </w:p>
    <w:p w14:paraId="0EE38973" w14:textId="77777777" w:rsidR="004215A1" w:rsidRDefault="004215A1" w:rsidP="00790C7F">
      <w:pPr>
        <w:ind w:firstLine="720"/>
        <w:contextualSpacing/>
        <w:jc w:val="both"/>
        <w:rPr>
          <w:sz w:val="28"/>
          <w:szCs w:val="28"/>
        </w:rPr>
      </w:pPr>
    </w:p>
    <w:p w14:paraId="4CE0DE77" w14:textId="6F7D6402" w:rsidR="0008472B" w:rsidRDefault="00790C7F" w:rsidP="0008472B">
      <w:pPr>
        <w:ind w:firstLine="720"/>
        <w:contextualSpacing/>
        <w:jc w:val="both"/>
        <w:rPr>
          <w:sz w:val="28"/>
          <w:szCs w:val="28"/>
        </w:rPr>
      </w:pPr>
      <w:r>
        <w:rPr>
          <w:sz w:val="28"/>
          <w:szCs w:val="28"/>
        </w:rPr>
        <w:t xml:space="preserve">These steps will hopefully lead </w:t>
      </w:r>
      <w:r w:rsidR="00AD18BE">
        <w:rPr>
          <w:sz w:val="28"/>
          <w:szCs w:val="28"/>
        </w:rPr>
        <w:t xml:space="preserve">to </w:t>
      </w:r>
      <w:r>
        <w:rPr>
          <w:sz w:val="28"/>
          <w:szCs w:val="28"/>
        </w:rPr>
        <w:t xml:space="preserve">an </w:t>
      </w:r>
      <w:r w:rsidRPr="00F07FF6">
        <w:rPr>
          <w:sz w:val="28"/>
          <w:szCs w:val="28"/>
        </w:rPr>
        <w:t>emerging consensus</w:t>
      </w:r>
      <w:r>
        <w:rPr>
          <w:sz w:val="28"/>
          <w:szCs w:val="28"/>
        </w:rPr>
        <w:t xml:space="preserve"> among Member States</w:t>
      </w:r>
      <w:r w:rsidRPr="00F07FF6">
        <w:rPr>
          <w:sz w:val="28"/>
          <w:szCs w:val="28"/>
        </w:rPr>
        <w:t xml:space="preserve">, or at least </w:t>
      </w:r>
      <w:r>
        <w:rPr>
          <w:sz w:val="28"/>
          <w:szCs w:val="28"/>
        </w:rPr>
        <w:t xml:space="preserve">a </w:t>
      </w:r>
      <w:r w:rsidRPr="00F07FF6">
        <w:rPr>
          <w:sz w:val="28"/>
          <w:szCs w:val="28"/>
        </w:rPr>
        <w:t xml:space="preserve">progressively overlapping majority </w:t>
      </w:r>
      <w:r>
        <w:rPr>
          <w:sz w:val="28"/>
          <w:szCs w:val="28"/>
        </w:rPr>
        <w:t xml:space="preserve">of </w:t>
      </w:r>
      <w:r w:rsidRPr="00F07FF6">
        <w:rPr>
          <w:sz w:val="28"/>
          <w:szCs w:val="28"/>
        </w:rPr>
        <w:t xml:space="preserve">views by States, on the options contained in the </w:t>
      </w:r>
      <w:hyperlink r:id="rId14" w:history="1">
        <w:r w:rsidRPr="004215A1">
          <w:rPr>
            <w:rStyle w:val="Hyperlink"/>
            <w:sz w:val="28"/>
            <w:szCs w:val="28"/>
            <w:u w:val="none"/>
          </w:rPr>
          <w:t>OHCHR Working Paper</w:t>
        </w:r>
      </w:hyperlink>
      <w:r w:rsidRPr="004215A1">
        <w:rPr>
          <w:sz w:val="28"/>
          <w:szCs w:val="28"/>
        </w:rPr>
        <w:t xml:space="preserve">. </w:t>
      </w:r>
      <w:r w:rsidRPr="00F07FF6">
        <w:rPr>
          <w:sz w:val="28"/>
          <w:szCs w:val="28"/>
        </w:rPr>
        <w:t>The discussions both in Geneva and in New York will facilitate the development of the next biennial General Assembly resolution on the human rights treaty body system in December 2024</w:t>
      </w:r>
      <w:r w:rsidR="004215A1">
        <w:rPr>
          <w:sz w:val="28"/>
          <w:szCs w:val="28"/>
        </w:rPr>
        <w:t>, which should include a budget to implement the conclusions.</w:t>
      </w:r>
    </w:p>
    <w:p w14:paraId="049DD0FC" w14:textId="77777777" w:rsidR="0008472B" w:rsidRPr="0008472B" w:rsidRDefault="0008472B" w:rsidP="0008472B">
      <w:pPr>
        <w:ind w:firstLine="720"/>
        <w:contextualSpacing/>
        <w:jc w:val="both"/>
        <w:rPr>
          <w:sz w:val="28"/>
          <w:szCs w:val="28"/>
        </w:rPr>
      </w:pPr>
    </w:p>
    <w:p w14:paraId="63617BD3" w14:textId="2C4848C7" w:rsidR="0008472B" w:rsidRPr="0008472B" w:rsidRDefault="0008472B" w:rsidP="0008472B">
      <w:pPr>
        <w:ind w:firstLine="720"/>
        <w:contextualSpacing/>
        <w:jc w:val="both"/>
        <w:rPr>
          <w:sz w:val="28"/>
          <w:szCs w:val="28"/>
        </w:rPr>
      </w:pPr>
      <w:r w:rsidRPr="0008472B">
        <w:rPr>
          <w:sz w:val="28"/>
          <w:szCs w:val="28"/>
        </w:rPr>
        <w:t xml:space="preserve">Unfortunately, despite our continued efforts through the treaty body strengthening process, advocating with Member States to ensure an effective functioning of the treaty body system, an imbalance persists between existing resources and the needs of treaty bodies’ work. Not only is the work increasing in quantitative terms, but also in its substantive scope. The staffing shortage significantly impacts on your work, but also has a detrimental effect on the work-life balance of each staff member in the Branch. We all know that colleagues regularly go beyond the call of duty, be it Programme Management staff, Human </w:t>
      </w:r>
      <w:r w:rsidRPr="0008472B">
        <w:rPr>
          <w:sz w:val="28"/>
          <w:szCs w:val="28"/>
        </w:rPr>
        <w:lastRenderedPageBreak/>
        <w:t>Rights Officers, Secretaries, or colleagues in management positions. As we are working on the same topics towards the same goal, although our respective roles and responsibilities are different, it is essential that we join hands in making the limitations of the system visible, particularly to Member States who created it to serve a purpose, that is effectively delivering in the interest of the people we serve.</w:t>
      </w:r>
    </w:p>
    <w:p w14:paraId="2148DEF7" w14:textId="77777777" w:rsidR="0008472B" w:rsidRPr="0008472B" w:rsidRDefault="0008472B" w:rsidP="00790C7F">
      <w:pPr>
        <w:ind w:firstLine="720"/>
        <w:contextualSpacing/>
        <w:jc w:val="both"/>
        <w:rPr>
          <w:sz w:val="28"/>
          <w:szCs w:val="28"/>
        </w:rPr>
      </w:pPr>
    </w:p>
    <w:p w14:paraId="36F86380" w14:textId="77777777" w:rsidR="00F63989" w:rsidRPr="00263A8B" w:rsidRDefault="00F63989" w:rsidP="004E0BEB">
      <w:pPr>
        <w:autoSpaceDE w:val="0"/>
        <w:autoSpaceDN w:val="0"/>
        <w:adjustRightInd w:val="0"/>
        <w:jc w:val="both"/>
        <w:rPr>
          <w:b/>
          <w:sz w:val="28"/>
          <w:szCs w:val="28"/>
        </w:rPr>
      </w:pPr>
      <w:r w:rsidRPr="0008472B">
        <w:rPr>
          <w:b/>
          <w:sz w:val="28"/>
          <w:szCs w:val="28"/>
        </w:rPr>
        <w:t>Mada</w:t>
      </w:r>
      <w:r w:rsidRPr="00263A8B">
        <w:rPr>
          <w:b/>
          <w:sz w:val="28"/>
          <w:szCs w:val="28"/>
        </w:rPr>
        <w:t>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3DFB633B" w14:textId="6F8058FA" w:rsidR="00F63989" w:rsidRPr="00994430" w:rsidRDefault="004030A1" w:rsidP="004E0BEB">
      <w:pPr>
        <w:autoSpaceDE w:val="0"/>
        <w:autoSpaceDN w:val="0"/>
        <w:adjustRightInd w:val="0"/>
        <w:ind w:firstLine="567"/>
        <w:jc w:val="both"/>
        <w:rPr>
          <w:iCs/>
          <w:sz w:val="28"/>
          <w:szCs w:val="28"/>
        </w:rPr>
      </w:pPr>
      <w:r>
        <w:rPr>
          <w:iCs/>
          <w:sz w:val="28"/>
          <w:szCs w:val="28"/>
        </w:rPr>
        <w:t xml:space="preserve">I am aware that you have a heavy programme ahead of you for the next three weeks, including notably constructive dialogues with </w:t>
      </w:r>
      <w:r w:rsidR="004215A1">
        <w:rPr>
          <w:iCs/>
          <w:sz w:val="28"/>
          <w:szCs w:val="28"/>
        </w:rPr>
        <w:t>nine</w:t>
      </w:r>
      <w:r>
        <w:rPr>
          <w:iCs/>
          <w:sz w:val="28"/>
          <w:szCs w:val="28"/>
        </w:rPr>
        <w:t xml:space="preserve"> States parties. I</w:t>
      </w:r>
      <w:r w:rsidR="00B54D50">
        <w:rPr>
          <w:iCs/>
          <w:sz w:val="28"/>
          <w:szCs w:val="28"/>
        </w:rPr>
        <w:t xml:space="preserve"> therefore</w:t>
      </w:r>
      <w:r w:rsidR="003D42FE">
        <w:rPr>
          <w:iCs/>
          <w:sz w:val="28"/>
          <w:szCs w:val="28"/>
        </w:rPr>
        <w:t xml:space="preserve"> conclude by wishing </w:t>
      </w:r>
      <w:r>
        <w:rPr>
          <w:iCs/>
          <w:sz w:val="28"/>
          <w:szCs w:val="28"/>
        </w:rPr>
        <w:t>you a successful and productive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5"/>
      <w:headerReference w:type="default" r:id="rId16"/>
      <w:footerReference w:type="even" r:id="rId17"/>
      <w:footerReference w:type="default" r:id="rId18"/>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B3389B"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1228826"/>
      <w:docPartObj>
        <w:docPartGallery w:val="Page Numbers (Bottom of Page)"/>
        <w:docPartUnique/>
      </w:docPartObj>
    </w:sdtPr>
    <w:sdtEndPr>
      <w:rPr>
        <w:noProof/>
      </w:rPr>
    </w:sdtEndPr>
    <w:sdtContent>
      <w:p w14:paraId="272EF6E0" w14:textId="3F6BDEA5" w:rsidR="003D3E0C"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B338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0C207" w14:textId="77777777" w:rsidR="003D3E0C" w:rsidRDefault="00B3389B"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87885"/>
    <w:multiLevelType w:val="hybridMultilevel"/>
    <w:tmpl w:val="24A66FF4"/>
    <w:lvl w:ilvl="0" w:tplc="60C4C72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6A353B"/>
    <w:multiLevelType w:val="hybridMultilevel"/>
    <w:tmpl w:val="EC704A2C"/>
    <w:lvl w:ilvl="0" w:tplc="6F96547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206FA"/>
    <w:rsid w:val="0002277B"/>
    <w:rsid w:val="00030193"/>
    <w:rsid w:val="00047857"/>
    <w:rsid w:val="000671A0"/>
    <w:rsid w:val="0007097C"/>
    <w:rsid w:val="000811F9"/>
    <w:rsid w:val="0008377E"/>
    <w:rsid w:val="0008472B"/>
    <w:rsid w:val="000A3453"/>
    <w:rsid w:val="000A6589"/>
    <w:rsid w:val="000A6C84"/>
    <w:rsid w:val="000B6E3D"/>
    <w:rsid w:val="000D6733"/>
    <w:rsid w:val="000D74B5"/>
    <w:rsid w:val="000E6355"/>
    <w:rsid w:val="000F2452"/>
    <w:rsid w:val="000F539E"/>
    <w:rsid w:val="000F73E5"/>
    <w:rsid w:val="000F7B89"/>
    <w:rsid w:val="001035F3"/>
    <w:rsid w:val="00104143"/>
    <w:rsid w:val="001075BF"/>
    <w:rsid w:val="00120EB7"/>
    <w:rsid w:val="0013648A"/>
    <w:rsid w:val="00141154"/>
    <w:rsid w:val="00165D1A"/>
    <w:rsid w:val="0017206C"/>
    <w:rsid w:val="00187DB3"/>
    <w:rsid w:val="001A60C2"/>
    <w:rsid w:val="001B0C7C"/>
    <w:rsid w:val="001B3B54"/>
    <w:rsid w:val="001B6288"/>
    <w:rsid w:val="001B6608"/>
    <w:rsid w:val="001C490B"/>
    <w:rsid w:val="001E7FF4"/>
    <w:rsid w:val="00231E83"/>
    <w:rsid w:val="00242454"/>
    <w:rsid w:val="00252500"/>
    <w:rsid w:val="00263A8B"/>
    <w:rsid w:val="00276D9C"/>
    <w:rsid w:val="00282141"/>
    <w:rsid w:val="00286392"/>
    <w:rsid w:val="00286592"/>
    <w:rsid w:val="00297C12"/>
    <w:rsid w:val="002B3B22"/>
    <w:rsid w:val="002B5221"/>
    <w:rsid w:val="002C7E77"/>
    <w:rsid w:val="002E4197"/>
    <w:rsid w:val="002E4769"/>
    <w:rsid w:val="0030385E"/>
    <w:rsid w:val="0031692B"/>
    <w:rsid w:val="00324877"/>
    <w:rsid w:val="00340467"/>
    <w:rsid w:val="00340AAE"/>
    <w:rsid w:val="00354540"/>
    <w:rsid w:val="003570B1"/>
    <w:rsid w:val="003957D8"/>
    <w:rsid w:val="003A61F2"/>
    <w:rsid w:val="003B1D39"/>
    <w:rsid w:val="003B644B"/>
    <w:rsid w:val="003C52FF"/>
    <w:rsid w:val="003D42FE"/>
    <w:rsid w:val="003E6850"/>
    <w:rsid w:val="003E77A1"/>
    <w:rsid w:val="003F3EA4"/>
    <w:rsid w:val="003F43B3"/>
    <w:rsid w:val="004030A1"/>
    <w:rsid w:val="004215A1"/>
    <w:rsid w:val="00435CD8"/>
    <w:rsid w:val="00464502"/>
    <w:rsid w:val="0046489A"/>
    <w:rsid w:val="00470B69"/>
    <w:rsid w:val="00472FDB"/>
    <w:rsid w:val="00495C75"/>
    <w:rsid w:val="004B5DE2"/>
    <w:rsid w:val="004B6F1F"/>
    <w:rsid w:val="004D5B47"/>
    <w:rsid w:val="004E0BEB"/>
    <w:rsid w:val="004E1E68"/>
    <w:rsid w:val="00507049"/>
    <w:rsid w:val="00510E15"/>
    <w:rsid w:val="00520419"/>
    <w:rsid w:val="0052373E"/>
    <w:rsid w:val="00525B41"/>
    <w:rsid w:val="005409AD"/>
    <w:rsid w:val="00541580"/>
    <w:rsid w:val="005621DA"/>
    <w:rsid w:val="00566CFD"/>
    <w:rsid w:val="00583D4B"/>
    <w:rsid w:val="00593509"/>
    <w:rsid w:val="005B47AB"/>
    <w:rsid w:val="005C6ECF"/>
    <w:rsid w:val="005D15EF"/>
    <w:rsid w:val="005D338F"/>
    <w:rsid w:val="005E207E"/>
    <w:rsid w:val="005E4ECD"/>
    <w:rsid w:val="006067F4"/>
    <w:rsid w:val="00606D45"/>
    <w:rsid w:val="00614681"/>
    <w:rsid w:val="00634B01"/>
    <w:rsid w:val="00637F11"/>
    <w:rsid w:val="00640B4F"/>
    <w:rsid w:val="00640BE1"/>
    <w:rsid w:val="006516B2"/>
    <w:rsid w:val="00654D8B"/>
    <w:rsid w:val="006643A8"/>
    <w:rsid w:val="00671AB6"/>
    <w:rsid w:val="00683FFD"/>
    <w:rsid w:val="006846BA"/>
    <w:rsid w:val="006871CE"/>
    <w:rsid w:val="0069195E"/>
    <w:rsid w:val="006922F4"/>
    <w:rsid w:val="00695108"/>
    <w:rsid w:val="006956D1"/>
    <w:rsid w:val="00696CDE"/>
    <w:rsid w:val="006A729C"/>
    <w:rsid w:val="006C32DE"/>
    <w:rsid w:val="00703BBD"/>
    <w:rsid w:val="007054FF"/>
    <w:rsid w:val="00711B70"/>
    <w:rsid w:val="00712CC8"/>
    <w:rsid w:val="00736475"/>
    <w:rsid w:val="00740E7B"/>
    <w:rsid w:val="00746CD6"/>
    <w:rsid w:val="00756D23"/>
    <w:rsid w:val="00760D1B"/>
    <w:rsid w:val="00762A56"/>
    <w:rsid w:val="00780DE9"/>
    <w:rsid w:val="0078223D"/>
    <w:rsid w:val="00790C7F"/>
    <w:rsid w:val="007A1CBF"/>
    <w:rsid w:val="007B311B"/>
    <w:rsid w:val="007C0566"/>
    <w:rsid w:val="007D0D89"/>
    <w:rsid w:val="007D30E3"/>
    <w:rsid w:val="007D5249"/>
    <w:rsid w:val="007E1147"/>
    <w:rsid w:val="007F5F53"/>
    <w:rsid w:val="007F68A1"/>
    <w:rsid w:val="00812D5E"/>
    <w:rsid w:val="0083160B"/>
    <w:rsid w:val="00834040"/>
    <w:rsid w:val="00842430"/>
    <w:rsid w:val="008517C9"/>
    <w:rsid w:val="008540E8"/>
    <w:rsid w:val="00855CBE"/>
    <w:rsid w:val="00872A58"/>
    <w:rsid w:val="00873D4E"/>
    <w:rsid w:val="00874954"/>
    <w:rsid w:val="00885129"/>
    <w:rsid w:val="00886370"/>
    <w:rsid w:val="00896C02"/>
    <w:rsid w:val="008D3274"/>
    <w:rsid w:val="008D493F"/>
    <w:rsid w:val="009119B1"/>
    <w:rsid w:val="00914C14"/>
    <w:rsid w:val="009271BE"/>
    <w:rsid w:val="0094265E"/>
    <w:rsid w:val="00950FCE"/>
    <w:rsid w:val="00960EB2"/>
    <w:rsid w:val="00972230"/>
    <w:rsid w:val="00982936"/>
    <w:rsid w:val="00982D48"/>
    <w:rsid w:val="00992B88"/>
    <w:rsid w:val="00994430"/>
    <w:rsid w:val="009A65D7"/>
    <w:rsid w:val="009B546D"/>
    <w:rsid w:val="009C22E9"/>
    <w:rsid w:val="009E4CA1"/>
    <w:rsid w:val="00A07408"/>
    <w:rsid w:val="00A167E1"/>
    <w:rsid w:val="00A412FC"/>
    <w:rsid w:val="00A447B3"/>
    <w:rsid w:val="00A911F9"/>
    <w:rsid w:val="00A9443B"/>
    <w:rsid w:val="00AA0D85"/>
    <w:rsid w:val="00AA6E5A"/>
    <w:rsid w:val="00AC1053"/>
    <w:rsid w:val="00AD18BE"/>
    <w:rsid w:val="00AD47F0"/>
    <w:rsid w:val="00AE5866"/>
    <w:rsid w:val="00AE5BC4"/>
    <w:rsid w:val="00AF0BF0"/>
    <w:rsid w:val="00AF0D95"/>
    <w:rsid w:val="00AF2E13"/>
    <w:rsid w:val="00B05E5D"/>
    <w:rsid w:val="00B10A22"/>
    <w:rsid w:val="00B141D5"/>
    <w:rsid w:val="00B16308"/>
    <w:rsid w:val="00B17C1F"/>
    <w:rsid w:val="00B269AF"/>
    <w:rsid w:val="00B332B8"/>
    <w:rsid w:val="00B3389B"/>
    <w:rsid w:val="00B40628"/>
    <w:rsid w:val="00B45EE3"/>
    <w:rsid w:val="00B54D50"/>
    <w:rsid w:val="00B57E8D"/>
    <w:rsid w:val="00B665BE"/>
    <w:rsid w:val="00B670EA"/>
    <w:rsid w:val="00B92A7E"/>
    <w:rsid w:val="00B96177"/>
    <w:rsid w:val="00BA0EE4"/>
    <w:rsid w:val="00BB21F4"/>
    <w:rsid w:val="00BB3B64"/>
    <w:rsid w:val="00BC0462"/>
    <w:rsid w:val="00BC1C1D"/>
    <w:rsid w:val="00BD3DEE"/>
    <w:rsid w:val="00BE6218"/>
    <w:rsid w:val="00BF18CA"/>
    <w:rsid w:val="00BF4236"/>
    <w:rsid w:val="00C00D1E"/>
    <w:rsid w:val="00C11B4A"/>
    <w:rsid w:val="00C128FF"/>
    <w:rsid w:val="00C15C70"/>
    <w:rsid w:val="00C208B0"/>
    <w:rsid w:val="00C37F86"/>
    <w:rsid w:val="00C507AF"/>
    <w:rsid w:val="00C56E18"/>
    <w:rsid w:val="00C6616C"/>
    <w:rsid w:val="00C87D8C"/>
    <w:rsid w:val="00C90458"/>
    <w:rsid w:val="00CA3876"/>
    <w:rsid w:val="00CB5262"/>
    <w:rsid w:val="00CE0E28"/>
    <w:rsid w:val="00CE514B"/>
    <w:rsid w:val="00CF2D1D"/>
    <w:rsid w:val="00CF35CA"/>
    <w:rsid w:val="00D04139"/>
    <w:rsid w:val="00D05924"/>
    <w:rsid w:val="00D078C3"/>
    <w:rsid w:val="00D10B5E"/>
    <w:rsid w:val="00D26297"/>
    <w:rsid w:val="00D36F0A"/>
    <w:rsid w:val="00D44A5D"/>
    <w:rsid w:val="00D46788"/>
    <w:rsid w:val="00D52EA2"/>
    <w:rsid w:val="00D71FC5"/>
    <w:rsid w:val="00D95F3F"/>
    <w:rsid w:val="00D97C87"/>
    <w:rsid w:val="00DA0241"/>
    <w:rsid w:val="00DD3597"/>
    <w:rsid w:val="00DF1E62"/>
    <w:rsid w:val="00E125F4"/>
    <w:rsid w:val="00E21C79"/>
    <w:rsid w:val="00E339BE"/>
    <w:rsid w:val="00E366F0"/>
    <w:rsid w:val="00E36F45"/>
    <w:rsid w:val="00E40007"/>
    <w:rsid w:val="00E5233E"/>
    <w:rsid w:val="00E5329B"/>
    <w:rsid w:val="00E55D07"/>
    <w:rsid w:val="00EB7155"/>
    <w:rsid w:val="00ED08CC"/>
    <w:rsid w:val="00ED6E23"/>
    <w:rsid w:val="00ED6F32"/>
    <w:rsid w:val="00EE23CF"/>
    <w:rsid w:val="00EF2EF0"/>
    <w:rsid w:val="00F11811"/>
    <w:rsid w:val="00F17BF3"/>
    <w:rsid w:val="00F223F7"/>
    <w:rsid w:val="00F2713B"/>
    <w:rsid w:val="00F31048"/>
    <w:rsid w:val="00F453E9"/>
    <w:rsid w:val="00F63989"/>
    <w:rsid w:val="00F64AAB"/>
    <w:rsid w:val="00F70235"/>
    <w:rsid w:val="00F77FAD"/>
    <w:rsid w:val="00F90B4A"/>
    <w:rsid w:val="00F9466A"/>
    <w:rsid w:val="00FA360E"/>
    <w:rsid w:val="00FA448A"/>
    <w:rsid w:val="00FB482F"/>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 w:type="character" w:styleId="Hyperlink">
    <w:name w:val="Hyperlink"/>
    <w:rsid w:val="00790C7F"/>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18298825">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72242682">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hchr.org/sites/default/files/documents/hrbodies/annual-meeting/Working-paper-implementation-treaty-body-Chairs-conclusions.docx"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HAIRPERSONS%2fMCO%2f34%2f34020&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ites/default/files/documents/hrbodies/annual-meeting/Working-paper-implementation-treaty-body-Chairs-conclusions.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ohchr.org/sites/default/files/documents/hrbodies/treaty-bodies/annualmeeting/35meeting/2023-06-19-Working-paper-implementation-treaty-body-Chairs-conclusions.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sdg.un.org/2030-agenda/universal-values/gender-equality-and-womens-empowerment" TargetMode="External"/><Relationship Id="rId14" Type="http://schemas.openxmlformats.org/officeDocument/2006/relationships/hyperlink" Target="https://view.officeapps.live.com/op/view.aspx?src=https%3A%2F%2Fwww.ohchr.org%2Fsites%2Fdefault%2Ffiles%2Fdocuments%2Fhrbodies%2Fannual-meeting%2FWorking-paper-implementation-treaty-body-Chairs-conclusions.docx&amp;wdOrigin=BROWSE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1396</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3</cp:revision>
  <cp:lastPrinted>2020-10-26T07:40:00Z</cp:lastPrinted>
  <dcterms:created xsi:type="dcterms:W3CDTF">2023-10-04T09:49:00Z</dcterms:created>
  <dcterms:modified xsi:type="dcterms:W3CDTF">2023-10-09T09:04:00Z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ies>
</file>