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E6B7C" w14:textId="41E513DD" w:rsidR="00120DEC" w:rsidRDefault="00120DEC" w:rsidP="00120DEC">
      <w:pPr>
        <w:ind w:hanging="300"/>
        <w:jc w:val="center"/>
        <w:rPr>
          <w:rFonts w:ascii="Tajawal" w:hAnsi="Tajawal" w:cs="Tajawal"/>
          <w:b/>
          <w:bCs/>
          <w:color w:val="0070C0"/>
          <w:sz w:val="36"/>
          <w:szCs w:val="36"/>
          <w:rtl/>
          <w:lang w:bidi="ar-EG"/>
        </w:rPr>
      </w:pPr>
      <w:r>
        <w:rPr>
          <w:rFonts w:ascii="Tajawal" w:hAnsi="Tajawal" w:cs="Tajawal" w:hint="cs"/>
          <w:b/>
          <w:bCs/>
          <w:color w:val="0070C0"/>
          <w:sz w:val="36"/>
          <w:szCs w:val="36"/>
          <w:rtl/>
          <w:lang w:bidi="ar-EG"/>
        </w:rPr>
        <w:t xml:space="preserve">تقرير مؤسسة ماعت </w:t>
      </w:r>
      <w:r w:rsidRPr="007052B0">
        <w:rPr>
          <w:rFonts w:ascii="Tajawal" w:hAnsi="Tajawal" w:cs="Tajawal" w:hint="cs"/>
          <w:b/>
          <w:bCs/>
          <w:color w:val="0070C0"/>
          <w:sz w:val="36"/>
          <w:szCs w:val="36"/>
          <w:rtl/>
          <w:lang w:bidi="ar-EG"/>
        </w:rPr>
        <w:t xml:space="preserve">إلى </w:t>
      </w:r>
      <w:r w:rsidRPr="00C9222E">
        <w:rPr>
          <w:rFonts w:ascii="Tajawal" w:hAnsi="Tajawal" w:cs="Tajawal" w:hint="cs"/>
          <w:b/>
          <w:bCs/>
          <w:color w:val="0070C0"/>
          <w:sz w:val="36"/>
          <w:szCs w:val="36"/>
          <w:rtl/>
          <w:lang w:bidi="ar-EG"/>
        </w:rPr>
        <w:t>لجنة</w:t>
      </w:r>
      <w:r>
        <w:rPr>
          <w:rFonts w:ascii="Tajawal" w:hAnsi="Tajawal" w:cs="Tajawal" w:hint="cs"/>
          <w:b/>
          <w:bCs/>
          <w:color w:val="0070C0"/>
          <w:sz w:val="36"/>
          <w:szCs w:val="36"/>
          <w:rtl/>
          <w:lang w:bidi="ar-EG"/>
        </w:rPr>
        <w:t xml:space="preserve"> مناهضة</w:t>
      </w:r>
      <w:r w:rsidRPr="00C9222E">
        <w:rPr>
          <w:rFonts w:ascii="Tajawal" w:hAnsi="Tajawal" w:cs="Tajawal" w:hint="cs"/>
          <w:b/>
          <w:bCs/>
          <w:color w:val="0070C0"/>
          <w:sz w:val="36"/>
          <w:szCs w:val="36"/>
          <w:rtl/>
          <w:lang w:bidi="ar-EG"/>
        </w:rPr>
        <w:t xml:space="preserve"> </w:t>
      </w:r>
      <w:r>
        <w:rPr>
          <w:rFonts w:ascii="Tajawal" w:hAnsi="Tajawal" w:cs="Tajawal" w:hint="cs"/>
          <w:b/>
          <w:bCs/>
          <w:color w:val="0070C0"/>
          <w:sz w:val="36"/>
          <w:szCs w:val="36"/>
          <w:rtl/>
          <w:lang w:bidi="ar-EG"/>
        </w:rPr>
        <w:t xml:space="preserve">التمييز ضد المرأة </w:t>
      </w:r>
      <w:r w:rsidRPr="00C9222E">
        <w:rPr>
          <w:rFonts w:ascii="Tajawal" w:hAnsi="Tajawal" w:cs="Tajawal" w:hint="cs"/>
          <w:b/>
          <w:bCs/>
          <w:color w:val="0070C0"/>
          <w:sz w:val="36"/>
          <w:szCs w:val="36"/>
          <w:rtl/>
          <w:lang w:bidi="ar-EG"/>
        </w:rPr>
        <w:t>بخصوص دولة "</w:t>
      </w:r>
      <w:r>
        <w:rPr>
          <w:rFonts w:ascii="Tajawal" w:hAnsi="Tajawal" w:cs="Tajawal" w:hint="cs"/>
          <w:b/>
          <w:bCs/>
          <w:color w:val="0070C0"/>
          <w:sz w:val="36"/>
          <w:szCs w:val="36"/>
          <w:rtl/>
          <w:lang w:bidi="ar-EG"/>
        </w:rPr>
        <w:t>الإمارات</w:t>
      </w:r>
      <w:r w:rsidRPr="00C9222E">
        <w:rPr>
          <w:rFonts w:ascii="Tajawal" w:hAnsi="Tajawal" w:cs="Tajawal" w:hint="cs"/>
          <w:b/>
          <w:bCs/>
          <w:color w:val="0070C0"/>
          <w:sz w:val="36"/>
          <w:szCs w:val="36"/>
          <w:rtl/>
          <w:lang w:bidi="ar-EG"/>
        </w:rPr>
        <w:t>"</w:t>
      </w:r>
    </w:p>
    <w:p w14:paraId="33DE7440" w14:textId="77777777" w:rsidR="00120DEC" w:rsidRPr="00092156" w:rsidRDefault="00120DEC" w:rsidP="00120DEC">
      <w:pPr>
        <w:jc w:val="lowKashida"/>
        <w:rPr>
          <w:rFonts w:ascii="Tajawal" w:hAnsi="Tajawal" w:cs="Tajawal"/>
          <w:sz w:val="28"/>
          <w:szCs w:val="28"/>
          <w:rtl/>
          <w:lang w:bidi="ar-EG"/>
        </w:rPr>
      </w:pPr>
      <w:r w:rsidRPr="00092156">
        <w:rPr>
          <w:rFonts w:ascii="Tajawal" w:hAnsi="Tajawal" w:cs="Tajawal"/>
          <w:b/>
          <w:bCs/>
          <w:sz w:val="28"/>
          <w:szCs w:val="28"/>
          <w:u w:val="single"/>
          <w:rtl/>
          <w:lang w:bidi="ar-EG"/>
        </w:rPr>
        <w:t>مقدم من:</w:t>
      </w:r>
      <w:r w:rsidRPr="00092156">
        <w:rPr>
          <w:rFonts w:ascii="Tajawal" w:hAnsi="Tajawal" w:cs="Tajawal"/>
          <w:sz w:val="28"/>
          <w:szCs w:val="28"/>
          <w:rtl/>
          <w:lang w:bidi="ar-EG"/>
        </w:rPr>
        <w:t xml:space="preserve"> مؤسسة ماعت للسلام والتنمية وحقوق الانسان ذات المركز الاستشاري في المجلس الاقتصادي والاجتماعي في الامم المتحدة.</w:t>
      </w:r>
    </w:p>
    <w:p w14:paraId="5F83E965" w14:textId="4A3A7C64" w:rsidR="00120DEC" w:rsidRDefault="00120DEC" w:rsidP="00120DEC">
      <w:pPr>
        <w:spacing w:line="240" w:lineRule="auto"/>
        <w:jc w:val="lowKashida"/>
        <w:rPr>
          <w:rFonts w:ascii="Sakkal Majalla" w:hAnsi="Sakkal Majalla" w:cs="Sakkal Majalla"/>
          <w:sz w:val="32"/>
          <w:szCs w:val="32"/>
          <w:rtl/>
          <w:lang w:bidi="ar-EG"/>
        </w:rPr>
      </w:pPr>
      <w:r w:rsidRPr="00092156">
        <w:rPr>
          <w:rFonts w:ascii="Tajawal" w:hAnsi="Tajawal" w:cs="Tajawal"/>
          <w:b/>
          <w:bCs/>
          <w:sz w:val="28"/>
          <w:szCs w:val="28"/>
          <w:u w:val="single"/>
          <w:rtl/>
          <w:lang w:bidi="ar-EG"/>
        </w:rPr>
        <w:t>مقدم إلى:</w:t>
      </w:r>
      <w:r w:rsidRPr="00092156">
        <w:rPr>
          <w:rFonts w:ascii="Tajawal" w:hAnsi="Tajawal" w:cs="Tajawal"/>
          <w:sz w:val="28"/>
          <w:szCs w:val="28"/>
          <w:rtl/>
          <w:lang w:bidi="ar-EG"/>
        </w:rPr>
        <w:t xml:space="preserve"> </w:t>
      </w:r>
      <w:r w:rsidRPr="007052B0">
        <w:rPr>
          <w:rFonts w:ascii="Tajawal" w:hAnsi="Tajawal" w:cs="Tajawal" w:hint="cs"/>
          <w:sz w:val="28"/>
          <w:szCs w:val="28"/>
          <w:rtl/>
          <w:lang w:bidi="ar-EG"/>
        </w:rPr>
        <w:t xml:space="preserve">اللجنة </w:t>
      </w:r>
      <w:r w:rsidRPr="00120DEC">
        <w:rPr>
          <w:rFonts w:ascii="Tajawal" w:hAnsi="Tajawal" w:cs="Tajawal" w:hint="cs"/>
          <w:sz w:val="24"/>
          <w:szCs w:val="24"/>
          <w:rtl/>
          <w:lang w:bidi="ar-EG"/>
        </w:rPr>
        <w:t>المعنية بالقضاء على جميع أشكال التمييز ضد المرأة (</w:t>
      </w:r>
      <w:r w:rsidRPr="00120DEC">
        <w:rPr>
          <w:rFonts w:ascii="Tajawal" w:hAnsi="Tajawal" w:cs="Tajawal"/>
          <w:sz w:val="24"/>
          <w:szCs w:val="24"/>
          <w:lang w:bidi="ar-EG"/>
        </w:rPr>
        <w:t>CEDAW</w:t>
      </w:r>
      <w:r w:rsidRPr="00120DEC">
        <w:rPr>
          <w:rFonts w:ascii="Tajawal" w:hAnsi="Tajawal" w:cs="Tajawal" w:hint="cs"/>
          <w:sz w:val="24"/>
          <w:szCs w:val="24"/>
          <w:rtl/>
          <w:lang w:bidi="ar-EG"/>
        </w:rPr>
        <w:t>).</w:t>
      </w:r>
    </w:p>
    <w:p w14:paraId="35241BC4" w14:textId="77777777" w:rsidR="00120DEC" w:rsidRDefault="00120DEC" w:rsidP="00120DEC">
      <w:pPr>
        <w:ind w:left="-57" w:firstLine="0"/>
        <w:jc w:val="lowKashida"/>
        <w:rPr>
          <w:rFonts w:ascii="Tajawal" w:hAnsi="Tajawal" w:cs="Tajawal"/>
          <w:b/>
          <w:bCs/>
          <w:color w:val="0070C0"/>
          <w:sz w:val="40"/>
          <w:szCs w:val="40"/>
          <w:rtl/>
          <w:lang w:bidi="ar-EG"/>
        </w:rPr>
      </w:pPr>
      <w:r w:rsidRPr="00397CD6">
        <w:rPr>
          <w:rFonts w:ascii="Tajawal" w:hAnsi="Tajawal" w:cs="Tajawal"/>
          <w:b/>
          <w:bCs/>
          <w:color w:val="0070C0"/>
          <w:sz w:val="40"/>
          <w:szCs w:val="40"/>
          <w:rtl/>
          <w:lang w:bidi="ar-EG"/>
        </w:rPr>
        <w:t>تمهيد</w:t>
      </w:r>
    </w:p>
    <w:p w14:paraId="5A7CB32D" w14:textId="77777777" w:rsidR="009D75FE" w:rsidRDefault="00120DEC" w:rsidP="009D75FE">
      <w:pPr>
        <w:ind w:left="-57" w:firstLine="0"/>
        <w:jc w:val="lowKashida"/>
        <w:rPr>
          <w:rFonts w:ascii="Tajawal" w:hAnsi="Tajawal" w:cs="Tajawal"/>
          <w:sz w:val="28"/>
          <w:szCs w:val="28"/>
          <w:rtl/>
          <w:lang w:bidi="ar-EG"/>
        </w:rPr>
      </w:pPr>
      <w:r w:rsidRPr="00120DEC">
        <w:rPr>
          <w:rFonts w:ascii="Tajawal" w:hAnsi="Tajawal" w:cs="Tajawal"/>
          <w:sz w:val="28"/>
          <w:szCs w:val="28"/>
          <w:rtl/>
          <w:lang w:bidi="ar-EG"/>
        </w:rPr>
        <w:t xml:space="preserve">صدّقت دولة الإمارات العربية المتحدة على </w:t>
      </w:r>
      <w:r w:rsidRPr="00120DEC">
        <w:rPr>
          <w:rFonts w:ascii="Tajawal" w:hAnsi="Tajawal" w:cs="Tajawal" w:hint="cs"/>
          <w:sz w:val="28"/>
          <w:szCs w:val="28"/>
          <w:rtl/>
          <w:lang w:bidi="ar-EG"/>
        </w:rPr>
        <w:t>اتفاقية</w:t>
      </w:r>
      <w:r w:rsidRPr="00120DEC">
        <w:rPr>
          <w:rFonts w:ascii="Tajawal" w:hAnsi="Tajawal" w:cs="Tajawal"/>
          <w:sz w:val="28"/>
          <w:szCs w:val="28"/>
          <w:rtl/>
          <w:lang w:bidi="ar-EG"/>
        </w:rPr>
        <w:t xml:space="preserve"> القضاء على جميع أشكال التمييز ضد المرأة في السادس من أكتوبر من العام 2004، بيد أنها قد أبدت تحفظها على عدد </w:t>
      </w:r>
      <w:r w:rsidR="009D75FE">
        <w:rPr>
          <w:rFonts w:ascii="Tajawal" w:hAnsi="Tajawal" w:cs="Tajawal" w:hint="cs"/>
          <w:sz w:val="28"/>
          <w:szCs w:val="28"/>
          <w:rtl/>
          <w:lang w:bidi="ar-EG"/>
        </w:rPr>
        <w:t xml:space="preserve">بنود </w:t>
      </w:r>
      <w:r w:rsidRPr="00120DEC">
        <w:rPr>
          <w:rFonts w:ascii="Tajawal" w:hAnsi="Tajawal" w:cs="Tajawal"/>
          <w:sz w:val="28"/>
          <w:szCs w:val="28"/>
          <w:rtl/>
          <w:lang w:bidi="ar-EG"/>
        </w:rPr>
        <w:t xml:space="preserve">مواد </w:t>
      </w:r>
      <w:r w:rsidRPr="00120DEC">
        <w:rPr>
          <w:rFonts w:ascii="Tajawal" w:hAnsi="Tajawal" w:cs="Tajawal" w:hint="cs"/>
          <w:sz w:val="28"/>
          <w:szCs w:val="28"/>
          <w:rtl/>
          <w:lang w:bidi="ar-EG"/>
        </w:rPr>
        <w:t>الاتفاقية</w:t>
      </w:r>
      <w:r w:rsidR="00903FA9">
        <w:rPr>
          <w:rFonts w:ascii="Tajawal" w:hAnsi="Tajawal" w:cs="Tajawal" w:hint="cs"/>
          <w:sz w:val="28"/>
          <w:szCs w:val="28"/>
          <w:rtl/>
          <w:lang w:bidi="ar-EG"/>
        </w:rPr>
        <w:t>.</w:t>
      </w:r>
      <w:r w:rsidR="009D75FE">
        <w:rPr>
          <w:rFonts w:ascii="Tajawal" w:hAnsi="Tajawal" w:cs="Tajawal" w:hint="cs"/>
          <w:sz w:val="28"/>
          <w:szCs w:val="28"/>
          <w:rtl/>
          <w:lang w:bidi="ar-EG"/>
        </w:rPr>
        <w:t xml:space="preserve"> ومنها المادة الثانية والتاسعة والخامسة عشر والسادسة عشر.</w:t>
      </w:r>
    </w:p>
    <w:p w14:paraId="500F051C" w14:textId="3AD5B2DF" w:rsidR="00120DEC" w:rsidRPr="009D75FE" w:rsidRDefault="00120DEC" w:rsidP="009D75FE">
      <w:pPr>
        <w:ind w:left="-57" w:firstLine="0"/>
        <w:jc w:val="lowKashida"/>
        <w:rPr>
          <w:rFonts w:ascii="Tajawal" w:hAnsi="Tajawal" w:cs="Tajawal"/>
          <w:sz w:val="28"/>
          <w:szCs w:val="28"/>
          <w:rtl/>
        </w:rPr>
      </w:pPr>
      <w:r w:rsidRPr="00120DEC">
        <w:rPr>
          <w:rFonts w:ascii="Tajawal" w:hAnsi="Tajawal" w:cs="Tajawal"/>
          <w:sz w:val="28"/>
          <w:szCs w:val="28"/>
          <w:rtl/>
        </w:rPr>
        <w:t xml:space="preserve">ولمّا كانت الغاية المثلى لمنظمات المجتمع المدني في مجموعها تتجسد في السعي الدؤوب لحماية حقوق الإنسان الأساسية كافة، ولمّا كانت حقوق المرأة في دولة الإمارات العربية المتحدة جزءًا لا </w:t>
      </w:r>
      <w:r w:rsidR="00F260D7" w:rsidRPr="00120DEC">
        <w:rPr>
          <w:rFonts w:ascii="Tajawal" w:hAnsi="Tajawal" w:cs="Tajawal" w:hint="cs"/>
          <w:sz w:val="28"/>
          <w:szCs w:val="28"/>
          <w:rtl/>
        </w:rPr>
        <w:t>يتجزأ</w:t>
      </w:r>
      <w:r w:rsidRPr="00120DEC">
        <w:rPr>
          <w:rFonts w:ascii="Tajawal" w:hAnsi="Tajawal" w:cs="Tajawal"/>
          <w:sz w:val="28"/>
          <w:szCs w:val="28"/>
          <w:rtl/>
        </w:rPr>
        <w:t xml:space="preserve"> من حقوق الإنسان الأساسية في </w:t>
      </w:r>
      <w:r w:rsidRPr="00120DEC">
        <w:rPr>
          <w:rFonts w:ascii="Tajawal" w:hAnsi="Tajawal" w:cs="Tajawal" w:hint="cs"/>
          <w:sz w:val="28"/>
          <w:szCs w:val="28"/>
          <w:rtl/>
        </w:rPr>
        <w:t>مضمونها</w:t>
      </w:r>
      <w:r w:rsidRPr="00120DEC">
        <w:rPr>
          <w:rFonts w:ascii="Tajawal" w:hAnsi="Tajawal" w:cs="Tajawal"/>
          <w:sz w:val="28"/>
          <w:szCs w:val="28"/>
          <w:rtl/>
        </w:rPr>
        <w:t xml:space="preserve"> العالمي، ولمّا كانت مؤسسة </w:t>
      </w:r>
      <w:r w:rsidRPr="009D75FE">
        <w:rPr>
          <w:rFonts w:ascii="Tajawal" w:hAnsi="Tajawal" w:cs="Tajawal"/>
          <w:b/>
          <w:bCs/>
          <w:sz w:val="28"/>
          <w:szCs w:val="28"/>
          <w:rtl/>
        </w:rPr>
        <w:t>ماعت للسلام والتنمية وحقوق الإنسان</w:t>
      </w:r>
      <w:r w:rsidRPr="00120DEC">
        <w:rPr>
          <w:rFonts w:ascii="Tajawal" w:hAnsi="Tajawal" w:cs="Tajawal"/>
          <w:sz w:val="28"/>
          <w:szCs w:val="28"/>
          <w:rtl/>
        </w:rPr>
        <w:t xml:space="preserve"> </w:t>
      </w:r>
      <w:r w:rsidR="009D75FE" w:rsidRPr="00120DEC">
        <w:rPr>
          <w:rFonts w:ascii="Tajawal" w:hAnsi="Tajawal" w:cs="Tajawal" w:hint="cs"/>
          <w:sz w:val="28"/>
          <w:szCs w:val="28"/>
          <w:rtl/>
        </w:rPr>
        <w:t>إحدى هذه</w:t>
      </w:r>
      <w:r w:rsidRPr="00120DEC">
        <w:rPr>
          <w:rFonts w:ascii="Tajawal" w:hAnsi="Tajawal" w:cs="Tajawal"/>
          <w:sz w:val="28"/>
          <w:szCs w:val="28"/>
          <w:rtl/>
        </w:rPr>
        <w:t xml:space="preserve"> المنظمات العاملة في مجال حقوق الإنسان، فإنه بات من الضروري تناول أوضاع حقوق المرأة في دولة الإمارات العربية المتحدة </w:t>
      </w:r>
      <w:r w:rsidR="009D75FE">
        <w:rPr>
          <w:rFonts w:ascii="Tajawal" w:hAnsi="Tajawal" w:cs="Tajawal" w:hint="cs"/>
          <w:sz w:val="28"/>
          <w:szCs w:val="28"/>
          <w:rtl/>
        </w:rPr>
        <w:t xml:space="preserve">لمعرفة ما آلت إليه هذه الحقوق وما تواجه من تحديات لحقوقها الأساسية </w:t>
      </w:r>
      <w:r w:rsidRPr="00120DEC">
        <w:rPr>
          <w:rFonts w:ascii="Tajawal" w:hAnsi="Tajawal" w:cs="Tajawal"/>
          <w:sz w:val="28"/>
          <w:szCs w:val="28"/>
          <w:rtl/>
        </w:rPr>
        <w:t xml:space="preserve">في تقرير مفصل يعرض على اللجنة الأممية </w:t>
      </w:r>
      <w:r w:rsidRPr="00120DEC">
        <w:rPr>
          <w:rFonts w:ascii="Tajawal" w:hAnsi="Tajawal" w:cs="Tajawal"/>
          <w:sz w:val="28"/>
          <w:szCs w:val="28"/>
          <w:rtl/>
          <w:lang w:bidi="ar-EG"/>
        </w:rPr>
        <w:t>المخولة بالقضاء على جميع أشكال التمييز ضد المرأة (</w:t>
      </w:r>
      <w:r w:rsidRPr="00120DEC">
        <w:rPr>
          <w:rFonts w:ascii="Tajawal" w:hAnsi="Tajawal" w:cs="Tajawal"/>
          <w:sz w:val="28"/>
          <w:szCs w:val="28"/>
          <w:lang w:bidi="ar-EG"/>
        </w:rPr>
        <w:t>CEDAW</w:t>
      </w:r>
      <w:r w:rsidRPr="00120DEC">
        <w:rPr>
          <w:rFonts w:ascii="Tajawal" w:hAnsi="Tajawal" w:cs="Tajawal"/>
          <w:sz w:val="28"/>
          <w:szCs w:val="28"/>
          <w:rtl/>
          <w:lang w:bidi="ar-EG"/>
        </w:rPr>
        <w:t>).</w:t>
      </w:r>
    </w:p>
    <w:p w14:paraId="72A5ABED" w14:textId="4032A707" w:rsidR="00120DEC" w:rsidRDefault="00120DEC" w:rsidP="00120DEC">
      <w:pPr>
        <w:ind w:left="-57" w:firstLine="0"/>
        <w:jc w:val="lowKashida"/>
        <w:rPr>
          <w:rFonts w:ascii="Tajawal" w:hAnsi="Tajawal" w:cs="Tajawal"/>
          <w:sz w:val="28"/>
          <w:szCs w:val="28"/>
          <w:rtl/>
          <w:lang w:bidi="ar-EG"/>
        </w:rPr>
      </w:pPr>
      <w:r w:rsidRPr="00120DEC">
        <w:rPr>
          <w:rFonts w:ascii="Tajawal" w:hAnsi="Tajawal" w:cs="Tajawal"/>
          <w:sz w:val="28"/>
          <w:szCs w:val="28"/>
          <w:rtl/>
          <w:lang w:bidi="ar-EG"/>
        </w:rPr>
        <w:t xml:space="preserve">سوف نتناول في هذا التقرير حالة حقوق المرأة الإماراتية من خلال تتبع النصوص الدستورية والقانونية في دولة الإمارات التي تقنن أوضاع المرأة، وأهم </w:t>
      </w:r>
      <w:r w:rsidRPr="00120DEC">
        <w:rPr>
          <w:rFonts w:ascii="Tajawal" w:hAnsi="Tajawal" w:cs="Tajawal" w:hint="cs"/>
          <w:sz w:val="28"/>
          <w:szCs w:val="28"/>
          <w:rtl/>
          <w:lang w:bidi="ar-EG"/>
        </w:rPr>
        <w:t>الممارسات</w:t>
      </w:r>
      <w:r w:rsidRPr="00120DEC">
        <w:rPr>
          <w:rFonts w:ascii="Tajawal" w:hAnsi="Tajawal" w:cs="Tajawal"/>
          <w:sz w:val="28"/>
          <w:szCs w:val="28"/>
          <w:rtl/>
          <w:lang w:bidi="ar-EG"/>
        </w:rPr>
        <w:t xml:space="preserve"> المجتمعية تجاهها، ناهيك عن تقديم عدد من التوصيات إلى الدولة الطرف </w:t>
      </w:r>
      <w:r w:rsidR="00AB321F">
        <w:rPr>
          <w:rFonts w:ascii="Tajawal" w:hAnsi="Tajawal" w:cs="Tajawal" w:hint="cs"/>
          <w:sz w:val="28"/>
          <w:szCs w:val="28"/>
          <w:rtl/>
        </w:rPr>
        <w:t>ل</w:t>
      </w:r>
      <w:r w:rsidRPr="00120DEC">
        <w:rPr>
          <w:rFonts w:ascii="Tajawal" w:hAnsi="Tajawal" w:cs="Tajawal"/>
          <w:sz w:val="28"/>
          <w:szCs w:val="28"/>
          <w:rtl/>
          <w:lang w:bidi="ar-EG"/>
        </w:rPr>
        <w:t>تحسين أوضاع حقوق المرأة بها، وهو ما سوف نتناوله على النحو التالي بيانه:</w:t>
      </w:r>
    </w:p>
    <w:p w14:paraId="387C5C59" w14:textId="723E9AD2" w:rsidR="009D75FE" w:rsidRDefault="009D75FE" w:rsidP="009D75FE">
      <w:pPr>
        <w:ind w:left="-57" w:firstLine="0"/>
        <w:jc w:val="lowKashida"/>
        <w:rPr>
          <w:rFonts w:ascii="Tajawal" w:hAnsi="Tajawal" w:cs="Tajawal"/>
          <w:b/>
          <w:bCs/>
          <w:color w:val="0070C0"/>
          <w:sz w:val="40"/>
          <w:szCs w:val="40"/>
          <w:rtl/>
          <w:lang w:bidi="ar-EG"/>
        </w:rPr>
      </w:pPr>
      <w:r w:rsidRPr="009D75FE">
        <w:rPr>
          <w:rFonts w:ascii="Tajawal" w:hAnsi="Tajawal" w:cs="Tajawal" w:hint="cs"/>
          <w:b/>
          <w:bCs/>
          <w:color w:val="0070C0"/>
          <w:sz w:val="40"/>
          <w:szCs w:val="40"/>
          <w:rtl/>
          <w:lang w:bidi="ar-EG"/>
        </w:rPr>
        <w:t>المرأة في الدستور والقوانيين الوطنية</w:t>
      </w:r>
    </w:p>
    <w:p w14:paraId="25907370" w14:textId="77777777" w:rsidR="009D75FE" w:rsidRDefault="009D75FE" w:rsidP="009D75FE">
      <w:pPr>
        <w:ind w:left="-57" w:firstLine="0"/>
        <w:jc w:val="lowKashida"/>
        <w:rPr>
          <w:rFonts w:ascii="Tajawal" w:hAnsi="Tajawal" w:cs="Tajawal"/>
          <w:b/>
          <w:bCs/>
          <w:color w:val="0070C0"/>
          <w:sz w:val="40"/>
          <w:szCs w:val="40"/>
          <w:rtl/>
          <w:lang w:bidi="ar-EG"/>
        </w:rPr>
      </w:pPr>
      <w:r w:rsidRPr="009D75FE">
        <w:rPr>
          <w:rFonts w:ascii="Tajawal" w:hAnsi="Tajawal" w:cs="Tajawal"/>
          <w:sz w:val="28"/>
          <w:szCs w:val="28"/>
          <w:rtl/>
          <w:lang w:bidi="ar-EG"/>
        </w:rPr>
        <w:t xml:space="preserve">أن دولة الإمارات العربية المتحدة قد أبدت تحفظها حين توقيعها في السادس من أكتوبر من العام 2004 على </w:t>
      </w:r>
      <w:r w:rsidRPr="009D75FE">
        <w:rPr>
          <w:rFonts w:ascii="Tajawal" w:hAnsi="Tajawal" w:cs="Tajawal" w:hint="cs"/>
          <w:sz w:val="28"/>
          <w:szCs w:val="28"/>
          <w:rtl/>
          <w:lang w:bidi="ar-EG"/>
        </w:rPr>
        <w:t>اتفاقية</w:t>
      </w:r>
      <w:r w:rsidRPr="009D75FE">
        <w:rPr>
          <w:rFonts w:ascii="Tajawal" w:hAnsi="Tajawal" w:cs="Tajawal"/>
          <w:sz w:val="28"/>
          <w:szCs w:val="28"/>
          <w:rtl/>
          <w:lang w:bidi="ar-EG"/>
        </w:rPr>
        <w:t xml:space="preserve"> القضاء على جميع أشكال التمييز ضد المرأة على عدد من نصوص وبنود هذه </w:t>
      </w:r>
      <w:r w:rsidRPr="009D75FE">
        <w:rPr>
          <w:rFonts w:ascii="Tajawal" w:hAnsi="Tajawal" w:cs="Tajawal" w:hint="cs"/>
          <w:sz w:val="28"/>
          <w:szCs w:val="28"/>
          <w:rtl/>
          <w:lang w:bidi="ar-EG"/>
        </w:rPr>
        <w:t>الاتفاقية</w:t>
      </w:r>
      <w:r w:rsidRPr="009D75FE">
        <w:rPr>
          <w:rFonts w:ascii="Tajawal" w:hAnsi="Tajawal" w:cs="Tajawal"/>
          <w:sz w:val="28"/>
          <w:szCs w:val="28"/>
          <w:rtl/>
          <w:lang w:bidi="ar-EG"/>
        </w:rPr>
        <w:t xml:space="preserve">، ولعل أهم هذه البنود والمواد التي تحفظت عليها،  ما تعلق منها بالبند (و) من المادة  الثانية من اتفاقية القضاء على جميع أشكال التميز ضد المرأة، والتي تنص صراحة على </w:t>
      </w:r>
      <w:r w:rsidRPr="009D75FE">
        <w:rPr>
          <w:rFonts w:ascii="Tajawal" w:hAnsi="Tajawal" w:cs="Tajawal"/>
          <w:sz w:val="28"/>
          <w:szCs w:val="28"/>
          <w:rtl/>
        </w:rPr>
        <w:t xml:space="preserve">الالتزام بتعديل أو إلغاء القوانين واللوائح والأعراف التمييزية والممارسات </w:t>
      </w:r>
      <w:r w:rsidRPr="009D75FE">
        <w:rPr>
          <w:rFonts w:ascii="Tajawal" w:hAnsi="Tajawal" w:cs="Tajawal"/>
          <w:sz w:val="28"/>
          <w:szCs w:val="28"/>
          <w:rtl/>
        </w:rPr>
        <w:lastRenderedPageBreak/>
        <w:t xml:space="preserve">التي تشكل تمييزًا ضد المرأة، معتبرة أن هذه الفقرة تنتهك إلى حد كبير قواعد الميراث المقررة وفقًا لأحكام الشريعة الإسلامية التي تعتبرها الإمارات مصدرًا أساسيًا للتشريع، الأمر الذي جعلها غير ملزمة بأحكام هذه المادة وفقًا لتشريعاتها الوطنية. </w:t>
      </w:r>
      <w:r w:rsidRPr="009D75FE">
        <w:rPr>
          <w:rFonts w:ascii="Tajawal" w:hAnsi="Tajawal" w:cs="Tajawal"/>
          <w:sz w:val="28"/>
          <w:szCs w:val="28"/>
          <w:vertAlign w:val="superscript"/>
          <w:rtl/>
        </w:rPr>
        <w:t>(</w:t>
      </w:r>
      <w:r w:rsidRPr="009D75FE">
        <w:rPr>
          <w:rStyle w:val="FootnoteReference"/>
          <w:rFonts w:ascii="Tajawal" w:hAnsi="Tajawal" w:cs="Tajawal"/>
          <w:sz w:val="28"/>
          <w:szCs w:val="28"/>
          <w:rtl/>
          <w:lang w:bidi="ar-EG"/>
        </w:rPr>
        <w:footnoteReference w:id="1"/>
      </w:r>
      <w:r w:rsidRPr="009D75FE">
        <w:rPr>
          <w:rFonts w:ascii="Tajawal" w:hAnsi="Tajawal" w:cs="Tajawal"/>
          <w:sz w:val="28"/>
          <w:szCs w:val="28"/>
          <w:vertAlign w:val="superscript"/>
          <w:rtl/>
        </w:rPr>
        <w:t>)</w:t>
      </w:r>
    </w:p>
    <w:p w14:paraId="41461066" w14:textId="77777777" w:rsidR="00EC0941" w:rsidRDefault="009D75FE" w:rsidP="00EC0941">
      <w:pPr>
        <w:ind w:left="-57" w:firstLine="0"/>
        <w:jc w:val="lowKashida"/>
        <w:rPr>
          <w:rFonts w:ascii="Tajawal" w:hAnsi="Tajawal" w:cs="Tajawal"/>
          <w:b/>
          <w:bCs/>
          <w:color w:val="0070C0"/>
          <w:sz w:val="40"/>
          <w:szCs w:val="40"/>
          <w:rtl/>
        </w:rPr>
      </w:pPr>
      <w:r w:rsidRPr="009D75FE">
        <w:rPr>
          <w:rFonts w:ascii="Tajawal" w:hAnsi="Tajawal" w:cs="Tajawal"/>
          <w:sz w:val="28"/>
          <w:szCs w:val="28"/>
          <w:rtl/>
        </w:rPr>
        <w:t xml:space="preserve">وفي السياق ذاته، تحفظت دولة الإمارات العربية المتحدة على المادة التاسعة من </w:t>
      </w:r>
      <w:r w:rsidR="00EC0941" w:rsidRPr="009D75FE">
        <w:rPr>
          <w:rFonts w:ascii="Tajawal" w:hAnsi="Tajawal" w:cs="Tajawal" w:hint="cs"/>
          <w:sz w:val="28"/>
          <w:szCs w:val="28"/>
          <w:rtl/>
        </w:rPr>
        <w:t>الاتفاقية</w:t>
      </w:r>
      <w:r w:rsidRPr="009D75FE">
        <w:rPr>
          <w:rFonts w:ascii="Tajawal" w:hAnsi="Tajawal" w:cs="Tajawal"/>
          <w:sz w:val="28"/>
          <w:szCs w:val="28"/>
          <w:rtl/>
        </w:rPr>
        <w:t xml:space="preserve"> والمتعلقة بحقوق منح الجنسية، إذ تنص الفقرة الثانية منها على أنه من الضروري أن تمنح الدول الأطراف في </w:t>
      </w:r>
      <w:r w:rsidR="00EC0941" w:rsidRPr="009D75FE">
        <w:rPr>
          <w:rFonts w:ascii="Tajawal" w:hAnsi="Tajawal" w:cs="Tajawal" w:hint="cs"/>
          <w:sz w:val="28"/>
          <w:szCs w:val="28"/>
          <w:rtl/>
        </w:rPr>
        <w:t>الاتفاقية</w:t>
      </w:r>
      <w:r w:rsidRPr="009D75FE">
        <w:rPr>
          <w:rFonts w:ascii="Tajawal" w:hAnsi="Tajawal" w:cs="Tajawal"/>
          <w:sz w:val="28"/>
          <w:szCs w:val="28"/>
          <w:rtl/>
        </w:rPr>
        <w:t xml:space="preserve"> المرأة حق</w:t>
      </w:r>
      <w:r w:rsidR="00EC0941">
        <w:rPr>
          <w:rFonts w:ascii="Tajawal" w:hAnsi="Tajawal" w:cs="Tajawal" w:hint="cs"/>
          <w:sz w:val="28"/>
          <w:szCs w:val="28"/>
          <w:rtl/>
        </w:rPr>
        <w:t>اً</w:t>
      </w:r>
      <w:r w:rsidRPr="009D75FE">
        <w:rPr>
          <w:rFonts w:ascii="Tajawal" w:hAnsi="Tajawal" w:cs="Tajawal"/>
          <w:sz w:val="28"/>
          <w:szCs w:val="28"/>
          <w:rtl/>
        </w:rPr>
        <w:t xml:space="preserve"> مساويًا لحق الرجل فيما يتعلق بجنسية أطفالهما. وهو ما </w:t>
      </w:r>
      <w:r w:rsidR="00EC0941" w:rsidRPr="009D75FE">
        <w:rPr>
          <w:rFonts w:ascii="Tajawal" w:hAnsi="Tajawal" w:cs="Tajawal" w:hint="cs"/>
          <w:sz w:val="28"/>
          <w:szCs w:val="28"/>
          <w:rtl/>
        </w:rPr>
        <w:t>اعتبرته</w:t>
      </w:r>
      <w:r w:rsidRPr="009D75FE">
        <w:rPr>
          <w:rFonts w:ascii="Tajawal" w:hAnsi="Tajawal" w:cs="Tajawal"/>
          <w:sz w:val="28"/>
          <w:szCs w:val="28"/>
          <w:rtl/>
        </w:rPr>
        <w:t xml:space="preserve"> دولة الإمارات العربية المتحدة أمراً داخلياً يحكمها، ويتم وضع شروط وضوابط ذلك من خلال التشريع الوطني للدولة، وهو جعلها غير ملزمة بنصوص هذه المادة وفقًا لتشريعاتها الداخلية.</w:t>
      </w:r>
    </w:p>
    <w:p w14:paraId="74DE698A" w14:textId="77777777" w:rsidR="001341D3" w:rsidRDefault="009D75FE" w:rsidP="001341D3">
      <w:pPr>
        <w:ind w:left="-57" w:firstLine="0"/>
        <w:jc w:val="lowKashida"/>
        <w:rPr>
          <w:rFonts w:ascii="Tajawal" w:hAnsi="Tajawal" w:cs="Tajawal"/>
          <w:b/>
          <w:bCs/>
          <w:color w:val="0070C0"/>
          <w:sz w:val="40"/>
          <w:szCs w:val="40"/>
          <w:rtl/>
          <w:lang w:bidi="ar-EG"/>
        </w:rPr>
      </w:pPr>
      <w:r w:rsidRPr="009D75FE">
        <w:rPr>
          <w:rFonts w:ascii="Tajawal" w:hAnsi="Tajawal" w:cs="Tajawal"/>
          <w:sz w:val="28"/>
          <w:szCs w:val="28"/>
          <w:rtl/>
        </w:rPr>
        <w:t xml:space="preserve">وعلى ذات النحو، تحفظت الإمارات على البند الثاني من المادة الخامسة عشر من </w:t>
      </w:r>
      <w:r w:rsidR="001341D3">
        <w:rPr>
          <w:rFonts w:ascii="Tajawal" w:hAnsi="Tajawal" w:cs="Tajawal" w:hint="cs"/>
          <w:sz w:val="28"/>
          <w:szCs w:val="28"/>
          <w:rtl/>
        </w:rPr>
        <w:t>ال</w:t>
      </w:r>
      <w:r w:rsidR="001341D3" w:rsidRPr="009D75FE">
        <w:rPr>
          <w:rFonts w:ascii="Tajawal" w:hAnsi="Tajawal" w:cs="Tajawal" w:hint="cs"/>
          <w:sz w:val="28"/>
          <w:szCs w:val="28"/>
          <w:rtl/>
        </w:rPr>
        <w:t>اتفاقية</w:t>
      </w:r>
      <w:r w:rsidRPr="009D75FE">
        <w:rPr>
          <w:rFonts w:ascii="Tajawal" w:hAnsi="Tajawal" w:cs="Tajawal"/>
          <w:sz w:val="28"/>
          <w:szCs w:val="28"/>
          <w:rtl/>
          <w:lang w:bidi="ar-EG"/>
        </w:rPr>
        <w:t>، وهو البند الذي يشير في فحواه إلى الأهلية القانونية والشهادة والحق في إبرام العقود، إذ ينص هذ</w:t>
      </w:r>
      <w:r w:rsidR="001341D3">
        <w:rPr>
          <w:rFonts w:ascii="Tajawal" w:hAnsi="Tajawal" w:cs="Tajawal" w:hint="cs"/>
          <w:sz w:val="28"/>
          <w:szCs w:val="28"/>
          <w:rtl/>
          <w:lang w:bidi="ar-EG"/>
        </w:rPr>
        <w:t>ا</w:t>
      </w:r>
      <w:r w:rsidRPr="009D75FE">
        <w:rPr>
          <w:rFonts w:ascii="Tajawal" w:hAnsi="Tajawal" w:cs="Tajawal"/>
          <w:sz w:val="28"/>
          <w:szCs w:val="28"/>
          <w:rtl/>
          <w:lang w:bidi="ar-EG"/>
        </w:rPr>
        <w:t xml:space="preserve"> البند صراحة على أنه "تمنح الدول الأطراف المرأة، في الشئون المدنية، أهلية قانونية مماثلة لأهلية الرجل، وتساوى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 بيد أن دولة الأمارات العربية المتحدة اعتبرت هذ</w:t>
      </w:r>
      <w:r w:rsidR="001341D3">
        <w:rPr>
          <w:rFonts w:ascii="Tajawal" w:hAnsi="Tajawal" w:cs="Tajawal" w:hint="cs"/>
          <w:sz w:val="28"/>
          <w:szCs w:val="28"/>
          <w:rtl/>
          <w:lang w:bidi="ar-EG"/>
        </w:rPr>
        <w:t>ا</w:t>
      </w:r>
      <w:r w:rsidRPr="009D75FE">
        <w:rPr>
          <w:rFonts w:ascii="Tajawal" w:hAnsi="Tajawal" w:cs="Tajawal"/>
          <w:sz w:val="28"/>
          <w:szCs w:val="28"/>
          <w:rtl/>
          <w:lang w:bidi="ar-EG"/>
        </w:rPr>
        <w:t xml:space="preserve"> البند مخالفًا على نحو معتبر لأحكام الشريعة الإسلامية، وهو ما جعلها تتحفظ عليه على النحو الذي جعله غير وارد في تشريعاتها الداخلية وغير ملتزمة بتطبيقه.</w:t>
      </w:r>
    </w:p>
    <w:p w14:paraId="487412E1" w14:textId="40AAC455" w:rsidR="001341D3" w:rsidRDefault="009D75FE" w:rsidP="001341D3">
      <w:pPr>
        <w:ind w:left="-57" w:firstLine="0"/>
        <w:jc w:val="lowKashida"/>
        <w:rPr>
          <w:rFonts w:ascii="Tajawal" w:hAnsi="Tajawal" w:cs="Tajawal"/>
          <w:b/>
          <w:bCs/>
          <w:color w:val="0070C0"/>
          <w:sz w:val="40"/>
          <w:szCs w:val="40"/>
          <w:rtl/>
          <w:lang w:bidi="ar-EG"/>
        </w:rPr>
      </w:pPr>
      <w:r w:rsidRPr="009D75FE">
        <w:rPr>
          <w:rFonts w:ascii="Tajawal" w:hAnsi="Tajawal" w:cs="Tajawal"/>
          <w:sz w:val="28"/>
          <w:szCs w:val="28"/>
          <w:rtl/>
          <w:lang w:bidi="ar-EG"/>
        </w:rPr>
        <w:t>كما تحفظت الدولة الطرف على نص المادة السادسة عشر من هذه الاتفاقية والمتعلقة بالمساواة</w:t>
      </w:r>
      <w:r w:rsidRPr="009D75FE">
        <w:rPr>
          <w:rFonts w:ascii="Tajawal" w:eastAsiaTheme="minorHAnsi" w:hAnsi="Tajawal" w:cs="Tajawal"/>
          <w:sz w:val="28"/>
          <w:szCs w:val="28"/>
          <w:rtl/>
        </w:rPr>
        <w:t xml:space="preserve"> </w:t>
      </w:r>
      <w:r w:rsidRPr="009D75FE">
        <w:rPr>
          <w:rFonts w:ascii="Tajawal" w:hAnsi="Tajawal" w:cs="Tajawal"/>
          <w:sz w:val="28"/>
          <w:szCs w:val="28"/>
          <w:rtl/>
        </w:rPr>
        <w:t xml:space="preserve">في حقوق الزواج والعلاقات الأسرية بين الرجل والمرأة، معتبرة أن بعض نصوصها خاصة المتعلقة منها بحق المرأة أثناء الزواج وعند فسخه، تتعارض على نحو بين مع نصوص الشريعة الإسلامية، ومن ثّم فهي غير ملتزمة </w:t>
      </w:r>
      <w:r w:rsidR="001341D3" w:rsidRPr="009D75FE">
        <w:rPr>
          <w:rFonts w:ascii="Tajawal" w:hAnsi="Tajawal" w:cs="Tajawal" w:hint="cs"/>
          <w:sz w:val="28"/>
          <w:szCs w:val="28"/>
          <w:rtl/>
        </w:rPr>
        <w:t>بتطبيقها.</w:t>
      </w:r>
      <w:r w:rsidR="001341D3" w:rsidRPr="009D75FE">
        <w:rPr>
          <w:rFonts w:ascii="Tajawal" w:hAnsi="Tajawal" w:cs="Tajawal" w:hint="cs"/>
          <w:sz w:val="28"/>
          <w:szCs w:val="28"/>
          <w:vertAlign w:val="superscript"/>
          <w:rtl/>
        </w:rPr>
        <w:t xml:space="preserve"> </w:t>
      </w:r>
      <w:r w:rsidR="001341D3" w:rsidRPr="009D75FE">
        <w:rPr>
          <w:rFonts w:ascii="Tajawal" w:hAnsi="Tajawal" w:cs="Tajawal"/>
          <w:sz w:val="28"/>
          <w:szCs w:val="28"/>
          <w:vertAlign w:val="superscript"/>
          <w:rtl/>
        </w:rPr>
        <w:t>(</w:t>
      </w:r>
      <w:r w:rsidRPr="009D75FE">
        <w:rPr>
          <w:rStyle w:val="FootnoteReference"/>
          <w:rFonts w:ascii="Tajawal" w:hAnsi="Tajawal" w:cs="Tajawal"/>
          <w:sz w:val="28"/>
          <w:szCs w:val="28"/>
          <w:rtl/>
        </w:rPr>
        <w:footnoteReference w:id="2"/>
      </w:r>
      <w:r w:rsidRPr="009D75FE">
        <w:rPr>
          <w:rFonts w:ascii="Tajawal" w:hAnsi="Tajawal" w:cs="Tajawal"/>
          <w:sz w:val="28"/>
          <w:szCs w:val="28"/>
          <w:vertAlign w:val="superscript"/>
          <w:rtl/>
        </w:rPr>
        <w:t>)</w:t>
      </w:r>
    </w:p>
    <w:p w14:paraId="0672A3B3" w14:textId="5D5A95E9" w:rsidR="001341D3" w:rsidRDefault="009D75FE" w:rsidP="00AB321F">
      <w:pPr>
        <w:ind w:left="-57" w:firstLine="0"/>
        <w:jc w:val="lowKashida"/>
        <w:rPr>
          <w:rFonts w:ascii="Tajawal" w:hAnsi="Tajawal" w:cs="Tajawal"/>
          <w:b/>
          <w:bCs/>
          <w:color w:val="0070C0"/>
          <w:sz w:val="40"/>
          <w:szCs w:val="40"/>
          <w:rtl/>
          <w:lang w:bidi="ar-EG"/>
        </w:rPr>
      </w:pPr>
      <w:r w:rsidRPr="009D75FE">
        <w:rPr>
          <w:rFonts w:ascii="Tajawal" w:hAnsi="Tajawal" w:cs="Tajawal"/>
          <w:sz w:val="28"/>
          <w:szCs w:val="28"/>
          <w:rtl/>
        </w:rPr>
        <w:t xml:space="preserve">وتعرب مؤسسة ماعت للسلام والتنمية وحقوق الإنسان عن قلقها تجاه </w:t>
      </w:r>
      <w:r w:rsidR="00F260D7" w:rsidRPr="009D75FE">
        <w:rPr>
          <w:rFonts w:ascii="Tajawal" w:hAnsi="Tajawal" w:cs="Tajawal" w:hint="cs"/>
          <w:sz w:val="28"/>
          <w:szCs w:val="28"/>
          <w:rtl/>
        </w:rPr>
        <w:t>بعض التشريعات</w:t>
      </w:r>
      <w:r w:rsidRPr="009D75FE">
        <w:rPr>
          <w:rFonts w:ascii="Tajawal" w:hAnsi="Tajawal" w:cs="Tajawal"/>
          <w:sz w:val="28"/>
          <w:szCs w:val="28"/>
          <w:rtl/>
        </w:rPr>
        <w:t xml:space="preserve"> الداخلية التي تتناول أوضاع المرأة في دولة الإمارات العربية المتحدة، والتي تم سنها على نحو </w:t>
      </w:r>
      <w:r w:rsidR="00AB321F">
        <w:rPr>
          <w:rFonts w:ascii="Tajawal" w:hAnsi="Tajawal" w:cs="Tajawal" w:hint="cs"/>
          <w:sz w:val="28"/>
          <w:szCs w:val="28"/>
          <w:rtl/>
        </w:rPr>
        <w:t xml:space="preserve">غير متوافق مع </w:t>
      </w:r>
      <w:r w:rsidRPr="009D75FE">
        <w:rPr>
          <w:rFonts w:ascii="Tajawal" w:hAnsi="Tajawal" w:cs="Tajawal"/>
          <w:sz w:val="28"/>
          <w:szCs w:val="28"/>
          <w:rtl/>
        </w:rPr>
        <w:t xml:space="preserve">بعض من مواد اتفاقية </w:t>
      </w:r>
      <w:r w:rsidRPr="009D75FE">
        <w:rPr>
          <w:rFonts w:ascii="Tajawal" w:hAnsi="Tajawal" w:cs="Tajawal"/>
          <w:sz w:val="28"/>
          <w:szCs w:val="28"/>
          <w:rtl/>
          <w:lang w:bidi="ar-EG"/>
        </w:rPr>
        <w:t xml:space="preserve">القضاء على جميع أشكال التميز ضد </w:t>
      </w:r>
      <w:r w:rsidR="00F260D7" w:rsidRPr="009D75FE">
        <w:rPr>
          <w:rFonts w:ascii="Tajawal" w:hAnsi="Tajawal" w:cs="Tajawal" w:hint="cs"/>
          <w:sz w:val="28"/>
          <w:szCs w:val="28"/>
          <w:rtl/>
          <w:lang w:bidi="ar-EG"/>
        </w:rPr>
        <w:t>المرأة</w:t>
      </w:r>
      <w:r w:rsidR="00F260D7">
        <w:rPr>
          <w:rFonts w:ascii="Tajawal" w:hAnsi="Tajawal" w:cs="Tajawal" w:hint="cs"/>
          <w:sz w:val="28"/>
          <w:szCs w:val="28"/>
          <w:rtl/>
          <w:lang w:bidi="ar-EG"/>
        </w:rPr>
        <w:t>.</w:t>
      </w:r>
    </w:p>
    <w:p w14:paraId="45D4AD20" w14:textId="41DC7DA2" w:rsidR="009D75FE" w:rsidRDefault="009D75FE" w:rsidP="001341D3">
      <w:pPr>
        <w:ind w:left="-57" w:firstLine="0"/>
        <w:jc w:val="lowKashida"/>
        <w:rPr>
          <w:rFonts w:ascii="Tajawal" w:hAnsi="Tajawal" w:cs="Tajawal"/>
          <w:sz w:val="28"/>
          <w:szCs w:val="28"/>
          <w:rtl/>
          <w:lang w:bidi="ar-EG"/>
        </w:rPr>
      </w:pPr>
      <w:r w:rsidRPr="009D75FE">
        <w:rPr>
          <w:rFonts w:ascii="Tajawal" w:hAnsi="Tajawal" w:cs="Tajawal"/>
          <w:sz w:val="28"/>
          <w:szCs w:val="28"/>
          <w:rtl/>
        </w:rPr>
        <w:t xml:space="preserve">وعليه فإن ثمة حاجة لمراجعة مثل هذه التشريعات الواردة في الدستور الإماراتي، وفي اللوائح والقوانين الداخلية التي تتناول أوضاع المرأة الإمارتية على النحو الذي يكفل تعزيز حقوقها وبما </w:t>
      </w:r>
      <w:r w:rsidR="00C479CF" w:rsidRPr="009D75FE">
        <w:rPr>
          <w:rFonts w:ascii="Tajawal" w:hAnsi="Tajawal" w:cs="Tajawal" w:hint="cs"/>
          <w:sz w:val="28"/>
          <w:szCs w:val="28"/>
          <w:rtl/>
        </w:rPr>
        <w:t>يتلاءم</w:t>
      </w:r>
      <w:r w:rsidRPr="009D75FE">
        <w:rPr>
          <w:rFonts w:ascii="Tajawal" w:hAnsi="Tajawal" w:cs="Tajawal"/>
          <w:sz w:val="28"/>
          <w:szCs w:val="28"/>
          <w:rtl/>
        </w:rPr>
        <w:t xml:space="preserve"> مع المعايير العالمية لحقوق الإنسان، ونصوص اتفاقية </w:t>
      </w:r>
      <w:r w:rsidRPr="009D75FE">
        <w:rPr>
          <w:rFonts w:ascii="Tajawal" w:hAnsi="Tajawal" w:cs="Tajawal"/>
          <w:sz w:val="28"/>
          <w:szCs w:val="28"/>
          <w:rtl/>
          <w:lang w:bidi="ar-EG"/>
        </w:rPr>
        <w:t>القضاء على جميع أشكال التميز ضد المرأة.</w:t>
      </w:r>
    </w:p>
    <w:p w14:paraId="57533CAE" w14:textId="77777777" w:rsidR="00E209D8" w:rsidRPr="00E209D8" w:rsidRDefault="00E209D8" w:rsidP="00E209D8">
      <w:pPr>
        <w:ind w:left="-57" w:firstLine="0"/>
        <w:jc w:val="lowKashida"/>
        <w:rPr>
          <w:rFonts w:ascii="Tajawal" w:hAnsi="Tajawal" w:cs="Tajawal"/>
          <w:b/>
          <w:bCs/>
          <w:color w:val="0070C0"/>
          <w:sz w:val="40"/>
          <w:szCs w:val="40"/>
          <w:rtl/>
          <w:lang w:bidi="ar-EG"/>
        </w:rPr>
      </w:pPr>
      <w:r w:rsidRPr="00E209D8">
        <w:rPr>
          <w:rFonts w:ascii="Tajawal" w:hAnsi="Tajawal" w:cs="Tajawal" w:hint="cs"/>
          <w:b/>
          <w:bCs/>
          <w:color w:val="0070C0"/>
          <w:sz w:val="40"/>
          <w:szCs w:val="40"/>
          <w:rtl/>
          <w:lang w:bidi="ar-EG"/>
        </w:rPr>
        <w:t>الممارسات التمييزية والصور النمطية التقليدية عن المرأة</w:t>
      </w:r>
    </w:p>
    <w:p w14:paraId="0457BA9C" w14:textId="2A6AE36A" w:rsidR="00E209D8" w:rsidRDefault="00E209D8" w:rsidP="00E209D8">
      <w:pPr>
        <w:ind w:left="0" w:firstLine="0"/>
        <w:jc w:val="lowKashida"/>
        <w:rPr>
          <w:rFonts w:ascii="Tajawal" w:hAnsi="Tajawal" w:cs="Tajawal"/>
          <w:sz w:val="28"/>
          <w:szCs w:val="28"/>
          <w:rtl/>
          <w:lang w:bidi="ar-EG"/>
        </w:rPr>
      </w:pPr>
      <w:r w:rsidRPr="00E209D8">
        <w:rPr>
          <w:rFonts w:ascii="Tajawal" w:hAnsi="Tajawal" w:cs="Tajawal" w:hint="cs"/>
          <w:sz w:val="28"/>
          <w:szCs w:val="28"/>
          <w:rtl/>
          <w:lang w:bidi="ar-EG"/>
        </w:rPr>
        <w:t>على الرغم من</w:t>
      </w:r>
      <w:r>
        <w:rPr>
          <w:rFonts w:ascii="Tajawal" w:hAnsi="Tajawal" w:cs="Tajawal" w:hint="cs"/>
          <w:sz w:val="28"/>
          <w:szCs w:val="28"/>
          <w:rtl/>
          <w:lang w:bidi="ar-EG"/>
        </w:rPr>
        <w:t xml:space="preserve"> الأولوية التي منحتها الحكومة الإماراتية من اجل تمكين المرأة على المستوي السياسي والاقتصادي خلال السنوات الأخيرة، والعمل على المساواة بين الجنسين و</w:t>
      </w:r>
      <w:r w:rsidRPr="00E209D8">
        <w:rPr>
          <w:rFonts w:ascii="Tajawal" w:hAnsi="Tajawal" w:cs="Tajawal"/>
          <w:sz w:val="28"/>
          <w:szCs w:val="28"/>
          <w:rtl/>
          <w:lang w:bidi="ar-EG"/>
        </w:rPr>
        <w:t>حماية المرأة من جميع أشكال التمييز في العمل والمجتمع وتمكينها في جميع المجالات</w:t>
      </w:r>
      <w:r w:rsidRPr="00E209D8">
        <w:rPr>
          <w:rFonts w:ascii="Tajawal" w:hAnsi="Tajawal" w:cs="Tajawal"/>
          <w:sz w:val="28"/>
          <w:szCs w:val="28"/>
          <w:lang w:bidi="ar-EG"/>
        </w:rPr>
        <w:t>.</w:t>
      </w:r>
      <w:r>
        <w:rPr>
          <w:rFonts w:ascii="Tajawal" w:hAnsi="Tajawal" w:cs="Tajawal" w:hint="cs"/>
          <w:sz w:val="28"/>
          <w:szCs w:val="28"/>
          <w:rtl/>
          <w:lang w:bidi="ar-EG"/>
        </w:rPr>
        <w:t xml:space="preserve"> ف</w:t>
      </w:r>
      <w:r w:rsidRPr="00E209D8">
        <w:rPr>
          <w:rFonts w:ascii="Tajawal" w:hAnsi="Tajawal" w:cs="Tajawal"/>
          <w:sz w:val="28"/>
          <w:szCs w:val="28"/>
          <w:rtl/>
          <w:lang w:bidi="ar-EG"/>
        </w:rPr>
        <w:t>في 8 مارس 2015،</w:t>
      </w:r>
      <w:r>
        <w:rPr>
          <w:rFonts w:ascii="Tajawal" w:hAnsi="Tajawal" w:cs="Tajawal" w:hint="cs"/>
          <w:sz w:val="28"/>
          <w:szCs w:val="28"/>
          <w:rtl/>
          <w:lang w:bidi="ar-EG"/>
        </w:rPr>
        <w:t xml:space="preserve"> </w:t>
      </w:r>
      <w:r w:rsidRPr="00E209D8">
        <w:rPr>
          <w:rFonts w:ascii="Tajawal" w:hAnsi="Tajawal" w:cs="Tajawal"/>
          <w:sz w:val="28"/>
          <w:szCs w:val="28"/>
          <w:rtl/>
          <w:lang w:bidi="ar-EG"/>
        </w:rPr>
        <w:t xml:space="preserve">أطلقت سمو الشيخة فاطمة بنت مبارك، رئيسة الاتحاد النسائي العام رئيسة المجلس الأعلى للأمومة والطفولة الرئيسة الأعلى لمؤسسة التنمية الأسرية </w:t>
      </w:r>
      <w:r w:rsidRPr="00E209D8">
        <w:rPr>
          <w:rFonts w:ascii="Tajawal" w:hAnsi="Tajawal" w:cs="Tajawal"/>
          <w:sz w:val="28"/>
          <w:szCs w:val="28"/>
          <w:rtl/>
          <w:lang w:bidi="ar-EG"/>
        </w:rPr>
        <w:lastRenderedPageBreak/>
        <w:t>الاستراتيجية الوطنية لتمكين المرأة الإماراتية بمناسبة اليوم العالمي للمرأة. وتوفر الاستراتيجية إطاراً للحكومة والقطاع الخاص ومنظمات المجتمع المدني لوضع خطط تجعل دولة الإمارات ضمن أكثر الدول تقدماً في مجال تمكين المرأة.</w:t>
      </w:r>
    </w:p>
    <w:p w14:paraId="129916CD" w14:textId="456DC4A3" w:rsidR="00E209D8" w:rsidRPr="00E209D8" w:rsidRDefault="00E209D8" w:rsidP="0085419A">
      <w:pPr>
        <w:ind w:left="0" w:firstLine="0"/>
        <w:jc w:val="lowKashida"/>
        <w:rPr>
          <w:rFonts w:ascii="Tajawal" w:hAnsi="Tajawal" w:cs="Tajawal"/>
          <w:sz w:val="28"/>
          <w:szCs w:val="28"/>
          <w:rtl/>
          <w:lang w:bidi="ar-EG"/>
        </w:rPr>
      </w:pPr>
      <w:r>
        <w:rPr>
          <w:rFonts w:ascii="Tajawal" w:hAnsi="Tajawal" w:cs="Tajawal" w:hint="cs"/>
          <w:sz w:val="28"/>
          <w:szCs w:val="28"/>
          <w:rtl/>
          <w:lang w:bidi="ar-EG"/>
        </w:rPr>
        <w:t xml:space="preserve">فخلال </w:t>
      </w:r>
      <w:r w:rsidRPr="00E209D8">
        <w:rPr>
          <w:rFonts w:ascii="Tajawal" w:hAnsi="Tajawal" w:cs="Tajawal"/>
          <w:sz w:val="28"/>
          <w:szCs w:val="28"/>
          <w:rtl/>
          <w:lang w:bidi="ar-EG"/>
        </w:rPr>
        <w:t xml:space="preserve">انتخابات المجلس الوطني الاتحادي التي أجريت في أكتوبر 2019، تقدمت 200 امرأة للترشح من بين 555 مرشحا سجلوا </w:t>
      </w:r>
      <w:r>
        <w:rPr>
          <w:rFonts w:ascii="Tajawal" w:hAnsi="Tajawal" w:cs="Tajawal" w:hint="cs"/>
          <w:sz w:val="28"/>
          <w:szCs w:val="28"/>
          <w:rtl/>
          <w:lang w:bidi="ar-EG"/>
        </w:rPr>
        <w:t xml:space="preserve">في هذه الانتخابات، </w:t>
      </w:r>
      <w:r w:rsidRPr="00E209D8">
        <w:rPr>
          <w:rFonts w:ascii="Tajawal" w:hAnsi="Tajawal" w:cs="Tajawal"/>
          <w:sz w:val="28"/>
          <w:szCs w:val="28"/>
          <w:rtl/>
          <w:lang w:bidi="ar-EG"/>
        </w:rPr>
        <w:t xml:space="preserve">فكانت نسبة ترشح النساء تساوي 36 في المئة من المجموع. وفازت سبع </w:t>
      </w:r>
      <w:r w:rsidRPr="00E209D8">
        <w:rPr>
          <w:rFonts w:ascii="Tajawal" w:hAnsi="Tajawal" w:cs="Tajawal" w:hint="cs"/>
          <w:sz w:val="28"/>
          <w:szCs w:val="28"/>
          <w:rtl/>
          <w:lang w:bidi="ar-EG"/>
        </w:rPr>
        <w:t>نساء من</w:t>
      </w:r>
      <w:r w:rsidRPr="00E209D8">
        <w:rPr>
          <w:rFonts w:ascii="Tajawal" w:hAnsi="Tajawal" w:cs="Tajawal"/>
          <w:sz w:val="28"/>
          <w:szCs w:val="28"/>
          <w:rtl/>
          <w:lang w:bidi="ar-EG"/>
        </w:rPr>
        <w:t xml:space="preserve"> بين عشرين عضواً جديداً انتخبوا لعضوية المجلس الوطني الاتحادي، </w:t>
      </w:r>
      <w:r w:rsidR="0085419A">
        <w:rPr>
          <w:rFonts w:ascii="Tajawal" w:hAnsi="Tajawal" w:cs="Tajawal" w:hint="cs"/>
          <w:sz w:val="28"/>
          <w:szCs w:val="28"/>
          <w:rtl/>
          <w:lang w:bidi="ar-EG"/>
        </w:rPr>
        <w:t xml:space="preserve">كما </w:t>
      </w:r>
      <w:r w:rsidRPr="00E209D8">
        <w:rPr>
          <w:rFonts w:ascii="Tajawal" w:hAnsi="Tajawal" w:cs="Tajawal"/>
          <w:sz w:val="28"/>
          <w:szCs w:val="28"/>
          <w:rtl/>
          <w:lang w:bidi="ar-EG"/>
        </w:rPr>
        <w:t>تشارك المرأة في الحقائب الحكومية الرئيسية المرتبطة بتمكين المرأة على الصعيدين الوطني والعالمي، مثل التعاون الدولي، والتنمية الاجتماعية، والتعليم العام، والشباب.</w:t>
      </w:r>
      <w:r w:rsidR="0085419A">
        <w:rPr>
          <w:rFonts w:ascii="Tajawal" w:hAnsi="Tajawal" w:cs="Tajawal" w:hint="cs"/>
          <w:sz w:val="28"/>
          <w:szCs w:val="28"/>
          <w:rtl/>
          <w:lang w:bidi="ar-EG"/>
        </w:rPr>
        <w:t xml:space="preserve"> </w:t>
      </w:r>
      <w:r w:rsidRPr="00E209D8">
        <w:rPr>
          <w:rFonts w:ascii="Tajawal" w:hAnsi="Tajawal" w:cs="Tajawal"/>
          <w:sz w:val="28"/>
          <w:szCs w:val="28"/>
          <w:rtl/>
          <w:lang w:bidi="ar-EG"/>
        </w:rPr>
        <w:t>كما اعتمد مجلس الوزراء عدداً من السياسات لتعزيز مشاركة المرأة في القطاع القضائي والبعثات الدولية وعمليات حفظ السلام.</w:t>
      </w:r>
    </w:p>
    <w:p w14:paraId="6484E823" w14:textId="77777777" w:rsidR="0085419A" w:rsidRDefault="00E209D8" w:rsidP="0085419A">
      <w:pPr>
        <w:ind w:left="0" w:firstLine="0"/>
        <w:jc w:val="lowKashida"/>
        <w:rPr>
          <w:rFonts w:ascii="Tajawal" w:hAnsi="Tajawal" w:cs="Tajawal"/>
          <w:sz w:val="28"/>
          <w:szCs w:val="28"/>
          <w:rtl/>
          <w:lang w:bidi="ar-EG"/>
        </w:rPr>
      </w:pPr>
      <w:r w:rsidRPr="00E209D8">
        <w:rPr>
          <w:rFonts w:ascii="Tajawal" w:hAnsi="Tajawal" w:cs="Tajawal"/>
          <w:sz w:val="28"/>
          <w:szCs w:val="28"/>
          <w:rtl/>
          <w:lang w:bidi="ar-EG"/>
        </w:rPr>
        <w:t>وتقود دولة الإمارات تدابير تمكين المرأة في السلك الدبلوماسي. وقد بلغت نسبة العاملات في وزارة الخارجية والتعاون الدولي 49.5 في المئة، بما في ذلك سفيرات بعثة الأمم المتحدة في نيويورك وسفيرات هولندا وألمانيا وفنلندا والدانمارك. وتشكل النساء حوالي 60 في المائة من خريجي أكاديمية الإمارات الدبلوماسية</w:t>
      </w:r>
      <w:r w:rsidR="0085419A">
        <w:rPr>
          <w:rFonts w:ascii="Tajawal" w:hAnsi="Tajawal" w:cs="Tajawal" w:hint="cs"/>
          <w:sz w:val="28"/>
          <w:szCs w:val="28"/>
          <w:rtl/>
          <w:lang w:bidi="ar-EG"/>
        </w:rPr>
        <w:t>.</w:t>
      </w:r>
    </w:p>
    <w:p w14:paraId="46BF7F2B" w14:textId="0BEE78BC" w:rsidR="00E209D8" w:rsidRPr="00E209D8" w:rsidRDefault="0085419A" w:rsidP="0085419A">
      <w:pPr>
        <w:ind w:left="0" w:firstLine="0"/>
        <w:jc w:val="lowKashida"/>
        <w:rPr>
          <w:rFonts w:ascii="Tajawal" w:hAnsi="Tajawal" w:cs="Tajawal"/>
          <w:sz w:val="28"/>
          <w:szCs w:val="28"/>
          <w:rtl/>
          <w:lang w:bidi="ar-EG"/>
        </w:rPr>
      </w:pPr>
      <w:r w:rsidRPr="00E209D8">
        <w:rPr>
          <w:rFonts w:ascii="Tajawal" w:hAnsi="Tajawal" w:cs="Tajawal"/>
          <w:sz w:val="28"/>
          <w:szCs w:val="28"/>
          <w:rtl/>
          <w:lang w:bidi="ar-EG"/>
        </w:rPr>
        <w:t>في مايو 2015</w:t>
      </w:r>
      <w:r w:rsidR="00E209D8" w:rsidRPr="00E209D8">
        <w:rPr>
          <w:rFonts w:ascii="Tajawal" w:hAnsi="Tajawal" w:cs="Tajawal"/>
          <w:sz w:val="28"/>
          <w:szCs w:val="28"/>
          <w:rtl/>
          <w:lang w:bidi="ar-EG"/>
        </w:rPr>
        <w:t xml:space="preserve">أنشأت </w:t>
      </w:r>
      <w:r w:rsidRPr="00E209D8">
        <w:rPr>
          <w:rFonts w:ascii="Tajawal" w:hAnsi="Tajawal" w:cs="Tajawal" w:hint="cs"/>
          <w:sz w:val="28"/>
          <w:szCs w:val="28"/>
          <w:rtl/>
          <w:lang w:bidi="ar-EG"/>
        </w:rPr>
        <w:t>الحكومة،</w:t>
      </w:r>
      <w:r w:rsidR="00E209D8" w:rsidRPr="00E209D8">
        <w:rPr>
          <w:rFonts w:ascii="Tajawal" w:hAnsi="Tajawal" w:cs="Tajawal"/>
          <w:sz w:val="28"/>
          <w:szCs w:val="28"/>
          <w:rtl/>
          <w:lang w:bidi="ar-EG"/>
        </w:rPr>
        <w:t xml:space="preserve"> مجلس الإمارات للتوازن بين الجنسين لضمان استمرار المرأة الإماراتية في لعب دور رائد في تنمية البلاد. ويضطلع المجلس بعدة مهام، بما في ذلك استعراض التشريعات والسياسات والبرامج لتحقيق التوازن بين الجنسين في مكان العمل</w:t>
      </w:r>
      <w:r w:rsidR="00E209D8" w:rsidRPr="00E209D8">
        <w:rPr>
          <w:rFonts w:ascii="Tajawal" w:hAnsi="Tajawal" w:cs="Tajawal"/>
          <w:sz w:val="28"/>
          <w:szCs w:val="28"/>
          <w:lang w:bidi="ar-EG"/>
        </w:rPr>
        <w:t>.</w:t>
      </w:r>
      <w:r>
        <w:rPr>
          <w:rFonts w:ascii="Tajawal" w:hAnsi="Tajawal" w:cs="Tajawal" w:hint="cs"/>
          <w:sz w:val="28"/>
          <w:szCs w:val="28"/>
          <w:rtl/>
          <w:lang w:bidi="ar-EG"/>
        </w:rPr>
        <w:t xml:space="preserve"> </w:t>
      </w:r>
      <w:r w:rsidR="00E209D8" w:rsidRPr="00E209D8">
        <w:rPr>
          <w:rFonts w:ascii="Tajawal" w:hAnsi="Tajawal" w:cs="Tajawal"/>
          <w:sz w:val="28"/>
          <w:szCs w:val="28"/>
          <w:rtl/>
          <w:lang w:bidi="ar-EG"/>
        </w:rPr>
        <w:t>كما تعمل دولة الإمارات على زيادة حصة المرأة من القوى العاملة. حيث تشغل النساء 66 في المائة من وظائف القطاع العام، وهي واحدة من أعلى النسب في جميع أنحاء العالم، بما في ذلك 30 في المائة من المناصب القيادية العليا المرتبطة بأدوار صنع القرار.</w:t>
      </w:r>
      <w:r>
        <w:rPr>
          <w:rFonts w:ascii="Tajawal" w:hAnsi="Tajawal" w:cs="Tajawal" w:hint="cs"/>
          <w:sz w:val="28"/>
          <w:szCs w:val="28"/>
          <w:rtl/>
          <w:lang w:bidi="ar-EG"/>
        </w:rPr>
        <w:t xml:space="preserve"> </w:t>
      </w:r>
      <w:r w:rsidR="00E209D8" w:rsidRPr="00E209D8">
        <w:rPr>
          <w:rFonts w:ascii="Tajawal" w:hAnsi="Tajawal" w:cs="Tajawal"/>
          <w:sz w:val="28"/>
          <w:szCs w:val="28"/>
          <w:rtl/>
          <w:lang w:bidi="ar-EG"/>
        </w:rPr>
        <w:t>وتشغل المرأة 75 في المائة من القوى العاملة في قطاعي التعليم والصحة. وتدير 23 ألف سيدة أعمال إماراتية مشاريع تزيد قيمتها على 50 مليار درهم، وتشغل النساء 15 في المائة من المناصب في مجالس الغرف التجارية والصناعية على مستوى البلاد.</w:t>
      </w:r>
    </w:p>
    <w:p w14:paraId="5A8000E0" w14:textId="3843A5D2" w:rsidR="00E209D8" w:rsidRPr="0085419A" w:rsidRDefault="00E209D8" w:rsidP="0085419A">
      <w:pPr>
        <w:ind w:left="0" w:firstLine="0"/>
        <w:jc w:val="lowKashida"/>
        <w:rPr>
          <w:rFonts w:ascii="Tajawal" w:hAnsi="Tajawal" w:cs="Tajawal"/>
          <w:sz w:val="28"/>
          <w:szCs w:val="28"/>
          <w:rtl/>
        </w:rPr>
      </w:pPr>
      <w:r w:rsidRPr="00E209D8">
        <w:rPr>
          <w:rFonts w:ascii="Tajawal" w:hAnsi="Tajawal" w:cs="Tajawal"/>
          <w:sz w:val="28"/>
          <w:szCs w:val="28"/>
          <w:rtl/>
        </w:rPr>
        <w:t xml:space="preserve">ومما تجدر الإشارة إليه في هذا الصدد، أنه على الرغم من ارتفاع نسبة </w:t>
      </w:r>
      <w:r w:rsidR="0085419A" w:rsidRPr="00E209D8">
        <w:rPr>
          <w:rFonts w:ascii="Tajawal" w:hAnsi="Tajawal" w:cs="Tajawal" w:hint="cs"/>
          <w:sz w:val="28"/>
          <w:szCs w:val="28"/>
          <w:rtl/>
        </w:rPr>
        <w:t>النساء في</w:t>
      </w:r>
      <w:r w:rsidRPr="00E209D8">
        <w:rPr>
          <w:rFonts w:ascii="Tajawal" w:hAnsi="Tajawal" w:cs="Tajawal"/>
          <w:sz w:val="28"/>
          <w:szCs w:val="28"/>
          <w:rtl/>
        </w:rPr>
        <w:t xml:space="preserve"> سوق </w:t>
      </w:r>
      <w:r w:rsidR="0085419A" w:rsidRPr="00E209D8">
        <w:rPr>
          <w:rFonts w:ascii="Tajawal" w:hAnsi="Tajawal" w:cs="Tajawal" w:hint="cs"/>
          <w:sz w:val="28"/>
          <w:szCs w:val="28"/>
          <w:rtl/>
        </w:rPr>
        <w:t>العمل في</w:t>
      </w:r>
      <w:r w:rsidRPr="00E209D8">
        <w:rPr>
          <w:rFonts w:ascii="Tajawal" w:hAnsi="Tajawal" w:cs="Tajawal"/>
          <w:sz w:val="28"/>
          <w:szCs w:val="28"/>
          <w:rtl/>
        </w:rPr>
        <w:t xml:space="preserve"> </w:t>
      </w:r>
      <w:r w:rsidR="0085419A" w:rsidRPr="00E209D8">
        <w:rPr>
          <w:rFonts w:ascii="Tajawal" w:hAnsi="Tajawal" w:cs="Tajawal" w:hint="cs"/>
          <w:sz w:val="28"/>
          <w:szCs w:val="28"/>
          <w:rtl/>
        </w:rPr>
        <w:t>الإمار</w:t>
      </w:r>
      <w:r w:rsidR="0085419A">
        <w:rPr>
          <w:rFonts w:ascii="Tajawal" w:hAnsi="Tajawal" w:cs="Tajawal" w:hint="cs"/>
          <w:sz w:val="28"/>
          <w:szCs w:val="28"/>
          <w:rtl/>
        </w:rPr>
        <w:t>ات</w:t>
      </w:r>
      <w:r w:rsidRPr="00E209D8">
        <w:rPr>
          <w:rFonts w:ascii="Tajawal" w:hAnsi="Tajawal" w:cs="Tajawal"/>
          <w:sz w:val="28"/>
          <w:szCs w:val="28"/>
          <w:rtl/>
        </w:rPr>
        <w:t xml:space="preserve"> مؤخرًا، بيد أن وصول المرأة إلى مواقع المسؤولية لا زال منخفضًا للغاية، إذ أن نسبة </w:t>
      </w:r>
      <w:r w:rsidR="0085419A" w:rsidRPr="00E209D8">
        <w:rPr>
          <w:rFonts w:ascii="Tajawal" w:hAnsi="Tajawal" w:cs="Tajawal" w:hint="cs"/>
          <w:sz w:val="28"/>
          <w:szCs w:val="28"/>
          <w:rtl/>
        </w:rPr>
        <w:t>النساء اللواتي</w:t>
      </w:r>
      <w:r w:rsidRPr="00E209D8">
        <w:rPr>
          <w:rFonts w:ascii="Tajawal" w:hAnsi="Tajawal" w:cs="Tajawal"/>
          <w:sz w:val="28"/>
          <w:szCs w:val="28"/>
          <w:rtl/>
        </w:rPr>
        <w:t xml:space="preserve"> يشغلن مناصب ذات مسؤولية اتخاذ القرار داخل الشركات الإماراتية تشكل 5</w:t>
      </w:r>
      <w:r w:rsidR="0085419A" w:rsidRPr="00E209D8">
        <w:rPr>
          <w:rFonts w:ascii="Tajawal" w:hAnsi="Tajawal" w:cs="Tajawal" w:hint="cs"/>
          <w:sz w:val="28"/>
          <w:szCs w:val="28"/>
          <w:rtl/>
        </w:rPr>
        <w:t>% فقط</w:t>
      </w:r>
      <w:r w:rsidRPr="00E209D8">
        <w:rPr>
          <w:rFonts w:ascii="Tajawal" w:hAnsi="Tajawal" w:cs="Tajawal"/>
          <w:sz w:val="28"/>
          <w:szCs w:val="28"/>
          <w:rtl/>
        </w:rPr>
        <w:t xml:space="preserve">. </w:t>
      </w:r>
      <w:r w:rsidR="0085419A">
        <w:rPr>
          <w:rFonts w:ascii="Tajawal" w:hAnsi="Tajawal" w:cs="Tajawal" w:hint="cs"/>
          <w:sz w:val="28"/>
          <w:szCs w:val="28"/>
          <w:rtl/>
        </w:rPr>
        <w:t>مقارنة مع</w:t>
      </w:r>
      <w:r w:rsidRPr="00E209D8">
        <w:rPr>
          <w:rFonts w:ascii="Tajawal" w:hAnsi="Tajawal" w:cs="Tajawal"/>
          <w:sz w:val="28"/>
          <w:szCs w:val="28"/>
          <w:rtl/>
        </w:rPr>
        <w:t xml:space="preserve"> القطاع العام، </w:t>
      </w:r>
      <w:r w:rsidR="0085419A">
        <w:rPr>
          <w:rFonts w:ascii="Tajawal" w:hAnsi="Tajawal" w:cs="Tajawal" w:hint="cs"/>
          <w:sz w:val="28"/>
          <w:szCs w:val="28"/>
          <w:rtl/>
        </w:rPr>
        <w:t>والذي</w:t>
      </w:r>
      <w:r w:rsidR="0085419A" w:rsidRPr="00E209D8">
        <w:rPr>
          <w:rFonts w:ascii="Tajawal" w:hAnsi="Tajawal" w:cs="Tajawal" w:hint="cs"/>
          <w:sz w:val="28"/>
          <w:szCs w:val="28"/>
          <w:rtl/>
        </w:rPr>
        <w:t xml:space="preserve"> تشكل</w:t>
      </w:r>
      <w:r w:rsidRPr="00E209D8">
        <w:rPr>
          <w:rFonts w:ascii="Tajawal" w:hAnsi="Tajawal" w:cs="Tajawal"/>
          <w:sz w:val="28"/>
          <w:szCs w:val="28"/>
          <w:rtl/>
        </w:rPr>
        <w:t xml:space="preserve"> نسبة النساء 66٪ من إجمالي الموظفين، إلا </w:t>
      </w:r>
      <w:r w:rsidR="0085419A" w:rsidRPr="00E209D8">
        <w:rPr>
          <w:rFonts w:ascii="Tajawal" w:hAnsi="Tajawal" w:cs="Tajawal" w:hint="cs"/>
          <w:sz w:val="28"/>
          <w:szCs w:val="28"/>
          <w:rtl/>
        </w:rPr>
        <w:t>أن 30% منهن</w:t>
      </w:r>
      <w:r w:rsidRPr="00E209D8">
        <w:rPr>
          <w:rFonts w:ascii="Tajawal" w:hAnsi="Tajawal" w:cs="Tajawal"/>
          <w:sz w:val="28"/>
          <w:szCs w:val="28"/>
          <w:rtl/>
          <w:lang w:bidi="ar-EG"/>
        </w:rPr>
        <w:t xml:space="preserve"> فقط </w:t>
      </w:r>
      <w:r w:rsidR="0085419A" w:rsidRPr="00E209D8">
        <w:rPr>
          <w:rFonts w:ascii="Tajawal" w:hAnsi="Tajawal" w:cs="Tajawal" w:hint="cs"/>
          <w:sz w:val="28"/>
          <w:szCs w:val="28"/>
          <w:rtl/>
          <w:lang w:bidi="ar-EG"/>
        </w:rPr>
        <w:t xml:space="preserve">يشغلن </w:t>
      </w:r>
      <w:r w:rsidR="0085419A" w:rsidRPr="00E209D8">
        <w:rPr>
          <w:rFonts w:ascii="Tajawal" w:hAnsi="Tajawal" w:cs="Tajawal" w:hint="cs"/>
          <w:sz w:val="28"/>
          <w:szCs w:val="28"/>
          <w:rtl/>
        </w:rPr>
        <w:t>مناصب</w:t>
      </w:r>
      <w:r w:rsidRPr="00E209D8">
        <w:rPr>
          <w:rFonts w:ascii="Tajawal" w:hAnsi="Tajawal" w:cs="Tajawal"/>
          <w:sz w:val="28"/>
          <w:szCs w:val="28"/>
          <w:rtl/>
        </w:rPr>
        <w:t xml:space="preserve"> رفيعة </w:t>
      </w:r>
      <w:r w:rsidR="0085419A" w:rsidRPr="00E209D8">
        <w:rPr>
          <w:rFonts w:ascii="Tajawal" w:hAnsi="Tajawal" w:cs="Tajawal" w:hint="cs"/>
          <w:sz w:val="28"/>
          <w:szCs w:val="28"/>
          <w:rtl/>
        </w:rPr>
        <w:t>المستوى.</w:t>
      </w:r>
      <w:r w:rsidR="0085419A" w:rsidRPr="00E209D8">
        <w:rPr>
          <w:rFonts w:ascii="Tajawal" w:hAnsi="Tajawal" w:cs="Tajawal" w:hint="cs"/>
          <w:sz w:val="28"/>
          <w:szCs w:val="28"/>
          <w:vertAlign w:val="superscript"/>
          <w:rtl/>
          <w:lang w:bidi="ar-EG"/>
        </w:rPr>
        <w:t xml:space="preserve"> </w:t>
      </w:r>
      <w:r w:rsidR="0085419A" w:rsidRPr="00E209D8">
        <w:rPr>
          <w:rFonts w:ascii="Tajawal" w:hAnsi="Tajawal" w:cs="Tajawal"/>
          <w:sz w:val="28"/>
          <w:szCs w:val="28"/>
          <w:vertAlign w:val="superscript"/>
          <w:rtl/>
          <w:lang w:bidi="ar-EG"/>
        </w:rPr>
        <w:t>(</w:t>
      </w:r>
      <w:r w:rsidRPr="00E209D8">
        <w:rPr>
          <w:rStyle w:val="FootnoteReference"/>
          <w:rFonts w:ascii="Tajawal" w:hAnsi="Tajawal" w:cs="Tajawal"/>
          <w:sz w:val="28"/>
          <w:szCs w:val="28"/>
          <w:rtl/>
          <w:lang w:bidi="ar-EG"/>
        </w:rPr>
        <w:footnoteReference w:id="3"/>
      </w:r>
      <w:r w:rsidRPr="00E209D8">
        <w:rPr>
          <w:rFonts w:ascii="Tajawal" w:hAnsi="Tajawal" w:cs="Tajawal"/>
          <w:sz w:val="28"/>
          <w:szCs w:val="28"/>
          <w:vertAlign w:val="superscript"/>
          <w:rtl/>
          <w:lang w:bidi="ar-EG"/>
        </w:rPr>
        <w:t>)</w:t>
      </w:r>
    </w:p>
    <w:p w14:paraId="646D1FB9" w14:textId="77777777" w:rsidR="00302887" w:rsidRDefault="00302887" w:rsidP="00302887">
      <w:pPr>
        <w:ind w:left="-57" w:firstLine="0"/>
        <w:jc w:val="lowKashida"/>
        <w:rPr>
          <w:rFonts w:ascii="Tajawal" w:hAnsi="Tajawal" w:cs="Tajawal"/>
          <w:sz w:val="28"/>
          <w:szCs w:val="28"/>
          <w:vertAlign w:val="superscript"/>
          <w:rtl/>
          <w:lang w:bidi="ar-EG"/>
        </w:rPr>
      </w:pPr>
      <w:r w:rsidRPr="00302887">
        <w:rPr>
          <w:rFonts w:ascii="Tajawal" w:hAnsi="Tajawal" w:cs="Tajawal" w:hint="cs"/>
          <w:b/>
          <w:bCs/>
          <w:color w:val="0070C0"/>
          <w:sz w:val="40"/>
          <w:szCs w:val="40"/>
          <w:rtl/>
          <w:lang w:bidi="ar-EG"/>
        </w:rPr>
        <w:t>التوصيات</w:t>
      </w:r>
    </w:p>
    <w:p w14:paraId="462B5A21" w14:textId="5F5EC044" w:rsidR="00302887" w:rsidRPr="00302887" w:rsidRDefault="00302887" w:rsidP="00302887">
      <w:pPr>
        <w:ind w:left="-57" w:firstLine="0"/>
        <w:jc w:val="lowKashida"/>
        <w:rPr>
          <w:rFonts w:ascii="Tajawal" w:hAnsi="Tajawal" w:cs="Tajawal"/>
          <w:sz w:val="28"/>
          <w:szCs w:val="28"/>
          <w:vertAlign w:val="superscript"/>
          <w:rtl/>
          <w:lang w:bidi="ar-EG"/>
        </w:rPr>
      </w:pPr>
      <w:r w:rsidRPr="00302887">
        <w:rPr>
          <w:rFonts w:ascii="Tajawal" w:hAnsi="Tajawal" w:cs="Tajawal" w:hint="cs"/>
          <w:sz w:val="28"/>
          <w:szCs w:val="28"/>
          <w:rtl/>
          <w:lang w:bidi="ar-EG"/>
        </w:rPr>
        <w:t>انطلاقا</w:t>
      </w:r>
      <w:r w:rsidRPr="00302887">
        <w:rPr>
          <w:rFonts w:ascii="Tajawal" w:hAnsi="Tajawal" w:cs="Tajawal"/>
          <w:sz w:val="28"/>
          <w:szCs w:val="28"/>
          <w:rtl/>
          <w:lang w:bidi="ar-EG"/>
        </w:rPr>
        <w:t xml:space="preserve"> من الدور الذي تلعبه مؤسسات المجتمع المدني في تعزيز الحقوق الأساسية للإنسان في نطاقها العالمي، توصي مؤسسة ماعت للسلام والتنمية وحقوق الإنسان دولة الإمارات العربية المتحدة باتباع عدد من الإجراءات </w:t>
      </w:r>
      <w:r w:rsidR="004C2755">
        <w:rPr>
          <w:rFonts w:ascii="Tajawal" w:hAnsi="Tajawal" w:cs="Tajawal" w:hint="cs"/>
          <w:sz w:val="28"/>
          <w:szCs w:val="28"/>
          <w:rtl/>
          <w:lang w:bidi="ar-EG"/>
        </w:rPr>
        <w:t>ل</w:t>
      </w:r>
      <w:r w:rsidRPr="00302887">
        <w:rPr>
          <w:rFonts w:ascii="Tajawal" w:hAnsi="Tajawal" w:cs="Tajawal"/>
          <w:sz w:val="28"/>
          <w:szCs w:val="28"/>
          <w:rtl/>
          <w:lang w:bidi="ar-EG"/>
        </w:rPr>
        <w:t xml:space="preserve">تعزيز حقوق المرأة على النحو الذي يجعل حقوقها تأتي على قدم المساواة مع الرجل، وتتضح أهم هذه التوصيات في </w:t>
      </w:r>
      <w:r w:rsidR="0056143F" w:rsidRPr="00302887">
        <w:rPr>
          <w:rFonts w:ascii="Tajawal" w:hAnsi="Tajawal" w:cs="Tajawal" w:hint="cs"/>
          <w:sz w:val="28"/>
          <w:szCs w:val="28"/>
          <w:rtl/>
          <w:lang w:bidi="ar-EG"/>
        </w:rPr>
        <w:t>الاتي</w:t>
      </w:r>
      <w:r w:rsidRPr="00302887">
        <w:rPr>
          <w:rFonts w:ascii="Tajawal" w:hAnsi="Tajawal" w:cs="Tajawal"/>
          <w:sz w:val="28"/>
          <w:szCs w:val="28"/>
          <w:rtl/>
          <w:lang w:bidi="ar-EG"/>
        </w:rPr>
        <w:t>:</w:t>
      </w:r>
    </w:p>
    <w:p w14:paraId="082D833A" w14:textId="750C920D" w:rsidR="00302887" w:rsidRPr="00302887" w:rsidRDefault="0056143F" w:rsidP="00302887">
      <w:pPr>
        <w:pStyle w:val="ListParagraph"/>
        <w:numPr>
          <w:ilvl w:val="0"/>
          <w:numId w:val="31"/>
        </w:numPr>
        <w:jc w:val="lowKashida"/>
        <w:rPr>
          <w:rFonts w:ascii="Tajawal" w:hAnsi="Tajawal" w:cs="Tajawal"/>
          <w:sz w:val="28"/>
          <w:szCs w:val="28"/>
          <w:lang w:bidi="ar-EG"/>
        </w:rPr>
      </w:pPr>
      <w:r>
        <w:rPr>
          <w:rFonts w:ascii="Tajawal" w:hAnsi="Tajawal" w:cs="Tajawal" w:hint="cs"/>
          <w:sz w:val="28"/>
          <w:szCs w:val="28"/>
          <w:rtl/>
          <w:lang w:bidi="ar-EG"/>
        </w:rPr>
        <w:t xml:space="preserve">النظر في </w:t>
      </w:r>
      <w:r w:rsidR="00302887" w:rsidRPr="00302887">
        <w:rPr>
          <w:rFonts w:ascii="Tajawal" w:hAnsi="Tajawal" w:cs="Tajawal"/>
          <w:sz w:val="28"/>
          <w:szCs w:val="28"/>
          <w:rtl/>
          <w:lang w:bidi="ar-EG"/>
        </w:rPr>
        <w:t xml:space="preserve">رفع </w:t>
      </w:r>
      <w:r w:rsidRPr="00302887">
        <w:rPr>
          <w:rFonts w:ascii="Tajawal" w:hAnsi="Tajawal" w:cs="Tajawal" w:hint="cs"/>
          <w:sz w:val="28"/>
          <w:szCs w:val="28"/>
          <w:rtl/>
          <w:lang w:bidi="ar-EG"/>
        </w:rPr>
        <w:t>التحفظات التي</w:t>
      </w:r>
      <w:r w:rsidR="00302887" w:rsidRPr="00302887">
        <w:rPr>
          <w:rFonts w:ascii="Tajawal" w:hAnsi="Tajawal" w:cs="Tajawal"/>
          <w:sz w:val="28"/>
          <w:szCs w:val="28"/>
          <w:rtl/>
          <w:lang w:bidi="ar-EG"/>
        </w:rPr>
        <w:t xml:space="preserve"> أبدتها دولة الإمارات العربية المتحدة على </w:t>
      </w:r>
      <w:r w:rsidRPr="00302887">
        <w:rPr>
          <w:rFonts w:ascii="Tajawal" w:hAnsi="Tajawal" w:cs="Tajawal" w:hint="cs"/>
          <w:sz w:val="28"/>
          <w:szCs w:val="28"/>
          <w:rtl/>
          <w:lang w:bidi="ar-EG"/>
        </w:rPr>
        <w:t>اتفاقية</w:t>
      </w:r>
      <w:r w:rsidR="00302887" w:rsidRPr="00302887">
        <w:rPr>
          <w:rFonts w:ascii="Tajawal" w:hAnsi="Tajawal" w:cs="Tajawal"/>
          <w:sz w:val="28"/>
          <w:szCs w:val="28"/>
          <w:rtl/>
          <w:lang w:bidi="ar-EG"/>
        </w:rPr>
        <w:t xml:space="preserve"> القضاء على جميع أشكال التمييز ضد المرأة،والتصديق على بروتوكول </w:t>
      </w:r>
      <w:r w:rsidRPr="00302887">
        <w:rPr>
          <w:rFonts w:ascii="Tajawal" w:hAnsi="Tajawal" w:cs="Tajawal" w:hint="cs"/>
          <w:sz w:val="28"/>
          <w:szCs w:val="28"/>
          <w:rtl/>
          <w:lang w:bidi="ar-EG"/>
        </w:rPr>
        <w:t>الاتفاقية</w:t>
      </w:r>
      <w:r w:rsidR="00302887" w:rsidRPr="00302887">
        <w:rPr>
          <w:rFonts w:ascii="Tajawal" w:hAnsi="Tajawal" w:cs="Tajawal"/>
          <w:sz w:val="28"/>
          <w:szCs w:val="28"/>
          <w:rtl/>
          <w:lang w:bidi="ar-EG"/>
        </w:rPr>
        <w:t xml:space="preserve"> الاختياري. </w:t>
      </w:r>
    </w:p>
    <w:p w14:paraId="550FF660" w14:textId="7E4BEE4F" w:rsidR="00302887" w:rsidRPr="00302887" w:rsidRDefault="00302887" w:rsidP="00302887">
      <w:pPr>
        <w:pStyle w:val="ListParagraph"/>
        <w:numPr>
          <w:ilvl w:val="0"/>
          <w:numId w:val="31"/>
        </w:numPr>
        <w:jc w:val="lowKashida"/>
        <w:rPr>
          <w:rFonts w:ascii="Tajawal" w:hAnsi="Tajawal" w:cs="Tajawal"/>
          <w:sz w:val="28"/>
          <w:szCs w:val="28"/>
        </w:rPr>
      </w:pPr>
      <w:r w:rsidRPr="00302887">
        <w:rPr>
          <w:rFonts w:ascii="Tajawal" w:hAnsi="Tajawal" w:cs="Tajawal"/>
          <w:sz w:val="28"/>
          <w:szCs w:val="28"/>
          <w:rtl/>
          <w:lang w:bidi="ar-EG"/>
        </w:rPr>
        <w:t xml:space="preserve">تبني عدد من المبادرات المجتمعية التي تستهدف القضاء </w:t>
      </w:r>
      <w:r w:rsidR="0056143F" w:rsidRPr="00302887">
        <w:rPr>
          <w:rFonts w:ascii="Tajawal" w:hAnsi="Tajawal" w:cs="Tajawal" w:hint="cs"/>
          <w:sz w:val="28"/>
          <w:szCs w:val="28"/>
          <w:rtl/>
          <w:lang w:bidi="ar-EG"/>
        </w:rPr>
        <w:t>على الصور</w:t>
      </w:r>
      <w:r w:rsidRPr="00302887">
        <w:rPr>
          <w:rFonts w:ascii="Tajawal" w:hAnsi="Tajawal" w:cs="Tajawal"/>
          <w:sz w:val="28"/>
          <w:szCs w:val="28"/>
          <w:rtl/>
          <w:lang w:bidi="ar-EG"/>
        </w:rPr>
        <w:t xml:space="preserve"> النمطية التمييزية حول دور المرأة في المجتمع</w:t>
      </w:r>
      <w:r w:rsidRPr="00302887">
        <w:rPr>
          <w:rFonts w:ascii="Tajawal" w:hAnsi="Tajawal" w:cs="Tajawal"/>
          <w:sz w:val="28"/>
          <w:szCs w:val="28"/>
          <w:rtl/>
        </w:rPr>
        <w:t>.</w:t>
      </w:r>
    </w:p>
    <w:p w14:paraId="606BA474" w14:textId="77777777" w:rsidR="00302887" w:rsidRPr="00302887" w:rsidRDefault="00302887" w:rsidP="00302887">
      <w:pPr>
        <w:pStyle w:val="ListParagraph"/>
        <w:numPr>
          <w:ilvl w:val="0"/>
          <w:numId w:val="31"/>
        </w:numPr>
        <w:jc w:val="lowKashida"/>
        <w:rPr>
          <w:rFonts w:ascii="Tajawal" w:hAnsi="Tajawal" w:cs="Tajawal"/>
          <w:sz w:val="28"/>
          <w:szCs w:val="28"/>
          <w:rtl/>
        </w:rPr>
      </w:pPr>
      <w:r w:rsidRPr="00302887">
        <w:rPr>
          <w:rFonts w:ascii="Tajawal" w:hAnsi="Tajawal" w:cs="Tajawal"/>
          <w:sz w:val="28"/>
          <w:szCs w:val="28"/>
          <w:rtl/>
          <w:lang w:bidi="ar-EG"/>
        </w:rPr>
        <w:t>رفع مستوى الوعي العام بحقوق المرأة بموجب اتفاقية القضاء على جميع أشكال التمييز ضد المرأة.</w:t>
      </w:r>
    </w:p>
    <w:p w14:paraId="1C90DF58" w14:textId="09CED4E6" w:rsidR="00302887" w:rsidRPr="00302887" w:rsidRDefault="00302887" w:rsidP="00302887">
      <w:pPr>
        <w:pStyle w:val="ListParagraph"/>
        <w:numPr>
          <w:ilvl w:val="0"/>
          <w:numId w:val="31"/>
        </w:numPr>
        <w:jc w:val="lowKashida"/>
        <w:rPr>
          <w:rFonts w:ascii="Tajawal" w:hAnsi="Tajawal" w:cs="Tajawal"/>
          <w:sz w:val="28"/>
          <w:szCs w:val="28"/>
          <w:lang w:bidi="ar-EG"/>
        </w:rPr>
      </w:pPr>
      <w:r w:rsidRPr="00302887">
        <w:rPr>
          <w:rFonts w:ascii="Tajawal" w:hAnsi="Tajawal" w:cs="Tajawal"/>
          <w:sz w:val="28"/>
          <w:szCs w:val="28"/>
          <w:rtl/>
          <w:lang w:bidi="ar-EG"/>
        </w:rPr>
        <w:lastRenderedPageBreak/>
        <w:t xml:space="preserve">الغاء الأحكام القانونية كافة التي تحمل في مضمونها تمييزًا صريحًا ضد المرأة خاصة فيما يتعلق </w:t>
      </w:r>
      <w:r w:rsidR="0056143F" w:rsidRPr="00302887">
        <w:rPr>
          <w:rFonts w:ascii="Tajawal" w:hAnsi="Tajawal" w:cs="Tajawal" w:hint="cs"/>
          <w:sz w:val="28"/>
          <w:szCs w:val="28"/>
          <w:rtl/>
          <w:lang w:bidi="ar-EG"/>
        </w:rPr>
        <w:t>منها بقانون</w:t>
      </w:r>
      <w:r w:rsidRPr="00302887">
        <w:rPr>
          <w:rFonts w:ascii="Tajawal" w:hAnsi="Tajawal" w:cs="Tajawal"/>
          <w:sz w:val="28"/>
          <w:szCs w:val="28"/>
          <w:rtl/>
          <w:lang w:bidi="ar-EG"/>
        </w:rPr>
        <w:t xml:space="preserve"> الأحوال الشخصية وقانون العمل وقانون المواطنة.</w:t>
      </w:r>
    </w:p>
    <w:p w14:paraId="7CD4E757" w14:textId="70C20592" w:rsidR="00302887" w:rsidRPr="00302887" w:rsidRDefault="004C2755" w:rsidP="00302887">
      <w:pPr>
        <w:pStyle w:val="ListParagraph"/>
        <w:numPr>
          <w:ilvl w:val="0"/>
          <w:numId w:val="31"/>
        </w:numPr>
        <w:jc w:val="lowKashida"/>
        <w:rPr>
          <w:rFonts w:ascii="Tajawal" w:hAnsi="Tajawal" w:cs="Tajawal"/>
          <w:sz w:val="28"/>
          <w:szCs w:val="28"/>
          <w:lang w:bidi="ar-EG"/>
        </w:rPr>
      </w:pPr>
      <w:r>
        <w:rPr>
          <w:rFonts w:ascii="Tajawal" w:hAnsi="Tajawal" w:cs="Tajawal" w:hint="cs"/>
          <w:sz w:val="28"/>
          <w:szCs w:val="28"/>
          <w:rtl/>
          <w:lang w:bidi="ar-EG"/>
        </w:rPr>
        <w:t>استمرار</w:t>
      </w:r>
      <w:r w:rsidR="00302887" w:rsidRPr="00302887">
        <w:rPr>
          <w:rFonts w:ascii="Tajawal" w:hAnsi="Tajawal" w:cs="Tajawal"/>
          <w:sz w:val="28"/>
          <w:szCs w:val="28"/>
          <w:rtl/>
          <w:lang w:bidi="ar-EG"/>
        </w:rPr>
        <w:t xml:space="preserve">الحماية اللازمة للنساء المهاجرات إلى دولة الإمارات العربية المتحدة بموجب قانون العمل، </w:t>
      </w:r>
      <w:r w:rsidR="0056143F" w:rsidRPr="00302887">
        <w:rPr>
          <w:rFonts w:ascii="Tajawal" w:hAnsi="Tajawal" w:cs="Tajawal" w:hint="cs"/>
          <w:sz w:val="28"/>
          <w:szCs w:val="28"/>
          <w:rtl/>
          <w:lang w:bidi="ar-EG"/>
        </w:rPr>
        <w:t>واتخاذ</w:t>
      </w:r>
      <w:r w:rsidR="00302887" w:rsidRPr="00302887">
        <w:rPr>
          <w:rFonts w:ascii="Tajawal" w:hAnsi="Tajawal" w:cs="Tajawal"/>
          <w:sz w:val="28"/>
          <w:szCs w:val="28"/>
          <w:rtl/>
          <w:lang w:bidi="ar-EG"/>
        </w:rPr>
        <w:t xml:space="preserve"> التدابير اللازمة التي تكفل حمايتهن من الاستغلال المادي والجسدي والجنسي.</w:t>
      </w:r>
    </w:p>
    <w:p w14:paraId="0EBBF38A" w14:textId="77777777" w:rsidR="00302887" w:rsidRPr="00302887" w:rsidRDefault="00302887" w:rsidP="00302887">
      <w:pPr>
        <w:pStyle w:val="ListParagraph"/>
        <w:numPr>
          <w:ilvl w:val="0"/>
          <w:numId w:val="31"/>
        </w:numPr>
        <w:jc w:val="lowKashida"/>
        <w:rPr>
          <w:rFonts w:ascii="Tajawal" w:hAnsi="Tajawal" w:cs="Tajawal"/>
          <w:sz w:val="28"/>
          <w:szCs w:val="28"/>
          <w:lang w:bidi="ar-EG"/>
        </w:rPr>
      </w:pPr>
      <w:r w:rsidRPr="00302887">
        <w:rPr>
          <w:rFonts w:ascii="Tajawal" w:hAnsi="Tajawal" w:cs="Tajawal"/>
          <w:sz w:val="28"/>
          <w:szCs w:val="28"/>
          <w:rtl/>
          <w:lang w:bidi="ar-EG"/>
        </w:rPr>
        <w:t>اتخاذ جميع الإجراءات التي تكفل تمكين المرأة على الصعيد السياسي، وزيادة نسبة تمثيلها في المناصب القيادية.</w:t>
      </w:r>
    </w:p>
    <w:p w14:paraId="5B7A9D38" w14:textId="77777777" w:rsidR="00302887" w:rsidRPr="00302887" w:rsidRDefault="00302887" w:rsidP="00302887">
      <w:pPr>
        <w:pStyle w:val="ListParagraph"/>
        <w:numPr>
          <w:ilvl w:val="0"/>
          <w:numId w:val="31"/>
        </w:numPr>
        <w:jc w:val="lowKashida"/>
        <w:rPr>
          <w:rFonts w:ascii="Tajawal" w:hAnsi="Tajawal" w:cs="Tajawal"/>
          <w:sz w:val="28"/>
          <w:szCs w:val="28"/>
          <w:lang w:bidi="ar-EG"/>
        </w:rPr>
      </w:pPr>
      <w:r w:rsidRPr="00302887">
        <w:rPr>
          <w:rFonts w:ascii="Tajawal" w:hAnsi="Tajawal" w:cs="Tajawal"/>
          <w:sz w:val="28"/>
          <w:szCs w:val="28"/>
          <w:rtl/>
          <w:lang w:bidi="ar-EG"/>
        </w:rPr>
        <w:t>إلغاء جميع الأحكام التمييزية التي تعيق حرية المرأة في التنقل.</w:t>
      </w:r>
    </w:p>
    <w:p w14:paraId="34A201C9" w14:textId="77777777" w:rsidR="00302887" w:rsidRPr="00302887" w:rsidRDefault="00302887" w:rsidP="00302887">
      <w:pPr>
        <w:ind w:left="0" w:firstLine="0"/>
        <w:jc w:val="lowKashida"/>
        <w:rPr>
          <w:rFonts w:ascii="Tajawal" w:hAnsi="Tajawal" w:cs="Tajawal"/>
          <w:sz w:val="28"/>
          <w:szCs w:val="28"/>
          <w:rtl/>
          <w:lang w:bidi="ar-EG"/>
        </w:rPr>
      </w:pPr>
    </w:p>
    <w:p w14:paraId="253B90EB" w14:textId="77777777" w:rsidR="00302887" w:rsidRPr="006B2334" w:rsidRDefault="00302887" w:rsidP="006B2334">
      <w:pPr>
        <w:ind w:left="-57" w:firstLine="0"/>
        <w:jc w:val="lowKashida"/>
        <w:rPr>
          <w:rFonts w:ascii="Tajawal" w:hAnsi="Tajawal" w:cs="Tajawal"/>
          <w:b/>
          <w:bCs/>
          <w:color w:val="0070C0"/>
          <w:sz w:val="40"/>
          <w:szCs w:val="40"/>
          <w:rtl/>
          <w:lang w:bidi="ar-EG"/>
        </w:rPr>
      </w:pPr>
    </w:p>
    <w:p w14:paraId="0A86BABC" w14:textId="77777777" w:rsidR="00E209D8" w:rsidRPr="001341D3" w:rsidRDefault="00E209D8" w:rsidP="001341D3">
      <w:pPr>
        <w:ind w:left="-57" w:firstLine="0"/>
        <w:jc w:val="lowKashida"/>
        <w:rPr>
          <w:rFonts w:ascii="Tajawal" w:hAnsi="Tajawal" w:cs="Tajawal"/>
          <w:b/>
          <w:bCs/>
          <w:color w:val="0070C0"/>
          <w:sz w:val="40"/>
          <w:szCs w:val="40"/>
          <w:rtl/>
        </w:rPr>
      </w:pPr>
    </w:p>
    <w:p w14:paraId="4EA71B5C" w14:textId="77777777" w:rsidR="0013131A" w:rsidRPr="00120DEC" w:rsidRDefault="0013131A" w:rsidP="00120DEC">
      <w:pPr>
        <w:ind w:left="-57" w:firstLine="0"/>
        <w:jc w:val="lowKashida"/>
        <w:rPr>
          <w:rFonts w:ascii="Tajawal" w:hAnsi="Tajawal" w:cs="Tajawal"/>
          <w:sz w:val="28"/>
          <w:szCs w:val="28"/>
          <w:lang w:bidi="ar-EG"/>
        </w:rPr>
      </w:pPr>
    </w:p>
    <w:sectPr w:rsidR="0013131A" w:rsidRPr="00120DEC" w:rsidSect="0078744D">
      <w:footerReference w:type="default" r:id="rId8"/>
      <w:headerReference w:type="first" r:id="rId9"/>
      <w:footerReference w:type="first" r:id="rId10"/>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ECF1F2" w14:textId="77777777" w:rsidR="006C77BC" w:rsidRDefault="006C77BC" w:rsidP="00DA726A">
      <w:pPr>
        <w:spacing w:after="0" w:line="240" w:lineRule="auto"/>
      </w:pPr>
      <w:r>
        <w:separator/>
      </w:r>
    </w:p>
  </w:endnote>
  <w:endnote w:type="continuationSeparator" w:id="0">
    <w:p w14:paraId="35B56F3B" w14:textId="77777777" w:rsidR="006C77BC" w:rsidRDefault="006C77BC" w:rsidP="00DA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ajawal">
    <w:altName w:val="Arial"/>
    <w:charset w:val="00"/>
    <w:family w:val="auto"/>
    <w:pitch w:val="variable"/>
    <w:sig w:usb0="8000202F" w:usb1="9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48B58" w14:textId="77777777" w:rsidR="00271EFB" w:rsidRDefault="00271EFB" w:rsidP="00271EFB">
    <w:pPr>
      <w:pStyle w:val="Footer"/>
      <w:jc w:val="center"/>
      <w:rPr>
        <w:lang w:bidi="ar-EG"/>
      </w:rPr>
    </w:pPr>
    <w:r w:rsidRPr="00BF5E63">
      <w:rPr>
        <w:b/>
        <w:bCs/>
        <w:sz w:val="28"/>
        <w:szCs w:val="28"/>
      </w:rPr>
      <w:fldChar w:fldCharType="begin"/>
    </w:r>
    <w:r w:rsidRPr="00BF5E63">
      <w:rPr>
        <w:b/>
        <w:bCs/>
        <w:sz w:val="28"/>
        <w:szCs w:val="28"/>
      </w:rPr>
      <w:instrText>PAGE   \* MERGEFORMAT</w:instrText>
    </w:r>
    <w:r w:rsidRPr="00BF5E63">
      <w:rPr>
        <w:b/>
        <w:bCs/>
        <w:sz w:val="28"/>
        <w:szCs w:val="28"/>
      </w:rPr>
      <w:fldChar w:fldCharType="separate"/>
    </w:r>
    <w:r w:rsidR="0013131A" w:rsidRPr="0013131A">
      <w:rPr>
        <w:b/>
        <w:bCs/>
        <w:noProof/>
        <w:sz w:val="28"/>
        <w:szCs w:val="28"/>
        <w:rtl/>
        <w:lang w:val="ar-SA"/>
      </w:rPr>
      <w:t>2</w:t>
    </w:r>
    <w:r w:rsidRPr="00BF5E63">
      <w:rPr>
        <w:b/>
        <w:bCs/>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8A9E0" w14:textId="22E22CCA" w:rsidR="0078744D" w:rsidRDefault="00120DEC" w:rsidP="0078744D">
    <w:pPr>
      <w:pStyle w:val="Footer"/>
      <w:rPr>
        <w:rtl/>
        <w:lang w:bidi="ar-EG"/>
      </w:rPr>
    </w:pPr>
    <w:r>
      <w:rPr>
        <w:noProof/>
        <w:rtl/>
      </w:rPr>
      <mc:AlternateContent>
        <mc:Choice Requires="wps">
          <w:drawing>
            <wp:anchor distT="0" distB="0" distL="114300" distR="114300" simplePos="0" relativeHeight="251660288" behindDoc="0" locked="0" layoutInCell="1" allowOverlap="1" wp14:anchorId="58ED6683" wp14:editId="21A71BCC">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64D13B03" w14:textId="77777777" w:rsidTr="00F109FB">
                            <w:trPr>
                              <w:trHeight w:val="340"/>
                            </w:trPr>
                            <w:tc>
                              <w:tcPr>
                                <w:tcW w:w="10214" w:type="dxa"/>
                                <w:gridSpan w:val="5"/>
                                <w:tcBorders>
                                  <w:bottom w:val="nil"/>
                                </w:tcBorders>
                                <w:vAlign w:val="center"/>
                              </w:tcPr>
                              <w:p w14:paraId="7D208D14" w14:textId="77777777" w:rsidR="0078744D" w:rsidRPr="009E5A85" w:rsidRDefault="0078744D" w:rsidP="00F109FB">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13AF6B40" w14:textId="77777777" w:rsidTr="00F109FB">
                            <w:trPr>
                              <w:trHeight w:val="340"/>
                            </w:trPr>
                            <w:tc>
                              <w:tcPr>
                                <w:tcW w:w="10214" w:type="dxa"/>
                                <w:gridSpan w:val="5"/>
                                <w:tcBorders>
                                  <w:bottom w:val="nil"/>
                                </w:tcBorders>
                                <w:vAlign w:val="center"/>
                              </w:tcPr>
                              <w:p w14:paraId="49D1E0F1" w14:textId="77777777" w:rsidR="0078744D" w:rsidRPr="009E5A85" w:rsidRDefault="0078744D" w:rsidP="0049712C">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0C849B6B" w14:textId="77777777" w:rsidTr="0078744D">
                            <w:trPr>
                              <w:trHeight w:val="340"/>
                            </w:trPr>
                            <w:tc>
                              <w:tcPr>
                                <w:tcW w:w="10214" w:type="dxa"/>
                                <w:gridSpan w:val="5"/>
                                <w:tcBorders>
                                  <w:bottom w:val="nil"/>
                                </w:tcBorders>
                                <w:vAlign w:val="center"/>
                              </w:tcPr>
                              <w:p w14:paraId="4BB226BA" w14:textId="77777777" w:rsidR="0078744D" w:rsidRPr="007F1F7C" w:rsidRDefault="0078744D"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MisrHelwan El-Zyrae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Matbaa</w:t>
                                </w:r>
                                <w:r w:rsidRPr="007F1F7C">
                                  <w:rPr>
                                    <w:rFonts w:ascii="Times New Roman" w:eastAsia="Times New Roman" w:hAnsi="Times New Roman" w:cs="Times New Roman"/>
                                    <w:color w:val="000000"/>
                                    <w:sz w:val="20"/>
                                    <w:szCs w:val="20"/>
                                    <w:rtl/>
                                  </w:rPr>
                                  <w:t xml:space="preserve"> </w:t>
                                </w:r>
                                <w:r w:rsidRPr="007F1F7C">
                                  <w:rPr>
                                    <w:rFonts w:ascii="Times New Roman" w:eastAsia="Times New Roman" w:hAnsi="Times New Roman" w:cs="Times New Roman"/>
                                    <w:color w:val="000000"/>
                                    <w:sz w:val="20"/>
                                    <w:szCs w:val="20"/>
                                  </w:rPr>
                                  <w:t>Sq, Hadayek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16B08ECB" w14:textId="77777777" w:rsidTr="0078744D">
                            <w:trPr>
                              <w:trHeight w:val="340"/>
                            </w:trPr>
                            <w:tc>
                              <w:tcPr>
                                <w:tcW w:w="7938" w:type="dxa"/>
                                <w:gridSpan w:val="3"/>
                                <w:tcBorders>
                                  <w:bottom w:val="nil"/>
                                  <w:right w:val="single" w:sz="12" w:space="0" w:color="808080" w:themeColor="background1" w:themeShade="80"/>
                                </w:tcBorders>
                                <w:vAlign w:val="center"/>
                              </w:tcPr>
                              <w:p w14:paraId="564B1649" w14:textId="77777777" w:rsidR="0078744D" w:rsidRPr="007F1F7C" w:rsidRDefault="0078744D" w:rsidP="00F109FB">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19A2D420"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490 El Maadi</w:t>
                                </w:r>
                              </w:p>
                            </w:tc>
                          </w:tr>
                          <w:tr w:rsidR="0078744D" w:rsidRPr="009E5A85" w14:paraId="76FAFABD" w14:textId="77777777" w:rsidTr="0078744D">
                            <w:trPr>
                              <w:trHeight w:val="340"/>
                            </w:trPr>
                            <w:tc>
                              <w:tcPr>
                                <w:tcW w:w="7387" w:type="dxa"/>
                                <w:gridSpan w:val="2"/>
                                <w:tcBorders>
                                  <w:bottom w:val="nil"/>
                                  <w:right w:val="single" w:sz="12" w:space="0" w:color="7F7F7F"/>
                                </w:tcBorders>
                                <w:vAlign w:val="center"/>
                              </w:tcPr>
                              <w:p w14:paraId="0E62B9F2" w14:textId="77777777" w:rsidR="0078744D" w:rsidRPr="007F1F7C" w:rsidRDefault="0078744D" w:rsidP="0078744D">
                                <w:pPr>
                                  <w:spacing w:after="0" w:line="240" w:lineRule="auto"/>
                                  <w:suppressOverlap/>
                                  <w:jc w:val="right"/>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7C84353A"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11B3BE70" w14:textId="77777777" w:rsidTr="0078744D">
                            <w:trPr>
                              <w:trHeight w:val="340"/>
                            </w:trPr>
                            <w:tc>
                              <w:tcPr>
                                <w:tcW w:w="5119" w:type="dxa"/>
                                <w:tcBorders>
                                  <w:right w:val="single" w:sz="12" w:space="0" w:color="7F7F7F"/>
                                </w:tcBorders>
                                <w:vAlign w:val="center"/>
                              </w:tcPr>
                              <w:p w14:paraId="15720A7E" w14:textId="77777777" w:rsidR="0078744D" w:rsidRPr="009E5A85" w:rsidRDefault="0078744D"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5309318E" w14:textId="77777777" w:rsidR="0078744D" w:rsidRPr="009E5A85" w:rsidRDefault="0078744D"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22BEEDC1" w14:textId="77777777" w:rsidR="0078744D" w:rsidRPr="009E5A85" w:rsidRDefault="0078744D"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379D8071" w14:textId="77777777" w:rsidR="0078744D" w:rsidRPr="007F1F7C" w:rsidRDefault="0078744D" w:rsidP="0078744D">
                          <w:pPr>
                            <w:spacing w:after="0" w:line="240" w:lineRule="auto"/>
                            <w:jc w:val="center"/>
                            <w:rPr>
                              <w:rFonts w:ascii="Times New Roman" w:hAnsi="Times New Roman" w:cs="Times New Roman"/>
                              <w:rtl/>
                              <w:lang w:bidi="ar-EG"/>
                            </w:rPr>
                          </w:pPr>
                        </w:p>
                        <w:p w14:paraId="305539E8" w14:textId="77777777" w:rsidR="0078744D" w:rsidRPr="00DD2355" w:rsidRDefault="0078744D" w:rsidP="0078744D">
                          <w:pPr>
                            <w:spacing w:after="0"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ED6683" id="_x0000_t202" coordsize="21600,21600" o:spt="202" path="m,l,21600r21600,l21600,xe">
              <v:stroke joinstyle="miter"/>
              <v:path gradientshapeok="t" o:connecttype="rect"/>
            </v:shapetype>
            <v:shape id="Text Box 2" o:spid="_x0000_s1026" type="#_x0000_t202" style="position:absolute;left:0;text-align:left;margin-left:-15.55pt;margin-top:8.3pt;width:531.7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64D13B03" w14:textId="77777777" w:rsidTr="00F109FB">
                      <w:trPr>
                        <w:trHeight w:val="340"/>
                      </w:trPr>
                      <w:tc>
                        <w:tcPr>
                          <w:tcW w:w="10214" w:type="dxa"/>
                          <w:gridSpan w:val="5"/>
                          <w:tcBorders>
                            <w:bottom w:val="nil"/>
                          </w:tcBorders>
                          <w:vAlign w:val="center"/>
                        </w:tcPr>
                        <w:p w14:paraId="7D208D14" w14:textId="77777777" w:rsidR="0078744D" w:rsidRPr="009E5A85" w:rsidRDefault="0078744D" w:rsidP="00F109FB">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13AF6B40" w14:textId="77777777" w:rsidTr="00F109FB">
                      <w:trPr>
                        <w:trHeight w:val="340"/>
                      </w:trPr>
                      <w:tc>
                        <w:tcPr>
                          <w:tcW w:w="10214" w:type="dxa"/>
                          <w:gridSpan w:val="5"/>
                          <w:tcBorders>
                            <w:bottom w:val="nil"/>
                          </w:tcBorders>
                          <w:vAlign w:val="center"/>
                        </w:tcPr>
                        <w:p w14:paraId="49D1E0F1" w14:textId="77777777" w:rsidR="0078744D" w:rsidRPr="009E5A85" w:rsidRDefault="0078744D" w:rsidP="0049712C">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0C849B6B" w14:textId="77777777" w:rsidTr="0078744D">
                      <w:trPr>
                        <w:trHeight w:val="340"/>
                      </w:trPr>
                      <w:tc>
                        <w:tcPr>
                          <w:tcW w:w="10214" w:type="dxa"/>
                          <w:gridSpan w:val="5"/>
                          <w:tcBorders>
                            <w:bottom w:val="nil"/>
                          </w:tcBorders>
                          <w:vAlign w:val="center"/>
                        </w:tcPr>
                        <w:p w14:paraId="4BB226BA" w14:textId="77777777" w:rsidR="0078744D" w:rsidRPr="007F1F7C" w:rsidRDefault="0078744D"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MisrHelwan El-Zyrae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Matbaa</w:t>
                          </w:r>
                          <w:r w:rsidRPr="007F1F7C">
                            <w:rPr>
                              <w:rFonts w:ascii="Times New Roman" w:eastAsia="Times New Roman" w:hAnsi="Times New Roman" w:cs="Times New Roman"/>
                              <w:color w:val="000000"/>
                              <w:sz w:val="20"/>
                              <w:szCs w:val="20"/>
                              <w:rtl/>
                            </w:rPr>
                            <w:t xml:space="preserve"> </w:t>
                          </w:r>
                          <w:r w:rsidRPr="007F1F7C">
                            <w:rPr>
                              <w:rFonts w:ascii="Times New Roman" w:eastAsia="Times New Roman" w:hAnsi="Times New Roman" w:cs="Times New Roman"/>
                              <w:color w:val="000000"/>
                              <w:sz w:val="20"/>
                              <w:szCs w:val="20"/>
                            </w:rPr>
                            <w:t>Sq, Hadayek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16B08ECB" w14:textId="77777777" w:rsidTr="0078744D">
                      <w:trPr>
                        <w:trHeight w:val="340"/>
                      </w:trPr>
                      <w:tc>
                        <w:tcPr>
                          <w:tcW w:w="7938" w:type="dxa"/>
                          <w:gridSpan w:val="3"/>
                          <w:tcBorders>
                            <w:bottom w:val="nil"/>
                            <w:right w:val="single" w:sz="12" w:space="0" w:color="808080" w:themeColor="background1" w:themeShade="80"/>
                          </w:tcBorders>
                          <w:vAlign w:val="center"/>
                        </w:tcPr>
                        <w:p w14:paraId="564B1649" w14:textId="77777777" w:rsidR="0078744D" w:rsidRPr="007F1F7C" w:rsidRDefault="0078744D" w:rsidP="00F109FB">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19A2D420"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490 El Maadi</w:t>
                          </w:r>
                        </w:p>
                      </w:tc>
                    </w:tr>
                    <w:tr w:rsidR="0078744D" w:rsidRPr="009E5A85" w14:paraId="76FAFABD" w14:textId="77777777" w:rsidTr="0078744D">
                      <w:trPr>
                        <w:trHeight w:val="340"/>
                      </w:trPr>
                      <w:tc>
                        <w:tcPr>
                          <w:tcW w:w="7387" w:type="dxa"/>
                          <w:gridSpan w:val="2"/>
                          <w:tcBorders>
                            <w:bottom w:val="nil"/>
                            <w:right w:val="single" w:sz="12" w:space="0" w:color="7F7F7F"/>
                          </w:tcBorders>
                          <w:vAlign w:val="center"/>
                        </w:tcPr>
                        <w:p w14:paraId="0E62B9F2" w14:textId="77777777" w:rsidR="0078744D" w:rsidRPr="007F1F7C" w:rsidRDefault="0078744D" w:rsidP="0078744D">
                          <w:pPr>
                            <w:spacing w:after="0" w:line="240" w:lineRule="auto"/>
                            <w:suppressOverlap/>
                            <w:jc w:val="right"/>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7C84353A"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11B3BE70" w14:textId="77777777" w:rsidTr="0078744D">
                      <w:trPr>
                        <w:trHeight w:val="340"/>
                      </w:trPr>
                      <w:tc>
                        <w:tcPr>
                          <w:tcW w:w="5119" w:type="dxa"/>
                          <w:tcBorders>
                            <w:right w:val="single" w:sz="12" w:space="0" w:color="7F7F7F"/>
                          </w:tcBorders>
                          <w:vAlign w:val="center"/>
                        </w:tcPr>
                        <w:p w14:paraId="15720A7E" w14:textId="77777777" w:rsidR="0078744D" w:rsidRPr="009E5A85" w:rsidRDefault="0078744D"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5309318E" w14:textId="77777777" w:rsidR="0078744D" w:rsidRPr="009E5A85" w:rsidRDefault="0078744D"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22BEEDC1" w14:textId="77777777" w:rsidR="0078744D" w:rsidRPr="009E5A85" w:rsidRDefault="0078744D"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379D8071" w14:textId="77777777" w:rsidR="0078744D" w:rsidRPr="007F1F7C" w:rsidRDefault="0078744D" w:rsidP="0078744D">
                    <w:pPr>
                      <w:spacing w:after="0" w:line="240" w:lineRule="auto"/>
                      <w:jc w:val="center"/>
                      <w:rPr>
                        <w:rFonts w:ascii="Times New Roman" w:hAnsi="Times New Roman" w:cs="Times New Roman"/>
                        <w:rtl/>
                        <w:lang w:bidi="ar-EG"/>
                      </w:rPr>
                    </w:pPr>
                  </w:p>
                  <w:p w14:paraId="305539E8" w14:textId="77777777" w:rsidR="0078744D" w:rsidRPr="00DD2355" w:rsidRDefault="0078744D" w:rsidP="0078744D">
                    <w:pPr>
                      <w:spacing w:after="0" w:line="240" w:lineRule="auto"/>
                      <w:rPr>
                        <w:lang w:bidi="ar-EG"/>
                      </w:rPr>
                    </w:pPr>
                  </w:p>
                </w:txbxContent>
              </v:textbox>
            </v:shape>
          </w:pict>
        </mc:Fallback>
      </mc:AlternateContent>
    </w:r>
    <w:r>
      <w:rPr>
        <w:noProof/>
        <w:rtl/>
      </w:rPr>
      <mc:AlternateContent>
        <mc:Choice Requires="wps">
          <w:drawing>
            <wp:anchor distT="4294967295" distB="4294967295" distL="114300" distR="114300" simplePos="0" relativeHeight="251661312" behindDoc="1" locked="0" layoutInCell="1" allowOverlap="1" wp14:anchorId="2682A5D4" wp14:editId="33E3B798">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A6A296" id="Line 1" o:spid="_x0000_s1026" style="position:absolute;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" strokecolor="red" strokeweight="2.25pt"/>
          </w:pict>
        </mc:Fallback>
      </mc:AlternateContent>
    </w:r>
  </w:p>
  <w:p w14:paraId="6C39D1DC" w14:textId="77777777" w:rsidR="0078744D" w:rsidRDefault="0078744D" w:rsidP="0078744D">
    <w:pPr>
      <w:pStyle w:val="Footer"/>
      <w:rPr>
        <w:rtl/>
        <w:lang w:bidi="ar-EG"/>
      </w:rPr>
    </w:pPr>
  </w:p>
  <w:p w14:paraId="0134DCD0" w14:textId="77777777" w:rsidR="0078744D" w:rsidRDefault="0078744D" w:rsidP="0078744D">
    <w:pPr>
      <w:pStyle w:val="Footer"/>
      <w:rPr>
        <w:rtl/>
        <w:lang w:bidi="ar-EG"/>
      </w:rPr>
    </w:pPr>
  </w:p>
  <w:p w14:paraId="6407BCA6" w14:textId="77777777" w:rsidR="0078744D" w:rsidRDefault="0078744D" w:rsidP="0078744D">
    <w:pPr>
      <w:pStyle w:val="Footer"/>
      <w:rPr>
        <w:rtl/>
        <w:lang w:bidi="ar-EG"/>
      </w:rPr>
    </w:pPr>
  </w:p>
  <w:p w14:paraId="17DD2924" w14:textId="77777777" w:rsidR="0078744D" w:rsidRDefault="0078744D" w:rsidP="0078744D"/>
  <w:p w14:paraId="1A7FFA2F" w14:textId="77777777" w:rsidR="0078744D" w:rsidRDefault="0078744D" w:rsidP="0078744D"/>
  <w:p w14:paraId="3AADA814" w14:textId="77777777" w:rsidR="0078744D" w:rsidRDefault="0078744D" w:rsidP="0078744D">
    <w:pPr>
      <w:pStyle w:val="Footer"/>
    </w:pPr>
  </w:p>
  <w:p w14:paraId="3315DA4A" w14:textId="77777777" w:rsidR="0078744D" w:rsidRDefault="0078744D">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B9B532" w14:textId="77777777" w:rsidR="006C77BC" w:rsidRDefault="006C77BC" w:rsidP="00DA726A">
      <w:pPr>
        <w:spacing w:after="0" w:line="240" w:lineRule="auto"/>
      </w:pPr>
      <w:r>
        <w:separator/>
      </w:r>
    </w:p>
  </w:footnote>
  <w:footnote w:type="continuationSeparator" w:id="0">
    <w:p w14:paraId="5A95BF36" w14:textId="77777777" w:rsidR="006C77BC" w:rsidRDefault="006C77BC" w:rsidP="00DA726A">
      <w:pPr>
        <w:spacing w:after="0" w:line="240" w:lineRule="auto"/>
      </w:pPr>
      <w:r>
        <w:continuationSeparator/>
      </w:r>
    </w:p>
  </w:footnote>
  <w:footnote w:id="1">
    <w:p w14:paraId="0B027374" w14:textId="77777777" w:rsidR="009D75FE" w:rsidRPr="001B4B11" w:rsidRDefault="009D75FE" w:rsidP="001B4B11">
      <w:pPr>
        <w:pStyle w:val="FootnoteText"/>
        <w:spacing w:after="0" w:line="240" w:lineRule="auto"/>
        <w:rPr>
          <w:rFonts w:ascii="Sakkal Majalla" w:hAnsi="Sakkal Majalla" w:cs="Sakkal Majalla"/>
          <w:rtl/>
        </w:rPr>
      </w:pPr>
      <w:r w:rsidRPr="001B4B11">
        <w:rPr>
          <w:rStyle w:val="FootnoteReference"/>
          <w:rFonts w:ascii="Sakkal Majalla" w:hAnsi="Sakkal Majalla" w:cs="Sakkal Majalla" w:hint="cs"/>
        </w:rPr>
        <w:footnoteRef/>
      </w:r>
      <w:r w:rsidRPr="001B4B11">
        <w:rPr>
          <w:rFonts w:ascii="Sakkal Majalla" w:hAnsi="Sakkal Majalla" w:cs="Sakkal Majalla" w:hint="cs"/>
        </w:rPr>
        <w:t xml:space="preserve"> </w:t>
      </w:r>
      <w:r w:rsidRPr="001B4B11">
        <w:rPr>
          <w:rFonts w:ascii="Sakkal Majalla" w:hAnsi="Sakkal Majalla" w:cs="Sakkal Majalla" w:hint="cs"/>
          <w:lang w:bidi="ar-EG"/>
        </w:rPr>
        <w:t xml:space="preserve"> International Federation for human </w:t>
      </w:r>
      <w:proofErr w:type="gramStart"/>
      <w:r w:rsidRPr="001B4B11">
        <w:rPr>
          <w:rFonts w:ascii="Sakkal Majalla" w:hAnsi="Sakkal Majalla" w:cs="Sakkal Majalla" w:hint="cs"/>
          <w:lang w:bidi="ar-EG"/>
        </w:rPr>
        <w:t>rights,  Women's</w:t>
      </w:r>
      <w:proofErr w:type="gramEnd"/>
      <w:r w:rsidRPr="001B4B11">
        <w:rPr>
          <w:rFonts w:ascii="Sakkal Majalla" w:hAnsi="Sakkal Majalla" w:cs="Sakkal Majalla" w:hint="cs"/>
          <w:lang w:bidi="ar-EG"/>
        </w:rPr>
        <w:t xml:space="preserve"> Rights in the United Arab Emirates (UAE)</w:t>
      </w:r>
      <w:r w:rsidRPr="001B4B11">
        <w:rPr>
          <w:rFonts w:ascii="Sakkal Majalla" w:hAnsi="Sakkal Majalla" w:cs="Sakkal Majalla" w:hint="cs"/>
          <w:color w:val="202124"/>
          <w:sz w:val="42"/>
          <w:szCs w:val="42"/>
        </w:rPr>
        <w:t xml:space="preserve"> </w:t>
      </w:r>
      <w:r w:rsidRPr="001B4B11">
        <w:rPr>
          <w:rFonts w:ascii="Sakkal Majalla" w:hAnsi="Sakkal Majalla" w:cs="Sakkal Majalla" w:hint="cs"/>
          <w:lang w:bidi="ar-EG"/>
        </w:rPr>
        <w:t>Date of entry: January 14, 2021, published on the following link:</w:t>
      </w:r>
      <w:r w:rsidRPr="001B4B11">
        <w:rPr>
          <w:rFonts w:ascii="Sakkal Majalla" w:eastAsiaTheme="minorHAnsi" w:hAnsi="Sakkal Majalla" w:cs="Sakkal Majalla" w:hint="cs"/>
          <w:sz w:val="36"/>
          <w:szCs w:val="36"/>
        </w:rPr>
        <w:t xml:space="preserve"> </w:t>
      </w:r>
      <w:hyperlink r:id="rId1" w:history="1">
        <w:r w:rsidRPr="001B4B11">
          <w:rPr>
            <w:rStyle w:val="Hyperlink"/>
            <w:rFonts w:ascii="Sakkal Majalla" w:hAnsi="Sakkal Majalla" w:cs="Sakkal Majalla" w:hint="cs"/>
            <w:lang w:bidi="ar-EG"/>
          </w:rPr>
          <w:t>https://www.fidh.org/IMG/pdf/UAE_summaryreport_for_CEDAW.pdf</w:t>
        </w:r>
      </w:hyperlink>
    </w:p>
    <w:p w14:paraId="7813DFE9" w14:textId="77777777" w:rsidR="009D75FE" w:rsidRPr="001B4B11" w:rsidRDefault="009D75FE" w:rsidP="001B4B11">
      <w:pPr>
        <w:pStyle w:val="FootnoteText"/>
        <w:spacing w:after="0" w:line="240" w:lineRule="auto"/>
        <w:rPr>
          <w:rFonts w:ascii="Sakkal Majalla" w:hAnsi="Sakkal Majalla" w:cs="Sakkal Majalla"/>
          <w:lang w:bidi="ar-EG"/>
        </w:rPr>
      </w:pPr>
      <w:r w:rsidRPr="001B4B11">
        <w:rPr>
          <w:rFonts w:ascii="Sakkal Majalla" w:hAnsi="Sakkal Majalla" w:cs="Sakkal Majalla" w:hint="cs"/>
          <w:lang w:bidi="ar-EG"/>
        </w:rPr>
        <w:t xml:space="preserve"> </w:t>
      </w:r>
    </w:p>
    <w:p w14:paraId="2D81E562" w14:textId="77777777" w:rsidR="009D75FE" w:rsidRPr="001B4B11" w:rsidRDefault="009D75FE" w:rsidP="001B4B11">
      <w:pPr>
        <w:pStyle w:val="FootnoteText"/>
        <w:spacing w:after="0" w:line="240" w:lineRule="auto"/>
        <w:rPr>
          <w:rFonts w:ascii="Sakkal Majalla" w:hAnsi="Sakkal Majalla" w:cs="Sakkal Majalla"/>
          <w:i/>
          <w:iCs/>
          <w:lang w:bidi="ar-EG"/>
        </w:rPr>
      </w:pPr>
    </w:p>
    <w:p w14:paraId="6B499E44" w14:textId="77777777" w:rsidR="009D75FE" w:rsidRPr="001B4B11" w:rsidRDefault="009D75FE" w:rsidP="001B4B11">
      <w:pPr>
        <w:pStyle w:val="FootnoteText"/>
        <w:spacing w:after="0" w:line="240" w:lineRule="auto"/>
        <w:rPr>
          <w:rFonts w:ascii="Sakkal Majalla" w:hAnsi="Sakkal Majalla" w:cs="Sakkal Majalla"/>
          <w:rtl/>
          <w:lang w:bidi="ar-EG"/>
        </w:rPr>
      </w:pPr>
    </w:p>
  </w:footnote>
  <w:footnote w:id="2">
    <w:p w14:paraId="0249835A" w14:textId="30F1CF5E" w:rsidR="009D75FE" w:rsidRPr="001B4B11" w:rsidRDefault="009D75FE" w:rsidP="001B4B11">
      <w:pPr>
        <w:pStyle w:val="FootnoteText"/>
        <w:bidi/>
        <w:spacing w:after="0" w:line="240" w:lineRule="auto"/>
        <w:rPr>
          <w:rFonts w:ascii="Sakkal Majalla" w:hAnsi="Sakkal Majalla" w:cs="Sakkal Majalla"/>
          <w:rtl/>
          <w:lang w:bidi="ar-EG"/>
        </w:rPr>
      </w:pPr>
      <w:r w:rsidRPr="001B4B11">
        <w:rPr>
          <w:rStyle w:val="FootnoteReference"/>
          <w:rFonts w:ascii="Sakkal Majalla" w:hAnsi="Sakkal Majalla" w:cs="Sakkal Majalla" w:hint="cs"/>
        </w:rPr>
        <w:footnoteRef/>
      </w:r>
      <w:r w:rsidRPr="001B4B11">
        <w:rPr>
          <w:rFonts w:ascii="Sakkal Majalla" w:hAnsi="Sakkal Majalla" w:cs="Sakkal Majalla" w:hint="cs"/>
        </w:rPr>
        <w:t xml:space="preserve"> </w:t>
      </w:r>
      <w:r w:rsidRPr="001B4B11">
        <w:rPr>
          <w:rFonts w:ascii="Sakkal Majalla" w:hAnsi="Sakkal Majalla" w:cs="Sakkal Majalla" w:hint="cs"/>
          <w:rtl/>
          <w:lang w:bidi="ar-EG"/>
        </w:rPr>
        <w:t xml:space="preserve">اتفاقية القضاء على جميع أشكال التمييز ضد المرأة، الأمم </w:t>
      </w:r>
      <w:r w:rsidR="00E209D8" w:rsidRPr="001B4B11">
        <w:rPr>
          <w:rFonts w:ascii="Sakkal Majalla" w:hAnsi="Sakkal Majalla" w:cs="Sakkal Majalla" w:hint="cs"/>
          <w:rtl/>
          <w:lang w:bidi="ar-EG"/>
        </w:rPr>
        <w:t>المتحدة. حقوق</w:t>
      </w:r>
      <w:r w:rsidRPr="001B4B11">
        <w:rPr>
          <w:rFonts w:ascii="Sakkal Majalla" w:hAnsi="Sakkal Majalla" w:cs="Sakkal Majalla" w:hint="cs"/>
          <w:rtl/>
          <w:lang w:bidi="ar-EG"/>
        </w:rPr>
        <w:t xml:space="preserve"> </w:t>
      </w:r>
      <w:r w:rsidR="00E209D8" w:rsidRPr="001B4B11">
        <w:rPr>
          <w:rFonts w:ascii="Sakkal Majalla" w:hAnsi="Sakkal Majalla" w:cs="Sakkal Majalla" w:hint="cs"/>
          <w:rtl/>
          <w:lang w:bidi="ar-EG"/>
        </w:rPr>
        <w:t>الإنسان. مكتب</w:t>
      </w:r>
      <w:r w:rsidRPr="001B4B11">
        <w:rPr>
          <w:rFonts w:ascii="Sakkal Majalla" w:hAnsi="Sakkal Majalla" w:cs="Sakkal Majalla" w:hint="cs"/>
          <w:rtl/>
          <w:lang w:bidi="ar-EG"/>
        </w:rPr>
        <w:t xml:space="preserve"> المفوض السامي، تاريخ الدخول: 14 يناير </w:t>
      </w:r>
      <w:r w:rsidR="00E209D8" w:rsidRPr="001B4B11">
        <w:rPr>
          <w:rFonts w:ascii="Sakkal Majalla" w:hAnsi="Sakkal Majalla" w:cs="Sakkal Majalla" w:hint="cs"/>
          <w:rtl/>
          <w:lang w:bidi="ar-EG"/>
        </w:rPr>
        <w:t>2021، تجدونها</w:t>
      </w:r>
      <w:r w:rsidRPr="001B4B11">
        <w:rPr>
          <w:rFonts w:ascii="Sakkal Majalla" w:hAnsi="Sakkal Majalla" w:cs="Sakkal Majalla" w:hint="cs"/>
          <w:rtl/>
          <w:lang w:bidi="ar-EG"/>
        </w:rPr>
        <w:t xml:space="preserve"> منشورة على الرابط التالي:</w:t>
      </w:r>
      <w:r w:rsidRPr="001B4B11">
        <w:rPr>
          <w:rFonts w:ascii="Sakkal Majalla" w:hAnsi="Sakkal Majalla" w:cs="Sakkal Majalla" w:hint="cs"/>
        </w:rPr>
        <w:t xml:space="preserve"> </w:t>
      </w:r>
      <w:hyperlink r:id="rId2" w:history="1">
        <w:r w:rsidRPr="001B4B11">
          <w:rPr>
            <w:rStyle w:val="Hyperlink"/>
            <w:rFonts w:ascii="Sakkal Majalla" w:hAnsi="Sakkal Majalla" w:cs="Sakkal Majalla" w:hint="cs"/>
            <w:lang w:bidi="ar-EG"/>
          </w:rPr>
          <w:t>https://www.ohchr.org/ar/professionalinterest/pages/cedaw.aspx</w:t>
        </w:r>
      </w:hyperlink>
      <w:r w:rsidRPr="001B4B11">
        <w:rPr>
          <w:rFonts w:ascii="Sakkal Majalla" w:hAnsi="Sakkal Majalla" w:cs="Sakkal Majalla" w:hint="cs"/>
          <w:lang w:bidi="ar-EG"/>
        </w:rPr>
        <w:t xml:space="preserve"> </w:t>
      </w:r>
      <w:r w:rsidRPr="001B4B11">
        <w:rPr>
          <w:rFonts w:ascii="Sakkal Majalla" w:hAnsi="Sakkal Majalla" w:cs="Sakkal Majalla" w:hint="cs"/>
          <w:rtl/>
          <w:lang w:bidi="ar-EG"/>
        </w:rPr>
        <w:t xml:space="preserve"> </w:t>
      </w:r>
    </w:p>
  </w:footnote>
  <w:footnote w:id="3">
    <w:p w14:paraId="6B5F9288" w14:textId="6ABCC1F9" w:rsidR="00E209D8" w:rsidRPr="001B4B11" w:rsidRDefault="00E209D8" w:rsidP="001B4B11">
      <w:pPr>
        <w:pStyle w:val="FootnoteText"/>
        <w:spacing w:after="0" w:line="240" w:lineRule="auto"/>
        <w:rPr>
          <w:rFonts w:ascii="Sakkal Majalla" w:hAnsi="Sakkal Majalla" w:cs="Sakkal Majalla"/>
          <w:lang w:bidi="ar-EG"/>
        </w:rPr>
      </w:pPr>
      <w:r w:rsidRPr="001B4B11">
        <w:rPr>
          <w:rStyle w:val="FootnoteReference"/>
          <w:rFonts w:ascii="Sakkal Majalla" w:hAnsi="Sakkal Majalla" w:cs="Sakkal Majalla" w:hint="cs"/>
        </w:rPr>
        <w:footnoteRef/>
      </w:r>
      <w:r w:rsidRPr="001B4B11">
        <w:rPr>
          <w:rFonts w:ascii="Sakkal Majalla" w:hAnsi="Sakkal Majalla" w:cs="Sakkal Majalla" w:hint="cs"/>
        </w:rPr>
        <w:t xml:space="preserve"> </w:t>
      </w:r>
      <w:r w:rsidRPr="001B4B11">
        <w:rPr>
          <w:rFonts w:ascii="Sakkal Majalla" w:hAnsi="Sakkal Majalla" w:cs="Sakkal Majalla" w:hint="cs"/>
          <w:vertAlign w:val="superscript"/>
          <w:lang w:bidi="ar-EG"/>
        </w:rPr>
        <w:footnoteRef/>
      </w:r>
      <w:r w:rsidRPr="001B4B11">
        <w:rPr>
          <w:rFonts w:ascii="Sakkal Majalla" w:hAnsi="Sakkal Majalla" w:cs="Sakkal Majalla" w:hint="cs"/>
          <w:lang w:bidi="ar-EG"/>
        </w:rPr>
        <w:t xml:space="preserve">    International Federation for human </w:t>
      </w:r>
      <w:r w:rsidR="001B4B11" w:rsidRPr="001B4B11">
        <w:rPr>
          <w:rFonts w:ascii="Sakkal Majalla" w:hAnsi="Sakkal Majalla" w:cs="Sakkal Majalla" w:hint="cs"/>
          <w:lang w:bidi="ar-EG"/>
        </w:rPr>
        <w:t>rights, Women’s</w:t>
      </w:r>
      <w:r w:rsidRPr="001B4B11">
        <w:rPr>
          <w:rFonts w:ascii="Sakkal Majalla" w:hAnsi="Sakkal Majalla" w:cs="Sakkal Majalla" w:hint="cs"/>
          <w:lang w:bidi="ar-EG"/>
        </w:rPr>
        <w:t xml:space="preserve"> Rights in the United Arab Emirates (UAE)</w:t>
      </w:r>
      <w:proofErr w:type="gramStart"/>
      <w:r w:rsidRPr="001B4B11">
        <w:rPr>
          <w:rFonts w:ascii="Sakkal Majalla" w:hAnsi="Sakkal Majalla" w:cs="Sakkal Majalla" w:hint="cs"/>
          <w:lang w:bidi="ar-EG"/>
        </w:rPr>
        <w:t>/ ,</w:t>
      </w:r>
      <w:proofErr w:type="gramEnd"/>
      <w:r w:rsidRPr="001B4B11">
        <w:rPr>
          <w:rFonts w:ascii="Sakkal Majalla" w:hAnsi="Sakkal Majalla" w:cs="Sakkal Majalla" w:hint="cs"/>
          <w:lang w:bidi="ar-EG"/>
        </w:rPr>
        <w:t xml:space="preserve"> previous reference.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ook w:val="04A0" w:firstRow="1" w:lastRow="0" w:firstColumn="1" w:lastColumn="0" w:noHBand="0" w:noVBand="1"/>
    </w:tblPr>
    <w:tblGrid>
      <w:gridCol w:w="4560"/>
      <w:gridCol w:w="5362"/>
    </w:tblGrid>
    <w:tr w:rsidR="0078744D" w:rsidRPr="000F6BDC" w14:paraId="3611DFC6" w14:textId="77777777" w:rsidTr="006A113A">
      <w:tc>
        <w:tcPr>
          <w:tcW w:w="5210" w:type="dxa"/>
          <w:shd w:val="clear" w:color="auto" w:fill="auto"/>
          <w:vAlign w:val="center"/>
        </w:tcPr>
        <w:p w14:paraId="1CFCD75B" w14:textId="77777777" w:rsidR="0078744D" w:rsidRPr="000F6BDC" w:rsidRDefault="0078744D" w:rsidP="006A113A">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2ADE87F1" w14:textId="77777777" w:rsidR="0078744D" w:rsidRPr="000F6BDC" w:rsidRDefault="00FB6240" w:rsidP="006A113A">
          <w:pPr>
            <w:pStyle w:val="Header"/>
            <w:tabs>
              <w:tab w:val="center" w:pos="5102"/>
              <w:tab w:val="right" w:pos="10204"/>
            </w:tabs>
            <w:jc w:val="right"/>
            <w:rPr>
              <w:rtl/>
              <w:lang w:bidi="ar-EG"/>
            </w:rPr>
          </w:pPr>
          <w:r>
            <w:rPr>
              <w:rFonts w:hint="cs"/>
              <w:noProof/>
            </w:rPr>
            <w:drawing>
              <wp:inline distT="0" distB="0" distL="0" distR="0" wp14:anchorId="0E9836AE" wp14:editId="0076642B">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66C283BF" w14:textId="77777777" w:rsidR="0078744D" w:rsidRDefault="0078744D">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4"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8240A8"/>
    <w:multiLevelType w:val="hybridMultilevel"/>
    <w:tmpl w:val="42D66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0"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1"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1"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3"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4"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7"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29"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8"/>
  </w:num>
  <w:num w:numId="3">
    <w:abstractNumId w:val="10"/>
  </w:num>
  <w:num w:numId="4">
    <w:abstractNumId w:val="22"/>
  </w:num>
  <w:num w:numId="5">
    <w:abstractNumId w:val="16"/>
  </w:num>
  <w:num w:numId="6">
    <w:abstractNumId w:val="19"/>
  </w:num>
  <w:num w:numId="7">
    <w:abstractNumId w:val="4"/>
  </w:num>
  <w:num w:numId="8">
    <w:abstractNumId w:val="18"/>
  </w:num>
  <w:num w:numId="9">
    <w:abstractNumId w:val="1"/>
  </w:num>
  <w:num w:numId="10">
    <w:abstractNumId w:val="11"/>
  </w:num>
  <w:num w:numId="11">
    <w:abstractNumId w:val="23"/>
  </w:num>
  <w:num w:numId="12">
    <w:abstractNumId w:val="25"/>
  </w:num>
  <w:num w:numId="13">
    <w:abstractNumId w:val="17"/>
  </w:num>
  <w:num w:numId="14">
    <w:abstractNumId w:val="27"/>
  </w:num>
  <w:num w:numId="15">
    <w:abstractNumId w:val="14"/>
  </w:num>
  <w:num w:numId="16">
    <w:abstractNumId w:val="20"/>
  </w:num>
  <w:num w:numId="17">
    <w:abstractNumId w:val="13"/>
  </w:num>
  <w:num w:numId="18">
    <w:abstractNumId w:val="0"/>
  </w:num>
  <w:num w:numId="19">
    <w:abstractNumId w:val="24"/>
  </w:num>
  <w:num w:numId="20">
    <w:abstractNumId w:val="21"/>
  </w:num>
  <w:num w:numId="21">
    <w:abstractNumId w:val="8"/>
  </w:num>
  <w:num w:numId="22">
    <w:abstractNumId w:val="5"/>
  </w:num>
  <w:num w:numId="23">
    <w:abstractNumId w:val="29"/>
  </w:num>
  <w:num w:numId="24">
    <w:abstractNumId w:val="3"/>
  </w:num>
  <w:num w:numId="25">
    <w:abstractNumId w:val="15"/>
  </w:num>
  <w:num w:numId="26">
    <w:abstractNumId w:val="2"/>
  </w:num>
  <w:num w:numId="27">
    <w:abstractNumId w:val="30"/>
  </w:num>
  <w:num w:numId="28">
    <w:abstractNumId w:val="9"/>
  </w:num>
  <w:num w:numId="29">
    <w:abstractNumId w:val="26"/>
  </w:num>
  <w:num w:numId="30">
    <w:abstractNumId w:val="12"/>
  </w:num>
  <w:num w:numId="31">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DEC"/>
    <w:rsid w:val="000114AB"/>
    <w:rsid w:val="00030F11"/>
    <w:rsid w:val="00032D1E"/>
    <w:rsid w:val="00044C84"/>
    <w:rsid w:val="000512C7"/>
    <w:rsid w:val="000741DE"/>
    <w:rsid w:val="00092C2D"/>
    <w:rsid w:val="00093715"/>
    <w:rsid w:val="00095287"/>
    <w:rsid w:val="000A0AB8"/>
    <w:rsid w:val="000D4978"/>
    <w:rsid w:val="000D5AD2"/>
    <w:rsid w:val="000D6D8D"/>
    <w:rsid w:val="000D7898"/>
    <w:rsid w:val="000E2C0A"/>
    <w:rsid w:val="000F014C"/>
    <w:rsid w:val="000F2CD1"/>
    <w:rsid w:val="00120DEC"/>
    <w:rsid w:val="00121BD9"/>
    <w:rsid w:val="0013131A"/>
    <w:rsid w:val="001341D3"/>
    <w:rsid w:val="00137A4E"/>
    <w:rsid w:val="0014151A"/>
    <w:rsid w:val="00145A29"/>
    <w:rsid w:val="00146411"/>
    <w:rsid w:val="00154B92"/>
    <w:rsid w:val="00161BDA"/>
    <w:rsid w:val="001653EA"/>
    <w:rsid w:val="00183241"/>
    <w:rsid w:val="001875C1"/>
    <w:rsid w:val="001A16B2"/>
    <w:rsid w:val="001A2AA5"/>
    <w:rsid w:val="001A63EC"/>
    <w:rsid w:val="001B0A92"/>
    <w:rsid w:val="001B49FC"/>
    <w:rsid w:val="001B4B11"/>
    <w:rsid w:val="001B52FA"/>
    <w:rsid w:val="001B544B"/>
    <w:rsid w:val="001D3DFF"/>
    <w:rsid w:val="001D53AC"/>
    <w:rsid w:val="001E2F59"/>
    <w:rsid w:val="001F0321"/>
    <w:rsid w:val="001F507A"/>
    <w:rsid w:val="001F5970"/>
    <w:rsid w:val="001F7645"/>
    <w:rsid w:val="00217293"/>
    <w:rsid w:val="002201B9"/>
    <w:rsid w:val="00246551"/>
    <w:rsid w:val="002474F3"/>
    <w:rsid w:val="0025618C"/>
    <w:rsid w:val="002622F9"/>
    <w:rsid w:val="00270E84"/>
    <w:rsid w:val="00271164"/>
    <w:rsid w:val="00271EFB"/>
    <w:rsid w:val="00291218"/>
    <w:rsid w:val="002963DC"/>
    <w:rsid w:val="002B5759"/>
    <w:rsid w:val="002B64B9"/>
    <w:rsid w:val="002C44C5"/>
    <w:rsid w:val="002C62D4"/>
    <w:rsid w:val="002E4998"/>
    <w:rsid w:val="002E797A"/>
    <w:rsid w:val="002F52BF"/>
    <w:rsid w:val="00302887"/>
    <w:rsid w:val="00313319"/>
    <w:rsid w:val="00320EC0"/>
    <w:rsid w:val="003218F0"/>
    <w:rsid w:val="0032736F"/>
    <w:rsid w:val="00331F6E"/>
    <w:rsid w:val="003425A0"/>
    <w:rsid w:val="00347D74"/>
    <w:rsid w:val="00374C0C"/>
    <w:rsid w:val="003927B9"/>
    <w:rsid w:val="003B0F82"/>
    <w:rsid w:val="003B4D22"/>
    <w:rsid w:val="003C2DA1"/>
    <w:rsid w:val="003D364B"/>
    <w:rsid w:val="003F2D85"/>
    <w:rsid w:val="004059DA"/>
    <w:rsid w:val="004106C3"/>
    <w:rsid w:val="0043069B"/>
    <w:rsid w:val="00434334"/>
    <w:rsid w:val="00435097"/>
    <w:rsid w:val="004544BF"/>
    <w:rsid w:val="00481EC3"/>
    <w:rsid w:val="00484291"/>
    <w:rsid w:val="00484902"/>
    <w:rsid w:val="00486DED"/>
    <w:rsid w:val="004908BF"/>
    <w:rsid w:val="00492FB2"/>
    <w:rsid w:val="00496E26"/>
    <w:rsid w:val="004A5B4E"/>
    <w:rsid w:val="004B3049"/>
    <w:rsid w:val="004C24BD"/>
    <w:rsid w:val="004C2755"/>
    <w:rsid w:val="004C7BFF"/>
    <w:rsid w:val="004F2C14"/>
    <w:rsid w:val="005005A9"/>
    <w:rsid w:val="005073B3"/>
    <w:rsid w:val="00512DE4"/>
    <w:rsid w:val="00520BB2"/>
    <w:rsid w:val="00526738"/>
    <w:rsid w:val="00535AC8"/>
    <w:rsid w:val="005404AF"/>
    <w:rsid w:val="0055175D"/>
    <w:rsid w:val="0056143F"/>
    <w:rsid w:val="00582661"/>
    <w:rsid w:val="0058540C"/>
    <w:rsid w:val="005914E6"/>
    <w:rsid w:val="00595E84"/>
    <w:rsid w:val="005B1B52"/>
    <w:rsid w:val="005C5231"/>
    <w:rsid w:val="005C5621"/>
    <w:rsid w:val="005F41F3"/>
    <w:rsid w:val="005F73A0"/>
    <w:rsid w:val="006001CA"/>
    <w:rsid w:val="00611353"/>
    <w:rsid w:val="0062726E"/>
    <w:rsid w:val="006367E8"/>
    <w:rsid w:val="00643801"/>
    <w:rsid w:val="006451AE"/>
    <w:rsid w:val="00646C18"/>
    <w:rsid w:val="006474FC"/>
    <w:rsid w:val="006513DD"/>
    <w:rsid w:val="00657968"/>
    <w:rsid w:val="006618A6"/>
    <w:rsid w:val="006A0EAA"/>
    <w:rsid w:val="006B00A2"/>
    <w:rsid w:val="006B2334"/>
    <w:rsid w:val="006B38C6"/>
    <w:rsid w:val="006C77BC"/>
    <w:rsid w:val="006E3530"/>
    <w:rsid w:val="006E4C4C"/>
    <w:rsid w:val="006E7F37"/>
    <w:rsid w:val="006F43D7"/>
    <w:rsid w:val="0070128D"/>
    <w:rsid w:val="00701C08"/>
    <w:rsid w:val="00716FC9"/>
    <w:rsid w:val="00721F49"/>
    <w:rsid w:val="00723568"/>
    <w:rsid w:val="007339F9"/>
    <w:rsid w:val="00744F8E"/>
    <w:rsid w:val="00747B0E"/>
    <w:rsid w:val="0078744D"/>
    <w:rsid w:val="007A036C"/>
    <w:rsid w:val="007B2EFB"/>
    <w:rsid w:val="007C5D7D"/>
    <w:rsid w:val="007F1D75"/>
    <w:rsid w:val="00827454"/>
    <w:rsid w:val="008279A0"/>
    <w:rsid w:val="008313B2"/>
    <w:rsid w:val="008357CC"/>
    <w:rsid w:val="00851BA0"/>
    <w:rsid w:val="00853A72"/>
    <w:rsid w:val="0085419A"/>
    <w:rsid w:val="00857A4E"/>
    <w:rsid w:val="00863BAD"/>
    <w:rsid w:val="00865A96"/>
    <w:rsid w:val="0087055B"/>
    <w:rsid w:val="00893F59"/>
    <w:rsid w:val="008B0761"/>
    <w:rsid w:val="008B281A"/>
    <w:rsid w:val="008C387A"/>
    <w:rsid w:val="008C4A2D"/>
    <w:rsid w:val="008C5299"/>
    <w:rsid w:val="008C6D74"/>
    <w:rsid w:val="008F1EFC"/>
    <w:rsid w:val="008F73DD"/>
    <w:rsid w:val="0090255E"/>
    <w:rsid w:val="00903FA9"/>
    <w:rsid w:val="0091234E"/>
    <w:rsid w:val="00930131"/>
    <w:rsid w:val="00933048"/>
    <w:rsid w:val="00940F26"/>
    <w:rsid w:val="009452C2"/>
    <w:rsid w:val="00945898"/>
    <w:rsid w:val="009659BF"/>
    <w:rsid w:val="009678D7"/>
    <w:rsid w:val="0097144A"/>
    <w:rsid w:val="00975534"/>
    <w:rsid w:val="009871E1"/>
    <w:rsid w:val="00987311"/>
    <w:rsid w:val="009A3007"/>
    <w:rsid w:val="009C5532"/>
    <w:rsid w:val="009D75FE"/>
    <w:rsid w:val="009E7AD4"/>
    <w:rsid w:val="009F4921"/>
    <w:rsid w:val="00A14BAD"/>
    <w:rsid w:val="00A231B8"/>
    <w:rsid w:val="00A3026F"/>
    <w:rsid w:val="00A33677"/>
    <w:rsid w:val="00A52FD7"/>
    <w:rsid w:val="00A62CAA"/>
    <w:rsid w:val="00A70959"/>
    <w:rsid w:val="00A736F9"/>
    <w:rsid w:val="00A80B06"/>
    <w:rsid w:val="00AA1E5D"/>
    <w:rsid w:val="00AB321F"/>
    <w:rsid w:val="00AB4FC2"/>
    <w:rsid w:val="00AE37B9"/>
    <w:rsid w:val="00AE70ED"/>
    <w:rsid w:val="00AF03A1"/>
    <w:rsid w:val="00AF6B07"/>
    <w:rsid w:val="00AF771A"/>
    <w:rsid w:val="00B03AF2"/>
    <w:rsid w:val="00B03E77"/>
    <w:rsid w:val="00B1026D"/>
    <w:rsid w:val="00B12617"/>
    <w:rsid w:val="00B36DD9"/>
    <w:rsid w:val="00B64037"/>
    <w:rsid w:val="00B81934"/>
    <w:rsid w:val="00B866FD"/>
    <w:rsid w:val="00B9176F"/>
    <w:rsid w:val="00BB02C1"/>
    <w:rsid w:val="00BB364D"/>
    <w:rsid w:val="00BB3B7F"/>
    <w:rsid w:val="00BD70C2"/>
    <w:rsid w:val="00BE7058"/>
    <w:rsid w:val="00BF03A4"/>
    <w:rsid w:val="00BF41A1"/>
    <w:rsid w:val="00BF4CD2"/>
    <w:rsid w:val="00C03BCC"/>
    <w:rsid w:val="00C20CBC"/>
    <w:rsid w:val="00C425DD"/>
    <w:rsid w:val="00C46402"/>
    <w:rsid w:val="00C46508"/>
    <w:rsid w:val="00C479CF"/>
    <w:rsid w:val="00C76281"/>
    <w:rsid w:val="00C86340"/>
    <w:rsid w:val="00C920F7"/>
    <w:rsid w:val="00C92671"/>
    <w:rsid w:val="00C967BB"/>
    <w:rsid w:val="00CB20D7"/>
    <w:rsid w:val="00CB2578"/>
    <w:rsid w:val="00CC67F5"/>
    <w:rsid w:val="00CD4DAA"/>
    <w:rsid w:val="00CF5B58"/>
    <w:rsid w:val="00D04663"/>
    <w:rsid w:val="00D04EFE"/>
    <w:rsid w:val="00D2013D"/>
    <w:rsid w:val="00D2200E"/>
    <w:rsid w:val="00D30CD1"/>
    <w:rsid w:val="00D34F0E"/>
    <w:rsid w:val="00D3586D"/>
    <w:rsid w:val="00D36EC4"/>
    <w:rsid w:val="00D45AC7"/>
    <w:rsid w:val="00D46E2A"/>
    <w:rsid w:val="00D46E8F"/>
    <w:rsid w:val="00D50B48"/>
    <w:rsid w:val="00D62642"/>
    <w:rsid w:val="00D757C7"/>
    <w:rsid w:val="00DA09CC"/>
    <w:rsid w:val="00DA3BA1"/>
    <w:rsid w:val="00DA726A"/>
    <w:rsid w:val="00E02ED6"/>
    <w:rsid w:val="00E11404"/>
    <w:rsid w:val="00E1789F"/>
    <w:rsid w:val="00E209D8"/>
    <w:rsid w:val="00E268F6"/>
    <w:rsid w:val="00E33E9B"/>
    <w:rsid w:val="00E43E52"/>
    <w:rsid w:val="00E511A1"/>
    <w:rsid w:val="00E718B9"/>
    <w:rsid w:val="00E94231"/>
    <w:rsid w:val="00EC0941"/>
    <w:rsid w:val="00EC7EBB"/>
    <w:rsid w:val="00ED204D"/>
    <w:rsid w:val="00EF6AB7"/>
    <w:rsid w:val="00F14451"/>
    <w:rsid w:val="00F1507F"/>
    <w:rsid w:val="00F25AC8"/>
    <w:rsid w:val="00F260D7"/>
    <w:rsid w:val="00F31D04"/>
    <w:rsid w:val="00F36756"/>
    <w:rsid w:val="00F54524"/>
    <w:rsid w:val="00F7285F"/>
    <w:rsid w:val="00F73300"/>
    <w:rsid w:val="00F7749F"/>
    <w:rsid w:val="00F9488B"/>
    <w:rsid w:val="00F94BE9"/>
    <w:rsid w:val="00F952F7"/>
    <w:rsid w:val="00F95B01"/>
    <w:rsid w:val="00FA41B1"/>
    <w:rsid w:val="00FB6240"/>
    <w:rsid w:val="00FC1F03"/>
    <w:rsid w:val="00FD61AC"/>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204B0B"/>
  <w15:docId w15:val="{345E0599-F89E-478E-B855-09E80FDD4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DEC"/>
    <w:pPr>
      <w:bidi/>
    </w:pPr>
  </w:style>
  <w:style w:type="paragraph" w:styleId="Heading1">
    <w:name w:val="heading 1"/>
    <w:basedOn w:val="Normal"/>
    <w:next w:val="Normal"/>
    <w:link w:val="Heading1Char"/>
    <w:uiPriority w:val="9"/>
    <w:qFormat/>
    <w:rsid w:val="00A14B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contextualSpacing/>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A726A"/>
    <w:pPr>
      <w:bidi w:val="0"/>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579559754">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ar/professionalinterest/pages/cedaw.aspx" TargetMode="External"/><Relationship Id="rId1" Type="http://schemas.openxmlformats.org/officeDocument/2006/relationships/hyperlink" Target="https://www.fidh.org/IMG/pdf/UAE_summaryreport_for_CEDAW.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PR\&#1588;&#1594;&#1604;%202021\Maat%20Letterhead.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B327F4-44A9-447A-A9B5-7D27A033D838}">
  <ds:schemaRefs>
    <ds:schemaRef ds:uri="http://schemas.openxmlformats.org/officeDocument/2006/bibliography"/>
  </ds:schemaRefs>
</ds:datastoreItem>
</file>

<file path=customXml/itemProps2.xml><?xml version="1.0" encoding="utf-8"?>
<ds:datastoreItem xmlns:ds="http://schemas.openxmlformats.org/officeDocument/2006/customXml" ds:itemID="{C613646E-B964-48DC-9927-A25C0898B97B}"/>
</file>

<file path=customXml/itemProps3.xml><?xml version="1.0" encoding="utf-8"?>
<ds:datastoreItem xmlns:ds="http://schemas.openxmlformats.org/officeDocument/2006/customXml" ds:itemID="{E081BEA8-04B7-4EC7-B9D3-7AC51FB02192}"/>
</file>

<file path=customXml/itemProps4.xml><?xml version="1.0" encoding="utf-8"?>
<ds:datastoreItem xmlns:ds="http://schemas.openxmlformats.org/officeDocument/2006/customXml" ds:itemID="{E2F42155-9623-4D50-A454-81BB010A037C}"/>
</file>

<file path=docProps/app.xml><?xml version="1.0" encoding="utf-8"?>
<Properties xmlns="http://schemas.openxmlformats.org/officeDocument/2006/extended-properties" xmlns:vt="http://schemas.openxmlformats.org/officeDocument/2006/docPropsVTypes">
  <Template>Maat Letterhead</Template>
  <TotalTime>113</TotalTime>
  <Pages>4</Pages>
  <Words>1158</Words>
  <Characters>6604</Characters>
  <Application>Microsoft Office Word</Application>
  <DocSecurity>0</DocSecurity>
  <Lines>55</Lines>
  <Paragraphs>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7747</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sherif</dc:creator>
  <cp:lastModifiedBy>Mennatallah</cp:lastModifiedBy>
  <cp:revision>8</cp:revision>
  <cp:lastPrinted>2016-03-27T18:28:00Z</cp:lastPrinted>
  <dcterms:created xsi:type="dcterms:W3CDTF">2021-01-20T12:14:00Z</dcterms:created>
  <dcterms:modified xsi:type="dcterms:W3CDTF">2021-01-31T21:10:00Z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