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5AC9" w:rsidRPr="00F35AC9" w:rsidRDefault="00F35AC9" w:rsidP="00F35AC9">
      <w:pPr>
        <w:pBdr>
          <w:top w:val="single" w:sz="4" w:space="1" w:color="auto"/>
          <w:left w:val="single" w:sz="4" w:space="4" w:color="auto"/>
          <w:bottom w:val="single" w:sz="4" w:space="1" w:color="auto"/>
          <w:right w:val="single" w:sz="4" w:space="4" w:color="auto"/>
        </w:pBdr>
        <w:jc w:val="center"/>
        <w:rPr>
          <w:rFonts w:ascii="Times New Roman" w:hAnsi="Times New Roman"/>
          <w:b/>
          <w:bCs/>
          <w:color w:val="1F497D" w:themeColor="text2"/>
          <w:lang w:val="es-ES"/>
        </w:rPr>
      </w:pPr>
      <w:bookmarkStart w:id="0" w:name="_Hlk136347590"/>
      <w:r w:rsidRPr="00F35AC9">
        <w:rPr>
          <w:rFonts w:ascii="Times New Roman" w:hAnsi="Times New Roman"/>
          <w:b/>
          <w:bCs/>
          <w:color w:val="1F497D" w:themeColor="text2"/>
          <w:lang w:val="es-ES"/>
        </w:rPr>
        <w:t>ANEXOS</w:t>
      </w:r>
    </w:p>
    <w:p w:rsidR="00F35AC9" w:rsidRPr="00F35AC9" w:rsidRDefault="00F35AC9" w:rsidP="00F35AC9">
      <w:pPr>
        <w:jc w:val="center"/>
        <w:rPr>
          <w:rFonts w:ascii="Times New Roman" w:hAnsi="Times New Roman"/>
          <w:b/>
          <w:bCs/>
          <w:color w:val="1F497D" w:themeColor="text2"/>
          <w:lang w:val="es-ES"/>
        </w:rPr>
      </w:pPr>
    </w:p>
    <w:p w:rsidR="00F35AC9" w:rsidRPr="00F35AC9" w:rsidRDefault="00F35AC9" w:rsidP="00F35AC9">
      <w:pPr>
        <w:jc w:val="both"/>
        <w:rPr>
          <w:rFonts w:ascii="Times New Roman" w:hAnsi="Times New Roman"/>
          <w:b/>
          <w:bCs/>
          <w:color w:val="1F497D" w:themeColor="text2"/>
          <w:lang w:val="es-ES"/>
        </w:rPr>
      </w:pPr>
      <w:r w:rsidRPr="00F35AC9">
        <w:rPr>
          <w:rFonts w:ascii="Times New Roman" w:hAnsi="Times New Roman"/>
          <w:b/>
          <w:bCs/>
          <w:color w:val="1F497D" w:themeColor="text2"/>
          <w:lang w:val="es-ES"/>
        </w:rPr>
        <w:t>Anexo 1: PNIA en francés (pdf)</w:t>
      </w:r>
    </w:p>
    <w:p w:rsidR="00F35AC9" w:rsidRPr="00F35AC9" w:rsidRDefault="00F35AC9" w:rsidP="00F35AC9">
      <w:pPr>
        <w:jc w:val="both"/>
        <w:rPr>
          <w:rFonts w:ascii="Times New Roman" w:hAnsi="Times New Roman"/>
          <w:b/>
          <w:bCs/>
          <w:color w:val="244061" w:themeColor="accent1" w:themeShade="80"/>
          <w:lang w:val="es-ES"/>
        </w:rPr>
      </w:pPr>
      <w:r w:rsidRPr="00F35AC9">
        <w:rPr>
          <w:rFonts w:ascii="Times New Roman" w:hAnsi="Times New Roman"/>
          <w:b/>
          <w:bCs/>
          <w:color w:val="1F497D" w:themeColor="text2"/>
          <w:lang w:val="es-ES"/>
        </w:rPr>
        <w:t>Anexo 2: Artículos mencionados de la Ley 15/2019, de 15 de febrero, calificada de la responsabilidad penal de las personas menores de edad</w:t>
      </w:r>
    </w:p>
    <w:p w:rsidR="00F35AC9" w:rsidRPr="00F35AC9" w:rsidRDefault="00F35AC9" w:rsidP="00F35AC9">
      <w:pPr>
        <w:spacing w:after="0"/>
        <w:jc w:val="both"/>
        <w:rPr>
          <w:rFonts w:ascii="Times New Roman" w:hAnsi="Times New Roman"/>
          <w:b/>
          <w:color w:val="244061" w:themeColor="accent1" w:themeShade="80"/>
          <w:lang w:val="es-ES"/>
        </w:rPr>
      </w:pPr>
      <w:r w:rsidRPr="00F35AC9">
        <w:rPr>
          <w:rFonts w:ascii="Times New Roman" w:hAnsi="Times New Roman"/>
          <w:b/>
          <w:color w:val="244061" w:themeColor="accent1" w:themeShade="80"/>
          <w:lang w:val="es-ES"/>
        </w:rPr>
        <w:t>Artículo 20. Internamiento provisional</w:t>
      </w:r>
    </w:p>
    <w:p w:rsidR="00F35AC9" w:rsidRPr="00F35AC9" w:rsidRDefault="00F35AC9" w:rsidP="00F35AC9">
      <w:pPr>
        <w:spacing w:after="0"/>
        <w:jc w:val="both"/>
        <w:rPr>
          <w:rFonts w:ascii="Times New Roman" w:hAnsi="Times New Roman"/>
          <w:color w:val="1F497D" w:themeColor="text2"/>
          <w:lang w:val="es-ES"/>
        </w:rPr>
      </w:pPr>
      <w:r w:rsidRPr="00F35AC9">
        <w:rPr>
          <w:rFonts w:ascii="Times New Roman" w:hAnsi="Times New Roman"/>
          <w:color w:val="1F497D" w:themeColor="text2"/>
          <w:lang w:val="es-ES"/>
        </w:rPr>
        <w:t>1. El juez instructor, en los mismos casos que pueden motivar la medida disciplinaria de internamiento en régimen cerrado, podrá decidir mediante decisión el internamiento provisional de la persona menor de edad contra la que se sigue un proceso penal, siempre que el menor de edad tenga catorce años como mínimo y que, por otra parte, se cumplan algunos de los siguientes requisitos:</w:t>
      </w:r>
    </w:p>
    <w:p w:rsidR="00F35AC9" w:rsidRPr="00F35AC9" w:rsidRDefault="00F35AC9" w:rsidP="00F35AC9">
      <w:pPr>
        <w:spacing w:after="0"/>
        <w:jc w:val="both"/>
        <w:rPr>
          <w:rFonts w:ascii="Times New Roman" w:hAnsi="Times New Roman"/>
          <w:color w:val="1F497D" w:themeColor="text2"/>
          <w:lang w:val="es-ES"/>
        </w:rPr>
      </w:pPr>
      <w:r w:rsidRPr="00F35AC9">
        <w:rPr>
          <w:rFonts w:ascii="Times New Roman" w:hAnsi="Times New Roman"/>
          <w:color w:val="1F497D" w:themeColor="text2"/>
          <w:lang w:val="es-ES"/>
        </w:rPr>
        <w:t>a) La libertad de esa persona comporte un peligro para la seguridad pública o los hechos presuntamente cometidos hayan causado alarma social.</w:t>
      </w:r>
    </w:p>
    <w:p w:rsidR="00F35AC9" w:rsidRPr="00F35AC9" w:rsidRDefault="00F35AC9" w:rsidP="00F35AC9">
      <w:pPr>
        <w:spacing w:after="0"/>
        <w:jc w:val="both"/>
        <w:rPr>
          <w:rFonts w:ascii="Times New Roman" w:hAnsi="Times New Roman"/>
          <w:color w:val="1F497D" w:themeColor="text2"/>
          <w:lang w:val="es-ES"/>
        </w:rPr>
      </w:pPr>
      <w:r w:rsidRPr="00F35AC9">
        <w:rPr>
          <w:rFonts w:ascii="Times New Roman" w:hAnsi="Times New Roman"/>
          <w:color w:val="1F497D" w:themeColor="text2"/>
          <w:lang w:val="es-ES"/>
        </w:rPr>
        <w:t>b) Existen motivos para creer que esta persona intentará sustraerse a la acción de la justicia, teniendo en cuenta las circunstancias de los hechos presuntamente cometidos y la gravedad del delito que se le imputa y la pena que tiene asignada.</w:t>
      </w:r>
    </w:p>
    <w:p w:rsidR="00F35AC9" w:rsidRPr="00F35AC9" w:rsidRDefault="00F35AC9" w:rsidP="00F35AC9">
      <w:pPr>
        <w:spacing w:after="0"/>
        <w:jc w:val="both"/>
        <w:rPr>
          <w:rFonts w:ascii="Times New Roman" w:hAnsi="Times New Roman"/>
          <w:color w:val="1F497D" w:themeColor="text2"/>
          <w:lang w:val="es-ES"/>
        </w:rPr>
      </w:pPr>
      <w:r w:rsidRPr="00F35AC9">
        <w:rPr>
          <w:rFonts w:ascii="Times New Roman" w:hAnsi="Times New Roman"/>
          <w:color w:val="1F497D" w:themeColor="text2"/>
          <w:lang w:val="es-ES"/>
        </w:rPr>
        <w:t>c) El delito que se imputa a esa persona ha causado perjuicio a una tercera persona y no se ha presentado una caución o fianza suficiente.</w:t>
      </w:r>
    </w:p>
    <w:p w:rsidR="00F35AC9" w:rsidRPr="00F35AC9" w:rsidRDefault="00F35AC9" w:rsidP="00F35AC9">
      <w:pPr>
        <w:spacing w:after="0"/>
        <w:jc w:val="both"/>
        <w:rPr>
          <w:rFonts w:ascii="Times New Roman" w:hAnsi="Times New Roman"/>
          <w:color w:val="1F497D" w:themeColor="text2"/>
          <w:lang w:val="es-ES"/>
        </w:rPr>
      </w:pPr>
      <w:r w:rsidRPr="00F35AC9">
        <w:rPr>
          <w:rFonts w:ascii="Times New Roman" w:hAnsi="Times New Roman"/>
          <w:color w:val="1F497D" w:themeColor="text2"/>
          <w:lang w:val="es-ES"/>
        </w:rPr>
        <w:t>d) El internamiento provisional sea necesario para proteger a esta persona o para prevenir la reiteración del delito.</w:t>
      </w:r>
    </w:p>
    <w:p w:rsidR="00F35AC9" w:rsidRPr="00F35AC9" w:rsidRDefault="00F35AC9" w:rsidP="00F35AC9">
      <w:pPr>
        <w:spacing w:after="0"/>
        <w:jc w:val="both"/>
        <w:rPr>
          <w:rFonts w:ascii="Times New Roman" w:hAnsi="Times New Roman"/>
          <w:color w:val="1F497D" w:themeColor="text2"/>
          <w:lang w:val="es-ES"/>
        </w:rPr>
      </w:pPr>
      <w:r w:rsidRPr="00F35AC9">
        <w:rPr>
          <w:rFonts w:ascii="Times New Roman" w:hAnsi="Times New Roman"/>
          <w:color w:val="1F497D" w:themeColor="text2"/>
          <w:lang w:val="es-ES"/>
        </w:rPr>
        <w:t>e) Esta persona no cumpla la orden de comparecencia dictada por el tribunal o el juez competente.</w:t>
      </w:r>
    </w:p>
    <w:p w:rsidR="00F35AC9" w:rsidRPr="00F35AC9" w:rsidRDefault="00F35AC9" w:rsidP="00F35AC9">
      <w:pPr>
        <w:spacing w:after="0"/>
        <w:jc w:val="both"/>
        <w:rPr>
          <w:rFonts w:ascii="Times New Roman" w:hAnsi="Times New Roman"/>
          <w:color w:val="1F497D" w:themeColor="text2"/>
          <w:lang w:val="es-ES"/>
        </w:rPr>
      </w:pPr>
      <w:r w:rsidRPr="00F35AC9">
        <w:rPr>
          <w:rFonts w:ascii="Times New Roman" w:hAnsi="Times New Roman"/>
          <w:color w:val="1F497D" w:themeColor="text2"/>
          <w:lang w:val="es-ES"/>
        </w:rPr>
        <w:t>f) El mantenimiento en libertad de esta persona pueda perjudicar el normal desarrollo de la instrucción del proceso penal.</w:t>
      </w:r>
    </w:p>
    <w:p w:rsidR="00F35AC9" w:rsidRPr="00F35AC9" w:rsidRDefault="00F35AC9" w:rsidP="00F35AC9">
      <w:pPr>
        <w:spacing w:after="0"/>
        <w:jc w:val="both"/>
        <w:rPr>
          <w:rFonts w:ascii="Times New Roman" w:hAnsi="Times New Roman"/>
          <w:color w:val="1F497D" w:themeColor="text2"/>
          <w:lang w:val="es-ES"/>
        </w:rPr>
      </w:pPr>
      <w:r w:rsidRPr="00F35AC9">
        <w:rPr>
          <w:rFonts w:ascii="Times New Roman" w:hAnsi="Times New Roman"/>
          <w:color w:val="1F497D" w:themeColor="text2"/>
          <w:lang w:val="es-ES"/>
        </w:rPr>
        <w:t>2. El internamiento provisional del menor de edad se llevará a cabo en un centro adecuado a la edad y condición de esta persona ya la gravedad del hecho imputado, manteniendo una total separación con los mismos mayores de edad.</w:t>
      </w:r>
    </w:p>
    <w:p w:rsidR="00F35AC9" w:rsidRPr="00F35AC9" w:rsidRDefault="00F35AC9" w:rsidP="00F35AC9">
      <w:pPr>
        <w:spacing w:after="0"/>
        <w:jc w:val="both"/>
        <w:rPr>
          <w:rFonts w:ascii="Times New Roman" w:hAnsi="Times New Roman"/>
          <w:color w:val="1F497D" w:themeColor="text2"/>
          <w:lang w:val="es-ES"/>
        </w:rPr>
      </w:pPr>
      <w:r w:rsidRPr="00F35AC9">
        <w:rPr>
          <w:rFonts w:ascii="Times New Roman" w:hAnsi="Times New Roman"/>
          <w:color w:val="1F497D" w:themeColor="text2"/>
          <w:lang w:val="es-ES"/>
        </w:rPr>
        <w:t>3. El plazo del internamiento provisional del menor de edad no podrá exceder de tres meses. En el caso de delitos mayores, el juez instructor podrá prorrogar este plazo mediante una decisión durante tres meses como máximo. Sin embargo, en los proc</w:t>
      </w:r>
      <w:bookmarkStart w:id="1" w:name="_GoBack"/>
      <w:bookmarkEnd w:id="1"/>
      <w:r w:rsidRPr="00F35AC9">
        <w:rPr>
          <w:rFonts w:ascii="Times New Roman" w:hAnsi="Times New Roman"/>
          <w:color w:val="1F497D" w:themeColor="text2"/>
          <w:lang w:val="es-ES"/>
        </w:rPr>
        <w:t>esos penales que se sigan por delitos mayores de homicidio, asesinato, tortura, esclavitud, agresión sexual, abuso sexual si el hecho consiste en acceso carnal, tráfico de drogas , de secuestro, de trata de niños, de tráfico ilegal de armas, de proxenetismo, de terrorismo, de financiación del terrorismo, de blanqueo de dinero o valores, de asociación para atentar contra el Principado de Andorra o contra el orden constitucional, y contra la comunidad internacional, el juez instructor puede decidir mediante una decisión una tercera prórroga durante tres meses más como máximo.</w:t>
      </w:r>
    </w:p>
    <w:p w:rsidR="00F35AC9" w:rsidRPr="00F35AC9" w:rsidRDefault="00F35AC9" w:rsidP="00F35AC9">
      <w:pPr>
        <w:spacing w:after="0"/>
        <w:jc w:val="both"/>
        <w:rPr>
          <w:rFonts w:ascii="Times New Roman" w:hAnsi="Times New Roman"/>
          <w:color w:val="1F497D" w:themeColor="text2"/>
          <w:lang w:val="es-ES"/>
        </w:rPr>
      </w:pPr>
      <w:r w:rsidRPr="00F35AC9">
        <w:rPr>
          <w:rFonts w:ascii="Times New Roman" w:hAnsi="Times New Roman"/>
          <w:color w:val="1F497D" w:themeColor="text2"/>
          <w:lang w:val="es-ES"/>
        </w:rPr>
        <w:lastRenderedPageBreak/>
        <w:t>4. En cualquier caso, el plazo del internamiento provisional no podrá exceder de la mitad del plazo máximo de la medida disciplinaria de internamiento en régimen cerrado previsto en esta ley</w:t>
      </w:r>
    </w:p>
    <w:p w:rsidR="00F35AC9" w:rsidRPr="00F35AC9" w:rsidRDefault="00F35AC9" w:rsidP="00F35AC9">
      <w:pPr>
        <w:spacing w:after="0"/>
        <w:jc w:val="both"/>
        <w:rPr>
          <w:rFonts w:ascii="Times New Roman" w:hAnsi="Times New Roman"/>
          <w:color w:val="1F497D" w:themeColor="text2"/>
          <w:lang w:val="es-ES"/>
        </w:rPr>
      </w:pPr>
      <w:r w:rsidRPr="00F35AC9">
        <w:rPr>
          <w:rFonts w:ascii="Times New Roman" w:hAnsi="Times New Roman"/>
          <w:color w:val="1F497D" w:themeColor="text2"/>
          <w:lang w:val="es-ES"/>
        </w:rPr>
        <w:t>5. Una vez se haya enviado el proceso penal al Tribunal de Corts, el plazo del internamiento provisional no podrá exceder de tres meses en el caso de delitos menores y seis meses en el caso de delitos mayores, a partir de la notificación de la decisión de conclusión de la instrucción. En todo caso, se acordará preceptivamente la libertad provisional del menor de edad cuando el plazo del internamiento provisional alcance la mitad del plazo máximo de la medida disciplinaria de internamiento en régimen cerrado previsto en esta ley.</w:t>
      </w:r>
    </w:p>
    <w:p w:rsidR="00F35AC9" w:rsidRPr="00F35AC9" w:rsidRDefault="00F35AC9" w:rsidP="00F35AC9">
      <w:pPr>
        <w:spacing w:after="0"/>
        <w:jc w:val="both"/>
        <w:rPr>
          <w:rFonts w:ascii="Times New Roman" w:hAnsi="Times New Roman"/>
          <w:color w:val="1F497D" w:themeColor="text2"/>
          <w:lang w:val="es-ES"/>
        </w:rPr>
      </w:pPr>
      <w:r w:rsidRPr="00F35AC9">
        <w:rPr>
          <w:rFonts w:ascii="Times New Roman" w:hAnsi="Times New Roman"/>
          <w:color w:val="1F497D" w:themeColor="text2"/>
          <w:lang w:val="es-ES"/>
        </w:rPr>
        <w:t>6. En caso de que se interponga recurso de apelación contra la sentencia que dicte el Tribunal de Corts, el plazo del internamiento provisional no podrá exceder de seis meses a partir de la notificación de esta sentencia. En todo caso, debe acordarse preceptivamente la libertad provisional del menor de edad cuando el plazo del internamiento provisional llegue al plazo máximo de la medida disciplinaria de internamiento en régimen cerrado impuesta.</w:t>
      </w:r>
    </w:p>
    <w:p w:rsidR="00F35AC9" w:rsidRPr="00F35AC9" w:rsidRDefault="00F35AC9" w:rsidP="00F35AC9">
      <w:pPr>
        <w:spacing w:after="0"/>
        <w:jc w:val="both"/>
        <w:rPr>
          <w:rFonts w:ascii="Times New Roman" w:hAnsi="Times New Roman"/>
          <w:color w:val="1F497D" w:themeColor="text2"/>
          <w:lang w:val="es-ES"/>
        </w:rPr>
      </w:pPr>
      <w:r w:rsidRPr="00F35AC9">
        <w:rPr>
          <w:rFonts w:ascii="Times New Roman" w:hAnsi="Times New Roman"/>
          <w:color w:val="1F497D" w:themeColor="text2"/>
          <w:lang w:val="es-ES"/>
        </w:rPr>
        <w:t>7. Mientras dure la tramitación de la instrucción y en los mismos supuestos que establece la Ley calificada del Código de procedimiento penal, el juez instructor podrá decidir mediante decisión la incomunicación del menor de edad durante el tiempo que sea necesario para esclarecer los hechos presuntamente cometidos, sin que sin embargo esta incomunicación pueda durar más de cuatro días. Durante este período, el menor de edad tiene derecho a recibir asistencia médica y psicológica.</w:t>
      </w:r>
    </w:p>
    <w:p w:rsidR="00F35AC9" w:rsidRPr="00F35AC9" w:rsidRDefault="00F35AC9" w:rsidP="00F35AC9">
      <w:pPr>
        <w:spacing w:after="0"/>
        <w:jc w:val="both"/>
        <w:rPr>
          <w:rFonts w:ascii="Times New Roman" w:hAnsi="Times New Roman"/>
          <w:color w:val="1F497D" w:themeColor="text2"/>
          <w:lang w:val="es-ES"/>
        </w:rPr>
      </w:pPr>
    </w:p>
    <w:p w:rsidR="00F35AC9" w:rsidRPr="00F35AC9" w:rsidRDefault="00F35AC9" w:rsidP="00F35AC9">
      <w:pPr>
        <w:spacing w:after="0"/>
        <w:jc w:val="both"/>
        <w:rPr>
          <w:rFonts w:ascii="Times New Roman" w:hAnsi="Times New Roman"/>
          <w:b/>
          <w:bCs/>
          <w:color w:val="1F497D" w:themeColor="text2"/>
          <w:lang w:val="es-ES"/>
        </w:rPr>
      </w:pPr>
      <w:r w:rsidRPr="00F35AC9">
        <w:rPr>
          <w:rFonts w:ascii="Times New Roman" w:hAnsi="Times New Roman"/>
          <w:b/>
          <w:bCs/>
          <w:color w:val="1F497D" w:themeColor="text2"/>
          <w:lang w:val="es-ES"/>
        </w:rPr>
        <w:t>Artículo 33. Medidas disciplinarias</w:t>
      </w:r>
    </w:p>
    <w:p w:rsidR="00F35AC9" w:rsidRPr="00F35AC9" w:rsidRDefault="00F35AC9" w:rsidP="00F35AC9">
      <w:pPr>
        <w:spacing w:after="0"/>
        <w:jc w:val="both"/>
        <w:rPr>
          <w:rFonts w:ascii="Times New Roman" w:hAnsi="Times New Roman"/>
          <w:color w:val="1F497D" w:themeColor="text2"/>
          <w:lang w:val="es-ES"/>
        </w:rPr>
      </w:pPr>
      <w:r w:rsidRPr="00F35AC9">
        <w:rPr>
          <w:rFonts w:ascii="Times New Roman" w:hAnsi="Times New Roman"/>
          <w:color w:val="1F497D" w:themeColor="text2"/>
          <w:lang w:val="es-ES"/>
        </w:rPr>
        <w:t>Las medidas disciplinarias que el Tribunal de Corts o el Juez pueden imponer son las siguientes:</w:t>
      </w:r>
    </w:p>
    <w:p w:rsidR="00F35AC9" w:rsidRPr="00F35AC9" w:rsidRDefault="00F35AC9" w:rsidP="00F35AC9">
      <w:pPr>
        <w:spacing w:after="0"/>
        <w:jc w:val="both"/>
        <w:rPr>
          <w:rFonts w:ascii="Times New Roman" w:hAnsi="Times New Roman"/>
          <w:color w:val="1F497D" w:themeColor="text2"/>
          <w:lang w:val="es-ES"/>
        </w:rPr>
      </w:pPr>
      <w:r w:rsidRPr="00F35AC9">
        <w:rPr>
          <w:rFonts w:ascii="Times New Roman" w:hAnsi="Times New Roman"/>
          <w:color w:val="1F497D" w:themeColor="text2"/>
          <w:lang w:val="es-ES"/>
        </w:rPr>
        <w:t>a) El internamiento en régimen cerrado:</w:t>
      </w:r>
    </w:p>
    <w:p w:rsidR="00F35AC9" w:rsidRPr="00F35AC9" w:rsidRDefault="00F35AC9" w:rsidP="00F35AC9">
      <w:pPr>
        <w:spacing w:after="0"/>
        <w:jc w:val="both"/>
        <w:rPr>
          <w:rFonts w:ascii="Times New Roman" w:hAnsi="Times New Roman"/>
          <w:color w:val="1F497D" w:themeColor="text2"/>
          <w:lang w:val="es-ES"/>
        </w:rPr>
      </w:pPr>
      <w:r w:rsidRPr="00F35AC9">
        <w:rPr>
          <w:rFonts w:ascii="Times New Roman" w:hAnsi="Times New Roman"/>
          <w:color w:val="1F497D" w:themeColor="text2"/>
          <w:lang w:val="es-ES"/>
        </w:rPr>
        <w:t>- En este caso, el menor de edad permanece de forma continuada en un centro donde lleva a cabo todas las actividades.</w:t>
      </w:r>
    </w:p>
    <w:p w:rsidR="00F35AC9" w:rsidRPr="00F35AC9" w:rsidRDefault="00F35AC9" w:rsidP="00F35AC9">
      <w:pPr>
        <w:spacing w:after="0"/>
        <w:jc w:val="both"/>
        <w:rPr>
          <w:rFonts w:ascii="Times New Roman" w:hAnsi="Times New Roman"/>
          <w:color w:val="1F497D" w:themeColor="text2"/>
          <w:lang w:val="es-ES"/>
        </w:rPr>
      </w:pPr>
      <w:r w:rsidRPr="00F35AC9">
        <w:rPr>
          <w:rFonts w:ascii="Times New Roman" w:hAnsi="Times New Roman"/>
          <w:color w:val="1F497D" w:themeColor="text2"/>
          <w:lang w:val="es-ES"/>
        </w:rPr>
        <w:t>- Esta medida sólo puede imponerse a los menores de edad que tengan catorce años como mínimo y que hayan cometido un delito mayor, o a los que se les haya impuesto otra medida disciplinaria, educativa o de seguridad con anterioridad por dos o más delitos menores cometidos en los últimos dos años.</w:t>
      </w:r>
    </w:p>
    <w:p w:rsidR="00F35AC9" w:rsidRPr="00F35AC9" w:rsidRDefault="00F35AC9" w:rsidP="00F35AC9">
      <w:pPr>
        <w:spacing w:after="0"/>
        <w:jc w:val="both"/>
        <w:rPr>
          <w:rFonts w:ascii="Times New Roman" w:hAnsi="Times New Roman"/>
          <w:color w:val="1F497D" w:themeColor="text2"/>
          <w:lang w:val="es-ES"/>
        </w:rPr>
      </w:pPr>
      <w:r w:rsidRPr="00F35AC9">
        <w:rPr>
          <w:rFonts w:ascii="Times New Roman" w:hAnsi="Times New Roman"/>
          <w:color w:val="1F497D" w:themeColor="text2"/>
          <w:lang w:val="es-ES"/>
        </w:rPr>
        <w:t>- La duración de esta medida no podrá exceder de la tercera parte de la pena señalada para el delito cometido en el Código Penal.</w:t>
      </w:r>
    </w:p>
    <w:p w:rsidR="00F35AC9" w:rsidRPr="00F35AC9" w:rsidRDefault="00F35AC9" w:rsidP="00F35AC9">
      <w:pPr>
        <w:spacing w:after="0"/>
        <w:jc w:val="both"/>
        <w:rPr>
          <w:rFonts w:ascii="Times New Roman" w:hAnsi="Times New Roman"/>
          <w:color w:val="1F497D" w:themeColor="text2"/>
          <w:lang w:val="es-ES"/>
        </w:rPr>
      </w:pPr>
      <w:r w:rsidRPr="00F35AC9">
        <w:rPr>
          <w:rFonts w:ascii="Times New Roman" w:hAnsi="Times New Roman"/>
          <w:color w:val="1F497D" w:themeColor="text2"/>
          <w:lang w:val="es-ES"/>
        </w:rPr>
        <w:t>- Se pueden conceder permisos de salida a los menores de edad a partir del cumplimiento de una tercera parte de la duración de esta medida, previa audiencia del Ministerio Fiscal, de la Dirección del centro donde se cumpla la medida y del área competente del ministerio encargado de la justicia.</w:t>
      </w:r>
    </w:p>
    <w:p w:rsidR="00F35AC9" w:rsidRPr="00F35AC9" w:rsidRDefault="00F35AC9" w:rsidP="00F35AC9">
      <w:pPr>
        <w:spacing w:after="0"/>
        <w:jc w:val="both"/>
        <w:rPr>
          <w:rFonts w:ascii="Times New Roman" w:hAnsi="Times New Roman"/>
          <w:color w:val="1F497D" w:themeColor="text2"/>
          <w:lang w:val="es-ES"/>
        </w:rPr>
      </w:pPr>
      <w:r w:rsidRPr="00F35AC9">
        <w:rPr>
          <w:rFonts w:ascii="Times New Roman" w:hAnsi="Times New Roman"/>
          <w:color w:val="1F497D" w:themeColor="text2"/>
          <w:lang w:val="es-ES"/>
        </w:rPr>
        <w:t>b) El internamiento en régimen semiabierto:</w:t>
      </w:r>
    </w:p>
    <w:p w:rsidR="00F35AC9" w:rsidRPr="00F35AC9" w:rsidRDefault="00F35AC9" w:rsidP="00F35AC9">
      <w:pPr>
        <w:spacing w:after="0"/>
        <w:jc w:val="both"/>
        <w:rPr>
          <w:rFonts w:ascii="Times New Roman" w:hAnsi="Times New Roman"/>
          <w:color w:val="1F497D" w:themeColor="text2"/>
          <w:lang w:val="es-ES"/>
        </w:rPr>
      </w:pPr>
      <w:r w:rsidRPr="00F35AC9">
        <w:rPr>
          <w:rFonts w:ascii="Times New Roman" w:hAnsi="Times New Roman"/>
          <w:color w:val="1F497D" w:themeColor="text2"/>
          <w:lang w:val="es-ES"/>
        </w:rPr>
        <w:t>- En este caso, el menor de edad permanece de forma continuada en un centro donde lleva a cabo la mayor parte de las actividades, y se le concede como mínimo un permiso de un fin de semana al mes, sin perjuicio de que se puedan conceder permisos adicionales, previa audiencia del Ministerio Fiscal, en función de las circunstancias personales, familiares y de reinserción del menor de edad. Sin embargo, estos permisos no pueden superar dos meses al año o parte proporcional.</w:t>
      </w:r>
    </w:p>
    <w:p w:rsidR="00F35AC9" w:rsidRPr="00F35AC9" w:rsidRDefault="00F35AC9" w:rsidP="00F35AC9">
      <w:pPr>
        <w:spacing w:after="0"/>
        <w:jc w:val="both"/>
        <w:rPr>
          <w:rFonts w:ascii="Times New Roman" w:hAnsi="Times New Roman"/>
          <w:color w:val="1F497D" w:themeColor="text2"/>
          <w:lang w:val="es-ES"/>
        </w:rPr>
      </w:pPr>
      <w:r w:rsidRPr="00F35AC9">
        <w:rPr>
          <w:rFonts w:ascii="Times New Roman" w:hAnsi="Times New Roman"/>
          <w:color w:val="1F497D" w:themeColor="text2"/>
          <w:lang w:val="es-ES"/>
        </w:rPr>
        <w:t>- Esta medida sólo puede imponerse a los menores de edad que tengan catorce años como mínimo y que hayan cometido un delito mayor o un delito menor.</w:t>
      </w:r>
    </w:p>
    <w:p w:rsidR="00F35AC9" w:rsidRPr="00F35AC9" w:rsidRDefault="00F35AC9" w:rsidP="00F35AC9">
      <w:pPr>
        <w:spacing w:after="0"/>
        <w:jc w:val="both"/>
        <w:rPr>
          <w:rFonts w:ascii="Times New Roman" w:hAnsi="Times New Roman"/>
          <w:color w:val="1F497D" w:themeColor="text2"/>
          <w:lang w:val="es-ES"/>
        </w:rPr>
      </w:pPr>
      <w:r w:rsidRPr="00F35AC9">
        <w:rPr>
          <w:rFonts w:ascii="Times New Roman" w:hAnsi="Times New Roman"/>
          <w:color w:val="1F497D" w:themeColor="text2"/>
          <w:lang w:val="es-ES"/>
        </w:rPr>
        <w:t>- La duración máxima de esta medida es de dos años.</w:t>
      </w:r>
    </w:p>
    <w:p w:rsidR="00F35AC9" w:rsidRPr="00F35AC9" w:rsidRDefault="00F35AC9" w:rsidP="00F35AC9">
      <w:pPr>
        <w:spacing w:after="0"/>
        <w:jc w:val="both"/>
        <w:rPr>
          <w:rFonts w:ascii="Times New Roman" w:hAnsi="Times New Roman"/>
          <w:color w:val="1F497D" w:themeColor="text2"/>
          <w:lang w:val="es-ES"/>
        </w:rPr>
      </w:pPr>
      <w:r w:rsidRPr="00F35AC9">
        <w:rPr>
          <w:rFonts w:ascii="Times New Roman" w:hAnsi="Times New Roman"/>
          <w:color w:val="1F497D" w:themeColor="text2"/>
          <w:lang w:val="es-ES"/>
        </w:rPr>
        <w:t>[...]</w:t>
      </w:r>
    </w:p>
    <w:p w:rsidR="00F35AC9" w:rsidRPr="00F35AC9" w:rsidRDefault="00F35AC9" w:rsidP="00F35AC9">
      <w:pPr>
        <w:spacing w:after="0"/>
        <w:jc w:val="both"/>
        <w:rPr>
          <w:rFonts w:ascii="Times New Roman" w:hAnsi="Times New Roman"/>
          <w:color w:val="244061" w:themeColor="accent1" w:themeShade="80"/>
          <w:lang w:val="es-ES"/>
        </w:rPr>
      </w:pPr>
    </w:p>
    <w:p w:rsidR="00F35AC9" w:rsidRPr="00F35AC9" w:rsidRDefault="00F35AC9" w:rsidP="00F35AC9">
      <w:pPr>
        <w:jc w:val="both"/>
        <w:rPr>
          <w:rFonts w:ascii="Times New Roman" w:hAnsi="Times New Roman"/>
          <w:b/>
          <w:bCs/>
          <w:color w:val="1F497D" w:themeColor="text2"/>
          <w:lang w:val="es-ES"/>
        </w:rPr>
      </w:pPr>
      <w:r w:rsidRPr="00F35AC9">
        <w:rPr>
          <w:rFonts w:ascii="Times New Roman" w:hAnsi="Times New Roman"/>
          <w:b/>
          <w:bCs/>
          <w:color w:val="1F497D" w:themeColor="text2"/>
          <w:lang w:val="es-ES"/>
        </w:rPr>
        <w:lastRenderedPageBreak/>
        <w:t>Anexo 3: Artículos mencionados de la Ley 9/2005, del 21 de febrero, cualificada del Código Penal</w:t>
      </w:r>
    </w:p>
    <w:p w:rsidR="00F35AC9" w:rsidRPr="00F35AC9" w:rsidRDefault="00F35AC9" w:rsidP="00F35AC9">
      <w:pPr>
        <w:pStyle w:val="Pargrafdellista"/>
        <w:ind w:left="0"/>
        <w:jc w:val="both"/>
        <w:rPr>
          <w:rFonts w:ascii="Times New Roman" w:hAnsi="Times New Roman" w:cs="Times New Roman"/>
          <w:b/>
          <w:sz w:val="24"/>
          <w:szCs w:val="24"/>
        </w:rPr>
      </w:pPr>
    </w:p>
    <w:p w:rsidR="00F35AC9" w:rsidRPr="00F35AC9" w:rsidRDefault="00F35AC9" w:rsidP="00F35AC9">
      <w:pPr>
        <w:spacing w:after="0"/>
        <w:jc w:val="both"/>
        <w:rPr>
          <w:rFonts w:ascii="Times New Roman" w:hAnsi="Times New Roman"/>
          <w:b/>
          <w:color w:val="244061" w:themeColor="accent1" w:themeShade="80"/>
          <w:lang w:val="es-ES"/>
        </w:rPr>
      </w:pPr>
      <w:r w:rsidRPr="00F35AC9">
        <w:rPr>
          <w:rFonts w:ascii="Times New Roman" w:hAnsi="Times New Roman"/>
          <w:b/>
          <w:color w:val="244061" w:themeColor="accent1" w:themeShade="80"/>
          <w:lang w:val="es-ES"/>
        </w:rPr>
        <w:t xml:space="preserve">Artículo 162. Sustracción de menores </w:t>
      </w:r>
    </w:p>
    <w:p w:rsidR="00F35AC9" w:rsidRPr="00F35AC9" w:rsidRDefault="00F35AC9" w:rsidP="00F35AC9">
      <w:pPr>
        <w:spacing w:after="0"/>
        <w:jc w:val="both"/>
        <w:rPr>
          <w:rFonts w:ascii="Times New Roman" w:hAnsi="Times New Roman"/>
          <w:color w:val="244061" w:themeColor="accent1" w:themeShade="80"/>
          <w:lang w:val="es-ES"/>
        </w:rPr>
      </w:pPr>
      <w:r w:rsidRPr="00F35AC9">
        <w:rPr>
          <w:rFonts w:ascii="Times New Roman" w:hAnsi="Times New Roman"/>
          <w:color w:val="244061" w:themeColor="accent1" w:themeShade="80"/>
          <w:lang w:val="es-ES"/>
        </w:rPr>
        <w:t>1. La persona que sustrae a un menor de catorce años o una persona con discapacidad, impidiendo de forma prolongada el ejercicio de las funciones de guarda por parte de sus titulares, será castigada con pena de prisión de dos a seis años, salvo que el hecho sea constitutivo de un delito de secuestro, esclavitud o detención ilegal.</w:t>
      </w:r>
    </w:p>
    <w:p w:rsidR="00F35AC9" w:rsidRPr="00F35AC9" w:rsidRDefault="00F35AC9" w:rsidP="00F35AC9">
      <w:pPr>
        <w:spacing w:after="0"/>
        <w:jc w:val="both"/>
        <w:rPr>
          <w:rFonts w:ascii="Times New Roman" w:hAnsi="Times New Roman"/>
          <w:color w:val="244061" w:themeColor="accent1" w:themeShade="80"/>
          <w:lang w:val="es-ES"/>
        </w:rPr>
      </w:pPr>
      <w:r w:rsidRPr="00F35AC9">
        <w:rPr>
          <w:rFonts w:ascii="Times New Roman" w:hAnsi="Times New Roman"/>
          <w:color w:val="244061" w:themeColor="accent1" w:themeShade="80"/>
          <w:lang w:val="es-ES"/>
        </w:rPr>
        <w:t>2. En caso de que la sustracción sea realizada por un ascendiente, el tribunal podrá aplicar la reducción de pena prevista en el artículo 53.</w:t>
      </w:r>
    </w:p>
    <w:p w:rsidR="00F35AC9" w:rsidRPr="00F35AC9" w:rsidRDefault="00F35AC9" w:rsidP="00F35AC9">
      <w:pPr>
        <w:spacing w:after="0"/>
        <w:jc w:val="both"/>
        <w:rPr>
          <w:rFonts w:ascii="Times New Roman" w:hAnsi="Times New Roman"/>
          <w:color w:val="244061" w:themeColor="accent1" w:themeShade="80"/>
          <w:lang w:val="es-ES"/>
        </w:rPr>
      </w:pPr>
      <w:r w:rsidRPr="00F35AC9">
        <w:rPr>
          <w:rFonts w:ascii="Times New Roman" w:hAnsi="Times New Roman"/>
          <w:color w:val="244061" w:themeColor="accent1" w:themeShade="80"/>
          <w:lang w:val="es-ES"/>
        </w:rPr>
        <w:t>3. La tentativa es punible.</w:t>
      </w:r>
    </w:p>
    <w:p w:rsidR="00F35AC9" w:rsidRPr="00F35AC9" w:rsidRDefault="00F35AC9" w:rsidP="00F35AC9">
      <w:pPr>
        <w:spacing w:after="0"/>
        <w:ind w:left="567" w:hanging="141"/>
        <w:jc w:val="both"/>
        <w:rPr>
          <w:rFonts w:ascii="Times New Roman" w:hAnsi="Times New Roman"/>
          <w:b/>
          <w:color w:val="244061" w:themeColor="accent1" w:themeShade="80"/>
          <w:lang w:val="es-ES"/>
        </w:rPr>
      </w:pPr>
    </w:p>
    <w:p w:rsidR="00F35AC9" w:rsidRPr="00F35AC9" w:rsidRDefault="00F35AC9" w:rsidP="00F35AC9">
      <w:pPr>
        <w:spacing w:after="0"/>
        <w:jc w:val="both"/>
        <w:rPr>
          <w:rFonts w:ascii="Times New Roman" w:hAnsi="Times New Roman"/>
          <w:b/>
          <w:color w:val="244061" w:themeColor="accent1" w:themeShade="80"/>
          <w:lang w:val="es-ES"/>
        </w:rPr>
      </w:pPr>
      <w:r w:rsidRPr="00F35AC9">
        <w:rPr>
          <w:rFonts w:ascii="Times New Roman" w:hAnsi="Times New Roman"/>
          <w:b/>
          <w:color w:val="244061" w:themeColor="accent1" w:themeShade="80"/>
          <w:lang w:val="es-ES"/>
        </w:rPr>
        <w:t>Artículo 164. Tráfico de niños para alterar su filiación</w:t>
      </w:r>
    </w:p>
    <w:p w:rsidR="00F35AC9" w:rsidRPr="00F35AC9" w:rsidRDefault="00F35AC9" w:rsidP="00F35AC9">
      <w:pPr>
        <w:spacing w:after="0"/>
        <w:jc w:val="both"/>
        <w:rPr>
          <w:rFonts w:ascii="Times New Roman" w:hAnsi="Times New Roman"/>
          <w:color w:val="244061" w:themeColor="accent1" w:themeShade="80"/>
          <w:lang w:val="es-ES"/>
        </w:rPr>
      </w:pPr>
      <w:r w:rsidRPr="00F35AC9">
        <w:rPr>
          <w:rFonts w:ascii="Times New Roman" w:hAnsi="Times New Roman"/>
          <w:color w:val="244061" w:themeColor="accent1" w:themeShade="80"/>
          <w:lang w:val="es-ES"/>
        </w:rPr>
        <w:t>1. Quien entregue a un menor para alterar su filiación será castigado con pena de prisión de tres meses a tres años.</w:t>
      </w:r>
    </w:p>
    <w:p w:rsidR="00F35AC9" w:rsidRPr="00F35AC9" w:rsidRDefault="00F35AC9" w:rsidP="00F35AC9">
      <w:pPr>
        <w:spacing w:after="0"/>
        <w:jc w:val="both"/>
        <w:rPr>
          <w:rFonts w:ascii="Times New Roman" w:hAnsi="Times New Roman"/>
          <w:color w:val="244061" w:themeColor="accent1" w:themeShade="80"/>
          <w:lang w:val="es-ES"/>
        </w:rPr>
      </w:pPr>
      <w:r w:rsidRPr="00F35AC9">
        <w:rPr>
          <w:rFonts w:ascii="Times New Roman" w:hAnsi="Times New Roman"/>
          <w:color w:val="244061" w:themeColor="accent1" w:themeShade="80"/>
          <w:lang w:val="es-ES"/>
        </w:rPr>
        <w:t>2. Con la misma pena será castigado el que, con la misma finalidad, reciba al menor y al que actúe como intermediario.</w:t>
      </w:r>
    </w:p>
    <w:p w:rsidR="00F35AC9" w:rsidRPr="00F35AC9" w:rsidRDefault="00F35AC9" w:rsidP="00F35AC9">
      <w:pPr>
        <w:spacing w:after="0"/>
        <w:jc w:val="both"/>
        <w:rPr>
          <w:rFonts w:ascii="Times New Roman" w:hAnsi="Times New Roman"/>
          <w:color w:val="244061" w:themeColor="accent1" w:themeShade="80"/>
          <w:lang w:val="es-ES"/>
        </w:rPr>
      </w:pPr>
      <w:r w:rsidRPr="00F35AC9">
        <w:rPr>
          <w:rFonts w:ascii="Times New Roman" w:hAnsi="Times New Roman"/>
          <w:color w:val="244061" w:themeColor="accent1" w:themeShade="80"/>
          <w:lang w:val="es-ES"/>
        </w:rPr>
        <w:t>3. Si en las conductas anteriores concurriera ánimo lucrativo la pena a imponer será de prisión de dos a cinco años. Con la misma pena será castigado quien reciba al menor si ofrece o da compensación económica.</w:t>
      </w:r>
    </w:p>
    <w:p w:rsidR="00F35AC9" w:rsidRPr="00F35AC9" w:rsidRDefault="00F35AC9" w:rsidP="00F35AC9">
      <w:pPr>
        <w:spacing w:after="0"/>
        <w:jc w:val="both"/>
        <w:rPr>
          <w:rFonts w:ascii="Times New Roman" w:hAnsi="Times New Roman"/>
          <w:color w:val="244061" w:themeColor="accent1" w:themeShade="80"/>
          <w:lang w:val="es-ES"/>
        </w:rPr>
      </w:pPr>
      <w:r w:rsidRPr="00F35AC9">
        <w:rPr>
          <w:rFonts w:ascii="Times New Roman" w:hAnsi="Times New Roman"/>
          <w:color w:val="244061" w:themeColor="accent1" w:themeShade="80"/>
          <w:lang w:val="es-ES"/>
        </w:rPr>
        <w:t>4. La tentativa es punible.</w:t>
      </w:r>
    </w:p>
    <w:p w:rsidR="00F35AC9" w:rsidRPr="00F35AC9" w:rsidRDefault="00F35AC9" w:rsidP="00F35AC9">
      <w:pPr>
        <w:spacing w:after="0"/>
        <w:ind w:left="567" w:hanging="141"/>
        <w:jc w:val="both"/>
        <w:rPr>
          <w:rFonts w:ascii="Times New Roman" w:hAnsi="Times New Roman"/>
          <w:b/>
          <w:color w:val="244061" w:themeColor="accent1" w:themeShade="80"/>
          <w:lang w:val="es-ES"/>
        </w:rPr>
      </w:pPr>
    </w:p>
    <w:p w:rsidR="00F35AC9" w:rsidRPr="00F35AC9" w:rsidRDefault="00F35AC9" w:rsidP="00F35AC9">
      <w:pPr>
        <w:spacing w:after="0"/>
        <w:jc w:val="both"/>
        <w:rPr>
          <w:rFonts w:ascii="Times New Roman" w:hAnsi="Times New Roman"/>
          <w:b/>
          <w:color w:val="244061" w:themeColor="accent1" w:themeShade="80"/>
          <w:lang w:val="es-ES"/>
        </w:rPr>
      </w:pPr>
      <w:r w:rsidRPr="00F35AC9">
        <w:rPr>
          <w:rFonts w:ascii="Times New Roman" w:hAnsi="Times New Roman"/>
          <w:b/>
          <w:color w:val="244061" w:themeColor="accent1" w:themeShade="80"/>
          <w:lang w:val="es-ES"/>
        </w:rPr>
        <w:t>Artículo 165. Grupo organizado (aplicable a los artículos 162 y 164)</w:t>
      </w:r>
    </w:p>
    <w:p w:rsidR="00F35AC9" w:rsidRPr="00F35AC9" w:rsidRDefault="00F35AC9" w:rsidP="00F35AC9">
      <w:pPr>
        <w:spacing w:after="0"/>
        <w:jc w:val="both"/>
        <w:rPr>
          <w:rFonts w:ascii="Times New Roman" w:hAnsi="Times New Roman"/>
          <w:color w:val="244061" w:themeColor="accent1" w:themeShade="80"/>
          <w:lang w:val="es-ES"/>
        </w:rPr>
      </w:pPr>
      <w:r w:rsidRPr="00F35AC9">
        <w:rPr>
          <w:rFonts w:ascii="Times New Roman" w:hAnsi="Times New Roman"/>
          <w:color w:val="244061" w:themeColor="accent1" w:themeShade="80"/>
          <w:lang w:val="es-ES"/>
        </w:rPr>
        <w:t>Las penas previstas en los artículos anteriores de este capítulo pueden aumentarse hasta la mitad de su máximo si los hechos se realizan en el marco de un grupo organizado.</w:t>
      </w:r>
    </w:p>
    <w:p w:rsidR="00F35AC9" w:rsidRPr="00F35AC9" w:rsidRDefault="00F35AC9" w:rsidP="00F35AC9">
      <w:pPr>
        <w:spacing w:after="0"/>
        <w:ind w:left="567" w:hanging="141"/>
        <w:jc w:val="both"/>
        <w:rPr>
          <w:rFonts w:ascii="Times New Roman" w:hAnsi="Times New Roman"/>
          <w:b/>
          <w:color w:val="244061" w:themeColor="accent1" w:themeShade="80"/>
          <w:lang w:val="es-ES"/>
        </w:rPr>
      </w:pPr>
    </w:p>
    <w:p w:rsidR="00F35AC9" w:rsidRPr="00F35AC9" w:rsidRDefault="00F35AC9" w:rsidP="00F35AC9">
      <w:pPr>
        <w:spacing w:after="0"/>
        <w:jc w:val="both"/>
        <w:rPr>
          <w:rFonts w:ascii="Times New Roman" w:hAnsi="Times New Roman"/>
          <w:b/>
          <w:color w:val="244061" w:themeColor="accent1" w:themeShade="80"/>
          <w:lang w:val="es-ES"/>
        </w:rPr>
      </w:pPr>
      <w:r w:rsidRPr="00F35AC9">
        <w:rPr>
          <w:rFonts w:ascii="Times New Roman" w:hAnsi="Times New Roman"/>
          <w:b/>
          <w:color w:val="244061" w:themeColor="accent1" w:themeShade="80"/>
          <w:lang w:val="es-ES"/>
        </w:rPr>
        <w:t xml:space="preserve">Artículo 152. Proxenetismo </w:t>
      </w:r>
    </w:p>
    <w:p w:rsidR="00F35AC9" w:rsidRPr="00F35AC9" w:rsidRDefault="00F35AC9" w:rsidP="00F35AC9">
      <w:pPr>
        <w:spacing w:after="0"/>
        <w:jc w:val="both"/>
        <w:rPr>
          <w:rFonts w:ascii="Times New Roman" w:hAnsi="Times New Roman"/>
          <w:color w:val="244061" w:themeColor="accent1" w:themeShade="80"/>
          <w:lang w:val="es-ES"/>
        </w:rPr>
      </w:pPr>
      <w:r w:rsidRPr="00F35AC9">
        <w:rPr>
          <w:rFonts w:ascii="Times New Roman" w:hAnsi="Times New Roman"/>
          <w:color w:val="244061" w:themeColor="accent1" w:themeShade="80"/>
          <w:lang w:val="es-ES"/>
        </w:rPr>
        <w:t>1. Quien, mediante violencia o intimidación, o con abuso de autoridad, de superioridad, de confianza, de situación de necesidad o dependencia, o con engaño suficiente, determine a alguien a prostituirse o a seguir haciéndolo castigado con pena de prisión de dos a cinco años.</w:t>
      </w:r>
    </w:p>
    <w:p w:rsidR="00F35AC9" w:rsidRPr="00F35AC9" w:rsidRDefault="00F35AC9" w:rsidP="00F35AC9">
      <w:pPr>
        <w:spacing w:after="0"/>
        <w:jc w:val="both"/>
        <w:rPr>
          <w:rFonts w:ascii="Times New Roman" w:hAnsi="Times New Roman"/>
          <w:color w:val="244061" w:themeColor="accent1" w:themeShade="80"/>
          <w:lang w:val="es-ES"/>
        </w:rPr>
      </w:pPr>
      <w:r w:rsidRPr="00F35AC9">
        <w:rPr>
          <w:rFonts w:ascii="Times New Roman" w:hAnsi="Times New Roman"/>
          <w:color w:val="244061" w:themeColor="accent1" w:themeShade="80"/>
          <w:lang w:val="es-ES"/>
        </w:rPr>
        <w:t>La tentativa es punible.</w:t>
      </w:r>
    </w:p>
    <w:p w:rsidR="00F35AC9" w:rsidRPr="00F35AC9" w:rsidRDefault="00F35AC9" w:rsidP="00F35AC9">
      <w:pPr>
        <w:spacing w:after="0"/>
        <w:jc w:val="both"/>
        <w:rPr>
          <w:rFonts w:ascii="Times New Roman" w:hAnsi="Times New Roman"/>
          <w:color w:val="244061" w:themeColor="accent1" w:themeShade="80"/>
          <w:lang w:val="es-ES"/>
        </w:rPr>
      </w:pPr>
      <w:r w:rsidRPr="00F35AC9">
        <w:rPr>
          <w:rFonts w:ascii="Times New Roman" w:hAnsi="Times New Roman"/>
          <w:color w:val="244061" w:themeColor="accent1" w:themeShade="80"/>
          <w:lang w:val="es-ES"/>
        </w:rPr>
        <w:t>2. Si se trata de prostitución infantil o la víctima es una persona vulnerable por razón de enfermedad o deficiencia física o psíquica, se impondrá pena de prisión de tres a diez años. Si el hecho fuese cometido por los titulares de la autoridad parental o tutela, la pena se impondrá en la mitad superior.</w:t>
      </w:r>
    </w:p>
    <w:p w:rsidR="00F35AC9" w:rsidRPr="00F35AC9" w:rsidRDefault="00F35AC9" w:rsidP="00F35AC9">
      <w:pPr>
        <w:spacing w:after="0"/>
        <w:jc w:val="both"/>
        <w:rPr>
          <w:rFonts w:ascii="Times New Roman" w:hAnsi="Times New Roman"/>
          <w:color w:val="244061" w:themeColor="accent1" w:themeShade="80"/>
          <w:lang w:val="es-ES"/>
        </w:rPr>
      </w:pPr>
      <w:r w:rsidRPr="00F35AC9">
        <w:rPr>
          <w:rFonts w:ascii="Times New Roman" w:hAnsi="Times New Roman"/>
          <w:color w:val="244061" w:themeColor="accent1" w:themeShade="80"/>
          <w:lang w:val="es-ES"/>
        </w:rPr>
        <w:t>Si la infracción es cometida en el marco de un grupo organizado, el límite máximo de la pena prevista puede aumentarse en la mitad.</w:t>
      </w:r>
    </w:p>
    <w:p w:rsidR="00F35AC9" w:rsidRPr="00F35AC9" w:rsidRDefault="00F35AC9" w:rsidP="00F35AC9">
      <w:pPr>
        <w:spacing w:after="0"/>
        <w:jc w:val="both"/>
        <w:rPr>
          <w:rFonts w:ascii="Times New Roman" w:hAnsi="Times New Roman"/>
          <w:color w:val="244061" w:themeColor="accent1" w:themeShade="80"/>
          <w:lang w:val="es-ES"/>
        </w:rPr>
      </w:pPr>
      <w:r w:rsidRPr="00F35AC9">
        <w:rPr>
          <w:rFonts w:ascii="Times New Roman" w:hAnsi="Times New Roman"/>
          <w:color w:val="244061" w:themeColor="accent1" w:themeShade="80"/>
          <w:lang w:val="es-ES"/>
        </w:rPr>
        <w:t>La tentativa es punible. La proposición por medio de las tecnologías de la información y la comunicación de un encuentro con un menor de 14 años con el fin de cometer la infracción descrita en el apartado 1 de este artículo se considera tentativa si la proposición ha sido seguida de actos materiales que conduzcan a dicho encuentro.</w:t>
      </w:r>
    </w:p>
    <w:p w:rsidR="00F35AC9" w:rsidRPr="00F35AC9" w:rsidRDefault="00F35AC9" w:rsidP="00F35AC9">
      <w:pPr>
        <w:spacing w:after="0"/>
        <w:ind w:left="567" w:hanging="141"/>
        <w:jc w:val="both"/>
        <w:rPr>
          <w:rFonts w:ascii="Times New Roman" w:hAnsi="Times New Roman"/>
          <w:b/>
          <w:color w:val="244061" w:themeColor="accent1" w:themeShade="80"/>
          <w:lang w:val="es-ES"/>
        </w:rPr>
      </w:pPr>
    </w:p>
    <w:p w:rsidR="00F35AC9" w:rsidRPr="00F35AC9" w:rsidRDefault="00F35AC9" w:rsidP="00F35AC9">
      <w:pPr>
        <w:spacing w:after="0"/>
        <w:jc w:val="both"/>
        <w:rPr>
          <w:rFonts w:ascii="Times New Roman" w:hAnsi="Times New Roman"/>
          <w:b/>
          <w:color w:val="244061" w:themeColor="accent1" w:themeShade="80"/>
          <w:lang w:val="es-ES"/>
        </w:rPr>
      </w:pPr>
      <w:r w:rsidRPr="00F35AC9">
        <w:rPr>
          <w:rFonts w:ascii="Times New Roman" w:hAnsi="Times New Roman"/>
          <w:b/>
          <w:color w:val="244061" w:themeColor="accent1" w:themeShade="80"/>
          <w:lang w:val="es-ES"/>
        </w:rPr>
        <w:t>Artículo 151. Favorecimiento de la prostitución.</w:t>
      </w:r>
    </w:p>
    <w:p w:rsidR="00F35AC9" w:rsidRPr="00F35AC9" w:rsidRDefault="00F35AC9" w:rsidP="00F35AC9">
      <w:pPr>
        <w:spacing w:after="0"/>
        <w:jc w:val="both"/>
        <w:rPr>
          <w:rFonts w:ascii="Times New Roman" w:hAnsi="Times New Roman"/>
          <w:color w:val="244061" w:themeColor="accent1" w:themeShade="80"/>
          <w:lang w:val="es-ES"/>
        </w:rPr>
      </w:pPr>
      <w:r w:rsidRPr="00F35AC9">
        <w:rPr>
          <w:rFonts w:ascii="Times New Roman" w:hAnsi="Times New Roman"/>
          <w:color w:val="244061" w:themeColor="accent1" w:themeShade="80"/>
          <w:lang w:val="es-ES"/>
        </w:rPr>
        <w:t>1. Quien reclute para la prostitución, promueva, facilite o favorezca la prostitución ajena será castigado con pena de prisión de tres meses a tres años.</w:t>
      </w:r>
    </w:p>
    <w:p w:rsidR="00F35AC9" w:rsidRPr="00F35AC9" w:rsidRDefault="00F35AC9" w:rsidP="00F35AC9">
      <w:pPr>
        <w:spacing w:after="0"/>
        <w:jc w:val="both"/>
        <w:rPr>
          <w:rFonts w:ascii="Times New Roman" w:hAnsi="Times New Roman"/>
          <w:color w:val="244061" w:themeColor="accent1" w:themeShade="80"/>
          <w:lang w:val="es-ES"/>
        </w:rPr>
      </w:pPr>
      <w:r w:rsidRPr="00F35AC9">
        <w:rPr>
          <w:rFonts w:ascii="Times New Roman" w:hAnsi="Times New Roman"/>
          <w:color w:val="244061" w:themeColor="accent1" w:themeShade="80"/>
          <w:lang w:val="es-ES"/>
        </w:rPr>
        <w:t xml:space="preserve">2. Debe ser castigado con la misma pena en la mitad superior quien promueva, publicite, facilite, favorezca, difunda o incite a la prostitución a través de medios de comunicación </w:t>
      </w:r>
      <w:r w:rsidRPr="00F35AC9">
        <w:rPr>
          <w:rFonts w:ascii="Times New Roman" w:hAnsi="Times New Roman"/>
          <w:color w:val="244061" w:themeColor="accent1" w:themeShade="80"/>
          <w:lang w:val="es-ES"/>
        </w:rPr>
        <w:lastRenderedPageBreak/>
        <w:t>social, Internet u otras tecnologías de la información y la comunicación, de de modo que la prostitución se hiciera accesible a un elevado número de personas.</w:t>
      </w:r>
    </w:p>
    <w:p w:rsidR="00F35AC9" w:rsidRPr="00F35AC9" w:rsidRDefault="00F35AC9" w:rsidP="00F35AC9">
      <w:pPr>
        <w:spacing w:after="0"/>
        <w:jc w:val="both"/>
        <w:rPr>
          <w:rFonts w:ascii="Times New Roman" w:hAnsi="Times New Roman"/>
          <w:color w:val="244061" w:themeColor="accent1" w:themeShade="80"/>
          <w:lang w:val="es-ES"/>
        </w:rPr>
      </w:pPr>
      <w:r w:rsidRPr="00F35AC9">
        <w:rPr>
          <w:rFonts w:ascii="Times New Roman" w:hAnsi="Times New Roman"/>
          <w:color w:val="244061" w:themeColor="accent1" w:themeShade="80"/>
          <w:lang w:val="es-ES"/>
        </w:rPr>
        <w:t>3. Si la infracción es relativa a prostitución infantil o la víctima es una persona vulnerable por razón de enfermedad o deficiencia física o psíquica, se impondrá pena de prisión de dos a cinco años. Si el hecho fuese cometido por los titulares de la autoridad parental o tutela, la pena se impondrá en la mitad superior.</w:t>
      </w:r>
    </w:p>
    <w:p w:rsidR="00F35AC9" w:rsidRPr="00F35AC9" w:rsidRDefault="00F35AC9" w:rsidP="00F35AC9">
      <w:pPr>
        <w:spacing w:after="0"/>
        <w:jc w:val="both"/>
        <w:rPr>
          <w:rFonts w:ascii="Times New Roman" w:hAnsi="Times New Roman"/>
          <w:color w:val="244061" w:themeColor="accent1" w:themeShade="80"/>
          <w:lang w:val="es-ES"/>
        </w:rPr>
      </w:pPr>
      <w:r w:rsidRPr="00F35AC9">
        <w:rPr>
          <w:rFonts w:ascii="Times New Roman" w:hAnsi="Times New Roman"/>
          <w:color w:val="244061" w:themeColor="accent1" w:themeShade="80"/>
          <w:lang w:val="es-ES"/>
        </w:rPr>
        <w:t>4. Si la infracción es cometida en el marco de un grupo organizado, el límite máximo de la pena prevista podrá aumentarse en la mitad.</w:t>
      </w:r>
    </w:p>
    <w:p w:rsidR="00F35AC9" w:rsidRPr="00F35AC9" w:rsidRDefault="00F35AC9" w:rsidP="00F35AC9">
      <w:pPr>
        <w:spacing w:after="0"/>
        <w:jc w:val="both"/>
        <w:rPr>
          <w:rFonts w:ascii="Times New Roman" w:hAnsi="Times New Roman"/>
          <w:color w:val="244061" w:themeColor="accent1" w:themeShade="80"/>
          <w:lang w:val="es-ES"/>
        </w:rPr>
      </w:pPr>
      <w:r w:rsidRPr="00F35AC9">
        <w:rPr>
          <w:rFonts w:ascii="Times New Roman" w:hAnsi="Times New Roman"/>
          <w:color w:val="244061" w:themeColor="accent1" w:themeShade="80"/>
          <w:lang w:val="es-ES"/>
        </w:rPr>
        <w:t>5. La tentativa es punible en todos los casos. La proposición por Internet o por medio de otras tecnologías a través de medios de comunicación social, Internet u otras tecnologías de la información y la comunicación de un encuentro con un menor de 14 años con el fin de cometer la infracción se considera tentativa si la proposición ha sido seguida de actos materiales que conduzcan a dicho encuentro.</w:t>
      </w:r>
    </w:p>
    <w:p w:rsidR="00F35AC9" w:rsidRPr="00F35AC9" w:rsidRDefault="00F35AC9" w:rsidP="00F35AC9">
      <w:pPr>
        <w:spacing w:after="0"/>
        <w:jc w:val="both"/>
        <w:rPr>
          <w:rFonts w:ascii="Times New Roman" w:hAnsi="Times New Roman"/>
          <w:color w:val="244061" w:themeColor="accent1" w:themeShade="80"/>
          <w:lang w:val="es-ES"/>
        </w:rPr>
      </w:pPr>
    </w:p>
    <w:p w:rsidR="00F35AC9" w:rsidRPr="00F35AC9" w:rsidRDefault="00F35AC9" w:rsidP="00F35AC9">
      <w:pPr>
        <w:spacing w:after="0"/>
        <w:jc w:val="both"/>
        <w:rPr>
          <w:rFonts w:ascii="Times New Roman" w:hAnsi="Times New Roman"/>
          <w:b/>
          <w:color w:val="244061" w:themeColor="accent1" w:themeShade="80"/>
          <w:lang w:val="es-ES"/>
        </w:rPr>
      </w:pPr>
      <w:r w:rsidRPr="00F35AC9">
        <w:rPr>
          <w:rFonts w:ascii="Times New Roman" w:hAnsi="Times New Roman"/>
          <w:b/>
          <w:color w:val="244061" w:themeColor="accent1" w:themeShade="80"/>
          <w:lang w:val="es-ES"/>
        </w:rPr>
        <w:t xml:space="preserve">Artículo 154. Actos sexuales con menores o personas con discapacidad prostituidos </w:t>
      </w:r>
    </w:p>
    <w:p w:rsidR="00F35AC9" w:rsidRPr="00F35AC9" w:rsidRDefault="00F35AC9" w:rsidP="00F35AC9">
      <w:pPr>
        <w:spacing w:after="0"/>
        <w:jc w:val="both"/>
        <w:rPr>
          <w:rFonts w:ascii="Times New Roman" w:hAnsi="Times New Roman"/>
          <w:color w:val="244061" w:themeColor="accent1" w:themeShade="80"/>
          <w:lang w:val="es-ES"/>
        </w:rPr>
      </w:pPr>
      <w:r w:rsidRPr="00F35AC9">
        <w:rPr>
          <w:rFonts w:ascii="Times New Roman" w:hAnsi="Times New Roman"/>
          <w:color w:val="244061" w:themeColor="accent1" w:themeShade="80"/>
          <w:lang w:val="es-ES"/>
        </w:rPr>
        <w:t>Quien se aproveche sexualmente de la prostitución de un menor o de una persona con discapacidad debe ser castigado con pena de prisión de uno a cinco años.</w:t>
      </w:r>
    </w:p>
    <w:p w:rsidR="00F35AC9" w:rsidRPr="00F35AC9" w:rsidRDefault="00F35AC9" w:rsidP="00F35AC9">
      <w:pPr>
        <w:spacing w:after="0"/>
        <w:jc w:val="both"/>
        <w:rPr>
          <w:rFonts w:ascii="Times New Roman" w:hAnsi="Times New Roman"/>
          <w:color w:val="244061" w:themeColor="accent1" w:themeShade="80"/>
          <w:lang w:val="es-ES"/>
        </w:rPr>
      </w:pPr>
      <w:r w:rsidRPr="00F35AC9">
        <w:rPr>
          <w:rFonts w:ascii="Times New Roman" w:hAnsi="Times New Roman"/>
          <w:color w:val="244061" w:themeColor="accent1" w:themeShade="80"/>
          <w:lang w:val="es-ES"/>
        </w:rPr>
        <w:t>La tentativa es punible.</w:t>
      </w:r>
    </w:p>
    <w:p w:rsidR="00F35AC9" w:rsidRPr="00F35AC9" w:rsidRDefault="00F35AC9" w:rsidP="00F35AC9">
      <w:pPr>
        <w:spacing w:after="0"/>
        <w:jc w:val="both"/>
        <w:rPr>
          <w:rFonts w:ascii="Times New Roman" w:hAnsi="Times New Roman"/>
          <w:color w:val="244061" w:themeColor="accent1" w:themeShade="80"/>
          <w:lang w:val="es-ES"/>
        </w:rPr>
      </w:pPr>
    </w:p>
    <w:p w:rsidR="00F35AC9" w:rsidRPr="00F35AC9" w:rsidRDefault="00F35AC9" w:rsidP="00F35AC9">
      <w:pPr>
        <w:spacing w:after="0"/>
        <w:jc w:val="both"/>
        <w:rPr>
          <w:rFonts w:ascii="Times New Roman" w:hAnsi="Times New Roman"/>
          <w:b/>
          <w:color w:val="244061" w:themeColor="accent1" w:themeShade="80"/>
          <w:lang w:val="es-ES"/>
        </w:rPr>
      </w:pPr>
      <w:r w:rsidRPr="00F35AC9">
        <w:rPr>
          <w:rFonts w:ascii="Times New Roman" w:hAnsi="Times New Roman"/>
          <w:b/>
          <w:color w:val="244061" w:themeColor="accent1" w:themeShade="80"/>
          <w:lang w:val="es-ES"/>
        </w:rPr>
        <w:t xml:space="preserve">Artículo 154 bis. Concepto de prostitución infantil </w:t>
      </w:r>
    </w:p>
    <w:p w:rsidR="00F35AC9" w:rsidRPr="00F35AC9" w:rsidRDefault="00F35AC9" w:rsidP="00F35AC9">
      <w:pPr>
        <w:spacing w:after="0"/>
        <w:jc w:val="both"/>
        <w:rPr>
          <w:rFonts w:ascii="Times New Roman" w:hAnsi="Times New Roman"/>
          <w:color w:val="244061" w:themeColor="accent1" w:themeShade="80"/>
          <w:lang w:val="es-ES"/>
        </w:rPr>
      </w:pPr>
      <w:r w:rsidRPr="00F35AC9">
        <w:rPr>
          <w:rFonts w:ascii="Times New Roman" w:hAnsi="Times New Roman"/>
          <w:color w:val="244061" w:themeColor="accent1" w:themeShade="80"/>
          <w:lang w:val="es-ES"/>
        </w:rPr>
        <w:t>A efectos de este capítulo se entiende por prostitución infantil el hecho de utilizar una persona menor de edad con el fin de realizar actividades sexuales, ofreciendo o prometiendo dinero o cualquier otra forma de remuneración, de pago o de ventaja, tanto si la remuneración, pago o promesa se hace al mismo menor como a un tercero.</w:t>
      </w:r>
    </w:p>
    <w:p w:rsidR="00F35AC9" w:rsidRPr="00F35AC9" w:rsidRDefault="00F35AC9" w:rsidP="00F35AC9">
      <w:pPr>
        <w:spacing w:after="0"/>
        <w:jc w:val="both"/>
        <w:rPr>
          <w:rFonts w:ascii="Times New Roman" w:hAnsi="Times New Roman"/>
          <w:color w:val="244061" w:themeColor="accent1" w:themeShade="80"/>
          <w:lang w:val="es-ES"/>
        </w:rPr>
      </w:pPr>
    </w:p>
    <w:p w:rsidR="00F35AC9" w:rsidRPr="00F35AC9" w:rsidRDefault="00F35AC9" w:rsidP="00F35AC9">
      <w:pPr>
        <w:spacing w:after="0"/>
        <w:jc w:val="both"/>
        <w:rPr>
          <w:rFonts w:ascii="Times New Roman" w:hAnsi="Times New Roman"/>
          <w:b/>
          <w:color w:val="244061" w:themeColor="accent1" w:themeShade="80"/>
          <w:lang w:val="es-ES"/>
        </w:rPr>
      </w:pPr>
      <w:r w:rsidRPr="00F35AC9">
        <w:rPr>
          <w:rFonts w:ascii="Times New Roman" w:hAnsi="Times New Roman"/>
          <w:b/>
          <w:color w:val="244061" w:themeColor="accent1" w:themeShade="80"/>
          <w:lang w:val="es-ES"/>
        </w:rPr>
        <w:t>Artículo 155. Utilización de menores y personas con discapacidad para la pornografía.</w:t>
      </w:r>
    </w:p>
    <w:p w:rsidR="00F35AC9" w:rsidRPr="00F35AC9" w:rsidRDefault="00F35AC9" w:rsidP="00F35AC9">
      <w:pPr>
        <w:spacing w:after="0"/>
        <w:jc w:val="both"/>
        <w:rPr>
          <w:rFonts w:ascii="Times New Roman" w:hAnsi="Times New Roman"/>
          <w:color w:val="244061" w:themeColor="accent1" w:themeShade="80"/>
          <w:lang w:val="es-ES"/>
        </w:rPr>
      </w:pPr>
      <w:r w:rsidRPr="00F35AC9">
        <w:rPr>
          <w:rFonts w:ascii="Times New Roman" w:hAnsi="Times New Roman"/>
          <w:color w:val="244061" w:themeColor="accent1" w:themeShade="80"/>
          <w:lang w:val="es-ES"/>
        </w:rPr>
        <w:t>1. Quien capte imágenes de un menor de edad o de una persona con discapacidad con la intención de producir material pornográfico debe ser castigado con pena de prisión de una duración máxima de dos años.</w:t>
      </w:r>
    </w:p>
    <w:p w:rsidR="00F35AC9" w:rsidRPr="00F35AC9" w:rsidRDefault="00F35AC9" w:rsidP="00F35AC9">
      <w:pPr>
        <w:spacing w:after="0"/>
        <w:jc w:val="both"/>
        <w:rPr>
          <w:rFonts w:ascii="Times New Roman" w:hAnsi="Times New Roman"/>
          <w:color w:val="244061" w:themeColor="accent1" w:themeShade="80"/>
          <w:lang w:val="es-ES"/>
        </w:rPr>
      </w:pPr>
      <w:r w:rsidRPr="00F35AC9">
        <w:rPr>
          <w:rFonts w:ascii="Times New Roman" w:hAnsi="Times New Roman"/>
          <w:color w:val="244061" w:themeColor="accent1" w:themeShade="80"/>
          <w:lang w:val="es-ES"/>
        </w:rPr>
        <w:t>La tentativa es punible.</w:t>
      </w:r>
    </w:p>
    <w:p w:rsidR="00F35AC9" w:rsidRPr="00F35AC9" w:rsidRDefault="00F35AC9" w:rsidP="00F35AC9">
      <w:pPr>
        <w:spacing w:after="0"/>
        <w:jc w:val="both"/>
        <w:rPr>
          <w:rFonts w:ascii="Times New Roman" w:hAnsi="Times New Roman"/>
          <w:color w:val="244061" w:themeColor="accent1" w:themeShade="80"/>
          <w:lang w:val="es-ES"/>
        </w:rPr>
      </w:pPr>
      <w:r w:rsidRPr="00F35AC9">
        <w:rPr>
          <w:rFonts w:ascii="Times New Roman" w:hAnsi="Times New Roman"/>
          <w:color w:val="244061" w:themeColor="accent1" w:themeShade="80"/>
          <w:lang w:val="es-ES"/>
        </w:rPr>
        <w:t>2. Quien reclute, utilice a un menor o una persona con discapacidad con fines pornográficos o exhibicionistas o favorezca su participación, y quien produzca, adquiera, venda, importe, exporte, distribuya, difunda, ceda o exhiba por cualquier medio material pornográfico en el que aparezcan imágenes de menores dedicados a actividades sexuales explícitas, reales o con apariencia de realidad, o cualquier otra representación de las partes sexuales de un menor con fines primordialmente sexuales, debe ser castigado con pena de prisión de uno a cuatro años .</w:t>
      </w:r>
    </w:p>
    <w:p w:rsidR="00F35AC9" w:rsidRPr="00F35AC9" w:rsidRDefault="00F35AC9" w:rsidP="00F35AC9">
      <w:pPr>
        <w:spacing w:after="0"/>
        <w:jc w:val="both"/>
        <w:rPr>
          <w:rFonts w:ascii="Times New Roman" w:hAnsi="Times New Roman"/>
          <w:color w:val="244061" w:themeColor="accent1" w:themeShade="80"/>
          <w:lang w:val="es-ES"/>
        </w:rPr>
      </w:pPr>
      <w:r w:rsidRPr="00F35AC9">
        <w:rPr>
          <w:rFonts w:ascii="Times New Roman" w:hAnsi="Times New Roman"/>
          <w:color w:val="244061" w:themeColor="accent1" w:themeShade="80"/>
          <w:lang w:val="es-ES"/>
        </w:rPr>
        <w:t>La tentativa es punible. La proposición por medio de las tecnologías de la información y la comunicación de un encuentro con un menor de catorce años, con el fin de cometer la infracción descrita en el párrafo anterior, se considera tentativa si la proposición ha sido seguida de actos materiales que conduzcan a dicho encuentro.</w:t>
      </w:r>
    </w:p>
    <w:p w:rsidR="00F35AC9" w:rsidRPr="00F35AC9" w:rsidRDefault="00F35AC9" w:rsidP="00F35AC9">
      <w:pPr>
        <w:spacing w:after="0"/>
        <w:jc w:val="both"/>
        <w:rPr>
          <w:rFonts w:ascii="Times New Roman" w:hAnsi="Times New Roman"/>
          <w:color w:val="244061" w:themeColor="accent1" w:themeShade="80"/>
          <w:lang w:val="es-ES"/>
        </w:rPr>
      </w:pPr>
      <w:r w:rsidRPr="00F35AC9">
        <w:rPr>
          <w:rFonts w:ascii="Times New Roman" w:hAnsi="Times New Roman"/>
          <w:color w:val="244061" w:themeColor="accent1" w:themeShade="80"/>
          <w:lang w:val="es-ES"/>
        </w:rPr>
        <w:t>3. Quien ofrezca, posea, procure para él o para otro, o acceda a través de cualquier tecnología de la comunicación o la información a material pornográfico en el que aparezcan imágenes de menores dedicados a actividades sexuales explícitas, reales o con apariencia de realidad, o cualquier otra representación de las partes sexuales de un menor con fines primordialmente sexuales, será castigado con pena de prisión de una duración máxima de dos años.</w:t>
      </w:r>
    </w:p>
    <w:p w:rsidR="00F35AC9" w:rsidRPr="00F35AC9" w:rsidRDefault="00F35AC9" w:rsidP="00F35AC9">
      <w:pPr>
        <w:spacing w:after="0"/>
        <w:jc w:val="both"/>
        <w:rPr>
          <w:rFonts w:ascii="Times New Roman" w:hAnsi="Times New Roman"/>
          <w:color w:val="244061" w:themeColor="accent1" w:themeShade="80"/>
          <w:lang w:val="es-ES"/>
        </w:rPr>
      </w:pPr>
      <w:r w:rsidRPr="00F35AC9">
        <w:rPr>
          <w:rFonts w:ascii="Times New Roman" w:hAnsi="Times New Roman"/>
          <w:color w:val="244061" w:themeColor="accent1" w:themeShade="80"/>
          <w:lang w:val="es-ES"/>
        </w:rPr>
        <w:t>La tentativa es punible.</w:t>
      </w:r>
    </w:p>
    <w:p w:rsidR="00F35AC9" w:rsidRPr="00F35AC9" w:rsidRDefault="00F35AC9" w:rsidP="00F35AC9">
      <w:pPr>
        <w:spacing w:after="0"/>
        <w:jc w:val="both"/>
        <w:rPr>
          <w:rFonts w:ascii="Times New Roman" w:hAnsi="Times New Roman"/>
          <w:color w:val="244061" w:themeColor="accent1" w:themeShade="80"/>
          <w:lang w:val="es-ES"/>
        </w:rPr>
      </w:pPr>
      <w:r w:rsidRPr="00F35AC9">
        <w:rPr>
          <w:rFonts w:ascii="Times New Roman" w:hAnsi="Times New Roman"/>
          <w:color w:val="244061" w:themeColor="accent1" w:themeShade="80"/>
          <w:lang w:val="es-ES"/>
        </w:rPr>
        <w:t>4. Quien asista a espectáculos pornográficos donde actúe un menor o una persona con discapacidad debe ser condenado con pena de prisión de una duración máxima de dos años.</w:t>
      </w:r>
    </w:p>
    <w:p w:rsidR="00F35AC9" w:rsidRPr="00F35AC9" w:rsidRDefault="00F35AC9" w:rsidP="00F35AC9">
      <w:pPr>
        <w:spacing w:after="0"/>
        <w:jc w:val="both"/>
        <w:rPr>
          <w:rFonts w:ascii="Times New Roman" w:hAnsi="Times New Roman"/>
          <w:color w:val="244061" w:themeColor="accent1" w:themeShade="80"/>
          <w:lang w:val="es-ES"/>
        </w:rPr>
      </w:pPr>
      <w:r w:rsidRPr="00F35AC9">
        <w:rPr>
          <w:rFonts w:ascii="Times New Roman" w:hAnsi="Times New Roman"/>
          <w:color w:val="244061" w:themeColor="accent1" w:themeShade="80"/>
          <w:lang w:val="es-ES"/>
        </w:rPr>
        <w:lastRenderedPageBreak/>
        <w:t>5. Cuando el culpable de cualquiera de las infracciones previstas en este artículo obtenga un provecho económico, además de las penas previstas se impondrá multa de un importe máximo de 30.000 euros, o hasta el triple del beneficio obtenido si es superior.</w:t>
      </w:r>
    </w:p>
    <w:p w:rsidR="00F35AC9" w:rsidRPr="00F35AC9" w:rsidRDefault="00F35AC9" w:rsidP="00F35AC9">
      <w:pPr>
        <w:spacing w:after="0"/>
        <w:jc w:val="both"/>
        <w:rPr>
          <w:rFonts w:ascii="Times New Roman" w:hAnsi="Times New Roman"/>
          <w:color w:val="244061" w:themeColor="accent1" w:themeShade="80"/>
          <w:lang w:val="es-ES"/>
        </w:rPr>
      </w:pPr>
    </w:p>
    <w:p w:rsidR="00F35AC9" w:rsidRPr="00F35AC9" w:rsidRDefault="00F35AC9" w:rsidP="00F35AC9">
      <w:pPr>
        <w:spacing w:after="0"/>
        <w:jc w:val="both"/>
        <w:rPr>
          <w:rFonts w:ascii="Times New Roman" w:hAnsi="Times New Roman"/>
          <w:b/>
          <w:color w:val="244061" w:themeColor="accent1" w:themeShade="80"/>
          <w:lang w:val="es-ES"/>
        </w:rPr>
      </w:pPr>
      <w:r w:rsidRPr="00F35AC9">
        <w:rPr>
          <w:rFonts w:ascii="Times New Roman" w:hAnsi="Times New Roman"/>
          <w:b/>
          <w:color w:val="244061" w:themeColor="accent1" w:themeShade="80"/>
          <w:lang w:val="es-ES"/>
        </w:rPr>
        <w:t xml:space="preserve">Artículo 157 bis. Trata de seres humanos con finalidad de explotación sexual </w:t>
      </w:r>
    </w:p>
    <w:p w:rsidR="00F35AC9" w:rsidRPr="00F35AC9" w:rsidRDefault="00F35AC9" w:rsidP="00F35AC9">
      <w:pPr>
        <w:spacing w:after="0"/>
        <w:jc w:val="both"/>
        <w:rPr>
          <w:rFonts w:ascii="Times New Roman" w:hAnsi="Times New Roman"/>
          <w:color w:val="244061" w:themeColor="accent1" w:themeShade="80"/>
          <w:lang w:val="es-ES"/>
        </w:rPr>
      </w:pPr>
      <w:r w:rsidRPr="00F35AC9">
        <w:rPr>
          <w:rFonts w:ascii="Times New Roman" w:hAnsi="Times New Roman"/>
          <w:color w:val="244061" w:themeColor="accent1" w:themeShade="80"/>
          <w:lang w:val="es-ES"/>
        </w:rPr>
        <w:t>1. El que, con fines de prostitución ajena u otros delitos contra la libertad sexual, reclute, transporte, traslade, aloje o acoja a una o más personas, será castigado con pena de prisión de dos a seis años, sin perjuicio, en su caso, de las penas que correspondan por las demás infracciones cometidas, cuando se emplee al menos en uno de los siguientes medios:</w:t>
      </w:r>
    </w:p>
    <w:p w:rsidR="00F35AC9" w:rsidRPr="00F35AC9" w:rsidRDefault="00F35AC9" w:rsidP="00F35AC9">
      <w:pPr>
        <w:spacing w:after="0"/>
        <w:jc w:val="both"/>
        <w:rPr>
          <w:rFonts w:ascii="Times New Roman" w:hAnsi="Times New Roman"/>
          <w:color w:val="244061" w:themeColor="accent1" w:themeShade="80"/>
          <w:lang w:val="es-ES"/>
        </w:rPr>
      </w:pPr>
      <w:r w:rsidRPr="00F35AC9">
        <w:rPr>
          <w:rFonts w:ascii="Times New Roman" w:hAnsi="Times New Roman"/>
          <w:color w:val="244061" w:themeColor="accent1" w:themeShade="80"/>
          <w:lang w:val="es-ES"/>
        </w:rPr>
        <w:t>a) Que se recurra a la violencia u otras formas de intimidación o coacción, o bajo la amenaza de hacerlo.</w:t>
      </w:r>
    </w:p>
    <w:p w:rsidR="00F35AC9" w:rsidRPr="00F35AC9" w:rsidRDefault="00F35AC9" w:rsidP="00F35AC9">
      <w:pPr>
        <w:spacing w:after="0"/>
        <w:jc w:val="both"/>
        <w:rPr>
          <w:rFonts w:ascii="Times New Roman" w:hAnsi="Times New Roman"/>
          <w:color w:val="244061" w:themeColor="accent1" w:themeShade="80"/>
          <w:lang w:val="es-ES"/>
        </w:rPr>
      </w:pPr>
      <w:r w:rsidRPr="00F35AC9">
        <w:rPr>
          <w:rFonts w:ascii="Times New Roman" w:hAnsi="Times New Roman"/>
          <w:color w:val="244061" w:themeColor="accent1" w:themeShade="80"/>
          <w:lang w:val="es-ES"/>
        </w:rPr>
        <w:t>b) Que exista fraude, engaño, abuso de autoridad o de una situación de vulnerabilidad.</w:t>
      </w:r>
    </w:p>
    <w:p w:rsidR="00F35AC9" w:rsidRPr="00F35AC9" w:rsidRDefault="00F35AC9" w:rsidP="00F35AC9">
      <w:pPr>
        <w:spacing w:after="0"/>
        <w:jc w:val="both"/>
        <w:rPr>
          <w:rFonts w:ascii="Times New Roman" w:hAnsi="Times New Roman"/>
          <w:color w:val="244061" w:themeColor="accent1" w:themeShade="80"/>
          <w:lang w:val="es-ES"/>
        </w:rPr>
      </w:pPr>
      <w:r w:rsidRPr="00F35AC9">
        <w:rPr>
          <w:rFonts w:ascii="Times New Roman" w:hAnsi="Times New Roman"/>
          <w:color w:val="244061" w:themeColor="accent1" w:themeShade="80"/>
          <w:lang w:val="es-ES"/>
        </w:rPr>
        <w:t>c) Que se propongan o acepten pagos o ventajas para obtener el consentimiento de una persona que ejerza autoridad, de hecho, o de derecho, sobre otra.</w:t>
      </w:r>
    </w:p>
    <w:p w:rsidR="00F35AC9" w:rsidRPr="00F35AC9" w:rsidRDefault="00F35AC9" w:rsidP="00F35AC9">
      <w:pPr>
        <w:spacing w:after="0"/>
        <w:jc w:val="both"/>
        <w:rPr>
          <w:rFonts w:ascii="Times New Roman" w:hAnsi="Times New Roman"/>
          <w:color w:val="244061" w:themeColor="accent1" w:themeShade="80"/>
          <w:lang w:val="es-ES"/>
        </w:rPr>
      </w:pPr>
      <w:r w:rsidRPr="00F35AC9">
        <w:rPr>
          <w:rFonts w:ascii="Times New Roman" w:hAnsi="Times New Roman"/>
          <w:color w:val="244061" w:themeColor="accent1" w:themeShade="80"/>
          <w:lang w:val="es-ES"/>
        </w:rPr>
        <w:t>La tentativa es punible.</w:t>
      </w:r>
    </w:p>
    <w:p w:rsidR="00F35AC9" w:rsidRPr="00F35AC9" w:rsidRDefault="00F35AC9" w:rsidP="00F35AC9">
      <w:pPr>
        <w:spacing w:after="0"/>
        <w:jc w:val="both"/>
        <w:rPr>
          <w:rFonts w:ascii="Times New Roman" w:hAnsi="Times New Roman"/>
          <w:color w:val="244061" w:themeColor="accent1" w:themeShade="80"/>
          <w:lang w:val="es-ES"/>
        </w:rPr>
      </w:pPr>
      <w:r w:rsidRPr="00F35AC9">
        <w:rPr>
          <w:rFonts w:ascii="Times New Roman" w:hAnsi="Times New Roman"/>
          <w:color w:val="244061" w:themeColor="accent1" w:themeShade="80"/>
          <w:lang w:val="es-ES"/>
        </w:rPr>
        <w:t>2. Cuando no se utilice ninguno de los medios mencionados en el apartado anterior, tendrá la consideración de trata de seres humanos con finalidad de explotación sexual la comisión de la acción descrita en el mismo, si se realice sobre un menor de edad, sin perjuicio, en su caso, de las penas que correspondan por las demás infracciones cometidas.</w:t>
      </w:r>
    </w:p>
    <w:p w:rsidR="00F35AC9" w:rsidRPr="00F35AC9" w:rsidRDefault="00F35AC9" w:rsidP="00F35AC9">
      <w:pPr>
        <w:spacing w:after="0"/>
        <w:jc w:val="both"/>
        <w:rPr>
          <w:rFonts w:ascii="Times New Roman" w:hAnsi="Times New Roman"/>
          <w:color w:val="244061" w:themeColor="accent1" w:themeShade="80"/>
          <w:lang w:val="es-ES"/>
        </w:rPr>
      </w:pPr>
      <w:r w:rsidRPr="00F35AC9">
        <w:rPr>
          <w:rFonts w:ascii="Times New Roman" w:hAnsi="Times New Roman"/>
          <w:color w:val="244061" w:themeColor="accent1" w:themeShade="80"/>
          <w:lang w:val="es-ES"/>
        </w:rPr>
        <w:t>La tentativa es punible.</w:t>
      </w:r>
    </w:p>
    <w:p w:rsidR="00F35AC9" w:rsidRPr="00F35AC9" w:rsidRDefault="00F35AC9" w:rsidP="00F35AC9">
      <w:pPr>
        <w:spacing w:after="0"/>
        <w:jc w:val="both"/>
        <w:rPr>
          <w:rFonts w:ascii="Times New Roman" w:hAnsi="Times New Roman"/>
          <w:color w:val="244061" w:themeColor="accent1" w:themeShade="80"/>
          <w:lang w:val="es-ES"/>
        </w:rPr>
      </w:pPr>
      <w:r w:rsidRPr="00F35AC9">
        <w:rPr>
          <w:rFonts w:ascii="Times New Roman" w:hAnsi="Times New Roman"/>
          <w:color w:val="244061" w:themeColor="accent1" w:themeShade="80"/>
          <w:lang w:val="es-ES"/>
        </w:rPr>
        <w:t>3. En los supuestos establecidos en el apartado 2, y en el apartado 1 si la víctima es menor de edad o es especialmente vulnerable por su enfermedad o discapacidad, la pena debe imponerse en la mitad superior.</w:t>
      </w:r>
    </w:p>
    <w:p w:rsidR="00F35AC9" w:rsidRPr="00F35AC9" w:rsidRDefault="00F35AC9" w:rsidP="00F35AC9">
      <w:pPr>
        <w:spacing w:after="0"/>
        <w:jc w:val="both"/>
        <w:rPr>
          <w:rFonts w:ascii="Times New Roman" w:hAnsi="Times New Roman"/>
          <w:color w:val="244061" w:themeColor="accent1" w:themeShade="80"/>
          <w:lang w:val="es-ES"/>
        </w:rPr>
      </w:pPr>
      <w:r w:rsidRPr="00F35AC9">
        <w:rPr>
          <w:rFonts w:ascii="Times New Roman" w:hAnsi="Times New Roman"/>
          <w:color w:val="244061" w:themeColor="accent1" w:themeShade="80"/>
          <w:lang w:val="es-ES"/>
        </w:rPr>
        <w:t>4. En todos los casos, constituye una circunstancia agravante de la responsabilidad penal el hecho de haber puesto en peligro la vida de la víctima.</w:t>
      </w:r>
    </w:p>
    <w:p w:rsidR="00F35AC9" w:rsidRPr="00F35AC9" w:rsidRDefault="00F35AC9" w:rsidP="00F35AC9">
      <w:pPr>
        <w:spacing w:after="0"/>
        <w:jc w:val="both"/>
        <w:rPr>
          <w:rFonts w:ascii="Times New Roman" w:hAnsi="Times New Roman"/>
          <w:color w:val="244061" w:themeColor="accent1" w:themeShade="80"/>
          <w:lang w:val="es-ES"/>
        </w:rPr>
      </w:pPr>
      <w:r w:rsidRPr="00F35AC9">
        <w:rPr>
          <w:rFonts w:ascii="Times New Roman" w:hAnsi="Times New Roman"/>
          <w:color w:val="244061" w:themeColor="accent1" w:themeShade="80"/>
          <w:lang w:val="es-ES"/>
        </w:rPr>
        <w:t>5. La víctima de trata de seres humanos queda excluida de responsabilidad criminal por las infracciones penales que haya cometido en la situación de explotación siempre que su participación haya sido consecuencia directa de la situación de violencia, intimidación, engaño o abuso al que haya sido sometida o concurra alguna de las circunstancias excluyentes de la responsabilidad criminal previstas en el artículo 27 de este Código.</w:t>
      </w:r>
    </w:p>
    <w:p w:rsidR="00F35AC9" w:rsidRPr="00F35AC9" w:rsidRDefault="00F35AC9" w:rsidP="00F35AC9">
      <w:pPr>
        <w:spacing w:after="0"/>
        <w:jc w:val="both"/>
        <w:rPr>
          <w:rFonts w:ascii="Times New Roman" w:hAnsi="Times New Roman"/>
          <w:color w:val="244061" w:themeColor="accent1" w:themeShade="80"/>
          <w:lang w:val="es-ES"/>
        </w:rPr>
      </w:pPr>
    </w:p>
    <w:p w:rsidR="00F35AC9" w:rsidRPr="00F35AC9" w:rsidRDefault="00F35AC9" w:rsidP="00F35AC9">
      <w:pPr>
        <w:spacing w:after="0"/>
        <w:jc w:val="both"/>
        <w:rPr>
          <w:rFonts w:ascii="Times New Roman" w:hAnsi="Times New Roman"/>
          <w:b/>
          <w:color w:val="244061" w:themeColor="accent1" w:themeShade="80"/>
          <w:lang w:val="es-ES"/>
        </w:rPr>
      </w:pPr>
      <w:r w:rsidRPr="00F35AC9">
        <w:rPr>
          <w:rFonts w:ascii="Times New Roman" w:hAnsi="Times New Roman"/>
          <w:b/>
          <w:color w:val="244061" w:themeColor="accent1" w:themeShade="80"/>
          <w:lang w:val="es-ES"/>
        </w:rPr>
        <w:t>Artículo 157 ter. Uso de medios de comunicación social, Internet u otras tecnologías de la</w:t>
      </w:r>
      <w:r w:rsidRPr="00F35AC9">
        <w:rPr>
          <w:rFonts w:ascii="Times New Roman" w:hAnsi="Times New Roman"/>
          <w:color w:val="244061" w:themeColor="accent1" w:themeShade="80"/>
          <w:lang w:val="es-ES"/>
        </w:rPr>
        <w:t xml:space="preserve"> </w:t>
      </w:r>
      <w:r w:rsidRPr="00F35AC9">
        <w:rPr>
          <w:rFonts w:ascii="Times New Roman" w:hAnsi="Times New Roman"/>
          <w:b/>
          <w:color w:val="244061" w:themeColor="accent1" w:themeShade="80"/>
          <w:lang w:val="es-ES"/>
        </w:rPr>
        <w:t>información y la comunicación</w:t>
      </w:r>
    </w:p>
    <w:p w:rsidR="00F35AC9" w:rsidRPr="00F35AC9" w:rsidRDefault="00F35AC9" w:rsidP="00F35AC9">
      <w:pPr>
        <w:spacing w:after="0"/>
        <w:jc w:val="both"/>
        <w:rPr>
          <w:rFonts w:ascii="Times New Roman" w:hAnsi="Times New Roman"/>
          <w:color w:val="244061" w:themeColor="accent1" w:themeShade="80"/>
          <w:lang w:val="es-ES"/>
        </w:rPr>
      </w:pPr>
      <w:r w:rsidRPr="00F35AC9">
        <w:rPr>
          <w:rFonts w:ascii="Times New Roman" w:hAnsi="Times New Roman"/>
          <w:color w:val="244061" w:themeColor="accent1" w:themeShade="80"/>
          <w:lang w:val="es-ES"/>
        </w:rPr>
        <w:t>1. Quien promueva, publicite, exhiba, difunda o venda a terceros imágenes o grabaciones audiovisuales o cualquier otro material de contenido íntimo a través de medios de comunicación social, Internet u otras tecnologías de la información y la comunicación sin la autorización de la persona afectada debe ser castigado con la pena de prisión de hasta un año y multa de hasta 6.000 euros o del tanto al doble del beneficio obtenido o que se pretendía obtener si éste es superior a 6.000 euros.</w:t>
      </w:r>
    </w:p>
    <w:p w:rsidR="00F35AC9" w:rsidRPr="00F35AC9" w:rsidRDefault="00F35AC9" w:rsidP="00F35AC9">
      <w:pPr>
        <w:spacing w:after="0"/>
        <w:jc w:val="both"/>
        <w:rPr>
          <w:rFonts w:ascii="Times New Roman" w:hAnsi="Times New Roman"/>
          <w:color w:val="244061" w:themeColor="accent1" w:themeShade="80"/>
          <w:lang w:val="es-ES"/>
        </w:rPr>
      </w:pPr>
      <w:r w:rsidRPr="00F35AC9">
        <w:rPr>
          <w:rFonts w:ascii="Times New Roman" w:hAnsi="Times New Roman"/>
          <w:color w:val="244061" w:themeColor="accent1" w:themeShade="80"/>
          <w:lang w:val="es-ES"/>
        </w:rPr>
        <w:t>2. Quien engañe o amenace, a través de medios de comunicación social, Internet u otras tecnologías de la información y la comunicación, a otra persona para obtener satisfacción sexual a través de imágenes eróticas, pornográficas o cualquier otra información sexual de la víctima debe ser castigado con la pena de prisión de hasta un año y multa de hasta 6.000 euros.</w:t>
      </w:r>
    </w:p>
    <w:p w:rsidR="00F35AC9" w:rsidRPr="00F35AC9" w:rsidRDefault="00F35AC9" w:rsidP="00F35AC9">
      <w:pPr>
        <w:spacing w:after="0"/>
        <w:jc w:val="both"/>
        <w:rPr>
          <w:rFonts w:ascii="Times New Roman" w:hAnsi="Times New Roman"/>
          <w:color w:val="244061" w:themeColor="accent1" w:themeShade="80"/>
          <w:lang w:val="es-ES"/>
        </w:rPr>
      </w:pPr>
      <w:r w:rsidRPr="00F35AC9">
        <w:rPr>
          <w:rFonts w:ascii="Times New Roman" w:hAnsi="Times New Roman"/>
          <w:color w:val="244061" w:themeColor="accent1" w:themeShade="80"/>
          <w:lang w:val="es-ES"/>
        </w:rPr>
        <w:t>3. Se castiga con la misma pena en la mitad superior a quien lleve a cabo los hechos referidos en el apartado anterior hacia menores de edad o personas con discapacidad por obtener satisfacción sexual a través de imágenes eróticas, pornográficas o cualquier otra información sexual del menor o discapacidad.</w:t>
      </w:r>
    </w:p>
    <w:p w:rsidR="00F35AC9" w:rsidRPr="00F35AC9" w:rsidRDefault="00F35AC9" w:rsidP="00F35AC9">
      <w:pPr>
        <w:spacing w:after="0"/>
        <w:jc w:val="both"/>
        <w:rPr>
          <w:rFonts w:ascii="Times New Roman" w:hAnsi="Times New Roman"/>
          <w:color w:val="244061" w:themeColor="accent1" w:themeShade="80"/>
          <w:lang w:val="es-ES"/>
        </w:rPr>
      </w:pPr>
      <w:r w:rsidRPr="00F35AC9">
        <w:rPr>
          <w:rFonts w:ascii="Times New Roman" w:hAnsi="Times New Roman"/>
          <w:color w:val="244061" w:themeColor="accent1" w:themeShade="80"/>
          <w:lang w:val="es-ES"/>
        </w:rPr>
        <w:t>4. La tentativa es punible.</w:t>
      </w:r>
    </w:p>
    <w:bookmarkEnd w:id="0"/>
    <w:sectPr w:rsidR="00F35AC9" w:rsidRPr="00F35AC9" w:rsidSect="003B0CF0">
      <w:headerReference w:type="default" r:id="rId7"/>
      <w:footerReference w:type="default" r:id="rId8"/>
      <w:headerReference w:type="first" r:id="rId9"/>
      <w:footerReference w:type="first" r:id="rId10"/>
      <w:pgSz w:w="11900" w:h="16840"/>
      <w:pgMar w:top="1701" w:right="1418" w:bottom="1134" w:left="1701" w:header="709" w:footer="70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28E7" w:rsidRDefault="008B70D0">
      <w:pPr>
        <w:spacing w:after="0"/>
      </w:pPr>
      <w:r>
        <w:separator/>
      </w:r>
    </w:p>
  </w:endnote>
  <w:endnote w:type="continuationSeparator" w:id="0">
    <w:p w:rsidR="000328E7" w:rsidRDefault="008B70D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5081619"/>
      <w:docPartObj>
        <w:docPartGallery w:val="Page Numbers (Bottom of Page)"/>
        <w:docPartUnique/>
      </w:docPartObj>
    </w:sdtPr>
    <w:sdtEndPr/>
    <w:sdtContent>
      <w:p w:rsidR="00B76DE1" w:rsidRDefault="00B76DE1">
        <w:pPr>
          <w:pStyle w:val="Peu"/>
        </w:pPr>
        <w:r>
          <w:rPr>
            <w:noProof/>
          </w:rPr>
          <mc:AlternateContent>
            <mc:Choice Requires="wps">
              <w:drawing>
                <wp:anchor distT="0" distB="0" distL="114300" distR="114300" simplePos="0" relativeHeight="251661824" behindDoc="0" locked="0" layoutInCell="1" allowOverlap="1">
                  <wp:simplePos x="0" y="0"/>
                  <wp:positionH relativeFrom="margin">
                    <wp:align>center</wp:align>
                  </wp:positionH>
                  <wp:positionV relativeFrom="bottomMargin">
                    <wp:align>center</wp:align>
                  </wp:positionV>
                  <wp:extent cx="551815" cy="238760"/>
                  <wp:effectExtent l="19050" t="19050" r="19685" b="18415"/>
                  <wp:wrapNone/>
                  <wp:docPr id="3" name="Claudàtor dob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rsidR="00B76DE1" w:rsidRDefault="00B76DE1">
                              <w:pPr>
                                <w:jc w:val="center"/>
                              </w:pPr>
                              <w:r>
                                <w:fldChar w:fldCharType="begin"/>
                              </w:r>
                              <w:r>
                                <w:instrText>PAGE    \* MERGEFORMAT</w:instrText>
                              </w:r>
                              <w:r>
                                <w:fldChar w:fldCharType="separate"/>
                              </w:r>
                              <w:r>
                                <w:t>2</w:t>
                              </w:r>
                              <w: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Claudàtor doble 3" o:spid="_x0000_s1026" type="#_x0000_t185" style="position:absolute;margin-left:0;margin-top:0;width:43.45pt;height:18.8pt;z-index:251661824;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" filled="t" strokecolor="gray" strokeweight="2.25pt">
                  <v:textbox inset=",0,,0">
                    <w:txbxContent>
                      <w:p w:rsidR="00B76DE1" w:rsidRDefault="00B76DE1">
                        <w:pPr>
                          <w:jc w:val="center"/>
                        </w:pPr>
                        <w:r>
                          <w:fldChar w:fldCharType="begin"/>
                        </w:r>
                        <w:r>
                          <w:instrText>PAGE    \* MERGEFORMAT</w:instrText>
                        </w:r>
                        <w:r>
                          <w:fldChar w:fldCharType="separate"/>
                        </w:r>
                        <w:r>
                          <w:t>2</w:t>
                        </w:r>
                        <w: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0800" behindDoc="0" locked="0" layoutInCell="1" allowOverlap="1">
                  <wp:simplePos x="0" y="0"/>
                  <wp:positionH relativeFrom="margin">
                    <wp:align>center</wp:align>
                  </wp:positionH>
                  <wp:positionV relativeFrom="bottomMargin">
                    <wp:align>center</wp:align>
                  </wp:positionV>
                  <wp:extent cx="5518150" cy="0"/>
                  <wp:effectExtent l="9525" t="9525" r="6350" b="9525"/>
                  <wp:wrapNone/>
                  <wp:docPr id="2" name="Connector de fletxa rect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2C49DB0A" id="_x0000_t32" coordsize="21600,21600" o:spt="32" o:oned="t" path="m,l21600,21600e" filled="f">
                  <v:path arrowok="t" fillok="f" o:connecttype="none"/>
                  <o:lock v:ext="edit" shapetype="t"/>
                </v:shapetype>
                <v:shape id="Connector de fletxa recta 2" o:spid="_x0000_s1026" type="#_x0000_t32" style="position:absolute;margin-left:0;margin-top:0;width:434.5pt;height:0;z-index:25166080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0CF0" w:rsidRDefault="00AC1E3E">
    <w:pPr>
      <w:pStyle w:val="Peu"/>
    </w:pPr>
    <w:r>
      <w:rPr>
        <w:noProof/>
        <w:lang w:val="en-US" w:eastAsia="en-US"/>
      </w:rPr>
      <w:drawing>
        <wp:anchor distT="0" distB="0" distL="114300" distR="114300" simplePos="0" relativeHeight="251656704" behindDoc="1" locked="0" layoutInCell="1" allowOverlap="1">
          <wp:simplePos x="0" y="0"/>
          <wp:positionH relativeFrom="page">
            <wp:align>right</wp:align>
          </wp:positionH>
          <wp:positionV relativeFrom="paragraph">
            <wp:posOffset>-828040</wp:posOffset>
          </wp:positionV>
          <wp:extent cx="7559675" cy="1445895"/>
          <wp:effectExtent l="0" t="0" r="0" b="0"/>
          <wp:wrapNone/>
          <wp:docPr id="17" name="Picture 17" descr="_sense_adre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7" descr="_sense_adreca"/>
                  <pic:cNvPicPr>
                    <a:picLocks noChangeAspect="1" noChangeArrowheads="1"/>
                  </pic:cNvPicPr>
                </pic:nvPicPr>
                <pic:blipFill>
                  <a:blip r:embed="rId1">
                    <a:lum bright="100000" contrast="-100000"/>
                    <a:alphaModFix amt="0"/>
                  </a:blip>
                  <a:srcRect/>
                  <a:stretch>
                    <a:fillRect/>
                  </a:stretch>
                </pic:blipFill>
                <pic:spPr bwMode="auto">
                  <a:xfrm>
                    <a:off x="0" y="0"/>
                    <a:ext cx="7559675" cy="1445895"/>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28E7" w:rsidRDefault="008B70D0">
      <w:pPr>
        <w:spacing w:after="0"/>
      </w:pPr>
      <w:r>
        <w:separator/>
      </w:r>
    </w:p>
  </w:footnote>
  <w:footnote w:type="continuationSeparator" w:id="0">
    <w:p w:rsidR="000328E7" w:rsidRDefault="008B70D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0CF0" w:rsidRDefault="00AC1E3E">
    <w:pPr>
      <w:pStyle w:val="Capalera"/>
    </w:pPr>
    <w:r>
      <w:rPr>
        <w:noProof/>
        <w:lang w:val="en-US" w:eastAsia="en-US"/>
      </w:rPr>
      <w:drawing>
        <wp:anchor distT="0" distB="0" distL="114300" distR="114300" simplePos="0" relativeHeight="251658752" behindDoc="1" locked="0" layoutInCell="1" allowOverlap="1">
          <wp:simplePos x="0" y="0"/>
          <wp:positionH relativeFrom="column">
            <wp:posOffset>5713730</wp:posOffset>
          </wp:positionH>
          <wp:positionV relativeFrom="paragraph">
            <wp:posOffset>4827905</wp:posOffset>
          </wp:positionV>
          <wp:extent cx="723265" cy="5401310"/>
          <wp:effectExtent l="0" t="0" r="0" b="0"/>
          <wp:wrapNone/>
          <wp:docPr id="20" name="Picture 20" descr="pag2_govern_andor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ag2_govern_andorra"/>
                  <pic:cNvPicPr>
                    <a:picLocks noChangeAspect="1" noChangeArrowheads="1"/>
                  </pic:cNvPicPr>
                </pic:nvPicPr>
                <pic:blipFill>
                  <a:blip r:embed="rId1"/>
                  <a:srcRect/>
                  <a:stretch>
                    <a:fillRect/>
                  </a:stretch>
                </pic:blipFill>
                <pic:spPr bwMode="auto">
                  <a:xfrm>
                    <a:off x="0" y="0"/>
                    <a:ext cx="723265" cy="540131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0CF0" w:rsidRDefault="00AC1E3E">
    <w:pPr>
      <w:pStyle w:val="Capalera"/>
    </w:pPr>
    <w:r>
      <w:rPr>
        <w:noProof/>
        <w:lang w:val="en-US" w:eastAsia="en-US"/>
      </w:rPr>
      <w:drawing>
        <wp:anchor distT="0" distB="0" distL="114300" distR="114300" simplePos="0" relativeHeight="251657728" behindDoc="0" locked="0" layoutInCell="1" allowOverlap="1">
          <wp:simplePos x="0" y="0"/>
          <wp:positionH relativeFrom="column">
            <wp:posOffset>-1075690</wp:posOffset>
          </wp:positionH>
          <wp:positionV relativeFrom="paragraph">
            <wp:posOffset>-284480</wp:posOffset>
          </wp:positionV>
          <wp:extent cx="7548880" cy="2094865"/>
          <wp:effectExtent l="0" t="0" r="0" b="0"/>
          <wp:wrapSquare wrapText="bothSides"/>
          <wp:docPr id="19" name="Picture 19" descr="pag1_govern_andor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ag1_govern_andorra"/>
                  <pic:cNvPicPr>
                    <a:picLocks noChangeAspect="1" noChangeArrowheads="1"/>
                  </pic:cNvPicPr>
                </pic:nvPicPr>
                <pic:blipFill>
                  <a:blip r:embed="rId1"/>
                  <a:srcRect/>
                  <a:stretch>
                    <a:fillRect/>
                  </a:stretch>
                </pic:blipFill>
                <pic:spPr bwMode="auto">
                  <a:xfrm>
                    <a:off x="0" y="0"/>
                    <a:ext cx="7548880" cy="209486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A6DE151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B0007AF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E55ED5EE"/>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D1C9CF4"/>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AC6A08F8"/>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150CB5EC"/>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9D2885A2"/>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6B56225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B3EF09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B5E253F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AF2E072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1704F2C"/>
    <w:multiLevelType w:val="hybridMultilevel"/>
    <w:tmpl w:val="4D88D4A4"/>
    <w:lvl w:ilvl="0" w:tplc="4828BD44">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08A66ADC"/>
    <w:multiLevelType w:val="hybridMultilevel"/>
    <w:tmpl w:val="C810A886"/>
    <w:lvl w:ilvl="0" w:tplc="61BAB4F0">
      <w:start w:val="3"/>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0BD92520"/>
    <w:multiLevelType w:val="hybridMultilevel"/>
    <w:tmpl w:val="299A5C90"/>
    <w:lvl w:ilvl="0" w:tplc="BB482C48">
      <w:start w:val="1"/>
      <w:numFmt w:val="decimal"/>
      <w:suff w:val="space"/>
      <w:lvlText w:val="%1."/>
      <w:lvlJc w:val="left"/>
      <w:pPr>
        <w:ind w:left="0" w:firstLine="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4" w15:restartNumberingAfterBreak="0">
    <w:nsid w:val="25333E0D"/>
    <w:multiLevelType w:val="hybridMultilevel"/>
    <w:tmpl w:val="0F8CAFE6"/>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15:restartNumberingAfterBreak="0">
    <w:nsid w:val="27EC4B18"/>
    <w:multiLevelType w:val="hybridMultilevel"/>
    <w:tmpl w:val="45901112"/>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49F17803"/>
    <w:multiLevelType w:val="hybridMultilevel"/>
    <w:tmpl w:val="7CC297B8"/>
    <w:lvl w:ilvl="0" w:tplc="E9109AEA">
      <w:start w:val="1"/>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67213BFE"/>
    <w:multiLevelType w:val="hybridMultilevel"/>
    <w:tmpl w:val="9C945C8A"/>
    <w:lvl w:ilvl="0" w:tplc="854A074E">
      <w:start w:val="26"/>
      <w:numFmt w:val="bullet"/>
      <w:lvlText w:val="-"/>
      <w:lvlJc w:val="left"/>
      <w:pPr>
        <w:ind w:left="720" w:hanging="360"/>
      </w:pPr>
      <w:rPr>
        <w:rFonts w:ascii="Times New Roman" w:eastAsiaTheme="minorHAnsi" w:hAnsi="Times New Roman" w:cs="Times New Roman" w:hint="default"/>
        <w:color w:val="4F81BD" w:themeColor="accent1"/>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68206C5E"/>
    <w:multiLevelType w:val="hybridMultilevel"/>
    <w:tmpl w:val="0AD25E7E"/>
    <w:lvl w:ilvl="0" w:tplc="420A08EE">
      <w:start w:val="3"/>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72807741"/>
    <w:multiLevelType w:val="hybridMultilevel"/>
    <w:tmpl w:val="1A5A65C6"/>
    <w:lvl w:ilvl="0" w:tplc="49E2F1F0">
      <w:start w:val="2"/>
      <w:numFmt w:val="bullet"/>
      <w:lvlText w:val="-"/>
      <w:lvlJc w:val="left"/>
      <w:pPr>
        <w:ind w:left="0" w:hanging="360"/>
      </w:pPr>
      <w:rPr>
        <w:rFonts w:ascii="Calibri" w:eastAsiaTheme="minorHAnsi" w:hAnsi="Calibri" w:cs="Calibri" w:hint="default"/>
        <w:color w:val="244061" w:themeColor="accent1" w:themeShade="80"/>
      </w:rPr>
    </w:lvl>
    <w:lvl w:ilvl="1" w:tplc="04030003">
      <w:start w:val="1"/>
      <w:numFmt w:val="bullet"/>
      <w:lvlText w:val="o"/>
      <w:lvlJc w:val="left"/>
      <w:pPr>
        <w:ind w:left="720" w:hanging="360"/>
      </w:pPr>
      <w:rPr>
        <w:rFonts w:ascii="Courier New" w:hAnsi="Courier New" w:cs="Courier New" w:hint="default"/>
      </w:rPr>
    </w:lvl>
    <w:lvl w:ilvl="2" w:tplc="04030005" w:tentative="1">
      <w:start w:val="1"/>
      <w:numFmt w:val="bullet"/>
      <w:lvlText w:val=""/>
      <w:lvlJc w:val="left"/>
      <w:pPr>
        <w:ind w:left="1440" w:hanging="360"/>
      </w:pPr>
      <w:rPr>
        <w:rFonts w:ascii="Wingdings" w:hAnsi="Wingdings" w:hint="default"/>
      </w:rPr>
    </w:lvl>
    <w:lvl w:ilvl="3" w:tplc="04030001" w:tentative="1">
      <w:start w:val="1"/>
      <w:numFmt w:val="bullet"/>
      <w:lvlText w:val=""/>
      <w:lvlJc w:val="left"/>
      <w:pPr>
        <w:ind w:left="2160" w:hanging="360"/>
      </w:pPr>
      <w:rPr>
        <w:rFonts w:ascii="Symbol" w:hAnsi="Symbol" w:hint="default"/>
      </w:rPr>
    </w:lvl>
    <w:lvl w:ilvl="4" w:tplc="04030003" w:tentative="1">
      <w:start w:val="1"/>
      <w:numFmt w:val="bullet"/>
      <w:lvlText w:val="o"/>
      <w:lvlJc w:val="left"/>
      <w:pPr>
        <w:ind w:left="2880" w:hanging="360"/>
      </w:pPr>
      <w:rPr>
        <w:rFonts w:ascii="Courier New" w:hAnsi="Courier New" w:cs="Courier New" w:hint="default"/>
      </w:rPr>
    </w:lvl>
    <w:lvl w:ilvl="5" w:tplc="04030005" w:tentative="1">
      <w:start w:val="1"/>
      <w:numFmt w:val="bullet"/>
      <w:lvlText w:val=""/>
      <w:lvlJc w:val="left"/>
      <w:pPr>
        <w:ind w:left="3600" w:hanging="360"/>
      </w:pPr>
      <w:rPr>
        <w:rFonts w:ascii="Wingdings" w:hAnsi="Wingdings" w:hint="default"/>
      </w:rPr>
    </w:lvl>
    <w:lvl w:ilvl="6" w:tplc="04030001" w:tentative="1">
      <w:start w:val="1"/>
      <w:numFmt w:val="bullet"/>
      <w:lvlText w:val=""/>
      <w:lvlJc w:val="left"/>
      <w:pPr>
        <w:ind w:left="4320" w:hanging="360"/>
      </w:pPr>
      <w:rPr>
        <w:rFonts w:ascii="Symbol" w:hAnsi="Symbol" w:hint="default"/>
      </w:rPr>
    </w:lvl>
    <w:lvl w:ilvl="7" w:tplc="04030003" w:tentative="1">
      <w:start w:val="1"/>
      <w:numFmt w:val="bullet"/>
      <w:lvlText w:val="o"/>
      <w:lvlJc w:val="left"/>
      <w:pPr>
        <w:ind w:left="5040" w:hanging="360"/>
      </w:pPr>
      <w:rPr>
        <w:rFonts w:ascii="Courier New" w:hAnsi="Courier New" w:cs="Courier New" w:hint="default"/>
      </w:rPr>
    </w:lvl>
    <w:lvl w:ilvl="8" w:tplc="04030005" w:tentative="1">
      <w:start w:val="1"/>
      <w:numFmt w:val="bullet"/>
      <w:lvlText w:val=""/>
      <w:lvlJc w:val="left"/>
      <w:pPr>
        <w:ind w:left="5760" w:hanging="360"/>
      </w:pPr>
      <w:rPr>
        <w:rFonts w:ascii="Wingdings" w:hAnsi="Wingdings" w:hint="default"/>
      </w:rPr>
    </w:lvl>
  </w:abstractNum>
  <w:abstractNum w:abstractNumId="20" w15:restartNumberingAfterBreak="0">
    <w:nsid w:val="73A421F3"/>
    <w:multiLevelType w:val="hybridMultilevel"/>
    <w:tmpl w:val="60D8BDB8"/>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7B315C16"/>
    <w:multiLevelType w:val="hybridMultilevel"/>
    <w:tmpl w:val="1C4E2154"/>
    <w:lvl w:ilvl="0" w:tplc="B9FEC9B8">
      <w:numFmt w:val="bullet"/>
      <w:lvlText w:val="-"/>
      <w:lvlJc w:val="left"/>
      <w:pPr>
        <w:ind w:left="360" w:hanging="360"/>
      </w:pPr>
      <w:rPr>
        <w:rFonts w:ascii="Calibri" w:eastAsiaTheme="minorHAnsi" w:hAnsi="Calibri" w:cs="Calibri"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6"/>
  </w:num>
  <w:num w:numId="13">
    <w:abstractNumId w:val="20"/>
  </w:num>
  <w:num w:numId="14">
    <w:abstractNumId w:val="19"/>
  </w:num>
  <w:num w:numId="15">
    <w:abstractNumId w:val="15"/>
  </w:num>
  <w:num w:numId="16">
    <w:abstractNumId w:val="18"/>
  </w:num>
  <w:num w:numId="17">
    <w:abstractNumId w:val="12"/>
  </w:num>
  <w:num w:numId="18">
    <w:abstractNumId w:val="11"/>
  </w:num>
  <w:num w:numId="19">
    <w:abstractNumId w:val="21"/>
  </w:num>
  <w:num w:numId="20">
    <w:abstractNumId w:val="17"/>
  </w:num>
  <w:num w:numId="21">
    <w:abstractNumId w:val="13"/>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embedSystemFonts/>
  <w:proofState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E4A"/>
    <w:rsid w:val="000328E7"/>
    <w:rsid w:val="000A6878"/>
    <w:rsid w:val="0015620F"/>
    <w:rsid w:val="002059EB"/>
    <w:rsid w:val="003B0CF0"/>
    <w:rsid w:val="0044289A"/>
    <w:rsid w:val="005A1B50"/>
    <w:rsid w:val="00754E4A"/>
    <w:rsid w:val="008B70D0"/>
    <w:rsid w:val="00984596"/>
    <w:rsid w:val="00AC1E3E"/>
    <w:rsid w:val="00B76DE1"/>
    <w:rsid w:val="00DE4CBD"/>
    <w:rsid w:val="00F35AC9"/>
  </w:rsids>
  <m:mathPr>
    <m:mathFont m:val="Cambria Math"/>
    <m:brkBin m:val="before"/>
    <m:brkBinSub m:val="--"/>
    <m:smallFrac m:val="0"/>
    <m:dispDef m:val="0"/>
    <m:lMargin m:val="0"/>
    <m:rMargin m:val="0"/>
    <m:defJc m:val="centerGroup"/>
    <m:wrapRight/>
    <m:intLim m:val="subSup"/>
    <m:naryLim m:val="subSup"/>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B048F275-BC60-4419-931C-FCF2A0991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Times New Roman"/>
        <w:lang w:val="es-ES_tradn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56F07"/>
    <w:pPr>
      <w:spacing w:after="200"/>
    </w:pPr>
    <w:rPr>
      <w:sz w:val="24"/>
      <w:szCs w:val="24"/>
      <w:lang w:val="ca-ES" w:eastAsia="zh-CN"/>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754E4A"/>
    <w:pPr>
      <w:tabs>
        <w:tab w:val="center" w:pos="4153"/>
        <w:tab w:val="right" w:pos="8306"/>
      </w:tabs>
      <w:spacing w:after="0"/>
    </w:pPr>
  </w:style>
  <w:style w:type="character" w:customStyle="1" w:styleId="CapaleraCar">
    <w:name w:val="Capçalera Car"/>
    <w:basedOn w:val="Lletraperdefectedelpargraf"/>
    <w:link w:val="Capalera"/>
    <w:uiPriority w:val="99"/>
    <w:rsid w:val="00754E4A"/>
    <w:rPr>
      <w:lang w:val="ca-ES" w:eastAsia="zh-CN"/>
    </w:rPr>
  </w:style>
  <w:style w:type="paragraph" w:styleId="Peu">
    <w:name w:val="footer"/>
    <w:basedOn w:val="Normal"/>
    <w:link w:val="PeuCar"/>
    <w:uiPriority w:val="99"/>
    <w:unhideWhenUsed/>
    <w:rsid w:val="00754E4A"/>
    <w:pPr>
      <w:tabs>
        <w:tab w:val="center" w:pos="4153"/>
        <w:tab w:val="right" w:pos="8306"/>
      </w:tabs>
      <w:spacing w:after="0"/>
    </w:pPr>
  </w:style>
  <w:style w:type="character" w:customStyle="1" w:styleId="PeuCar">
    <w:name w:val="Peu Car"/>
    <w:basedOn w:val="Lletraperdefectedelpargraf"/>
    <w:link w:val="Peu"/>
    <w:uiPriority w:val="99"/>
    <w:rsid w:val="00754E4A"/>
    <w:rPr>
      <w:lang w:val="ca-ES" w:eastAsia="zh-CN"/>
    </w:rPr>
  </w:style>
  <w:style w:type="paragraph" w:styleId="Pargrafdellista">
    <w:name w:val="List Paragraph"/>
    <w:basedOn w:val="Normal"/>
    <w:uiPriority w:val="34"/>
    <w:qFormat/>
    <w:rsid w:val="0044289A"/>
    <w:pPr>
      <w:spacing w:after="160" w:line="259" w:lineRule="auto"/>
      <w:ind w:left="720"/>
      <w:contextualSpacing/>
    </w:pPr>
    <w:rPr>
      <w:rFonts w:asciiTheme="minorHAnsi" w:eastAsiaTheme="minorHAnsi" w:hAnsiTheme="minorHAnsi" w:cstheme="minorBidi"/>
      <w:sz w:val="22"/>
      <w:szCs w:val="22"/>
      <w:lang w:val="es-ES" w:eastAsia="en-US"/>
    </w:rPr>
  </w:style>
  <w:style w:type="character" w:styleId="Enlla">
    <w:name w:val="Hyperlink"/>
    <w:basedOn w:val="Lletraperdefectedelpargraf"/>
    <w:uiPriority w:val="99"/>
    <w:unhideWhenUsed/>
    <w:rsid w:val="0044289A"/>
    <w:rPr>
      <w:color w:val="0000FF" w:themeColor="hyperlink"/>
      <w:u w:val="single"/>
    </w:rPr>
  </w:style>
  <w:style w:type="character" w:styleId="Mencisenseresoldre">
    <w:name w:val="Unresolved Mention"/>
    <w:basedOn w:val="Lletraperdefectedelpargraf"/>
    <w:uiPriority w:val="99"/>
    <w:semiHidden/>
    <w:unhideWhenUsed/>
    <w:rsid w:val="0044289A"/>
    <w:rPr>
      <w:color w:val="605E5C"/>
      <w:shd w:val="clear" w:color="auto" w:fill="E1DFDD"/>
    </w:rPr>
  </w:style>
  <w:style w:type="paragraph" w:customStyle="1" w:styleId="body-text">
    <w:name w:val="body-text"/>
    <w:basedOn w:val="Normal"/>
    <w:rsid w:val="0044289A"/>
    <w:pPr>
      <w:spacing w:before="100" w:beforeAutospacing="1" w:after="100" w:afterAutospacing="1"/>
    </w:pPr>
    <w:rPr>
      <w:rFonts w:ascii="Times New Roman" w:eastAsia="Times New Roman" w:hAnsi="Times New Roman"/>
      <w:lang w:eastAsia="ca-ES"/>
    </w:rPr>
  </w:style>
  <w:style w:type="paragraph" w:styleId="Textdeglobus">
    <w:name w:val="Balloon Text"/>
    <w:basedOn w:val="Normal"/>
    <w:link w:val="TextdeglobusCar"/>
    <w:uiPriority w:val="99"/>
    <w:semiHidden/>
    <w:unhideWhenUsed/>
    <w:rsid w:val="0044289A"/>
    <w:pPr>
      <w:spacing w:after="0"/>
    </w:pPr>
    <w:rPr>
      <w:rFonts w:ascii="Segoe UI" w:eastAsiaTheme="minorHAnsi" w:hAnsi="Segoe UI" w:cs="Segoe UI"/>
      <w:sz w:val="18"/>
      <w:szCs w:val="18"/>
      <w:lang w:val="es-ES" w:eastAsia="en-US"/>
    </w:rPr>
  </w:style>
  <w:style w:type="character" w:customStyle="1" w:styleId="TextdeglobusCar">
    <w:name w:val="Text de globus Car"/>
    <w:basedOn w:val="Lletraperdefectedelpargraf"/>
    <w:link w:val="Textdeglobus"/>
    <w:uiPriority w:val="99"/>
    <w:semiHidden/>
    <w:rsid w:val="0044289A"/>
    <w:rPr>
      <w:rFonts w:ascii="Segoe UI" w:eastAsiaTheme="minorHAnsi" w:hAnsi="Segoe UI" w:cs="Segoe UI"/>
      <w:sz w:val="18"/>
      <w:szCs w:val="18"/>
      <w:lang w:val="es-ES"/>
    </w:rPr>
  </w:style>
  <w:style w:type="table" w:styleId="Taulaambquadrcula">
    <w:name w:val="Table Grid"/>
    <w:basedOn w:val="Taulanormal"/>
    <w:uiPriority w:val="39"/>
    <w:rsid w:val="0044289A"/>
    <w:rPr>
      <w:rFonts w:asciiTheme="minorHAnsi" w:eastAsiaTheme="minorHAnsi" w:hAnsiTheme="minorHAnsi" w:cstheme="minorBidi"/>
      <w:sz w:val="22"/>
      <w:szCs w:val="22"/>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ambformatprevi">
    <w:name w:val="HTML Preformatted"/>
    <w:basedOn w:val="Normal"/>
    <w:link w:val="HTMLambformatpreviCar"/>
    <w:uiPriority w:val="99"/>
    <w:semiHidden/>
    <w:unhideWhenUsed/>
    <w:rsid w:val="004428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szCs w:val="20"/>
      <w:lang w:eastAsia="ca-ES"/>
    </w:rPr>
  </w:style>
  <w:style w:type="character" w:customStyle="1" w:styleId="HTMLambformatpreviCar">
    <w:name w:val="HTML amb format previ Car"/>
    <w:basedOn w:val="Lletraperdefectedelpargraf"/>
    <w:link w:val="HTMLambformatprevi"/>
    <w:uiPriority w:val="99"/>
    <w:semiHidden/>
    <w:rsid w:val="0044289A"/>
    <w:rPr>
      <w:rFonts w:ascii="Courier New" w:eastAsia="Times New Roman" w:hAnsi="Courier New" w:cs="Courier New"/>
      <w:lang w:val="ca-ES" w:eastAsia="ca-ES"/>
    </w:rPr>
  </w:style>
  <w:style w:type="character" w:customStyle="1" w:styleId="y2iqfc">
    <w:name w:val="y2iqfc"/>
    <w:basedOn w:val="Lletraperdefectedelpargraf"/>
    <w:rsid w:val="0044289A"/>
  </w:style>
  <w:style w:type="character" w:styleId="Refernciadecomentari">
    <w:name w:val="annotation reference"/>
    <w:basedOn w:val="Lletraperdefectedelpargraf"/>
    <w:uiPriority w:val="99"/>
    <w:semiHidden/>
    <w:unhideWhenUsed/>
    <w:rsid w:val="0044289A"/>
    <w:rPr>
      <w:sz w:val="16"/>
      <w:szCs w:val="16"/>
    </w:rPr>
  </w:style>
  <w:style w:type="paragraph" w:styleId="Textdecomentari">
    <w:name w:val="annotation text"/>
    <w:basedOn w:val="Normal"/>
    <w:link w:val="TextdecomentariCar"/>
    <w:uiPriority w:val="99"/>
    <w:semiHidden/>
    <w:unhideWhenUsed/>
    <w:rsid w:val="0044289A"/>
    <w:pPr>
      <w:spacing w:after="160"/>
    </w:pPr>
    <w:rPr>
      <w:rFonts w:asciiTheme="minorHAnsi" w:eastAsiaTheme="minorHAnsi" w:hAnsiTheme="minorHAnsi" w:cstheme="minorBidi"/>
      <w:sz w:val="20"/>
      <w:szCs w:val="20"/>
      <w:lang w:val="es-ES" w:eastAsia="en-US"/>
    </w:rPr>
  </w:style>
  <w:style w:type="character" w:customStyle="1" w:styleId="TextdecomentariCar">
    <w:name w:val="Text de comentari Car"/>
    <w:basedOn w:val="Lletraperdefectedelpargraf"/>
    <w:link w:val="Textdecomentari"/>
    <w:uiPriority w:val="99"/>
    <w:semiHidden/>
    <w:rsid w:val="0044289A"/>
    <w:rPr>
      <w:rFonts w:asciiTheme="minorHAnsi" w:eastAsiaTheme="minorHAnsi" w:hAnsiTheme="minorHAnsi" w:cstheme="minorBidi"/>
      <w:lang w:val="es-ES"/>
    </w:rPr>
  </w:style>
  <w:style w:type="paragraph" w:styleId="Temadelcomentari">
    <w:name w:val="annotation subject"/>
    <w:basedOn w:val="Textdecomentari"/>
    <w:next w:val="Textdecomentari"/>
    <w:link w:val="TemadelcomentariCar"/>
    <w:uiPriority w:val="99"/>
    <w:semiHidden/>
    <w:unhideWhenUsed/>
    <w:rsid w:val="0044289A"/>
    <w:rPr>
      <w:b/>
      <w:bCs/>
    </w:rPr>
  </w:style>
  <w:style w:type="character" w:customStyle="1" w:styleId="TemadelcomentariCar">
    <w:name w:val="Tema del comentari Car"/>
    <w:basedOn w:val="TextdecomentariCar"/>
    <w:link w:val="Temadelcomentari"/>
    <w:uiPriority w:val="99"/>
    <w:semiHidden/>
    <w:rsid w:val="0044289A"/>
    <w:rPr>
      <w:rFonts w:asciiTheme="minorHAnsi" w:eastAsiaTheme="minorHAnsi" w:hAnsiTheme="minorHAnsi" w:cstheme="minorBidi"/>
      <w:b/>
      <w:bCs/>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2373</Words>
  <Characters>13531</Characters>
  <Application>Microsoft Office Word</Application>
  <DocSecurity>0</DocSecurity>
  <Lines>112</Lines>
  <Paragraphs>31</Paragraphs>
  <ScaleCrop>false</ScaleCrop>
  <HeadingPairs>
    <vt:vector size="4" baseType="variant">
      <vt:variant>
        <vt:lpstr>Títol</vt:lpstr>
      </vt:variant>
      <vt:variant>
        <vt:i4>1</vt:i4>
      </vt:variant>
      <vt:variant>
        <vt:lpstr>Title</vt:lpstr>
      </vt:variant>
      <vt:variant>
        <vt:i4>1</vt:i4>
      </vt:variant>
    </vt:vector>
  </HeadingPairs>
  <TitlesOfParts>
    <vt:vector size="2" baseType="lpstr">
      <vt:lpstr/>
      <vt:lpstr/>
    </vt:vector>
  </TitlesOfParts>
  <Company>Govern</Company>
  <LinksUpToDate>false</LinksUpToDate>
  <CharactersWithSpaces>15873</CharactersWithSpaces>
  <SharedDoc>false</SharedDoc>
  <HLinks>
    <vt:vector size="18" baseType="variant">
      <vt:variant>
        <vt:i4>524406</vt:i4>
      </vt:variant>
      <vt:variant>
        <vt:i4>-1</vt:i4>
      </vt:variant>
      <vt:variant>
        <vt:i4>1041</vt:i4>
      </vt:variant>
      <vt:variant>
        <vt:i4>1</vt:i4>
      </vt:variant>
      <vt:variant>
        <vt:lpwstr>_sense_adreca</vt:lpwstr>
      </vt:variant>
      <vt:variant>
        <vt:lpwstr/>
      </vt:variant>
      <vt:variant>
        <vt:i4>2031674</vt:i4>
      </vt:variant>
      <vt:variant>
        <vt:i4>-1</vt:i4>
      </vt:variant>
      <vt:variant>
        <vt:i4>1043</vt:i4>
      </vt:variant>
      <vt:variant>
        <vt:i4>1</vt:i4>
      </vt:variant>
      <vt:variant>
        <vt:lpwstr>pag1_govern_andorra</vt:lpwstr>
      </vt:variant>
      <vt:variant>
        <vt:lpwstr/>
      </vt:variant>
      <vt:variant>
        <vt:i4>1835066</vt:i4>
      </vt:variant>
      <vt:variant>
        <vt:i4>-1</vt:i4>
      </vt:variant>
      <vt:variant>
        <vt:i4>1044</vt:i4>
      </vt:variant>
      <vt:variant>
        <vt:i4>1</vt:i4>
      </vt:variant>
      <vt:variant>
        <vt:lpwstr>pag2_govern_andorra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Jeroni X. Esotpiñán (MAE-AD)</dc:creator>
  <cp:keywords/>
  <cp:lastModifiedBy>Jeroni X. Estopiñán (MAE-AD)</cp:lastModifiedBy>
  <cp:revision>3</cp:revision>
  <cp:lastPrinted>2012-04-04T11:43:00Z</cp:lastPrinted>
  <dcterms:created xsi:type="dcterms:W3CDTF">2023-05-31T06:49:00Z</dcterms:created>
  <dcterms:modified xsi:type="dcterms:W3CDTF">2023-05-31T06:52:00Z</dcterms:modified>
</cp:coreProperties>
</file>