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73CAB" w:rsidRDefault="00A73CAB">
      <w:pPr>
        <w:spacing w:line="276" w:lineRule="auto"/>
        <w:rPr>
          <w:rFonts w:ascii="Arial" w:eastAsia="Arial" w:hAnsi="Arial" w:cs="Arial"/>
          <w:i/>
          <w:sz w:val="20"/>
          <w:szCs w:val="20"/>
        </w:rPr>
      </w:pPr>
    </w:p>
    <w:p w14:paraId="00000002" w14:textId="77777777" w:rsidR="00A73CAB" w:rsidRDefault="00A73CAB">
      <w:pPr>
        <w:spacing w:line="276" w:lineRule="auto"/>
        <w:jc w:val="center"/>
        <w:rPr>
          <w:rFonts w:ascii="Arial" w:eastAsia="Arial" w:hAnsi="Arial" w:cs="Arial"/>
          <w:b/>
          <w:sz w:val="28"/>
          <w:szCs w:val="28"/>
        </w:rPr>
      </w:pPr>
    </w:p>
    <w:p w14:paraId="00000003" w14:textId="77777777" w:rsidR="00A73CAB" w:rsidRDefault="00000000">
      <w:pPr>
        <w:spacing w:line="276" w:lineRule="auto"/>
        <w:jc w:val="center"/>
        <w:rPr>
          <w:rFonts w:ascii="Arial" w:eastAsia="Arial" w:hAnsi="Arial" w:cs="Arial"/>
          <w:b/>
          <w:sz w:val="28"/>
          <w:szCs w:val="28"/>
        </w:rPr>
      </w:pPr>
      <w:r>
        <w:rPr>
          <w:rFonts w:ascii="Arial" w:eastAsia="Arial" w:hAnsi="Arial" w:cs="Arial"/>
          <w:b/>
          <w:sz w:val="28"/>
          <w:szCs w:val="28"/>
        </w:rPr>
        <w:t>Opening Remarks</w:t>
      </w:r>
    </w:p>
    <w:p w14:paraId="00000004" w14:textId="77777777" w:rsidR="00A73CAB" w:rsidRDefault="00000000">
      <w:pPr>
        <w:spacing w:line="276" w:lineRule="auto"/>
        <w:jc w:val="center"/>
        <w:rPr>
          <w:rFonts w:ascii="Arial" w:eastAsia="Arial" w:hAnsi="Arial" w:cs="Arial"/>
          <w:b/>
          <w:sz w:val="28"/>
          <w:szCs w:val="28"/>
        </w:rPr>
      </w:pPr>
      <w:r>
        <w:rPr>
          <w:rFonts w:ascii="Arial" w:eastAsia="Arial" w:hAnsi="Arial" w:cs="Arial"/>
          <w:b/>
          <w:sz w:val="28"/>
          <w:szCs w:val="28"/>
        </w:rPr>
        <w:t>by the Head of Delegation</w:t>
      </w:r>
    </w:p>
    <w:p w14:paraId="00000005" w14:textId="77777777" w:rsidR="00A73CAB" w:rsidRDefault="00000000">
      <w:pPr>
        <w:spacing w:line="276" w:lineRule="auto"/>
        <w:jc w:val="center"/>
        <w:rPr>
          <w:rFonts w:ascii="Arial" w:eastAsia="Arial" w:hAnsi="Arial" w:cs="Arial"/>
          <w:b/>
          <w:sz w:val="28"/>
          <w:szCs w:val="28"/>
        </w:rPr>
      </w:pPr>
      <w:r>
        <w:rPr>
          <w:rFonts w:ascii="Arial" w:eastAsia="Arial" w:hAnsi="Arial" w:cs="Arial"/>
          <w:b/>
          <w:sz w:val="28"/>
          <w:szCs w:val="28"/>
        </w:rPr>
        <w:t>Deputy Minister for Multilateral Cooperation</w:t>
      </w:r>
    </w:p>
    <w:p w14:paraId="00000006" w14:textId="77777777" w:rsidR="00A73CAB" w:rsidRDefault="00000000">
      <w:pPr>
        <w:spacing w:line="276" w:lineRule="auto"/>
        <w:jc w:val="center"/>
        <w:rPr>
          <w:rFonts w:ascii="Arial" w:eastAsia="Arial" w:hAnsi="Arial" w:cs="Arial"/>
          <w:b/>
          <w:sz w:val="28"/>
          <w:szCs w:val="28"/>
        </w:rPr>
      </w:pPr>
      <w:r>
        <w:rPr>
          <w:rFonts w:ascii="Arial" w:eastAsia="Arial" w:hAnsi="Arial" w:cs="Arial"/>
          <w:b/>
          <w:sz w:val="28"/>
          <w:szCs w:val="28"/>
        </w:rPr>
        <w:t>H.E. Tri Tharyat</w:t>
      </w:r>
    </w:p>
    <w:p w14:paraId="00000007" w14:textId="77777777" w:rsidR="00A73CAB" w:rsidRDefault="00000000">
      <w:pPr>
        <w:spacing w:line="276" w:lineRule="auto"/>
        <w:jc w:val="center"/>
        <w:rPr>
          <w:rFonts w:ascii="Arial" w:eastAsia="Arial" w:hAnsi="Arial" w:cs="Arial"/>
          <w:b/>
          <w:sz w:val="28"/>
          <w:szCs w:val="28"/>
        </w:rPr>
      </w:pPr>
      <w:r>
        <w:rPr>
          <w:rFonts w:ascii="Arial" w:eastAsia="Arial" w:hAnsi="Arial" w:cs="Arial"/>
          <w:b/>
          <w:sz w:val="28"/>
          <w:szCs w:val="28"/>
        </w:rPr>
        <w:t>Constructive Dialogue of Indonesia’s ICCPR</w:t>
      </w:r>
    </w:p>
    <w:p w14:paraId="00000008" w14:textId="77777777" w:rsidR="00A73CAB" w:rsidRDefault="00A73CAB">
      <w:pPr>
        <w:spacing w:line="276" w:lineRule="auto"/>
        <w:jc w:val="both"/>
        <w:rPr>
          <w:rFonts w:ascii="Arial" w:eastAsia="Arial" w:hAnsi="Arial" w:cs="Arial"/>
          <w:sz w:val="28"/>
          <w:szCs w:val="28"/>
        </w:rPr>
      </w:pPr>
    </w:p>
    <w:p w14:paraId="00000009" w14:textId="77777777" w:rsidR="00A73CAB" w:rsidRDefault="00A73CAB">
      <w:pPr>
        <w:spacing w:line="276" w:lineRule="auto"/>
        <w:jc w:val="both"/>
        <w:rPr>
          <w:rFonts w:ascii="Arial" w:eastAsia="Arial" w:hAnsi="Arial" w:cs="Arial"/>
          <w:sz w:val="28"/>
          <w:szCs w:val="28"/>
        </w:rPr>
      </w:pPr>
    </w:p>
    <w:p w14:paraId="0000000A"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Madam Chair,</w:t>
      </w:r>
    </w:p>
    <w:p w14:paraId="0000000B"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Distinguished members of the Committee,</w:t>
      </w:r>
    </w:p>
    <w:p w14:paraId="0000000C" w14:textId="77777777" w:rsidR="00A73CAB" w:rsidRDefault="00A73CAB">
      <w:pPr>
        <w:spacing w:line="276" w:lineRule="auto"/>
        <w:jc w:val="both"/>
        <w:rPr>
          <w:rFonts w:ascii="Arial" w:eastAsia="Arial" w:hAnsi="Arial" w:cs="Arial"/>
          <w:sz w:val="28"/>
          <w:szCs w:val="28"/>
        </w:rPr>
      </w:pPr>
    </w:p>
    <w:p w14:paraId="0000000D" w14:textId="77777777" w:rsidR="00A73CAB" w:rsidRDefault="00000000">
      <w:pPr>
        <w:numPr>
          <w:ilvl w:val="0"/>
          <w:numId w:val="1"/>
        </w:numPr>
        <w:spacing w:line="276" w:lineRule="auto"/>
        <w:ind w:left="360"/>
        <w:jc w:val="both"/>
        <w:rPr>
          <w:rFonts w:ascii="Arial" w:eastAsia="Arial" w:hAnsi="Arial" w:cs="Arial"/>
          <w:sz w:val="28"/>
          <w:szCs w:val="28"/>
        </w:rPr>
      </w:pPr>
      <w:r>
        <w:rPr>
          <w:rFonts w:ascii="Arial" w:eastAsia="Arial" w:hAnsi="Arial" w:cs="Arial"/>
          <w:sz w:val="28"/>
          <w:szCs w:val="28"/>
        </w:rPr>
        <w:t>It is my pleasure to be here today to have a constructive dialogue with you on promoting and protecting human rights, particularly on civil and political rights in Indonesia.</w:t>
      </w:r>
    </w:p>
    <w:p w14:paraId="0000000E" w14:textId="77777777" w:rsidR="00A73CAB" w:rsidRDefault="00A73CAB">
      <w:pPr>
        <w:pBdr>
          <w:top w:val="nil"/>
          <w:left w:val="nil"/>
          <w:bottom w:val="nil"/>
          <w:right w:val="nil"/>
          <w:between w:val="nil"/>
        </w:pBdr>
        <w:spacing w:line="276" w:lineRule="auto"/>
        <w:jc w:val="both"/>
        <w:rPr>
          <w:rFonts w:ascii="Arial" w:eastAsia="Arial" w:hAnsi="Arial" w:cs="Arial"/>
          <w:color w:val="000000"/>
          <w:sz w:val="28"/>
          <w:szCs w:val="28"/>
        </w:rPr>
      </w:pPr>
    </w:p>
    <w:p w14:paraId="0000000F"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Mr. Dhahana Putra, the Director General for Human Rights of the Ministry of Law and Human Rights will be jointly leading our delegation consisting of various government agencies and our permanent mission in Geneva.</w:t>
      </w:r>
    </w:p>
    <w:p w14:paraId="00000010" w14:textId="77777777" w:rsidR="00A73CAB" w:rsidRDefault="00A73CAB">
      <w:pPr>
        <w:spacing w:line="276" w:lineRule="auto"/>
        <w:ind w:firstLine="720"/>
        <w:jc w:val="both"/>
        <w:rPr>
          <w:rFonts w:ascii="Arial" w:eastAsia="Arial" w:hAnsi="Arial" w:cs="Arial"/>
          <w:sz w:val="28"/>
          <w:szCs w:val="28"/>
        </w:rPr>
      </w:pPr>
    </w:p>
    <w:p w14:paraId="00000011"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 xml:space="preserve">I wish to take this opportunity to share with you some </w:t>
      </w:r>
      <w:r>
        <w:rPr>
          <w:rFonts w:ascii="Arial" w:eastAsia="Arial" w:hAnsi="Arial" w:cs="Arial"/>
          <w:b/>
          <w:sz w:val="28"/>
          <w:szCs w:val="28"/>
        </w:rPr>
        <w:t>milestones and significant developments in the field of civil and political rights</w:t>
      </w:r>
      <w:r>
        <w:rPr>
          <w:rFonts w:ascii="Arial" w:eastAsia="Arial" w:hAnsi="Arial" w:cs="Arial"/>
          <w:sz w:val="28"/>
          <w:szCs w:val="28"/>
        </w:rPr>
        <w:t xml:space="preserve">, notably since our submission of the periodic report in 2021. </w:t>
      </w:r>
    </w:p>
    <w:p w14:paraId="00000012"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13"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 xml:space="preserve">However, before discussing the progress we have made in key legislation, let me brief you on </w:t>
      </w:r>
      <w:r>
        <w:rPr>
          <w:rFonts w:ascii="Arial" w:eastAsia="Arial" w:hAnsi="Arial" w:cs="Arial"/>
          <w:b/>
          <w:sz w:val="28"/>
          <w:szCs w:val="28"/>
        </w:rPr>
        <w:t>our recent success as the world's third-largest democracy in conducting free and fair General Election.</w:t>
      </w:r>
    </w:p>
    <w:p w14:paraId="00000014"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15"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 xml:space="preserve">Only a few weeks ago, </w:t>
      </w:r>
      <w:r>
        <w:rPr>
          <w:rFonts w:ascii="Arial" w:eastAsia="Arial" w:hAnsi="Arial" w:cs="Arial"/>
          <w:b/>
          <w:sz w:val="28"/>
          <w:szCs w:val="28"/>
        </w:rPr>
        <w:t xml:space="preserve">204.7 (two hundred four point seven) million Indonesians </w:t>
      </w:r>
      <w:r>
        <w:rPr>
          <w:rFonts w:ascii="Arial" w:eastAsia="Arial" w:hAnsi="Arial" w:cs="Arial"/>
          <w:sz w:val="28"/>
          <w:szCs w:val="28"/>
        </w:rPr>
        <w:t xml:space="preserve">joyfully exercised their rights in our biggest ever general election. The number of these eligible voters shows an </w:t>
      </w:r>
      <w:r>
        <w:rPr>
          <w:rFonts w:ascii="Arial" w:eastAsia="Arial" w:hAnsi="Arial" w:cs="Arial"/>
          <w:b/>
          <w:sz w:val="28"/>
          <w:szCs w:val="28"/>
        </w:rPr>
        <w:t>increase of 46 million compared to voter turnout in 2019</w:t>
      </w:r>
      <w:r>
        <w:rPr>
          <w:rFonts w:ascii="Arial" w:eastAsia="Arial" w:hAnsi="Arial" w:cs="Arial"/>
          <w:b/>
          <w:i/>
          <w:sz w:val="28"/>
          <w:szCs w:val="28"/>
        </w:rPr>
        <w:t xml:space="preserve">. </w:t>
      </w:r>
      <w:r>
        <w:rPr>
          <w:rFonts w:ascii="Arial" w:eastAsia="Arial" w:hAnsi="Arial" w:cs="Arial"/>
          <w:sz w:val="28"/>
          <w:szCs w:val="28"/>
        </w:rPr>
        <w:t xml:space="preserve">Considered as the world’s largest simultaneous presidential and legislative election, Indonesians proudly call the day as </w:t>
      </w:r>
      <w:r>
        <w:rPr>
          <w:rFonts w:ascii="Arial" w:eastAsia="Arial" w:hAnsi="Arial" w:cs="Arial"/>
          <w:b/>
          <w:sz w:val="28"/>
          <w:szCs w:val="28"/>
        </w:rPr>
        <w:t xml:space="preserve">“fiesta of democracy”. </w:t>
      </w:r>
    </w:p>
    <w:p w14:paraId="00000016" w14:textId="77777777" w:rsidR="00A73CAB" w:rsidRDefault="00A73CAB">
      <w:pPr>
        <w:pBdr>
          <w:top w:val="nil"/>
          <w:left w:val="nil"/>
          <w:bottom w:val="nil"/>
          <w:right w:val="nil"/>
          <w:between w:val="nil"/>
        </w:pBdr>
        <w:spacing w:line="276" w:lineRule="auto"/>
        <w:jc w:val="both"/>
        <w:rPr>
          <w:rFonts w:ascii="Arial" w:eastAsia="Arial" w:hAnsi="Arial" w:cs="Arial"/>
          <w:b/>
          <w:sz w:val="28"/>
          <w:szCs w:val="28"/>
        </w:rPr>
      </w:pPr>
    </w:p>
    <w:p w14:paraId="00000017"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18"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lastRenderedPageBreak/>
        <w:t xml:space="preserve">In a vibrant display of democracy, voters, including over </w:t>
      </w:r>
      <w:r>
        <w:rPr>
          <w:rFonts w:ascii="Arial" w:eastAsia="Arial" w:hAnsi="Arial" w:cs="Arial"/>
          <w:b/>
          <w:sz w:val="28"/>
          <w:szCs w:val="28"/>
        </w:rPr>
        <w:t xml:space="preserve">1.1 million </w:t>
      </w:r>
      <w:r>
        <w:rPr>
          <w:rFonts w:ascii="Arial" w:eastAsia="Arial" w:hAnsi="Arial" w:cs="Arial"/>
          <w:sz w:val="28"/>
          <w:szCs w:val="28"/>
        </w:rPr>
        <w:t>persons with disabilities, participated in electing not just  the President and Vice-President, but also</w:t>
      </w:r>
      <w:r>
        <w:rPr>
          <w:rFonts w:ascii="Arial" w:eastAsia="Arial" w:hAnsi="Arial" w:cs="Arial"/>
          <w:b/>
          <w:sz w:val="28"/>
          <w:szCs w:val="28"/>
        </w:rPr>
        <w:t xml:space="preserve"> 20,462 (twenty thousand four hundred sixty two)</w:t>
      </w:r>
      <w:r>
        <w:rPr>
          <w:rFonts w:ascii="Arial" w:eastAsia="Arial" w:hAnsi="Arial" w:cs="Arial"/>
          <w:sz w:val="28"/>
          <w:szCs w:val="28"/>
        </w:rPr>
        <w:t xml:space="preserve"> members of parliament. </w:t>
      </w:r>
      <w:r>
        <w:rPr>
          <w:rFonts w:ascii="Arial" w:eastAsia="Arial" w:hAnsi="Arial" w:cs="Arial"/>
          <w:b/>
          <w:sz w:val="28"/>
          <w:szCs w:val="28"/>
        </w:rPr>
        <w:t xml:space="preserve">18 (eighteen) </w:t>
      </w:r>
      <w:r>
        <w:rPr>
          <w:rFonts w:ascii="Arial" w:eastAsia="Arial" w:hAnsi="Arial" w:cs="Arial"/>
          <w:sz w:val="28"/>
          <w:szCs w:val="28"/>
        </w:rPr>
        <w:t>national political parties and</w:t>
      </w:r>
      <w:r>
        <w:rPr>
          <w:rFonts w:ascii="Arial" w:eastAsia="Arial" w:hAnsi="Arial" w:cs="Arial"/>
          <w:b/>
          <w:sz w:val="28"/>
          <w:szCs w:val="28"/>
        </w:rPr>
        <w:t xml:space="preserve"> six Aceh local parties </w:t>
      </w:r>
      <w:r>
        <w:rPr>
          <w:rFonts w:ascii="Arial" w:eastAsia="Arial" w:hAnsi="Arial" w:cs="Arial"/>
          <w:sz w:val="28"/>
          <w:szCs w:val="28"/>
        </w:rPr>
        <w:t xml:space="preserve">with various values and ideas actively participated. </w:t>
      </w:r>
    </w:p>
    <w:p w14:paraId="00000019" w14:textId="77777777" w:rsidR="00A73CAB" w:rsidRDefault="00A73CAB">
      <w:pPr>
        <w:spacing w:line="276" w:lineRule="auto"/>
        <w:jc w:val="both"/>
        <w:rPr>
          <w:rFonts w:ascii="Arial" w:eastAsia="Arial" w:hAnsi="Arial" w:cs="Arial"/>
          <w:sz w:val="28"/>
          <w:szCs w:val="28"/>
        </w:rPr>
      </w:pPr>
    </w:p>
    <w:p w14:paraId="0000001A"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 xml:space="preserve">It is important to highlight the sharp increase in elected women parliamentarians, from </w:t>
      </w:r>
      <w:r>
        <w:rPr>
          <w:rFonts w:ascii="Arial" w:eastAsia="Arial" w:hAnsi="Arial" w:cs="Arial"/>
          <w:b/>
          <w:sz w:val="28"/>
          <w:szCs w:val="28"/>
        </w:rPr>
        <w:t>8.8% in 1999</w:t>
      </w:r>
      <w:r>
        <w:rPr>
          <w:rFonts w:ascii="Arial" w:eastAsia="Arial" w:hAnsi="Arial" w:cs="Arial"/>
          <w:sz w:val="28"/>
          <w:szCs w:val="28"/>
        </w:rPr>
        <w:t xml:space="preserve"> to </w:t>
      </w:r>
      <w:r>
        <w:rPr>
          <w:rFonts w:ascii="Arial" w:eastAsia="Arial" w:hAnsi="Arial" w:cs="Arial"/>
          <w:b/>
          <w:sz w:val="28"/>
          <w:szCs w:val="28"/>
        </w:rPr>
        <w:t>20.9% in 2019</w:t>
      </w:r>
      <w:r>
        <w:rPr>
          <w:rFonts w:ascii="Arial" w:eastAsia="Arial" w:hAnsi="Arial" w:cs="Arial"/>
          <w:sz w:val="28"/>
          <w:szCs w:val="28"/>
        </w:rPr>
        <w:t xml:space="preserve">. </w:t>
      </w:r>
    </w:p>
    <w:p w14:paraId="0000001B"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1C" w14:textId="77777777" w:rsidR="00A73CAB" w:rsidRDefault="00000000">
      <w:pPr>
        <w:numPr>
          <w:ilvl w:val="0"/>
          <w:numId w:val="1"/>
        </w:numPr>
        <w:pBdr>
          <w:top w:val="nil"/>
          <w:left w:val="nil"/>
          <w:bottom w:val="nil"/>
          <w:right w:val="nil"/>
          <w:between w:val="nil"/>
        </w:pBdr>
        <w:spacing w:line="276" w:lineRule="auto"/>
        <w:ind w:left="360"/>
        <w:jc w:val="both"/>
        <w:rPr>
          <w:rFonts w:ascii="Arial" w:eastAsia="Arial" w:hAnsi="Arial" w:cs="Arial"/>
          <w:sz w:val="28"/>
          <w:szCs w:val="28"/>
        </w:rPr>
      </w:pPr>
      <w:r>
        <w:rPr>
          <w:rFonts w:ascii="Arial" w:eastAsia="Arial" w:hAnsi="Arial" w:cs="Arial"/>
          <w:sz w:val="28"/>
          <w:szCs w:val="28"/>
        </w:rPr>
        <w:t xml:space="preserve">This year, female national parliamentarians account for </w:t>
      </w:r>
      <w:r>
        <w:rPr>
          <w:rFonts w:ascii="Arial" w:eastAsia="Arial" w:hAnsi="Arial" w:cs="Arial"/>
          <w:b/>
          <w:sz w:val="28"/>
          <w:szCs w:val="28"/>
        </w:rPr>
        <w:t xml:space="preserve">37.07% </w:t>
      </w:r>
      <w:r>
        <w:rPr>
          <w:rFonts w:ascii="Arial" w:eastAsia="Arial" w:hAnsi="Arial" w:cs="Arial"/>
          <w:sz w:val="28"/>
          <w:szCs w:val="28"/>
        </w:rPr>
        <w:t xml:space="preserve">or </w:t>
      </w:r>
      <w:r>
        <w:rPr>
          <w:rFonts w:ascii="Arial" w:eastAsia="Arial" w:hAnsi="Arial" w:cs="Arial"/>
          <w:b/>
          <w:sz w:val="28"/>
          <w:szCs w:val="28"/>
        </w:rPr>
        <w:t>3.676</w:t>
      </w:r>
      <w:r>
        <w:rPr>
          <w:rFonts w:ascii="Arial" w:eastAsia="Arial" w:hAnsi="Arial" w:cs="Arial"/>
          <w:sz w:val="28"/>
          <w:szCs w:val="28"/>
        </w:rPr>
        <w:t xml:space="preserve"> (three thousand six hundred seventy six) out of the total of </w:t>
      </w:r>
      <w:r>
        <w:rPr>
          <w:rFonts w:ascii="Arial" w:eastAsia="Arial" w:hAnsi="Arial" w:cs="Arial"/>
          <w:b/>
          <w:sz w:val="28"/>
          <w:szCs w:val="28"/>
        </w:rPr>
        <w:t>9.917</w:t>
      </w:r>
      <w:r>
        <w:rPr>
          <w:rFonts w:ascii="Arial" w:eastAsia="Arial" w:hAnsi="Arial" w:cs="Arial"/>
          <w:sz w:val="28"/>
          <w:szCs w:val="28"/>
        </w:rPr>
        <w:t xml:space="preserve"> (nine thousand nine hundred seventeen) candidates. </w:t>
      </w:r>
    </w:p>
    <w:p w14:paraId="0000001D" w14:textId="77777777" w:rsidR="00A73CAB" w:rsidRDefault="00A73CAB">
      <w:pPr>
        <w:spacing w:line="276" w:lineRule="auto"/>
        <w:ind w:firstLine="810"/>
        <w:jc w:val="both"/>
        <w:rPr>
          <w:rFonts w:ascii="Arial" w:eastAsia="Arial" w:hAnsi="Arial" w:cs="Arial"/>
          <w:sz w:val="28"/>
          <w:szCs w:val="28"/>
        </w:rPr>
      </w:pPr>
    </w:p>
    <w:p w14:paraId="0000001E"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As part of transparency, the General Election Commission accredited </w:t>
      </w:r>
      <w:r>
        <w:rPr>
          <w:rFonts w:ascii="Arial" w:eastAsia="Arial" w:hAnsi="Arial" w:cs="Arial"/>
          <w:b/>
          <w:sz w:val="28"/>
          <w:szCs w:val="28"/>
        </w:rPr>
        <w:t>158</w:t>
      </w:r>
      <w:r>
        <w:rPr>
          <w:rFonts w:ascii="Arial" w:eastAsia="Arial" w:hAnsi="Arial" w:cs="Arial"/>
          <w:sz w:val="28"/>
          <w:szCs w:val="28"/>
        </w:rPr>
        <w:t xml:space="preserve"> local civil society organizations and </w:t>
      </w:r>
      <w:r>
        <w:rPr>
          <w:rFonts w:ascii="Arial" w:eastAsia="Arial" w:hAnsi="Arial" w:cs="Arial"/>
          <w:b/>
          <w:sz w:val="28"/>
          <w:szCs w:val="28"/>
        </w:rPr>
        <w:t>3</w:t>
      </w:r>
      <w:r>
        <w:rPr>
          <w:rFonts w:ascii="Arial" w:eastAsia="Arial" w:hAnsi="Arial" w:cs="Arial"/>
          <w:sz w:val="28"/>
          <w:szCs w:val="28"/>
        </w:rPr>
        <w:t xml:space="preserve"> foreign organizations, as well as observers from </w:t>
      </w:r>
      <w:r>
        <w:rPr>
          <w:rFonts w:ascii="Arial" w:eastAsia="Arial" w:hAnsi="Arial" w:cs="Arial"/>
          <w:b/>
          <w:sz w:val="28"/>
          <w:szCs w:val="28"/>
        </w:rPr>
        <w:t>81</w:t>
      </w:r>
      <w:r>
        <w:rPr>
          <w:rFonts w:ascii="Arial" w:eastAsia="Arial" w:hAnsi="Arial" w:cs="Arial"/>
          <w:sz w:val="28"/>
          <w:szCs w:val="28"/>
        </w:rPr>
        <w:t xml:space="preserve"> countries, </w:t>
      </w:r>
      <w:r>
        <w:rPr>
          <w:rFonts w:ascii="Arial" w:eastAsia="Arial" w:hAnsi="Arial" w:cs="Arial"/>
          <w:b/>
          <w:sz w:val="28"/>
          <w:szCs w:val="28"/>
        </w:rPr>
        <w:t>18</w:t>
      </w:r>
      <w:r>
        <w:rPr>
          <w:rFonts w:ascii="Arial" w:eastAsia="Arial" w:hAnsi="Arial" w:cs="Arial"/>
          <w:sz w:val="28"/>
          <w:szCs w:val="28"/>
        </w:rPr>
        <w:t xml:space="preserve"> international organizations and foreign universities, to monitor the elections.</w:t>
      </w:r>
    </w:p>
    <w:p w14:paraId="0000001F" w14:textId="77777777" w:rsidR="00A73CAB" w:rsidRDefault="00A73CAB">
      <w:pPr>
        <w:pBdr>
          <w:top w:val="nil"/>
          <w:left w:val="nil"/>
          <w:bottom w:val="nil"/>
          <w:right w:val="nil"/>
          <w:between w:val="nil"/>
        </w:pBdr>
        <w:spacing w:line="276" w:lineRule="auto"/>
        <w:jc w:val="both"/>
        <w:rPr>
          <w:rFonts w:ascii="Arial" w:eastAsia="Arial" w:hAnsi="Arial" w:cs="Arial"/>
          <w:sz w:val="28"/>
          <w:szCs w:val="28"/>
        </w:rPr>
      </w:pPr>
    </w:p>
    <w:p w14:paraId="00000020"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Soon after the conclusion of the peaceful voting day, the Indonesian Government received congratulatory messages from various governments worldwide. In November 2024, </w:t>
      </w:r>
      <w:r>
        <w:rPr>
          <w:rFonts w:ascii="Arial" w:eastAsia="Arial" w:hAnsi="Arial" w:cs="Arial"/>
          <w:b/>
          <w:sz w:val="28"/>
          <w:szCs w:val="28"/>
        </w:rPr>
        <w:t>we will continue our democratic process, for the elections of 37 governors, 416 regents and 93 mayors.</w:t>
      </w:r>
    </w:p>
    <w:p w14:paraId="00000021"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28" w14:textId="52AFDB64" w:rsidR="00A73CAB" w:rsidRPr="00A760CA" w:rsidRDefault="00000000" w:rsidP="00A760CA">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In order to ensure a fair election, our Constitution also provides a mechanism to examine any objections to its result through the Constitutional Court.</w:t>
      </w:r>
    </w:p>
    <w:p w14:paraId="00000029" w14:textId="77777777" w:rsidR="00A73CAB" w:rsidRDefault="00A73CAB">
      <w:pPr>
        <w:spacing w:line="276" w:lineRule="auto"/>
        <w:jc w:val="both"/>
        <w:rPr>
          <w:rFonts w:ascii="Arial" w:eastAsia="Arial" w:hAnsi="Arial" w:cs="Arial"/>
          <w:sz w:val="28"/>
          <w:szCs w:val="28"/>
        </w:rPr>
      </w:pPr>
    </w:p>
    <w:p w14:paraId="0000002A" w14:textId="77777777" w:rsidR="00A73CAB" w:rsidRDefault="00A73CAB">
      <w:pPr>
        <w:spacing w:line="276" w:lineRule="auto"/>
        <w:jc w:val="both"/>
        <w:rPr>
          <w:rFonts w:ascii="Arial" w:eastAsia="Arial" w:hAnsi="Arial" w:cs="Arial"/>
          <w:b/>
          <w:sz w:val="28"/>
          <w:szCs w:val="28"/>
        </w:rPr>
      </w:pPr>
    </w:p>
    <w:p w14:paraId="0000002B" w14:textId="77777777" w:rsidR="00A73CAB" w:rsidRDefault="00000000">
      <w:pPr>
        <w:spacing w:line="276" w:lineRule="auto"/>
        <w:jc w:val="both"/>
        <w:rPr>
          <w:rFonts w:ascii="Arial" w:eastAsia="Arial" w:hAnsi="Arial" w:cs="Arial"/>
          <w:sz w:val="28"/>
          <w:szCs w:val="28"/>
        </w:rPr>
      </w:pPr>
      <w:r>
        <w:rPr>
          <w:rFonts w:ascii="Arial" w:eastAsia="Arial" w:hAnsi="Arial" w:cs="Arial"/>
          <w:b/>
          <w:sz w:val="28"/>
          <w:szCs w:val="28"/>
        </w:rPr>
        <w:t>Distinguished members of the Committee,</w:t>
      </w:r>
    </w:p>
    <w:p w14:paraId="0000002C" w14:textId="77777777" w:rsidR="00A73CAB" w:rsidRDefault="00A73CAB">
      <w:pPr>
        <w:spacing w:line="276" w:lineRule="auto"/>
        <w:jc w:val="both"/>
        <w:rPr>
          <w:rFonts w:ascii="Arial" w:eastAsia="Arial" w:hAnsi="Arial" w:cs="Arial"/>
          <w:sz w:val="28"/>
          <w:szCs w:val="28"/>
        </w:rPr>
      </w:pPr>
    </w:p>
    <w:p w14:paraId="0000002D"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Emphasizing our progress in addressing past human rights abuses is fit for this occasion, showcasing the Government's commitment. </w:t>
      </w:r>
    </w:p>
    <w:p w14:paraId="0000002E"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2F"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lastRenderedPageBreak/>
        <w:t>In August 2022, President Joko Widodo mandated a team of independent experts to identify past cases of human rights violations and to make recommendations on non-judicial settlement.</w:t>
      </w:r>
    </w:p>
    <w:p w14:paraId="00000030"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31"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This settlement mechanism will </w:t>
      </w:r>
      <w:r>
        <w:rPr>
          <w:rFonts w:ascii="Arial" w:eastAsia="Arial" w:hAnsi="Arial" w:cs="Arial"/>
          <w:b/>
          <w:sz w:val="28"/>
          <w:szCs w:val="28"/>
        </w:rPr>
        <w:t>not in any way replace, substitute or neglect</w:t>
      </w:r>
      <w:r>
        <w:rPr>
          <w:rFonts w:ascii="Arial" w:eastAsia="Arial" w:hAnsi="Arial" w:cs="Arial"/>
          <w:sz w:val="28"/>
          <w:szCs w:val="28"/>
        </w:rPr>
        <w:t xml:space="preserve"> the judicial process, especially the ones that are already on-going.</w:t>
      </w:r>
    </w:p>
    <w:p w14:paraId="00000032" w14:textId="77777777" w:rsidR="00A73CAB" w:rsidRDefault="00A73CAB">
      <w:pPr>
        <w:spacing w:line="276" w:lineRule="auto"/>
        <w:jc w:val="both"/>
        <w:rPr>
          <w:rFonts w:ascii="Arial" w:eastAsia="Arial" w:hAnsi="Arial" w:cs="Arial"/>
          <w:sz w:val="28"/>
          <w:szCs w:val="28"/>
        </w:rPr>
      </w:pPr>
    </w:p>
    <w:p w14:paraId="00000033"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Instead, it serves as complementary measures with a </w:t>
      </w:r>
      <w:r>
        <w:rPr>
          <w:rFonts w:ascii="Arial" w:eastAsia="Arial" w:hAnsi="Arial" w:cs="Arial"/>
          <w:b/>
          <w:sz w:val="28"/>
          <w:szCs w:val="28"/>
        </w:rPr>
        <w:t>victim-centered approach</w:t>
      </w:r>
      <w:r>
        <w:rPr>
          <w:rFonts w:ascii="Arial" w:eastAsia="Arial" w:hAnsi="Arial" w:cs="Arial"/>
          <w:sz w:val="28"/>
          <w:szCs w:val="28"/>
        </w:rPr>
        <w:t xml:space="preserve">, to </w:t>
      </w:r>
      <w:r>
        <w:rPr>
          <w:rFonts w:ascii="Arial" w:eastAsia="Arial" w:hAnsi="Arial" w:cs="Arial"/>
          <w:b/>
          <w:sz w:val="28"/>
          <w:szCs w:val="28"/>
        </w:rPr>
        <w:t>restore the rights of the victims</w:t>
      </w:r>
      <w:r>
        <w:rPr>
          <w:rFonts w:ascii="Arial" w:eastAsia="Arial" w:hAnsi="Arial" w:cs="Arial"/>
          <w:sz w:val="28"/>
          <w:szCs w:val="28"/>
        </w:rPr>
        <w:t xml:space="preserve"> and to some extent provide closure for the victims’ families.</w:t>
      </w:r>
    </w:p>
    <w:p w14:paraId="00000034" w14:textId="77777777" w:rsidR="00A73CAB" w:rsidRDefault="00A73CAB">
      <w:pPr>
        <w:spacing w:line="276" w:lineRule="auto"/>
        <w:jc w:val="both"/>
        <w:rPr>
          <w:rFonts w:ascii="Arial" w:eastAsia="Arial" w:hAnsi="Arial" w:cs="Arial"/>
          <w:sz w:val="28"/>
          <w:szCs w:val="28"/>
        </w:rPr>
      </w:pPr>
    </w:p>
    <w:p w14:paraId="00000035"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In a significant move in January 2023, the President announced the Government’s </w:t>
      </w:r>
      <w:r>
        <w:rPr>
          <w:rFonts w:ascii="Arial" w:eastAsia="Arial" w:hAnsi="Arial" w:cs="Arial"/>
          <w:b/>
          <w:sz w:val="28"/>
          <w:szCs w:val="28"/>
        </w:rPr>
        <w:t xml:space="preserve">acknowledgement and regret </w:t>
      </w:r>
      <w:r>
        <w:rPr>
          <w:rFonts w:ascii="Arial" w:eastAsia="Arial" w:hAnsi="Arial" w:cs="Arial"/>
          <w:sz w:val="28"/>
          <w:szCs w:val="28"/>
        </w:rPr>
        <w:t xml:space="preserve">over twelve instances of  gross human rights violations. Following this, </w:t>
      </w:r>
      <w:r>
        <w:rPr>
          <w:rFonts w:ascii="Arial" w:eastAsia="Arial" w:hAnsi="Arial" w:cs="Arial"/>
          <w:b/>
          <w:sz w:val="28"/>
          <w:szCs w:val="28"/>
        </w:rPr>
        <w:t>a dedicated team of officials and independent experts was formed to identify appropriate remedies for victims and their families.</w:t>
      </w:r>
    </w:p>
    <w:p w14:paraId="00000036"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37"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This team started </w:t>
      </w:r>
      <w:r>
        <w:rPr>
          <w:rFonts w:ascii="Arial" w:eastAsia="Arial" w:hAnsi="Arial" w:cs="Arial"/>
          <w:b/>
          <w:sz w:val="28"/>
          <w:szCs w:val="28"/>
        </w:rPr>
        <w:t>the process of restoring the victims’ rights</w:t>
      </w:r>
      <w:r>
        <w:rPr>
          <w:rFonts w:ascii="Arial" w:eastAsia="Arial" w:hAnsi="Arial" w:cs="Arial"/>
          <w:sz w:val="28"/>
          <w:szCs w:val="28"/>
        </w:rPr>
        <w:t xml:space="preserve"> by providing, among others, rehabilitation, social assistance, health insurance, scholarship, as well as issuing visa and stay permit, and reinstatement of Indonesian nationality for victims residing abroad.</w:t>
      </w:r>
    </w:p>
    <w:p w14:paraId="00000038" w14:textId="77777777" w:rsidR="00A73CAB" w:rsidRDefault="00A73CAB">
      <w:pPr>
        <w:pBdr>
          <w:top w:val="nil"/>
          <w:left w:val="nil"/>
          <w:bottom w:val="nil"/>
          <w:right w:val="nil"/>
          <w:between w:val="nil"/>
        </w:pBdr>
        <w:spacing w:line="276" w:lineRule="auto"/>
        <w:jc w:val="both"/>
        <w:rPr>
          <w:rFonts w:ascii="Arial" w:eastAsia="Arial" w:hAnsi="Arial" w:cs="Arial"/>
          <w:sz w:val="32"/>
          <w:szCs w:val="32"/>
        </w:rPr>
      </w:pPr>
    </w:p>
    <w:p w14:paraId="00000039"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It is important to note that the initiative also aims to </w:t>
      </w:r>
      <w:r>
        <w:rPr>
          <w:rFonts w:ascii="Arial" w:eastAsia="Arial" w:hAnsi="Arial" w:cs="Arial"/>
          <w:b/>
          <w:sz w:val="28"/>
          <w:szCs w:val="28"/>
        </w:rPr>
        <w:t>ensure non-recurrence</w:t>
      </w:r>
      <w:r>
        <w:rPr>
          <w:rFonts w:ascii="Arial" w:eastAsia="Arial" w:hAnsi="Arial" w:cs="Arial"/>
          <w:sz w:val="28"/>
          <w:szCs w:val="28"/>
        </w:rPr>
        <w:t xml:space="preserve"> of similar violations in the future. </w:t>
      </w:r>
    </w:p>
    <w:p w14:paraId="0000003A" w14:textId="77777777" w:rsidR="00A73CAB" w:rsidRDefault="00A73CAB">
      <w:pPr>
        <w:spacing w:line="276" w:lineRule="auto"/>
        <w:ind w:firstLine="720"/>
        <w:jc w:val="both"/>
        <w:rPr>
          <w:rFonts w:ascii="Arial" w:eastAsia="Arial" w:hAnsi="Arial" w:cs="Arial"/>
          <w:sz w:val="28"/>
          <w:szCs w:val="28"/>
        </w:rPr>
      </w:pPr>
    </w:p>
    <w:p w14:paraId="0000003B" w14:textId="77777777" w:rsidR="00A73CAB" w:rsidRDefault="00A73CAB">
      <w:pPr>
        <w:spacing w:line="276" w:lineRule="auto"/>
        <w:ind w:firstLine="720"/>
        <w:jc w:val="both"/>
        <w:rPr>
          <w:rFonts w:ascii="Arial" w:eastAsia="Arial" w:hAnsi="Arial" w:cs="Arial"/>
          <w:sz w:val="28"/>
          <w:szCs w:val="28"/>
        </w:rPr>
      </w:pPr>
    </w:p>
    <w:p w14:paraId="00000040" w14:textId="3F807F3E" w:rsidR="00A73CAB" w:rsidRDefault="00000000">
      <w:pPr>
        <w:spacing w:line="276" w:lineRule="auto"/>
        <w:rPr>
          <w:rFonts w:ascii="Arial" w:eastAsia="Arial" w:hAnsi="Arial" w:cs="Arial"/>
          <w:b/>
          <w:sz w:val="28"/>
          <w:szCs w:val="28"/>
        </w:rPr>
      </w:pPr>
      <w:r>
        <w:rPr>
          <w:rFonts w:ascii="Arial" w:eastAsia="Arial" w:hAnsi="Arial" w:cs="Arial"/>
          <w:b/>
          <w:sz w:val="28"/>
          <w:szCs w:val="28"/>
        </w:rPr>
        <w:t>Distinguished members of the Committee,</w:t>
      </w:r>
    </w:p>
    <w:p w14:paraId="00000041" w14:textId="77777777" w:rsidR="00A73CAB" w:rsidRDefault="00A73CAB">
      <w:pPr>
        <w:pBdr>
          <w:top w:val="nil"/>
          <w:left w:val="nil"/>
          <w:bottom w:val="nil"/>
          <w:right w:val="nil"/>
          <w:between w:val="nil"/>
        </w:pBdr>
        <w:spacing w:line="276" w:lineRule="auto"/>
        <w:ind w:left="360"/>
        <w:rPr>
          <w:rFonts w:ascii="Arial" w:eastAsia="Arial" w:hAnsi="Arial" w:cs="Arial"/>
          <w:color w:val="000000"/>
          <w:sz w:val="28"/>
          <w:szCs w:val="28"/>
        </w:rPr>
      </w:pPr>
    </w:p>
    <w:p w14:paraId="00000042"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color w:val="0E101A"/>
          <w:sz w:val="28"/>
          <w:szCs w:val="28"/>
        </w:rPr>
        <w:t xml:space="preserve">I wish now to turn to some significant developments in the </w:t>
      </w:r>
      <w:r>
        <w:rPr>
          <w:rFonts w:ascii="Arial" w:eastAsia="Arial" w:hAnsi="Arial" w:cs="Arial"/>
          <w:b/>
          <w:color w:val="0E101A"/>
          <w:sz w:val="28"/>
          <w:szCs w:val="28"/>
        </w:rPr>
        <w:t>national legislation</w:t>
      </w:r>
      <w:r>
        <w:rPr>
          <w:rFonts w:ascii="Arial" w:eastAsia="Arial" w:hAnsi="Arial" w:cs="Arial"/>
          <w:color w:val="0E101A"/>
          <w:sz w:val="28"/>
          <w:szCs w:val="28"/>
        </w:rPr>
        <w:t xml:space="preserve">. </w:t>
      </w:r>
    </w:p>
    <w:p w14:paraId="00000043" w14:textId="77777777" w:rsidR="00A73CAB" w:rsidRDefault="00A73CAB">
      <w:pPr>
        <w:pBdr>
          <w:top w:val="nil"/>
          <w:left w:val="nil"/>
          <w:bottom w:val="nil"/>
          <w:right w:val="nil"/>
          <w:between w:val="nil"/>
        </w:pBdr>
        <w:spacing w:line="276" w:lineRule="auto"/>
        <w:jc w:val="both"/>
        <w:rPr>
          <w:rFonts w:ascii="Arial" w:eastAsia="Arial" w:hAnsi="Arial" w:cs="Arial"/>
          <w:color w:val="000000"/>
          <w:sz w:val="28"/>
          <w:szCs w:val="28"/>
        </w:rPr>
      </w:pPr>
    </w:p>
    <w:p w14:paraId="00000044"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After a long series of  public consultations since 1963, the Government and the Parliament successfully  enacted </w:t>
      </w:r>
      <w:r>
        <w:rPr>
          <w:rFonts w:ascii="Arial" w:eastAsia="Arial" w:hAnsi="Arial" w:cs="Arial"/>
          <w:b/>
          <w:sz w:val="28"/>
          <w:szCs w:val="28"/>
        </w:rPr>
        <w:t>a new Penal Code</w:t>
      </w:r>
      <w:r>
        <w:rPr>
          <w:rFonts w:ascii="Arial" w:eastAsia="Arial" w:hAnsi="Arial" w:cs="Arial"/>
          <w:sz w:val="28"/>
          <w:szCs w:val="28"/>
        </w:rPr>
        <w:t xml:space="preserve"> at the end of 2022.</w:t>
      </w:r>
    </w:p>
    <w:p w14:paraId="00000045"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46"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b/>
          <w:sz w:val="28"/>
          <w:szCs w:val="28"/>
        </w:rPr>
        <w:lastRenderedPageBreak/>
        <w:t>The Bill  was carefully drafted</w:t>
      </w:r>
      <w:r>
        <w:rPr>
          <w:rFonts w:ascii="Arial" w:eastAsia="Arial" w:hAnsi="Arial" w:cs="Arial"/>
          <w:sz w:val="28"/>
          <w:szCs w:val="28"/>
        </w:rPr>
        <w:t xml:space="preserve"> to replace the colonial-era Criminal Code in place </w:t>
      </w:r>
      <w:r>
        <w:rPr>
          <w:rFonts w:ascii="Arial" w:eastAsia="Arial" w:hAnsi="Arial" w:cs="Arial"/>
          <w:color w:val="000000"/>
          <w:sz w:val="28"/>
          <w:szCs w:val="28"/>
        </w:rPr>
        <w:t xml:space="preserve"> since 1918. It </w:t>
      </w:r>
      <w:r>
        <w:rPr>
          <w:rFonts w:ascii="Arial" w:eastAsia="Arial" w:hAnsi="Arial" w:cs="Arial"/>
          <w:sz w:val="28"/>
          <w:szCs w:val="28"/>
        </w:rPr>
        <w:t>adjusts the national penal system with Indonesia’s commitments under international human rights instruments it is party to.</w:t>
      </w:r>
    </w:p>
    <w:p w14:paraId="00000047"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48"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The new</w:t>
      </w:r>
      <w:r>
        <w:rPr>
          <w:rFonts w:ascii="Arial" w:eastAsia="Arial" w:hAnsi="Arial" w:cs="Arial"/>
          <w:color w:val="000000"/>
          <w:sz w:val="28"/>
          <w:szCs w:val="28"/>
        </w:rPr>
        <w:t xml:space="preserve"> Code</w:t>
      </w:r>
      <w:r>
        <w:rPr>
          <w:rFonts w:ascii="Arial" w:eastAsia="Arial" w:hAnsi="Arial" w:cs="Arial"/>
          <w:b/>
          <w:color w:val="000000"/>
          <w:sz w:val="28"/>
          <w:szCs w:val="28"/>
        </w:rPr>
        <w:t xml:space="preserve"> th</w:t>
      </w:r>
      <w:r>
        <w:rPr>
          <w:rFonts w:ascii="Arial" w:eastAsia="Arial" w:hAnsi="Arial" w:cs="Arial"/>
          <w:b/>
          <w:sz w:val="28"/>
          <w:szCs w:val="28"/>
        </w:rPr>
        <w:t xml:space="preserve">oughtfully </w:t>
      </w:r>
      <w:r>
        <w:rPr>
          <w:rFonts w:ascii="Arial" w:eastAsia="Arial" w:hAnsi="Arial" w:cs="Arial"/>
          <w:b/>
          <w:color w:val="000000"/>
          <w:sz w:val="28"/>
          <w:szCs w:val="28"/>
        </w:rPr>
        <w:t xml:space="preserve">strikes </w:t>
      </w:r>
      <w:r>
        <w:rPr>
          <w:rFonts w:ascii="Arial" w:eastAsia="Arial" w:hAnsi="Arial" w:cs="Arial"/>
          <w:b/>
          <w:sz w:val="28"/>
          <w:szCs w:val="28"/>
        </w:rPr>
        <w:t>the</w:t>
      </w:r>
      <w:r>
        <w:rPr>
          <w:rFonts w:ascii="Arial" w:eastAsia="Arial" w:hAnsi="Arial" w:cs="Arial"/>
          <w:b/>
          <w:color w:val="000000"/>
          <w:sz w:val="28"/>
          <w:szCs w:val="28"/>
        </w:rPr>
        <w:t xml:space="preserve"> balance between the individual</w:t>
      </w:r>
      <w:r>
        <w:rPr>
          <w:rFonts w:ascii="Arial" w:eastAsia="Arial" w:hAnsi="Arial" w:cs="Arial"/>
          <w:b/>
          <w:sz w:val="28"/>
          <w:szCs w:val="28"/>
        </w:rPr>
        <w:t xml:space="preserve"> rights</w:t>
      </w:r>
      <w:r>
        <w:rPr>
          <w:rFonts w:ascii="Arial" w:eastAsia="Arial" w:hAnsi="Arial" w:cs="Arial"/>
          <w:b/>
          <w:color w:val="000000"/>
          <w:sz w:val="28"/>
          <w:szCs w:val="28"/>
        </w:rPr>
        <w:t xml:space="preserve"> and the broader public interest</w:t>
      </w:r>
      <w:r>
        <w:rPr>
          <w:rFonts w:ascii="Arial" w:eastAsia="Arial" w:hAnsi="Arial" w:cs="Arial"/>
          <w:color w:val="000000"/>
          <w:sz w:val="28"/>
          <w:szCs w:val="28"/>
        </w:rPr>
        <w:t>, taking into account Indonesia</w:t>
      </w:r>
      <w:r>
        <w:rPr>
          <w:rFonts w:ascii="Arial" w:eastAsia="Arial" w:hAnsi="Arial" w:cs="Arial"/>
          <w:sz w:val="28"/>
          <w:szCs w:val="28"/>
        </w:rPr>
        <w:t>’s rich</w:t>
      </w:r>
      <w:r>
        <w:rPr>
          <w:rFonts w:ascii="Arial" w:eastAsia="Arial" w:hAnsi="Arial" w:cs="Arial"/>
          <w:color w:val="000000"/>
          <w:sz w:val="28"/>
          <w:szCs w:val="28"/>
        </w:rPr>
        <w:t xml:space="preserve"> diversity</w:t>
      </w:r>
      <w:r>
        <w:rPr>
          <w:rFonts w:ascii="Arial" w:eastAsia="Arial" w:hAnsi="Arial" w:cs="Arial"/>
          <w:sz w:val="28"/>
          <w:szCs w:val="28"/>
        </w:rPr>
        <w:t>.</w:t>
      </w:r>
    </w:p>
    <w:p w14:paraId="00000049" w14:textId="77777777" w:rsidR="00A73CAB" w:rsidRDefault="00A73CAB">
      <w:pPr>
        <w:spacing w:line="276" w:lineRule="auto"/>
        <w:ind w:firstLine="720"/>
        <w:jc w:val="both"/>
        <w:rPr>
          <w:rFonts w:ascii="Arial" w:eastAsia="Arial" w:hAnsi="Arial" w:cs="Arial"/>
          <w:sz w:val="28"/>
          <w:szCs w:val="28"/>
        </w:rPr>
      </w:pPr>
    </w:p>
    <w:p w14:paraId="0000004A"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In 2022, Indonesia introduced a transformative </w:t>
      </w:r>
      <w:r>
        <w:rPr>
          <w:rFonts w:ascii="Arial" w:eastAsia="Arial" w:hAnsi="Arial" w:cs="Arial"/>
          <w:b/>
          <w:sz w:val="28"/>
          <w:szCs w:val="28"/>
        </w:rPr>
        <w:t>Correctional System Law</w:t>
      </w:r>
      <w:r>
        <w:rPr>
          <w:rFonts w:ascii="Arial" w:eastAsia="Arial" w:hAnsi="Arial" w:cs="Arial"/>
          <w:sz w:val="28"/>
          <w:szCs w:val="28"/>
        </w:rPr>
        <w:t>. Both this Law and the new Penal Code reflect the progressive development of our legal system. They</w:t>
      </w:r>
      <w:r>
        <w:rPr>
          <w:rFonts w:ascii="Arial" w:eastAsia="Arial" w:hAnsi="Arial" w:cs="Arial"/>
          <w:color w:val="000000"/>
          <w:sz w:val="28"/>
          <w:szCs w:val="28"/>
        </w:rPr>
        <w:t xml:space="preserve"> no longer </w:t>
      </w:r>
      <w:r>
        <w:rPr>
          <w:rFonts w:ascii="Arial" w:eastAsia="Arial" w:hAnsi="Arial" w:cs="Arial"/>
          <w:sz w:val="28"/>
          <w:szCs w:val="28"/>
        </w:rPr>
        <w:t>emphasize the</w:t>
      </w:r>
      <w:r>
        <w:rPr>
          <w:rFonts w:ascii="Arial" w:eastAsia="Arial" w:hAnsi="Arial" w:cs="Arial"/>
          <w:color w:val="000000"/>
          <w:sz w:val="28"/>
          <w:szCs w:val="28"/>
        </w:rPr>
        <w:t xml:space="preserve"> “retribut</w:t>
      </w:r>
      <w:r>
        <w:rPr>
          <w:rFonts w:ascii="Arial" w:eastAsia="Arial" w:hAnsi="Arial" w:cs="Arial"/>
          <w:sz w:val="28"/>
          <w:szCs w:val="28"/>
        </w:rPr>
        <w:t xml:space="preserve">ive” paradigm but rather </w:t>
      </w:r>
      <w:r>
        <w:rPr>
          <w:rFonts w:ascii="Arial" w:eastAsia="Arial" w:hAnsi="Arial" w:cs="Arial"/>
          <w:b/>
          <w:sz w:val="28"/>
          <w:szCs w:val="28"/>
        </w:rPr>
        <w:t>promote the principles of justice, particularly restorative justice</w:t>
      </w:r>
      <w:r>
        <w:rPr>
          <w:rFonts w:ascii="Arial" w:eastAsia="Arial" w:hAnsi="Arial" w:cs="Arial"/>
          <w:sz w:val="28"/>
          <w:szCs w:val="28"/>
        </w:rPr>
        <w:t xml:space="preserve">. </w:t>
      </w:r>
    </w:p>
    <w:p w14:paraId="0000004B"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4C"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The Correctional System Law puts forward three main purposes, which are guaranteeing the protection of the rights of prisoners and juveniles, focusing on the reintegration process of prisoners to the society, and preventing recidivism.</w:t>
      </w:r>
    </w:p>
    <w:p w14:paraId="0000004D"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4E"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This new approach aims to simultaneously address the issue of overcrowding in Indonesia’s correctional facilities.</w:t>
      </w:r>
    </w:p>
    <w:p w14:paraId="0000004F"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50"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54"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Distinguished members of the Committee,</w:t>
      </w:r>
    </w:p>
    <w:p w14:paraId="00000055" w14:textId="77777777" w:rsidR="00A73CAB" w:rsidRDefault="00A73CAB">
      <w:pPr>
        <w:pBdr>
          <w:top w:val="nil"/>
          <w:left w:val="nil"/>
          <w:bottom w:val="nil"/>
          <w:right w:val="nil"/>
          <w:between w:val="nil"/>
        </w:pBdr>
        <w:spacing w:line="276" w:lineRule="auto"/>
        <w:jc w:val="both"/>
        <w:rPr>
          <w:rFonts w:ascii="Arial" w:eastAsia="Arial" w:hAnsi="Arial" w:cs="Arial"/>
          <w:sz w:val="28"/>
          <w:szCs w:val="28"/>
        </w:rPr>
      </w:pPr>
    </w:p>
    <w:p w14:paraId="00000056"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Another breakthrough is the adoption of the </w:t>
      </w:r>
      <w:r>
        <w:rPr>
          <w:rFonts w:ascii="Arial" w:eastAsia="Arial" w:hAnsi="Arial" w:cs="Arial"/>
          <w:b/>
          <w:sz w:val="28"/>
          <w:szCs w:val="28"/>
        </w:rPr>
        <w:t>"Job Creation Law”</w:t>
      </w:r>
      <w:r>
        <w:rPr>
          <w:rFonts w:ascii="Arial" w:eastAsia="Arial" w:hAnsi="Arial" w:cs="Arial"/>
          <w:sz w:val="28"/>
          <w:szCs w:val="28"/>
        </w:rPr>
        <w:t xml:space="preserve">, a comprehensive legislation aiming to </w:t>
      </w:r>
      <w:r>
        <w:rPr>
          <w:rFonts w:ascii="Arial" w:eastAsia="Arial" w:hAnsi="Arial" w:cs="Arial"/>
          <w:b/>
          <w:sz w:val="28"/>
          <w:szCs w:val="28"/>
        </w:rPr>
        <w:t xml:space="preserve">bolster Indonesia's economy, attract foreign investment, and create job opportunities. </w:t>
      </w:r>
    </w:p>
    <w:p w14:paraId="00000057"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58"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b/>
          <w:sz w:val="28"/>
          <w:szCs w:val="28"/>
        </w:rPr>
        <w:t>The Law is monumental in our legal system</w:t>
      </w:r>
      <w:r>
        <w:rPr>
          <w:rFonts w:ascii="Arial" w:eastAsia="Arial" w:hAnsi="Arial" w:cs="Arial"/>
          <w:sz w:val="28"/>
          <w:szCs w:val="28"/>
        </w:rPr>
        <w:t>, tackling a wide range of issues while providing legal clarity through streamlining seventy eight laws, covering various sectors such as labor, investment, land use, and environmental protection.</w:t>
      </w:r>
    </w:p>
    <w:p w14:paraId="00000059" w14:textId="77777777" w:rsidR="00A73CAB" w:rsidRDefault="00A73CAB">
      <w:pPr>
        <w:spacing w:line="276" w:lineRule="auto"/>
        <w:ind w:firstLine="720"/>
        <w:jc w:val="both"/>
        <w:rPr>
          <w:rFonts w:ascii="Arial" w:eastAsia="Arial" w:hAnsi="Arial" w:cs="Arial"/>
          <w:sz w:val="28"/>
          <w:szCs w:val="28"/>
        </w:rPr>
      </w:pPr>
    </w:p>
    <w:p w14:paraId="0000005A"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Despite earlier skepticism, it is essential to recognize the Law’s beneficial impacts. According to the World Bank, Indonesia’s total </w:t>
      </w:r>
      <w:r>
        <w:rPr>
          <w:rFonts w:ascii="Arial" w:eastAsia="Arial" w:hAnsi="Arial" w:cs="Arial"/>
          <w:sz w:val="28"/>
          <w:szCs w:val="28"/>
        </w:rPr>
        <w:lastRenderedPageBreak/>
        <w:t xml:space="preserve">Foreign Direct Investment (FDI) </w:t>
      </w:r>
      <w:r>
        <w:rPr>
          <w:rFonts w:ascii="Arial" w:eastAsia="Arial" w:hAnsi="Arial" w:cs="Arial"/>
          <w:b/>
          <w:sz w:val="28"/>
          <w:szCs w:val="28"/>
        </w:rPr>
        <w:t>grew by 64.7%</w:t>
      </w:r>
      <w:r>
        <w:rPr>
          <w:rFonts w:ascii="Arial" w:eastAsia="Arial" w:hAnsi="Arial" w:cs="Arial"/>
          <w:sz w:val="28"/>
          <w:szCs w:val="28"/>
        </w:rPr>
        <w:t xml:space="preserve">, compared to the pre-policy era.  In the period of January 2021-March 2022, FDI flow into Indonesia </w:t>
      </w:r>
      <w:r>
        <w:rPr>
          <w:rFonts w:ascii="Arial" w:eastAsia="Arial" w:hAnsi="Arial" w:cs="Arial"/>
          <w:b/>
          <w:sz w:val="28"/>
          <w:szCs w:val="28"/>
        </w:rPr>
        <w:t>rose by 29.4%</w:t>
      </w:r>
      <w:r>
        <w:rPr>
          <w:rFonts w:ascii="Arial" w:eastAsia="Arial" w:hAnsi="Arial" w:cs="Arial"/>
          <w:sz w:val="28"/>
          <w:szCs w:val="28"/>
        </w:rPr>
        <w:t>, compared to that of June 2019- September 2020.</w:t>
      </w:r>
    </w:p>
    <w:p w14:paraId="0000005B" w14:textId="77777777" w:rsidR="00A73CAB" w:rsidRDefault="00A73CAB">
      <w:pPr>
        <w:spacing w:line="276" w:lineRule="auto"/>
        <w:ind w:firstLine="720"/>
        <w:jc w:val="both"/>
        <w:rPr>
          <w:rFonts w:ascii="Arial" w:eastAsia="Arial" w:hAnsi="Arial" w:cs="Arial"/>
          <w:sz w:val="28"/>
          <w:szCs w:val="28"/>
        </w:rPr>
      </w:pPr>
    </w:p>
    <w:p w14:paraId="0000005C"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In</w:t>
      </w:r>
      <w:r>
        <w:rPr>
          <w:rFonts w:ascii="Arial" w:eastAsia="Arial" w:hAnsi="Arial" w:cs="Arial"/>
          <w:color w:val="0E101A"/>
          <w:sz w:val="28"/>
          <w:szCs w:val="28"/>
        </w:rPr>
        <w:t xml:space="preserve"> </w:t>
      </w:r>
      <w:r>
        <w:rPr>
          <w:rFonts w:ascii="Arial" w:eastAsia="Arial" w:hAnsi="Arial" w:cs="Arial"/>
          <w:b/>
          <w:color w:val="0E101A"/>
          <w:sz w:val="28"/>
          <w:szCs w:val="28"/>
        </w:rPr>
        <w:t>combating violence against women</w:t>
      </w:r>
      <w:r>
        <w:rPr>
          <w:rFonts w:ascii="Arial" w:eastAsia="Arial" w:hAnsi="Arial" w:cs="Arial"/>
          <w:color w:val="0E101A"/>
          <w:sz w:val="28"/>
          <w:szCs w:val="28"/>
        </w:rPr>
        <w:t xml:space="preserve">, the </w:t>
      </w:r>
      <w:r>
        <w:rPr>
          <w:rFonts w:ascii="Arial" w:eastAsia="Arial" w:hAnsi="Arial" w:cs="Arial"/>
          <w:b/>
          <w:color w:val="0E101A"/>
          <w:sz w:val="28"/>
          <w:szCs w:val="28"/>
        </w:rPr>
        <w:t>Anti-Sexual Violence Law was enacted in 2022</w:t>
      </w:r>
      <w:r>
        <w:rPr>
          <w:rFonts w:ascii="Arial" w:eastAsia="Arial" w:hAnsi="Arial" w:cs="Arial"/>
          <w:color w:val="0E101A"/>
          <w:sz w:val="28"/>
          <w:szCs w:val="28"/>
        </w:rPr>
        <w:t>. It strengthens the legal framework for the protection of women, including by creating a supportive environment for victims of sexual violence to seek justice and hold perpetrators accountable.</w:t>
      </w:r>
    </w:p>
    <w:p w14:paraId="0000005D"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5E"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To protect human rights in digital space, the </w:t>
      </w:r>
      <w:r>
        <w:rPr>
          <w:rFonts w:ascii="Arial" w:eastAsia="Arial" w:hAnsi="Arial" w:cs="Arial"/>
          <w:b/>
          <w:sz w:val="28"/>
          <w:szCs w:val="28"/>
        </w:rPr>
        <w:t>Personal Data Protection Law was passed in 2022.</w:t>
      </w:r>
      <w:r>
        <w:rPr>
          <w:rFonts w:ascii="Arial" w:eastAsia="Arial" w:hAnsi="Arial" w:cs="Arial"/>
          <w:sz w:val="28"/>
          <w:szCs w:val="28"/>
        </w:rPr>
        <w:t xml:space="preserve"> It sets a higher standard in regulating the rights of personal data subjects, and the obligations of the personal data controllers and personal data processors. The Law is also expected  to reform personal data protection practices in Indonesia.</w:t>
      </w:r>
    </w:p>
    <w:p w14:paraId="0000005F"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60"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color w:val="0E101A"/>
          <w:sz w:val="28"/>
          <w:szCs w:val="28"/>
        </w:rPr>
        <w:t xml:space="preserve">In addition, </w:t>
      </w:r>
      <w:r>
        <w:rPr>
          <w:rFonts w:ascii="Arial" w:eastAsia="Arial" w:hAnsi="Arial" w:cs="Arial"/>
          <w:b/>
          <w:color w:val="0E101A"/>
          <w:sz w:val="28"/>
          <w:szCs w:val="28"/>
        </w:rPr>
        <w:t>the</w:t>
      </w:r>
      <w:r>
        <w:rPr>
          <w:rFonts w:ascii="Arial" w:eastAsia="Arial" w:hAnsi="Arial" w:cs="Arial"/>
          <w:b/>
          <w:sz w:val="28"/>
          <w:szCs w:val="28"/>
        </w:rPr>
        <w:t xml:space="preserve"> National Human Rights Action Plan</w:t>
      </w:r>
      <w:r>
        <w:rPr>
          <w:rFonts w:ascii="Arial" w:eastAsia="Arial" w:hAnsi="Arial" w:cs="Arial"/>
          <w:sz w:val="28"/>
          <w:szCs w:val="28"/>
        </w:rPr>
        <w:t xml:space="preserve"> - which has entered its fifth generation (for the period of 2021 - 2025), remains one of the main references and guidelines for the Government’s human rights policies and priorities. </w:t>
      </w:r>
    </w:p>
    <w:p w14:paraId="00000061"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62"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The latest Action Plan focuses on four vulnerable groups namely women, children, people with disabilities, and the local </w:t>
      </w:r>
      <w:r>
        <w:rPr>
          <w:rFonts w:ascii="Arial" w:eastAsia="Arial" w:hAnsi="Arial" w:cs="Arial"/>
          <w:i/>
          <w:sz w:val="28"/>
          <w:szCs w:val="28"/>
        </w:rPr>
        <w:t>Adat</w:t>
      </w:r>
      <w:r>
        <w:rPr>
          <w:rFonts w:ascii="Arial" w:eastAsia="Arial" w:hAnsi="Arial" w:cs="Arial"/>
          <w:sz w:val="28"/>
          <w:szCs w:val="28"/>
        </w:rPr>
        <w:t xml:space="preserve"> communities. The Government regularly assesses, monitors, and evaluates the implementation of this action plan. The relevant reports are publicly accessible online</w:t>
      </w:r>
      <w:r>
        <w:rPr>
          <w:rFonts w:ascii="Arial" w:eastAsia="Arial" w:hAnsi="Arial" w:cs="Arial"/>
          <w:sz w:val="26"/>
          <w:szCs w:val="26"/>
        </w:rPr>
        <w:t>.</w:t>
      </w:r>
    </w:p>
    <w:p w14:paraId="00000063" w14:textId="77777777" w:rsidR="00A73CAB" w:rsidRDefault="00A73CAB">
      <w:pPr>
        <w:pBdr>
          <w:top w:val="nil"/>
          <w:left w:val="nil"/>
          <w:bottom w:val="nil"/>
          <w:right w:val="nil"/>
          <w:between w:val="nil"/>
        </w:pBdr>
        <w:spacing w:line="276" w:lineRule="auto"/>
        <w:jc w:val="both"/>
        <w:rPr>
          <w:rFonts w:ascii="Arial" w:eastAsia="Arial" w:hAnsi="Arial" w:cs="Arial"/>
          <w:sz w:val="28"/>
          <w:szCs w:val="28"/>
        </w:rPr>
      </w:pPr>
    </w:p>
    <w:p w14:paraId="00000064"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Furthermore, in October 2023, the Government launched </w:t>
      </w:r>
      <w:r>
        <w:rPr>
          <w:rFonts w:ascii="Arial" w:eastAsia="Arial" w:hAnsi="Arial" w:cs="Arial"/>
          <w:b/>
          <w:sz w:val="28"/>
          <w:szCs w:val="28"/>
        </w:rPr>
        <w:t>the National Strategy of Business and Human Rights</w:t>
      </w:r>
      <w:r>
        <w:rPr>
          <w:rFonts w:ascii="Arial" w:eastAsia="Arial" w:hAnsi="Arial" w:cs="Arial"/>
          <w:sz w:val="28"/>
          <w:szCs w:val="28"/>
        </w:rPr>
        <w:t xml:space="preserve">. The  Strategy provides regulatory and institutional frameworks for the Government to ensure human rights within business practices and to provide access to remedies. </w:t>
      </w:r>
    </w:p>
    <w:p w14:paraId="00000065" w14:textId="77777777" w:rsidR="00A73CAB" w:rsidRDefault="00A73CAB">
      <w:pPr>
        <w:spacing w:line="276" w:lineRule="auto"/>
        <w:ind w:left="360"/>
        <w:rPr>
          <w:rFonts w:ascii="Arial" w:eastAsia="Arial" w:hAnsi="Arial" w:cs="Arial"/>
          <w:sz w:val="28"/>
          <w:szCs w:val="28"/>
        </w:rPr>
      </w:pPr>
    </w:p>
    <w:p w14:paraId="00000066"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The Government also continues expanding the implementation of  a business and human rights due diligence indicators application </w:t>
      </w:r>
      <w:r>
        <w:rPr>
          <w:rFonts w:ascii="Arial" w:eastAsia="Arial" w:hAnsi="Arial" w:cs="Arial"/>
          <w:sz w:val="28"/>
          <w:szCs w:val="28"/>
        </w:rPr>
        <w:lastRenderedPageBreak/>
        <w:t>(PRISMA). It helps enterprises’ compliance to human rights principles. To date, 228 companies have utilized the application.</w:t>
      </w:r>
    </w:p>
    <w:p w14:paraId="00000067" w14:textId="77777777" w:rsidR="00A73CAB" w:rsidRDefault="00A73CAB">
      <w:pPr>
        <w:spacing w:line="276" w:lineRule="auto"/>
        <w:jc w:val="both"/>
        <w:rPr>
          <w:rFonts w:ascii="Arial" w:eastAsia="Arial" w:hAnsi="Arial" w:cs="Arial"/>
          <w:sz w:val="28"/>
          <w:szCs w:val="28"/>
        </w:rPr>
      </w:pPr>
    </w:p>
    <w:p w14:paraId="00000068"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Distinguished members of the Committee,</w:t>
      </w:r>
    </w:p>
    <w:p w14:paraId="00000069" w14:textId="77777777" w:rsidR="00A73CAB" w:rsidRDefault="00A73CAB">
      <w:pPr>
        <w:pBdr>
          <w:top w:val="nil"/>
          <w:left w:val="nil"/>
          <w:bottom w:val="nil"/>
          <w:right w:val="nil"/>
          <w:between w:val="nil"/>
        </w:pBdr>
        <w:spacing w:line="276" w:lineRule="auto"/>
        <w:jc w:val="both"/>
        <w:rPr>
          <w:rFonts w:ascii="Arial" w:eastAsia="Arial" w:hAnsi="Arial" w:cs="Arial"/>
          <w:sz w:val="28"/>
          <w:szCs w:val="28"/>
        </w:rPr>
      </w:pPr>
    </w:p>
    <w:p w14:paraId="0000006A"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Let me now share with you the recent development in Papua region. It has been a longstanding commitment of Indonesia’s Central Government to the region through the provision of </w:t>
      </w:r>
      <w:r>
        <w:rPr>
          <w:rFonts w:ascii="Arial" w:eastAsia="Arial" w:hAnsi="Arial" w:cs="Arial"/>
          <w:b/>
          <w:sz w:val="28"/>
          <w:szCs w:val="28"/>
        </w:rPr>
        <w:t>affirmative actions</w:t>
      </w:r>
      <w:r>
        <w:rPr>
          <w:rFonts w:ascii="Arial" w:eastAsia="Arial" w:hAnsi="Arial" w:cs="Arial"/>
          <w:sz w:val="28"/>
          <w:szCs w:val="28"/>
        </w:rPr>
        <w:t xml:space="preserve"> </w:t>
      </w:r>
      <w:r>
        <w:rPr>
          <w:rFonts w:ascii="Arial" w:eastAsia="Arial" w:hAnsi="Arial" w:cs="Arial"/>
          <w:b/>
          <w:sz w:val="28"/>
          <w:szCs w:val="28"/>
        </w:rPr>
        <w:t>aimed at improving the lives of the local population.</w:t>
      </w:r>
    </w:p>
    <w:p w14:paraId="0000006B" w14:textId="77777777" w:rsidR="00A73CAB" w:rsidRDefault="00A73CAB">
      <w:pPr>
        <w:pBdr>
          <w:top w:val="nil"/>
          <w:left w:val="nil"/>
          <w:bottom w:val="nil"/>
          <w:right w:val="nil"/>
          <w:between w:val="nil"/>
        </w:pBdr>
        <w:spacing w:line="276" w:lineRule="auto"/>
        <w:ind w:left="1440"/>
        <w:jc w:val="both"/>
        <w:rPr>
          <w:rFonts w:ascii="Arial" w:eastAsia="Arial" w:hAnsi="Arial" w:cs="Arial"/>
          <w:b/>
          <w:sz w:val="28"/>
          <w:szCs w:val="28"/>
        </w:rPr>
      </w:pPr>
    </w:p>
    <w:p w14:paraId="0000006C"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Through the </w:t>
      </w:r>
      <w:r>
        <w:rPr>
          <w:rFonts w:ascii="Arial" w:eastAsia="Arial" w:hAnsi="Arial" w:cs="Arial"/>
          <w:b/>
          <w:sz w:val="28"/>
          <w:szCs w:val="28"/>
        </w:rPr>
        <w:t>Special Autonomy Law</w:t>
      </w:r>
      <w:r>
        <w:rPr>
          <w:rFonts w:ascii="Arial" w:eastAsia="Arial" w:hAnsi="Arial" w:cs="Arial"/>
          <w:sz w:val="28"/>
          <w:szCs w:val="28"/>
        </w:rPr>
        <w:t>, the Government ensures, among other things, a larger representation of Papuans in the Papuan People’s Representatives and People’s Assembly, as well as, extending and increasing the Papuan special autonomy fund.</w:t>
      </w:r>
    </w:p>
    <w:p w14:paraId="0000006D" w14:textId="77777777" w:rsidR="00A73CAB" w:rsidRDefault="00A73CAB">
      <w:pPr>
        <w:spacing w:line="276" w:lineRule="auto"/>
        <w:ind w:left="1440"/>
        <w:jc w:val="both"/>
        <w:rPr>
          <w:rFonts w:ascii="Arial" w:eastAsia="Arial" w:hAnsi="Arial" w:cs="Arial"/>
          <w:sz w:val="28"/>
          <w:szCs w:val="28"/>
        </w:rPr>
      </w:pPr>
    </w:p>
    <w:p w14:paraId="0000006E"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In addition, the Government also expanded the Papuan administrative region from two to six provinces. </w:t>
      </w:r>
      <w:r>
        <w:rPr>
          <w:rFonts w:ascii="Arial" w:eastAsia="Arial" w:hAnsi="Arial" w:cs="Arial"/>
          <w:b/>
          <w:sz w:val="28"/>
          <w:szCs w:val="28"/>
        </w:rPr>
        <w:t>The policy aims to accelerate development and improve public services, as well as bridge developmental disparities</w:t>
      </w:r>
      <w:r>
        <w:rPr>
          <w:rFonts w:ascii="Arial" w:eastAsia="Arial" w:hAnsi="Arial" w:cs="Arial"/>
          <w:b/>
          <w:sz w:val="26"/>
          <w:szCs w:val="26"/>
        </w:rPr>
        <w:t xml:space="preserve">. </w:t>
      </w:r>
    </w:p>
    <w:p w14:paraId="0000006F"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70"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These efforts have been often disrupted by the activities of armed separatist groups. </w:t>
      </w:r>
    </w:p>
    <w:p w14:paraId="00000071"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72"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color w:val="0E101A"/>
          <w:sz w:val="28"/>
          <w:szCs w:val="28"/>
        </w:rPr>
        <w:t xml:space="preserve">The groups have intensified attacks against civilian and critical infrastructure. According to the 2022 research of Gadjah Mada University, </w:t>
      </w:r>
      <w:r>
        <w:rPr>
          <w:rFonts w:ascii="Arial" w:eastAsia="Arial" w:hAnsi="Arial" w:cs="Arial"/>
          <w:b/>
          <w:color w:val="0E101A"/>
          <w:sz w:val="28"/>
          <w:szCs w:val="28"/>
        </w:rPr>
        <w:t>from 2010 to early 2022, the groups were responsible for  226 (two hundred twenty six) violent incidents in Papua.</w:t>
      </w:r>
      <w:r>
        <w:rPr>
          <w:rFonts w:ascii="Arial" w:eastAsia="Arial" w:hAnsi="Arial" w:cs="Arial"/>
          <w:color w:val="0E101A"/>
          <w:sz w:val="28"/>
          <w:szCs w:val="28"/>
        </w:rPr>
        <w:t xml:space="preserve"> </w:t>
      </w:r>
    </w:p>
    <w:p w14:paraId="00000073" w14:textId="77777777" w:rsidR="00A73CAB" w:rsidRDefault="00A73CAB">
      <w:pPr>
        <w:pBdr>
          <w:top w:val="nil"/>
          <w:left w:val="nil"/>
          <w:bottom w:val="nil"/>
          <w:right w:val="nil"/>
          <w:between w:val="nil"/>
        </w:pBdr>
        <w:spacing w:line="276" w:lineRule="auto"/>
        <w:ind w:left="1440"/>
        <w:jc w:val="both"/>
        <w:rPr>
          <w:rFonts w:ascii="Arial" w:eastAsia="Arial" w:hAnsi="Arial" w:cs="Arial"/>
          <w:color w:val="0E101A"/>
          <w:sz w:val="28"/>
          <w:szCs w:val="28"/>
        </w:rPr>
      </w:pPr>
    </w:p>
    <w:p w14:paraId="00000074"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b/>
          <w:color w:val="0E101A"/>
          <w:sz w:val="28"/>
          <w:szCs w:val="28"/>
        </w:rPr>
        <w:t>These violences claimed the lives of 497 people,</w:t>
      </w:r>
      <w:r>
        <w:rPr>
          <w:rFonts w:ascii="Arial" w:eastAsia="Arial" w:hAnsi="Arial" w:cs="Arial"/>
          <w:color w:val="0E101A"/>
          <w:sz w:val="28"/>
          <w:szCs w:val="28"/>
        </w:rPr>
        <w:t xml:space="preserve"> mostly civilians, including teachers, medical personnel, social volunteers and even religious figures. Based on National Commission on Human Rights (Komnas HAM) findings, </w:t>
      </w:r>
      <w:r>
        <w:rPr>
          <w:rFonts w:ascii="Arial" w:eastAsia="Arial" w:hAnsi="Arial" w:cs="Arial"/>
          <w:b/>
          <w:color w:val="0E101A"/>
          <w:sz w:val="28"/>
          <w:szCs w:val="28"/>
        </w:rPr>
        <w:t>81 violent acts occurred in 2023.</w:t>
      </w:r>
      <w:r>
        <w:rPr>
          <w:rFonts w:ascii="Arial" w:eastAsia="Arial" w:hAnsi="Arial" w:cs="Arial"/>
          <w:color w:val="0E101A"/>
          <w:sz w:val="28"/>
          <w:szCs w:val="28"/>
        </w:rPr>
        <w:t xml:space="preserve"> </w:t>
      </w:r>
    </w:p>
    <w:p w14:paraId="00000075" w14:textId="77777777" w:rsidR="00A73CAB" w:rsidRDefault="00A73CAB">
      <w:pPr>
        <w:pBdr>
          <w:top w:val="nil"/>
          <w:left w:val="nil"/>
          <w:bottom w:val="nil"/>
          <w:right w:val="nil"/>
          <w:between w:val="nil"/>
        </w:pBdr>
        <w:spacing w:line="276" w:lineRule="auto"/>
        <w:jc w:val="both"/>
        <w:rPr>
          <w:rFonts w:ascii="Arial" w:eastAsia="Arial" w:hAnsi="Arial" w:cs="Arial"/>
          <w:color w:val="0E101A"/>
          <w:sz w:val="28"/>
          <w:szCs w:val="28"/>
        </w:rPr>
      </w:pPr>
    </w:p>
    <w:p w14:paraId="00000076" w14:textId="77777777" w:rsidR="00A73CAB" w:rsidRDefault="00000000">
      <w:pPr>
        <w:numPr>
          <w:ilvl w:val="0"/>
          <w:numId w:val="1"/>
        </w:numPr>
        <w:spacing w:line="276" w:lineRule="auto"/>
        <w:ind w:left="360" w:hanging="450"/>
        <w:jc w:val="both"/>
        <w:rPr>
          <w:rFonts w:ascii="Arial" w:eastAsia="Arial" w:hAnsi="Arial" w:cs="Arial"/>
          <w:sz w:val="28"/>
          <w:szCs w:val="28"/>
        </w:rPr>
      </w:pPr>
      <w:r>
        <w:rPr>
          <w:rFonts w:ascii="Arial" w:eastAsia="Arial" w:hAnsi="Arial" w:cs="Arial"/>
          <w:color w:val="0E101A"/>
          <w:sz w:val="28"/>
          <w:szCs w:val="28"/>
        </w:rPr>
        <w:t>The Government will never compromise the safety and security of its citizens. Simultaneously, it ensures that all  measures taken are in strict adherence to human rights and humanitarian principles.</w:t>
      </w:r>
    </w:p>
    <w:p w14:paraId="00000077" w14:textId="77777777" w:rsidR="00A73CAB" w:rsidRDefault="00A73CAB">
      <w:pPr>
        <w:spacing w:line="276" w:lineRule="auto"/>
        <w:jc w:val="both"/>
        <w:rPr>
          <w:rFonts w:ascii="Arial" w:eastAsia="Arial" w:hAnsi="Arial" w:cs="Arial"/>
          <w:sz w:val="28"/>
          <w:szCs w:val="28"/>
        </w:rPr>
      </w:pPr>
    </w:p>
    <w:p w14:paraId="00000078"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lastRenderedPageBreak/>
        <w:t xml:space="preserve">To this end, all security personnel and police officers assigned in Papua undergo comprehensive </w:t>
      </w:r>
      <w:r>
        <w:rPr>
          <w:rFonts w:ascii="Arial" w:eastAsia="Arial" w:hAnsi="Arial" w:cs="Arial"/>
          <w:color w:val="0E101A"/>
          <w:sz w:val="28"/>
          <w:szCs w:val="28"/>
        </w:rPr>
        <w:t>pre</w:t>
      </w:r>
      <w:r>
        <w:rPr>
          <w:rFonts w:ascii="Arial" w:eastAsia="Arial" w:hAnsi="Arial" w:cs="Arial"/>
          <w:sz w:val="28"/>
          <w:szCs w:val="28"/>
        </w:rPr>
        <w:t>-deployment training and are provided with handbooks on code of conducts that  align with the principles of human rights and the prevailing laws.</w:t>
      </w:r>
    </w:p>
    <w:p w14:paraId="00000079" w14:textId="77777777" w:rsidR="00A73CAB" w:rsidRDefault="00A73CAB">
      <w:pPr>
        <w:spacing w:line="276" w:lineRule="auto"/>
        <w:jc w:val="both"/>
        <w:rPr>
          <w:rFonts w:ascii="Arial" w:eastAsia="Arial" w:hAnsi="Arial" w:cs="Arial"/>
          <w:sz w:val="28"/>
          <w:szCs w:val="28"/>
        </w:rPr>
      </w:pPr>
    </w:p>
    <w:p w14:paraId="0000007A"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Madam Chair,</w:t>
      </w:r>
    </w:p>
    <w:p w14:paraId="0000007B"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Distinguished members of the Committee,</w:t>
      </w:r>
    </w:p>
    <w:p w14:paraId="0000007C" w14:textId="77777777" w:rsidR="00A73CAB" w:rsidRDefault="00A73CAB">
      <w:pPr>
        <w:spacing w:line="276" w:lineRule="auto"/>
        <w:jc w:val="both"/>
        <w:rPr>
          <w:rFonts w:ascii="Arial" w:eastAsia="Arial" w:hAnsi="Arial" w:cs="Arial"/>
          <w:sz w:val="28"/>
          <w:szCs w:val="28"/>
        </w:rPr>
      </w:pPr>
    </w:p>
    <w:p w14:paraId="0000007D" w14:textId="77777777" w:rsidR="00A73CAB" w:rsidRDefault="00000000">
      <w:pPr>
        <w:numPr>
          <w:ilvl w:val="0"/>
          <w:numId w:val="1"/>
        </w:numPr>
        <w:spacing w:line="276" w:lineRule="auto"/>
        <w:ind w:left="360" w:hanging="450"/>
        <w:jc w:val="both"/>
        <w:rPr>
          <w:rFonts w:ascii="Arial" w:eastAsia="Arial" w:hAnsi="Arial" w:cs="Arial"/>
          <w:sz w:val="28"/>
          <w:szCs w:val="28"/>
        </w:rPr>
      </w:pPr>
      <w:r>
        <w:rPr>
          <w:rFonts w:ascii="Arial" w:eastAsia="Arial" w:hAnsi="Arial" w:cs="Arial"/>
          <w:sz w:val="28"/>
          <w:szCs w:val="28"/>
        </w:rPr>
        <w:t>At the Human Rights Council, Indonesia is a member of several coregroups of pertinent civil and political resolutions, including resolutions on the negative impact of corruption on the enjoyment of human rights, equal participation in political and public affairs, and the rights to freedom of peaceful assembly and of association.</w:t>
      </w:r>
    </w:p>
    <w:p w14:paraId="0000007E"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7F" w14:textId="77777777" w:rsidR="00A73CAB" w:rsidRDefault="00000000">
      <w:pPr>
        <w:numPr>
          <w:ilvl w:val="0"/>
          <w:numId w:val="1"/>
        </w:numPr>
        <w:pBdr>
          <w:top w:val="nil"/>
          <w:left w:val="nil"/>
          <w:bottom w:val="nil"/>
          <w:right w:val="nil"/>
          <w:between w:val="nil"/>
        </w:pBdr>
        <w:spacing w:line="276" w:lineRule="auto"/>
        <w:ind w:left="360" w:hanging="450"/>
        <w:jc w:val="both"/>
        <w:rPr>
          <w:rFonts w:ascii="Arial" w:eastAsia="Arial" w:hAnsi="Arial" w:cs="Arial"/>
          <w:sz w:val="28"/>
          <w:szCs w:val="28"/>
        </w:rPr>
      </w:pPr>
      <w:r>
        <w:rPr>
          <w:rFonts w:ascii="Arial" w:eastAsia="Arial" w:hAnsi="Arial" w:cs="Arial"/>
          <w:sz w:val="28"/>
          <w:szCs w:val="28"/>
        </w:rPr>
        <w:t xml:space="preserve">As I conclude my remarks, allow me to convey the Indonesian delegation’s readiness to have a constructive and meaningful dialogue with the Committee in a genuine manner. </w:t>
      </w:r>
    </w:p>
    <w:p w14:paraId="00000080" w14:textId="77777777" w:rsidR="00A73CAB" w:rsidRDefault="00A73CAB">
      <w:pPr>
        <w:pBdr>
          <w:top w:val="nil"/>
          <w:left w:val="nil"/>
          <w:bottom w:val="nil"/>
          <w:right w:val="nil"/>
          <w:between w:val="nil"/>
        </w:pBdr>
        <w:spacing w:line="276" w:lineRule="auto"/>
        <w:ind w:left="1440"/>
        <w:jc w:val="both"/>
        <w:rPr>
          <w:rFonts w:ascii="Arial" w:eastAsia="Arial" w:hAnsi="Arial" w:cs="Arial"/>
          <w:sz w:val="28"/>
          <w:szCs w:val="28"/>
        </w:rPr>
      </w:pPr>
    </w:p>
    <w:p w14:paraId="00000081" w14:textId="77777777" w:rsidR="00A73CAB" w:rsidRDefault="00000000">
      <w:pPr>
        <w:spacing w:line="276" w:lineRule="auto"/>
        <w:jc w:val="both"/>
        <w:rPr>
          <w:rFonts w:ascii="Arial" w:eastAsia="Arial" w:hAnsi="Arial" w:cs="Arial"/>
          <w:b/>
          <w:sz w:val="28"/>
          <w:szCs w:val="28"/>
        </w:rPr>
      </w:pPr>
      <w:r>
        <w:rPr>
          <w:rFonts w:ascii="Arial" w:eastAsia="Arial" w:hAnsi="Arial" w:cs="Arial"/>
          <w:b/>
          <w:sz w:val="28"/>
          <w:szCs w:val="28"/>
        </w:rPr>
        <w:t>Thank you.</w:t>
      </w:r>
    </w:p>
    <w:p w14:paraId="00000082" w14:textId="77777777" w:rsidR="00A73CAB" w:rsidRDefault="00A73CAB">
      <w:pPr>
        <w:spacing w:line="276" w:lineRule="auto"/>
        <w:jc w:val="both"/>
        <w:rPr>
          <w:rFonts w:ascii="Arial" w:eastAsia="Arial" w:hAnsi="Arial" w:cs="Arial"/>
          <w:b/>
          <w:sz w:val="28"/>
          <w:szCs w:val="28"/>
        </w:rPr>
      </w:pPr>
    </w:p>
    <w:p w14:paraId="00000083" w14:textId="77777777" w:rsidR="00A73CAB" w:rsidRDefault="00000000">
      <w:pPr>
        <w:spacing w:line="276" w:lineRule="auto"/>
        <w:jc w:val="right"/>
        <w:rPr>
          <w:rFonts w:ascii="Arial" w:eastAsia="Arial" w:hAnsi="Arial" w:cs="Arial"/>
          <w:b/>
          <w:sz w:val="28"/>
          <w:szCs w:val="28"/>
        </w:rPr>
      </w:pPr>
      <w:r>
        <w:rPr>
          <w:rFonts w:ascii="Arial" w:eastAsia="Arial" w:hAnsi="Arial" w:cs="Arial"/>
          <w:b/>
          <w:sz w:val="28"/>
          <w:szCs w:val="28"/>
        </w:rPr>
        <w:t>Word Count: 1468</w:t>
      </w:r>
    </w:p>
    <w:sectPr w:rsidR="00A73CAB">
      <w:headerReference w:type="default" r:id="rId8"/>
      <w:footerReference w:type="even" r:id="rId9"/>
      <w:footerReference w:type="default" r:id="rId10"/>
      <w:headerReference w:type="first" r:id="rId11"/>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1DFE5" w14:textId="77777777" w:rsidR="007F3261" w:rsidRDefault="007F3261">
      <w:r>
        <w:separator/>
      </w:r>
    </w:p>
  </w:endnote>
  <w:endnote w:type="continuationSeparator" w:id="0">
    <w:p w14:paraId="0BB60F7A" w14:textId="77777777" w:rsidR="007F3261" w:rsidRDefault="007F3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6" w14:textId="77777777" w:rsidR="00A73CAB"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87" w14:textId="77777777" w:rsidR="00A73CAB" w:rsidRDefault="00A73CAB">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8" w14:textId="6249210D" w:rsidR="00A73CAB"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A760CA">
      <w:rPr>
        <w:noProof/>
        <w:color w:val="000000"/>
      </w:rPr>
      <w:t>1</w:t>
    </w:r>
    <w:r>
      <w:rPr>
        <w:color w:val="000000"/>
      </w:rPr>
      <w:fldChar w:fldCharType="end"/>
    </w:r>
  </w:p>
  <w:p w14:paraId="00000089" w14:textId="77777777" w:rsidR="00A73CAB" w:rsidRDefault="00A73CAB">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4381D" w14:textId="77777777" w:rsidR="007F3261" w:rsidRDefault="007F3261">
      <w:r>
        <w:separator/>
      </w:r>
    </w:p>
  </w:footnote>
  <w:footnote w:type="continuationSeparator" w:id="0">
    <w:p w14:paraId="65507E0C" w14:textId="77777777" w:rsidR="007F3261" w:rsidRDefault="007F3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5" w14:textId="77777777" w:rsidR="00A73CAB" w:rsidRDefault="00000000">
    <w:pPr>
      <w:jc w:val="right"/>
    </w:pPr>
    <w:r>
      <w:rPr>
        <w:rFonts w:ascii="Times New Roman" w:eastAsia="Times New Roman" w:hAnsi="Times New Roman" w:cs="Times New Roman"/>
        <w:i/>
        <w:sz w:val="20"/>
        <w:szCs w:val="20"/>
      </w:rPr>
      <w:t>As of 10/03/2024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4" w14:textId="77777777" w:rsidR="00A73CAB" w:rsidRDefault="00000000">
    <w:pPr>
      <w:jc w:val="right"/>
    </w:pPr>
    <w:r>
      <w:rPr>
        <w:rFonts w:ascii="Times New Roman" w:eastAsia="Times New Roman" w:hAnsi="Times New Roman" w:cs="Times New Roman"/>
        <w:i/>
        <w:sz w:val="20"/>
        <w:szCs w:val="20"/>
      </w:rPr>
      <w:t>As of 06/03/2024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1C6E"/>
    <w:multiLevelType w:val="multilevel"/>
    <w:tmpl w:val="99B661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752043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CAB"/>
    <w:rsid w:val="007F3261"/>
    <w:rsid w:val="00A73CAB"/>
    <w:rsid w:val="00A760CA"/>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5437365E"/>
  <w15:docId w15:val="{CF47AE0E-C315-1344-BA10-7D563D8C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44A0C"/>
    <w:pPr>
      <w:ind w:left="720"/>
      <w:contextualSpacing/>
    </w:pPr>
  </w:style>
  <w:style w:type="paragraph" w:styleId="NormalWeb">
    <w:name w:val="Normal (Web)"/>
    <w:basedOn w:val="Normal"/>
    <w:uiPriority w:val="99"/>
    <w:unhideWhenUsed/>
    <w:rsid w:val="002B17A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58170D"/>
    <w:pPr>
      <w:tabs>
        <w:tab w:val="center" w:pos="4680"/>
        <w:tab w:val="right" w:pos="9360"/>
      </w:tabs>
    </w:pPr>
  </w:style>
  <w:style w:type="character" w:customStyle="1" w:styleId="FooterChar">
    <w:name w:val="Footer Char"/>
    <w:basedOn w:val="DefaultParagraphFont"/>
    <w:link w:val="Footer"/>
    <w:uiPriority w:val="99"/>
    <w:rsid w:val="0058170D"/>
  </w:style>
  <w:style w:type="character" w:styleId="PageNumber">
    <w:name w:val="page number"/>
    <w:basedOn w:val="DefaultParagraphFont"/>
    <w:uiPriority w:val="99"/>
    <w:semiHidden/>
    <w:unhideWhenUsed/>
    <w:rsid w:val="0058170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XXI4rFRi5D/u1Agpb+5ewsBLEg==">CgMxLjA4AHIhMTVYd1dKdm04MDhaWXRqWk55djQ4VVVCMWlWaHlGeHNv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1544</Words>
  <Characters>8803</Characters>
  <Application>Microsoft Office Word</Application>
  <DocSecurity>0</DocSecurity>
  <Lines>73</Lines>
  <Paragraphs>20</Paragraphs>
  <ScaleCrop>false</ScaleCrop>
  <Company>Indonesia Permanent Mission</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lenje08 lenje08</dc:creator>
  <cp:lastModifiedBy>Ainan Nuran</cp:lastModifiedBy>
  <cp:revision>2</cp:revision>
  <cp:lastPrinted>2024-03-11T11:30:00Z</cp:lastPrinted>
  <dcterms:created xsi:type="dcterms:W3CDTF">2024-03-01T15:44:00Z</dcterms:created>
  <dcterms:modified xsi:type="dcterms:W3CDTF">2024-03-11T11:30:00Z</dcterms:modified>
</cp:coreProperties>
</file>