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_rels/item1.xml.rels" ContentType="application/vnd.openxmlformats-package.relationship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keepNext w:val="true"/>
        <w:keepLines/>
        <w:spacing w:before="480" w:after="0"/>
        <w:rPr/>
      </w:pPr>
      <w:r>
        <w:rPr/>
        <w:t>Crown Breaches of Māori Land Rights and Denial of Justice</w:t>
      </w:r>
    </w:p>
    <w:p>
      <w:pPr>
        <w:pStyle w:val="Normal"/>
        <w:rPr/>
      </w:pPr>
      <w:r>
        <w:rPr/>
        <w:t>Submission to the United Nations Committee on the Elimination of Racial Discrimination (CERD)</w:t>
      </w:r>
    </w:p>
    <w:p>
      <w:pPr>
        <w:pStyle w:val="Normal"/>
        <w:rPr/>
      </w:pPr>
      <w:r>
        <w:rPr/>
        <w:t>Authored by Dr Terence Lomax, Principal Claimant for WAI 605 (Te Paparahi o Te Raki Inquiry, WAI 1040)</w:t>
      </w:r>
    </w:p>
    <w:p>
      <w:pPr>
        <w:pStyle w:val="Normal"/>
        <w:rPr/>
      </w:pPr>
      <w:r>
        <w:rPr/>
        <w:t>Date: October 2025</w:t>
      </w:r>
    </w:p>
    <w:p>
      <w:pPr>
        <w:pStyle w:val="Normal"/>
        <w:rPr/>
      </w:pPr>
      <w:r>
        <w:rPr/>
      </w:r>
    </w:p>
    <w:p>
      <w:pPr>
        <w:pStyle w:val="Normal"/>
        <w:rPr/>
      </w:pPr>
      <w:r>
        <w:rPr/>
        <w:t>This document combines the Executive Summary and the Full Analytical Submission presented to the United Nations Committee on the Elimination of Racial Discrimination.</w:t>
      </w:r>
    </w:p>
    <w:p>
      <w:pPr>
        <w:pStyle w:val="Normal"/>
        <w:rPr/>
      </w:pPr>
      <w:r>
        <w:rPr/>
      </w:r>
      <w:r>
        <w:br w:type="page"/>
      </w:r>
    </w:p>
    <w:p>
      <w:pPr>
        <w:pStyle w:val="Normal"/>
        <w:spacing w:before="0" w:after="200"/>
        <w:rPr/>
      </w:pPr>
      <w:r>
        <w:rPr/>
      </w:r>
      <w:r>
        <w:br w:type="page"/>
      </w:r>
    </w:p>
    <w:p>
      <w:pPr>
        <w:pStyle w:val="Heading1"/>
        <w:spacing w:before="0" w:after="0"/>
        <w:rPr/>
      </w:pPr>
      <w:r>
        <w:rPr/>
        <w:t>Executive Summary</w:t>
      </w:r>
    </w:p>
    <w:p>
      <w:pPr>
        <w:pStyle w:val="Normal"/>
        <w:rPr/>
      </w:pPr>
      <w:r>
        <w:rPr/>
        <w:t>Submission to the United Nations Committee on the Elimination of Racial Discrimination (CERD)</w:t>
      </w:r>
    </w:p>
    <w:p>
      <w:pPr>
        <w:pStyle w:val="Normal"/>
        <w:rPr/>
      </w:pPr>
      <w:r>
        <w:rPr/>
        <w:t>Authored by Dr Terence Lomax, Principal Claimant for WAI 605 (Te Paparahi o Te Raki Inquiry, WAI 1040)</w:t>
      </w:r>
    </w:p>
    <w:p>
      <w:pPr>
        <w:pStyle w:val="Normal"/>
        <w:rPr/>
      </w:pPr>
      <w:r>
        <w:rPr/>
        <w:t>This Executive Summary outlines the systemic breaches by the Crown of Māori land rights, its failure to uphold Te Tiriti o Waitangi, and the institutional racism evident in the delay and denial of justice, using WAI 605 and the Te Waimimiti Block as representative examples.</w:t>
      </w:r>
    </w:p>
    <w:p>
      <w:pPr>
        <w:pStyle w:val="Heading2"/>
        <w:rPr/>
      </w:pPr>
      <w:r>
        <w:rPr/>
        <w:t>1. Overview</w:t>
      </w:r>
    </w:p>
    <w:p>
      <w:pPr>
        <w:pStyle w:val="Normal"/>
        <w:rPr/>
      </w:pPr>
      <w:r>
        <w:rPr/>
        <w:t>Te Tiriti o Waitangi (1840) guaranteed Māori full retention and protection of their lands, forests, fisheries, and taonga, while extending to Māori the same rights and privileges as British subjects. Despite these assurances, the Crown has continually failed to honour or legally ratify Te Tiriti as a constitutional safeguard. The result is a long-standing pattern of dispossession, procedural neglect, and inequity that constitutes systemic racial discrimination under CERD Articles 2 and 5.</w:t>
      </w:r>
    </w:p>
    <w:p>
      <w:pPr>
        <w:pStyle w:val="Heading2"/>
        <w:rPr/>
      </w:pPr>
      <w:r>
        <w:rPr/>
        <w:t>2. Key Breaches</w:t>
      </w:r>
    </w:p>
    <w:p>
      <w:pPr>
        <w:pStyle w:val="Normal"/>
        <w:rPr/>
      </w:pPr>
      <w:r>
        <w:rPr/>
        <w:t>The Crown’s breaches are multifaceted and ongoing:</w:t>
        <w:br/>
        <w:t>• Failure to uphold Article 2 of Te Tiriti, resulting in the alienation of Māori land through coercive and unlawful mechanisms.</w:t>
        <w:br/>
        <w:t>• Violation of Article 3, by denying Māori equal protection and access to justice, as required under both Te Tiriti and the Magna Carta.</w:t>
        <w:br/>
        <w:t>• Continued reliance on colonial property doctrines, such as the indefeasibility of European title, to prevent restitution even where the Crown recognises historic wrongs.</w:t>
        <w:br/>
        <w:t>• Aggregation of independent iwi and hapū into artificial 'large natural groupings' (e.g. 'Ngāpuhi iwi'), erasing the distinct identity and autonomy of the original iwi who signed Te Tiriti.</w:t>
        <w:br/>
        <w:t>• Systematic delays and under-resourcing of the Waitangi Tribunal, leading to protracted and unjust postponement of redress.</w:t>
      </w:r>
    </w:p>
    <w:p>
      <w:pPr>
        <w:pStyle w:val="Heading2"/>
        <w:rPr/>
      </w:pPr>
      <w:r>
        <w:rPr/>
        <w:t>3. The WAI 605 Claim</w:t>
      </w:r>
    </w:p>
    <w:p>
      <w:pPr>
        <w:pStyle w:val="Normal"/>
        <w:rPr/>
      </w:pPr>
      <w:r>
        <w:rPr/>
        <w:t>WAI 605, filed in 1996 and heard in 2014–2015, remains unresolved as of 2025. This 29-year delay constitutes a direct breach of Māori claimants’ right to justice. The failure to issue a report violates Article 3 of Te Tiriti and the principle of natural justice. Elders have died awaiting recognition, evidence has been lost, and communities remain deprived of the legal certainty and redress promised under both domestic and international law.</w:t>
      </w:r>
    </w:p>
    <w:p>
      <w:pPr>
        <w:pStyle w:val="Heading2"/>
        <w:rPr/>
      </w:pPr>
      <w:r>
        <w:rPr/>
        <w:t>4. The Te Waimimiti Block Case</w:t>
      </w:r>
    </w:p>
    <w:p>
      <w:pPr>
        <w:pStyle w:val="Normal"/>
        <w:rPr/>
      </w:pPr>
      <w:r>
        <w:rPr/>
        <w:t>The sale of the Te Waimimiti Block illustrates the Crown’s knowing participation in unlawful alienation. The Crown approved a sale despite evidence that Māori owners did not wish to sell, ignored a judicial protection order over the land of a chief with a head injury, and allowed separate blocks to be amalgamated without owner consent. Despite these breaches, the Crown continues to rely on the indefeasibility of title doctrine to deny restitution, even where ancestral burial sites are located on the land.</w:t>
      </w:r>
    </w:p>
    <w:p>
      <w:pPr>
        <w:pStyle w:val="Heading2"/>
        <w:rPr/>
      </w:pPr>
      <w:r>
        <w:rPr/>
        <w:t>5. Institutional Racism and Denial of Justice</w:t>
      </w:r>
    </w:p>
    <w:p>
      <w:pPr>
        <w:pStyle w:val="Normal"/>
        <w:rPr/>
      </w:pPr>
      <w:r>
        <w:rPr/>
        <w:t>The Crown’s prolonged control of process, refusal to empower independent Māori justice mechanisms, and prioritisation of settler property rights demonstrate entrenched institutional racism. Delays in the Waitangi Tribunal process perpetuate economic and cultural harm. Justice delayed is not simply procedural—it is a continuing act of discrimination.</w:t>
      </w:r>
    </w:p>
    <w:p>
      <w:pPr>
        <w:pStyle w:val="Heading2"/>
        <w:rPr/>
      </w:pPr>
      <w:r>
        <w:rPr/>
        <w:t>6. International Legal Implications</w:t>
      </w:r>
    </w:p>
    <w:p>
      <w:pPr>
        <w:pStyle w:val="Normal"/>
        <w:rPr/>
      </w:pPr>
      <w:r>
        <w:rPr/>
        <w:t>The Crown’s conduct breaches CERD Articles 2 and 5, which require States to eliminate racial discrimination in law and ensure equal protection and remedy. It also contravenes Articles 26–28 of the United Nations Declaration on the Rights of Indigenous Peoples (UNDRIP), and violates the common-law principles of fairness and guardianship embedded in the Magna Carta.</w:t>
      </w:r>
    </w:p>
    <w:p>
      <w:pPr>
        <w:pStyle w:val="Heading2"/>
        <w:rPr/>
      </w:pPr>
      <w:r>
        <w:rPr/>
        <w:t>7. Recommendations</w:t>
      </w:r>
    </w:p>
    <w:p>
      <w:pPr>
        <w:pStyle w:val="Normal"/>
        <w:rPr/>
      </w:pPr>
      <w:r>
        <w:rPr/>
        <w:t>The Committee is urged to:</w:t>
        <w:br/>
        <w:t>1. Declare that New Zealand remains in breach of its obligations under CERD.</w:t>
        <w:br/>
        <w:t>2. Require the Crown to immediately publish the Stage 2 Part 2 Report for Te Paparahi o Te Raki (including WAI 605).</w:t>
        <w:br/>
        <w:t xml:space="preserve">3. Mandate statutory timeframes for Waitangi Tribunal reports and settlement implementation, </w:t>
      </w:r>
      <w:r>
        <w:rPr/>
        <w:t>and adequately resource</w:t>
      </w:r>
      <w:r>
        <w:rPr/>
        <w:t xml:space="preserve"> the Waitangi Tribunal so that </w:t>
      </w:r>
      <w:r>
        <w:rPr/>
        <w:t>those timeframes are feasible.</w:t>
      </w:r>
      <w:r>
        <w:rPr/>
        <w:br/>
        <w:t>4. Compel the Crown to revisit claims involving unlawful land sales (including Te Waimimiti Block) and create restitution mechanisms notwithstanding European title.</w:t>
        <w:br/>
        <w:t>5. Recommend constitutional entrenchment of Te Tiriti as the supreme law of Aotearoa.</w:t>
        <w:br/>
        <w:t>6. Establish independent Māori-led oversight to monitor compliance with CERD and Te Tiriti obligations.</w:t>
      </w:r>
    </w:p>
    <w:p>
      <w:pPr>
        <w:pStyle w:val="Heading2"/>
        <w:rPr/>
      </w:pPr>
      <w:r>
        <w:rPr/>
        <w:t>8. Conclusion</w:t>
      </w:r>
    </w:p>
    <w:p>
      <w:pPr>
        <w:pStyle w:val="Normal"/>
        <w:rPr/>
      </w:pPr>
      <w:r>
        <w:rPr/>
        <w:t>The Crown’s ongoing breaches of Te Tiriti and its failure to deliver justice through the Waitangi process represent systemic racial discrimination. Until Māori enjoy full restoration of their lands, rights, and authority as promised under Te Tiriti, New Zealand remains in violation of its domestic and international human rights obligations.</w:t>
      </w:r>
    </w:p>
    <w:p>
      <w:pPr>
        <w:pStyle w:val="Heading1"/>
        <w:rPr/>
      </w:pPr>
      <w:r>
        <w:rPr/>
        <w:t>Crown Breaches of Māori Land Rights and Denial of Justice</w:t>
      </w:r>
    </w:p>
    <w:p>
      <w:pPr>
        <w:pStyle w:val="Normal"/>
        <w:rPr/>
      </w:pPr>
      <w:r>
        <w:rPr/>
        <w:t>Submission to the United Nations Committee on the Elimination of Racial Discrimination (CERD)</w:t>
      </w:r>
    </w:p>
    <w:p>
      <w:pPr>
        <w:pStyle w:val="Normal"/>
        <w:rPr/>
      </w:pPr>
      <w:r>
        <w:rPr/>
        <w:t>Submitted by Dr Terence Lomax, Principal Claimant for WAI 605 (Te Paparahi o Te Raki Inquiry, WAI 1040)</w:t>
      </w:r>
    </w:p>
    <w:p>
      <w:pPr>
        <w:pStyle w:val="Heading2"/>
        <w:rPr/>
      </w:pPr>
      <w:r>
        <w:rPr/>
        <w:t>1. Introduction: Context of Crown Breach</w:t>
      </w:r>
    </w:p>
    <w:p>
      <w:pPr>
        <w:pStyle w:val="Normal"/>
        <w:rPr/>
      </w:pPr>
      <w:r>
        <w:rPr/>
        <w:t>The Treaty of Waitangi (Te Tiriti o Waitangi) of 1840 was intended to secure to Māori their lands, forests, fisheries, and taonga while establishing a relationship of mutual respect and partnership with the Crown. However, the Crown has never ratified Te Tiriti as a constitutional document, nor has it ensured its full implementation in domestic law. The failure to give Te Tiriti legal supremacy has enabled ongoing breaches of Māori land rights and the denial of justice through Crown institutions.</w:t>
      </w:r>
    </w:p>
    <w:p>
      <w:pPr>
        <w:pStyle w:val="Heading2"/>
        <w:rPr/>
      </w:pPr>
      <w:r>
        <w:rPr/>
        <w:t>2. Te Tiriti and Māori Land Rights</w:t>
      </w:r>
    </w:p>
    <w:p>
      <w:pPr>
        <w:pStyle w:val="Normal"/>
        <w:rPr/>
      </w:pPr>
      <w:r>
        <w:rPr/>
        <w:t>Article 2 guarantees Māori 'te tino rangatiratanga'—the absolute chieftainship—over their lands, villages, fisheries, and all treasured possessions. Article 3 promises Māori the same rights and privileges as British subjects, which under the Magna Carta includes the protection of property, inheritance, and guardianship of orphans. The Crown has failed to uphold these guarantees, instead subordinating Māori collective land tenure to colonial land laws that prioritized settler acquisition.</w:t>
      </w:r>
    </w:p>
    <w:p>
      <w:pPr>
        <w:pStyle w:val="Heading2"/>
        <w:rPr/>
      </w:pPr>
      <w:r>
        <w:rPr/>
        <w:t>3. Mechanisms of Breach and Dispossession</w:t>
      </w:r>
    </w:p>
    <w:p>
      <w:pPr>
        <w:pStyle w:val="Normal"/>
        <w:rPr/>
      </w:pPr>
      <w:r>
        <w:rPr/>
        <w:t>The Crown used coercive purchases, confiscations under the New Zealand Settlements Act 1863, and the Native Land Court to dismantle communal Māori ownership. By converting customary title into individualised 'European' title, the Crown exposed Māori lands to alienation through debt, legal fees, and Crown acquisition. Once registered under European title, Māori could no longer reclaim their lands, as the Crown declared such titles 'indefeasible’. This legal doctrine protected settler property while perpetuating Māori dispossession—a form of systemic racism embedded in statute.</w:t>
      </w:r>
    </w:p>
    <w:p>
      <w:pPr>
        <w:pStyle w:val="Heading2"/>
        <w:rPr/>
      </w:pPr>
      <w:r>
        <w:rPr/>
        <w:t>4. The Te Waimimiti Block: Crown Knowledge and Complicity</w:t>
      </w:r>
    </w:p>
    <w:p>
      <w:pPr>
        <w:pStyle w:val="Normal"/>
        <w:rPr/>
      </w:pPr>
      <w:r>
        <w:rPr/>
        <w:t>The sale of Te Waimimiti Block occurred despite the Crown’s knowledge that the Māori owners did not wish to sell. The Crown was also aware that a judicial protection order safeguarded the land of a chief rendered incapacitated by head injury, yet allowed that land to be included in the sale. Distinct blocks were illegally amalgamated to create a single transaction, without the consent of all affected owners. The Crown’s subsequent reliance on the doctrine of indefeasibility of title to prevent restitution, even where ancestral graves are located on the land, constitutes an egregious violation of Article 2 of Te Tiriti and of basic human decency.</w:t>
      </w:r>
    </w:p>
    <w:p>
      <w:pPr>
        <w:pStyle w:val="Heading2"/>
        <w:rPr/>
      </w:pPr>
      <w:r>
        <w:rPr/>
        <w:t>5. Denial of Justice through Delay</w:t>
      </w:r>
    </w:p>
    <w:p>
      <w:pPr>
        <w:pStyle w:val="Normal"/>
        <w:rPr/>
      </w:pPr>
      <w:r>
        <w:rPr/>
        <w:t>The Waitangi Tribunal, established to address Treaty breaches, remains under-resourced and unable to deliver timely justice. The case of WAI 605, filed in 1996, heard in 2014–2015, and still awaiting a report in 2025, exemplifies institutional neglect. Such delays amount to a denial of natural justice and a breach of the Crown’s duty under Article 3 of Te Tiriti to provide Māori equal protection and remedy under the law.</w:t>
      </w:r>
    </w:p>
    <w:p>
      <w:pPr>
        <w:pStyle w:val="Heading2"/>
        <w:rPr/>
      </w:pPr>
      <w:r>
        <w:rPr/>
        <w:t>6. Institutional and Systemic Racism</w:t>
      </w:r>
    </w:p>
    <w:p>
      <w:pPr>
        <w:pStyle w:val="Normal"/>
        <w:rPr/>
      </w:pPr>
      <w:r>
        <w:rPr/>
        <w:t>The Crown’s insistence on settling only with 'large natural groupings' such as a constructed 'Ngāpuhi iwi' erases the autonomy of the historic iwi and hapū who held distinct territories and identities at 1840. This policy confuses and obscures individual justice claims, favouring administrative efficiency over cultural and legal accuracy. The Crown’s procedural control—over timelines, definitions, and funding—ensures Māori remain dependent on the same structures that caused their dispossession.</w:t>
      </w:r>
    </w:p>
    <w:p>
      <w:pPr>
        <w:pStyle w:val="Heading2"/>
        <w:rPr/>
      </w:pPr>
      <w:r>
        <w:rPr/>
        <w:t>7. Legal and Moral Analysis</w:t>
      </w:r>
    </w:p>
    <w:p>
      <w:pPr>
        <w:pStyle w:val="Normal"/>
        <w:rPr/>
      </w:pPr>
      <w:r>
        <w:rPr/>
        <w:t>The Crown’s conduct breaches Articles 2 and 3 of Te Tiriti, violates the principles of Tino Rangatiratanga, and undermines the protection of taonga. It also violates Articles 2 and 5 of the International Convention on the Elimination of All Forms of Racial Discrimination (CERD) and Articles 26–28 of the United Nations Declaration on the Rights of Indigenous Peoples (UNDRIP). The Crown’s reliance on property law doctrines such as indefeasibility of title, while refusing to redress proven injustices, reveals systemic discrimination masked as legality.</w:t>
      </w:r>
    </w:p>
    <w:p>
      <w:pPr>
        <w:pStyle w:val="Heading2"/>
        <w:rPr/>
      </w:pPr>
      <w:r>
        <w:rPr/>
        <w:t>8. Conclusion: Continuing Breach and Call for Remedy</w:t>
      </w:r>
    </w:p>
    <w:p>
      <w:pPr>
        <w:pStyle w:val="Normal"/>
        <w:rPr/>
      </w:pPr>
      <w:r>
        <w:rPr/>
        <w:t>The Crown’s refusal to act upon clear evidence of wrongful alienation, its aggregation of distinct iwi into artificial settlement groups, and its prolonged delays in addressing claims constitute an ongoing breach of Te Tiriti and CERD. Justice delayed has become justice denied for Māori claimants. The Committee is urged to find that New Zealand remains in violation of its international obligations, and to require the Crown to adopt binding timelines for redress, constitutional recognition of Te Tiriti, and restoration of unlawfully alienated Māori lands.</w:t>
      </w:r>
    </w:p>
    <w:p>
      <w:pPr>
        <w:pStyle w:val="Normal"/>
        <w:rPr/>
      </w:pPr>
      <w:r>
        <w:rPr/>
        <w:t>The Crown’s failure to ensure the timely operation of the Waitangi Tribunal perpetuates institutional racism by neglect. It protects the status quo—where Crown land interests and administrative control are preserved—while Māori continue to bear the economic, cultural, and psychological burden of unresolved injustice. The delay itself therefore constitutes an ongoing act of discrimination under Articles 2 and 5 of CERD.</w:t>
      </w:r>
    </w:p>
    <w:p>
      <w:pPr>
        <w:pStyle w:val="Normal"/>
        <w:rPr/>
      </w:pPr>
      <w:r>
        <w:rPr/>
        <w:t>This prolonged delay also breaches the principle of natural justice, which demands that claims be heard and decided without undue delay. The loss of kaumatua and witnesses during this time compounds the harm, eroding the evidential and spiritual foundation of Māori claims.</w:t>
      </w:r>
    </w:p>
    <w:p>
      <w:pPr>
        <w:pStyle w:val="Normal"/>
        <w:rPr/>
      </w:pPr>
      <w:r>
        <w:rPr/>
        <w:t>The Crown’s prolonged inaction constitutes a continuing breach of Article 3 of Te Tiriti, which guarantees Māori the same rights and privileges as British subjects. Under both British and international law, this includes the right to timely adjudication and remedy. A process that spans decades, without final determination, fails this standard.</w:t>
      </w:r>
    </w:p>
    <w:p>
      <w:pPr>
        <w:pStyle w:val="Normal"/>
        <w:widowControl/>
        <w:bidi w:val="0"/>
        <w:spacing w:lineRule="auto" w:line="276" w:before="0" w:after="200"/>
        <w:jc w:val="start"/>
        <w:rPr/>
      </w:pPr>
      <w:r>
        <w:rPr/>
        <w:t xml:space="preserve">The delay in the WAI 605 proceedings represents not merely administrative inefficiency </w:t>
      </w:r>
      <w:r>
        <w:rPr/>
        <w:t xml:space="preserve">and insufficiency </w:t>
      </w:r>
      <w:r>
        <w:rPr/>
        <w:t>but a substantive denial of justice. Filed in 1996, heard in 2014–2015, and still awaiting a report in 2025, the claim has remained unresolved for nearly thirty years. Such delay is inconsistent with any reasonable standard of justice under domestic or international law.</w:t>
      </w:r>
    </w:p>
    <w:sectPr>
      <w:type w:val="nextPage"/>
      <w:pgSz w:w="12240" w:h="15840"/>
      <w:pgMar w:left="1800" w:right="180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mbria">
    <w:charset w:val="01" w:characterSet="utf-8"/>
    <w:family w:val="roman"/>
    <w:pitch w:val="variable"/>
  </w:font>
  <w:font w:name="Calibri">
    <w:charset w:val="01" w:characterSet="utf-8"/>
    <w:family w:val="roman"/>
    <w:pitch w:val="variable"/>
  </w:font>
  <w:font w:name="Courier">
    <w:altName w:val="Courier New"/>
    <w:charset w:val="01" w:characterSet="utf-8"/>
    <w:family w:val="roman"/>
    <w:pitch w:val="variable"/>
  </w:font>
  <w:font w:name="Liberation Sans">
    <w:altName w:val="Arial"/>
    <w:charset w:val="01" w:characterSet="utf-8"/>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76" w:before="0" w:after="20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200"/>
      <w:ind w:hanging="360" w:start="720"/>
      <w:contextualSpacing/>
    </w:pPr>
    <w:rPr/>
  </w:style>
  <w:style w:type="paragraph" w:styleId="List3">
    <w:name w:val="List 3"/>
    <w:basedOn w:val="Normal"/>
    <w:uiPriority w:val="99"/>
    <w:unhideWhenUsed/>
    <w:qFormat/>
    <w:rsid w:val="00326f90"/>
    <w:pPr>
      <w:spacing w:before="0" w:after="200"/>
      <w:ind w:hanging="360" w:star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ColorfulShading-Accent1">
    <w:name w:val="Colorful Shading Accent 1"/>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ColorfulShading-Accent2">
    <w:name w:val="Colorful Shading Accent 2"/>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ColorfulShading-Accent3">
    <w:name w:val="Colorful Shading Accent 3"/>
    <w:basedOn w:val="TableNormal"/>
    <w:uiPriority w:val="71"/>
    <w:rsid w:val="00cb0664"/>
    <w:pPr>
      <w:spacing w:after="0" w:line="240" w:lineRule="auto"/>
    </w:pPr>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ColorfulShading-Accent5">
    <w:name w:val="Colorful Shading Accent 5"/>
    <w:basedOn w:val="TableNormal"/>
    <w:uiPriority w:val="71"/>
    <w:rsid w:val="00cb0664"/>
    <w:pPr>
      <w:spacing w:after="0" w:line="240" w:lineRule="auto"/>
    </w:pPr>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ColorfulShading-Accent6">
    <w:name w:val="Colorful Shading Accent 6"/>
    <w:basedOn w:val="TableNormal"/>
    <w:uiPriority w:val="71"/>
    <w:rsid w:val="00cb0664"/>
    <w:pPr>
      <w:spacing w:after="0" w:line="240" w:lineRule="auto"/>
    </w:pPr>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ColorfulList">
    <w:name w:val="Colorful List"/>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customXml/item4.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2025-10-14T10:28:56+00:00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E73576A-6498-436B-90BA-43CB6D769CE8}"/>
</file>

<file path=customXml/itemProps3.xml><?xml version="1.0" encoding="utf-8"?>
<ds:datastoreItem xmlns:ds="http://schemas.openxmlformats.org/officeDocument/2006/customXml" ds:itemID="{17C00A42-0AC4-4D86-A446-F1C900C35129}"/>
</file>

<file path=customXml/itemProps4.xml><?xml version="1.0" encoding="utf-8"?>
<ds:datastoreItem xmlns:ds="http://schemas.openxmlformats.org/officeDocument/2006/customXml" ds:itemID="{8FD62D1E-7DAB-430B-AAEE-5437D556114D}"/>
</file>

<file path=docProps/app.xml><?xml version="1.0" encoding="utf-8"?>
<Properties xmlns="http://schemas.openxmlformats.org/officeDocument/2006/extended-properties" xmlns:vt="http://schemas.openxmlformats.org/officeDocument/2006/docPropsVTypes">
  <Template>Normal.dotm</Template>
  <TotalTime>9</TotalTime>
  <Application>LibreOffice/25.8.1.1$Linux_X86_64 LibreOffice_project/580$Build-1</Application>
  <AppVersion>15.0000</AppVersion>
  <Pages>8</Pages>
  <Words>1739</Words>
  <Characters>9749</Characters>
  <CharactersWithSpaces>11427</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
  <cp:revision>2</cp:revision>
  <dcterms:created xsi:type="dcterms:W3CDTF">2013-12-23T23:15:00Z</dcterms:created>
  <dcterms:modified xsi:type="dcterms:W3CDTF">2025-10-14T11:18:07Z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