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52BF0" w14:paraId="628E7ED0" w14:textId="77777777">
        <w:trPr>
          <w:cantSplit/>
          <w:trHeight w:hRule="exact" w:val="851"/>
        </w:trPr>
        <w:tc>
          <w:tcPr>
            <w:tcW w:w="1276" w:type="dxa"/>
            <w:tcBorders>
              <w:bottom w:val="single" w:sz="4" w:space="0" w:color="auto"/>
            </w:tcBorders>
            <w:vAlign w:val="bottom"/>
          </w:tcPr>
          <w:p w14:paraId="345CEEAF" w14:textId="77777777" w:rsidR="00023A38" w:rsidRDefault="00023A38">
            <w:pPr>
              <w:spacing w:after="80"/>
            </w:pPr>
          </w:p>
        </w:tc>
        <w:tc>
          <w:tcPr>
            <w:tcW w:w="2268" w:type="dxa"/>
            <w:tcBorders>
              <w:bottom w:val="single" w:sz="4" w:space="0" w:color="auto"/>
            </w:tcBorders>
            <w:vAlign w:val="bottom"/>
          </w:tcPr>
          <w:p w14:paraId="6C3D8849" w14:textId="2A1BD52E" w:rsidR="00023A38" w:rsidRDefault="00023A38">
            <w:pPr>
              <w:spacing w:after="80" w:line="300" w:lineRule="exact"/>
              <w:rPr>
                <w:b/>
                <w:sz w:val="24"/>
                <w:szCs w:val="24"/>
              </w:rPr>
            </w:pPr>
          </w:p>
        </w:tc>
        <w:tc>
          <w:tcPr>
            <w:tcW w:w="6095" w:type="dxa"/>
            <w:gridSpan w:val="2"/>
            <w:tcBorders>
              <w:bottom w:val="single" w:sz="4" w:space="0" w:color="auto"/>
            </w:tcBorders>
            <w:vAlign w:val="bottom"/>
          </w:tcPr>
          <w:p w14:paraId="0FA25B1F" w14:textId="77777777" w:rsidR="00023A38" w:rsidRDefault="000168F6">
            <w:pPr>
              <w:suppressAutoHyphens w:val="0"/>
              <w:spacing w:after="20"/>
              <w:jc w:val="right"/>
            </w:pPr>
            <w:r>
              <w:rPr>
                <w:sz w:val="40"/>
              </w:rPr>
              <w:t>CEDAW</w:t>
            </w:r>
            <w:r>
              <w:t>/C/MYS/FCO/6</w:t>
            </w:r>
          </w:p>
        </w:tc>
      </w:tr>
      <w:tr w:rsidR="00652BF0" w14:paraId="549AF405" w14:textId="77777777">
        <w:trPr>
          <w:cantSplit/>
          <w:trHeight w:hRule="exact" w:val="2835"/>
        </w:trPr>
        <w:tc>
          <w:tcPr>
            <w:tcW w:w="1276" w:type="dxa"/>
            <w:tcBorders>
              <w:top w:val="single" w:sz="4" w:space="0" w:color="auto"/>
              <w:bottom w:val="single" w:sz="12" w:space="0" w:color="auto"/>
            </w:tcBorders>
          </w:tcPr>
          <w:p w14:paraId="0FA3E781" w14:textId="08CE191C" w:rsidR="00023A38" w:rsidRDefault="00023A38">
            <w:pPr>
              <w:spacing w:before="120"/>
              <w:jc w:val="center"/>
            </w:pPr>
          </w:p>
        </w:tc>
        <w:tc>
          <w:tcPr>
            <w:tcW w:w="5528" w:type="dxa"/>
            <w:gridSpan w:val="2"/>
            <w:tcBorders>
              <w:top w:val="single" w:sz="4" w:space="0" w:color="auto"/>
              <w:bottom w:val="single" w:sz="12" w:space="0" w:color="auto"/>
            </w:tcBorders>
          </w:tcPr>
          <w:p w14:paraId="1DF4EF98" w14:textId="22206D18" w:rsidR="00023A38" w:rsidRDefault="00B44137">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589868BE" w14:textId="77777777" w:rsidR="00023A38" w:rsidRPr="00737760" w:rsidRDefault="000168F6">
            <w:pPr>
              <w:suppressAutoHyphens w:val="0"/>
              <w:spacing w:before="240" w:line="240" w:lineRule="exact"/>
              <w:rPr>
                <w:lang w:val="fr-CH"/>
              </w:rPr>
            </w:pPr>
            <w:r w:rsidRPr="00737760">
              <w:rPr>
                <w:lang w:val="fr-CH"/>
              </w:rPr>
              <w:t>Distr.: General</w:t>
            </w:r>
          </w:p>
          <w:p w14:paraId="69F728A6" w14:textId="77777777" w:rsidR="00023A38" w:rsidRPr="00737760" w:rsidRDefault="007F4501">
            <w:pPr>
              <w:suppressAutoHyphens w:val="0"/>
              <w:rPr>
                <w:lang w:val="fr-CH"/>
              </w:rPr>
            </w:pPr>
            <w:r w:rsidRPr="00737760">
              <w:rPr>
                <w:lang w:val="fr-CH"/>
              </w:rPr>
              <w:t>22 July 2026</w:t>
            </w:r>
          </w:p>
          <w:p w14:paraId="49DF4A29" w14:textId="77777777" w:rsidR="00023A38" w:rsidRPr="00737760" w:rsidRDefault="00023A38">
            <w:pPr>
              <w:suppressAutoHyphens w:val="0"/>
              <w:rPr>
                <w:lang w:val="fr-CH"/>
              </w:rPr>
            </w:pPr>
          </w:p>
          <w:p w14:paraId="162CE947" w14:textId="77777777" w:rsidR="00023A38" w:rsidRPr="00737760" w:rsidRDefault="000168F6">
            <w:pPr>
              <w:suppressAutoHyphens w:val="0"/>
              <w:rPr>
                <w:lang w:val="fr-CH"/>
              </w:rPr>
            </w:pPr>
            <w:r w:rsidRPr="00737760">
              <w:rPr>
                <w:lang w:val="fr-CH"/>
              </w:rPr>
              <w:t>Original: English</w:t>
            </w:r>
          </w:p>
          <w:p w14:paraId="53FE0F3A" w14:textId="77777777" w:rsidR="00023A38" w:rsidRDefault="007F4501">
            <w:pPr>
              <w:suppressAutoHyphens w:val="0"/>
            </w:pPr>
            <w:r>
              <w:t>English, French and Spanish only</w:t>
            </w:r>
          </w:p>
        </w:tc>
      </w:tr>
    </w:tbl>
    <w:p w14:paraId="57903663" w14:textId="77777777" w:rsidR="00023A38" w:rsidRDefault="000168F6">
      <w:pPr>
        <w:spacing w:before="120"/>
        <w:rPr>
          <w:b/>
          <w:sz w:val="24"/>
          <w:szCs w:val="24"/>
        </w:rPr>
      </w:pPr>
      <w:r>
        <w:rPr>
          <w:b/>
          <w:sz w:val="24"/>
          <w:szCs w:val="24"/>
        </w:rPr>
        <w:t xml:space="preserve">Committee on the Elimination of Discrimination </w:t>
      </w:r>
      <w:r>
        <w:rPr>
          <w:b/>
          <w:sz w:val="24"/>
          <w:szCs w:val="24"/>
        </w:rPr>
        <w:br/>
        <w:t>against Women</w:t>
      </w:r>
    </w:p>
    <w:p w14:paraId="5283543F" w14:textId="77777777" w:rsidR="00023A38" w:rsidRDefault="000168F6" w:rsidP="004A43A3">
      <w:pPr>
        <w:pStyle w:val="HMG"/>
      </w:pPr>
      <w:r>
        <w:tab/>
      </w:r>
      <w:r>
        <w:tab/>
      </w:r>
      <w:r w:rsidR="003D6145">
        <w:t>Information received from Malaysia on follow-up to the concl</w:t>
      </w:r>
      <w:r>
        <w:t xml:space="preserve">uding observations on </w:t>
      </w:r>
      <w:r w:rsidR="003D6145">
        <w:t>its</w:t>
      </w:r>
      <w:r>
        <w:t xml:space="preserve"> </w:t>
      </w:r>
      <w:r w:rsidR="00737760">
        <w:t>sixth periodic report</w:t>
      </w:r>
      <w:r>
        <w:rPr>
          <w:rStyle w:val="FootnoteReference"/>
          <w:b w:val="0"/>
          <w:sz w:val="20"/>
          <w:vertAlign w:val="baseline"/>
        </w:rPr>
        <w:footnoteReference w:customMarkFollows="1" w:id="2"/>
        <w:t>*</w:t>
      </w:r>
    </w:p>
    <w:p w14:paraId="1343DE64" w14:textId="1D0BAA30" w:rsidR="00023A38" w:rsidRDefault="000168F6">
      <w:pPr>
        <w:pStyle w:val="SingleTxtG"/>
        <w:jc w:val="right"/>
      </w:pPr>
      <w:r>
        <w:t xml:space="preserve">[Date received: </w:t>
      </w:r>
      <w:r w:rsidR="00162EEF" w:rsidRPr="00162EEF">
        <w:t>17 July 2026</w:t>
      </w:r>
      <w:r>
        <w:t>]</w:t>
      </w:r>
    </w:p>
    <w:p w14:paraId="6BF3A20F" w14:textId="66438163" w:rsidR="00162EEF" w:rsidRDefault="00162EEF">
      <w:pPr>
        <w:suppressAutoHyphens w:val="0"/>
        <w:spacing w:after="200" w:line="276" w:lineRule="auto"/>
        <w:rPr>
          <w:rFonts w:eastAsiaTheme="minorHAnsi"/>
          <w:color w:val="0000FF"/>
        </w:rPr>
      </w:pPr>
      <w:r>
        <w:rPr>
          <w:color w:val="0000FF"/>
        </w:rPr>
        <w:br w:type="page"/>
      </w:r>
    </w:p>
    <w:p w14:paraId="019DCCA3" w14:textId="048CF06A" w:rsidR="006911E5" w:rsidRPr="006911E5" w:rsidRDefault="00B32359" w:rsidP="00B32359">
      <w:pPr>
        <w:pStyle w:val="HChG"/>
      </w:pPr>
      <w:r>
        <w:lastRenderedPageBreak/>
        <w:tab/>
        <w:t>I.</w:t>
      </w:r>
      <w:r>
        <w:tab/>
      </w:r>
      <w:r w:rsidRPr="006911E5">
        <w:t>Introduction</w:t>
      </w:r>
    </w:p>
    <w:p w14:paraId="718C337D" w14:textId="77777777" w:rsidR="006911E5" w:rsidRPr="00705C87" w:rsidRDefault="006911E5" w:rsidP="00705C87">
      <w:pPr>
        <w:pStyle w:val="SingleTxtG"/>
      </w:pPr>
      <w:r w:rsidRPr="00705C87">
        <w:t>1.</w:t>
      </w:r>
      <w:r w:rsidRPr="00705C87">
        <w:tab/>
        <w:t>During the 88th Session of the CEDAW Committee on 22 May 2024, Malaysia underwent the review of its Sixth Periodic Report on the Convention on the Elimination of All Forms of Discrimination against Women (CEDAW) (the Convention). Malaysia reaffirmed its strong commitment to gender equality through the participation of a high-level delegation at the session in May 2024. The delegation was led by the Minister of Women, Family and Community Development and reflected a coordinated, whole-of-government effort involving various ministries and departments in the presentation of the Sixth Periodic Report.</w:t>
      </w:r>
    </w:p>
    <w:p w14:paraId="2AA04978" w14:textId="77777777" w:rsidR="006911E5" w:rsidRPr="00705C87" w:rsidRDefault="006911E5" w:rsidP="00705C87">
      <w:pPr>
        <w:pStyle w:val="SingleTxtG"/>
      </w:pPr>
      <w:r w:rsidRPr="00705C87">
        <w:t>2.</w:t>
      </w:r>
      <w:r w:rsidRPr="00705C87">
        <w:tab/>
        <w:t>In the Concluding Observations, the Committee requested Malaysia to provide, within two years, written information on the steps taken to implement the recommendations in paragraphs 13(a) (constitutional and legislative framework and definition of equality and non-discrimination), 25(b) (harmful practices), 47(a) (refugee and asylum-seeking women) and 57(a) (marriage and family relations).</w:t>
      </w:r>
    </w:p>
    <w:p w14:paraId="4D28EBF2" w14:textId="134469E7" w:rsidR="006911E5" w:rsidRPr="006911E5" w:rsidRDefault="00B32359" w:rsidP="00B32359">
      <w:pPr>
        <w:pStyle w:val="HChG"/>
      </w:pPr>
      <w:r>
        <w:tab/>
        <w:t>II.</w:t>
      </w:r>
      <w:r>
        <w:tab/>
      </w:r>
      <w:r w:rsidRPr="006911E5">
        <w:t xml:space="preserve">Specific issues </w:t>
      </w:r>
    </w:p>
    <w:p w14:paraId="65874E70" w14:textId="5D980174" w:rsidR="006911E5" w:rsidRPr="006911E5" w:rsidRDefault="00B32359" w:rsidP="00B32359">
      <w:pPr>
        <w:pStyle w:val="H1G"/>
      </w:pPr>
      <w:r>
        <w:tab/>
      </w:r>
      <w:r>
        <w:tab/>
      </w:r>
      <w:r w:rsidR="006911E5" w:rsidRPr="006911E5">
        <w:t xml:space="preserve">Gender </w:t>
      </w:r>
      <w:r>
        <w:t>e</w:t>
      </w:r>
      <w:r w:rsidR="006911E5" w:rsidRPr="006911E5">
        <w:t>quality</w:t>
      </w:r>
    </w:p>
    <w:p w14:paraId="2DAE2C12" w14:textId="13B4C04C" w:rsidR="006911E5" w:rsidRPr="006911E5" w:rsidRDefault="006911E5" w:rsidP="006911E5">
      <w:pPr>
        <w:pStyle w:val="SingleTxtG"/>
      </w:pPr>
      <w:r w:rsidRPr="006911E5">
        <w:t>3.</w:t>
      </w:r>
      <w:r w:rsidRPr="006911E5">
        <w:tab/>
        <w:t xml:space="preserve">In response to paragraph 13(a), Malaysia takes note of the Committee’s recommendation to adopt a specific act on gender equality which has been renamed as the Anti-discrimination Against Women Bill and to include a comprehensive definition of discrimination against women. However, the Federal Constitution guarantees equality before the law and equal protection of the law to all persons under Article 8. Malaysian legislation is generally framed and applied in accordance with the principle of equality as enshrined in Article 8 of the Federal Constitution. Clause (1) of Article 8 of the Federal Constitution provides the general principle of equality, while Clause (2) covers specific and particular grounds of discrimination. In this regard, Clause (1) was framed in general terms to allow for a broad interpretation of the principle of equality, while ensuring that the spirit of the constitution remains intact. In addition, the Government is considering undertaking a study to better understand the prevalence and nature of discrimination experienced by women in Malaysia. The findings from this study are expected to provide further insights that may inform future policy considerations in addressing discrimination against women. </w:t>
      </w:r>
    </w:p>
    <w:p w14:paraId="0DDD85FC" w14:textId="77777777" w:rsidR="006911E5" w:rsidRPr="006911E5" w:rsidRDefault="006911E5" w:rsidP="006911E5">
      <w:pPr>
        <w:pStyle w:val="SingleTxtG"/>
      </w:pPr>
      <w:r w:rsidRPr="006911E5">
        <w:t>4.</w:t>
      </w:r>
      <w:r w:rsidRPr="006911E5">
        <w:tab/>
        <w:t>Malaysia has undertaken significant legislative reforms to strengthen protections for women and promote substantive equality. Amendments to the Employment Act 1955 [</w:t>
      </w:r>
      <w:r w:rsidRPr="006911E5">
        <w:rPr>
          <w:i/>
          <w:iCs/>
        </w:rPr>
        <w:t>Act 265</w:t>
      </w:r>
      <w:r w:rsidRPr="006911E5">
        <w:t xml:space="preserve">] have been introduced to enhance protections in the workplace, including expanding maternity protections and improving safeguards against discrimination. </w:t>
      </w:r>
    </w:p>
    <w:p w14:paraId="0669C70D" w14:textId="77777777" w:rsidR="006911E5" w:rsidRPr="006911E5" w:rsidRDefault="006911E5" w:rsidP="006911E5">
      <w:pPr>
        <w:pStyle w:val="SingleTxtG"/>
      </w:pPr>
      <w:r w:rsidRPr="006911E5">
        <w:t>5.</w:t>
      </w:r>
      <w:r w:rsidRPr="006911E5">
        <w:tab/>
        <w:t>The Anti-Sexual Harassment Act 2022 [</w:t>
      </w:r>
      <w:r w:rsidRPr="006911E5">
        <w:rPr>
          <w:i/>
          <w:iCs/>
        </w:rPr>
        <w:t>Act 840</w:t>
      </w:r>
      <w:r w:rsidRPr="006911E5">
        <w:t>] is a dedicated legal framework addressing sexual harassment, including the establishment of a Tribunal for Anti-Sexual Harassment to facilitate accessible redress mechanisms. Amendments to the Penal Code [</w:t>
      </w:r>
      <w:r w:rsidRPr="006911E5">
        <w:rPr>
          <w:i/>
          <w:iCs/>
        </w:rPr>
        <w:t>Act 574</w:t>
      </w:r>
      <w:r w:rsidRPr="006911E5">
        <w:t>], which came into operation on 31 May 2023, criminalise stalking further strengthen legal protections against harassment and gender-based violence.</w:t>
      </w:r>
    </w:p>
    <w:p w14:paraId="23060189" w14:textId="77777777" w:rsidR="006911E5" w:rsidRPr="006911E5" w:rsidRDefault="006911E5" w:rsidP="006911E5">
      <w:pPr>
        <w:pStyle w:val="SingleTxtG"/>
      </w:pPr>
      <w:r w:rsidRPr="006911E5">
        <w:t>6.</w:t>
      </w:r>
      <w:r w:rsidRPr="006911E5">
        <w:tab/>
        <w:t>The Federal Constitution (Amendment) Act 2025 [</w:t>
      </w:r>
      <w:r w:rsidRPr="006911E5">
        <w:rPr>
          <w:i/>
          <w:iCs/>
        </w:rPr>
        <w:t>Act A1752</w:t>
      </w:r>
      <w:r w:rsidRPr="006911E5">
        <w:t xml:space="preserve">], gazetted on </w:t>
      </w:r>
      <w:r w:rsidRPr="006911E5">
        <w:br/>
        <w:t>20 March 2025, introduces amendments relating to citizenship. Upon its entry into force, children born overseas to Malaysian citizen mothers and non-citizen fathers will be eligible to obtain Malaysian citizenship by operation of law, subject to compliance with prescribed guidelines. This amendment strengthens legal certainty, equality and the protection of the rights of Malaysian children.</w:t>
      </w:r>
    </w:p>
    <w:p w14:paraId="3875A702" w14:textId="77777777" w:rsidR="006911E5" w:rsidRPr="006911E5" w:rsidRDefault="006911E5" w:rsidP="006911E5">
      <w:pPr>
        <w:pStyle w:val="SingleTxtG"/>
      </w:pPr>
      <w:r w:rsidRPr="006911E5">
        <w:t>7.</w:t>
      </w:r>
      <w:r w:rsidRPr="006911E5">
        <w:tab/>
        <w:t>Apart from that, with reference to Malaysia’s earlier submissions in paragraphs 18 to 20 of CEDAW/C/MYS/FCO/3-5, the Law Reform (Marriage and Divorce) Act 1976</w:t>
      </w:r>
      <w:r w:rsidRPr="006911E5">
        <w:rPr>
          <w:i/>
          <w:iCs/>
        </w:rPr>
        <w:t xml:space="preserve"> </w:t>
      </w:r>
      <w:r w:rsidRPr="006911E5">
        <w:t>[</w:t>
      </w:r>
      <w:r w:rsidRPr="006911E5">
        <w:rPr>
          <w:i/>
          <w:iCs/>
        </w:rPr>
        <w:t>Act 164</w:t>
      </w:r>
      <w:r w:rsidRPr="006911E5">
        <w:t xml:space="preserve">] institutionalises formal equality between spouses in civil marriage while progressively incorporating substantive equality principles through its amendments. This includes a fairer division of matrimonial assets, equal right to petition for a divorce by mutual consent and consent to marriage of a child under the age of 21. These amendments reflect evolving </w:t>
      </w:r>
      <w:r w:rsidRPr="006911E5">
        <w:lastRenderedPageBreak/>
        <w:t xml:space="preserve">societal developments as they address welfare of the children and aim to enhance fair recognition of spouses whose contributions to the family are non-monetary in nature. </w:t>
      </w:r>
    </w:p>
    <w:p w14:paraId="1494C116" w14:textId="77777777" w:rsidR="006911E5" w:rsidRPr="006911E5" w:rsidRDefault="006911E5" w:rsidP="006911E5">
      <w:pPr>
        <w:pStyle w:val="SingleTxtG"/>
      </w:pPr>
      <w:r w:rsidRPr="006911E5">
        <w:t>8.</w:t>
      </w:r>
      <w:r w:rsidRPr="006911E5">
        <w:tab/>
        <w:t>The Criminal Law Reform Committee (CLRC) established in March 2025, has been mandated to review and undertake reforms of Malaysia’s criminal laws, including Act 574, the Criminal Procedure Code [</w:t>
      </w:r>
      <w:r w:rsidRPr="006911E5">
        <w:rPr>
          <w:i/>
          <w:iCs/>
        </w:rPr>
        <w:t>Act 593</w:t>
      </w:r>
      <w:r w:rsidRPr="006911E5">
        <w:t>] and the Evidence Act 1950 [</w:t>
      </w:r>
      <w:r w:rsidRPr="006911E5">
        <w:rPr>
          <w:i/>
          <w:iCs/>
        </w:rPr>
        <w:t>Act 56</w:t>
      </w:r>
      <w:r w:rsidRPr="006911E5">
        <w:t>]. The Committee comprises members of the judiciary, including the Chief Justice of Malaysia, judges from the Court of Appeal of Malaysia and the High Court of Malaysia, as well as legal practitioners, academics and representatives from the Human Rights Commission of Malaysia (SUHAKAM). Among the matters under consideration are ongoing assessments of these laws, including reforms such as the abolition of mandatory whipping provisions.</w:t>
      </w:r>
    </w:p>
    <w:p w14:paraId="29C015CD" w14:textId="1CA9AE36" w:rsidR="006911E5" w:rsidRPr="006911E5" w:rsidRDefault="006911E5" w:rsidP="006911E5">
      <w:pPr>
        <w:pStyle w:val="SingleTxtG"/>
      </w:pPr>
      <w:r w:rsidRPr="006911E5">
        <w:t>9.</w:t>
      </w:r>
      <w:r w:rsidRPr="006911E5">
        <w:tab/>
        <w:t>Further, the Government of Malaysia launched the National Women’s Policy 2025 to 2030 on 8 March 2025 as a comprehensive framework to advance gender equality and women’s empowerment in Malaysia. The Policy integrates four priority areas, namely Economy, Leadership, Wellbeing and Safety. Under the Economy pillar, emphasis is placed on enhancing women’s labour force participation, addressing gender pay gaps and strengthening women’s economic security. The Leadership pillar focuses on increasing women’s representation in decision-making positions across public and private sectors. The Wellbeing pillar promotes access to healthcare, social protection and quality of life, while the Safety pillar reinforces efforts to prevent and respond to all forms of violence and discrimination against women.</w:t>
      </w:r>
    </w:p>
    <w:p w14:paraId="491124C6" w14:textId="77777777" w:rsidR="006911E5" w:rsidRPr="006911E5" w:rsidRDefault="006911E5" w:rsidP="006911E5">
      <w:pPr>
        <w:pStyle w:val="SingleTxtG"/>
      </w:pPr>
      <w:r w:rsidRPr="006911E5">
        <w:t>10.</w:t>
      </w:r>
      <w:r w:rsidRPr="006911E5">
        <w:tab/>
        <w:t>In addition, Malaysia has launched the National Action Plan on Women, Peace and Security 2025–2030 (NAP WPS) on 9 September 2025, translating the ASEAN-level frameworks into practical national action.  The NAP WPS four pillars, namely Perspective, Prevention, Participation and Protection are embedded within governance systems, security institutions and development planning. These pillars incorporate gender-sensitive approaches by mainstreaming gender considerations in policies, institutional environments and enhancing women’s representation in safety and security sectors.</w:t>
      </w:r>
    </w:p>
    <w:p w14:paraId="2E8BA7E6" w14:textId="0428DBC5" w:rsidR="006911E5" w:rsidRPr="006911E5" w:rsidRDefault="00B32359" w:rsidP="00B32359">
      <w:pPr>
        <w:pStyle w:val="H1G"/>
      </w:pPr>
      <w:r>
        <w:tab/>
      </w:r>
      <w:r>
        <w:tab/>
      </w:r>
      <w:r w:rsidR="006911E5" w:rsidRPr="006911E5">
        <w:t xml:space="preserve">Harmful </w:t>
      </w:r>
      <w:r>
        <w:t>p</w:t>
      </w:r>
      <w:r w:rsidR="006911E5" w:rsidRPr="006911E5">
        <w:t>ractices</w:t>
      </w:r>
    </w:p>
    <w:p w14:paraId="3F212D6D" w14:textId="77777777" w:rsidR="006911E5" w:rsidRPr="006911E5" w:rsidRDefault="006911E5" w:rsidP="006911E5">
      <w:pPr>
        <w:pStyle w:val="SingleTxtG"/>
      </w:pPr>
      <w:r w:rsidRPr="006911E5">
        <w:t>11.</w:t>
      </w:r>
      <w:r w:rsidRPr="006911E5">
        <w:tab/>
        <w:t xml:space="preserve">In furtherance of the recommendation in paragraph 25(b) following the Committee’s concluding observations, reference is made to Malaysia’s earlier submissions in paragraph 56-57 of </w:t>
      </w:r>
      <w:hyperlink r:id="rId10">
        <w:r w:rsidRPr="006911E5">
          <w:rPr>
            <w:rStyle w:val="Hyperlink"/>
          </w:rPr>
          <w:t>CRC/C/MYS/RQ/2-4</w:t>
        </w:r>
      </w:hyperlink>
      <w:r w:rsidRPr="006911E5">
        <w:t xml:space="preserve"> . Female Genital Mutilation (FGM) is not obligatory under the law. In January 2025, the Department of Islamic Development Malaysia (JAKIM) established a Sub-Committee on FGM. The Sub-Committee serves as a coordination platform to deliberate on policy, legal, health and religious aspects related to the practice. In addition, awareness programmes and educational initiatives are being developed in collaboration with academic institutions to promote informed understanding among relevant stakeholders, including medical practitioners, religious scholars, parents and community members.</w:t>
      </w:r>
    </w:p>
    <w:p w14:paraId="6B086D17" w14:textId="77777777" w:rsidR="006911E5" w:rsidRPr="006911E5" w:rsidRDefault="006911E5" w:rsidP="006911E5">
      <w:pPr>
        <w:pStyle w:val="SingleTxtG"/>
      </w:pPr>
      <w:r w:rsidRPr="006911E5">
        <w:t>12.</w:t>
      </w:r>
      <w:r w:rsidRPr="006911E5">
        <w:tab/>
        <w:t>The Government is of the view that an abrupt ban without sufficient community understanding and acceptance may risk driving the practice underground and thereby undermine its protective objectives. Hence, continuous constructive engagement is being undertaken with all relevant stakeholders, particularly religious authorities, leaders and state governments to address this issue in a gradual, inclusive, and evidence-based manner.</w:t>
      </w:r>
    </w:p>
    <w:p w14:paraId="759444E7" w14:textId="1C3A1D4A" w:rsidR="006911E5" w:rsidRPr="006911E5" w:rsidRDefault="00B32359" w:rsidP="00B32359">
      <w:pPr>
        <w:pStyle w:val="H1G"/>
      </w:pPr>
      <w:r>
        <w:tab/>
      </w:r>
      <w:r>
        <w:tab/>
      </w:r>
      <w:r w:rsidR="006911E5" w:rsidRPr="006911E5">
        <w:t>Refugee, asylum-seeking women and girls</w:t>
      </w:r>
    </w:p>
    <w:p w14:paraId="0C8F8DB4" w14:textId="77777777" w:rsidR="006911E5" w:rsidRPr="006911E5" w:rsidRDefault="006911E5" w:rsidP="006911E5">
      <w:pPr>
        <w:pStyle w:val="SingleTxtG"/>
      </w:pPr>
      <w:r w:rsidRPr="006911E5">
        <w:t>13.</w:t>
      </w:r>
      <w:r w:rsidRPr="006911E5">
        <w:tab/>
        <w:t xml:space="preserve">In response to the recommendation in paragraph 47(a), Malaysia’s position in relation to </w:t>
      </w:r>
      <w:r w:rsidRPr="006911E5">
        <w:tab/>
        <w:t xml:space="preserve">the </w:t>
      </w:r>
      <w:r w:rsidRPr="006911E5">
        <w:tab/>
        <w:t xml:space="preserve">principle </w:t>
      </w:r>
      <w:r w:rsidRPr="006911E5">
        <w:tab/>
        <w:t>of non-refoulement remains consistent with its earlier submissions, including paragraph 104 of CRC/C/MYS/RQ/2-4. In this regard, due consideration is given to the circumstances of women and girls in need of international protection, including an assessment of potential risks prior to any removal.  Protection and assistance are provided in accordance with Malaysia’s domestic legal framework and national interests, on a case-by-case basis and on humanitarian grounds. The Government continues to strengthen and implement a comprehensive framework for refugees and asylum-</w:t>
      </w:r>
      <w:r w:rsidRPr="006911E5">
        <w:lastRenderedPageBreak/>
        <w:t>seeking women. In April 2023, the National Security Council amended Directive No. 23 to address issues concerning refugees and asylum seekers in a more holistic and coordinated manner.</w:t>
      </w:r>
    </w:p>
    <w:p w14:paraId="7A3BF5AC" w14:textId="77777777" w:rsidR="006911E5" w:rsidRPr="006911E5" w:rsidRDefault="006911E5" w:rsidP="006911E5">
      <w:pPr>
        <w:pStyle w:val="SingleTxtG"/>
      </w:pPr>
      <w:r w:rsidRPr="006911E5">
        <w:t>14.</w:t>
      </w:r>
      <w:r w:rsidRPr="006911E5">
        <w:tab/>
        <w:t>In addition, the Government has introduced the Refugee Registration Document (DPP) Programme under Malaysia’s Asylum and Refugee Management System (MyARMS), which is scheduled to be operational in 2026. This system aims to enhance the management of refugees and asylum seekers, improve security, and streamline the delivery of assistance to individuals in need. These measures indicate Malaysia’s ongoing efforts to ensure protection, monitoring, and support for refugees and asylum seekers, in accordance with relevant international principles and humanitarian considerations.</w:t>
      </w:r>
    </w:p>
    <w:p w14:paraId="423C352F" w14:textId="058F22C3" w:rsidR="006911E5" w:rsidRPr="006911E5" w:rsidRDefault="00B32359" w:rsidP="00B32359">
      <w:pPr>
        <w:pStyle w:val="H1G"/>
      </w:pPr>
      <w:r>
        <w:tab/>
      </w:r>
      <w:r>
        <w:tab/>
      </w:r>
      <w:r w:rsidR="006911E5" w:rsidRPr="006911E5">
        <w:t xml:space="preserve">Marriage and </w:t>
      </w:r>
      <w:r w:rsidR="00FD5CC9">
        <w:t>f</w:t>
      </w:r>
      <w:r w:rsidR="006911E5" w:rsidRPr="006911E5">
        <w:t xml:space="preserve">amily </w:t>
      </w:r>
      <w:r w:rsidR="00FD5CC9">
        <w:t>r</w:t>
      </w:r>
      <w:r w:rsidR="006911E5" w:rsidRPr="006911E5">
        <w:t xml:space="preserve">elations </w:t>
      </w:r>
    </w:p>
    <w:p w14:paraId="644F37B0" w14:textId="77777777" w:rsidR="006911E5" w:rsidRPr="006911E5" w:rsidRDefault="006911E5" w:rsidP="006911E5">
      <w:pPr>
        <w:pStyle w:val="SingleTxtG"/>
      </w:pPr>
      <w:r w:rsidRPr="006911E5">
        <w:t>15.</w:t>
      </w:r>
      <w:r w:rsidRPr="006911E5">
        <w:tab/>
        <w:t>In response to the recommendation in paragraph 57(a), reference is made to Malaysia’s earlier submissions in paragraph 55 of CRC/C/MYS/RQ/2-4. Under civil law, the minimum legal age of marriage is 18 years for both males and females. Efforts are ongoing at both Federal and State levels to harmonise legal provisions across Islamic, civil, customary, native and indigenous systems, with a view to progressively establishing a uniform minimum marriage age of 18 for all marriages, taking into account constitutional and legal considerations.</w:t>
      </w:r>
    </w:p>
    <w:p w14:paraId="4E1840FD" w14:textId="77777777" w:rsidR="006911E5" w:rsidRPr="006911E5" w:rsidRDefault="006911E5" w:rsidP="006911E5">
      <w:pPr>
        <w:pStyle w:val="SingleTxtG"/>
      </w:pPr>
      <w:r w:rsidRPr="006911E5">
        <w:t>16.</w:t>
      </w:r>
      <w:r w:rsidRPr="006911E5">
        <w:tab/>
        <w:t>In this regard, Selangor and Kedah have already established 18 years as the minimum age of marriage. In addition, the Sarawak State Government has proposed setting the minimum age of marriage at 18 years across all legal frameworks including civil, Syariah and customary law. Legislative harmonisation efforts are also underway in Sabah, including proposed amendments to the Native Courts Rules to raise the minimum marriage age. These developments reflect incremental progress towards nationwide alignment with international standards.</w:t>
      </w:r>
    </w:p>
    <w:p w14:paraId="138212E3" w14:textId="348CFFF8" w:rsidR="006911E5" w:rsidRPr="006911E5" w:rsidRDefault="006911E5" w:rsidP="006911E5">
      <w:pPr>
        <w:pStyle w:val="SingleTxtG"/>
      </w:pPr>
      <w:r w:rsidRPr="006911E5">
        <w:t>17.</w:t>
      </w:r>
      <w:r w:rsidRPr="006911E5">
        <w:tab/>
        <w:t>With reference to the Committee’s recommendation to establish mechanisms to detect, protect and provide support services to girl victims of child marriage, Malaysia wishes to highlight that such mechanisms are already in place and continue to be strengthened. At the Federal level, additional safeguards were introduced through the Islamic Family Law (Federal Territories) (Marriage, Divorce and Ruju’) Rules 2024 [</w:t>
      </w:r>
      <w:r w:rsidRPr="006911E5">
        <w:rPr>
          <w:i/>
          <w:iCs/>
        </w:rPr>
        <w:t>P.U. (A) 138/2024</w:t>
      </w:r>
      <w:r w:rsidRPr="006911E5">
        <w:t>] which came into operation on 1 June 2024.  These measures form part of broader efforts to curb early marriages to safeguard the health and future of young people. While the specific 2024 Rules do not mention about teenage pregnancies, it is a major focus of recent reports and policies. Hence, the Government is addressing the issue through the Reproductive and Social Health Education (PEKERTI) Policy and Action Plan.</w:t>
      </w:r>
      <w:r w:rsidRPr="006911E5">
        <w:rPr>
          <w:b/>
          <w:bCs/>
        </w:rPr>
        <w:t xml:space="preserve"> </w:t>
      </w:r>
      <w:r w:rsidRPr="006911E5">
        <w:t> Progressive developments at the State level towards raising and standardising the minimum marriage age will continue to be monitored and reflected in future reporting under both the Convention and the Convention on the Rights of the Child.</w:t>
      </w:r>
    </w:p>
    <w:p w14:paraId="001B544D" w14:textId="2044A955" w:rsidR="006911E5" w:rsidRPr="006911E5" w:rsidRDefault="006911E5" w:rsidP="006911E5">
      <w:pPr>
        <w:pStyle w:val="SingleTxtG"/>
        <w:rPr>
          <w:i/>
          <w:iCs/>
        </w:rPr>
      </w:pPr>
      <w:r w:rsidRPr="006911E5">
        <w:t>18.</w:t>
      </w:r>
      <w:r w:rsidRPr="006911E5">
        <w:tab/>
        <w:t>As part of protection and support mechanisms, Malaysia has also strengthened procedural safeguards in cases involving applications for child marriage through enhanced case management and social reporting processes. Under these procedures, marriage is not treated as a default response for vulnerable children. Comprehensive social assessments, counselling and risk evaluations are undertaken involving coordination among relevant agencies, including the National Population and Family Development Board, State Islamic Religious Departments, civil society organisations and community service providers. These strengthened procedures support the Syariah Courts in assessing applications and in identifying appropriate alternatives where marriage is not considered to be in the best interests of the child, including continued education, vocational training, psychosocial support or protective interventions under the Child Act 2001 [</w:t>
      </w:r>
      <w:r w:rsidRPr="006911E5">
        <w:rPr>
          <w:i/>
          <w:iCs/>
        </w:rPr>
        <w:t>Act 611</w:t>
      </w:r>
      <w:r w:rsidRPr="006911E5">
        <w:t>]</w:t>
      </w:r>
      <w:r w:rsidRPr="006911E5">
        <w:rPr>
          <w:i/>
          <w:iCs/>
        </w:rPr>
        <w:t>.</w:t>
      </w:r>
    </w:p>
    <w:p w14:paraId="337DCC8A" w14:textId="0520EC5D" w:rsidR="006911E5" w:rsidRPr="006911E5" w:rsidRDefault="006911E5" w:rsidP="006911E5">
      <w:pPr>
        <w:pStyle w:val="SingleTxtG"/>
      </w:pPr>
      <w:r w:rsidRPr="006911E5">
        <w:t>19.</w:t>
      </w:r>
      <w:r w:rsidRPr="006911E5">
        <w:tab/>
        <w:t xml:space="preserve">Early detection and referral mechanisms are integrated across frontline agencies. Social welfare officers, counsellors, educators, religious officials and community partners collaborate to identify at-risk girls and link them to case management, psychosocial services, shelter, financial assistance and family-strengthening programmes. Where necessary, follow-up interventions are provided to safeguard the long-term wellbeing of affected girls, </w:t>
      </w:r>
      <w:r w:rsidRPr="006911E5">
        <w:lastRenderedPageBreak/>
        <w:t>including reintegration into education and alternative care arrangements. In addition, broader structural measures to promote girls’ continued participation in education contribute to the prevention of child marriage. The Education (Amendment) Act 2025 [</w:t>
      </w:r>
      <w:r w:rsidRPr="006911E5">
        <w:rPr>
          <w:i/>
          <w:iCs/>
        </w:rPr>
        <w:t>Act A1770</w:t>
      </w:r>
      <w:r w:rsidRPr="006911E5">
        <w:t>] which was gazetted in October 2025 and scheduled to come into force on 1 January 2027, introduces compulsory secondary education and place a responsibility on parents and guardians to ensure the continued attendance of children in school. This, in turn, strengthens efforts to address underlying factors associated with early marriage, including school dropout among girls.</w:t>
      </w:r>
    </w:p>
    <w:p w14:paraId="7C1C974F" w14:textId="77777777" w:rsidR="006911E5" w:rsidRPr="006911E5" w:rsidRDefault="006911E5" w:rsidP="006911E5">
      <w:pPr>
        <w:pStyle w:val="SingleTxtG"/>
      </w:pPr>
      <w:r w:rsidRPr="006911E5">
        <w:t>20.</w:t>
      </w:r>
      <w:r w:rsidRPr="006911E5">
        <w:tab/>
        <w:t>In line with the Committee’s recommendation, Malaysia continues to strengthen mechanisms to detect and address cases of child marriage, including through inter-agency coordination and referral pathways to ensure protection and support services for affected girls. Public awareness-raising programmes are also being implemented including nationwide and community-based initiatives conducted in collaboration with the media, parents, educators, religious authorities and community leaders, to increase awareness of the harmful impacts of</w:t>
      </w:r>
      <w:r w:rsidRPr="006911E5">
        <w:rPr>
          <w:b/>
          <w:bCs/>
        </w:rPr>
        <w:t xml:space="preserve"> </w:t>
      </w:r>
      <w:r w:rsidRPr="006911E5">
        <w:t>child marriage on girls’ education, health and future life choices. These efforts are complemented by ongoing engagement with communities to promote positive social norms and support the sustained elimination of child marriage.</w:t>
      </w:r>
    </w:p>
    <w:p w14:paraId="46C7A621" w14:textId="7FDDE31D" w:rsidR="00023A38" w:rsidRPr="006911E5" w:rsidRDefault="006911E5" w:rsidP="006911E5">
      <w:pPr>
        <w:pStyle w:val="SingleTxtG"/>
        <w:jc w:val="center"/>
        <w:rPr>
          <w:u w:val="single"/>
        </w:rPr>
      </w:pPr>
      <w:r>
        <w:rPr>
          <w:u w:val="single"/>
        </w:rPr>
        <w:tab/>
      </w:r>
      <w:r>
        <w:rPr>
          <w:u w:val="single"/>
        </w:rPr>
        <w:tab/>
      </w:r>
      <w:r>
        <w:rPr>
          <w:u w:val="single"/>
        </w:rPr>
        <w:tab/>
      </w:r>
    </w:p>
    <w:sectPr w:rsidR="00023A38" w:rsidRPr="006911E5">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A703E" w14:textId="77777777" w:rsidR="000168F6" w:rsidRDefault="000168F6">
      <w:pPr>
        <w:spacing w:line="240" w:lineRule="auto"/>
      </w:pPr>
    </w:p>
  </w:endnote>
  <w:endnote w:type="continuationSeparator" w:id="0">
    <w:p w14:paraId="4B643752" w14:textId="77777777" w:rsidR="000168F6" w:rsidRDefault="000168F6">
      <w:pPr>
        <w:pStyle w:val="Footer"/>
      </w:pPr>
    </w:p>
  </w:endnote>
  <w:endnote w:type="continuationNotice" w:id="1">
    <w:p w14:paraId="65AEB910" w14:textId="77777777" w:rsidR="000168F6" w:rsidRDefault="000168F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5C3F4" w14:textId="77777777" w:rsidR="00023A38" w:rsidRDefault="000168F6">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5F7A44">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E91B8" w14:textId="77777777" w:rsidR="00023A38" w:rsidRDefault="007F4501">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2CD41" w14:textId="77777777" w:rsidR="00023A38" w:rsidRDefault="000168F6">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169B059F" wp14:editId="54337216">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652BF0" w14:paraId="6EE2EB28" w14:textId="77777777">
      <w:tc>
        <w:tcPr>
          <w:tcW w:w="1848" w:type="dxa"/>
          <w:vAlign w:val="bottom"/>
        </w:tcPr>
        <w:p w14:paraId="5C58F853" w14:textId="77777777" w:rsidR="00023A38" w:rsidRDefault="000168F6">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54ACA137" wp14:editId="7DB1920B">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5C3B6D74" w14:textId="77777777" w:rsidR="00023A38" w:rsidRDefault="00023A38">
          <w:pPr>
            <w:kinsoku w:val="0"/>
            <w:overflowPunct w:val="0"/>
            <w:autoSpaceDE w:val="0"/>
            <w:autoSpaceDN w:val="0"/>
            <w:adjustRightInd w:val="0"/>
            <w:snapToGrid w:val="0"/>
            <w:spacing w:line="240" w:lineRule="auto"/>
            <w:jc w:val="right"/>
            <w:rPr>
              <w:rFonts w:eastAsiaTheme="minorHAnsi"/>
              <w:sz w:val="16"/>
              <w:lang w:val="fr-CH"/>
            </w:rPr>
          </w:pPr>
        </w:p>
      </w:tc>
    </w:tr>
  </w:tbl>
  <w:p w14:paraId="12644C94" w14:textId="77777777" w:rsidR="00023A38" w:rsidRDefault="00023A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BCD0E" w14:textId="77777777" w:rsidR="000168F6" w:rsidRDefault="000168F6">
      <w:pPr>
        <w:pStyle w:val="Footer"/>
        <w:tabs>
          <w:tab w:val="right" w:pos="2155"/>
        </w:tabs>
        <w:spacing w:after="80" w:line="240" w:lineRule="atLeast"/>
        <w:ind w:left="680"/>
        <w:rPr>
          <w:u w:val="single"/>
        </w:rPr>
      </w:pPr>
      <w:r>
        <w:rPr>
          <w:u w:val="single"/>
        </w:rPr>
        <w:tab/>
      </w:r>
    </w:p>
  </w:footnote>
  <w:footnote w:type="continuationSeparator" w:id="0">
    <w:p w14:paraId="60577F8F" w14:textId="77777777" w:rsidR="000168F6" w:rsidRDefault="000168F6">
      <w:pPr>
        <w:pStyle w:val="Footer"/>
        <w:tabs>
          <w:tab w:val="right" w:pos="2155"/>
        </w:tabs>
        <w:spacing w:after="80" w:line="240" w:lineRule="atLeast"/>
        <w:ind w:left="680"/>
        <w:rPr>
          <w:u w:val="single"/>
        </w:rPr>
      </w:pPr>
      <w:r>
        <w:rPr>
          <w:u w:val="single"/>
        </w:rPr>
        <w:tab/>
      </w:r>
    </w:p>
  </w:footnote>
  <w:footnote w:type="continuationNotice" w:id="1">
    <w:p w14:paraId="10DCFCAA" w14:textId="77777777" w:rsidR="000168F6" w:rsidRDefault="000168F6">
      <w:pPr>
        <w:spacing w:line="240" w:lineRule="auto"/>
        <w:rPr>
          <w:sz w:val="2"/>
          <w:szCs w:val="2"/>
        </w:rPr>
      </w:pPr>
    </w:p>
  </w:footnote>
  <w:footnote w:id="2">
    <w:p w14:paraId="203CB2C0" w14:textId="77777777" w:rsidR="00023A38" w:rsidRDefault="000168F6">
      <w:pPr>
        <w:pStyle w:val="FootnoteText"/>
        <w:rPr>
          <w:lang w:val="en-US"/>
        </w:rPr>
      </w:pPr>
      <w:r>
        <w:tab/>
      </w:r>
      <w:r>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F4A8D" w14:textId="77777777" w:rsidR="00023A38" w:rsidRDefault="007F4501">
    <w:pPr>
      <w:pStyle w:val="Header"/>
    </w:pPr>
    <w:r>
      <w:t>CEDAW/C/MYS/FCO/6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7DA9C" w14:textId="77777777" w:rsidR="00023A38" w:rsidRDefault="007F4501">
    <w:pPr>
      <w:pStyle w:val="Header"/>
      <w:jc w:val="right"/>
    </w:pPr>
    <w:r>
      <w:t>CEDAW/C/MYS/FCO/6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DEEEE98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C782DEC" w:tentative="1">
      <w:start w:val="1"/>
      <w:numFmt w:val="lowerLetter"/>
      <w:lvlText w:val="%2."/>
      <w:lvlJc w:val="left"/>
      <w:pPr>
        <w:tabs>
          <w:tab w:val="num" w:pos="1440"/>
        </w:tabs>
        <w:ind w:left="1440" w:hanging="360"/>
      </w:pPr>
    </w:lvl>
    <w:lvl w:ilvl="2" w:tplc="0C22B6F2" w:tentative="1">
      <w:start w:val="1"/>
      <w:numFmt w:val="lowerRoman"/>
      <w:lvlText w:val="%3."/>
      <w:lvlJc w:val="right"/>
      <w:pPr>
        <w:tabs>
          <w:tab w:val="num" w:pos="2160"/>
        </w:tabs>
        <w:ind w:left="2160" w:hanging="180"/>
      </w:pPr>
    </w:lvl>
    <w:lvl w:ilvl="3" w:tplc="EDE6184E" w:tentative="1">
      <w:start w:val="1"/>
      <w:numFmt w:val="decimal"/>
      <w:lvlText w:val="%4."/>
      <w:lvlJc w:val="left"/>
      <w:pPr>
        <w:tabs>
          <w:tab w:val="num" w:pos="2880"/>
        </w:tabs>
        <w:ind w:left="2880" w:hanging="360"/>
      </w:pPr>
    </w:lvl>
    <w:lvl w:ilvl="4" w:tplc="DAA0A5E4" w:tentative="1">
      <w:start w:val="1"/>
      <w:numFmt w:val="lowerLetter"/>
      <w:lvlText w:val="%5."/>
      <w:lvlJc w:val="left"/>
      <w:pPr>
        <w:tabs>
          <w:tab w:val="num" w:pos="3600"/>
        </w:tabs>
        <w:ind w:left="3600" w:hanging="360"/>
      </w:pPr>
    </w:lvl>
    <w:lvl w:ilvl="5" w:tplc="C6BEFE2E" w:tentative="1">
      <w:start w:val="1"/>
      <w:numFmt w:val="lowerRoman"/>
      <w:lvlText w:val="%6."/>
      <w:lvlJc w:val="right"/>
      <w:pPr>
        <w:tabs>
          <w:tab w:val="num" w:pos="4320"/>
        </w:tabs>
        <w:ind w:left="4320" w:hanging="180"/>
      </w:pPr>
    </w:lvl>
    <w:lvl w:ilvl="6" w:tplc="C830527A" w:tentative="1">
      <w:start w:val="1"/>
      <w:numFmt w:val="decimal"/>
      <w:lvlText w:val="%7."/>
      <w:lvlJc w:val="left"/>
      <w:pPr>
        <w:tabs>
          <w:tab w:val="num" w:pos="5040"/>
        </w:tabs>
        <w:ind w:left="5040" w:hanging="360"/>
      </w:pPr>
    </w:lvl>
    <w:lvl w:ilvl="7" w:tplc="6DCEE32C" w:tentative="1">
      <w:start w:val="1"/>
      <w:numFmt w:val="lowerLetter"/>
      <w:lvlText w:val="%8."/>
      <w:lvlJc w:val="left"/>
      <w:pPr>
        <w:tabs>
          <w:tab w:val="num" w:pos="5760"/>
        </w:tabs>
        <w:ind w:left="5760" w:hanging="360"/>
      </w:pPr>
    </w:lvl>
    <w:lvl w:ilvl="8" w:tplc="B0B0E6B6" w:tentative="1">
      <w:start w:val="1"/>
      <w:numFmt w:val="lowerRoman"/>
      <w:lvlText w:val="%9."/>
      <w:lvlJc w:val="right"/>
      <w:pPr>
        <w:tabs>
          <w:tab w:val="num" w:pos="6480"/>
        </w:tabs>
        <w:ind w:left="6480" w:hanging="180"/>
      </w:pPr>
    </w:lvl>
  </w:abstractNum>
  <w:abstractNum w:abstractNumId="11" w15:restartNumberingAfterBreak="0">
    <w:nsid w:val="262D4A5B"/>
    <w:multiLevelType w:val="hybridMultilevel"/>
    <w:tmpl w:val="A122218E"/>
    <w:lvl w:ilvl="0" w:tplc="C582942A">
      <w:start w:val="1"/>
      <w:numFmt w:val="upperRoman"/>
      <w:lvlText w:val="%1."/>
      <w:lvlJc w:val="left"/>
      <w:pPr>
        <w:ind w:left="1571" w:hanging="720"/>
      </w:pPr>
      <w:rPr>
        <w:rFonts w:hint="default"/>
      </w:rPr>
    </w:lvl>
    <w:lvl w:ilvl="1" w:tplc="44090019" w:tentative="1">
      <w:start w:val="1"/>
      <w:numFmt w:val="lowerLetter"/>
      <w:lvlText w:val="%2."/>
      <w:lvlJc w:val="left"/>
      <w:pPr>
        <w:ind w:left="1931" w:hanging="360"/>
      </w:pPr>
    </w:lvl>
    <w:lvl w:ilvl="2" w:tplc="4409001B" w:tentative="1">
      <w:start w:val="1"/>
      <w:numFmt w:val="lowerRoman"/>
      <w:lvlText w:val="%3."/>
      <w:lvlJc w:val="right"/>
      <w:pPr>
        <w:ind w:left="2651" w:hanging="180"/>
      </w:pPr>
    </w:lvl>
    <w:lvl w:ilvl="3" w:tplc="4409000F" w:tentative="1">
      <w:start w:val="1"/>
      <w:numFmt w:val="decimal"/>
      <w:lvlText w:val="%4."/>
      <w:lvlJc w:val="left"/>
      <w:pPr>
        <w:ind w:left="3371" w:hanging="360"/>
      </w:pPr>
    </w:lvl>
    <w:lvl w:ilvl="4" w:tplc="44090019" w:tentative="1">
      <w:start w:val="1"/>
      <w:numFmt w:val="lowerLetter"/>
      <w:lvlText w:val="%5."/>
      <w:lvlJc w:val="left"/>
      <w:pPr>
        <w:ind w:left="4091" w:hanging="360"/>
      </w:pPr>
    </w:lvl>
    <w:lvl w:ilvl="5" w:tplc="4409001B" w:tentative="1">
      <w:start w:val="1"/>
      <w:numFmt w:val="lowerRoman"/>
      <w:lvlText w:val="%6."/>
      <w:lvlJc w:val="right"/>
      <w:pPr>
        <w:ind w:left="4811" w:hanging="180"/>
      </w:pPr>
    </w:lvl>
    <w:lvl w:ilvl="6" w:tplc="4409000F" w:tentative="1">
      <w:start w:val="1"/>
      <w:numFmt w:val="decimal"/>
      <w:lvlText w:val="%7."/>
      <w:lvlJc w:val="left"/>
      <w:pPr>
        <w:ind w:left="5531" w:hanging="360"/>
      </w:pPr>
    </w:lvl>
    <w:lvl w:ilvl="7" w:tplc="44090019" w:tentative="1">
      <w:start w:val="1"/>
      <w:numFmt w:val="lowerLetter"/>
      <w:lvlText w:val="%8."/>
      <w:lvlJc w:val="left"/>
      <w:pPr>
        <w:ind w:left="6251" w:hanging="360"/>
      </w:pPr>
    </w:lvl>
    <w:lvl w:ilvl="8" w:tplc="4409001B" w:tentative="1">
      <w:start w:val="1"/>
      <w:numFmt w:val="lowerRoman"/>
      <w:lvlText w:val="%9."/>
      <w:lvlJc w:val="right"/>
      <w:pPr>
        <w:ind w:left="6971" w:hanging="180"/>
      </w:pPr>
    </w:lvl>
  </w:abstractNum>
  <w:abstractNum w:abstractNumId="12" w15:restartNumberingAfterBreak="0">
    <w:nsid w:val="3ACF4EB2"/>
    <w:multiLevelType w:val="hybridMultilevel"/>
    <w:tmpl w:val="CB6C816A"/>
    <w:lvl w:ilvl="0" w:tplc="579A2DA4">
      <w:start w:val="1"/>
      <w:numFmt w:val="bullet"/>
      <w:pStyle w:val="Bullet2G"/>
      <w:lvlText w:val="•"/>
      <w:lvlJc w:val="left"/>
      <w:pPr>
        <w:tabs>
          <w:tab w:val="num" w:pos="2268"/>
        </w:tabs>
        <w:ind w:left="2268" w:hanging="170"/>
      </w:pPr>
      <w:rPr>
        <w:rFonts w:ascii="Times New Roman" w:hAnsi="Times New Roman" w:cs="Times New Roman" w:hint="default"/>
      </w:rPr>
    </w:lvl>
    <w:lvl w:ilvl="1" w:tplc="54B64FEA" w:tentative="1">
      <w:start w:val="1"/>
      <w:numFmt w:val="bullet"/>
      <w:lvlText w:val="o"/>
      <w:lvlJc w:val="left"/>
      <w:pPr>
        <w:tabs>
          <w:tab w:val="num" w:pos="3708"/>
        </w:tabs>
        <w:ind w:left="3708" w:hanging="360"/>
      </w:pPr>
      <w:rPr>
        <w:rFonts w:ascii="Courier New" w:hAnsi="Courier New" w:hint="default"/>
      </w:rPr>
    </w:lvl>
    <w:lvl w:ilvl="2" w:tplc="2D964902" w:tentative="1">
      <w:start w:val="1"/>
      <w:numFmt w:val="bullet"/>
      <w:lvlText w:val=""/>
      <w:lvlJc w:val="left"/>
      <w:pPr>
        <w:tabs>
          <w:tab w:val="num" w:pos="4428"/>
        </w:tabs>
        <w:ind w:left="4428" w:hanging="360"/>
      </w:pPr>
      <w:rPr>
        <w:rFonts w:ascii="Wingdings" w:hAnsi="Wingdings" w:hint="default"/>
      </w:rPr>
    </w:lvl>
    <w:lvl w:ilvl="3" w:tplc="2C82F11E" w:tentative="1">
      <w:start w:val="1"/>
      <w:numFmt w:val="bullet"/>
      <w:lvlText w:val=""/>
      <w:lvlJc w:val="left"/>
      <w:pPr>
        <w:tabs>
          <w:tab w:val="num" w:pos="5148"/>
        </w:tabs>
        <w:ind w:left="5148" w:hanging="360"/>
      </w:pPr>
      <w:rPr>
        <w:rFonts w:ascii="Symbol" w:hAnsi="Symbol" w:hint="default"/>
      </w:rPr>
    </w:lvl>
    <w:lvl w:ilvl="4" w:tplc="9B5C92E4" w:tentative="1">
      <w:start w:val="1"/>
      <w:numFmt w:val="bullet"/>
      <w:lvlText w:val="o"/>
      <w:lvlJc w:val="left"/>
      <w:pPr>
        <w:tabs>
          <w:tab w:val="num" w:pos="5868"/>
        </w:tabs>
        <w:ind w:left="5868" w:hanging="360"/>
      </w:pPr>
      <w:rPr>
        <w:rFonts w:ascii="Courier New" w:hAnsi="Courier New" w:hint="default"/>
      </w:rPr>
    </w:lvl>
    <w:lvl w:ilvl="5" w:tplc="DF2E8284" w:tentative="1">
      <w:start w:val="1"/>
      <w:numFmt w:val="bullet"/>
      <w:lvlText w:val=""/>
      <w:lvlJc w:val="left"/>
      <w:pPr>
        <w:tabs>
          <w:tab w:val="num" w:pos="6588"/>
        </w:tabs>
        <w:ind w:left="6588" w:hanging="360"/>
      </w:pPr>
      <w:rPr>
        <w:rFonts w:ascii="Wingdings" w:hAnsi="Wingdings" w:hint="default"/>
      </w:rPr>
    </w:lvl>
    <w:lvl w:ilvl="6" w:tplc="6ADA9474" w:tentative="1">
      <w:start w:val="1"/>
      <w:numFmt w:val="bullet"/>
      <w:lvlText w:val=""/>
      <w:lvlJc w:val="left"/>
      <w:pPr>
        <w:tabs>
          <w:tab w:val="num" w:pos="7308"/>
        </w:tabs>
        <w:ind w:left="7308" w:hanging="360"/>
      </w:pPr>
      <w:rPr>
        <w:rFonts w:ascii="Symbol" w:hAnsi="Symbol" w:hint="default"/>
      </w:rPr>
    </w:lvl>
    <w:lvl w:ilvl="7" w:tplc="9C54F21A" w:tentative="1">
      <w:start w:val="1"/>
      <w:numFmt w:val="bullet"/>
      <w:lvlText w:val="o"/>
      <w:lvlJc w:val="left"/>
      <w:pPr>
        <w:tabs>
          <w:tab w:val="num" w:pos="8028"/>
        </w:tabs>
        <w:ind w:left="8028" w:hanging="360"/>
      </w:pPr>
      <w:rPr>
        <w:rFonts w:ascii="Courier New" w:hAnsi="Courier New" w:hint="default"/>
      </w:rPr>
    </w:lvl>
    <w:lvl w:ilvl="8" w:tplc="555C176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102A96B8">
      <w:start w:val="1"/>
      <w:numFmt w:val="bullet"/>
      <w:pStyle w:val="Bullet1G"/>
      <w:lvlText w:val="•"/>
      <w:lvlJc w:val="left"/>
      <w:pPr>
        <w:tabs>
          <w:tab w:val="num" w:pos="1701"/>
        </w:tabs>
        <w:ind w:left="1701" w:hanging="170"/>
      </w:pPr>
      <w:rPr>
        <w:rFonts w:ascii="Times New Roman" w:hAnsi="Times New Roman" w:cs="Times New Roman" w:hint="default"/>
      </w:rPr>
    </w:lvl>
    <w:lvl w:ilvl="1" w:tplc="9D5EB79E" w:tentative="1">
      <w:start w:val="1"/>
      <w:numFmt w:val="bullet"/>
      <w:lvlText w:val="o"/>
      <w:lvlJc w:val="left"/>
      <w:pPr>
        <w:tabs>
          <w:tab w:val="num" w:pos="3141"/>
        </w:tabs>
        <w:ind w:left="3141" w:hanging="360"/>
      </w:pPr>
      <w:rPr>
        <w:rFonts w:ascii="Courier New" w:hAnsi="Courier New" w:hint="default"/>
      </w:rPr>
    </w:lvl>
    <w:lvl w:ilvl="2" w:tplc="B02E7F4A" w:tentative="1">
      <w:start w:val="1"/>
      <w:numFmt w:val="bullet"/>
      <w:lvlText w:val=""/>
      <w:lvlJc w:val="left"/>
      <w:pPr>
        <w:tabs>
          <w:tab w:val="num" w:pos="3861"/>
        </w:tabs>
        <w:ind w:left="3861" w:hanging="360"/>
      </w:pPr>
      <w:rPr>
        <w:rFonts w:ascii="Wingdings" w:hAnsi="Wingdings" w:hint="default"/>
      </w:rPr>
    </w:lvl>
    <w:lvl w:ilvl="3" w:tplc="C35659B8" w:tentative="1">
      <w:start w:val="1"/>
      <w:numFmt w:val="bullet"/>
      <w:lvlText w:val=""/>
      <w:lvlJc w:val="left"/>
      <w:pPr>
        <w:tabs>
          <w:tab w:val="num" w:pos="4581"/>
        </w:tabs>
        <w:ind w:left="4581" w:hanging="360"/>
      </w:pPr>
      <w:rPr>
        <w:rFonts w:ascii="Symbol" w:hAnsi="Symbol" w:hint="default"/>
      </w:rPr>
    </w:lvl>
    <w:lvl w:ilvl="4" w:tplc="5570FDAE" w:tentative="1">
      <w:start w:val="1"/>
      <w:numFmt w:val="bullet"/>
      <w:lvlText w:val="o"/>
      <w:lvlJc w:val="left"/>
      <w:pPr>
        <w:tabs>
          <w:tab w:val="num" w:pos="5301"/>
        </w:tabs>
        <w:ind w:left="5301" w:hanging="360"/>
      </w:pPr>
      <w:rPr>
        <w:rFonts w:ascii="Courier New" w:hAnsi="Courier New" w:hint="default"/>
      </w:rPr>
    </w:lvl>
    <w:lvl w:ilvl="5" w:tplc="84729472" w:tentative="1">
      <w:start w:val="1"/>
      <w:numFmt w:val="bullet"/>
      <w:lvlText w:val=""/>
      <w:lvlJc w:val="left"/>
      <w:pPr>
        <w:tabs>
          <w:tab w:val="num" w:pos="6021"/>
        </w:tabs>
        <w:ind w:left="6021" w:hanging="360"/>
      </w:pPr>
      <w:rPr>
        <w:rFonts w:ascii="Wingdings" w:hAnsi="Wingdings" w:hint="default"/>
      </w:rPr>
    </w:lvl>
    <w:lvl w:ilvl="6" w:tplc="578E7486" w:tentative="1">
      <w:start w:val="1"/>
      <w:numFmt w:val="bullet"/>
      <w:lvlText w:val=""/>
      <w:lvlJc w:val="left"/>
      <w:pPr>
        <w:tabs>
          <w:tab w:val="num" w:pos="6741"/>
        </w:tabs>
        <w:ind w:left="6741" w:hanging="360"/>
      </w:pPr>
      <w:rPr>
        <w:rFonts w:ascii="Symbol" w:hAnsi="Symbol" w:hint="default"/>
      </w:rPr>
    </w:lvl>
    <w:lvl w:ilvl="7" w:tplc="D0225908" w:tentative="1">
      <w:start w:val="1"/>
      <w:numFmt w:val="bullet"/>
      <w:lvlText w:val="o"/>
      <w:lvlJc w:val="left"/>
      <w:pPr>
        <w:tabs>
          <w:tab w:val="num" w:pos="7461"/>
        </w:tabs>
        <w:ind w:left="7461" w:hanging="360"/>
      </w:pPr>
      <w:rPr>
        <w:rFonts w:ascii="Courier New" w:hAnsi="Courier New" w:hint="default"/>
      </w:rPr>
    </w:lvl>
    <w:lvl w:ilvl="8" w:tplc="129A14B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62829674">
    <w:abstractNumId w:val="16"/>
  </w:num>
  <w:num w:numId="2" w16cid:durableId="1148740605">
    <w:abstractNumId w:val="12"/>
  </w:num>
  <w:num w:numId="3" w16cid:durableId="867184146">
    <w:abstractNumId w:val="10"/>
  </w:num>
  <w:num w:numId="4" w16cid:durableId="528640612">
    <w:abstractNumId w:val="8"/>
  </w:num>
  <w:num w:numId="5" w16cid:durableId="1052848960">
    <w:abstractNumId w:val="3"/>
  </w:num>
  <w:num w:numId="6" w16cid:durableId="1935288000">
    <w:abstractNumId w:val="2"/>
  </w:num>
  <w:num w:numId="7" w16cid:durableId="1537351333">
    <w:abstractNumId w:val="1"/>
  </w:num>
  <w:num w:numId="8" w16cid:durableId="25371859">
    <w:abstractNumId w:val="0"/>
  </w:num>
  <w:num w:numId="9" w16cid:durableId="2050228900">
    <w:abstractNumId w:val="9"/>
  </w:num>
  <w:num w:numId="10" w16cid:durableId="1914461037">
    <w:abstractNumId w:val="7"/>
  </w:num>
  <w:num w:numId="11" w16cid:durableId="386074704">
    <w:abstractNumId w:val="6"/>
  </w:num>
  <w:num w:numId="12" w16cid:durableId="1000040150">
    <w:abstractNumId w:val="5"/>
  </w:num>
  <w:num w:numId="13" w16cid:durableId="1501895695">
    <w:abstractNumId w:val="4"/>
  </w:num>
  <w:num w:numId="14" w16cid:durableId="1149438262">
    <w:abstractNumId w:val="16"/>
  </w:num>
  <w:num w:numId="15" w16cid:durableId="2117938350">
    <w:abstractNumId w:val="12"/>
  </w:num>
  <w:num w:numId="16" w16cid:durableId="423845577">
    <w:abstractNumId w:val="10"/>
  </w:num>
  <w:num w:numId="17" w16cid:durableId="1651792192">
    <w:abstractNumId w:val="13"/>
  </w:num>
  <w:num w:numId="18" w16cid:durableId="1833180455">
    <w:abstractNumId w:val="15"/>
  </w:num>
  <w:num w:numId="19" w16cid:durableId="145512506">
    <w:abstractNumId w:val="14"/>
  </w:num>
  <w:num w:numId="20" w16cid:durableId="1155419348">
    <w:abstractNumId w:val="17"/>
  </w:num>
  <w:num w:numId="21" w16cid:durableId="156965537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hyphenationZone w:val="425"/>
  <w:evenAndOddHeader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A38"/>
    <w:rsid w:val="000168F6"/>
    <w:rsid w:val="00023A38"/>
    <w:rsid w:val="00162EEF"/>
    <w:rsid w:val="00181EE0"/>
    <w:rsid w:val="00394C19"/>
    <w:rsid w:val="003D6145"/>
    <w:rsid w:val="004330CD"/>
    <w:rsid w:val="00455511"/>
    <w:rsid w:val="004A43A3"/>
    <w:rsid w:val="005F7A44"/>
    <w:rsid w:val="00652BF0"/>
    <w:rsid w:val="006911E5"/>
    <w:rsid w:val="00705C87"/>
    <w:rsid w:val="00737760"/>
    <w:rsid w:val="007C6769"/>
    <w:rsid w:val="007F4501"/>
    <w:rsid w:val="00A44539"/>
    <w:rsid w:val="00B32359"/>
    <w:rsid w:val="00B44137"/>
    <w:rsid w:val="00FD5CC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6956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0C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6911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yperlink" Target="https://d.docs.live.net/6c720b0299e28714/Documents/CRC/1.%20FINAL%20Malaysia's%20Main%20Draft%20Written%20Replies%20LOI%20CRC%20(10012026).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2026-07-21T18:19:25+00:00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42601E-F64C-42BE-B903-F5A605AC479B}"/>
</file>

<file path=customXml/itemProps2.xml><?xml version="1.0" encoding="utf-8"?>
<ds:datastoreItem xmlns:ds="http://schemas.openxmlformats.org/officeDocument/2006/customXml" ds:itemID="{14DFC919-DEF2-4D93-B3A2-2D836A1CAF8D}">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2EA5D47C-D9C6-499E-9359-81CF91844D52}">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5</Pages>
  <Words>2170</Words>
  <Characters>12369</Characters>
  <Application>Microsoft Office Word</Application>
  <DocSecurity>0</DocSecurity>
  <Lines>103</Lines>
  <Paragraphs>29</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14510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CEDAW/C/MYS/FCO/6</dc:title>
  <dc:creator>Gloria</dc:creator>
  <cp:lastModifiedBy>Jamila Devi Seerathun</cp:lastModifiedBy>
  <cp:revision>3</cp:revision>
  <cp:lastPrinted>2017-04-21T12:16:00Z</cp:lastPrinted>
  <dcterms:created xsi:type="dcterms:W3CDTF">2026-07-21T18:19:00Z</dcterms:created>
  <dcterms:modified xsi:type="dcterms:W3CDTF">2026-07-21T18:19:00Z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ntentTypeId">
    <vt:lpwstr>0x010100A3CFA62B47352B44BFD11BEB9CD9FD5A</vt:lpwstr>
  </property>
  <property fmtid="{D5CDD505-2E9C-101B-9397-08002B2CF9AE}" pid="8" name="count">
    <vt:lpwstr>Malaysia</vt:lpwstr>
  </property>
  <property fmtid="{D5CDD505-2E9C-101B-9397-08002B2CF9AE}" pid="9" name="countw">
    <vt:lpwstr>Malaysia</vt:lpwstr>
  </property>
  <property fmtid="{D5CDD505-2E9C-101B-9397-08002B2CF9AE}" pid="10" name="countwd">
    <vt:lpwstr>Malaysia</vt:lpwstr>
  </property>
  <property fmtid="{D5CDD505-2E9C-101B-9397-08002B2CF9AE}" pid="11" name="date">
    <vt:lpwstr>22 July 2026</vt:lpwstr>
  </property>
  <property fmtid="{D5CDD505-2E9C-101B-9397-08002B2CF9AE}" pid="12" name="Date-Generated">
    <vt:filetime>2026-07-21T18:06:36Z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 - Follow-up</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English</vt:lpwstr>
  </property>
  <property fmtid="{D5CDD505-2E9C-101B-9397-08002B2CF9AE}" pid="20" name="Order">
    <vt:r8>160000</vt:r8>
  </property>
  <property fmtid="{D5CDD505-2E9C-101B-9397-08002B2CF9AE}" pid="21" name="Org">
    <vt:lpwstr>OHCHR</vt:lpwstr>
  </property>
  <property fmtid="{D5CDD505-2E9C-101B-9397-08002B2CF9AE}" pid="22" name="prep">
    <vt:lpwstr>sixth periodic report of Malaysia</vt:lpwstr>
  </property>
  <property fmtid="{D5CDD505-2E9C-101B-9397-08002B2CF9AE}" pid="23" name="preps">
    <vt:lpwstr>sixth periodic report of Malaysia</vt:lpwstr>
  </property>
  <property fmtid="{D5CDD505-2E9C-101B-9397-08002B2CF9AE}" pid="24" name="prepw">
    <vt:lpwstr>sixth periodic report</vt:lpwstr>
  </property>
  <property fmtid="{D5CDD505-2E9C-101B-9397-08002B2CF9AE}" pid="25" name="prepwc">
    <vt:lpwstr>Sixth periodic report </vt:lpwstr>
  </property>
  <property fmtid="{D5CDD505-2E9C-101B-9397-08002B2CF9AE}" pid="26" name="prepws">
    <vt:lpwstr>sixth periodic report</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C/MYS/FCO/6</vt:lpwstr>
  </property>
  <property fmtid="{D5CDD505-2E9C-101B-9397-08002B2CF9AE}" pid="32" name="symh">
    <vt:lpwstr>CEDAW/C/MYS/FCO/6</vt:lpwstr>
  </property>
  <property fmtid="{D5CDD505-2E9C-101B-9397-08002B2CF9AE}" pid="33" name="Title">
    <vt:lpwstr>CEDAW/C/MYS/FCO/6</vt:lpwstr>
  </property>
  <property fmtid="{D5CDD505-2E9C-101B-9397-08002B2CF9AE}" pid="34" name="tlang">
    <vt:lpwstr/>
  </property>
  <property fmtid="{D5CDD505-2E9C-101B-9397-08002B2CF9AE}" pid="35" name="virs">
    <vt:lpwstr>English, French and Spanish only</vt:lpwstr>
  </property>
  <property fmtid="{D5CDD505-2E9C-101B-9397-08002B2CF9AE}" pid="36" name="MediaServiceImageTags">
    <vt:lpwstr/>
  </property>
</Properties>
</file>