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2D5AAC" w:rsidTr="00BF087B">
        <w:trPr>
          <w:trHeight w:hRule="exact" w:val="851"/>
        </w:trPr>
        <w:tc>
          <w:tcPr>
            <w:tcW w:w="1276" w:type="dxa"/>
            <w:tcBorders>
              <w:bottom w:val="single" w:sz="4" w:space="0" w:color="auto"/>
            </w:tcBorders>
          </w:tcPr>
          <w:p w:rsidR="002D5AAC" w:rsidRDefault="002D5AAC" w:rsidP="00BF087B"/>
        </w:tc>
        <w:tc>
          <w:tcPr>
            <w:tcW w:w="2268" w:type="dxa"/>
            <w:tcBorders>
              <w:bottom w:val="single" w:sz="4" w:space="0" w:color="auto"/>
            </w:tcBorders>
            <w:vAlign w:val="bottom"/>
          </w:tcPr>
          <w:p w:rsidR="002D5AAC" w:rsidRPr="00BD33EE" w:rsidRDefault="002D5AAC" w:rsidP="00BF087B">
            <w:pPr>
              <w:spacing w:after="80" w:line="300" w:lineRule="exact"/>
              <w:rPr>
                <w:sz w:val="28"/>
              </w:rPr>
            </w:pPr>
          </w:p>
        </w:tc>
        <w:tc>
          <w:tcPr>
            <w:tcW w:w="6073" w:type="dxa"/>
            <w:gridSpan w:val="2"/>
            <w:tcBorders>
              <w:bottom w:val="single" w:sz="4" w:space="0" w:color="auto"/>
            </w:tcBorders>
            <w:vAlign w:val="bottom"/>
          </w:tcPr>
          <w:p w:rsidR="002D5AAC" w:rsidRDefault="007B06E2" w:rsidP="008024C3">
            <w:pPr>
              <w:jc w:val="right"/>
            </w:pPr>
            <w:r w:rsidRPr="007B06E2">
              <w:rPr>
                <w:sz w:val="40"/>
              </w:rPr>
              <w:t>CERD</w:t>
            </w:r>
            <w:r>
              <w:t>/C/</w:t>
            </w:r>
            <w:r w:rsidR="008024C3">
              <w:t>HND</w:t>
            </w:r>
            <w:r>
              <w:t>/CO/</w:t>
            </w:r>
            <w:r w:rsidR="008024C3">
              <w:t>6-8</w:t>
            </w:r>
            <w:r>
              <w:t>/Add.1</w:t>
            </w:r>
          </w:p>
        </w:tc>
      </w:tr>
      <w:tr w:rsidR="002D5AAC" w:rsidTr="00BF087B">
        <w:trPr>
          <w:trHeight w:hRule="exact" w:val="2835"/>
        </w:trPr>
        <w:tc>
          <w:tcPr>
            <w:tcW w:w="1276" w:type="dxa"/>
            <w:tcBorders>
              <w:top w:val="single" w:sz="4" w:space="0" w:color="auto"/>
              <w:bottom w:val="single" w:sz="12" w:space="0" w:color="auto"/>
            </w:tcBorders>
          </w:tcPr>
          <w:p w:rsidR="002D5AAC" w:rsidRDefault="002D5AAC" w:rsidP="00BF087B">
            <w:pPr>
              <w:spacing w:before="120"/>
              <w:jc w:val="center"/>
            </w:pPr>
          </w:p>
        </w:tc>
        <w:tc>
          <w:tcPr>
            <w:tcW w:w="5528" w:type="dxa"/>
            <w:gridSpan w:val="2"/>
            <w:tcBorders>
              <w:top w:val="single" w:sz="4" w:space="0" w:color="auto"/>
              <w:bottom w:val="single" w:sz="12" w:space="0" w:color="auto"/>
            </w:tcBorders>
          </w:tcPr>
          <w:p w:rsidR="002D5AAC" w:rsidRPr="00C00416" w:rsidRDefault="00C00416" w:rsidP="00BF087B">
            <w:pPr>
              <w:spacing w:before="120" w:line="380" w:lineRule="exact"/>
              <w:rPr>
                <w:b/>
                <w:sz w:val="28"/>
                <w:szCs w:val="28"/>
              </w:rPr>
            </w:pPr>
            <w:r w:rsidRPr="00C00416">
              <w:rPr>
                <w:b/>
                <w:sz w:val="28"/>
                <w:szCs w:val="28"/>
              </w:rPr>
              <w:t>VERSION AVANZADA NO EDITADA</w:t>
            </w:r>
          </w:p>
        </w:tc>
        <w:tc>
          <w:tcPr>
            <w:tcW w:w="2813" w:type="dxa"/>
            <w:tcBorders>
              <w:top w:val="single" w:sz="4" w:space="0" w:color="auto"/>
              <w:bottom w:val="single" w:sz="12" w:space="0" w:color="auto"/>
            </w:tcBorders>
          </w:tcPr>
          <w:p w:rsidR="002D5AAC" w:rsidRDefault="007B06E2" w:rsidP="007B06E2">
            <w:pPr>
              <w:spacing w:before="240" w:line="240" w:lineRule="exact"/>
            </w:pPr>
            <w:proofErr w:type="spellStart"/>
            <w:r>
              <w:t>Distr</w:t>
            </w:r>
            <w:proofErr w:type="spellEnd"/>
            <w:r>
              <w:t>. general</w:t>
            </w:r>
          </w:p>
          <w:p w:rsidR="007B06E2" w:rsidRDefault="008024C3" w:rsidP="007B06E2">
            <w:pPr>
              <w:spacing w:line="240" w:lineRule="exact"/>
            </w:pPr>
            <w:r>
              <w:t>1</w:t>
            </w:r>
            <w:r w:rsidR="007B06E2">
              <w:t>7 de diciembre de 201</w:t>
            </w:r>
            <w:r>
              <w:t>9</w:t>
            </w:r>
          </w:p>
          <w:p w:rsidR="007B06E2" w:rsidRDefault="007B06E2" w:rsidP="007B06E2">
            <w:pPr>
              <w:spacing w:line="240" w:lineRule="exact"/>
            </w:pPr>
          </w:p>
          <w:p w:rsidR="007B06E2" w:rsidRDefault="007B06E2" w:rsidP="007B06E2">
            <w:pPr>
              <w:spacing w:line="240" w:lineRule="exact"/>
            </w:pPr>
            <w:r>
              <w:t>Original: español</w:t>
            </w:r>
          </w:p>
          <w:p w:rsidR="007B06E2" w:rsidRPr="007B06E2" w:rsidRDefault="007B06E2" w:rsidP="007B06E2">
            <w:pPr>
              <w:spacing w:line="240" w:lineRule="exact"/>
            </w:pPr>
            <w:r w:rsidRPr="007B06E2">
              <w:t xml:space="preserve">Español, </w:t>
            </w:r>
            <w:proofErr w:type="gramStart"/>
            <w:r w:rsidRPr="007B06E2">
              <w:t>Francés</w:t>
            </w:r>
            <w:proofErr w:type="gramEnd"/>
            <w:r w:rsidRPr="007B06E2">
              <w:t xml:space="preserve"> e Inglés</w:t>
            </w:r>
          </w:p>
          <w:p w:rsidR="007B06E2" w:rsidRPr="007B06E2" w:rsidRDefault="007B06E2" w:rsidP="007B06E2">
            <w:pPr>
              <w:spacing w:line="240" w:lineRule="exact"/>
            </w:pPr>
            <w:r w:rsidRPr="007B06E2">
              <w:t>Únicamente</w:t>
            </w:r>
          </w:p>
          <w:p w:rsidR="007B06E2" w:rsidRDefault="007B06E2" w:rsidP="007B06E2">
            <w:pPr>
              <w:spacing w:line="240" w:lineRule="exact"/>
            </w:pPr>
          </w:p>
        </w:tc>
      </w:tr>
    </w:tbl>
    <w:p w:rsidR="007B06E2" w:rsidRDefault="007B06E2" w:rsidP="007B06E2">
      <w:pPr>
        <w:autoSpaceDE w:val="0"/>
        <w:autoSpaceDN w:val="0"/>
        <w:adjustRightInd w:val="0"/>
        <w:spacing w:before="120"/>
        <w:rPr>
          <w:b/>
          <w:bCs/>
          <w:sz w:val="24"/>
          <w:szCs w:val="24"/>
        </w:rPr>
      </w:pPr>
      <w:r>
        <w:rPr>
          <w:b/>
          <w:sz w:val="24"/>
        </w:rPr>
        <w:t>Comité para la Eliminación de la Discriminación Racial</w:t>
      </w:r>
    </w:p>
    <w:p w:rsidR="007B06E2" w:rsidRPr="008024C3" w:rsidRDefault="007B06E2" w:rsidP="008024C3">
      <w:pPr>
        <w:pStyle w:val="HChG"/>
      </w:pPr>
      <w:r>
        <w:tab/>
      </w:r>
      <w:r>
        <w:rPr>
          <w:sz w:val="34"/>
        </w:rPr>
        <w:tab/>
      </w:r>
      <w:r w:rsidRPr="008024C3">
        <w:t xml:space="preserve">Observaciones finales sobre el </w:t>
      </w:r>
      <w:r w:rsidR="008024C3" w:rsidRPr="008024C3">
        <w:t>del sexto al octavo</w:t>
      </w:r>
      <w:r w:rsidR="008024C3">
        <w:t xml:space="preserve"> </w:t>
      </w:r>
      <w:r w:rsidRPr="008024C3">
        <w:t xml:space="preserve">informe periódicos de </w:t>
      </w:r>
      <w:r w:rsidR="008024C3">
        <w:t>Honduras</w:t>
      </w:r>
    </w:p>
    <w:p w:rsidR="007B06E2" w:rsidRPr="000277DA" w:rsidRDefault="007B06E2" w:rsidP="007B06E2">
      <w:pPr>
        <w:pStyle w:val="H23G"/>
      </w:pPr>
      <w:r>
        <w:tab/>
      </w:r>
      <w:r>
        <w:tab/>
        <w:t>Adición</w:t>
      </w:r>
    </w:p>
    <w:p w:rsidR="007B06E2" w:rsidRPr="000277DA" w:rsidRDefault="007B06E2" w:rsidP="007B06E2">
      <w:pPr>
        <w:pStyle w:val="HChG"/>
      </w:pPr>
      <w:r>
        <w:tab/>
      </w:r>
      <w:r w:rsidR="008024C3">
        <w:tab/>
        <w:t>Información recibida de Honduras</w:t>
      </w:r>
      <w:r w:rsidRPr="0053050D">
        <w:t xml:space="preserve"> </w:t>
      </w:r>
      <w:r>
        <w:t>sobre el seguimiento de las observaciones finales</w:t>
      </w:r>
    </w:p>
    <w:p w:rsidR="007B06E2" w:rsidRDefault="007B06E2" w:rsidP="007B06E2">
      <w:pPr>
        <w:pStyle w:val="SingleTxtG"/>
        <w:jc w:val="right"/>
      </w:pPr>
      <w:r>
        <w:t>[</w:t>
      </w:r>
      <w:r w:rsidRPr="00133CE2">
        <w:t xml:space="preserve">Fecha de recepción: </w:t>
      </w:r>
      <w:r w:rsidR="00714AA3">
        <w:t>1</w:t>
      </w:r>
      <w:r w:rsidR="008024C3">
        <w:t>6</w:t>
      </w:r>
      <w:r>
        <w:t xml:space="preserve"> de </w:t>
      </w:r>
      <w:r w:rsidR="00714AA3">
        <w:t>diciembre</w:t>
      </w:r>
      <w:r>
        <w:t xml:space="preserve"> de</w:t>
      </w:r>
      <w:r w:rsidRPr="00133CE2">
        <w:t xml:space="preserve"> 201</w:t>
      </w:r>
      <w:r w:rsidR="008024C3">
        <w:t>9</w:t>
      </w:r>
      <w:r>
        <w:t>]</w:t>
      </w:r>
    </w:p>
    <w:p w:rsidR="006334BC" w:rsidRDefault="00714AA3" w:rsidP="006334BC">
      <w:pPr>
        <w:jc w:val="both"/>
        <w:rPr>
          <w:color w:val="4F81BD" w:themeColor="accent1"/>
          <w:sz w:val="64"/>
          <w:szCs w:val="64"/>
        </w:rPr>
      </w:pPr>
      <w:r>
        <w:br w:type="page"/>
      </w:r>
    </w:p>
    <w:p w:rsidR="006334BC" w:rsidRPr="00F11FDF" w:rsidRDefault="006334BC" w:rsidP="006334BC">
      <w:pPr>
        <w:pStyle w:val="HChG"/>
      </w:pPr>
      <w:r>
        <w:lastRenderedPageBreak/>
        <w:tab/>
      </w:r>
      <w:r>
        <w:tab/>
      </w:r>
      <w:r w:rsidRPr="00F11FDF">
        <w:t>Introducción</w:t>
      </w:r>
    </w:p>
    <w:p w:rsidR="006334BC" w:rsidRPr="00F11FDF" w:rsidRDefault="006334BC" w:rsidP="006334BC">
      <w:pPr>
        <w:pStyle w:val="SingleTxtG"/>
        <w:numPr>
          <w:ilvl w:val="0"/>
          <w:numId w:val="26"/>
        </w:numPr>
        <w:ind w:left="1134" w:firstLine="0"/>
      </w:pPr>
      <w:r w:rsidRPr="00F11FDF">
        <w:t>El Comité para la Eliminación de la Discriminación Racial (CERD) examinó los informes 6° a 8° combinado presentados en un único documento por el Estado de Honduras en virtud del artículo 9, párrafo 1 inciso b) de la Convención Internacional sobre la Eliminación de todas las Formas de Discriminación Racial, en sus sesiones 2685ª y 2686ª (CERD/C/HND/6-8), celebradas los días 28 y 29 de noviembre de 2018. En su 2700ª sesión, celebrada el 10 de diciembre de 2018, aprobó las observaciones finales y solicitó al Estado de Honduras que, en el plazo de un año a partir de la aprobación de las referidas Observaciones, facilite información por escrito sobre el curso dado a las recomendaciones formuladas por el Comité que figuran en los párrafos 19 d) y e), 21 c) y 25 a) y b)</w:t>
      </w:r>
      <w:r w:rsidR="00AD6596">
        <w:rPr>
          <w:rStyle w:val="FootnoteReference"/>
        </w:rPr>
        <w:footnoteReference w:id="1"/>
      </w:r>
      <w:r w:rsidRPr="00F11FDF">
        <w:t xml:space="preserve">.  </w:t>
      </w:r>
    </w:p>
    <w:p w:rsidR="006334BC" w:rsidRPr="00F11FDF" w:rsidRDefault="006334BC" w:rsidP="006334BC">
      <w:pPr>
        <w:pStyle w:val="SingleTxtG"/>
        <w:numPr>
          <w:ilvl w:val="0"/>
          <w:numId w:val="26"/>
        </w:numPr>
        <w:ind w:left="1134" w:firstLine="0"/>
      </w:pPr>
      <w:r w:rsidRPr="00F11FDF">
        <w:t xml:space="preserve">En tal sentido, el Estado de Honduras en cumplimiento de sus compromisos internacionales, elaboró el presente informe de seguimiento sobre la implementación de las recomendaciones formuladas por el Comité, a través de la Secretaría de Derechos Humanos (SEDH) como ente encargado de coordinar los informes en materia de derechos humanos. </w:t>
      </w:r>
    </w:p>
    <w:p w:rsidR="006334BC" w:rsidRPr="00F11FDF" w:rsidRDefault="006334BC" w:rsidP="006334BC">
      <w:pPr>
        <w:pStyle w:val="SingleTxtG"/>
        <w:numPr>
          <w:ilvl w:val="0"/>
          <w:numId w:val="26"/>
        </w:numPr>
        <w:ind w:left="1134" w:firstLine="0"/>
      </w:pPr>
      <w:r w:rsidRPr="00F11FDF">
        <w:t>La información contenida en el presente documento fue brindada por las instituciones estatales competentes que conforman el Grupo Especial de Respuesta en Derechos Humanos</w:t>
      </w:r>
      <w:r w:rsidR="00AD6596">
        <w:rPr>
          <w:rStyle w:val="FootnoteReference"/>
        </w:rPr>
        <w:footnoteReference w:id="2"/>
      </w:r>
      <w:r w:rsidRPr="00F11FDF">
        <w:t>, que a su vez integran el Sistema de Monitoreo de Recomendaciones de Honduras (SIMOREH)</w:t>
      </w:r>
      <w:r w:rsidR="00AD6596">
        <w:rPr>
          <w:rStyle w:val="FootnoteReference"/>
        </w:rPr>
        <w:footnoteReference w:id="3"/>
      </w:r>
      <w:r w:rsidRPr="00F11FDF">
        <w:t>. Durante 2019 se instaló la Mesa SIMOREH de Pueblos Indígenas y Afro Hondureños (PIAH) en dos ocasiones, la primera para la auto asignación de las recomendaciones contenidas en las referidas observaciones y la segunda, para el seguimiento y revisión de los avances en la implementación de las recomendaciones priorizadas, incluidas las recomendaciones a las cuales estamos informando el seguimiento.</w:t>
      </w:r>
    </w:p>
    <w:p w:rsidR="006334BC" w:rsidRPr="00F11FDF" w:rsidRDefault="006334BC" w:rsidP="006334BC">
      <w:pPr>
        <w:pStyle w:val="SingleTxtG"/>
        <w:numPr>
          <w:ilvl w:val="0"/>
          <w:numId w:val="26"/>
        </w:numPr>
        <w:ind w:left="1134" w:firstLine="0"/>
      </w:pPr>
      <w:r w:rsidRPr="00F11FDF">
        <w:t xml:space="preserve">Honduras reafirma su voluntad en el cumplimiento de sus compromisos internacionales y mantiene su compromiso de presentar su próximo informe periódico de conformidad a la directriz dictada en las observaciones finales. </w:t>
      </w:r>
    </w:p>
    <w:p w:rsidR="006334BC" w:rsidRPr="00F11FDF" w:rsidRDefault="006334BC" w:rsidP="006334BC">
      <w:pPr>
        <w:pStyle w:val="HChG"/>
      </w:pPr>
      <w:r>
        <w:tab/>
      </w:r>
      <w:r>
        <w:tab/>
        <w:t xml:space="preserve">Informe de Seguimiento a las Recomendaciones </w:t>
      </w:r>
      <w:proofErr w:type="spellStart"/>
      <w:r>
        <w:t>del</w:t>
      </w:r>
      <w:r w:rsidRPr="00F11FDF">
        <w:t>Los</w:t>
      </w:r>
      <w:proofErr w:type="spellEnd"/>
      <w:r w:rsidRPr="00F11FDF">
        <w:t xml:space="preserve"> Párrafos 19 D) Y E), 21 C) Y 25 A) Y B)</w:t>
      </w:r>
    </w:p>
    <w:p w:rsidR="006334BC" w:rsidRPr="00F11FDF" w:rsidRDefault="006334BC" w:rsidP="006334BC">
      <w:pPr>
        <w:pStyle w:val="H1G"/>
        <w:rPr>
          <w:bCs/>
        </w:rPr>
      </w:pPr>
      <w:r>
        <w:tab/>
      </w:r>
      <w:r>
        <w:tab/>
      </w:r>
      <w:r w:rsidRPr="00F11FDF">
        <w:t xml:space="preserve">Párrafo Núm. 19 D) Y E) </w:t>
      </w:r>
    </w:p>
    <w:p w:rsidR="006334BC" w:rsidRPr="006334BC" w:rsidRDefault="006334BC" w:rsidP="006334BC">
      <w:pPr>
        <w:pStyle w:val="SingleTxtG"/>
        <w:numPr>
          <w:ilvl w:val="0"/>
          <w:numId w:val="26"/>
        </w:numPr>
        <w:ind w:left="1134" w:firstLine="0"/>
        <w:rPr>
          <w:b/>
        </w:rPr>
      </w:pPr>
      <w:r w:rsidRPr="006334BC">
        <w:rPr>
          <w:b/>
        </w:rPr>
        <w:t>“El Comité insta al Estado parte a: … d) Sin perjuicio de la reglamentación que se proyecta, garantizar el derecho a la consulta previa en los términos previstos en el Convenio sobre Pueblos Indígenas y Tribales, 1989 (núm. 169) de la Organización Internacional del Trabajo (OIT), así como otros estándares internacionalmente reconocidos;”</w:t>
      </w:r>
    </w:p>
    <w:p w:rsidR="006334BC" w:rsidRPr="00F11FDF" w:rsidRDefault="006334BC" w:rsidP="006334BC">
      <w:pPr>
        <w:pStyle w:val="SingleTxtG"/>
        <w:numPr>
          <w:ilvl w:val="0"/>
          <w:numId w:val="26"/>
        </w:numPr>
        <w:ind w:left="1134" w:firstLine="0"/>
      </w:pPr>
      <w:r w:rsidRPr="00F11FDF">
        <w:t xml:space="preserve">Para garantizar el derecho a la Consulta previa, libre e informada, en los términos previstos en el Convenio 169 y la Declaración de los Pueblos Indígenas, se informa que entre las instituciones del Estado que están implementando la consulta se encuentra el Instituto Nacional Agrario (INA), en el proceso de Consulta desarrollado en el Concejo Territorial </w:t>
      </w:r>
      <w:proofErr w:type="spellStart"/>
      <w:r w:rsidRPr="00F11FDF">
        <w:t>Miskitu</w:t>
      </w:r>
      <w:proofErr w:type="spellEnd"/>
      <w:r w:rsidRPr="00F11FDF">
        <w:t xml:space="preserve"> de DIUNAT en </w:t>
      </w:r>
      <w:proofErr w:type="spellStart"/>
      <w:r w:rsidRPr="00F11FDF">
        <w:t>Brus</w:t>
      </w:r>
      <w:proofErr w:type="spellEnd"/>
      <w:r w:rsidRPr="00F11FDF">
        <w:t xml:space="preserve"> Laguna, sobre la implementación del Proyecto de Energía Fotovoltaica y el área de instalación del mismo. Este proceso de consulta se realizó en las comunidades de </w:t>
      </w:r>
      <w:proofErr w:type="spellStart"/>
      <w:r w:rsidRPr="00F11FDF">
        <w:t>Araslaya</w:t>
      </w:r>
      <w:proofErr w:type="spellEnd"/>
      <w:r w:rsidRPr="00F11FDF">
        <w:t xml:space="preserve">, </w:t>
      </w:r>
      <w:proofErr w:type="spellStart"/>
      <w:r w:rsidRPr="00F11FDF">
        <w:t>Kusuapaika</w:t>
      </w:r>
      <w:proofErr w:type="spellEnd"/>
      <w:r w:rsidRPr="00F11FDF">
        <w:t xml:space="preserve">, </w:t>
      </w:r>
      <w:proofErr w:type="spellStart"/>
      <w:r w:rsidRPr="00F11FDF">
        <w:t>Twuitanta</w:t>
      </w:r>
      <w:proofErr w:type="spellEnd"/>
      <w:r w:rsidRPr="00F11FDF">
        <w:t xml:space="preserve">, con la asistencia de 435 personas, y la participación del Instituto de la Propiedad, a través de la Unidad Administradora de Proyectos (IP-UAP) y la Empresa Nacional de Energía Eléctrica (ENEE). </w:t>
      </w:r>
    </w:p>
    <w:p w:rsidR="006334BC" w:rsidRPr="00F11FDF" w:rsidRDefault="006334BC" w:rsidP="006334BC">
      <w:pPr>
        <w:pStyle w:val="SingleTxtG"/>
        <w:numPr>
          <w:ilvl w:val="0"/>
          <w:numId w:val="26"/>
        </w:numPr>
        <w:ind w:left="1134" w:firstLine="0"/>
      </w:pPr>
      <w:r w:rsidRPr="00F11FDF">
        <w:lastRenderedPageBreak/>
        <w:t xml:space="preserve">Asimismo, el proceso de Consulta al pueblo </w:t>
      </w:r>
      <w:proofErr w:type="spellStart"/>
      <w:r w:rsidRPr="00F11FDF">
        <w:t>Miskito</w:t>
      </w:r>
      <w:proofErr w:type="spellEnd"/>
      <w:r w:rsidRPr="00F11FDF">
        <w:t xml:space="preserve"> sobre el proyecto de explotación petrolera en las costas de la </w:t>
      </w:r>
      <w:proofErr w:type="spellStart"/>
      <w:r w:rsidRPr="00F11FDF">
        <w:t>Moskitia</w:t>
      </w:r>
      <w:proofErr w:type="spellEnd"/>
      <w:r w:rsidRPr="00F11FDF">
        <w:t xml:space="preserve">, realizado en los Concejos Territoriales de la </w:t>
      </w:r>
      <w:proofErr w:type="spellStart"/>
      <w:r w:rsidRPr="00F11FDF">
        <w:t>Moskitia</w:t>
      </w:r>
      <w:proofErr w:type="spellEnd"/>
      <w:r w:rsidRPr="00F11FDF">
        <w:t xml:space="preserve">, que fue amparado en el Protocolo </w:t>
      </w:r>
      <w:proofErr w:type="spellStart"/>
      <w:r w:rsidRPr="00F11FDF">
        <w:t>Bio</w:t>
      </w:r>
      <w:proofErr w:type="spellEnd"/>
      <w:r w:rsidRPr="00F11FDF">
        <w:t xml:space="preserve">-cultural del Pueblo </w:t>
      </w:r>
      <w:proofErr w:type="spellStart"/>
      <w:r w:rsidRPr="00F11FDF">
        <w:t>Miskito</w:t>
      </w:r>
      <w:proofErr w:type="spellEnd"/>
      <w:r w:rsidR="00AD6596">
        <w:rPr>
          <w:rStyle w:val="FootnoteReference"/>
        </w:rPr>
        <w:footnoteReference w:id="4"/>
      </w:r>
      <w:r w:rsidRPr="00F11FDF">
        <w:t>.</w:t>
      </w:r>
    </w:p>
    <w:p w:rsidR="006334BC" w:rsidRDefault="006334BC" w:rsidP="000D5282">
      <w:pPr>
        <w:pStyle w:val="SingleTxtG"/>
        <w:numPr>
          <w:ilvl w:val="0"/>
          <w:numId w:val="26"/>
        </w:numPr>
        <w:ind w:left="1134" w:firstLine="0"/>
      </w:pPr>
      <w:r w:rsidRPr="00F11FDF">
        <w:t>Adicionalmente, el Comisionado Nacional de los Derechos Humanos (CONADEH) imparte capacitaciones a los miembros de comunidades indígenas, con el fin de empoderarlos sobre sus derechos humanos, ponerlos en conocimiento sobre la existencia de los diferentes Convenios Internacionales que Honduras ha ratificado, entre ellos el Convenio 169 de la OIT. Además de capacitar sobre la importancia de consultar a los pueblos sobre temas de su interés.</w:t>
      </w:r>
    </w:p>
    <w:p w:rsidR="006334BC" w:rsidRPr="006334BC" w:rsidRDefault="006334BC" w:rsidP="000D5282">
      <w:pPr>
        <w:pStyle w:val="SingleTxtG"/>
        <w:numPr>
          <w:ilvl w:val="0"/>
          <w:numId w:val="26"/>
        </w:numPr>
        <w:ind w:left="1134" w:firstLine="0"/>
        <w:rPr>
          <w:b/>
        </w:rPr>
      </w:pPr>
      <w:r w:rsidRPr="006334BC">
        <w:rPr>
          <w:b/>
        </w:rPr>
        <w:t xml:space="preserve">“El Comité insta al Estado parte a: … e) Tener debidamente en consideración las recomendaciones realizadas por la Relatora Especial sobre los derechos de los pueblos indígenas en lo relativo a la consulta previa. </w:t>
      </w:r>
    </w:p>
    <w:p w:rsidR="006334BC" w:rsidRPr="006334BC" w:rsidRDefault="006334BC" w:rsidP="006334BC">
      <w:pPr>
        <w:pStyle w:val="SingleTxtG"/>
        <w:numPr>
          <w:ilvl w:val="0"/>
          <w:numId w:val="26"/>
        </w:numPr>
        <w:ind w:left="1134" w:firstLine="0"/>
      </w:pPr>
      <w:r w:rsidRPr="006334BC">
        <w:t>El Congreso Nacional (CN) ha tomado en cuenta las recomendaciones formuladas por la Relatora Especial sobre los derechos de los pueblos indígenas y en base a ellas ha iniciado un diálogo  para recibir asesorías de la Oficina del Alto Comisionado de las Naciones Unidas para los Derechos Humanos (OACNUDH), quien capacitará a funcionarios, empleados y diputados del CN involucrados en el dictamen y aprobación de la ley, asimismo se iniciarán procesos de formación en base a los estándares internacionales a los pueblos indígenas para realizar una verdadera consulta informada.</w:t>
      </w:r>
    </w:p>
    <w:p w:rsidR="006334BC" w:rsidRPr="006334BC" w:rsidRDefault="006334BC" w:rsidP="006334BC">
      <w:pPr>
        <w:pStyle w:val="SingleTxtG"/>
        <w:numPr>
          <w:ilvl w:val="0"/>
          <w:numId w:val="26"/>
        </w:numPr>
        <w:ind w:left="1134" w:firstLine="0"/>
      </w:pPr>
      <w:r w:rsidRPr="006334BC">
        <w:t>Recientemente, el Estado mantiene una comunicación con la Relatora</w:t>
      </w:r>
      <w:r w:rsidR="00AD6596">
        <w:rPr>
          <w:rStyle w:val="FootnoteReference"/>
        </w:rPr>
        <w:footnoteReference w:id="5"/>
      </w:r>
      <w:r w:rsidRPr="006334BC">
        <w:t>, y se le ha informado acerca del proceso para la aprobación del proyecto de decreto y de la asesoría que se recibirá por parte del OACNUDH, la cual incluye el proceso de capacitación, el diseño de la metodología de consulta a los PIAH y un mapeo de instituciones que deben participar en dicho proceso.</w:t>
      </w:r>
    </w:p>
    <w:p w:rsidR="006334BC" w:rsidRPr="00BA7694" w:rsidRDefault="00BA7694" w:rsidP="00BA7694">
      <w:pPr>
        <w:pStyle w:val="H1G"/>
      </w:pPr>
      <w:r>
        <w:tab/>
      </w:r>
      <w:r>
        <w:tab/>
      </w:r>
      <w:r w:rsidRPr="00BA7694">
        <w:t>Párrafo Núm. 21 C)</w:t>
      </w:r>
    </w:p>
    <w:p w:rsidR="006334BC" w:rsidRPr="00A008CA" w:rsidRDefault="006334BC" w:rsidP="00BA7694">
      <w:pPr>
        <w:pStyle w:val="SingleTxtG"/>
        <w:numPr>
          <w:ilvl w:val="0"/>
          <w:numId w:val="26"/>
        </w:numPr>
        <w:ind w:left="1134" w:firstLine="0"/>
        <w:rPr>
          <w:b/>
        </w:rPr>
      </w:pPr>
      <w:r w:rsidRPr="00A008CA">
        <w:rPr>
          <w:b/>
        </w:rPr>
        <w:t xml:space="preserve">“El Comité recomienda al Estado parte: … c) Intensifique sus esfuerzos para dar efectivo cumplimiento a las sentencias de la Corte Interamericana de Derechos Humanos </w:t>
      </w:r>
      <w:bookmarkStart w:id="0" w:name="_Hlk26348388"/>
      <w:r w:rsidRPr="00A008CA">
        <w:rPr>
          <w:b/>
        </w:rPr>
        <w:t>en los casos Comunidad Garífuna Punta Piedra y Comunidad Garífuna de Triunfo de la Cruz</w:t>
      </w:r>
      <w:bookmarkEnd w:id="0"/>
      <w:r w:rsidRPr="00A008CA">
        <w:rPr>
          <w:b/>
        </w:rPr>
        <w:t>.”</w:t>
      </w:r>
    </w:p>
    <w:p w:rsidR="006334BC" w:rsidRPr="00BA7694" w:rsidRDefault="006334BC" w:rsidP="006334BC">
      <w:pPr>
        <w:pStyle w:val="SingleTxtG"/>
        <w:numPr>
          <w:ilvl w:val="0"/>
          <w:numId w:val="26"/>
        </w:numPr>
        <w:ind w:left="1134" w:firstLine="0"/>
      </w:pPr>
      <w:r w:rsidRPr="00BA7694">
        <w:t>Al respecto, la Corte Interamericana de Derechos Humanos (Corte IDH) ordenó 19 medidas de reparación de las cuales según las resoluciones de supervisión de cumplimiento de la Corte con fechas de 1 de septiembre de 2016 y 14 de mayo de 2019</w:t>
      </w:r>
      <w:r w:rsidR="00AD6596">
        <w:rPr>
          <w:rStyle w:val="FootnoteReference"/>
        </w:rPr>
        <w:footnoteReference w:id="6"/>
      </w:r>
      <w:r w:rsidRPr="00BA7694">
        <w:t xml:space="preserve">, el Estado cumplió 6 medidas de reparación, entre ellas el cese de la exploración del proyecto </w:t>
      </w:r>
      <w:r w:rsidRPr="006334BC">
        <w:t>Punta</w:t>
      </w:r>
      <w:r w:rsidRPr="00BA7694">
        <w:t xml:space="preserve"> Piedra II (cancelado mediante resolución 20/2017 de fecha 20 de febrero de 2017, emitida por el Instituto Hondureño de Geología y Minas), la publicación y transmisión de ambas sentencias (publicadas en diarios nacionales con circulación en la zona tanto en idioma español y garífuna y en el diario Oficial del Estado y la transmisión de los resúmenes de las sentencias en garífuna en radios comunitarias con cobertura en los pueblos, así como la publicación a través de un medio electrónico, en la página web oficial de la SEDH</w:t>
      </w:r>
      <w:r w:rsidR="00AD6596">
        <w:rPr>
          <w:rStyle w:val="FootnoteReference"/>
        </w:rPr>
        <w:footnoteReference w:id="7"/>
      </w:r>
      <w:r w:rsidRPr="00BA7694">
        <w:t>), el reintegro</w:t>
      </w:r>
      <w:r w:rsidRPr="00F11FDF">
        <w:rPr>
          <w:sz w:val="24"/>
          <w:szCs w:val="24"/>
        </w:rPr>
        <w:t xml:space="preserve"> </w:t>
      </w:r>
      <w:r w:rsidRPr="00BA7694">
        <w:t xml:space="preserve">al Fondo de Asistencia Legal de Víctimas en ambos casos y el establecimiento de los mecanismos de </w:t>
      </w:r>
      <w:r w:rsidRPr="00BA7694">
        <w:lastRenderedPageBreak/>
        <w:t>coordinación interinstitucionales (Creación de una comisión especializada para el cumplimiento de la sentencia)</w:t>
      </w:r>
      <w:r w:rsidR="00AD6596">
        <w:rPr>
          <w:rStyle w:val="FootnoteReference"/>
        </w:rPr>
        <w:footnoteReference w:id="8"/>
      </w:r>
      <w:r w:rsidRPr="00BA7694">
        <w:t>.</w:t>
      </w:r>
    </w:p>
    <w:p w:rsidR="006334BC" w:rsidRPr="00BA7694" w:rsidRDefault="006334BC" w:rsidP="006334BC">
      <w:pPr>
        <w:pStyle w:val="SingleTxtG"/>
        <w:numPr>
          <w:ilvl w:val="0"/>
          <w:numId w:val="26"/>
        </w:numPr>
        <w:ind w:left="1134" w:firstLine="0"/>
      </w:pPr>
      <w:r w:rsidRPr="00BA7694">
        <w:t xml:space="preserve">De los restantes puntos resolutivos de las sentencias de la Corte IDH, se informa que 10 se encuentran en proceso de cumplimiento, que son los relativos al uso y goce de la propiedad comunal a través del saneamiento; la adopción de medidas necesarias para el no menoscabo del derecho a la consulta respecto a actividades mineras; las investigaciones penales; el establecimiento de un fondo de desarrollo comunitario y el </w:t>
      </w:r>
      <w:r w:rsidRPr="006334BC">
        <w:t>mejoramiento</w:t>
      </w:r>
      <w:r w:rsidRPr="00BA7694">
        <w:t xml:space="preserve"> del registro de la propiedad.</w:t>
      </w:r>
    </w:p>
    <w:p w:rsidR="006334BC" w:rsidRPr="00BA7694" w:rsidRDefault="006334BC" w:rsidP="006334BC">
      <w:pPr>
        <w:pStyle w:val="SingleTxtG"/>
        <w:numPr>
          <w:ilvl w:val="0"/>
          <w:numId w:val="26"/>
        </w:numPr>
        <w:ind w:left="1134" w:firstLine="0"/>
      </w:pPr>
      <w:r w:rsidRPr="00BA7694">
        <w:t xml:space="preserve">Es de destacar que a petición de los representantes de las víctimas y las comunidades se ha priorizado el cumplimiento de los puntos resolutivos relativos al uso y goce de la propiedad comunal a través del saneamiento; una vez </w:t>
      </w:r>
      <w:r w:rsidRPr="006334BC">
        <w:t>avanzado</w:t>
      </w:r>
      <w:r w:rsidRPr="00BA7694">
        <w:t xml:space="preserve"> en estos temas se programará el cumplimiento del resto de las medidas.</w:t>
      </w:r>
    </w:p>
    <w:p w:rsidR="006334BC" w:rsidRPr="00BA7694" w:rsidRDefault="006334BC" w:rsidP="006334BC">
      <w:pPr>
        <w:pStyle w:val="SingleTxtG"/>
        <w:numPr>
          <w:ilvl w:val="0"/>
          <w:numId w:val="26"/>
        </w:numPr>
        <w:ind w:left="1134" w:firstLine="0"/>
      </w:pPr>
      <w:r w:rsidRPr="00BA7694">
        <w:t>En relación al caso de la Comunidad Garífuna Triunfo de la Cruz y sus miembros, el Instituto de Conservación Forestal (ICF) realizó la identificación de la ubicación geográfica del área de los títulos en dominio pleno otorgados por el Instituto Nacional Agrario (INA) a favor de la Comunidad, los cuales presentaban un traslape de 138.99 hectáreas; asimismo, dio inició a la búsqueda de fondos para proceder a la ejecución del Procedimiento Especial para la Titulación de Tierras Ancestrales de los PIAH, encaminado a lograr que la Comunidad de Triunfo de la Cruz goce, use y tenga libre acceso a dichas tierras.</w:t>
      </w:r>
    </w:p>
    <w:p w:rsidR="006334BC" w:rsidRPr="00A77D34" w:rsidRDefault="006334BC" w:rsidP="006334BC">
      <w:pPr>
        <w:pStyle w:val="SingleTxtG"/>
        <w:numPr>
          <w:ilvl w:val="0"/>
          <w:numId w:val="26"/>
        </w:numPr>
        <w:ind w:left="1134" w:firstLine="0"/>
        <w:rPr>
          <w:sz w:val="24"/>
          <w:szCs w:val="24"/>
        </w:rPr>
      </w:pPr>
      <w:r w:rsidRPr="00BA7694">
        <w:t xml:space="preserve">También se informa que a la fecha los avances en el trabajo de campo en la comunidad de Triunfo de la Cruz, oscilan entre un 60% y 70% en lo que respecta a los avalúos y medición de lotes a expropiar. Habiendo concluido la primera etapa de evaluación, el Instituto Nacional Agrario procedió a la liquidación de los fondos a la Procuraduría General de la República, la cual ha iniciado las gestiones para proceder al segundo </w:t>
      </w:r>
      <w:r w:rsidRPr="006334BC">
        <w:t>desembolso</w:t>
      </w:r>
      <w:r w:rsidRPr="00BA7694">
        <w:t xml:space="preserve"> para reiniciar actividades.  En el caso de Punta Piedra, existen dos obstáculos para su cumplimiento, el primero la grave conflictividad entre ambas comunidades y el segundo, la reubicación de los cerca de mil habitantes de la comunidad de Rio Miel, que por más de 20 años han permanecido en esas tierras a un predio de iguales o mejores condiciones</w:t>
      </w:r>
      <w:r w:rsidRPr="00A77D34">
        <w:rPr>
          <w:sz w:val="24"/>
          <w:szCs w:val="24"/>
        </w:rPr>
        <w:t>.</w:t>
      </w:r>
    </w:p>
    <w:p w:rsidR="006334BC" w:rsidRPr="00F11FDF" w:rsidRDefault="00BA7694" w:rsidP="00BA7694">
      <w:pPr>
        <w:pStyle w:val="H23G"/>
        <w:rPr>
          <w:i/>
        </w:rPr>
      </w:pPr>
      <w:r>
        <w:tab/>
      </w:r>
      <w:r>
        <w:tab/>
      </w:r>
      <w:r w:rsidRPr="00F11FDF">
        <w:t>Párrafo Núm. 25 A) Y B)</w:t>
      </w:r>
    </w:p>
    <w:p w:rsidR="006334BC" w:rsidRPr="00BA7694" w:rsidRDefault="006334BC" w:rsidP="00BA7694">
      <w:pPr>
        <w:pStyle w:val="SingleTxtG"/>
        <w:numPr>
          <w:ilvl w:val="0"/>
          <w:numId w:val="26"/>
        </w:numPr>
        <w:ind w:left="1134" w:firstLine="0"/>
        <w:rPr>
          <w:b/>
        </w:rPr>
      </w:pPr>
      <w:r w:rsidRPr="00BA7694">
        <w:rPr>
          <w:b/>
        </w:rPr>
        <w:t>“El Comité recomienda al Estado parte que:</w:t>
      </w:r>
      <w:r w:rsidR="00BA7694">
        <w:rPr>
          <w:b/>
        </w:rPr>
        <w:t xml:space="preserve"> </w:t>
      </w:r>
      <w:r w:rsidRPr="00BA7694">
        <w:rPr>
          <w:b/>
        </w:rPr>
        <w:t xml:space="preserve"> a) Adopte medidas efectivas y oportunas para prevenir actos de violencia contra defensores de derechos humanos, incluyendo líderes de pueblos indígenas y </w:t>
      </w:r>
      <w:proofErr w:type="spellStart"/>
      <w:r w:rsidRPr="00BA7694">
        <w:rPr>
          <w:b/>
        </w:rPr>
        <w:t>afrohondureños</w:t>
      </w:r>
      <w:proofErr w:type="spellEnd"/>
      <w:r w:rsidRPr="00BA7694">
        <w:rPr>
          <w:b/>
        </w:rPr>
        <w:t xml:space="preserve"> y para proteger su vida e integridad personal”</w:t>
      </w:r>
    </w:p>
    <w:p w:rsidR="006334BC" w:rsidRPr="00BA7694" w:rsidRDefault="006334BC" w:rsidP="006334BC">
      <w:pPr>
        <w:pStyle w:val="SingleTxtG"/>
        <w:numPr>
          <w:ilvl w:val="0"/>
          <w:numId w:val="26"/>
        </w:numPr>
        <w:ind w:left="1134" w:firstLine="0"/>
      </w:pPr>
      <w:r w:rsidRPr="00BA7694">
        <w:t xml:space="preserve">Entre las medidas implementadas para prevenir actos de violencia contra defensores (as) de derechos humanos, destaca la creación de la </w:t>
      </w:r>
      <w:r w:rsidRPr="006334BC">
        <w:t>Unidad</w:t>
      </w:r>
      <w:r w:rsidRPr="00BA7694">
        <w:t xml:space="preserve"> de Prevención y Análisis de Contexto (UPAC), la cual es parte integral del Mecanismo Nacional de Protección. Esta unidad ha culminado la elaboración de 4 planes de prevención y está en proceso de culminar 3 planes más. Entre los contextos que se han analizado se encuentran:</w:t>
      </w:r>
    </w:p>
    <w:p w:rsidR="006334BC" w:rsidRPr="00F11FDF" w:rsidRDefault="006334BC" w:rsidP="00BA7694">
      <w:pPr>
        <w:pStyle w:val="SingleTxtG"/>
        <w:numPr>
          <w:ilvl w:val="0"/>
          <w:numId w:val="27"/>
        </w:numPr>
        <w:ind w:left="1134" w:firstLine="567"/>
        <w:rPr>
          <w:lang w:val="es-HN"/>
        </w:rPr>
      </w:pPr>
      <w:r w:rsidRPr="00F11FDF">
        <w:rPr>
          <w:rFonts w:eastAsia="Calibri"/>
          <w:lang w:val="es-HN"/>
        </w:rPr>
        <w:t>Diagnóstico de Contexto y Plan de Prevención de Defensores (as) de Derechos Humanos de la Comunidad Indígena Lenca del Departamento de la Paz, en especial con integrantes del Movimiento Indígena Lenca de Honduras (MILPAH).</w:t>
      </w:r>
    </w:p>
    <w:p w:rsidR="006334BC" w:rsidRPr="00F11FDF" w:rsidRDefault="006334BC" w:rsidP="00BA7694">
      <w:pPr>
        <w:pStyle w:val="SingleTxtG"/>
        <w:numPr>
          <w:ilvl w:val="0"/>
          <w:numId w:val="27"/>
        </w:numPr>
        <w:ind w:left="1134" w:firstLine="567"/>
        <w:rPr>
          <w:lang w:val="es-HN"/>
        </w:rPr>
      </w:pPr>
      <w:r w:rsidRPr="00F11FDF">
        <w:rPr>
          <w:rFonts w:eastAsia="Calibri"/>
          <w:lang w:val="es-HN"/>
        </w:rPr>
        <w:t xml:space="preserve">Diagnóstico de Contexto de Riesgo y Plan de Prevención para Pueblo Indígena </w:t>
      </w:r>
      <w:proofErr w:type="spellStart"/>
      <w:r w:rsidRPr="00F11FDF">
        <w:rPr>
          <w:rFonts w:eastAsia="Calibri"/>
          <w:lang w:val="es-HN"/>
        </w:rPr>
        <w:t>Tolupán</w:t>
      </w:r>
      <w:proofErr w:type="spellEnd"/>
      <w:r w:rsidRPr="00F11FDF">
        <w:rPr>
          <w:rFonts w:eastAsia="Calibri"/>
          <w:lang w:val="es-HN"/>
        </w:rPr>
        <w:t xml:space="preserve"> de la Montaña de la Flor, Municipio de </w:t>
      </w:r>
      <w:proofErr w:type="spellStart"/>
      <w:r w:rsidRPr="00F11FDF">
        <w:rPr>
          <w:rFonts w:eastAsia="Calibri"/>
          <w:lang w:val="es-HN"/>
        </w:rPr>
        <w:t>Orica</w:t>
      </w:r>
      <w:proofErr w:type="spellEnd"/>
      <w:r w:rsidRPr="00F11FDF">
        <w:rPr>
          <w:rFonts w:eastAsia="Calibri"/>
          <w:lang w:val="es-HN"/>
        </w:rPr>
        <w:t>, en el Departamento de Francisco Morazán, en proceso de validación.</w:t>
      </w:r>
    </w:p>
    <w:p w:rsidR="006334BC" w:rsidRPr="00F11FDF" w:rsidRDefault="006334BC" w:rsidP="00BA7694">
      <w:pPr>
        <w:pStyle w:val="SingleTxtG"/>
        <w:numPr>
          <w:ilvl w:val="0"/>
          <w:numId w:val="27"/>
        </w:numPr>
        <w:ind w:left="1134" w:firstLine="567"/>
        <w:rPr>
          <w:lang w:val="es-HN"/>
        </w:rPr>
      </w:pPr>
      <w:r w:rsidRPr="00F11FDF">
        <w:rPr>
          <w:rFonts w:eastAsia="Calibri"/>
          <w:lang w:val="es-HN"/>
        </w:rPr>
        <w:t>Diagnóstico de Contexto de Riesgo y Medidas de Prevención Patronatos de las Comunidades Garífunas de Puerto Cortés, en el Departamento de Cortés, en proceso de validación.</w:t>
      </w:r>
    </w:p>
    <w:p w:rsidR="006334BC" w:rsidRPr="00F11FDF" w:rsidRDefault="006334BC" w:rsidP="00BA7694">
      <w:pPr>
        <w:pStyle w:val="SingleTxtG"/>
        <w:numPr>
          <w:ilvl w:val="0"/>
          <w:numId w:val="27"/>
        </w:numPr>
        <w:ind w:left="1134" w:firstLine="567"/>
        <w:rPr>
          <w:lang w:val="es-HN"/>
        </w:rPr>
      </w:pPr>
      <w:r w:rsidRPr="00F11FDF">
        <w:rPr>
          <w:rFonts w:eastAsia="Calibri"/>
          <w:lang w:val="es-HN"/>
        </w:rPr>
        <w:t>Caracterización del contexto de riesgo de las comunidades Lencas del Departamento de Intibucá, en coordinación con la Red de Mujeres Indígenas y Afro-hondureñas (REDMIAH).</w:t>
      </w:r>
    </w:p>
    <w:p w:rsidR="006334BC" w:rsidRPr="00BA7694" w:rsidRDefault="006334BC" w:rsidP="006334BC">
      <w:pPr>
        <w:pStyle w:val="SingleTxtG"/>
        <w:numPr>
          <w:ilvl w:val="0"/>
          <w:numId w:val="26"/>
        </w:numPr>
        <w:ind w:left="1134" w:firstLine="0"/>
      </w:pPr>
      <w:r w:rsidRPr="00BA7694">
        <w:lastRenderedPageBreak/>
        <w:t xml:space="preserve">El Sistema Nacional de Protección para personas defensoras de derechos humanos, desde julio del 2015 al 31 de </w:t>
      </w:r>
      <w:r w:rsidRPr="006334BC">
        <w:t>octubre</w:t>
      </w:r>
      <w:r w:rsidRPr="00BA7694">
        <w:t xml:space="preserve"> del 2019 ha atendido 500 solicitudes de medidas de protección de las cuales, 374 fueron admitidas, estando activos a la fecha indicada, un total de 219 casos de medidas de protección de las cuales, 151 (69%) casos son de defensores (as) de derechos humanos, 90 casos individuales y 61 casos colectivos. </w:t>
      </w:r>
    </w:p>
    <w:p w:rsidR="006334BC" w:rsidRPr="00BA7694" w:rsidRDefault="006334BC" w:rsidP="006334BC">
      <w:pPr>
        <w:pStyle w:val="SingleTxtG"/>
        <w:numPr>
          <w:ilvl w:val="0"/>
          <w:numId w:val="26"/>
        </w:numPr>
        <w:ind w:left="1134" w:firstLine="0"/>
      </w:pPr>
      <w:r w:rsidRPr="00BA7694">
        <w:t xml:space="preserve">Es importante destacar que del total de casos activos de defensores (as) de derechos humanos, 20 corresponden a </w:t>
      </w:r>
      <w:r w:rsidRPr="006334BC">
        <w:t>defensores</w:t>
      </w:r>
      <w:r w:rsidRPr="00BA7694">
        <w:t xml:space="preserve"> (as) de pueblos indígenas y 5 de afro-hondureños; y un total de 47 casos de medidas de protección de defensores (as) de derechos humanos realizan defensa del medio ambiente (incluyendo defensa de bienes comunes como la tierra y el agua).</w:t>
      </w:r>
    </w:p>
    <w:p w:rsidR="006334BC" w:rsidRPr="00BA7694" w:rsidRDefault="006334BC" w:rsidP="006334BC">
      <w:pPr>
        <w:pStyle w:val="SingleTxtG"/>
        <w:numPr>
          <w:ilvl w:val="0"/>
          <w:numId w:val="26"/>
        </w:numPr>
        <w:ind w:left="1134" w:firstLine="0"/>
      </w:pPr>
      <w:r w:rsidRPr="00BA7694">
        <w:t>Dentro del Mecanismo Nacional de Protección</w:t>
      </w:r>
      <w:r w:rsidRPr="00BA7694" w:rsidDel="0012422D">
        <w:t xml:space="preserve"> </w:t>
      </w:r>
      <w:r w:rsidRPr="00BA7694">
        <w:t xml:space="preserve">se tiene acogidos como beneficiarios a pobladores que residen mayoritariamente en las zonas del Occidente y el Atlántico. Los casos se relacionan a industrias extractivas e hidroeléctricas, entre los cuales destacan: el Caso Movimiento Indígena Lenca Independiente de la Paz (MILPAH); Caso PETACON del pueblo Lenca ubicado en </w:t>
      </w:r>
      <w:proofErr w:type="spellStart"/>
      <w:r w:rsidRPr="00BA7694">
        <w:t>Reitoca</w:t>
      </w:r>
      <w:proofErr w:type="spellEnd"/>
      <w:r w:rsidRPr="00BA7694">
        <w:t xml:space="preserve">, Francisco Morazán; Caso Movimiento Amplio por la Dignidad y la Justicia, residentes de la Comunidad </w:t>
      </w:r>
      <w:proofErr w:type="spellStart"/>
      <w:r w:rsidRPr="00BA7694">
        <w:t>Tolupán</w:t>
      </w:r>
      <w:proofErr w:type="spellEnd"/>
      <w:r w:rsidRPr="00BA7694">
        <w:t xml:space="preserve"> de </w:t>
      </w:r>
      <w:proofErr w:type="spellStart"/>
      <w:r w:rsidRPr="00BA7694">
        <w:t>Locomapa</w:t>
      </w:r>
      <w:proofErr w:type="spellEnd"/>
      <w:r w:rsidRPr="00BA7694">
        <w:t xml:space="preserve"> y el Caso Consejo Cívico de Organizaciones Populares e Indígenas de Honduras (COPINH), entre otros.</w:t>
      </w:r>
    </w:p>
    <w:p w:rsidR="006334BC" w:rsidRPr="006334BC" w:rsidRDefault="006334BC" w:rsidP="006334BC">
      <w:pPr>
        <w:pStyle w:val="SingleTxtG"/>
        <w:numPr>
          <w:ilvl w:val="0"/>
          <w:numId w:val="26"/>
        </w:numPr>
        <w:ind w:left="1134" w:firstLine="0"/>
      </w:pPr>
      <w:r w:rsidRPr="006334BC">
        <w:t>Entre las medidas implementadas los beneficiarios cuentan con: enlaces con la línea de emergencia de la Dirección General del Sistema de Protección (DGSP); enlaces, patrullajes y acompañamientos policiales; análisis de conflictividad en las zonas; capacitaciones dirigidas a las autoridades locales sobre normativa internacional, particularmente el Convenio 169 de la OIT; impulso de las investigaciones entorno de las denuncias interpuestas, contacto permanente y monitoreo con los beneficiarios cada 15 días.</w:t>
      </w:r>
    </w:p>
    <w:p w:rsidR="006334BC" w:rsidRPr="006334BC" w:rsidRDefault="006334BC" w:rsidP="006334BC">
      <w:pPr>
        <w:pStyle w:val="SingleTxtG"/>
        <w:numPr>
          <w:ilvl w:val="0"/>
          <w:numId w:val="26"/>
        </w:numPr>
        <w:ind w:left="1134" w:firstLine="0"/>
      </w:pPr>
      <w:r w:rsidRPr="006334BC">
        <w:t>En 2019 se elaboró la evaluación de riesgo de un caso colectivo, en la interpretación de la línea de tiempo e identificación de escenarios de riesgo de las mujeres defensoras de derechos humanos del Bajo Aguán. Asimismo, la Unidad de Implementación y Seguimiento realizó una visita al departamento de Intibucá el 15 de octubre del 2019, con el fin de abordar el contexto de conflictividad en las comunidades Lencas del sector de Río Blanco; en dicha reunión participaron la Gobernadora Departamental de Intibucá, la Vice Alcaldesa Municipal, el Jefe Municipal de Catastro, el representante legal de la Alcaldía, y oficiales de la Jefatura Departamental de la Policía de Intibucá.</w:t>
      </w:r>
    </w:p>
    <w:p w:rsidR="006334BC" w:rsidRPr="006334BC" w:rsidRDefault="006334BC" w:rsidP="006334BC">
      <w:pPr>
        <w:pStyle w:val="SingleTxtG"/>
        <w:numPr>
          <w:ilvl w:val="0"/>
          <w:numId w:val="26"/>
        </w:numPr>
        <w:ind w:left="1134" w:firstLine="0"/>
      </w:pPr>
      <w:r w:rsidRPr="006334BC">
        <w:t>Además, se ha brindado asistencia técnica en temas puntuales a la Organización Confederación Nacional del Pueblo Indígena Lenca de Honduras (CONAPILH), a REDMIAH, Organización Fraternal Negra Hondureña (OFRANEH).</w:t>
      </w:r>
    </w:p>
    <w:p w:rsidR="006334BC" w:rsidRPr="006334BC" w:rsidRDefault="006334BC" w:rsidP="006334BC">
      <w:pPr>
        <w:pStyle w:val="SingleTxtG"/>
        <w:numPr>
          <w:ilvl w:val="0"/>
          <w:numId w:val="26"/>
        </w:numPr>
        <w:ind w:left="1134" w:firstLine="0"/>
      </w:pPr>
      <w:r w:rsidRPr="006334BC">
        <w:t>Igualmente, la DGSP ha mejorado la Matriz de Evaluación de Riesgo colectivo e individual, y la identificación de riesgo mediante monitoreo permanente; en dicho esquema se realiza la caracterización de la población y la aplicación de esquemas de seguridad de carácter técnico.</w:t>
      </w:r>
    </w:p>
    <w:p w:rsidR="00BA7694" w:rsidRPr="00BA7694" w:rsidRDefault="006334BC" w:rsidP="005E1388">
      <w:pPr>
        <w:pStyle w:val="SingleTxtG"/>
        <w:numPr>
          <w:ilvl w:val="0"/>
          <w:numId w:val="26"/>
        </w:numPr>
        <w:ind w:left="1134" w:firstLine="0"/>
        <w:rPr>
          <w:b/>
        </w:rPr>
      </w:pPr>
      <w:r w:rsidRPr="006334BC">
        <w:t xml:space="preserve">El 04 de septiembre del 2019, el Consejo Nacional de Protección (CNP) emitió un comunicado que reconoce la labor ambiental que realiza el Comité Municipal de Defensa de los Bienes Comunes y Públicos de </w:t>
      </w:r>
      <w:proofErr w:type="spellStart"/>
      <w:r w:rsidRPr="006334BC">
        <w:t>Tocoa</w:t>
      </w:r>
      <w:proofErr w:type="spellEnd"/>
      <w:r w:rsidRPr="006334BC">
        <w:t>, relativo al caso Guapinol. Asimismo, el 26 de noviembre del 2019 la SEDH publicó el comunicado del CNP</w:t>
      </w:r>
      <w:r w:rsidR="00AD6596">
        <w:rPr>
          <w:rStyle w:val="FootnoteReference"/>
        </w:rPr>
        <w:footnoteReference w:id="9"/>
      </w:r>
      <w:r w:rsidRPr="006334BC">
        <w:t>, en el cual se reconoce la labor realizada por el COPINH en defensa de los derechos ancestrales y patrimonio cultural del pueblo indígena Lenca, así como en defensa del medio ambiente.</w:t>
      </w:r>
    </w:p>
    <w:p w:rsidR="006334BC" w:rsidRPr="00BA7694" w:rsidRDefault="006334BC" w:rsidP="005E1388">
      <w:pPr>
        <w:pStyle w:val="SingleTxtG"/>
        <w:numPr>
          <w:ilvl w:val="0"/>
          <w:numId w:val="26"/>
        </w:numPr>
        <w:ind w:left="1134" w:firstLine="0"/>
        <w:rPr>
          <w:b/>
        </w:rPr>
      </w:pPr>
      <w:r w:rsidRPr="00BA7694">
        <w:rPr>
          <w:b/>
        </w:rPr>
        <w:t xml:space="preserve">“El Comité recomienda al Estado parte que: … b) Garantice que todas las denuncias de atentados contra la vida y de actos de violencia, amenazas, hostigamiento, acoso y difamación cometido en contra de defensores y defensoras de derechos humanos, incluyendo líderes de pueblos indígenas y </w:t>
      </w:r>
      <w:proofErr w:type="spellStart"/>
      <w:r w:rsidRPr="00BA7694">
        <w:rPr>
          <w:b/>
        </w:rPr>
        <w:t>afrohondureños</w:t>
      </w:r>
      <w:proofErr w:type="spellEnd"/>
      <w:r w:rsidRPr="00BA7694">
        <w:rPr>
          <w:b/>
        </w:rPr>
        <w:t xml:space="preserve"> sean investigadas de manera exhaustiva, imparcial y efectiva, a fin de que los responsables sean enjuiciados y debidamente sancionados”.</w:t>
      </w:r>
    </w:p>
    <w:p w:rsidR="006334BC" w:rsidRPr="00BA7694" w:rsidRDefault="006334BC" w:rsidP="006334BC">
      <w:pPr>
        <w:pStyle w:val="SingleTxtG"/>
        <w:numPr>
          <w:ilvl w:val="0"/>
          <w:numId w:val="26"/>
        </w:numPr>
        <w:ind w:left="1134" w:firstLine="0"/>
        <w:rPr>
          <w:b/>
          <w:bCs/>
          <w:i/>
          <w:iCs/>
        </w:rPr>
      </w:pPr>
      <w:r w:rsidRPr="00BA7694">
        <w:rPr>
          <w:rFonts w:eastAsia="Calibri"/>
          <w:lang w:val="es-HN"/>
        </w:rPr>
        <w:lastRenderedPageBreak/>
        <w:t xml:space="preserve">Como se informó al Comité durante el diálogo celebrado en noviembre del 2018, sobre la creación de la </w:t>
      </w:r>
      <w:r w:rsidRPr="00BA7694">
        <w:t>Fiscalía</w:t>
      </w:r>
      <w:r w:rsidRPr="00BA7694">
        <w:rPr>
          <w:rFonts w:eastAsia="Calibri"/>
          <w:lang w:val="es-HN"/>
        </w:rPr>
        <w:t xml:space="preserve"> Especial de Protección de Defensores de Derechos Humanos, Periodistas, Comunicadores Sociales y Operadores de Justicia</w:t>
      </w:r>
      <w:r w:rsidR="00AD6596">
        <w:rPr>
          <w:rStyle w:val="FootnoteReference"/>
          <w:rFonts w:eastAsia="Calibri"/>
          <w:lang w:val="es-HN"/>
        </w:rPr>
        <w:footnoteReference w:id="10"/>
      </w:r>
      <w:r w:rsidRPr="00BA7694">
        <w:rPr>
          <w:rFonts w:eastAsia="Calibri"/>
          <w:lang w:val="es-HN"/>
        </w:rPr>
        <w:t xml:space="preserve">, mediante Acuerdo No. FGR-002-2018 del 15 de marzo de 2018; a su vez se creó a lo interno de la fiscalía la Sección Especializada de Recepción de Denuncias, la cual opera en coordinación con el Módulo de Recepción de Denuncias a efecto de identificar de manera expedita las denuncias presentadas por personas objeto de la Ley de defensores. Igualmente, la Fiscalía realiza las coordinaciones necesarias con el Mecanismo Nacional de Protección, para la pronta investigación de los hechos. </w:t>
      </w:r>
    </w:p>
    <w:p w:rsidR="006334BC" w:rsidRPr="00BA7694" w:rsidRDefault="006334BC" w:rsidP="006334BC">
      <w:pPr>
        <w:pStyle w:val="SingleTxtG"/>
        <w:numPr>
          <w:ilvl w:val="0"/>
          <w:numId w:val="26"/>
        </w:numPr>
        <w:ind w:left="1134" w:firstLine="0"/>
        <w:rPr>
          <w:b/>
          <w:bCs/>
          <w:i/>
          <w:iCs/>
        </w:rPr>
      </w:pPr>
      <w:r w:rsidRPr="00BA7694">
        <w:rPr>
          <w:rFonts w:eastAsia="Calibri"/>
          <w:lang w:val="es-HN"/>
        </w:rPr>
        <w:t>Asimismo, entre 2017 y 2018, el Ministerio Público (MP) registró 18 denuncias por el delito contra la vida de miembros de los PIAH, de las cuales se han judicializado 6 casos, existiendo 6 sentencias condenatorias. Igualmente, se han recibido 45 denuncias por amenazas, de las cuales se han judicializado 2 casos y existen 2 sentencias condenatorias.</w:t>
      </w:r>
    </w:p>
    <w:p w:rsidR="006334BC" w:rsidRPr="006334BC" w:rsidRDefault="006334BC" w:rsidP="006334BC">
      <w:pPr>
        <w:pStyle w:val="SingleTxtG"/>
        <w:numPr>
          <w:ilvl w:val="0"/>
          <w:numId w:val="26"/>
        </w:numPr>
        <w:ind w:left="1134" w:firstLine="0"/>
      </w:pPr>
      <w:r w:rsidRPr="006334BC">
        <w:t xml:space="preserve">Además, el Ministerio Público a través de la Fiscalía Especial de Etnias ha solicitado medidas de protección en los casos de muertes violentas de miembros de los PIAH, específicamente, en el caso de asesinato en </w:t>
      </w:r>
      <w:proofErr w:type="spellStart"/>
      <w:r w:rsidRPr="006334BC">
        <w:t>Warunta</w:t>
      </w:r>
      <w:proofErr w:type="spellEnd"/>
      <w:r w:rsidRPr="006334BC">
        <w:t xml:space="preserve"> municipio de </w:t>
      </w:r>
      <w:proofErr w:type="spellStart"/>
      <w:r w:rsidRPr="006334BC">
        <w:t>Ahuas</w:t>
      </w:r>
      <w:proofErr w:type="spellEnd"/>
      <w:r w:rsidRPr="006334BC">
        <w:t xml:space="preserve">, departamento de Gracias a Dios; el caso de asesinatos múltiples en la comunidad de Santo Tomás, </w:t>
      </w:r>
      <w:proofErr w:type="spellStart"/>
      <w:r w:rsidRPr="006334BC">
        <w:t>Gualcinse</w:t>
      </w:r>
      <w:proofErr w:type="spellEnd"/>
      <w:r w:rsidRPr="006334BC">
        <w:t xml:space="preserve">, departamento de Lempira; amenazas contra miembros del pueblo Lenca en La Iguala, departamento de Lempira; amenazas por la defensa de sus tierras a miembros de comunidades Lencas del departamento de La Paz, entre otras. </w:t>
      </w:r>
    </w:p>
    <w:p w:rsidR="00BA7694" w:rsidRPr="00BA7694" w:rsidRDefault="006334BC" w:rsidP="00BA7694">
      <w:pPr>
        <w:pStyle w:val="SingleTxtG"/>
        <w:numPr>
          <w:ilvl w:val="0"/>
          <w:numId w:val="26"/>
        </w:numPr>
        <w:ind w:left="1134" w:firstLine="0"/>
        <w:rPr>
          <w:u w:val="single"/>
        </w:rPr>
      </w:pPr>
      <w:r w:rsidRPr="006334BC">
        <w:t>Con respecto a las muertes de indígenas defensores de derechos humanos</w:t>
      </w:r>
      <w:r w:rsidRPr="00F11FDF">
        <w:t xml:space="preserve"> </w:t>
      </w:r>
      <w:r w:rsidRPr="006334BC">
        <w:t xml:space="preserve">ocurridas en 2019, se destaca la pronta atención e investigación al caso de las muertes de padre e hijo de la comunidad indígena </w:t>
      </w:r>
      <w:proofErr w:type="spellStart"/>
      <w:r w:rsidRPr="006334BC">
        <w:t>Tolupán</w:t>
      </w:r>
      <w:proofErr w:type="spellEnd"/>
      <w:r w:rsidRPr="006334BC">
        <w:t xml:space="preserve"> de </w:t>
      </w:r>
      <w:proofErr w:type="spellStart"/>
      <w:r w:rsidRPr="006334BC">
        <w:t>Locomapa</w:t>
      </w:r>
      <w:proofErr w:type="spellEnd"/>
      <w:r w:rsidRPr="006334BC">
        <w:t xml:space="preserve">, Yoro.  En el caso en referencia, conforme a las investigaciones realizadas por la Dirección Policial de Investigación (DPI), se logró dar detención a un menor de edad por suponerlo responsable de asesinato en grado de complicidad; quien fue remitido al Juzgado de la Niñez de El Progreso, Yoro, en donde se le impuso la Medida Cautelar de Detención en el Centro de Menores "El Carmen”, señalándose Audiencia Intermedia. </w:t>
      </w:r>
    </w:p>
    <w:p w:rsidR="00BA7694" w:rsidRPr="00BA7694" w:rsidRDefault="006334BC" w:rsidP="00BA7694">
      <w:pPr>
        <w:pStyle w:val="SingleTxtG"/>
        <w:numPr>
          <w:ilvl w:val="0"/>
          <w:numId w:val="26"/>
        </w:numPr>
        <w:ind w:left="1134" w:firstLine="0"/>
        <w:rPr>
          <w:u w:val="single"/>
        </w:rPr>
      </w:pPr>
      <w:r w:rsidRPr="00BA7694">
        <w:t>Un ejemplo emblemático sobre los avances en el acceso a la justica en cuanto a los defensores ambientalistas es la condena contra 7 personas por el asesinato de la lideresa indígena Berta Isabel Cáceres, el 29 de noviembre de 2018, la Sala I del Tribunal de Sentencia con Jurisdicción Nacional declaró culpables por unanimidad, a 7 de los 8 implicados en el caso; más reciente aún es la individualización de la pena de los culpables, la cual se llevó a cabo el 03 de diciembre de 2019, donde se sentenció a una pena de 50 años de prisión a 4 implicados y con una pena de 30 años de prisión a los otros 3</w:t>
      </w:r>
      <w:r w:rsidR="00AD6596">
        <w:rPr>
          <w:rStyle w:val="FootnoteReference"/>
        </w:rPr>
        <w:footnoteReference w:id="11"/>
      </w:r>
      <w:r w:rsidRPr="00BA7694">
        <w:t>. Del mismo modo se informa que aún se encuentra pendiente la sustanciación del proceso en contra Roberto David Castillo Mejía, quien fungía como Presidente Ejecutivo de DESA, acusado a título de autor intelectual del delito</w:t>
      </w:r>
      <w:r w:rsidRPr="00BA7694">
        <w:rPr>
          <w:rFonts w:eastAsia="Calibri"/>
          <w:sz w:val="24"/>
          <w:szCs w:val="24"/>
          <w:lang w:val="es-HN"/>
        </w:rPr>
        <w:t>.</w:t>
      </w:r>
    </w:p>
    <w:p w:rsidR="00F96A3C" w:rsidRPr="00BA7694" w:rsidRDefault="006334BC" w:rsidP="00BA7694">
      <w:pPr>
        <w:pStyle w:val="SingleTxtG"/>
        <w:numPr>
          <w:ilvl w:val="0"/>
          <w:numId w:val="26"/>
        </w:numPr>
        <w:ind w:left="1134" w:firstLine="0"/>
        <w:rPr>
          <w:u w:val="single"/>
        </w:rPr>
      </w:pPr>
      <w:r w:rsidRPr="00BA7694">
        <w:rPr>
          <w:rFonts w:eastAsia="Calibri"/>
          <w:lang w:val="es-HN"/>
        </w:rPr>
        <w:t xml:space="preserve">Finalmente, el presente reporte constituye una muestra de la apertura y compromiso con los órganos de </w:t>
      </w:r>
      <w:r w:rsidRPr="00BA7694">
        <w:t>tratado</w:t>
      </w:r>
      <w:r w:rsidRPr="00BA7694">
        <w:rPr>
          <w:rFonts w:eastAsia="Calibri"/>
          <w:lang w:val="es-HN"/>
        </w:rPr>
        <w:t xml:space="preserve"> de Naciones Unidas, asimismo a través del mismo se continúa el diálogo constructivo con el Comité y nos mantenemos a la espera de sus devoluciones frente a la información presentada.</w:t>
      </w:r>
    </w:p>
    <w:p w:rsidR="00BA7694" w:rsidRPr="00BA7694" w:rsidRDefault="00BA7694" w:rsidP="00BA7694">
      <w:pPr>
        <w:pStyle w:val="SingleTxtG"/>
        <w:suppressAutoHyphens/>
        <w:spacing w:before="240" w:after="0"/>
        <w:jc w:val="center"/>
        <w:rPr>
          <w:u w:val="single"/>
        </w:rPr>
      </w:pPr>
      <w:r>
        <w:rPr>
          <w:rFonts w:eastAsia="Calibri"/>
          <w:u w:val="single"/>
          <w:lang w:val="es-HN"/>
        </w:rPr>
        <w:tab/>
      </w:r>
      <w:r>
        <w:rPr>
          <w:rFonts w:eastAsia="Calibri"/>
          <w:u w:val="single"/>
          <w:lang w:val="es-HN"/>
        </w:rPr>
        <w:tab/>
      </w:r>
      <w:r>
        <w:rPr>
          <w:rFonts w:eastAsia="Calibri"/>
          <w:u w:val="single"/>
          <w:lang w:val="es-HN"/>
        </w:rPr>
        <w:tab/>
      </w:r>
    </w:p>
    <w:sectPr w:rsidR="00BA7694" w:rsidRPr="00BA7694" w:rsidSect="007B06E2">
      <w:headerReference w:type="even" r:id="rId8"/>
      <w:headerReference w:type="default" r:id="rId9"/>
      <w:footerReference w:type="even" r:id="rId10"/>
      <w:footerReference w:type="default" r:id="rId11"/>
      <w:headerReference w:type="first" r:id="rId12"/>
      <w:footerReference w:type="first" r:id="rId13"/>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B06E2" w:rsidRDefault="007B06E2">
      <w:r>
        <w:separator/>
      </w:r>
    </w:p>
  </w:endnote>
  <w:endnote w:type="continuationSeparator" w:id="0">
    <w:p w:rsidR="007B06E2" w:rsidRDefault="007B06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06E2" w:rsidRPr="007B06E2" w:rsidRDefault="007B06E2" w:rsidP="007B06E2">
    <w:pPr>
      <w:pStyle w:val="Footer"/>
      <w:tabs>
        <w:tab w:val="right" w:pos="9638"/>
      </w:tabs>
    </w:pPr>
    <w:r w:rsidRPr="007B06E2">
      <w:rPr>
        <w:b/>
        <w:sz w:val="18"/>
      </w:rPr>
      <w:fldChar w:fldCharType="begin"/>
    </w:r>
    <w:r w:rsidRPr="007B06E2">
      <w:rPr>
        <w:b/>
        <w:sz w:val="18"/>
      </w:rPr>
      <w:instrText xml:space="preserve"> PAGE  \* MERGEFORMAT </w:instrText>
    </w:r>
    <w:r w:rsidRPr="007B06E2">
      <w:rPr>
        <w:b/>
        <w:sz w:val="18"/>
      </w:rPr>
      <w:fldChar w:fldCharType="separate"/>
    </w:r>
    <w:r w:rsidR="00E47266">
      <w:rPr>
        <w:b/>
        <w:noProof/>
        <w:sz w:val="18"/>
      </w:rPr>
      <w:t>6</w:t>
    </w:r>
    <w:r w:rsidRPr="007B06E2">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06E2" w:rsidRPr="007B06E2" w:rsidRDefault="007B06E2" w:rsidP="007B06E2">
    <w:pPr>
      <w:pStyle w:val="Footer"/>
      <w:tabs>
        <w:tab w:val="right" w:pos="9638"/>
      </w:tabs>
      <w:rPr>
        <w:b/>
        <w:sz w:val="18"/>
      </w:rPr>
    </w:pPr>
    <w:r>
      <w:tab/>
    </w:r>
    <w:r w:rsidRPr="007B06E2">
      <w:rPr>
        <w:b/>
        <w:sz w:val="18"/>
      </w:rPr>
      <w:fldChar w:fldCharType="begin"/>
    </w:r>
    <w:r w:rsidRPr="007B06E2">
      <w:rPr>
        <w:b/>
        <w:sz w:val="18"/>
      </w:rPr>
      <w:instrText xml:space="preserve"> PAGE  \* MERGEFORMAT </w:instrText>
    </w:r>
    <w:r w:rsidRPr="007B06E2">
      <w:rPr>
        <w:b/>
        <w:sz w:val="18"/>
      </w:rPr>
      <w:fldChar w:fldCharType="separate"/>
    </w:r>
    <w:r w:rsidR="00E47266">
      <w:rPr>
        <w:b/>
        <w:noProof/>
        <w:sz w:val="18"/>
      </w:rPr>
      <w:t>5</w:t>
    </w:r>
    <w:r w:rsidRPr="007B06E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3C2A" w:rsidRPr="007B06E2" w:rsidRDefault="000B40C9">
    <w:pPr>
      <w:pStyle w:val="Footer"/>
      <w:rPr>
        <w:sz w:val="20"/>
      </w:rPr>
    </w:pPr>
    <w:r>
      <w:rPr>
        <w:noProof/>
        <w:lang w:val="en-GB" w:eastAsia="en-GB"/>
      </w:rPr>
      <w:drawing>
        <wp:anchor distT="0" distB="0" distL="114300" distR="114300" simplePos="0" relativeHeight="251660288" behindDoc="0" locked="1" layoutInCell="1" allowOverlap="1" wp14:anchorId="08A360FD" wp14:editId="7ECC8C5E">
          <wp:simplePos x="0" y="0"/>
          <wp:positionH relativeFrom="margin">
            <wp:posOffset>5003800</wp:posOffset>
          </wp:positionH>
          <wp:positionV relativeFrom="margin">
            <wp:posOffset>9323705</wp:posOffset>
          </wp:positionV>
          <wp:extent cx="1085850" cy="228600"/>
          <wp:effectExtent l="0" t="0" r="0" b="0"/>
          <wp:wrapNone/>
          <wp:docPr id="1" name="Image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sidR="007B06E2">
      <w:rPr>
        <w:sz w:val="20"/>
      </w:rPr>
      <w:t>GE.</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B06E2" w:rsidRPr="001075E9" w:rsidRDefault="007B06E2" w:rsidP="001075E9">
      <w:pPr>
        <w:tabs>
          <w:tab w:val="right" w:pos="2155"/>
        </w:tabs>
        <w:spacing w:after="80" w:line="240" w:lineRule="auto"/>
        <w:ind w:left="680"/>
        <w:rPr>
          <w:u w:val="single"/>
        </w:rPr>
      </w:pPr>
      <w:r>
        <w:rPr>
          <w:u w:val="single"/>
        </w:rPr>
        <w:tab/>
      </w:r>
    </w:p>
  </w:footnote>
  <w:footnote w:type="continuationSeparator" w:id="0">
    <w:p w:rsidR="007B06E2" w:rsidRDefault="007B06E2">
      <w:r>
        <w:continuationSeparator/>
      </w:r>
    </w:p>
  </w:footnote>
  <w:footnote w:id="1">
    <w:p w:rsidR="00AD6596" w:rsidRPr="00AD6596" w:rsidRDefault="00AD6596" w:rsidP="00AD6596">
      <w:pPr>
        <w:pStyle w:val="FootnoteText"/>
        <w:widowControl w:val="0"/>
        <w:tabs>
          <w:tab w:val="clear" w:pos="1021"/>
          <w:tab w:val="right" w:pos="1020"/>
        </w:tabs>
        <w:suppressAutoHyphens/>
        <w:rPr>
          <w:lang w:val="en-GB"/>
        </w:rPr>
      </w:pPr>
      <w:r>
        <w:tab/>
      </w:r>
      <w:r>
        <w:rPr>
          <w:rStyle w:val="FootnoteReference"/>
        </w:rPr>
        <w:footnoteRef/>
      </w:r>
      <w:r>
        <w:tab/>
      </w:r>
      <w:r w:rsidRPr="00AD6596">
        <w:rPr>
          <w:lang w:val="en-US"/>
        </w:rPr>
        <w:t xml:space="preserve">(CERD/C/HND/CO/6-8), </w:t>
      </w:r>
      <w:proofErr w:type="spellStart"/>
      <w:r w:rsidRPr="00AD6596">
        <w:rPr>
          <w:lang w:val="en-US"/>
        </w:rPr>
        <w:t>párrafo</w:t>
      </w:r>
      <w:proofErr w:type="spellEnd"/>
      <w:r w:rsidRPr="00AD6596">
        <w:rPr>
          <w:lang w:val="en-US"/>
        </w:rPr>
        <w:t xml:space="preserve"> 49</w:t>
      </w:r>
      <w:r>
        <w:rPr>
          <w:lang w:val="en-US"/>
        </w:rPr>
        <w:t>.</w:t>
      </w:r>
      <w:r>
        <w:t xml:space="preserve"> </w:t>
      </w:r>
    </w:p>
  </w:footnote>
  <w:footnote w:id="2">
    <w:p w:rsidR="00AD6596" w:rsidRPr="00AD6596" w:rsidRDefault="00AD6596" w:rsidP="00AD6596">
      <w:pPr>
        <w:pStyle w:val="FootnoteText"/>
        <w:widowControl w:val="0"/>
        <w:tabs>
          <w:tab w:val="clear" w:pos="1021"/>
          <w:tab w:val="right" w:pos="1020"/>
        </w:tabs>
        <w:suppressAutoHyphens/>
      </w:pPr>
      <w:r>
        <w:tab/>
      </w:r>
      <w:r>
        <w:rPr>
          <w:rStyle w:val="FootnoteReference"/>
        </w:rPr>
        <w:footnoteRef/>
      </w:r>
      <w:r>
        <w:tab/>
      </w:r>
      <w:r w:rsidRPr="00AD6596">
        <w:t>GERDH está integrado por las Instituciones del Poder Ejecutivo, Legislativo, Judicial, Ministerio Público, Procuraduría General de la República y CONADEH.</w:t>
      </w:r>
      <w:r>
        <w:t xml:space="preserve"> </w:t>
      </w:r>
    </w:p>
  </w:footnote>
  <w:footnote w:id="3">
    <w:p w:rsidR="00AD6596" w:rsidRPr="00AD6596" w:rsidRDefault="00AD6596" w:rsidP="00AD6596">
      <w:pPr>
        <w:pStyle w:val="FootnoteText"/>
        <w:widowControl w:val="0"/>
        <w:tabs>
          <w:tab w:val="clear" w:pos="1021"/>
          <w:tab w:val="right" w:pos="1020"/>
        </w:tabs>
        <w:suppressAutoHyphens/>
        <w:rPr>
          <w:lang w:val="fr-FR"/>
        </w:rPr>
      </w:pPr>
      <w:r>
        <w:tab/>
      </w:r>
      <w:r>
        <w:rPr>
          <w:rStyle w:val="FootnoteReference"/>
        </w:rPr>
        <w:footnoteRef/>
      </w:r>
      <w:r>
        <w:tab/>
      </w:r>
      <w:r w:rsidRPr="00AD6596">
        <w:t>Decreto PCM-028-2017 de fecha 7 de agosto del 2017, http://simoreh.sedh.gob.hn/</w:t>
      </w:r>
      <w:r>
        <w:t xml:space="preserve">. </w:t>
      </w:r>
    </w:p>
  </w:footnote>
  <w:footnote w:id="4">
    <w:p w:rsidR="00AD6596" w:rsidRPr="00AD6596" w:rsidRDefault="00AD6596" w:rsidP="00AD6596">
      <w:pPr>
        <w:pStyle w:val="FootnoteText"/>
        <w:widowControl w:val="0"/>
        <w:tabs>
          <w:tab w:val="clear" w:pos="1021"/>
          <w:tab w:val="right" w:pos="1020"/>
        </w:tabs>
        <w:suppressAutoHyphens/>
        <w:rPr>
          <w:lang w:val="fr-FR"/>
        </w:rPr>
      </w:pPr>
      <w:r>
        <w:tab/>
      </w:r>
      <w:r>
        <w:rPr>
          <w:rStyle w:val="FootnoteReference"/>
        </w:rPr>
        <w:footnoteRef/>
      </w:r>
      <w:r>
        <w:tab/>
      </w:r>
      <w:r w:rsidRPr="00AD6596">
        <w:t xml:space="preserve">El Protocolo </w:t>
      </w:r>
      <w:proofErr w:type="spellStart"/>
      <w:r w:rsidRPr="00AD6596">
        <w:t>Bio</w:t>
      </w:r>
      <w:proofErr w:type="spellEnd"/>
      <w:r w:rsidRPr="00AD6596">
        <w:t xml:space="preserve">-cultural es una herramienta metodológica que permita facilitar las negociaciones en la </w:t>
      </w:r>
      <w:proofErr w:type="spellStart"/>
      <w:r w:rsidRPr="00AD6596">
        <w:t>Mukitia</w:t>
      </w:r>
      <w:proofErr w:type="spellEnd"/>
      <w:r w:rsidRPr="00AD6596">
        <w:t xml:space="preserve"> con respecto a proyectos y decisiones que afectan a las comunidades indígenas y a sus riquezas naturales</w:t>
      </w:r>
      <w:r>
        <w:t xml:space="preserve">. </w:t>
      </w:r>
    </w:p>
  </w:footnote>
  <w:footnote w:id="5">
    <w:p w:rsidR="00AD6596" w:rsidRPr="00AD6596" w:rsidRDefault="00AD6596" w:rsidP="00AD6596">
      <w:pPr>
        <w:pStyle w:val="FootnoteText"/>
        <w:widowControl w:val="0"/>
        <w:tabs>
          <w:tab w:val="clear" w:pos="1021"/>
          <w:tab w:val="right" w:pos="1020"/>
        </w:tabs>
        <w:suppressAutoHyphens/>
        <w:rPr>
          <w:lang w:val="fr-FR"/>
        </w:rPr>
      </w:pPr>
      <w:r>
        <w:tab/>
      </w:r>
      <w:r>
        <w:rPr>
          <w:rStyle w:val="FootnoteReference"/>
        </w:rPr>
        <w:footnoteRef/>
      </w:r>
      <w:r>
        <w:tab/>
      </w:r>
      <w:r w:rsidRPr="00AD6596">
        <w:rPr>
          <w:lang w:val="es-MX"/>
        </w:rPr>
        <w:t>OL HND 5/19 de fecha 28 de octubre de 2019</w:t>
      </w:r>
      <w:r>
        <w:rPr>
          <w:lang w:val="es-MX"/>
        </w:rPr>
        <w:t>.</w:t>
      </w:r>
      <w:r>
        <w:t xml:space="preserve"> </w:t>
      </w:r>
    </w:p>
  </w:footnote>
  <w:footnote w:id="6">
    <w:p w:rsidR="00AD6596" w:rsidRPr="00AD6596" w:rsidRDefault="00AD6596" w:rsidP="00AD6596">
      <w:pPr>
        <w:pStyle w:val="FootnoteText"/>
        <w:widowControl w:val="0"/>
        <w:tabs>
          <w:tab w:val="clear" w:pos="1021"/>
          <w:tab w:val="right" w:pos="1020"/>
        </w:tabs>
        <w:suppressAutoHyphens/>
        <w:rPr>
          <w:lang w:val="fr-FR"/>
        </w:rPr>
      </w:pPr>
      <w:r>
        <w:tab/>
      </w:r>
      <w:r>
        <w:rPr>
          <w:rStyle w:val="FootnoteReference"/>
        </w:rPr>
        <w:footnoteRef/>
      </w:r>
      <w:r>
        <w:tab/>
      </w:r>
      <w:r w:rsidRPr="00AD6596">
        <w:rPr>
          <w:lang w:val="es-MX"/>
        </w:rPr>
        <w:t xml:space="preserve">Véase </w:t>
      </w:r>
      <w:hyperlink r:id="rId1" w:history="1">
        <w:r w:rsidRPr="00AD6596">
          <w:rPr>
            <w:rStyle w:val="Hyperlink"/>
          </w:rPr>
          <w:t>http://www.corteidh.or.cr/cf/jurisprudencia2/casos_en_etapa_de_supervision.cfm</w:t>
        </w:r>
      </w:hyperlink>
      <w:r w:rsidRPr="00AD6596">
        <w:t xml:space="preserve"> consultado el 6 de diciembre de 2019</w:t>
      </w:r>
      <w:r>
        <w:t xml:space="preserve">. </w:t>
      </w:r>
    </w:p>
  </w:footnote>
  <w:footnote w:id="7">
    <w:p w:rsidR="00AD6596" w:rsidRPr="00AD6596" w:rsidRDefault="00AD6596" w:rsidP="00AD6596">
      <w:pPr>
        <w:pStyle w:val="FootnoteText"/>
        <w:widowControl w:val="0"/>
        <w:tabs>
          <w:tab w:val="clear" w:pos="1021"/>
          <w:tab w:val="right" w:pos="1020"/>
        </w:tabs>
        <w:suppressAutoHyphens/>
      </w:pPr>
      <w:r>
        <w:tab/>
      </w:r>
      <w:r>
        <w:rPr>
          <w:rStyle w:val="FootnoteReference"/>
        </w:rPr>
        <w:footnoteRef/>
      </w:r>
      <w:r>
        <w:tab/>
      </w:r>
      <w:r w:rsidRPr="00AD6596">
        <w:t>Sentencia Caso Comunidad Triunfo de la Cruz https://www.sedh.gob.hn/odh/publicaciones/sentencias/268-sentencia-del-caso-comunidad-de-triunfo-de-la-cruz/file y Sentencia caso Comunidad Punta Piedra. https://www.sedh.gob.hn/odh/publicaciones/sentencias/269-sentencia-del-caso-comunidada-punta-piedra-vs-honduras/file</w:t>
      </w:r>
      <w:r>
        <w:t xml:space="preserve">. </w:t>
      </w:r>
    </w:p>
  </w:footnote>
  <w:footnote w:id="8">
    <w:p w:rsidR="00AD6596" w:rsidRPr="00C00416" w:rsidRDefault="00AD6596" w:rsidP="00AD6596">
      <w:pPr>
        <w:pStyle w:val="FootnoteText"/>
        <w:widowControl w:val="0"/>
        <w:tabs>
          <w:tab w:val="clear" w:pos="1021"/>
          <w:tab w:val="right" w:pos="1020"/>
        </w:tabs>
        <w:suppressAutoHyphens/>
        <w:rPr>
          <w:lang w:val="fr-FR"/>
        </w:rPr>
      </w:pPr>
      <w:r>
        <w:tab/>
      </w:r>
      <w:r>
        <w:rPr>
          <w:rStyle w:val="FootnoteReference"/>
        </w:rPr>
        <w:footnoteRef/>
      </w:r>
      <w:r>
        <w:tab/>
      </w:r>
      <w:r w:rsidRPr="00AD6596">
        <w:rPr>
          <w:lang w:val="es-MX"/>
        </w:rPr>
        <w:t>Acuerdo 001-2016</w:t>
      </w:r>
      <w:r>
        <w:rPr>
          <w:lang w:val="es-MX"/>
        </w:rPr>
        <w:t>.</w:t>
      </w:r>
      <w:r>
        <w:t xml:space="preserve"> </w:t>
      </w:r>
    </w:p>
  </w:footnote>
  <w:footnote w:id="9">
    <w:p w:rsidR="00AD6596" w:rsidRPr="00AD6596" w:rsidRDefault="00AD6596" w:rsidP="00AD6596">
      <w:pPr>
        <w:pStyle w:val="FootnoteText"/>
        <w:widowControl w:val="0"/>
        <w:tabs>
          <w:tab w:val="clear" w:pos="1021"/>
          <w:tab w:val="right" w:pos="1020"/>
        </w:tabs>
        <w:suppressAutoHyphens/>
        <w:rPr>
          <w:lang w:val="fr-FR"/>
        </w:rPr>
      </w:pPr>
      <w:r>
        <w:tab/>
      </w:r>
      <w:r>
        <w:rPr>
          <w:rStyle w:val="FootnoteReference"/>
        </w:rPr>
        <w:footnoteRef/>
      </w:r>
      <w:r>
        <w:tab/>
      </w:r>
      <w:hyperlink r:id="rId2" w:history="1">
        <w:r w:rsidRPr="00AD6596">
          <w:rPr>
            <w:rStyle w:val="Hyperlink"/>
            <w:lang w:val="es-HN"/>
          </w:rPr>
          <w:t>https://www.sedh.gob.hn/noticias3/557-comunicado-el-consejo-nacional-de-proteccion-para-las-y-los-defensores-de-derechos-humanos-hace-saber-a-la-comunidad-nacional-e-internacional-lo-siguiente</w:t>
        </w:r>
      </w:hyperlink>
      <w:r w:rsidRPr="00AD6596">
        <w:rPr>
          <w:lang w:val="es-HN"/>
        </w:rPr>
        <w:t>, Consultado el 05 de diciembre de 2019.</w:t>
      </w:r>
      <w:r>
        <w:t xml:space="preserve"> </w:t>
      </w:r>
    </w:p>
  </w:footnote>
  <w:footnote w:id="10">
    <w:p w:rsidR="00AD6596" w:rsidRPr="00AD6596" w:rsidRDefault="00AD6596" w:rsidP="00AD6596">
      <w:pPr>
        <w:pStyle w:val="FootnoteText"/>
        <w:widowControl w:val="0"/>
        <w:tabs>
          <w:tab w:val="clear" w:pos="1021"/>
          <w:tab w:val="right" w:pos="1020"/>
        </w:tabs>
        <w:suppressAutoHyphens/>
        <w:rPr>
          <w:lang w:val="fr-FR"/>
        </w:rPr>
      </w:pPr>
      <w:r>
        <w:tab/>
      </w:r>
      <w:r>
        <w:rPr>
          <w:rStyle w:val="FootnoteReference"/>
        </w:rPr>
        <w:footnoteRef/>
      </w:r>
      <w:r>
        <w:tab/>
      </w:r>
      <w:r w:rsidRPr="00AD6596">
        <w:t>Acuerdo No. FGR-002-2018, Publicado en el Diario Oficial La Gaceta No. 34,593 en fecha 15 de marzo de 2018.</w:t>
      </w:r>
      <w:r>
        <w:t xml:space="preserve"> </w:t>
      </w:r>
    </w:p>
  </w:footnote>
  <w:footnote w:id="11">
    <w:p w:rsidR="00AD6596" w:rsidRPr="00A008CA" w:rsidRDefault="00AD6596" w:rsidP="00AD6596">
      <w:pPr>
        <w:pStyle w:val="FootnoteText"/>
        <w:widowControl w:val="0"/>
        <w:tabs>
          <w:tab w:val="clear" w:pos="1021"/>
          <w:tab w:val="right" w:pos="1020"/>
        </w:tabs>
        <w:suppressAutoHyphens/>
        <w:rPr>
          <w:lang w:val="fr-FR"/>
        </w:rPr>
      </w:pPr>
      <w:r>
        <w:tab/>
      </w:r>
      <w:r>
        <w:rPr>
          <w:rStyle w:val="FootnoteReference"/>
        </w:rPr>
        <w:footnoteRef/>
      </w:r>
      <w:r>
        <w:tab/>
      </w:r>
      <w:r w:rsidRPr="00AD6596">
        <w:rPr>
          <w:lang w:val="es-MX"/>
        </w:rPr>
        <w:t xml:space="preserve">Ministerio Público, </w:t>
      </w:r>
      <w:hyperlink r:id="rId3" w:history="1">
        <w:r w:rsidR="00A008CA" w:rsidRPr="00DF21C2">
          <w:rPr>
            <w:rStyle w:val="Hyperlink"/>
            <w:lang w:val="es-MX"/>
          </w:rPr>
          <w:t>https://www.mp.hn/index.php/author-login/148- noviembre2019/5193-penas-de-50-anos-cuatro-meses-30-anos-seis-meses-y-30-anos-de-reclusion-contra-asesinos-de-la-lider-ambientalista-berta-caceres</w:t>
        </w:r>
      </w:hyperlink>
      <w:r w:rsidRPr="00AD6596">
        <w:rPr>
          <w:lang w:val="es-MX"/>
        </w:rPr>
        <w:t xml:space="preserve">. Consultado el 9 de diciembre del 2019. </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24C3" w:rsidRPr="008024C3" w:rsidRDefault="008024C3">
    <w:pPr>
      <w:pStyle w:val="Header"/>
      <w:rPr>
        <w:lang w:val="en-GB"/>
      </w:rPr>
    </w:pPr>
    <w:r>
      <w:rPr>
        <w:lang w:val="en-GB"/>
      </w:rPr>
      <w:t>CERD/C/HND/CO/6-8/Add.1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7266" w:rsidRPr="008024C3" w:rsidRDefault="00E47266" w:rsidP="00E47266">
    <w:pPr>
      <w:pStyle w:val="Header"/>
      <w:jc w:val="right"/>
      <w:rPr>
        <w:lang w:val="en-GB"/>
      </w:rPr>
    </w:pPr>
    <w:bookmarkStart w:id="1" w:name="_GoBack"/>
    <w:bookmarkEnd w:id="1"/>
    <w:r>
      <w:rPr>
        <w:lang w:val="en-GB"/>
      </w:rPr>
      <w:t>CERD/C/HND/CO/6-8/Add.1</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7266" w:rsidRDefault="00E4726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0000003"/>
    <w:multiLevelType w:val="singleLevel"/>
    <w:tmpl w:val="DC3EEBB6"/>
    <w:lvl w:ilvl="0">
      <w:start w:val="1"/>
      <w:numFmt w:val="decimal"/>
      <w:lvlText w:val="%1."/>
      <w:lvlJc w:val="left"/>
      <w:pPr>
        <w:tabs>
          <w:tab w:val="num" w:pos="66"/>
        </w:tabs>
        <w:ind w:left="786" w:hanging="360"/>
      </w:pPr>
      <w:rPr>
        <w:b w:val="0"/>
        <w:i w:val="0"/>
      </w:rPr>
    </w:lvl>
  </w:abstractNum>
  <w:abstractNum w:abstractNumId="11" w15:restartNumberingAfterBreak="0">
    <w:nsid w:val="06AC369A"/>
    <w:multiLevelType w:val="hybridMultilevel"/>
    <w:tmpl w:val="C6E868B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0C7935CE"/>
    <w:multiLevelType w:val="singleLevel"/>
    <w:tmpl w:val="A7E6970C"/>
    <w:lvl w:ilvl="0">
      <w:start w:val="1"/>
      <w:numFmt w:val="decimal"/>
      <w:lvlText w:val="%1."/>
      <w:lvlJc w:val="left"/>
      <w:pPr>
        <w:tabs>
          <w:tab w:val="num" w:pos="66"/>
        </w:tabs>
        <w:ind w:left="786" w:hanging="360"/>
      </w:pPr>
      <w:rPr>
        <w:rFonts w:hint="default"/>
        <w:b w:val="0"/>
        <w:i w:val="0"/>
        <w:color w:val="auto"/>
      </w:rPr>
    </w:lvl>
  </w:abstractNum>
  <w:abstractNum w:abstractNumId="13"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1437170"/>
    <w:multiLevelType w:val="hybridMultilevel"/>
    <w:tmpl w:val="1368C156"/>
    <w:lvl w:ilvl="0" w:tplc="738E894E">
      <w:start w:val="1"/>
      <w:numFmt w:val="decimal"/>
      <w:lvlText w:val="%1."/>
      <w:lvlJc w:val="left"/>
      <w:pPr>
        <w:ind w:left="1854" w:hanging="360"/>
      </w:pPr>
      <w:rPr>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201A2BDC"/>
    <w:multiLevelType w:val="hybridMultilevel"/>
    <w:tmpl w:val="9EE4262A"/>
    <w:lvl w:ilvl="0" w:tplc="68AAD7E2">
      <w:start w:val="1"/>
      <w:numFmt w:val="decimal"/>
      <w:lvlText w:val="%1."/>
      <w:lvlJc w:val="right"/>
      <w:pPr>
        <w:ind w:left="1170" w:hanging="360"/>
      </w:pPr>
      <w:rPr>
        <w:rFonts w:hint="default"/>
        <w:b w:val="0"/>
        <w:bCs w:val="0"/>
        <w:i w:val="0"/>
        <w:iCs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4993587"/>
    <w:multiLevelType w:val="hybridMultilevel"/>
    <w:tmpl w:val="72826FB4"/>
    <w:lvl w:ilvl="0" w:tplc="C6DC94E2">
      <w:start w:val="1"/>
      <w:numFmt w:val="decimal"/>
      <w:lvlText w:val="%1."/>
      <w:lvlJc w:val="left"/>
      <w:pPr>
        <w:ind w:left="1854" w:hanging="360"/>
      </w:pPr>
      <w:rPr>
        <w:rFonts w:ascii="Times New Roman" w:eastAsiaTheme="minorHAnsi" w:hAnsi="Times New Roman" w:cs="Times New Roman" w:hint="default"/>
        <w:b w:val="0"/>
        <w:i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2D4B6497"/>
    <w:multiLevelType w:val="hybridMultilevel"/>
    <w:tmpl w:val="4C54973C"/>
    <w:lvl w:ilvl="0" w:tplc="697E71B6">
      <w:start w:val="1"/>
      <w:numFmt w:val="decimal"/>
      <w:lvlText w:val="%1."/>
      <w:lvlJc w:val="left"/>
      <w:pPr>
        <w:ind w:left="1170" w:hanging="360"/>
      </w:pPr>
      <w:rPr>
        <w:rFonts w:ascii="Times New Roman" w:hAnsi="Times New Roman" w:cs="Times New Roman" w:hint="default"/>
        <w:b w:val="0"/>
        <w:bCs w:val="0"/>
        <w:i w:val="0"/>
        <w:iCs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EB04F57"/>
    <w:multiLevelType w:val="hybridMultilevel"/>
    <w:tmpl w:val="EE62C22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A451D1A"/>
    <w:multiLevelType w:val="hybridMultilevel"/>
    <w:tmpl w:val="1E3E856A"/>
    <w:lvl w:ilvl="0" w:tplc="F69669B0">
      <w:start w:val="1"/>
      <w:numFmt w:val="upperRoman"/>
      <w:lvlText w:val="%1)"/>
      <w:lvlJc w:val="left"/>
      <w:pPr>
        <w:ind w:left="1080" w:hanging="72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21" w15:restartNumberingAfterBreak="0">
    <w:nsid w:val="417B5D12"/>
    <w:multiLevelType w:val="hybridMultilevel"/>
    <w:tmpl w:val="E6FCF28E"/>
    <w:lvl w:ilvl="0" w:tplc="480A0017">
      <w:start w:val="1"/>
      <w:numFmt w:val="lowerLetter"/>
      <w:lvlText w:val="%1)"/>
      <w:lvlJc w:val="left"/>
      <w:pPr>
        <w:ind w:left="720" w:hanging="360"/>
      </w:pPr>
      <w:rPr>
        <w:color w:val="auto"/>
      </w:rPr>
    </w:lvl>
    <w:lvl w:ilvl="1" w:tplc="480A0019">
      <w:start w:val="1"/>
      <w:numFmt w:val="lowerLetter"/>
      <w:lvlText w:val="%2."/>
      <w:lvlJc w:val="left"/>
      <w:pPr>
        <w:ind w:left="1440" w:hanging="360"/>
      </w:pPr>
    </w:lvl>
    <w:lvl w:ilvl="2" w:tplc="480A001B">
      <w:start w:val="1"/>
      <w:numFmt w:val="lowerRoman"/>
      <w:lvlText w:val="%3."/>
      <w:lvlJc w:val="right"/>
      <w:pPr>
        <w:ind w:left="2160" w:hanging="180"/>
      </w:pPr>
    </w:lvl>
    <w:lvl w:ilvl="3" w:tplc="480A000F">
      <w:start w:val="1"/>
      <w:numFmt w:val="decimal"/>
      <w:lvlText w:val="%4."/>
      <w:lvlJc w:val="left"/>
      <w:pPr>
        <w:ind w:left="2880" w:hanging="360"/>
      </w:pPr>
    </w:lvl>
    <w:lvl w:ilvl="4" w:tplc="480A0019">
      <w:start w:val="1"/>
      <w:numFmt w:val="lowerLetter"/>
      <w:lvlText w:val="%5."/>
      <w:lvlJc w:val="left"/>
      <w:pPr>
        <w:ind w:left="3600" w:hanging="360"/>
      </w:pPr>
    </w:lvl>
    <w:lvl w:ilvl="5" w:tplc="480A001B">
      <w:start w:val="1"/>
      <w:numFmt w:val="lowerRoman"/>
      <w:lvlText w:val="%6."/>
      <w:lvlJc w:val="right"/>
      <w:pPr>
        <w:ind w:left="4320" w:hanging="180"/>
      </w:pPr>
    </w:lvl>
    <w:lvl w:ilvl="6" w:tplc="480A000F">
      <w:start w:val="1"/>
      <w:numFmt w:val="decimal"/>
      <w:lvlText w:val="%7."/>
      <w:lvlJc w:val="left"/>
      <w:pPr>
        <w:ind w:left="5040" w:hanging="360"/>
      </w:pPr>
    </w:lvl>
    <w:lvl w:ilvl="7" w:tplc="480A0019">
      <w:start w:val="1"/>
      <w:numFmt w:val="lowerLetter"/>
      <w:lvlText w:val="%8."/>
      <w:lvlJc w:val="left"/>
      <w:pPr>
        <w:ind w:left="5760" w:hanging="360"/>
      </w:pPr>
    </w:lvl>
    <w:lvl w:ilvl="8" w:tplc="480A001B">
      <w:start w:val="1"/>
      <w:numFmt w:val="lowerRoman"/>
      <w:lvlText w:val="%9."/>
      <w:lvlJc w:val="right"/>
      <w:pPr>
        <w:ind w:left="6480" w:hanging="180"/>
      </w:pPr>
    </w:lvl>
  </w:abstractNum>
  <w:abstractNum w:abstractNumId="22"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5F911A28"/>
    <w:multiLevelType w:val="hybridMultilevel"/>
    <w:tmpl w:val="6F3AA09A"/>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4"/>
  </w:num>
  <w:num w:numId="2">
    <w:abstractNumId w:val="19"/>
  </w:num>
  <w:num w:numId="3">
    <w:abstractNumId w:val="26"/>
  </w:num>
  <w:num w:numId="4">
    <w:abstractNumId w:val="25"/>
  </w:num>
  <w:num w:numId="5">
    <w:abstractNumId w:val="2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3"/>
  </w:num>
  <w:num w:numId="17">
    <w:abstractNumId w:val="10"/>
  </w:num>
  <w:num w:numId="18">
    <w:abstractNumId w:val="12"/>
  </w:num>
  <w:num w:numId="19">
    <w:abstractNumId w:val="20"/>
  </w:num>
  <w:num w:numId="20">
    <w:abstractNumId w:val="11"/>
  </w:num>
  <w:num w:numId="21">
    <w:abstractNumId w:val="14"/>
  </w:num>
  <w:num w:numId="22">
    <w:abstractNumId w:val="18"/>
  </w:num>
  <w:num w:numId="23">
    <w:abstractNumId w:val="17"/>
  </w:num>
  <w:num w:numId="24">
    <w:abstractNumId w:val="21"/>
  </w:num>
  <w:num w:numId="25">
    <w:abstractNumId w:val="15"/>
  </w:num>
  <w:num w:numId="26">
    <w:abstractNumId w:val="16"/>
  </w:num>
  <w:num w:numId="27">
    <w:abstractNumId w:val="2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225"/>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06E2"/>
    <w:rsid w:val="00006BB9"/>
    <w:rsid w:val="000107A1"/>
    <w:rsid w:val="0002339D"/>
    <w:rsid w:val="00036733"/>
    <w:rsid w:val="000B40C9"/>
    <w:rsid w:val="000B57E7"/>
    <w:rsid w:val="000F09DF"/>
    <w:rsid w:val="000F61B2"/>
    <w:rsid w:val="001075E9"/>
    <w:rsid w:val="00142167"/>
    <w:rsid w:val="00145F2F"/>
    <w:rsid w:val="00160FF7"/>
    <w:rsid w:val="00180183"/>
    <w:rsid w:val="00196389"/>
    <w:rsid w:val="001C7A89"/>
    <w:rsid w:val="00201F1A"/>
    <w:rsid w:val="002433EC"/>
    <w:rsid w:val="0025226E"/>
    <w:rsid w:val="002A2EFC"/>
    <w:rsid w:val="002C0E18"/>
    <w:rsid w:val="002C33BB"/>
    <w:rsid w:val="002D5AAC"/>
    <w:rsid w:val="002F3020"/>
    <w:rsid w:val="00301299"/>
    <w:rsid w:val="00322004"/>
    <w:rsid w:val="003402C2"/>
    <w:rsid w:val="00340AC9"/>
    <w:rsid w:val="00381C24"/>
    <w:rsid w:val="003958D0"/>
    <w:rsid w:val="003C4432"/>
    <w:rsid w:val="004031F0"/>
    <w:rsid w:val="00454E07"/>
    <w:rsid w:val="00471CB3"/>
    <w:rsid w:val="00484BE8"/>
    <w:rsid w:val="0050108D"/>
    <w:rsid w:val="00572E19"/>
    <w:rsid w:val="00587698"/>
    <w:rsid w:val="005F0B42"/>
    <w:rsid w:val="006334BC"/>
    <w:rsid w:val="00634841"/>
    <w:rsid w:val="00655A21"/>
    <w:rsid w:val="006725B3"/>
    <w:rsid w:val="006808A9"/>
    <w:rsid w:val="006F35EE"/>
    <w:rsid w:val="007021FF"/>
    <w:rsid w:val="007076CB"/>
    <w:rsid w:val="00714AA3"/>
    <w:rsid w:val="007967DF"/>
    <w:rsid w:val="007B06E2"/>
    <w:rsid w:val="008024C3"/>
    <w:rsid w:val="00834B71"/>
    <w:rsid w:val="008459F7"/>
    <w:rsid w:val="0086445C"/>
    <w:rsid w:val="00865FAC"/>
    <w:rsid w:val="008728CD"/>
    <w:rsid w:val="008A08D7"/>
    <w:rsid w:val="008A13F9"/>
    <w:rsid w:val="008C0F65"/>
    <w:rsid w:val="008D5B0A"/>
    <w:rsid w:val="008E6BB6"/>
    <w:rsid w:val="00906890"/>
    <w:rsid w:val="00951972"/>
    <w:rsid w:val="00954E65"/>
    <w:rsid w:val="00A008CA"/>
    <w:rsid w:val="00A17DFD"/>
    <w:rsid w:val="00A4674B"/>
    <w:rsid w:val="00A917B3"/>
    <w:rsid w:val="00AB4B51"/>
    <w:rsid w:val="00AD6596"/>
    <w:rsid w:val="00B10CC7"/>
    <w:rsid w:val="00B62458"/>
    <w:rsid w:val="00B75D17"/>
    <w:rsid w:val="00B85CF3"/>
    <w:rsid w:val="00BA7694"/>
    <w:rsid w:val="00BB36EA"/>
    <w:rsid w:val="00BD33EE"/>
    <w:rsid w:val="00BF087B"/>
    <w:rsid w:val="00C00416"/>
    <w:rsid w:val="00C60F0C"/>
    <w:rsid w:val="00C63C2A"/>
    <w:rsid w:val="00C805C9"/>
    <w:rsid w:val="00CA067A"/>
    <w:rsid w:val="00CA1679"/>
    <w:rsid w:val="00D05347"/>
    <w:rsid w:val="00D7493A"/>
    <w:rsid w:val="00D90138"/>
    <w:rsid w:val="00E47266"/>
    <w:rsid w:val="00E73F76"/>
    <w:rsid w:val="00EA31D8"/>
    <w:rsid w:val="00EA5579"/>
    <w:rsid w:val="00EF1360"/>
    <w:rsid w:val="00EF3220"/>
    <w:rsid w:val="00EF7198"/>
    <w:rsid w:val="00F162C9"/>
    <w:rsid w:val="00F41883"/>
    <w:rsid w:val="00F4793A"/>
    <w:rsid w:val="00F94155"/>
    <w:rsid w:val="00F96A3C"/>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5:docId w15:val="{B7200174-327C-424B-A2FF-C162C2F6DE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3020"/>
    <w:pPr>
      <w:spacing w:line="240" w:lineRule="atLeast"/>
    </w:pPr>
    <w:rPr>
      <w:lang w:val="es-ES" w:eastAsia="es-ES"/>
    </w:rPr>
  </w:style>
  <w:style w:type="paragraph" w:styleId="Heading1">
    <w:name w:val="heading 1"/>
    <w:aliases w:val="Table_G"/>
    <w:basedOn w:val="SingleTxtG"/>
    <w:next w:val="SingleTxtG"/>
    <w:link w:val="Heading1Char"/>
    <w:uiPriority w:val="9"/>
    <w:qFormat/>
    <w:rsid w:val="00D05347"/>
    <w:pPr>
      <w:keepNext/>
      <w:spacing w:after="0" w:line="240" w:lineRule="auto"/>
      <w:outlineLvl w:val="0"/>
    </w:pPr>
    <w:rPr>
      <w:rFonts w:cs="Arial"/>
      <w:bCs/>
      <w:szCs w:val="32"/>
    </w:rPr>
  </w:style>
  <w:style w:type="paragraph" w:styleId="Heading2">
    <w:name w:val="heading 2"/>
    <w:basedOn w:val="Normal"/>
    <w:next w:val="Normal"/>
    <w:link w:val="Heading2Char"/>
    <w:uiPriority w:val="9"/>
    <w:qFormat/>
    <w:rsid w:val="00EA31D8"/>
    <w:pPr>
      <w:keepNext/>
      <w:outlineLvl w:val="1"/>
    </w:pPr>
    <w:rPr>
      <w:rFonts w:cs="Arial"/>
      <w:bCs/>
      <w:iCs/>
      <w:szCs w:val="28"/>
    </w:rPr>
  </w:style>
  <w:style w:type="paragraph" w:styleId="Heading3">
    <w:name w:val="heading 3"/>
    <w:basedOn w:val="Normal"/>
    <w:next w:val="Normal"/>
    <w:semiHidden/>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semiHidden/>
    <w:qFormat/>
    <w:rsid w:val="00EA31D8"/>
    <w:pPr>
      <w:keepNext/>
      <w:spacing w:before="240" w:after="60"/>
      <w:outlineLvl w:val="3"/>
    </w:pPr>
    <w:rPr>
      <w:b/>
      <w:bCs/>
      <w:sz w:val="28"/>
      <w:szCs w:val="28"/>
    </w:rPr>
  </w:style>
  <w:style w:type="paragraph" w:styleId="Heading5">
    <w:name w:val="heading 5"/>
    <w:basedOn w:val="Normal"/>
    <w:next w:val="Normal"/>
    <w:semiHidden/>
    <w:qFormat/>
    <w:rsid w:val="00EA31D8"/>
    <w:pPr>
      <w:spacing w:before="240" w:after="60"/>
      <w:outlineLvl w:val="4"/>
    </w:pPr>
    <w:rPr>
      <w:b/>
      <w:bCs/>
      <w:i/>
      <w:iCs/>
      <w:sz w:val="26"/>
      <w:szCs w:val="26"/>
    </w:rPr>
  </w:style>
  <w:style w:type="paragraph" w:styleId="Heading6">
    <w:name w:val="heading 6"/>
    <w:basedOn w:val="Normal"/>
    <w:next w:val="Normal"/>
    <w:semiHidden/>
    <w:qFormat/>
    <w:rsid w:val="00EA31D8"/>
    <w:pPr>
      <w:spacing w:before="240" w:after="60"/>
      <w:outlineLvl w:val="5"/>
    </w:pPr>
    <w:rPr>
      <w:b/>
      <w:bCs/>
      <w:sz w:val="22"/>
      <w:szCs w:val="22"/>
    </w:rPr>
  </w:style>
  <w:style w:type="paragraph" w:styleId="Heading7">
    <w:name w:val="heading 7"/>
    <w:basedOn w:val="Normal"/>
    <w:next w:val="Normal"/>
    <w:semiHidden/>
    <w:qFormat/>
    <w:rsid w:val="00EA31D8"/>
    <w:pPr>
      <w:spacing w:before="240" w:after="60"/>
      <w:outlineLvl w:val="6"/>
    </w:pPr>
    <w:rPr>
      <w:sz w:val="24"/>
      <w:szCs w:val="24"/>
    </w:rPr>
  </w:style>
  <w:style w:type="paragraph" w:styleId="Heading8">
    <w:name w:val="heading 8"/>
    <w:basedOn w:val="Normal"/>
    <w:next w:val="Normal"/>
    <w:semiHidden/>
    <w:qFormat/>
    <w:rsid w:val="00EA31D8"/>
    <w:pPr>
      <w:spacing w:before="240" w:after="60"/>
      <w:outlineLvl w:val="7"/>
    </w:pPr>
    <w:rPr>
      <w:i/>
      <w:iCs/>
      <w:sz w:val="24"/>
      <w:szCs w:val="24"/>
    </w:rPr>
  </w:style>
  <w:style w:type="paragraph" w:styleId="Heading9">
    <w:name w:val="heading 9"/>
    <w:basedOn w:val="Normal"/>
    <w:next w:val="Normal"/>
    <w:semiHidden/>
    <w:qFormat/>
    <w:rsid w:val="00EA31D8"/>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uiPriority w:val="99"/>
    <w:qFormat/>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pPr>
    <w:rPr>
      <w:b/>
      <w:sz w:val="28"/>
    </w:rPr>
  </w:style>
  <w:style w:type="paragraph" w:styleId="BalloonText">
    <w:name w:val="Balloon Text"/>
    <w:basedOn w:val="Normal"/>
    <w:link w:val="BalloonTextChar"/>
    <w:semiHidden/>
    <w:rsid w:val="002F3020"/>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2F3020"/>
    <w:rPr>
      <w:rFonts w:ascii="Tahoma" w:hAnsi="Tahoma" w:cs="Tahoma"/>
      <w:sz w:val="16"/>
      <w:szCs w:val="16"/>
      <w:lang w:val="es-ES" w:eastAsia="es-ES"/>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qFormat/>
    <w:rsid w:val="000107A1"/>
    <w:pPr>
      <w:pBdr>
        <w:bottom w:val="single" w:sz="4" w:space="4" w:color="auto"/>
      </w:pBdr>
      <w:spacing w:line="240" w:lineRule="auto"/>
    </w:pPr>
    <w:rPr>
      <w:b/>
      <w:sz w:val="18"/>
    </w:rPr>
  </w:style>
  <w:style w:type="paragraph" w:customStyle="1" w:styleId="SingleTxtG">
    <w:name w:val="_ Single Txt_G"/>
    <w:basedOn w:val="Normal"/>
    <w:link w:val="SingleTxtGChar"/>
    <w:qFormat/>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qFormat/>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link w:val="FootnoteTextChar"/>
    <w:autoRedefine/>
    <w:uiPriority w:val="99"/>
    <w:qFormat/>
    <w:rsid w:val="00EA31D8"/>
    <w:pPr>
      <w:tabs>
        <w:tab w:val="right" w:pos="1021"/>
      </w:tabs>
      <w:spacing w:line="220" w:lineRule="exact"/>
      <w:ind w:left="1134" w:right="1134" w:hanging="1134"/>
    </w:pPr>
    <w:rPr>
      <w:sz w:val="18"/>
    </w:rPr>
  </w:style>
  <w:style w:type="table" w:styleId="TableGrid">
    <w:name w:val="Table Grid"/>
    <w:basedOn w:val="TableNormal"/>
    <w:semiHidden/>
    <w:rsid w:val="008E6BB6"/>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basedOn w:val="DefaultParagraphFont"/>
    <w:semiHidden/>
    <w:rsid w:val="00EA31D8"/>
    <w:rPr>
      <w:i/>
      <w:iCs/>
    </w:rPr>
  </w:style>
  <w:style w:type="character" w:styleId="HTMLCode">
    <w:name w:val="HTML Code"/>
    <w:basedOn w:val="DefaultParagraphFont"/>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basedOn w:val="DefaultParagraphFont"/>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basedOn w:val="DefaultParagraphFont"/>
    <w:semiHidden/>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basedOn w:val="DefaultParagraphFont"/>
    <w:uiPriority w:val="99"/>
    <w:rsid w:val="008E6BB6"/>
    <w:rPr>
      <w:color w:val="auto"/>
      <w:u w:val="none"/>
    </w:rPr>
  </w:style>
  <w:style w:type="character" w:styleId="FollowedHyperlink">
    <w:name w:val="FollowedHyperlink"/>
    <w:basedOn w:val="DefaultParagraphFont"/>
    <w:semiHidden/>
    <w:rsid w:val="008E6BB6"/>
    <w:rPr>
      <w:color w:val="auto"/>
      <w:u w:val="non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basedOn w:val="DefaultParagraphFont"/>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basedOn w:val="DefaultParagraphFont"/>
    <w:qFormat/>
    <w:rsid w:val="00EA31D8"/>
    <w:rPr>
      <w:b/>
      <w:sz w:val="18"/>
    </w:rPr>
  </w:style>
  <w:style w:type="character" w:styleId="EndnoteReference">
    <w:name w:val="endnote reference"/>
    <w:aliases w:val="1_G"/>
    <w:basedOn w:val="FootnoteReference"/>
    <w:qFormat/>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semiHidden/>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basedOn w:val="DefaultParagraphFont"/>
    <w:semiHidden/>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qForma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semiHidden/>
    <w:qFormat/>
    <w:rsid w:val="00EA31D8"/>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customStyle="1" w:styleId="ParNoG">
    <w:name w:val="_ParNo_G"/>
    <w:basedOn w:val="SingleTxtG"/>
    <w:qFormat/>
    <w:rsid w:val="00340AC9"/>
    <w:pPr>
      <w:numPr>
        <w:numId w:val="16"/>
      </w:numPr>
      <w:suppressAutoHyphens/>
      <w:kinsoku w:val="0"/>
      <w:overflowPunct w:val="0"/>
      <w:autoSpaceDE w:val="0"/>
      <w:autoSpaceDN w:val="0"/>
      <w:adjustRightInd w:val="0"/>
      <w:snapToGrid w:val="0"/>
    </w:pPr>
    <w:rPr>
      <w:lang w:val="es-ES_tradnl" w:eastAsia="en-US"/>
    </w:rPr>
  </w:style>
  <w:style w:type="character" w:customStyle="1" w:styleId="SingleTxtGChar">
    <w:name w:val="_ Single Txt_G Char"/>
    <w:link w:val="SingleTxtG"/>
    <w:rsid w:val="007B06E2"/>
    <w:rPr>
      <w:lang w:val="es-ES" w:eastAsia="es-ES"/>
    </w:rPr>
  </w:style>
  <w:style w:type="character" w:customStyle="1" w:styleId="Heading1Char">
    <w:name w:val="Heading 1 Char"/>
    <w:aliases w:val="Table_G Char"/>
    <w:link w:val="Heading1"/>
    <w:uiPriority w:val="9"/>
    <w:rsid w:val="00714AA3"/>
    <w:rPr>
      <w:rFonts w:cs="Arial"/>
      <w:bCs/>
      <w:szCs w:val="32"/>
      <w:lang w:val="es-ES" w:eastAsia="es-ES"/>
    </w:rPr>
  </w:style>
  <w:style w:type="character" w:customStyle="1" w:styleId="FootnoteTextChar">
    <w:name w:val="Footnote Text Char"/>
    <w:aliases w:val="5_G Char"/>
    <w:link w:val="FootnoteText"/>
    <w:uiPriority w:val="99"/>
    <w:rsid w:val="00714AA3"/>
    <w:rPr>
      <w:sz w:val="18"/>
      <w:lang w:val="es-ES" w:eastAsia="es-ES"/>
    </w:rPr>
  </w:style>
  <w:style w:type="paragraph" w:styleId="ListParagraph">
    <w:name w:val="List Paragraph"/>
    <w:basedOn w:val="Normal"/>
    <w:uiPriority w:val="34"/>
    <w:qFormat/>
    <w:rsid w:val="006334BC"/>
    <w:pPr>
      <w:spacing w:after="160" w:line="259" w:lineRule="auto"/>
      <w:ind w:left="720"/>
      <w:contextualSpacing/>
    </w:pPr>
    <w:rPr>
      <w:rFonts w:asciiTheme="minorHAnsi" w:eastAsiaTheme="minorHAnsi" w:hAnsiTheme="minorHAnsi" w:cstheme="minorBidi"/>
      <w:sz w:val="22"/>
      <w:szCs w:val="22"/>
      <w:lang w:val="es-US" w:eastAsia="en-US"/>
    </w:rPr>
  </w:style>
  <w:style w:type="character" w:customStyle="1" w:styleId="Heading2Char">
    <w:name w:val="Heading 2 Char"/>
    <w:basedOn w:val="DefaultParagraphFont"/>
    <w:link w:val="Heading2"/>
    <w:uiPriority w:val="9"/>
    <w:rsid w:val="006334BC"/>
    <w:rPr>
      <w:rFonts w:cs="Arial"/>
      <w:bCs/>
      <w:iCs/>
      <w:szCs w:val="2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footnotes.xml.rels><?xml version="1.0" encoding="UTF-8" standalone="yes"?>
<Relationships xmlns="http://schemas.openxmlformats.org/package/2006/relationships"><Relationship Id="rId3" Type="http://schemas.openxmlformats.org/officeDocument/2006/relationships/hyperlink" Target="https://www.mp.hn/index.php/author-login/148-%20noviembre2019/5193-penas-de-50-anos-cuatro-meses-30-anos-seis-meses-y-30-anos-de-reclusion-contra-asesinos-de-la-lider-ambientalista-berta-caceres" TargetMode="External"/><Relationship Id="rId2" Type="http://schemas.openxmlformats.org/officeDocument/2006/relationships/hyperlink" Target="https://www.sedh.gob.hn/noticias3/557-comunicado-el-consejo-nacional-de-proteccion-para-las-y-los-defensores-de-derechos-humanos-hace-saber-a-la-comunidad-nacional-e-internacional-lo-siguiente" TargetMode="External"/><Relationship Id="rId1" Type="http://schemas.openxmlformats.org/officeDocument/2006/relationships/hyperlink" Target="http://www.corteidh.or.cr/cf/jurisprudencia2/casos_en_etapa_de_supervision.cf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ERD\CERD_S.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52F90D1-77CF-482A-9C4D-0F0B3D443D09}">
  <ds:schemaRefs>
    <ds:schemaRef ds:uri="http://schemas.openxmlformats.org/officeDocument/2006/bibliography"/>
  </ds:schemaRefs>
</ds:datastoreItem>
</file>

<file path=customXml/itemProps2.xml><?xml version="1.0" encoding="utf-8"?>
<ds:datastoreItem xmlns:ds="http://schemas.openxmlformats.org/officeDocument/2006/customXml" ds:itemID="{25D8D3F3-52AF-463B-923B-55A135D49DFA}"/>
</file>

<file path=customXml/itemProps3.xml><?xml version="1.0" encoding="utf-8"?>
<ds:datastoreItem xmlns:ds="http://schemas.openxmlformats.org/officeDocument/2006/customXml" ds:itemID="{76B61C0C-FAEC-4B83-ABF1-3ABD78121D42}"/>
</file>

<file path=customXml/itemProps4.xml><?xml version="1.0" encoding="utf-8"?>
<ds:datastoreItem xmlns:ds="http://schemas.openxmlformats.org/officeDocument/2006/customXml" ds:itemID="{2C2783D9-A2E6-461D-918A-C00A23F15D53}"/>
</file>

<file path=docProps/app.xml><?xml version="1.0" encoding="utf-8"?>
<Properties xmlns="http://schemas.openxmlformats.org/officeDocument/2006/extended-properties" xmlns:vt="http://schemas.openxmlformats.org/officeDocument/2006/docPropsVTypes">
  <Template>CERD_S.dotm</Template>
  <TotalTime>3</TotalTime>
  <Pages>6</Pages>
  <Words>2896</Words>
  <Characters>15059</Characters>
  <Application>Microsoft Office Word</Application>
  <DocSecurity>0</DocSecurity>
  <Lines>125</Lines>
  <Paragraphs>35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CERD/C/ECU/CO/23-24/Add.1</vt:lpstr>
      <vt:lpstr>Naciones Unidas</vt:lpstr>
    </vt:vector>
  </TitlesOfParts>
  <Company>DCM</Company>
  <LinksUpToDate>false</LinksUpToDate>
  <CharactersWithSpaces>17920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CERD/C/ECU/CO/23-24/Add.1</dc:title>
  <dc:creator>SINGH Kalpana</dc:creator>
  <cp:lastModifiedBy>SINGH Kalpana</cp:lastModifiedBy>
  <cp:revision>4</cp:revision>
  <cp:lastPrinted>2008-01-16T10:37:00Z</cp:lastPrinted>
  <dcterms:created xsi:type="dcterms:W3CDTF">2019-12-17T15:05:00Z</dcterms:created>
  <dcterms:modified xsi:type="dcterms:W3CDTF">2019-12-17T15:08:00Z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