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9C388" w14:textId="6777A40C" w:rsidR="000F514A" w:rsidRDefault="00A12858">
      <w:pPr>
        <w:keepLines/>
        <w:spacing w:line="240" w:lineRule="auto"/>
        <w:rPr>
          <w:rFonts w:ascii="Cambria" w:eastAsia="Cambria" w:hAnsi="Cambria" w:cs="Cambria"/>
          <w:b/>
        </w:rPr>
      </w:pPr>
      <w:r>
        <w:rPr>
          <w:noProof/>
          <w:lang w:val="es-GT"/>
        </w:rPr>
        <w:drawing>
          <wp:anchor distT="114300" distB="114300" distL="114300" distR="114300" simplePos="0" relativeHeight="251658240" behindDoc="0" locked="0" layoutInCell="1" hidden="0" allowOverlap="1" wp14:anchorId="32D0194F" wp14:editId="397DDBE0">
            <wp:simplePos x="0" y="0"/>
            <wp:positionH relativeFrom="column">
              <wp:posOffset>5064125</wp:posOffset>
            </wp:positionH>
            <wp:positionV relativeFrom="paragraph">
              <wp:posOffset>0</wp:posOffset>
            </wp:positionV>
            <wp:extent cx="661988" cy="1059180"/>
            <wp:effectExtent l="0" t="0" r="5080" b="762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61988" cy="1059180"/>
                    </a:xfrm>
                    <a:prstGeom prst="rect">
                      <a:avLst/>
                    </a:prstGeom>
                    <a:ln/>
                  </pic:spPr>
                </pic:pic>
              </a:graphicData>
            </a:graphic>
          </wp:anchor>
        </w:drawing>
      </w:r>
      <w:r>
        <w:rPr>
          <w:rFonts w:ascii="Cambria" w:eastAsia="Cambria" w:hAnsi="Cambria" w:cs="Cambria"/>
          <w:b/>
        </w:rPr>
        <w:t xml:space="preserve">La conflictividad agraria y su impacto en los derechos de las mujeres indígenas en Guatemala </w:t>
      </w:r>
    </w:p>
    <w:p w14:paraId="3A8F1F5C" w14:textId="77777777" w:rsidR="000F514A" w:rsidRDefault="000F514A">
      <w:pPr>
        <w:keepLines/>
        <w:spacing w:line="240" w:lineRule="auto"/>
        <w:jc w:val="center"/>
        <w:rPr>
          <w:rFonts w:ascii="Cambria" w:eastAsia="Cambria" w:hAnsi="Cambria" w:cs="Cambria"/>
          <w:b/>
        </w:rPr>
      </w:pPr>
    </w:p>
    <w:p w14:paraId="1FB2D5EE" w14:textId="77777777" w:rsidR="000F514A" w:rsidRDefault="00A12858">
      <w:pPr>
        <w:keepLines/>
        <w:spacing w:line="240" w:lineRule="auto"/>
        <w:rPr>
          <w:rFonts w:ascii="Cambria" w:eastAsia="Cambria" w:hAnsi="Cambria" w:cs="Cambria"/>
          <w:b/>
        </w:rPr>
      </w:pPr>
      <w:r>
        <w:rPr>
          <w:rFonts w:ascii="Cambria" w:eastAsia="Cambria" w:hAnsi="Cambria" w:cs="Cambria"/>
          <w:b/>
        </w:rPr>
        <w:t>Por: Bufete para Pueblos Indígenas</w:t>
      </w:r>
    </w:p>
    <w:p w14:paraId="2AC5C635" w14:textId="7016B5FD" w:rsidR="000F514A" w:rsidRDefault="000F514A">
      <w:pPr>
        <w:keepLines/>
        <w:spacing w:line="240" w:lineRule="auto"/>
        <w:rPr>
          <w:rFonts w:ascii="Cambria" w:eastAsia="Cambria" w:hAnsi="Cambria" w:cs="Cambria"/>
        </w:rPr>
      </w:pPr>
    </w:p>
    <w:p w14:paraId="32508CFE" w14:textId="77777777" w:rsidR="00A9386C" w:rsidRDefault="00A9386C">
      <w:pPr>
        <w:keepLines/>
        <w:spacing w:line="240" w:lineRule="auto"/>
        <w:rPr>
          <w:rFonts w:ascii="Cambria" w:eastAsia="Cambria" w:hAnsi="Cambria" w:cs="Cambria"/>
        </w:rPr>
      </w:pPr>
      <w:bookmarkStart w:id="0" w:name="_GoBack"/>
      <w:bookmarkEnd w:id="0"/>
    </w:p>
    <w:p w14:paraId="0051A252" w14:textId="77777777" w:rsidR="000F514A" w:rsidRDefault="000F514A">
      <w:pPr>
        <w:keepLines/>
        <w:spacing w:line="240" w:lineRule="auto"/>
        <w:rPr>
          <w:rFonts w:ascii="Cambria" w:eastAsia="Cambria" w:hAnsi="Cambria" w:cs="Cambria"/>
        </w:rPr>
      </w:pPr>
    </w:p>
    <w:p w14:paraId="56CCC6B4" w14:textId="77777777" w:rsidR="000F514A" w:rsidRDefault="00A12858">
      <w:pPr>
        <w:keepLines/>
        <w:numPr>
          <w:ilvl w:val="0"/>
          <w:numId w:val="3"/>
        </w:numPr>
        <w:spacing w:line="240" w:lineRule="auto"/>
        <w:rPr>
          <w:rFonts w:ascii="Cambria" w:eastAsia="Cambria" w:hAnsi="Cambria" w:cs="Cambria"/>
          <w:b/>
        </w:rPr>
      </w:pPr>
      <w:r>
        <w:rPr>
          <w:rFonts w:ascii="Cambria" w:eastAsia="Cambria" w:hAnsi="Cambria" w:cs="Cambria"/>
          <w:b/>
        </w:rPr>
        <w:t>Contexto de la conflictividad agraria.</w:t>
      </w:r>
    </w:p>
    <w:p w14:paraId="08EFD9F6" w14:textId="173B0A1B" w:rsidR="000F514A" w:rsidRDefault="00A12858">
      <w:pPr>
        <w:keepLines/>
        <w:spacing w:before="240" w:after="240" w:line="240" w:lineRule="auto"/>
        <w:jc w:val="both"/>
        <w:rPr>
          <w:rFonts w:ascii="Cambria" w:eastAsia="Cambria" w:hAnsi="Cambria" w:cs="Cambria"/>
        </w:rPr>
      </w:pPr>
      <w:r>
        <w:rPr>
          <w:rFonts w:ascii="Cambria" w:eastAsia="Cambria" w:hAnsi="Cambria" w:cs="Cambria"/>
        </w:rPr>
        <w:t>A pesar de que Guatemala es un estado multicultural y multilingüe tal como lo establecen los Acuerdos de Paz y la Declaración Americana sobre los Derechos de los Pueblos Indígenas, su materialización aún implica grandes desafíos, particularmente los derech</w:t>
      </w:r>
      <w:r>
        <w:rPr>
          <w:rFonts w:ascii="Cambria" w:eastAsia="Cambria" w:hAnsi="Cambria" w:cs="Cambria"/>
        </w:rPr>
        <w:t xml:space="preserve">os colectivos a la tierra y </w:t>
      </w:r>
      <w:r w:rsidR="00CF62E3">
        <w:rPr>
          <w:rFonts w:ascii="Cambria" w:eastAsia="Cambria" w:hAnsi="Cambria" w:cs="Cambria"/>
        </w:rPr>
        <w:t>territorio, pues</w:t>
      </w:r>
      <w:r>
        <w:rPr>
          <w:rFonts w:ascii="Cambria" w:eastAsia="Cambria" w:hAnsi="Cambria" w:cs="Cambria"/>
        </w:rPr>
        <w:t xml:space="preserve"> amenaza su sobrevivencia cultural. </w:t>
      </w:r>
    </w:p>
    <w:p w14:paraId="748969D0" w14:textId="28D40A1F" w:rsidR="000F514A" w:rsidRDefault="00A12858">
      <w:pPr>
        <w:keepLines/>
        <w:spacing w:before="240" w:after="240" w:line="240" w:lineRule="auto"/>
        <w:jc w:val="both"/>
        <w:rPr>
          <w:rFonts w:ascii="Cambria" w:eastAsia="Cambria" w:hAnsi="Cambria" w:cs="Cambria"/>
        </w:rPr>
      </w:pPr>
      <w:r>
        <w:rPr>
          <w:rFonts w:ascii="Cambria" w:eastAsia="Cambria" w:hAnsi="Cambria" w:cs="Cambria"/>
        </w:rPr>
        <w:t xml:space="preserve">Las estructuras coloniales sobre la propiedad de la tierra en el </w:t>
      </w:r>
      <w:r w:rsidR="00CF62E3">
        <w:rPr>
          <w:rFonts w:ascii="Cambria" w:eastAsia="Cambria" w:hAnsi="Cambria" w:cs="Cambria"/>
        </w:rPr>
        <w:t>país</w:t>
      </w:r>
      <w:r>
        <w:rPr>
          <w:rFonts w:ascii="Cambria" w:eastAsia="Cambria" w:hAnsi="Cambria" w:cs="Cambria"/>
        </w:rPr>
        <w:t xml:space="preserve"> se mantienen y se reconfiguran a la fecha, en donde los actores han mutado desde los terratenientes a gra</w:t>
      </w:r>
      <w:r>
        <w:rPr>
          <w:rFonts w:ascii="Cambria" w:eastAsia="Cambria" w:hAnsi="Cambria" w:cs="Cambria"/>
        </w:rPr>
        <w:t>ndes empresarios oligárquicos, que continúan con el acaparamiento de la tierra para la explotación de los recursos naturales y el impulso de monocultivos, pues el 57% de tierra cultivable está en el 2% de empresarios, con tierras de 32 a 50 caballerías (FA</w:t>
      </w:r>
      <w:r>
        <w:rPr>
          <w:rFonts w:ascii="Cambria" w:eastAsia="Cambria" w:hAnsi="Cambria" w:cs="Cambria"/>
        </w:rPr>
        <w:t>O,2021). De acuerdo con el último censo agropecuario, la mayoría de la población campesina apenas posee entre 1 y 10 manzanas de tierra; siendo un 23.6% propiedad de pueblos indígenas; y de este total, solo el 6.5% son mujeres (PNUD.2002,10).  La demanda d</w:t>
      </w:r>
      <w:r>
        <w:rPr>
          <w:rFonts w:ascii="Cambria" w:eastAsia="Cambria" w:hAnsi="Cambria" w:cs="Cambria"/>
        </w:rPr>
        <w:t xml:space="preserve">e acceso a la tierra a nivel nacional según la Comisión Interamericana de Derechos Humanos (CIDH) en el 2013 ya supera las 800,000 familias sin tierra, esto derivado únicamente de las solicitudes individuales y colectivas ingresadas al Fondo de Tierras. </w:t>
      </w:r>
    </w:p>
    <w:p w14:paraId="56AD3A49" w14:textId="77777777" w:rsidR="000F514A" w:rsidRDefault="00A12858">
      <w:pPr>
        <w:keepLines/>
        <w:spacing w:before="240" w:after="240" w:line="240" w:lineRule="auto"/>
        <w:jc w:val="both"/>
        <w:rPr>
          <w:rFonts w:ascii="Cambria" w:eastAsia="Cambria" w:hAnsi="Cambria" w:cs="Cambria"/>
        </w:rPr>
      </w:pPr>
      <w:r>
        <w:rPr>
          <w:rFonts w:ascii="Cambria" w:eastAsia="Cambria" w:hAnsi="Cambria" w:cs="Cambria"/>
        </w:rPr>
        <w:t>L</w:t>
      </w:r>
      <w:r>
        <w:rPr>
          <w:rFonts w:ascii="Cambria" w:eastAsia="Cambria" w:hAnsi="Cambria" w:cs="Cambria"/>
        </w:rPr>
        <w:t xml:space="preserve">a permanente conflictividad agraria tiene su origen del permanente despojo desde la colonización hasta la fecha. Para diciembre del 2019, la Comisión Presidencial de Diálogo –CPD- había registrado dos mil 574 conflictos sociales, el 67 por ciento debido a </w:t>
      </w:r>
      <w:r>
        <w:rPr>
          <w:rFonts w:ascii="Cambria" w:eastAsia="Cambria" w:hAnsi="Cambria" w:cs="Cambria"/>
        </w:rPr>
        <w:t>problemas agrarios y otro 17 por ciento, por la utilización de recursos naturales.</w:t>
      </w:r>
    </w:p>
    <w:p w14:paraId="4EA1E7BF" w14:textId="37B3EEA3" w:rsidR="000F514A" w:rsidRDefault="00A12858">
      <w:pPr>
        <w:keepLines/>
        <w:spacing w:before="240" w:after="240" w:line="240" w:lineRule="auto"/>
        <w:jc w:val="both"/>
        <w:rPr>
          <w:rFonts w:ascii="Cambria" w:eastAsia="Cambria" w:hAnsi="Cambria" w:cs="Cambria"/>
        </w:rPr>
      </w:pPr>
      <w:r>
        <w:rPr>
          <w:rFonts w:ascii="Cambria" w:eastAsia="Cambria" w:hAnsi="Cambria" w:cs="Cambria"/>
        </w:rPr>
        <w:t>Información proporcionada por el Ministerio Público (MP) a la extinta Secretaría de Asuntos Agrarios da cuenta que esa institución registró entre el 1 de enero de 2005 al 13</w:t>
      </w:r>
      <w:r>
        <w:rPr>
          <w:rFonts w:ascii="Cambria" w:eastAsia="Cambria" w:hAnsi="Cambria" w:cs="Cambria"/>
        </w:rPr>
        <w:t xml:space="preserve"> de septiembre de 2016: 43,196 denuncias por disputas sobre la propiedad de la tierra en todo el país por el delito de usurpación. Actualmente el MP sigue </w:t>
      </w:r>
      <w:r w:rsidR="00CF62E3">
        <w:rPr>
          <w:rFonts w:ascii="Cambria" w:eastAsia="Cambria" w:hAnsi="Cambria" w:cs="Cambria"/>
        </w:rPr>
        <w:t>recibiendo, al</w:t>
      </w:r>
      <w:r>
        <w:rPr>
          <w:rFonts w:ascii="Cambria" w:eastAsia="Cambria" w:hAnsi="Cambria" w:cs="Cambria"/>
        </w:rPr>
        <w:t xml:space="preserve"> menos, 6 denuncias diarias por este delito y existe un promedio de 2,300 denuncias al </w:t>
      </w:r>
      <w:r>
        <w:rPr>
          <w:rFonts w:ascii="Cambria" w:eastAsia="Cambria" w:hAnsi="Cambria" w:cs="Cambria"/>
        </w:rPr>
        <w:t>año por tal hecho en contra de personas indígenas, según datos del Observatorio de Derechos de Propiedad en Guatemala.</w:t>
      </w:r>
    </w:p>
    <w:p w14:paraId="34447370" w14:textId="231BEC26" w:rsidR="000F514A" w:rsidRDefault="00A12858">
      <w:pPr>
        <w:keepLines/>
        <w:spacing w:before="240" w:after="240" w:line="240" w:lineRule="auto"/>
        <w:jc w:val="both"/>
        <w:rPr>
          <w:rFonts w:ascii="Cambria" w:eastAsia="Cambria" w:hAnsi="Cambria" w:cs="Cambria"/>
        </w:rPr>
      </w:pPr>
      <w:r>
        <w:rPr>
          <w:rFonts w:ascii="Cambria" w:eastAsia="Cambria" w:hAnsi="Cambria" w:cs="Cambria"/>
        </w:rPr>
        <w:t>En el marco de la conflictividad agraria, “Al 2016 sumaban ya 783,394 mujeres afectadas de forma directa por los conflictos agrarios, que</w:t>
      </w:r>
      <w:r>
        <w:rPr>
          <w:rFonts w:ascii="Cambria" w:eastAsia="Cambria" w:hAnsi="Cambria" w:cs="Cambria"/>
        </w:rPr>
        <w:t xml:space="preserve"> amplían los ciclos de violencia de género y discriminación que se ejerce desde la institucionalidad pública en materia de </w:t>
      </w:r>
      <w:r w:rsidR="00CF62E3">
        <w:rPr>
          <w:rFonts w:ascii="Cambria" w:eastAsia="Cambria" w:hAnsi="Cambria" w:cs="Cambria"/>
        </w:rPr>
        <w:t>tierras”. Es</w:t>
      </w:r>
      <w:r>
        <w:rPr>
          <w:rFonts w:ascii="Cambria" w:eastAsia="Cambria" w:hAnsi="Cambria" w:cs="Cambria"/>
        </w:rPr>
        <w:t xml:space="preserve"> así cuando se ejercen estos actos, generan vulnerabilidad hacia las mujeres indígenas hasta el punto de colocarlas en el</w:t>
      </w:r>
      <w:r>
        <w:rPr>
          <w:rFonts w:ascii="Cambria" w:eastAsia="Cambria" w:hAnsi="Cambria" w:cs="Cambria"/>
        </w:rPr>
        <w:t xml:space="preserve"> último lugar en la pirámide social, pues son asumidas por el imaginario guatemalteco, como seres humanos inferiores, útiles para la </w:t>
      </w:r>
      <w:proofErr w:type="gramStart"/>
      <w:r>
        <w:rPr>
          <w:rFonts w:ascii="Cambria" w:eastAsia="Cambria" w:hAnsi="Cambria" w:cs="Cambria"/>
        </w:rPr>
        <w:t>servidumbre</w:t>
      </w:r>
      <w:proofErr w:type="gramEnd"/>
      <w:r>
        <w:rPr>
          <w:rFonts w:ascii="Cambria" w:eastAsia="Cambria" w:hAnsi="Cambria" w:cs="Cambria"/>
        </w:rPr>
        <w:t xml:space="preserve"> pero sin valor ni voz, y que justifican este sistema de dominación volviéndose cómplice del modelo racista, pat</w:t>
      </w:r>
      <w:r>
        <w:rPr>
          <w:rFonts w:ascii="Cambria" w:eastAsia="Cambria" w:hAnsi="Cambria" w:cs="Cambria"/>
        </w:rPr>
        <w:t xml:space="preserve">riarcal y autoritario del Estado. </w:t>
      </w:r>
    </w:p>
    <w:p w14:paraId="410D5C7D" w14:textId="77777777" w:rsidR="000F514A" w:rsidRDefault="00A12858">
      <w:pPr>
        <w:keepLines/>
        <w:spacing w:before="240" w:after="240" w:line="240" w:lineRule="auto"/>
        <w:jc w:val="both"/>
        <w:rPr>
          <w:rFonts w:ascii="Cambria" w:eastAsia="Cambria" w:hAnsi="Cambria" w:cs="Cambria"/>
        </w:rPr>
      </w:pPr>
      <w:r>
        <w:rPr>
          <w:rFonts w:ascii="Cambria" w:eastAsia="Cambria" w:hAnsi="Cambria" w:cs="Cambria"/>
        </w:rPr>
        <w:t>Esta situación se agrava debido al desmantelamiento de la institucionalidad agraria derivada de la agenda de la paz y los derechos humanos, tales como Secretaría de Asuntos Agrarios -SAA-, la secretaría Presidencial de la</w:t>
      </w:r>
      <w:r>
        <w:rPr>
          <w:rFonts w:ascii="Cambria" w:eastAsia="Cambria" w:hAnsi="Cambria" w:cs="Cambria"/>
        </w:rPr>
        <w:t xml:space="preserve"> PAZ y la COPREDEH (30 julio, 2020)</w:t>
      </w:r>
    </w:p>
    <w:p w14:paraId="38A20838" w14:textId="77777777" w:rsidR="000F514A" w:rsidRDefault="00A12858">
      <w:pPr>
        <w:keepLines/>
        <w:spacing w:before="240" w:after="240" w:line="240" w:lineRule="auto"/>
        <w:jc w:val="both"/>
        <w:rPr>
          <w:rFonts w:ascii="Cambria" w:eastAsia="Cambria" w:hAnsi="Cambria" w:cs="Cambria"/>
        </w:rPr>
      </w:pPr>
      <w:r>
        <w:rPr>
          <w:rFonts w:ascii="Cambria" w:eastAsia="Cambria" w:hAnsi="Cambria" w:cs="Cambria"/>
        </w:rPr>
        <w:lastRenderedPageBreak/>
        <w:t>El tratamiento que el Estado le da a esta situación es la aplicación del derecho penal bajo la figura del delito de usurpación que trae como consecuencia inmediatas las órdenes de captura y el desalojo forzado, sin respe</w:t>
      </w:r>
      <w:r>
        <w:rPr>
          <w:rFonts w:ascii="Cambria" w:eastAsia="Cambria" w:hAnsi="Cambria" w:cs="Cambria"/>
        </w:rPr>
        <w:t>tar los estándares internacionales de Naciones Unidas sobre los desalojos y el desplazamiento generados por el Desarrollo.</w:t>
      </w:r>
    </w:p>
    <w:p w14:paraId="3B2219E5" w14:textId="77777777" w:rsidR="000F514A" w:rsidRDefault="00A12858">
      <w:pPr>
        <w:keepLines/>
        <w:numPr>
          <w:ilvl w:val="0"/>
          <w:numId w:val="3"/>
        </w:numPr>
        <w:spacing w:line="240" w:lineRule="auto"/>
        <w:rPr>
          <w:rFonts w:ascii="Cambria" w:eastAsia="Cambria" w:hAnsi="Cambria" w:cs="Cambria"/>
          <w:b/>
        </w:rPr>
      </w:pPr>
      <w:r>
        <w:rPr>
          <w:rFonts w:ascii="Cambria" w:eastAsia="Cambria" w:hAnsi="Cambria" w:cs="Cambria"/>
          <w:b/>
        </w:rPr>
        <w:t>Despojo y desalojos de las comunidades y Pueblos Indígenas</w:t>
      </w:r>
    </w:p>
    <w:p w14:paraId="26483FF5" w14:textId="77777777" w:rsidR="000F514A" w:rsidRDefault="000F514A">
      <w:pPr>
        <w:keepLines/>
        <w:spacing w:line="240" w:lineRule="auto"/>
        <w:rPr>
          <w:rFonts w:ascii="Cambria" w:eastAsia="Cambria" w:hAnsi="Cambria" w:cs="Cambria"/>
          <w:b/>
        </w:rPr>
      </w:pPr>
    </w:p>
    <w:p w14:paraId="3CCA64B5" w14:textId="77777777" w:rsidR="000F514A" w:rsidRDefault="00A12858">
      <w:pPr>
        <w:keepLines/>
        <w:spacing w:line="240" w:lineRule="auto"/>
        <w:jc w:val="both"/>
        <w:rPr>
          <w:rFonts w:ascii="Cambria" w:eastAsia="Cambria" w:hAnsi="Cambria" w:cs="Cambria"/>
          <w:i/>
        </w:rPr>
      </w:pPr>
      <w:r>
        <w:rPr>
          <w:rFonts w:ascii="Cambria" w:eastAsia="Cambria" w:hAnsi="Cambria" w:cs="Cambria"/>
        </w:rPr>
        <w:t xml:space="preserve">Según el informe realizado por la Dirección de Investigación en Derechos </w:t>
      </w:r>
      <w:r>
        <w:rPr>
          <w:rFonts w:ascii="Cambria" w:eastAsia="Cambria" w:hAnsi="Cambria" w:cs="Cambria"/>
        </w:rPr>
        <w:t xml:space="preserve">Humanos de la Procuraduría de los Derechos Humanos, </w:t>
      </w:r>
      <w:r>
        <w:rPr>
          <w:rFonts w:ascii="Cambria" w:eastAsia="Cambria" w:hAnsi="Cambria" w:cs="Cambria"/>
          <w:i/>
        </w:rPr>
        <w:t xml:space="preserve">en Guatemala, los desalojos forzosos han sido recurrentes. Con base en las denuncias recibidas por la PDH entre 2017 y 2018, se estableció que 605 familias fueron víctimas de desalojos forzosos en dichos </w:t>
      </w:r>
      <w:r>
        <w:rPr>
          <w:rFonts w:ascii="Cambria" w:eastAsia="Cambria" w:hAnsi="Cambria" w:cs="Cambria"/>
          <w:i/>
        </w:rPr>
        <w:t>años, los cuales ocurrieron en distintas regiones del país.</w:t>
      </w:r>
      <w:r>
        <w:rPr>
          <w:rFonts w:ascii="Cambria" w:eastAsia="Cambria" w:hAnsi="Cambria" w:cs="Cambria"/>
          <w:i/>
          <w:vertAlign w:val="superscript"/>
        </w:rPr>
        <w:footnoteReference w:id="1"/>
      </w:r>
    </w:p>
    <w:p w14:paraId="3B865144" w14:textId="77777777" w:rsidR="000F514A" w:rsidRDefault="000F514A">
      <w:pPr>
        <w:keepLines/>
        <w:spacing w:line="240" w:lineRule="auto"/>
        <w:ind w:left="720"/>
        <w:jc w:val="both"/>
        <w:rPr>
          <w:rFonts w:ascii="Cambria" w:eastAsia="Cambria" w:hAnsi="Cambria" w:cs="Cambria"/>
          <w:i/>
        </w:rPr>
      </w:pPr>
    </w:p>
    <w:p w14:paraId="2AE86B8E" w14:textId="77777777" w:rsidR="000F514A" w:rsidRDefault="00A12858">
      <w:pPr>
        <w:keepLines/>
        <w:spacing w:line="240" w:lineRule="auto"/>
        <w:jc w:val="both"/>
        <w:rPr>
          <w:rFonts w:ascii="Cambria" w:eastAsia="Cambria" w:hAnsi="Cambria" w:cs="Cambria"/>
        </w:rPr>
      </w:pPr>
      <w:r>
        <w:rPr>
          <w:rFonts w:ascii="Cambria" w:eastAsia="Cambria" w:hAnsi="Cambria" w:cs="Cambria"/>
          <w:i/>
        </w:rPr>
        <w:t xml:space="preserve">En el último año (2020) se dieron varios desalojos violentos de comunidades indígenas de </w:t>
      </w:r>
      <w:proofErr w:type="spellStart"/>
      <w:r>
        <w:rPr>
          <w:rFonts w:ascii="Cambria" w:eastAsia="Cambria" w:hAnsi="Cambria" w:cs="Cambria"/>
          <w:i/>
        </w:rPr>
        <w:t>Cubilgüitz</w:t>
      </w:r>
      <w:proofErr w:type="spellEnd"/>
      <w:r>
        <w:rPr>
          <w:rFonts w:ascii="Cambria" w:eastAsia="Cambria" w:hAnsi="Cambria" w:cs="Cambria"/>
          <w:i/>
        </w:rPr>
        <w:t xml:space="preserve"> (Cobán, Alta Verapaz), Dos Fuentes y Washington (</w:t>
      </w:r>
      <w:proofErr w:type="spellStart"/>
      <w:r>
        <w:rPr>
          <w:rFonts w:ascii="Cambria" w:eastAsia="Cambria" w:hAnsi="Cambria" w:cs="Cambria"/>
          <w:i/>
        </w:rPr>
        <w:t>Purulhá</w:t>
      </w:r>
      <w:proofErr w:type="spellEnd"/>
      <w:r>
        <w:rPr>
          <w:rFonts w:ascii="Cambria" w:eastAsia="Cambria" w:hAnsi="Cambria" w:cs="Cambria"/>
          <w:i/>
        </w:rPr>
        <w:t xml:space="preserve">, Baja Verapaz), </w:t>
      </w:r>
      <w:proofErr w:type="spellStart"/>
      <w:r>
        <w:rPr>
          <w:rFonts w:ascii="Cambria" w:eastAsia="Cambria" w:hAnsi="Cambria" w:cs="Cambria"/>
          <w:i/>
        </w:rPr>
        <w:t>Sayaxché</w:t>
      </w:r>
      <w:proofErr w:type="spellEnd"/>
      <w:r>
        <w:rPr>
          <w:rFonts w:ascii="Cambria" w:eastAsia="Cambria" w:hAnsi="Cambria" w:cs="Cambria"/>
          <w:i/>
        </w:rPr>
        <w:t xml:space="preserve"> (Petén) y de</w:t>
      </w:r>
      <w:r>
        <w:rPr>
          <w:rFonts w:ascii="Cambria" w:eastAsia="Cambria" w:hAnsi="Cambria" w:cs="Cambria"/>
          <w:i/>
        </w:rPr>
        <w:t>l Estor (Izabal</w:t>
      </w:r>
      <w:proofErr w:type="gramStart"/>
      <w:r>
        <w:rPr>
          <w:rFonts w:ascii="Cambria" w:eastAsia="Cambria" w:hAnsi="Cambria" w:cs="Cambria"/>
          <w:i/>
        </w:rPr>
        <w:t>) .</w:t>
      </w:r>
      <w:proofErr w:type="gramEnd"/>
      <w:r>
        <w:rPr>
          <w:rFonts w:ascii="Cambria" w:eastAsia="Cambria" w:hAnsi="Cambria" w:cs="Cambria"/>
          <w:i/>
        </w:rPr>
        <w:t xml:space="preserve"> El PDH vio con preocupación esta serie de desalojos, dada la vulnerabilidad crítica en la que ya viven estas comunidades, pero que, a consecuencia de un desalojo violento y el contexto de la pandemia, las múltiples violaciones de los der</w:t>
      </w:r>
      <w:r>
        <w:rPr>
          <w:rFonts w:ascii="Cambria" w:eastAsia="Cambria" w:hAnsi="Cambria" w:cs="Cambria"/>
          <w:i/>
        </w:rPr>
        <w:t>echos fundamentales de dichas comunidades habrán sido incalculables, pues dichas comunidades se quedaron en una situación de desprotección total.</w:t>
      </w:r>
      <w:r>
        <w:rPr>
          <w:rFonts w:ascii="Cambria" w:eastAsia="Cambria" w:hAnsi="Cambria" w:cs="Cambria"/>
          <w:i/>
          <w:vertAlign w:val="superscript"/>
        </w:rPr>
        <w:footnoteReference w:id="2"/>
      </w:r>
    </w:p>
    <w:p w14:paraId="3172F5DC" w14:textId="77777777" w:rsidR="000F514A" w:rsidRDefault="000F514A">
      <w:pPr>
        <w:keepLines/>
        <w:pBdr>
          <w:top w:val="nil"/>
          <w:left w:val="nil"/>
          <w:bottom w:val="nil"/>
          <w:right w:val="nil"/>
          <w:between w:val="nil"/>
        </w:pBdr>
        <w:spacing w:line="240" w:lineRule="auto"/>
        <w:ind w:left="720"/>
        <w:jc w:val="both"/>
        <w:rPr>
          <w:rFonts w:ascii="Cambria" w:eastAsia="Cambria" w:hAnsi="Cambria" w:cs="Cambria"/>
        </w:rPr>
      </w:pPr>
    </w:p>
    <w:p w14:paraId="224ED982" w14:textId="267E43FB" w:rsidR="000F514A" w:rsidRDefault="00A12858">
      <w:pPr>
        <w:keepLines/>
        <w:pBdr>
          <w:top w:val="nil"/>
          <w:left w:val="nil"/>
          <w:bottom w:val="nil"/>
          <w:right w:val="nil"/>
          <w:between w:val="nil"/>
        </w:pBdr>
        <w:spacing w:line="240" w:lineRule="auto"/>
        <w:jc w:val="both"/>
        <w:rPr>
          <w:rFonts w:ascii="Cambria" w:eastAsia="Cambria" w:hAnsi="Cambria" w:cs="Cambria"/>
          <w:i/>
        </w:rPr>
      </w:pPr>
      <w:r>
        <w:rPr>
          <w:rFonts w:ascii="Cambria" w:eastAsia="Cambria" w:hAnsi="Cambria" w:cs="Cambria"/>
        </w:rPr>
        <w:t xml:space="preserve">Así mismo, y </w:t>
      </w:r>
      <w:r>
        <w:rPr>
          <w:rFonts w:ascii="Cambria" w:eastAsia="Cambria" w:hAnsi="Cambria" w:cs="Cambria"/>
          <w:i/>
        </w:rPr>
        <w:t xml:space="preserve">según datos oficiales del Ministerio de Gobernación de enero a octubre de 2022 se </w:t>
      </w:r>
      <w:r w:rsidR="00CF62E3">
        <w:rPr>
          <w:rFonts w:ascii="Cambria" w:eastAsia="Cambria" w:hAnsi="Cambria" w:cs="Cambria"/>
          <w:i/>
        </w:rPr>
        <w:t>registraron 119</w:t>
      </w:r>
      <w:r>
        <w:rPr>
          <w:rFonts w:ascii="Cambria" w:eastAsia="Cambria" w:hAnsi="Cambria" w:cs="Cambria"/>
          <w:i/>
        </w:rPr>
        <w:t xml:space="preserve"> desalojos con orden judicial. De los desalojos extrajudiciales no hay registro; sin embargo, de acuerdo a información recabada en el territorio </w:t>
      </w:r>
      <w:proofErr w:type="spellStart"/>
      <w:r>
        <w:rPr>
          <w:rFonts w:ascii="Cambria" w:eastAsia="Cambria" w:hAnsi="Cambria" w:cs="Cambria"/>
          <w:i/>
        </w:rPr>
        <w:t>q´eqchí</w:t>
      </w:r>
      <w:proofErr w:type="spellEnd"/>
      <w:r>
        <w:rPr>
          <w:rFonts w:ascii="Cambria" w:eastAsia="Cambria" w:hAnsi="Cambria" w:cs="Cambria"/>
          <w:i/>
        </w:rPr>
        <w:t xml:space="preserve"> se reporta el caso de la Comunidad Las Pilas </w:t>
      </w:r>
      <w:proofErr w:type="spellStart"/>
      <w:r>
        <w:rPr>
          <w:rFonts w:ascii="Cambria" w:eastAsia="Cambria" w:hAnsi="Cambria" w:cs="Cambria"/>
          <w:i/>
        </w:rPr>
        <w:t>Sellamch</w:t>
      </w:r>
      <w:proofErr w:type="spellEnd"/>
      <w:r>
        <w:rPr>
          <w:rFonts w:ascii="Cambria" w:eastAsia="Cambria" w:hAnsi="Cambria" w:cs="Cambria"/>
          <w:i/>
        </w:rPr>
        <w:t xml:space="preserve">, de </w:t>
      </w:r>
      <w:proofErr w:type="spellStart"/>
      <w:r>
        <w:rPr>
          <w:rFonts w:ascii="Cambria" w:eastAsia="Cambria" w:hAnsi="Cambria" w:cs="Cambria"/>
          <w:i/>
        </w:rPr>
        <w:t>Cahabón</w:t>
      </w:r>
      <w:proofErr w:type="spellEnd"/>
      <w:r>
        <w:rPr>
          <w:rFonts w:ascii="Cambria" w:eastAsia="Cambria" w:hAnsi="Cambria" w:cs="Cambria"/>
          <w:i/>
        </w:rPr>
        <w:t>, Alta Verapaz, (2 de junio, 2020),</w:t>
      </w:r>
      <w:r>
        <w:rPr>
          <w:rFonts w:ascii="Cambria" w:eastAsia="Cambria" w:hAnsi="Cambria" w:cs="Cambria"/>
          <w:i/>
        </w:rPr>
        <w:t xml:space="preserve"> así como la Comunidad </w:t>
      </w:r>
      <w:proofErr w:type="spellStart"/>
      <w:r>
        <w:rPr>
          <w:rFonts w:ascii="Cambria" w:eastAsia="Cambria" w:hAnsi="Cambria" w:cs="Cambria"/>
          <w:i/>
        </w:rPr>
        <w:t>Aktela</w:t>
      </w:r>
      <w:proofErr w:type="spellEnd"/>
      <w:r>
        <w:rPr>
          <w:rFonts w:ascii="Cambria" w:eastAsia="Cambria" w:hAnsi="Cambria" w:cs="Cambria"/>
          <w:i/>
        </w:rPr>
        <w:t xml:space="preserve"> de Sierra Santa Cruz, El Estor, Izabal (2 octubre, 2020), en donde violaron sexualmente a una mujer y le quemaron su indumentaria maya; en el citado municipio de</w:t>
      </w:r>
      <w:r>
        <w:rPr>
          <w:rFonts w:ascii="Cambria" w:eastAsia="Cambria" w:hAnsi="Cambria" w:cs="Cambria"/>
        </w:rPr>
        <w:t xml:space="preserve"> </w:t>
      </w:r>
      <w:r>
        <w:rPr>
          <w:rFonts w:ascii="Cambria" w:eastAsia="Cambria" w:hAnsi="Cambria" w:cs="Cambria"/>
          <w:i/>
        </w:rPr>
        <w:t>El Estor se reporta gran cantidad de desalojos, solo en el año 2</w:t>
      </w:r>
      <w:r>
        <w:rPr>
          <w:rFonts w:ascii="Cambria" w:eastAsia="Cambria" w:hAnsi="Cambria" w:cs="Cambria"/>
          <w:i/>
        </w:rPr>
        <w:t>022 había un registro de 11. Con esas estadísticas este año quedará como el año donde más desalojos se han realizado en los últimos siete años.</w:t>
      </w:r>
      <w:r>
        <w:rPr>
          <w:rFonts w:ascii="Cambria" w:eastAsia="Cambria" w:hAnsi="Cambria" w:cs="Cambria"/>
          <w:i/>
          <w:vertAlign w:val="superscript"/>
        </w:rPr>
        <w:footnoteReference w:id="3"/>
      </w:r>
    </w:p>
    <w:p w14:paraId="45FB08DF" w14:textId="77777777" w:rsidR="000F514A" w:rsidRDefault="000F514A">
      <w:pPr>
        <w:keepLines/>
        <w:pBdr>
          <w:top w:val="nil"/>
          <w:left w:val="nil"/>
          <w:bottom w:val="nil"/>
          <w:right w:val="nil"/>
          <w:between w:val="nil"/>
        </w:pBdr>
        <w:spacing w:line="240" w:lineRule="auto"/>
        <w:jc w:val="both"/>
        <w:rPr>
          <w:rFonts w:ascii="Cambria" w:eastAsia="Cambria" w:hAnsi="Cambria" w:cs="Cambria"/>
          <w:i/>
        </w:rPr>
      </w:pPr>
    </w:p>
    <w:p w14:paraId="4A903923" w14:textId="77777777" w:rsidR="000F514A" w:rsidRDefault="00A12858">
      <w:pPr>
        <w:keepLines/>
        <w:pBdr>
          <w:top w:val="nil"/>
          <w:left w:val="nil"/>
          <w:bottom w:val="nil"/>
          <w:right w:val="nil"/>
          <w:between w:val="nil"/>
        </w:pBdr>
        <w:spacing w:line="240" w:lineRule="auto"/>
        <w:jc w:val="both"/>
        <w:rPr>
          <w:rFonts w:ascii="Cambria" w:eastAsia="Cambria" w:hAnsi="Cambria" w:cs="Cambria"/>
          <w:i/>
        </w:rPr>
      </w:pPr>
      <w:r>
        <w:rPr>
          <w:rFonts w:ascii="Cambria" w:eastAsia="Cambria" w:hAnsi="Cambria" w:cs="Cambria"/>
          <w:i/>
        </w:rPr>
        <w:t>La tierra, el territorio y los bienes naturales para las mujeres indígenas representan un vínculo de la person</w:t>
      </w:r>
      <w:r>
        <w:rPr>
          <w:rFonts w:ascii="Cambria" w:eastAsia="Cambria" w:hAnsi="Cambria" w:cs="Cambria"/>
          <w:i/>
        </w:rPr>
        <w:t xml:space="preserve">a humana con el Cosmos y la Madre Naturaleza o el </w:t>
      </w:r>
      <w:proofErr w:type="spellStart"/>
      <w:r>
        <w:rPr>
          <w:rFonts w:ascii="Cambria" w:eastAsia="Cambria" w:hAnsi="Cambria" w:cs="Cambria"/>
          <w:i/>
        </w:rPr>
        <w:t>utz</w:t>
      </w:r>
      <w:proofErr w:type="spellEnd"/>
      <w:r>
        <w:rPr>
          <w:rFonts w:ascii="Cambria" w:eastAsia="Cambria" w:hAnsi="Cambria" w:cs="Cambria"/>
          <w:i/>
        </w:rPr>
        <w:t xml:space="preserve"> </w:t>
      </w:r>
      <w:proofErr w:type="spellStart"/>
      <w:r>
        <w:rPr>
          <w:rFonts w:ascii="Cambria" w:eastAsia="Cambria" w:hAnsi="Cambria" w:cs="Cambria"/>
          <w:i/>
        </w:rPr>
        <w:t>k'aslemal</w:t>
      </w:r>
      <w:proofErr w:type="spellEnd"/>
      <w:r>
        <w:rPr>
          <w:rFonts w:ascii="Cambria" w:eastAsia="Cambria" w:hAnsi="Cambria" w:cs="Cambria"/>
          <w:i/>
        </w:rPr>
        <w:t xml:space="preserve"> que es la vida misma de la tierra, el agua, los bosques, las plantas, los animales y todos los ecosistemas, existe una conexión de responsabilidad entre las mujeres con los y las </w:t>
      </w:r>
      <w:proofErr w:type="spellStart"/>
      <w:r>
        <w:rPr>
          <w:rFonts w:ascii="Cambria" w:eastAsia="Cambria" w:hAnsi="Cambria" w:cs="Cambria"/>
          <w:i/>
        </w:rPr>
        <w:t>ancestras</w:t>
      </w:r>
      <w:proofErr w:type="spellEnd"/>
      <w:r>
        <w:rPr>
          <w:rFonts w:ascii="Cambria" w:eastAsia="Cambria" w:hAnsi="Cambria" w:cs="Cambria"/>
          <w:i/>
        </w:rPr>
        <w:t xml:space="preserve"> y l</w:t>
      </w:r>
      <w:r>
        <w:rPr>
          <w:rFonts w:ascii="Cambria" w:eastAsia="Cambria" w:hAnsi="Cambria" w:cs="Cambria"/>
          <w:i/>
        </w:rPr>
        <w:t>as generaciones venideras. La tierra es sagrada.</w:t>
      </w:r>
    </w:p>
    <w:p w14:paraId="19ECE3A9" w14:textId="77777777" w:rsidR="000F514A" w:rsidRDefault="000F514A">
      <w:pPr>
        <w:keepLines/>
        <w:spacing w:line="240" w:lineRule="auto"/>
        <w:jc w:val="both"/>
        <w:rPr>
          <w:rFonts w:ascii="Cambria" w:eastAsia="Cambria" w:hAnsi="Cambria" w:cs="Cambria"/>
        </w:rPr>
      </w:pPr>
    </w:p>
    <w:p w14:paraId="2FE68C1C" w14:textId="77777777" w:rsidR="000F514A" w:rsidRDefault="00A12858">
      <w:pPr>
        <w:keepLines/>
        <w:spacing w:line="240" w:lineRule="auto"/>
        <w:jc w:val="both"/>
        <w:rPr>
          <w:rFonts w:ascii="Cambria" w:eastAsia="Cambria" w:hAnsi="Cambria" w:cs="Cambria"/>
        </w:rPr>
      </w:pPr>
      <w:r>
        <w:rPr>
          <w:rFonts w:ascii="Cambria" w:eastAsia="Cambria" w:hAnsi="Cambria" w:cs="Cambria"/>
        </w:rPr>
        <w:lastRenderedPageBreak/>
        <w:t xml:space="preserve">Para fortalecer esta estrategia empresarial y consolidar el acaparamiento de tierras ha utilizado la institucionalidad pública para criminalizar mediante el delito de usurpación, y han celebrado </w:t>
      </w:r>
      <w:r>
        <w:rPr>
          <w:rFonts w:ascii="Cambria" w:eastAsia="Cambria" w:hAnsi="Cambria" w:cs="Cambria"/>
          <w:i/>
        </w:rPr>
        <w:t xml:space="preserve">convenios de cooperación con el Centro de Defensa a la Constitución -CEDECON-, </w:t>
      </w:r>
      <w:r>
        <w:rPr>
          <w:rFonts w:ascii="Cambria" w:eastAsia="Cambria" w:hAnsi="Cambria" w:cs="Cambria"/>
        </w:rPr>
        <w:t>así como con la Fiscal Consuelo Porras en coordinación con el Comité Coordinador de Asociaciones Agrícolas, Comerciales, Industriales y Financieras - CACIF- el 11 de enero de 20</w:t>
      </w:r>
      <w:r>
        <w:rPr>
          <w:rFonts w:ascii="Cambria" w:eastAsia="Cambria" w:hAnsi="Cambria" w:cs="Cambria"/>
        </w:rPr>
        <w:t>21 anunciaron la creación de un Observatorio del Derecho de la Propiedad Privada con la participación del Registro de la Propiedad como aliado estratégico relevante y la creación de una Fiscalía Especializada contra los Delitos de usurpación (Acuerdo 46-20</w:t>
      </w:r>
      <w:r>
        <w:rPr>
          <w:rFonts w:ascii="Cambria" w:eastAsia="Cambria" w:hAnsi="Cambria" w:cs="Cambria"/>
        </w:rPr>
        <w:t xml:space="preserve">20, de 26-11-2020), </w:t>
      </w:r>
      <w:r>
        <w:rPr>
          <w:rFonts w:ascii="Cambria" w:eastAsia="Cambria" w:hAnsi="Cambria" w:cs="Cambria"/>
          <w:i/>
        </w:rPr>
        <w:t>y el Segundo Registro de la Propiedad -SRP</w:t>
      </w:r>
      <w:r>
        <w:rPr>
          <w:rFonts w:ascii="Cambria" w:eastAsia="Cambria" w:hAnsi="Cambria" w:cs="Cambria"/>
        </w:rPr>
        <w:t>-</w:t>
      </w:r>
      <w:r>
        <w:rPr>
          <w:rFonts w:ascii="Cambria" w:eastAsia="Cambria" w:hAnsi="Cambria" w:cs="Cambria"/>
          <w:vertAlign w:val="superscript"/>
        </w:rPr>
        <w:footnoteReference w:id="4"/>
      </w:r>
      <w:r>
        <w:rPr>
          <w:rFonts w:ascii="Cambria" w:eastAsia="Cambria" w:hAnsi="Cambria" w:cs="Cambria"/>
        </w:rPr>
        <w:t xml:space="preserve"> con el fin de…</w:t>
      </w:r>
      <w:r>
        <w:rPr>
          <w:rFonts w:ascii="Cambria" w:eastAsia="Cambria" w:hAnsi="Cambria" w:cs="Cambria"/>
          <w:i/>
        </w:rPr>
        <w:t>reducir la conflictividad, [obtener] mayor atracción para la inversión, y fortalecer el Estado de Derecho</w:t>
      </w:r>
      <w:r>
        <w:rPr>
          <w:rFonts w:ascii="Cambria" w:eastAsia="Cambria" w:hAnsi="Cambria" w:cs="Cambria"/>
          <w:vertAlign w:val="superscript"/>
        </w:rPr>
        <w:footnoteReference w:id="5"/>
      </w:r>
      <w:r>
        <w:rPr>
          <w:rFonts w:ascii="Cambria" w:eastAsia="Cambria" w:hAnsi="Cambria" w:cs="Cambria"/>
        </w:rPr>
        <w:t xml:space="preserve">. </w:t>
      </w:r>
    </w:p>
    <w:p w14:paraId="3A99CD1D" w14:textId="77777777" w:rsidR="000F514A" w:rsidRDefault="00A12858">
      <w:pPr>
        <w:keepLines/>
        <w:spacing w:line="240" w:lineRule="auto"/>
        <w:jc w:val="both"/>
        <w:rPr>
          <w:rFonts w:ascii="Cambria" w:eastAsia="Cambria" w:hAnsi="Cambria" w:cs="Cambria"/>
        </w:rPr>
      </w:pPr>
      <w:r>
        <w:rPr>
          <w:rFonts w:ascii="Cambria" w:eastAsia="Cambria" w:hAnsi="Cambria" w:cs="Cambria"/>
        </w:rPr>
        <w:t xml:space="preserve">Los procesos penales que tienen como medida cautelar el desalojo de </w:t>
      </w:r>
      <w:r>
        <w:rPr>
          <w:rFonts w:ascii="Cambria" w:eastAsia="Cambria" w:hAnsi="Cambria" w:cs="Cambria"/>
        </w:rPr>
        <w:t xml:space="preserve">las personas, presentan una serie de irregularidades, pues los mismos se dictan por jueces de primera instancia penal con la presencia únicamente del Ministerio Público, por lo que los comunitarios y comunitarias no tienen la </w:t>
      </w:r>
      <w:proofErr w:type="spellStart"/>
      <w:r>
        <w:rPr>
          <w:rFonts w:ascii="Cambria" w:eastAsia="Cambria" w:hAnsi="Cambria" w:cs="Cambria"/>
        </w:rPr>
        <w:t>mas</w:t>
      </w:r>
      <w:proofErr w:type="spellEnd"/>
      <w:r>
        <w:rPr>
          <w:rFonts w:ascii="Cambria" w:eastAsia="Cambria" w:hAnsi="Cambria" w:cs="Cambria"/>
        </w:rPr>
        <w:t xml:space="preserve"> </w:t>
      </w:r>
      <w:proofErr w:type="spellStart"/>
      <w:r>
        <w:rPr>
          <w:rFonts w:ascii="Cambria" w:eastAsia="Cambria" w:hAnsi="Cambria" w:cs="Cambria"/>
        </w:rPr>
        <w:t>minima</w:t>
      </w:r>
      <w:proofErr w:type="spellEnd"/>
      <w:r>
        <w:rPr>
          <w:rFonts w:ascii="Cambria" w:eastAsia="Cambria" w:hAnsi="Cambria" w:cs="Cambria"/>
        </w:rPr>
        <w:t xml:space="preserve"> oportunidad de opon</w:t>
      </w:r>
      <w:r>
        <w:rPr>
          <w:rFonts w:ascii="Cambria" w:eastAsia="Cambria" w:hAnsi="Cambria" w:cs="Cambria"/>
        </w:rPr>
        <w:t>erse o presentar alguna prueba de descargo; las notificaciones se hacen en soledad, pues los documentos donde informan del desalojo son dejados en árboles, y tirados en los bosques, sin la menor intención de enterar a cada una de las personas a ser desaloj</w:t>
      </w:r>
      <w:r>
        <w:rPr>
          <w:rFonts w:ascii="Cambria" w:eastAsia="Cambria" w:hAnsi="Cambria" w:cs="Cambria"/>
        </w:rPr>
        <w:t>adas, tampoco se hacen en los idiomas indígenas y se les da poco tiempo para que abandonen las tierras.</w:t>
      </w:r>
    </w:p>
    <w:p w14:paraId="395E9B31" w14:textId="77777777" w:rsidR="000F514A" w:rsidRDefault="000F514A">
      <w:pPr>
        <w:keepLines/>
        <w:spacing w:line="240" w:lineRule="auto"/>
        <w:jc w:val="both"/>
        <w:rPr>
          <w:rFonts w:ascii="Cambria" w:eastAsia="Cambria" w:hAnsi="Cambria" w:cs="Cambria"/>
        </w:rPr>
      </w:pPr>
    </w:p>
    <w:p w14:paraId="7D746F7A" w14:textId="05C8FCDA" w:rsidR="000F514A" w:rsidRDefault="00A12858">
      <w:pPr>
        <w:keepLines/>
        <w:spacing w:line="240" w:lineRule="auto"/>
        <w:jc w:val="both"/>
        <w:rPr>
          <w:rFonts w:ascii="Cambria" w:eastAsia="Cambria" w:hAnsi="Cambria" w:cs="Cambria"/>
        </w:rPr>
      </w:pPr>
      <w:r>
        <w:rPr>
          <w:rFonts w:ascii="Cambria" w:eastAsia="Cambria" w:hAnsi="Cambria" w:cs="Cambria"/>
        </w:rPr>
        <w:t xml:space="preserve">Finalmente existe un total desconocimiento de los </w:t>
      </w:r>
      <w:r w:rsidR="00CF62E3">
        <w:rPr>
          <w:rFonts w:ascii="Cambria" w:eastAsia="Cambria" w:hAnsi="Cambria" w:cs="Cambria"/>
        </w:rPr>
        <w:t>estándares</w:t>
      </w:r>
      <w:r>
        <w:rPr>
          <w:rFonts w:ascii="Cambria" w:eastAsia="Cambria" w:hAnsi="Cambria" w:cs="Cambria"/>
        </w:rPr>
        <w:t xml:space="preserve"> internacionales de Naciones Unidas sobre desalojos y desplazamiento forzado ocasionados po</w:t>
      </w:r>
      <w:r>
        <w:rPr>
          <w:rFonts w:ascii="Cambria" w:eastAsia="Cambria" w:hAnsi="Cambria" w:cs="Cambria"/>
        </w:rPr>
        <w:t xml:space="preserve">r el desarrollo, por lo que estos procedimientos se ejecutan de manera arbitraria con la presencia exorbitante de miembros de la </w:t>
      </w:r>
      <w:r w:rsidR="00CF62E3">
        <w:rPr>
          <w:rFonts w:ascii="Cambria" w:eastAsia="Cambria" w:hAnsi="Cambria" w:cs="Cambria"/>
        </w:rPr>
        <w:t>policía</w:t>
      </w:r>
      <w:r>
        <w:rPr>
          <w:rFonts w:ascii="Cambria" w:eastAsia="Cambria" w:hAnsi="Cambria" w:cs="Cambria"/>
        </w:rPr>
        <w:t xml:space="preserve"> Nacional Civil e integrantes del Ejercito Nacional, quienes conjuntamente con los empresarios y personal de los finquer</w:t>
      </w:r>
      <w:r>
        <w:rPr>
          <w:rFonts w:ascii="Cambria" w:eastAsia="Cambria" w:hAnsi="Cambria" w:cs="Cambria"/>
        </w:rPr>
        <w:t xml:space="preserve">os, aparentes propietarios, </w:t>
      </w:r>
      <w:r w:rsidR="00CF62E3">
        <w:rPr>
          <w:rFonts w:ascii="Cambria" w:eastAsia="Cambria" w:hAnsi="Cambria" w:cs="Cambria"/>
        </w:rPr>
        <w:t>después</w:t>
      </w:r>
      <w:r>
        <w:rPr>
          <w:rFonts w:ascii="Cambria" w:eastAsia="Cambria" w:hAnsi="Cambria" w:cs="Cambria"/>
        </w:rPr>
        <w:t xml:space="preserve"> de desalojar forzadamente  a los y las comunitarias, proceden a incendiar las viviendas, los cultivos, aves de corral, los enseres y la ropa; quienes al no tener a donde ir quedan a la intemperie observando con dolor com</w:t>
      </w:r>
      <w:r>
        <w:rPr>
          <w:rFonts w:ascii="Cambria" w:eastAsia="Cambria" w:hAnsi="Cambria" w:cs="Cambria"/>
        </w:rPr>
        <w:t xml:space="preserve">o sus bienes materiales para su sobrevivencia se ven eliminados, dando lugar a formas </w:t>
      </w:r>
      <w:r w:rsidR="00CF62E3">
        <w:rPr>
          <w:rFonts w:ascii="Cambria" w:eastAsia="Cambria" w:hAnsi="Cambria" w:cs="Cambria"/>
        </w:rPr>
        <w:t>contemporáneas</w:t>
      </w:r>
      <w:r>
        <w:rPr>
          <w:rFonts w:ascii="Cambria" w:eastAsia="Cambria" w:hAnsi="Cambria" w:cs="Cambria"/>
        </w:rPr>
        <w:t xml:space="preserve"> de genocidio, etnocidio, </w:t>
      </w:r>
      <w:proofErr w:type="spellStart"/>
      <w:r>
        <w:rPr>
          <w:rFonts w:ascii="Cambria" w:eastAsia="Cambria" w:hAnsi="Cambria" w:cs="Cambria"/>
        </w:rPr>
        <w:t>epistemicidio</w:t>
      </w:r>
      <w:proofErr w:type="spellEnd"/>
      <w:r>
        <w:rPr>
          <w:rFonts w:ascii="Cambria" w:eastAsia="Cambria" w:hAnsi="Cambria" w:cs="Cambria"/>
        </w:rPr>
        <w:t xml:space="preserve"> y </w:t>
      </w:r>
      <w:proofErr w:type="spellStart"/>
      <w:r>
        <w:rPr>
          <w:rFonts w:ascii="Cambria" w:eastAsia="Cambria" w:hAnsi="Cambria" w:cs="Cambria"/>
        </w:rPr>
        <w:t>tierricidio</w:t>
      </w:r>
      <w:proofErr w:type="spellEnd"/>
      <w:r>
        <w:rPr>
          <w:rFonts w:ascii="Cambria" w:eastAsia="Cambria" w:hAnsi="Cambria" w:cs="Cambria"/>
        </w:rPr>
        <w:t xml:space="preserve"> que operan de manera silenciosa y continua. </w:t>
      </w:r>
    </w:p>
    <w:p w14:paraId="76E5A2DD" w14:textId="77777777" w:rsidR="000F514A" w:rsidRDefault="000F514A">
      <w:pPr>
        <w:keepLines/>
        <w:spacing w:line="240" w:lineRule="auto"/>
        <w:ind w:left="720"/>
        <w:jc w:val="both"/>
        <w:rPr>
          <w:rFonts w:ascii="Cambria" w:eastAsia="Cambria" w:hAnsi="Cambria" w:cs="Cambria"/>
        </w:rPr>
      </w:pPr>
    </w:p>
    <w:p w14:paraId="62A5E8C0" w14:textId="77777777" w:rsidR="000F514A" w:rsidRDefault="00A12858">
      <w:pPr>
        <w:keepLines/>
        <w:numPr>
          <w:ilvl w:val="0"/>
          <w:numId w:val="3"/>
        </w:numPr>
        <w:spacing w:line="240" w:lineRule="auto"/>
        <w:rPr>
          <w:rFonts w:ascii="Cambria" w:eastAsia="Cambria" w:hAnsi="Cambria" w:cs="Cambria"/>
          <w:b/>
        </w:rPr>
      </w:pPr>
      <w:r>
        <w:rPr>
          <w:rFonts w:ascii="Cambria" w:eastAsia="Cambria" w:hAnsi="Cambria" w:cs="Cambria"/>
          <w:b/>
        </w:rPr>
        <w:t>El uso indebido del derecho penal para criminalizar a la</w:t>
      </w:r>
      <w:r>
        <w:rPr>
          <w:rFonts w:ascii="Cambria" w:eastAsia="Cambria" w:hAnsi="Cambria" w:cs="Cambria"/>
          <w:b/>
        </w:rPr>
        <w:t>s lideresas de las comunidades y Pueblos Indígenas</w:t>
      </w:r>
    </w:p>
    <w:p w14:paraId="11DF0052" w14:textId="77777777" w:rsidR="000F514A" w:rsidRDefault="000F514A">
      <w:pPr>
        <w:keepLines/>
        <w:spacing w:line="240" w:lineRule="auto"/>
        <w:ind w:left="720"/>
        <w:jc w:val="both"/>
        <w:rPr>
          <w:rFonts w:ascii="Cambria" w:eastAsia="Cambria" w:hAnsi="Cambria" w:cs="Cambria"/>
        </w:rPr>
      </w:pPr>
    </w:p>
    <w:p w14:paraId="331BF2DA" w14:textId="144612B6" w:rsidR="000F514A" w:rsidRDefault="00A12858">
      <w:pPr>
        <w:keepLines/>
        <w:spacing w:line="240" w:lineRule="auto"/>
        <w:jc w:val="both"/>
        <w:rPr>
          <w:rFonts w:ascii="Cambria" w:eastAsia="Cambria" w:hAnsi="Cambria" w:cs="Cambria"/>
        </w:rPr>
      </w:pPr>
      <w:r>
        <w:rPr>
          <w:rFonts w:ascii="Cambria" w:eastAsia="Cambria" w:hAnsi="Cambria" w:cs="Cambria"/>
        </w:rPr>
        <w:t>La criminalización es un factor importante que está siendo aplicado alarmantemente a defensores y defensoras de derechos humanos, colocándoles en una situación de delincuentes, siendo los Pueblos Indígena</w:t>
      </w:r>
      <w:r>
        <w:rPr>
          <w:rFonts w:ascii="Cambria" w:eastAsia="Cambria" w:hAnsi="Cambria" w:cs="Cambria"/>
        </w:rPr>
        <w:t xml:space="preserve">s uno de los sectores más afectados con la aplicación de </w:t>
      </w:r>
      <w:r w:rsidR="00CF62E3">
        <w:rPr>
          <w:rFonts w:ascii="Cambria" w:eastAsia="Cambria" w:hAnsi="Cambria" w:cs="Cambria"/>
        </w:rPr>
        <w:t>este</w:t>
      </w:r>
      <w:r>
        <w:rPr>
          <w:rFonts w:ascii="Cambria" w:eastAsia="Cambria" w:hAnsi="Cambria" w:cs="Cambria"/>
        </w:rPr>
        <w:t xml:space="preserve"> mecanismo, quienes están siendo constantemente perseguidos y procesados penalmente, con el fin de deslegitimar la defensa del territorio que históricamente han habitado. Actualmente uno de los f</w:t>
      </w:r>
      <w:r>
        <w:rPr>
          <w:rFonts w:ascii="Cambria" w:eastAsia="Cambria" w:hAnsi="Cambria" w:cs="Cambria"/>
        </w:rPr>
        <w:t xml:space="preserve">enómenos preocupantes es la criminalización a mujeres indígenas defensoras de sus derechos, su territorio y comunidad, causando un impacto desalentador para las comunidades. </w:t>
      </w:r>
    </w:p>
    <w:p w14:paraId="52405D5A" w14:textId="77777777" w:rsidR="000F514A" w:rsidRDefault="000F514A">
      <w:pPr>
        <w:keepLines/>
        <w:spacing w:line="240" w:lineRule="auto"/>
        <w:jc w:val="both"/>
        <w:rPr>
          <w:rFonts w:ascii="Cambria" w:eastAsia="Cambria" w:hAnsi="Cambria" w:cs="Cambria"/>
        </w:rPr>
      </w:pPr>
    </w:p>
    <w:p w14:paraId="0A4A1C77" w14:textId="7BA5531F" w:rsidR="000F514A" w:rsidRDefault="00A12858">
      <w:pPr>
        <w:keepLines/>
        <w:spacing w:line="240" w:lineRule="auto"/>
        <w:jc w:val="both"/>
        <w:rPr>
          <w:rFonts w:ascii="Cambria" w:eastAsia="Cambria" w:hAnsi="Cambria" w:cs="Cambria"/>
        </w:rPr>
      </w:pPr>
      <w:r>
        <w:rPr>
          <w:rFonts w:ascii="Cambria" w:eastAsia="Cambria" w:hAnsi="Cambria" w:cs="Cambria"/>
        </w:rPr>
        <w:t>De acuerdo con información recopilada, se establece que el Comité Campesino del Altiplano reporta 24 comunidades con aproximadamente 1000 órdenes de detención, dentro de ellas, 200 mujeres indígenas, 6 personas privadas de libertad y 12 asesinatos del 2018</w:t>
      </w:r>
      <w:r>
        <w:rPr>
          <w:rFonts w:ascii="Cambria" w:eastAsia="Cambria" w:hAnsi="Cambria" w:cs="Cambria"/>
        </w:rPr>
        <w:t xml:space="preserve"> a la fecha. El Comité de Unidad Campesina -CUC- reporta 120 capturas, 9 personas condenadas, 25 personas sujetas </w:t>
      </w:r>
      <w:r w:rsidR="00CF62E3">
        <w:rPr>
          <w:rFonts w:ascii="Cambria" w:eastAsia="Cambria" w:hAnsi="Cambria" w:cs="Cambria"/>
        </w:rPr>
        <w:t>a proceso</w:t>
      </w:r>
      <w:r>
        <w:rPr>
          <w:rFonts w:ascii="Cambria" w:eastAsia="Cambria" w:hAnsi="Cambria" w:cs="Cambria"/>
        </w:rPr>
        <w:t xml:space="preserve"> penal, una mujer víctima de violencia sexual (Comunidad </w:t>
      </w:r>
      <w:proofErr w:type="spellStart"/>
      <w:r>
        <w:rPr>
          <w:rFonts w:ascii="Cambria" w:eastAsia="Cambria" w:hAnsi="Cambria" w:cs="Cambria"/>
        </w:rPr>
        <w:t>Aktelá</w:t>
      </w:r>
      <w:proofErr w:type="spellEnd"/>
      <w:r>
        <w:rPr>
          <w:rFonts w:ascii="Cambria" w:eastAsia="Cambria" w:hAnsi="Cambria" w:cs="Cambria"/>
        </w:rPr>
        <w:t>), y la quema de la indumentaria maya; la organización UVOC reporta 10</w:t>
      </w:r>
      <w:r>
        <w:rPr>
          <w:rFonts w:ascii="Cambria" w:eastAsia="Cambria" w:hAnsi="Cambria" w:cs="Cambria"/>
        </w:rPr>
        <w:t xml:space="preserve">0 órdenes de captura, 1 desaparición forzada, 10 asesinatos y 15 heridos. </w:t>
      </w:r>
    </w:p>
    <w:p w14:paraId="5832C1BE" w14:textId="77777777" w:rsidR="000F514A" w:rsidRDefault="00A12858">
      <w:pPr>
        <w:keepLines/>
        <w:spacing w:line="240" w:lineRule="auto"/>
        <w:jc w:val="both"/>
        <w:rPr>
          <w:rFonts w:ascii="Cambria" w:eastAsia="Cambria" w:hAnsi="Cambria" w:cs="Cambria"/>
        </w:rPr>
      </w:pPr>
      <w:r>
        <w:rPr>
          <w:rFonts w:ascii="Cambria" w:eastAsia="Cambria" w:hAnsi="Cambria" w:cs="Cambria"/>
        </w:rPr>
        <w:t xml:space="preserve"> </w:t>
      </w:r>
    </w:p>
    <w:p w14:paraId="2E3F7EED" w14:textId="6E907174" w:rsidR="000F514A" w:rsidRDefault="00A12858">
      <w:pPr>
        <w:keepLines/>
        <w:spacing w:line="240" w:lineRule="auto"/>
        <w:jc w:val="both"/>
        <w:rPr>
          <w:rFonts w:ascii="Cambria" w:eastAsia="Cambria" w:hAnsi="Cambria" w:cs="Cambria"/>
        </w:rPr>
      </w:pPr>
      <w:r>
        <w:rPr>
          <w:rFonts w:ascii="Cambria" w:eastAsia="Cambria" w:hAnsi="Cambria" w:cs="Cambria"/>
        </w:rPr>
        <w:lastRenderedPageBreak/>
        <w:t xml:space="preserve">Cuando los comunitarios son capturados y privados de su libertad en los centros de detención preventiva, un grupo criminal que controla las </w:t>
      </w:r>
      <w:r w:rsidR="00CF62E3">
        <w:rPr>
          <w:rFonts w:ascii="Cambria" w:eastAsia="Cambria" w:hAnsi="Cambria" w:cs="Cambria"/>
        </w:rPr>
        <w:t>cárceles, le</w:t>
      </w:r>
      <w:r>
        <w:rPr>
          <w:rFonts w:ascii="Cambria" w:eastAsia="Cambria" w:hAnsi="Cambria" w:cs="Cambria"/>
        </w:rPr>
        <w:t xml:space="preserve"> exigen pagar una talacha d</w:t>
      </w:r>
      <w:r>
        <w:rPr>
          <w:rFonts w:ascii="Cambria" w:eastAsia="Cambria" w:hAnsi="Cambria" w:cs="Cambria"/>
        </w:rPr>
        <w:t xml:space="preserve">e entre 5 mil hasta 30 mil quetzales.  Los extorsionadores demandan que cada familia de la comunidad debe aportar a la talacha, de lo contrario sufren una serie de vejaciones. </w:t>
      </w:r>
    </w:p>
    <w:p w14:paraId="54F508F6" w14:textId="77777777" w:rsidR="000F514A" w:rsidRDefault="000F514A">
      <w:pPr>
        <w:keepLines/>
        <w:spacing w:line="240" w:lineRule="auto"/>
        <w:jc w:val="both"/>
        <w:rPr>
          <w:rFonts w:ascii="Cambria" w:eastAsia="Cambria" w:hAnsi="Cambria" w:cs="Cambria"/>
        </w:rPr>
      </w:pPr>
    </w:p>
    <w:p w14:paraId="5765AE6A" w14:textId="77777777" w:rsidR="000F514A" w:rsidRDefault="00A12858">
      <w:pPr>
        <w:keepLines/>
        <w:spacing w:line="240" w:lineRule="auto"/>
        <w:jc w:val="both"/>
        <w:rPr>
          <w:rFonts w:ascii="Cambria" w:eastAsia="Cambria" w:hAnsi="Cambria" w:cs="Cambria"/>
        </w:rPr>
      </w:pPr>
      <w:r>
        <w:rPr>
          <w:rFonts w:ascii="Cambria" w:eastAsia="Cambria" w:hAnsi="Cambria" w:cs="Cambria"/>
        </w:rPr>
        <w:t>En relación a las cauciones económicas como medida sustitutiva en los procesos</w:t>
      </w:r>
      <w:r>
        <w:rPr>
          <w:rFonts w:ascii="Cambria" w:eastAsia="Cambria" w:hAnsi="Cambria" w:cs="Cambria"/>
        </w:rPr>
        <w:t xml:space="preserve"> penales, en muchos de los casos, los jueces fijan fianzas de entre Q2,000 hasta Q50,000.00 sobre todo cuando se les acusa de usurpación en áreas protegidas; por lo que las comunidades se ven obligadas a incurrir en grandes deudas para poder lograr la libe</w:t>
      </w:r>
      <w:r>
        <w:rPr>
          <w:rFonts w:ascii="Cambria" w:eastAsia="Cambria" w:hAnsi="Cambria" w:cs="Cambria"/>
        </w:rPr>
        <w:t>rtad de sus miembros.</w:t>
      </w:r>
    </w:p>
    <w:p w14:paraId="72E10BAB" w14:textId="77777777" w:rsidR="000F514A" w:rsidRDefault="00A12858">
      <w:pPr>
        <w:keepLines/>
        <w:spacing w:line="240" w:lineRule="auto"/>
        <w:jc w:val="both"/>
        <w:rPr>
          <w:rFonts w:ascii="Cambria" w:eastAsia="Cambria" w:hAnsi="Cambria" w:cs="Cambria"/>
        </w:rPr>
      </w:pPr>
      <w:r>
        <w:rPr>
          <w:rFonts w:ascii="Cambria" w:eastAsia="Cambria" w:hAnsi="Cambria" w:cs="Cambria"/>
        </w:rPr>
        <w:t xml:space="preserve"> </w:t>
      </w:r>
    </w:p>
    <w:p w14:paraId="3E89A64B" w14:textId="3D4F3D7E" w:rsidR="000F514A" w:rsidRDefault="00A12858">
      <w:pPr>
        <w:keepLines/>
        <w:spacing w:line="240" w:lineRule="auto"/>
        <w:jc w:val="both"/>
        <w:rPr>
          <w:rFonts w:ascii="Cambria" w:eastAsia="Cambria" w:hAnsi="Cambria" w:cs="Cambria"/>
        </w:rPr>
      </w:pPr>
      <w:r>
        <w:rPr>
          <w:rFonts w:ascii="Cambria" w:eastAsia="Cambria" w:hAnsi="Cambria" w:cs="Cambria"/>
        </w:rPr>
        <w:t xml:space="preserve">En el momento de las capturas, los comunitarios y comunitarias son desarraigadas de su comunidad y el sistema penitenciario no les garantiza una comunicación en </w:t>
      </w:r>
      <w:r w:rsidR="00CF62E3">
        <w:rPr>
          <w:rFonts w:ascii="Cambria" w:eastAsia="Cambria" w:hAnsi="Cambria" w:cs="Cambria"/>
        </w:rPr>
        <w:t>el idioma</w:t>
      </w:r>
      <w:r>
        <w:rPr>
          <w:rFonts w:ascii="Cambria" w:eastAsia="Cambria" w:hAnsi="Cambria" w:cs="Cambria"/>
        </w:rPr>
        <w:t xml:space="preserve"> propio, sin garantía de uso de su indumentaria y el ejercicio</w:t>
      </w:r>
      <w:r>
        <w:rPr>
          <w:rFonts w:ascii="Cambria" w:eastAsia="Cambria" w:hAnsi="Cambria" w:cs="Cambria"/>
        </w:rPr>
        <w:t xml:space="preserve"> de su cosmovisión. Los procesos penales a los que se enfrentan las defensoras son totalmente ilegales y arbitrarias, iniciando con las órdenes de aprehensión que se giran a más de la mitad del total de las comunidades, incluyendo a mujeres indígenas, </w:t>
      </w:r>
      <w:r w:rsidR="00CF62E3">
        <w:rPr>
          <w:rFonts w:ascii="Cambria" w:eastAsia="Cambria" w:hAnsi="Cambria" w:cs="Cambria"/>
        </w:rPr>
        <w:t>ejecutándose de</w:t>
      </w:r>
      <w:r>
        <w:rPr>
          <w:rFonts w:ascii="Cambria" w:eastAsia="Cambria" w:hAnsi="Cambria" w:cs="Cambria"/>
        </w:rPr>
        <w:t xml:space="preserve"> forma violenta contra ellas y sus hijos (as). Además, las audiencias de primera declaración se aplazan a días o semanas, mientras que las mujeres indígenas se encuentran privadas de libertad sin poder ser escuchadas. En otros casos, deben perma</w:t>
      </w:r>
      <w:r>
        <w:rPr>
          <w:rFonts w:ascii="Cambria" w:eastAsia="Cambria" w:hAnsi="Cambria" w:cs="Cambria"/>
        </w:rPr>
        <w:t>necer en sus hogares para no ser aprehendidas y poder presentarse espontáneamente a los órganos jurisdiccionales competentes para resolver su situación jurídica.</w:t>
      </w:r>
    </w:p>
    <w:p w14:paraId="41BD58CC" w14:textId="77777777" w:rsidR="000F514A" w:rsidRDefault="000F514A">
      <w:pPr>
        <w:keepLines/>
        <w:spacing w:line="240" w:lineRule="auto"/>
        <w:jc w:val="both"/>
        <w:rPr>
          <w:rFonts w:ascii="Cambria" w:eastAsia="Cambria" w:hAnsi="Cambria" w:cs="Cambria"/>
        </w:rPr>
      </w:pPr>
    </w:p>
    <w:p w14:paraId="180463E0" w14:textId="77777777" w:rsidR="000F514A" w:rsidRDefault="00A12858">
      <w:pPr>
        <w:keepLines/>
        <w:spacing w:line="240" w:lineRule="auto"/>
        <w:jc w:val="both"/>
        <w:rPr>
          <w:rFonts w:ascii="Cambria" w:eastAsia="Cambria" w:hAnsi="Cambria" w:cs="Cambria"/>
        </w:rPr>
      </w:pPr>
      <w:r>
        <w:rPr>
          <w:rFonts w:ascii="Cambria" w:eastAsia="Cambria" w:hAnsi="Cambria" w:cs="Cambria"/>
        </w:rPr>
        <w:t>Desde la creación de la Fiscalía contra el Delito de Usurpación</w:t>
      </w:r>
      <w:r>
        <w:rPr>
          <w:rFonts w:ascii="Cambria" w:eastAsia="Cambria" w:hAnsi="Cambria" w:cs="Cambria"/>
          <w:vertAlign w:val="superscript"/>
        </w:rPr>
        <w:footnoteReference w:id="6"/>
      </w:r>
      <w:r>
        <w:rPr>
          <w:rFonts w:ascii="Cambria" w:eastAsia="Cambria" w:hAnsi="Cambria" w:cs="Cambria"/>
        </w:rPr>
        <w:t>, se ha incrementado la canti</w:t>
      </w:r>
      <w:r>
        <w:rPr>
          <w:rFonts w:ascii="Cambria" w:eastAsia="Cambria" w:hAnsi="Cambria" w:cs="Cambria"/>
        </w:rPr>
        <w:t>dad de procesos penales en contra de mujeres indígenas y se han impuesto condenas altas sin sustento legal y justificado que ha sido aplicado principalmente a Pueblos Indígenas y mujeres indígenas.</w:t>
      </w:r>
    </w:p>
    <w:p w14:paraId="7B785313" w14:textId="77777777" w:rsidR="000F514A" w:rsidRDefault="000F514A">
      <w:pPr>
        <w:keepLines/>
        <w:spacing w:line="240" w:lineRule="auto"/>
        <w:rPr>
          <w:rFonts w:ascii="Cambria" w:eastAsia="Cambria" w:hAnsi="Cambria" w:cs="Cambria"/>
        </w:rPr>
      </w:pPr>
    </w:p>
    <w:p w14:paraId="521803C6" w14:textId="383873B8" w:rsidR="000F514A" w:rsidRDefault="00A12858">
      <w:pPr>
        <w:keepLines/>
        <w:spacing w:line="240" w:lineRule="auto"/>
        <w:jc w:val="both"/>
        <w:rPr>
          <w:rFonts w:ascii="Cambria" w:eastAsia="Cambria" w:hAnsi="Cambria" w:cs="Cambria"/>
        </w:rPr>
      </w:pPr>
      <w:r>
        <w:rPr>
          <w:rFonts w:ascii="Cambria" w:eastAsia="Cambria" w:hAnsi="Cambria" w:cs="Cambria"/>
        </w:rPr>
        <w:t>Las masivas órdenes de detención, los desalojos forzados,</w:t>
      </w:r>
      <w:r>
        <w:rPr>
          <w:rFonts w:ascii="Cambria" w:eastAsia="Cambria" w:hAnsi="Cambria" w:cs="Cambria"/>
        </w:rPr>
        <w:t xml:space="preserve"> las amenazas e intimidaciones por medio de drones que giran sobre las comunidades afectan con mayor intensidad a las mujeres, niños y </w:t>
      </w:r>
      <w:r w:rsidR="00CF62E3">
        <w:rPr>
          <w:rFonts w:ascii="Cambria" w:eastAsia="Cambria" w:hAnsi="Cambria" w:cs="Cambria"/>
        </w:rPr>
        <w:t>niñas que</w:t>
      </w:r>
      <w:r>
        <w:rPr>
          <w:rFonts w:ascii="Cambria" w:eastAsia="Cambria" w:hAnsi="Cambria" w:cs="Cambria"/>
        </w:rPr>
        <w:t xml:space="preserve"> se encuentran en mayor situación de vulnerabilidad e intensifican la desigualdad, los conflictos sociales, la s</w:t>
      </w:r>
      <w:r>
        <w:rPr>
          <w:rFonts w:ascii="Cambria" w:eastAsia="Cambria" w:hAnsi="Cambria" w:cs="Cambria"/>
        </w:rPr>
        <w:t>egregación y la creación de guetos. Esta medida viene acompañada de otra serie de violaciones a los derechos humanos, como la libertad de locomoción, el derecho a la vivienda, el derecho a la alimentación, al agua, la educación, el trabajo, la seguridad pe</w:t>
      </w:r>
      <w:r>
        <w:rPr>
          <w:rFonts w:ascii="Cambria" w:eastAsia="Cambria" w:hAnsi="Cambria" w:cs="Cambria"/>
        </w:rPr>
        <w:t xml:space="preserve">rsonal, el derecho a no ser objeto de tratos crueles, inhumanos o degradantes, y el derecho a la libertad de movimiento. Las comunidades que enfrentan orden de </w:t>
      </w:r>
      <w:r w:rsidR="00CF62E3">
        <w:rPr>
          <w:rFonts w:ascii="Cambria" w:eastAsia="Cambria" w:hAnsi="Cambria" w:cs="Cambria"/>
        </w:rPr>
        <w:t>desalojos</w:t>
      </w:r>
      <w:r>
        <w:rPr>
          <w:rFonts w:ascii="Cambria" w:eastAsia="Cambria" w:hAnsi="Cambria" w:cs="Cambria"/>
        </w:rPr>
        <w:t xml:space="preserve"> son privadas de la educación al cerrarles las escuelas, dejando a cientos de niños y n</w:t>
      </w:r>
      <w:r>
        <w:rPr>
          <w:rFonts w:ascii="Cambria" w:eastAsia="Cambria" w:hAnsi="Cambria" w:cs="Cambria"/>
        </w:rPr>
        <w:t xml:space="preserve">iñas sin educación, </w:t>
      </w:r>
    </w:p>
    <w:p w14:paraId="7E55B724" w14:textId="77777777" w:rsidR="000F514A" w:rsidRDefault="000F514A">
      <w:pPr>
        <w:keepLines/>
        <w:spacing w:line="240" w:lineRule="auto"/>
        <w:rPr>
          <w:rFonts w:ascii="Cambria" w:eastAsia="Cambria" w:hAnsi="Cambria" w:cs="Cambria"/>
        </w:rPr>
      </w:pPr>
    </w:p>
    <w:p w14:paraId="395FD5B7" w14:textId="77777777" w:rsidR="000F514A" w:rsidRDefault="00A12858">
      <w:pPr>
        <w:keepLines/>
        <w:numPr>
          <w:ilvl w:val="0"/>
          <w:numId w:val="3"/>
        </w:numPr>
        <w:spacing w:line="240" w:lineRule="auto"/>
        <w:rPr>
          <w:rFonts w:ascii="Cambria" w:eastAsia="Cambria" w:hAnsi="Cambria" w:cs="Cambria"/>
          <w:b/>
        </w:rPr>
      </w:pPr>
      <w:r>
        <w:rPr>
          <w:rFonts w:ascii="Cambria" w:eastAsia="Cambria" w:hAnsi="Cambria" w:cs="Cambria"/>
          <w:b/>
        </w:rPr>
        <w:t>CASOS ESPECÍFICOS DE CRIMINALIZACIÓN A MUJERES INDÍGENAS</w:t>
      </w:r>
    </w:p>
    <w:p w14:paraId="2C96AE37" w14:textId="77777777" w:rsidR="000F514A" w:rsidRDefault="000F514A">
      <w:pPr>
        <w:keepLines/>
        <w:spacing w:line="240" w:lineRule="auto"/>
        <w:rPr>
          <w:rFonts w:ascii="Cambria" w:eastAsia="Cambria" w:hAnsi="Cambria" w:cs="Cambria"/>
          <w:u w:val="single"/>
        </w:rPr>
      </w:pPr>
    </w:p>
    <w:p w14:paraId="2BA63A91" w14:textId="77777777" w:rsidR="000F514A" w:rsidRDefault="00A12858">
      <w:pPr>
        <w:keepLines/>
        <w:numPr>
          <w:ilvl w:val="0"/>
          <w:numId w:val="1"/>
        </w:numPr>
        <w:spacing w:line="240" w:lineRule="auto"/>
        <w:rPr>
          <w:rFonts w:ascii="Cambria" w:eastAsia="Cambria" w:hAnsi="Cambria" w:cs="Cambria"/>
          <w:b/>
        </w:rPr>
      </w:pPr>
      <w:r>
        <w:rPr>
          <w:rFonts w:ascii="Cambria" w:eastAsia="Cambria" w:hAnsi="Cambria" w:cs="Cambria"/>
          <w:b/>
          <w:u w:val="single"/>
        </w:rPr>
        <w:t xml:space="preserve">Mujeres indígenas </w:t>
      </w:r>
      <w:proofErr w:type="spellStart"/>
      <w:r>
        <w:rPr>
          <w:rFonts w:ascii="Cambria" w:eastAsia="Cambria" w:hAnsi="Cambria" w:cs="Cambria"/>
          <w:b/>
          <w:u w:val="single"/>
        </w:rPr>
        <w:t>q’eqchi</w:t>
      </w:r>
      <w:proofErr w:type="spellEnd"/>
      <w:r>
        <w:rPr>
          <w:rFonts w:ascii="Cambria" w:eastAsia="Cambria" w:hAnsi="Cambria" w:cs="Cambria"/>
          <w:b/>
          <w:u w:val="single"/>
        </w:rPr>
        <w:t xml:space="preserve">’ de la comunidad </w:t>
      </w:r>
      <w:proofErr w:type="spellStart"/>
      <w:r>
        <w:rPr>
          <w:rFonts w:ascii="Cambria" w:eastAsia="Cambria" w:hAnsi="Cambria" w:cs="Cambria"/>
          <w:b/>
          <w:u w:val="single"/>
        </w:rPr>
        <w:t>Semuy</w:t>
      </w:r>
      <w:proofErr w:type="spellEnd"/>
      <w:r>
        <w:rPr>
          <w:rFonts w:ascii="Cambria" w:eastAsia="Cambria" w:hAnsi="Cambria" w:cs="Cambria"/>
          <w:b/>
          <w:u w:val="single"/>
        </w:rPr>
        <w:t xml:space="preserve"> II</w:t>
      </w:r>
    </w:p>
    <w:p w14:paraId="23218433" w14:textId="77777777" w:rsidR="000F514A" w:rsidRDefault="000F514A">
      <w:pPr>
        <w:keepLines/>
        <w:spacing w:line="240" w:lineRule="auto"/>
        <w:ind w:left="720"/>
        <w:rPr>
          <w:rFonts w:ascii="Cambria" w:eastAsia="Cambria" w:hAnsi="Cambria" w:cs="Cambria"/>
        </w:rPr>
      </w:pPr>
    </w:p>
    <w:p w14:paraId="57D962DB" w14:textId="77777777" w:rsidR="000F514A" w:rsidRDefault="00A12858">
      <w:pPr>
        <w:keepLines/>
        <w:spacing w:line="240" w:lineRule="auto"/>
        <w:jc w:val="both"/>
        <w:rPr>
          <w:rFonts w:ascii="Cambria" w:eastAsia="Cambria" w:hAnsi="Cambria" w:cs="Cambria"/>
        </w:rPr>
      </w:pPr>
      <w:r>
        <w:rPr>
          <w:rFonts w:ascii="Cambria" w:eastAsia="Cambria" w:hAnsi="Cambria" w:cs="Cambria"/>
        </w:rPr>
        <w:t xml:space="preserve">Las víctimas AC, RI y OM, maya hablantes </w:t>
      </w:r>
      <w:proofErr w:type="spellStart"/>
      <w:r>
        <w:rPr>
          <w:rFonts w:ascii="Cambria" w:eastAsia="Cambria" w:hAnsi="Cambria" w:cs="Cambria"/>
        </w:rPr>
        <w:t>q’eqchi</w:t>
      </w:r>
      <w:proofErr w:type="spellEnd"/>
      <w:r>
        <w:rPr>
          <w:rFonts w:ascii="Cambria" w:eastAsia="Cambria" w:hAnsi="Cambria" w:cs="Cambria"/>
        </w:rPr>
        <w:t>’, son de la comunidad “</w:t>
      </w:r>
      <w:proofErr w:type="spellStart"/>
      <w:r>
        <w:rPr>
          <w:rFonts w:ascii="Cambria" w:eastAsia="Cambria" w:hAnsi="Cambria" w:cs="Cambria"/>
        </w:rPr>
        <w:t>Semuy</w:t>
      </w:r>
      <w:proofErr w:type="spellEnd"/>
      <w:r>
        <w:rPr>
          <w:rFonts w:ascii="Cambria" w:eastAsia="Cambria" w:hAnsi="Cambria" w:cs="Cambria"/>
        </w:rPr>
        <w:t xml:space="preserve"> II” ubicada en el municipio de El Estor, departamento de Izabal.</w:t>
      </w:r>
    </w:p>
    <w:p w14:paraId="49B24C97" w14:textId="77777777" w:rsidR="000F514A" w:rsidRDefault="000F514A">
      <w:pPr>
        <w:keepLines/>
        <w:spacing w:line="240" w:lineRule="auto"/>
        <w:ind w:left="720"/>
        <w:jc w:val="both"/>
        <w:rPr>
          <w:rFonts w:ascii="Cambria" w:eastAsia="Cambria" w:hAnsi="Cambria" w:cs="Cambria"/>
        </w:rPr>
      </w:pPr>
    </w:p>
    <w:p w14:paraId="58311F4F" w14:textId="4B74E010" w:rsidR="000F514A" w:rsidRDefault="00A12858">
      <w:pPr>
        <w:keepLines/>
        <w:spacing w:line="240" w:lineRule="auto"/>
        <w:jc w:val="both"/>
        <w:rPr>
          <w:rFonts w:ascii="Cambria" w:eastAsia="Cambria" w:hAnsi="Cambria" w:cs="Cambria"/>
        </w:rPr>
      </w:pPr>
      <w:r>
        <w:rPr>
          <w:rFonts w:ascii="Cambria" w:eastAsia="Cambria" w:hAnsi="Cambria" w:cs="Cambria"/>
        </w:rPr>
        <w:lastRenderedPageBreak/>
        <w:t xml:space="preserve">El 3 de septiembre del año 2019, nueve infantes de marina del Ejército de </w:t>
      </w:r>
      <w:r w:rsidR="00CF62E3">
        <w:rPr>
          <w:rFonts w:ascii="Cambria" w:eastAsia="Cambria" w:hAnsi="Cambria" w:cs="Cambria"/>
        </w:rPr>
        <w:t>Guatemala</w:t>
      </w:r>
      <w:r>
        <w:rPr>
          <w:rFonts w:ascii="Cambria" w:eastAsia="Cambria" w:hAnsi="Cambria" w:cs="Cambria"/>
        </w:rPr>
        <w:t xml:space="preserve"> irrumpieron en la escuela de la comunidad </w:t>
      </w:r>
      <w:proofErr w:type="spellStart"/>
      <w:r>
        <w:rPr>
          <w:rFonts w:ascii="Cambria" w:eastAsia="Cambria" w:hAnsi="Cambria" w:cs="Cambria"/>
        </w:rPr>
        <w:t>Semuy</w:t>
      </w:r>
      <w:proofErr w:type="spellEnd"/>
      <w:r>
        <w:rPr>
          <w:rFonts w:ascii="Cambria" w:eastAsia="Cambria" w:hAnsi="Cambria" w:cs="Cambria"/>
        </w:rPr>
        <w:t xml:space="preserve"> II, mientras se realizaba una jornada médica. La comunida</w:t>
      </w:r>
      <w:r>
        <w:rPr>
          <w:rFonts w:ascii="Cambria" w:eastAsia="Cambria" w:hAnsi="Cambria" w:cs="Cambria"/>
        </w:rPr>
        <w:t xml:space="preserve">d alertó y cuestionó la llegada de los marines; quienes se encontraban realizando un reconocimiento de verificación de probables pistas clandestinas y plantaciones ilícitas en el área montañosa a cercanías de la comunidad, sin </w:t>
      </w:r>
      <w:r w:rsidR="00CF62E3">
        <w:rPr>
          <w:rFonts w:ascii="Cambria" w:eastAsia="Cambria" w:hAnsi="Cambria" w:cs="Cambria"/>
        </w:rPr>
        <w:t>orden</w:t>
      </w:r>
      <w:r>
        <w:rPr>
          <w:rFonts w:ascii="Cambria" w:eastAsia="Cambria" w:hAnsi="Cambria" w:cs="Cambria"/>
        </w:rPr>
        <w:t xml:space="preserve"> escrita de dicha dilige</w:t>
      </w:r>
      <w:r>
        <w:rPr>
          <w:rFonts w:ascii="Cambria" w:eastAsia="Cambria" w:hAnsi="Cambria" w:cs="Cambria"/>
        </w:rPr>
        <w:t>ncia. Mientras la comunidad buscaba el diálogo, uno de los infantes de marina disparó su fusil impactando en la pierna de A Coy, que fue el detonante de un enfrentamiento entre militares y comunitarios, donde posteriormente se dio la muerte de 3 marines.</w:t>
      </w:r>
    </w:p>
    <w:p w14:paraId="6F8B0D76" w14:textId="77777777" w:rsidR="000F514A" w:rsidRDefault="000F514A">
      <w:pPr>
        <w:keepLines/>
        <w:spacing w:line="240" w:lineRule="auto"/>
        <w:jc w:val="both"/>
        <w:rPr>
          <w:rFonts w:ascii="Cambria" w:eastAsia="Cambria" w:hAnsi="Cambria" w:cs="Cambria"/>
        </w:rPr>
      </w:pPr>
    </w:p>
    <w:p w14:paraId="44905A0F" w14:textId="77777777" w:rsidR="000F514A" w:rsidRDefault="00A12858">
      <w:pPr>
        <w:keepLines/>
        <w:spacing w:line="240" w:lineRule="auto"/>
        <w:jc w:val="both"/>
        <w:rPr>
          <w:rFonts w:ascii="Cambria" w:eastAsia="Cambria" w:hAnsi="Cambria" w:cs="Cambria"/>
        </w:rPr>
      </w:pPr>
      <w:r>
        <w:rPr>
          <w:rFonts w:ascii="Cambria" w:eastAsia="Cambria" w:hAnsi="Cambria" w:cs="Cambria"/>
        </w:rPr>
        <w:t>El Ejército de Guatemala y el Ministerio Público acusaron a AC, RI y OM, de haber amenazado, golpeado e impedido a los nueve infantes de marina retirarse del lugar, portando palos, lo que dio tiempo suficiente para que cinco comunitarios accionaran las arm</w:t>
      </w:r>
      <w:r>
        <w:rPr>
          <w:rFonts w:ascii="Cambria" w:eastAsia="Cambria" w:hAnsi="Cambria" w:cs="Cambria"/>
        </w:rPr>
        <w:t xml:space="preserve">as de fuego en contra de los infantes, consecuentemente murieron tres infantes y seis heridos. El delito por el cual se les acusó es “Atentado con agravación específica”. Proceden a la aprehensión de las tres mujeres </w:t>
      </w:r>
      <w:proofErr w:type="spellStart"/>
      <w:r>
        <w:rPr>
          <w:rFonts w:ascii="Cambria" w:eastAsia="Cambria" w:hAnsi="Cambria" w:cs="Cambria"/>
        </w:rPr>
        <w:t>Q’eqchi</w:t>
      </w:r>
      <w:proofErr w:type="spellEnd"/>
      <w:r>
        <w:rPr>
          <w:rFonts w:ascii="Cambria" w:eastAsia="Cambria" w:hAnsi="Cambria" w:cs="Cambria"/>
        </w:rPr>
        <w:t>’ y seis comunitarios más, a pes</w:t>
      </w:r>
      <w:r>
        <w:rPr>
          <w:rFonts w:ascii="Cambria" w:eastAsia="Cambria" w:hAnsi="Cambria" w:cs="Cambria"/>
        </w:rPr>
        <w:t xml:space="preserve">ar de que AC no podía caminar por el proyectil de arma de fuego del ejército que tiene incrustado en la pierna, al momento de la detención no fueron informadas en el idioma </w:t>
      </w:r>
      <w:proofErr w:type="spellStart"/>
      <w:r>
        <w:rPr>
          <w:rFonts w:ascii="Cambria" w:eastAsia="Cambria" w:hAnsi="Cambria" w:cs="Cambria"/>
        </w:rPr>
        <w:t>Q’eqchi</w:t>
      </w:r>
      <w:proofErr w:type="spellEnd"/>
      <w:r>
        <w:rPr>
          <w:rFonts w:ascii="Cambria" w:eastAsia="Cambria" w:hAnsi="Cambria" w:cs="Cambria"/>
        </w:rPr>
        <w:t>’.</w:t>
      </w:r>
    </w:p>
    <w:p w14:paraId="70DBC464" w14:textId="77777777" w:rsidR="000F514A" w:rsidRDefault="000F514A">
      <w:pPr>
        <w:keepLines/>
        <w:spacing w:line="240" w:lineRule="auto"/>
        <w:ind w:left="720"/>
        <w:rPr>
          <w:rFonts w:ascii="Cambria" w:eastAsia="Cambria" w:hAnsi="Cambria" w:cs="Cambria"/>
        </w:rPr>
      </w:pPr>
    </w:p>
    <w:p w14:paraId="3A0A3374" w14:textId="77777777" w:rsidR="000F514A" w:rsidRDefault="00A12858">
      <w:pPr>
        <w:keepLines/>
        <w:spacing w:line="240" w:lineRule="auto"/>
        <w:jc w:val="both"/>
        <w:rPr>
          <w:rFonts w:ascii="Cambria" w:eastAsia="Cambria" w:hAnsi="Cambria" w:cs="Cambria"/>
        </w:rPr>
      </w:pPr>
      <w:r>
        <w:rPr>
          <w:rFonts w:ascii="Cambria" w:eastAsia="Cambria" w:hAnsi="Cambria" w:cs="Cambria"/>
        </w:rPr>
        <w:t xml:space="preserve">El 29 de marzo del año 2022 el Tribunal de Sentencia Penal, Narcoactividad y Delitos de Mayor Riesgo grupo “E” deliberó la sentencia, condenando a las 3 mujeres </w:t>
      </w:r>
      <w:proofErr w:type="spellStart"/>
      <w:r>
        <w:rPr>
          <w:rFonts w:ascii="Cambria" w:eastAsia="Cambria" w:hAnsi="Cambria" w:cs="Cambria"/>
        </w:rPr>
        <w:t>Q’eqchi</w:t>
      </w:r>
      <w:proofErr w:type="spellEnd"/>
      <w:r>
        <w:rPr>
          <w:rFonts w:ascii="Cambria" w:eastAsia="Cambria" w:hAnsi="Cambria" w:cs="Cambria"/>
        </w:rPr>
        <w:t xml:space="preserve">’ a 75 años de prisión, modificando el delito de Atentado con agravaciones al delito de </w:t>
      </w:r>
      <w:r>
        <w:rPr>
          <w:rFonts w:ascii="Cambria" w:eastAsia="Cambria" w:hAnsi="Cambria" w:cs="Cambria"/>
          <w:b/>
        </w:rPr>
        <w:t>ASESINATO</w:t>
      </w:r>
      <w:r>
        <w:rPr>
          <w:rFonts w:ascii="Cambria" w:eastAsia="Cambria" w:hAnsi="Cambria" w:cs="Cambria"/>
        </w:rPr>
        <w:t>, en agravio de los tres infantes que fallecieron y los seis infantes por tentativa de asesinato, revocando la medida sustitutiva que se les fue otorgada y fueron trasladas al Centro Preventivo para Mujeres Santa Teresita en el departamento de Gua</w:t>
      </w:r>
      <w:r>
        <w:rPr>
          <w:rFonts w:ascii="Cambria" w:eastAsia="Cambria" w:hAnsi="Cambria" w:cs="Cambria"/>
        </w:rPr>
        <w:t>temala.</w:t>
      </w:r>
    </w:p>
    <w:p w14:paraId="3464BE2F" w14:textId="77777777" w:rsidR="000F514A" w:rsidRDefault="000F514A">
      <w:pPr>
        <w:keepLines/>
        <w:spacing w:line="240" w:lineRule="auto"/>
        <w:rPr>
          <w:rFonts w:ascii="Cambria" w:eastAsia="Cambria" w:hAnsi="Cambria" w:cs="Cambria"/>
        </w:rPr>
      </w:pPr>
    </w:p>
    <w:p w14:paraId="17E0F123" w14:textId="77777777" w:rsidR="000F514A" w:rsidRDefault="00A12858">
      <w:pPr>
        <w:keepLines/>
        <w:spacing w:line="240" w:lineRule="auto"/>
        <w:jc w:val="both"/>
        <w:rPr>
          <w:rFonts w:ascii="Cambria" w:eastAsia="Cambria" w:hAnsi="Cambria" w:cs="Cambria"/>
        </w:rPr>
      </w:pPr>
      <w:r>
        <w:rPr>
          <w:rFonts w:ascii="Cambria" w:eastAsia="Cambria" w:hAnsi="Cambria" w:cs="Cambria"/>
        </w:rPr>
        <w:t xml:space="preserve">En dicho Centro no pueden hacer uso de su indumentaria maya porque se las roban, además comentaron que el agua contiene mucho cloro lo que decolora sus trajes, y las discriminan, su idioma materno es el </w:t>
      </w:r>
      <w:proofErr w:type="spellStart"/>
      <w:r>
        <w:rPr>
          <w:rFonts w:ascii="Cambria" w:eastAsia="Cambria" w:hAnsi="Cambria" w:cs="Cambria"/>
        </w:rPr>
        <w:t>Q’eqchi</w:t>
      </w:r>
      <w:proofErr w:type="spellEnd"/>
      <w:r>
        <w:rPr>
          <w:rFonts w:ascii="Cambria" w:eastAsia="Cambria" w:hAnsi="Cambria" w:cs="Cambria"/>
        </w:rPr>
        <w:t xml:space="preserve">’ y no pueden comunicarse, además de </w:t>
      </w:r>
      <w:r>
        <w:rPr>
          <w:rFonts w:ascii="Cambria" w:eastAsia="Cambria" w:hAnsi="Cambria" w:cs="Cambria"/>
        </w:rPr>
        <w:t xml:space="preserve">que por términos de distancia las familias no han podido verlas desde que se dictó la sentencia condenatoria. Se solicitó trasladarlas al Centro de Prisión Preventiva de Hombres y Mujeres de Cobán, Alta Verapaz, en donde convivirán con más mujeres </w:t>
      </w:r>
      <w:proofErr w:type="spellStart"/>
      <w:r>
        <w:rPr>
          <w:rFonts w:ascii="Cambria" w:eastAsia="Cambria" w:hAnsi="Cambria" w:cs="Cambria"/>
        </w:rPr>
        <w:t>Q’eqchi</w:t>
      </w:r>
      <w:proofErr w:type="spellEnd"/>
      <w:r>
        <w:rPr>
          <w:rFonts w:ascii="Cambria" w:eastAsia="Cambria" w:hAnsi="Cambria" w:cs="Cambria"/>
        </w:rPr>
        <w:t>’</w:t>
      </w:r>
      <w:r>
        <w:rPr>
          <w:rFonts w:ascii="Cambria" w:eastAsia="Cambria" w:hAnsi="Cambria" w:cs="Cambria"/>
        </w:rPr>
        <w:t xml:space="preserve"> y la distancia es más corta para que sus familias puedan visitarlas.</w:t>
      </w:r>
    </w:p>
    <w:p w14:paraId="2B8F79F2" w14:textId="77777777" w:rsidR="000F514A" w:rsidRDefault="000F514A">
      <w:pPr>
        <w:keepLines/>
        <w:spacing w:line="240" w:lineRule="auto"/>
        <w:ind w:left="720"/>
        <w:rPr>
          <w:rFonts w:ascii="Cambria" w:eastAsia="Cambria" w:hAnsi="Cambria" w:cs="Cambria"/>
        </w:rPr>
      </w:pPr>
    </w:p>
    <w:p w14:paraId="3A461587" w14:textId="77777777" w:rsidR="000F514A" w:rsidRDefault="00A12858">
      <w:pPr>
        <w:keepLines/>
        <w:spacing w:line="240" w:lineRule="auto"/>
        <w:jc w:val="both"/>
        <w:rPr>
          <w:rFonts w:ascii="Cambria" w:eastAsia="Cambria" w:hAnsi="Cambria" w:cs="Cambria"/>
        </w:rPr>
      </w:pPr>
      <w:r>
        <w:rPr>
          <w:rFonts w:ascii="Cambria" w:eastAsia="Cambria" w:hAnsi="Cambria" w:cs="Cambria"/>
        </w:rPr>
        <w:t>Al ser condenadas a 75 años de prisión, se impugnó la sentencia, con seis recursos de apelación especial por motivos de fondo y forma que fueron presentados el 22 de mayo de 2022, a pes</w:t>
      </w:r>
      <w:r>
        <w:rPr>
          <w:rFonts w:ascii="Cambria" w:eastAsia="Cambria" w:hAnsi="Cambria" w:cs="Cambria"/>
        </w:rPr>
        <w:t>ar de que la ley señala un plazo para examinar los recursos de apelación, ha pasado más de un año desde la última notificación y la Sala apenas admitió para su trámite las mismas y señaló debate de segundo grado para marzo de 2024, violentando el plazo raz</w:t>
      </w:r>
      <w:r>
        <w:rPr>
          <w:rFonts w:ascii="Cambria" w:eastAsia="Cambria" w:hAnsi="Cambria" w:cs="Cambria"/>
        </w:rPr>
        <w:t xml:space="preserve">onable y justo en el proceso penal y el derecho de defensa de las mujeres </w:t>
      </w:r>
      <w:proofErr w:type="spellStart"/>
      <w:r>
        <w:rPr>
          <w:rFonts w:ascii="Cambria" w:eastAsia="Cambria" w:hAnsi="Cambria" w:cs="Cambria"/>
        </w:rPr>
        <w:t>Q’eqchi</w:t>
      </w:r>
      <w:proofErr w:type="spellEnd"/>
      <w:r>
        <w:rPr>
          <w:rFonts w:ascii="Cambria" w:eastAsia="Cambria" w:hAnsi="Cambria" w:cs="Cambria"/>
        </w:rPr>
        <w:t xml:space="preserve">. </w:t>
      </w:r>
    </w:p>
    <w:p w14:paraId="2DB4A300" w14:textId="77777777" w:rsidR="000F514A" w:rsidRDefault="000F514A">
      <w:pPr>
        <w:keepLines/>
        <w:spacing w:line="240" w:lineRule="auto"/>
        <w:ind w:left="720"/>
        <w:jc w:val="both"/>
        <w:rPr>
          <w:rFonts w:ascii="Cambria" w:eastAsia="Cambria" w:hAnsi="Cambria" w:cs="Cambria"/>
        </w:rPr>
      </w:pPr>
    </w:p>
    <w:p w14:paraId="05DE115E" w14:textId="5AF9DDAB" w:rsidR="000F514A" w:rsidRDefault="00A12858">
      <w:pPr>
        <w:keepLines/>
        <w:spacing w:line="240" w:lineRule="auto"/>
        <w:jc w:val="both"/>
        <w:rPr>
          <w:rFonts w:ascii="Cambria" w:eastAsia="Cambria" w:hAnsi="Cambria" w:cs="Cambria"/>
        </w:rPr>
      </w:pPr>
      <w:r>
        <w:rPr>
          <w:rFonts w:ascii="Cambria" w:eastAsia="Cambria" w:hAnsi="Cambria" w:cs="Cambria"/>
        </w:rPr>
        <w:t>El Estado de Guatemala a través del Ejército irrumpen en las comunidades para intimidar a las familias y controlar sus territorios. Tal como en este caso que el Ejército s</w:t>
      </w:r>
      <w:r>
        <w:rPr>
          <w:rFonts w:ascii="Cambria" w:eastAsia="Cambria" w:hAnsi="Cambria" w:cs="Cambria"/>
        </w:rPr>
        <w:t xml:space="preserve">e encontraba haciendo un reconocimiento de plantaciones ilícitas, sin llevar consigo una </w:t>
      </w:r>
      <w:r w:rsidR="00CF62E3">
        <w:rPr>
          <w:rFonts w:ascii="Cambria" w:eastAsia="Cambria" w:hAnsi="Cambria" w:cs="Cambria"/>
        </w:rPr>
        <w:t>orden</w:t>
      </w:r>
      <w:r>
        <w:rPr>
          <w:rFonts w:ascii="Cambria" w:eastAsia="Cambria" w:hAnsi="Cambria" w:cs="Cambria"/>
        </w:rPr>
        <w:t xml:space="preserve"> que acredite la diligencia. Es importante resaltar cómo el Estado deslegitima a la comunidad de </w:t>
      </w:r>
      <w:proofErr w:type="spellStart"/>
      <w:r>
        <w:rPr>
          <w:rFonts w:ascii="Cambria" w:eastAsia="Cambria" w:hAnsi="Cambria" w:cs="Cambria"/>
        </w:rPr>
        <w:t>Semuy</w:t>
      </w:r>
      <w:proofErr w:type="spellEnd"/>
      <w:r>
        <w:rPr>
          <w:rFonts w:ascii="Cambria" w:eastAsia="Cambria" w:hAnsi="Cambria" w:cs="Cambria"/>
        </w:rPr>
        <w:t xml:space="preserve"> II que se encuentra en medio del monopolio de palma african</w:t>
      </w:r>
      <w:r>
        <w:rPr>
          <w:rFonts w:ascii="Cambria" w:eastAsia="Cambria" w:hAnsi="Cambria" w:cs="Cambria"/>
        </w:rPr>
        <w:t>a y la cataloga como una comunidad de crimen organizado, dejándola sin acceso a la educación, a la salud y a la alimentación.</w:t>
      </w:r>
    </w:p>
    <w:p w14:paraId="334CF8E0" w14:textId="77777777" w:rsidR="000F514A" w:rsidRDefault="000F514A">
      <w:pPr>
        <w:keepLines/>
        <w:spacing w:line="240" w:lineRule="auto"/>
        <w:ind w:left="720"/>
        <w:rPr>
          <w:rFonts w:ascii="Cambria" w:eastAsia="Cambria" w:hAnsi="Cambria" w:cs="Cambria"/>
        </w:rPr>
      </w:pPr>
    </w:p>
    <w:p w14:paraId="2AF465EB" w14:textId="77777777" w:rsidR="000F514A" w:rsidRDefault="00A12858">
      <w:pPr>
        <w:keepLines/>
        <w:numPr>
          <w:ilvl w:val="0"/>
          <w:numId w:val="1"/>
        </w:numPr>
        <w:spacing w:line="240" w:lineRule="auto"/>
        <w:rPr>
          <w:rFonts w:ascii="Cambria" w:eastAsia="Cambria" w:hAnsi="Cambria" w:cs="Cambria"/>
          <w:b/>
        </w:rPr>
      </w:pPr>
      <w:r>
        <w:rPr>
          <w:rFonts w:ascii="Cambria" w:eastAsia="Cambria" w:hAnsi="Cambria" w:cs="Cambria"/>
          <w:b/>
          <w:u w:val="single"/>
        </w:rPr>
        <w:t>Mujeres defensoras de la Tierra y Territorio de la Comunidad indígena Dolores Río Cristalino</w:t>
      </w:r>
    </w:p>
    <w:p w14:paraId="7CF6B937" w14:textId="77777777" w:rsidR="000F514A" w:rsidRDefault="000F514A">
      <w:pPr>
        <w:keepLines/>
        <w:spacing w:line="240" w:lineRule="auto"/>
        <w:rPr>
          <w:rFonts w:ascii="Cambria" w:eastAsia="Cambria" w:hAnsi="Cambria" w:cs="Cambria"/>
        </w:rPr>
      </w:pPr>
    </w:p>
    <w:p w14:paraId="202C72CF" w14:textId="77777777" w:rsidR="000F514A" w:rsidRDefault="00A12858">
      <w:pPr>
        <w:keepLines/>
        <w:spacing w:line="240" w:lineRule="auto"/>
        <w:jc w:val="both"/>
        <w:rPr>
          <w:rFonts w:ascii="Cambria" w:eastAsia="Cambria" w:hAnsi="Cambria" w:cs="Cambria"/>
        </w:rPr>
      </w:pPr>
      <w:r>
        <w:rPr>
          <w:rFonts w:ascii="Cambria" w:eastAsia="Cambria" w:hAnsi="Cambria" w:cs="Cambria"/>
        </w:rPr>
        <w:lastRenderedPageBreak/>
        <w:t>La Comunidad de Dolores, Río Crista</w:t>
      </w:r>
      <w:r>
        <w:rPr>
          <w:rFonts w:ascii="Cambria" w:eastAsia="Cambria" w:hAnsi="Cambria" w:cs="Cambria"/>
        </w:rPr>
        <w:t xml:space="preserve">lino se ubica en el departamento de Alta Verapaz, en donde viven 33 mujeres maya </w:t>
      </w:r>
      <w:proofErr w:type="spellStart"/>
      <w:r>
        <w:rPr>
          <w:rFonts w:ascii="Cambria" w:eastAsia="Cambria" w:hAnsi="Cambria" w:cs="Cambria"/>
        </w:rPr>
        <w:t>q'eqchi</w:t>
      </w:r>
      <w:proofErr w:type="spellEnd"/>
      <w:r>
        <w:rPr>
          <w:rFonts w:ascii="Cambria" w:eastAsia="Cambria" w:hAnsi="Cambria" w:cs="Cambria"/>
        </w:rPr>
        <w:t xml:space="preserve"> que actualmente son perseguidas penalmente por el Ministerio Público sindicadas del delito usurpación agravada, pues la denunciante proveniente de una familia alemana </w:t>
      </w:r>
      <w:r>
        <w:rPr>
          <w:rFonts w:ascii="Cambria" w:eastAsia="Cambria" w:hAnsi="Cambria" w:cs="Cambria"/>
        </w:rPr>
        <w:t xml:space="preserve">de apellido </w:t>
      </w:r>
      <w:proofErr w:type="spellStart"/>
      <w:r>
        <w:rPr>
          <w:rFonts w:ascii="Cambria" w:eastAsia="Cambria" w:hAnsi="Cambria" w:cs="Cambria"/>
        </w:rPr>
        <w:t>Dieseldorff</w:t>
      </w:r>
      <w:proofErr w:type="spellEnd"/>
      <w:r>
        <w:rPr>
          <w:rFonts w:ascii="Cambria" w:eastAsia="Cambria" w:hAnsi="Cambria" w:cs="Cambria"/>
        </w:rPr>
        <w:t>, alega que ellas conforman el grupo que invadió su propiedad de manera violenta en el año 2009, y que además de intimidar y proferir amenazas a las personas trabajadoras del inmueble, obligándoles a retirarse del espacio  y aprovech</w:t>
      </w:r>
      <w:r>
        <w:rPr>
          <w:rFonts w:ascii="Cambria" w:eastAsia="Cambria" w:hAnsi="Cambria" w:cs="Cambria"/>
        </w:rPr>
        <w:t>ándose de los recursos vegetales, e hídricos que se encuentran en el lugar.</w:t>
      </w:r>
    </w:p>
    <w:p w14:paraId="643D448A" w14:textId="77777777" w:rsidR="000F514A" w:rsidRDefault="000F514A">
      <w:pPr>
        <w:keepLines/>
        <w:spacing w:line="240" w:lineRule="auto"/>
        <w:ind w:left="720"/>
        <w:jc w:val="both"/>
        <w:rPr>
          <w:rFonts w:ascii="Cambria" w:eastAsia="Cambria" w:hAnsi="Cambria" w:cs="Cambria"/>
        </w:rPr>
      </w:pPr>
    </w:p>
    <w:p w14:paraId="1D7B5E11" w14:textId="77777777" w:rsidR="000F514A" w:rsidRDefault="00A12858">
      <w:pPr>
        <w:keepLines/>
        <w:spacing w:line="240" w:lineRule="auto"/>
        <w:jc w:val="both"/>
        <w:rPr>
          <w:rFonts w:ascii="Cambria" w:eastAsia="Cambria" w:hAnsi="Cambria" w:cs="Cambria"/>
        </w:rPr>
      </w:pPr>
      <w:r>
        <w:rPr>
          <w:rFonts w:ascii="Cambria" w:eastAsia="Cambria" w:hAnsi="Cambria" w:cs="Cambria"/>
        </w:rPr>
        <w:t>Al investigar los derechos ancestrales de la Comunidad, se determina la permanencia histórica de familias y comunidades que han vivido y permanecido de manera continua en el terri</w:t>
      </w:r>
      <w:r>
        <w:rPr>
          <w:rFonts w:ascii="Cambria" w:eastAsia="Cambria" w:hAnsi="Cambria" w:cs="Cambria"/>
        </w:rPr>
        <w:t>torio, configurado sus roles para conservar la herencia de sus padres y abuelos, sujetándose a ser mozos - colonos y posteriormente trabajadores de los supuestos propietarios, de hecho estos últimos, tampoco cuentan con la titularidad de la tierra de maner</w:t>
      </w:r>
      <w:r>
        <w:rPr>
          <w:rFonts w:ascii="Cambria" w:eastAsia="Cambria" w:hAnsi="Cambria" w:cs="Cambria"/>
        </w:rPr>
        <w:t xml:space="preserve">a clara y definida, ya que está según estudios realizados por parte de la misma institucionalidad estatal, alegan que existe un traslape de fincas que equivale al 40% de la propiedad.  </w:t>
      </w:r>
    </w:p>
    <w:p w14:paraId="20D4764A" w14:textId="77777777" w:rsidR="000F514A" w:rsidRDefault="000F514A">
      <w:pPr>
        <w:keepLines/>
        <w:spacing w:line="240" w:lineRule="auto"/>
        <w:ind w:left="720"/>
        <w:jc w:val="both"/>
        <w:rPr>
          <w:rFonts w:ascii="Cambria" w:eastAsia="Cambria" w:hAnsi="Cambria" w:cs="Cambria"/>
        </w:rPr>
      </w:pPr>
    </w:p>
    <w:p w14:paraId="11CAACA2" w14:textId="4327B265" w:rsidR="000F514A" w:rsidRDefault="00A12858">
      <w:pPr>
        <w:keepLines/>
        <w:spacing w:line="240" w:lineRule="auto"/>
        <w:jc w:val="both"/>
        <w:rPr>
          <w:rFonts w:ascii="Cambria" w:eastAsia="Cambria" w:hAnsi="Cambria" w:cs="Cambria"/>
        </w:rPr>
      </w:pPr>
      <w:r>
        <w:rPr>
          <w:rFonts w:ascii="Cambria" w:eastAsia="Cambria" w:hAnsi="Cambria" w:cs="Cambria"/>
        </w:rPr>
        <w:t xml:space="preserve">Esta situación les ha traído un conjunto de elementos que han dañado </w:t>
      </w:r>
      <w:r>
        <w:rPr>
          <w:rFonts w:ascii="Cambria" w:eastAsia="Cambria" w:hAnsi="Cambria" w:cs="Cambria"/>
        </w:rPr>
        <w:t xml:space="preserve">el tejido social de su comunidad y familia, </w:t>
      </w:r>
      <w:r w:rsidR="00CF62E3">
        <w:rPr>
          <w:rFonts w:ascii="Cambria" w:eastAsia="Cambria" w:hAnsi="Cambria" w:cs="Cambria"/>
        </w:rPr>
        <w:t>ya que,</w:t>
      </w:r>
      <w:r>
        <w:rPr>
          <w:rFonts w:ascii="Cambria" w:eastAsia="Cambria" w:hAnsi="Cambria" w:cs="Cambria"/>
        </w:rPr>
        <w:t xml:space="preserve"> debido a ello, sus hijos no han podido continuar con su educación y acceder a servicios básicos de salud, de modo que parte de su proyecto de vida, se ha dañado. </w:t>
      </w:r>
    </w:p>
    <w:p w14:paraId="274D7BB9" w14:textId="77777777" w:rsidR="000F514A" w:rsidRDefault="000F514A">
      <w:pPr>
        <w:keepLines/>
        <w:spacing w:line="240" w:lineRule="auto"/>
        <w:ind w:left="720"/>
        <w:jc w:val="both"/>
        <w:rPr>
          <w:rFonts w:ascii="Cambria" w:eastAsia="Cambria" w:hAnsi="Cambria" w:cs="Cambria"/>
        </w:rPr>
      </w:pPr>
    </w:p>
    <w:p w14:paraId="62903CE0" w14:textId="77777777" w:rsidR="000F514A" w:rsidRDefault="00A12858">
      <w:pPr>
        <w:keepLines/>
        <w:spacing w:line="240" w:lineRule="auto"/>
        <w:jc w:val="both"/>
        <w:rPr>
          <w:rFonts w:ascii="Cambria" w:eastAsia="Cambria" w:hAnsi="Cambria" w:cs="Cambria"/>
        </w:rPr>
      </w:pPr>
      <w:r>
        <w:rPr>
          <w:rFonts w:ascii="Cambria" w:eastAsia="Cambria" w:hAnsi="Cambria" w:cs="Cambria"/>
        </w:rPr>
        <w:t>Así mismo, esta situación ha impactado d</w:t>
      </w:r>
      <w:r>
        <w:rPr>
          <w:rFonts w:ascii="Cambria" w:eastAsia="Cambria" w:hAnsi="Cambria" w:cs="Cambria"/>
        </w:rPr>
        <w:t>e manera imperante su actividad económica, ya que la única fuente de sustento que pueden ejercer es a través de la tierra que dicen, no es de ellas, sembrando alimentos básicos como maíz, frijol, algunas plantas curativas y raíces que les permiten alimenta</w:t>
      </w:r>
      <w:r>
        <w:rPr>
          <w:rFonts w:ascii="Cambria" w:eastAsia="Cambria" w:hAnsi="Cambria" w:cs="Cambria"/>
        </w:rPr>
        <w:t xml:space="preserve">r y sanar a sus niños. Esta situación se ha mantenido desde hace ya 10 años, tiempo en el que no han podido desarrollarse en campos que contribuyen a su calidad de vida, trastocando no solo su salud física, sino mental y espiritual. </w:t>
      </w:r>
    </w:p>
    <w:p w14:paraId="527C40F4" w14:textId="77777777" w:rsidR="000F514A" w:rsidRDefault="000F514A">
      <w:pPr>
        <w:keepLines/>
        <w:spacing w:line="240" w:lineRule="auto"/>
        <w:ind w:left="720"/>
        <w:jc w:val="both"/>
        <w:rPr>
          <w:rFonts w:ascii="Cambria" w:eastAsia="Cambria" w:hAnsi="Cambria" w:cs="Cambria"/>
        </w:rPr>
      </w:pPr>
    </w:p>
    <w:p w14:paraId="03D4B9D8" w14:textId="4BF61E2D" w:rsidR="000F514A" w:rsidRDefault="00A12858">
      <w:pPr>
        <w:keepLines/>
        <w:spacing w:line="240" w:lineRule="auto"/>
        <w:jc w:val="both"/>
        <w:rPr>
          <w:rFonts w:ascii="Cambria" w:eastAsia="Cambria" w:hAnsi="Cambria" w:cs="Cambria"/>
          <w:u w:val="single"/>
        </w:rPr>
      </w:pPr>
      <w:r>
        <w:rPr>
          <w:rFonts w:ascii="Cambria" w:eastAsia="Cambria" w:hAnsi="Cambria" w:cs="Cambria"/>
        </w:rPr>
        <w:t>Todo ello, forma part</w:t>
      </w:r>
      <w:r>
        <w:rPr>
          <w:rFonts w:ascii="Cambria" w:eastAsia="Cambria" w:hAnsi="Cambria" w:cs="Cambria"/>
        </w:rPr>
        <w:t xml:space="preserve">e de las características de las guerras </w:t>
      </w:r>
      <w:r w:rsidR="00CF62E3">
        <w:rPr>
          <w:rFonts w:ascii="Cambria" w:eastAsia="Cambria" w:hAnsi="Cambria" w:cs="Cambria"/>
        </w:rPr>
        <w:t>contemporáneas</w:t>
      </w:r>
      <w:r>
        <w:rPr>
          <w:rFonts w:ascii="Cambria" w:eastAsia="Cambria" w:hAnsi="Cambria" w:cs="Cambria"/>
        </w:rPr>
        <w:t xml:space="preserve">, ya que ya no es la violación de las mujeres un botín de guerra, sino </w:t>
      </w:r>
      <w:r w:rsidR="00CF62E3">
        <w:rPr>
          <w:rFonts w:ascii="Cambria" w:eastAsia="Cambria" w:hAnsi="Cambria" w:cs="Cambria"/>
        </w:rPr>
        <w:t>que,</w:t>
      </w:r>
      <w:r>
        <w:rPr>
          <w:rFonts w:ascii="Cambria" w:eastAsia="Cambria" w:hAnsi="Cambria" w:cs="Cambria"/>
        </w:rPr>
        <w:t xml:space="preserve"> por medio de estos mecanismos, se pretende profanar y destruir moral y físicamente a las mujeres pues el cuerpo de ellas simbo</w:t>
      </w:r>
      <w:r>
        <w:rPr>
          <w:rFonts w:ascii="Cambria" w:eastAsia="Cambria" w:hAnsi="Cambria" w:cs="Cambria"/>
        </w:rPr>
        <w:t xml:space="preserve">liza el cuerpo social y la dominación sobre el territorio, tal como lo señala el peritaje de género que fue utilizado en el caso de las mujeres de </w:t>
      </w:r>
      <w:proofErr w:type="spellStart"/>
      <w:r>
        <w:rPr>
          <w:rFonts w:ascii="Cambria" w:eastAsia="Cambria" w:hAnsi="Cambria" w:cs="Cambria"/>
        </w:rPr>
        <w:t>Sepur</w:t>
      </w:r>
      <w:proofErr w:type="spellEnd"/>
      <w:r>
        <w:rPr>
          <w:rFonts w:ascii="Cambria" w:eastAsia="Cambria" w:hAnsi="Cambria" w:cs="Cambria"/>
        </w:rPr>
        <w:t xml:space="preserve"> Zarco, </w:t>
      </w:r>
      <w:r w:rsidR="00CF62E3">
        <w:rPr>
          <w:rFonts w:ascii="Cambria" w:eastAsia="Cambria" w:hAnsi="Cambria" w:cs="Cambria"/>
        </w:rPr>
        <w:t>víctimas</w:t>
      </w:r>
      <w:r>
        <w:rPr>
          <w:rFonts w:ascii="Cambria" w:eastAsia="Cambria" w:hAnsi="Cambria" w:cs="Cambria"/>
        </w:rPr>
        <w:t xml:space="preserve"> del conflicto armado en Guatemala. </w:t>
      </w:r>
    </w:p>
    <w:p w14:paraId="12EA47D9" w14:textId="77777777" w:rsidR="000F514A" w:rsidRDefault="000F514A">
      <w:pPr>
        <w:keepLines/>
        <w:spacing w:line="240" w:lineRule="auto"/>
        <w:rPr>
          <w:rFonts w:ascii="Cambria" w:eastAsia="Cambria" w:hAnsi="Cambria" w:cs="Cambria"/>
          <w:u w:val="single"/>
        </w:rPr>
      </w:pPr>
    </w:p>
    <w:p w14:paraId="40D30209" w14:textId="11FB0213" w:rsidR="000F514A" w:rsidRDefault="00A12858">
      <w:pPr>
        <w:keepLines/>
        <w:numPr>
          <w:ilvl w:val="0"/>
          <w:numId w:val="3"/>
        </w:numPr>
        <w:spacing w:line="240" w:lineRule="auto"/>
        <w:rPr>
          <w:rFonts w:ascii="Cambria" w:eastAsia="Cambria" w:hAnsi="Cambria" w:cs="Cambria"/>
          <w:b/>
        </w:rPr>
      </w:pPr>
      <w:r>
        <w:rPr>
          <w:rFonts w:ascii="Cambria" w:eastAsia="Cambria" w:hAnsi="Cambria" w:cs="Cambria"/>
          <w:b/>
        </w:rPr>
        <w:t xml:space="preserve">Violación a los derechos humanos y discriminación </w:t>
      </w:r>
      <w:r>
        <w:rPr>
          <w:rFonts w:ascii="Cambria" w:eastAsia="Cambria" w:hAnsi="Cambria" w:cs="Cambria"/>
          <w:b/>
        </w:rPr>
        <w:t xml:space="preserve">a mujeres indígenas en los procesos </w:t>
      </w:r>
      <w:r w:rsidR="00CF62E3">
        <w:rPr>
          <w:rFonts w:ascii="Cambria" w:eastAsia="Cambria" w:hAnsi="Cambria" w:cs="Cambria"/>
          <w:b/>
        </w:rPr>
        <w:t>judiciales y</w:t>
      </w:r>
      <w:r>
        <w:rPr>
          <w:rFonts w:ascii="Cambria" w:eastAsia="Cambria" w:hAnsi="Cambria" w:cs="Cambria"/>
          <w:b/>
        </w:rPr>
        <w:t xml:space="preserve"> sus efectos</w:t>
      </w:r>
    </w:p>
    <w:p w14:paraId="7A01E191" w14:textId="77777777" w:rsidR="000F514A" w:rsidRDefault="000F514A">
      <w:pPr>
        <w:keepLines/>
        <w:spacing w:line="240" w:lineRule="auto"/>
        <w:ind w:left="720"/>
        <w:rPr>
          <w:rFonts w:ascii="Cambria" w:eastAsia="Cambria" w:hAnsi="Cambria" w:cs="Cambria"/>
          <w:b/>
        </w:rPr>
      </w:pPr>
    </w:p>
    <w:p w14:paraId="353770C3" w14:textId="297CBB68" w:rsidR="000F514A" w:rsidRDefault="00A12858">
      <w:pPr>
        <w:keepLines/>
        <w:spacing w:line="240" w:lineRule="auto"/>
        <w:jc w:val="both"/>
        <w:rPr>
          <w:rFonts w:ascii="Cambria" w:eastAsia="Cambria" w:hAnsi="Cambria" w:cs="Cambria"/>
        </w:rPr>
      </w:pPr>
      <w:r>
        <w:rPr>
          <w:rFonts w:ascii="Cambria" w:eastAsia="Cambria" w:hAnsi="Cambria" w:cs="Cambria"/>
        </w:rPr>
        <w:t xml:space="preserve">El artículo 14.1 de la Convención sobre la Eliminación de todas las formas de Discriminación contra la Mujer. “1. Los </w:t>
      </w:r>
      <w:r w:rsidR="00CF62E3">
        <w:rPr>
          <w:rFonts w:ascii="Cambria" w:eastAsia="Cambria" w:hAnsi="Cambria" w:cs="Cambria"/>
        </w:rPr>
        <w:t>Estados Parte</w:t>
      </w:r>
      <w:r>
        <w:rPr>
          <w:rFonts w:ascii="Cambria" w:eastAsia="Cambria" w:hAnsi="Cambria" w:cs="Cambria"/>
        </w:rPr>
        <w:t xml:space="preserve"> tendrán en cuenta los problemas especiales a que hace frente la mujer rural y el importante papel que desempeña en la supervivencia económica de su familia, incluido su trabajo en los sectores no monetarios de la economía, y tomarán todas las medidas apro</w:t>
      </w:r>
      <w:r>
        <w:rPr>
          <w:rFonts w:ascii="Cambria" w:eastAsia="Cambria" w:hAnsi="Cambria" w:cs="Cambria"/>
        </w:rPr>
        <w:t>piadas para asegurar la aplicación de las disposiciones de la presente Convención a la mujer en las zonas rurales.”</w:t>
      </w:r>
    </w:p>
    <w:p w14:paraId="2AEDB0B3" w14:textId="77777777" w:rsidR="000F514A" w:rsidRDefault="000F514A">
      <w:pPr>
        <w:keepLines/>
        <w:spacing w:line="240" w:lineRule="auto"/>
        <w:ind w:left="720"/>
        <w:jc w:val="both"/>
        <w:rPr>
          <w:rFonts w:ascii="Cambria" w:eastAsia="Cambria" w:hAnsi="Cambria" w:cs="Cambria"/>
        </w:rPr>
      </w:pPr>
    </w:p>
    <w:p w14:paraId="7BA07DEB" w14:textId="77777777" w:rsidR="000F514A" w:rsidRDefault="00A12858">
      <w:pPr>
        <w:keepLines/>
        <w:spacing w:line="240" w:lineRule="auto"/>
        <w:jc w:val="both"/>
        <w:rPr>
          <w:rFonts w:ascii="Cambria" w:eastAsia="Cambria" w:hAnsi="Cambria" w:cs="Cambria"/>
        </w:rPr>
      </w:pPr>
      <w:r>
        <w:rPr>
          <w:rFonts w:ascii="Cambria" w:eastAsia="Cambria" w:hAnsi="Cambria" w:cs="Cambria"/>
        </w:rPr>
        <w:t>La falta de legislación agraria y certeza jurídica de la tierra en Guatemala ha provocado el desalojo de numerosas comunidades indígenas, l</w:t>
      </w:r>
      <w:r>
        <w:rPr>
          <w:rFonts w:ascii="Cambria" w:eastAsia="Cambria" w:hAnsi="Cambria" w:cs="Cambria"/>
        </w:rPr>
        <w:t xml:space="preserve">o que afecta directamente a la economía de las mujeres y familias, ya que, al no adquirir la titularidad sobre las tierras ancestrales no tienen la posibilidad de sembrar y cosechar sus alimentos, así como un hogar seguro para vivir y realizar actividades </w:t>
      </w:r>
      <w:r>
        <w:rPr>
          <w:rFonts w:ascii="Cambria" w:eastAsia="Cambria" w:hAnsi="Cambria" w:cs="Cambria"/>
        </w:rPr>
        <w:t xml:space="preserve">para el desarrollo integral de las mujeres. En los casos en que las comunidades no son desalojadas, son catalogadas como grupos criminales organizados en los que se le prohíbe el acceso a servicios básicos y educación. </w:t>
      </w:r>
    </w:p>
    <w:p w14:paraId="570B97BB" w14:textId="77777777" w:rsidR="000F514A" w:rsidRDefault="000F514A">
      <w:pPr>
        <w:keepLines/>
        <w:spacing w:line="240" w:lineRule="auto"/>
        <w:ind w:left="720"/>
        <w:jc w:val="both"/>
        <w:rPr>
          <w:rFonts w:ascii="Cambria" w:eastAsia="Cambria" w:hAnsi="Cambria" w:cs="Cambria"/>
        </w:rPr>
      </w:pPr>
    </w:p>
    <w:p w14:paraId="72C8C868" w14:textId="77777777" w:rsidR="000F514A" w:rsidRDefault="00A12858">
      <w:pPr>
        <w:keepLines/>
        <w:spacing w:line="240" w:lineRule="auto"/>
        <w:jc w:val="both"/>
        <w:rPr>
          <w:rFonts w:ascii="Cambria" w:eastAsia="Cambria" w:hAnsi="Cambria" w:cs="Cambria"/>
        </w:rPr>
      </w:pPr>
      <w:r>
        <w:rPr>
          <w:rFonts w:ascii="Cambria" w:eastAsia="Cambria" w:hAnsi="Cambria" w:cs="Cambria"/>
        </w:rPr>
        <w:lastRenderedPageBreak/>
        <w:t>De la defensa del territorio de int</w:t>
      </w:r>
      <w:r>
        <w:rPr>
          <w:rFonts w:ascii="Cambria" w:eastAsia="Cambria" w:hAnsi="Cambria" w:cs="Cambria"/>
        </w:rPr>
        <w:t>entos de desalojos, proyectos extractivistas y monocultivos los órganos judiciales ordenan la aprehensión de al menos veinte mujeres en cada comunidad, que en algunos casos no se han ejecutado y en otros casos que la aprehensión de las mujeres indígenas es</w:t>
      </w:r>
      <w:r>
        <w:rPr>
          <w:rFonts w:ascii="Cambria" w:eastAsia="Cambria" w:hAnsi="Cambria" w:cs="Cambria"/>
        </w:rPr>
        <w:t xml:space="preserve"> violenta, ilegal y discriminatoria al no indicarse en el idioma la razón de la detención.</w:t>
      </w:r>
    </w:p>
    <w:p w14:paraId="1BBD3811" w14:textId="77777777" w:rsidR="000F514A" w:rsidRDefault="000F514A">
      <w:pPr>
        <w:keepLines/>
        <w:spacing w:line="240" w:lineRule="auto"/>
        <w:ind w:left="720"/>
        <w:jc w:val="both"/>
        <w:rPr>
          <w:rFonts w:ascii="Cambria" w:eastAsia="Cambria" w:hAnsi="Cambria" w:cs="Cambria"/>
        </w:rPr>
      </w:pPr>
    </w:p>
    <w:p w14:paraId="451CA86F" w14:textId="77777777" w:rsidR="000F514A" w:rsidRDefault="00A12858">
      <w:pPr>
        <w:keepLines/>
        <w:spacing w:line="240" w:lineRule="auto"/>
        <w:jc w:val="both"/>
        <w:rPr>
          <w:rFonts w:ascii="Cambria" w:eastAsia="Cambria" w:hAnsi="Cambria" w:cs="Cambria"/>
        </w:rPr>
      </w:pPr>
      <w:r>
        <w:rPr>
          <w:rFonts w:ascii="Cambria" w:eastAsia="Cambria" w:hAnsi="Cambria" w:cs="Cambria"/>
        </w:rPr>
        <w:t>El Código Procesal penal establece otros mecanismos para aclarar la situación jurídica de muchas de estas mujeres, y el uso del derecho penal debe ser la última rat</w:t>
      </w:r>
      <w:r>
        <w:rPr>
          <w:rFonts w:ascii="Cambria" w:eastAsia="Cambria" w:hAnsi="Cambria" w:cs="Cambria"/>
        </w:rPr>
        <w:t>io, muchos de estos conflictos tienen orígenes de conflictividad agraria que deben ser abordados por el Estado de Guatemala, a través de otras vías, el uso del derecho penal es una instrumentalización de la justicia que pone en grave riesgo la vida, la sal</w:t>
      </w:r>
      <w:r>
        <w:rPr>
          <w:rFonts w:ascii="Cambria" w:eastAsia="Cambria" w:hAnsi="Cambria" w:cs="Cambria"/>
        </w:rPr>
        <w:t>ud y la seguridad de las mujeres mayas.</w:t>
      </w:r>
    </w:p>
    <w:p w14:paraId="7776965E" w14:textId="77777777" w:rsidR="000F514A" w:rsidRDefault="000F514A">
      <w:pPr>
        <w:keepLines/>
        <w:spacing w:line="240" w:lineRule="auto"/>
        <w:jc w:val="both"/>
        <w:rPr>
          <w:rFonts w:ascii="Cambria" w:eastAsia="Cambria" w:hAnsi="Cambria" w:cs="Cambria"/>
        </w:rPr>
      </w:pPr>
    </w:p>
    <w:p w14:paraId="1B739182" w14:textId="77777777" w:rsidR="000F514A" w:rsidRDefault="000F514A">
      <w:pPr>
        <w:keepLines/>
        <w:spacing w:line="240" w:lineRule="auto"/>
        <w:ind w:left="720"/>
        <w:jc w:val="both"/>
        <w:rPr>
          <w:rFonts w:ascii="Cambria" w:eastAsia="Cambria" w:hAnsi="Cambria" w:cs="Cambria"/>
        </w:rPr>
      </w:pPr>
    </w:p>
    <w:p w14:paraId="3BA1D75B" w14:textId="77777777" w:rsidR="000F514A" w:rsidRDefault="00A12858">
      <w:pPr>
        <w:keepLines/>
        <w:numPr>
          <w:ilvl w:val="0"/>
          <w:numId w:val="3"/>
        </w:numPr>
        <w:spacing w:line="240" w:lineRule="auto"/>
        <w:jc w:val="both"/>
        <w:rPr>
          <w:rFonts w:ascii="Cambria" w:eastAsia="Cambria" w:hAnsi="Cambria" w:cs="Cambria"/>
          <w:b/>
        </w:rPr>
      </w:pPr>
      <w:r>
        <w:rPr>
          <w:rFonts w:ascii="Cambria" w:eastAsia="Cambria" w:hAnsi="Cambria" w:cs="Cambria"/>
          <w:b/>
        </w:rPr>
        <w:t>De las recomendaciones al Estado de Guatemala</w:t>
      </w:r>
    </w:p>
    <w:p w14:paraId="4ACFA190" w14:textId="77777777" w:rsidR="000F514A" w:rsidRDefault="000F514A">
      <w:pPr>
        <w:keepLines/>
        <w:spacing w:line="240" w:lineRule="auto"/>
        <w:ind w:left="720"/>
        <w:jc w:val="both"/>
        <w:rPr>
          <w:rFonts w:ascii="Cambria" w:eastAsia="Cambria" w:hAnsi="Cambria" w:cs="Cambria"/>
        </w:rPr>
      </w:pPr>
    </w:p>
    <w:p w14:paraId="1A75F38C" w14:textId="77777777" w:rsidR="000F514A" w:rsidRDefault="00A12858">
      <w:pPr>
        <w:keepLines/>
        <w:numPr>
          <w:ilvl w:val="0"/>
          <w:numId w:val="2"/>
        </w:numPr>
        <w:spacing w:line="240" w:lineRule="auto"/>
        <w:jc w:val="both"/>
        <w:rPr>
          <w:rFonts w:ascii="Cambria" w:eastAsia="Cambria" w:hAnsi="Cambria" w:cs="Cambria"/>
        </w:rPr>
      </w:pPr>
      <w:r>
        <w:rPr>
          <w:rFonts w:ascii="Cambria" w:eastAsia="Cambria" w:hAnsi="Cambria" w:cs="Cambria"/>
        </w:rPr>
        <w:t xml:space="preserve">Que el Estado de Guatemala, garantice a las mujeres indígenas su derecho a la tierra y territorio, implementando políticas, programas e instituciones encargadas a dar </w:t>
      </w:r>
      <w:r>
        <w:rPr>
          <w:rFonts w:ascii="Cambria" w:eastAsia="Cambria" w:hAnsi="Cambria" w:cs="Cambria"/>
        </w:rPr>
        <w:t xml:space="preserve">certeza jurídica a las tierras indígenas; así como, el derecho a decidir plenamente sobre el uso, administración y conservación de sus recursos naturales; la restitución de las tierras comunales y la compensación por los despojos de que han sido víctimas, </w:t>
      </w:r>
      <w:r>
        <w:rPr>
          <w:rFonts w:ascii="Cambria" w:eastAsia="Cambria" w:hAnsi="Cambria" w:cs="Cambria"/>
        </w:rPr>
        <w:t>así como, una moratoria a todas las órdenes de desalojos en tanto se investigue, los derechos ancestrales de las mismas y se implementen los estándares de Naciones Unidas sobre los Desalojos y el  Desplazamiento generados por el Desarrollo.</w:t>
      </w:r>
    </w:p>
    <w:p w14:paraId="3A0CFA5B" w14:textId="5733967F" w:rsidR="000F514A" w:rsidRDefault="00A12858">
      <w:pPr>
        <w:keepLines/>
        <w:numPr>
          <w:ilvl w:val="0"/>
          <w:numId w:val="2"/>
        </w:numPr>
        <w:pBdr>
          <w:top w:val="nil"/>
          <w:left w:val="nil"/>
          <w:bottom w:val="nil"/>
          <w:right w:val="nil"/>
          <w:between w:val="nil"/>
        </w:pBdr>
        <w:spacing w:line="240" w:lineRule="auto"/>
        <w:jc w:val="both"/>
        <w:rPr>
          <w:rFonts w:ascii="Cambria" w:eastAsia="Cambria" w:hAnsi="Cambria" w:cs="Cambria"/>
        </w:rPr>
      </w:pPr>
      <w:r>
        <w:rPr>
          <w:rFonts w:ascii="Cambria" w:eastAsia="Cambria" w:hAnsi="Cambria" w:cs="Cambria"/>
        </w:rPr>
        <w:t>El Estado de Gu</w:t>
      </w:r>
      <w:r>
        <w:rPr>
          <w:rFonts w:ascii="Cambria" w:eastAsia="Cambria" w:hAnsi="Cambria" w:cs="Cambria"/>
        </w:rPr>
        <w:t>atemala debe garantizar una justicia independiente, imparcial y efectiva a las mujeres indígenas, sin ningún tipo de violencia, estigma, prejuicio, venganza y discriminación, así como garantizar que el sistema de justicia les brinde un juicio rápido, senci</w:t>
      </w:r>
      <w:r>
        <w:rPr>
          <w:rFonts w:ascii="Cambria" w:eastAsia="Cambria" w:hAnsi="Cambria" w:cs="Cambria"/>
        </w:rPr>
        <w:t xml:space="preserve">llo, eficaz y en su idioma, ya que muchas veces la primera declaración dista del momento de la </w:t>
      </w:r>
      <w:r w:rsidR="00CF62E3">
        <w:rPr>
          <w:rFonts w:ascii="Cambria" w:eastAsia="Cambria" w:hAnsi="Cambria" w:cs="Cambria"/>
        </w:rPr>
        <w:t>aprehensión</w:t>
      </w:r>
      <w:r>
        <w:rPr>
          <w:rFonts w:ascii="Cambria" w:eastAsia="Cambria" w:hAnsi="Cambria" w:cs="Cambria"/>
        </w:rPr>
        <w:t xml:space="preserve"> y se les priva de libertad bajo una figura jurídica inexistente denominada “prisión provisional” durante semanas y la Constitución Política de la Rep</w:t>
      </w:r>
      <w:r>
        <w:rPr>
          <w:rFonts w:ascii="Cambria" w:eastAsia="Cambria" w:hAnsi="Cambria" w:cs="Cambria"/>
        </w:rPr>
        <w:t>ública de Guatemala en el artículo 9 señala que se debe resolver la situación jurídica en un plazo que no exceda de veinticuatro horas.</w:t>
      </w:r>
    </w:p>
    <w:p w14:paraId="1EED4D40" w14:textId="77777777" w:rsidR="000F514A" w:rsidRDefault="00A12858">
      <w:pPr>
        <w:keepLines/>
        <w:numPr>
          <w:ilvl w:val="0"/>
          <w:numId w:val="2"/>
        </w:numPr>
        <w:pBdr>
          <w:top w:val="nil"/>
          <w:left w:val="nil"/>
          <w:bottom w:val="nil"/>
          <w:right w:val="nil"/>
          <w:between w:val="nil"/>
        </w:pBdr>
        <w:spacing w:line="240" w:lineRule="auto"/>
        <w:jc w:val="both"/>
        <w:rPr>
          <w:rFonts w:ascii="Cambria" w:eastAsia="Cambria" w:hAnsi="Cambria" w:cs="Cambria"/>
        </w:rPr>
      </w:pPr>
      <w:r>
        <w:rPr>
          <w:rFonts w:ascii="Cambria" w:eastAsia="Cambria" w:hAnsi="Cambria" w:cs="Cambria"/>
        </w:rPr>
        <w:t>Que se reconozca a las mujeres indígenas su estatus de defensoras de la tierra y territorio y se recomiende al Estado de</w:t>
      </w:r>
      <w:r>
        <w:rPr>
          <w:rFonts w:ascii="Cambria" w:eastAsia="Cambria" w:hAnsi="Cambria" w:cs="Cambria"/>
        </w:rPr>
        <w:t xml:space="preserve"> Guatemala una revisión exhaustiva de los procesos penales por el delito de usurpación, y en aplicación del enfoque de género e interseccional, se produzca la revocatoria de las órdenes de aprehensión en contra de las 33 mujeres indígenas de Rio Cristalino</w:t>
      </w:r>
      <w:r>
        <w:rPr>
          <w:rFonts w:ascii="Cambria" w:eastAsia="Cambria" w:hAnsi="Cambria" w:cs="Cambria"/>
        </w:rPr>
        <w:t>.</w:t>
      </w:r>
    </w:p>
    <w:p w14:paraId="10B96213" w14:textId="2CC9F930" w:rsidR="000F514A" w:rsidRDefault="00A12858">
      <w:pPr>
        <w:keepLines/>
        <w:numPr>
          <w:ilvl w:val="0"/>
          <w:numId w:val="2"/>
        </w:numPr>
        <w:pBdr>
          <w:top w:val="nil"/>
          <w:left w:val="nil"/>
          <w:bottom w:val="nil"/>
          <w:right w:val="nil"/>
          <w:between w:val="nil"/>
        </w:pBdr>
        <w:spacing w:line="240" w:lineRule="auto"/>
        <w:jc w:val="both"/>
        <w:rPr>
          <w:rFonts w:ascii="Cambria" w:eastAsia="Cambria" w:hAnsi="Cambria" w:cs="Cambria"/>
        </w:rPr>
      </w:pPr>
      <w:r>
        <w:rPr>
          <w:rFonts w:ascii="Cambria" w:eastAsia="Cambria" w:hAnsi="Cambria" w:cs="Cambria"/>
        </w:rPr>
        <w:t xml:space="preserve">Que en aplicación de los estándares internacionales de plazo razonable y debido proceso, se produzca una revisión de la apelación especial de la sentencia dictada en contra </w:t>
      </w:r>
      <w:r w:rsidR="00CF62E3">
        <w:rPr>
          <w:rFonts w:ascii="Cambria" w:eastAsia="Cambria" w:hAnsi="Cambria" w:cs="Cambria"/>
        </w:rPr>
        <w:t xml:space="preserve">de </w:t>
      </w:r>
      <w:proofErr w:type="gramStart"/>
      <w:r w:rsidR="00CF62E3">
        <w:rPr>
          <w:rFonts w:ascii="Cambria" w:eastAsia="Cambria" w:hAnsi="Cambria" w:cs="Cambria"/>
        </w:rPr>
        <w:t>AC</w:t>
      </w:r>
      <w:r>
        <w:rPr>
          <w:rFonts w:ascii="Cambria" w:eastAsia="Cambria" w:hAnsi="Cambria" w:cs="Cambria"/>
        </w:rPr>
        <w:t>,  RI</w:t>
      </w:r>
      <w:proofErr w:type="gramEnd"/>
      <w:r>
        <w:rPr>
          <w:rFonts w:ascii="Cambria" w:eastAsia="Cambria" w:hAnsi="Cambria" w:cs="Cambria"/>
        </w:rPr>
        <w:t xml:space="preserve"> y OM, a fin de que de inmediato se señale el debate de segundo grado p</w:t>
      </w:r>
      <w:r>
        <w:rPr>
          <w:rFonts w:ascii="Cambria" w:eastAsia="Cambria" w:hAnsi="Cambria" w:cs="Cambria"/>
        </w:rPr>
        <w:t>or la Sala Primera de la Corte de Apelaciones del Ramo Penal, de procesos de mayor riesgo y extinción de dominio, Of. 2°. Número único: C.01073-2019-00457 y no esperar a marzo del 2024.</w:t>
      </w:r>
    </w:p>
    <w:p w14:paraId="32F433DE" w14:textId="77777777" w:rsidR="000F514A" w:rsidRDefault="000F514A">
      <w:pPr>
        <w:keepLines/>
        <w:pBdr>
          <w:top w:val="nil"/>
          <w:left w:val="nil"/>
          <w:bottom w:val="nil"/>
          <w:right w:val="nil"/>
          <w:between w:val="nil"/>
        </w:pBdr>
        <w:spacing w:line="240" w:lineRule="auto"/>
        <w:jc w:val="both"/>
        <w:rPr>
          <w:rFonts w:ascii="Cambria" w:eastAsia="Cambria" w:hAnsi="Cambria" w:cs="Cambria"/>
        </w:rPr>
      </w:pPr>
    </w:p>
    <w:p w14:paraId="5D7691A1" w14:textId="77777777" w:rsidR="000F514A" w:rsidRDefault="000F514A">
      <w:pPr>
        <w:keepLines/>
        <w:pBdr>
          <w:top w:val="nil"/>
          <w:left w:val="nil"/>
          <w:bottom w:val="nil"/>
          <w:right w:val="nil"/>
          <w:between w:val="nil"/>
        </w:pBdr>
        <w:spacing w:line="240" w:lineRule="auto"/>
        <w:jc w:val="both"/>
        <w:rPr>
          <w:rFonts w:ascii="Cambria" w:eastAsia="Cambria" w:hAnsi="Cambria" w:cs="Cambria"/>
        </w:rPr>
      </w:pPr>
    </w:p>
    <w:p w14:paraId="28BDC05B" w14:textId="77777777" w:rsidR="000F514A" w:rsidRDefault="00A12858">
      <w:pPr>
        <w:keepLines/>
        <w:spacing w:line="240" w:lineRule="auto"/>
        <w:rPr>
          <w:rFonts w:ascii="Cambria" w:eastAsia="Cambria" w:hAnsi="Cambria" w:cs="Cambria"/>
          <w:b/>
        </w:rPr>
      </w:pPr>
      <w:r>
        <w:rPr>
          <w:rFonts w:ascii="Cambria" w:eastAsia="Cambria" w:hAnsi="Cambria" w:cs="Cambria"/>
          <w:b/>
        </w:rPr>
        <w:t xml:space="preserve">El documento puede publicarse en la página web de la OACDH relativa </w:t>
      </w:r>
      <w:r>
        <w:rPr>
          <w:rFonts w:ascii="Cambria" w:eastAsia="Cambria" w:hAnsi="Cambria" w:cs="Cambria"/>
          <w:b/>
        </w:rPr>
        <w:t>a la CEDAW con fines de divulgación pública.</w:t>
      </w:r>
    </w:p>
    <w:p w14:paraId="128927FF" w14:textId="77777777" w:rsidR="000F514A" w:rsidRDefault="000F514A">
      <w:pPr>
        <w:keepLines/>
        <w:pBdr>
          <w:top w:val="nil"/>
          <w:left w:val="nil"/>
          <w:bottom w:val="nil"/>
          <w:right w:val="nil"/>
          <w:between w:val="nil"/>
        </w:pBdr>
        <w:spacing w:line="240" w:lineRule="auto"/>
        <w:jc w:val="both"/>
        <w:rPr>
          <w:rFonts w:ascii="Cambria" w:eastAsia="Cambria" w:hAnsi="Cambria" w:cs="Cambria"/>
        </w:rPr>
      </w:pPr>
    </w:p>
    <w:sectPr w:rsidR="000F514A" w:rsidSect="00A9386C">
      <w:headerReference w:type="default" r:id="rId8"/>
      <w:footerReference w:type="default" r:id="rId9"/>
      <w:footerReference w:type="first" r:id="rId10"/>
      <w:pgSz w:w="12240" w:h="15840" w:code="1"/>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40DF8" w14:textId="77777777" w:rsidR="00A12858" w:rsidRDefault="00A12858">
      <w:pPr>
        <w:spacing w:line="240" w:lineRule="auto"/>
      </w:pPr>
      <w:r>
        <w:separator/>
      </w:r>
    </w:p>
  </w:endnote>
  <w:endnote w:type="continuationSeparator" w:id="0">
    <w:p w14:paraId="23D3EB56" w14:textId="77777777" w:rsidR="00A12858" w:rsidRDefault="00A128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44900" w14:textId="29C42099" w:rsidR="000F514A" w:rsidRDefault="00A12858">
    <w:pPr>
      <w:jc w:val="right"/>
    </w:pPr>
    <w:r>
      <w:fldChar w:fldCharType="begin"/>
    </w:r>
    <w:r>
      <w:instrText>PAGE</w:instrText>
    </w:r>
    <w:r>
      <w:fldChar w:fldCharType="separate"/>
    </w:r>
    <w:r w:rsidR="005507D9">
      <w:rPr>
        <w:noProof/>
      </w:rPr>
      <w:t>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795A" w14:textId="77777777" w:rsidR="000F514A" w:rsidRDefault="000F514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A790D" w14:textId="77777777" w:rsidR="00A12858" w:rsidRDefault="00A12858">
      <w:pPr>
        <w:spacing w:line="240" w:lineRule="auto"/>
      </w:pPr>
      <w:r>
        <w:separator/>
      </w:r>
    </w:p>
  </w:footnote>
  <w:footnote w:type="continuationSeparator" w:id="0">
    <w:p w14:paraId="7BF9A12C" w14:textId="77777777" w:rsidR="00A12858" w:rsidRDefault="00A12858">
      <w:pPr>
        <w:spacing w:line="240" w:lineRule="auto"/>
      </w:pPr>
      <w:r>
        <w:continuationSeparator/>
      </w:r>
    </w:p>
  </w:footnote>
  <w:footnote w:id="1">
    <w:p w14:paraId="46DCFBEB" w14:textId="77777777" w:rsidR="000F514A" w:rsidRPr="00CF62E3" w:rsidRDefault="00A12858">
      <w:pPr>
        <w:spacing w:line="240" w:lineRule="auto"/>
        <w:rPr>
          <w:rFonts w:ascii="Cambria" w:eastAsia="Cambria" w:hAnsi="Cambria" w:cs="Cambria"/>
          <w:sz w:val="16"/>
          <w:szCs w:val="16"/>
        </w:rPr>
      </w:pPr>
      <w:r w:rsidRPr="00CF62E3">
        <w:rPr>
          <w:sz w:val="20"/>
          <w:szCs w:val="20"/>
          <w:vertAlign w:val="superscript"/>
        </w:rPr>
        <w:footnoteRef/>
      </w:r>
      <w:r w:rsidRPr="00CF62E3">
        <w:rPr>
          <w:rFonts w:ascii="Cambria" w:eastAsia="Cambria" w:hAnsi="Cambria" w:cs="Cambria"/>
          <w:sz w:val="16"/>
          <w:szCs w:val="16"/>
        </w:rPr>
        <w:t>Procurador de Derechos Humanos, (marzo, 2021). Contribución del Procurador de los Derechos de Guatemala sobre “el nexo entre</w:t>
      </w:r>
      <w:r w:rsidRPr="00CF62E3">
        <w:rPr>
          <w:rFonts w:ascii="Cambria" w:eastAsia="Cambria" w:hAnsi="Cambria" w:cs="Cambria"/>
          <w:sz w:val="16"/>
          <w:szCs w:val="16"/>
        </w:rPr>
        <w:t xml:space="preserve"> los desplazamientos forzados y las formas contemporáneas de esclavitud” en ocasión del 48º período de sesiones del Consejo de Derechos Humanos de las Naciones Unidas. </w:t>
      </w:r>
      <w:hyperlink r:id="rId1">
        <w:r w:rsidRPr="00CF62E3">
          <w:rPr>
            <w:rFonts w:ascii="Cambria" w:eastAsia="Cambria" w:hAnsi="Cambria" w:cs="Cambria"/>
            <w:color w:val="1155CC"/>
            <w:sz w:val="16"/>
            <w:szCs w:val="16"/>
            <w:u w:val="single"/>
          </w:rPr>
          <w:t>https://www.ohchr.org/sites/default/files/Documents/Issues/Slavery/SR/ReportHRC48/States/Guatemala-es_I.pdf</w:t>
        </w:r>
      </w:hyperlink>
      <w:r w:rsidRPr="00CF62E3">
        <w:rPr>
          <w:rFonts w:ascii="Cambria" w:eastAsia="Cambria" w:hAnsi="Cambria" w:cs="Cambria"/>
          <w:sz w:val="16"/>
          <w:szCs w:val="16"/>
        </w:rPr>
        <w:t xml:space="preserve"> </w:t>
      </w:r>
    </w:p>
  </w:footnote>
  <w:footnote w:id="2">
    <w:p w14:paraId="26B94EF9" w14:textId="77777777" w:rsidR="000F514A" w:rsidRPr="00CF62E3" w:rsidRDefault="00A12858">
      <w:pPr>
        <w:spacing w:line="240" w:lineRule="auto"/>
        <w:rPr>
          <w:rFonts w:ascii="Cambria" w:eastAsia="Cambria" w:hAnsi="Cambria" w:cs="Cambria"/>
          <w:sz w:val="18"/>
          <w:szCs w:val="18"/>
        </w:rPr>
      </w:pPr>
      <w:r w:rsidRPr="00CF62E3">
        <w:rPr>
          <w:sz w:val="20"/>
          <w:szCs w:val="20"/>
          <w:vertAlign w:val="superscript"/>
        </w:rPr>
        <w:footnoteRef/>
      </w:r>
      <w:r w:rsidRPr="00CF62E3">
        <w:rPr>
          <w:rFonts w:ascii="Cambria" w:eastAsia="Cambria" w:hAnsi="Cambria" w:cs="Cambria"/>
          <w:sz w:val="18"/>
          <w:szCs w:val="18"/>
        </w:rPr>
        <w:t xml:space="preserve"> </w:t>
      </w:r>
      <w:r w:rsidRPr="00CF62E3">
        <w:rPr>
          <w:rFonts w:ascii="Cambria" w:eastAsia="Cambria" w:hAnsi="Cambria" w:cs="Cambria"/>
          <w:sz w:val="16"/>
          <w:szCs w:val="16"/>
        </w:rPr>
        <w:t>Ibíd. Procurador de Derechos Humanos, (2021).</w:t>
      </w:r>
    </w:p>
  </w:footnote>
  <w:footnote w:id="3">
    <w:p w14:paraId="2E176FD0" w14:textId="77777777" w:rsidR="000F514A" w:rsidRPr="00CF62E3" w:rsidRDefault="00A12858">
      <w:pPr>
        <w:spacing w:line="240" w:lineRule="auto"/>
        <w:rPr>
          <w:rFonts w:ascii="Cambria" w:eastAsia="Cambria" w:hAnsi="Cambria" w:cs="Cambria"/>
          <w:sz w:val="16"/>
          <w:szCs w:val="16"/>
        </w:rPr>
      </w:pPr>
      <w:r w:rsidRPr="00CF62E3">
        <w:rPr>
          <w:sz w:val="20"/>
          <w:szCs w:val="20"/>
          <w:vertAlign w:val="superscript"/>
        </w:rPr>
        <w:footnoteRef/>
      </w:r>
      <w:r w:rsidRPr="00CF62E3">
        <w:rPr>
          <w:sz w:val="18"/>
          <w:szCs w:val="18"/>
        </w:rPr>
        <w:t xml:space="preserve"> </w:t>
      </w:r>
      <w:r w:rsidRPr="00CF62E3">
        <w:rPr>
          <w:rFonts w:ascii="Cambria" w:eastAsia="Cambria" w:hAnsi="Cambria" w:cs="Cambria"/>
          <w:sz w:val="16"/>
          <w:szCs w:val="16"/>
        </w:rPr>
        <w:t xml:space="preserve">Escobar, G. (Consultado septiembre 2023). Desalojos aumentan durante el gobierno de Alejandro </w:t>
      </w:r>
      <w:proofErr w:type="spellStart"/>
      <w:r w:rsidRPr="00CF62E3">
        <w:rPr>
          <w:rFonts w:ascii="Cambria" w:eastAsia="Cambria" w:hAnsi="Cambria" w:cs="Cambria"/>
          <w:sz w:val="16"/>
          <w:szCs w:val="16"/>
        </w:rPr>
        <w:t>Giammatei</w:t>
      </w:r>
      <w:proofErr w:type="spellEnd"/>
      <w:r w:rsidRPr="00CF62E3">
        <w:rPr>
          <w:rFonts w:ascii="Cambria" w:eastAsia="Cambria" w:hAnsi="Cambria" w:cs="Cambria"/>
          <w:sz w:val="16"/>
          <w:szCs w:val="16"/>
        </w:rPr>
        <w:t xml:space="preserve">. </w:t>
      </w:r>
      <w:hyperlink r:id="rId2" w:anchor=":~:text=Seg%C3%BAn%20datos%20oficiales%20del%20Ministerio,desalojos%20extrajudiciales%20no%20hay%20registro">
        <w:r w:rsidRPr="00CF62E3">
          <w:rPr>
            <w:rFonts w:ascii="Cambria" w:eastAsia="Cambria" w:hAnsi="Cambria" w:cs="Cambria"/>
            <w:color w:val="1155CC"/>
            <w:sz w:val="16"/>
            <w:szCs w:val="16"/>
            <w:u w:val="single"/>
          </w:rPr>
          <w:t>https://www.entremundos.org/revista/politica/desalojos-aumentan-durante-el-gobierno-de-alejandro-giammattei/#:~:text=Seg%C3%BAn%20datos%20oficiales%20del%20Ministerio</w:t>
        </w:r>
        <w:r w:rsidRPr="00CF62E3">
          <w:rPr>
            <w:rFonts w:ascii="Cambria" w:eastAsia="Cambria" w:hAnsi="Cambria" w:cs="Cambria"/>
            <w:color w:val="1155CC"/>
            <w:sz w:val="16"/>
            <w:szCs w:val="16"/>
            <w:u w:val="single"/>
          </w:rPr>
          <w:t>,desalojos%20extrajudiciales%20no%20hay%20registro</w:t>
        </w:r>
      </w:hyperlink>
      <w:r w:rsidRPr="00CF62E3">
        <w:rPr>
          <w:rFonts w:ascii="Cambria" w:eastAsia="Cambria" w:hAnsi="Cambria" w:cs="Cambria"/>
          <w:sz w:val="16"/>
          <w:szCs w:val="16"/>
        </w:rPr>
        <w:t xml:space="preserve">. </w:t>
      </w:r>
    </w:p>
  </w:footnote>
  <w:footnote w:id="4">
    <w:p w14:paraId="542951BB" w14:textId="77777777" w:rsidR="000F514A" w:rsidRPr="00CF62E3" w:rsidRDefault="00A12858">
      <w:pPr>
        <w:spacing w:line="240" w:lineRule="auto"/>
        <w:rPr>
          <w:rFonts w:ascii="Cambria" w:eastAsia="Cambria" w:hAnsi="Cambria" w:cs="Cambria"/>
          <w:sz w:val="16"/>
          <w:szCs w:val="16"/>
        </w:rPr>
      </w:pPr>
      <w:r w:rsidRPr="00CF62E3">
        <w:rPr>
          <w:sz w:val="20"/>
          <w:szCs w:val="20"/>
          <w:vertAlign w:val="superscript"/>
        </w:rPr>
        <w:footnoteRef/>
      </w:r>
      <w:proofErr w:type="spellStart"/>
      <w:r w:rsidRPr="00CF62E3">
        <w:rPr>
          <w:rFonts w:ascii="Cambria" w:eastAsia="Cambria" w:hAnsi="Cambria" w:cs="Cambria"/>
          <w:sz w:val="16"/>
          <w:szCs w:val="16"/>
        </w:rPr>
        <w:t>Gandara</w:t>
      </w:r>
      <w:proofErr w:type="spellEnd"/>
      <w:r w:rsidRPr="00CF62E3">
        <w:rPr>
          <w:rFonts w:ascii="Cambria" w:eastAsia="Cambria" w:hAnsi="Cambria" w:cs="Cambria"/>
          <w:sz w:val="16"/>
          <w:szCs w:val="16"/>
        </w:rPr>
        <w:t xml:space="preserve">, N. (2021). En Guatemala hay seis denuncias diarias por el delito de usurpación. </w:t>
      </w:r>
      <w:hyperlink r:id="rId3">
        <w:r w:rsidRPr="00CF62E3">
          <w:rPr>
            <w:rFonts w:ascii="Cambria" w:eastAsia="Cambria" w:hAnsi="Cambria" w:cs="Cambria"/>
            <w:color w:val="1155CC"/>
            <w:sz w:val="16"/>
            <w:szCs w:val="16"/>
            <w:u w:val="single"/>
          </w:rPr>
          <w:t>https://www.o</w:t>
        </w:r>
        <w:r w:rsidRPr="00CF62E3">
          <w:rPr>
            <w:rFonts w:ascii="Cambria" w:eastAsia="Cambria" w:hAnsi="Cambria" w:cs="Cambria"/>
            <w:color w:val="1155CC"/>
            <w:sz w:val="16"/>
            <w:szCs w:val="16"/>
            <w:u w:val="single"/>
          </w:rPr>
          <w:t>bservatoriopropiedad.org/wp-content/uploads/2021/03/PrensaLibre.pdf</w:t>
        </w:r>
      </w:hyperlink>
      <w:r w:rsidRPr="00CF62E3">
        <w:rPr>
          <w:rFonts w:ascii="Cambria" w:eastAsia="Cambria" w:hAnsi="Cambria" w:cs="Cambria"/>
          <w:sz w:val="16"/>
          <w:szCs w:val="16"/>
        </w:rPr>
        <w:t xml:space="preserve"> </w:t>
      </w:r>
    </w:p>
  </w:footnote>
  <w:footnote w:id="5">
    <w:p w14:paraId="50316499" w14:textId="77777777" w:rsidR="000F514A" w:rsidRDefault="00A12858">
      <w:pPr>
        <w:spacing w:line="240" w:lineRule="auto"/>
        <w:rPr>
          <w:rFonts w:ascii="Cambria" w:eastAsia="Cambria" w:hAnsi="Cambria" w:cs="Cambria"/>
          <w:sz w:val="18"/>
          <w:szCs w:val="18"/>
        </w:rPr>
      </w:pPr>
      <w:r w:rsidRPr="00CF62E3">
        <w:rPr>
          <w:sz w:val="20"/>
          <w:szCs w:val="20"/>
          <w:vertAlign w:val="superscript"/>
        </w:rPr>
        <w:footnoteRef/>
      </w:r>
      <w:r w:rsidRPr="00CF62E3">
        <w:rPr>
          <w:sz w:val="18"/>
          <w:szCs w:val="18"/>
        </w:rPr>
        <w:t xml:space="preserve"> </w:t>
      </w:r>
      <w:r w:rsidRPr="00CF62E3">
        <w:rPr>
          <w:rFonts w:ascii="Cambria" w:eastAsia="Cambria" w:hAnsi="Cambria" w:cs="Cambria"/>
          <w:sz w:val="16"/>
          <w:szCs w:val="16"/>
        </w:rPr>
        <w:t xml:space="preserve">Ibíd. </w:t>
      </w:r>
      <w:proofErr w:type="spellStart"/>
      <w:r w:rsidRPr="00CF62E3">
        <w:rPr>
          <w:rFonts w:ascii="Cambria" w:eastAsia="Cambria" w:hAnsi="Cambria" w:cs="Cambria"/>
          <w:sz w:val="16"/>
          <w:szCs w:val="16"/>
        </w:rPr>
        <w:t>Gandara</w:t>
      </w:r>
      <w:proofErr w:type="spellEnd"/>
      <w:r w:rsidRPr="00CF62E3">
        <w:rPr>
          <w:rFonts w:ascii="Cambria" w:eastAsia="Cambria" w:hAnsi="Cambria" w:cs="Cambria"/>
          <w:sz w:val="16"/>
          <w:szCs w:val="16"/>
        </w:rPr>
        <w:t xml:space="preserve">, N. (2021). </w:t>
      </w:r>
    </w:p>
  </w:footnote>
  <w:footnote w:id="6">
    <w:p w14:paraId="11ED307B" w14:textId="77777777" w:rsidR="000F514A" w:rsidRPr="00CF62E3" w:rsidRDefault="00A12858">
      <w:pPr>
        <w:spacing w:line="240" w:lineRule="auto"/>
        <w:rPr>
          <w:rFonts w:ascii="Cambria" w:eastAsia="Cambria" w:hAnsi="Cambria" w:cs="Cambria"/>
          <w:sz w:val="16"/>
          <w:szCs w:val="16"/>
        </w:rPr>
      </w:pPr>
      <w:r>
        <w:rPr>
          <w:vertAlign w:val="superscript"/>
        </w:rPr>
        <w:footnoteRef/>
      </w:r>
      <w:r>
        <w:rPr>
          <w:sz w:val="18"/>
          <w:szCs w:val="18"/>
        </w:rPr>
        <w:t xml:space="preserve"> </w:t>
      </w:r>
      <w:r w:rsidRPr="00CF62E3">
        <w:rPr>
          <w:rFonts w:ascii="Cambria" w:eastAsia="Cambria" w:hAnsi="Cambria" w:cs="Cambria"/>
          <w:sz w:val="16"/>
          <w:szCs w:val="16"/>
        </w:rPr>
        <w:t>Ministerio Público (2023). Ministerio Público inaugura Oficina de Atención Permanente de la Fiscalía contra el Delito de Usurpación.</w:t>
      </w:r>
    </w:p>
    <w:p w14:paraId="53698B91" w14:textId="77777777" w:rsidR="000F514A" w:rsidRDefault="00A12858">
      <w:pPr>
        <w:spacing w:line="240" w:lineRule="auto"/>
        <w:rPr>
          <w:rFonts w:ascii="Cambria" w:eastAsia="Cambria" w:hAnsi="Cambria" w:cs="Cambria"/>
          <w:sz w:val="18"/>
          <w:szCs w:val="18"/>
        </w:rPr>
      </w:pPr>
      <w:hyperlink r:id="rId4" w:anchor=":~:text=La%20Fiscal%C3%ADa%20contra%20el%20Delito%20de%20Usurpaci%C3%B3n%20fue%20inaugurada%20el,de%20propiedad%20de%20manera%20oportuna">
        <w:r w:rsidRPr="00CF62E3">
          <w:rPr>
            <w:rFonts w:ascii="Cambria" w:eastAsia="Cambria" w:hAnsi="Cambria" w:cs="Cambria"/>
            <w:color w:val="1155CC"/>
            <w:sz w:val="16"/>
            <w:szCs w:val="16"/>
            <w:u w:val="single"/>
          </w:rPr>
          <w:t>https://www.mp.gob.gt/noticia/ministerio-publico-inaugura-oficina-de-atencion-permanente-de-la-fiscalia-contra-el-delito-de-usurpacion/#:~:text=La%20Fiscal%C3%ADa%20contra%20el%20Delito%20de%20Usurpaci%C3%B3n%20fue%20</w:t>
        </w:r>
        <w:r w:rsidRPr="00CF62E3">
          <w:rPr>
            <w:rFonts w:ascii="Cambria" w:eastAsia="Cambria" w:hAnsi="Cambria" w:cs="Cambria"/>
            <w:color w:val="1155CC"/>
            <w:sz w:val="16"/>
            <w:szCs w:val="16"/>
            <w:u w:val="single"/>
          </w:rPr>
          <w:t>inaugurada%20el,de%20propiedad%20de%20manera%20oportuna</w:t>
        </w:r>
      </w:hyperlink>
      <w:r w:rsidRPr="00CF62E3">
        <w:rPr>
          <w:rFonts w:ascii="Cambria" w:eastAsia="Cambria" w:hAnsi="Cambria" w:cs="Cambria"/>
          <w:sz w:val="16"/>
          <w:szCs w:val="16"/>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9A012" w14:textId="77777777" w:rsidR="000F514A" w:rsidRDefault="000F514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C4BA1"/>
    <w:multiLevelType w:val="multilevel"/>
    <w:tmpl w:val="5BCAB0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D4F0333"/>
    <w:multiLevelType w:val="multilevel"/>
    <w:tmpl w:val="E5AE02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6BC35C98"/>
    <w:multiLevelType w:val="multilevel"/>
    <w:tmpl w:val="059EEFD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14A"/>
    <w:rsid w:val="000F514A"/>
    <w:rsid w:val="003C2EE6"/>
    <w:rsid w:val="005507D9"/>
    <w:rsid w:val="00A12858"/>
    <w:rsid w:val="00A9386C"/>
    <w:rsid w:val="00C41138"/>
    <w:rsid w:val="00CF62E3"/>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C8C8F"/>
  <w15:docId w15:val="{C687DDFF-2556-4B87-92BA-5EA0FA09A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419" w:eastAsia="es-G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observatoriopropiedad.org/wp-content/uploads/2021/03/PrensaLibre.pdf" TargetMode="External"/><Relationship Id="rId2" Type="http://schemas.openxmlformats.org/officeDocument/2006/relationships/hyperlink" Target="https://www.entremundos.org/revista/politica/desalojos-aumentan-durante-el-gobierno-de-alejandro-giammattei/" TargetMode="External"/><Relationship Id="rId1" Type="http://schemas.openxmlformats.org/officeDocument/2006/relationships/hyperlink" Target="https://www.ohchr.org/sites/default/files/Documents/Issues/Slavery/SR/ReportHRC48/States/Guatemala-es_I.pdf" TargetMode="External"/><Relationship Id="rId4" Type="http://schemas.openxmlformats.org/officeDocument/2006/relationships/hyperlink" Target="https://www.mp.gob.gt/noticia/ministerio-publico-inaugura-oficina-de-atencion-permanente-de-la-fiscalia-contra-el-delito-de-usurpac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3575</Words>
  <Characters>19667</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FPDDH GT</dc:creator>
  <cp:lastModifiedBy>FPDDH GT</cp:lastModifiedBy>
  <cp:revision>6</cp:revision>
  <cp:lastPrinted>2023-09-12T04:02:00Z</cp:lastPrinted>
  <dcterms:created xsi:type="dcterms:W3CDTF">2023-09-12T03:48:00Z</dcterms:created>
  <dcterms:modified xsi:type="dcterms:W3CDTF">2023-09-12T04:02:00Z</dcterms:modified>
</cp:coreProperties>
</file>