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charts/chart9.xml" ContentType="application/vnd.openxmlformats-officedocument.drawingml.chart+xml"/>
  <Override PartName="/word/charts/chart11.xml" ContentType="application/vnd.openxmlformats-officedocument.drawingml.chart+xml"/>
  <Override PartName="/word/charts/chart8.xml" ContentType="application/vnd.openxmlformats-officedocument.drawingml.chart+xml"/>
  <Override PartName="/word/charts/chart10.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1.xml" ContentType="application/vnd.openxmlformats-officedocument.drawingml.chart+xml"/>
  <Override PartName="/word/charts/chart7.xml" ContentType="application/vnd.openxmlformats-officedocument.drawingml.chart+xml"/>
  <Override PartName="/word/theme/themeOverride1.xml" ContentType="application/vnd.openxmlformats-officedocument.themeOverride+xml"/>
  <Override PartName="/word/charts/chart6.xml" ContentType="application/vnd.openxmlformats-officedocument.drawingml.chart+xml"/>
  <Override PartName="/word/charts/chart3.xml" ContentType="application/vnd.openxmlformats-officedocument.drawingml.chart+xml"/>
  <Override PartName="/word/charts/chart5.xml" ContentType="application/vnd.openxmlformats-officedocument.drawingml.chart+xml"/>
  <Override PartName="/word/theme/themeOverride2.xml" ContentType="application/vnd.openxmlformats-officedocument.themeOverride+xml"/>
  <Override PartName="/word/charts/chart4.xml" ContentType="application/vnd.openxmlformats-officedocument.drawingml.chart+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word/webSettings.xml" ContentType="application/vnd.openxmlformats-officedocument.wordprocessingml.webSettings+xml"/>
  <Override PartName="/word/stylesWithEffects.xml" ContentType="application/vnd.ms-word.stylesWithEffect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sdt>
      <w:sdtPr>
        <w:id w:val="1464001590"/>
        <w:docPartObj>
          <w:docPartGallery w:val="Cover Pages"/>
          <w:docPartUnique/>
        </w:docPartObj>
      </w:sdtPr>
      <w:sdtEndPr/>
      <w:sdtContent>
        <w:p w14:paraId="1F4C2515" w14:textId="77777777" w:rsidR="00DB2198" w:rsidRDefault="00DB2198" w:rsidP="001813AA">
          <w:pPr>
            <w:spacing w:after="0" w:line="360" w:lineRule="auto"/>
          </w:pPr>
          <w:r>
            <w:rPr>
              <w:noProof/>
              <w:lang w:val="pl-PL" w:eastAsia="pl-PL" w:bidi="ar-SA"/>
            </w:rPr>
            <mc:AlternateContent>
              <mc:Choice Requires="wps">
                <w:drawing>
                  <wp:anchor distT="0" distB="0" distL="114300" distR="114300" simplePos="0" relativeHeight="251659264" behindDoc="0" locked="0" layoutInCell="1" allowOverlap="1" wp14:anchorId="7C92665B" wp14:editId="176DB815">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5810"/>
                    <wp:effectExtent l="0" t="0" r="22225" b="22860"/>
                    <wp:wrapNone/>
                    <wp:docPr id="47" name="Prostokąt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63210" cy="965581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b/>
                                    <w:color w:val="000000" w:themeColor="text1"/>
                                    <w:sz w:val="44"/>
                                    <w:szCs w:val="44"/>
                                  </w:rPr>
                                  <w:alias w:val="Tytuł"/>
                                  <w:id w:val="-1070349389"/>
                                  <w:dataBinding w:prefixMappings="xmlns:ns0='http://schemas.openxmlformats.org/package/2006/metadata/core-properties' xmlns:ns1='http://purl.org/dc/elements/1.1/'" w:xpath="/ns0:coreProperties[1]/ns1:title[1]" w:storeItemID="{6C3C8BC8-F283-45AE-878A-BAB7291924A1}"/>
                                  <w:text/>
                                </w:sdtPr>
                                <w:sdtEndPr/>
                                <w:sdtContent>
                                  <w:p w14:paraId="7E67F78C" w14:textId="50623F7A" w:rsidR="00FD1C56" w:rsidRPr="0059552D" w:rsidRDefault="00FD1C56" w:rsidP="001B476A">
                                    <w:pPr>
                                      <w:pStyle w:val="Tytu"/>
                                      <w:pBdr>
                                        <w:bottom w:val="none" w:sz="0" w:space="0" w:color="auto"/>
                                      </w:pBdr>
                                      <w:jc w:val="center"/>
                                      <w:rPr>
                                        <w:b/>
                                        <w:caps/>
                                        <w:color w:val="000000" w:themeColor="text1"/>
                                        <w:sz w:val="44"/>
                                        <w:szCs w:val="44"/>
                                      </w:rPr>
                                    </w:pPr>
                                    <w:r w:rsidRPr="0059552D">
                                      <w:rPr>
                                        <w:rFonts w:ascii="Arial" w:hAnsi="Arial" w:cs="Arial"/>
                                        <w:b/>
                                        <w:color w:val="000000" w:themeColor="text1"/>
                                        <w:sz w:val="44"/>
                                        <w:szCs w:val="44"/>
                                      </w:rPr>
                                      <w:t>Realisation of the obligations arising from the UN Convention on the Rights of Persons</w:t>
                                    </w:r>
                                    <w:r>
                                      <w:rPr>
                                        <w:rFonts w:ascii="Arial" w:hAnsi="Arial" w:cs="Arial"/>
                                        <w:b/>
                                        <w:color w:val="000000" w:themeColor="text1"/>
                                        <w:sz w:val="44"/>
                                        <w:szCs w:val="44"/>
                                      </w:rPr>
                                      <w:t xml:space="preserve"> </w:t>
                                    </w:r>
                                    <w:r w:rsidRPr="0059552D">
                                      <w:rPr>
                                        <w:rFonts w:ascii="Arial" w:hAnsi="Arial" w:cs="Arial"/>
                                        <w:b/>
                                        <w:color w:val="000000" w:themeColor="text1"/>
                                        <w:sz w:val="44"/>
                                        <w:szCs w:val="44"/>
                                      </w:rPr>
                                      <w:t>with</w:t>
                                    </w:r>
                                    <w:r w:rsidR="006B1A5A">
                                      <w:rPr>
                                        <w:rFonts w:ascii="Arial" w:hAnsi="Arial" w:cs="Arial"/>
                                        <w:b/>
                                        <w:color w:val="000000" w:themeColor="text1"/>
                                        <w:sz w:val="44"/>
                                        <w:szCs w:val="44"/>
                                      </w:rPr>
                                      <w:t> </w:t>
                                    </w:r>
                                    <w:r w:rsidRPr="0059552D">
                                      <w:rPr>
                                        <w:rFonts w:ascii="Arial" w:hAnsi="Arial" w:cs="Arial"/>
                                        <w:b/>
                                        <w:color w:val="000000" w:themeColor="text1"/>
                                        <w:sz w:val="44"/>
                                        <w:szCs w:val="44"/>
                                      </w:rPr>
                                      <w:t>Disabilities by Poland</w:t>
                                    </w:r>
                                  </w:p>
                                </w:sdtContent>
                              </w:sdt>
                              <w:p w14:paraId="7590AC2B" w14:textId="6CDA7A5B" w:rsidR="00FD1C56" w:rsidRPr="008745D9" w:rsidRDefault="00FD1C56" w:rsidP="001B476A">
                                <w:pPr>
                                  <w:spacing w:before="240"/>
                                  <w:jc w:val="center"/>
                                  <w:rPr>
                                    <w:rFonts w:ascii="Arial" w:hAnsi="Arial" w:cs="Arial"/>
                                    <w:color w:val="000000" w:themeColor="text1"/>
                                    <w:sz w:val="28"/>
                                    <w:szCs w:val="28"/>
                                  </w:rPr>
                                </w:pPr>
                                <w:r>
                                  <w:rPr>
                                    <w:rFonts w:ascii="Arial" w:hAnsi="Arial"/>
                                    <w:color w:val="000000" w:themeColor="text1"/>
                                    <w:sz w:val="28"/>
                                  </w:rPr>
                                  <w:t>– report of the Human Rights Defender</w:t>
                                </w:r>
                              </w:p>
                              <w:p w14:paraId="4A29E6A1" w14:textId="77777777" w:rsidR="00FD1C56" w:rsidRPr="001B476A" w:rsidRDefault="00FD1C56" w:rsidP="001B476A">
                                <w:pPr>
                                  <w:spacing w:before="240"/>
                                  <w:jc w:val="center"/>
                                  <w:rPr>
                                    <w:color w:val="000000" w:themeColor="text1"/>
                                  </w:rPr>
                                </w:pPr>
                              </w:p>
                              <w:p w14:paraId="448195D0" w14:textId="31A59C03" w:rsidR="00FD1C56" w:rsidRPr="001E5D7C" w:rsidRDefault="00FD1C56" w:rsidP="008745D9">
                                <w:pPr>
                                  <w:spacing w:before="240"/>
                                  <w:ind w:left="284" w:right="359"/>
                                  <w:jc w:val="both"/>
                                  <w:rPr>
                                    <w:rFonts w:ascii="Arial" w:hAnsi="Arial" w:cs="Arial"/>
                                    <w:color w:val="000000" w:themeColor="text1"/>
                                  </w:rPr>
                                </w:pPr>
                                <w:r>
                                  <w:rPr>
                                    <w:rFonts w:ascii="Arial" w:hAnsi="Arial" w:cs="Arial"/>
                                    <w:color w:val="000000" w:themeColor="text1"/>
                                  </w:rPr>
                                  <w:t xml:space="preserve">This Report is an expression of exercising the right of the Human Rights Defender </w:t>
                                </w:r>
                                <w:r>
                                  <w:rPr>
                                    <w:rFonts w:ascii="Arial" w:hAnsi="Arial"/>
                                    <w:color w:val="000000" w:themeColor="text1"/>
                                  </w:rPr>
                                  <w:t>as an independent authority competent for promoting, protecting and monitoring the implementation of the UN Convention on the Rights of Persons with Disabilities established pursuant to Article 33(2) of the Convention</w:t>
                                </w:r>
                              </w:p>
                              <w:p w14:paraId="3A5D38E9" w14:textId="77777777" w:rsidR="00FD1C56" w:rsidRDefault="00FD1C56" w:rsidP="008745D9">
                                <w:pPr>
                                  <w:spacing w:before="240"/>
                                  <w:ind w:left="284" w:right="359"/>
                                  <w:jc w:val="both"/>
                                  <w:rPr>
                                    <w:rFonts w:ascii="Arial" w:hAnsi="Arial" w:cs="Arial"/>
                                    <w:color w:val="000000" w:themeColor="text1"/>
                                    <w:sz w:val="21"/>
                                    <w:szCs w:val="21"/>
                                  </w:rPr>
                                </w:pPr>
                              </w:p>
                              <w:p w14:paraId="255D0F26" w14:textId="77777777" w:rsidR="00FD1C56" w:rsidRPr="004F0FC9" w:rsidRDefault="00FD1C56" w:rsidP="008745D9">
                                <w:pPr>
                                  <w:spacing w:before="240"/>
                                  <w:ind w:left="284" w:right="359"/>
                                  <w:jc w:val="both"/>
                                  <w:rPr>
                                    <w:rFonts w:ascii="Arial" w:hAnsi="Arial" w:cs="Arial"/>
                                    <w:color w:val="000000" w:themeColor="text1"/>
                                  </w:rPr>
                                </w:pPr>
                              </w:p>
                            </w:txbxContent>
                          </wps:txbx>
                          <wps:bodyPr rot="0" spcFirstLastPara="0" vertOverflow="overflow" horzOverflow="overflow" vert="horz" wrap="square" lIns="274320" tIns="914400" rIns="274320" bIns="45720" numCol="1" spcCol="0" rtlCol="0" fromWordArt="0" anchor="ctr" anchorCtr="0" forceAA="0" compatLnSpc="1">
                            <a:prstTxWarp prst="textNoShape">
                              <a:avLst/>
                            </a:prstTxWarp>
                            <a:noAutofit/>
                          </wps:bodyPr>
                        </wps:wsp>
                      </a:graphicData>
                    </a:graphic>
                    <wp14:sizeRelH relativeFrom="page">
                      <wp14:pctWidth>69000</wp14:pctWidth>
                    </wp14:sizeRelH>
                    <wp14:sizeRelV relativeFrom="page">
                      <wp14:pctHeight>96000</wp14:pctHeight>
                    </wp14:sizeRelV>
                  </wp:anchor>
                </w:drawing>
              </mc:Choice>
              <mc:Fallback>
                <w:pict>
                  <v:rect id="Prostokąt 47" o:spid="_x0000_s1026" style="position:absolute;margin-left:0;margin-top:0;width:422.3pt;height:760.3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" fillcolor="white [3212]" strokecolor="black [3213]" strokeweight="2pt">
                    <v:path arrowok="t"/>
                    <v:textbox inset="21.6pt,1in,21.6pt">
                      <w:txbxContent>
                        <w:sdt>
                          <w:sdtPr>
                            <w:rPr>
                              <w:rFonts w:ascii="Arial" w:hAnsi="Arial" w:cs="Arial"/>
                              <w:b/>
                              <w:color w:val="000000" w:themeColor="text1"/>
                              <w:sz w:val="44"/>
                              <w:szCs w:val="44"/>
                            </w:rPr>
                            <w:alias w:val="Tytuł"/>
                            <w:id w:val="-1070349389"/>
                            <w:dataBinding w:prefixMappings="xmlns:ns0='http://schemas.openxmlformats.org/package/2006/metadata/core-properties' xmlns:ns1='http://purl.org/dc/elements/1.1/'" w:xpath="/ns0:coreProperties[1]/ns1:title[1]" w:storeItemID="{6C3C8BC8-F283-45AE-878A-BAB7291924A1}"/>
                            <w:text/>
                          </w:sdtPr>
                          <w:sdtEndPr/>
                          <w:sdtContent>
                            <w:p w14:paraId="7E67F78C" w14:textId="50623F7A" w:rsidR="00FD1C56" w:rsidRPr="0059552D" w:rsidRDefault="00FD1C56" w:rsidP="001B476A">
                              <w:pPr>
                                <w:pStyle w:val="Tytu"/>
                                <w:pBdr>
                                  <w:bottom w:val="none" w:sz="0" w:space="0" w:color="auto"/>
                                </w:pBdr>
                                <w:jc w:val="center"/>
                                <w:rPr>
                                  <w:b/>
                                  <w:caps/>
                                  <w:color w:val="000000" w:themeColor="text1"/>
                                  <w:sz w:val="44"/>
                                  <w:szCs w:val="44"/>
                                </w:rPr>
                              </w:pPr>
                              <w:r w:rsidRPr="0059552D">
                                <w:rPr>
                                  <w:rFonts w:ascii="Arial" w:hAnsi="Arial" w:cs="Arial"/>
                                  <w:b/>
                                  <w:color w:val="000000" w:themeColor="text1"/>
                                  <w:sz w:val="44"/>
                                  <w:szCs w:val="44"/>
                                </w:rPr>
                                <w:t>Realisation of the obligations arising from the UN Convention on the Rights of Persons</w:t>
                              </w:r>
                              <w:r>
                                <w:rPr>
                                  <w:rFonts w:ascii="Arial" w:hAnsi="Arial" w:cs="Arial"/>
                                  <w:b/>
                                  <w:color w:val="000000" w:themeColor="text1"/>
                                  <w:sz w:val="44"/>
                                  <w:szCs w:val="44"/>
                                </w:rPr>
                                <w:t xml:space="preserve"> </w:t>
                              </w:r>
                              <w:r w:rsidRPr="0059552D">
                                <w:rPr>
                                  <w:rFonts w:ascii="Arial" w:hAnsi="Arial" w:cs="Arial"/>
                                  <w:b/>
                                  <w:color w:val="000000" w:themeColor="text1"/>
                                  <w:sz w:val="44"/>
                                  <w:szCs w:val="44"/>
                                </w:rPr>
                                <w:t>with</w:t>
                              </w:r>
                              <w:r w:rsidR="006B1A5A">
                                <w:rPr>
                                  <w:rFonts w:ascii="Arial" w:hAnsi="Arial" w:cs="Arial"/>
                                  <w:b/>
                                  <w:color w:val="000000" w:themeColor="text1"/>
                                  <w:sz w:val="44"/>
                                  <w:szCs w:val="44"/>
                                </w:rPr>
                                <w:t> </w:t>
                              </w:r>
                              <w:r w:rsidRPr="0059552D">
                                <w:rPr>
                                  <w:rFonts w:ascii="Arial" w:hAnsi="Arial" w:cs="Arial"/>
                                  <w:b/>
                                  <w:color w:val="000000" w:themeColor="text1"/>
                                  <w:sz w:val="44"/>
                                  <w:szCs w:val="44"/>
                                </w:rPr>
                                <w:t>Disabilities by Poland</w:t>
                              </w:r>
                            </w:p>
                          </w:sdtContent>
                        </w:sdt>
                        <w:p w14:paraId="7590AC2B" w14:textId="6CDA7A5B" w:rsidR="00FD1C56" w:rsidRPr="008745D9" w:rsidRDefault="00FD1C56" w:rsidP="001B476A">
                          <w:pPr>
                            <w:spacing w:before="240"/>
                            <w:jc w:val="center"/>
                            <w:rPr>
                              <w:rFonts w:ascii="Arial" w:hAnsi="Arial" w:cs="Arial"/>
                              <w:color w:val="000000" w:themeColor="text1"/>
                              <w:sz w:val="28"/>
                              <w:szCs w:val="28"/>
                            </w:rPr>
                          </w:pPr>
                          <w:r>
                            <w:rPr>
                              <w:rFonts w:ascii="Arial" w:hAnsi="Arial"/>
                              <w:color w:val="000000" w:themeColor="text1"/>
                              <w:sz w:val="28"/>
                            </w:rPr>
                            <w:t>– report of the Human Rights Defender</w:t>
                          </w:r>
                        </w:p>
                        <w:p w14:paraId="4A29E6A1" w14:textId="77777777" w:rsidR="00FD1C56" w:rsidRPr="001B476A" w:rsidRDefault="00FD1C56" w:rsidP="001B476A">
                          <w:pPr>
                            <w:spacing w:before="240"/>
                            <w:jc w:val="center"/>
                            <w:rPr>
                              <w:color w:val="000000" w:themeColor="text1"/>
                            </w:rPr>
                          </w:pPr>
                        </w:p>
                        <w:p w14:paraId="448195D0" w14:textId="31A59C03" w:rsidR="00FD1C56" w:rsidRPr="001E5D7C" w:rsidRDefault="00FD1C56" w:rsidP="008745D9">
                          <w:pPr>
                            <w:spacing w:before="240"/>
                            <w:ind w:left="284" w:right="359"/>
                            <w:jc w:val="both"/>
                            <w:rPr>
                              <w:rFonts w:ascii="Arial" w:hAnsi="Arial" w:cs="Arial"/>
                              <w:color w:val="000000" w:themeColor="text1"/>
                            </w:rPr>
                          </w:pPr>
                          <w:r>
                            <w:rPr>
                              <w:rFonts w:ascii="Arial" w:hAnsi="Arial" w:cs="Arial"/>
                              <w:color w:val="000000" w:themeColor="text1"/>
                            </w:rPr>
                            <w:t xml:space="preserve">This Report is an expression of exercising the right of the Human Rights Defender </w:t>
                          </w:r>
                          <w:r>
                            <w:rPr>
                              <w:rFonts w:ascii="Arial" w:hAnsi="Arial"/>
                              <w:color w:val="000000" w:themeColor="text1"/>
                            </w:rPr>
                            <w:t>as an independent authority competent for promoting, protecting and monitoring the implementation of the UN Convention on the Rights of Persons with Disabilities established pursuant to Article 33(2) of the Convention</w:t>
                          </w:r>
                        </w:p>
                        <w:p w14:paraId="3A5D38E9" w14:textId="77777777" w:rsidR="00FD1C56" w:rsidRDefault="00FD1C56" w:rsidP="008745D9">
                          <w:pPr>
                            <w:spacing w:before="240"/>
                            <w:ind w:left="284" w:right="359"/>
                            <w:jc w:val="both"/>
                            <w:rPr>
                              <w:rFonts w:ascii="Arial" w:hAnsi="Arial" w:cs="Arial"/>
                              <w:color w:val="000000" w:themeColor="text1"/>
                              <w:sz w:val="21"/>
                              <w:szCs w:val="21"/>
                            </w:rPr>
                          </w:pPr>
                        </w:p>
                        <w:p w14:paraId="255D0F26" w14:textId="77777777" w:rsidR="00FD1C56" w:rsidRPr="004F0FC9" w:rsidRDefault="00FD1C56" w:rsidP="008745D9">
                          <w:pPr>
                            <w:spacing w:before="240"/>
                            <w:ind w:left="284" w:right="359"/>
                            <w:jc w:val="both"/>
                            <w:rPr>
                              <w:rFonts w:ascii="Arial" w:hAnsi="Arial" w:cs="Arial"/>
                              <w:color w:val="000000" w:themeColor="text1"/>
                            </w:rPr>
                          </w:pPr>
                        </w:p>
                      </w:txbxContent>
                    </v:textbox>
                    <w10:wrap anchorx="page" anchory="page"/>
                  </v:rect>
                </w:pict>
              </mc:Fallback>
            </mc:AlternateContent>
          </w:r>
          <w:r>
            <w:rPr>
              <w:noProof/>
              <w:lang w:val="pl-PL" w:eastAsia="pl-PL" w:bidi="ar-SA"/>
            </w:rPr>
            <mc:AlternateContent>
              <mc:Choice Requires="wps">
                <w:drawing>
                  <wp:anchor distT="0" distB="0" distL="114300" distR="114300" simplePos="0" relativeHeight="251660288" behindDoc="0" locked="0" layoutInCell="1" allowOverlap="1" wp14:anchorId="673BBD64" wp14:editId="79DD9545">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0" b="3810"/>
                    <wp:wrapNone/>
                    <wp:docPr id="48" name="Prostokąt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985D5B1" w14:textId="77777777" w:rsidR="00FD1C56" w:rsidRPr="00D86744" w:rsidRDefault="00FD1C56">
                                <w:pPr>
                                  <w:pStyle w:val="Podtytu"/>
                                  <w:rPr>
                                    <w:rFonts w:ascii="Arial" w:hAnsi="Arial" w:cs="Arial"/>
                                    <w:b/>
                                    <w:color w:val="000000" w:themeColor="text1"/>
                                    <w:sz w:val="36"/>
                                    <w:szCs w:val="36"/>
                                  </w:rPr>
                                </w:pPr>
                                <w:r>
                                  <w:rPr>
                                    <w:rFonts w:ascii="Arial" w:hAnsi="Arial"/>
                                    <w:b/>
                                    <w:color w:val="000000" w:themeColor="text1"/>
                                    <w:sz w:val="36"/>
                                  </w:rPr>
                                  <w:t>2012 - 2014</w:t>
                                </w: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id="Prostokąt 48"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" fillcolor="#e36c0a [2409]" stroked="f" strokeweight="2pt">
                    <v:path arrowok="t"/>
                    <v:textbox inset="14.4pt,,14.4pt">
                      <w:txbxContent>
                        <w:p w14:paraId="6985D5B1" w14:textId="77777777" w:rsidR="00FD1C56" w:rsidRPr="00D86744" w:rsidRDefault="00FD1C56">
                          <w:pPr>
                            <w:pStyle w:val="Podtytu"/>
                            <w:rPr>
                              <w:rFonts w:ascii="Arial" w:hAnsi="Arial" w:cs="Arial"/>
                              <w:b/>
                              <w:color w:val="000000" w:themeColor="text1"/>
                              <w:sz w:val="36"/>
                              <w:szCs w:val="36"/>
                            </w:rPr>
                          </w:pPr>
                          <w:r>
                            <w:rPr>
                              <w:rFonts w:ascii="Arial" w:hAnsi="Arial"/>
                              <w:b/>
                              <w:color w:val="000000" w:themeColor="text1"/>
                              <w:sz w:val="36"/>
                            </w:rPr>
                            <w:t>2012 - 2014</w:t>
                          </w:r>
                        </w:p>
                      </w:txbxContent>
                    </v:textbox>
                    <w10:wrap anchorx="page" anchory="page"/>
                  </v:rect>
                </w:pict>
              </mc:Fallback>
            </mc:AlternateContent>
          </w:r>
        </w:p>
        <w:p w14:paraId="47375066" w14:textId="77777777" w:rsidR="00DB2198" w:rsidRDefault="00DB2198" w:rsidP="001813AA">
          <w:pPr>
            <w:spacing w:after="0" w:line="360" w:lineRule="auto"/>
          </w:pPr>
        </w:p>
        <w:p w14:paraId="3014349E" w14:textId="77777777" w:rsidR="00DB2198" w:rsidRDefault="008C60EC" w:rsidP="001813AA">
          <w:pPr>
            <w:spacing w:after="0" w:line="360" w:lineRule="auto"/>
          </w:pPr>
          <w:r>
            <w:rPr>
              <w:noProof/>
              <w:lang w:val="pl-PL" w:eastAsia="pl-PL" w:bidi="ar-SA"/>
            </w:rPr>
            <mc:AlternateContent>
              <mc:Choice Requires="wps">
                <w:drawing>
                  <wp:anchor distT="0" distB="0" distL="114300" distR="114300" simplePos="0" relativeHeight="251663360" behindDoc="0" locked="0" layoutInCell="1" allowOverlap="1" wp14:anchorId="44B46024" wp14:editId="56D92A74">
                    <wp:simplePos x="0" y="0"/>
                    <wp:positionH relativeFrom="column">
                      <wp:posOffset>128905</wp:posOffset>
                    </wp:positionH>
                    <wp:positionV relativeFrom="paragraph">
                      <wp:posOffset>674370</wp:posOffset>
                    </wp:positionV>
                    <wp:extent cx="3609975" cy="1390650"/>
                    <wp:effectExtent l="0" t="0" r="9525" b="0"/>
                    <wp:wrapNone/>
                    <wp:docPr id="13" name="Pole tekstowe 13"/>
                    <wp:cNvGraphicFramePr/>
                    <a:graphic xmlns:a="http://schemas.openxmlformats.org/drawingml/2006/main">
                      <a:graphicData uri="http://schemas.microsoft.com/office/word/2010/wordprocessingShape">
                        <wps:wsp>
                          <wps:cNvSpPr txBox="1"/>
                          <wps:spPr>
                            <a:xfrm>
                              <a:off x="0" y="0"/>
                              <a:ext cx="3609975" cy="1390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7B941F" w14:textId="47521E8F" w:rsidR="00FD1C56" w:rsidRDefault="00FD1C56" w:rsidP="008C60EC">
                                <w:pPr>
                                  <w:jc w:val="center"/>
                                </w:pPr>
                                <w:r>
                                  <w:rPr>
                                    <w:noProof/>
                                    <w:lang w:val="pl-PL" w:eastAsia="pl-PL" w:bidi="ar-SA"/>
                                  </w:rPr>
                                  <w:drawing>
                                    <wp:inline distT="0" distB="0" distL="0" distR="0" wp14:anchorId="77FB8E9E" wp14:editId="607A20B9">
                                      <wp:extent cx="2721429" cy="1097280"/>
                                      <wp:effectExtent l="0" t="0" r="3175" b="7620"/>
                                      <wp:docPr id="7" name="Obraz 7" descr="https://www.rpo.gov.pl/sites/default/files/logo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rpo.gov.pl/sites/default/files/logo_en.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36404" cy="110331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Pole tekstowe 13" o:spid="_x0000_s1028" type="#_x0000_t202" style="position:absolute;margin-left:10.15pt;margin-top:53.1pt;width:284.25pt;height:109.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" fillcolor="white [3201]" stroked="f" strokeweight=".5pt">
                    <v:textbox>
                      <w:txbxContent>
                        <w:p w14:paraId="697B941F" w14:textId="47521E8F" w:rsidR="00FD1C56" w:rsidRDefault="00FD1C56" w:rsidP="008C60EC">
                          <w:pPr>
                            <w:jc w:val="center"/>
                          </w:pPr>
                          <w:r>
                            <w:rPr>
                              <w:noProof/>
                              <w:lang w:val="pl-PL" w:eastAsia="pl-PL" w:bidi="ar-SA"/>
                            </w:rPr>
                            <w:drawing>
                              <wp:inline distT="0" distB="0" distL="0" distR="0" wp14:anchorId="77FB8E9E" wp14:editId="607A20B9">
                                <wp:extent cx="2721429" cy="1097280"/>
                                <wp:effectExtent l="0" t="0" r="3175" b="7620"/>
                                <wp:docPr id="7" name="Obraz 7" descr="https://www.rpo.gov.pl/sites/default/files/logo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rpo.gov.pl/sites/default/files/logo_en.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36404" cy="1103318"/>
                                        </a:xfrm>
                                        <a:prstGeom prst="rect">
                                          <a:avLst/>
                                        </a:prstGeom>
                                        <a:noFill/>
                                        <a:ln>
                                          <a:noFill/>
                                        </a:ln>
                                      </pic:spPr>
                                    </pic:pic>
                                  </a:graphicData>
                                </a:graphic>
                              </wp:inline>
                            </w:drawing>
                          </w:r>
                        </w:p>
                      </w:txbxContent>
                    </v:textbox>
                  </v:shape>
                </w:pict>
              </mc:Fallback>
            </mc:AlternateContent>
          </w:r>
          <w:r>
            <w:br w:type="page"/>
          </w:r>
        </w:p>
      </w:sdtContent>
    </w:sdt>
    <w:p w14:paraId="123369E4" w14:textId="77777777" w:rsidR="00BA28ED" w:rsidRDefault="00BA28ED" w:rsidP="001813AA">
      <w:pPr>
        <w:spacing w:after="0" w:line="360" w:lineRule="auto"/>
        <w:jc w:val="both"/>
        <w:rPr>
          <w:rFonts w:ascii="Arial" w:hAnsi="Arial" w:cs="Arial"/>
          <w:b/>
          <w:color w:val="E36C0A" w:themeColor="accent6" w:themeShade="BF"/>
          <w:sz w:val="32"/>
          <w:szCs w:val="32"/>
        </w:rPr>
      </w:pPr>
      <w:r>
        <w:rPr>
          <w:rFonts w:ascii="Arial" w:hAnsi="Arial"/>
          <w:b/>
          <w:color w:val="E36C0A" w:themeColor="accent6" w:themeShade="BF"/>
          <w:sz w:val="32"/>
        </w:rPr>
        <w:lastRenderedPageBreak/>
        <w:t>Authors:</w:t>
      </w:r>
    </w:p>
    <w:p w14:paraId="59721729" w14:textId="77777777" w:rsidR="00BA28ED" w:rsidRPr="00BA28ED" w:rsidRDefault="00BA28ED" w:rsidP="001813AA">
      <w:pPr>
        <w:spacing w:after="0" w:line="360" w:lineRule="auto"/>
        <w:jc w:val="both"/>
        <w:rPr>
          <w:rFonts w:ascii="Arial" w:hAnsi="Arial" w:cs="Arial"/>
        </w:rPr>
      </w:pPr>
    </w:p>
    <w:p w14:paraId="08EF56BD" w14:textId="77777777" w:rsidR="00BA28ED" w:rsidRPr="00BA28ED" w:rsidRDefault="00BA28ED" w:rsidP="001813AA">
      <w:pPr>
        <w:spacing w:after="0" w:line="360" w:lineRule="auto"/>
        <w:jc w:val="both"/>
        <w:rPr>
          <w:rFonts w:ascii="Arial" w:hAnsi="Arial" w:cs="Arial"/>
          <w:b/>
        </w:rPr>
      </w:pPr>
      <w:r>
        <w:rPr>
          <w:rFonts w:ascii="Arial" w:hAnsi="Arial"/>
          <w:b/>
        </w:rPr>
        <w:t>Office of the Human Rights Defender</w:t>
      </w:r>
    </w:p>
    <w:p w14:paraId="60DF5824" w14:textId="77777777" w:rsidR="00BA28ED" w:rsidRPr="00BA28ED" w:rsidRDefault="00BA28ED" w:rsidP="001813AA">
      <w:pPr>
        <w:spacing w:after="0" w:line="360" w:lineRule="auto"/>
        <w:jc w:val="both"/>
        <w:rPr>
          <w:rFonts w:ascii="Arial" w:hAnsi="Arial" w:cs="Arial"/>
          <w:sz w:val="16"/>
          <w:szCs w:val="16"/>
        </w:rPr>
      </w:pPr>
    </w:p>
    <w:p w14:paraId="734541DB" w14:textId="2333DF40" w:rsidR="00BA28ED" w:rsidRDefault="005B3843" w:rsidP="001813AA">
      <w:pPr>
        <w:spacing w:after="0" w:line="360" w:lineRule="auto"/>
        <w:jc w:val="both"/>
        <w:rPr>
          <w:rFonts w:ascii="Arial" w:hAnsi="Arial" w:cs="Arial"/>
        </w:rPr>
      </w:pPr>
      <w:r>
        <w:rPr>
          <w:rFonts w:ascii="Arial" w:hAnsi="Arial"/>
        </w:rPr>
        <w:t>Department</w:t>
      </w:r>
      <w:r w:rsidR="00BA28ED">
        <w:rPr>
          <w:rFonts w:ascii="Arial" w:hAnsi="Arial"/>
        </w:rPr>
        <w:t xml:space="preserve"> for Equal Treatment </w:t>
      </w:r>
    </w:p>
    <w:p w14:paraId="42FC5429" w14:textId="18086CF9" w:rsidR="00BA28ED" w:rsidRPr="00BA28ED" w:rsidRDefault="00BA28ED" w:rsidP="001813AA">
      <w:pPr>
        <w:spacing w:after="0" w:line="360" w:lineRule="auto"/>
        <w:jc w:val="both"/>
        <w:rPr>
          <w:rFonts w:ascii="Arial" w:hAnsi="Arial" w:cs="Arial"/>
        </w:rPr>
      </w:pPr>
      <w:r>
        <w:rPr>
          <w:rFonts w:ascii="Arial" w:hAnsi="Arial"/>
        </w:rPr>
        <w:t xml:space="preserve">and Protection of </w:t>
      </w:r>
      <w:r w:rsidR="005B3843">
        <w:rPr>
          <w:rFonts w:ascii="Arial" w:hAnsi="Arial"/>
        </w:rPr>
        <w:t xml:space="preserve">the </w:t>
      </w:r>
      <w:r>
        <w:rPr>
          <w:rFonts w:ascii="Arial" w:hAnsi="Arial"/>
        </w:rPr>
        <w:t>Rights of Persons with Disabilities</w:t>
      </w:r>
    </w:p>
    <w:p w14:paraId="65358E6C" w14:textId="4CE73B6A" w:rsidR="00BA28ED" w:rsidRPr="002B305E" w:rsidRDefault="00BA28ED" w:rsidP="001813AA">
      <w:pPr>
        <w:spacing w:after="0" w:line="360" w:lineRule="auto"/>
        <w:jc w:val="both"/>
        <w:rPr>
          <w:rFonts w:ascii="Arial" w:hAnsi="Arial" w:cs="Arial"/>
          <w:lang w:val="pl-PL"/>
        </w:rPr>
      </w:pPr>
      <w:r w:rsidRPr="002B305E">
        <w:rPr>
          <w:rFonts w:ascii="Arial" w:hAnsi="Arial"/>
          <w:lang w:val="pl-PL"/>
        </w:rPr>
        <w:t>Anna Błaszczak – editor</w:t>
      </w:r>
    </w:p>
    <w:p w14:paraId="52A5A3CB" w14:textId="77777777" w:rsidR="00BA28ED" w:rsidRPr="002B305E" w:rsidRDefault="00BA28ED" w:rsidP="001813AA">
      <w:pPr>
        <w:spacing w:after="0" w:line="360" w:lineRule="auto"/>
        <w:jc w:val="both"/>
        <w:rPr>
          <w:rFonts w:ascii="Arial" w:hAnsi="Arial" w:cs="Arial"/>
          <w:lang w:val="pl-PL"/>
        </w:rPr>
      </w:pPr>
      <w:r w:rsidRPr="002B305E">
        <w:rPr>
          <w:rFonts w:ascii="Arial" w:hAnsi="Arial"/>
          <w:lang w:val="pl-PL"/>
        </w:rPr>
        <w:t>dr Krzysztof Kurowski</w:t>
      </w:r>
    </w:p>
    <w:p w14:paraId="3789856D" w14:textId="77777777" w:rsidR="00BA28ED" w:rsidRPr="002B305E" w:rsidRDefault="00BA28ED" w:rsidP="001813AA">
      <w:pPr>
        <w:spacing w:after="0" w:line="360" w:lineRule="auto"/>
        <w:jc w:val="both"/>
        <w:rPr>
          <w:rFonts w:ascii="Arial" w:hAnsi="Arial" w:cs="Arial"/>
          <w:lang w:val="pl-PL"/>
        </w:rPr>
      </w:pPr>
      <w:r w:rsidRPr="002B305E">
        <w:rPr>
          <w:rFonts w:ascii="Arial" w:hAnsi="Arial"/>
          <w:lang w:val="pl-PL"/>
        </w:rPr>
        <w:t>Anna Mazurczak</w:t>
      </w:r>
    </w:p>
    <w:p w14:paraId="31D088E8" w14:textId="77777777" w:rsidR="00BA28ED" w:rsidRPr="002B305E" w:rsidRDefault="00BA28ED" w:rsidP="001813AA">
      <w:pPr>
        <w:spacing w:after="0" w:line="360" w:lineRule="auto"/>
        <w:jc w:val="both"/>
        <w:rPr>
          <w:rFonts w:ascii="Arial" w:hAnsi="Arial" w:cs="Arial"/>
          <w:lang w:val="pl-PL"/>
        </w:rPr>
      </w:pPr>
      <w:r w:rsidRPr="002B305E">
        <w:rPr>
          <w:rFonts w:ascii="Arial" w:hAnsi="Arial"/>
          <w:lang w:val="pl-PL"/>
        </w:rPr>
        <w:t>Anna Mikołajczyk</w:t>
      </w:r>
    </w:p>
    <w:p w14:paraId="2820EBBF" w14:textId="77777777" w:rsidR="00BA28ED" w:rsidRPr="002B305E" w:rsidRDefault="00BA28ED" w:rsidP="001813AA">
      <w:pPr>
        <w:spacing w:after="0" w:line="360" w:lineRule="auto"/>
        <w:jc w:val="both"/>
        <w:rPr>
          <w:rFonts w:ascii="Arial" w:hAnsi="Arial" w:cs="Arial"/>
          <w:lang w:val="pl-PL"/>
        </w:rPr>
      </w:pPr>
      <w:r w:rsidRPr="002B305E">
        <w:rPr>
          <w:rFonts w:ascii="Arial" w:hAnsi="Arial"/>
          <w:lang w:val="pl-PL"/>
        </w:rPr>
        <w:t>Karolina Miksa</w:t>
      </w:r>
    </w:p>
    <w:p w14:paraId="1200D276" w14:textId="77777777" w:rsidR="00BA28ED" w:rsidRPr="002B305E" w:rsidRDefault="00BA28ED" w:rsidP="001813AA">
      <w:pPr>
        <w:spacing w:after="0" w:line="360" w:lineRule="auto"/>
        <w:jc w:val="both"/>
        <w:rPr>
          <w:rFonts w:ascii="Arial" w:hAnsi="Arial" w:cs="Arial"/>
          <w:sz w:val="16"/>
          <w:szCs w:val="16"/>
          <w:lang w:val="pl-PL"/>
        </w:rPr>
      </w:pPr>
    </w:p>
    <w:p w14:paraId="4496A4B3" w14:textId="16346253" w:rsidR="00BA28ED" w:rsidRDefault="005B3843" w:rsidP="001813AA">
      <w:pPr>
        <w:spacing w:after="0" w:line="360" w:lineRule="auto"/>
        <w:jc w:val="both"/>
        <w:rPr>
          <w:rFonts w:ascii="Arial" w:hAnsi="Arial" w:cs="Arial"/>
        </w:rPr>
      </w:pPr>
      <w:r>
        <w:rPr>
          <w:rFonts w:ascii="Arial" w:hAnsi="Arial"/>
        </w:rPr>
        <w:t xml:space="preserve">Department </w:t>
      </w:r>
      <w:r w:rsidR="00BA28ED">
        <w:rPr>
          <w:rFonts w:ascii="Arial" w:hAnsi="Arial"/>
        </w:rPr>
        <w:t xml:space="preserve">“National Preventive Mechanism” </w:t>
      </w:r>
    </w:p>
    <w:p w14:paraId="62394AD4" w14:textId="77777777" w:rsidR="00BA28ED" w:rsidRPr="00BA28ED" w:rsidRDefault="00BA28ED" w:rsidP="001813AA">
      <w:pPr>
        <w:spacing w:after="0" w:line="360" w:lineRule="auto"/>
        <w:jc w:val="both"/>
        <w:rPr>
          <w:rFonts w:ascii="Arial" w:hAnsi="Arial" w:cs="Arial"/>
        </w:rPr>
      </w:pPr>
      <w:r>
        <w:rPr>
          <w:rFonts w:ascii="Arial" w:hAnsi="Arial"/>
        </w:rPr>
        <w:t>Dorota Krzysztoń</w:t>
      </w:r>
    </w:p>
    <w:p w14:paraId="4AF8A51F" w14:textId="77777777" w:rsidR="00BA28ED" w:rsidRDefault="00BA28ED" w:rsidP="001813AA">
      <w:pPr>
        <w:spacing w:after="0" w:line="360" w:lineRule="auto"/>
        <w:jc w:val="both"/>
        <w:rPr>
          <w:rFonts w:ascii="Arial" w:hAnsi="Arial" w:cs="Arial"/>
          <w:b/>
          <w:color w:val="E36C0A" w:themeColor="accent6" w:themeShade="BF"/>
          <w:sz w:val="32"/>
          <w:szCs w:val="32"/>
        </w:rPr>
      </w:pPr>
    </w:p>
    <w:p w14:paraId="3FE364A3" w14:textId="77777777" w:rsidR="00BA28ED" w:rsidRPr="00BA28ED" w:rsidRDefault="00BA28ED" w:rsidP="001813AA">
      <w:pPr>
        <w:spacing w:after="0" w:line="360" w:lineRule="auto"/>
        <w:jc w:val="both"/>
        <w:rPr>
          <w:rFonts w:ascii="Arial" w:hAnsi="Arial" w:cs="Arial"/>
          <w:b/>
        </w:rPr>
      </w:pPr>
      <w:r>
        <w:rPr>
          <w:rFonts w:ascii="Arial" w:hAnsi="Arial"/>
          <w:b/>
        </w:rPr>
        <w:t>External experts:</w:t>
      </w:r>
    </w:p>
    <w:p w14:paraId="11989AE8" w14:textId="77777777" w:rsidR="00BA28ED" w:rsidRDefault="00BA28ED" w:rsidP="001813AA">
      <w:pPr>
        <w:spacing w:after="0" w:line="360" w:lineRule="auto"/>
        <w:jc w:val="both"/>
        <w:rPr>
          <w:rFonts w:ascii="Arial" w:hAnsi="Arial" w:cs="Arial"/>
        </w:rPr>
      </w:pPr>
      <w:r>
        <w:rPr>
          <w:rFonts w:ascii="Arial" w:hAnsi="Arial"/>
        </w:rPr>
        <w:t>dr Agnieszka Dudzińska – Polish Academy of Sciences</w:t>
      </w:r>
    </w:p>
    <w:p w14:paraId="267B7A05" w14:textId="77777777" w:rsidR="00BA28ED" w:rsidRDefault="00BA28ED" w:rsidP="001813AA">
      <w:pPr>
        <w:spacing w:after="0" w:line="360" w:lineRule="auto"/>
        <w:jc w:val="both"/>
        <w:rPr>
          <w:rFonts w:ascii="Arial" w:hAnsi="Arial" w:cs="Arial"/>
        </w:rPr>
      </w:pPr>
      <w:r>
        <w:rPr>
          <w:rFonts w:ascii="Arial" w:hAnsi="Arial"/>
        </w:rPr>
        <w:t>dr Paweł Kubicki – Warsaw School of Economics</w:t>
      </w:r>
    </w:p>
    <w:p w14:paraId="6A04CD15" w14:textId="77777777" w:rsidR="007501D2" w:rsidRPr="002B305E" w:rsidRDefault="007501D2" w:rsidP="001813AA">
      <w:pPr>
        <w:spacing w:after="0" w:line="360" w:lineRule="auto"/>
        <w:jc w:val="both"/>
        <w:rPr>
          <w:rFonts w:ascii="Arial" w:hAnsi="Arial" w:cs="Arial"/>
          <w:lang w:val="pl-PL"/>
        </w:rPr>
      </w:pPr>
      <w:r w:rsidRPr="002B305E">
        <w:rPr>
          <w:rFonts w:ascii="Arial" w:hAnsi="Arial"/>
          <w:lang w:val="pl-PL"/>
        </w:rPr>
        <w:t>dr Katarzyna Roszewska – Cardinal Stefan Wyszyński University (UKSW)</w:t>
      </w:r>
    </w:p>
    <w:p w14:paraId="553C9278" w14:textId="77777777" w:rsidR="00BA28ED" w:rsidRDefault="00BA28ED" w:rsidP="001813AA">
      <w:pPr>
        <w:spacing w:after="0" w:line="360" w:lineRule="auto"/>
        <w:jc w:val="both"/>
        <w:rPr>
          <w:rFonts w:ascii="Arial" w:hAnsi="Arial" w:cs="Arial"/>
        </w:rPr>
      </w:pPr>
      <w:r>
        <w:rPr>
          <w:rFonts w:ascii="Arial" w:hAnsi="Arial"/>
        </w:rPr>
        <w:t>dr hab. Ryszard Szarfenberg – University of Warsaw</w:t>
      </w:r>
    </w:p>
    <w:p w14:paraId="0FCBD865" w14:textId="77777777" w:rsidR="00BA28ED" w:rsidRPr="00BA28ED" w:rsidRDefault="00BA28ED" w:rsidP="001813AA">
      <w:pPr>
        <w:spacing w:after="0" w:line="360" w:lineRule="auto"/>
        <w:jc w:val="both"/>
        <w:rPr>
          <w:rFonts w:ascii="Arial" w:hAnsi="Arial" w:cs="Arial"/>
        </w:rPr>
      </w:pPr>
    </w:p>
    <w:p w14:paraId="1A394328" w14:textId="77777777" w:rsidR="00BA28ED" w:rsidRDefault="00BA28ED" w:rsidP="001813AA">
      <w:pPr>
        <w:spacing w:after="0" w:line="360" w:lineRule="auto"/>
        <w:jc w:val="both"/>
        <w:rPr>
          <w:rFonts w:ascii="Arial" w:hAnsi="Arial" w:cs="Arial"/>
          <w:b/>
          <w:color w:val="E36C0A" w:themeColor="accent6" w:themeShade="BF"/>
          <w:sz w:val="32"/>
          <w:szCs w:val="32"/>
        </w:rPr>
      </w:pPr>
    </w:p>
    <w:p w14:paraId="21D20C4E" w14:textId="77777777" w:rsidR="00BA28ED" w:rsidRDefault="00BA28ED" w:rsidP="001813AA">
      <w:pPr>
        <w:spacing w:after="0" w:line="360" w:lineRule="auto"/>
        <w:jc w:val="both"/>
        <w:rPr>
          <w:rFonts w:ascii="Arial" w:hAnsi="Arial" w:cs="Arial"/>
          <w:b/>
          <w:color w:val="E36C0A" w:themeColor="accent6" w:themeShade="BF"/>
          <w:sz w:val="32"/>
          <w:szCs w:val="32"/>
        </w:rPr>
      </w:pPr>
    </w:p>
    <w:p w14:paraId="122EDDB6" w14:textId="500AEA2D" w:rsidR="00BA28ED" w:rsidRDefault="00B92AB9" w:rsidP="00B92AB9">
      <w:pPr>
        <w:tabs>
          <w:tab w:val="left" w:pos="3090"/>
        </w:tabs>
        <w:spacing w:after="0" w:line="360" w:lineRule="auto"/>
        <w:jc w:val="both"/>
        <w:rPr>
          <w:rFonts w:ascii="Arial" w:hAnsi="Arial" w:cs="Arial"/>
          <w:b/>
          <w:color w:val="E36C0A" w:themeColor="accent6" w:themeShade="BF"/>
          <w:sz w:val="32"/>
          <w:szCs w:val="32"/>
        </w:rPr>
      </w:pPr>
      <w:r>
        <w:tab/>
      </w:r>
    </w:p>
    <w:p w14:paraId="2AFC4CA3" w14:textId="77777777" w:rsidR="00BA28ED" w:rsidRDefault="00BA28ED" w:rsidP="001813AA">
      <w:pPr>
        <w:spacing w:after="0" w:line="360" w:lineRule="auto"/>
        <w:jc w:val="both"/>
        <w:rPr>
          <w:rFonts w:ascii="Arial" w:hAnsi="Arial" w:cs="Arial"/>
          <w:b/>
          <w:color w:val="E36C0A" w:themeColor="accent6" w:themeShade="BF"/>
          <w:sz w:val="32"/>
          <w:szCs w:val="32"/>
        </w:rPr>
      </w:pPr>
    </w:p>
    <w:p w14:paraId="2C14C190" w14:textId="77777777" w:rsidR="00BA28ED" w:rsidRDefault="00BA28ED" w:rsidP="001813AA">
      <w:pPr>
        <w:spacing w:after="0" w:line="360" w:lineRule="auto"/>
        <w:jc w:val="both"/>
        <w:rPr>
          <w:rFonts w:ascii="Arial" w:hAnsi="Arial" w:cs="Arial"/>
          <w:b/>
          <w:color w:val="E36C0A" w:themeColor="accent6" w:themeShade="BF"/>
          <w:sz w:val="32"/>
          <w:szCs w:val="32"/>
        </w:rPr>
      </w:pPr>
    </w:p>
    <w:p w14:paraId="33527B91" w14:textId="77777777" w:rsidR="00BA28ED" w:rsidRDefault="00BA28ED" w:rsidP="001813AA">
      <w:pPr>
        <w:spacing w:after="0" w:line="360" w:lineRule="auto"/>
        <w:jc w:val="both"/>
        <w:rPr>
          <w:rFonts w:ascii="Arial" w:hAnsi="Arial" w:cs="Arial"/>
          <w:b/>
          <w:color w:val="E36C0A" w:themeColor="accent6" w:themeShade="BF"/>
          <w:sz w:val="32"/>
          <w:szCs w:val="32"/>
        </w:rPr>
      </w:pPr>
    </w:p>
    <w:p w14:paraId="7E5B43BC" w14:textId="77777777" w:rsidR="00BA28ED" w:rsidRDefault="00BA28ED" w:rsidP="001813AA">
      <w:pPr>
        <w:spacing w:after="0" w:line="360" w:lineRule="auto"/>
        <w:jc w:val="both"/>
        <w:rPr>
          <w:rFonts w:ascii="Arial" w:hAnsi="Arial" w:cs="Arial"/>
          <w:b/>
          <w:color w:val="E36C0A" w:themeColor="accent6" w:themeShade="BF"/>
          <w:sz w:val="32"/>
          <w:szCs w:val="32"/>
        </w:rPr>
      </w:pPr>
    </w:p>
    <w:p w14:paraId="0E42903E" w14:textId="77777777" w:rsidR="00BA28ED" w:rsidRDefault="00BA28ED" w:rsidP="001813AA">
      <w:pPr>
        <w:spacing w:after="0" w:line="360" w:lineRule="auto"/>
        <w:jc w:val="both"/>
        <w:rPr>
          <w:rFonts w:ascii="Arial" w:hAnsi="Arial" w:cs="Arial"/>
          <w:b/>
          <w:color w:val="E36C0A" w:themeColor="accent6" w:themeShade="BF"/>
          <w:sz w:val="32"/>
          <w:szCs w:val="32"/>
        </w:rPr>
      </w:pPr>
    </w:p>
    <w:p w14:paraId="2AA44143" w14:textId="77777777" w:rsidR="00BA28ED" w:rsidRDefault="00BA28ED" w:rsidP="001813AA">
      <w:pPr>
        <w:spacing w:after="0" w:line="360" w:lineRule="auto"/>
        <w:jc w:val="both"/>
        <w:rPr>
          <w:rFonts w:ascii="Arial" w:hAnsi="Arial" w:cs="Arial"/>
          <w:b/>
          <w:color w:val="E36C0A" w:themeColor="accent6" w:themeShade="BF"/>
          <w:sz w:val="32"/>
          <w:szCs w:val="32"/>
        </w:rPr>
      </w:pPr>
    </w:p>
    <w:p w14:paraId="7A687DA7" w14:textId="77777777" w:rsidR="00BA28ED" w:rsidRDefault="00BA28ED" w:rsidP="001813AA">
      <w:pPr>
        <w:spacing w:after="0" w:line="360" w:lineRule="auto"/>
        <w:jc w:val="both"/>
        <w:rPr>
          <w:rFonts w:ascii="Arial" w:hAnsi="Arial" w:cs="Arial"/>
          <w:b/>
          <w:color w:val="E36C0A" w:themeColor="accent6" w:themeShade="BF"/>
          <w:sz w:val="32"/>
          <w:szCs w:val="32"/>
        </w:rPr>
      </w:pPr>
    </w:p>
    <w:sdt>
      <w:sdtPr>
        <w:rPr>
          <w:rFonts w:asciiTheme="minorHAnsi" w:eastAsiaTheme="minorEastAsia" w:hAnsiTheme="minorHAnsi" w:cstheme="minorBidi"/>
          <w:b w:val="0"/>
          <w:bCs w:val="0"/>
          <w:color w:val="auto"/>
          <w:sz w:val="22"/>
          <w:szCs w:val="22"/>
        </w:rPr>
        <w:id w:val="-868837266"/>
        <w:docPartObj>
          <w:docPartGallery w:val="Table of Contents"/>
          <w:docPartUnique/>
        </w:docPartObj>
      </w:sdtPr>
      <w:sdtEndPr>
        <w:rPr>
          <w:rFonts w:ascii="Arial" w:hAnsi="Arial" w:cs="Arial"/>
        </w:rPr>
      </w:sdtEndPr>
      <w:sdtContent>
        <w:p w14:paraId="677FA4E5" w14:textId="331471EF" w:rsidR="00457A77" w:rsidRDefault="00457A77">
          <w:pPr>
            <w:pStyle w:val="Nagwekspisutreci"/>
          </w:pPr>
          <w:r>
            <w:t>Table of contents</w:t>
          </w:r>
        </w:p>
        <w:p w14:paraId="7562C1F2" w14:textId="77777777" w:rsidR="00AC747D" w:rsidRDefault="00457A77">
          <w:pPr>
            <w:pStyle w:val="Spistreci1"/>
            <w:rPr>
              <w:noProof/>
              <w:lang w:val="pl-PL" w:eastAsia="pl-PL" w:bidi="ar-SA"/>
            </w:rPr>
          </w:pPr>
          <w:r w:rsidRPr="00FE2A27">
            <w:rPr>
              <w:rFonts w:ascii="Arial" w:hAnsi="Arial" w:cs="Arial"/>
            </w:rPr>
            <w:fldChar w:fldCharType="begin"/>
          </w:r>
          <w:r w:rsidRPr="00FE2A27">
            <w:rPr>
              <w:rFonts w:ascii="Arial" w:hAnsi="Arial" w:cs="Arial"/>
            </w:rPr>
            <w:instrText xml:space="preserve"> TOC \o "1-3" \h \z \u </w:instrText>
          </w:r>
          <w:r w:rsidRPr="00FE2A27">
            <w:rPr>
              <w:rFonts w:ascii="Arial" w:hAnsi="Arial" w:cs="Arial"/>
            </w:rPr>
            <w:fldChar w:fldCharType="separate"/>
          </w:r>
          <w:hyperlink w:anchor="_Toc424278990" w:history="1">
            <w:r w:rsidR="00AC747D" w:rsidRPr="00843528">
              <w:rPr>
                <w:rStyle w:val="Hipercze"/>
                <w:noProof/>
              </w:rPr>
              <w:t>Introduction</w:t>
            </w:r>
            <w:r w:rsidR="00AC747D">
              <w:rPr>
                <w:noProof/>
                <w:webHidden/>
              </w:rPr>
              <w:tab/>
            </w:r>
            <w:r w:rsidR="00AC747D">
              <w:rPr>
                <w:noProof/>
                <w:webHidden/>
              </w:rPr>
              <w:fldChar w:fldCharType="begin"/>
            </w:r>
            <w:r w:rsidR="00AC747D">
              <w:rPr>
                <w:noProof/>
                <w:webHidden/>
              </w:rPr>
              <w:instrText xml:space="preserve"> PAGEREF _Toc424278990 \h </w:instrText>
            </w:r>
            <w:r w:rsidR="00AC747D">
              <w:rPr>
                <w:noProof/>
                <w:webHidden/>
              </w:rPr>
            </w:r>
            <w:r w:rsidR="00AC747D">
              <w:rPr>
                <w:noProof/>
                <w:webHidden/>
              </w:rPr>
              <w:fldChar w:fldCharType="separate"/>
            </w:r>
            <w:r w:rsidR="0053391A">
              <w:rPr>
                <w:noProof/>
                <w:webHidden/>
              </w:rPr>
              <w:t>3</w:t>
            </w:r>
            <w:r w:rsidR="00AC747D">
              <w:rPr>
                <w:noProof/>
                <w:webHidden/>
              </w:rPr>
              <w:fldChar w:fldCharType="end"/>
            </w:r>
          </w:hyperlink>
        </w:p>
        <w:p w14:paraId="68B75F3E" w14:textId="77777777" w:rsidR="00AC747D" w:rsidRDefault="00EF75D4">
          <w:pPr>
            <w:pStyle w:val="Spistreci1"/>
            <w:rPr>
              <w:noProof/>
              <w:lang w:val="pl-PL" w:eastAsia="pl-PL" w:bidi="ar-SA"/>
            </w:rPr>
          </w:pPr>
          <w:hyperlink w:anchor="_Toc424278991" w:history="1">
            <w:r w:rsidR="00AC747D" w:rsidRPr="00843528">
              <w:rPr>
                <w:rStyle w:val="Hipercze"/>
                <w:noProof/>
              </w:rPr>
              <w:t>Summary of the most important conclusions and recommendations</w:t>
            </w:r>
            <w:r w:rsidR="00AC747D">
              <w:rPr>
                <w:noProof/>
                <w:webHidden/>
              </w:rPr>
              <w:tab/>
            </w:r>
            <w:r w:rsidR="00AC747D">
              <w:rPr>
                <w:noProof/>
                <w:webHidden/>
              </w:rPr>
              <w:fldChar w:fldCharType="begin"/>
            </w:r>
            <w:r w:rsidR="00AC747D">
              <w:rPr>
                <w:noProof/>
                <w:webHidden/>
              </w:rPr>
              <w:instrText xml:space="preserve"> PAGEREF _Toc424278991 \h </w:instrText>
            </w:r>
            <w:r w:rsidR="00AC747D">
              <w:rPr>
                <w:noProof/>
                <w:webHidden/>
              </w:rPr>
            </w:r>
            <w:r w:rsidR="00AC747D">
              <w:rPr>
                <w:noProof/>
                <w:webHidden/>
              </w:rPr>
              <w:fldChar w:fldCharType="separate"/>
            </w:r>
            <w:r w:rsidR="0053391A">
              <w:rPr>
                <w:noProof/>
                <w:webHidden/>
              </w:rPr>
              <w:t>4</w:t>
            </w:r>
            <w:r w:rsidR="00AC747D">
              <w:rPr>
                <w:noProof/>
                <w:webHidden/>
              </w:rPr>
              <w:fldChar w:fldCharType="end"/>
            </w:r>
          </w:hyperlink>
        </w:p>
        <w:p w14:paraId="5DCDB0F4" w14:textId="77777777" w:rsidR="00AC747D" w:rsidRDefault="00EF75D4">
          <w:pPr>
            <w:pStyle w:val="Spistreci1"/>
            <w:rPr>
              <w:noProof/>
              <w:lang w:val="pl-PL" w:eastAsia="pl-PL" w:bidi="ar-SA"/>
            </w:rPr>
          </w:pPr>
          <w:hyperlink w:anchor="_Toc424278992" w:history="1">
            <w:r w:rsidR="00AC747D" w:rsidRPr="00843528">
              <w:rPr>
                <w:rStyle w:val="Hipercze"/>
                <w:noProof/>
              </w:rPr>
              <w:t>I.</w:t>
            </w:r>
            <w:r w:rsidR="00AC747D">
              <w:rPr>
                <w:noProof/>
                <w:lang w:val="pl-PL" w:eastAsia="pl-PL" w:bidi="ar-SA"/>
              </w:rPr>
              <w:tab/>
            </w:r>
            <w:r w:rsidR="00AC747D" w:rsidRPr="00843528">
              <w:rPr>
                <w:rStyle w:val="Hipercze"/>
                <w:noProof/>
              </w:rPr>
              <w:t>General information about the Human Rights Defender</w:t>
            </w:r>
            <w:r w:rsidR="00AC747D">
              <w:rPr>
                <w:noProof/>
                <w:webHidden/>
              </w:rPr>
              <w:tab/>
            </w:r>
            <w:r w:rsidR="00AC747D">
              <w:rPr>
                <w:noProof/>
                <w:webHidden/>
              </w:rPr>
              <w:fldChar w:fldCharType="begin"/>
            </w:r>
            <w:r w:rsidR="00AC747D">
              <w:rPr>
                <w:noProof/>
                <w:webHidden/>
              </w:rPr>
              <w:instrText xml:space="preserve"> PAGEREF _Toc424278992 \h </w:instrText>
            </w:r>
            <w:r w:rsidR="00AC747D">
              <w:rPr>
                <w:noProof/>
                <w:webHidden/>
              </w:rPr>
            </w:r>
            <w:r w:rsidR="00AC747D">
              <w:rPr>
                <w:noProof/>
                <w:webHidden/>
              </w:rPr>
              <w:fldChar w:fldCharType="separate"/>
            </w:r>
            <w:r w:rsidR="0053391A">
              <w:rPr>
                <w:noProof/>
                <w:webHidden/>
              </w:rPr>
              <w:t>7</w:t>
            </w:r>
            <w:r w:rsidR="00AC747D">
              <w:rPr>
                <w:noProof/>
                <w:webHidden/>
              </w:rPr>
              <w:fldChar w:fldCharType="end"/>
            </w:r>
          </w:hyperlink>
        </w:p>
        <w:p w14:paraId="370A5BE7" w14:textId="77777777" w:rsidR="00AC747D" w:rsidRDefault="00EF75D4">
          <w:pPr>
            <w:pStyle w:val="Spistreci1"/>
            <w:rPr>
              <w:noProof/>
              <w:lang w:val="pl-PL" w:eastAsia="pl-PL" w:bidi="ar-SA"/>
            </w:rPr>
          </w:pPr>
          <w:hyperlink w:anchor="_Toc424278993" w:history="1">
            <w:r w:rsidR="00AC747D" w:rsidRPr="00843528">
              <w:rPr>
                <w:rStyle w:val="Hipercze"/>
                <w:noProof/>
              </w:rPr>
              <w:t>II.</w:t>
            </w:r>
            <w:r w:rsidR="00AC747D">
              <w:rPr>
                <w:noProof/>
                <w:lang w:val="pl-PL" w:eastAsia="pl-PL" w:bidi="ar-SA"/>
              </w:rPr>
              <w:tab/>
            </w:r>
            <w:r w:rsidR="00AC747D" w:rsidRPr="00843528">
              <w:rPr>
                <w:rStyle w:val="Hipercze"/>
                <w:noProof/>
              </w:rPr>
              <w:t>Information on the manner of implementing and monitoring the Convention at the national level (Article 33 of CRPD)</w:t>
            </w:r>
            <w:r w:rsidR="00AC747D">
              <w:rPr>
                <w:noProof/>
                <w:webHidden/>
              </w:rPr>
              <w:tab/>
            </w:r>
            <w:r w:rsidR="00AC747D">
              <w:rPr>
                <w:noProof/>
                <w:webHidden/>
              </w:rPr>
              <w:fldChar w:fldCharType="begin"/>
            </w:r>
            <w:r w:rsidR="00AC747D">
              <w:rPr>
                <w:noProof/>
                <w:webHidden/>
              </w:rPr>
              <w:instrText xml:space="preserve"> PAGEREF _Toc424278993 \h </w:instrText>
            </w:r>
            <w:r w:rsidR="00AC747D">
              <w:rPr>
                <w:noProof/>
                <w:webHidden/>
              </w:rPr>
            </w:r>
            <w:r w:rsidR="00AC747D">
              <w:rPr>
                <w:noProof/>
                <w:webHidden/>
              </w:rPr>
              <w:fldChar w:fldCharType="separate"/>
            </w:r>
            <w:r w:rsidR="0053391A">
              <w:rPr>
                <w:noProof/>
                <w:webHidden/>
              </w:rPr>
              <w:t>9</w:t>
            </w:r>
            <w:r w:rsidR="00AC747D">
              <w:rPr>
                <w:noProof/>
                <w:webHidden/>
              </w:rPr>
              <w:fldChar w:fldCharType="end"/>
            </w:r>
          </w:hyperlink>
        </w:p>
        <w:p w14:paraId="23748FE6" w14:textId="77777777" w:rsidR="00AC747D" w:rsidRDefault="00EF75D4">
          <w:pPr>
            <w:pStyle w:val="Spistreci1"/>
            <w:rPr>
              <w:noProof/>
              <w:lang w:val="pl-PL" w:eastAsia="pl-PL" w:bidi="ar-SA"/>
            </w:rPr>
          </w:pPr>
          <w:hyperlink w:anchor="_Toc424278994" w:history="1">
            <w:r w:rsidR="00AC747D" w:rsidRPr="00843528">
              <w:rPr>
                <w:rStyle w:val="Hipercze"/>
                <w:noProof/>
              </w:rPr>
              <w:t>III.</w:t>
            </w:r>
            <w:r w:rsidR="00AC747D">
              <w:rPr>
                <w:noProof/>
                <w:lang w:val="pl-PL" w:eastAsia="pl-PL" w:bidi="ar-SA"/>
              </w:rPr>
              <w:tab/>
            </w:r>
            <w:r w:rsidR="00AC747D" w:rsidRPr="00843528">
              <w:rPr>
                <w:rStyle w:val="Hipercze"/>
                <w:noProof/>
              </w:rPr>
              <w:t>Information on the implementation of the general provisions of the Convention (Articles 1-4, 31)</w:t>
            </w:r>
            <w:r w:rsidR="00AC747D">
              <w:rPr>
                <w:noProof/>
                <w:webHidden/>
              </w:rPr>
              <w:tab/>
            </w:r>
            <w:r w:rsidR="00AC747D">
              <w:rPr>
                <w:noProof/>
                <w:webHidden/>
              </w:rPr>
              <w:fldChar w:fldCharType="begin"/>
            </w:r>
            <w:r w:rsidR="00AC747D">
              <w:rPr>
                <w:noProof/>
                <w:webHidden/>
              </w:rPr>
              <w:instrText xml:space="preserve"> PAGEREF _Toc424278994 \h </w:instrText>
            </w:r>
            <w:r w:rsidR="00AC747D">
              <w:rPr>
                <w:noProof/>
                <w:webHidden/>
              </w:rPr>
            </w:r>
            <w:r w:rsidR="00AC747D">
              <w:rPr>
                <w:noProof/>
                <w:webHidden/>
              </w:rPr>
              <w:fldChar w:fldCharType="separate"/>
            </w:r>
            <w:r w:rsidR="0053391A">
              <w:rPr>
                <w:noProof/>
                <w:webHidden/>
              </w:rPr>
              <w:t>12</w:t>
            </w:r>
            <w:r w:rsidR="00AC747D">
              <w:rPr>
                <w:noProof/>
                <w:webHidden/>
              </w:rPr>
              <w:fldChar w:fldCharType="end"/>
            </w:r>
          </w:hyperlink>
        </w:p>
        <w:p w14:paraId="49C1425F" w14:textId="77777777" w:rsidR="00AC747D" w:rsidRDefault="00EF75D4">
          <w:pPr>
            <w:pStyle w:val="Spistreci1"/>
            <w:rPr>
              <w:noProof/>
              <w:lang w:val="pl-PL" w:eastAsia="pl-PL" w:bidi="ar-SA"/>
            </w:rPr>
          </w:pPr>
          <w:hyperlink w:anchor="_Toc424278995" w:history="1">
            <w:r w:rsidR="00AC747D" w:rsidRPr="00843528">
              <w:rPr>
                <w:rStyle w:val="Hipercze"/>
                <w:noProof/>
              </w:rPr>
              <w:t>IV.</w:t>
            </w:r>
            <w:r w:rsidR="00AC747D">
              <w:rPr>
                <w:noProof/>
                <w:lang w:val="pl-PL" w:eastAsia="pl-PL" w:bidi="ar-SA"/>
              </w:rPr>
              <w:tab/>
            </w:r>
            <w:r w:rsidR="00AC747D" w:rsidRPr="00843528">
              <w:rPr>
                <w:rStyle w:val="Hipercze"/>
                <w:noProof/>
              </w:rPr>
              <w:t>Information on realisation of selected rights established by the Convention</w:t>
            </w:r>
            <w:r w:rsidR="00AC747D">
              <w:rPr>
                <w:noProof/>
                <w:webHidden/>
              </w:rPr>
              <w:tab/>
            </w:r>
            <w:r w:rsidR="00AC747D">
              <w:rPr>
                <w:noProof/>
                <w:webHidden/>
              </w:rPr>
              <w:fldChar w:fldCharType="begin"/>
            </w:r>
            <w:r w:rsidR="00AC747D">
              <w:rPr>
                <w:noProof/>
                <w:webHidden/>
              </w:rPr>
              <w:instrText xml:space="preserve"> PAGEREF _Toc424278995 \h </w:instrText>
            </w:r>
            <w:r w:rsidR="00AC747D">
              <w:rPr>
                <w:noProof/>
                <w:webHidden/>
              </w:rPr>
            </w:r>
            <w:r w:rsidR="00AC747D">
              <w:rPr>
                <w:noProof/>
                <w:webHidden/>
              </w:rPr>
              <w:fldChar w:fldCharType="separate"/>
            </w:r>
            <w:r w:rsidR="0053391A">
              <w:rPr>
                <w:noProof/>
                <w:webHidden/>
              </w:rPr>
              <w:t>20</w:t>
            </w:r>
            <w:r w:rsidR="00AC747D">
              <w:rPr>
                <w:noProof/>
                <w:webHidden/>
              </w:rPr>
              <w:fldChar w:fldCharType="end"/>
            </w:r>
          </w:hyperlink>
        </w:p>
        <w:p w14:paraId="161C0BDC" w14:textId="77777777" w:rsidR="00AC747D" w:rsidRDefault="00EF75D4">
          <w:pPr>
            <w:pStyle w:val="Spistreci2"/>
            <w:tabs>
              <w:tab w:val="right" w:leader="dot" w:pos="9062"/>
            </w:tabs>
            <w:rPr>
              <w:noProof/>
              <w:lang w:val="pl-PL" w:eastAsia="pl-PL" w:bidi="ar-SA"/>
            </w:rPr>
          </w:pPr>
          <w:hyperlink w:anchor="_Toc424278996" w:history="1">
            <w:r w:rsidR="00AC747D" w:rsidRPr="00843528">
              <w:rPr>
                <w:rStyle w:val="Hipercze"/>
                <w:noProof/>
              </w:rPr>
              <w:t xml:space="preserve">Article 5 </w:t>
            </w:r>
            <w:r w:rsidR="00AC747D" w:rsidRPr="00843528">
              <w:rPr>
                <w:rStyle w:val="Hipercze"/>
                <w:rFonts w:hint="eastAsia"/>
                <w:noProof/>
              </w:rPr>
              <w:t>–</w:t>
            </w:r>
            <w:r w:rsidR="00AC747D" w:rsidRPr="00843528">
              <w:rPr>
                <w:rStyle w:val="Hipercze"/>
                <w:noProof/>
              </w:rPr>
              <w:t xml:space="preserve"> Equality and non-discrimination</w:t>
            </w:r>
            <w:r w:rsidR="00AC747D">
              <w:rPr>
                <w:noProof/>
                <w:webHidden/>
              </w:rPr>
              <w:tab/>
            </w:r>
            <w:r w:rsidR="00AC747D">
              <w:rPr>
                <w:noProof/>
                <w:webHidden/>
              </w:rPr>
              <w:fldChar w:fldCharType="begin"/>
            </w:r>
            <w:r w:rsidR="00AC747D">
              <w:rPr>
                <w:noProof/>
                <w:webHidden/>
              </w:rPr>
              <w:instrText xml:space="preserve"> PAGEREF _Toc424278996 \h </w:instrText>
            </w:r>
            <w:r w:rsidR="00AC747D">
              <w:rPr>
                <w:noProof/>
                <w:webHidden/>
              </w:rPr>
            </w:r>
            <w:r w:rsidR="00AC747D">
              <w:rPr>
                <w:noProof/>
                <w:webHidden/>
              </w:rPr>
              <w:fldChar w:fldCharType="separate"/>
            </w:r>
            <w:r w:rsidR="0053391A">
              <w:rPr>
                <w:noProof/>
                <w:webHidden/>
              </w:rPr>
              <w:t>20</w:t>
            </w:r>
            <w:r w:rsidR="00AC747D">
              <w:rPr>
                <w:noProof/>
                <w:webHidden/>
              </w:rPr>
              <w:fldChar w:fldCharType="end"/>
            </w:r>
          </w:hyperlink>
        </w:p>
        <w:p w14:paraId="4CFFA620" w14:textId="77777777" w:rsidR="00AC747D" w:rsidRDefault="00EF75D4">
          <w:pPr>
            <w:pStyle w:val="Spistreci2"/>
            <w:tabs>
              <w:tab w:val="right" w:leader="dot" w:pos="9062"/>
            </w:tabs>
            <w:rPr>
              <w:noProof/>
              <w:lang w:val="pl-PL" w:eastAsia="pl-PL" w:bidi="ar-SA"/>
            </w:rPr>
          </w:pPr>
          <w:hyperlink w:anchor="_Toc424278997" w:history="1">
            <w:r w:rsidR="00AC747D" w:rsidRPr="00843528">
              <w:rPr>
                <w:rStyle w:val="Hipercze"/>
                <w:noProof/>
              </w:rPr>
              <w:t xml:space="preserve">Article 9 </w:t>
            </w:r>
            <w:r w:rsidR="00AC747D" w:rsidRPr="00843528">
              <w:rPr>
                <w:rStyle w:val="Hipercze"/>
                <w:rFonts w:hint="eastAsia"/>
                <w:noProof/>
              </w:rPr>
              <w:t>–</w:t>
            </w:r>
            <w:r w:rsidR="00AC747D" w:rsidRPr="00843528">
              <w:rPr>
                <w:rStyle w:val="Hipercze"/>
                <w:noProof/>
              </w:rPr>
              <w:t xml:space="preserve"> Accessibility</w:t>
            </w:r>
            <w:r w:rsidR="00AC747D">
              <w:rPr>
                <w:noProof/>
                <w:webHidden/>
              </w:rPr>
              <w:tab/>
            </w:r>
            <w:r w:rsidR="00AC747D">
              <w:rPr>
                <w:noProof/>
                <w:webHidden/>
              </w:rPr>
              <w:fldChar w:fldCharType="begin"/>
            </w:r>
            <w:r w:rsidR="00AC747D">
              <w:rPr>
                <w:noProof/>
                <w:webHidden/>
              </w:rPr>
              <w:instrText xml:space="preserve"> PAGEREF _Toc424278997 \h </w:instrText>
            </w:r>
            <w:r w:rsidR="00AC747D">
              <w:rPr>
                <w:noProof/>
                <w:webHidden/>
              </w:rPr>
            </w:r>
            <w:r w:rsidR="00AC747D">
              <w:rPr>
                <w:noProof/>
                <w:webHidden/>
              </w:rPr>
              <w:fldChar w:fldCharType="separate"/>
            </w:r>
            <w:r w:rsidR="0053391A">
              <w:rPr>
                <w:noProof/>
                <w:webHidden/>
              </w:rPr>
              <w:t>25</w:t>
            </w:r>
            <w:r w:rsidR="00AC747D">
              <w:rPr>
                <w:noProof/>
                <w:webHidden/>
              </w:rPr>
              <w:fldChar w:fldCharType="end"/>
            </w:r>
          </w:hyperlink>
        </w:p>
        <w:p w14:paraId="0695041A" w14:textId="77777777" w:rsidR="00AC747D" w:rsidRDefault="00EF75D4">
          <w:pPr>
            <w:pStyle w:val="Spistreci2"/>
            <w:tabs>
              <w:tab w:val="right" w:leader="dot" w:pos="9062"/>
            </w:tabs>
            <w:rPr>
              <w:noProof/>
              <w:lang w:val="pl-PL" w:eastAsia="pl-PL" w:bidi="ar-SA"/>
            </w:rPr>
          </w:pPr>
          <w:hyperlink w:anchor="_Toc424278998" w:history="1">
            <w:r w:rsidR="00AC747D" w:rsidRPr="00843528">
              <w:rPr>
                <w:rStyle w:val="Hipercze"/>
                <w:noProof/>
              </w:rPr>
              <w:t xml:space="preserve">Article 12 </w:t>
            </w:r>
            <w:r w:rsidR="00AC747D" w:rsidRPr="00843528">
              <w:rPr>
                <w:rStyle w:val="Hipercze"/>
                <w:rFonts w:hint="eastAsia"/>
                <w:noProof/>
              </w:rPr>
              <w:t>–</w:t>
            </w:r>
            <w:r w:rsidR="00AC747D" w:rsidRPr="00843528">
              <w:rPr>
                <w:rStyle w:val="Hipercze"/>
                <w:noProof/>
              </w:rPr>
              <w:t xml:space="preserve"> Equal recognition before the law</w:t>
            </w:r>
            <w:r w:rsidR="00AC747D">
              <w:rPr>
                <w:noProof/>
                <w:webHidden/>
              </w:rPr>
              <w:tab/>
            </w:r>
            <w:r w:rsidR="00AC747D">
              <w:rPr>
                <w:noProof/>
                <w:webHidden/>
              </w:rPr>
              <w:fldChar w:fldCharType="begin"/>
            </w:r>
            <w:r w:rsidR="00AC747D">
              <w:rPr>
                <w:noProof/>
                <w:webHidden/>
              </w:rPr>
              <w:instrText xml:space="preserve"> PAGEREF _Toc424278998 \h </w:instrText>
            </w:r>
            <w:r w:rsidR="00AC747D">
              <w:rPr>
                <w:noProof/>
                <w:webHidden/>
              </w:rPr>
            </w:r>
            <w:r w:rsidR="00AC747D">
              <w:rPr>
                <w:noProof/>
                <w:webHidden/>
              </w:rPr>
              <w:fldChar w:fldCharType="separate"/>
            </w:r>
            <w:r w:rsidR="0053391A">
              <w:rPr>
                <w:noProof/>
                <w:webHidden/>
              </w:rPr>
              <w:t>28</w:t>
            </w:r>
            <w:r w:rsidR="00AC747D">
              <w:rPr>
                <w:noProof/>
                <w:webHidden/>
              </w:rPr>
              <w:fldChar w:fldCharType="end"/>
            </w:r>
          </w:hyperlink>
        </w:p>
        <w:p w14:paraId="1DCB1132" w14:textId="77777777" w:rsidR="00AC747D" w:rsidRDefault="00EF75D4">
          <w:pPr>
            <w:pStyle w:val="Spistreci2"/>
            <w:tabs>
              <w:tab w:val="right" w:leader="dot" w:pos="9062"/>
            </w:tabs>
            <w:rPr>
              <w:noProof/>
              <w:lang w:val="pl-PL" w:eastAsia="pl-PL" w:bidi="ar-SA"/>
            </w:rPr>
          </w:pPr>
          <w:hyperlink w:anchor="_Toc424278999" w:history="1">
            <w:r w:rsidR="00AC747D" w:rsidRPr="00843528">
              <w:rPr>
                <w:rStyle w:val="Hipercze"/>
                <w:noProof/>
              </w:rPr>
              <w:t xml:space="preserve">Article 13 </w:t>
            </w:r>
            <w:r w:rsidR="00AC747D" w:rsidRPr="00843528">
              <w:rPr>
                <w:rStyle w:val="Hipercze"/>
                <w:rFonts w:hint="eastAsia"/>
                <w:noProof/>
              </w:rPr>
              <w:t>–</w:t>
            </w:r>
            <w:r w:rsidR="00AC747D" w:rsidRPr="00843528">
              <w:rPr>
                <w:rStyle w:val="Hipercze"/>
                <w:noProof/>
              </w:rPr>
              <w:t xml:space="preserve"> Access to justice</w:t>
            </w:r>
            <w:r w:rsidR="00AC747D">
              <w:rPr>
                <w:noProof/>
                <w:webHidden/>
              </w:rPr>
              <w:tab/>
            </w:r>
            <w:r w:rsidR="00AC747D">
              <w:rPr>
                <w:noProof/>
                <w:webHidden/>
              </w:rPr>
              <w:fldChar w:fldCharType="begin"/>
            </w:r>
            <w:r w:rsidR="00AC747D">
              <w:rPr>
                <w:noProof/>
                <w:webHidden/>
              </w:rPr>
              <w:instrText xml:space="preserve"> PAGEREF _Toc424278999 \h </w:instrText>
            </w:r>
            <w:r w:rsidR="00AC747D">
              <w:rPr>
                <w:noProof/>
                <w:webHidden/>
              </w:rPr>
            </w:r>
            <w:r w:rsidR="00AC747D">
              <w:rPr>
                <w:noProof/>
                <w:webHidden/>
              </w:rPr>
              <w:fldChar w:fldCharType="separate"/>
            </w:r>
            <w:r w:rsidR="0053391A">
              <w:rPr>
                <w:noProof/>
                <w:webHidden/>
              </w:rPr>
              <w:t>33</w:t>
            </w:r>
            <w:r w:rsidR="00AC747D">
              <w:rPr>
                <w:noProof/>
                <w:webHidden/>
              </w:rPr>
              <w:fldChar w:fldCharType="end"/>
            </w:r>
          </w:hyperlink>
        </w:p>
        <w:p w14:paraId="125F640A" w14:textId="77777777" w:rsidR="00AC747D" w:rsidRDefault="00EF75D4">
          <w:pPr>
            <w:pStyle w:val="Spistreci2"/>
            <w:tabs>
              <w:tab w:val="right" w:leader="dot" w:pos="9062"/>
            </w:tabs>
            <w:rPr>
              <w:noProof/>
              <w:lang w:val="pl-PL" w:eastAsia="pl-PL" w:bidi="ar-SA"/>
            </w:rPr>
          </w:pPr>
          <w:hyperlink w:anchor="_Toc424279000" w:history="1">
            <w:r w:rsidR="00AC747D" w:rsidRPr="00843528">
              <w:rPr>
                <w:rStyle w:val="Hipercze"/>
                <w:noProof/>
              </w:rPr>
              <w:t xml:space="preserve">Article 14 </w:t>
            </w:r>
            <w:r w:rsidR="00AC747D" w:rsidRPr="00843528">
              <w:rPr>
                <w:rStyle w:val="Hipercze"/>
                <w:rFonts w:hint="eastAsia"/>
                <w:noProof/>
              </w:rPr>
              <w:t>–</w:t>
            </w:r>
            <w:r w:rsidR="00AC747D" w:rsidRPr="00843528">
              <w:rPr>
                <w:rStyle w:val="Hipercze"/>
                <w:noProof/>
              </w:rPr>
              <w:t xml:space="preserve"> Liberty and security of person and Article 15 </w:t>
            </w:r>
            <w:r w:rsidR="00AC747D" w:rsidRPr="00843528">
              <w:rPr>
                <w:rStyle w:val="Hipercze"/>
                <w:rFonts w:hint="eastAsia"/>
                <w:noProof/>
              </w:rPr>
              <w:t>–</w:t>
            </w:r>
            <w:r w:rsidR="00AC747D" w:rsidRPr="00843528">
              <w:rPr>
                <w:rStyle w:val="Hipercze"/>
                <w:noProof/>
              </w:rPr>
              <w:t xml:space="preserve"> Freedom of torture or cruel, inhuman or degrading treatment or punishment</w:t>
            </w:r>
            <w:r w:rsidR="00AC747D">
              <w:rPr>
                <w:noProof/>
                <w:webHidden/>
              </w:rPr>
              <w:tab/>
            </w:r>
            <w:r w:rsidR="00AC747D">
              <w:rPr>
                <w:noProof/>
                <w:webHidden/>
              </w:rPr>
              <w:fldChar w:fldCharType="begin"/>
            </w:r>
            <w:r w:rsidR="00AC747D">
              <w:rPr>
                <w:noProof/>
                <w:webHidden/>
              </w:rPr>
              <w:instrText xml:space="preserve"> PAGEREF _Toc424279000 \h </w:instrText>
            </w:r>
            <w:r w:rsidR="00AC747D">
              <w:rPr>
                <w:noProof/>
                <w:webHidden/>
              </w:rPr>
            </w:r>
            <w:r w:rsidR="00AC747D">
              <w:rPr>
                <w:noProof/>
                <w:webHidden/>
              </w:rPr>
              <w:fldChar w:fldCharType="separate"/>
            </w:r>
            <w:r w:rsidR="0053391A">
              <w:rPr>
                <w:noProof/>
                <w:webHidden/>
              </w:rPr>
              <w:t>37</w:t>
            </w:r>
            <w:r w:rsidR="00AC747D">
              <w:rPr>
                <w:noProof/>
                <w:webHidden/>
              </w:rPr>
              <w:fldChar w:fldCharType="end"/>
            </w:r>
          </w:hyperlink>
        </w:p>
        <w:p w14:paraId="708D81F0" w14:textId="77777777" w:rsidR="00AC747D" w:rsidRDefault="00EF75D4">
          <w:pPr>
            <w:pStyle w:val="Spistreci2"/>
            <w:tabs>
              <w:tab w:val="right" w:leader="dot" w:pos="9062"/>
            </w:tabs>
            <w:rPr>
              <w:noProof/>
              <w:lang w:val="pl-PL" w:eastAsia="pl-PL" w:bidi="ar-SA"/>
            </w:rPr>
          </w:pPr>
          <w:hyperlink w:anchor="_Toc424279001" w:history="1">
            <w:r w:rsidR="00AC747D" w:rsidRPr="00843528">
              <w:rPr>
                <w:rStyle w:val="Hipercze"/>
                <w:noProof/>
              </w:rPr>
              <w:t xml:space="preserve">Article 16 </w:t>
            </w:r>
            <w:r w:rsidR="00AC747D" w:rsidRPr="00843528">
              <w:rPr>
                <w:rStyle w:val="Hipercze"/>
                <w:rFonts w:hint="eastAsia"/>
                <w:noProof/>
              </w:rPr>
              <w:t>–</w:t>
            </w:r>
            <w:r w:rsidR="00AC747D" w:rsidRPr="00843528">
              <w:rPr>
                <w:rStyle w:val="Hipercze"/>
                <w:noProof/>
              </w:rPr>
              <w:t xml:space="preserve"> Freedom from exploitation, violence and abuse</w:t>
            </w:r>
            <w:r w:rsidR="00AC747D">
              <w:rPr>
                <w:noProof/>
                <w:webHidden/>
              </w:rPr>
              <w:tab/>
            </w:r>
            <w:r w:rsidR="00AC747D">
              <w:rPr>
                <w:noProof/>
                <w:webHidden/>
              </w:rPr>
              <w:fldChar w:fldCharType="begin"/>
            </w:r>
            <w:r w:rsidR="00AC747D">
              <w:rPr>
                <w:noProof/>
                <w:webHidden/>
              </w:rPr>
              <w:instrText xml:space="preserve"> PAGEREF _Toc424279001 \h </w:instrText>
            </w:r>
            <w:r w:rsidR="00AC747D">
              <w:rPr>
                <w:noProof/>
                <w:webHidden/>
              </w:rPr>
            </w:r>
            <w:r w:rsidR="00AC747D">
              <w:rPr>
                <w:noProof/>
                <w:webHidden/>
              </w:rPr>
              <w:fldChar w:fldCharType="separate"/>
            </w:r>
            <w:r w:rsidR="0053391A">
              <w:rPr>
                <w:noProof/>
                <w:webHidden/>
              </w:rPr>
              <w:t>41</w:t>
            </w:r>
            <w:r w:rsidR="00AC747D">
              <w:rPr>
                <w:noProof/>
                <w:webHidden/>
              </w:rPr>
              <w:fldChar w:fldCharType="end"/>
            </w:r>
          </w:hyperlink>
        </w:p>
        <w:p w14:paraId="7FBEB7C3" w14:textId="77777777" w:rsidR="00AC747D" w:rsidRDefault="00EF75D4">
          <w:pPr>
            <w:pStyle w:val="Spistreci2"/>
            <w:tabs>
              <w:tab w:val="right" w:leader="dot" w:pos="9062"/>
            </w:tabs>
            <w:rPr>
              <w:noProof/>
              <w:lang w:val="pl-PL" w:eastAsia="pl-PL" w:bidi="ar-SA"/>
            </w:rPr>
          </w:pPr>
          <w:hyperlink w:anchor="_Toc424279002" w:history="1">
            <w:r w:rsidR="00AC747D" w:rsidRPr="00843528">
              <w:rPr>
                <w:rStyle w:val="Hipercze"/>
                <w:noProof/>
              </w:rPr>
              <w:t xml:space="preserve">Article 19 </w:t>
            </w:r>
            <w:r w:rsidR="00AC747D" w:rsidRPr="00843528">
              <w:rPr>
                <w:rStyle w:val="Hipercze"/>
                <w:rFonts w:hint="eastAsia"/>
                <w:noProof/>
              </w:rPr>
              <w:t>–</w:t>
            </w:r>
            <w:r w:rsidR="00AC747D" w:rsidRPr="00843528">
              <w:rPr>
                <w:rStyle w:val="Hipercze"/>
                <w:noProof/>
              </w:rPr>
              <w:t xml:space="preserve"> Living independently and being included in the community</w:t>
            </w:r>
            <w:r w:rsidR="00AC747D">
              <w:rPr>
                <w:noProof/>
                <w:webHidden/>
              </w:rPr>
              <w:tab/>
            </w:r>
            <w:r w:rsidR="00AC747D">
              <w:rPr>
                <w:noProof/>
                <w:webHidden/>
              </w:rPr>
              <w:fldChar w:fldCharType="begin"/>
            </w:r>
            <w:r w:rsidR="00AC747D">
              <w:rPr>
                <w:noProof/>
                <w:webHidden/>
              </w:rPr>
              <w:instrText xml:space="preserve"> PAGEREF _Toc424279002 \h </w:instrText>
            </w:r>
            <w:r w:rsidR="00AC747D">
              <w:rPr>
                <w:noProof/>
                <w:webHidden/>
              </w:rPr>
            </w:r>
            <w:r w:rsidR="00AC747D">
              <w:rPr>
                <w:noProof/>
                <w:webHidden/>
              </w:rPr>
              <w:fldChar w:fldCharType="separate"/>
            </w:r>
            <w:r w:rsidR="0053391A">
              <w:rPr>
                <w:noProof/>
                <w:webHidden/>
              </w:rPr>
              <w:t>46</w:t>
            </w:r>
            <w:r w:rsidR="00AC747D">
              <w:rPr>
                <w:noProof/>
                <w:webHidden/>
              </w:rPr>
              <w:fldChar w:fldCharType="end"/>
            </w:r>
          </w:hyperlink>
        </w:p>
        <w:p w14:paraId="529CC37A" w14:textId="77777777" w:rsidR="00AC747D" w:rsidRDefault="00EF75D4">
          <w:pPr>
            <w:pStyle w:val="Spistreci2"/>
            <w:tabs>
              <w:tab w:val="right" w:leader="dot" w:pos="9062"/>
            </w:tabs>
            <w:rPr>
              <w:noProof/>
              <w:lang w:val="pl-PL" w:eastAsia="pl-PL" w:bidi="ar-SA"/>
            </w:rPr>
          </w:pPr>
          <w:hyperlink w:anchor="_Toc424279003" w:history="1">
            <w:r w:rsidR="00AC747D" w:rsidRPr="00843528">
              <w:rPr>
                <w:rStyle w:val="Hipercze"/>
                <w:noProof/>
              </w:rPr>
              <w:t xml:space="preserve">Article 20 </w:t>
            </w:r>
            <w:r w:rsidR="00AC747D" w:rsidRPr="00843528">
              <w:rPr>
                <w:rStyle w:val="Hipercze"/>
                <w:rFonts w:hint="eastAsia"/>
                <w:noProof/>
              </w:rPr>
              <w:t>–</w:t>
            </w:r>
            <w:r w:rsidR="00AC747D" w:rsidRPr="00843528">
              <w:rPr>
                <w:rStyle w:val="Hipercze"/>
                <w:noProof/>
              </w:rPr>
              <w:t xml:space="preserve"> Personal mobility</w:t>
            </w:r>
            <w:r w:rsidR="00AC747D">
              <w:rPr>
                <w:noProof/>
                <w:webHidden/>
              </w:rPr>
              <w:tab/>
            </w:r>
            <w:r w:rsidR="00AC747D">
              <w:rPr>
                <w:noProof/>
                <w:webHidden/>
              </w:rPr>
              <w:fldChar w:fldCharType="begin"/>
            </w:r>
            <w:r w:rsidR="00AC747D">
              <w:rPr>
                <w:noProof/>
                <w:webHidden/>
              </w:rPr>
              <w:instrText xml:space="preserve"> PAGEREF _Toc424279003 \h </w:instrText>
            </w:r>
            <w:r w:rsidR="00AC747D">
              <w:rPr>
                <w:noProof/>
                <w:webHidden/>
              </w:rPr>
            </w:r>
            <w:r w:rsidR="00AC747D">
              <w:rPr>
                <w:noProof/>
                <w:webHidden/>
              </w:rPr>
              <w:fldChar w:fldCharType="separate"/>
            </w:r>
            <w:r w:rsidR="0053391A">
              <w:rPr>
                <w:noProof/>
                <w:webHidden/>
              </w:rPr>
              <w:t>53</w:t>
            </w:r>
            <w:r w:rsidR="00AC747D">
              <w:rPr>
                <w:noProof/>
                <w:webHidden/>
              </w:rPr>
              <w:fldChar w:fldCharType="end"/>
            </w:r>
          </w:hyperlink>
        </w:p>
        <w:p w14:paraId="6304011A" w14:textId="77777777" w:rsidR="00AC747D" w:rsidRDefault="00EF75D4">
          <w:pPr>
            <w:pStyle w:val="Spistreci2"/>
            <w:tabs>
              <w:tab w:val="right" w:leader="dot" w:pos="9062"/>
            </w:tabs>
            <w:rPr>
              <w:noProof/>
              <w:lang w:val="pl-PL" w:eastAsia="pl-PL" w:bidi="ar-SA"/>
            </w:rPr>
          </w:pPr>
          <w:hyperlink w:anchor="_Toc424279004" w:history="1">
            <w:r w:rsidR="00AC747D" w:rsidRPr="00843528">
              <w:rPr>
                <w:rStyle w:val="Hipercze"/>
                <w:noProof/>
              </w:rPr>
              <w:t xml:space="preserve">Article 21 </w:t>
            </w:r>
            <w:r w:rsidR="00AC747D" w:rsidRPr="00843528">
              <w:rPr>
                <w:rStyle w:val="Hipercze"/>
                <w:rFonts w:hint="eastAsia"/>
                <w:noProof/>
              </w:rPr>
              <w:t>–</w:t>
            </w:r>
            <w:r w:rsidR="00AC747D" w:rsidRPr="00843528">
              <w:rPr>
                <w:rStyle w:val="Hipercze"/>
                <w:noProof/>
              </w:rPr>
              <w:t xml:space="preserve"> Freedom of expression and opinion, and access to information</w:t>
            </w:r>
            <w:r w:rsidR="00AC747D">
              <w:rPr>
                <w:noProof/>
                <w:webHidden/>
              </w:rPr>
              <w:tab/>
            </w:r>
            <w:r w:rsidR="00AC747D">
              <w:rPr>
                <w:noProof/>
                <w:webHidden/>
              </w:rPr>
              <w:fldChar w:fldCharType="begin"/>
            </w:r>
            <w:r w:rsidR="00AC747D">
              <w:rPr>
                <w:noProof/>
                <w:webHidden/>
              </w:rPr>
              <w:instrText xml:space="preserve"> PAGEREF _Toc424279004 \h </w:instrText>
            </w:r>
            <w:r w:rsidR="00AC747D">
              <w:rPr>
                <w:noProof/>
                <w:webHidden/>
              </w:rPr>
            </w:r>
            <w:r w:rsidR="00AC747D">
              <w:rPr>
                <w:noProof/>
                <w:webHidden/>
              </w:rPr>
              <w:fldChar w:fldCharType="separate"/>
            </w:r>
            <w:r w:rsidR="0053391A">
              <w:rPr>
                <w:noProof/>
                <w:webHidden/>
              </w:rPr>
              <w:t>59</w:t>
            </w:r>
            <w:r w:rsidR="00AC747D">
              <w:rPr>
                <w:noProof/>
                <w:webHidden/>
              </w:rPr>
              <w:fldChar w:fldCharType="end"/>
            </w:r>
          </w:hyperlink>
        </w:p>
        <w:p w14:paraId="2BAB1DDC" w14:textId="77777777" w:rsidR="00AC747D" w:rsidRDefault="00EF75D4">
          <w:pPr>
            <w:pStyle w:val="Spistreci2"/>
            <w:tabs>
              <w:tab w:val="right" w:leader="dot" w:pos="9062"/>
            </w:tabs>
            <w:rPr>
              <w:noProof/>
              <w:lang w:val="pl-PL" w:eastAsia="pl-PL" w:bidi="ar-SA"/>
            </w:rPr>
          </w:pPr>
          <w:hyperlink w:anchor="_Toc424279005" w:history="1">
            <w:r w:rsidR="00AC747D" w:rsidRPr="00843528">
              <w:rPr>
                <w:rStyle w:val="Hipercze"/>
                <w:noProof/>
              </w:rPr>
              <w:t xml:space="preserve">Article 23 </w:t>
            </w:r>
            <w:r w:rsidR="00AC747D" w:rsidRPr="00843528">
              <w:rPr>
                <w:rStyle w:val="Hipercze"/>
                <w:rFonts w:hint="eastAsia"/>
                <w:noProof/>
              </w:rPr>
              <w:t>–</w:t>
            </w:r>
            <w:r w:rsidR="00AC747D" w:rsidRPr="00843528">
              <w:rPr>
                <w:rStyle w:val="Hipercze"/>
                <w:noProof/>
              </w:rPr>
              <w:t xml:space="preserve"> Respect for home and the family</w:t>
            </w:r>
            <w:r w:rsidR="00AC747D">
              <w:rPr>
                <w:noProof/>
                <w:webHidden/>
              </w:rPr>
              <w:tab/>
            </w:r>
            <w:r w:rsidR="00AC747D">
              <w:rPr>
                <w:noProof/>
                <w:webHidden/>
              </w:rPr>
              <w:fldChar w:fldCharType="begin"/>
            </w:r>
            <w:r w:rsidR="00AC747D">
              <w:rPr>
                <w:noProof/>
                <w:webHidden/>
              </w:rPr>
              <w:instrText xml:space="preserve"> PAGEREF _Toc424279005 \h </w:instrText>
            </w:r>
            <w:r w:rsidR="00AC747D">
              <w:rPr>
                <w:noProof/>
                <w:webHidden/>
              </w:rPr>
            </w:r>
            <w:r w:rsidR="00AC747D">
              <w:rPr>
                <w:noProof/>
                <w:webHidden/>
              </w:rPr>
              <w:fldChar w:fldCharType="separate"/>
            </w:r>
            <w:r w:rsidR="0053391A">
              <w:rPr>
                <w:noProof/>
                <w:webHidden/>
              </w:rPr>
              <w:t>66</w:t>
            </w:r>
            <w:r w:rsidR="00AC747D">
              <w:rPr>
                <w:noProof/>
                <w:webHidden/>
              </w:rPr>
              <w:fldChar w:fldCharType="end"/>
            </w:r>
          </w:hyperlink>
        </w:p>
        <w:p w14:paraId="5EA54B79" w14:textId="77777777" w:rsidR="00AC747D" w:rsidRDefault="00EF75D4">
          <w:pPr>
            <w:pStyle w:val="Spistreci2"/>
            <w:tabs>
              <w:tab w:val="right" w:leader="dot" w:pos="9062"/>
            </w:tabs>
            <w:rPr>
              <w:noProof/>
              <w:lang w:val="pl-PL" w:eastAsia="pl-PL" w:bidi="ar-SA"/>
            </w:rPr>
          </w:pPr>
          <w:hyperlink w:anchor="_Toc424279006" w:history="1">
            <w:r w:rsidR="00AC747D" w:rsidRPr="00843528">
              <w:rPr>
                <w:rStyle w:val="Hipercze"/>
                <w:noProof/>
              </w:rPr>
              <w:t xml:space="preserve">Article 24 </w:t>
            </w:r>
            <w:r w:rsidR="00AC747D" w:rsidRPr="00843528">
              <w:rPr>
                <w:rStyle w:val="Hipercze"/>
                <w:rFonts w:hint="eastAsia"/>
                <w:noProof/>
              </w:rPr>
              <w:t>–</w:t>
            </w:r>
            <w:r w:rsidR="00AC747D" w:rsidRPr="00843528">
              <w:rPr>
                <w:rStyle w:val="Hipercze"/>
                <w:noProof/>
              </w:rPr>
              <w:t xml:space="preserve"> Education</w:t>
            </w:r>
            <w:r w:rsidR="00AC747D">
              <w:rPr>
                <w:noProof/>
                <w:webHidden/>
              </w:rPr>
              <w:tab/>
            </w:r>
            <w:r w:rsidR="00AC747D">
              <w:rPr>
                <w:noProof/>
                <w:webHidden/>
              </w:rPr>
              <w:fldChar w:fldCharType="begin"/>
            </w:r>
            <w:r w:rsidR="00AC747D">
              <w:rPr>
                <w:noProof/>
                <w:webHidden/>
              </w:rPr>
              <w:instrText xml:space="preserve"> PAGEREF _Toc424279006 \h </w:instrText>
            </w:r>
            <w:r w:rsidR="00AC747D">
              <w:rPr>
                <w:noProof/>
                <w:webHidden/>
              </w:rPr>
            </w:r>
            <w:r w:rsidR="00AC747D">
              <w:rPr>
                <w:noProof/>
                <w:webHidden/>
              </w:rPr>
              <w:fldChar w:fldCharType="separate"/>
            </w:r>
            <w:r w:rsidR="0053391A">
              <w:rPr>
                <w:noProof/>
                <w:webHidden/>
              </w:rPr>
              <w:t>68</w:t>
            </w:r>
            <w:r w:rsidR="00AC747D">
              <w:rPr>
                <w:noProof/>
                <w:webHidden/>
              </w:rPr>
              <w:fldChar w:fldCharType="end"/>
            </w:r>
          </w:hyperlink>
        </w:p>
        <w:p w14:paraId="064D56E6" w14:textId="77777777" w:rsidR="00AC747D" w:rsidRDefault="00EF75D4">
          <w:pPr>
            <w:pStyle w:val="Spistreci2"/>
            <w:tabs>
              <w:tab w:val="right" w:leader="dot" w:pos="9062"/>
            </w:tabs>
            <w:rPr>
              <w:noProof/>
              <w:lang w:val="pl-PL" w:eastAsia="pl-PL" w:bidi="ar-SA"/>
            </w:rPr>
          </w:pPr>
          <w:hyperlink w:anchor="_Toc424279007" w:history="1">
            <w:r w:rsidR="00AC747D" w:rsidRPr="00843528">
              <w:rPr>
                <w:rStyle w:val="Hipercze"/>
                <w:noProof/>
              </w:rPr>
              <w:t xml:space="preserve">Article 26 </w:t>
            </w:r>
            <w:r w:rsidR="00AC747D" w:rsidRPr="00843528">
              <w:rPr>
                <w:rStyle w:val="Hipercze"/>
                <w:rFonts w:hint="eastAsia"/>
                <w:noProof/>
              </w:rPr>
              <w:t>–</w:t>
            </w:r>
            <w:r w:rsidR="00AC747D" w:rsidRPr="00843528">
              <w:rPr>
                <w:rStyle w:val="Hipercze"/>
                <w:noProof/>
              </w:rPr>
              <w:t xml:space="preserve"> Habilitation and rehabilitation</w:t>
            </w:r>
            <w:r w:rsidR="00AC747D">
              <w:rPr>
                <w:noProof/>
                <w:webHidden/>
              </w:rPr>
              <w:tab/>
            </w:r>
            <w:r w:rsidR="00AC747D">
              <w:rPr>
                <w:noProof/>
                <w:webHidden/>
              </w:rPr>
              <w:fldChar w:fldCharType="begin"/>
            </w:r>
            <w:r w:rsidR="00AC747D">
              <w:rPr>
                <w:noProof/>
                <w:webHidden/>
              </w:rPr>
              <w:instrText xml:space="preserve"> PAGEREF _Toc424279007 \h </w:instrText>
            </w:r>
            <w:r w:rsidR="00AC747D">
              <w:rPr>
                <w:noProof/>
                <w:webHidden/>
              </w:rPr>
            </w:r>
            <w:r w:rsidR="00AC747D">
              <w:rPr>
                <w:noProof/>
                <w:webHidden/>
              </w:rPr>
              <w:fldChar w:fldCharType="separate"/>
            </w:r>
            <w:r w:rsidR="0053391A">
              <w:rPr>
                <w:noProof/>
                <w:webHidden/>
              </w:rPr>
              <w:t>73</w:t>
            </w:r>
            <w:r w:rsidR="00AC747D">
              <w:rPr>
                <w:noProof/>
                <w:webHidden/>
              </w:rPr>
              <w:fldChar w:fldCharType="end"/>
            </w:r>
          </w:hyperlink>
        </w:p>
        <w:p w14:paraId="600B6548" w14:textId="77777777" w:rsidR="00AC747D" w:rsidRDefault="00EF75D4">
          <w:pPr>
            <w:pStyle w:val="Spistreci2"/>
            <w:tabs>
              <w:tab w:val="right" w:leader="dot" w:pos="9062"/>
            </w:tabs>
            <w:rPr>
              <w:noProof/>
              <w:lang w:val="pl-PL" w:eastAsia="pl-PL" w:bidi="ar-SA"/>
            </w:rPr>
          </w:pPr>
          <w:hyperlink w:anchor="_Toc424279008" w:history="1">
            <w:r w:rsidR="00AC747D" w:rsidRPr="00843528">
              <w:rPr>
                <w:rStyle w:val="Hipercze"/>
                <w:noProof/>
              </w:rPr>
              <w:t xml:space="preserve">Article 27 </w:t>
            </w:r>
            <w:r w:rsidR="00AC747D" w:rsidRPr="00843528">
              <w:rPr>
                <w:rStyle w:val="Hipercze"/>
                <w:rFonts w:hint="eastAsia"/>
                <w:noProof/>
              </w:rPr>
              <w:t>–</w:t>
            </w:r>
            <w:r w:rsidR="00AC747D" w:rsidRPr="00843528">
              <w:rPr>
                <w:rStyle w:val="Hipercze"/>
                <w:noProof/>
              </w:rPr>
              <w:t xml:space="preserve"> Work and employment</w:t>
            </w:r>
            <w:r w:rsidR="00AC747D">
              <w:rPr>
                <w:noProof/>
                <w:webHidden/>
              </w:rPr>
              <w:tab/>
            </w:r>
            <w:r w:rsidR="00AC747D">
              <w:rPr>
                <w:noProof/>
                <w:webHidden/>
              </w:rPr>
              <w:fldChar w:fldCharType="begin"/>
            </w:r>
            <w:r w:rsidR="00AC747D">
              <w:rPr>
                <w:noProof/>
                <w:webHidden/>
              </w:rPr>
              <w:instrText xml:space="preserve"> PAGEREF _Toc424279008 \h </w:instrText>
            </w:r>
            <w:r w:rsidR="00AC747D">
              <w:rPr>
                <w:noProof/>
                <w:webHidden/>
              </w:rPr>
            </w:r>
            <w:r w:rsidR="00AC747D">
              <w:rPr>
                <w:noProof/>
                <w:webHidden/>
              </w:rPr>
              <w:fldChar w:fldCharType="separate"/>
            </w:r>
            <w:r w:rsidR="0053391A">
              <w:rPr>
                <w:noProof/>
                <w:webHidden/>
              </w:rPr>
              <w:t>84</w:t>
            </w:r>
            <w:r w:rsidR="00AC747D">
              <w:rPr>
                <w:noProof/>
                <w:webHidden/>
              </w:rPr>
              <w:fldChar w:fldCharType="end"/>
            </w:r>
          </w:hyperlink>
        </w:p>
        <w:p w14:paraId="3039700C" w14:textId="77777777" w:rsidR="00AC747D" w:rsidRDefault="00EF75D4">
          <w:pPr>
            <w:pStyle w:val="Spistreci2"/>
            <w:tabs>
              <w:tab w:val="right" w:leader="dot" w:pos="9062"/>
            </w:tabs>
            <w:rPr>
              <w:noProof/>
              <w:lang w:val="pl-PL" w:eastAsia="pl-PL" w:bidi="ar-SA"/>
            </w:rPr>
          </w:pPr>
          <w:hyperlink w:anchor="_Toc424279009" w:history="1">
            <w:r w:rsidR="00AC747D" w:rsidRPr="00843528">
              <w:rPr>
                <w:rStyle w:val="Hipercze"/>
                <w:noProof/>
              </w:rPr>
              <w:t xml:space="preserve">Article 28 </w:t>
            </w:r>
            <w:r w:rsidR="00AC747D" w:rsidRPr="00843528">
              <w:rPr>
                <w:rStyle w:val="Hipercze"/>
                <w:rFonts w:hint="eastAsia"/>
                <w:noProof/>
              </w:rPr>
              <w:t>–</w:t>
            </w:r>
            <w:r w:rsidR="00AC747D" w:rsidRPr="00843528">
              <w:rPr>
                <w:rStyle w:val="Hipercze"/>
                <w:noProof/>
              </w:rPr>
              <w:t xml:space="preserve"> Adequate standard of living and social protection</w:t>
            </w:r>
            <w:r w:rsidR="00AC747D">
              <w:rPr>
                <w:noProof/>
                <w:webHidden/>
              </w:rPr>
              <w:tab/>
            </w:r>
            <w:r w:rsidR="00AC747D">
              <w:rPr>
                <w:noProof/>
                <w:webHidden/>
              </w:rPr>
              <w:fldChar w:fldCharType="begin"/>
            </w:r>
            <w:r w:rsidR="00AC747D">
              <w:rPr>
                <w:noProof/>
                <w:webHidden/>
              </w:rPr>
              <w:instrText xml:space="preserve"> PAGEREF _Toc424279009 \h </w:instrText>
            </w:r>
            <w:r w:rsidR="00AC747D">
              <w:rPr>
                <w:noProof/>
                <w:webHidden/>
              </w:rPr>
            </w:r>
            <w:r w:rsidR="00AC747D">
              <w:rPr>
                <w:noProof/>
                <w:webHidden/>
              </w:rPr>
              <w:fldChar w:fldCharType="separate"/>
            </w:r>
            <w:r w:rsidR="0053391A">
              <w:rPr>
                <w:noProof/>
                <w:webHidden/>
              </w:rPr>
              <w:t>94</w:t>
            </w:r>
            <w:r w:rsidR="00AC747D">
              <w:rPr>
                <w:noProof/>
                <w:webHidden/>
              </w:rPr>
              <w:fldChar w:fldCharType="end"/>
            </w:r>
          </w:hyperlink>
        </w:p>
        <w:p w14:paraId="268C3DA0" w14:textId="77777777" w:rsidR="00AC747D" w:rsidRDefault="00EF75D4">
          <w:pPr>
            <w:pStyle w:val="Spistreci2"/>
            <w:tabs>
              <w:tab w:val="right" w:leader="dot" w:pos="9062"/>
            </w:tabs>
            <w:rPr>
              <w:noProof/>
              <w:lang w:val="pl-PL" w:eastAsia="pl-PL" w:bidi="ar-SA"/>
            </w:rPr>
          </w:pPr>
          <w:hyperlink w:anchor="_Toc424279010" w:history="1">
            <w:r w:rsidR="00AC747D" w:rsidRPr="00843528">
              <w:rPr>
                <w:rStyle w:val="Hipercze"/>
                <w:noProof/>
              </w:rPr>
              <w:t xml:space="preserve">Article 29 </w:t>
            </w:r>
            <w:r w:rsidR="00AC747D" w:rsidRPr="00843528">
              <w:rPr>
                <w:rStyle w:val="Hipercze"/>
                <w:rFonts w:hint="eastAsia"/>
                <w:noProof/>
              </w:rPr>
              <w:t>–</w:t>
            </w:r>
            <w:r w:rsidR="00AC747D" w:rsidRPr="00843528">
              <w:rPr>
                <w:rStyle w:val="Hipercze"/>
                <w:noProof/>
              </w:rPr>
              <w:t xml:space="preserve"> Participation in political and public life</w:t>
            </w:r>
            <w:r w:rsidR="00AC747D">
              <w:rPr>
                <w:noProof/>
                <w:webHidden/>
              </w:rPr>
              <w:tab/>
            </w:r>
            <w:r w:rsidR="00AC747D">
              <w:rPr>
                <w:noProof/>
                <w:webHidden/>
              </w:rPr>
              <w:fldChar w:fldCharType="begin"/>
            </w:r>
            <w:r w:rsidR="00AC747D">
              <w:rPr>
                <w:noProof/>
                <w:webHidden/>
              </w:rPr>
              <w:instrText xml:space="preserve"> PAGEREF _Toc424279010 \h </w:instrText>
            </w:r>
            <w:r w:rsidR="00AC747D">
              <w:rPr>
                <w:noProof/>
                <w:webHidden/>
              </w:rPr>
            </w:r>
            <w:r w:rsidR="00AC747D">
              <w:rPr>
                <w:noProof/>
                <w:webHidden/>
              </w:rPr>
              <w:fldChar w:fldCharType="separate"/>
            </w:r>
            <w:r w:rsidR="0053391A">
              <w:rPr>
                <w:noProof/>
                <w:webHidden/>
              </w:rPr>
              <w:t>102</w:t>
            </w:r>
            <w:r w:rsidR="00AC747D">
              <w:rPr>
                <w:noProof/>
                <w:webHidden/>
              </w:rPr>
              <w:fldChar w:fldCharType="end"/>
            </w:r>
          </w:hyperlink>
        </w:p>
        <w:p w14:paraId="6D24DE9E" w14:textId="77777777" w:rsidR="00AC747D" w:rsidRDefault="00EF75D4">
          <w:pPr>
            <w:pStyle w:val="Spistreci2"/>
            <w:tabs>
              <w:tab w:val="right" w:leader="dot" w:pos="9062"/>
            </w:tabs>
            <w:rPr>
              <w:noProof/>
              <w:lang w:val="pl-PL" w:eastAsia="pl-PL" w:bidi="ar-SA"/>
            </w:rPr>
          </w:pPr>
          <w:hyperlink w:anchor="_Toc424279011" w:history="1">
            <w:r w:rsidR="00AC747D" w:rsidRPr="00843528">
              <w:rPr>
                <w:rStyle w:val="Hipercze"/>
                <w:noProof/>
              </w:rPr>
              <w:t xml:space="preserve">Article 30 </w:t>
            </w:r>
            <w:r w:rsidR="00AC747D" w:rsidRPr="00843528">
              <w:rPr>
                <w:rStyle w:val="Hipercze"/>
                <w:rFonts w:hint="eastAsia"/>
                <w:noProof/>
              </w:rPr>
              <w:t>–</w:t>
            </w:r>
            <w:r w:rsidR="00AC747D" w:rsidRPr="00843528">
              <w:rPr>
                <w:rStyle w:val="Hipercze"/>
                <w:noProof/>
              </w:rPr>
              <w:t xml:space="preserve"> Participation in cultural life, recreation, leisure and sport</w:t>
            </w:r>
            <w:r w:rsidR="00AC747D">
              <w:rPr>
                <w:noProof/>
                <w:webHidden/>
              </w:rPr>
              <w:tab/>
            </w:r>
            <w:r w:rsidR="00AC747D">
              <w:rPr>
                <w:noProof/>
                <w:webHidden/>
              </w:rPr>
              <w:fldChar w:fldCharType="begin"/>
            </w:r>
            <w:r w:rsidR="00AC747D">
              <w:rPr>
                <w:noProof/>
                <w:webHidden/>
              </w:rPr>
              <w:instrText xml:space="preserve"> PAGEREF _Toc424279011 \h </w:instrText>
            </w:r>
            <w:r w:rsidR="00AC747D">
              <w:rPr>
                <w:noProof/>
                <w:webHidden/>
              </w:rPr>
            </w:r>
            <w:r w:rsidR="00AC747D">
              <w:rPr>
                <w:noProof/>
                <w:webHidden/>
              </w:rPr>
              <w:fldChar w:fldCharType="separate"/>
            </w:r>
            <w:r w:rsidR="0053391A">
              <w:rPr>
                <w:noProof/>
                <w:webHidden/>
              </w:rPr>
              <w:t>106</w:t>
            </w:r>
            <w:r w:rsidR="00AC747D">
              <w:rPr>
                <w:noProof/>
                <w:webHidden/>
              </w:rPr>
              <w:fldChar w:fldCharType="end"/>
            </w:r>
          </w:hyperlink>
        </w:p>
        <w:p w14:paraId="3A7D35C8" w14:textId="77777777" w:rsidR="00AC747D" w:rsidRDefault="00EF75D4">
          <w:pPr>
            <w:pStyle w:val="Spistreci1"/>
            <w:rPr>
              <w:noProof/>
              <w:lang w:val="pl-PL" w:eastAsia="pl-PL" w:bidi="ar-SA"/>
            </w:rPr>
          </w:pPr>
          <w:hyperlink w:anchor="_Toc424279012" w:history="1">
            <w:r w:rsidR="00AC747D" w:rsidRPr="00843528">
              <w:rPr>
                <w:rStyle w:val="Hipercze"/>
                <w:noProof/>
              </w:rPr>
              <w:t>V.</w:t>
            </w:r>
            <w:r w:rsidR="00AC747D">
              <w:rPr>
                <w:noProof/>
                <w:lang w:val="pl-PL" w:eastAsia="pl-PL" w:bidi="ar-SA"/>
              </w:rPr>
              <w:tab/>
            </w:r>
            <w:r w:rsidR="00AC747D" w:rsidRPr="00843528">
              <w:rPr>
                <w:rStyle w:val="Hipercze"/>
                <w:noProof/>
              </w:rPr>
              <w:t>Information on the reservations and interpretation declaration to the provisions of the Convention filed by Poland</w:t>
            </w:r>
            <w:r w:rsidR="00AC747D">
              <w:rPr>
                <w:noProof/>
                <w:webHidden/>
              </w:rPr>
              <w:tab/>
            </w:r>
            <w:r w:rsidR="00AC747D">
              <w:rPr>
                <w:noProof/>
                <w:webHidden/>
              </w:rPr>
              <w:fldChar w:fldCharType="begin"/>
            </w:r>
            <w:r w:rsidR="00AC747D">
              <w:rPr>
                <w:noProof/>
                <w:webHidden/>
              </w:rPr>
              <w:instrText xml:space="preserve"> PAGEREF _Toc424279012 \h </w:instrText>
            </w:r>
            <w:r w:rsidR="00AC747D">
              <w:rPr>
                <w:noProof/>
                <w:webHidden/>
              </w:rPr>
            </w:r>
            <w:r w:rsidR="00AC747D">
              <w:rPr>
                <w:noProof/>
                <w:webHidden/>
              </w:rPr>
              <w:fldChar w:fldCharType="separate"/>
            </w:r>
            <w:r w:rsidR="0053391A">
              <w:rPr>
                <w:noProof/>
                <w:webHidden/>
              </w:rPr>
              <w:t>110</w:t>
            </w:r>
            <w:r w:rsidR="00AC747D">
              <w:rPr>
                <w:noProof/>
                <w:webHidden/>
              </w:rPr>
              <w:fldChar w:fldCharType="end"/>
            </w:r>
          </w:hyperlink>
        </w:p>
        <w:p w14:paraId="70850029" w14:textId="77777777" w:rsidR="00AC747D" w:rsidRDefault="00EF75D4">
          <w:pPr>
            <w:pStyle w:val="Spistreci1"/>
            <w:rPr>
              <w:noProof/>
              <w:lang w:val="pl-PL" w:eastAsia="pl-PL" w:bidi="ar-SA"/>
            </w:rPr>
          </w:pPr>
          <w:hyperlink w:anchor="_Toc424279013" w:history="1">
            <w:r w:rsidR="00AC747D" w:rsidRPr="00843528">
              <w:rPr>
                <w:rStyle w:val="Hipercze"/>
                <w:noProof/>
              </w:rPr>
              <w:t>VI.</w:t>
            </w:r>
            <w:r w:rsidR="00AC747D">
              <w:rPr>
                <w:noProof/>
                <w:lang w:val="pl-PL" w:eastAsia="pl-PL" w:bidi="ar-SA"/>
              </w:rPr>
              <w:tab/>
            </w:r>
            <w:r w:rsidR="00AC747D" w:rsidRPr="00843528">
              <w:rPr>
                <w:rStyle w:val="Hipercze"/>
                <w:noProof/>
              </w:rPr>
              <w:t>Information on the consultation procedure and the involvement of civic society in the process of drawing up the alternative report</w:t>
            </w:r>
            <w:r w:rsidR="00AC747D">
              <w:rPr>
                <w:noProof/>
                <w:webHidden/>
              </w:rPr>
              <w:tab/>
            </w:r>
            <w:r w:rsidR="00AC747D">
              <w:rPr>
                <w:noProof/>
                <w:webHidden/>
              </w:rPr>
              <w:fldChar w:fldCharType="begin"/>
            </w:r>
            <w:r w:rsidR="00AC747D">
              <w:rPr>
                <w:noProof/>
                <w:webHidden/>
              </w:rPr>
              <w:instrText xml:space="preserve"> PAGEREF _Toc424279013 \h </w:instrText>
            </w:r>
            <w:r w:rsidR="00AC747D">
              <w:rPr>
                <w:noProof/>
                <w:webHidden/>
              </w:rPr>
            </w:r>
            <w:r w:rsidR="00AC747D">
              <w:rPr>
                <w:noProof/>
                <w:webHidden/>
              </w:rPr>
              <w:fldChar w:fldCharType="separate"/>
            </w:r>
            <w:r w:rsidR="0053391A">
              <w:rPr>
                <w:noProof/>
                <w:webHidden/>
              </w:rPr>
              <w:t>114</w:t>
            </w:r>
            <w:r w:rsidR="00AC747D">
              <w:rPr>
                <w:noProof/>
                <w:webHidden/>
              </w:rPr>
              <w:fldChar w:fldCharType="end"/>
            </w:r>
          </w:hyperlink>
        </w:p>
        <w:p w14:paraId="3964222D" w14:textId="77777777" w:rsidR="00AC747D" w:rsidRDefault="00EF75D4">
          <w:pPr>
            <w:pStyle w:val="Spistreci1"/>
            <w:rPr>
              <w:noProof/>
              <w:lang w:val="pl-PL" w:eastAsia="pl-PL" w:bidi="ar-SA"/>
            </w:rPr>
          </w:pPr>
          <w:hyperlink w:anchor="_Toc424279014" w:history="1">
            <w:r w:rsidR="00AC747D" w:rsidRPr="00843528">
              <w:rPr>
                <w:rStyle w:val="Hipercze"/>
                <w:noProof/>
              </w:rPr>
              <w:t>References:</w:t>
            </w:r>
            <w:r w:rsidR="00AC747D">
              <w:rPr>
                <w:noProof/>
                <w:webHidden/>
              </w:rPr>
              <w:tab/>
            </w:r>
            <w:r w:rsidR="00AC747D">
              <w:rPr>
                <w:noProof/>
                <w:webHidden/>
              </w:rPr>
              <w:fldChar w:fldCharType="begin"/>
            </w:r>
            <w:r w:rsidR="00AC747D">
              <w:rPr>
                <w:noProof/>
                <w:webHidden/>
              </w:rPr>
              <w:instrText xml:space="preserve"> PAGEREF _Toc424279014 \h </w:instrText>
            </w:r>
            <w:r w:rsidR="00AC747D">
              <w:rPr>
                <w:noProof/>
                <w:webHidden/>
              </w:rPr>
            </w:r>
            <w:r w:rsidR="00AC747D">
              <w:rPr>
                <w:noProof/>
                <w:webHidden/>
              </w:rPr>
              <w:fldChar w:fldCharType="separate"/>
            </w:r>
            <w:r w:rsidR="0053391A">
              <w:rPr>
                <w:noProof/>
                <w:webHidden/>
              </w:rPr>
              <w:t>114</w:t>
            </w:r>
            <w:r w:rsidR="00AC747D">
              <w:rPr>
                <w:noProof/>
                <w:webHidden/>
              </w:rPr>
              <w:fldChar w:fldCharType="end"/>
            </w:r>
          </w:hyperlink>
        </w:p>
        <w:p w14:paraId="517FE6CC" w14:textId="77777777" w:rsidR="00AC747D" w:rsidRDefault="00EF75D4">
          <w:pPr>
            <w:pStyle w:val="Spistreci1"/>
            <w:rPr>
              <w:noProof/>
              <w:lang w:val="pl-PL" w:eastAsia="pl-PL" w:bidi="ar-SA"/>
            </w:rPr>
          </w:pPr>
          <w:hyperlink w:anchor="_Toc424279015" w:history="1">
            <w:r w:rsidR="00AC747D" w:rsidRPr="00843528">
              <w:rPr>
                <w:rStyle w:val="Hipercze"/>
                <w:noProof/>
              </w:rPr>
              <w:t>List of reports and other studies quoted:</w:t>
            </w:r>
            <w:r w:rsidR="00AC747D">
              <w:rPr>
                <w:noProof/>
                <w:webHidden/>
              </w:rPr>
              <w:tab/>
            </w:r>
            <w:r w:rsidR="00AC747D">
              <w:rPr>
                <w:noProof/>
                <w:webHidden/>
              </w:rPr>
              <w:fldChar w:fldCharType="begin"/>
            </w:r>
            <w:r w:rsidR="00AC747D">
              <w:rPr>
                <w:noProof/>
                <w:webHidden/>
              </w:rPr>
              <w:instrText xml:space="preserve"> PAGEREF _Toc424279015 \h </w:instrText>
            </w:r>
            <w:r w:rsidR="00AC747D">
              <w:rPr>
                <w:noProof/>
                <w:webHidden/>
              </w:rPr>
            </w:r>
            <w:r w:rsidR="00AC747D">
              <w:rPr>
                <w:noProof/>
                <w:webHidden/>
              </w:rPr>
              <w:fldChar w:fldCharType="separate"/>
            </w:r>
            <w:r w:rsidR="0053391A">
              <w:rPr>
                <w:noProof/>
                <w:webHidden/>
              </w:rPr>
              <w:t>116</w:t>
            </w:r>
            <w:r w:rsidR="00AC747D">
              <w:rPr>
                <w:noProof/>
                <w:webHidden/>
              </w:rPr>
              <w:fldChar w:fldCharType="end"/>
            </w:r>
          </w:hyperlink>
        </w:p>
        <w:p w14:paraId="32C600C5" w14:textId="77777777" w:rsidR="00AC747D" w:rsidRDefault="00EF75D4">
          <w:pPr>
            <w:pStyle w:val="Spistreci1"/>
            <w:rPr>
              <w:noProof/>
              <w:lang w:val="pl-PL" w:eastAsia="pl-PL" w:bidi="ar-SA"/>
            </w:rPr>
          </w:pPr>
          <w:hyperlink w:anchor="_Toc424279016" w:history="1">
            <w:r w:rsidR="00AC747D" w:rsidRPr="00843528">
              <w:rPr>
                <w:rStyle w:val="Hipercze"/>
                <w:noProof/>
              </w:rPr>
              <w:t>List of legal acts quoted:</w:t>
            </w:r>
            <w:r w:rsidR="00AC747D">
              <w:rPr>
                <w:noProof/>
                <w:webHidden/>
              </w:rPr>
              <w:tab/>
            </w:r>
            <w:r w:rsidR="00AC747D">
              <w:rPr>
                <w:noProof/>
                <w:webHidden/>
              </w:rPr>
              <w:fldChar w:fldCharType="begin"/>
            </w:r>
            <w:r w:rsidR="00AC747D">
              <w:rPr>
                <w:noProof/>
                <w:webHidden/>
              </w:rPr>
              <w:instrText xml:space="preserve"> PAGEREF _Toc424279016 \h </w:instrText>
            </w:r>
            <w:r w:rsidR="00AC747D">
              <w:rPr>
                <w:noProof/>
                <w:webHidden/>
              </w:rPr>
            </w:r>
            <w:r w:rsidR="00AC747D">
              <w:rPr>
                <w:noProof/>
                <w:webHidden/>
              </w:rPr>
              <w:fldChar w:fldCharType="separate"/>
            </w:r>
            <w:r w:rsidR="0053391A">
              <w:rPr>
                <w:noProof/>
                <w:webHidden/>
              </w:rPr>
              <w:t>116</w:t>
            </w:r>
            <w:r w:rsidR="00AC747D">
              <w:rPr>
                <w:noProof/>
                <w:webHidden/>
              </w:rPr>
              <w:fldChar w:fldCharType="end"/>
            </w:r>
          </w:hyperlink>
        </w:p>
        <w:p w14:paraId="7118452E" w14:textId="77777777" w:rsidR="00AC747D" w:rsidRDefault="00EF75D4">
          <w:pPr>
            <w:pStyle w:val="Spistreci1"/>
            <w:rPr>
              <w:noProof/>
              <w:lang w:val="pl-PL" w:eastAsia="pl-PL" w:bidi="ar-SA"/>
            </w:rPr>
          </w:pPr>
          <w:hyperlink w:anchor="_Toc424279017" w:history="1">
            <w:r w:rsidR="00AC747D" w:rsidRPr="00843528">
              <w:rPr>
                <w:rStyle w:val="Hipercze"/>
                <w:noProof/>
              </w:rPr>
              <w:t>List of court rulings quoted:</w:t>
            </w:r>
            <w:r w:rsidR="00AC747D">
              <w:rPr>
                <w:noProof/>
                <w:webHidden/>
              </w:rPr>
              <w:tab/>
            </w:r>
            <w:r w:rsidR="00AC747D">
              <w:rPr>
                <w:noProof/>
                <w:webHidden/>
              </w:rPr>
              <w:fldChar w:fldCharType="begin"/>
            </w:r>
            <w:r w:rsidR="00AC747D">
              <w:rPr>
                <w:noProof/>
                <w:webHidden/>
              </w:rPr>
              <w:instrText xml:space="preserve"> PAGEREF _Toc424279017 \h </w:instrText>
            </w:r>
            <w:r w:rsidR="00AC747D">
              <w:rPr>
                <w:noProof/>
                <w:webHidden/>
              </w:rPr>
            </w:r>
            <w:r w:rsidR="00AC747D">
              <w:rPr>
                <w:noProof/>
                <w:webHidden/>
              </w:rPr>
              <w:fldChar w:fldCharType="separate"/>
            </w:r>
            <w:r w:rsidR="0053391A">
              <w:rPr>
                <w:noProof/>
                <w:webHidden/>
              </w:rPr>
              <w:t>120</w:t>
            </w:r>
            <w:r w:rsidR="00AC747D">
              <w:rPr>
                <w:noProof/>
                <w:webHidden/>
              </w:rPr>
              <w:fldChar w:fldCharType="end"/>
            </w:r>
          </w:hyperlink>
        </w:p>
        <w:p w14:paraId="2DE76C60" w14:textId="77777777" w:rsidR="00457A77" w:rsidRPr="00FE2A27" w:rsidRDefault="00457A77" w:rsidP="00457A77">
          <w:pPr>
            <w:pStyle w:val="Spistreci1"/>
            <w:rPr>
              <w:rFonts w:ascii="Arial" w:hAnsi="Arial" w:cs="Arial"/>
              <w:noProof/>
            </w:rPr>
          </w:pPr>
          <w:r w:rsidRPr="00FE2A27">
            <w:rPr>
              <w:rFonts w:ascii="Arial" w:hAnsi="Arial" w:cs="Arial"/>
              <w:b/>
              <w:bCs/>
            </w:rPr>
            <w:fldChar w:fldCharType="end"/>
          </w:r>
        </w:p>
      </w:sdtContent>
    </w:sdt>
    <w:p w14:paraId="1D59992D" w14:textId="77777777" w:rsidR="00685C8A" w:rsidRPr="00FB78F4" w:rsidRDefault="00685C8A" w:rsidP="00886940">
      <w:pPr>
        <w:pStyle w:val="Nagwek1"/>
      </w:pPr>
      <w:bookmarkStart w:id="1" w:name="_Toc403999526"/>
      <w:bookmarkStart w:id="2" w:name="_Toc424278990"/>
      <w:r>
        <w:lastRenderedPageBreak/>
        <w:t>Introduction</w:t>
      </w:r>
      <w:bookmarkEnd w:id="1"/>
      <w:bookmarkEnd w:id="2"/>
    </w:p>
    <w:p w14:paraId="2FA937C9" w14:textId="130996EF" w:rsidR="002E0900" w:rsidRDefault="006F53C2" w:rsidP="006F53C2">
      <w:pPr>
        <w:spacing w:after="0" w:line="360" w:lineRule="auto"/>
        <w:ind w:firstLine="567"/>
        <w:jc w:val="both"/>
        <w:rPr>
          <w:rFonts w:ascii="Arial" w:hAnsi="Arial" w:cs="Arial"/>
        </w:rPr>
      </w:pPr>
      <w:r>
        <w:rPr>
          <w:rFonts w:ascii="Arial" w:hAnsi="Arial"/>
        </w:rPr>
        <w:t>Upon ratifying the Convention on the Rights of Persons with Disabilities (Convention or CRPD) Poland undertook to regularly submit to the Committee on the Rights of Persons with Disabilities a report on the measures taken to give effect to the obligations arising from the Convention and on the progress made  in that regard</w:t>
      </w:r>
      <w:r>
        <w:rPr>
          <w:rFonts w:ascii="Arial" w:hAnsi="Arial"/>
          <w:vertAlign w:val="superscript"/>
        </w:rPr>
        <w:footnoteReference w:id="1"/>
      </w:r>
      <w:r>
        <w:rPr>
          <w:rFonts w:ascii="Arial" w:hAnsi="Arial"/>
        </w:rPr>
        <w:t>. The government of the Republic of Poland shall be responsible for drawing up the said report. The Human Rights Defender (hereinafter also referred to as: Ombudsman or HRD) who serves as the Polish independent mechanism to promote, protect and monitor the implementation of CRPD in turn draws up their own report on the implementation of the obligations arising from the Convention.</w:t>
      </w:r>
    </w:p>
    <w:p w14:paraId="09CDF2F7" w14:textId="5B047ED3" w:rsidR="006F53C2" w:rsidRDefault="006F53C2" w:rsidP="006F53C2">
      <w:pPr>
        <w:spacing w:after="0" w:line="360" w:lineRule="auto"/>
        <w:ind w:firstLine="567"/>
        <w:jc w:val="both"/>
        <w:rPr>
          <w:rFonts w:ascii="Arial" w:hAnsi="Arial" w:cs="Arial"/>
        </w:rPr>
      </w:pPr>
      <w:r>
        <w:rPr>
          <w:rFonts w:ascii="Arial" w:hAnsi="Arial"/>
        </w:rPr>
        <w:t>The purpose of the report drawn up by the Ombudsman is to present the progress and successes as well as major problems and obstacles in implementing individual rights established in the Convention from the viewpoint of the authority that does not belong to governmental structures and is not directly responsible for effecting the obligations arising from the Convention. However, reviewing the report drawn up by the government is not the objective of this report.</w:t>
      </w:r>
    </w:p>
    <w:p w14:paraId="3CEE9225" w14:textId="14DC0243" w:rsidR="00F421E7" w:rsidRDefault="005B6C21" w:rsidP="00F421E7">
      <w:pPr>
        <w:spacing w:after="0" w:line="360" w:lineRule="auto"/>
        <w:ind w:firstLine="567"/>
        <w:jc w:val="both"/>
        <w:rPr>
          <w:rFonts w:ascii="Arial" w:hAnsi="Arial" w:cs="Arial"/>
        </w:rPr>
      </w:pPr>
      <w:r>
        <w:rPr>
          <w:rFonts w:ascii="Arial" w:hAnsi="Arial"/>
        </w:rPr>
        <w:t>The Report of the Human Rights Defender refers exclusively to the selected obligations arising from the Convention. Upon making that selection, the Ombudsman on one hand considered the significance of the problems noticed in individual areas, and on the other hand – availability of information and data on implementation of individual rights of persons with disabilities. During the work the Ombudsman used both its own analyses and research as well as publicly available statistical data gathered by other public entities. The position presented in this report has been subjected to extensive social consultations, and the comments submitted in the course of the consultations had a significant impact on the final wording of this document</w:t>
      </w:r>
      <w:r>
        <w:rPr>
          <w:rStyle w:val="Odwoanieprzypisudolnego"/>
          <w:rFonts w:ascii="Arial" w:hAnsi="Arial"/>
        </w:rPr>
        <w:footnoteReference w:id="2"/>
      </w:r>
      <w:r>
        <w:rPr>
          <w:rFonts w:ascii="Arial" w:hAnsi="Arial"/>
        </w:rPr>
        <w:t>. Nevertheless, the conclusions and the recommendations presented by the Ombudsman should not be treated as a position of any other public institution, social organisation, or a private person.</w:t>
      </w:r>
    </w:p>
    <w:p w14:paraId="276979EC" w14:textId="3BA59106" w:rsidR="008A5DC5" w:rsidRPr="007B2B28" w:rsidRDefault="00AF504D" w:rsidP="007B2B28">
      <w:pPr>
        <w:spacing w:after="0" w:line="360" w:lineRule="auto"/>
        <w:ind w:firstLine="567"/>
        <w:jc w:val="both"/>
        <w:rPr>
          <w:rFonts w:ascii="Arial" w:hAnsi="Arial" w:cs="Arial"/>
        </w:rPr>
      </w:pPr>
      <w:r>
        <w:rPr>
          <w:rFonts w:ascii="Arial" w:hAnsi="Arial"/>
        </w:rPr>
        <w:t xml:space="preserve">While writing about the Convention, the Ombudsman uses its official title under which it was published in the official register of legal acts. There is no doubt that the correct translation of the Convention’s title should be: </w:t>
      </w:r>
      <w:r>
        <w:rPr>
          <w:rFonts w:ascii="Arial" w:hAnsi="Arial"/>
          <w:i/>
        </w:rPr>
        <w:t>Convention on the Rights of Persons with Disabilities</w:t>
      </w:r>
      <w:r>
        <w:rPr>
          <w:rFonts w:ascii="Arial" w:hAnsi="Arial"/>
        </w:rPr>
        <w:t xml:space="preserve">, instead of the current Polish wording: </w:t>
      </w:r>
      <w:r>
        <w:rPr>
          <w:rFonts w:ascii="Arial" w:hAnsi="Arial"/>
          <w:i/>
        </w:rPr>
        <w:t>Convention of the Rights of Disabled Persons.</w:t>
      </w:r>
      <w:r>
        <w:rPr>
          <w:rFonts w:ascii="Arial" w:hAnsi="Arial"/>
        </w:rPr>
        <w:t xml:space="preserve"> However, considering that in Poland both terms: </w:t>
      </w:r>
      <w:r>
        <w:rPr>
          <w:rFonts w:ascii="Arial" w:hAnsi="Arial"/>
          <w:i/>
        </w:rPr>
        <w:t>disabled person</w:t>
      </w:r>
      <w:r>
        <w:rPr>
          <w:rFonts w:ascii="Arial" w:hAnsi="Arial"/>
        </w:rPr>
        <w:t xml:space="preserve"> and </w:t>
      </w:r>
      <w:r>
        <w:rPr>
          <w:rFonts w:ascii="Arial" w:hAnsi="Arial"/>
          <w:i/>
        </w:rPr>
        <w:t>person with disability</w:t>
      </w:r>
      <w:r>
        <w:rPr>
          <w:rFonts w:ascii="Arial" w:hAnsi="Arial"/>
        </w:rPr>
        <w:t xml:space="preserve"> are used interchangeably in practice, these terms are also used in this manner in this text.</w:t>
      </w:r>
    </w:p>
    <w:p w14:paraId="14771C78" w14:textId="77777777" w:rsidR="008A5DC5" w:rsidRPr="009E79BF" w:rsidRDefault="008A5DC5" w:rsidP="00886940">
      <w:pPr>
        <w:pStyle w:val="Nagwek1"/>
      </w:pPr>
      <w:bookmarkStart w:id="3" w:name="_Toc403999527"/>
      <w:bookmarkStart w:id="4" w:name="_Toc424278991"/>
      <w:r>
        <w:lastRenderedPageBreak/>
        <w:t>Summary of the most important conclusions and recommendations</w:t>
      </w:r>
      <w:bookmarkEnd w:id="3"/>
      <w:bookmarkEnd w:id="4"/>
    </w:p>
    <w:p w14:paraId="66D924CC" w14:textId="4B5325FB" w:rsidR="00AE1699" w:rsidRDefault="00AE1699" w:rsidP="00392689">
      <w:pPr>
        <w:spacing w:after="0" w:line="360" w:lineRule="auto"/>
        <w:ind w:firstLine="567"/>
        <w:jc w:val="both"/>
        <w:rPr>
          <w:rFonts w:ascii="Arial" w:hAnsi="Arial" w:cs="Arial"/>
        </w:rPr>
      </w:pPr>
      <w:r>
        <w:rPr>
          <w:rFonts w:ascii="Arial" w:hAnsi="Arial"/>
        </w:rPr>
        <w:t xml:space="preserve">Ratification of the Convention on the Rights of Persons with Disabilities by Poland confirmed the right of persons with disabilities to full and equal exercising of all human rights and fundamental freedoms as well as respecting inherent dignity. However, the results of the research and analyses carried out by the Human Rights Defender indicate that in order for these rights to become real, it is necessary to </w:t>
      </w:r>
      <w:r>
        <w:rPr>
          <w:rFonts w:ascii="Arial" w:hAnsi="Arial"/>
          <w:b/>
        </w:rPr>
        <w:t>depart from focusing on medical aspects of disability and move towards the social integration and activation</w:t>
      </w:r>
      <w:r>
        <w:rPr>
          <w:rFonts w:ascii="Arial" w:hAnsi="Arial"/>
        </w:rPr>
        <w:t>. For this purpose, it is also necessary to introduce changes of legislative character as well as to change the practical application of the provisions of law. Below you will find the most important conclusions and recommendations regarding the implementation by Poland of the obligations arising from the Convention on the Rights of Persons with Disabilities.</w:t>
      </w:r>
    </w:p>
    <w:p w14:paraId="336596E1" w14:textId="77777777" w:rsidR="00582A62" w:rsidRDefault="00582A62" w:rsidP="00582A62">
      <w:pPr>
        <w:spacing w:after="0" w:line="360" w:lineRule="auto"/>
        <w:ind w:firstLine="567"/>
        <w:jc w:val="both"/>
        <w:rPr>
          <w:rFonts w:ascii="Arial" w:hAnsi="Arial" w:cs="Arial"/>
        </w:rPr>
      </w:pPr>
      <w:r>
        <w:rPr>
          <w:rFonts w:ascii="Arial" w:hAnsi="Arial"/>
        </w:rPr>
        <w:t>According to the Human Rights Defender, in order to fully implement the rights established in the Convention on the Rights of Persons with Disabilities it is necessary to:</w:t>
      </w:r>
    </w:p>
    <w:p w14:paraId="5B59F760" w14:textId="77777777" w:rsidR="00582A62" w:rsidRPr="00582A62" w:rsidRDefault="00582A62" w:rsidP="003D345C">
      <w:pPr>
        <w:numPr>
          <w:ilvl w:val="0"/>
          <w:numId w:val="27"/>
        </w:numPr>
        <w:spacing w:after="0" w:line="360" w:lineRule="auto"/>
        <w:ind w:left="284" w:hanging="284"/>
        <w:jc w:val="both"/>
        <w:rPr>
          <w:rFonts w:ascii="Arial" w:hAnsi="Arial" w:cs="Arial"/>
        </w:rPr>
      </w:pPr>
      <w:r>
        <w:rPr>
          <w:rFonts w:ascii="Arial" w:hAnsi="Arial"/>
        </w:rPr>
        <w:t xml:space="preserve">adopt </w:t>
      </w:r>
      <w:r>
        <w:rPr>
          <w:rFonts w:ascii="Arial" w:hAnsi="Arial"/>
          <w:b/>
        </w:rPr>
        <w:t>a national strategy on implementing the provisions of the Convention</w:t>
      </w:r>
      <w:r>
        <w:rPr>
          <w:rFonts w:ascii="Arial" w:hAnsi="Arial"/>
        </w:rPr>
        <w:t xml:space="preserve"> on the Rights of Persons with Disabilities and prepare indicators and related national reference framework for each right established by the Convention;</w:t>
      </w:r>
    </w:p>
    <w:p w14:paraId="2573FC36" w14:textId="77777777" w:rsidR="00582A62" w:rsidRPr="00582A62" w:rsidRDefault="00582A62" w:rsidP="003D345C">
      <w:pPr>
        <w:numPr>
          <w:ilvl w:val="0"/>
          <w:numId w:val="27"/>
        </w:numPr>
        <w:spacing w:after="0" w:line="360" w:lineRule="auto"/>
        <w:ind w:left="284" w:hanging="284"/>
        <w:jc w:val="both"/>
        <w:rPr>
          <w:rFonts w:ascii="Arial" w:hAnsi="Arial" w:cs="Arial"/>
        </w:rPr>
      </w:pPr>
      <w:r>
        <w:rPr>
          <w:rFonts w:ascii="Arial" w:hAnsi="Arial"/>
        </w:rPr>
        <w:t xml:space="preserve">prepare and implement </w:t>
      </w:r>
      <w:r>
        <w:rPr>
          <w:rFonts w:ascii="Arial" w:hAnsi="Arial"/>
          <w:b/>
        </w:rPr>
        <w:t>a uniform assessment system</w:t>
      </w:r>
      <w:r>
        <w:rPr>
          <w:rFonts w:ascii="Arial" w:hAnsi="Arial"/>
        </w:rPr>
        <w:t xml:space="preserve"> with respect to the functioning of the persons with disabilities in all areas of life, including education, work, social security and healthcare. This system should be based on functional diagnosis of persons with disabilities using the definition based on the social model of disability;</w:t>
      </w:r>
    </w:p>
    <w:p w14:paraId="6D9F7164" w14:textId="03CC2679" w:rsidR="00582A62" w:rsidRDefault="00582A62" w:rsidP="003D345C">
      <w:pPr>
        <w:numPr>
          <w:ilvl w:val="0"/>
          <w:numId w:val="27"/>
        </w:numPr>
        <w:spacing w:after="0" w:line="360" w:lineRule="auto"/>
        <w:ind w:left="284" w:hanging="284"/>
        <w:jc w:val="both"/>
        <w:rPr>
          <w:rFonts w:ascii="Arial" w:hAnsi="Arial" w:cs="Arial"/>
        </w:rPr>
      </w:pPr>
      <w:r>
        <w:rPr>
          <w:rFonts w:ascii="Arial" w:hAnsi="Arial"/>
        </w:rPr>
        <w:t xml:space="preserve">define clearly </w:t>
      </w:r>
      <w:r>
        <w:rPr>
          <w:rFonts w:ascii="Arial" w:hAnsi="Arial"/>
          <w:b/>
        </w:rPr>
        <w:t>which rights are granted to persons with disabilities depending on the type of assessment held</w:t>
      </w:r>
      <w:r>
        <w:rPr>
          <w:rFonts w:ascii="Arial" w:hAnsi="Arial"/>
        </w:rPr>
        <w:t xml:space="preserve"> (legal disability) and which rights arise from the very fact of the existence of the disability (biological disability);</w:t>
      </w:r>
    </w:p>
    <w:p w14:paraId="18CDF800" w14:textId="77777777" w:rsidR="00D51186" w:rsidRDefault="00D51186" w:rsidP="003D345C">
      <w:pPr>
        <w:numPr>
          <w:ilvl w:val="0"/>
          <w:numId w:val="27"/>
        </w:numPr>
        <w:spacing w:after="0" w:line="360" w:lineRule="auto"/>
        <w:ind w:left="284" w:hanging="284"/>
        <w:jc w:val="both"/>
        <w:rPr>
          <w:rFonts w:ascii="Arial" w:hAnsi="Arial" w:cs="Arial"/>
        </w:rPr>
      </w:pPr>
      <w:r>
        <w:rPr>
          <w:rFonts w:ascii="Arial" w:hAnsi="Arial"/>
          <w:b/>
        </w:rPr>
        <w:t>abolish the instrument of legal incapacitation</w:t>
      </w:r>
      <w:r>
        <w:rPr>
          <w:rFonts w:ascii="Arial" w:hAnsi="Arial"/>
        </w:rPr>
        <w:t xml:space="preserve"> and introduce various forms of support based on the model of supported decision-making;</w:t>
      </w:r>
    </w:p>
    <w:p w14:paraId="30AFD66B" w14:textId="24733F6E" w:rsidR="00065676" w:rsidRPr="00D51186" w:rsidRDefault="00065676" w:rsidP="003D345C">
      <w:pPr>
        <w:numPr>
          <w:ilvl w:val="0"/>
          <w:numId w:val="27"/>
        </w:numPr>
        <w:spacing w:after="0" w:line="360" w:lineRule="auto"/>
        <w:ind w:left="284" w:hanging="284"/>
        <w:jc w:val="both"/>
        <w:rPr>
          <w:rFonts w:ascii="Arial" w:hAnsi="Arial" w:cs="Arial"/>
        </w:rPr>
      </w:pPr>
      <w:r>
        <w:rPr>
          <w:rFonts w:ascii="Arial" w:hAnsi="Arial"/>
          <w:b/>
        </w:rPr>
        <w:t xml:space="preserve">depart from the prohibition to marry </w:t>
      </w:r>
      <w:r>
        <w:rPr>
          <w:rFonts w:ascii="Arial" w:hAnsi="Arial"/>
        </w:rPr>
        <w:t>in order to</w:t>
      </w:r>
      <w:r>
        <w:rPr>
          <w:rFonts w:ascii="Arial" w:hAnsi="Arial"/>
          <w:b/>
        </w:rPr>
        <w:t xml:space="preserve"> </w:t>
      </w:r>
      <w:r>
        <w:rPr>
          <w:rFonts w:ascii="Arial" w:hAnsi="Arial"/>
        </w:rPr>
        <w:t>ensure the right to marry to persons with disabilities on the basis of a freely given and full consent of the future spouses;</w:t>
      </w:r>
    </w:p>
    <w:p w14:paraId="64C1861C" w14:textId="77777777" w:rsidR="00582A62" w:rsidRDefault="00D51186" w:rsidP="003D345C">
      <w:pPr>
        <w:numPr>
          <w:ilvl w:val="0"/>
          <w:numId w:val="27"/>
        </w:numPr>
        <w:spacing w:after="0" w:line="360" w:lineRule="auto"/>
        <w:ind w:left="284" w:hanging="284"/>
        <w:jc w:val="both"/>
        <w:rPr>
          <w:rFonts w:ascii="Arial" w:hAnsi="Arial" w:cs="Arial"/>
        </w:rPr>
      </w:pPr>
      <w:r>
        <w:rPr>
          <w:rFonts w:ascii="Arial" w:hAnsi="Arial"/>
          <w:b/>
        </w:rPr>
        <w:t>strengthen the protection of persons with disabilities against discrimination</w:t>
      </w:r>
      <w:r>
        <w:rPr>
          <w:rFonts w:ascii="Arial" w:hAnsi="Arial"/>
        </w:rPr>
        <w:t xml:space="preserve"> at least at the level of the guarantees present in the area of preventing discrimination on the grounds of race, nationality or ethnicity;</w:t>
      </w:r>
    </w:p>
    <w:p w14:paraId="6F42C5B2" w14:textId="77777777" w:rsidR="00D51186" w:rsidRDefault="00D51186" w:rsidP="003D345C">
      <w:pPr>
        <w:numPr>
          <w:ilvl w:val="0"/>
          <w:numId w:val="27"/>
        </w:numPr>
        <w:spacing w:after="0" w:line="360" w:lineRule="auto"/>
        <w:ind w:left="284" w:hanging="284"/>
        <w:jc w:val="both"/>
        <w:rPr>
          <w:rFonts w:ascii="Arial" w:hAnsi="Arial" w:cs="Arial"/>
        </w:rPr>
      </w:pPr>
      <w:r>
        <w:rPr>
          <w:rFonts w:ascii="Arial" w:hAnsi="Arial"/>
        </w:rPr>
        <w:t xml:space="preserve">design developed environment as well as products, programmes and services </w:t>
      </w:r>
      <w:r>
        <w:rPr>
          <w:rFonts w:ascii="Arial" w:hAnsi="Arial"/>
          <w:b/>
        </w:rPr>
        <w:t xml:space="preserve">in line with the </w:t>
      </w:r>
      <w:r>
        <w:rPr>
          <w:rFonts w:ascii="Arial" w:hAnsi="Arial"/>
          <w:b/>
          <w:i/>
        </w:rPr>
        <w:t>Universal Design</w:t>
      </w:r>
      <w:r>
        <w:rPr>
          <w:rFonts w:ascii="Arial" w:hAnsi="Arial"/>
          <w:b/>
        </w:rPr>
        <w:t xml:space="preserve"> principles</w:t>
      </w:r>
      <w:r>
        <w:rPr>
          <w:rFonts w:ascii="Arial" w:hAnsi="Arial"/>
        </w:rPr>
        <w:t>;</w:t>
      </w:r>
    </w:p>
    <w:p w14:paraId="6FA74296" w14:textId="078C4CE4" w:rsidR="00D51186" w:rsidRDefault="00D51186" w:rsidP="003D345C">
      <w:pPr>
        <w:numPr>
          <w:ilvl w:val="0"/>
          <w:numId w:val="27"/>
        </w:numPr>
        <w:spacing w:after="0" w:line="360" w:lineRule="auto"/>
        <w:ind w:left="284" w:hanging="284"/>
        <w:jc w:val="both"/>
        <w:rPr>
          <w:rFonts w:ascii="Arial" w:hAnsi="Arial" w:cs="Arial"/>
        </w:rPr>
      </w:pPr>
      <w:r>
        <w:rPr>
          <w:rFonts w:ascii="Arial" w:hAnsi="Arial"/>
        </w:rPr>
        <w:t xml:space="preserve">adopt and implement </w:t>
      </w:r>
      <w:r>
        <w:rPr>
          <w:rFonts w:ascii="Arial" w:hAnsi="Arial"/>
          <w:b/>
        </w:rPr>
        <w:t>the Act on access to free legal assistance</w:t>
      </w:r>
      <w:r>
        <w:rPr>
          <w:rFonts w:ascii="Arial" w:hAnsi="Arial"/>
        </w:rPr>
        <w:t xml:space="preserve"> considering the specific needs of persons with disabilities;</w:t>
      </w:r>
    </w:p>
    <w:p w14:paraId="7EB25752" w14:textId="1283305D" w:rsidR="002214A1" w:rsidRDefault="002214A1" w:rsidP="003D345C">
      <w:pPr>
        <w:numPr>
          <w:ilvl w:val="0"/>
          <w:numId w:val="27"/>
        </w:numPr>
        <w:spacing w:after="0" w:line="360" w:lineRule="auto"/>
        <w:ind w:left="284" w:hanging="284"/>
        <w:jc w:val="both"/>
        <w:rPr>
          <w:rFonts w:ascii="Arial" w:hAnsi="Arial" w:cs="Arial"/>
        </w:rPr>
      </w:pPr>
      <w:r>
        <w:rPr>
          <w:rFonts w:ascii="Arial" w:hAnsi="Arial"/>
          <w:b/>
        </w:rPr>
        <w:lastRenderedPageBreak/>
        <w:t>eliminate the cases of inhuman and humiliating treatment</w:t>
      </w:r>
      <w:r>
        <w:rPr>
          <w:rFonts w:ascii="Arial" w:hAnsi="Arial"/>
        </w:rPr>
        <w:t xml:space="preserve"> of persons with disabilities that are deprived of their liberties by the personnel of the facilities they stay in; </w:t>
      </w:r>
      <w:r>
        <w:rPr>
          <w:rFonts w:ascii="Arial" w:hAnsi="Arial" w:cs="Arial"/>
        </w:rPr>
        <w:br/>
      </w:r>
      <w:r>
        <w:rPr>
          <w:rFonts w:ascii="Arial" w:hAnsi="Arial"/>
          <w:b/>
        </w:rPr>
        <w:t>strengthen the protection of persons with disabilities against violence</w:t>
      </w:r>
      <w:r>
        <w:rPr>
          <w:rFonts w:ascii="Arial" w:hAnsi="Arial"/>
        </w:rPr>
        <w:t>, including domestic violence;</w:t>
      </w:r>
    </w:p>
    <w:p w14:paraId="1ACCD51C" w14:textId="77777777" w:rsidR="002214A1" w:rsidRDefault="002214A1" w:rsidP="003D345C">
      <w:pPr>
        <w:numPr>
          <w:ilvl w:val="0"/>
          <w:numId w:val="27"/>
        </w:numPr>
        <w:spacing w:after="0" w:line="360" w:lineRule="auto"/>
        <w:ind w:left="284" w:hanging="284"/>
        <w:jc w:val="both"/>
        <w:rPr>
          <w:rFonts w:ascii="Arial" w:hAnsi="Arial" w:cs="Arial"/>
        </w:rPr>
      </w:pPr>
      <w:r>
        <w:rPr>
          <w:rFonts w:ascii="Arial" w:hAnsi="Arial"/>
        </w:rPr>
        <w:t xml:space="preserve">intensify activities in the area of </w:t>
      </w:r>
      <w:r>
        <w:rPr>
          <w:rFonts w:ascii="Arial" w:hAnsi="Arial"/>
          <w:b/>
        </w:rPr>
        <w:t>departing from institutionalised care</w:t>
      </w:r>
      <w:r>
        <w:rPr>
          <w:rFonts w:ascii="Arial" w:hAnsi="Arial"/>
        </w:rPr>
        <w:t xml:space="preserve"> and moving towards the care provided at the level of local communities (the so-called de-institutionalisation);</w:t>
      </w:r>
    </w:p>
    <w:p w14:paraId="3853996A" w14:textId="4C76D8A4" w:rsidR="00E71910" w:rsidRDefault="00E71910" w:rsidP="003D345C">
      <w:pPr>
        <w:numPr>
          <w:ilvl w:val="0"/>
          <w:numId w:val="27"/>
        </w:numPr>
        <w:spacing w:after="0" w:line="360" w:lineRule="auto"/>
        <w:ind w:left="284" w:hanging="284"/>
        <w:jc w:val="both"/>
        <w:rPr>
          <w:rFonts w:ascii="Arial" w:hAnsi="Arial" w:cs="Arial"/>
        </w:rPr>
      </w:pPr>
      <w:r>
        <w:rPr>
          <w:rFonts w:ascii="Arial" w:hAnsi="Arial"/>
        </w:rPr>
        <w:t xml:space="preserve">introduce and promote the </w:t>
      </w:r>
      <w:r>
        <w:rPr>
          <w:rFonts w:ascii="Arial" w:hAnsi="Arial"/>
          <w:b/>
        </w:rPr>
        <w:t>personal assistant instrument</w:t>
      </w:r>
      <w:r>
        <w:rPr>
          <w:rFonts w:ascii="Arial" w:hAnsi="Arial"/>
        </w:rPr>
        <w:t xml:space="preserve"> for persons with disabilities;</w:t>
      </w:r>
    </w:p>
    <w:p w14:paraId="3F185170" w14:textId="77777777" w:rsidR="00065676" w:rsidRDefault="00065676" w:rsidP="003D345C">
      <w:pPr>
        <w:numPr>
          <w:ilvl w:val="0"/>
          <w:numId w:val="27"/>
        </w:numPr>
        <w:spacing w:after="0" w:line="360" w:lineRule="auto"/>
        <w:ind w:left="284" w:hanging="284"/>
        <w:jc w:val="both"/>
        <w:rPr>
          <w:rFonts w:ascii="Arial" w:hAnsi="Arial" w:cs="Arial"/>
        </w:rPr>
      </w:pPr>
      <w:r>
        <w:rPr>
          <w:rFonts w:ascii="Arial" w:hAnsi="Arial"/>
          <w:b/>
        </w:rPr>
        <w:t>adapt all websites of public institutions</w:t>
      </w:r>
      <w:r>
        <w:rPr>
          <w:rFonts w:ascii="Arial" w:hAnsi="Arial"/>
        </w:rPr>
        <w:t xml:space="preserve"> to the needs of persons with disabilities;</w:t>
      </w:r>
    </w:p>
    <w:p w14:paraId="2B06677B" w14:textId="77777777" w:rsidR="002B305E" w:rsidRPr="002B305E" w:rsidRDefault="002214A1" w:rsidP="003D345C">
      <w:pPr>
        <w:numPr>
          <w:ilvl w:val="0"/>
          <w:numId w:val="27"/>
        </w:numPr>
        <w:spacing w:after="0" w:line="360" w:lineRule="auto"/>
        <w:ind w:left="284" w:hanging="284"/>
        <w:jc w:val="both"/>
        <w:rPr>
          <w:rFonts w:ascii="Arial" w:hAnsi="Arial" w:cs="Arial"/>
        </w:rPr>
      </w:pPr>
      <w:r>
        <w:rPr>
          <w:rFonts w:ascii="Arial" w:hAnsi="Arial"/>
        </w:rPr>
        <w:t xml:space="preserve">undertake activities intended to bring about the rights of the persons who are deaf or deafblind to communicate with the public administration authorities using non-verbal communication, i.e. </w:t>
      </w:r>
      <w:r>
        <w:rPr>
          <w:rFonts w:ascii="Arial" w:hAnsi="Arial"/>
          <w:b/>
        </w:rPr>
        <w:t>Polish Sign Language</w:t>
      </w:r>
      <w:r>
        <w:rPr>
          <w:rFonts w:ascii="Arial" w:hAnsi="Arial"/>
        </w:rPr>
        <w:t>;</w:t>
      </w:r>
    </w:p>
    <w:p w14:paraId="22F90D5B" w14:textId="72770D6C" w:rsidR="002214A1" w:rsidRDefault="002214A1" w:rsidP="003D345C">
      <w:pPr>
        <w:numPr>
          <w:ilvl w:val="0"/>
          <w:numId w:val="27"/>
        </w:numPr>
        <w:spacing w:after="0" w:line="360" w:lineRule="auto"/>
        <w:ind w:left="284" w:hanging="284"/>
        <w:jc w:val="both"/>
        <w:rPr>
          <w:rFonts w:ascii="Arial" w:hAnsi="Arial" w:cs="Arial"/>
        </w:rPr>
      </w:pPr>
      <w:r>
        <w:rPr>
          <w:rFonts w:ascii="Arial" w:hAnsi="Arial"/>
        </w:rPr>
        <w:t xml:space="preserve">promote other alternative forms of communication, i.e.: </w:t>
      </w:r>
      <w:r>
        <w:rPr>
          <w:rFonts w:ascii="Arial" w:hAnsi="Arial"/>
          <w:b/>
        </w:rPr>
        <w:t>language that is easy to read, supporting forms</w:t>
      </w:r>
      <w:r>
        <w:rPr>
          <w:rFonts w:ascii="Arial" w:hAnsi="Arial"/>
        </w:rPr>
        <w:t xml:space="preserve"> (augmentative);</w:t>
      </w:r>
    </w:p>
    <w:p w14:paraId="47822377" w14:textId="46DF6BF2" w:rsidR="00065676" w:rsidRDefault="00065676" w:rsidP="003D345C">
      <w:pPr>
        <w:numPr>
          <w:ilvl w:val="0"/>
          <w:numId w:val="27"/>
        </w:numPr>
        <w:spacing w:after="0" w:line="360" w:lineRule="auto"/>
        <w:ind w:left="284" w:hanging="284"/>
        <w:jc w:val="both"/>
        <w:rPr>
          <w:rFonts w:ascii="Arial" w:hAnsi="Arial" w:cs="Arial"/>
        </w:rPr>
      </w:pPr>
      <w:r>
        <w:rPr>
          <w:rFonts w:ascii="Arial" w:hAnsi="Arial"/>
        </w:rPr>
        <w:t xml:space="preserve">bring about the right of persons with disabilities to </w:t>
      </w:r>
      <w:r>
        <w:rPr>
          <w:rFonts w:ascii="Arial" w:hAnsi="Arial"/>
          <w:b/>
        </w:rPr>
        <w:t>inclusive education,</w:t>
      </w:r>
      <w:r w:rsidR="00DD01A0">
        <w:rPr>
          <w:rFonts w:ascii="Arial" w:hAnsi="Arial"/>
        </w:rPr>
        <w:t xml:space="preserve"> so that as large </w:t>
      </w:r>
      <w:r>
        <w:rPr>
          <w:rFonts w:ascii="Arial" w:hAnsi="Arial"/>
        </w:rPr>
        <w:t>group of students as possible at each level of education attended public schools, as close to their place of residence as possible;</w:t>
      </w:r>
    </w:p>
    <w:p w14:paraId="66976A0A" w14:textId="77777777" w:rsidR="00065676" w:rsidRDefault="00065676" w:rsidP="003D345C">
      <w:pPr>
        <w:numPr>
          <w:ilvl w:val="0"/>
          <w:numId w:val="27"/>
        </w:numPr>
        <w:spacing w:after="0" w:line="360" w:lineRule="auto"/>
        <w:ind w:left="284" w:hanging="284"/>
        <w:jc w:val="both"/>
        <w:rPr>
          <w:rFonts w:ascii="Arial" w:hAnsi="Arial" w:cs="Arial"/>
        </w:rPr>
      </w:pPr>
      <w:r>
        <w:rPr>
          <w:rFonts w:ascii="Arial" w:hAnsi="Arial"/>
        </w:rPr>
        <w:t xml:space="preserve">ensure a packet of </w:t>
      </w:r>
      <w:r>
        <w:rPr>
          <w:rFonts w:ascii="Arial" w:hAnsi="Arial"/>
          <w:b/>
        </w:rPr>
        <w:t>guaranteed rehabilitation services</w:t>
      </w:r>
      <w:r>
        <w:rPr>
          <w:rFonts w:ascii="Arial" w:hAnsi="Arial"/>
        </w:rPr>
        <w:t xml:space="preserve"> determined individually for each person with disability based on a functional diagnosis that is subject to periodic review;</w:t>
      </w:r>
    </w:p>
    <w:p w14:paraId="59CBEB5B" w14:textId="2AAEAA98" w:rsidR="008A4F6C" w:rsidRDefault="008A4F6C" w:rsidP="003D345C">
      <w:pPr>
        <w:numPr>
          <w:ilvl w:val="0"/>
          <w:numId w:val="27"/>
        </w:numPr>
        <w:spacing w:after="0" w:line="360" w:lineRule="auto"/>
        <w:ind w:left="284" w:hanging="284"/>
        <w:jc w:val="both"/>
        <w:rPr>
          <w:rFonts w:ascii="Arial" w:hAnsi="Arial" w:cs="Arial"/>
        </w:rPr>
      </w:pPr>
      <w:r>
        <w:rPr>
          <w:rFonts w:ascii="Arial" w:hAnsi="Arial"/>
        </w:rPr>
        <w:t xml:space="preserve">design the social security system in such a way so that, on one hand, to ensure </w:t>
      </w:r>
      <w:r>
        <w:rPr>
          <w:rFonts w:ascii="Arial" w:hAnsi="Arial"/>
          <w:b/>
        </w:rPr>
        <w:t>compensation of higher support costs to persons with disabilities and families with persons with disabilities</w:t>
      </w:r>
      <w:r>
        <w:rPr>
          <w:rFonts w:ascii="Arial" w:hAnsi="Arial"/>
        </w:rPr>
        <w:t xml:space="preserve"> and, on the other hand, to remove or significantly decrease obstacles preventing taking up employment </w:t>
      </w:r>
      <w:r>
        <w:rPr>
          <w:rFonts w:ascii="Arial" w:hAnsi="Arial"/>
          <w:b/>
        </w:rPr>
        <w:t>on the open labour market</w:t>
      </w:r>
      <w:r>
        <w:rPr>
          <w:rFonts w:ascii="Arial" w:hAnsi="Arial"/>
        </w:rPr>
        <w:t xml:space="preserve"> by persons with disabilities in productive age;</w:t>
      </w:r>
    </w:p>
    <w:p w14:paraId="7F10E735" w14:textId="77777777" w:rsidR="008A4F6C" w:rsidRDefault="008A4F6C" w:rsidP="003D345C">
      <w:pPr>
        <w:numPr>
          <w:ilvl w:val="0"/>
          <w:numId w:val="27"/>
        </w:numPr>
        <w:spacing w:after="0" w:line="360" w:lineRule="auto"/>
        <w:ind w:left="284" w:hanging="284"/>
        <w:jc w:val="both"/>
        <w:rPr>
          <w:rFonts w:ascii="Arial" w:hAnsi="Arial" w:cs="Arial"/>
        </w:rPr>
      </w:pPr>
      <w:r>
        <w:rPr>
          <w:rFonts w:ascii="Arial" w:hAnsi="Arial"/>
        </w:rPr>
        <w:t xml:space="preserve">ensure that persons with intellectual or mental disabilities </w:t>
      </w:r>
      <w:r>
        <w:rPr>
          <w:rFonts w:ascii="Arial" w:hAnsi="Arial"/>
          <w:b/>
        </w:rPr>
        <w:t>are not arbitrarily deprived of the right to vote and to stand in election</w:t>
      </w:r>
      <w:r>
        <w:rPr>
          <w:rFonts w:ascii="Arial" w:hAnsi="Arial"/>
        </w:rPr>
        <w:t xml:space="preserve"> as well as </w:t>
      </w:r>
      <w:r>
        <w:rPr>
          <w:rFonts w:ascii="Arial" w:hAnsi="Arial"/>
          <w:b/>
        </w:rPr>
        <w:t>create the conditions that make it possible to exercise the freedom of association and of assembly</w:t>
      </w:r>
      <w:r>
        <w:rPr>
          <w:rFonts w:ascii="Arial" w:hAnsi="Arial"/>
        </w:rPr>
        <w:t xml:space="preserve"> by all persons with disabilities.</w:t>
      </w:r>
    </w:p>
    <w:p w14:paraId="4682E4B3" w14:textId="77777777" w:rsidR="00E14FE3" w:rsidRPr="00E14FE3" w:rsidRDefault="00E14FE3" w:rsidP="00E14FE3">
      <w:pPr>
        <w:spacing w:after="0" w:line="360" w:lineRule="auto"/>
        <w:jc w:val="both"/>
        <w:rPr>
          <w:rFonts w:ascii="Arial" w:hAnsi="Arial" w:cs="Arial"/>
          <w:sz w:val="16"/>
          <w:szCs w:val="16"/>
        </w:rPr>
      </w:pPr>
    </w:p>
    <w:p w14:paraId="75663815" w14:textId="1692B1AA" w:rsidR="005F50D0" w:rsidRDefault="00E14FE3" w:rsidP="00AC747D">
      <w:pPr>
        <w:spacing w:after="0" w:line="360" w:lineRule="auto"/>
        <w:ind w:firstLine="567"/>
        <w:jc w:val="both"/>
        <w:rPr>
          <w:rFonts w:ascii="Arial" w:hAnsi="Arial" w:cs="Arial"/>
          <w:b/>
        </w:rPr>
      </w:pPr>
      <w:r>
        <w:rPr>
          <w:rFonts w:ascii="Arial" w:hAnsi="Arial"/>
        </w:rPr>
        <w:t>The justification of the recommendations presented above as well as detailed conclusions on the implementation of the obligations arising from the Convention on the Rights of Persons with Disabilities were discussed later on in this report.</w:t>
      </w:r>
    </w:p>
    <w:p w14:paraId="6D827057" w14:textId="177A9ADF" w:rsidR="00457A77" w:rsidRDefault="00457A77">
      <w:pPr>
        <w:rPr>
          <w:rFonts w:ascii="Arial" w:hAnsi="Arial" w:cs="Arial"/>
          <w:b/>
        </w:rPr>
      </w:pPr>
      <w:r>
        <w:br w:type="page"/>
      </w:r>
    </w:p>
    <w:p w14:paraId="401CBD68" w14:textId="77777777" w:rsidR="00C073E5" w:rsidRPr="00886940" w:rsidRDefault="00C073E5" w:rsidP="00886940">
      <w:pPr>
        <w:pStyle w:val="Nagwek1"/>
        <w:numPr>
          <w:ilvl w:val="0"/>
          <w:numId w:val="58"/>
        </w:numPr>
      </w:pPr>
      <w:bookmarkStart w:id="5" w:name="_Toc403999528"/>
      <w:bookmarkStart w:id="6" w:name="_Toc424278992"/>
      <w:r>
        <w:lastRenderedPageBreak/>
        <w:t>General information about the Human Rights Defender</w:t>
      </w:r>
      <w:bookmarkEnd w:id="5"/>
      <w:bookmarkEnd w:id="6"/>
    </w:p>
    <w:p w14:paraId="3B37FE06" w14:textId="5D821901" w:rsidR="00513A67" w:rsidRDefault="00513A67" w:rsidP="001813AA">
      <w:pPr>
        <w:spacing w:after="0" w:line="360" w:lineRule="auto"/>
        <w:ind w:firstLine="567"/>
        <w:jc w:val="both"/>
        <w:rPr>
          <w:rFonts w:ascii="Arial" w:hAnsi="Arial" w:cs="Arial"/>
        </w:rPr>
      </w:pPr>
      <w:r>
        <w:rPr>
          <w:rFonts w:ascii="Arial" w:hAnsi="Arial"/>
        </w:rPr>
        <w:t xml:space="preserve">The Human Rights Defender is a constitution-based state authority established to protect the rights and freedoms of persons and citizens operating in line with the so-called </w:t>
      </w:r>
      <w:r>
        <w:rPr>
          <w:rFonts w:ascii="Arial" w:hAnsi="Arial"/>
          <w:i/>
        </w:rPr>
        <w:t>Paris Principles</w:t>
      </w:r>
      <w:r>
        <w:rPr>
          <w:rStyle w:val="Odwoanieprzypisudolnego"/>
          <w:rFonts w:ascii="Arial" w:hAnsi="Arial"/>
        </w:rPr>
        <w:footnoteReference w:id="3"/>
      </w:r>
      <w:r>
        <w:rPr>
          <w:rFonts w:ascii="Arial" w:hAnsi="Arial"/>
        </w:rPr>
        <w:t>. The Ombudsman is impartial and independent of other state authorities and answers only to the Sejm in line with the principles stipulated in the Act on the Human Rights Defender</w:t>
      </w:r>
      <w:r>
        <w:rPr>
          <w:rStyle w:val="Odwoanieprzypisudolnego"/>
          <w:rFonts w:ascii="Arial" w:hAnsi="Arial"/>
        </w:rPr>
        <w:footnoteReference w:id="4"/>
      </w:r>
      <w:r>
        <w:rPr>
          <w:rFonts w:ascii="Arial" w:hAnsi="Arial"/>
        </w:rPr>
        <w:t>.</w:t>
      </w:r>
    </w:p>
    <w:p w14:paraId="6E190844" w14:textId="07F0AD72" w:rsidR="00914A95" w:rsidRPr="00914A95" w:rsidRDefault="00C414E9" w:rsidP="001813AA">
      <w:pPr>
        <w:spacing w:after="0" w:line="360" w:lineRule="auto"/>
        <w:ind w:firstLine="567"/>
        <w:jc w:val="both"/>
        <w:rPr>
          <w:rFonts w:ascii="Arial" w:hAnsi="Arial" w:cs="Arial"/>
        </w:rPr>
      </w:pPr>
      <w:r>
        <w:rPr>
          <w:rFonts w:ascii="Arial" w:hAnsi="Arial"/>
        </w:rPr>
        <w:t xml:space="preserve">The constitution guarantees to each and every person the right to turn to the Ombudsman with a request for protection of their freedoms or rights infringed by public authorities. Thus, the Ombudsman protects the freedoms and rights of both citizens as well as foreigners or stateless persons under the jurisdiction of the Republic of Poland, as well as  of legal entities and organisational units that do not have legal capacity but may be the object of rights and duties. </w:t>
      </w:r>
      <w:r>
        <w:rPr>
          <w:rFonts w:ascii="Arial" w:hAnsi="Arial"/>
          <w:b/>
        </w:rPr>
        <w:t>The Ombudsman also considers motions of persons with disabilities,</w:t>
      </w:r>
      <w:r>
        <w:rPr>
          <w:rFonts w:ascii="Arial" w:hAnsi="Arial"/>
        </w:rPr>
        <w:t xml:space="preserve"> including legally incapacitated persons, and the Ombudsman does not analyse the capacity for legal acts of the applicant. Persons with disabilities may file a motion to the Ombudsman both in person and via a third party, as well as via organisations that represent them. A motion filed with the Ombudsman is free of any fees and does not require any particular form. HRD may also undertake actions ex officio.</w:t>
      </w:r>
    </w:p>
    <w:p w14:paraId="515EFB9C" w14:textId="2E08C7E2" w:rsidR="00914A95" w:rsidRDefault="00914A95" w:rsidP="001813AA">
      <w:pPr>
        <w:spacing w:after="0" w:line="360" w:lineRule="auto"/>
        <w:ind w:firstLine="567"/>
        <w:jc w:val="both"/>
        <w:rPr>
          <w:rFonts w:ascii="Arial" w:hAnsi="Arial" w:cs="Arial"/>
        </w:rPr>
      </w:pPr>
      <w:r>
        <w:rPr>
          <w:rFonts w:ascii="Arial" w:hAnsi="Arial"/>
        </w:rPr>
        <w:t>The inspections carried out by HRD apply to public authorities, organisations and other institutions obliged to comply with and exercise the freedoms and rights of persons and citizens as well as the principles of public life and social justice. However, the Ombudsman’s competences do not extend to actions or inactions of natural persons or other private law entities.</w:t>
      </w:r>
    </w:p>
    <w:p w14:paraId="43E76085" w14:textId="77777777" w:rsidR="000814E6" w:rsidRDefault="000814E6" w:rsidP="001813AA">
      <w:pPr>
        <w:spacing w:after="0" w:line="360" w:lineRule="auto"/>
        <w:ind w:firstLine="567"/>
        <w:jc w:val="both"/>
        <w:rPr>
          <w:rFonts w:ascii="Arial" w:hAnsi="Arial" w:cs="Arial"/>
        </w:rPr>
      </w:pPr>
      <w:r>
        <w:rPr>
          <w:rFonts w:ascii="Arial" w:hAnsi="Arial"/>
        </w:rPr>
        <w:t>The Human Rights Defender may file a notice to an authority, organisation or institution whose operations, according to HRD, infringe the freedoms and rights of persons and citizens.</w:t>
      </w:r>
      <w:r>
        <w:rPr>
          <w:rFonts w:ascii="Times New Roman" w:hAnsi="Times New Roman"/>
          <w:sz w:val="23"/>
        </w:rPr>
        <w:t xml:space="preserve"> </w:t>
      </w:r>
      <w:r>
        <w:rPr>
          <w:rFonts w:ascii="Arial" w:hAnsi="Arial"/>
        </w:rPr>
        <w:t xml:space="preserve">The notices filed by the Ombudsman contain comments, conclusions or recommendations drafted as a consequence of analyses of individual and general matters handled. However, the Ombudsman is not able to impose its position on the inspected entities, to resolve disputes or to finalise the affairs, meaning to manage. The Ombudsman has no right to initiate legislation, yet the Ombudsman is entitled to apply to authorities that do have that right to exercise it. The notice of the Ombudsman may also pertain to issuing or amending legal acts of executive character. The Human Rights Defender has also extensive </w:t>
      </w:r>
      <w:r>
        <w:rPr>
          <w:rFonts w:ascii="Arial" w:hAnsi="Arial"/>
        </w:rPr>
        <w:lastRenderedPageBreak/>
        <w:t xml:space="preserve">entitlements to stand before the Constitutional Tribunal, the common courts and the Supreme Court. </w:t>
      </w:r>
    </w:p>
    <w:p w14:paraId="1E6EA7C8" w14:textId="1AD21736" w:rsidR="0077251F" w:rsidRPr="000814E6" w:rsidRDefault="0077251F" w:rsidP="001813AA">
      <w:pPr>
        <w:spacing w:after="0" w:line="360" w:lineRule="auto"/>
        <w:ind w:firstLine="567"/>
        <w:jc w:val="both"/>
        <w:rPr>
          <w:rFonts w:ascii="Arial" w:hAnsi="Arial" w:cs="Arial"/>
        </w:rPr>
      </w:pPr>
      <w:r>
        <w:rPr>
          <w:rFonts w:ascii="Arial" w:hAnsi="Arial"/>
        </w:rPr>
        <w:t>Pursuant to the Act on the implementation of some regulations of European Union regarding equal treatment</w:t>
      </w:r>
      <w:r>
        <w:rPr>
          <w:rFonts w:ascii="Arial" w:hAnsi="Arial"/>
          <w:vertAlign w:val="superscript"/>
        </w:rPr>
        <w:footnoteReference w:id="5"/>
      </w:r>
      <w:r>
        <w:rPr>
          <w:rFonts w:ascii="Arial" w:hAnsi="Arial"/>
        </w:rPr>
        <w:t>, the Ombudsman also performs the tasks of an independent authority for the implementation of the equal treatment principle, including the principle of non-discrimination on the grounds of disability.</w:t>
      </w:r>
    </w:p>
    <w:p w14:paraId="162778DA" w14:textId="08305FF9" w:rsidR="0077251F" w:rsidRPr="0077251F" w:rsidRDefault="0077251F" w:rsidP="001813AA">
      <w:pPr>
        <w:spacing w:after="0" w:line="360" w:lineRule="auto"/>
        <w:ind w:firstLine="567"/>
        <w:jc w:val="both"/>
        <w:rPr>
          <w:rFonts w:ascii="Arial" w:hAnsi="Arial" w:cs="Arial"/>
        </w:rPr>
      </w:pPr>
      <w:r>
        <w:rPr>
          <w:rFonts w:ascii="Arial" w:hAnsi="Arial"/>
        </w:rPr>
        <w:t xml:space="preserve">The fundamental tasks of the Ombudsman in this respect include considering the motions filed to the Ombudsman, including complaints on the infringement of the equal treatment principle and undertaking relevant actions, in line with the Act on the Human Rights Defender. As regards the implementation of the equal treatment principles, the Ombudsman is also obliged to perform extensively defined new tasks. These new tasks include: </w:t>
      </w:r>
    </w:p>
    <w:p w14:paraId="03540AD5" w14:textId="77777777" w:rsidR="0077251F" w:rsidRPr="0077251F" w:rsidRDefault="0077251F" w:rsidP="003D345C">
      <w:pPr>
        <w:numPr>
          <w:ilvl w:val="0"/>
          <w:numId w:val="18"/>
        </w:numPr>
        <w:tabs>
          <w:tab w:val="clear" w:pos="720"/>
          <w:tab w:val="num" w:pos="284"/>
        </w:tabs>
        <w:spacing w:after="0" w:line="360" w:lineRule="auto"/>
        <w:ind w:left="284" w:hanging="284"/>
        <w:jc w:val="both"/>
        <w:rPr>
          <w:rFonts w:ascii="Arial" w:hAnsi="Arial" w:cs="Arial"/>
        </w:rPr>
      </w:pPr>
      <w:r>
        <w:rPr>
          <w:rFonts w:ascii="Arial" w:hAnsi="Arial"/>
        </w:rPr>
        <w:t>analysing, monitoring and supporting equal treatment of all persons;</w:t>
      </w:r>
    </w:p>
    <w:p w14:paraId="4A30335E" w14:textId="77777777" w:rsidR="0077251F" w:rsidRPr="0077251F" w:rsidRDefault="0077251F" w:rsidP="003D345C">
      <w:pPr>
        <w:numPr>
          <w:ilvl w:val="0"/>
          <w:numId w:val="18"/>
        </w:numPr>
        <w:tabs>
          <w:tab w:val="clear" w:pos="720"/>
          <w:tab w:val="num" w:pos="284"/>
        </w:tabs>
        <w:spacing w:after="0" w:line="360" w:lineRule="auto"/>
        <w:ind w:left="284" w:hanging="284"/>
        <w:jc w:val="both"/>
        <w:rPr>
          <w:rFonts w:ascii="Arial" w:hAnsi="Arial" w:cs="Arial"/>
        </w:rPr>
      </w:pPr>
      <w:r>
        <w:rPr>
          <w:rFonts w:ascii="Arial" w:hAnsi="Arial"/>
        </w:rPr>
        <w:t>conducting independent research on discrimination;</w:t>
      </w:r>
    </w:p>
    <w:p w14:paraId="362F7A83" w14:textId="77777777" w:rsidR="0077251F" w:rsidRDefault="0077251F" w:rsidP="003D345C">
      <w:pPr>
        <w:numPr>
          <w:ilvl w:val="0"/>
          <w:numId w:val="18"/>
        </w:numPr>
        <w:tabs>
          <w:tab w:val="clear" w:pos="720"/>
          <w:tab w:val="num" w:pos="284"/>
        </w:tabs>
        <w:spacing w:after="0" w:line="360" w:lineRule="auto"/>
        <w:ind w:left="284" w:hanging="284"/>
        <w:jc w:val="both"/>
        <w:rPr>
          <w:rFonts w:ascii="Arial" w:hAnsi="Arial" w:cs="Arial"/>
        </w:rPr>
      </w:pPr>
      <w:r>
        <w:rPr>
          <w:rFonts w:ascii="Arial" w:hAnsi="Arial"/>
        </w:rPr>
        <w:t>drawing up and publishing independent reports and issuing recommendations regarding problems related to discrimination.</w:t>
      </w:r>
    </w:p>
    <w:p w14:paraId="567BCA81" w14:textId="77777777" w:rsidR="00EF6608" w:rsidRDefault="00EF6608" w:rsidP="001813AA">
      <w:pPr>
        <w:spacing w:after="0" w:line="360" w:lineRule="auto"/>
        <w:ind w:firstLine="567"/>
        <w:jc w:val="both"/>
        <w:rPr>
          <w:rFonts w:ascii="Arial" w:hAnsi="Arial" w:cs="Arial"/>
        </w:rPr>
      </w:pPr>
      <w:r>
        <w:rPr>
          <w:rFonts w:ascii="Arial" w:hAnsi="Arial"/>
        </w:rPr>
        <w:t>In connection with the ratification of the Convention on the Rights of Persons with Disabilities by Poland</w:t>
      </w:r>
      <w:r>
        <w:rPr>
          <w:rFonts w:ascii="Arial" w:hAnsi="Arial"/>
          <w:vertAlign w:val="superscript"/>
        </w:rPr>
        <w:footnoteReference w:id="6"/>
      </w:r>
      <w:r>
        <w:rPr>
          <w:rFonts w:ascii="Arial" w:hAnsi="Arial"/>
        </w:rPr>
        <w:t xml:space="preserve">, </w:t>
      </w:r>
      <w:r>
        <w:rPr>
          <w:rFonts w:ascii="Arial" w:hAnsi="Arial"/>
          <w:b/>
        </w:rPr>
        <w:t>the Human Rights Defender was established as the independent authority to promote, protect and monitor the implementation of the provisions of the said Convention</w:t>
      </w:r>
      <w:r>
        <w:rPr>
          <w:rFonts w:ascii="Arial" w:hAnsi="Arial"/>
        </w:rPr>
        <w:t>.</w:t>
      </w:r>
    </w:p>
    <w:p w14:paraId="6614ABAD" w14:textId="77777777" w:rsidR="00B07622" w:rsidRDefault="00B07622" w:rsidP="001813AA">
      <w:pPr>
        <w:spacing w:after="0" w:line="360" w:lineRule="auto"/>
        <w:ind w:firstLine="567"/>
        <w:jc w:val="both"/>
        <w:rPr>
          <w:rFonts w:ascii="Arial" w:hAnsi="Arial" w:cs="Arial"/>
        </w:rPr>
      </w:pPr>
    </w:p>
    <w:p w14:paraId="420AEC81" w14:textId="2C54DC91" w:rsidR="00457A77" w:rsidRDefault="00457A77">
      <w:pPr>
        <w:rPr>
          <w:rFonts w:ascii="Arial" w:hAnsi="Arial" w:cs="Arial"/>
        </w:rPr>
      </w:pPr>
      <w:r>
        <w:br w:type="page"/>
      </w:r>
    </w:p>
    <w:p w14:paraId="7927846D" w14:textId="77777777" w:rsidR="00BF12DB" w:rsidRPr="009E79BF" w:rsidRDefault="00BF12DB" w:rsidP="00053DFB">
      <w:pPr>
        <w:pStyle w:val="Nagwek1"/>
        <w:numPr>
          <w:ilvl w:val="0"/>
          <w:numId w:val="58"/>
        </w:numPr>
        <w:jc w:val="both"/>
      </w:pPr>
      <w:bookmarkStart w:id="7" w:name="_Toc403999529"/>
      <w:bookmarkStart w:id="8" w:name="_Toc424278993"/>
      <w:r>
        <w:lastRenderedPageBreak/>
        <w:t>Information on the manner of implementing and monitoring the Convention at the national level (Article 33 of CRPD)</w:t>
      </w:r>
      <w:bookmarkEnd w:id="7"/>
      <w:bookmarkEnd w:id="8"/>
    </w:p>
    <w:p w14:paraId="7C104EBF" w14:textId="77777777" w:rsidR="005C12F4" w:rsidRPr="00341E15" w:rsidRDefault="005C12F4" w:rsidP="001813AA">
      <w:pPr>
        <w:tabs>
          <w:tab w:val="left" w:pos="7020"/>
        </w:tabs>
        <w:spacing w:after="0" w:line="360" w:lineRule="auto"/>
        <w:jc w:val="right"/>
        <w:rPr>
          <w:rFonts w:ascii="Arial" w:hAnsi="Arial" w:cs="Arial"/>
          <w:sz w:val="16"/>
          <w:szCs w:val="16"/>
        </w:rPr>
      </w:pPr>
    </w:p>
    <w:p w14:paraId="18A9DD9D" w14:textId="17EEB52D" w:rsidR="00B0063B" w:rsidRPr="005C12F4" w:rsidRDefault="005C12F4" w:rsidP="00B94D52">
      <w:pPr>
        <w:pStyle w:val="Akapitzlist"/>
        <w:numPr>
          <w:ilvl w:val="0"/>
          <w:numId w:val="20"/>
        </w:numPr>
        <w:tabs>
          <w:tab w:val="left" w:pos="7020"/>
        </w:tabs>
        <w:spacing w:before="120" w:after="120" w:line="360" w:lineRule="auto"/>
        <w:ind w:left="284" w:hanging="284"/>
        <w:jc w:val="both"/>
        <w:rPr>
          <w:rFonts w:ascii="Arial" w:hAnsi="Arial" w:cs="Arial"/>
          <w:b/>
        </w:rPr>
      </w:pPr>
      <w:r>
        <w:rPr>
          <w:rFonts w:ascii="Arial" w:hAnsi="Arial"/>
          <w:b/>
        </w:rPr>
        <w:t>Focal point</w:t>
      </w:r>
      <w:r>
        <w:rPr>
          <w:rFonts w:ascii="Arial" w:hAnsi="Arial"/>
          <w:b/>
          <w:i/>
        </w:rPr>
        <w:t xml:space="preserve"> </w:t>
      </w:r>
      <w:r>
        <w:rPr>
          <w:rFonts w:ascii="Arial" w:hAnsi="Arial"/>
          <w:b/>
        </w:rPr>
        <w:t xml:space="preserve"> – Article 33(1) of CRPD</w:t>
      </w:r>
    </w:p>
    <w:p w14:paraId="043E5E4B" w14:textId="0A694B0B" w:rsidR="002005EA" w:rsidRDefault="001318E9" w:rsidP="001813AA">
      <w:pPr>
        <w:spacing w:after="0" w:line="360" w:lineRule="auto"/>
        <w:ind w:firstLine="567"/>
        <w:jc w:val="both"/>
        <w:rPr>
          <w:rFonts w:ascii="Arial" w:hAnsi="Arial" w:cs="Arial"/>
        </w:rPr>
      </w:pPr>
      <w:r>
        <w:rPr>
          <w:rFonts w:ascii="Arial" w:hAnsi="Arial"/>
        </w:rPr>
        <w:t xml:space="preserve">In line with Article 33 of the Convention, State Parties are obliged to designate one or more focal points within government for matters relating to the implementation of the Convention. In Poland, this function is served by </w:t>
      </w:r>
      <w:r>
        <w:rPr>
          <w:rFonts w:ascii="Arial" w:hAnsi="Arial"/>
          <w:b/>
        </w:rPr>
        <w:t>the Minister of Labour and Social Policy</w:t>
      </w:r>
      <w:r>
        <w:rPr>
          <w:rFonts w:ascii="Arial" w:hAnsi="Arial"/>
        </w:rPr>
        <w:t xml:space="preserve"> with the assistance of the </w:t>
      </w:r>
      <w:r>
        <w:rPr>
          <w:rFonts w:ascii="Arial" w:hAnsi="Arial"/>
          <w:b/>
        </w:rPr>
        <w:t>Government Plenipotentiary for Persons with Disabilities</w:t>
      </w:r>
      <w:r>
        <w:rPr>
          <w:rFonts w:ascii="Arial" w:hAnsi="Arial"/>
        </w:rPr>
        <w:t xml:space="preserve"> (hereinafter also referred to as: Plenipotentiary). The tasks of the Minister of Labour and Social Policy include managing the “social security” division of the governmental administration, which concerns the affairs in the area of social benefits, employment, social and vocational rehabilitation of persons with disabilities</w:t>
      </w:r>
      <w:r>
        <w:rPr>
          <w:rStyle w:val="Odwoanieprzypisudolnego"/>
          <w:rFonts w:ascii="Arial" w:hAnsi="Arial"/>
        </w:rPr>
        <w:footnoteReference w:id="7"/>
      </w:r>
      <w:r>
        <w:rPr>
          <w:rFonts w:ascii="Arial" w:hAnsi="Arial"/>
        </w:rPr>
        <w:t>. The tasks of the Plenipotentiary include coordination of implementing the tasks arising from the Act on vocational and social rehabilitation and employment of persons with disabilities</w:t>
      </w:r>
      <w:r>
        <w:rPr>
          <w:rStyle w:val="Odwoanieprzypisudolnego"/>
          <w:rFonts w:ascii="Arial" w:hAnsi="Arial"/>
        </w:rPr>
        <w:footnoteReference w:id="8"/>
      </w:r>
      <w:r>
        <w:rPr>
          <w:rFonts w:ascii="Arial" w:hAnsi="Arial"/>
        </w:rPr>
        <w:t>, as well as initiating or conducting inspections of implementing these tasks.</w:t>
      </w:r>
    </w:p>
    <w:p w14:paraId="0584AA1A" w14:textId="77777777" w:rsidR="008D163D" w:rsidRPr="008D163D" w:rsidRDefault="008D163D" w:rsidP="00B94D52">
      <w:pPr>
        <w:pStyle w:val="Akapitzlist"/>
        <w:numPr>
          <w:ilvl w:val="0"/>
          <w:numId w:val="20"/>
        </w:numPr>
        <w:tabs>
          <w:tab w:val="left" w:pos="7020"/>
        </w:tabs>
        <w:spacing w:before="120" w:after="120" w:line="360" w:lineRule="auto"/>
        <w:ind w:left="284" w:hanging="284"/>
        <w:jc w:val="both"/>
        <w:rPr>
          <w:rFonts w:ascii="Arial" w:hAnsi="Arial" w:cs="Arial"/>
          <w:b/>
        </w:rPr>
      </w:pPr>
      <w:r>
        <w:rPr>
          <w:rFonts w:ascii="Arial" w:hAnsi="Arial"/>
          <w:b/>
        </w:rPr>
        <w:t>Coordination mechanism – Article 33(1) of CRPD</w:t>
      </w:r>
    </w:p>
    <w:p w14:paraId="05DFC57A" w14:textId="04708BAA" w:rsidR="002642A3" w:rsidRDefault="00984BF4" w:rsidP="001813AA">
      <w:pPr>
        <w:spacing w:after="0" w:line="360" w:lineRule="auto"/>
        <w:ind w:firstLine="567"/>
        <w:jc w:val="both"/>
        <w:rPr>
          <w:rFonts w:ascii="Arial" w:hAnsi="Arial" w:cs="Arial"/>
        </w:rPr>
      </w:pPr>
      <w:r>
        <w:rPr>
          <w:rFonts w:ascii="Arial" w:hAnsi="Arial"/>
        </w:rPr>
        <w:t xml:space="preserve">At the same time, the Convention encourages the State Parties to establish a coordination mechanism within the government to facilitate the activities related to implementing the Convention in various sectors and at various levels. In line with the position of the government (pages 90 and 91 of the government’s report), this position is served by the Minister of Labour and Social Policy with the help of the Government Plenipotentiary for Persons with Disabilities and the </w:t>
      </w:r>
      <w:r>
        <w:rPr>
          <w:rFonts w:ascii="Arial" w:hAnsi="Arial"/>
          <w:b/>
        </w:rPr>
        <w:t>Team responsible for enforcing the provisions of the Convention on the Rights of Persons with Disabilities</w:t>
      </w:r>
      <w:r>
        <w:rPr>
          <w:rStyle w:val="Odwoanieprzypisudolnego"/>
          <w:rFonts w:ascii="Arial" w:hAnsi="Arial"/>
        </w:rPr>
        <w:footnoteReference w:id="9"/>
      </w:r>
      <w:r>
        <w:rPr>
          <w:rFonts w:ascii="Arial" w:hAnsi="Arial"/>
          <w:b/>
        </w:rPr>
        <w:t xml:space="preserve"> </w:t>
      </w:r>
      <w:r>
        <w:rPr>
          <w:rFonts w:ascii="Arial" w:hAnsi="Arial"/>
        </w:rPr>
        <w:t>(hereinafter also referred to as: Team).</w:t>
      </w:r>
    </w:p>
    <w:p w14:paraId="74A7848D" w14:textId="1C4C0C1D" w:rsidR="0085211D" w:rsidRDefault="0085211D" w:rsidP="001813AA">
      <w:pPr>
        <w:spacing w:after="0" w:line="360" w:lineRule="auto"/>
        <w:ind w:firstLine="567"/>
        <w:jc w:val="both"/>
        <w:rPr>
          <w:rFonts w:ascii="Arial" w:hAnsi="Arial" w:cs="Arial"/>
        </w:rPr>
      </w:pPr>
      <w:r>
        <w:rPr>
          <w:rFonts w:ascii="Arial" w:hAnsi="Arial"/>
        </w:rPr>
        <w:t xml:space="preserve">Since the ratification of the Human Rights Defender has emphasized the need to establish or appoint a coordination mechanism within the government to support planning </w:t>
      </w:r>
      <w:r>
        <w:rPr>
          <w:rFonts w:ascii="Arial" w:hAnsi="Arial"/>
        </w:rPr>
        <w:lastRenderedPageBreak/>
        <w:t>and enforcing the measures related to implementing the Convention</w:t>
      </w:r>
      <w:r>
        <w:rPr>
          <w:rStyle w:val="Odwoanieprzypisudolnego"/>
          <w:rFonts w:ascii="Arial" w:hAnsi="Arial"/>
        </w:rPr>
        <w:footnoteReference w:id="10"/>
      </w:r>
      <w:r>
        <w:rPr>
          <w:rFonts w:ascii="Arial" w:hAnsi="Arial"/>
        </w:rPr>
        <w:t>. As it easy to note, the tasks of the Minister of Labour and Social Policy as well as of the Government Plenipotentiary for Persons with Disabilities concentrate around social benefits, vocational and social rehabilitation, employing persons with disabilities, omitting other areas of social, economic and political life. Therefore, none of the authorities referred to above does not serve as the coordination mechanism for the policy towards persons with disabilities. This function is also not served by the Team established by the Minister of Labour and Social Policy. The Team’s tasks only include sharing information on the measures related to implementing the provisions of the Convention and the planned changes to legal solutions regarding persons with disabilities or that might have an impact on their situation, and also cooperating on drafting the report mentioned in Article 35 of the Convention. The sessions of the Team take place at least once a quarter</w:t>
      </w:r>
      <w:r>
        <w:rPr>
          <w:rStyle w:val="Odwoanieprzypisudolnego"/>
          <w:rFonts w:ascii="Arial" w:hAnsi="Arial"/>
        </w:rPr>
        <w:footnoteReference w:id="11"/>
      </w:r>
      <w:r>
        <w:rPr>
          <w:rFonts w:ascii="Arial" w:hAnsi="Arial"/>
        </w:rPr>
        <w:t xml:space="preserve">. </w:t>
      </w:r>
    </w:p>
    <w:p w14:paraId="59950E01" w14:textId="70D45BAD" w:rsidR="00212D24" w:rsidRDefault="00212D24" w:rsidP="001813AA">
      <w:pPr>
        <w:spacing w:after="0" w:line="360" w:lineRule="auto"/>
        <w:ind w:firstLine="567"/>
        <w:jc w:val="both"/>
        <w:rPr>
          <w:rFonts w:ascii="Arial" w:hAnsi="Arial" w:cs="Arial"/>
        </w:rPr>
      </w:pPr>
      <w:r>
        <w:rPr>
          <w:rFonts w:ascii="Arial" w:hAnsi="Arial"/>
        </w:rPr>
        <w:t xml:space="preserve">According to the Human Rights Defender, </w:t>
      </w:r>
      <w:r>
        <w:rPr>
          <w:rFonts w:ascii="Arial" w:hAnsi="Arial"/>
          <w:b/>
        </w:rPr>
        <w:t>it is thus necessary to establish or appoint a coordination mechanism within the government in order to facilitate the activities related to implementing the Convention in various sectors and at different levels, whose tasks would arise from the binding provisions of law and would refer to all areas of social life.</w:t>
      </w:r>
      <w:r>
        <w:rPr>
          <w:rFonts w:ascii="Arial" w:hAnsi="Arial"/>
        </w:rPr>
        <w:t xml:space="preserve"> In line with the position of the Minister of Labour and Social Policy provided to the Ombudsman, there are no plans to establish such a body</w:t>
      </w:r>
      <w:r>
        <w:rPr>
          <w:rStyle w:val="Odwoanieprzypisudolnego"/>
          <w:rFonts w:ascii="Arial" w:hAnsi="Arial"/>
        </w:rPr>
        <w:footnoteReference w:id="12"/>
      </w:r>
      <w:r>
        <w:rPr>
          <w:rFonts w:ascii="Arial" w:hAnsi="Arial"/>
        </w:rPr>
        <w:t>.</w:t>
      </w:r>
    </w:p>
    <w:p w14:paraId="34CBE548" w14:textId="77777777" w:rsidR="001443A0" w:rsidRPr="001443A0" w:rsidRDefault="001443A0" w:rsidP="00B94D52">
      <w:pPr>
        <w:pStyle w:val="Akapitzlist"/>
        <w:numPr>
          <w:ilvl w:val="0"/>
          <w:numId w:val="20"/>
        </w:numPr>
        <w:tabs>
          <w:tab w:val="left" w:pos="7020"/>
        </w:tabs>
        <w:spacing w:before="120" w:after="120" w:line="360" w:lineRule="auto"/>
        <w:ind w:left="284" w:hanging="284"/>
        <w:jc w:val="both"/>
        <w:rPr>
          <w:rFonts w:ascii="Arial" w:hAnsi="Arial" w:cs="Arial"/>
          <w:b/>
        </w:rPr>
      </w:pPr>
      <w:r>
        <w:rPr>
          <w:rFonts w:ascii="Arial" w:hAnsi="Arial"/>
          <w:b/>
        </w:rPr>
        <w:t>Independent mechanism to promote, protect and monitor the implementation of the Convention – Article 33(2) of CRPD</w:t>
      </w:r>
      <w:r>
        <w:rPr>
          <w:rStyle w:val="Odwoanieprzypisudolnego"/>
          <w:rFonts w:ascii="Arial" w:hAnsi="Arial"/>
          <w:b/>
        </w:rPr>
        <w:footnoteReference w:id="13"/>
      </w:r>
    </w:p>
    <w:p w14:paraId="4A965E28" w14:textId="1D54FF94" w:rsidR="00673F05" w:rsidRDefault="00673F05" w:rsidP="001813AA">
      <w:pPr>
        <w:spacing w:after="0" w:line="360" w:lineRule="auto"/>
        <w:ind w:firstLine="567"/>
        <w:jc w:val="both"/>
        <w:rPr>
          <w:rFonts w:ascii="Arial" w:hAnsi="Arial" w:cs="Arial"/>
        </w:rPr>
      </w:pPr>
      <w:r>
        <w:rPr>
          <w:rFonts w:ascii="Arial" w:hAnsi="Arial"/>
        </w:rPr>
        <w:t xml:space="preserve">In connection with the ratification of the Convention on the Rights of Persons with Disabilities by Poland, in line with the contents of Article 33(2) of CRPD, </w:t>
      </w:r>
      <w:r>
        <w:rPr>
          <w:rFonts w:ascii="Arial" w:hAnsi="Arial"/>
          <w:b/>
        </w:rPr>
        <w:t>the Human Rights Defender was established as the independent authority to promote, protect and monitor the implementation of the provisions of the said Convention</w:t>
      </w:r>
      <w:r>
        <w:rPr>
          <w:rFonts w:ascii="Arial" w:hAnsi="Arial"/>
        </w:rPr>
        <w:t xml:space="preserve">. It is vital to emphasize that until now, new competences of the Ombudsman in this area were not reflected in the revised provisions of the Act on the Human Rights Defender, and the entrusted tasks are performed by the Ombudsman </w:t>
      </w:r>
      <w:r>
        <w:rPr>
          <w:rFonts w:ascii="Arial" w:hAnsi="Arial"/>
          <w:b/>
        </w:rPr>
        <w:t>exclusively pursuant to the arrangement</w:t>
      </w:r>
      <w:r>
        <w:rPr>
          <w:rFonts w:ascii="Arial" w:hAnsi="Arial"/>
        </w:rPr>
        <w:t xml:space="preserve"> with the Ministry of Labour and Social Policy.</w:t>
      </w:r>
    </w:p>
    <w:p w14:paraId="05A6F72E" w14:textId="42D0C7F0" w:rsidR="00CB0F42" w:rsidRDefault="0042264B" w:rsidP="001813AA">
      <w:pPr>
        <w:spacing w:after="0" w:line="360" w:lineRule="auto"/>
        <w:ind w:firstLine="567"/>
        <w:jc w:val="both"/>
        <w:rPr>
          <w:rFonts w:ascii="Arial" w:hAnsi="Arial" w:cs="Arial"/>
        </w:rPr>
      </w:pPr>
      <w:r>
        <w:rPr>
          <w:rFonts w:ascii="Arial" w:hAnsi="Arial"/>
        </w:rPr>
        <w:t xml:space="preserve">Within its structures, the Ombudsman established </w:t>
      </w:r>
      <w:r>
        <w:rPr>
          <w:rFonts w:ascii="Arial" w:hAnsi="Arial"/>
          <w:b/>
        </w:rPr>
        <w:t>Team for Equal Treatment and Protection of Rights of Persons with Disabilities</w:t>
      </w:r>
      <w:r>
        <w:rPr>
          <w:rFonts w:ascii="Arial" w:hAnsi="Arial"/>
        </w:rPr>
        <w:t xml:space="preserve">, which is the leading unit for monitoring the implementation of the Convention. Moreover, </w:t>
      </w:r>
      <w:r>
        <w:rPr>
          <w:rFonts w:ascii="Arial" w:hAnsi="Arial"/>
          <w:b/>
        </w:rPr>
        <w:t>a Task Group</w:t>
      </w:r>
      <w:r>
        <w:rPr>
          <w:rFonts w:ascii="Arial" w:hAnsi="Arial"/>
        </w:rPr>
        <w:t xml:space="preserve"> was established, whose task is to coordinate the activities of the office in this area. The Ombudsman’s Office also has a social </w:t>
      </w:r>
      <w:r>
        <w:rPr>
          <w:rFonts w:ascii="Arial" w:hAnsi="Arial"/>
          <w:b/>
        </w:rPr>
        <w:t>Commission for Persons with Disabilities</w:t>
      </w:r>
      <w:r>
        <w:rPr>
          <w:rFonts w:ascii="Arial" w:hAnsi="Arial"/>
        </w:rPr>
        <w:t xml:space="preserve"> associating the representatives of </w:t>
      </w:r>
      <w:r>
        <w:rPr>
          <w:rFonts w:ascii="Arial" w:hAnsi="Arial"/>
        </w:rPr>
        <w:lastRenderedPageBreak/>
        <w:t>NGOs acting for the benefit of persons with disabilities as well as representatives of scientific centres involved in protecting the rights of persons with disabilities</w:t>
      </w:r>
      <w:r>
        <w:rPr>
          <w:rStyle w:val="Odwoanieprzypisudolnego"/>
          <w:rFonts w:ascii="Arial" w:hAnsi="Arial"/>
        </w:rPr>
        <w:footnoteReference w:id="14"/>
      </w:r>
      <w:r>
        <w:rPr>
          <w:rFonts w:ascii="Arial" w:hAnsi="Arial"/>
        </w:rPr>
        <w:t xml:space="preserve">. </w:t>
      </w:r>
    </w:p>
    <w:p w14:paraId="71656099" w14:textId="5C51E57A" w:rsidR="00F555ED" w:rsidRDefault="009A2F28" w:rsidP="001813AA">
      <w:pPr>
        <w:spacing w:after="0" w:line="360" w:lineRule="auto"/>
        <w:ind w:firstLine="567"/>
        <w:jc w:val="both"/>
        <w:rPr>
          <w:rFonts w:ascii="Arial" w:hAnsi="Arial"/>
          <w:b/>
        </w:rPr>
      </w:pPr>
      <w:r>
        <w:rPr>
          <w:rFonts w:ascii="Arial" w:hAnsi="Arial"/>
          <w:b/>
        </w:rPr>
        <w:t>According to the Ombudsman, it is necessary for the duties of HRD as an independent mechanism to promote, protect and monitor the implementation of the Convention arose from the commonly binding provisions of law. It is also necessary to provide relevant funds to implement those tasks</w:t>
      </w:r>
      <w:r>
        <w:rPr>
          <w:rStyle w:val="Odwoanieprzypisudolnego"/>
          <w:rFonts w:ascii="Arial" w:hAnsi="Arial"/>
          <w:b/>
        </w:rPr>
        <w:footnoteReference w:id="15"/>
      </w:r>
      <w:r>
        <w:rPr>
          <w:rFonts w:ascii="Arial" w:hAnsi="Arial"/>
          <w:b/>
        </w:rPr>
        <w:t>.</w:t>
      </w:r>
    </w:p>
    <w:p w14:paraId="622DB22F" w14:textId="1D5A9CA6" w:rsidR="00FD1C56" w:rsidRDefault="00FD1C56">
      <w:pPr>
        <w:rPr>
          <w:rFonts w:ascii="Arial" w:hAnsi="Arial"/>
          <w:b/>
        </w:rPr>
      </w:pPr>
      <w:r>
        <w:rPr>
          <w:rFonts w:ascii="Arial" w:hAnsi="Arial"/>
          <w:b/>
        </w:rPr>
        <w:br w:type="page"/>
      </w:r>
    </w:p>
    <w:p w14:paraId="48D95811" w14:textId="77777777" w:rsidR="00C073E5" w:rsidRPr="00665872" w:rsidRDefault="0011147E" w:rsidP="00E16B78">
      <w:pPr>
        <w:pStyle w:val="Nagwek1"/>
        <w:numPr>
          <w:ilvl w:val="0"/>
          <w:numId w:val="58"/>
        </w:numPr>
      </w:pPr>
      <w:bookmarkStart w:id="9" w:name="_Toc403999530"/>
      <w:bookmarkStart w:id="10" w:name="_Toc424278994"/>
      <w:r>
        <w:lastRenderedPageBreak/>
        <w:t>Information on the implementation of the general provisions of the Convention (Articles 1-4, 31)</w:t>
      </w:r>
      <w:bookmarkEnd w:id="9"/>
      <w:bookmarkEnd w:id="10"/>
    </w:p>
    <w:p w14:paraId="1EAE50E6" w14:textId="1FD3B1DD" w:rsidR="00F6524A" w:rsidRPr="005E0071" w:rsidRDefault="00F6524A" w:rsidP="001813AA">
      <w:pPr>
        <w:spacing w:after="0" w:line="360" w:lineRule="auto"/>
        <w:ind w:firstLine="567"/>
        <w:jc w:val="both"/>
        <w:rPr>
          <w:rFonts w:ascii="Arial" w:hAnsi="Arial" w:cs="Arial"/>
          <w:sz w:val="16"/>
          <w:szCs w:val="16"/>
        </w:rPr>
      </w:pPr>
      <w:r>
        <w:rPr>
          <w:rFonts w:ascii="Arial" w:hAnsi="Arial"/>
        </w:rPr>
        <w:t>Below you will find the most important comments related to the implementation by Poland of the general principles and obligations arising from the Convention on the Rights of Persons with Disabilities, as well as the definitions used in the internal law referring to the key terms included in the provisions of CRPD:</w:t>
      </w:r>
    </w:p>
    <w:p w14:paraId="20625AF4" w14:textId="77777777" w:rsidR="00DC6FB5" w:rsidRPr="00B31B58" w:rsidRDefault="002105ED" w:rsidP="00B94D52">
      <w:pPr>
        <w:pStyle w:val="Akapitzlist"/>
        <w:numPr>
          <w:ilvl w:val="0"/>
          <w:numId w:val="26"/>
        </w:numPr>
        <w:spacing w:before="120" w:after="120" w:line="360" w:lineRule="auto"/>
        <w:ind w:left="284" w:hanging="284"/>
        <w:jc w:val="both"/>
        <w:rPr>
          <w:rFonts w:ascii="Arial" w:hAnsi="Arial" w:cs="Arial"/>
          <w:b/>
        </w:rPr>
      </w:pPr>
      <w:r>
        <w:rPr>
          <w:rFonts w:ascii="Arial" w:hAnsi="Arial"/>
          <w:b/>
        </w:rPr>
        <w:t>Definition of disability in the Polish law:</w:t>
      </w:r>
    </w:p>
    <w:p w14:paraId="7CAE0393" w14:textId="1CA3C94F" w:rsidR="00CB7270" w:rsidRPr="00CB7270" w:rsidRDefault="006A6530" w:rsidP="001813AA">
      <w:pPr>
        <w:spacing w:after="0" w:line="360" w:lineRule="auto"/>
        <w:ind w:firstLine="567"/>
        <w:jc w:val="both"/>
        <w:rPr>
          <w:rFonts w:ascii="Arial" w:hAnsi="Arial" w:cs="Arial"/>
        </w:rPr>
      </w:pPr>
      <w:r>
        <w:rPr>
          <w:rFonts w:ascii="Arial" w:hAnsi="Arial"/>
        </w:rPr>
        <w:t xml:space="preserve">The Polish legal system </w:t>
      </w:r>
      <w:r>
        <w:rPr>
          <w:rFonts w:ascii="Arial" w:hAnsi="Arial"/>
          <w:b/>
        </w:rPr>
        <w:t>does not have, as of now, one commonly binding definition of disability</w:t>
      </w:r>
      <w:r>
        <w:rPr>
          <w:rFonts w:ascii="Arial" w:hAnsi="Arial"/>
        </w:rPr>
        <w:t xml:space="preserve">. Individual legal acts use different terms to designate disability or persons with disabilities, using obsolete and pejorative terms, such as: handicap, mental retardation, mental backwardness, ineptitude. The wording of Article 1 sentence 2 of the Convention on the Rights of Persons with Disabilities was also translated incorrectly. In line with the official Polish translation of the Convention, </w:t>
      </w:r>
      <w:r>
        <w:rPr>
          <w:rFonts w:ascii="Arial" w:hAnsi="Arial"/>
          <w:i/>
        </w:rPr>
        <w:t xml:space="preserve">disabled persons are persons that have long-term impairment of physical, </w:t>
      </w:r>
      <w:r>
        <w:rPr>
          <w:rFonts w:ascii="Arial" w:hAnsi="Arial"/>
          <w:b/>
          <w:i/>
        </w:rPr>
        <w:t>mental</w:t>
      </w:r>
      <w:r>
        <w:rPr>
          <w:rFonts w:ascii="Arial" w:hAnsi="Arial"/>
          <w:i/>
        </w:rPr>
        <w:t xml:space="preserve">, </w:t>
      </w:r>
      <w:r>
        <w:rPr>
          <w:rFonts w:ascii="Arial" w:hAnsi="Arial"/>
          <w:b/>
          <w:i/>
        </w:rPr>
        <w:t xml:space="preserve">intellectual </w:t>
      </w:r>
      <w:r>
        <w:rPr>
          <w:rFonts w:ascii="Arial" w:hAnsi="Arial"/>
          <w:i/>
        </w:rPr>
        <w:t>or sensory</w:t>
      </w:r>
      <w:r>
        <w:rPr>
          <w:rFonts w:ascii="Arial" w:hAnsi="Arial"/>
        </w:rPr>
        <w:t>, where in the Polish language the terms “mental impairment” (</w:t>
      </w:r>
      <w:r>
        <w:rPr>
          <w:rFonts w:ascii="Arial" w:hAnsi="Arial"/>
          <w:i/>
        </w:rPr>
        <w:t xml:space="preserve">Polish: umysłowa) </w:t>
      </w:r>
      <w:r>
        <w:rPr>
          <w:rFonts w:ascii="Arial" w:hAnsi="Arial"/>
        </w:rPr>
        <w:t xml:space="preserve"> or “intellectual impairment” </w:t>
      </w:r>
      <w:r>
        <w:rPr>
          <w:rFonts w:ascii="Arial" w:hAnsi="Arial"/>
          <w:i/>
        </w:rPr>
        <w:t>(Polish: intelektualna)</w:t>
      </w:r>
      <w:r w:rsidR="00E16B78">
        <w:rPr>
          <w:rFonts w:ascii="Arial" w:hAnsi="Arial"/>
          <w:i/>
        </w:rPr>
        <w:t xml:space="preserve"> </w:t>
      </w:r>
      <w:r>
        <w:rPr>
          <w:rFonts w:ascii="Arial" w:hAnsi="Arial"/>
        </w:rPr>
        <w:t>applies to the same group of persons (</w:t>
      </w:r>
      <w:r>
        <w:rPr>
          <w:rFonts w:ascii="Arial" w:hAnsi="Arial"/>
          <w:i/>
        </w:rPr>
        <w:t>English: intellectual impairments</w:t>
      </w:r>
      <w:r>
        <w:rPr>
          <w:rFonts w:ascii="Arial" w:hAnsi="Arial"/>
        </w:rPr>
        <w:t xml:space="preserve">). The translation omits persons with mental impairments </w:t>
      </w:r>
      <w:r>
        <w:rPr>
          <w:rFonts w:ascii="Arial" w:hAnsi="Arial"/>
          <w:i/>
        </w:rPr>
        <w:t>(PL: psychiczna)</w:t>
      </w:r>
      <w:r>
        <w:rPr>
          <w:rFonts w:ascii="Arial" w:hAnsi="Arial"/>
        </w:rPr>
        <w:t>, which might constitute an obstacle to covering them with the protection arising from the Convention.</w:t>
      </w:r>
    </w:p>
    <w:p w14:paraId="3ACC1936" w14:textId="68C2966C" w:rsidR="0026437E" w:rsidRDefault="002A6E66" w:rsidP="001813AA">
      <w:pPr>
        <w:spacing w:after="0" w:line="360" w:lineRule="auto"/>
        <w:ind w:firstLine="567"/>
        <w:jc w:val="both"/>
        <w:rPr>
          <w:rFonts w:ascii="Arial" w:hAnsi="Arial" w:cs="Arial"/>
        </w:rPr>
      </w:pPr>
      <w:r>
        <w:rPr>
          <w:rFonts w:ascii="Arial" w:hAnsi="Arial"/>
        </w:rPr>
        <w:t xml:space="preserve">The legal situation of persons with disabilities is made even more complicated by the fact that </w:t>
      </w:r>
      <w:r>
        <w:rPr>
          <w:rFonts w:ascii="Arial" w:hAnsi="Arial"/>
          <w:b/>
        </w:rPr>
        <w:t>there is no uniform assessment system</w:t>
      </w:r>
      <w:r>
        <w:rPr>
          <w:rFonts w:ascii="Arial" w:hAnsi="Arial"/>
        </w:rPr>
        <w:t xml:space="preserve"> awarding to such persons relevant entitlements or support from the state, and therefore the basis for receiving the decision is not always the same. Two primary assessment systems are based on the provisions of the Act on social and vocational rehabilitation and on employment of persons with disabilities</w:t>
      </w:r>
      <w:r>
        <w:rPr>
          <w:rFonts w:ascii="Arial" w:hAnsi="Arial"/>
          <w:vertAlign w:val="superscript"/>
        </w:rPr>
        <w:footnoteReference w:id="16"/>
      </w:r>
      <w:r>
        <w:rPr>
          <w:rFonts w:ascii="Arial" w:hAnsi="Arial"/>
        </w:rPr>
        <w:t xml:space="preserve"> (decisions on degree of disability) and of the Act on retirement and disability pensions from the Social Insurance Fund</w:t>
      </w:r>
      <w:r>
        <w:rPr>
          <w:rFonts w:ascii="Arial" w:hAnsi="Arial"/>
          <w:vertAlign w:val="superscript"/>
        </w:rPr>
        <w:footnoteReference w:id="17"/>
      </w:r>
      <w:r>
        <w:rPr>
          <w:rFonts w:ascii="Arial" w:hAnsi="Arial"/>
        </w:rPr>
        <w:t xml:space="preserve"> (decisions on being unfit for work).</w:t>
      </w:r>
    </w:p>
    <w:p w14:paraId="42EFFB5E" w14:textId="22353DF8" w:rsidR="00B21186" w:rsidRDefault="006506E3" w:rsidP="001813AA">
      <w:pPr>
        <w:spacing w:after="0" w:line="360" w:lineRule="auto"/>
        <w:ind w:firstLine="567"/>
        <w:jc w:val="both"/>
        <w:rPr>
          <w:rFonts w:ascii="Arial" w:hAnsi="Arial" w:cs="Arial"/>
        </w:rPr>
      </w:pPr>
      <w:r>
        <w:rPr>
          <w:rFonts w:ascii="Arial" w:hAnsi="Arial"/>
        </w:rPr>
        <w:t xml:space="preserve">In line with the provision of Article 2 of the Act on rehabilitation – </w:t>
      </w:r>
      <w:r>
        <w:rPr>
          <w:rFonts w:ascii="Arial" w:hAnsi="Arial"/>
          <w:i/>
        </w:rPr>
        <w:t>disability means permanent or temporary inability to fulfil social roles due to permanent or long-term impairment of the body’s capacity, causing in particular being unfit for work</w:t>
      </w:r>
      <w:r>
        <w:rPr>
          <w:rFonts w:ascii="Arial" w:hAnsi="Arial"/>
        </w:rPr>
        <w:t xml:space="preserve">. In turn, Article 3 of the aforementioned Act establishes </w:t>
      </w:r>
      <w:r>
        <w:rPr>
          <w:rFonts w:ascii="Arial" w:hAnsi="Arial"/>
          <w:b/>
        </w:rPr>
        <w:t>three degrees of disability: significant, moderate and low</w:t>
      </w:r>
      <w:r>
        <w:rPr>
          <w:rFonts w:ascii="Arial" w:hAnsi="Arial"/>
        </w:rPr>
        <w:t>. T</w:t>
      </w:r>
      <w:r w:rsidR="00E16B78">
        <w:rPr>
          <w:rFonts w:ascii="Arial" w:hAnsi="Arial"/>
        </w:rPr>
        <w:t>h</w:t>
      </w:r>
      <w:r>
        <w:rPr>
          <w:rFonts w:ascii="Arial" w:hAnsi="Arial"/>
        </w:rPr>
        <w:t>e</w:t>
      </w:r>
      <w:r w:rsidR="00E16B78">
        <w:rPr>
          <w:rFonts w:ascii="Arial" w:hAnsi="Arial"/>
        </w:rPr>
        <w:t>se</w:t>
      </w:r>
      <w:r>
        <w:rPr>
          <w:rFonts w:ascii="Arial" w:hAnsi="Arial"/>
        </w:rPr>
        <w:t xml:space="preserve"> definitions are included in Article 4(1-3) of the Act on rehabilitation:</w:t>
      </w:r>
    </w:p>
    <w:p w14:paraId="0B8B1B52" w14:textId="25D2AFCE" w:rsidR="006506E3" w:rsidRPr="006506E3" w:rsidRDefault="006506E3" w:rsidP="003D345C">
      <w:pPr>
        <w:numPr>
          <w:ilvl w:val="0"/>
          <w:numId w:val="24"/>
        </w:numPr>
        <w:spacing w:after="0" w:line="360" w:lineRule="auto"/>
        <w:ind w:left="284" w:hanging="284"/>
        <w:jc w:val="both"/>
        <w:rPr>
          <w:rFonts w:ascii="Arial" w:hAnsi="Arial" w:cs="Arial"/>
        </w:rPr>
      </w:pPr>
      <w:r>
        <w:rPr>
          <w:rFonts w:ascii="Arial" w:hAnsi="Arial"/>
          <w:b/>
        </w:rPr>
        <w:lastRenderedPageBreak/>
        <w:t>significant</w:t>
      </w:r>
      <w:r>
        <w:rPr>
          <w:rFonts w:ascii="Arial" w:hAnsi="Arial"/>
        </w:rPr>
        <w:t xml:space="preserve"> degree of disability applies to persons with impaired bodily capacity, unfit for work or fit for work only in a sheltered workplace and requiring, in order to fulfil social roles, permanent or long-term care and assistance of other persons as they are unable to lead an independent life;</w:t>
      </w:r>
    </w:p>
    <w:p w14:paraId="72A3C7EB" w14:textId="77777777" w:rsidR="006506E3" w:rsidRPr="006506E3" w:rsidRDefault="006506E3" w:rsidP="003D345C">
      <w:pPr>
        <w:numPr>
          <w:ilvl w:val="0"/>
          <w:numId w:val="24"/>
        </w:numPr>
        <w:spacing w:after="0" w:line="360" w:lineRule="auto"/>
        <w:ind w:left="284" w:hanging="284"/>
        <w:jc w:val="both"/>
        <w:rPr>
          <w:rFonts w:ascii="Arial" w:hAnsi="Arial" w:cs="Arial"/>
        </w:rPr>
      </w:pPr>
      <w:r>
        <w:rPr>
          <w:rFonts w:ascii="Arial" w:hAnsi="Arial"/>
          <w:b/>
        </w:rPr>
        <w:t>moderate</w:t>
      </w:r>
      <w:r>
        <w:rPr>
          <w:rFonts w:ascii="Arial" w:hAnsi="Arial"/>
        </w:rPr>
        <w:t xml:space="preserve"> degree of disability applies to persons with impaired bodily capacity, unfit for work or fit for work only in a sheltered workplace or requiring, in order to fulfil social roles, temporary or partial care and assistance of other persons;</w:t>
      </w:r>
    </w:p>
    <w:p w14:paraId="103965E1" w14:textId="5D071A3A" w:rsidR="006506E3" w:rsidRDefault="006506E3" w:rsidP="003D345C">
      <w:pPr>
        <w:numPr>
          <w:ilvl w:val="0"/>
          <w:numId w:val="24"/>
        </w:numPr>
        <w:spacing w:after="0" w:line="360" w:lineRule="auto"/>
        <w:ind w:left="284" w:hanging="284"/>
        <w:jc w:val="both"/>
        <w:rPr>
          <w:rFonts w:ascii="Arial" w:hAnsi="Arial" w:cs="Arial"/>
        </w:rPr>
      </w:pPr>
      <w:r>
        <w:rPr>
          <w:rFonts w:ascii="Arial" w:hAnsi="Arial"/>
          <w:b/>
        </w:rPr>
        <w:t>low</w:t>
      </w:r>
      <w:r>
        <w:rPr>
          <w:rFonts w:ascii="Arial" w:hAnsi="Arial"/>
        </w:rPr>
        <w:t xml:space="preserve"> degree of disability applies to persons with impaired bodily capacity, causing significant impairment of the ability to work compared with a person with similar professional qualifications and full mental and physical capacity, or with limitations in fulfilling social roles that may be compensated with the assistance of orthopaedic articles, augmentation or technical measures.</w:t>
      </w:r>
    </w:p>
    <w:p w14:paraId="0506249C" w14:textId="0252CEA6" w:rsidR="006A6530" w:rsidRPr="006A6530" w:rsidRDefault="006A6530" w:rsidP="001813AA">
      <w:pPr>
        <w:spacing w:after="0" w:line="360" w:lineRule="auto"/>
        <w:ind w:firstLine="567"/>
        <w:jc w:val="both"/>
        <w:rPr>
          <w:rFonts w:ascii="Arial" w:hAnsi="Arial" w:cs="Arial"/>
        </w:rPr>
      </w:pPr>
      <w:r>
        <w:tab/>
      </w:r>
      <w:r>
        <w:rPr>
          <w:rFonts w:ascii="Arial" w:hAnsi="Arial"/>
        </w:rPr>
        <w:t xml:space="preserve">As it can be easily noted, both the definition of disability as well as the definitions of the degrees of disability </w:t>
      </w:r>
      <w:r>
        <w:rPr>
          <w:rFonts w:ascii="Arial" w:hAnsi="Arial"/>
          <w:b/>
        </w:rPr>
        <w:t>are based on the medical model</w:t>
      </w:r>
      <w:r>
        <w:rPr>
          <w:rFonts w:ascii="Arial" w:hAnsi="Arial"/>
        </w:rPr>
        <w:t xml:space="preserve"> and, contrary to the standards established under CRPD, omit the matter of interactions of persons </w:t>
      </w:r>
      <w:r w:rsidRPr="003377CD">
        <w:rPr>
          <w:rFonts w:ascii="Arial" w:hAnsi="Arial" w:cs="Arial"/>
        </w:rPr>
        <w:t>with disabilities with the barriers</w:t>
      </w:r>
      <w:r>
        <w:rPr>
          <w:rFonts w:ascii="Arial" w:hAnsi="Arial"/>
        </w:rPr>
        <w:t xml:space="preserve"> in their community. Polish assessment system focuses on dysfunctions of persons with disabilities, excluding the ability of such persons to fulfil social roles and neglecting their potential. </w:t>
      </w:r>
    </w:p>
    <w:p w14:paraId="57B72D2B" w14:textId="77777777" w:rsidR="006A6530" w:rsidRPr="006A6530" w:rsidRDefault="00275755" w:rsidP="001813AA">
      <w:pPr>
        <w:spacing w:after="0" w:line="360" w:lineRule="auto"/>
        <w:ind w:firstLine="567"/>
        <w:jc w:val="both"/>
        <w:rPr>
          <w:rFonts w:ascii="Arial" w:hAnsi="Arial" w:cs="Arial"/>
        </w:rPr>
      </w:pPr>
      <w:r>
        <w:tab/>
      </w:r>
      <w:r>
        <w:rPr>
          <w:rFonts w:ascii="Arial" w:hAnsi="Arial"/>
        </w:rPr>
        <w:t xml:space="preserve">Similarly, the terminology used in the disability pension scheme must also be assessed critically. The Act on retirement and disability pensions recognizes that a person is unfit for work </w:t>
      </w:r>
      <w:r>
        <w:rPr>
          <w:rFonts w:ascii="Arial" w:hAnsi="Arial"/>
          <w:i/>
        </w:rPr>
        <w:t>if a person has fully or partially lost the ability to work for compensation due to impairments of the bodily capacity and has no potential to regain the ability to work following retraining</w:t>
      </w:r>
      <w:r>
        <w:rPr>
          <w:rStyle w:val="Odwoanieprzypisudolnego"/>
          <w:rFonts w:ascii="Arial" w:hAnsi="Arial"/>
          <w:i/>
        </w:rPr>
        <w:footnoteReference w:id="18"/>
      </w:r>
      <w:r>
        <w:rPr>
          <w:rFonts w:ascii="Arial" w:hAnsi="Arial"/>
        </w:rPr>
        <w:t>. A distinction was also made into persons fully and partially unfit for work:</w:t>
      </w:r>
    </w:p>
    <w:p w14:paraId="294CA2D0" w14:textId="77777777" w:rsidR="006A6530" w:rsidRPr="006A6530" w:rsidRDefault="006A6530" w:rsidP="003D345C">
      <w:pPr>
        <w:numPr>
          <w:ilvl w:val="0"/>
          <w:numId w:val="25"/>
        </w:numPr>
        <w:spacing w:after="0" w:line="360" w:lineRule="auto"/>
        <w:ind w:left="284" w:hanging="284"/>
        <w:jc w:val="both"/>
        <w:rPr>
          <w:rFonts w:ascii="Arial" w:hAnsi="Arial" w:cs="Arial"/>
        </w:rPr>
      </w:pPr>
      <w:r>
        <w:rPr>
          <w:rFonts w:ascii="Arial" w:hAnsi="Arial"/>
          <w:b/>
        </w:rPr>
        <w:t>a person that is fully unfit for work</w:t>
      </w:r>
      <w:r>
        <w:rPr>
          <w:rFonts w:ascii="Arial" w:hAnsi="Arial"/>
        </w:rPr>
        <w:t xml:space="preserve"> is defined as a person that has lost the ability to perform any work;</w:t>
      </w:r>
    </w:p>
    <w:p w14:paraId="7C0ED761" w14:textId="77777777" w:rsidR="006A6530" w:rsidRPr="006A6530" w:rsidRDefault="006A6530" w:rsidP="003D345C">
      <w:pPr>
        <w:numPr>
          <w:ilvl w:val="0"/>
          <w:numId w:val="25"/>
        </w:numPr>
        <w:spacing w:after="0" w:line="360" w:lineRule="auto"/>
        <w:ind w:left="284" w:hanging="284"/>
        <w:jc w:val="both"/>
        <w:rPr>
          <w:rFonts w:ascii="Arial" w:hAnsi="Arial" w:cs="Arial"/>
        </w:rPr>
      </w:pPr>
      <w:r>
        <w:rPr>
          <w:rFonts w:ascii="Arial" w:hAnsi="Arial"/>
          <w:b/>
        </w:rPr>
        <w:t>a person that is partially unfit for work person</w:t>
      </w:r>
      <w:r>
        <w:rPr>
          <w:rFonts w:ascii="Arial" w:hAnsi="Arial"/>
        </w:rPr>
        <w:t xml:space="preserve"> is defined as a person that has lost the ability to perform work in line with the level of qualifications held to a significant degree.</w:t>
      </w:r>
    </w:p>
    <w:p w14:paraId="6069B1ED" w14:textId="77777777" w:rsidR="00C359D1" w:rsidRDefault="00275755" w:rsidP="001813AA">
      <w:pPr>
        <w:spacing w:after="0" w:line="360" w:lineRule="auto"/>
        <w:ind w:firstLine="709"/>
        <w:jc w:val="both"/>
        <w:rPr>
          <w:rFonts w:ascii="Arial" w:hAnsi="Arial" w:cs="Arial"/>
        </w:rPr>
      </w:pPr>
      <w:r>
        <w:rPr>
          <w:rFonts w:ascii="Arial" w:hAnsi="Arial"/>
          <w:b/>
        </w:rPr>
        <w:t>This system is also based on the medical model</w:t>
      </w:r>
      <w:r>
        <w:rPr>
          <w:rFonts w:ascii="Arial" w:hAnsi="Arial"/>
        </w:rPr>
        <w:t xml:space="preserve"> that additionally uses imprecise terms, suggesting that persons holding an assessment on being unfit for work cannot be employed. Nonetheless, many persons with legal disability status referred to above are working both in sheltered workplaces and on the open labour market.</w:t>
      </w:r>
    </w:p>
    <w:p w14:paraId="51DBBD85" w14:textId="5FB8F1B9" w:rsidR="00FD66FE" w:rsidRDefault="00FD66FE" w:rsidP="001813AA">
      <w:pPr>
        <w:spacing w:after="0" w:line="360" w:lineRule="auto"/>
        <w:ind w:firstLine="709"/>
        <w:jc w:val="both"/>
        <w:rPr>
          <w:rFonts w:ascii="Arial" w:hAnsi="Arial" w:cs="Arial"/>
        </w:rPr>
      </w:pPr>
      <w:r>
        <w:rPr>
          <w:rFonts w:ascii="Arial" w:hAnsi="Arial"/>
        </w:rPr>
        <w:t>Additionally, the Polish legal system has a separate system for assessing whether a person is unfit for work at an agricultural farm</w:t>
      </w:r>
      <w:r>
        <w:rPr>
          <w:rStyle w:val="Odwoanieprzypisudolnego"/>
          <w:rFonts w:ascii="Arial" w:hAnsi="Arial"/>
        </w:rPr>
        <w:footnoteReference w:id="19"/>
      </w:r>
      <w:r>
        <w:rPr>
          <w:rFonts w:ascii="Arial" w:hAnsi="Arial"/>
        </w:rPr>
        <w:t xml:space="preserve"> and in uniformed services</w:t>
      </w:r>
      <w:r>
        <w:rPr>
          <w:rStyle w:val="Odwoanieprzypisudolnego"/>
          <w:rFonts w:ascii="Arial" w:hAnsi="Arial"/>
        </w:rPr>
        <w:footnoteReference w:id="20"/>
      </w:r>
      <w:r>
        <w:rPr>
          <w:rFonts w:ascii="Arial" w:hAnsi="Arial"/>
        </w:rPr>
        <w:t xml:space="preserve">. Another type of </w:t>
      </w:r>
      <w:r>
        <w:rPr>
          <w:rFonts w:ascii="Arial" w:hAnsi="Arial"/>
        </w:rPr>
        <w:lastRenderedPageBreak/>
        <w:t>status certificate is awarded to persons that are not yet 16 years of age</w:t>
      </w:r>
      <w:r>
        <w:rPr>
          <w:rStyle w:val="Odwoanieprzypisudolnego"/>
          <w:rFonts w:ascii="Arial" w:hAnsi="Arial"/>
        </w:rPr>
        <w:footnoteReference w:id="21"/>
      </w:r>
      <w:r>
        <w:rPr>
          <w:rFonts w:ascii="Arial" w:hAnsi="Arial"/>
        </w:rPr>
        <w:t>. Separate assessment procedure has also been established within the education system. Students with disabilities that apply for the support in the education process should hold a relevant certificate issued by a psychological-pedagogic clinic</w:t>
      </w:r>
      <w:r>
        <w:rPr>
          <w:rStyle w:val="Odwoanieprzypisudolnego"/>
          <w:rFonts w:ascii="Arial" w:hAnsi="Arial"/>
        </w:rPr>
        <w:footnoteReference w:id="22"/>
      </w:r>
      <w:r>
        <w:rPr>
          <w:rFonts w:ascii="Arial" w:hAnsi="Arial"/>
        </w:rPr>
        <w:t>. The existence of those multiple assessment systems comprises a significant hardship for persons with disabilities that apply for assistance to public authorities.</w:t>
      </w:r>
    </w:p>
    <w:p w14:paraId="55C78832" w14:textId="376FCFD9" w:rsidR="00C359D1" w:rsidRPr="005E0071" w:rsidRDefault="006D04FD" w:rsidP="00B94D52">
      <w:pPr>
        <w:spacing w:after="0" w:line="360" w:lineRule="auto"/>
        <w:ind w:firstLine="709"/>
        <w:jc w:val="both"/>
        <w:rPr>
          <w:rFonts w:ascii="Arial" w:hAnsi="Arial" w:cs="Arial"/>
          <w:sz w:val="16"/>
          <w:szCs w:val="16"/>
        </w:rPr>
      </w:pPr>
      <w:r>
        <w:rPr>
          <w:rFonts w:ascii="Arial" w:hAnsi="Arial"/>
        </w:rPr>
        <w:t xml:space="preserve">The significant difference between the number of biologically impaired persons and the number of persons with legal disability status must be noted. According to the National Census of 2011, </w:t>
      </w:r>
      <w:r>
        <w:rPr>
          <w:rFonts w:ascii="Arial" w:hAnsi="Arial"/>
          <w:b/>
        </w:rPr>
        <w:t>the number of persons with disabilities in Poland was 4,697,500</w:t>
      </w:r>
      <w:r>
        <w:rPr>
          <w:rFonts w:ascii="Arial" w:hAnsi="Arial"/>
        </w:rPr>
        <w:t xml:space="preserve"> (comprising 12.2% of the country’s population). In turn, </w:t>
      </w:r>
      <w:r>
        <w:rPr>
          <w:rFonts w:ascii="Arial" w:hAnsi="Arial"/>
          <w:b/>
        </w:rPr>
        <w:t>the number of persons with legal disability status was 3,121,500</w:t>
      </w:r>
      <w:r>
        <w:rPr>
          <w:rFonts w:ascii="Arial" w:hAnsi="Arial"/>
        </w:rPr>
        <w:t>, of which the number of persons aged 16 or more – 2,996,800. As it is easy to notice, over 1,500,000 persons with biological impairments do not have a legal disability status. It is highly significant, as in the majority of cases internal provisions make awarding entitlements or support dependant on having a relevant legal disability status (relevant for the type of the entitlement), not on the existence of the disability. As a consequence, the Human Rights Defender receives complaints from persons with disabilities who were refused support (for example, they were refused to have their maturity exam papers adapted to the needs of students with disabilities) as they had improper legal disability status or no such status, even if the disability was visible and evident.</w:t>
      </w:r>
    </w:p>
    <w:p w14:paraId="62C0C4A6" w14:textId="77777777" w:rsidR="002105ED" w:rsidRDefault="00B31B58" w:rsidP="00B94D52">
      <w:pPr>
        <w:pStyle w:val="Akapitzlist"/>
        <w:numPr>
          <w:ilvl w:val="0"/>
          <w:numId w:val="26"/>
        </w:numPr>
        <w:spacing w:before="120" w:after="120" w:line="360" w:lineRule="auto"/>
        <w:ind w:left="284" w:hanging="284"/>
        <w:jc w:val="both"/>
        <w:rPr>
          <w:rFonts w:ascii="Arial" w:hAnsi="Arial" w:cs="Arial"/>
          <w:b/>
        </w:rPr>
      </w:pPr>
      <w:r>
        <w:rPr>
          <w:rFonts w:ascii="Arial" w:hAnsi="Arial"/>
          <w:b/>
        </w:rPr>
        <w:t>Definition of “communication” and “language” in the Polish law:</w:t>
      </w:r>
    </w:p>
    <w:p w14:paraId="27B8AFE2" w14:textId="26DE11A8" w:rsidR="00D047BD" w:rsidRDefault="00324338" w:rsidP="001813AA">
      <w:pPr>
        <w:spacing w:after="0" w:line="360" w:lineRule="auto"/>
        <w:ind w:firstLine="709"/>
        <w:jc w:val="both"/>
        <w:rPr>
          <w:rFonts w:ascii="Arial" w:hAnsi="Arial" w:cs="Arial"/>
        </w:rPr>
      </w:pPr>
      <w:r>
        <w:rPr>
          <w:rFonts w:ascii="Arial" w:hAnsi="Arial"/>
        </w:rPr>
        <w:t>Polish law does not define the term “communication” in the context of the rights of persons with disabilities. However, a series of legal acts refers to the Braille, for example the Election Code</w:t>
      </w:r>
      <w:r>
        <w:rPr>
          <w:rStyle w:val="Odwoanieprzypisudolnego"/>
          <w:rFonts w:ascii="Arial" w:hAnsi="Arial"/>
        </w:rPr>
        <w:footnoteReference w:id="23"/>
      </w:r>
      <w:r>
        <w:rPr>
          <w:rFonts w:ascii="Arial" w:hAnsi="Arial"/>
        </w:rPr>
        <w:t>, Act on national referendum</w:t>
      </w:r>
      <w:r>
        <w:rPr>
          <w:rStyle w:val="Odwoanieprzypisudolnego"/>
          <w:rFonts w:ascii="Arial" w:hAnsi="Arial"/>
        </w:rPr>
        <w:footnoteReference w:id="24"/>
      </w:r>
      <w:r>
        <w:rPr>
          <w:rFonts w:ascii="Arial" w:hAnsi="Arial"/>
        </w:rPr>
        <w:t>, or the Pharmaceutical Law Act</w:t>
      </w:r>
      <w:r>
        <w:rPr>
          <w:rStyle w:val="Odwoanieprzypisudolnego"/>
          <w:rFonts w:ascii="Arial" w:hAnsi="Arial"/>
        </w:rPr>
        <w:footnoteReference w:id="25"/>
      </w:r>
      <w:r>
        <w:rPr>
          <w:rFonts w:ascii="Arial" w:hAnsi="Arial"/>
        </w:rPr>
        <w:t>. Detailed requirements regarding accessibility of ICT systems are in turn stipulated in a relevant resolution of the Council of Ministers</w:t>
      </w:r>
      <w:r>
        <w:rPr>
          <w:rStyle w:val="Odwoanieprzypisudolnego"/>
          <w:rFonts w:ascii="Arial" w:hAnsi="Arial"/>
        </w:rPr>
        <w:footnoteReference w:id="26"/>
      </w:r>
      <w:r>
        <w:rPr>
          <w:rFonts w:ascii="Arial" w:hAnsi="Arial"/>
        </w:rPr>
        <w:t>. Moreover, the Act on sign language lists different measures supporting the communicating of persons that experience permanent or periodic problems in communication</w:t>
      </w:r>
      <w:r>
        <w:rPr>
          <w:rStyle w:val="Odwoanieprzypisudolnego"/>
          <w:rFonts w:ascii="Arial" w:hAnsi="Arial"/>
        </w:rPr>
        <w:footnoteReference w:id="27"/>
      </w:r>
      <w:r>
        <w:rPr>
          <w:rFonts w:ascii="Arial" w:hAnsi="Arial"/>
        </w:rPr>
        <w:t xml:space="preserve">. The practice of applying these regulations was discussed in </w:t>
      </w:r>
      <w:r>
        <w:rPr>
          <w:rFonts w:ascii="Arial" w:hAnsi="Arial"/>
        </w:rPr>
        <w:lastRenderedPageBreak/>
        <w:t>the sections of this report discussing implementation of Articles 21 and 29 of the Convention by Poland. However, no legal acts define or enforce the use of augmentative and alternative forms in communicating with persons with disabilities.</w:t>
      </w:r>
    </w:p>
    <w:p w14:paraId="73403030" w14:textId="3230FD65" w:rsidR="006D11AE" w:rsidRPr="006D11AE" w:rsidRDefault="006D11AE" w:rsidP="006D11AE">
      <w:pPr>
        <w:spacing w:after="0" w:line="360" w:lineRule="auto"/>
        <w:ind w:firstLine="709"/>
        <w:jc w:val="both"/>
        <w:rPr>
          <w:rFonts w:ascii="Arial" w:hAnsi="Arial" w:cs="Arial"/>
        </w:rPr>
      </w:pPr>
      <w:r>
        <w:rPr>
          <w:rFonts w:ascii="Arial" w:hAnsi="Arial"/>
        </w:rPr>
        <w:t>The situation of deaf and deafblind persons is made more complicated by the existence of multiple sign languages and other forms of non-verbal communication. In Poland, primary means of communication for deaf persons are: Polish Sign Language (</w:t>
      </w:r>
      <w:r>
        <w:rPr>
          <w:rFonts w:ascii="Arial" w:hAnsi="Arial"/>
          <w:i/>
        </w:rPr>
        <w:t>Polish: PJM</w:t>
      </w:r>
      <w:r>
        <w:rPr>
          <w:rFonts w:ascii="Arial" w:hAnsi="Arial"/>
        </w:rPr>
        <w:t>) and Signed Polish (</w:t>
      </w:r>
      <w:r>
        <w:rPr>
          <w:rFonts w:ascii="Arial" w:hAnsi="Arial"/>
          <w:i/>
        </w:rPr>
        <w:t>Polish: SJM</w:t>
      </w:r>
      <w:r>
        <w:rPr>
          <w:rFonts w:ascii="Arial" w:hAnsi="Arial"/>
        </w:rPr>
        <w:t>), which differ significantly. To simplify, it may be recognized that P</w:t>
      </w:r>
      <w:r w:rsidR="00287A6F">
        <w:rPr>
          <w:rFonts w:ascii="Arial" w:hAnsi="Arial"/>
        </w:rPr>
        <w:t>o</w:t>
      </w:r>
      <w:r>
        <w:rPr>
          <w:rFonts w:ascii="Arial" w:hAnsi="Arial"/>
        </w:rPr>
        <w:t>lish Sign Language is the natural language of communication of deaf persons (preferred by persons who have been deaf since birth), while Signed Polish is a means of communication created artificially for the purposes of teaching hearing and deaf per</w:t>
      </w:r>
      <w:r w:rsidR="00287A6F">
        <w:rPr>
          <w:rFonts w:ascii="Arial" w:hAnsi="Arial"/>
        </w:rPr>
        <w:t xml:space="preserve">sons, where signs support sound and </w:t>
      </w:r>
      <w:r>
        <w:rPr>
          <w:rFonts w:ascii="Arial" w:hAnsi="Arial"/>
        </w:rPr>
        <w:t>articulative utterances.</w:t>
      </w:r>
    </w:p>
    <w:p w14:paraId="00859F65" w14:textId="77777777" w:rsidR="009D5D2D" w:rsidRDefault="006D11AE" w:rsidP="006D11AE">
      <w:pPr>
        <w:spacing w:after="0" w:line="360" w:lineRule="auto"/>
        <w:ind w:firstLine="709"/>
        <w:jc w:val="both"/>
        <w:rPr>
          <w:rFonts w:ascii="Arial" w:hAnsi="Arial" w:cs="Arial"/>
        </w:rPr>
      </w:pPr>
      <w:r>
        <w:rPr>
          <w:rFonts w:ascii="Arial" w:hAnsi="Arial"/>
        </w:rPr>
        <w:t>In line with the provision of Article 27 of the Polish Constitution and Article 4 of the Act on the Polish language</w:t>
      </w:r>
      <w:r>
        <w:rPr>
          <w:rFonts w:ascii="Arial" w:hAnsi="Arial"/>
          <w:vertAlign w:val="superscript"/>
        </w:rPr>
        <w:footnoteReference w:id="28"/>
      </w:r>
      <w:r>
        <w:rPr>
          <w:rFonts w:ascii="Arial" w:hAnsi="Arial"/>
        </w:rPr>
        <w:t>, the official language of Poland is Polish. Nevertheless, the Act on sign language defines the following terms: Polish Sign Language (PJM), Signed Polish (SJM) and communication system for deafblind persons (</w:t>
      </w:r>
      <w:r>
        <w:rPr>
          <w:rFonts w:ascii="Arial" w:hAnsi="Arial"/>
          <w:i/>
        </w:rPr>
        <w:t>Polish: SKOGN)</w:t>
      </w:r>
      <w:r>
        <w:rPr>
          <w:rFonts w:ascii="Arial" w:hAnsi="Arial"/>
        </w:rPr>
        <w:t xml:space="preserve">. </w:t>
      </w:r>
    </w:p>
    <w:p w14:paraId="483501CB" w14:textId="1E20095B" w:rsidR="00324338" w:rsidRPr="005E0071" w:rsidRDefault="00155AB5" w:rsidP="001813AA">
      <w:pPr>
        <w:spacing w:after="0" w:line="360" w:lineRule="auto"/>
        <w:ind w:firstLine="709"/>
        <w:jc w:val="both"/>
        <w:rPr>
          <w:rFonts w:ascii="Arial" w:hAnsi="Arial" w:cs="Arial"/>
          <w:sz w:val="16"/>
          <w:szCs w:val="16"/>
        </w:rPr>
      </w:pPr>
      <w:r>
        <w:rPr>
          <w:rFonts w:ascii="Arial" w:hAnsi="Arial"/>
        </w:rPr>
        <w:t xml:space="preserve">The practice of applying these regulations was discussed in the sections of this report discussing the implementation by Poland of Article 21 of CRPD. </w:t>
      </w:r>
    </w:p>
    <w:p w14:paraId="3492931D" w14:textId="77777777" w:rsidR="00B31B58" w:rsidRPr="00B31B58" w:rsidRDefault="00B31B58" w:rsidP="00B94D52">
      <w:pPr>
        <w:pStyle w:val="Akapitzlist"/>
        <w:numPr>
          <w:ilvl w:val="0"/>
          <w:numId w:val="26"/>
        </w:numPr>
        <w:spacing w:before="120" w:after="120" w:line="360" w:lineRule="auto"/>
        <w:ind w:left="284" w:hanging="284"/>
        <w:jc w:val="both"/>
        <w:rPr>
          <w:rFonts w:ascii="Arial" w:hAnsi="Arial" w:cs="Arial"/>
          <w:b/>
        </w:rPr>
      </w:pPr>
      <w:r>
        <w:rPr>
          <w:rFonts w:ascii="Arial" w:hAnsi="Arial"/>
          <w:b/>
        </w:rPr>
        <w:t>Definition of “universal design” and “reasonable accommodation” in the Polish law:</w:t>
      </w:r>
    </w:p>
    <w:p w14:paraId="271DF82A" w14:textId="40E77440" w:rsidR="00894FE8" w:rsidRDefault="00292788" w:rsidP="001813AA">
      <w:pPr>
        <w:spacing w:after="0" w:line="360" w:lineRule="auto"/>
        <w:ind w:firstLine="709"/>
        <w:jc w:val="both"/>
        <w:rPr>
          <w:rFonts w:ascii="Arial" w:hAnsi="Arial" w:cs="Arial"/>
        </w:rPr>
      </w:pPr>
      <w:r>
        <w:rPr>
          <w:rFonts w:ascii="Arial" w:hAnsi="Arial"/>
        </w:rPr>
        <w:t>Polish legal acts do not use the term “universal design”. Instead, terms like: “community free of functional barriers”</w:t>
      </w:r>
      <w:r>
        <w:rPr>
          <w:rStyle w:val="Odwoanieprzypisudolnego"/>
          <w:rFonts w:ascii="Arial" w:hAnsi="Arial"/>
        </w:rPr>
        <w:footnoteReference w:id="29"/>
      </w:r>
      <w:r>
        <w:rPr>
          <w:rFonts w:ascii="Arial" w:hAnsi="Arial"/>
        </w:rPr>
        <w:t xml:space="preserve"> or “removal of architectural, technical and communication barriers in connection with individual needs of persons with disabilities”</w:t>
      </w:r>
      <w:r>
        <w:rPr>
          <w:rStyle w:val="Odwoanieprzypisudolnego"/>
          <w:rFonts w:ascii="Arial" w:hAnsi="Arial"/>
        </w:rPr>
        <w:footnoteReference w:id="30"/>
      </w:r>
      <w:r>
        <w:rPr>
          <w:rFonts w:ascii="Arial" w:hAnsi="Arial"/>
        </w:rPr>
        <w:t xml:space="preserve"> are used. It shows that in the eyes of a Polish employer, persons with disabilities comprise a social group that requires adaptation and specialist designing of products, community, software and services, and as a rule these designs are not available to everyone.</w:t>
      </w:r>
    </w:p>
    <w:p w14:paraId="43C61BAE" w14:textId="77777777" w:rsidR="006C5D1F" w:rsidRDefault="005E0071" w:rsidP="001813AA">
      <w:pPr>
        <w:spacing w:after="0" w:line="360" w:lineRule="auto"/>
        <w:ind w:firstLine="709"/>
        <w:jc w:val="both"/>
        <w:rPr>
          <w:rFonts w:ascii="Arial" w:hAnsi="Arial" w:cs="Arial"/>
        </w:rPr>
      </w:pPr>
      <w:r>
        <w:rPr>
          <w:rFonts w:ascii="Arial" w:hAnsi="Arial"/>
        </w:rPr>
        <w:t>One must remember that as a  rule, provisions of the Convention on the Rights of Persons with Disabilities are applied by Poland directly. It means that the definition of “universal design” included in the provision of Article 2 of CRPD could be applied in the practical operations of both public authorities and private entities. This issue was discussed in the sections of this report discussing the implementation by Poland of Article 9 of CRPD.</w:t>
      </w:r>
    </w:p>
    <w:p w14:paraId="2220B36F" w14:textId="7742F705" w:rsidR="009B23D2" w:rsidRPr="009B23D2" w:rsidRDefault="00222194" w:rsidP="001813AA">
      <w:pPr>
        <w:spacing w:after="0" w:line="360" w:lineRule="auto"/>
        <w:ind w:firstLine="709"/>
        <w:jc w:val="both"/>
        <w:rPr>
          <w:rFonts w:ascii="Arial" w:hAnsi="Arial" w:cs="Arial"/>
        </w:rPr>
      </w:pPr>
      <w:r>
        <w:rPr>
          <w:rFonts w:ascii="Arial" w:hAnsi="Arial"/>
        </w:rPr>
        <w:lastRenderedPageBreak/>
        <w:t>The term “reasonable accommodation” was in turn introduced into the Polish legal order by means of implementation of the EU directive on equal treatment</w:t>
      </w:r>
      <w:r>
        <w:rPr>
          <w:rStyle w:val="Odwoanieprzypisudolnego"/>
          <w:rFonts w:ascii="Arial" w:hAnsi="Arial"/>
        </w:rPr>
        <w:footnoteReference w:id="31"/>
      </w:r>
      <w:r>
        <w:rPr>
          <w:rFonts w:ascii="Arial" w:hAnsi="Arial"/>
        </w:rPr>
        <w:t>, yet it only refers to employment. In line with Article 23 a of the Act on rehabilitation, the employer is obliged to ensure reasonable accommodations for a person with disabilities that works for the employer, participates in the recruitment process or in a training, internship, vocational training, professional or graduate practice. Failure to ensure the required accommodations (unless  they are unreasonable) constitutes an infringement of the equal treatment principle.</w:t>
      </w:r>
    </w:p>
    <w:p w14:paraId="516F3AA7" w14:textId="570C9765" w:rsidR="006D6AAC" w:rsidRPr="006D6AAC" w:rsidRDefault="00641B79" w:rsidP="001813AA">
      <w:pPr>
        <w:spacing w:after="0" w:line="360" w:lineRule="auto"/>
        <w:ind w:firstLine="709"/>
        <w:jc w:val="both"/>
        <w:rPr>
          <w:rFonts w:ascii="Arial" w:hAnsi="Arial" w:cs="Arial"/>
          <w:sz w:val="16"/>
          <w:szCs w:val="16"/>
        </w:rPr>
      </w:pPr>
      <w:r>
        <w:rPr>
          <w:rFonts w:ascii="Arial" w:hAnsi="Arial"/>
        </w:rPr>
        <w:t>Terms similar to the “reasonable accommodation” term were also used in the so-called technical acts. For example, Construction Law Act mentions “necessary conditions for use of buildings by persons with disabilities”</w:t>
      </w:r>
      <w:r>
        <w:rPr>
          <w:rStyle w:val="Odwoanieprzypisudolnego"/>
          <w:rFonts w:ascii="Arial" w:hAnsi="Arial"/>
        </w:rPr>
        <w:footnoteReference w:id="32"/>
      </w:r>
      <w:r>
        <w:rPr>
          <w:rFonts w:ascii="Arial" w:hAnsi="Arial"/>
        </w:rPr>
        <w:t>, the Transportation Law mentions the term “activities facilitating the use of means of transport by persons with disabilities”</w:t>
      </w:r>
      <w:r>
        <w:rPr>
          <w:rStyle w:val="Odwoanieprzypisudolnego"/>
          <w:rFonts w:ascii="Arial" w:hAnsi="Arial"/>
        </w:rPr>
        <w:footnoteReference w:id="33"/>
      </w:r>
      <w:r>
        <w:rPr>
          <w:rFonts w:ascii="Arial" w:hAnsi="Arial"/>
        </w:rPr>
        <w:t>, and the Telecommunication Law uses the terms “facilitations for persons with disabilities”</w:t>
      </w:r>
      <w:r>
        <w:rPr>
          <w:rStyle w:val="Odwoanieprzypisudolnego"/>
          <w:rFonts w:ascii="Arial" w:hAnsi="Arial"/>
        </w:rPr>
        <w:footnoteReference w:id="34"/>
      </w:r>
      <w:r>
        <w:rPr>
          <w:rFonts w:ascii="Arial" w:hAnsi="Arial"/>
        </w:rPr>
        <w:t xml:space="preserve">. None of these provisions define these terms nor stipulate whether and to what extent such measures are co-financed by the state. </w:t>
      </w:r>
    </w:p>
    <w:p w14:paraId="332A0889" w14:textId="71B19AC9" w:rsidR="002105ED" w:rsidRPr="002105ED" w:rsidRDefault="00A16F58" w:rsidP="00B94D52">
      <w:pPr>
        <w:pStyle w:val="Akapitzlist"/>
        <w:numPr>
          <w:ilvl w:val="0"/>
          <w:numId w:val="26"/>
        </w:numPr>
        <w:spacing w:before="120" w:after="120" w:line="360" w:lineRule="auto"/>
        <w:ind w:left="284" w:hanging="284"/>
        <w:jc w:val="both"/>
        <w:rPr>
          <w:rFonts w:ascii="Arial" w:hAnsi="Arial" w:cs="Arial"/>
          <w:b/>
        </w:rPr>
      </w:pPr>
      <w:r>
        <w:rPr>
          <w:rFonts w:ascii="Arial" w:hAnsi="Arial"/>
          <w:b/>
        </w:rPr>
        <w:t>Statistics and data collection:</w:t>
      </w:r>
    </w:p>
    <w:p w14:paraId="17A98ACD" w14:textId="1715C5A0" w:rsidR="00AF4634" w:rsidRPr="00AF4634" w:rsidRDefault="00A16F58" w:rsidP="001813AA">
      <w:pPr>
        <w:spacing w:after="0" w:line="360" w:lineRule="auto"/>
        <w:ind w:firstLine="709"/>
        <w:jc w:val="both"/>
        <w:rPr>
          <w:rFonts w:ascii="Arial" w:hAnsi="Arial" w:cs="Arial"/>
        </w:rPr>
      </w:pPr>
      <w:r>
        <w:rPr>
          <w:rFonts w:ascii="Arial" w:hAnsi="Arial"/>
        </w:rPr>
        <w:t>The problems discussed above regarding the inconsistent definition of disability and the lack of uniform assessment system on disability constitute an essential obstacle in the process of collecting and gathering data that could be used to assess the progress of implementation by Poland of the obligations arising from the Convention on the Rights of Persons with Disabilities. For example, the definition and the data collected within the education system do not correspond with the definition of disability used for the purposes of labour market research. Moreover, no national indicators were established that would allow for assessing the progress of implementing the Convention in individual areas of life of persons with disabilities. As a consequence, data obtained from different sources and at different intervals are not only not comparable, but they are only used to monitor the progress of implementing the Convention in the country to a slight extent.</w:t>
      </w:r>
    </w:p>
    <w:p w14:paraId="241FCF30" w14:textId="61A98080" w:rsidR="00DC6FB5" w:rsidRDefault="00C359D1" w:rsidP="00B94D52">
      <w:pPr>
        <w:pStyle w:val="Akapitzlist"/>
        <w:numPr>
          <w:ilvl w:val="0"/>
          <w:numId w:val="26"/>
        </w:numPr>
        <w:spacing w:before="120" w:after="120" w:line="360" w:lineRule="auto"/>
        <w:ind w:left="284" w:hanging="284"/>
        <w:jc w:val="both"/>
        <w:rPr>
          <w:rFonts w:ascii="Arial" w:hAnsi="Arial" w:cs="Arial"/>
          <w:b/>
        </w:rPr>
      </w:pPr>
      <w:r>
        <w:rPr>
          <w:rFonts w:ascii="Arial" w:hAnsi="Arial"/>
          <w:b/>
        </w:rPr>
        <w:t>Comments regarding the implementation of general obligations arising from CRPD:</w:t>
      </w:r>
    </w:p>
    <w:p w14:paraId="32A0548E" w14:textId="6BB2525A" w:rsidR="0031741E" w:rsidRDefault="005A1C28" w:rsidP="001813AA">
      <w:pPr>
        <w:spacing w:after="0" w:line="360" w:lineRule="auto"/>
        <w:ind w:firstLine="709"/>
        <w:jc w:val="both"/>
        <w:rPr>
          <w:rFonts w:ascii="Arial" w:hAnsi="Arial" w:cs="Arial"/>
        </w:rPr>
      </w:pPr>
      <w:r>
        <w:rPr>
          <w:rFonts w:ascii="Arial" w:hAnsi="Arial"/>
        </w:rPr>
        <w:t>In line with the Act on international agreements</w:t>
      </w:r>
      <w:r>
        <w:rPr>
          <w:rStyle w:val="Odwoanieprzypisudolnego"/>
          <w:rFonts w:ascii="Arial" w:hAnsi="Arial"/>
        </w:rPr>
        <w:footnoteReference w:id="35"/>
      </w:r>
      <w:r>
        <w:rPr>
          <w:rFonts w:ascii="Arial" w:hAnsi="Arial"/>
        </w:rPr>
        <w:t xml:space="preserve">, the entity responsible for performing the obligations arising from the Convention on the Rights of Persons with Disabilities is the Minister of Labour and Social Policy who, in line with Article 33 of CRPD, also serves as the </w:t>
      </w:r>
      <w:r>
        <w:rPr>
          <w:rFonts w:ascii="Arial" w:hAnsi="Arial"/>
        </w:rPr>
        <w:lastRenderedPageBreak/>
        <w:t>focal</w:t>
      </w:r>
      <w:r>
        <w:rPr>
          <w:rFonts w:ascii="Arial" w:hAnsi="Arial"/>
          <w:i/>
        </w:rPr>
        <w:t xml:space="preserve"> </w:t>
      </w:r>
      <w:r>
        <w:rPr>
          <w:rFonts w:ascii="Arial" w:hAnsi="Arial"/>
        </w:rPr>
        <w:t xml:space="preserve">point. However, until now </w:t>
      </w:r>
      <w:r>
        <w:rPr>
          <w:rFonts w:ascii="Arial" w:hAnsi="Arial"/>
          <w:b/>
        </w:rPr>
        <w:t>no strategy to implement the provisions of the Convention in Poland was adopted</w:t>
      </w:r>
      <w:r>
        <w:rPr>
          <w:rFonts w:ascii="Arial" w:hAnsi="Arial"/>
        </w:rPr>
        <w:t>, no indicators and related national reference framework for each right established by Convention were determined</w:t>
      </w:r>
      <w:r>
        <w:rPr>
          <w:rStyle w:val="Odwoanieprzypisudolnego"/>
          <w:rFonts w:ascii="Arial" w:hAnsi="Arial"/>
        </w:rPr>
        <w:footnoteReference w:id="36"/>
      </w:r>
      <w:r>
        <w:rPr>
          <w:rFonts w:ascii="Arial" w:hAnsi="Arial"/>
        </w:rPr>
        <w:t xml:space="preserve">. </w:t>
      </w:r>
    </w:p>
    <w:p w14:paraId="505223A6" w14:textId="6A9D5427" w:rsidR="00DC6FB5" w:rsidRPr="005E0071" w:rsidRDefault="00BD3B30" w:rsidP="00B94D52">
      <w:pPr>
        <w:spacing w:after="0" w:line="360" w:lineRule="auto"/>
        <w:ind w:firstLine="709"/>
        <w:jc w:val="both"/>
        <w:rPr>
          <w:rFonts w:ascii="Arial" w:hAnsi="Arial" w:cs="Arial"/>
          <w:sz w:val="16"/>
          <w:szCs w:val="16"/>
        </w:rPr>
      </w:pPr>
      <w:r>
        <w:rPr>
          <w:rFonts w:ascii="Arial" w:hAnsi="Arial"/>
        </w:rPr>
        <w:t>With reference to the wording of Article 4(2) of CRPD, it was not determined which of the rights established in the Convention are implemented gradually, and which – immediately. It is of particular significance for the process of monitoring the realization of social rights stipulated in the Convention and makes it difficult to reliably assess the realization of its provisions.</w:t>
      </w:r>
    </w:p>
    <w:p w14:paraId="7A2E8213" w14:textId="1FC3D142" w:rsidR="00BD3B30" w:rsidRDefault="009E169F" w:rsidP="00B94D52">
      <w:pPr>
        <w:pStyle w:val="Akapitzlist"/>
        <w:numPr>
          <w:ilvl w:val="0"/>
          <w:numId w:val="26"/>
        </w:numPr>
        <w:spacing w:before="120" w:after="120" w:line="360" w:lineRule="auto"/>
        <w:ind w:left="284" w:hanging="284"/>
        <w:jc w:val="both"/>
        <w:rPr>
          <w:rFonts w:ascii="Arial" w:hAnsi="Arial" w:cs="Arial"/>
          <w:b/>
        </w:rPr>
      </w:pPr>
      <w:r>
        <w:rPr>
          <w:rFonts w:ascii="Arial" w:hAnsi="Arial"/>
          <w:b/>
        </w:rPr>
        <w:t>Legal measures enabling victims to obtain compensation if the Convention rights are infringed:</w:t>
      </w:r>
    </w:p>
    <w:p w14:paraId="0B982F38" w14:textId="77777777" w:rsidR="003733AC" w:rsidRDefault="003733AC" w:rsidP="001813AA">
      <w:pPr>
        <w:spacing w:after="0" w:line="360" w:lineRule="auto"/>
        <w:ind w:firstLine="709"/>
        <w:jc w:val="both"/>
        <w:rPr>
          <w:rFonts w:ascii="Arial" w:hAnsi="Arial" w:cs="Arial"/>
        </w:rPr>
      </w:pPr>
      <w:r>
        <w:rPr>
          <w:rFonts w:ascii="Arial" w:hAnsi="Arial"/>
        </w:rPr>
        <w:t xml:space="preserve">Infringement of the rights of persons with disabilities that might require payment of compensation or remedy by the perpetrator, yet the circumstances allowing the victim to file a court complaint are significantly limited. First of all, persons with disabilities may demand payment of a relevant amount of money if </w:t>
      </w:r>
      <w:r>
        <w:rPr>
          <w:rFonts w:ascii="Arial" w:hAnsi="Arial"/>
          <w:b/>
        </w:rPr>
        <w:t>their right to equal treatment is infringed</w:t>
      </w:r>
      <w:r>
        <w:rPr>
          <w:rFonts w:ascii="Arial" w:hAnsi="Arial"/>
        </w:rPr>
        <w:t>. The practice of applying these legal measures was discussed in detail in the sections of this report discussing the implementation of Article 5 of CRPD. Thus, it is vital to only mention here that as a rule, complaints regarding infringement of equal treatment principles are limited to the areas related to work and employment, and the number of cases in this area considered by common courts is very small.</w:t>
      </w:r>
    </w:p>
    <w:p w14:paraId="68582725" w14:textId="77777777" w:rsidR="0030367A" w:rsidRDefault="0030367A" w:rsidP="001813AA">
      <w:pPr>
        <w:spacing w:after="0" w:line="360" w:lineRule="auto"/>
        <w:ind w:firstLine="709"/>
        <w:jc w:val="both"/>
        <w:rPr>
          <w:rFonts w:ascii="Arial" w:hAnsi="Arial" w:cs="Arial"/>
        </w:rPr>
      </w:pPr>
      <w:r>
        <w:rPr>
          <w:rFonts w:ascii="Arial" w:hAnsi="Arial"/>
        </w:rPr>
        <w:t xml:space="preserve">Another option to claim compensation or remedy is </w:t>
      </w:r>
      <w:r>
        <w:rPr>
          <w:rFonts w:ascii="Arial" w:hAnsi="Arial"/>
          <w:b/>
        </w:rPr>
        <w:t>complaint regarding protection of personal rights</w:t>
      </w:r>
      <w:r>
        <w:rPr>
          <w:rFonts w:ascii="Arial" w:hAnsi="Arial"/>
        </w:rPr>
        <w:t>, i.e. in particular health, freedom, dignity, freedom of conscience, name or nickname, image, secrecy of correspondence, inviolability of home, scientific, artistic, inventing and rationalising output</w:t>
      </w:r>
      <w:r>
        <w:rPr>
          <w:rStyle w:val="Odwoanieprzypisudolnego"/>
          <w:rFonts w:ascii="Arial" w:hAnsi="Arial"/>
        </w:rPr>
        <w:footnoteReference w:id="37"/>
      </w:r>
      <w:r>
        <w:rPr>
          <w:rFonts w:ascii="Arial" w:hAnsi="Arial"/>
        </w:rPr>
        <w:t>. The Ombudsman is aware of single court judgements, where the above was the basis for compensation or remedy for infringement of personal rights of persons with disabilities</w:t>
      </w:r>
      <w:r>
        <w:rPr>
          <w:rStyle w:val="Odwoanieprzypisudolnego"/>
          <w:rFonts w:ascii="Arial" w:hAnsi="Arial"/>
        </w:rPr>
        <w:footnoteReference w:id="38"/>
      </w:r>
      <w:r>
        <w:rPr>
          <w:rFonts w:ascii="Arial" w:hAnsi="Arial"/>
        </w:rPr>
        <w:t>.</w:t>
      </w:r>
    </w:p>
    <w:p w14:paraId="18E2B24D" w14:textId="4BEA2544" w:rsidR="00926D12" w:rsidRDefault="00C6653C" w:rsidP="001813AA">
      <w:pPr>
        <w:spacing w:after="0" w:line="360" w:lineRule="auto"/>
        <w:ind w:firstLine="709"/>
        <w:jc w:val="both"/>
        <w:rPr>
          <w:rFonts w:ascii="Arial" w:hAnsi="Arial" w:cs="Arial"/>
        </w:rPr>
      </w:pPr>
      <w:r>
        <w:rPr>
          <w:rFonts w:ascii="Arial" w:hAnsi="Arial"/>
        </w:rPr>
        <w:t xml:space="preserve">In line with Article 91 of the Polish Constitution, a ratified international agreement, after its promulgation in the Journal of Laws of the Republic of Poland, constitutes a part of the domestic legal order and is applied directly, unless its application depends on the enactment of a statute. However, since the Convention on the Rights of Persons with </w:t>
      </w:r>
      <w:r>
        <w:rPr>
          <w:rFonts w:ascii="Arial" w:hAnsi="Arial"/>
        </w:rPr>
        <w:lastRenderedPageBreak/>
        <w:t>Disabilities was ratified, no ruling of a common court was registered, where the CRPD provisions would be the basis for the judgement. Considering the position of the Supreme Court regarding the lack of the possibility of direct application of International Covenant on Economic, Social and Cultural Rights</w:t>
      </w:r>
      <w:r>
        <w:rPr>
          <w:rStyle w:val="Odwoanieprzypisudolnego"/>
          <w:rFonts w:ascii="Arial" w:hAnsi="Arial"/>
        </w:rPr>
        <w:footnoteReference w:id="39"/>
      </w:r>
      <w:r>
        <w:rPr>
          <w:rFonts w:ascii="Arial" w:hAnsi="Arial"/>
        </w:rPr>
        <w:t xml:space="preserve">, according to the Ombudsman, </w:t>
      </w:r>
      <w:r>
        <w:rPr>
          <w:rFonts w:ascii="Arial" w:hAnsi="Arial"/>
          <w:b/>
        </w:rPr>
        <w:t>direct application of the provisions of the Convention on the Rights of Persons with Disabilities may also meet with significant obstacles in the future</w:t>
      </w:r>
      <w:r>
        <w:rPr>
          <w:rFonts w:ascii="Arial" w:hAnsi="Arial"/>
        </w:rPr>
        <w:t>.</w:t>
      </w:r>
    </w:p>
    <w:p w14:paraId="4BDEF11D" w14:textId="1A43F00F" w:rsidR="00215537" w:rsidRPr="0030367A" w:rsidRDefault="00215537" w:rsidP="001813AA">
      <w:pPr>
        <w:spacing w:after="0" w:line="360" w:lineRule="auto"/>
        <w:ind w:firstLine="709"/>
        <w:jc w:val="both"/>
        <w:rPr>
          <w:rFonts w:ascii="Arial" w:hAnsi="Arial" w:cs="Arial"/>
        </w:rPr>
      </w:pPr>
      <w:r>
        <w:rPr>
          <w:rFonts w:ascii="Arial" w:hAnsi="Arial"/>
        </w:rPr>
        <w:t xml:space="preserve">The provisions of the Convention had been considered in the procedure before the </w:t>
      </w:r>
      <w:r>
        <w:rPr>
          <w:rFonts w:ascii="Arial" w:hAnsi="Arial"/>
          <w:b/>
        </w:rPr>
        <w:t>Constitutional Tribunal</w:t>
      </w:r>
      <w:r>
        <w:rPr>
          <w:rFonts w:ascii="Arial" w:hAnsi="Arial"/>
        </w:rPr>
        <w:t>. In one of the cases resolved so far, the Tribunal refrained from assessing whether the provisions of the Election Code Act covered by the complaint are consistent with the provision of Article 29 of CRPD</w:t>
      </w:r>
      <w:r>
        <w:rPr>
          <w:rStyle w:val="Odwoanieprzypisudolnego"/>
          <w:rFonts w:ascii="Arial" w:hAnsi="Arial"/>
        </w:rPr>
        <w:footnoteReference w:id="40"/>
      </w:r>
      <w:r>
        <w:rPr>
          <w:rFonts w:ascii="Arial" w:hAnsi="Arial"/>
        </w:rPr>
        <w:t xml:space="preserve"> and discontinued the procedure in this respect. In another case, the Tribunal recognized that the questioned provisions of the Act – Assembly Law are consistent with Article 29 of CRPD</w:t>
      </w:r>
      <w:r>
        <w:rPr>
          <w:rStyle w:val="Odwoanieprzypisudolnego"/>
          <w:rFonts w:ascii="Arial" w:hAnsi="Arial"/>
        </w:rPr>
        <w:footnoteReference w:id="41"/>
      </w:r>
      <w:r>
        <w:rPr>
          <w:rFonts w:ascii="Arial" w:hAnsi="Arial"/>
        </w:rPr>
        <w:t>. At the moment, another three complaints are awaiting consideration by the Tribunal, where the inspection basis is formed by the provisions of the Convention on the Rights of Persons with Disabilities</w:t>
      </w:r>
      <w:r>
        <w:rPr>
          <w:rStyle w:val="Odwoanieprzypisudolnego"/>
          <w:rFonts w:ascii="Arial" w:hAnsi="Arial"/>
        </w:rPr>
        <w:footnoteReference w:id="42"/>
      </w:r>
      <w:r>
        <w:rPr>
          <w:rFonts w:ascii="Arial" w:hAnsi="Arial"/>
        </w:rPr>
        <w:t>.</w:t>
      </w:r>
    </w:p>
    <w:p w14:paraId="7800890F" w14:textId="5EEE6370" w:rsidR="00DC6FB5" w:rsidRPr="00C359D1" w:rsidRDefault="00914B8A" w:rsidP="00B94D52">
      <w:pPr>
        <w:pStyle w:val="Akapitzlist"/>
        <w:numPr>
          <w:ilvl w:val="0"/>
          <w:numId w:val="26"/>
        </w:numPr>
        <w:spacing w:before="120" w:after="120" w:line="360" w:lineRule="auto"/>
        <w:ind w:left="284" w:hanging="284"/>
        <w:jc w:val="both"/>
        <w:rPr>
          <w:rFonts w:ascii="Arial" w:hAnsi="Arial" w:cs="Arial"/>
          <w:b/>
        </w:rPr>
      </w:pPr>
      <w:r>
        <w:rPr>
          <w:rFonts w:ascii="Arial" w:hAnsi="Arial"/>
          <w:b/>
        </w:rPr>
        <w:t>Recommendations:</w:t>
      </w:r>
    </w:p>
    <w:p w14:paraId="075B0F44" w14:textId="77777777" w:rsidR="002933FD" w:rsidRDefault="002933FD" w:rsidP="001813AA">
      <w:pPr>
        <w:spacing w:after="0" w:line="360" w:lineRule="auto"/>
        <w:ind w:firstLine="709"/>
        <w:jc w:val="both"/>
        <w:rPr>
          <w:rFonts w:ascii="Arial" w:hAnsi="Arial" w:cs="Arial"/>
        </w:rPr>
      </w:pPr>
      <w:r>
        <w:rPr>
          <w:rFonts w:ascii="Arial" w:hAnsi="Arial"/>
        </w:rPr>
        <w:t>According to the Human Rights Defender, in order to fully implement the rights established in the Convention on the Rights of Persons with Disabilities it is necessary to:</w:t>
      </w:r>
    </w:p>
    <w:p w14:paraId="4B654545" w14:textId="311446C2" w:rsidR="00657F26" w:rsidRDefault="00657F26" w:rsidP="003D345C">
      <w:pPr>
        <w:pStyle w:val="Akapitzlist"/>
        <w:numPr>
          <w:ilvl w:val="0"/>
          <w:numId w:val="27"/>
        </w:numPr>
        <w:spacing w:after="0" w:line="360" w:lineRule="auto"/>
        <w:ind w:left="284" w:hanging="284"/>
        <w:jc w:val="both"/>
        <w:rPr>
          <w:rFonts w:ascii="Arial" w:hAnsi="Arial" w:cs="Arial"/>
        </w:rPr>
      </w:pPr>
      <w:r>
        <w:rPr>
          <w:rFonts w:ascii="Arial" w:hAnsi="Arial"/>
        </w:rPr>
        <w:t>prepare and implement a uniform assessment system with respect to the functioning of the persons with disabilities in all areas of life, including education, work, social security and health. This system should be based on functional diagnosis of persons with disabilities using the definition based on the social model of disability;</w:t>
      </w:r>
    </w:p>
    <w:p w14:paraId="071F504C" w14:textId="77777777" w:rsidR="00657F26" w:rsidRDefault="00412F52" w:rsidP="003D345C">
      <w:pPr>
        <w:pStyle w:val="Akapitzlist"/>
        <w:numPr>
          <w:ilvl w:val="0"/>
          <w:numId w:val="27"/>
        </w:numPr>
        <w:spacing w:after="0" w:line="360" w:lineRule="auto"/>
        <w:ind w:left="284" w:hanging="284"/>
        <w:jc w:val="both"/>
        <w:rPr>
          <w:rFonts w:ascii="Arial" w:hAnsi="Arial" w:cs="Arial"/>
        </w:rPr>
      </w:pPr>
      <w:r>
        <w:rPr>
          <w:rFonts w:ascii="Arial" w:hAnsi="Arial"/>
        </w:rPr>
        <w:t>review the legal acts binding in Poland as regards the wording used to designate “disability” and “persons with disabilities” and eliminate obsolete and pejorative terms;</w:t>
      </w:r>
    </w:p>
    <w:p w14:paraId="57581A1F" w14:textId="3FB2B7AB" w:rsidR="00412F52" w:rsidRDefault="00412F52" w:rsidP="003D345C">
      <w:pPr>
        <w:pStyle w:val="Akapitzlist"/>
        <w:numPr>
          <w:ilvl w:val="0"/>
          <w:numId w:val="27"/>
        </w:numPr>
        <w:spacing w:after="0" w:line="360" w:lineRule="auto"/>
        <w:ind w:left="284" w:hanging="284"/>
        <w:jc w:val="both"/>
        <w:rPr>
          <w:rFonts w:ascii="Arial" w:hAnsi="Arial" w:cs="Arial"/>
        </w:rPr>
      </w:pPr>
      <w:r>
        <w:rPr>
          <w:rFonts w:ascii="Arial" w:hAnsi="Arial"/>
        </w:rPr>
        <w:t>define clearly which rights are granted to persons with disabilities depending on the type of assessment held (legal disability) and which rights arise from the very fact of the existence of the disability (biological disability);</w:t>
      </w:r>
    </w:p>
    <w:p w14:paraId="69EEFF09" w14:textId="77777777" w:rsidR="00412F52" w:rsidRDefault="00412F52" w:rsidP="003D345C">
      <w:pPr>
        <w:pStyle w:val="Akapitzlist"/>
        <w:numPr>
          <w:ilvl w:val="0"/>
          <w:numId w:val="27"/>
        </w:numPr>
        <w:spacing w:after="0" w:line="360" w:lineRule="auto"/>
        <w:ind w:left="284" w:hanging="284"/>
        <w:jc w:val="both"/>
        <w:rPr>
          <w:rFonts w:ascii="Arial" w:hAnsi="Arial" w:cs="Arial"/>
        </w:rPr>
      </w:pPr>
      <w:r>
        <w:rPr>
          <w:rFonts w:ascii="Arial" w:hAnsi="Arial"/>
        </w:rPr>
        <w:t xml:space="preserve">indicate clearly which rights established by the Convention are to be implemented gradually, and which – immediately; </w:t>
      </w:r>
    </w:p>
    <w:p w14:paraId="10BAEC11" w14:textId="77777777" w:rsidR="00412F52" w:rsidRDefault="00412F52" w:rsidP="003D345C">
      <w:pPr>
        <w:pStyle w:val="Akapitzlist"/>
        <w:numPr>
          <w:ilvl w:val="0"/>
          <w:numId w:val="27"/>
        </w:numPr>
        <w:spacing w:after="0" w:line="360" w:lineRule="auto"/>
        <w:ind w:left="284" w:hanging="284"/>
        <w:jc w:val="both"/>
        <w:rPr>
          <w:rFonts w:ascii="Arial" w:hAnsi="Arial" w:cs="Arial"/>
        </w:rPr>
      </w:pPr>
      <w:r>
        <w:rPr>
          <w:rFonts w:ascii="Arial" w:hAnsi="Arial"/>
        </w:rPr>
        <w:lastRenderedPageBreak/>
        <w:t>define indicators and related national reference framework for each right established by the Convention;</w:t>
      </w:r>
    </w:p>
    <w:p w14:paraId="6DFEFBF3" w14:textId="77777777" w:rsidR="00DF4877" w:rsidRPr="00657F26" w:rsidRDefault="00DF4877" w:rsidP="003D345C">
      <w:pPr>
        <w:pStyle w:val="Akapitzlist"/>
        <w:numPr>
          <w:ilvl w:val="0"/>
          <w:numId w:val="27"/>
        </w:numPr>
        <w:spacing w:after="0" w:line="360" w:lineRule="auto"/>
        <w:ind w:left="284" w:hanging="284"/>
        <w:jc w:val="both"/>
        <w:rPr>
          <w:rFonts w:ascii="Arial" w:hAnsi="Arial" w:cs="Arial"/>
        </w:rPr>
      </w:pPr>
      <w:r>
        <w:rPr>
          <w:rFonts w:ascii="Arial" w:hAnsi="Arial"/>
        </w:rPr>
        <w:t>adopt a national strategy to implement the provisions of the Convention on the Rights of Persons with Disabilities.</w:t>
      </w:r>
    </w:p>
    <w:p w14:paraId="618BDADB" w14:textId="77777777" w:rsidR="00B14E03" w:rsidRDefault="00B14E03" w:rsidP="001813AA">
      <w:pPr>
        <w:spacing w:after="0" w:line="360" w:lineRule="auto"/>
        <w:jc w:val="both"/>
        <w:rPr>
          <w:rFonts w:ascii="Arial" w:hAnsi="Arial" w:cs="Arial"/>
          <w:sz w:val="16"/>
          <w:szCs w:val="16"/>
        </w:rPr>
      </w:pPr>
    </w:p>
    <w:p w14:paraId="4D57DE5F" w14:textId="2F2B76DB" w:rsidR="00457A77" w:rsidRDefault="00457A77">
      <w:pPr>
        <w:rPr>
          <w:rFonts w:ascii="Arial" w:hAnsi="Arial" w:cs="Arial"/>
          <w:sz w:val="16"/>
          <w:szCs w:val="16"/>
        </w:rPr>
      </w:pPr>
      <w:r>
        <w:br w:type="page"/>
      </w:r>
    </w:p>
    <w:p w14:paraId="34F3108A" w14:textId="09365335" w:rsidR="007C53A7" w:rsidRPr="009E79BF" w:rsidRDefault="007C53A7" w:rsidP="00470512">
      <w:pPr>
        <w:pStyle w:val="Nagwek1"/>
        <w:numPr>
          <w:ilvl w:val="0"/>
          <w:numId w:val="58"/>
        </w:numPr>
      </w:pPr>
      <w:bookmarkStart w:id="11" w:name="_Toc403999531"/>
      <w:bookmarkStart w:id="12" w:name="_Toc424278995"/>
      <w:r>
        <w:lastRenderedPageBreak/>
        <w:t>Information on realisation of selected rights established by the Convention</w:t>
      </w:r>
      <w:bookmarkEnd w:id="11"/>
      <w:bookmarkEnd w:id="12"/>
    </w:p>
    <w:p w14:paraId="650F08C4" w14:textId="77777777" w:rsidR="006317A2" w:rsidRPr="009E79BF" w:rsidRDefault="006317A2" w:rsidP="00F92CA5">
      <w:pPr>
        <w:pStyle w:val="Nagwek2"/>
      </w:pPr>
      <w:bookmarkStart w:id="13" w:name="_Toc403999532"/>
      <w:bookmarkStart w:id="14" w:name="_Toc424278996"/>
      <w:r>
        <w:t>Article 5 – Equality and non-discrimination</w:t>
      </w:r>
      <w:bookmarkEnd w:id="13"/>
      <w:bookmarkEnd w:id="14"/>
    </w:p>
    <w:p w14:paraId="2B564937" w14:textId="77777777" w:rsidR="006317A2" w:rsidRDefault="00762A77" w:rsidP="00B94D52">
      <w:pPr>
        <w:pStyle w:val="Akapitzlist"/>
        <w:numPr>
          <w:ilvl w:val="0"/>
          <w:numId w:val="2"/>
        </w:numPr>
        <w:spacing w:before="120" w:after="120" w:line="360" w:lineRule="auto"/>
        <w:ind w:left="284" w:hanging="284"/>
        <w:jc w:val="both"/>
        <w:rPr>
          <w:rFonts w:ascii="Arial" w:hAnsi="Arial" w:cs="Arial"/>
          <w:b/>
        </w:rPr>
      </w:pPr>
      <w:r>
        <w:rPr>
          <w:rFonts w:ascii="Arial" w:hAnsi="Arial"/>
          <w:b/>
        </w:rPr>
        <w:t>Introduction</w:t>
      </w:r>
    </w:p>
    <w:p w14:paraId="4448BCF2" w14:textId="77777777" w:rsidR="00762A77" w:rsidRDefault="00762A77" w:rsidP="001813AA">
      <w:pPr>
        <w:pStyle w:val="Akapitzlist"/>
        <w:spacing w:after="0" w:line="360" w:lineRule="auto"/>
        <w:ind w:left="0" w:firstLine="567"/>
        <w:jc w:val="both"/>
        <w:rPr>
          <w:rFonts w:ascii="Arial" w:hAnsi="Arial" w:cs="Arial"/>
        </w:rPr>
      </w:pPr>
      <w:r>
        <w:rPr>
          <w:rFonts w:ascii="Arial" w:hAnsi="Arial"/>
        </w:rPr>
        <w:t xml:space="preserve">In line with Article 32 of the Polish Constitution, all persons are equal towards the law and have the right to be treated equally by public authorities. No person may be discriminated in political, social or economic life for any reason. </w:t>
      </w:r>
    </w:p>
    <w:p w14:paraId="358561A9" w14:textId="77777777" w:rsidR="00ED2CDC" w:rsidRDefault="00ED2CDC" w:rsidP="001813AA">
      <w:pPr>
        <w:pStyle w:val="Akapitzlist"/>
        <w:spacing w:after="0" w:line="360" w:lineRule="auto"/>
        <w:ind w:left="0" w:firstLine="567"/>
        <w:jc w:val="both"/>
        <w:rPr>
          <w:rFonts w:ascii="Arial" w:hAnsi="Arial" w:cs="Arial"/>
        </w:rPr>
      </w:pPr>
      <w:r>
        <w:rPr>
          <w:rFonts w:ascii="Arial" w:hAnsi="Arial"/>
        </w:rPr>
        <w:t>In the Polish legal system, protection of persons with disabilities against discrimination is primarily based on two legal acts – Labour Code</w:t>
      </w:r>
      <w:r>
        <w:rPr>
          <w:rStyle w:val="Odwoanieprzypisudolnego"/>
          <w:rFonts w:ascii="Arial" w:hAnsi="Arial"/>
        </w:rPr>
        <w:footnoteReference w:id="43"/>
      </w:r>
      <w:r>
        <w:rPr>
          <w:rFonts w:ascii="Arial" w:hAnsi="Arial"/>
        </w:rPr>
        <w:t xml:space="preserve"> and the Act on the implementation of some regulations of European Union regarding equal treatment</w:t>
      </w:r>
      <w:r>
        <w:rPr>
          <w:rStyle w:val="Odwoanieprzypisudolnego"/>
          <w:rFonts w:ascii="Arial" w:hAnsi="Arial"/>
        </w:rPr>
        <w:footnoteReference w:id="44"/>
      </w:r>
      <w:r>
        <w:rPr>
          <w:rFonts w:ascii="Arial" w:hAnsi="Arial"/>
        </w:rPr>
        <w:t xml:space="preserve"> (hereinafter referred to as Act on equal treatment).</w:t>
      </w:r>
    </w:p>
    <w:p w14:paraId="590070C0" w14:textId="492CD003" w:rsidR="004A28A4" w:rsidRDefault="004A28A4" w:rsidP="001813AA">
      <w:pPr>
        <w:pStyle w:val="Akapitzlist"/>
        <w:spacing w:after="0" w:line="360" w:lineRule="auto"/>
        <w:ind w:left="0" w:firstLine="567"/>
        <w:jc w:val="both"/>
        <w:rPr>
          <w:rFonts w:ascii="Arial" w:hAnsi="Arial" w:cs="Arial"/>
        </w:rPr>
      </w:pPr>
      <w:r>
        <w:rPr>
          <w:rFonts w:ascii="Arial" w:hAnsi="Arial"/>
        </w:rPr>
        <w:t>The governmental authority competent for the affairs of counteracting the infringements to the equal treatment principle is the Government Plenipotentiary for Equal Treatment within the structures of the Chancellery of the Prime Minister of Poland and is subordinate  to the Prime Minister directly. The tasks related to combating discrimination on the grounds of disability should be performed by the Plenipotentiary in cooperation with the Government Plenipotentiary for Persons with Disabilities</w:t>
      </w:r>
      <w:r>
        <w:rPr>
          <w:rStyle w:val="Odwoanieprzypisudolnego"/>
          <w:rFonts w:ascii="Arial" w:hAnsi="Arial"/>
        </w:rPr>
        <w:footnoteReference w:id="45"/>
      </w:r>
      <w:r>
        <w:rPr>
          <w:rFonts w:ascii="Arial" w:hAnsi="Arial"/>
        </w:rPr>
        <w:t xml:space="preserve"> within the structure of the Ministry of Labour and Social Policy. Inspection competences in the area of complying with the equal treatment principle in hiring persons on the basis of an employment contract are also held by the State Labour Inspection. The entitlements of the Inspection in the area of combating the infringements of the non-discrimination principle do not apply to persons hired on the basis of civil-law contracts (contract of mandate or contract to perform a specific task) and the obligations arising from the Act on equal treatment.</w:t>
      </w:r>
    </w:p>
    <w:p w14:paraId="365D665F" w14:textId="77777777" w:rsidR="00B94D52" w:rsidRDefault="000A1E41" w:rsidP="00B94D52">
      <w:pPr>
        <w:pStyle w:val="Akapitzlist"/>
        <w:spacing w:after="0" w:line="360" w:lineRule="auto"/>
        <w:ind w:left="0" w:firstLine="567"/>
        <w:jc w:val="both"/>
        <w:rPr>
          <w:rFonts w:ascii="Arial" w:hAnsi="Arial" w:cs="Arial"/>
        </w:rPr>
      </w:pPr>
      <w:r>
        <w:rPr>
          <w:rFonts w:ascii="Arial" w:hAnsi="Arial"/>
        </w:rPr>
        <w:t xml:space="preserve">The Human Rights Defender is an independent body (i.e. a body not within the structures of the government and not subject to governmental institutions) responsible for equal treatment, including combating discrimination on the grounds of disability who also serves as the independent mechanism to promote, protect and monitor the implementation of the Convention on the Rights of Persons with Disabilities. As a rule, the competences of the Ombudsman are reviewed if the equal treatment and non-discrimination principles by public authorities are infringed. Thus, the Ombudsman’s competences do not extend to actions or inactions of natural persons or other private law entities. In such cases, the Ombudsman </w:t>
      </w:r>
      <w:r>
        <w:rPr>
          <w:rFonts w:ascii="Arial" w:hAnsi="Arial"/>
        </w:rPr>
        <w:lastRenderedPageBreak/>
        <w:t>may only analyse the conduct of public authorities and institutions with respect to the measures undertaken in order to prevent infringements of the equal treatment principle by a private entity and to provide the discrimination victim with the information and explanations regarding the legal measures they are entitled to</w:t>
      </w:r>
      <w:r>
        <w:rPr>
          <w:rStyle w:val="Odwoanieprzypisudolnego"/>
          <w:rFonts w:ascii="Arial" w:hAnsi="Arial"/>
        </w:rPr>
        <w:footnoteReference w:id="46"/>
      </w:r>
      <w:r>
        <w:rPr>
          <w:rFonts w:ascii="Arial" w:hAnsi="Arial"/>
        </w:rPr>
        <w:t>.</w:t>
      </w:r>
    </w:p>
    <w:p w14:paraId="64917069" w14:textId="382D107F" w:rsidR="006317A2" w:rsidRDefault="006317A2" w:rsidP="00B94D52">
      <w:pPr>
        <w:pStyle w:val="Akapitzlist"/>
        <w:numPr>
          <w:ilvl w:val="0"/>
          <w:numId w:val="2"/>
        </w:numPr>
        <w:spacing w:before="120" w:after="120" w:line="360" w:lineRule="auto"/>
        <w:ind w:left="284" w:hanging="284"/>
        <w:contextualSpacing w:val="0"/>
        <w:jc w:val="both"/>
        <w:rPr>
          <w:rFonts w:ascii="Arial" w:hAnsi="Arial" w:cs="Arial"/>
          <w:b/>
        </w:rPr>
      </w:pPr>
      <w:r>
        <w:rPr>
          <w:rFonts w:ascii="Arial" w:hAnsi="Arial"/>
          <w:b/>
        </w:rPr>
        <w:t>Progress in realisation of the right of persons with disabilities to equal treatment and non-discrimination</w:t>
      </w:r>
    </w:p>
    <w:p w14:paraId="1E08A75E" w14:textId="5793D366" w:rsidR="002F1B82" w:rsidRDefault="002F1B82" w:rsidP="001813AA">
      <w:pPr>
        <w:pStyle w:val="Akapitzlist"/>
        <w:spacing w:after="0" w:line="360" w:lineRule="auto"/>
        <w:ind w:left="0" w:firstLine="567"/>
        <w:jc w:val="both"/>
        <w:rPr>
          <w:rFonts w:ascii="Arial" w:hAnsi="Arial" w:cs="Arial"/>
        </w:rPr>
      </w:pPr>
      <w:r>
        <w:rPr>
          <w:rFonts w:ascii="Arial" w:hAnsi="Arial"/>
        </w:rPr>
        <w:t>Out of all groups in Poland at risk of discrimination and exclusion, it is the persons with disabilities who enjoy the highest understanding and the lowest social distance. In the study conducted on the order of the Government Plenipotentiary for Equal Treatment</w:t>
      </w:r>
      <w:r>
        <w:rPr>
          <w:rStyle w:val="Odwoanieprzypisudolnego"/>
          <w:rFonts w:ascii="Arial" w:hAnsi="Arial"/>
        </w:rPr>
        <w:footnoteReference w:id="47"/>
      </w:r>
      <w:r>
        <w:rPr>
          <w:rFonts w:ascii="Arial" w:hAnsi="Arial"/>
        </w:rPr>
        <w:t>, the lowest social distances were registered towards persons with disabilit</w:t>
      </w:r>
      <w:r w:rsidR="009A0741">
        <w:rPr>
          <w:rFonts w:ascii="Arial" w:hAnsi="Arial"/>
        </w:rPr>
        <w:t>ies: impairments of sight (14.7 </w:t>
      </w:r>
      <w:r>
        <w:rPr>
          <w:rFonts w:ascii="Arial" w:hAnsi="Arial"/>
        </w:rPr>
        <w:t>points on the Bogardus scale), impairments of hearing (14.3), persons on wheel chairs (13.9). It means that the Polish society has a relatively high level of acceptance for persons with disabilities, which should have a positive impact on the scale of discrimination threat for this group of persons. However, the attitude of Poles to persons with mental disabilities is troubling. Social distance to that group of persons is as many as 46.3, which is fourth highest social distance result (following homosexual men, transgender persons and bisexual persons). At the same time, the highest percentage of Polish men and women (i.e. 82%) believes that the government should undertake actions for the benefit of equal treatment of persons with disabilities. It might be recognized that the social atmosphere in Poland promotes combating discrimination of persons with disabilities.</w:t>
      </w:r>
    </w:p>
    <w:p w14:paraId="4D099298" w14:textId="10A8C0DC" w:rsidR="00D26A22" w:rsidRDefault="00D165A9" w:rsidP="001813AA">
      <w:pPr>
        <w:pStyle w:val="Akapitzlist"/>
        <w:spacing w:after="0" w:line="360" w:lineRule="auto"/>
        <w:ind w:left="0" w:firstLine="567"/>
        <w:jc w:val="both"/>
        <w:rPr>
          <w:rFonts w:ascii="Arial" w:hAnsi="Arial" w:cs="Arial"/>
        </w:rPr>
      </w:pPr>
      <w:r>
        <w:rPr>
          <w:rFonts w:ascii="Arial" w:hAnsi="Arial"/>
        </w:rPr>
        <w:t xml:space="preserve">The topic of equal treatment of persons with disabilities was noticed during the works on the </w:t>
      </w:r>
      <w:r>
        <w:rPr>
          <w:rFonts w:ascii="Arial" w:hAnsi="Arial"/>
          <w:i/>
        </w:rPr>
        <w:t>2013-2016 National Action Plan for Equal Treatment</w:t>
      </w:r>
      <w:r>
        <w:rPr>
          <w:rFonts w:ascii="Arial" w:hAnsi="Arial"/>
        </w:rPr>
        <w:t>,</w:t>
      </w:r>
      <w:r w:rsidR="009237B7">
        <w:rPr>
          <w:rFonts w:ascii="Arial" w:hAnsi="Arial"/>
        </w:rPr>
        <w:t xml:space="preserve"> </w:t>
      </w:r>
      <w:r>
        <w:rPr>
          <w:rFonts w:ascii="Arial" w:hAnsi="Arial"/>
        </w:rPr>
        <w:t>which, in the section dedicated to equal treatment of groups at risk of discrimination on the labour market, provides e.g. for implementing the Convention on the Rights of Persons with Disabilities through preparing cohesive and effective legal regulations in the area of facilitating provision of care to persons with heavy disabilities who require continuous care. The Convention was also referred to in the section of the National Plan dedicated to promoting an inclusive education system and the universal design principle.</w:t>
      </w:r>
    </w:p>
    <w:p w14:paraId="0349BC12" w14:textId="36920BEE" w:rsidR="00C716C2" w:rsidRDefault="006412DA" w:rsidP="001813AA">
      <w:pPr>
        <w:pStyle w:val="Akapitzlist"/>
        <w:spacing w:after="0" w:line="360" w:lineRule="auto"/>
        <w:ind w:left="0" w:firstLine="567"/>
        <w:jc w:val="both"/>
        <w:rPr>
          <w:rFonts w:ascii="Arial" w:hAnsi="Arial" w:cs="Arial"/>
        </w:rPr>
      </w:pPr>
      <w:r>
        <w:rPr>
          <w:rFonts w:ascii="Arial" w:hAnsi="Arial"/>
        </w:rPr>
        <w:t xml:space="preserve">According to the Ombudsman, certain legal regulations in the area of equal treatment and non-discrimination of persons with disabilities should </w:t>
      </w:r>
      <w:r w:rsidR="0080635B">
        <w:rPr>
          <w:rFonts w:ascii="Arial" w:hAnsi="Arial"/>
        </w:rPr>
        <w:t>also be assessed positively. In </w:t>
      </w:r>
      <w:r>
        <w:rPr>
          <w:rFonts w:ascii="Arial" w:hAnsi="Arial"/>
        </w:rPr>
        <w:t xml:space="preserve">particular, the equal treatment assurances provided for in the Labour Code should be appreciated, which cover the protection e.g. in the area of establishing and terminating employment relationships, determining the remuneration for work and other terms and conditions of employment, promotion and selection for participation in trainings to improve </w:t>
      </w:r>
      <w:r>
        <w:rPr>
          <w:rFonts w:ascii="Arial" w:hAnsi="Arial"/>
        </w:rPr>
        <w:lastRenderedPageBreak/>
        <w:t>professional qualifications. The Act on equal treatment prohibits unequal treatment on the grounds of disability upon undertaking vocational education, taking up and running a business or practising a profession, joining and acting in trade unions and taking advantage of the labour market instruments. A person with disabilities, towards which the equal treatment principle was infringed in the aforementioned areas is entitled to compensation.</w:t>
      </w:r>
    </w:p>
    <w:p w14:paraId="3EC0B2C4" w14:textId="7DA60063" w:rsidR="006412DA" w:rsidRDefault="009275C5" w:rsidP="001813AA">
      <w:pPr>
        <w:pStyle w:val="Akapitzlist"/>
        <w:spacing w:after="0" w:line="360" w:lineRule="auto"/>
        <w:ind w:left="0" w:firstLine="567"/>
        <w:jc w:val="both"/>
        <w:rPr>
          <w:rFonts w:ascii="Arial" w:hAnsi="Arial" w:cs="Arial"/>
        </w:rPr>
      </w:pPr>
      <w:r>
        <w:rPr>
          <w:rFonts w:ascii="Arial" w:hAnsi="Arial"/>
        </w:rPr>
        <w:t xml:space="preserve">Both the Act on equal treatment and the provisions of the Labour Code also provide for the institution of the so-called reverse burden of proof, in line with which, if the infringement of the equal treatment principle towards a person with disabilities is probable, the person accused of infringing the said principle is obliged to prove that they did not infringe it. The Act on equal treatment also provides for the prohibition of retaliation towards persons with disabilities who exercised their rights due to the infringement of the equal treatment principle. The said prohibition also applies to person that in any way supported the person with disabilities claiming compensation for the infringement of the </w:t>
      </w:r>
      <w:r w:rsidR="00254A84">
        <w:rPr>
          <w:rFonts w:ascii="Arial" w:hAnsi="Arial"/>
        </w:rPr>
        <w:t>equal treatment principle (e.g. </w:t>
      </w:r>
      <w:r>
        <w:rPr>
          <w:rFonts w:ascii="Arial" w:hAnsi="Arial"/>
        </w:rPr>
        <w:t>witnesses giving testimony in the court procedure for the person with disabilities).</w:t>
      </w:r>
    </w:p>
    <w:p w14:paraId="12497FED" w14:textId="77777777" w:rsidR="006317A2" w:rsidRDefault="006317A2" w:rsidP="00B94D52">
      <w:pPr>
        <w:pStyle w:val="Akapitzlist"/>
        <w:numPr>
          <w:ilvl w:val="0"/>
          <w:numId w:val="2"/>
        </w:numPr>
        <w:spacing w:before="120" w:after="120" w:line="360" w:lineRule="auto"/>
        <w:ind w:left="284" w:hanging="284"/>
        <w:contextualSpacing w:val="0"/>
        <w:jc w:val="both"/>
        <w:rPr>
          <w:rFonts w:ascii="Arial" w:hAnsi="Arial" w:cs="Arial"/>
          <w:b/>
        </w:rPr>
      </w:pPr>
      <w:r>
        <w:rPr>
          <w:rFonts w:ascii="Arial" w:hAnsi="Arial"/>
          <w:b/>
        </w:rPr>
        <w:t>Major problems and obstacles in realisation of the right of persons with disabilities to equal treatment and non-discrimination</w:t>
      </w:r>
    </w:p>
    <w:p w14:paraId="067EB198" w14:textId="4B8B0902" w:rsidR="00393498" w:rsidRDefault="009068DA" w:rsidP="001813AA">
      <w:pPr>
        <w:pStyle w:val="Akapitzlist"/>
        <w:spacing w:after="0" w:line="360" w:lineRule="auto"/>
        <w:ind w:left="0" w:firstLine="567"/>
        <w:jc w:val="both"/>
        <w:rPr>
          <w:rFonts w:ascii="Arial" w:hAnsi="Arial" w:cs="Arial"/>
        </w:rPr>
      </w:pPr>
      <w:r>
        <w:rPr>
          <w:rFonts w:ascii="Arial" w:hAnsi="Arial"/>
        </w:rPr>
        <w:t>Despite the existence of the aforementioned constitutional standards and the passing of the Act on equal treatment, according to the Ombudsman, guarantees of equal for all and effective protection against discrimination were not ensured in Poland to a sufficient level. The Act on equal treatment does not prohibit discrimination of persons with disabilities in such areas as: education and higher education, healthcare, access to and conditions of taking advantage of social security as well as services offered publicly, including housing services, property and purchasing rights or power, despite the fact that the said prohibition applies to other groups vulnerable to discrimination (e.g. e</w:t>
      </w:r>
      <w:r w:rsidR="00254A84">
        <w:rPr>
          <w:rFonts w:ascii="Arial" w:hAnsi="Arial"/>
        </w:rPr>
        <w:t>thnic minorities). Therefore, a </w:t>
      </w:r>
      <w:r>
        <w:rPr>
          <w:rFonts w:ascii="Arial" w:hAnsi="Arial"/>
        </w:rPr>
        <w:t>person with disabilities that became a victim of unequal treatment is not covered by the same protection against discrimination as others.</w:t>
      </w:r>
    </w:p>
    <w:p w14:paraId="456FBA2C" w14:textId="6D190810" w:rsidR="00437F7F" w:rsidRDefault="00437F7F" w:rsidP="001813AA">
      <w:pPr>
        <w:pStyle w:val="Akapitzlist"/>
        <w:spacing w:after="0" w:line="360" w:lineRule="auto"/>
        <w:ind w:left="0" w:firstLine="567"/>
        <w:jc w:val="both"/>
        <w:rPr>
          <w:rFonts w:ascii="Arial" w:hAnsi="Arial" w:cs="Arial"/>
        </w:rPr>
      </w:pPr>
      <w:r>
        <w:rPr>
          <w:rFonts w:ascii="Arial" w:hAnsi="Arial"/>
        </w:rPr>
        <w:t xml:space="preserve">The Ombudsman is critically assessing the efficiency of the measures intended to protect and prevent infringements of the equal treatment principle towards persons with disabilities. As indicated above, in line with the Act on equal treatment, a person with disabilities taking advantage of the entitlements awarded due to the infringement of the equal treatment principle may apply for compensation. In the Polish legal system, a compensation, as a rule, refers to compensating for property losses, excluding the moral losses. However, in the majority of cases regarding infringement of equal treatment principle on the grounds of disability, the subject of protection is not the property rights of the person with disabilities, it is their dignity. Therefore, if a person with disabilities became a victim of discrimination yet </w:t>
      </w:r>
      <w:r>
        <w:rPr>
          <w:rFonts w:ascii="Arial" w:hAnsi="Arial"/>
        </w:rPr>
        <w:lastRenderedPageBreak/>
        <w:t>suffered no property losses, that person is not entitled to a claim provided for in the Act on equal treatment.</w:t>
      </w:r>
    </w:p>
    <w:p w14:paraId="6A45F0AD" w14:textId="77777777" w:rsidR="00F71272" w:rsidRDefault="00393498" w:rsidP="001813AA">
      <w:pPr>
        <w:pStyle w:val="Akapitzlist"/>
        <w:spacing w:after="0" w:line="360" w:lineRule="auto"/>
        <w:ind w:left="0" w:firstLine="567"/>
        <w:jc w:val="both"/>
        <w:rPr>
          <w:rFonts w:ascii="Arial" w:hAnsi="Arial" w:cs="Arial"/>
        </w:rPr>
      </w:pPr>
      <w:r>
        <w:rPr>
          <w:rFonts w:ascii="Arial" w:hAnsi="Arial"/>
        </w:rPr>
        <w:t xml:space="preserve">The Ombudsman is not aware of any cases where a court or another state inspection authority, while ruling on the infringement of the equal treatment principle, would apply the definition of the “reasonable accommodation” mentioned in Article 5(3) in conjunction with Article 2 of the Convention. </w:t>
      </w:r>
    </w:p>
    <w:p w14:paraId="182F1855" w14:textId="12BC4E3D" w:rsidR="00B7285D" w:rsidRDefault="00B7285D" w:rsidP="00872FB5">
      <w:pPr>
        <w:pStyle w:val="Akapitzlist"/>
        <w:spacing w:after="0" w:line="360" w:lineRule="auto"/>
        <w:ind w:left="0" w:firstLine="567"/>
        <w:jc w:val="both"/>
        <w:rPr>
          <w:rFonts w:ascii="Arial" w:hAnsi="Arial" w:cs="Arial"/>
        </w:rPr>
      </w:pPr>
      <w:r>
        <w:rPr>
          <w:rFonts w:ascii="Arial" w:hAnsi="Arial"/>
        </w:rPr>
        <w:t>Finally, low social awareness and low level of knowledge about the rights the victims of discrimination are entitled to and about the institutions and bodies providing help to them in this area constitutes a significant barrier in exercising the right to equal treatment and non-discrimination of persons with disabilities. In line with the results of the studies conducted in 2012 by the European Commission</w:t>
      </w:r>
      <w:r>
        <w:rPr>
          <w:rStyle w:val="Odwoanieprzypisudolnego"/>
          <w:rFonts w:ascii="Arial" w:hAnsi="Arial"/>
        </w:rPr>
        <w:footnoteReference w:id="48"/>
      </w:r>
      <w:r>
        <w:rPr>
          <w:rFonts w:ascii="Arial" w:hAnsi="Arial"/>
        </w:rPr>
        <w:t>, only 33% of the respondents declared that they know their rights in the event they became a victim of discrimination or harassment. All these factors influence the low efficiency of measures provided for the protection of persons with disabilities against discrimination.</w:t>
      </w:r>
    </w:p>
    <w:p w14:paraId="65A3E5F8" w14:textId="77777777" w:rsidR="001F61FD" w:rsidRDefault="001F61FD" w:rsidP="00B94D52">
      <w:pPr>
        <w:pStyle w:val="Akapitzlist"/>
        <w:numPr>
          <w:ilvl w:val="0"/>
          <w:numId w:val="2"/>
        </w:numPr>
        <w:spacing w:before="120" w:after="120" w:line="360" w:lineRule="auto"/>
        <w:ind w:left="284" w:hanging="284"/>
        <w:contextualSpacing w:val="0"/>
        <w:jc w:val="both"/>
        <w:rPr>
          <w:rFonts w:ascii="Arial" w:hAnsi="Arial" w:cs="Arial"/>
          <w:b/>
        </w:rPr>
      </w:pPr>
      <w:r>
        <w:rPr>
          <w:rFonts w:ascii="Arial" w:hAnsi="Arial"/>
          <w:b/>
        </w:rPr>
        <w:t>Results of available studies and statistical data</w:t>
      </w:r>
    </w:p>
    <w:p w14:paraId="12064111" w14:textId="06A6AFAD" w:rsidR="00F208C1" w:rsidRDefault="00F208C1" w:rsidP="001813AA">
      <w:pPr>
        <w:pStyle w:val="Akapitzlist"/>
        <w:spacing w:after="0" w:line="360" w:lineRule="auto"/>
        <w:ind w:left="0" w:firstLine="567"/>
        <w:jc w:val="both"/>
        <w:rPr>
          <w:rFonts w:ascii="Arial" w:hAnsi="Arial" w:cs="Arial"/>
        </w:rPr>
      </w:pPr>
      <w:r>
        <w:rPr>
          <w:rFonts w:ascii="Arial" w:hAnsi="Arial"/>
        </w:rPr>
        <w:t>The barriers described above in the area of realisation of the rights of persons with disabilities to equal treatment and non-discrimination are reflected in the statistics on the number of court proceedings regarding the infringement of equal treatment principle and the number of complaints filed in this area by persons with disabilities to public authorities and institutions.</w:t>
      </w:r>
    </w:p>
    <w:p w14:paraId="79AD24C8" w14:textId="5AC398C3" w:rsidR="006F6DAB" w:rsidRPr="006F6DAB" w:rsidRDefault="00D11FEB" w:rsidP="003664A1">
      <w:pPr>
        <w:pStyle w:val="Akapitzlist"/>
        <w:spacing w:after="0" w:line="360" w:lineRule="auto"/>
        <w:ind w:left="0" w:firstLine="567"/>
        <w:jc w:val="both"/>
        <w:rPr>
          <w:rFonts w:ascii="Arial" w:hAnsi="Arial" w:cs="Arial"/>
        </w:rPr>
      </w:pPr>
      <w:r>
        <w:rPr>
          <w:rFonts w:ascii="Arial" w:hAnsi="Arial"/>
        </w:rPr>
        <w:t>In 2011-2014, common courts received only 5 cases to award compensation due to the infringement of the equal treatment principle (considering all discrimination premises). The number of cases considered by labour courts in the area of discrimination on the grounds of disability is not known. The Ombudsman only disposes of collective data on all cases in the area of equal treatment in employment (considering all discrimination premises). As regards discrimination in employment, pursuant to Article 11</w:t>
      </w:r>
      <w:r>
        <w:rPr>
          <w:rFonts w:ascii="Arial" w:hAnsi="Arial"/>
          <w:vertAlign w:val="superscript"/>
        </w:rPr>
        <w:t>3</w:t>
      </w:r>
      <w:r>
        <w:rPr>
          <w:rFonts w:ascii="Arial" w:hAnsi="Arial"/>
        </w:rPr>
        <w:t xml:space="preserve"> of the Labour Code, there were 63 cases in total considered in 2013, where only 6 of them were awarded in full. Pursuant to Article 18</w:t>
      </w:r>
      <w:r>
        <w:rPr>
          <w:rFonts w:ascii="Arial" w:hAnsi="Arial"/>
          <w:vertAlign w:val="superscript"/>
        </w:rPr>
        <w:t>3d</w:t>
      </w:r>
      <w:r>
        <w:rPr>
          <w:rFonts w:ascii="Arial" w:hAnsi="Arial"/>
        </w:rPr>
        <w:t xml:space="preserve"> of the Labour Code, there were 427 such cases considered (172 claims filed by women and 255 claims filed by men), of which 72 claims were</w:t>
      </w:r>
      <w:r w:rsidR="00254A84">
        <w:rPr>
          <w:rFonts w:ascii="Arial" w:hAnsi="Arial"/>
        </w:rPr>
        <w:t xml:space="preserve"> awarded in full or in part (31 </w:t>
      </w:r>
      <w:r>
        <w:rPr>
          <w:rFonts w:ascii="Arial" w:hAnsi="Arial"/>
        </w:rPr>
        <w:t>claims filed by women and 41 claims filed by men).</w:t>
      </w:r>
    </w:p>
    <w:p w14:paraId="02690452" w14:textId="01E83A7A" w:rsidR="000D23FE" w:rsidRDefault="006278EF" w:rsidP="001813AA">
      <w:pPr>
        <w:pStyle w:val="Akapitzlist"/>
        <w:spacing w:after="0" w:line="360" w:lineRule="auto"/>
        <w:ind w:left="0" w:firstLine="567"/>
        <w:jc w:val="both"/>
        <w:rPr>
          <w:rFonts w:ascii="Arial" w:hAnsi="Arial" w:cs="Arial"/>
        </w:rPr>
      </w:pPr>
      <w:r>
        <w:rPr>
          <w:rFonts w:ascii="Arial" w:hAnsi="Arial"/>
        </w:rPr>
        <w:t xml:space="preserve">Also, the State Labour Inspection only receives the few complaints in the area of equal treatment, on the grounds of the disability of the employee. In 2013, the Inspection received 10 cases in total pertaining to discrimination on the grounds of disability upon establishing or terminating the employment relationship (7 considered groundless), 5 cases pertaining to discrimination on the grounds of disability upon determining remuneration for work or other </w:t>
      </w:r>
      <w:r>
        <w:rPr>
          <w:rFonts w:ascii="Arial" w:hAnsi="Arial"/>
        </w:rPr>
        <w:lastRenderedPageBreak/>
        <w:t>terms and conditions of work (4 considered groundless) and 1 case pertaining to discrimination on the grounds of disability with respect to access to vocational trainings (pending).</w:t>
      </w:r>
    </w:p>
    <w:p w14:paraId="11D7746A" w14:textId="50DFB675" w:rsidR="0084389C" w:rsidRDefault="0084389C" w:rsidP="001813AA">
      <w:pPr>
        <w:pStyle w:val="Akapitzlist"/>
        <w:spacing w:after="0" w:line="360" w:lineRule="auto"/>
        <w:ind w:left="0" w:firstLine="567"/>
        <w:jc w:val="both"/>
        <w:rPr>
          <w:rFonts w:ascii="Arial" w:hAnsi="Arial" w:cs="Arial"/>
        </w:rPr>
      </w:pPr>
      <w:r>
        <w:rPr>
          <w:rFonts w:ascii="Arial" w:hAnsi="Arial"/>
        </w:rPr>
        <w:t xml:space="preserve">A significant increase of cases pertaining to discrimination on the grounds of disability was registered by the Human Rights Defender. In 2012, the Ombudsman received 1097 such complaints, it means that 56% of all complaints directed to HRD in the area of equal treatment (over 900 complaints pertained to one and the same case). In 2013, the Ombudsman received 305 complaints pertaining to infringement of the equal treatment principle towards persons with disabilities, which constituted 36% of all complaints directed to HRD as regards the realisation of the equal treatment principle. Persons with disabilities constitute the largest group of complainants in the matters pertaining to equal treatment and non-discrimination considered by the Human Rights Defender. </w:t>
      </w:r>
    </w:p>
    <w:p w14:paraId="1199C9F3" w14:textId="77777777" w:rsidR="00D34A74" w:rsidRPr="00C71D1F" w:rsidRDefault="00D34A74" w:rsidP="001813AA">
      <w:pPr>
        <w:pStyle w:val="Akapitzlist"/>
        <w:spacing w:after="0" w:line="360" w:lineRule="auto"/>
        <w:ind w:left="0" w:firstLine="567"/>
        <w:jc w:val="both"/>
        <w:rPr>
          <w:rFonts w:ascii="Arial" w:hAnsi="Arial" w:cs="Arial"/>
          <w:sz w:val="10"/>
          <w:szCs w:val="10"/>
        </w:rPr>
      </w:pPr>
    </w:p>
    <w:p w14:paraId="53E525AD" w14:textId="77777777" w:rsidR="00D34A74" w:rsidRDefault="00482468" w:rsidP="00A65213">
      <w:pPr>
        <w:pStyle w:val="Akapitzlist"/>
        <w:spacing w:after="0" w:line="360" w:lineRule="auto"/>
        <w:ind w:left="0"/>
        <w:jc w:val="center"/>
        <w:rPr>
          <w:rFonts w:ascii="Arial" w:hAnsi="Arial" w:cs="Arial"/>
          <w:b/>
        </w:rPr>
      </w:pPr>
      <w:r>
        <w:rPr>
          <w:rFonts w:ascii="Arial" w:hAnsi="Arial"/>
          <w:b/>
        </w:rPr>
        <w:t xml:space="preserve">Percentage of selected cases pertaining to equal treatment received by the </w:t>
      </w:r>
    </w:p>
    <w:p w14:paraId="18E332BE" w14:textId="77777777" w:rsidR="00D34A74" w:rsidRDefault="00D34A74" w:rsidP="00A65213">
      <w:pPr>
        <w:pStyle w:val="Akapitzlist"/>
        <w:spacing w:after="0" w:line="360" w:lineRule="auto"/>
        <w:ind w:left="0"/>
        <w:jc w:val="center"/>
        <w:rPr>
          <w:rFonts w:ascii="Arial" w:hAnsi="Arial" w:cs="Arial"/>
          <w:b/>
        </w:rPr>
      </w:pPr>
      <w:r>
        <w:rPr>
          <w:rFonts w:ascii="Arial" w:hAnsi="Arial"/>
          <w:b/>
        </w:rPr>
        <w:t>Office of the Human Rights Defender in 2013</w:t>
      </w:r>
    </w:p>
    <w:p w14:paraId="5F1E7525" w14:textId="77777777" w:rsidR="00CB2AA6" w:rsidRDefault="00482468" w:rsidP="00A65213">
      <w:pPr>
        <w:pStyle w:val="Akapitzlist"/>
        <w:spacing w:after="0" w:line="360" w:lineRule="auto"/>
        <w:ind w:left="284"/>
        <w:jc w:val="center"/>
        <w:rPr>
          <w:rFonts w:ascii="Arial" w:hAnsi="Arial" w:cs="Arial"/>
        </w:rPr>
      </w:pPr>
      <w:r>
        <w:rPr>
          <w:rFonts w:ascii="Arial" w:hAnsi="Arial" w:cs="Arial"/>
          <w:noProof/>
          <w:lang w:val="pl-PL" w:eastAsia="pl-PL" w:bidi="ar-SA"/>
        </w:rPr>
        <w:drawing>
          <wp:inline distT="0" distB="0" distL="0" distR="0" wp14:anchorId="643E9B20" wp14:editId="47BE7458">
            <wp:extent cx="5486400" cy="3200400"/>
            <wp:effectExtent l="0" t="0" r="0" b="0"/>
            <wp:docPr id="1"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E80E947" w14:textId="31679027" w:rsidR="00D34A74" w:rsidRDefault="00D34A74" w:rsidP="001813AA">
      <w:pPr>
        <w:pStyle w:val="Akapitzlist"/>
        <w:spacing w:after="0" w:line="360" w:lineRule="auto"/>
        <w:ind w:left="0" w:firstLine="567"/>
        <w:jc w:val="both"/>
        <w:rPr>
          <w:rFonts w:ascii="Arial" w:hAnsi="Arial" w:cs="Arial"/>
        </w:rPr>
      </w:pPr>
      <w:r>
        <w:rPr>
          <w:rFonts w:ascii="Arial" w:hAnsi="Arial"/>
        </w:rPr>
        <w:t>However, the data do not reflect the scale of discrimination on the grounds of disability in Poland. From the research commissioned by the Government Plenipotentiary for Equal Treatment it follows that at least 8% of persons in Poland are treated worse due to their disabilities. Considering the fact that the number of persons with disabilities in Poland is estimated at 4,700,000 (four million seven hundred thousand persons), this problem might concern even 376,000 persons (three hundred and seventy-six thousand persons).</w:t>
      </w:r>
    </w:p>
    <w:p w14:paraId="228224A8" w14:textId="77777777" w:rsidR="00CB2AA6" w:rsidRDefault="00CB2AA6" w:rsidP="001813AA">
      <w:pPr>
        <w:pStyle w:val="Akapitzlist"/>
        <w:spacing w:after="0" w:line="360" w:lineRule="auto"/>
        <w:ind w:left="0" w:firstLine="567"/>
        <w:jc w:val="both"/>
        <w:rPr>
          <w:rFonts w:ascii="Arial" w:hAnsi="Arial" w:cs="Arial"/>
        </w:rPr>
      </w:pPr>
      <w:r>
        <w:rPr>
          <w:rFonts w:ascii="Arial" w:hAnsi="Arial"/>
        </w:rPr>
        <w:t xml:space="preserve">The small percentage of cases considered in Poland in the area of equal treatment on the grounds of disability, is, according to the Ombudsman, the proof of low level of legal </w:t>
      </w:r>
      <w:r>
        <w:rPr>
          <w:rFonts w:ascii="Arial" w:hAnsi="Arial"/>
        </w:rPr>
        <w:lastRenderedPageBreak/>
        <w:t>awareness among the persons with disabilities, lack of trust in public authorities but most of all the proof of low efficiency of the measures intended to prevent discrimination on the grounds of disability in Poland.</w:t>
      </w:r>
    </w:p>
    <w:p w14:paraId="23DE831E" w14:textId="77777777" w:rsidR="006317A2" w:rsidRPr="006317A2" w:rsidRDefault="007B0E0C" w:rsidP="00B94D52">
      <w:pPr>
        <w:pStyle w:val="Akapitzlist"/>
        <w:numPr>
          <w:ilvl w:val="0"/>
          <w:numId w:val="2"/>
        </w:numPr>
        <w:spacing w:before="120" w:after="120" w:line="360" w:lineRule="auto"/>
        <w:ind w:left="284" w:hanging="284"/>
        <w:contextualSpacing w:val="0"/>
        <w:jc w:val="both"/>
        <w:rPr>
          <w:rFonts w:ascii="Arial" w:hAnsi="Arial" w:cs="Arial"/>
          <w:b/>
        </w:rPr>
      </w:pPr>
      <w:r>
        <w:rPr>
          <w:rFonts w:ascii="Arial" w:hAnsi="Arial"/>
          <w:b/>
        </w:rPr>
        <w:t>Recommendations</w:t>
      </w:r>
    </w:p>
    <w:p w14:paraId="30B879EB" w14:textId="77777777" w:rsidR="00B7285D" w:rsidRDefault="000A1BBC" w:rsidP="001813AA">
      <w:pPr>
        <w:pStyle w:val="Akapitzlist"/>
        <w:spacing w:after="0" w:line="360" w:lineRule="auto"/>
        <w:ind w:left="0" w:firstLine="567"/>
        <w:jc w:val="both"/>
        <w:rPr>
          <w:rFonts w:ascii="Arial" w:hAnsi="Arial" w:cs="Arial"/>
          <w:bCs/>
        </w:rPr>
      </w:pPr>
      <w:r>
        <w:rPr>
          <w:rFonts w:ascii="Arial" w:hAnsi="Arial"/>
        </w:rPr>
        <w:t>According to the Ombudsman, it is necessary to ensure effective measures intended to protect persons with disabilities against discrimination through expanding the scope of discrimination in the Act on equal treatment and through enabling claiming monetary compensation (remedy) also for the damage of moral character and for infringing the dignity of the person with disability.</w:t>
      </w:r>
    </w:p>
    <w:p w14:paraId="302A0B75" w14:textId="77777777" w:rsidR="007B0E0C" w:rsidRPr="00762A77" w:rsidRDefault="00F81A13" w:rsidP="001813AA">
      <w:pPr>
        <w:pStyle w:val="Akapitzlist"/>
        <w:spacing w:after="0" w:line="360" w:lineRule="auto"/>
        <w:ind w:left="0" w:firstLine="567"/>
        <w:jc w:val="both"/>
        <w:rPr>
          <w:rFonts w:ascii="Arial" w:hAnsi="Arial" w:cs="Arial"/>
          <w:bCs/>
        </w:rPr>
      </w:pPr>
      <w:r>
        <w:rPr>
          <w:rFonts w:ascii="Arial" w:hAnsi="Arial"/>
        </w:rPr>
        <w:t>Moreover, it is necessary to intensify the measures intended to increase the awareness and knowledge of persons with disabilities regarding the rights they are entitled to and institutions and organisations providing assistance to discrimination victims as well as to facilitate access to free legal assistance.</w:t>
      </w:r>
    </w:p>
    <w:p w14:paraId="04F43F9F" w14:textId="77777777" w:rsidR="006317A2" w:rsidRPr="00FB78F4" w:rsidRDefault="006317A2" w:rsidP="00F92CA5">
      <w:pPr>
        <w:pStyle w:val="Nagwek2"/>
      </w:pPr>
      <w:bookmarkStart w:id="15" w:name="_Toc403999533"/>
      <w:bookmarkStart w:id="16" w:name="_Toc424278997"/>
      <w:r>
        <w:t>Article 9 – Accessibility</w:t>
      </w:r>
      <w:r>
        <w:rPr>
          <w:rStyle w:val="Odwoanieprzypisudolnego"/>
          <w:sz w:val="22"/>
        </w:rPr>
        <w:footnoteReference w:id="49"/>
      </w:r>
      <w:bookmarkEnd w:id="15"/>
      <w:bookmarkEnd w:id="16"/>
    </w:p>
    <w:p w14:paraId="1CDDFE9E" w14:textId="77777777" w:rsidR="00C46131" w:rsidRDefault="00C46131" w:rsidP="00B94D52">
      <w:pPr>
        <w:pStyle w:val="Akapitzlist"/>
        <w:numPr>
          <w:ilvl w:val="0"/>
          <w:numId w:val="3"/>
        </w:numPr>
        <w:spacing w:before="120" w:after="120" w:line="360" w:lineRule="auto"/>
        <w:ind w:left="284" w:hanging="284"/>
        <w:contextualSpacing w:val="0"/>
        <w:jc w:val="both"/>
        <w:rPr>
          <w:rFonts w:ascii="Arial" w:hAnsi="Arial" w:cs="Arial"/>
          <w:b/>
        </w:rPr>
      </w:pPr>
      <w:r>
        <w:rPr>
          <w:rFonts w:ascii="Arial" w:hAnsi="Arial"/>
          <w:b/>
        </w:rPr>
        <w:t>Introduction – short description</w:t>
      </w:r>
    </w:p>
    <w:p w14:paraId="6EB40E54" w14:textId="17624119" w:rsidR="00293B55" w:rsidRDefault="00665872" w:rsidP="00293B55">
      <w:pPr>
        <w:spacing w:after="0" w:line="360" w:lineRule="auto"/>
        <w:ind w:firstLine="709"/>
        <w:jc w:val="both"/>
        <w:rPr>
          <w:rFonts w:ascii="Arial" w:hAnsi="Arial" w:cs="Arial"/>
        </w:rPr>
      </w:pPr>
      <w:r>
        <w:rPr>
          <w:rFonts w:ascii="Arial" w:hAnsi="Arial"/>
        </w:rPr>
        <w:t>Polish internal law contains regulations on the obligation to ensure accessibility of buildings for persons with disabilities. The fundamental role in this area is served by the Construction Law Act</w:t>
      </w:r>
      <w:r>
        <w:rPr>
          <w:rStyle w:val="Odwoanieprzypisudolnego"/>
          <w:rFonts w:ascii="Arial" w:hAnsi="Arial"/>
        </w:rPr>
        <w:footnoteReference w:id="50"/>
      </w:r>
      <w:r>
        <w:rPr>
          <w:rFonts w:ascii="Arial" w:hAnsi="Arial"/>
        </w:rPr>
        <w:t xml:space="preserve"> and the Resolution of the Minister of Infrastructure on technical requirements regarding buildings and their location</w:t>
      </w:r>
      <w:r>
        <w:rPr>
          <w:rStyle w:val="Odwoanieprzypisudolnego"/>
          <w:rFonts w:ascii="Arial" w:hAnsi="Arial"/>
        </w:rPr>
        <w:footnoteReference w:id="51"/>
      </w:r>
      <w:r>
        <w:rPr>
          <w:rFonts w:ascii="Arial" w:hAnsi="Arial"/>
        </w:rPr>
        <w:t>. In line with the Act referred to above (Construction Law), buildings must be designed and developed while ensuring the necessary conditions for use of the public structures and housing multifamily buildings by persons with disabilities, in particular those on wheel chairs</w:t>
      </w:r>
      <w:r>
        <w:rPr>
          <w:rStyle w:val="Odwoanieprzypisudolnego"/>
          <w:rFonts w:ascii="Arial" w:hAnsi="Arial"/>
        </w:rPr>
        <w:footnoteReference w:id="52"/>
      </w:r>
      <w:r>
        <w:rPr>
          <w:rFonts w:ascii="Arial" w:hAnsi="Arial"/>
        </w:rPr>
        <w:t>. Detailed terms and conditions of adapting the buildings to the needs of persons with disabilities were stipulated in the regulation referred to above. The tasks related to inspecting accessibility of buildings to persons with disabilities were entrusted with poviat inspectors with the construction supervision authority. Moreover, in line with the Act on spatial planning and development, both spatial planning and development should consider the needs of persons with disabilities</w:t>
      </w:r>
      <w:r>
        <w:rPr>
          <w:rFonts w:ascii="Arial" w:hAnsi="Arial"/>
          <w:vertAlign w:val="superscript"/>
        </w:rPr>
        <w:footnoteReference w:id="53"/>
      </w:r>
      <w:r>
        <w:rPr>
          <w:rFonts w:ascii="Arial" w:hAnsi="Arial"/>
        </w:rPr>
        <w:t>.</w:t>
      </w:r>
    </w:p>
    <w:p w14:paraId="0C96A275" w14:textId="2480B95C" w:rsidR="002F7823" w:rsidRDefault="00293B55" w:rsidP="00293B55">
      <w:pPr>
        <w:spacing w:after="0" w:line="360" w:lineRule="auto"/>
        <w:ind w:firstLine="709"/>
        <w:jc w:val="both"/>
        <w:rPr>
          <w:rFonts w:ascii="Arial" w:hAnsi="Arial" w:cs="Arial"/>
        </w:rPr>
      </w:pPr>
      <w:r>
        <w:rPr>
          <w:rFonts w:ascii="Arial" w:hAnsi="Arial"/>
        </w:rPr>
        <w:lastRenderedPageBreak/>
        <w:t>Polish internal laws do not use the term “universal design”, and the term “reasonable accommodations” is only applicable in the area of employment and does not apply exclusively to widely-understood accessibility of public space, means of transport or ICTs</w:t>
      </w:r>
      <w:r>
        <w:rPr>
          <w:rStyle w:val="Odwoanieprzypisudolnego"/>
          <w:rFonts w:ascii="Arial" w:hAnsi="Arial"/>
        </w:rPr>
        <w:footnoteReference w:id="54"/>
      </w:r>
      <w:r>
        <w:rPr>
          <w:rFonts w:ascii="Arial" w:hAnsi="Arial"/>
        </w:rPr>
        <w:t xml:space="preserve">. </w:t>
      </w:r>
    </w:p>
    <w:p w14:paraId="67451610" w14:textId="77777777" w:rsidR="00C46131" w:rsidRDefault="00C46131" w:rsidP="00B94D52">
      <w:pPr>
        <w:pStyle w:val="Akapitzlist"/>
        <w:numPr>
          <w:ilvl w:val="0"/>
          <w:numId w:val="3"/>
        </w:numPr>
        <w:spacing w:before="120" w:after="120" w:line="360" w:lineRule="auto"/>
        <w:ind w:left="284" w:hanging="284"/>
        <w:contextualSpacing w:val="0"/>
        <w:jc w:val="both"/>
        <w:rPr>
          <w:rFonts w:ascii="Arial" w:hAnsi="Arial" w:cs="Arial"/>
          <w:b/>
        </w:rPr>
      </w:pPr>
      <w:r>
        <w:rPr>
          <w:rFonts w:ascii="Arial" w:hAnsi="Arial"/>
          <w:b/>
        </w:rPr>
        <w:t>Progress and successes in realisation of Article 9 – Accessibility</w:t>
      </w:r>
    </w:p>
    <w:p w14:paraId="345AB7C5" w14:textId="75AD03E9" w:rsidR="00EE0BC2" w:rsidRPr="002F7823" w:rsidRDefault="00EE0BC2" w:rsidP="00EE0BC2">
      <w:pPr>
        <w:spacing w:after="0" w:line="360" w:lineRule="auto"/>
        <w:ind w:firstLine="709"/>
        <w:jc w:val="both"/>
        <w:rPr>
          <w:rFonts w:ascii="Arial" w:hAnsi="Arial" w:cs="Arial"/>
        </w:rPr>
      </w:pPr>
      <w:r>
        <w:rPr>
          <w:rFonts w:ascii="Arial" w:hAnsi="Arial"/>
        </w:rPr>
        <w:t>In line with the laws binding in Poland, all buildings built after 1 January 1995</w:t>
      </w:r>
      <w:r>
        <w:rPr>
          <w:rStyle w:val="Odwoanieprzypisudolnego"/>
          <w:rFonts w:ascii="Arial" w:hAnsi="Arial"/>
        </w:rPr>
        <w:footnoteReference w:id="55"/>
      </w:r>
      <w:r>
        <w:rPr>
          <w:rFonts w:ascii="Arial" w:hAnsi="Arial"/>
        </w:rPr>
        <w:t xml:space="preserve"> must be accessible to persons with disabilities. This obligation also applies to buildings subjected to expansion or restructuring. According to the Human Rights Defender, accessibility of public space to persons with disabilities is slowly, but systematically, improving. Moreover, the Office of the Government Plenipotentiary for Persons with Disabilities undertakes actions to promote the idea of universal design.</w:t>
      </w:r>
    </w:p>
    <w:p w14:paraId="612916DD" w14:textId="77777777" w:rsidR="00C46131" w:rsidRDefault="00C46131" w:rsidP="00B94D52">
      <w:pPr>
        <w:pStyle w:val="Akapitzlist"/>
        <w:numPr>
          <w:ilvl w:val="0"/>
          <w:numId w:val="3"/>
        </w:numPr>
        <w:spacing w:before="120" w:after="120" w:line="360" w:lineRule="auto"/>
        <w:ind w:left="284" w:hanging="284"/>
        <w:contextualSpacing w:val="0"/>
        <w:jc w:val="both"/>
        <w:rPr>
          <w:rFonts w:ascii="Arial" w:hAnsi="Arial" w:cs="Arial"/>
          <w:b/>
        </w:rPr>
      </w:pPr>
      <w:r>
        <w:rPr>
          <w:rFonts w:ascii="Arial" w:hAnsi="Arial"/>
          <w:b/>
        </w:rPr>
        <w:t>Major problems and barriers in realisation of Article 9 – Accessibility</w:t>
      </w:r>
    </w:p>
    <w:p w14:paraId="5AE903AF" w14:textId="29788A5C" w:rsidR="00B65136" w:rsidRDefault="00B65136" w:rsidP="002F7823">
      <w:pPr>
        <w:spacing w:after="0" w:line="360" w:lineRule="auto"/>
        <w:ind w:firstLine="709"/>
        <w:jc w:val="both"/>
        <w:rPr>
          <w:rFonts w:ascii="Arial" w:hAnsi="Arial" w:cs="Arial"/>
        </w:rPr>
      </w:pPr>
      <w:r>
        <w:rPr>
          <w:rFonts w:ascii="Arial" w:hAnsi="Arial"/>
        </w:rPr>
        <w:t>Despite the existence of relevant regulations in the national law on the accessibility of developed areas to persons with disabilities, their realisation in practice does not correspond to the standards stipulated in the Convention on the Rights of Persons with Disabilities. The provisions of the Construction Law Act are also controversial, as they do not mention any other types of disabilities than movement impairments directly. As a result, the majority of new projects offer facilitations only to one group of persons with disabilities - persons on wheel chairs. The provisions of the Construction Law do not require construction of new facilities in line with the universal design principles</w:t>
      </w:r>
      <w:r>
        <w:rPr>
          <w:rStyle w:val="Odwoanieprzypisudolnego"/>
          <w:rFonts w:ascii="Arial" w:hAnsi="Arial"/>
        </w:rPr>
        <w:footnoteReference w:id="56"/>
      </w:r>
      <w:r>
        <w:rPr>
          <w:rFonts w:ascii="Arial" w:hAnsi="Arial"/>
        </w:rPr>
        <w:t>. It is,</w:t>
      </w:r>
      <w:r w:rsidR="00C634A3">
        <w:rPr>
          <w:rFonts w:ascii="Arial" w:hAnsi="Arial"/>
        </w:rPr>
        <w:t xml:space="preserve"> among others, a consequence of </w:t>
      </w:r>
      <w:r>
        <w:rPr>
          <w:rFonts w:ascii="Arial" w:hAnsi="Arial"/>
        </w:rPr>
        <w:t>lack of systematic and comprehensive trainings in this area dedicated to representatives of all professions dealing with creating developed areas</w:t>
      </w:r>
      <w:r>
        <w:rPr>
          <w:rStyle w:val="Odwoanieprzypisudolnego"/>
          <w:rFonts w:ascii="Arial" w:hAnsi="Arial"/>
        </w:rPr>
        <w:footnoteReference w:id="57"/>
      </w:r>
      <w:r>
        <w:rPr>
          <w:rFonts w:ascii="Arial" w:hAnsi="Arial"/>
        </w:rPr>
        <w:t>.</w:t>
      </w:r>
    </w:p>
    <w:p w14:paraId="383F48FC" w14:textId="77777777" w:rsidR="0098741B" w:rsidRDefault="008E7466" w:rsidP="002F7823">
      <w:pPr>
        <w:spacing w:after="0" w:line="360" w:lineRule="auto"/>
        <w:ind w:firstLine="709"/>
        <w:jc w:val="both"/>
        <w:rPr>
          <w:rFonts w:ascii="Arial" w:hAnsi="Arial" w:cs="Arial"/>
        </w:rPr>
      </w:pPr>
      <w:r>
        <w:rPr>
          <w:rFonts w:ascii="Arial" w:hAnsi="Arial"/>
        </w:rPr>
        <w:t>Actually, there is also no general obligation to undertake actions to adapt buildings built before 1 January 1995 to the needs of persons with disabilities. As a consequence, the majority of these buildings remains inaccessible to persons with disabilities</w:t>
      </w:r>
      <w:r>
        <w:rPr>
          <w:rStyle w:val="Odwoanieprzypisudolnego"/>
          <w:rFonts w:ascii="Arial" w:hAnsi="Arial"/>
        </w:rPr>
        <w:footnoteReference w:id="58"/>
      </w:r>
      <w:r>
        <w:rPr>
          <w:rFonts w:ascii="Arial" w:hAnsi="Arial"/>
        </w:rPr>
        <w:t xml:space="preserve">. </w:t>
      </w:r>
    </w:p>
    <w:p w14:paraId="6EDFCFCC" w14:textId="783843F8" w:rsidR="0098741B" w:rsidRDefault="00673791" w:rsidP="002F7823">
      <w:pPr>
        <w:spacing w:after="0" w:line="360" w:lineRule="auto"/>
        <w:ind w:firstLine="709"/>
        <w:jc w:val="both"/>
        <w:rPr>
          <w:rFonts w:ascii="Arial" w:hAnsi="Arial" w:cs="Arial"/>
        </w:rPr>
      </w:pPr>
      <w:r>
        <w:rPr>
          <w:rFonts w:ascii="Arial" w:hAnsi="Arial"/>
        </w:rPr>
        <w:t>Also, the series of exceptions from the accessibility principle also poses a problem. Based on the specific provisions, the obligation to adaptation to the needs of persons with disabilities does not apply to, for example, some categories of detention centres</w:t>
      </w:r>
      <w:r>
        <w:rPr>
          <w:rStyle w:val="Odwoanieprzypisudolnego"/>
          <w:rFonts w:ascii="Arial" w:hAnsi="Arial"/>
        </w:rPr>
        <w:footnoteReference w:id="59"/>
      </w:r>
      <w:r>
        <w:rPr>
          <w:rFonts w:ascii="Arial" w:hAnsi="Arial"/>
        </w:rPr>
        <w:t>. The Ombudsman is also notified about significant problems in the area of performing the necessary adaptations in heritage buildings.</w:t>
      </w:r>
    </w:p>
    <w:p w14:paraId="1B33C6AA" w14:textId="3E34EB86" w:rsidR="00673791" w:rsidRDefault="002000F5" w:rsidP="002F7823">
      <w:pPr>
        <w:spacing w:after="0" w:line="360" w:lineRule="auto"/>
        <w:ind w:firstLine="709"/>
        <w:jc w:val="both"/>
        <w:rPr>
          <w:rFonts w:ascii="Arial" w:hAnsi="Arial" w:cs="Arial"/>
        </w:rPr>
      </w:pPr>
      <w:r>
        <w:rPr>
          <w:rFonts w:ascii="Arial" w:hAnsi="Arial"/>
        </w:rPr>
        <w:lastRenderedPageBreak/>
        <w:t>Major reservations should also be directed to the construction supervision inspection, whose statutory tasks include e.g. inspecting the adaptation of newly-built facilities to the needs of persons with disabilities. This problem is reflected in the data presented below on the level of accessibility of public buildings in one of the Polish voivod</w:t>
      </w:r>
      <w:r w:rsidR="00E83C0B">
        <w:rPr>
          <w:rFonts w:ascii="Arial" w:hAnsi="Arial"/>
        </w:rPr>
        <w:t>e</w:t>
      </w:r>
      <w:r>
        <w:rPr>
          <w:rFonts w:ascii="Arial" w:hAnsi="Arial"/>
        </w:rPr>
        <w:t>ships.</w:t>
      </w:r>
    </w:p>
    <w:p w14:paraId="71CCDA96" w14:textId="77777777" w:rsidR="00C46131" w:rsidRDefault="00C46131" w:rsidP="00B94D52">
      <w:pPr>
        <w:pStyle w:val="Akapitzlist"/>
        <w:numPr>
          <w:ilvl w:val="0"/>
          <w:numId w:val="3"/>
        </w:numPr>
        <w:spacing w:before="120" w:after="120" w:line="360" w:lineRule="auto"/>
        <w:ind w:left="284" w:hanging="284"/>
        <w:contextualSpacing w:val="0"/>
        <w:jc w:val="both"/>
        <w:rPr>
          <w:rFonts w:ascii="Arial" w:hAnsi="Arial" w:cs="Arial"/>
          <w:b/>
        </w:rPr>
      </w:pPr>
      <w:r>
        <w:rPr>
          <w:rFonts w:ascii="Arial" w:hAnsi="Arial"/>
          <w:b/>
        </w:rPr>
        <w:t>Results of available studies and statistical data</w:t>
      </w:r>
    </w:p>
    <w:p w14:paraId="769709ED" w14:textId="0F3C37DE" w:rsidR="001A66BA" w:rsidRDefault="001A66BA" w:rsidP="00012A5D">
      <w:pPr>
        <w:pStyle w:val="Akapitzlist"/>
        <w:spacing w:after="0" w:line="360" w:lineRule="auto"/>
        <w:ind w:left="0" w:firstLine="709"/>
        <w:jc w:val="both"/>
        <w:rPr>
          <w:rFonts w:ascii="Arial" w:hAnsi="Arial" w:cs="Arial"/>
        </w:rPr>
      </w:pPr>
      <w:r>
        <w:rPr>
          <w:rFonts w:ascii="Arial" w:hAnsi="Arial"/>
        </w:rPr>
        <w:t>Despite the significance of the problem of accessibility of buildings and public space in line with the needs of persons with disabilities, the number of studies and statistical data on this topic is relatively low. In 2012, the Supreme Audit Office (NIK) conducted an inspection of public buildings with respect to their adaptation to the needs of persons with disabilities in the Podlaskie voivod</w:t>
      </w:r>
      <w:r w:rsidR="00E83C0B">
        <w:rPr>
          <w:rFonts w:ascii="Arial" w:hAnsi="Arial"/>
        </w:rPr>
        <w:t>e</w:t>
      </w:r>
      <w:r>
        <w:rPr>
          <w:rFonts w:ascii="Arial" w:hAnsi="Arial"/>
        </w:rPr>
        <w:t>ship.</w:t>
      </w:r>
    </w:p>
    <w:p w14:paraId="1B64CBA0" w14:textId="3686DEDA" w:rsidR="002527D3" w:rsidRDefault="002527D3" w:rsidP="001B4D27">
      <w:pPr>
        <w:pStyle w:val="Akapitzlist"/>
        <w:spacing w:after="0" w:line="360" w:lineRule="auto"/>
        <w:ind w:left="0" w:firstLine="709"/>
        <w:jc w:val="both"/>
        <w:rPr>
          <w:rFonts w:ascii="Arial" w:hAnsi="Arial" w:cs="Arial"/>
        </w:rPr>
      </w:pPr>
      <w:r>
        <w:rPr>
          <w:rFonts w:ascii="Arial" w:hAnsi="Arial"/>
        </w:rPr>
        <w:t xml:space="preserve">The Supreme Audit Office assessed negatively the status of adaptation of newly-built or reconstructed public buildings. </w:t>
      </w:r>
      <w:r>
        <w:rPr>
          <w:rFonts w:ascii="Arial" w:hAnsi="Arial"/>
          <w:b/>
        </w:rPr>
        <w:t>Out of 121 inspected buildings, as many as 110 (90.9%) failed to meet</w:t>
      </w:r>
      <w:r>
        <w:rPr>
          <w:rFonts w:ascii="Arial" w:hAnsi="Arial"/>
        </w:rPr>
        <w:t xml:space="preserve"> </w:t>
      </w:r>
      <w:r>
        <w:rPr>
          <w:rFonts w:ascii="Arial" w:hAnsi="Arial"/>
          <w:b/>
        </w:rPr>
        <w:t>the accessibility criteria</w:t>
      </w:r>
      <w:r>
        <w:rPr>
          <w:rFonts w:ascii="Arial" w:hAnsi="Arial"/>
        </w:rPr>
        <w:t>. According to NIK, the fundamental reason of commissioning for use of buildings not adapted to the needs of persons with disabilities, was the improper performance by the poviat construction supervision inspectors of the tasks stipulated in the provisions of the Construction Law Act regarding the inspection of the construction process. Failure to adapt the public buildings to the needs of persons with disabilities in Podlaskie voivod</w:t>
      </w:r>
      <w:r w:rsidR="00BE501D">
        <w:rPr>
          <w:rFonts w:ascii="Arial" w:hAnsi="Arial"/>
        </w:rPr>
        <w:t>e</w:t>
      </w:r>
      <w:r>
        <w:rPr>
          <w:rFonts w:ascii="Arial" w:hAnsi="Arial"/>
        </w:rPr>
        <w:t xml:space="preserve">ship was also confirmed by the results of a questionnaire sent by NIK to </w:t>
      </w:r>
      <w:r>
        <w:rPr>
          <w:rFonts w:ascii="Arial" w:hAnsi="Arial"/>
          <w:b/>
        </w:rPr>
        <w:t>94 public administration authorities</w:t>
      </w:r>
      <w:r>
        <w:rPr>
          <w:rFonts w:ascii="Arial" w:hAnsi="Arial"/>
        </w:rPr>
        <w:t xml:space="preserve">. From the information received it follows that </w:t>
      </w:r>
      <w:r>
        <w:rPr>
          <w:rFonts w:ascii="Arial" w:hAnsi="Arial"/>
          <w:b/>
        </w:rPr>
        <w:t>84% buildings that are offices of these authorities do not meet the needs with respect to the analysed scope</w:t>
      </w:r>
      <w:r>
        <w:rPr>
          <w:rFonts w:ascii="Arial" w:hAnsi="Arial"/>
          <w:vertAlign w:val="superscript"/>
        </w:rPr>
        <w:footnoteReference w:id="60"/>
      </w:r>
      <w:r>
        <w:rPr>
          <w:rFonts w:ascii="Arial" w:hAnsi="Arial"/>
        </w:rPr>
        <w:t>. The results of accessibility inspection of election points for voters with disabilities were discussed in the sections of the report dedicated to realisation of the provision of Article 29 of the Convention.</w:t>
      </w:r>
    </w:p>
    <w:p w14:paraId="4C9405AF" w14:textId="77777777" w:rsidR="00C46131" w:rsidRDefault="002F7823" w:rsidP="00B94D52">
      <w:pPr>
        <w:pStyle w:val="Akapitzlist"/>
        <w:numPr>
          <w:ilvl w:val="0"/>
          <w:numId w:val="3"/>
        </w:numPr>
        <w:spacing w:before="120" w:after="120" w:line="360" w:lineRule="auto"/>
        <w:ind w:left="284" w:hanging="284"/>
        <w:contextualSpacing w:val="0"/>
        <w:jc w:val="both"/>
        <w:rPr>
          <w:rFonts w:ascii="Arial" w:hAnsi="Arial" w:cs="Arial"/>
          <w:b/>
        </w:rPr>
      </w:pPr>
      <w:r>
        <w:rPr>
          <w:rFonts w:ascii="Arial" w:hAnsi="Arial"/>
          <w:b/>
        </w:rPr>
        <w:t>Major recommendations</w:t>
      </w:r>
    </w:p>
    <w:p w14:paraId="66CD5667" w14:textId="77777777" w:rsidR="00531C3B" w:rsidRDefault="00531C3B" w:rsidP="002F7823">
      <w:pPr>
        <w:pStyle w:val="Akapitzlist"/>
        <w:spacing w:after="0" w:line="360" w:lineRule="auto"/>
        <w:ind w:left="0" w:firstLine="709"/>
        <w:jc w:val="both"/>
        <w:rPr>
          <w:rFonts w:ascii="Arial" w:hAnsi="Arial" w:cs="Arial"/>
        </w:rPr>
      </w:pPr>
      <w:r>
        <w:rPr>
          <w:rFonts w:ascii="Arial" w:hAnsi="Arial"/>
        </w:rPr>
        <w:t>According to the Human Rights Defender, in order to properly assess the implementation of the standards stipulated in Article 9 of CRPD, it is necessary to undertake the following measures:</w:t>
      </w:r>
    </w:p>
    <w:p w14:paraId="6E78A620" w14:textId="04DA19D0" w:rsidR="00531C3B" w:rsidRDefault="009B5992" w:rsidP="003D345C">
      <w:pPr>
        <w:pStyle w:val="Akapitzlist"/>
        <w:numPr>
          <w:ilvl w:val="0"/>
          <w:numId w:val="31"/>
        </w:numPr>
        <w:spacing w:after="0" w:line="360" w:lineRule="auto"/>
        <w:ind w:left="284" w:hanging="284"/>
        <w:jc w:val="both"/>
        <w:rPr>
          <w:rFonts w:ascii="Arial" w:hAnsi="Arial" w:cs="Arial"/>
        </w:rPr>
      </w:pPr>
      <w:r>
        <w:rPr>
          <w:rFonts w:ascii="Arial" w:hAnsi="Arial"/>
        </w:rPr>
        <w:t>it is necessary to make the Construction Law Act provisions more precise so that they protect the rights of all persons with disabilities to an equal degree and in line with the principles of universal design;</w:t>
      </w:r>
    </w:p>
    <w:p w14:paraId="258A0B5E" w14:textId="77777777" w:rsidR="009B5992" w:rsidRDefault="009B5992" w:rsidP="003D345C">
      <w:pPr>
        <w:pStyle w:val="Akapitzlist"/>
        <w:numPr>
          <w:ilvl w:val="0"/>
          <w:numId w:val="31"/>
        </w:numPr>
        <w:spacing w:after="0" w:line="360" w:lineRule="auto"/>
        <w:ind w:left="284" w:hanging="284"/>
        <w:jc w:val="both"/>
        <w:rPr>
          <w:rFonts w:ascii="Arial" w:hAnsi="Arial" w:cs="Arial"/>
        </w:rPr>
      </w:pPr>
      <w:r>
        <w:rPr>
          <w:rFonts w:ascii="Arial" w:hAnsi="Arial"/>
        </w:rPr>
        <w:t>it is necessary to establish a legal standard that provides for the obligation of the owners of public buildings built before 1 January 1995 to undertake, within a properly long period of time, actions intended to adapt these buildings to the needs of persons with disabilities;</w:t>
      </w:r>
    </w:p>
    <w:p w14:paraId="3BE2E4CC" w14:textId="77777777" w:rsidR="004C7AE6" w:rsidRDefault="004C7AE6" w:rsidP="003D345C">
      <w:pPr>
        <w:pStyle w:val="Akapitzlist"/>
        <w:numPr>
          <w:ilvl w:val="0"/>
          <w:numId w:val="31"/>
        </w:numPr>
        <w:spacing w:after="0" w:line="360" w:lineRule="auto"/>
        <w:ind w:left="284" w:hanging="284"/>
        <w:jc w:val="both"/>
        <w:rPr>
          <w:rFonts w:ascii="Arial" w:hAnsi="Arial" w:cs="Arial"/>
        </w:rPr>
      </w:pPr>
      <w:r>
        <w:rPr>
          <w:rFonts w:ascii="Arial" w:hAnsi="Arial"/>
        </w:rPr>
        <w:lastRenderedPageBreak/>
        <w:t>it seems also recommended to perform a stock inventory of all residential buildings, multifamily buildings and public buildings with respect to their accessibility to persons with disabilities and to draw up a multi-annual plan to remove the determined barriers;</w:t>
      </w:r>
    </w:p>
    <w:p w14:paraId="0A70432D" w14:textId="77777777" w:rsidR="004C7AE6" w:rsidRDefault="004C7AE6" w:rsidP="003D345C">
      <w:pPr>
        <w:pStyle w:val="Akapitzlist"/>
        <w:numPr>
          <w:ilvl w:val="0"/>
          <w:numId w:val="31"/>
        </w:numPr>
        <w:spacing w:after="0" w:line="360" w:lineRule="auto"/>
        <w:ind w:left="284" w:hanging="284"/>
        <w:jc w:val="both"/>
        <w:rPr>
          <w:rFonts w:ascii="Arial" w:hAnsi="Arial" w:cs="Arial"/>
        </w:rPr>
      </w:pPr>
      <w:r>
        <w:rPr>
          <w:rFonts w:ascii="Arial" w:hAnsi="Arial"/>
        </w:rPr>
        <w:t xml:space="preserve">it is necessary to strengthen the inspections conducted by the construction supervision inspection with respect to accessibility of newly-built facilities to persons with disabilities; </w:t>
      </w:r>
    </w:p>
    <w:p w14:paraId="0FCDB964" w14:textId="76706A8A" w:rsidR="007C5F32" w:rsidRPr="007C5F32" w:rsidRDefault="00BC10BE" w:rsidP="003D345C">
      <w:pPr>
        <w:pStyle w:val="Akapitzlist"/>
        <w:numPr>
          <w:ilvl w:val="0"/>
          <w:numId w:val="31"/>
        </w:numPr>
        <w:spacing w:after="0" w:line="360" w:lineRule="auto"/>
        <w:ind w:left="284" w:hanging="284"/>
        <w:jc w:val="both"/>
        <w:rPr>
          <w:rFonts w:ascii="Arial" w:hAnsi="Arial" w:cs="Arial"/>
        </w:rPr>
      </w:pPr>
      <w:r>
        <w:rPr>
          <w:rFonts w:ascii="Arial" w:hAnsi="Arial"/>
        </w:rPr>
        <w:t>it is necessary to include the subjects dedicated to the universal design principles in the teaching standards at the study programmes dedicated to development.</w:t>
      </w:r>
    </w:p>
    <w:p w14:paraId="636ECC10" w14:textId="77777777" w:rsidR="006317A2" w:rsidRPr="00012A5D" w:rsidRDefault="006317A2" w:rsidP="00F92CA5">
      <w:pPr>
        <w:pStyle w:val="Nagwek2"/>
      </w:pPr>
      <w:bookmarkStart w:id="17" w:name="_Toc403999534"/>
      <w:bookmarkStart w:id="18" w:name="_Toc424278998"/>
      <w:r>
        <w:t>Article 12 – Equal recognition before the law</w:t>
      </w:r>
      <w:bookmarkEnd w:id="17"/>
      <w:bookmarkEnd w:id="18"/>
    </w:p>
    <w:p w14:paraId="4994D9F2" w14:textId="77777777" w:rsidR="00DE34A2" w:rsidRDefault="00DE34A2" w:rsidP="004A17DD">
      <w:pPr>
        <w:pStyle w:val="Akapitzlist"/>
        <w:numPr>
          <w:ilvl w:val="0"/>
          <w:numId w:val="4"/>
        </w:numPr>
        <w:spacing w:before="120" w:after="120" w:line="360" w:lineRule="auto"/>
        <w:ind w:left="284" w:hanging="284"/>
        <w:jc w:val="both"/>
        <w:rPr>
          <w:rFonts w:ascii="Arial" w:hAnsi="Arial" w:cs="Arial"/>
          <w:b/>
        </w:rPr>
      </w:pPr>
      <w:r>
        <w:rPr>
          <w:rFonts w:ascii="Arial" w:hAnsi="Arial"/>
          <w:b/>
        </w:rPr>
        <w:t>Introduction – short description</w:t>
      </w:r>
    </w:p>
    <w:p w14:paraId="59037508" w14:textId="0ADE1527" w:rsidR="002647B7" w:rsidRDefault="0050710D" w:rsidP="001813AA">
      <w:pPr>
        <w:spacing w:after="0" w:line="360" w:lineRule="auto"/>
        <w:ind w:firstLine="567"/>
        <w:jc w:val="both"/>
        <w:rPr>
          <w:rFonts w:ascii="Arial" w:hAnsi="Arial" w:cs="Arial"/>
        </w:rPr>
      </w:pPr>
      <w:r>
        <w:rPr>
          <w:rFonts w:ascii="Arial" w:hAnsi="Arial"/>
        </w:rPr>
        <w:t xml:space="preserve">The Polish legal system clearly distinguishes between </w:t>
      </w:r>
      <w:r>
        <w:rPr>
          <w:rFonts w:ascii="Arial" w:hAnsi="Arial"/>
          <w:i/>
        </w:rPr>
        <w:t>legal capacity</w:t>
      </w:r>
      <w:r>
        <w:rPr>
          <w:rFonts w:ascii="Arial" w:hAnsi="Arial"/>
        </w:rPr>
        <w:t xml:space="preserve"> (Polish: </w:t>
      </w:r>
      <w:r>
        <w:rPr>
          <w:rFonts w:ascii="Arial" w:hAnsi="Arial"/>
          <w:i/>
        </w:rPr>
        <w:t>zdolność prawna</w:t>
      </w:r>
      <w:r>
        <w:rPr>
          <w:rFonts w:ascii="Arial" w:hAnsi="Arial"/>
        </w:rPr>
        <w:t xml:space="preserve">) and </w:t>
      </w:r>
      <w:r>
        <w:rPr>
          <w:rFonts w:ascii="Arial" w:hAnsi="Arial"/>
          <w:i/>
        </w:rPr>
        <w:t>capacity for legal acts</w:t>
      </w:r>
      <w:r>
        <w:rPr>
          <w:rFonts w:ascii="Arial" w:hAnsi="Arial"/>
        </w:rPr>
        <w:t xml:space="preserve"> (Polish: </w:t>
      </w:r>
      <w:r>
        <w:rPr>
          <w:rFonts w:ascii="Arial" w:hAnsi="Arial"/>
          <w:i/>
        </w:rPr>
        <w:t>zdolność do czynności prawnych</w:t>
      </w:r>
      <w:r>
        <w:rPr>
          <w:rFonts w:ascii="Arial" w:hAnsi="Arial"/>
        </w:rPr>
        <w:t>). In line with the provisions of the Civil Code</w:t>
      </w:r>
      <w:r>
        <w:rPr>
          <w:rStyle w:val="Odwoanieprzypisudolnego"/>
          <w:rFonts w:ascii="Arial" w:hAnsi="Arial"/>
        </w:rPr>
        <w:footnoteReference w:id="61"/>
      </w:r>
      <w:r>
        <w:rPr>
          <w:rFonts w:ascii="Arial" w:hAnsi="Arial"/>
        </w:rPr>
        <w:t xml:space="preserve">, each and every human has legal capacity since birth. It is not possible to waive it, transfer it to another person or limit it in any way. This term means the capacity to be the subject of  rights and duties. Each and every person with disabilities has legal capacity by law, on equal terms with other persons. </w:t>
      </w:r>
    </w:p>
    <w:p w14:paraId="74AD9DA1" w14:textId="131F09BA" w:rsidR="00E510B9" w:rsidRDefault="0050710D" w:rsidP="001813AA">
      <w:pPr>
        <w:spacing w:after="0" w:line="360" w:lineRule="auto"/>
        <w:ind w:firstLine="567"/>
        <w:jc w:val="both"/>
        <w:rPr>
          <w:rFonts w:ascii="Arial" w:hAnsi="Arial" w:cs="Arial"/>
        </w:rPr>
      </w:pPr>
      <w:r>
        <w:rPr>
          <w:rFonts w:ascii="Arial" w:hAnsi="Arial"/>
        </w:rPr>
        <w:t xml:space="preserve">In turn, capacity for legal acts means the capacity to gain rights and duties on your own behalf, i.e. the capacity to shape your legal situation independently. In line with Article 11 of the Civil Code, full capacity </w:t>
      </w:r>
      <w:r w:rsidR="0031473E">
        <w:rPr>
          <w:rFonts w:ascii="Arial" w:hAnsi="Arial"/>
        </w:rPr>
        <w:t xml:space="preserve">for legal acts is gained upon </w:t>
      </w:r>
      <w:r>
        <w:rPr>
          <w:rFonts w:ascii="Arial" w:hAnsi="Arial"/>
        </w:rPr>
        <w:t>coming of age, i.e. as a rule upon turning 18. Persons below 13 years of age and fully incapacitated persons have no capacity for legal acts</w:t>
      </w:r>
      <w:r>
        <w:rPr>
          <w:rStyle w:val="Odwoanieprzypisudolnego"/>
          <w:rFonts w:ascii="Arial" w:hAnsi="Arial"/>
        </w:rPr>
        <w:footnoteReference w:id="62"/>
      </w:r>
      <w:r>
        <w:rPr>
          <w:rFonts w:ascii="Arial" w:hAnsi="Arial"/>
        </w:rPr>
        <w:t xml:space="preserve">. </w:t>
      </w:r>
    </w:p>
    <w:p w14:paraId="43850EA4" w14:textId="3589A991" w:rsidR="00B60209" w:rsidRPr="00B60209" w:rsidRDefault="00C17F05" w:rsidP="001813AA">
      <w:pPr>
        <w:spacing w:after="0" w:line="360" w:lineRule="auto"/>
        <w:ind w:firstLine="567"/>
        <w:jc w:val="both"/>
        <w:rPr>
          <w:rFonts w:ascii="Arial" w:hAnsi="Arial" w:cs="Arial"/>
        </w:rPr>
      </w:pPr>
      <w:r>
        <w:rPr>
          <w:rFonts w:ascii="Arial" w:hAnsi="Arial"/>
        </w:rPr>
        <w:t>Polish Civil Code provides for two types of legal incapacitation: full and partial legal incapacitation. The difference between the two types of the instrument essentially lies in the level of presence of premises required to legally in</w:t>
      </w:r>
      <w:r w:rsidR="007B4B27">
        <w:rPr>
          <w:rFonts w:ascii="Arial" w:hAnsi="Arial"/>
        </w:rPr>
        <w:t xml:space="preserve">capacitate a natural person and </w:t>
      </w:r>
      <w:r>
        <w:rPr>
          <w:rFonts w:ascii="Arial" w:hAnsi="Arial"/>
        </w:rPr>
        <w:t>in the consequences of each of these instruments. In line with the provision of Article 13(1), a person that is 13 years of age or more may be fully legally incapacitated, if, as a result of a mental illness, mental deficiency or another type of mental disorder, in particular drinking or drug abuse, if they are not able to manage their affairs. The consequences of full legal incapacitation consists in losing the capacity for legal acts of the legally incapacitated person and establishing a legal guardian for that person (unless the said person is under parental responsibility</w:t>
      </w:r>
      <w:r>
        <w:softHyphen/>
      </w:r>
      <w:r>
        <w:rPr>
          <w:rFonts w:ascii="Arial" w:hAnsi="Arial"/>
        </w:rPr>
        <w:t xml:space="preserve">). In line with Article 16(1) of the Polish Civil Code, partial legal incapacitation may only be decided regarding a person that is of age, that is a person that is 18 years of age or more (and a woman that became of age through marriage) that due to mental  illness, </w:t>
      </w:r>
      <w:r>
        <w:rPr>
          <w:rFonts w:ascii="Arial" w:hAnsi="Arial"/>
        </w:rPr>
        <w:lastRenderedPageBreak/>
        <w:t>mental deficiency or  another type of mental disorder, in particular drinking or drug abuse, needs help in managing their affairs. Establishing partial legal incapacitation consists in limiting the capacity for legal acts of the legally incapacitated person and establishing a custodian for that person</w:t>
      </w:r>
      <w:r>
        <w:rPr>
          <w:rStyle w:val="Odwoanieprzypisudolnego"/>
          <w:rFonts w:ascii="Arial" w:hAnsi="Arial"/>
        </w:rPr>
        <w:footnoteReference w:id="63"/>
      </w:r>
      <w:r>
        <w:rPr>
          <w:rFonts w:ascii="Arial" w:hAnsi="Arial"/>
        </w:rPr>
        <w:t xml:space="preserve">. </w:t>
      </w:r>
    </w:p>
    <w:p w14:paraId="628F8BCF" w14:textId="773336F7" w:rsidR="00B60209" w:rsidRDefault="007C12BB" w:rsidP="001813AA">
      <w:pPr>
        <w:spacing w:after="0" w:line="360" w:lineRule="auto"/>
        <w:ind w:firstLine="567"/>
        <w:jc w:val="both"/>
        <w:rPr>
          <w:rFonts w:ascii="Arial" w:hAnsi="Arial" w:cs="Arial"/>
        </w:rPr>
      </w:pPr>
      <w:r>
        <w:rPr>
          <w:rFonts w:ascii="Arial" w:hAnsi="Arial"/>
        </w:rPr>
        <w:t>In line with the official translation of the Convention into Polish</w:t>
      </w:r>
      <w:r>
        <w:rPr>
          <w:rStyle w:val="Odwoanieprzypisudolnego"/>
          <w:rFonts w:ascii="Arial" w:hAnsi="Arial"/>
        </w:rPr>
        <w:footnoteReference w:id="64"/>
      </w:r>
      <w:r>
        <w:rPr>
          <w:rFonts w:ascii="Arial" w:hAnsi="Arial"/>
        </w:rPr>
        <w:t xml:space="preserve">, the wording of Article 12 of CRPD only refers to equal legal capacity of persons with disabilities, omitting the capacity for legal acts. Upon submitting the ratification document, the Polish government has made the declaration (entitled: “interpretation statement”) regarding Article 12 CRPD, where it stated that </w:t>
      </w:r>
      <w:r>
        <w:rPr>
          <w:rFonts w:ascii="Arial" w:hAnsi="Arial"/>
          <w:i/>
        </w:rPr>
        <w:t>Article 12 of the Convention is interpreted in the manner that enables application of legal incapacitation in the circumstances and in the manner stipulated in internal law, as a measure mentioned in Article 12(4) if, as a consequence of mental illness, mental deficiency or other mental disorder, a person is not able to manage their affairs</w:t>
      </w:r>
      <w:r>
        <w:rPr>
          <w:rStyle w:val="Odwoanieprzypisudolnego"/>
          <w:rFonts w:ascii="Arial" w:hAnsi="Arial"/>
        </w:rPr>
        <w:footnoteReference w:id="65"/>
      </w:r>
      <w:r>
        <w:rPr>
          <w:rFonts w:ascii="Arial" w:hAnsi="Arial"/>
        </w:rPr>
        <w:t>. Therefore Poland excluded the application of Article 12 CRPD to persons with disabilities that were legally incapacitated in line with the binding internal provisions.</w:t>
      </w:r>
    </w:p>
    <w:p w14:paraId="0F2C0EA5" w14:textId="77777777" w:rsidR="00DE34A2" w:rsidRDefault="0022707D" w:rsidP="004A17DD">
      <w:pPr>
        <w:pStyle w:val="Akapitzlist"/>
        <w:numPr>
          <w:ilvl w:val="0"/>
          <w:numId w:val="4"/>
        </w:numPr>
        <w:spacing w:before="120" w:after="120" w:line="360" w:lineRule="auto"/>
        <w:ind w:left="284" w:hanging="284"/>
        <w:contextualSpacing w:val="0"/>
        <w:jc w:val="both"/>
        <w:rPr>
          <w:rFonts w:ascii="Arial" w:hAnsi="Arial" w:cs="Arial"/>
          <w:b/>
        </w:rPr>
      </w:pPr>
      <w:r>
        <w:rPr>
          <w:rFonts w:ascii="Arial" w:hAnsi="Arial"/>
          <w:b/>
        </w:rPr>
        <w:t>Progress and successes in realisation of Article 12 – Equal recognition before the law</w:t>
      </w:r>
    </w:p>
    <w:p w14:paraId="669CDF61" w14:textId="75B15C36" w:rsidR="00D408AE" w:rsidRPr="00D408AE" w:rsidRDefault="0022707D" w:rsidP="001813AA">
      <w:pPr>
        <w:spacing w:after="0" w:line="360" w:lineRule="auto"/>
        <w:ind w:firstLine="567"/>
        <w:jc w:val="both"/>
        <w:rPr>
          <w:rFonts w:ascii="Arial" w:hAnsi="Arial" w:cs="Arial"/>
        </w:rPr>
      </w:pPr>
      <w:r>
        <w:rPr>
          <w:rFonts w:ascii="Arial" w:hAnsi="Arial"/>
        </w:rPr>
        <w:t>Ratification of the convention on the rights of persons with disabilities intensified the discussion on the need to amend the legal incapacitation instrument in Poland. Relevant works on the revision of the Polish Civil Code are now on-going at the Ministry of Justice. These works resulted in a draft of assumptions to the draft act on amending: the Civil Code, the Family and Guardianship Code, the Code of Civil Procedure, the Act on family support and the foster care system and certain other acts. The draft covers the topic of capacity for legal acts of persons with disabilities as well as the capacity of persons with disabilities to marry. The draft is now waiting for submission for public consultations and inter-ministerial agreements.</w:t>
      </w:r>
    </w:p>
    <w:p w14:paraId="2B327896" w14:textId="7069D2EC" w:rsidR="00D408AE" w:rsidRDefault="00D408AE" w:rsidP="001813AA">
      <w:pPr>
        <w:spacing w:after="0" w:line="360" w:lineRule="auto"/>
        <w:ind w:firstLine="567"/>
        <w:jc w:val="both"/>
        <w:rPr>
          <w:rFonts w:ascii="Arial" w:hAnsi="Arial" w:cs="Arial"/>
        </w:rPr>
      </w:pPr>
      <w:r>
        <w:rPr>
          <w:rFonts w:ascii="Arial" w:hAnsi="Arial"/>
        </w:rPr>
        <w:t>It must be emphasized that the said draft is not a draft legal act, and its general nature does not allow for assessing whether it implements the standards established by the Convention on the Rights of Persons with Disabilities in full. Nevertheless, undertaking intensive works on the revision of provisions regulating the legal incapacitation instrument allows us to hope that the legal and actual situation of persons with mental or intellectual disability in Poland will improve.</w:t>
      </w:r>
    </w:p>
    <w:p w14:paraId="689FA192" w14:textId="77777777" w:rsidR="00DE34A2" w:rsidRDefault="00DE34A2" w:rsidP="004A17DD">
      <w:pPr>
        <w:pStyle w:val="Akapitzlist"/>
        <w:numPr>
          <w:ilvl w:val="0"/>
          <w:numId w:val="4"/>
        </w:numPr>
        <w:spacing w:before="120" w:after="120" w:line="360" w:lineRule="auto"/>
        <w:ind w:left="284" w:hanging="284"/>
        <w:contextualSpacing w:val="0"/>
        <w:jc w:val="both"/>
        <w:rPr>
          <w:rFonts w:ascii="Arial" w:hAnsi="Arial" w:cs="Arial"/>
          <w:b/>
        </w:rPr>
      </w:pPr>
      <w:r>
        <w:rPr>
          <w:rFonts w:ascii="Arial" w:hAnsi="Arial"/>
          <w:b/>
        </w:rPr>
        <w:lastRenderedPageBreak/>
        <w:t>Major problems and barriers in realisation of individual rights established by the Convention</w:t>
      </w:r>
    </w:p>
    <w:p w14:paraId="3D3B7D2B" w14:textId="49B7F0B1" w:rsidR="00426793" w:rsidRDefault="00F71899" w:rsidP="001813AA">
      <w:pPr>
        <w:spacing w:after="0" w:line="360" w:lineRule="auto"/>
        <w:ind w:firstLine="567"/>
        <w:jc w:val="both"/>
        <w:rPr>
          <w:rFonts w:ascii="Arial" w:hAnsi="Arial" w:cs="Arial"/>
        </w:rPr>
      </w:pPr>
      <w:r>
        <w:rPr>
          <w:rFonts w:ascii="Arial" w:hAnsi="Arial"/>
        </w:rPr>
        <w:t>Polish provisions of law that regulate the legal incapac</w:t>
      </w:r>
      <w:r w:rsidR="007B4B27">
        <w:rPr>
          <w:rFonts w:ascii="Arial" w:hAnsi="Arial"/>
        </w:rPr>
        <w:t>itation instrument constitute a </w:t>
      </w:r>
      <w:r>
        <w:rPr>
          <w:rFonts w:ascii="Arial" w:hAnsi="Arial"/>
        </w:rPr>
        <w:t>typical example of a substitute decision-making model and as such they do not satisfy the standards stipulated in Article 12 of CRPD. The most serious consequence of legal incapacitation is the loss or reduction of the capacity for legal acts, therefore the said regulation does not provide persons with disabilities with support in exercising their capacity for legal acts, only with making these decisions as substitute. Polish internal provisions also do not contain sufficient guarantees that the intentions and preferences of the legally incapacitated person will be taken into account in the matters important to them. The instrument of legal incapacitation is thus a measure that is highly disproportional, imposed for an indefinite period and is not limited to certain scopes or types of affairs. The decision to legally incapacitate a person is not regularly revised by any competent and impartial authority or court.</w:t>
      </w:r>
    </w:p>
    <w:p w14:paraId="2E3DB36A" w14:textId="77777777" w:rsidR="00F71899" w:rsidRDefault="00426793" w:rsidP="001813AA">
      <w:pPr>
        <w:spacing w:after="0" w:line="360" w:lineRule="auto"/>
        <w:ind w:firstLine="567"/>
        <w:jc w:val="both"/>
        <w:rPr>
          <w:rFonts w:ascii="Arial" w:hAnsi="Arial" w:cs="Arial"/>
        </w:rPr>
      </w:pPr>
      <w:r>
        <w:rPr>
          <w:rFonts w:ascii="Arial" w:hAnsi="Arial"/>
        </w:rPr>
        <w:t>Requests directed to the Human Rights Defender also indicate irregularities in the manner custody and guardianship is exercised over the legally incapacitated persons, in the form of lack of sufficient persons willing to stand as guardians or custodians, the lengthy proceedings to establish guardians and custodians, and lack of sufficient care of the interests of the legally incapacitated persons. In practice, supervision of the exercise of guardianship and custody is limited to approving by the family and guardianship court of reports filed no less than once a year.</w:t>
      </w:r>
    </w:p>
    <w:p w14:paraId="1018A65A" w14:textId="313BBB31" w:rsidR="00404B1E" w:rsidRDefault="00404B1E" w:rsidP="001813AA">
      <w:pPr>
        <w:spacing w:after="0" w:line="360" w:lineRule="auto"/>
        <w:ind w:firstLine="567"/>
        <w:jc w:val="both"/>
        <w:rPr>
          <w:rFonts w:ascii="Arial" w:hAnsi="Arial" w:cs="Arial"/>
        </w:rPr>
      </w:pPr>
      <w:r>
        <w:rPr>
          <w:rFonts w:ascii="Arial" w:hAnsi="Arial"/>
        </w:rPr>
        <w:t xml:space="preserve">Capacity for legal acts is the condition of the autonomous decision-making in many areas of life, therefore legal incapacitation results in legal and social exclusion of persons deprived of the capacity for legal acts. Legal incapacitation makes it impossible to, on equal terms with other persons, exercise the right to own and inherit property, exercise supervision of their own finances, and access loans and credits. </w:t>
      </w:r>
    </w:p>
    <w:p w14:paraId="1CB2910E" w14:textId="77777777" w:rsidR="006C7772" w:rsidRPr="006C7772" w:rsidRDefault="006C7772" w:rsidP="001813AA">
      <w:pPr>
        <w:spacing w:after="0" w:line="360" w:lineRule="auto"/>
        <w:ind w:firstLine="567"/>
        <w:jc w:val="both"/>
        <w:rPr>
          <w:rFonts w:ascii="Arial" w:hAnsi="Arial" w:cs="Arial"/>
        </w:rPr>
      </w:pPr>
      <w:r>
        <w:rPr>
          <w:rFonts w:ascii="Arial" w:hAnsi="Arial"/>
        </w:rPr>
        <w:t>A legally incapacitated person may not exercise the right to vote  (Article 62(2) of the Constitution), and the right to stand in election, referendums, sign a civic initiative, cannot establish associations or be a member of one (Article 3 of the Act of 7 April 1989 – Association Law</w:t>
      </w:r>
      <w:r>
        <w:rPr>
          <w:rFonts w:ascii="Arial" w:hAnsi="Arial"/>
          <w:vertAlign w:val="superscript"/>
        </w:rPr>
        <w:footnoteReference w:id="66"/>
      </w:r>
      <w:r>
        <w:rPr>
          <w:rFonts w:ascii="Arial" w:hAnsi="Arial"/>
        </w:rPr>
        <w:t>), may not be a member of political parties (Article 11(3) of the Act of 27 June 1997 on political parties)</w:t>
      </w:r>
      <w:r>
        <w:rPr>
          <w:rFonts w:ascii="Arial" w:hAnsi="Arial"/>
          <w:vertAlign w:val="superscript"/>
        </w:rPr>
        <w:footnoteReference w:id="67"/>
      </w:r>
      <w:r>
        <w:rPr>
          <w:rFonts w:ascii="Arial" w:hAnsi="Arial"/>
        </w:rPr>
        <w:t xml:space="preserve"> nor organise assemblies (Article 3 of the Act of 5 July 1990 – Assembly Law</w:t>
      </w:r>
      <w:r>
        <w:rPr>
          <w:rFonts w:ascii="Arial" w:hAnsi="Arial"/>
          <w:vertAlign w:val="superscript"/>
        </w:rPr>
        <w:footnoteReference w:id="68"/>
      </w:r>
      <w:r>
        <w:rPr>
          <w:rFonts w:ascii="Arial" w:hAnsi="Arial"/>
        </w:rPr>
        <w:t>). Full legal incapacitation excludes the ability to make civil-law contracts independently (Article 14 of the Polish Civil Code)</w:t>
      </w:r>
      <w:r>
        <w:rPr>
          <w:rFonts w:ascii="Arial" w:hAnsi="Arial"/>
          <w:vertAlign w:val="superscript"/>
        </w:rPr>
        <w:footnoteReference w:id="69"/>
      </w:r>
      <w:r>
        <w:rPr>
          <w:rFonts w:ascii="Arial" w:hAnsi="Arial"/>
        </w:rPr>
        <w:t xml:space="preserve">, to be a commercial proxy (Article </w:t>
      </w:r>
      <w:r>
        <w:rPr>
          <w:rFonts w:ascii="Arial" w:hAnsi="Arial"/>
        </w:rPr>
        <w:lastRenderedPageBreak/>
        <w:t>1092(2) of the Polish Civil Code) and an attorney. A fully legally incapacitated person may not marry (Article 11(1) of the Polish Family and Guardianship Code)</w:t>
      </w:r>
      <w:r>
        <w:rPr>
          <w:rFonts w:ascii="Arial" w:hAnsi="Arial"/>
          <w:vertAlign w:val="superscript"/>
        </w:rPr>
        <w:footnoteReference w:id="70"/>
      </w:r>
      <w:r>
        <w:rPr>
          <w:rFonts w:ascii="Arial" w:hAnsi="Arial"/>
        </w:rPr>
        <w:t>, and if it turns out during the marriage that one of the spouses married while being fully incapacitat</w:t>
      </w:r>
      <w:r>
        <w:softHyphen/>
      </w:r>
      <w:r>
        <w:rPr>
          <w:rFonts w:ascii="Arial" w:hAnsi="Arial"/>
        </w:rPr>
        <w:t>ed, the other spouse may request annulment of the marriage (Article 11(2) of the Polish Family and Guardianship Code). However, if legal incapacitation was imposed during marriage, it results in abolish</w:t>
      </w:r>
      <w:r>
        <w:softHyphen/>
      </w:r>
      <w:r>
        <w:rPr>
          <w:rFonts w:ascii="Arial" w:hAnsi="Arial"/>
        </w:rPr>
        <w:t>ing marital joint property regime by law (Article 53 of the Polish Family and Guardianship Code). Moreover, a man who exhibits premises for full legal incapacitation, may not recognize a child born outside marriage (Article 77 of the Polish Family and Guardianship Code), a man or a woman that are fully legally incapacitated may not file a claim to deny paternity. A fully legally in</w:t>
      </w:r>
      <w:r>
        <w:softHyphen/>
      </w:r>
      <w:r>
        <w:rPr>
          <w:rFonts w:ascii="Arial" w:hAnsi="Arial"/>
        </w:rPr>
        <w:t>capaci</w:t>
      </w:r>
      <w:r>
        <w:softHyphen/>
      </w:r>
      <w:r>
        <w:rPr>
          <w:rFonts w:ascii="Arial" w:hAnsi="Arial"/>
        </w:rPr>
        <w:t>tated person may not exercise parental responsibility with respect to their children, for whom the court shall appoint another guardian; such a person may not adopt a child, or be a guardian or custodian. A legally incapacitated person (even if that person is incapacitated only partially) may not make a testament nor revoke it (Article 944 of the Polish Civil Code). A fully legally incapacitated person cannot take up employment (Article 22(3) of the Act of 26 June 1974 – Labour Code</w:t>
      </w:r>
      <w:r>
        <w:rPr>
          <w:rFonts w:ascii="Arial" w:hAnsi="Arial"/>
          <w:vertAlign w:val="superscript"/>
        </w:rPr>
        <w:footnoteReference w:id="71"/>
      </w:r>
      <w:r>
        <w:rPr>
          <w:rFonts w:ascii="Arial" w:hAnsi="Arial"/>
        </w:rPr>
        <w:t>), such a person cannot practice certain professions or serve certain functions, e.g. a judge of a common court (Article 61(1) of the Act of 27 July 2001 – Law on common courts)</w:t>
      </w:r>
      <w:r>
        <w:rPr>
          <w:rFonts w:ascii="Arial" w:hAnsi="Arial"/>
          <w:vertAlign w:val="superscript"/>
        </w:rPr>
        <w:footnoteReference w:id="72"/>
      </w:r>
      <w:r>
        <w:rPr>
          <w:rFonts w:ascii="Arial" w:hAnsi="Arial"/>
        </w:rPr>
        <w:t>, a physician (Article 5(1) of the Act of 5 December 1996 on the professions of a doctor and a dentist</w:t>
      </w:r>
      <w:r>
        <w:rPr>
          <w:rFonts w:ascii="Arial" w:hAnsi="Arial"/>
          <w:vertAlign w:val="superscript"/>
        </w:rPr>
        <w:footnoteReference w:id="73"/>
      </w:r>
      <w:r>
        <w:rPr>
          <w:rFonts w:ascii="Arial" w:hAnsi="Arial"/>
        </w:rPr>
        <w:t>), state official (Article 3 of the Act of 16 September 1982 on employees of state offices.</w:t>
      </w:r>
      <w:r>
        <w:rPr>
          <w:rFonts w:ascii="Arial" w:hAnsi="Arial"/>
          <w:vertAlign w:val="superscript"/>
        </w:rPr>
        <w:t xml:space="preserve">  </w:t>
      </w:r>
      <w:r>
        <w:rPr>
          <w:rFonts w:ascii="Arial" w:hAnsi="Arial"/>
        </w:rPr>
        <w:t>Legal incapacitation also limits capacity for legal acts in the area of administrative proceedings (Article 30(1) of the Polish Code of Administrative Procedure) and tax proceedings (Article 135 of the Act of 29 August 1997 – Tax Ordinance</w:t>
      </w:r>
      <w:r>
        <w:rPr>
          <w:rFonts w:ascii="Arial" w:hAnsi="Arial"/>
          <w:vertAlign w:val="superscript"/>
        </w:rPr>
        <w:footnoteReference w:id="74"/>
      </w:r>
      <w:r>
        <w:rPr>
          <w:rFonts w:ascii="Arial" w:hAnsi="Arial"/>
        </w:rPr>
        <w:t>). A fully legally incapacitated person may not register their place of residence (Article 9a of the Act of 10 April 1974 on the registration of population and personal identity documents</w:t>
      </w:r>
      <w:r>
        <w:rPr>
          <w:rFonts w:ascii="Arial" w:hAnsi="Arial"/>
          <w:vertAlign w:val="superscript"/>
        </w:rPr>
        <w:footnoteReference w:id="75"/>
      </w:r>
      <w:r>
        <w:rPr>
          <w:rFonts w:ascii="Arial" w:hAnsi="Arial"/>
        </w:rPr>
        <w:t>) or be a blood donor (Article 15 of the Act of 22 August 1997 on public blood donation service</w:t>
      </w:r>
      <w:r>
        <w:rPr>
          <w:rFonts w:ascii="Arial" w:hAnsi="Arial"/>
          <w:vertAlign w:val="superscript"/>
        </w:rPr>
        <w:footnoteReference w:id="76"/>
      </w:r>
      <w:r>
        <w:rPr>
          <w:rFonts w:ascii="Arial" w:hAnsi="Arial"/>
        </w:rPr>
        <w:t>)</w:t>
      </w:r>
      <w:r>
        <w:rPr>
          <w:rStyle w:val="Odwoanieprzypisudolnego"/>
          <w:rFonts w:ascii="Arial" w:hAnsi="Arial"/>
        </w:rPr>
        <w:footnoteReference w:id="77"/>
      </w:r>
      <w:r>
        <w:rPr>
          <w:rFonts w:ascii="Arial" w:hAnsi="Arial"/>
        </w:rPr>
        <w:t>.</w:t>
      </w:r>
    </w:p>
    <w:p w14:paraId="09738F12" w14:textId="77777777" w:rsidR="006C7772" w:rsidRDefault="00726C13" w:rsidP="001813AA">
      <w:pPr>
        <w:spacing w:after="0" w:line="360" w:lineRule="auto"/>
        <w:ind w:firstLine="567"/>
        <w:jc w:val="both"/>
        <w:rPr>
          <w:rFonts w:ascii="Arial" w:hAnsi="Arial"/>
        </w:rPr>
      </w:pPr>
      <w:r>
        <w:rPr>
          <w:rFonts w:ascii="Arial" w:hAnsi="Arial"/>
        </w:rPr>
        <w:t xml:space="preserve">Also, the incorrect translation of the official text of the Convention on the Rights of Persons with Disabilities (discussed above) and the “interpretation declaration” submitted by Poland regarding Article 12 upon ratification of the Convention, prevent the legally incapacitated persons to refer to the guarantees established by the Convention in order to enforce  their right to equal treatment. </w:t>
      </w:r>
    </w:p>
    <w:p w14:paraId="309993BD" w14:textId="77777777" w:rsidR="007B4B27" w:rsidRDefault="007B4B27" w:rsidP="001813AA">
      <w:pPr>
        <w:spacing w:after="0" w:line="360" w:lineRule="auto"/>
        <w:ind w:firstLine="567"/>
        <w:jc w:val="both"/>
        <w:rPr>
          <w:rFonts w:ascii="Arial" w:hAnsi="Arial" w:cs="Arial"/>
        </w:rPr>
      </w:pPr>
    </w:p>
    <w:p w14:paraId="259F058F" w14:textId="77777777" w:rsidR="00DE34A2" w:rsidRDefault="00DE34A2" w:rsidP="004A17DD">
      <w:pPr>
        <w:pStyle w:val="Akapitzlist"/>
        <w:numPr>
          <w:ilvl w:val="0"/>
          <w:numId w:val="4"/>
        </w:numPr>
        <w:spacing w:before="120" w:after="120" w:line="360" w:lineRule="auto"/>
        <w:ind w:left="284" w:hanging="284"/>
        <w:contextualSpacing w:val="0"/>
        <w:jc w:val="both"/>
        <w:rPr>
          <w:rFonts w:ascii="Arial" w:hAnsi="Arial" w:cs="Arial"/>
          <w:b/>
        </w:rPr>
      </w:pPr>
      <w:r>
        <w:rPr>
          <w:rFonts w:ascii="Arial" w:hAnsi="Arial"/>
          <w:b/>
        </w:rPr>
        <w:lastRenderedPageBreak/>
        <w:t>Results of available studies and statistical data</w:t>
      </w:r>
    </w:p>
    <w:p w14:paraId="5A198B46" w14:textId="5AD48A14" w:rsidR="00663A71" w:rsidRPr="007B4B27" w:rsidRDefault="005E2CC6" w:rsidP="007B4B27">
      <w:pPr>
        <w:spacing w:after="0" w:line="360" w:lineRule="auto"/>
        <w:ind w:firstLine="567"/>
        <w:jc w:val="both"/>
        <w:rPr>
          <w:rFonts w:ascii="Arial" w:hAnsi="Arial" w:cs="Arial"/>
        </w:rPr>
      </w:pPr>
      <w:r>
        <w:rPr>
          <w:rFonts w:ascii="Arial" w:hAnsi="Arial"/>
        </w:rPr>
        <w:t>From the data collected by the Ministry of Justice it follows that since 2006, the number of new applications to legally incapacitate natural persons has been growing systematically in Poland</w:t>
      </w:r>
      <w:r>
        <w:rPr>
          <w:rStyle w:val="Odwoanieprzypisudolnego"/>
          <w:rFonts w:ascii="Arial" w:hAnsi="Arial"/>
        </w:rPr>
        <w:footnoteReference w:id="78"/>
      </w:r>
      <w:r>
        <w:rPr>
          <w:rFonts w:ascii="Arial" w:hAnsi="Arial"/>
        </w:rPr>
        <w:t xml:space="preserve">. In 2006, the number of such applications was 9,104 (full legal incapacitation was granted in 5,497 cases, partial legal incapacitation – in 692 cases), while in 2013 that number increased to 12,999 applications (full legal incapacitation was granted in 7,776 cases, while partial legal incapacitation – in 718 cases). Average length of the procedure on legal incapacitation ranged from 3.9 months (in 2006) to 4.8 months (in 2013). </w:t>
      </w:r>
    </w:p>
    <w:p w14:paraId="2100D4D9" w14:textId="77777777" w:rsidR="00663A71" w:rsidRDefault="00663A71" w:rsidP="001813AA">
      <w:pPr>
        <w:spacing w:after="0" w:line="360" w:lineRule="auto"/>
        <w:ind w:firstLine="567"/>
        <w:jc w:val="both"/>
        <w:rPr>
          <w:rFonts w:ascii="Arial" w:hAnsi="Arial" w:cs="Arial"/>
          <w:sz w:val="16"/>
          <w:szCs w:val="16"/>
        </w:rPr>
      </w:pPr>
    </w:p>
    <w:p w14:paraId="37F24932" w14:textId="77777777" w:rsidR="00663A71" w:rsidRPr="00872FB5" w:rsidRDefault="00663A71" w:rsidP="001813AA">
      <w:pPr>
        <w:spacing w:after="0" w:line="360" w:lineRule="auto"/>
        <w:ind w:firstLine="567"/>
        <w:jc w:val="both"/>
        <w:rPr>
          <w:rFonts w:ascii="Arial" w:hAnsi="Arial" w:cs="Arial"/>
          <w:sz w:val="16"/>
          <w:szCs w:val="16"/>
        </w:rPr>
      </w:pPr>
    </w:p>
    <w:p w14:paraId="4EF253A3" w14:textId="77777777" w:rsidR="00AA712F" w:rsidRPr="00AA712F" w:rsidRDefault="00AA712F" w:rsidP="00856102">
      <w:pPr>
        <w:spacing w:after="0" w:line="360" w:lineRule="auto"/>
        <w:jc w:val="center"/>
        <w:rPr>
          <w:rFonts w:ascii="Arial" w:hAnsi="Arial" w:cs="Arial"/>
          <w:b/>
        </w:rPr>
      </w:pPr>
      <w:r>
        <w:rPr>
          <w:rFonts w:ascii="Arial" w:hAnsi="Arial"/>
          <w:b/>
        </w:rPr>
        <w:t>Register of cases to grant legal incapacitation in 2006-2013</w:t>
      </w:r>
    </w:p>
    <w:p w14:paraId="417F7326" w14:textId="77777777" w:rsidR="00AA712F" w:rsidRPr="00AA712F" w:rsidRDefault="00AA712F" w:rsidP="00856102">
      <w:pPr>
        <w:spacing w:after="0" w:line="360" w:lineRule="auto"/>
        <w:jc w:val="center"/>
        <w:rPr>
          <w:rFonts w:ascii="Arial" w:hAnsi="Arial" w:cs="Arial"/>
          <w:b/>
        </w:rPr>
      </w:pPr>
      <w:r>
        <w:rPr>
          <w:rFonts w:ascii="Arial" w:hAnsi="Arial"/>
          <w:b/>
        </w:rPr>
        <w:t>regional courts – first instance</w:t>
      </w:r>
    </w:p>
    <w:p w14:paraId="517157F6" w14:textId="77777777" w:rsidR="00C831E4" w:rsidRDefault="007C285C" w:rsidP="001813AA">
      <w:pPr>
        <w:spacing w:after="0" w:line="360" w:lineRule="auto"/>
        <w:jc w:val="center"/>
        <w:rPr>
          <w:rFonts w:ascii="Arial" w:hAnsi="Arial" w:cs="Arial"/>
        </w:rPr>
      </w:pPr>
      <w:r>
        <w:rPr>
          <w:rFonts w:ascii="Arial" w:hAnsi="Arial" w:cs="Arial"/>
          <w:noProof/>
          <w:lang w:val="pl-PL" w:eastAsia="pl-PL" w:bidi="ar-SA"/>
        </w:rPr>
        <w:drawing>
          <wp:inline distT="0" distB="0" distL="0" distR="0" wp14:anchorId="242BAD6B" wp14:editId="563CC178">
            <wp:extent cx="5486400" cy="3200400"/>
            <wp:effectExtent l="0" t="0" r="0" b="0"/>
            <wp:docPr id="2" name="Wykres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4486C6F" w14:textId="77777777" w:rsidR="009D1AAC" w:rsidRPr="009D1AAC" w:rsidRDefault="009D1AAC" w:rsidP="00547730">
      <w:pPr>
        <w:spacing w:after="0" w:line="360" w:lineRule="auto"/>
        <w:jc w:val="center"/>
        <w:rPr>
          <w:rFonts w:ascii="Arial" w:hAnsi="Arial" w:cs="Arial"/>
          <w:sz w:val="16"/>
          <w:szCs w:val="16"/>
        </w:rPr>
      </w:pPr>
      <w:r>
        <w:rPr>
          <w:rFonts w:ascii="Arial" w:hAnsi="Arial"/>
          <w:sz w:val="16"/>
        </w:rPr>
        <w:t>Prepared by: Office of the Human Rights Defender pursuant to the data disclosed by the Ministry of Justice.</w:t>
      </w:r>
    </w:p>
    <w:p w14:paraId="69749FA9" w14:textId="77777777" w:rsidR="009D1AAC" w:rsidRPr="00685C47" w:rsidRDefault="009D1AAC" w:rsidP="001813AA">
      <w:pPr>
        <w:spacing w:after="0" w:line="360" w:lineRule="auto"/>
        <w:ind w:firstLine="567"/>
        <w:jc w:val="both"/>
        <w:rPr>
          <w:rFonts w:ascii="Arial" w:hAnsi="Arial" w:cs="Arial"/>
          <w:sz w:val="16"/>
          <w:szCs w:val="16"/>
        </w:rPr>
      </w:pPr>
    </w:p>
    <w:p w14:paraId="3A1DFF38" w14:textId="77777777" w:rsidR="001B6A6F" w:rsidRDefault="001B6A6F" w:rsidP="001813AA">
      <w:pPr>
        <w:spacing w:after="0" w:line="360" w:lineRule="auto"/>
        <w:ind w:firstLine="567"/>
        <w:jc w:val="both"/>
        <w:rPr>
          <w:rFonts w:ascii="Arial" w:hAnsi="Arial" w:cs="Arial"/>
        </w:rPr>
      </w:pPr>
      <w:r>
        <w:rPr>
          <w:rFonts w:ascii="Arial" w:hAnsi="Arial"/>
        </w:rPr>
        <w:t>The figure presented above pertains only to the cases considered by regional courts (first instance), yet the available data shows that the number of appeals filed against the rulings issued by the first instance courts in the cases on legal incapacitation is relatively low and ranges from 91 (2006) to 142 (2013). In 2013, as a result of the appeals filed, second instance courts amended 12 and revoked 21 rulings of regional courts regarding legal incapacitation.</w:t>
      </w:r>
    </w:p>
    <w:p w14:paraId="2BD4E59B" w14:textId="77777777" w:rsidR="005E2CC6" w:rsidRDefault="00965C3C" w:rsidP="00965C3C">
      <w:pPr>
        <w:spacing w:after="0" w:line="360" w:lineRule="auto"/>
        <w:ind w:firstLine="567"/>
        <w:jc w:val="both"/>
        <w:rPr>
          <w:rFonts w:ascii="Arial" w:hAnsi="Arial" w:cs="Arial"/>
        </w:rPr>
      </w:pPr>
      <w:r>
        <w:rPr>
          <w:rFonts w:ascii="Arial" w:hAnsi="Arial"/>
        </w:rPr>
        <w:t xml:space="preserve">As at 31 December 2013, the number of legally incapacitated persons under the care of a guardian (full legal incapacitation) was 65,981, while the number of legally incapacitated </w:t>
      </w:r>
      <w:r>
        <w:rPr>
          <w:rFonts w:ascii="Arial" w:hAnsi="Arial"/>
        </w:rPr>
        <w:lastRenderedPageBreak/>
        <w:t xml:space="preserve">persons under the care of a custodian (partial legal incapacitation) was 11,658. </w:t>
      </w:r>
      <w:r>
        <w:rPr>
          <w:rFonts w:ascii="Arial" w:hAnsi="Arial"/>
          <w:b/>
        </w:rPr>
        <w:t>The total number of legally incapacitated persons in Poland was thus 77,639</w:t>
      </w:r>
      <w:r>
        <w:rPr>
          <w:rFonts w:ascii="Arial" w:hAnsi="Arial"/>
        </w:rPr>
        <w:t xml:space="preserve"> (seventy-seven thousand six hundred and thirty-nine persons)</w:t>
      </w:r>
      <w:r>
        <w:rPr>
          <w:rStyle w:val="Odwoanieprzypisudolnego"/>
          <w:rFonts w:ascii="Arial" w:hAnsi="Arial"/>
        </w:rPr>
        <w:footnoteReference w:id="79"/>
      </w:r>
      <w:r>
        <w:rPr>
          <w:rFonts w:ascii="Arial" w:hAnsi="Arial"/>
        </w:rPr>
        <w:t>. Considering the premises for granting (both partial and full) legal incapacitation one may assume that the vast majority of these persons includes persons with mental or intellectual disabilities.</w:t>
      </w:r>
    </w:p>
    <w:p w14:paraId="1195D57C" w14:textId="77777777" w:rsidR="00DE34A2" w:rsidRPr="006317A2" w:rsidRDefault="00DE34A2" w:rsidP="004A17DD">
      <w:pPr>
        <w:pStyle w:val="Akapitzlist"/>
        <w:numPr>
          <w:ilvl w:val="0"/>
          <w:numId w:val="4"/>
        </w:numPr>
        <w:spacing w:before="120" w:after="120" w:line="360" w:lineRule="auto"/>
        <w:ind w:left="284" w:hanging="284"/>
        <w:contextualSpacing w:val="0"/>
        <w:jc w:val="both"/>
        <w:rPr>
          <w:rFonts w:ascii="Arial" w:hAnsi="Arial" w:cs="Arial"/>
          <w:b/>
        </w:rPr>
      </w:pPr>
      <w:r>
        <w:rPr>
          <w:rFonts w:ascii="Arial" w:hAnsi="Arial"/>
          <w:b/>
        </w:rPr>
        <w:t>Major recommendations</w:t>
      </w:r>
    </w:p>
    <w:p w14:paraId="73525CFE" w14:textId="1CD4E483" w:rsidR="00726C13" w:rsidRDefault="00FA2E76" w:rsidP="001813AA">
      <w:pPr>
        <w:pStyle w:val="Akapitzlist"/>
        <w:spacing w:after="0" w:line="360" w:lineRule="auto"/>
        <w:ind w:left="0" w:firstLine="567"/>
        <w:jc w:val="both"/>
        <w:rPr>
          <w:rFonts w:ascii="Arial" w:hAnsi="Arial" w:cs="Arial"/>
        </w:rPr>
      </w:pPr>
      <w:r>
        <w:rPr>
          <w:rFonts w:ascii="Arial" w:hAnsi="Arial"/>
        </w:rPr>
        <w:t>It is necessary to intensify the works on the revision of the Civil Code and certain other acts in order to abolish the instrument of legal incapacitation and to introduce various forms of support based on the supported decision-making model. These forms – in line with Article 12 of CRPD – should respect the rights, will and preferences of persons with disabilities, ensure protection against abuse, conflict of interest and undue influence, as well as introduce relevant procedural guarantees.</w:t>
      </w:r>
    </w:p>
    <w:p w14:paraId="39C67EF3" w14:textId="77777777" w:rsidR="00EC1EA6" w:rsidRDefault="00EC1EA6" w:rsidP="001813AA">
      <w:pPr>
        <w:pStyle w:val="Akapitzlist"/>
        <w:spacing w:after="0" w:line="360" w:lineRule="auto"/>
        <w:ind w:left="0" w:firstLine="567"/>
        <w:jc w:val="both"/>
        <w:rPr>
          <w:rFonts w:ascii="Arial" w:hAnsi="Arial" w:cs="Arial"/>
        </w:rPr>
      </w:pPr>
      <w:r>
        <w:rPr>
          <w:rFonts w:ascii="Arial" w:hAnsi="Arial"/>
        </w:rPr>
        <w:t>Also, it is necessary to withdraw the interpretation declarations made by Poland regarding Article 12 of CRPD; or alternatively – until the national provisions are amended in this respect, to file a reservation and stipulate a time perspective for its validity.</w:t>
      </w:r>
    </w:p>
    <w:p w14:paraId="0F0101BA" w14:textId="77777777" w:rsidR="00FA2E76" w:rsidRDefault="00EC1EA6" w:rsidP="001813AA">
      <w:pPr>
        <w:pStyle w:val="Akapitzlist"/>
        <w:spacing w:after="0" w:line="360" w:lineRule="auto"/>
        <w:ind w:left="0" w:firstLine="567"/>
        <w:jc w:val="both"/>
        <w:rPr>
          <w:rFonts w:ascii="Arial" w:hAnsi="Arial" w:cs="Arial"/>
        </w:rPr>
      </w:pPr>
      <w:r>
        <w:rPr>
          <w:rFonts w:ascii="Arial" w:hAnsi="Arial"/>
        </w:rPr>
        <w:t>It is also necessary to amend the official translation of the text of the Convention into Polish in order to ensure equal recognition of persons with disabilities before the law, without reducing it only to legal capacity, but also including the right of these persons to take advantage of the capacity for legal acts.</w:t>
      </w:r>
    </w:p>
    <w:p w14:paraId="45B150AD" w14:textId="77777777" w:rsidR="006317A2" w:rsidRPr="005D0FE6" w:rsidRDefault="006317A2" w:rsidP="00F92CA5">
      <w:pPr>
        <w:pStyle w:val="Nagwek2"/>
      </w:pPr>
      <w:bookmarkStart w:id="19" w:name="_Toc403999535"/>
      <w:bookmarkStart w:id="20" w:name="_Toc424278999"/>
      <w:r>
        <w:t>Article 13 – Access to justice</w:t>
      </w:r>
      <w:bookmarkEnd w:id="19"/>
      <w:bookmarkEnd w:id="20"/>
    </w:p>
    <w:p w14:paraId="07A169DE" w14:textId="77777777" w:rsidR="002013F3" w:rsidRDefault="002013F3" w:rsidP="004A17DD">
      <w:pPr>
        <w:pStyle w:val="Akapitzlist"/>
        <w:numPr>
          <w:ilvl w:val="0"/>
          <w:numId w:val="5"/>
        </w:numPr>
        <w:spacing w:before="120" w:after="120" w:line="360" w:lineRule="auto"/>
        <w:ind w:left="284" w:hanging="284"/>
        <w:contextualSpacing w:val="0"/>
        <w:jc w:val="both"/>
        <w:rPr>
          <w:rFonts w:ascii="Arial" w:hAnsi="Arial" w:cs="Arial"/>
          <w:b/>
        </w:rPr>
      </w:pPr>
      <w:r>
        <w:rPr>
          <w:rFonts w:ascii="Arial" w:hAnsi="Arial"/>
          <w:b/>
        </w:rPr>
        <w:t>Introduction – short description</w:t>
      </w:r>
    </w:p>
    <w:p w14:paraId="4BA753E0" w14:textId="1C60EBDF" w:rsidR="00EF1432" w:rsidRDefault="007B060B" w:rsidP="005D0FE6">
      <w:pPr>
        <w:pStyle w:val="Akapitzlist"/>
        <w:spacing w:after="0" w:line="360" w:lineRule="auto"/>
        <w:ind w:left="0" w:firstLine="709"/>
        <w:jc w:val="both"/>
        <w:rPr>
          <w:rFonts w:ascii="Arial" w:hAnsi="Arial" w:cs="Arial"/>
        </w:rPr>
      </w:pPr>
      <w:r>
        <w:rPr>
          <w:rFonts w:ascii="Arial" w:hAnsi="Arial"/>
        </w:rPr>
        <w:t>The Polish Constitution guarantees each and every person the right to just and open consideration of a case without undue delay by a relevant, independent, impartial and appropriate court, and also states that no act may deny a person the right to enforce the infringed freedoms or rights in court</w:t>
      </w:r>
      <w:r>
        <w:rPr>
          <w:rStyle w:val="Odwoanieprzypisudolnego"/>
          <w:rFonts w:ascii="Arial" w:hAnsi="Arial"/>
        </w:rPr>
        <w:footnoteReference w:id="80"/>
      </w:r>
      <w:r>
        <w:rPr>
          <w:rFonts w:ascii="Arial" w:hAnsi="Arial"/>
        </w:rPr>
        <w:t>. The provisions regulating the principles of court proceedings and the functioning of the justice system and the law enforcement authorities were regulated e.g. in the Polish Code of Criminal Procedure</w:t>
      </w:r>
      <w:r>
        <w:rPr>
          <w:rStyle w:val="Odwoanieprzypisudolnego"/>
          <w:rFonts w:ascii="Arial" w:hAnsi="Arial"/>
        </w:rPr>
        <w:footnoteReference w:id="81"/>
      </w:r>
      <w:r>
        <w:rPr>
          <w:rFonts w:ascii="Arial" w:hAnsi="Arial"/>
        </w:rPr>
        <w:t>, Polish Code of Civil Procedure</w:t>
      </w:r>
      <w:r>
        <w:rPr>
          <w:rStyle w:val="Odwoanieprzypisudolnego"/>
          <w:rFonts w:ascii="Arial" w:hAnsi="Arial"/>
        </w:rPr>
        <w:footnoteReference w:id="82"/>
      </w:r>
      <w:r>
        <w:rPr>
          <w:rFonts w:ascii="Arial" w:hAnsi="Arial"/>
        </w:rPr>
        <w:t>, Polish Code of Administrative Procedure</w:t>
      </w:r>
      <w:r>
        <w:rPr>
          <w:rStyle w:val="Odwoanieprzypisudolnego"/>
          <w:rFonts w:ascii="Arial" w:hAnsi="Arial"/>
        </w:rPr>
        <w:footnoteReference w:id="83"/>
      </w:r>
      <w:r>
        <w:rPr>
          <w:rFonts w:ascii="Arial" w:hAnsi="Arial"/>
        </w:rPr>
        <w:t xml:space="preserve"> and in the Law on proceedings </w:t>
      </w:r>
      <w:r>
        <w:rPr>
          <w:rFonts w:ascii="Arial" w:hAnsi="Arial"/>
        </w:rPr>
        <w:lastRenderedPageBreak/>
        <w:t>before administrative courts</w:t>
      </w:r>
      <w:r>
        <w:rPr>
          <w:rStyle w:val="Odwoanieprzypisudolnego"/>
          <w:rFonts w:ascii="Arial" w:hAnsi="Arial"/>
        </w:rPr>
        <w:footnoteReference w:id="84"/>
      </w:r>
      <w:r>
        <w:rPr>
          <w:rFonts w:ascii="Arial" w:hAnsi="Arial"/>
        </w:rPr>
        <w:t xml:space="preserve"> as well as some other specific acts. However, these provisions do not contain many specific norms referring to specific needs o</w:t>
      </w:r>
      <w:r w:rsidR="00337C88">
        <w:rPr>
          <w:rFonts w:ascii="Arial" w:hAnsi="Arial"/>
        </w:rPr>
        <w:t>f persons with disabilities. As </w:t>
      </w:r>
      <w:r>
        <w:rPr>
          <w:rFonts w:ascii="Arial" w:hAnsi="Arial"/>
        </w:rPr>
        <w:t>a rule, these persons are subject to the same legal regime as other citizens.</w:t>
      </w:r>
    </w:p>
    <w:p w14:paraId="4E06DA53" w14:textId="77777777" w:rsidR="002013F3" w:rsidRDefault="002013F3" w:rsidP="004A17DD">
      <w:pPr>
        <w:pStyle w:val="Akapitzlist"/>
        <w:numPr>
          <w:ilvl w:val="0"/>
          <w:numId w:val="5"/>
        </w:numPr>
        <w:spacing w:before="120" w:after="120" w:line="360" w:lineRule="auto"/>
        <w:ind w:left="284" w:hanging="284"/>
        <w:contextualSpacing w:val="0"/>
        <w:jc w:val="both"/>
        <w:rPr>
          <w:rFonts w:ascii="Arial" w:hAnsi="Arial" w:cs="Arial"/>
          <w:b/>
        </w:rPr>
      </w:pPr>
      <w:r>
        <w:rPr>
          <w:rFonts w:ascii="Arial" w:hAnsi="Arial"/>
          <w:b/>
        </w:rPr>
        <w:t>Progress and successes in realisation of the right to access to justice</w:t>
      </w:r>
    </w:p>
    <w:p w14:paraId="2C40D44F" w14:textId="3EC014DD" w:rsidR="000303FB" w:rsidRDefault="00AA582B" w:rsidP="000303FB">
      <w:pPr>
        <w:pStyle w:val="Akapitzlist"/>
        <w:spacing w:after="0" w:line="360" w:lineRule="auto"/>
        <w:ind w:left="0" w:firstLine="709"/>
        <w:jc w:val="both"/>
        <w:rPr>
          <w:rFonts w:ascii="Arial" w:hAnsi="Arial" w:cs="Arial"/>
        </w:rPr>
      </w:pPr>
      <w:r>
        <w:rPr>
          <w:rFonts w:ascii="Arial" w:hAnsi="Arial"/>
        </w:rPr>
        <w:t xml:space="preserve">A significant progress in the area of access to justice for the persons with disabilities is partial digitalisation of the justice system, including the </w:t>
      </w:r>
      <w:r w:rsidR="00337C88">
        <w:rPr>
          <w:rFonts w:ascii="Arial" w:hAnsi="Arial"/>
        </w:rPr>
        <w:t>introduction of the so-called e-</w:t>
      </w:r>
      <w:r>
        <w:rPr>
          <w:rFonts w:ascii="Arial" w:hAnsi="Arial"/>
        </w:rPr>
        <w:t>courts (civil procedure) and the development of the electronic reporting system. The electronic system now pertains to a procedure by writ of payment (it is a type of simplified court procedure intended to receive an executive title against a debtor; it is most often applied in the case of minor debts that are not disputed). It is also possible to perform certain acts in electronic form, for example during a registration procedure. Moreover, all interested persons have electronic access to the land and mortgage register and to the National Court Register. The developing system of electronic reports is also a great facilitation. Even though this tool is not yet fully available, the pace and progress of the works allow us to believe that in the future, it will be an important instrument that improves the accessibility of justice to the persons with disabilities.</w:t>
      </w:r>
    </w:p>
    <w:p w14:paraId="4E1DAC25" w14:textId="08D12D84" w:rsidR="00891C3B" w:rsidRDefault="004F65B7" w:rsidP="000303FB">
      <w:pPr>
        <w:pStyle w:val="Akapitzlist"/>
        <w:spacing w:after="0" w:line="360" w:lineRule="auto"/>
        <w:ind w:left="0" w:firstLine="709"/>
        <w:jc w:val="both"/>
        <w:rPr>
          <w:rFonts w:ascii="Arial" w:hAnsi="Arial" w:cs="Arial"/>
        </w:rPr>
      </w:pPr>
      <w:r>
        <w:rPr>
          <w:rFonts w:ascii="Arial" w:hAnsi="Arial"/>
        </w:rPr>
        <w:t xml:space="preserve">Both the regulations regarding civil procedure (Article 263 of Polish Code of Civil Procedure) and the regulations regarding criminal procedure (Article 177(2) of the Polish Code of Criminal Procedure) provide for the option to hear testimony of witnesses through long-distance means of communication, if they cannot appear in court. Additionally, in the criminal procedure, an obligation to hear a </w:t>
      </w:r>
      <w:r>
        <w:rPr>
          <w:rFonts w:ascii="Arial" w:hAnsi="Arial"/>
          <w:i/>
        </w:rPr>
        <w:t>deaf or mute person in the presence of an interpreter, if it is not enough to communicate with such a person in writing</w:t>
      </w:r>
      <w:r>
        <w:rPr>
          <w:rFonts w:ascii="Arial" w:hAnsi="Arial"/>
        </w:rPr>
        <w:t xml:space="preserve"> (Article 204(1)(1) of the Polish Code of Criminal Procedure). In a civil procedure, the general provisions on sworn translators and interpreters apply. </w:t>
      </w:r>
    </w:p>
    <w:p w14:paraId="6361F24A" w14:textId="74B3F270" w:rsidR="00F8260D" w:rsidRDefault="00F03625" w:rsidP="000303FB">
      <w:pPr>
        <w:pStyle w:val="Akapitzlist"/>
        <w:spacing w:after="0" w:line="360" w:lineRule="auto"/>
        <w:ind w:left="0" w:firstLine="709"/>
        <w:jc w:val="both"/>
        <w:rPr>
          <w:rFonts w:ascii="Arial" w:hAnsi="Arial" w:cs="Arial"/>
        </w:rPr>
      </w:pPr>
      <w:r>
        <w:rPr>
          <w:rFonts w:ascii="Arial" w:hAnsi="Arial"/>
        </w:rPr>
        <w:t xml:space="preserve">The Polish Code of Criminal Procedure also provides that the accused must be assisted by counsel if the accused is </w:t>
      </w:r>
      <w:r>
        <w:rPr>
          <w:rFonts w:ascii="Arial" w:hAnsi="Arial"/>
          <w:i/>
        </w:rPr>
        <w:t>deaf, mute or blind, or if there is a reasonable doubt as to their sanity</w:t>
      </w:r>
      <w:r>
        <w:rPr>
          <w:rFonts w:ascii="Arial" w:hAnsi="Arial"/>
        </w:rPr>
        <w:t xml:space="preserve"> (Article 79(1) and (2) of Polish Code of Criminal Procedure). In a civil procedure, the possibility of appointing counsel automatically due to mental or intellectual disability of a party to the procedure, without the need to file an application, is provided for in the Act on mental health protection</w:t>
      </w:r>
      <w:r>
        <w:rPr>
          <w:rStyle w:val="Odwoanieprzypisudolnego"/>
          <w:rFonts w:ascii="Arial" w:hAnsi="Arial"/>
        </w:rPr>
        <w:footnoteReference w:id="85"/>
      </w:r>
      <w:r>
        <w:rPr>
          <w:rFonts w:ascii="Arial" w:hAnsi="Arial"/>
        </w:rPr>
        <w:t xml:space="preserve">. </w:t>
      </w:r>
    </w:p>
    <w:p w14:paraId="3F98DB79" w14:textId="77777777" w:rsidR="004F65B7" w:rsidRDefault="00F8260D" w:rsidP="000303FB">
      <w:pPr>
        <w:pStyle w:val="Akapitzlist"/>
        <w:spacing w:after="0" w:line="360" w:lineRule="auto"/>
        <w:ind w:left="0" w:firstLine="709"/>
        <w:jc w:val="both"/>
        <w:rPr>
          <w:rFonts w:ascii="Arial" w:hAnsi="Arial" w:cs="Arial"/>
        </w:rPr>
      </w:pPr>
      <w:r>
        <w:rPr>
          <w:rFonts w:ascii="Arial" w:hAnsi="Arial"/>
        </w:rPr>
        <w:t xml:space="preserve">Finally, court-procedures provide for the ability to take evidence through long-distance means of communication using technical measures (Article 177(1a) of the Polish Code of Criminal Procedure and Article 235(2) of the Polish Code of Civil Procedure). </w:t>
      </w:r>
    </w:p>
    <w:p w14:paraId="3A1A0009" w14:textId="77777777" w:rsidR="002013F3" w:rsidRDefault="002013F3" w:rsidP="004A17DD">
      <w:pPr>
        <w:pStyle w:val="Akapitzlist"/>
        <w:numPr>
          <w:ilvl w:val="0"/>
          <w:numId w:val="5"/>
        </w:numPr>
        <w:spacing w:before="120" w:after="120" w:line="360" w:lineRule="auto"/>
        <w:ind w:left="284" w:hanging="284"/>
        <w:contextualSpacing w:val="0"/>
        <w:jc w:val="both"/>
        <w:rPr>
          <w:rFonts w:ascii="Arial" w:hAnsi="Arial" w:cs="Arial"/>
          <w:b/>
        </w:rPr>
      </w:pPr>
      <w:r>
        <w:rPr>
          <w:rFonts w:ascii="Arial" w:hAnsi="Arial"/>
          <w:b/>
        </w:rPr>
        <w:lastRenderedPageBreak/>
        <w:t>Major problems and barriers in realisation of the right to access to justice</w:t>
      </w:r>
    </w:p>
    <w:p w14:paraId="5A07B86C" w14:textId="24434611" w:rsidR="004C787D" w:rsidRDefault="0003344C" w:rsidP="005D0FE6">
      <w:pPr>
        <w:spacing w:after="0" w:line="360" w:lineRule="auto"/>
        <w:ind w:firstLine="709"/>
        <w:jc w:val="both"/>
        <w:rPr>
          <w:rFonts w:ascii="Arial" w:hAnsi="Arial" w:cs="Arial"/>
        </w:rPr>
      </w:pPr>
      <w:r>
        <w:rPr>
          <w:rFonts w:ascii="Arial" w:hAnsi="Arial"/>
        </w:rPr>
        <w:t>First of all it must be noted that persons with intellectual or mental disabilities that were legally incapacitated, as a rule, have no capacity to be a party to litigation, and therefore they have no capacity to undertake acts in litigation, such as filing a claim, filing a</w:t>
      </w:r>
      <w:r w:rsidR="00337C88">
        <w:rPr>
          <w:rFonts w:ascii="Arial" w:hAnsi="Arial"/>
        </w:rPr>
        <w:t>n</w:t>
      </w:r>
      <w:r>
        <w:rPr>
          <w:rFonts w:ascii="Arial" w:hAnsi="Arial"/>
        </w:rPr>
        <w:t xml:space="preserve"> appeal to court decisions, filing statements and motions. An exception is made for the cases regarding legal incapacitation, where the legally incapacitated person is entitled to file a motion to revoke legal incapacitation</w:t>
      </w:r>
      <w:r>
        <w:rPr>
          <w:rStyle w:val="Odwoanieprzypisudolnego"/>
          <w:rFonts w:ascii="Arial" w:hAnsi="Arial"/>
        </w:rPr>
        <w:footnoteReference w:id="86"/>
      </w:r>
      <w:r>
        <w:rPr>
          <w:rFonts w:ascii="Arial" w:hAnsi="Arial"/>
        </w:rPr>
        <w:t>.</w:t>
      </w:r>
    </w:p>
    <w:p w14:paraId="753AEB56" w14:textId="1AF0717E" w:rsidR="008C6BF6" w:rsidRDefault="004C787D" w:rsidP="008C6BF6">
      <w:pPr>
        <w:spacing w:after="0" w:line="360" w:lineRule="auto"/>
        <w:ind w:firstLine="709"/>
        <w:jc w:val="both"/>
        <w:rPr>
          <w:rFonts w:ascii="Arial" w:hAnsi="Arial" w:cs="Arial"/>
        </w:rPr>
      </w:pPr>
      <w:r>
        <w:rPr>
          <w:rFonts w:ascii="Arial" w:hAnsi="Arial"/>
        </w:rPr>
        <w:t xml:space="preserve">Both in the civil procedure and in criminal procedure, persons with disabilities encounter exclusions or limitations in their ability to be a witness. In line with Article 259(1) of the Polish Code of Civil Procedure, persons that are unable to observe or communicate their observations cannot stand as witnesses in procedures before civil courts. In line with the provision of Article 192(2) of the Polish Code of Criminal </w:t>
      </w:r>
      <w:r w:rsidR="00337C88">
        <w:rPr>
          <w:rFonts w:ascii="Arial" w:hAnsi="Arial"/>
        </w:rPr>
        <w:t>Procedure, a witness heard in a </w:t>
      </w:r>
      <w:r>
        <w:rPr>
          <w:rFonts w:ascii="Arial" w:hAnsi="Arial"/>
        </w:rPr>
        <w:t>criminal procedure, if there is any doubt as to their mental state, mental development, cognitive capacity or capacity to recount observations, may be heard in the presence of a certified physician or psychologist, and they cannot object to that. Courts rarely and reluctantly apply the aforementioned options to hear witnesses long-distance or using technical devices.</w:t>
      </w:r>
    </w:p>
    <w:p w14:paraId="706335DB" w14:textId="4D372574" w:rsidR="008C6BF6" w:rsidRDefault="008C6BF6" w:rsidP="008C6BF6">
      <w:pPr>
        <w:spacing w:after="0" w:line="360" w:lineRule="auto"/>
        <w:ind w:firstLine="709"/>
        <w:jc w:val="both"/>
        <w:rPr>
          <w:rFonts w:ascii="Arial" w:hAnsi="Arial" w:cs="Arial"/>
        </w:rPr>
      </w:pPr>
      <w:r>
        <w:rPr>
          <w:rFonts w:ascii="Arial" w:hAnsi="Arial"/>
        </w:rPr>
        <w:t>Polish justice system lacks procedural solutions that would ensure efficient communication between the justice system bodies and persons with disabilities of different types. The provisions of the Act on sign language and other means of communication do not apply to these bodies. Justice system bodies are also not obliged to use Braille or auxiliary (augmentative) and alternative communication in correspondence. As regards the access to justice, the term “reasonable accommodation” also does not apply. As a rule, the said instrument only applies to employment and labour market areas</w:t>
      </w:r>
      <w:r>
        <w:rPr>
          <w:rStyle w:val="Odwoanieprzypisudolnego"/>
          <w:rFonts w:ascii="Arial" w:hAnsi="Arial"/>
        </w:rPr>
        <w:footnoteReference w:id="87"/>
      </w:r>
      <w:r>
        <w:rPr>
          <w:rFonts w:ascii="Arial" w:hAnsi="Arial"/>
        </w:rPr>
        <w:t>.</w:t>
      </w:r>
    </w:p>
    <w:p w14:paraId="2915F6E4" w14:textId="77777777" w:rsidR="000A31FA" w:rsidRDefault="0039556C" w:rsidP="008C6BF6">
      <w:pPr>
        <w:spacing w:after="0" w:line="360" w:lineRule="auto"/>
        <w:ind w:firstLine="709"/>
        <w:jc w:val="both"/>
        <w:rPr>
          <w:rFonts w:ascii="Arial" w:hAnsi="Arial" w:cs="Arial"/>
        </w:rPr>
      </w:pPr>
      <w:r>
        <w:rPr>
          <w:rFonts w:ascii="Arial" w:hAnsi="Arial"/>
        </w:rPr>
        <w:t>Another significant barrier in access to justice for persons with disabilities is lack of architectural accessibility of buildings where courts or prosecutor’s offices are located. Many of those institutions have their offices in old buildings (often heritage sites) built before the entrance into force of the new Construction Law Act. From the formal point of view, owners of these facilities have no legal obligations to adapt them to the needs of persons with disabilities</w:t>
      </w:r>
      <w:r>
        <w:rPr>
          <w:rStyle w:val="Odwoanieprzypisudolnego"/>
          <w:rFonts w:ascii="Arial" w:hAnsi="Arial"/>
        </w:rPr>
        <w:footnoteReference w:id="88"/>
      </w:r>
      <w:r>
        <w:rPr>
          <w:rFonts w:ascii="Arial" w:hAnsi="Arial"/>
        </w:rPr>
        <w:t>.</w:t>
      </w:r>
    </w:p>
    <w:p w14:paraId="4AAD44B2" w14:textId="6235BA29" w:rsidR="00387BCA" w:rsidRDefault="00387BCA" w:rsidP="008C6BF6">
      <w:pPr>
        <w:spacing w:after="0" w:line="360" w:lineRule="auto"/>
        <w:ind w:firstLine="709"/>
        <w:jc w:val="both"/>
        <w:rPr>
          <w:rFonts w:ascii="Arial" w:hAnsi="Arial" w:cs="Arial"/>
        </w:rPr>
      </w:pPr>
      <w:r>
        <w:rPr>
          <w:rFonts w:ascii="Arial" w:hAnsi="Arial"/>
        </w:rPr>
        <w:t xml:space="preserve">Contrary to the obligation arising from the provision of Article 13(2) of the Convention, no regular training courses for the justice system personnel are held in the area of protecting the rights of persons with disabilities. The training programmes for judges and prosecutors </w:t>
      </w:r>
      <w:r>
        <w:rPr>
          <w:rFonts w:ascii="Arial" w:hAnsi="Arial"/>
        </w:rPr>
        <w:lastRenderedPageBreak/>
        <w:t>held by the National School of Judicature and Prosecution do not directly provide for any training block dedicated to protecting the rights of persons with disabilities.</w:t>
      </w:r>
    </w:p>
    <w:p w14:paraId="74313F85" w14:textId="47746E1C" w:rsidR="00386819" w:rsidRDefault="00386819" w:rsidP="008C6BF6">
      <w:pPr>
        <w:spacing w:after="0" w:line="360" w:lineRule="auto"/>
        <w:ind w:firstLine="709"/>
        <w:jc w:val="both"/>
        <w:rPr>
          <w:rFonts w:ascii="Arial" w:hAnsi="Arial" w:cs="Arial"/>
        </w:rPr>
      </w:pPr>
      <w:r>
        <w:rPr>
          <w:rFonts w:ascii="Arial" w:hAnsi="Arial"/>
        </w:rPr>
        <w:t>Access of persons with disabilities to legal professions is also a major problem. Despite introducing certain facilitations (e.g. extended duration of the exam, solutions adopted for blind persons) for persons taking professional exams (for advocates, legal advisers, notaries), these procedures still remain largely inaccessible to some persons with disabilities. Moreover, according to the Minister of Justice, public trust professions like advocate, legal adviser, notary, prosecutor or judge, require a level of physical capacity that might eliminate some persons with disabilities from the possibility to candidate for those positions</w:t>
      </w:r>
      <w:r>
        <w:rPr>
          <w:rStyle w:val="Odwoanieprzypisudolnego"/>
          <w:rFonts w:ascii="Arial" w:hAnsi="Arial"/>
        </w:rPr>
        <w:footnoteReference w:id="89"/>
      </w:r>
      <w:r>
        <w:rPr>
          <w:rFonts w:ascii="Arial" w:hAnsi="Arial"/>
        </w:rPr>
        <w:t>. This belief was shared by the Supreme Court, as it recognized that a person in a wheel chair cannot be a prosecutor in Poland</w:t>
      </w:r>
      <w:r>
        <w:rPr>
          <w:rStyle w:val="Odwoanieprzypisudolnego"/>
          <w:rFonts w:ascii="Arial" w:hAnsi="Arial"/>
        </w:rPr>
        <w:footnoteReference w:id="90"/>
      </w:r>
      <w:r>
        <w:rPr>
          <w:rFonts w:ascii="Arial" w:hAnsi="Arial"/>
        </w:rPr>
        <w:t>.</w:t>
      </w:r>
    </w:p>
    <w:p w14:paraId="205ECFDF" w14:textId="48A8BFB0" w:rsidR="00E30814" w:rsidRDefault="00E30814" w:rsidP="008C6BF6">
      <w:pPr>
        <w:spacing w:after="0" w:line="360" w:lineRule="auto"/>
        <w:ind w:firstLine="709"/>
        <w:jc w:val="both"/>
        <w:rPr>
          <w:rFonts w:ascii="Arial" w:hAnsi="Arial" w:cs="Arial"/>
        </w:rPr>
      </w:pPr>
      <w:r>
        <w:rPr>
          <w:rFonts w:ascii="Arial" w:hAnsi="Arial"/>
        </w:rPr>
        <w:t>In Poland, there is also no systemic and free legal assistance for persons of modest means. Considering the fact that persons with disabilities are at higher risk of poverty than others, it might constitute a significant barrier in the access of persons with disabilities to justice on equal terms with other persons.</w:t>
      </w:r>
    </w:p>
    <w:p w14:paraId="32270594" w14:textId="77777777" w:rsidR="002013F3" w:rsidRDefault="005D0FE6" w:rsidP="004A17DD">
      <w:pPr>
        <w:pStyle w:val="Akapitzlist"/>
        <w:numPr>
          <w:ilvl w:val="0"/>
          <w:numId w:val="5"/>
        </w:numPr>
        <w:spacing w:before="120" w:after="120" w:line="360" w:lineRule="auto"/>
        <w:ind w:left="284" w:hanging="284"/>
        <w:contextualSpacing w:val="0"/>
        <w:jc w:val="both"/>
        <w:rPr>
          <w:rFonts w:ascii="Arial" w:hAnsi="Arial" w:cs="Arial"/>
          <w:b/>
        </w:rPr>
      </w:pPr>
      <w:r>
        <w:rPr>
          <w:rFonts w:ascii="Arial" w:hAnsi="Arial"/>
          <w:b/>
        </w:rPr>
        <w:t>Major recommendations</w:t>
      </w:r>
    </w:p>
    <w:p w14:paraId="10A3AD5E" w14:textId="2B3105F6" w:rsidR="00A65213" w:rsidRDefault="00A65213" w:rsidP="00A65213">
      <w:pPr>
        <w:spacing w:after="0" w:line="360" w:lineRule="auto"/>
        <w:ind w:firstLine="709"/>
        <w:contextualSpacing/>
        <w:jc w:val="both"/>
        <w:rPr>
          <w:rFonts w:ascii="Arial" w:eastAsia="Calibri" w:hAnsi="Arial" w:cs="Arial"/>
        </w:rPr>
      </w:pPr>
      <w:r>
        <w:rPr>
          <w:rFonts w:ascii="Arial" w:hAnsi="Arial"/>
        </w:rPr>
        <w:t>According to the Human Rights Defender, in order to realise the right of persons with disabilities to the access to justice it is necessary to:</w:t>
      </w:r>
    </w:p>
    <w:p w14:paraId="723EB08F" w14:textId="77777777" w:rsidR="003F7752" w:rsidRDefault="003F7752" w:rsidP="003D345C">
      <w:pPr>
        <w:pStyle w:val="Akapitzlist"/>
        <w:numPr>
          <w:ilvl w:val="0"/>
          <w:numId w:val="42"/>
        </w:numPr>
        <w:spacing w:after="0" w:line="360" w:lineRule="auto"/>
        <w:ind w:left="284" w:hanging="284"/>
        <w:jc w:val="both"/>
        <w:rPr>
          <w:rFonts w:ascii="Arial" w:eastAsia="Calibri" w:hAnsi="Arial" w:cs="Arial"/>
        </w:rPr>
      </w:pPr>
      <w:r>
        <w:rPr>
          <w:rFonts w:ascii="Arial" w:hAnsi="Arial"/>
        </w:rPr>
        <w:t>continue activities promoting digitization of certain areas related to access  to justice considering specific needs of persons with different types of disabilities;</w:t>
      </w:r>
    </w:p>
    <w:p w14:paraId="6A084DBD" w14:textId="77777777" w:rsidR="007C49FC" w:rsidRDefault="007C49FC" w:rsidP="003D345C">
      <w:pPr>
        <w:pStyle w:val="Akapitzlist"/>
        <w:numPr>
          <w:ilvl w:val="0"/>
          <w:numId w:val="42"/>
        </w:numPr>
        <w:spacing w:after="0" w:line="360" w:lineRule="auto"/>
        <w:ind w:left="284" w:hanging="284"/>
        <w:jc w:val="both"/>
        <w:rPr>
          <w:rFonts w:ascii="Arial" w:eastAsia="Calibri" w:hAnsi="Arial" w:cs="Arial"/>
        </w:rPr>
      </w:pPr>
      <w:r>
        <w:rPr>
          <w:rFonts w:ascii="Arial" w:hAnsi="Arial"/>
        </w:rPr>
        <w:t>promote the use of long-distance methods of hearing witnesses and taking evidence using technical devices;</w:t>
      </w:r>
    </w:p>
    <w:p w14:paraId="5B9B4C29" w14:textId="2374AB54" w:rsidR="007C49FC" w:rsidRDefault="007C49FC" w:rsidP="003D345C">
      <w:pPr>
        <w:pStyle w:val="Akapitzlist"/>
        <w:numPr>
          <w:ilvl w:val="0"/>
          <w:numId w:val="42"/>
        </w:numPr>
        <w:spacing w:after="0" w:line="360" w:lineRule="auto"/>
        <w:ind w:left="284" w:hanging="284"/>
        <w:jc w:val="both"/>
        <w:rPr>
          <w:rFonts w:ascii="Arial" w:eastAsia="Calibri" w:hAnsi="Arial" w:cs="Arial"/>
        </w:rPr>
      </w:pPr>
      <w:r>
        <w:rPr>
          <w:rFonts w:ascii="Arial" w:hAnsi="Arial"/>
        </w:rPr>
        <w:t>analyse the practice of applying the provisions on prohibition to give testimony as a witness and introduce any changes of legislative nature, if relevant;</w:t>
      </w:r>
    </w:p>
    <w:p w14:paraId="6FC5AE70" w14:textId="77777777" w:rsidR="007C49FC" w:rsidRDefault="007C49FC" w:rsidP="003D345C">
      <w:pPr>
        <w:pStyle w:val="Akapitzlist"/>
        <w:numPr>
          <w:ilvl w:val="0"/>
          <w:numId w:val="42"/>
        </w:numPr>
        <w:spacing w:after="0" w:line="360" w:lineRule="auto"/>
        <w:ind w:left="284" w:hanging="284"/>
        <w:jc w:val="both"/>
        <w:rPr>
          <w:rFonts w:ascii="Arial" w:eastAsia="Calibri" w:hAnsi="Arial" w:cs="Arial"/>
        </w:rPr>
      </w:pPr>
      <w:r>
        <w:rPr>
          <w:rFonts w:ascii="Arial" w:hAnsi="Arial"/>
        </w:rPr>
        <w:t>introduce the possibility for persons with disabilities to communicate with the justice system bodies using sign language, Braille and other forms of augmentative and alternative communication;</w:t>
      </w:r>
    </w:p>
    <w:p w14:paraId="0DC1EDF6" w14:textId="77777777" w:rsidR="007C49FC" w:rsidRDefault="007C49FC" w:rsidP="003D345C">
      <w:pPr>
        <w:pStyle w:val="Akapitzlist"/>
        <w:numPr>
          <w:ilvl w:val="0"/>
          <w:numId w:val="42"/>
        </w:numPr>
        <w:spacing w:after="0" w:line="360" w:lineRule="auto"/>
        <w:ind w:left="284" w:hanging="284"/>
        <w:jc w:val="both"/>
        <w:rPr>
          <w:rFonts w:ascii="Arial" w:eastAsia="Calibri" w:hAnsi="Arial" w:cs="Arial"/>
        </w:rPr>
      </w:pPr>
      <w:r>
        <w:rPr>
          <w:rFonts w:ascii="Arial" w:hAnsi="Arial"/>
        </w:rPr>
        <w:t>undertake intense activities intended to promote architectural accessibility of buildings of courts and law enforcement authorities;</w:t>
      </w:r>
    </w:p>
    <w:p w14:paraId="63D29FCD" w14:textId="77777777" w:rsidR="007C49FC" w:rsidRDefault="007C49FC" w:rsidP="003D345C">
      <w:pPr>
        <w:pStyle w:val="Akapitzlist"/>
        <w:numPr>
          <w:ilvl w:val="0"/>
          <w:numId w:val="42"/>
        </w:numPr>
        <w:spacing w:after="0" w:line="360" w:lineRule="auto"/>
        <w:ind w:left="284" w:hanging="284"/>
        <w:jc w:val="both"/>
        <w:rPr>
          <w:rFonts w:ascii="Arial" w:eastAsia="Calibri" w:hAnsi="Arial" w:cs="Arial"/>
        </w:rPr>
      </w:pPr>
      <w:r>
        <w:rPr>
          <w:rFonts w:ascii="Arial" w:hAnsi="Arial"/>
        </w:rPr>
        <w:t>hold regular training courses for employees of the justice system with respect to the protection of rights and specific needs of persons with disabilities;</w:t>
      </w:r>
    </w:p>
    <w:p w14:paraId="22496679" w14:textId="77777777" w:rsidR="007C49FC" w:rsidRDefault="00A5007D" w:rsidP="003D345C">
      <w:pPr>
        <w:pStyle w:val="Akapitzlist"/>
        <w:numPr>
          <w:ilvl w:val="0"/>
          <w:numId w:val="42"/>
        </w:numPr>
        <w:spacing w:after="0" w:line="360" w:lineRule="auto"/>
        <w:ind w:left="284" w:hanging="284"/>
        <w:jc w:val="both"/>
        <w:rPr>
          <w:rFonts w:ascii="Arial" w:eastAsia="Calibri" w:hAnsi="Arial" w:cs="Arial"/>
        </w:rPr>
      </w:pPr>
      <w:r>
        <w:rPr>
          <w:rFonts w:ascii="Arial" w:hAnsi="Arial"/>
        </w:rPr>
        <w:t>allow persons with different types of disabilities to practice legal professions, using the reasonable accommodation instrument for this purpose;</w:t>
      </w:r>
    </w:p>
    <w:p w14:paraId="74ECF21E" w14:textId="77777777" w:rsidR="00A5007D" w:rsidRDefault="00A5007D" w:rsidP="003D345C">
      <w:pPr>
        <w:pStyle w:val="Akapitzlist"/>
        <w:numPr>
          <w:ilvl w:val="0"/>
          <w:numId w:val="42"/>
        </w:numPr>
        <w:spacing w:after="0" w:line="360" w:lineRule="auto"/>
        <w:ind w:left="284" w:hanging="284"/>
        <w:jc w:val="both"/>
        <w:rPr>
          <w:rFonts w:ascii="Arial" w:eastAsia="Calibri" w:hAnsi="Arial" w:cs="Arial"/>
        </w:rPr>
      </w:pPr>
      <w:r>
        <w:rPr>
          <w:rFonts w:ascii="Arial" w:hAnsi="Arial"/>
        </w:rPr>
        <w:lastRenderedPageBreak/>
        <w:t>adopt and implement an act on access to free legal assistance considering the specific needs of persons with disabilities.</w:t>
      </w:r>
    </w:p>
    <w:p w14:paraId="5F6C8C40" w14:textId="73D70B3B" w:rsidR="006317A2" w:rsidRPr="0087175D" w:rsidRDefault="006317A2" w:rsidP="00337C88">
      <w:pPr>
        <w:pStyle w:val="Nagwek2"/>
        <w:jc w:val="both"/>
      </w:pPr>
      <w:bookmarkStart w:id="21" w:name="_Toc403999536"/>
      <w:bookmarkStart w:id="22" w:name="_Toc424279000"/>
      <w:r>
        <w:t xml:space="preserve">Article 14 – Liberty and security of </w:t>
      </w:r>
      <w:r w:rsidR="00AC747D">
        <w:t xml:space="preserve">the </w:t>
      </w:r>
      <w:r>
        <w:t>person and Article 15 – Freedom of torture or cruel, inhuman or degrading treatment or punishment</w:t>
      </w:r>
      <w:bookmarkEnd w:id="21"/>
      <w:bookmarkEnd w:id="22"/>
    </w:p>
    <w:p w14:paraId="12DB0141" w14:textId="77777777" w:rsidR="00FD6EA7" w:rsidRDefault="00FD6EA7" w:rsidP="004A17DD">
      <w:pPr>
        <w:pStyle w:val="Akapitzlist"/>
        <w:numPr>
          <w:ilvl w:val="0"/>
          <w:numId w:val="6"/>
        </w:numPr>
        <w:spacing w:before="120" w:after="120" w:line="360" w:lineRule="auto"/>
        <w:ind w:left="284" w:hanging="284"/>
        <w:jc w:val="both"/>
        <w:rPr>
          <w:rFonts w:ascii="Arial" w:hAnsi="Arial" w:cs="Arial"/>
          <w:b/>
        </w:rPr>
      </w:pPr>
      <w:r>
        <w:rPr>
          <w:rFonts w:ascii="Arial" w:hAnsi="Arial"/>
          <w:b/>
        </w:rPr>
        <w:t>Introduction – short description</w:t>
      </w:r>
    </w:p>
    <w:p w14:paraId="0745F0A6" w14:textId="77777777" w:rsidR="0066190C" w:rsidRDefault="00A02A3F" w:rsidP="0066190C">
      <w:pPr>
        <w:spacing w:after="0" w:line="360" w:lineRule="auto"/>
        <w:ind w:firstLine="709"/>
        <w:contextualSpacing/>
        <w:jc w:val="both"/>
        <w:rPr>
          <w:rFonts w:ascii="Arial" w:eastAsia="Calibri" w:hAnsi="Arial" w:cs="Arial"/>
        </w:rPr>
      </w:pPr>
      <w:r>
        <w:rPr>
          <w:rFonts w:ascii="Arial" w:hAnsi="Arial"/>
        </w:rPr>
        <w:t>In line with Article 40 of the Polish Constitution, no person can be subjected to torture nor cruel, inhuman or degrading treatment or punishment. Polish is also a party to the UN Convention against Torture and Other Cruel, Inhuman or Degrading Treatment or Punishment (CAT)</w:t>
      </w:r>
      <w:r>
        <w:rPr>
          <w:rStyle w:val="Odwoanieprzypisudolnego"/>
          <w:rFonts w:ascii="Arial" w:hAnsi="Arial"/>
        </w:rPr>
        <w:footnoteReference w:id="91"/>
      </w:r>
      <w:r>
        <w:rPr>
          <w:rFonts w:ascii="Arial" w:hAnsi="Arial"/>
        </w:rPr>
        <w:t xml:space="preserve"> and an optional protocol to the Convention (OPCAT)</w:t>
      </w:r>
      <w:r>
        <w:rPr>
          <w:rStyle w:val="Odwoanieprzypisudolnego"/>
          <w:rFonts w:ascii="Arial" w:hAnsi="Arial"/>
        </w:rPr>
        <w:footnoteReference w:id="92"/>
      </w:r>
      <w:r>
        <w:rPr>
          <w:rFonts w:ascii="Arial" w:hAnsi="Arial"/>
        </w:rPr>
        <w:t>. Pursuant to Article 1(4) of the Act on HRD, the Ombudsman performs the tasks of an inspecting body for the affairs of preventing torture and other cruel, inhuman or degrading treatment or punishment (hereinafter referred to as National Preventive Mechanism or NPM) in the understanding of the optional protocol referred to above.</w:t>
      </w:r>
    </w:p>
    <w:p w14:paraId="212DB519" w14:textId="7FAC447F" w:rsidR="00CA3415" w:rsidRPr="00592F08" w:rsidRDefault="00CA3415" w:rsidP="00592F08">
      <w:pPr>
        <w:spacing w:after="0" w:line="360" w:lineRule="auto"/>
        <w:ind w:firstLine="709"/>
        <w:contextualSpacing/>
        <w:jc w:val="both"/>
        <w:rPr>
          <w:rFonts w:ascii="Arial" w:eastAsia="Calibri" w:hAnsi="Arial" w:cs="Arial"/>
        </w:rPr>
      </w:pPr>
      <w:r>
        <w:rPr>
          <w:rFonts w:ascii="Arial" w:hAnsi="Arial"/>
        </w:rPr>
        <w:t xml:space="preserve"> In line with the definition of torture determined in the aforementioned international agreements, it should be adopted that persons detained are most vulnerable to improper treatment in the form of torture. Persons with disabilities that were detained, stay in the same detention facilities as other prisoners. They are detained in prisons, detention centres, detention centres for juveniles, Police, Border Guard and Military Police offices as well as facilities like: detoxification detention centres, psychiatric hospitals and nursing homes. Apart from torture, other forms of improper treatment may also take place more frequently in detention centres, as inspection of how the detained persons are treated is limited by the number of independent institutions entitled to perform such inspections. Therefore, upon conducting a systematic inspections of the detention centres listed above, the Human Rights Defender pays particular attention to the situation of persons with disabilities.</w:t>
      </w:r>
    </w:p>
    <w:p w14:paraId="389CDA56" w14:textId="77777777" w:rsidR="00CA3415" w:rsidRPr="006317A2" w:rsidRDefault="00CA3415" w:rsidP="004A17DD">
      <w:pPr>
        <w:pStyle w:val="Akapitzlist"/>
        <w:numPr>
          <w:ilvl w:val="0"/>
          <w:numId w:val="6"/>
        </w:numPr>
        <w:spacing w:before="120" w:after="120" w:line="360" w:lineRule="auto"/>
        <w:ind w:left="284" w:hanging="284"/>
        <w:jc w:val="both"/>
        <w:rPr>
          <w:rFonts w:ascii="Arial" w:hAnsi="Arial" w:cs="Arial"/>
          <w:b/>
        </w:rPr>
      </w:pPr>
      <w:r>
        <w:rPr>
          <w:rFonts w:ascii="Arial" w:hAnsi="Arial"/>
          <w:b/>
        </w:rPr>
        <w:t>Progress and successes in realisation of the right of persons with disabilities to be free of torture or other cruel, inhuman or degrading treatment or punishment</w:t>
      </w:r>
    </w:p>
    <w:p w14:paraId="2A549887" w14:textId="344E20E5" w:rsidR="00CA3415" w:rsidRDefault="00975A55" w:rsidP="0091360E">
      <w:pPr>
        <w:spacing w:after="0" w:line="360" w:lineRule="auto"/>
        <w:ind w:firstLine="709"/>
        <w:contextualSpacing/>
        <w:jc w:val="both"/>
        <w:rPr>
          <w:rFonts w:ascii="Arial" w:eastAsia="Calibri" w:hAnsi="Arial" w:cs="Arial"/>
        </w:rPr>
      </w:pPr>
      <w:r>
        <w:rPr>
          <w:rFonts w:ascii="Arial" w:hAnsi="Arial"/>
        </w:rPr>
        <w:t xml:space="preserve">As a result of the inspections conducted, the Human Rights Defender believes that an improvement is observed with respect to the sensitivity of the persons managing detention centres to special needs of persons with disabilities and more understanding to the need to </w:t>
      </w:r>
      <w:r>
        <w:rPr>
          <w:rFonts w:ascii="Arial" w:hAnsi="Arial"/>
        </w:rPr>
        <w:lastRenderedPageBreak/>
        <w:t>adapt these places to their needs. Moreover, a discussion was launched on the need to amend internal provisions on technical conditions that should be met by detention centres adapted to the needs of persons with disabilities.</w:t>
      </w:r>
    </w:p>
    <w:p w14:paraId="0A6C4565" w14:textId="77777777" w:rsidR="00613003" w:rsidRPr="00613003" w:rsidRDefault="00613003" w:rsidP="00F551B1">
      <w:pPr>
        <w:spacing w:after="0" w:line="360" w:lineRule="auto"/>
        <w:ind w:firstLine="709"/>
        <w:contextualSpacing/>
        <w:jc w:val="both"/>
        <w:rPr>
          <w:rFonts w:ascii="Arial" w:eastAsia="Calibri" w:hAnsi="Arial" w:cs="Arial"/>
        </w:rPr>
      </w:pPr>
      <w:r>
        <w:rPr>
          <w:rFonts w:ascii="Arial" w:hAnsi="Arial"/>
        </w:rPr>
        <w:t xml:space="preserve">The Convention on the Rights of Persons with Disabilities also indicates the need to undertake activities to effectively protect persons with disabilities against subjecting them to medical experiments or scientific experiments without their informed and voluntarily given consent. The Inspections conducted by the National Preventive Mechanism did not reveal any cases of illegal experimentation on humans. </w:t>
      </w:r>
    </w:p>
    <w:p w14:paraId="2CBC6741" w14:textId="77777777" w:rsidR="002B365F" w:rsidRDefault="00DF3CB1" w:rsidP="004A17DD">
      <w:pPr>
        <w:pStyle w:val="Akapitzlist"/>
        <w:numPr>
          <w:ilvl w:val="0"/>
          <w:numId w:val="6"/>
        </w:numPr>
        <w:spacing w:before="120" w:after="120" w:line="360" w:lineRule="auto"/>
        <w:ind w:left="284" w:hanging="284"/>
        <w:jc w:val="both"/>
        <w:rPr>
          <w:rFonts w:ascii="Arial" w:hAnsi="Arial" w:cs="Arial"/>
          <w:b/>
        </w:rPr>
      </w:pPr>
      <w:r>
        <w:rPr>
          <w:rFonts w:ascii="Arial" w:hAnsi="Arial"/>
          <w:b/>
        </w:rPr>
        <w:t>Major problems and barriers in realisation of the right of persons with disabilities to be free of torture or other cruel, inhuman or degrading treatment or punishment</w:t>
      </w:r>
    </w:p>
    <w:p w14:paraId="5C1CC02D" w14:textId="77777777" w:rsidR="00CA3415" w:rsidRPr="00230877" w:rsidRDefault="002B365F" w:rsidP="00230877">
      <w:pPr>
        <w:spacing w:after="0" w:line="360" w:lineRule="auto"/>
        <w:ind w:firstLine="709"/>
        <w:jc w:val="both"/>
        <w:rPr>
          <w:rFonts w:ascii="Arial" w:hAnsi="Arial" w:cs="Arial"/>
          <w:b/>
        </w:rPr>
      </w:pPr>
      <w:r>
        <w:rPr>
          <w:rFonts w:ascii="Arial" w:hAnsi="Arial"/>
        </w:rPr>
        <w:t>From the experiences of the National Preventive Mechanism it follows that despite the existing provisions that are to guarantee protection of rights of persons with disabilities, inhuman or degrading treatment is not rare</w:t>
      </w:r>
      <w:r>
        <w:rPr>
          <w:vertAlign w:val="superscript"/>
        </w:rPr>
        <w:footnoteReference w:id="93"/>
      </w:r>
      <w:r>
        <w:rPr>
          <w:rFonts w:ascii="Arial" w:hAnsi="Arial"/>
        </w:rPr>
        <w:t xml:space="preserve">. Examples of such treatment include: punishing a resident of a nursing home (Polish: </w:t>
      </w:r>
      <w:r>
        <w:rPr>
          <w:rFonts w:ascii="Arial" w:hAnsi="Arial"/>
          <w:i/>
        </w:rPr>
        <w:t>DPS</w:t>
      </w:r>
      <w:r>
        <w:rPr>
          <w:rFonts w:ascii="Arial" w:hAnsi="Arial"/>
        </w:rPr>
        <w:t>) that cannot move on her own, taking away her wheel chair, keeping her in her pyjamas for a few days at a time, forcing a nursing home resident to wear pyjamas 24 hours a day and cleaning the home, applying practices at nursing homes towards legally incapacitated persons</w:t>
      </w:r>
      <w:r>
        <w:rPr>
          <w:rFonts w:ascii="Arial" w:hAnsi="Arial"/>
          <w:vertAlign w:val="superscript"/>
        </w:rPr>
        <w:footnoteReference w:id="94"/>
      </w:r>
      <w:r>
        <w:rPr>
          <w:rFonts w:ascii="Arial" w:hAnsi="Arial"/>
        </w:rPr>
        <w:t xml:space="preserve"> (such as: prohibition to leave the premises of the home, prohibition to be visited by friends and family, taking away identity documents). In the case of such a group of residents, NPM also revealed incidents of using contraceptives at the request of the legal guardian without the consent of a court, and preventive use of direct enforcement measures. </w:t>
      </w:r>
    </w:p>
    <w:p w14:paraId="5605617A" w14:textId="3462327E" w:rsidR="00CA3415" w:rsidRPr="00CA3415" w:rsidRDefault="00CA3415" w:rsidP="00CA3415">
      <w:pPr>
        <w:spacing w:before="120" w:after="0" w:line="360" w:lineRule="auto"/>
        <w:ind w:firstLine="709"/>
        <w:contextualSpacing/>
        <w:jc w:val="both"/>
        <w:rPr>
          <w:rFonts w:ascii="Arial" w:eastAsia="Calibri" w:hAnsi="Arial" w:cs="Arial"/>
        </w:rPr>
      </w:pPr>
      <w:r>
        <w:rPr>
          <w:rFonts w:ascii="Arial" w:hAnsi="Arial"/>
        </w:rPr>
        <w:t>Treating persons with disabilities also in other types of detention centres sometimes is inhuman and degrading. For example, offering in some detention centres (prisons, jails) places at the top of bunk of a bunk bed to persons with physical disabilities, detaining persons with mobility problems on upper floors in buildings without lifts, detaining persons with disabilities in cells for persons without mobility problems, despite the fact that a cell adapted to the needs of persons with mobility problems exists, or refusing to relieve such persons with the obligation to clean.</w:t>
      </w:r>
    </w:p>
    <w:p w14:paraId="27796B13" w14:textId="77777777" w:rsidR="00CA3415" w:rsidRPr="00CA3415" w:rsidRDefault="00CA3415" w:rsidP="00CA3415">
      <w:pPr>
        <w:spacing w:before="120" w:after="0" w:line="360" w:lineRule="auto"/>
        <w:ind w:firstLine="709"/>
        <w:contextualSpacing/>
        <w:jc w:val="both"/>
        <w:rPr>
          <w:rFonts w:ascii="Arial" w:eastAsia="Calibri" w:hAnsi="Arial" w:cs="Arial"/>
        </w:rPr>
      </w:pPr>
      <w:r>
        <w:rPr>
          <w:rFonts w:ascii="Arial" w:hAnsi="Arial"/>
        </w:rPr>
        <w:t xml:space="preserve">No facility inspected by NPM provided for presentation of information about the facility principles in the manner adapted to the functioning of persons with disabilities, e.g. considering the dysfunctions of hearing and sight. </w:t>
      </w:r>
    </w:p>
    <w:p w14:paraId="780D8500" w14:textId="7FE532B4" w:rsidR="00CA3415" w:rsidRPr="00CA3415" w:rsidRDefault="00CA3415" w:rsidP="00CA3415">
      <w:pPr>
        <w:spacing w:before="120" w:after="0" w:line="360" w:lineRule="auto"/>
        <w:ind w:firstLine="709"/>
        <w:contextualSpacing/>
        <w:jc w:val="both"/>
        <w:rPr>
          <w:rFonts w:ascii="Arial" w:eastAsia="Calibri" w:hAnsi="Arial" w:cs="Arial"/>
        </w:rPr>
      </w:pPr>
      <w:r>
        <w:rPr>
          <w:rFonts w:ascii="Arial" w:hAnsi="Arial"/>
        </w:rPr>
        <w:t xml:space="preserve">The negative aspect of such functioning of detention centres dedicated to long-term stays of persons with disabilities is the fact that there is often no therapeutic and </w:t>
      </w:r>
      <w:r>
        <w:rPr>
          <w:rFonts w:ascii="Arial" w:hAnsi="Arial"/>
        </w:rPr>
        <w:lastRenderedPageBreak/>
        <w:t xml:space="preserve">rehabilitation offer. This problem often also concerns some nursing homes. However, convicted and temporarily detained persons in the individual conversations with NPM employees frequently complain about the lack of possibility to follow doctor’s orders after their stay in hospital. </w:t>
      </w:r>
    </w:p>
    <w:p w14:paraId="39B44DAE" w14:textId="211F47A6" w:rsidR="00CA3415" w:rsidRPr="00CA3415" w:rsidRDefault="00230877" w:rsidP="00CA3415">
      <w:pPr>
        <w:tabs>
          <w:tab w:val="left" w:pos="0"/>
        </w:tabs>
        <w:spacing w:before="120" w:after="0" w:line="360" w:lineRule="auto"/>
        <w:ind w:firstLine="709"/>
        <w:contextualSpacing/>
        <w:jc w:val="both"/>
        <w:rPr>
          <w:rFonts w:ascii="Arial" w:eastAsia="Calibri" w:hAnsi="Arial" w:cs="Arial"/>
        </w:rPr>
      </w:pPr>
      <w:r>
        <w:rPr>
          <w:rFonts w:ascii="Arial" w:hAnsi="Arial"/>
        </w:rPr>
        <w:t>According to the Ombudsman, Polish internal law has gaps and exclusions that constitute an obstacle to full realisation of Article 15 of the Convention on the Rights of Persons with Disabilities. Ratification of the Convention by Poland did not cause any changes in the binding provisions of law that would make it possible for persons with disabilities to function at the detention centres. This matter must be treated in the category of inhuman or degrading treatment of persons with disabilities</w:t>
      </w:r>
      <w:r>
        <w:rPr>
          <w:rFonts w:ascii="Arial" w:hAnsi="Arial"/>
          <w:vertAlign w:val="superscript"/>
        </w:rPr>
        <w:footnoteReference w:id="95"/>
      </w:r>
      <w:r>
        <w:rPr>
          <w:rFonts w:ascii="Arial" w:hAnsi="Arial"/>
        </w:rPr>
        <w:t xml:space="preserve">. </w:t>
      </w:r>
    </w:p>
    <w:p w14:paraId="5514EFA4" w14:textId="220A6DAB" w:rsidR="00CA3415" w:rsidRPr="00CA3415" w:rsidRDefault="00CA3415" w:rsidP="00CA3415">
      <w:pPr>
        <w:spacing w:before="120" w:after="0" w:line="360" w:lineRule="auto"/>
        <w:ind w:firstLine="709"/>
        <w:contextualSpacing/>
        <w:jc w:val="both"/>
        <w:rPr>
          <w:rFonts w:ascii="Arial" w:eastAsia="Calibri" w:hAnsi="Arial" w:cs="Arial"/>
        </w:rPr>
      </w:pPr>
      <w:r>
        <w:rPr>
          <w:rFonts w:ascii="Arial" w:hAnsi="Arial"/>
        </w:rPr>
        <w:t xml:space="preserve">The problem of existing architectural barriers pertains in particular to the units under the control of the Ministry of Justice (jails, detention centres, correction facilities, shelters for minors), the Ministry of Internal Affairs (Police and Border Guard stations), the Ministry of Health (psychiatric hospitals), the Ministry of National Defence (Military Police stations) and the Ministry of National Education (youth education care centres and youth socio-therapeutic centres). The detoxification detention centres controlled by local governments are also not free of them. Signing and ratifying CRPD did not cause introduction of specific requirements regarding the necessity to modernise the existing facilities in order to adapt them to the needs of persons with disabilities. The major exclusions regarding the obligation to adapt the buildings to the needs of persons with disabilities applicable to certain categories of detention centres still remain binding. </w:t>
      </w:r>
    </w:p>
    <w:p w14:paraId="1F3A41D8" w14:textId="77777777" w:rsidR="00CA3415" w:rsidRPr="00CA3415" w:rsidRDefault="00CA3415" w:rsidP="00917AD3">
      <w:pPr>
        <w:spacing w:before="120" w:after="0" w:line="360" w:lineRule="auto"/>
        <w:ind w:firstLine="709"/>
        <w:contextualSpacing/>
        <w:jc w:val="both"/>
        <w:rPr>
          <w:rFonts w:ascii="Arial" w:eastAsia="Calibri" w:hAnsi="Arial" w:cs="Arial"/>
        </w:rPr>
      </w:pPr>
      <w:r>
        <w:rPr>
          <w:rFonts w:ascii="Arial" w:hAnsi="Arial"/>
        </w:rPr>
        <w:t>The obligation arising from the Construction Law Act</w:t>
      </w:r>
      <w:r>
        <w:rPr>
          <w:rStyle w:val="Odwoanieprzypisudolnego"/>
          <w:rFonts w:ascii="Arial" w:hAnsi="Arial"/>
        </w:rPr>
        <w:footnoteReference w:id="96"/>
      </w:r>
      <w:r>
        <w:rPr>
          <w:rFonts w:ascii="Arial" w:hAnsi="Arial"/>
        </w:rPr>
        <w:t xml:space="preserve"> to design and build public utility buildings and residential multifamily buildings in the manner that ensures accessibility to persons with disabilities only applies if an investor intends to conduct construction works. As regards construction objects built in the previous legal system that do not consider the needs of persons with disabilities, there is no instrument in the aforementioned act that would impose on the owner (administrator) of the facility the obligation to undertake construction works intended to adapt the building to the needs of persons with disabilities. Moreover, the majority of facilities inspected by NPM does not fit in the category of public utility buildings. These are the so-called collective residence buildings, where only a few rooms are sometimes separated for the purposes of a school</w:t>
      </w:r>
      <w:r>
        <w:rPr>
          <w:rStyle w:val="Odwoanieprzypisudolnego"/>
          <w:rFonts w:ascii="Arial" w:hAnsi="Arial"/>
        </w:rPr>
        <w:footnoteReference w:id="97"/>
      </w:r>
      <w:r>
        <w:rPr>
          <w:rFonts w:ascii="Arial" w:hAnsi="Arial"/>
        </w:rPr>
        <w:t>. Moreover, pursuant t the relevant resolution of the Minister of Infrastructure</w:t>
      </w:r>
      <w:r>
        <w:rPr>
          <w:rFonts w:ascii="Arial" w:hAnsi="Arial"/>
          <w:vertAlign w:val="superscript"/>
        </w:rPr>
        <w:footnoteReference w:id="98"/>
      </w:r>
      <w:r>
        <w:rPr>
          <w:rFonts w:ascii="Arial" w:hAnsi="Arial"/>
        </w:rPr>
        <w:t xml:space="preserve">, the buildings of prisons, jails, correction centres </w:t>
      </w:r>
      <w:r>
        <w:rPr>
          <w:rFonts w:ascii="Arial" w:hAnsi="Arial"/>
        </w:rPr>
        <w:lastRenderedPageBreak/>
        <w:t>and youth shelters were exempted from the obligation to ensure accessibility to persons with disabilities</w:t>
      </w:r>
      <w:r>
        <w:rPr>
          <w:rStyle w:val="Odwoanieprzypisudolnego"/>
          <w:rFonts w:ascii="Arial" w:hAnsi="Arial"/>
        </w:rPr>
        <w:footnoteReference w:id="99"/>
      </w:r>
      <w:r>
        <w:rPr>
          <w:rFonts w:ascii="Arial" w:hAnsi="Arial"/>
        </w:rPr>
        <w:t xml:space="preserve">. </w:t>
      </w:r>
    </w:p>
    <w:p w14:paraId="18FCB817" w14:textId="44F95691" w:rsidR="00CA3415" w:rsidRPr="00CA3415" w:rsidRDefault="00CA3415" w:rsidP="00CA3415">
      <w:pPr>
        <w:spacing w:before="120" w:after="0" w:line="360" w:lineRule="auto"/>
        <w:ind w:firstLine="709"/>
        <w:contextualSpacing/>
        <w:jc w:val="both"/>
        <w:rPr>
          <w:rFonts w:ascii="Arial" w:eastAsia="Calibri" w:hAnsi="Arial" w:cs="Arial"/>
        </w:rPr>
      </w:pPr>
      <w:r>
        <w:rPr>
          <w:rFonts w:ascii="Arial" w:hAnsi="Arial"/>
        </w:rPr>
        <w:t>Additionally, pursuant to the ordinance of the General Director of the Prison Service</w:t>
      </w:r>
      <w:r>
        <w:rPr>
          <w:rStyle w:val="Odwoanieprzypisudolnego"/>
          <w:rFonts w:ascii="Arial" w:hAnsi="Arial"/>
        </w:rPr>
        <w:footnoteReference w:id="100"/>
      </w:r>
      <w:r>
        <w:rPr>
          <w:rFonts w:ascii="Arial" w:hAnsi="Arial"/>
        </w:rPr>
        <w:t xml:space="preserve">, only selected penitentiary units are obliged to have cells adapted to the needs of persons with disabilities who use wheel chairs. While, according to the information provided by the Prison Service, some penitentiary units have separate cells for persons with disabilities who use wheel chairs, yet, as it follows from the inspections conducted by NPM, they usually fail to meet the standards due to existing architectural barriers (such as narrow doors, high thresholds, insufficient space and lack of hand grips, improper accommodation equipment for persons with disabilities, like too low beds) and no adaptation of the remaining infrastructure to the needs of persons placed there (e.g. baths, walking yards, corridors leading to cells, etc.). </w:t>
      </w:r>
    </w:p>
    <w:p w14:paraId="322EFBCF" w14:textId="79ADD357" w:rsidR="00CA3415" w:rsidRPr="00CA3415" w:rsidRDefault="00613003" w:rsidP="00613003">
      <w:pPr>
        <w:spacing w:before="120" w:after="0" w:line="360" w:lineRule="auto"/>
        <w:ind w:firstLine="709"/>
        <w:contextualSpacing/>
        <w:jc w:val="both"/>
        <w:rPr>
          <w:rFonts w:ascii="Arial" w:eastAsia="Calibri" w:hAnsi="Arial" w:cs="Arial"/>
        </w:rPr>
      </w:pPr>
      <w:r>
        <w:rPr>
          <w:rFonts w:ascii="Arial" w:hAnsi="Arial"/>
        </w:rPr>
        <w:t xml:space="preserve">It must also be noted that the scale of needs in the subject area is underestimated due to the lack of information about the number of detained persons with disabilities in individual facilities (including those without legal disability status and those with temporary impairments due to temporary worsening of health). This problem also applies to the detention centres of the Military Police (the so-called barracks), which are, as a rule, not intended for persons with disabilities, yet by excluding them from the obligation to ensure accessibility, access is made difficult e.g. to persons with disabilities who are family members of detained persons. </w:t>
      </w:r>
    </w:p>
    <w:p w14:paraId="4F7F098B" w14:textId="65DE6EB1" w:rsidR="00CA3415" w:rsidRPr="00CA3415" w:rsidRDefault="00CA3415" w:rsidP="00CA3415">
      <w:pPr>
        <w:spacing w:before="120" w:after="0" w:line="360" w:lineRule="auto"/>
        <w:ind w:firstLine="709"/>
        <w:contextualSpacing/>
        <w:jc w:val="both"/>
        <w:rPr>
          <w:rFonts w:ascii="Arial" w:eastAsia="Calibri" w:hAnsi="Arial" w:cs="Arial"/>
        </w:rPr>
      </w:pPr>
      <w:r>
        <w:rPr>
          <w:rFonts w:ascii="Arial" w:hAnsi="Arial"/>
        </w:rPr>
        <w:t>Additional problem is posed by the fact that some facilities (some penitentiary facilities and psychiatric hospitals) operate in historic buildings subject to the protection of the Chief Conservation Officer. Therefore, there are difficulties in obtaining consents from the conservation officers the consent to upgrade the facility in order to adapt the building for the purposes of persons with disabilities, including those on wheel chairs.</w:t>
      </w:r>
    </w:p>
    <w:p w14:paraId="57D831B3" w14:textId="77777777" w:rsidR="00084230" w:rsidRDefault="00CA3415" w:rsidP="00084230">
      <w:pPr>
        <w:spacing w:before="120" w:after="0" w:line="360" w:lineRule="auto"/>
        <w:ind w:firstLine="709"/>
        <w:contextualSpacing/>
        <w:jc w:val="both"/>
        <w:rPr>
          <w:rFonts w:ascii="Arial" w:eastAsia="Calibri" w:hAnsi="Arial" w:cs="Arial"/>
        </w:rPr>
      </w:pPr>
      <w:r>
        <w:rPr>
          <w:rFonts w:ascii="Arial" w:hAnsi="Arial"/>
        </w:rPr>
        <w:t>The Human Rights Defender in the notice to the Minister of Justice</w:t>
      </w:r>
      <w:r>
        <w:rPr>
          <w:rStyle w:val="Odwoanieprzypisudolnego"/>
          <w:rFonts w:ascii="Arial" w:hAnsi="Arial"/>
        </w:rPr>
        <w:footnoteReference w:id="101"/>
      </w:r>
      <w:r>
        <w:rPr>
          <w:rFonts w:ascii="Arial" w:hAnsi="Arial"/>
        </w:rPr>
        <w:t xml:space="preserve"> indicated the need to prepare at least one cell in each and every detention centre, jail and correction centres and to adapt the infrastructure near such cells t for the purposes of persons with disabilities. Similarly, in a letter to the Prevention and Road Traffic Office at the Police Headquarters</w:t>
      </w:r>
      <w:r>
        <w:rPr>
          <w:rStyle w:val="Odwoanieprzypisudolnego"/>
          <w:rFonts w:ascii="Arial" w:hAnsi="Arial"/>
        </w:rPr>
        <w:footnoteReference w:id="102"/>
      </w:r>
      <w:r>
        <w:rPr>
          <w:rFonts w:ascii="Arial" w:hAnsi="Arial"/>
        </w:rPr>
        <w:t xml:space="preserve"> the problem of inaccessibility of the rooms for detained persons and persons held for detoxification was emphasized. The response to this letter indicated that the Police </w:t>
      </w:r>
      <w:r>
        <w:rPr>
          <w:rFonts w:ascii="Arial" w:hAnsi="Arial"/>
        </w:rPr>
        <w:lastRenderedPageBreak/>
        <w:t>Headquarters will consider adapting some of these facilities as there is no statutory obligation to adapt these rooms to the needs of persons with disabilities</w:t>
      </w:r>
      <w:r>
        <w:rPr>
          <w:rStyle w:val="Odwoanieprzypisudolnego"/>
          <w:rFonts w:ascii="Arial" w:hAnsi="Arial"/>
        </w:rPr>
        <w:footnoteReference w:id="103"/>
      </w:r>
      <w:r>
        <w:rPr>
          <w:rFonts w:ascii="Arial" w:hAnsi="Arial"/>
        </w:rPr>
        <w:t>.</w:t>
      </w:r>
    </w:p>
    <w:p w14:paraId="00A92436" w14:textId="45140510" w:rsidR="00084230" w:rsidRDefault="00084230" w:rsidP="00084230">
      <w:pPr>
        <w:spacing w:after="0" w:line="360" w:lineRule="auto"/>
        <w:ind w:firstLine="709"/>
        <w:contextualSpacing/>
        <w:jc w:val="both"/>
        <w:rPr>
          <w:rFonts w:ascii="Arial" w:eastAsia="Calibri" w:hAnsi="Arial" w:cs="Arial"/>
        </w:rPr>
      </w:pPr>
      <w:r>
        <w:rPr>
          <w:rFonts w:ascii="Arial" w:hAnsi="Arial"/>
        </w:rPr>
        <w:t xml:space="preserve">Moreover, it must be emphasized that as a consequence of the cases analysed by the Ombudsman, the problem of detention of persons with mental disabilities became apparent. In this respect, two matters needs to be emphasized: the legitimacy of placing persons with mental disabilities in detention centres and jails and training of the Prison Service officers. From the information received from the General Director of the Prison Service it follows that </w:t>
      </w:r>
      <w:r>
        <w:rPr>
          <w:rFonts w:ascii="Arial" w:hAnsi="Arial"/>
          <w:b/>
        </w:rPr>
        <w:t>there are currently over 200 persons with mental disabilities staying in penitentiary facilities, whose disabilities prevent them from functioning properly in the conditions of detention</w:t>
      </w:r>
      <w:r>
        <w:rPr>
          <w:rFonts w:ascii="Arial" w:hAnsi="Arial"/>
        </w:rPr>
        <w:t>. The cases analysed by the Ombudsman also showed that the prison personnel often cannot provide effective and proper assistance to a person who, due to the disabilities, experiences difficulties in adapting to the conditions of detention and in performing basic actions required in the day to day life. Therefore, actions were undertaken to expand the training programme for the Prison Service officers with the topics on handling detained persons with mental disabilities.</w:t>
      </w:r>
    </w:p>
    <w:p w14:paraId="6EB56FB2" w14:textId="77777777" w:rsidR="00084230" w:rsidRDefault="00084230" w:rsidP="00084230">
      <w:pPr>
        <w:spacing w:after="0" w:line="360" w:lineRule="auto"/>
        <w:contextualSpacing/>
        <w:jc w:val="both"/>
        <w:rPr>
          <w:rFonts w:ascii="Arial" w:eastAsia="Calibri" w:hAnsi="Arial" w:cs="Arial"/>
        </w:rPr>
      </w:pPr>
    </w:p>
    <w:p w14:paraId="4E4250B9" w14:textId="0BE2E0B2" w:rsidR="00FE7240" w:rsidRPr="00084230" w:rsidRDefault="00FE7240" w:rsidP="00084230">
      <w:pPr>
        <w:pStyle w:val="Akapitzlist"/>
        <w:numPr>
          <w:ilvl w:val="0"/>
          <w:numId w:val="6"/>
        </w:numPr>
        <w:spacing w:after="0" w:line="360" w:lineRule="auto"/>
        <w:ind w:left="284" w:hanging="284"/>
        <w:jc w:val="both"/>
        <w:rPr>
          <w:rFonts w:ascii="Arial" w:eastAsia="Calibri" w:hAnsi="Arial" w:cs="Arial"/>
        </w:rPr>
      </w:pPr>
      <w:r>
        <w:rPr>
          <w:rFonts w:ascii="Arial" w:hAnsi="Arial"/>
          <w:b/>
        </w:rPr>
        <w:t>Major recommendations</w:t>
      </w:r>
    </w:p>
    <w:p w14:paraId="14FB5DD4" w14:textId="51288FEA" w:rsidR="0041769A" w:rsidRPr="0041769A" w:rsidRDefault="0041769A" w:rsidP="0041769A">
      <w:pPr>
        <w:spacing w:after="0" w:line="360" w:lineRule="auto"/>
        <w:ind w:firstLine="709"/>
        <w:contextualSpacing/>
        <w:jc w:val="both"/>
        <w:rPr>
          <w:rFonts w:ascii="Arial" w:eastAsia="Calibri" w:hAnsi="Arial" w:cs="Arial"/>
        </w:rPr>
      </w:pPr>
      <w:r>
        <w:rPr>
          <w:rFonts w:ascii="Arial" w:hAnsi="Arial"/>
        </w:rPr>
        <w:t>According t the Human Rights Defender, in order to realise the right of persons with disabilities to be free of torture or other cruel, inhuman or degrading treatment or punishment, it is necessary to:</w:t>
      </w:r>
    </w:p>
    <w:p w14:paraId="0A4B4CBC" w14:textId="3D8C7D56" w:rsidR="00CA3415" w:rsidRPr="0041769A" w:rsidRDefault="00CA3415" w:rsidP="003D345C">
      <w:pPr>
        <w:pStyle w:val="Akapitzlist"/>
        <w:numPr>
          <w:ilvl w:val="0"/>
          <w:numId w:val="29"/>
        </w:numPr>
        <w:spacing w:after="0" w:line="360" w:lineRule="auto"/>
        <w:ind w:left="284" w:hanging="284"/>
        <w:jc w:val="both"/>
        <w:rPr>
          <w:rFonts w:ascii="Arial" w:eastAsia="Calibri" w:hAnsi="Arial" w:cs="Arial"/>
        </w:rPr>
      </w:pPr>
      <w:r>
        <w:rPr>
          <w:rFonts w:ascii="Arial" w:hAnsi="Arial"/>
        </w:rPr>
        <w:t>eliminate the cases of inhuman and degrading treatment of persons with disabilities who are detained by the personnel of the facilities they are staying in. For this purpose, it is necessary to increase supervision over the detention centres (for example, through court-based supervision of nursing homes and the frequency of inspections in penitentiary centres);</w:t>
      </w:r>
    </w:p>
    <w:p w14:paraId="05CB7D0D" w14:textId="77777777" w:rsidR="00CA3415" w:rsidRPr="0041769A" w:rsidRDefault="00D71C8D" w:rsidP="003D345C">
      <w:pPr>
        <w:pStyle w:val="Akapitzlist"/>
        <w:numPr>
          <w:ilvl w:val="0"/>
          <w:numId w:val="29"/>
        </w:numPr>
        <w:spacing w:after="0" w:line="360" w:lineRule="auto"/>
        <w:ind w:left="284" w:hanging="284"/>
        <w:jc w:val="both"/>
        <w:rPr>
          <w:rFonts w:ascii="Arial" w:eastAsia="Calibri" w:hAnsi="Arial" w:cs="Arial"/>
        </w:rPr>
      </w:pPr>
      <w:r>
        <w:rPr>
          <w:rFonts w:ascii="Arial" w:hAnsi="Arial"/>
        </w:rPr>
        <w:t>adapt all detention centres to the needs of persons with different types of disabilities;</w:t>
      </w:r>
    </w:p>
    <w:p w14:paraId="6A890A67" w14:textId="77777777" w:rsidR="00CA3415" w:rsidRPr="00735FB3" w:rsidRDefault="00D71C8D" w:rsidP="003D345C">
      <w:pPr>
        <w:pStyle w:val="Akapitzlist"/>
        <w:numPr>
          <w:ilvl w:val="0"/>
          <w:numId w:val="29"/>
        </w:numPr>
        <w:spacing w:after="0" w:line="360" w:lineRule="auto"/>
        <w:ind w:left="284" w:hanging="284"/>
        <w:jc w:val="both"/>
        <w:rPr>
          <w:rFonts w:ascii="Arial" w:eastAsia="Calibri" w:hAnsi="Arial" w:cs="Arial"/>
        </w:rPr>
      </w:pPr>
      <w:r>
        <w:rPr>
          <w:rFonts w:ascii="Arial" w:hAnsi="Arial"/>
        </w:rPr>
        <w:t>ensure a training to managers and employees of detention centres regarding the rights of persons with disabilities. The said trainings should also apply to employees of central institutions, where the decisions on the functioning of penitentiary centres and other detention centres are made.</w:t>
      </w:r>
    </w:p>
    <w:p w14:paraId="27CBF9F0" w14:textId="77777777" w:rsidR="00735FB3" w:rsidRDefault="00735FB3" w:rsidP="00735FB3">
      <w:pPr>
        <w:spacing w:after="0" w:line="360" w:lineRule="auto"/>
        <w:jc w:val="both"/>
        <w:rPr>
          <w:rFonts w:ascii="Arial" w:eastAsia="Calibri" w:hAnsi="Arial" w:cs="Arial"/>
        </w:rPr>
      </w:pPr>
    </w:p>
    <w:p w14:paraId="660DD451" w14:textId="77777777" w:rsidR="00735FB3" w:rsidRDefault="00735FB3" w:rsidP="00735FB3">
      <w:pPr>
        <w:spacing w:after="0" w:line="360" w:lineRule="auto"/>
        <w:jc w:val="both"/>
        <w:rPr>
          <w:rFonts w:ascii="Arial" w:eastAsia="Calibri" w:hAnsi="Arial" w:cs="Arial"/>
        </w:rPr>
      </w:pPr>
    </w:p>
    <w:p w14:paraId="3B9713C6" w14:textId="77777777" w:rsidR="00735FB3" w:rsidRPr="00735FB3" w:rsidRDefault="00735FB3" w:rsidP="00735FB3">
      <w:pPr>
        <w:spacing w:after="0" w:line="360" w:lineRule="auto"/>
        <w:jc w:val="both"/>
        <w:rPr>
          <w:rFonts w:ascii="Arial" w:eastAsia="Calibri" w:hAnsi="Arial" w:cs="Arial"/>
        </w:rPr>
      </w:pPr>
    </w:p>
    <w:p w14:paraId="701CA9E9" w14:textId="77777777" w:rsidR="006317A2" w:rsidRPr="00E5058E" w:rsidRDefault="006317A2" w:rsidP="00E96DFA">
      <w:pPr>
        <w:pStyle w:val="Nagwek2"/>
        <w:spacing w:before="240"/>
      </w:pPr>
      <w:bookmarkStart w:id="23" w:name="_Toc403999537"/>
      <w:bookmarkStart w:id="24" w:name="_Toc424279001"/>
      <w:r>
        <w:lastRenderedPageBreak/>
        <w:t>Article 16 – Freedom from exploitation, violence and abuse</w:t>
      </w:r>
      <w:bookmarkEnd w:id="23"/>
      <w:bookmarkEnd w:id="24"/>
    </w:p>
    <w:p w14:paraId="5F0164B8" w14:textId="77777777" w:rsidR="00513129" w:rsidRDefault="00513129" w:rsidP="004A17DD">
      <w:pPr>
        <w:pStyle w:val="Akapitzlist"/>
        <w:numPr>
          <w:ilvl w:val="0"/>
          <w:numId w:val="7"/>
        </w:numPr>
        <w:spacing w:before="120" w:after="120" w:line="360" w:lineRule="auto"/>
        <w:ind w:left="284" w:hanging="284"/>
        <w:contextualSpacing w:val="0"/>
        <w:jc w:val="both"/>
        <w:rPr>
          <w:rFonts w:ascii="Arial" w:hAnsi="Arial" w:cs="Arial"/>
          <w:b/>
        </w:rPr>
      </w:pPr>
      <w:r>
        <w:rPr>
          <w:rFonts w:ascii="Arial" w:hAnsi="Arial"/>
          <w:b/>
        </w:rPr>
        <w:t>Introduction – short description</w:t>
      </w:r>
    </w:p>
    <w:p w14:paraId="33DDEA58" w14:textId="73E5ECAF" w:rsidR="003B597D" w:rsidRPr="003B597D" w:rsidRDefault="003B597D" w:rsidP="003B597D">
      <w:pPr>
        <w:spacing w:after="0" w:line="360" w:lineRule="auto"/>
        <w:ind w:firstLine="709"/>
        <w:jc w:val="both"/>
        <w:rPr>
          <w:rFonts w:ascii="Arial" w:hAnsi="Arial" w:cs="Arial"/>
        </w:rPr>
      </w:pPr>
      <w:r>
        <w:rPr>
          <w:rFonts w:ascii="Arial" w:hAnsi="Arial"/>
        </w:rPr>
        <w:t>In Article 16, the Convention on the Rights of Persons with Disabilities guarantees freedom from exploitation, violence and abuse by ensuring by the State Parties appropriate forms of gender- and age-sensitive assistance and support; monitor all and any facilitations and programmes to serve persons with disabilities; ensure relevant measures to promote the physical, cognitive and psychological recovery, rehabilitation and social reintegration of persons with disabilities; put in place effective legislation and policies, including women- and child-focused legislation and policies.</w:t>
      </w:r>
    </w:p>
    <w:p w14:paraId="6373EE82" w14:textId="5704557B" w:rsidR="003B597D" w:rsidRPr="003B597D" w:rsidRDefault="003B597D" w:rsidP="003B597D">
      <w:pPr>
        <w:spacing w:after="0" w:line="360" w:lineRule="auto"/>
        <w:ind w:firstLine="709"/>
        <w:jc w:val="both"/>
        <w:rPr>
          <w:rFonts w:ascii="Arial" w:hAnsi="Arial" w:cs="Arial"/>
        </w:rPr>
      </w:pPr>
      <w:r>
        <w:rPr>
          <w:rFonts w:ascii="Arial" w:hAnsi="Arial"/>
        </w:rPr>
        <w:t>The provisions binding in Poland at the moment intended to protect persons with disabilities against violence are regulated in the Act on preventing domestic violence</w:t>
      </w:r>
      <w:r>
        <w:rPr>
          <w:rStyle w:val="Odwoanieprzypisudolnego"/>
          <w:rFonts w:ascii="Arial" w:hAnsi="Arial"/>
        </w:rPr>
        <w:footnoteReference w:id="104"/>
      </w:r>
      <w:r>
        <w:rPr>
          <w:rFonts w:ascii="Arial" w:hAnsi="Arial"/>
        </w:rPr>
        <w:t xml:space="preserve"> and in the Polish Criminal Code.</w:t>
      </w:r>
    </w:p>
    <w:p w14:paraId="058EEA28" w14:textId="77777777" w:rsidR="00513129" w:rsidRDefault="00513129" w:rsidP="004A17DD">
      <w:pPr>
        <w:pStyle w:val="Akapitzlist"/>
        <w:numPr>
          <w:ilvl w:val="0"/>
          <w:numId w:val="7"/>
        </w:numPr>
        <w:spacing w:before="120" w:after="120" w:line="360" w:lineRule="auto"/>
        <w:ind w:left="284" w:hanging="284"/>
        <w:contextualSpacing w:val="0"/>
        <w:jc w:val="both"/>
        <w:rPr>
          <w:rFonts w:ascii="Arial" w:hAnsi="Arial" w:cs="Arial"/>
          <w:b/>
        </w:rPr>
      </w:pPr>
      <w:r>
        <w:rPr>
          <w:rFonts w:ascii="Arial" w:hAnsi="Arial"/>
          <w:b/>
        </w:rPr>
        <w:t>Progress and successes in realisation of freedom from exploitation, violence and abuse</w:t>
      </w:r>
    </w:p>
    <w:p w14:paraId="2C8F0A29" w14:textId="77777777" w:rsidR="003B597D" w:rsidRPr="003B597D" w:rsidRDefault="003B597D" w:rsidP="003B597D">
      <w:pPr>
        <w:pStyle w:val="Akapitzlist"/>
        <w:spacing w:after="0" w:line="360" w:lineRule="auto"/>
        <w:ind w:left="0" w:firstLine="709"/>
        <w:jc w:val="both"/>
        <w:rPr>
          <w:rFonts w:ascii="Arial" w:hAnsi="Arial" w:cs="Arial"/>
        </w:rPr>
      </w:pPr>
      <w:r>
        <w:rPr>
          <w:rFonts w:ascii="Arial" w:hAnsi="Arial"/>
        </w:rPr>
        <w:t>The protection of women with disabilities will surely be improved by the ratification by Poland of the Council of Europe Convention on preventing and combating violence against women and domestic violence, drawn up in Istanbul on 11 May 2011. The Convention was signed by Poland on 18 December 2012. On 12 June 2014 the draft act on ratification of the Convention was submitted to Sejm. Article 4 of the Convention obliges the State Parties to implement its provisions without discrimination on any ground, including disability.</w:t>
      </w:r>
    </w:p>
    <w:p w14:paraId="06858B02" w14:textId="10EBDDF4" w:rsidR="003B597D" w:rsidRPr="003B597D" w:rsidRDefault="003B597D" w:rsidP="003B597D">
      <w:pPr>
        <w:pStyle w:val="Akapitzlist"/>
        <w:spacing w:after="0" w:line="360" w:lineRule="auto"/>
        <w:ind w:left="0" w:firstLine="709"/>
        <w:jc w:val="both"/>
        <w:rPr>
          <w:rFonts w:ascii="Arial" w:hAnsi="Arial" w:cs="Arial"/>
        </w:rPr>
      </w:pPr>
      <w:r>
        <w:rPr>
          <w:rFonts w:ascii="Arial" w:hAnsi="Arial"/>
        </w:rPr>
        <w:t xml:space="preserve">It is also prudent to appreciate the inclusion of the specific character of violence against persons with disabilities in the </w:t>
      </w:r>
      <w:r>
        <w:rPr>
          <w:rFonts w:ascii="Arial" w:hAnsi="Arial"/>
          <w:i/>
        </w:rPr>
        <w:t>2014-2020 National Programme to Prevent Domestic Violence</w:t>
      </w:r>
      <w:r>
        <w:rPr>
          <w:rStyle w:val="Odwoanieprzypisudolnego"/>
          <w:rFonts w:ascii="Arial" w:hAnsi="Arial"/>
        </w:rPr>
        <w:footnoteReference w:id="105"/>
      </w:r>
      <w:r>
        <w:rPr>
          <w:rFonts w:ascii="Arial" w:hAnsi="Arial"/>
        </w:rPr>
        <w:t xml:space="preserve">. The programme also provides for more detailed reporting in the upcoming years: the indicators measuring the achievements of the objectives under the programme consider the number of persons with disabilities (relative to age and gender) – violence victims – who took advantage of counselling or the number of persons covered by the </w:t>
      </w:r>
      <w:r w:rsidR="00E70AA8">
        <w:rPr>
          <w:rFonts w:ascii="Arial" w:hAnsi="Arial"/>
        </w:rPr>
        <w:t>assistance of </w:t>
      </w:r>
      <w:r>
        <w:rPr>
          <w:rFonts w:ascii="Arial" w:hAnsi="Arial"/>
        </w:rPr>
        <w:t>interdisciplinary teams responsible for preventing domestic violence at the level of municipalities</w:t>
      </w:r>
      <w:r>
        <w:rPr>
          <w:rFonts w:ascii="Arial" w:hAnsi="Arial"/>
          <w:vertAlign w:val="superscript"/>
        </w:rPr>
        <w:footnoteReference w:id="106"/>
      </w:r>
      <w:r>
        <w:rPr>
          <w:rFonts w:ascii="Arial" w:hAnsi="Arial"/>
        </w:rPr>
        <w:t>.</w:t>
      </w:r>
    </w:p>
    <w:p w14:paraId="48EA9831" w14:textId="77777777" w:rsidR="00513129" w:rsidRDefault="00513129" w:rsidP="004A17DD">
      <w:pPr>
        <w:pStyle w:val="Akapitzlist"/>
        <w:numPr>
          <w:ilvl w:val="0"/>
          <w:numId w:val="7"/>
        </w:numPr>
        <w:spacing w:before="120" w:after="120" w:line="360" w:lineRule="auto"/>
        <w:ind w:left="284" w:hanging="284"/>
        <w:contextualSpacing w:val="0"/>
        <w:jc w:val="both"/>
        <w:rPr>
          <w:rFonts w:ascii="Arial" w:hAnsi="Arial" w:cs="Arial"/>
          <w:b/>
        </w:rPr>
      </w:pPr>
      <w:r>
        <w:rPr>
          <w:rFonts w:ascii="Arial" w:hAnsi="Arial"/>
          <w:b/>
        </w:rPr>
        <w:t>Major problems and barriers in realisation of freedom from exploitation, violence and abuse</w:t>
      </w:r>
    </w:p>
    <w:p w14:paraId="4A64332C" w14:textId="0BA91451" w:rsidR="003B597D" w:rsidRPr="003B597D" w:rsidRDefault="003B597D" w:rsidP="003B597D">
      <w:pPr>
        <w:spacing w:after="0" w:line="360" w:lineRule="auto"/>
        <w:ind w:firstLine="709"/>
        <w:jc w:val="both"/>
        <w:rPr>
          <w:rFonts w:ascii="Arial" w:hAnsi="Arial" w:cs="Arial"/>
        </w:rPr>
      </w:pPr>
      <w:r>
        <w:rPr>
          <w:rFonts w:ascii="Arial" w:hAnsi="Arial"/>
        </w:rPr>
        <w:lastRenderedPageBreak/>
        <w:t>The real scale of domestic violence against persons with disabilities is not known, even though the programmes intended to prevent violence consider particular vulnerability of persons with disabilities, in particular women, to violence</w:t>
      </w:r>
      <w:r>
        <w:rPr>
          <w:rFonts w:ascii="Arial" w:hAnsi="Arial"/>
          <w:vertAlign w:val="superscript"/>
        </w:rPr>
        <w:footnoteReference w:id="107"/>
      </w:r>
      <w:r>
        <w:rPr>
          <w:rFonts w:ascii="Arial" w:hAnsi="Arial"/>
        </w:rPr>
        <w:t>. At the same time, the studies show that members of the services comprising the interdiscip</w:t>
      </w:r>
      <w:r w:rsidR="00E70AA8">
        <w:rPr>
          <w:rFonts w:ascii="Arial" w:hAnsi="Arial"/>
        </w:rPr>
        <w:t>linary teams do not deal with a </w:t>
      </w:r>
      <w:r>
        <w:rPr>
          <w:rFonts w:ascii="Arial" w:hAnsi="Arial"/>
        </w:rPr>
        <w:t>high number of cases of violence against women with disabilities, even though they believe that the problem with identifying the cases of using violence towards persons with disabilities might arise from the fact that disabilities are not included in general statistics</w:t>
      </w:r>
      <w:r>
        <w:rPr>
          <w:rFonts w:ascii="Arial" w:hAnsi="Arial"/>
          <w:vertAlign w:val="superscript"/>
        </w:rPr>
        <w:footnoteReference w:id="108"/>
      </w:r>
      <w:r>
        <w:rPr>
          <w:rFonts w:ascii="Arial" w:hAnsi="Arial"/>
        </w:rPr>
        <w:t>. The majority of employees in the institutions assisting persons with disabilities believes that detecting domestic violence is very rare or rare</w:t>
      </w:r>
      <w:r>
        <w:rPr>
          <w:rFonts w:ascii="Arial" w:hAnsi="Arial"/>
          <w:vertAlign w:val="superscript"/>
        </w:rPr>
        <w:footnoteReference w:id="109"/>
      </w:r>
      <w:r>
        <w:rPr>
          <w:rFonts w:ascii="Arial" w:hAnsi="Arial"/>
        </w:rPr>
        <w:t xml:space="preserve">. </w:t>
      </w:r>
    </w:p>
    <w:p w14:paraId="010C0843" w14:textId="77777777" w:rsidR="003B597D" w:rsidRPr="003B597D" w:rsidRDefault="003B597D" w:rsidP="003B597D">
      <w:pPr>
        <w:spacing w:after="0" w:line="360" w:lineRule="auto"/>
        <w:ind w:firstLine="709"/>
        <w:jc w:val="both"/>
        <w:rPr>
          <w:rFonts w:ascii="Arial" w:hAnsi="Arial" w:cs="Arial"/>
        </w:rPr>
      </w:pPr>
      <w:r>
        <w:rPr>
          <w:rFonts w:ascii="Arial" w:hAnsi="Arial"/>
        </w:rPr>
        <w:t>One of the reasons for failing to report violence by persons with disabilities is the unavailability of legal or psychological assistance and the unavailability of assistance institutions. For example, out of 35 Specialist Centres Supporting Domestic Violence Victims operating in Poland, only 8 are located in buildings adapted to the needs of persons with mobility impairments (a building with a lift or a ramp, proper width of corridors, adapted bathroom). In 32 centres, no deaf person ever visited such a centre, and only one centre cooperates with a branch of the Polish Association of the Deaf on a permanent basis, ensuring a sign language interpreter. No centre declares having a website that is accessible to the blind nor disposing of a video telephone that makes it possible for the deaf to use phones</w:t>
      </w:r>
      <w:r>
        <w:rPr>
          <w:rFonts w:ascii="Arial" w:hAnsi="Arial"/>
          <w:vertAlign w:val="superscript"/>
        </w:rPr>
        <w:footnoteReference w:id="110"/>
      </w:r>
      <w:r>
        <w:rPr>
          <w:rFonts w:ascii="Arial" w:hAnsi="Arial"/>
        </w:rPr>
        <w:t>.</w:t>
      </w:r>
    </w:p>
    <w:p w14:paraId="45A5ADAF" w14:textId="639E77A2" w:rsidR="003B597D" w:rsidRPr="003B597D" w:rsidRDefault="003B597D" w:rsidP="003B597D">
      <w:pPr>
        <w:spacing w:after="0" w:line="360" w:lineRule="auto"/>
        <w:ind w:firstLine="709"/>
        <w:jc w:val="both"/>
        <w:rPr>
          <w:rFonts w:ascii="Arial" w:hAnsi="Arial" w:cs="Arial"/>
        </w:rPr>
      </w:pPr>
      <w:r>
        <w:rPr>
          <w:rFonts w:ascii="Arial" w:hAnsi="Arial"/>
        </w:rPr>
        <w:t>The members of the services comprising interdisciplinary teams questioned indicate that women with disabilities are particularly at risk of violence, not only domestic violence but also institutional violence (in nursing homes, hospitals, psychiatric hospitals), in public places, on the street, at work</w:t>
      </w:r>
      <w:r>
        <w:rPr>
          <w:rFonts w:ascii="Arial" w:hAnsi="Arial"/>
          <w:vertAlign w:val="superscript"/>
        </w:rPr>
        <w:footnoteReference w:id="111"/>
      </w:r>
      <w:r>
        <w:rPr>
          <w:rFonts w:ascii="Arial" w:hAnsi="Arial"/>
        </w:rPr>
        <w:t xml:space="preserve">. Article 16 of the Convention also applies to the protection against violence outside home, while the Act on preventing domestic violence does not include protection of persons that are victims of violence in assistance institutions. Protection to such persons is only guaranteed by general provisions of law – in particular the provisions of the Polish Criminal Code. </w:t>
      </w:r>
    </w:p>
    <w:p w14:paraId="0004E706" w14:textId="4CC20414" w:rsidR="003B597D" w:rsidRPr="003B597D" w:rsidRDefault="003B597D" w:rsidP="003B597D">
      <w:pPr>
        <w:spacing w:after="0" w:line="360" w:lineRule="auto"/>
        <w:ind w:firstLine="709"/>
        <w:jc w:val="both"/>
        <w:rPr>
          <w:rFonts w:ascii="Arial" w:hAnsi="Arial" w:cs="Arial"/>
        </w:rPr>
      </w:pPr>
      <w:r>
        <w:rPr>
          <w:rFonts w:ascii="Arial" w:hAnsi="Arial"/>
        </w:rPr>
        <w:t xml:space="preserve">Despite the fact that regulations are in force that impose an obligation to apply the principles of freedom, intimacy, dignity and safety of persons with disabilities in nursing </w:t>
      </w:r>
      <w:r>
        <w:rPr>
          <w:rFonts w:ascii="Arial" w:hAnsi="Arial"/>
        </w:rPr>
        <w:lastRenderedPageBreak/>
        <w:t>homes, internal regulations of nursing homes significantly limit the rights and liberties of their residents. For example, in some nursing homes the residents have no influence on where their identity documents are stored, their ability to leave the nursing home on their own is limited by persons placed there by force, and the persons that reside in nursing homes out of their own volition experience a significantly limited ability to leave the nursing home</w:t>
      </w:r>
      <w:r>
        <w:rPr>
          <w:rFonts w:ascii="Arial" w:hAnsi="Arial"/>
          <w:vertAlign w:val="superscript"/>
        </w:rPr>
        <w:footnoteReference w:id="112"/>
      </w:r>
      <w:r>
        <w:rPr>
          <w:rFonts w:ascii="Arial" w:hAnsi="Arial"/>
        </w:rPr>
        <w:t xml:space="preserve">. It also seems that it is necessary to increase the protection of persons with mental illnesses and staying in psychiatric hospitals against violence. As it follows form the </w:t>
      </w:r>
      <w:r>
        <w:rPr>
          <w:rFonts w:ascii="Arial" w:hAnsi="Arial"/>
          <w:i/>
        </w:rPr>
        <w:t>Report on realisation of the rights of patients within the territory of the Republic of Poland</w:t>
      </w:r>
      <w:r>
        <w:rPr>
          <w:rFonts w:ascii="Arial" w:hAnsi="Arial"/>
        </w:rPr>
        <w:t xml:space="preserve"> for the period from 1 January 2012 to 31 December 2012, the Ombudsmen for the Rights of Patients of Psychiatric Hospitals have many times determined that the rights of patients of psychiatric hospitals were infringed multiple times through the use of various forms of violence towards them. For example, the ombudsmen determined infringement of rights of patients in connection with the failure to ensure proper care and supervision to patients exhibiting suicide tendencies, destructive behaviour, running away, active aggression among fellow patients, suicide attempts resulting in bodily injuries or death; the ombudsmen also registered cases of preventive use of handcuffs to patients, applying “punishments” through putting the bed outside the room or forcing the patients to spend a night on a mattress in a separate room in the ward; give medication to patients staying in hospitals against their will using direct enforcement measures – through holding down</w:t>
      </w:r>
      <w:r>
        <w:rPr>
          <w:rFonts w:ascii="Arial" w:hAnsi="Arial"/>
          <w:vertAlign w:val="superscript"/>
        </w:rPr>
        <w:footnoteReference w:id="113"/>
      </w:r>
      <w:r>
        <w:rPr>
          <w:rFonts w:ascii="Arial" w:hAnsi="Arial"/>
        </w:rPr>
        <w:t>.</w:t>
      </w:r>
    </w:p>
    <w:p w14:paraId="571F84F4" w14:textId="17E9E52D" w:rsidR="003B597D" w:rsidRPr="003B597D" w:rsidRDefault="003B597D" w:rsidP="003B597D">
      <w:pPr>
        <w:spacing w:after="0" w:line="360" w:lineRule="auto"/>
        <w:ind w:firstLine="709"/>
        <w:jc w:val="both"/>
        <w:rPr>
          <w:rFonts w:ascii="Arial" w:hAnsi="Arial" w:cs="Arial"/>
        </w:rPr>
      </w:pPr>
      <w:r>
        <w:rPr>
          <w:rFonts w:ascii="Arial" w:hAnsi="Arial"/>
        </w:rPr>
        <w:t>Legal protection measures for violence victims, including persons with disabilities, provides for in criminal procedure, are rarely used and are not adapted to the specific situation of those persons. For example, despite the fact that the rulings of a court on imposing the obligation for a violence perpetrator to participate in correction-education programmes does not require the consent of the convicted person, in 2013, out of 11,890 convicted perpetrators, the said obligation was only imposed on 578 persons. It must be appreciated that the detained convicts participate in such programmes (out of the 7,774 convicts detained in penitentiary centres, convicted for harassment, as at the last day of 2013, 4,138 convicts participated in such programmes), but the convicts not detained are very rarely or not at all subjected to such programmes</w:t>
      </w:r>
      <w:r>
        <w:rPr>
          <w:rFonts w:ascii="Arial" w:hAnsi="Arial"/>
          <w:vertAlign w:val="superscript"/>
        </w:rPr>
        <w:footnoteReference w:id="114"/>
      </w:r>
      <w:r>
        <w:rPr>
          <w:rFonts w:ascii="Arial" w:hAnsi="Arial"/>
        </w:rPr>
        <w:t xml:space="preserve">. It is also important to note that in the case of persons with disabilities that experience violence from their family members who are also providing their day-to-day support, it is not possible to impose a prohibition to leave </w:t>
      </w:r>
      <w:r>
        <w:rPr>
          <w:rFonts w:ascii="Arial" w:hAnsi="Arial"/>
        </w:rPr>
        <w:lastRenderedPageBreak/>
        <w:t xml:space="preserve">premises in a criminal procedure or an obligation to leave premises in civil procedure is not possible – persons with disabilities actually cannot become independent, because no alternative care is offered to them. </w:t>
      </w:r>
    </w:p>
    <w:p w14:paraId="7CF57233" w14:textId="0309AC0B" w:rsidR="003B597D" w:rsidRPr="003B597D" w:rsidRDefault="003B597D" w:rsidP="003B597D">
      <w:pPr>
        <w:spacing w:after="0" w:line="360" w:lineRule="auto"/>
        <w:ind w:firstLine="709"/>
        <w:jc w:val="both"/>
        <w:rPr>
          <w:rFonts w:ascii="Arial" w:hAnsi="Arial" w:cs="Arial"/>
          <w:sz w:val="16"/>
          <w:szCs w:val="16"/>
        </w:rPr>
      </w:pPr>
      <w:r>
        <w:rPr>
          <w:rFonts w:ascii="Arial" w:hAnsi="Arial"/>
        </w:rPr>
        <w:t>Finally, it is also necessary to notice the problem of failing to consider the specific type of offences motivated by hatred towards persons with disabilities. The offences consisting in inciting hatred, degrading behaviour or using violence or illegal threats due to nationality, ethnicity, race, religion or lack of religion (Articles 118, 119, 256 and 257 of Polish Criminal Code) do not mention persons with disabilities – this quality is thus not specifically protected by the provisions of the Polish Criminal Code.</w:t>
      </w:r>
    </w:p>
    <w:p w14:paraId="6F2B1BEA" w14:textId="77777777" w:rsidR="00513129" w:rsidRDefault="00513129" w:rsidP="004A17DD">
      <w:pPr>
        <w:pStyle w:val="Akapitzlist"/>
        <w:numPr>
          <w:ilvl w:val="0"/>
          <w:numId w:val="7"/>
        </w:numPr>
        <w:spacing w:before="120" w:after="120" w:line="360" w:lineRule="auto"/>
        <w:ind w:left="284" w:hanging="284"/>
        <w:contextualSpacing w:val="0"/>
        <w:jc w:val="both"/>
        <w:rPr>
          <w:rFonts w:ascii="Arial" w:hAnsi="Arial" w:cs="Arial"/>
          <w:b/>
        </w:rPr>
      </w:pPr>
      <w:r>
        <w:rPr>
          <w:rFonts w:ascii="Arial" w:hAnsi="Arial"/>
          <w:b/>
        </w:rPr>
        <w:t>Results of available studies and statistical data</w:t>
      </w:r>
    </w:p>
    <w:p w14:paraId="5D73D966" w14:textId="77777777" w:rsidR="003B597D" w:rsidRPr="003B597D" w:rsidRDefault="003B597D" w:rsidP="003B597D">
      <w:pPr>
        <w:spacing w:after="0" w:line="360" w:lineRule="auto"/>
        <w:ind w:firstLine="709"/>
        <w:jc w:val="both"/>
        <w:rPr>
          <w:rFonts w:ascii="Arial" w:hAnsi="Arial" w:cs="Arial"/>
        </w:rPr>
      </w:pPr>
      <w:r>
        <w:rPr>
          <w:rFonts w:ascii="Arial" w:hAnsi="Arial"/>
        </w:rPr>
        <w:t>Statistics and studies available in Poland on the number of violence victims pertain in particular domestic violence. However, the statistics do not pertain to the number of violence victims – persons with disabilities, divided according to age and gender. The only statistical data that consider age, disability and gender factors, is the data on the number of domestic violence victims who use the assistance of Specialist Centres Supporting Domestic Violence Victims. In 2012, out of 8,302 persons using the assistance of those Centres, only 311 persons are persons with disabilities, of which 223 are women and 51 are children (the data is not divided according to the gender of the children)</w:t>
      </w:r>
      <w:r>
        <w:rPr>
          <w:rFonts w:ascii="Arial" w:hAnsi="Arial"/>
          <w:vertAlign w:val="superscript"/>
        </w:rPr>
        <w:footnoteReference w:id="115"/>
      </w:r>
      <w:r>
        <w:rPr>
          <w:rFonts w:ascii="Arial" w:hAnsi="Arial"/>
        </w:rPr>
        <w:t>.</w:t>
      </w:r>
    </w:p>
    <w:p w14:paraId="40680AB3" w14:textId="77777777" w:rsidR="003B597D" w:rsidRPr="003B597D" w:rsidRDefault="003B597D" w:rsidP="003B597D">
      <w:pPr>
        <w:spacing w:after="0" w:line="360" w:lineRule="auto"/>
        <w:ind w:firstLine="709"/>
        <w:jc w:val="both"/>
        <w:rPr>
          <w:rFonts w:ascii="Arial" w:hAnsi="Arial" w:cs="Arial"/>
        </w:rPr>
      </w:pPr>
      <w:r>
        <w:rPr>
          <w:rFonts w:ascii="Arial" w:hAnsi="Arial"/>
        </w:rPr>
        <w:t>Data on the number of domestic violence victims are also collected by the Police. This data only considers the division into women, men and minors (without distinguishing gender). Among domestic violence victims where Police intervened, out of 86,797 victims, 58,310 are women and 19,254 are minors</w:t>
      </w:r>
      <w:r>
        <w:rPr>
          <w:rFonts w:ascii="Arial" w:hAnsi="Arial"/>
          <w:vertAlign w:val="superscript"/>
        </w:rPr>
        <w:footnoteReference w:id="116"/>
      </w:r>
      <w:r>
        <w:rPr>
          <w:rFonts w:ascii="Arial" w:hAnsi="Arial"/>
        </w:rPr>
        <w:t>.</w:t>
      </w:r>
    </w:p>
    <w:p w14:paraId="726F5D66" w14:textId="2F06A84D" w:rsidR="003B597D" w:rsidRPr="003B597D" w:rsidRDefault="003B597D" w:rsidP="003B597D">
      <w:pPr>
        <w:spacing w:after="0" w:line="360" w:lineRule="auto"/>
        <w:ind w:firstLine="709"/>
        <w:jc w:val="both"/>
        <w:rPr>
          <w:rFonts w:ascii="Arial" w:hAnsi="Arial" w:cs="Arial"/>
        </w:rPr>
      </w:pPr>
      <w:r>
        <w:rPr>
          <w:rFonts w:ascii="Arial" w:hAnsi="Arial"/>
        </w:rPr>
        <w:t>In turn, the data collected by the Ministry of Justice consider the number of persons who are victims to the offence under Article 207 of the Polish Criminal Code (harassment) only in division into gender and age (out of 19,833 victims of that offence in 2013, 13,220 are women and 3,860 are minors – no division of the gender of minors was included)</w:t>
      </w:r>
      <w:r>
        <w:rPr>
          <w:rFonts w:ascii="Arial" w:hAnsi="Arial"/>
          <w:vertAlign w:val="superscript"/>
        </w:rPr>
        <w:footnoteReference w:id="117"/>
      </w:r>
      <w:r w:rsidR="00F458C6">
        <w:rPr>
          <w:rFonts w:ascii="Arial" w:hAnsi="Arial"/>
        </w:rPr>
        <w:t>. As </w:t>
      </w:r>
      <w:r>
        <w:rPr>
          <w:rFonts w:ascii="Arial" w:hAnsi="Arial"/>
        </w:rPr>
        <w:t>already mentioned, we are not aware of the scale of violence towards persons with disabilities divided into the age and gender of victims.</w:t>
      </w:r>
    </w:p>
    <w:p w14:paraId="1B719DF8" w14:textId="77777777" w:rsidR="00513129" w:rsidRDefault="003B597D" w:rsidP="004A17DD">
      <w:pPr>
        <w:pStyle w:val="Akapitzlist"/>
        <w:numPr>
          <w:ilvl w:val="0"/>
          <w:numId w:val="7"/>
        </w:numPr>
        <w:spacing w:before="120" w:after="120" w:line="360" w:lineRule="auto"/>
        <w:ind w:left="284" w:hanging="284"/>
        <w:contextualSpacing w:val="0"/>
        <w:jc w:val="both"/>
        <w:rPr>
          <w:rFonts w:ascii="Arial" w:hAnsi="Arial" w:cs="Arial"/>
          <w:b/>
        </w:rPr>
      </w:pPr>
      <w:r>
        <w:rPr>
          <w:rFonts w:ascii="Arial" w:hAnsi="Arial"/>
          <w:b/>
        </w:rPr>
        <w:t>Major recommendations</w:t>
      </w:r>
    </w:p>
    <w:p w14:paraId="62B5B473" w14:textId="7E750C20" w:rsidR="003B597D" w:rsidRPr="003B597D" w:rsidRDefault="003B597D" w:rsidP="00FB78F4">
      <w:pPr>
        <w:spacing w:after="0" w:line="360" w:lineRule="auto"/>
        <w:ind w:firstLine="709"/>
        <w:jc w:val="both"/>
        <w:rPr>
          <w:rFonts w:ascii="Arial" w:hAnsi="Arial" w:cs="Arial"/>
          <w:sz w:val="16"/>
          <w:szCs w:val="16"/>
        </w:rPr>
      </w:pPr>
      <w:r>
        <w:rPr>
          <w:rFonts w:ascii="Arial" w:hAnsi="Arial"/>
        </w:rPr>
        <w:lastRenderedPageBreak/>
        <w:t>According to the Ombudsman, it seems extremely important to consider the disability factor upon collecting data on the number of violence victims and to ensure that assistance will be offered to violence victims, including domestic violence victims, will be adapted to the needs of persons with disabilities. It is thus necessary to adapt the assistance centres in terms of architecture, to create accessible communication channels – websites, telephones accessible to the deaf and the blind. One must also pay attention to the necessity to increase the actual protection against violence of persons with disabilities residing in nursing homes and psychiatric hospitals.</w:t>
      </w:r>
    </w:p>
    <w:p w14:paraId="6FD899D5" w14:textId="77777777" w:rsidR="006317A2" w:rsidRPr="00E5058E" w:rsidRDefault="006317A2" w:rsidP="00E95991">
      <w:pPr>
        <w:pStyle w:val="Nagwek2"/>
      </w:pPr>
      <w:bookmarkStart w:id="25" w:name="_Toc403999538"/>
      <w:bookmarkStart w:id="26" w:name="_Toc424279002"/>
      <w:r>
        <w:t>Article 19 – Living independently and being included in the community</w:t>
      </w:r>
      <w:bookmarkEnd w:id="25"/>
      <w:bookmarkEnd w:id="26"/>
    </w:p>
    <w:p w14:paraId="05BD8CEB" w14:textId="77777777" w:rsidR="00513129" w:rsidRDefault="00513129" w:rsidP="004A17DD">
      <w:pPr>
        <w:pStyle w:val="Akapitzlist"/>
        <w:numPr>
          <w:ilvl w:val="0"/>
          <w:numId w:val="8"/>
        </w:numPr>
        <w:spacing w:before="120" w:after="120" w:line="360" w:lineRule="auto"/>
        <w:ind w:left="284" w:hanging="284"/>
        <w:contextualSpacing w:val="0"/>
        <w:jc w:val="both"/>
        <w:rPr>
          <w:rFonts w:ascii="Arial" w:hAnsi="Arial" w:cs="Arial"/>
          <w:b/>
        </w:rPr>
      </w:pPr>
      <w:r>
        <w:rPr>
          <w:rFonts w:ascii="Arial" w:hAnsi="Arial"/>
          <w:b/>
        </w:rPr>
        <w:t>Introduction – short description</w:t>
      </w:r>
    </w:p>
    <w:p w14:paraId="7DE7EB5B" w14:textId="3CEEB80E" w:rsidR="00E5058E" w:rsidRPr="00E5058E" w:rsidRDefault="00E5058E" w:rsidP="00E5058E">
      <w:pPr>
        <w:pStyle w:val="Akapitzlist"/>
        <w:spacing w:line="360" w:lineRule="auto"/>
        <w:ind w:left="0" w:firstLine="709"/>
        <w:jc w:val="both"/>
        <w:rPr>
          <w:rFonts w:ascii="Arial" w:hAnsi="Arial" w:cs="Arial"/>
        </w:rPr>
      </w:pPr>
      <w:r>
        <w:rPr>
          <w:rFonts w:ascii="Arial" w:hAnsi="Arial"/>
        </w:rPr>
        <w:t>In Poland, actions intended to support living independently and being included in the community of persons with disabilities are stipulated (similarly to persons of different categories) in the act on social assistance</w:t>
      </w:r>
      <w:r>
        <w:rPr>
          <w:rStyle w:val="Odwoanieprzypisudolnego"/>
          <w:rFonts w:ascii="Arial" w:hAnsi="Arial"/>
        </w:rPr>
        <w:footnoteReference w:id="118"/>
      </w:r>
      <w:r>
        <w:rPr>
          <w:rFonts w:ascii="Arial" w:hAnsi="Arial"/>
        </w:rPr>
        <w:t>, and with respect to persons with mental disabilities, also in the act on the protection of mental health</w:t>
      </w:r>
      <w:r>
        <w:rPr>
          <w:rStyle w:val="Odwoanieprzypisudolnego"/>
          <w:rFonts w:ascii="Arial" w:hAnsi="Arial"/>
        </w:rPr>
        <w:footnoteReference w:id="119"/>
      </w:r>
      <w:r>
        <w:rPr>
          <w:rFonts w:ascii="Arial" w:hAnsi="Arial"/>
        </w:rPr>
        <w:t xml:space="preserve"> and the National Programme to Protect Mental Health</w:t>
      </w:r>
      <w:r>
        <w:rPr>
          <w:rStyle w:val="Odwoanieprzypisudolnego"/>
          <w:rFonts w:ascii="Arial" w:hAnsi="Arial"/>
        </w:rPr>
        <w:footnoteReference w:id="120"/>
      </w:r>
      <w:r>
        <w:rPr>
          <w:rFonts w:ascii="Arial" w:hAnsi="Arial"/>
        </w:rPr>
        <w:t>.</w:t>
      </w:r>
    </w:p>
    <w:p w14:paraId="453CF60C" w14:textId="77777777" w:rsidR="00E5058E" w:rsidRPr="00E5058E" w:rsidRDefault="00E5058E" w:rsidP="00E5058E">
      <w:pPr>
        <w:pStyle w:val="Akapitzlist"/>
        <w:spacing w:line="360" w:lineRule="auto"/>
        <w:ind w:left="0" w:firstLine="709"/>
        <w:jc w:val="both"/>
        <w:rPr>
          <w:rFonts w:ascii="Arial" w:hAnsi="Arial" w:cs="Arial"/>
        </w:rPr>
      </w:pPr>
      <w:r>
        <w:rPr>
          <w:rFonts w:ascii="Arial" w:hAnsi="Arial"/>
        </w:rPr>
        <w:t>Disability is the fourth cause of awarding social assistance. In 2013, 413 thousand families received social assistance in 2013 (more families received assistance due to poverty – 755 thousand, unemployment – 686 thousand, and illness – 430 thousand)</w:t>
      </w:r>
      <w:r>
        <w:rPr>
          <w:rStyle w:val="Odwoanieprzypisudolnego"/>
          <w:rFonts w:ascii="Arial" w:hAnsi="Arial"/>
        </w:rPr>
        <w:footnoteReference w:id="121"/>
      </w:r>
      <w:r>
        <w:rPr>
          <w:rFonts w:ascii="Arial" w:hAnsi="Arial"/>
        </w:rPr>
        <w:t>.</w:t>
      </w:r>
    </w:p>
    <w:p w14:paraId="4EB80B17" w14:textId="4365FC39" w:rsidR="00E5058E" w:rsidRPr="00E5058E" w:rsidRDefault="00E5058E" w:rsidP="00E5058E">
      <w:pPr>
        <w:pStyle w:val="Akapitzlist"/>
        <w:spacing w:line="360" w:lineRule="auto"/>
        <w:ind w:left="0" w:firstLine="709"/>
        <w:jc w:val="both"/>
        <w:rPr>
          <w:rFonts w:ascii="Arial" w:hAnsi="Arial" w:cs="Arial"/>
        </w:rPr>
      </w:pPr>
      <w:r>
        <w:rPr>
          <w:rFonts w:ascii="Arial" w:hAnsi="Arial"/>
        </w:rPr>
        <w:t>In the case of persons with disabilities, various economic and non-economics exclusion factors accumulate</w:t>
      </w:r>
      <w:r>
        <w:rPr>
          <w:rFonts w:ascii="Arial" w:hAnsi="Arial"/>
          <w:vertAlign w:val="superscript"/>
        </w:rPr>
        <w:footnoteReference w:id="122"/>
      </w:r>
      <w:r>
        <w:rPr>
          <w:rFonts w:ascii="Arial" w:hAnsi="Arial"/>
        </w:rPr>
        <w:t>. This group exhibits lower levels of education, lower vocational activity and corresponding poverty and satisfying primary needs from social aid. Nevertheless, the very presence of a person with disabilities at home has a clear, non-income impact on the so-called living conditions poverty (failure to meet various needs: poor residential and sanitary conditions, insufficient heating, lack of equipment, lack of entertainment) and the so-called household budget balance poverty (e.g. debts in paying bills or debts arising from increased scale of expenses)</w:t>
      </w:r>
      <w:r>
        <w:rPr>
          <w:rStyle w:val="Odwoanieprzypisudolnego"/>
          <w:rFonts w:ascii="Arial" w:hAnsi="Arial"/>
        </w:rPr>
        <w:footnoteReference w:id="123"/>
      </w:r>
      <w:r>
        <w:rPr>
          <w:rFonts w:ascii="Arial" w:hAnsi="Arial"/>
        </w:rPr>
        <w:t>.</w:t>
      </w:r>
    </w:p>
    <w:p w14:paraId="058E5E4E" w14:textId="5F772B7A" w:rsidR="00E5058E" w:rsidRPr="00E5058E" w:rsidRDefault="00E5058E" w:rsidP="0064339E">
      <w:pPr>
        <w:pStyle w:val="Akapitzlist"/>
        <w:spacing w:line="360" w:lineRule="auto"/>
        <w:ind w:left="0" w:firstLine="709"/>
        <w:jc w:val="both"/>
        <w:rPr>
          <w:rFonts w:ascii="Arial" w:hAnsi="Arial" w:cs="Arial"/>
        </w:rPr>
      </w:pPr>
      <w:r>
        <w:rPr>
          <w:rFonts w:ascii="Arial" w:hAnsi="Arial"/>
        </w:rPr>
        <w:lastRenderedPageBreak/>
        <w:t>The most important aspect of exclusion of persons with disabilities is the physical exclusion. However, disability is also an important factor that impacts weakening of social relation, resulting in isolation of persons with disabilities (few contacts with family, friends, colleagues and neighbours, low level of activity in organisations, remaining outside labour work). The average level of digital exclusion is much higher for persons with disabilities, even though this social group could take the most advantage of digital inclusion, which impacts the so-called virtual social capital. Disability also constitutes a significant restriction in using social media and on-line communicators: only one person with disabilities in six, uses them, while the general percentage of use is 45% (and unemployment, for example, does not lower this indicator)</w:t>
      </w:r>
      <w:r>
        <w:rPr>
          <w:rStyle w:val="Odwoanieprzypisudolnego"/>
          <w:rFonts w:ascii="Arial" w:hAnsi="Arial"/>
        </w:rPr>
        <w:footnoteReference w:id="124"/>
      </w:r>
      <w:r>
        <w:rPr>
          <w:rFonts w:ascii="Arial" w:hAnsi="Arial"/>
        </w:rPr>
        <w:t xml:space="preserve">. </w:t>
      </w:r>
    </w:p>
    <w:p w14:paraId="41C48DDC" w14:textId="4C2E9257" w:rsidR="00E5058E" w:rsidRPr="00E5058E" w:rsidRDefault="00E5058E" w:rsidP="001575B0">
      <w:pPr>
        <w:pStyle w:val="Akapitzlist"/>
        <w:spacing w:line="360" w:lineRule="auto"/>
        <w:ind w:left="0" w:firstLine="709"/>
        <w:jc w:val="both"/>
        <w:rPr>
          <w:rFonts w:ascii="Arial" w:hAnsi="Arial" w:cs="Arial"/>
        </w:rPr>
      </w:pPr>
      <w:r>
        <w:rPr>
          <w:rFonts w:ascii="Arial" w:hAnsi="Arial"/>
        </w:rPr>
        <w:t>In Poland, the following non-financial social benefits are available</w:t>
      </w:r>
      <w:r>
        <w:rPr>
          <w:rFonts w:ascii="Arial" w:hAnsi="Arial"/>
          <w:vertAlign w:val="superscript"/>
        </w:rPr>
        <w:footnoteReference w:id="125"/>
      </w:r>
      <w:r>
        <w:rPr>
          <w:rFonts w:ascii="Arial" w:hAnsi="Arial"/>
        </w:rPr>
        <w:t>: social work, credited tickets, health insurance premiums, social insurance premiums, material aid, including aid in order to ensure economic independence, organising a funeral, specialist counselling, emergency interventions, shelter, meals, necessary clothing, care services at the place of residence, in support centres and in family support centres, specialist care services at the place of residence and in support centres, sheltered residence, stay and services at a nursing home, assistance in gaining relevant resid</w:t>
      </w:r>
      <w:r w:rsidR="00F458C6">
        <w:rPr>
          <w:rFonts w:ascii="Arial" w:hAnsi="Arial"/>
        </w:rPr>
        <w:t>ential conditions, including in </w:t>
      </w:r>
      <w:r>
        <w:rPr>
          <w:rFonts w:ascii="Arial" w:hAnsi="Arial"/>
        </w:rPr>
        <w:t>a sheltered residence, assistance in finding employment, material aid to help persons in becoming independent. These benefits are also available to persons with disabilities, provided that they meet the criteria for awarding aid, including the earnings criterion. Non-financial benefits provided by social assistance are financed by the persons taking advantage of those benefits, family members obliged to pay alimony and from public (state and local government) funds.</w:t>
      </w:r>
    </w:p>
    <w:p w14:paraId="2C82FB41" w14:textId="54DB685A" w:rsidR="00E5058E" w:rsidRPr="00E5058E" w:rsidRDefault="00E5058E" w:rsidP="00E5058E">
      <w:pPr>
        <w:pStyle w:val="Akapitzlist"/>
        <w:spacing w:line="360" w:lineRule="auto"/>
        <w:ind w:left="0" w:firstLine="709"/>
        <w:jc w:val="both"/>
        <w:rPr>
          <w:rFonts w:ascii="Arial" w:hAnsi="Arial" w:cs="Arial"/>
        </w:rPr>
      </w:pPr>
      <w:r>
        <w:rPr>
          <w:rFonts w:ascii="Arial" w:hAnsi="Arial"/>
        </w:rPr>
        <w:t>In order for the persons with disabilities to live independently and to be included in the community, particular significance is ascribed to caring services and the support provided in the daily centres, as well as the option to use sheltered residences. However, the supply of these measures is insufficient compared to the needs.</w:t>
      </w:r>
    </w:p>
    <w:p w14:paraId="37EDA748" w14:textId="7304DC1B" w:rsidR="00E5058E" w:rsidRPr="00E5058E" w:rsidRDefault="00E5058E" w:rsidP="001575B0">
      <w:pPr>
        <w:pStyle w:val="Akapitzlist"/>
        <w:spacing w:line="360" w:lineRule="auto"/>
        <w:ind w:left="0" w:firstLine="709"/>
        <w:jc w:val="both"/>
        <w:rPr>
          <w:rFonts w:ascii="Arial" w:hAnsi="Arial" w:cs="Arial"/>
        </w:rPr>
      </w:pPr>
      <w:r>
        <w:rPr>
          <w:rFonts w:ascii="Arial" w:hAnsi="Arial"/>
        </w:rPr>
        <w:t>At the moment, the only guaranteed form of permanent support provided to persons with disabilities in day-to-day life, when no support from famil</w:t>
      </w:r>
      <w:r w:rsidR="00F458C6">
        <w:rPr>
          <w:rFonts w:ascii="Arial" w:hAnsi="Arial"/>
        </w:rPr>
        <w:t>y is provided, is the stay in a </w:t>
      </w:r>
      <w:r>
        <w:rPr>
          <w:rFonts w:ascii="Arial" w:hAnsi="Arial"/>
        </w:rPr>
        <w:t>nursing home</w:t>
      </w:r>
      <w:r>
        <w:rPr>
          <w:rFonts w:ascii="Arial" w:hAnsi="Arial"/>
          <w:vertAlign w:val="superscript"/>
        </w:rPr>
        <w:footnoteReference w:id="126"/>
      </w:r>
      <w:r>
        <w:rPr>
          <w:rFonts w:ascii="Arial" w:hAnsi="Arial"/>
        </w:rPr>
        <w:t xml:space="preserve">. It is the most expensive, and also the least desirable form of support. Due to a high number of residents and the corresponding spatial concentration of people, persons with disabilities are isolated from their local community, frequently depriving them of regular contacts with their friends and family. The standard scope of support might sometimes be </w:t>
      </w:r>
      <w:r>
        <w:rPr>
          <w:rFonts w:ascii="Arial" w:hAnsi="Arial"/>
        </w:rPr>
        <w:lastRenderedPageBreak/>
        <w:t>excessive compared with the actual needs of the given person. The provisions of law also make it possible to run fully paid, commercial 24h care centres. They are mostly established for the elderly, as their stay is financed by their adult and working children. With reference to the fully dependant persons with disabilities, they experience barriers preventing them from using private facilities due to their low income (usually reduced to social benefits) and the fact that they do not have children, nor parents. It makes it impossible to cover the costs long-term, in particular as one must bear in mind a longer time-perspective than in the case of the elderly. The polish social assistance system does not provide for any co-financing for persons with disabilities that reside in private care facilities.</w:t>
      </w:r>
    </w:p>
    <w:p w14:paraId="3337579D" w14:textId="1C7CFFCE" w:rsidR="00E5058E" w:rsidRPr="00E5058E" w:rsidRDefault="00E5058E" w:rsidP="00E5058E">
      <w:pPr>
        <w:pStyle w:val="Akapitzlist"/>
        <w:spacing w:line="360" w:lineRule="auto"/>
        <w:ind w:left="0" w:firstLine="709"/>
        <w:jc w:val="both"/>
        <w:rPr>
          <w:rFonts w:ascii="Arial" w:hAnsi="Arial" w:cs="Arial"/>
        </w:rPr>
      </w:pPr>
      <w:r>
        <w:rPr>
          <w:rFonts w:ascii="Arial" w:hAnsi="Arial"/>
        </w:rPr>
        <w:t>The Act on social assistance also provides for other forms of supported residence for persons with disabilities: sheltered residence and family nursing homes. However, none of these forms of housing has developed in a significant manner with respect to persons with disabilities. They are only used by a marginal group of eligible persons (the available data of the Ministry of Labour and Social Policy does not consider a separate category for persons with disabilities with respect to these forms of support, as it may be used by many groups, including newly released prisoners, foreigners, pupils of care institutions.) In 2013, 168 elderly persons or persons with disabilities used the services of family care homes. Sheltered residences were used in total by 2,442 persons, of which 1,234 persons are economically independe</w:t>
      </w:r>
      <w:r w:rsidR="00F458C6">
        <w:rPr>
          <w:rFonts w:ascii="Arial" w:hAnsi="Arial"/>
        </w:rPr>
        <w:t>n</w:t>
      </w:r>
      <w:r>
        <w:rPr>
          <w:rFonts w:ascii="Arial" w:hAnsi="Arial"/>
        </w:rPr>
        <w:t>t former pupils of care institutions</w:t>
      </w:r>
      <w:r>
        <w:rPr>
          <w:rFonts w:ascii="Arial" w:hAnsi="Arial"/>
          <w:vertAlign w:val="superscript"/>
        </w:rPr>
        <w:footnoteReference w:id="127"/>
      </w:r>
      <w:r>
        <w:rPr>
          <w:rFonts w:ascii="Arial" w:hAnsi="Arial"/>
        </w:rPr>
        <w:t xml:space="preserve">. </w:t>
      </w:r>
    </w:p>
    <w:p w14:paraId="6D28EF6F" w14:textId="77777777" w:rsidR="00E5058E" w:rsidRPr="00E5058E" w:rsidRDefault="00E5058E" w:rsidP="00E5058E">
      <w:pPr>
        <w:pStyle w:val="Akapitzlist"/>
        <w:spacing w:line="360" w:lineRule="auto"/>
        <w:ind w:left="0" w:firstLine="709"/>
        <w:jc w:val="both"/>
        <w:rPr>
          <w:rFonts w:ascii="Arial" w:hAnsi="Arial" w:cs="Arial"/>
        </w:rPr>
      </w:pPr>
      <w:r>
        <w:rPr>
          <w:rFonts w:ascii="Arial" w:hAnsi="Arial"/>
        </w:rPr>
        <w:t>An obstacle to more extensive application of alternative, non-institutional forms of residence for persons with disabilities is formed e.g. by faulty provisions of the Act on social assistance as well as ill-judged regulations included in the implementing regulations to that act. The provisions on social assistance do not keep pace with the expectations and needs of persons with disabilities that have changed significantly over the recent years</w:t>
      </w:r>
      <w:r>
        <w:rPr>
          <w:rFonts w:ascii="Arial" w:hAnsi="Arial"/>
          <w:vertAlign w:val="superscript"/>
        </w:rPr>
        <w:footnoteReference w:id="128"/>
      </w:r>
      <w:r>
        <w:rPr>
          <w:rFonts w:ascii="Arial" w:hAnsi="Arial"/>
        </w:rPr>
        <w:t>. Serious problem is posed by separate financing and separate supervision over the family care homes and sheltered residences, even though that these institutions are regulated by the same act.</w:t>
      </w:r>
    </w:p>
    <w:p w14:paraId="56766784" w14:textId="1280594A" w:rsidR="00E5058E" w:rsidRPr="00E5058E" w:rsidRDefault="00E5058E" w:rsidP="00E5058E">
      <w:pPr>
        <w:pStyle w:val="Akapitzlist"/>
        <w:spacing w:line="360" w:lineRule="auto"/>
        <w:ind w:left="0" w:firstLine="709"/>
        <w:jc w:val="both"/>
        <w:rPr>
          <w:rFonts w:ascii="Arial" w:hAnsi="Arial" w:cs="Arial"/>
        </w:rPr>
      </w:pPr>
      <w:r>
        <w:rPr>
          <w:rFonts w:ascii="Arial" w:hAnsi="Arial"/>
        </w:rPr>
        <w:t xml:space="preserve">Only the traditional nursing home guarantees stable and life-long financing to a person with disabilities. Also, the new standards implemented in connection with the modernisation of the entire system result in the fact that the budget of such a home starts to balance only if it has many residents. However, in order to run a sheltered residence or a family care home, one needs to make an agreement with a municipality, which in turn must exhibit willingness. Such an agreement does not ensure stability, as it is only a voluntary arrangement that is subject to change, depending on the circumstances. Paradoxically, due </w:t>
      </w:r>
      <w:r>
        <w:rPr>
          <w:rFonts w:ascii="Arial" w:hAnsi="Arial"/>
        </w:rPr>
        <w:lastRenderedPageBreak/>
        <w:t>to new high standards, financing the stay in nursing homes becomes a significant burden to municipalities and results in that they avoid directing those who need such care to nursing homes</w:t>
      </w:r>
      <w:r>
        <w:rPr>
          <w:rFonts w:ascii="Arial" w:hAnsi="Arial"/>
          <w:vertAlign w:val="superscript"/>
        </w:rPr>
        <w:footnoteReference w:id="129"/>
      </w:r>
      <w:r>
        <w:rPr>
          <w:rFonts w:ascii="Arial" w:hAnsi="Arial"/>
        </w:rPr>
        <w:t>. At the same time, due to lack of stable financing for alternative forms of accommodation, they are usually not sheltered.</w:t>
      </w:r>
    </w:p>
    <w:p w14:paraId="176E05E7" w14:textId="05BC49B7" w:rsidR="00E5058E" w:rsidRPr="00E5058E" w:rsidRDefault="00E5058E" w:rsidP="00E5058E">
      <w:pPr>
        <w:pStyle w:val="Akapitzlist"/>
        <w:spacing w:line="360" w:lineRule="auto"/>
        <w:ind w:left="0" w:firstLine="709"/>
        <w:jc w:val="both"/>
        <w:rPr>
          <w:rFonts w:ascii="Arial" w:hAnsi="Arial" w:cs="Arial"/>
        </w:rPr>
      </w:pPr>
      <w:r>
        <w:rPr>
          <w:rFonts w:ascii="Arial" w:hAnsi="Arial"/>
        </w:rPr>
        <w:t>The fact that the lack of stable financing for stays in sheltered residences is a barrier for the municipalities preventing their establishment is proven by the fact that the governmental programme intended to support social housing was not enforced in full by the municipalities in the area pertaining to sheltered residences. Information of the Ministry of Transportation, Construction and Maritime Economy of 2013 on the realisation of the financial programme to support social housing contains a summary of the results of the programme for 2007-2012. It shows that only 14 sheltered residences were established from the assistance provided from the state budget in 2012, compared with 994 social premises, 942 municipal flats and 63 spots in night shelters). In total, only 99 premises intended to serve as sheltered residences were financed over the past 6 years. The demand turned out to be much lower than the funds allocated to support sheltered residences: out of the PLN 120 million allocated, only 80% was used. The said lack of interest is mostly due to the lack of ensuring stable financing of subsequent support for such residences in the provisions of the provisions on social assistance. The municipalities worry that they would have to bear multi-annual additional costs.</w:t>
      </w:r>
    </w:p>
    <w:p w14:paraId="72E52550" w14:textId="026E4F64" w:rsidR="00E5058E" w:rsidRPr="00E5058E" w:rsidRDefault="00E5058E" w:rsidP="00E5058E">
      <w:pPr>
        <w:pStyle w:val="Akapitzlist"/>
        <w:spacing w:line="360" w:lineRule="auto"/>
        <w:ind w:left="0" w:firstLine="709"/>
        <w:jc w:val="both"/>
        <w:rPr>
          <w:rFonts w:ascii="Arial" w:hAnsi="Arial" w:cs="Arial"/>
        </w:rPr>
      </w:pPr>
      <w:r>
        <w:rPr>
          <w:rFonts w:ascii="Arial" w:hAnsi="Arial"/>
        </w:rPr>
        <w:t>The issue of supervision of the sheltered residences is also under-regulated. While nursing homes and commercial 24h care homes must be registered with a voivod</w:t>
      </w:r>
      <w:r w:rsidR="00F458C6">
        <w:rPr>
          <w:rFonts w:ascii="Arial" w:hAnsi="Arial"/>
        </w:rPr>
        <w:t>e</w:t>
      </w:r>
      <w:r>
        <w:rPr>
          <w:rFonts w:ascii="Arial" w:hAnsi="Arial"/>
        </w:rPr>
        <w:t>, sheltered residences, family care centres and 24h care homes are only subject to the general provisions on supervision in social assistance.</w:t>
      </w:r>
    </w:p>
    <w:p w14:paraId="5BD56951" w14:textId="31E83DB7" w:rsidR="00E5058E" w:rsidRPr="00E5058E" w:rsidRDefault="00E5058E" w:rsidP="00E5058E">
      <w:pPr>
        <w:pStyle w:val="Akapitzlist"/>
        <w:spacing w:line="360" w:lineRule="auto"/>
        <w:ind w:left="0" w:firstLine="709"/>
        <w:jc w:val="both"/>
        <w:rPr>
          <w:rFonts w:ascii="Arial" w:hAnsi="Arial" w:cs="Arial"/>
        </w:rPr>
      </w:pPr>
      <w:r>
        <w:rPr>
          <w:rFonts w:ascii="Arial" w:hAnsi="Arial"/>
        </w:rPr>
        <w:t>There are many organisations in Poland managed by parents of persons with disabilities. Sometimes they use their own funds to build group homes for their growing children. However, these homes do not have statutory assurances of financing permanent stay, even though they constitute a much appreciated local and family alternative for large nursing homes. Therefore, the bottom-up initiative of establishing the so-called supported flats is now being developed under great pressure of social expectations – a form that is not present in the Polish legal system</w:t>
      </w:r>
      <w:r>
        <w:rPr>
          <w:rFonts w:ascii="Arial" w:hAnsi="Arial"/>
          <w:vertAlign w:val="superscript"/>
        </w:rPr>
        <w:footnoteReference w:id="130"/>
      </w:r>
      <w:r>
        <w:rPr>
          <w:rFonts w:ascii="Arial" w:hAnsi="Arial"/>
        </w:rPr>
        <w:t>.</w:t>
      </w:r>
    </w:p>
    <w:p w14:paraId="253640FD" w14:textId="77777777" w:rsidR="00E5058E" w:rsidRPr="00E5058E" w:rsidRDefault="00E5058E" w:rsidP="004A0102">
      <w:pPr>
        <w:pStyle w:val="Akapitzlist"/>
        <w:spacing w:line="360" w:lineRule="auto"/>
        <w:ind w:left="0" w:firstLine="709"/>
        <w:jc w:val="both"/>
        <w:rPr>
          <w:rFonts w:ascii="Arial" w:hAnsi="Arial" w:cs="Arial"/>
        </w:rPr>
      </w:pPr>
      <w:r>
        <w:rPr>
          <w:rFonts w:ascii="Arial" w:hAnsi="Arial"/>
        </w:rPr>
        <w:t xml:space="preserve">Therefore, an archaic model of comprehensive institutional care dominates in Poland, instead of promoting services rendered at the place of residence. The number of full-time nursing homes is still growing (from 803 in 2012 to 810 in 2013, and the number of residents </w:t>
      </w:r>
      <w:r>
        <w:rPr>
          <w:rFonts w:ascii="Arial" w:hAnsi="Arial"/>
        </w:rPr>
        <w:lastRenderedPageBreak/>
        <w:t>increased from 85,044 in</w:t>
      </w:r>
      <w:r>
        <w:t xml:space="preserve"> </w:t>
      </w:r>
      <w:r>
        <w:rPr>
          <w:rFonts w:ascii="Arial" w:hAnsi="Arial"/>
        </w:rPr>
        <w:t>2012 to 85,329 in 2013)</w:t>
      </w:r>
      <w:r>
        <w:rPr>
          <w:rFonts w:ascii="Arial" w:hAnsi="Arial"/>
          <w:vertAlign w:val="superscript"/>
        </w:rPr>
        <w:footnoteReference w:id="131"/>
      </w:r>
      <w:r>
        <w:rPr>
          <w:rFonts w:ascii="Arial" w:hAnsi="Arial"/>
        </w:rPr>
        <w:t>. The Ministry of Labour and Social Policy publishes the plans to further increase the number of places in nursing homes. To compare, the number of day care centres is slightly decreasing. In 2012, there were 230 homes with 19,596 places, while in 2013 – 226 homes with 19,278 places</w:t>
      </w:r>
      <w:r>
        <w:rPr>
          <w:rFonts w:ascii="Arial" w:hAnsi="Arial"/>
          <w:vertAlign w:val="superscript"/>
        </w:rPr>
        <w:footnoteReference w:id="132"/>
      </w:r>
      <w:r>
        <w:rPr>
          <w:rFonts w:ascii="Arial" w:hAnsi="Arial"/>
        </w:rPr>
        <w:t>. Support centres, including community self-aid centres, serve as alternative form of day care homes. Their number is slightly increasing compared with previous years (2012: 1,702 centres and 122,569 users; 2013: 1,760 centres and 126,892 users – the data does not distinguish persons with disabilities).</w:t>
      </w:r>
    </w:p>
    <w:p w14:paraId="2D67E75A" w14:textId="247BFD13" w:rsidR="00872FB5" w:rsidRDefault="00E5058E" w:rsidP="00872FB5">
      <w:pPr>
        <w:pStyle w:val="Akapitzlist"/>
        <w:spacing w:line="360" w:lineRule="auto"/>
        <w:ind w:left="0" w:firstLine="709"/>
        <w:jc w:val="both"/>
        <w:rPr>
          <w:rFonts w:ascii="Arial" w:hAnsi="Arial" w:cs="Arial"/>
        </w:rPr>
      </w:pPr>
      <w:r>
        <w:rPr>
          <w:rFonts w:ascii="Arial" w:hAnsi="Arial"/>
        </w:rPr>
        <w:t>In turn, public nursing and specialist care services at the place of residence were used by 102,770 persons in 2013 (including the sick and the elderly, not only persons with disabilities), which translates into a 2% rise over the course of a year</w:t>
      </w:r>
      <w:r>
        <w:rPr>
          <w:rFonts w:ascii="Arial" w:hAnsi="Arial"/>
          <w:vertAlign w:val="superscript"/>
        </w:rPr>
        <w:footnoteReference w:id="133"/>
      </w:r>
      <w:r>
        <w:rPr>
          <w:rFonts w:ascii="Arial" w:hAnsi="Arial"/>
        </w:rPr>
        <w:t>. These services are rendered for a fee, and depending on the income, it is possible to be exempted from paying the fees. No nursing care standards have been prepared until now. There are numerous concerns regarding their low quality (the current standard is that the municipalities do not employ their own care providers but they select external contractors, usually through a tender procedure based on the lowest price criterion, rarely through a competition for NGOs) and the fact that the person taking advantage of those services have no influence on who is going to render these services</w:t>
      </w:r>
      <w:r>
        <w:rPr>
          <w:rFonts w:ascii="Arial" w:hAnsi="Arial"/>
          <w:vertAlign w:val="superscript"/>
        </w:rPr>
        <w:footnoteReference w:id="134"/>
      </w:r>
      <w:r>
        <w:rPr>
          <w:rFonts w:ascii="Arial" w:hAnsi="Arial"/>
        </w:rPr>
        <w:t>. However, there are standards stipulated for 24h care homes (nursing homes)</w:t>
      </w:r>
      <w:r>
        <w:rPr>
          <w:rFonts w:ascii="Arial" w:hAnsi="Arial"/>
          <w:vertAlign w:val="superscript"/>
        </w:rPr>
        <w:footnoteReference w:id="135"/>
      </w:r>
      <w:r>
        <w:rPr>
          <w:rFonts w:ascii="Arial" w:hAnsi="Arial"/>
        </w:rPr>
        <w:t xml:space="preserve">. </w:t>
      </w:r>
    </w:p>
    <w:p w14:paraId="06233F71" w14:textId="66D51347" w:rsidR="00E5058E" w:rsidRPr="00872FB5" w:rsidRDefault="004A0102" w:rsidP="00872FB5">
      <w:pPr>
        <w:pStyle w:val="Akapitzlist"/>
        <w:spacing w:line="360" w:lineRule="auto"/>
        <w:ind w:left="0" w:firstLine="709"/>
        <w:jc w:val="both"/>
        <w:rPr>
          <w:rFonts w:ascii="Arial" w:hAnsi="Arial" w:cs="Arial"/>
        </w:rPr>
      </w:pPr>
      <w:r>
        <w:rPr>
          <w:rFonts w:ascii="Arial" w:hAnsi="Arial"/>
        </w:rPr>
        <w:t>According to the most recent information of the Ministry of Labour and Social Policy</w:t>
      </w:r>
      <w:r>
        <w:rPr>
          <w:rFonts w:ascii="Arial" w:hAnsi="Arial"/>
          <w:vertAlign w:val="superscript"/>
        </w:rPr>
        <w:footnoteReference w:id="136"/>
      </w:r>
      <w:r>
        <w:rPr>
          <w:rFonts w:ascii="Arial" w:hAnsi="Arial"/>
        </w:rPr>
        <w:t xml:space="preserve">, the annual allocation for the maintenance of nursing homes for persons with disabilities is PLN 1.8 billion, while over PLN 700 million is provided to finance care and support centres. </w:t>
      </w:r>
      <w:r>
        <w:rPr>
          <w:rFonts w:ascii="Arial" w:hAnsi="Arial"/>
          <w:b/>
        </w:rPr>
        <w:t>This ratio illustrates the advantage of the institutional care over the community care.</w:t>
      </w:r>
    </w:p>
    <w:p w14:paraId="31689181" w14:textId="43A876A7" w:rsidR="00E5058E" w:rsidRPr="00E5058E" w:rsidRDefault="00E5058E" w:rsidP="00885F45">
      <w:pPr>
        <w:pStyle w:val="Akapitzlist"/>
        <w:spacing w:after="0" w:line="360" w:lineRule="auto"/>
        <w:ind w:left="0" w:firstLine="709"/>
        <w:contextualSpacing w:val="0"/>
        <w:jc w:val="both"/>
        <w:rPr>
          <w:rFonts w:ascii="Arial" w:hAnsi="Arial" w:cs="Arial"/>
          <w:sz w:val="16"/>
          <w:szCs w:val="16"/>
        </w:rPr>
      </w:pPr>
      <w:r>
        <w:rPr>
          <w:rFonts w:ascii="Arial" w:hAnsi="Arial"/>
        </w:rPr>
        <w:t xml:space="preserve">The support of an assistance to a person with disabilities is a separate form of community support. Polish schools provide teaching programmes in this profession. An assistant may be employed by social assistance units or non-public institutions who are entrusted with such tasks. The services of an assistant are rendered under specialist care services or under employment relationship with a social assistance unit. Also, the data on employment in the social assistance sector published by the Ministry and Labour and Social </w:t>
      </w:r>
      <w:r>
        <w:rPr>
          <w:rFonts w:ascii="Arial" w:hAnsi="Arial"/>
        </w:rPr>
        <w:lastRenderedPageBreak/>
        <w:t>Policy lacks a separate category of employees entitled “assistant of a person with disabilities”. There is a high social demand for this form of support which, according to persons with disabilities, is something different than care services. This form is realised by some organisations as pilot projects, which are – by their nature – limited by time and budget. The support of an assistant is not always accurately designed in this system</w:t>
      </w:r>
      <w:r>
        <w:rPr>
          <w:rFonts w:ascii="Arial" w:hAnsi="Arial"/>
          <w:vertAlign w:val="superscript"/>
        </w:rPr>
        <w:footnoteReference w:id="137"/>
      </w:r>
      <w:r>
        <w:rPr>
          <w:rFonts w:ascii="Arial" w:hAnsi="Arial"/>
        </w:rPr>
        <w:t>.</w:t>
      </w:r>
    </w:p>
    <w:p w14:paraId="66836036" w14:textId="49EAB0FE" w:rsidR="00E5058E" w:rsidRPr="00885F45" w:rsidRDefault="00513129" w:rsidP="00885F45">
      <w:pPr>
        <w:pStyle w:val="Akapitzlist"/>
        <w:numPr>
          <w:ilvl w:val="0"/>
          <w:numId w:val="8"/>
        </w:numPr>
        <w:spacing w:before="120" w:after="120" w:line="360" w:lineRule="auto"/>
        <w:ind w:left="284" w:hanging="284"/>
        <w:contextualSpacing w:val="0"/>
        <w:jc w:val="both"/>
        <w:rPr>
          <w:rFonts w:ascii="Arial" w:hAnsi="Arial" w:cs="Arial"/>
          <w:b/>
        </w:rPr>
      </w:pPr>
      <w:r>
        <w:rPr>
          <w:rFonts w:ascii="Arial" w:hAnsi="Arial"/>
          <w:b/>
        </w:rPr>
        <w:t>Progress and successes in realisation of the right to living independently and being included in the community</w:t>
      </w:r>
    </w:p>
    <w:p w14:paraId="590EEB75" w14:textId="77777777" w:rsidR="00A65790" w:rsidRDefault="00E5058E" w:rsidP="00A65790">
      <w:pPr>
        <w:spacing w:after="0" w:line="360" w:lineRule="auto"/>
        <w:ind w:firstLine="709"/>
        <w:jc w:val="both"/>
        <w:rPr>
          <w:rFonts w:ascii="Arial" w:hAnsi="Arial" w:cs="Arial"/>
        </w:rPr>
      </w:pPr>
      <w:r>
        <w:rPr>
          <w:rFonts w:ascii="Arial" w:hAnsi="Arial"/>
        </w:rPr>
        <w:t>The interested communities of persons with disabilities and the organisations representing them have drawn up a major set of different solutions, where some of them were implemented in the form of pilot projects limited by time. It applies both to support of an assistant of a person with disabilities and supported housing.</w:t>
      </w:r>
    </w:p>
    <w:p w14:paraId="2C6BBA4D" w14:textId="7A963C36" w:rsidR="00A65790" w:rsidRDefault="00A65790" w:rsidP="00A65790">
      <w:pPr>
        <w:spacing w:after="0" w:line="360" w:lineRule="auto"/>
        <w:ind w:firstLine="709"/>
        <w:jc w:val="both"/>
        <w:rPr>
          <w:rFonts w:ascii="Arial" w:hAnsi="Arial" w:cs="Arial"/>
        </w:rPr>
      </w:pPr>
      <w:r>
        <w:rPr>
          <w:rFonts w:ascii="Arial" w:hAnsi="Arial"/>
        </w:rPr>
        <w:t xml:space="preserve">Under the </w:t>
      </w:r>
      <w:r>
        <w:rPr>
          <w:rFonts w:ascii="Arial" w:hAnsi="Arial"/>
          <w:i/>
        </w:rPr>
        <w:t>Operational Programme Human Capital</w:t>
      </w:r>
      <w:r>
        <w:rPr>
          <w:rFonts w:ascii="Arial" w:hAnsi="Arial"/>
        </w:rPr>
        <w:t xml:space="preserve">, co-financed in 2007-2013 from the funds of the European Social Fund, a systemic project 1.18 </w:t>
      </w:r>
      <w:r>
        <w:rPr>
          <w:rFonts w:ascii="Arial" w:hAnsi="Arial"/>
          <w:i/>
        </w:rPr>
        <w:t>Creating and developing standards of social aid and integration services</w:t>
      </w:r>
      <w:r>
        <w:rPr>
          <w:rFonts w:ascii="Arial" w:hAnsi="Arial"/>
        </w:rPr>
        <w:t xml:space="preserve"> was implemented. In 2012-2013, certain standards and models of social assistance institutions are implemented as pilot projects in selected locations. In the course of project realisation, there are plans to draw up proposals of legal acts within the scope of systemic changes.</w:t>
      </w:r>
    </w:p>
    <w:p w14:paraId="3BD6EACC" w14:textId="3A2BC7A7" w:rsidR="00A65790" w:rsidRDefault="00E5058E" w:rsidP="00A65790">
      <w:pPr>
        <w:spacing w:after="0" w:line="360" w:lineRule="auto"/>
        <w:ind w:firstLine="709"/>
        <w:jc w:val="both"/>
        <w:rPr>
          <w:rFonts w:ascii="Arial" w:hAnsi="Arial" w:cs="Arial"/>
        </w:rPr>
      </w:pPr>
      <w:r>
        <w:rPr>
          <w:rFonts w:ascii="Arial" w:hAnsi="Arial"/>
        </w:rPr>
        <w:t xml:space="preserve">Under the national </w:t>
      </w:r>
      <w:r>
        <w:rPr>
          <w:rFonts w:ascii="Arial" w:hAnsi="Arial"/>
          <w:i/>
        </w:rPr>
        <w:t>Operational Programme Knowledge, Education and Development</w:t>
      </w:r>
      <w:r>
        <w:rPr>
          <w:rFonts w:ascii="Arial" w:hAnsi="Arial"/>
        </w:rPr>
        <w:t xml:space="preserve"> to be co-financed in 2014-2020</w:t>
      </w:r>
      <w:r>
        <w:rPr>
          <w:rFonts w:ascii="Arial" w:hAnsi="Arial"/>
          <w:vertAlign w:val="superscript"/>
        </w:rPr>
        <w:footnoteReference w:id="138"/>
      </w:r>
      <w:r>
        <w:rPr>
          <w:rFonts w:ascii="Arial" w:hAnsi="Arial"/>
        </w:rPr>
        <w:t xml:space="preserve"> from the funds of the European Social Fund, one of the objectives of the 9.7 investment priority is the improvement of the social and healthcare services rendered to persons at risk of social exclusion. As a result of the measures undertaken, standards of services under the inclusion policy are to be drawn up. Examples of typical operations include creating and implementing solutions to deinstitutionalise social services, including the system of supported housing.</w:t>
      </w:r>
    </w:p>
    <w:p w14:paraId="28D74F43" w14:textId="6E58F4D0" w:rsidR="00E5058E" w:rsidRPr="00E5058E" w:rsidRDefault="00E5058E" w:rsidP="00E5058E">
      <w:pPr>
        <w:spacing w:after="0" w:line="360" w:lineRule="auto"/>
        <w:ind w:firstLine="709"/>
        <w:jc w:val="both"/>
        <w:rPr>
          <w:rFonts w:ascii="Arial" w:hAnsi="Arial" w:cs="Arial"/>
          <w:sz w:val="16"/>
          <w:szCs w:val="16"/>
        </w:rPr>
      </w:pPr>
      <w:r>
        <w:rPr>
          <w:rFonts w:ascii="Arial" w:hAnsi="Arial"/>
        </w:rPr>
        <w:t>On 24 December 2012, the Minister of Labour and Social Policy established a team for systemic solutions for persons with disabilities, whose works are supplemented by a sub-team for housing affairs. Moreover, supported residences were included in 2013 as a new form of support for the assumptions for the draft act to amend the act on social assistance.</w:t>
      </w:r>
    </w:p>
    <w:p w14:paraId="67087ADB" w14:textId="6224A6B0" w:rsidR="00513129" w:rsidRDefault="00513129" w:rsidP="00885F45">
      <w:pPr>
        <w:pStyle w:val="Akapitzlist"/>
        <w:numPr>
          <w:ilvl w:val="0"/>
          <w:numId w:val="8"/>
        </w:numPr>
        <w:spacing w:before="120" w:after="120" w:line="360" w:lineRule="auto"/>
        <w:ind w:left="284" w:hanging="284"/>
        <w:contextualSpacing w:val="0"/>
        <w:jc w:val="both"/>
        <w:rPr>
          <w:rFonts w:ascii="Arial" w:hAnsi="Arial" w:cs="Arial"/>
          <w:b/>
        </w:rPr>
      </w:pPr>
      <w:r>
        <w:rPr>
          <w:rFonts w:ascii="Arial" w:hAnsi="Arial"/>
          <w:b/>
        </w:rPr>
        <w:t>Major problems and barriers in realisation of the right to living independently and being included in the community</w:t>
      </w:r>
    </w:p>
    <w:p w14:paraId="7089DB51" w14:textId="77777777" w:rsidR="0012538D" w:rsidRDefault="00E5058E" w:rsidP="0012538D">
      <w:pPr>
        <w:spacing w:after="0" w:line="360" w:lineRule="auto"/>
        <w:ind w:firstLine="709"/>
        <w:jc w:val="both"/>
        <w:rPr>
          <w:rFonts w:ascii="Arial" w:hAnsi="Arial" w:cs="Arial"/>
        </w:rPr>
      </w:pPr>
      <w:r>
        <w:rPr>
          <w:rFonts w:ascii="Arial" w:hAnsi="Arial"/>
        </w:rPr>
        <w:lastRenderedPageBreak/>
        <w:t>The solutions tested in pilot programmes concerning sheltered residences, assistants of persons with disabilities or standards of care standards are not implemented systemically; moreover, there are no long-term plans to this end.</w:t>
      </w:r>
    </w:p>
    <w:p w14:paraId="2B06BB78" w14:textId="77777777" w:rsidR="00552608" w:rsidRDefault="0012538D" w:rsidP="00872FB5">
      <w:pPr>
        <w:spacing w:after="0" w:line="360" w:lineRule="auto"/>
        <w:ind w:firstLine="709"/>
        <w:jc w:val="both"/>
        <w:rPr>
          <w:rFonts w:ascii="Arial" w:hAnsi="Arial"/>
        </w:rPr>
      </w:pPr>
      <w:r>
        <w:rPr>
          <w:rFonts w:ascii="Arial" w:hAnsi="Arial"/>
        </w:rPr>
        <w:t>Despite the wording of Article 19 of the Convention on the Rights of Persons with Disabilities as well as the guidelines of the European Group of Experts on the Transition from Institutional to Community-Based Care</w:t>
      </w:r>
      <w:r>
        <w:rPr>
          <w:rStyle w:val="Odwoanieprzypisudolnego"/>
          <w:rFonts w:ascii="Arial" w:hAnsi="Arial"/>
        </w:rPr>
        <w:footnoteReference w:id="139"/>
      </w:r>
      <w:r>
        <w:rPr>
          <w:rFonts w:ascii="Arial" w:hAnsi="Arial"/>
        </w:rPr>
        <w:t>, the Ministry of Labour and Social Policy plans to further increase the number of places in nursing homes</w:t>
      </w:r>
      <w:r>
        <w:rPr>
          <w:rFonts w:ascii="Arial" w:hAnsi="Arial"/>
          <w:vertAlign w:val="superscript"/>
        </w:rPr>
        <w:footnoteReference w:id="140"/>
      </w:r>
      <w:r>
        <w:rPr>
          <w:rFonts w:ascii="Arial" w:hAnsi="Arial"/>
        </w:rPr>
        <w:t xml:space="preserve">. A barrier of the deinstitutionalisation process is also formed by the strong opposition of the employees of nursing homes (51 thousand persons) and some officials, who have successfully modernised </w:t>
      </w:r>
    </w:p>
    <w:p w14:paraId="73AFB2DA" w14:textId="3C52B7FF" w:rsidR="00872FB5" w:rsidRDefault="0012538D" w:rsidP="00552608">
      <w:pPr>
        <w:spacing w:after="0" w:line="360" w:lineRule="auto"/>
        <w:jc w:val="both"/>
        <w:rPr>
          <w:rFonts w:ascii="Arial" w:hAnsi="Arial" w:cs="Arial"/>
        </w:rPr>
      </w:pPr>
      <w:r>
        <w:rPr>
          <w:rFonts w:ascii="Arial" w:hAnsi="Arial"/>
        </w:rPr>
        <w:t>Polish nursing homes based on the standards. They warn against “underestimating the significance” of nursing homes and “the tendency to renewed degeneration of resources”</w:t>
      </w:r>
      <w:r>
        <w:rPr>
          <w:rFonts w:ascii="Arial" w:hAnsi="Arial"/>
          <w:vertAlign w:val="superscript"/>
        </w:rPr>
        <w:footnoteReference w:id="141"/>
      </w:r>
      <w:r>
        <w:rPr>
          <w:rFonts w:ascii="Arial" w:hAnsi="Arial"/>
        </w:rPr>
        <w:t>.</w:t>
      </w:r>
    </w:p>
    <w:p w14:paraId="366D3BEC" w14:textId="182B4D3B" w:rsidR="00FF5218" w:rsidRDefault="0012538D" w:rsidP="00872FB5">
      <w:pPr>
        <w:spacing w:after="0" w:line="360" w:lineRule="auto"/>
        <w:ind w:firstLine="709"/>
        <w:jc w:val="both"/>
        <w:rPr>
          <w:rFonts w:ascii="Arial" w:hAnsi="Arial" w:cs="Arial"/>
        </w:rPr>
      </w:pPr>
      <w:r>
        <w:rPr>
          <w:rFonts w:ascii="Arial" w:hAnsi="Arial"/>
        </w:rPr>
        <w:t>Another significant problem is posed by the income criterion, which also applies to persons with disabilities, thus preventing many of them to take advantage of those services, and it does not relieve them of the burden of living costs, including housing, food, medication. It forces such persons to use institutional care, where full living services are provided, and if the funds are insufficient, financing from the municipality is ensured.</w:t>
      </w:r>
    </w:p>
    <w:p w14:paraId="09512502" w14:textId="77777777" w:rsidR="00513129" w:rsidRDefault="00513129" w:rsidP="00885F45">
      <w:pPr>
        <w:pStyle w:val="Akapitzlist"/>
        <w:numPr>
          <w:ilvl w:val="0"/>
          <w:numId w:val="8"/>
        </w:numPr>
        <w:spacing w:before="120" w:after="120" w:line="360" w:lineRule="auto"/>
        <w:ind w:left="284" w:hanging="284"/>
        <w:contextualSpacing w:val="0"/>
        <w:jc w:val="both"/>
        <w:rPr>
          <w:rFonts w:ascii="Arial" w:hAnsi="Arial" w:cs="Arial"/>
          <w:b/>
        </w:rPr>
      </w:pPr>
      <w:r>
        <w:rPr>
          <w:rFonts w:ascii="Arial" w:hAnsi="Arial"/>
          <w:b/>
        </w:rPr>
        <w:t>Results of available studies and statistical data</w:t>
      </w:r>
    </w:p>
    <w:p w14:paraId="326157B7" w14:textId="7BEDD410" w:rsidR="00131D67" w:rsidRPr="00131D67" w:rsidRDefault="00E80F29" w:rsidP="00E80F29">
      <w:pPr>
        <w:spacing w:after="0" w:line="360" w:lineRule="auto"/>
        <w:ind w:firstLine="709"/>
        <w:jc w:val="both"/>
        <w:rPr>
          <w:rFonts w:ascii="Arial" w:hAnsi="Arial" w:cs="Arial"/>
        </w:rPr>
      </w:pPr>
      <w:r>
        <w:rPr>
          <w:rFonts w:ascii="Arial" w:hAnsi="Arial"/>
        </w:rPr>
        <w:t>Since ratification of the Convention on the Rights of Persons with Disabilities, no Poland-wide studies were carried out with respect to living independently by persons with disabilities. Important conclusions can be, however, drawn from the studies conducted in nursing homes in Łódź</w:t>
      </w:r>
      <w:r>
        <w:rPr>
          <w:rStyle w:val="Odwoanieprzypisudolnego"/>
          <w:rFonts w:ascii="Arial" w:hAnsi="Arial"/>
        </w:rPr>
        <w:footnoteReference w:id="142"/>
      </w:r>
      <w:r>
        <w:rPr>
          <w:rFonts w:ascii="Arial" w:hAnsi="Arial"/>
        </w:rPr>
        <w:t>. As a consequence of the inspections held, unreasonable limitation of the residents’ independence was determined. These limitations were both due from the regulations of the nursing homes and the not regulated practice. In majority, they were applied to all residents of the given nursing home, irrespective of whether the type and degree of disability justified the given restriction or not.</w:t>
      </w:r>
    </w:p>
    <w:p w14:paraId="5B6EE79D" w14:textId="77777777" w:rsidR="00131D67" w:rsidRPr="00131D67" w:rsidRDefault="00131D67" w:rsidP="00251674">
      <w:pPr>
        <w:spacing w:after="0" w:line="360" w:lineRule="auto"/>
        <w:ind w:firstLine="709"/>
        <w:jc w:val="both"/>
        <w:rPr>
          <w:rFonts w:ascii="Arial" w:hAnsi="Arial" w:cs="Arial"/>
        </w:rPr>
      </w:pPr>
      <w:r>
        <w:rPr>
          <w:rFonts w:ascii="Arial" w:hAnsi="Arial"/>
        </w:rPr>
        <w:t xml:space="preserve"> Sample regulations and practices that restrict the rights and freedoms of residents of nursing homes are as follows:</w:t>
      </w:r>
    </w:p>
    <w:p w14:paraId="48B84D99" w14:textId="77777777" w:rsidR="00BB5248" w:rsidRDefault="00131D67" w:rsidP="003D345C">
      <w:pPr>
        <w:pStyle w:val="Akapitzlist"/>
        <w:numPr>
          <w:ilvl w:val="0"/>
          <w:numId w:val="47"/>
        </w:numPr>
        <w:spacing w:after="0" w:line="360" w:lineRule="auto"/>
        <w:ind w:left="284" w:hanging="284"/>
        <w:jc w:val="both"/>
        <w:rPr>
          <w:rFonts w:ascii="Arial" w:hAnsi="Arial" w:cs="Arial"/>
        </w:rPr>
      </w:pPr>
      <w:r>
        <w:rPr>
          <w:rFonts w:ascii="Arial" w:hAnsi="Arial"/>
        </w:rPr>
        <w:t>the obligation to report the willingness to leave the premises of the nursing home at least three days before the planned date; no possibility to return to the nursing home at night;</w:t>
      </w:r>
    </w:p>
    <w:p w14:paraId="6185BF12" w14:textId="205A7BBC" w:rsidR="00131D67" w:rsidRPr="00BB5248" w:rsidRDefault="00BB5248" w:rsidP="003D345C">
      <w:pPr>
        <w:pStyle w:val="Akapitzlist"/>
        <w:numPr>
          <w:ilvl w:val="0"/>
          <w:numId w:val="47"/>
        </w:numPr>
        <w:spacing w:after="0" w:line="360" w:lineRule="auto"/>
        <w:ind w:left="284" w:hanging="284"/>
        <w:jc w:val="both"/>
        <w:rPr>
          <w:rFonts w:ascii="Arial" w:hAnsi="Arial" w:cs="Arial"/>
        </w:rPr>
      </w:pPr>
      <w:r>
        <w:rPr>
          <w:rFonts w:ascii="Arial" w:hAnsi="Arial"/>
        </w:rPr>
        <w:lastRenderedPageBreak/>
        <w:t>the obligation to leave valuables in the deposit of the nursing home, irrespective of whether the resident is able to dispose of their property;</w:t>
      </w:r>
    </w:p>
    <w:p w14:paraId="6300033B" w14:textId="22D8F9D9" w:rsidR="00131D67" w:rsidRPr="00131D67" w:rsidRDefault="00131D67" w:rsidP="003D345C">
      <w:pPr>
        <w:pStyle w:val="Akapitzlist"/>
        <w:numPr>
          <w:ilvl w:val="0"/>
          <w:numId w:val="47"/>
        </w:numPr>
        <w:spacing w:after="0" w:line="360" w:lineRule="auto"/>
        <w:ind w:left="284" w:hanging="284"/>
        <w:jc w:val="both"/>
        <w:rPr>
          <w:rFonts w:ascii="Arial" w:hAnsi="Arial" w:cs="Arial"/>
        </w:rPr>
      </w:pPr>
      <w:r>
        <w:rPr>
          <w:rFonts w:ascii="Arial" w:hAnsi="Arial"/>
        </w:rPr>
        <w:t xml:space="preserve">the lack of possibility to decide by the nursing home residents about their private lives, which is visible e.g. in: </w:t>
      </w:r>
    </w:p>
    <w:p w14:paraId="1288EBA4" w14:textId="77777777" w:rsidR="00131D67" w:rsidRPr="00131D67" w:rsidRDefault="00131D67" w:rsidP="00E01A66">
      <w:pPr>
        <w:pStyle w:val="Akapitzlist"/>
        <w:numPr>
          <w:ilvl w:val="0"/>
          <w:numId w:val="56"/>
        </w:numPr>
        <w:spacing w:after="0" w:line="360" w:lineRule="auto"/>
        <w:jc w:val="both"/>
        <w:rPr>
          <w:rFonts w:ascii="Arial" w:hAnsi="Arial" w:cs="Arial"/>
        </w:rPr>
      </w:pPr>
      <w:r>
        <w:rPr>
          <w:rFonts w:ascii="Arial" w:hAnsi="Arial"/>
        </w:rPr>
        <w:t xml:space="preserve">the lack of the possibility to lock the doors to the room, irrespective of whether it is justified by the degree and type of disability of the resident; </w:t>
      </w:r>
    </w:p>
    <w:p w14:paraId="29C4BA10" w14:textId="77777777" w:rsidR="00131D67" w:rsidRPr="00131D67" w:rsidRDefault="00131D67" w:rsidP="00E01A66">
      <w:pPr>
        <w:pStyle w:val="Akapitzlist"/>
        <w:numPr>
          <w:ilvl w:val="0"/>
          <w:numId w:val="56"/>
        </w:numPr>
        <w:spacing w:after="0" w:line="360" w:lineRule="auto"/>
        <w:jc w:val="both"/>
        <w:rPr>
          <w:rFonts w:ascii="Arial" w:hAnsi="Arial" w:cs="Arial"/>
        </w:rPr>
      </w:pPr>
      <w:r>
        <w:rPr>
          <w:rFonts w:ascii="Arial" w:hAnsi="Arial"/>
        </w:rPr>
        <w:t>the restrictions in accepting guests by determining visiting hours or the necessity for the guests to sign a volunteering contract;</w:t>
      </w:r>
    </w:p>
    <w:p w14:paraId="7B22B639" w14:textId="77777777" w:rsidR="00131D67" w:rsidRPr="00131D67" w:rsidRDefault="00BB5248" w:rsidP="00E01A66">
      <w:pPr>
        <w:pStyle w:val="Akapitzlist"/>
        <w:numPr>
          <w:ilvl w:val="0"/>
          <w:numId w:val="56"/>
        </w:numPr>
        <w:spacing w:after="0" w:line="360" w:lineRule="auto"/>
        <w:jc w:val="both"/>
        <w:rPr>
          <w:rFonts w:ascii="Arial" w:hAnsi="Arial" w:cs="Arial"/>
        </w:rPr>
      </w:pPr>
      <w:r>
        <w:rPr>
          <w:rFonts w:ascii="Arial" w:hAnsi="Arial"/>
        </w:rPr>
        <w:t xml:space="preserve">the internal regulations, in line with which </w:t>
      </w:r>
      <w:r>
        <w:rPr>
          <w:rFonts w:ascii="Arial" w:hAnsi="Arial"/>
          <w:i/>
        </w:rPr>
        <w:t>the right to realise the sexual needs of legally incapacitated persons is controlled by their legal guardians, by leaving a relevant declaration with the social worker</w:t>
      </w:r>
      <w:r>
        <w:rPr>
          <w:rFonts w:ascii="Arial" w:hAnsi="Arial"/>
        </w:rPr>
        <w:t xml:space="preserve"> (a provision discovered in the regulations of one nursing home).</w:t>
      </w:r>
    </w:p>
    <w:p w14:paraId="3EE11003" w14:textId="77777777" w:rsidR="00513129" w:rsidRPr="006317A2" w:rsidRDefault="00E5058E" w:rsidP="00885F45">
      <w:pPr>
        <w:pStyle w:val="Akapitzlist"/>
        <w:numPr>
          <w:ilvl w:val="0"/>
          <w:numId w:val="8"/>
        </w:numPr>
        <w:spacing w:before="120" w:after="120" w:line="360" w:lineRule="auto"/>
        <w:ind w:left="284" w:hanging="284"/>
        <w:contextualSpacing w:val="0"/>
        <w:jc w:val="both"/>
        <w:rPr>
          <w:rFonts w:ascii="Arial" w:hAnsi="Arial" w:cs="Arial"/>
          <w:b/>
        </w:rPr>
      </w:pPr>
      <w:r>
        <w:rPr>
          <w:rFonts w:ascii="Arial" w:hAnsi="Arial"/>
          <w:b/>
        </w:rPr>
        <w:t>Major recommendations</w:t>
      </w:r>
    </w:p>
    <w:p w14:paraId="608A9FDB" w14:textId="7A2F3203" w:rsidR="00FF5218" w:rsidRPr="00FF5218" w:rsidRDefault="00FF5218" w:rsidP="00FF5218">
      <w:pPr>
        <w:pStyle w:val="Akapitzlist"/>
        <w:spacing w:after="0" w:line="360" w:lineRule="auto"/>
        <w:ind w:left="0" w:firstLine="709"/>
        <w:jc w:val="both"/>
        <w:rPr>
          <w:rFonts w:ascii="Arial" w:hAnsi="Arial" w:cs="Arial"/>
          <w:bCs/>
        </w:rPr>
      </w:pPr>
      <w:r>
        <w:rPr>
          <w:rFonts w:ascii="Arial" w:hAnsi="Arial"/>
        </w:rPr>
        <w:t>According to the Human Rights Defender, in order to realise the right of persons with disabilities to the live independently and be included in the society, it is necessary to:</w:t>
      </w:r>
    </w:p>
    <w:p w14:paraId="412372BE" w14:textId="77777777" w:rsidR="00E12B94" w:rsidRPr="00E12B94" w:rsidRDefault="00FF5218" w:rsidP="003D345C">
      <w:pPr>
        <w:pStyle w:val="Akapitzlist"/>
        <w:numPr>
          <w:ilvl w:val="0"/>
          <w:numId w:val="46"/>
        </w:numPr>
        <w:spacing w:line="360" w:lineRule="auto"/>
        <w:ind w:left="284" w:hanging="284"/>
        <w:jc w:val="both"/>
        <w:rPr>
          <w:rFonts w:ascii="Arial" w:hAnsi="Arial" w:cs="Arial"/>
          <w:bCs/>
        </w:rPr>
      </w:pPr>
      <w:r>
        <w:rPr>
          <w:rFonts w:ascii="Arial" w:hAnsi="Arial"/>
        </w:rPr>
        <w:t>equal treatment of all three forms of supported housing, regulated by the Act on social assistance, also in the area of financing, giving the person with disabilities the option to choose the place and form or housing, and primarily enabling that person to remain in the local community;</w:t>
      </w:r>
    </w:p>
    <w:p w14:paraId="07F5C93B" w14:textId="77777777" w:rsidR="00E12B94" w:rsidRPr="00E12B94" w:rsidRDefault="009F1009" w:rsidP="003D345C">
      <w:pPr>
        <w:pStyle w:val="Akapitzlist"/>
        <w:numPr>
          <w:ilvl w:val="0"/>
          <w:numId w:val="46"/>
        </w:numPr>
        <w:spacing w:line="360" w:lineRule="auto"/>
        <w:ind w:left="284" w:hanging="284"/>
        <w:jc w:val="both"/>
        <w:rPr>
          <w:rFonts w:ascii="Arial" w:hAnsi="Arial" w:cs="Arial"/>
          <w:bCs/>
        </w:rPr>
      </w:pPr>
      <w:r>
        <w:rPr>
          <w:rFonts w:ascii="Arial" w:hAnsi="Arial"/>
        </w:rPr>
        <w:t>increase accessibility of care services rendered at the place of residence of the person with disabilities. These services should be rendered free of charge;</w:t>
      </w:r>
    </w:p>
    <w:p w14:paraId="7B35869D" w14:textId="77777777" w:rsidR="00E12B94" w:rsidRPr="00E12B94" w:rsidRDefault="009F1009" w:rsidP="003D345C">
      <w:pPr>
        <w:pStyle w:val="Akapitzlist"/>
        <w:numPr>
          <w:ilvl w:val="0"/>
          <w:numId w:val="46"/>
        </w:numPr>
        <w:spacing w:line="360" w:lineRule="auto"/>
        <w:ind w:left="284" w:hanging="284"/>
        <w:jc w:val="both"/>
        <w:rPr>
          <w:rFonts w:ascii="Arial" w:hAnsi="Arial" w:cs="Arial"/>
          <w:bCs/>
        </w:rPr>
      </w:pPr>
      <w:r>
        <w:rPr>
          <w:rFonts w:ascii="Arial" w:hAnsi="Arial"/>
        </w:rPr>
        <w:t>consider in the provisions on social assistance the services of an assistant to a person with disabilities, which are separated from care services;</w:t>
      </w:r>
    </w:p>
    <w:p w14:paraId="4F7A3F5A" w14:textId="77777777" w:rsidR="00E12B94" w:rsidRDefault="009F1009" w:rsidP="003D345C">
      <w:pPr>
        <w:pStyle w:val="Akapitzlist"/>
        <w:numPr>
          <w:ilvl w:val="0"/>
          <w:numId w:val="46"/>
        </w:numPr>
        <w:spacing w:line="360" w:lineRule="auto"/>
        <w:ind w:left="284" w:hanging="284"/>
        <w:jc w:val="both"/>
        <w:rPr>
          <w:rFonts w:ascii="Arial" w:hAnsi="Arial" w:cs="Arial"/>
          <w:bCs/>
        </w:rPr>
      </w:pPr>
      <w:r>
        <w:rPr>
          <w:rFonts w:ascii="Arial" w:hAnsi="Arial"/>
        </w:rPr>
        <w:t>introduce relevant changes in legislation so that it could be possible to enter a tenancy agreement for municipal premises for a limited time. By releasing some of the resources, local governments would gain more flexibility in managing their housing resources, which is a necessary condition to reasonably meet the housing needs of the most vulnerable category of residents. At the moment, municipal flats are only leased for unlimited time period, which means that they are occupied for years by persons that no longer meet the criteria that entitle them to rent such a flat;</w:t>
      </w:r>
    </w:p>
    <w:p w14:paraId="1FDD4586" w14:textId="77777777" w:rsidR="000809B5" w:rsidRPr="00E12B94" w:rsidRDefault="000809B5" w:rsidP="003D345C">
      <w:pPr>
        <w:pStyle w:val="Akapitzlist"/>
        <w:numPr>
          <w:ilvl w:val="0"/>
          <w:numId w:val="46"/>
        </w:numPr>
        <w:spacing w:line="360" w:lineRule="auto"/>
        <w:ind w:left="284" w:hanging="284"/>
        <w:jc w:val="both"/>
        <w:rPr>
          <w:rFonts w:ascii="Arial" w:hAnsi="Arial" w:cs="Arial"/>
          <w:bCs/>
        </w:rPr>
      </w:pPr>
      <w:r>
        <w:rPr>
          <w:rFonts w:ascii="Arial" w:hAnsi="Arial"/>
        </w:rPr>
        <w:t>regulate, in a precise manner, the rights and duties of persons with disabilities residing at nursing homes, so that they would be ensured safety and protection against abuse while respecting the rights, will and preferences of persons with disabilities.</w:t>
      </w:r>
    </w:p>
    <w:p w14:paraId="343A0CF3" w14:textId="77777777" w:rsidR="006317A2" w:rsidRPr="00A82C37" w:rsidRDefault="006317A2" w:rsidP="00E95991">
      <w:pPr>
        <w:pStyle w:val="Nagwek2"/>
      </w:pPr>
      <w:bookmarkStart w:id="27" w:name="_Toc403999539"/>
      <w:bookmarkStart w:id="28" w:name="_Toc424279003"/>
      <w:r>
        <w:lastRenderedPageBreak/>
        <w:t>Article 20 – Personal mobility</w:t>
      </w:r>
      <w:bookmarkEnd w:id="27"/>
      <w:bookmarkEnd w:id="28"/>
    </w:p>
    <w:p w14:paraId="183D0196" w14:textId="77777777" w:rsidR="007E3B00" w:rsidRDefault="007E3B00" w:rsidP="00885F45">
      <w:pPr>
        <w:pStyle w:val="Akapitzlist"/>
        <w:numPr>
          <w:ilvl w:val="0"/>
          <w:numId w:val="9"/>
        </w:numPr>
        <w:spacing w:before="120" w:after="120" w:line="360" w:lineRule="auto"/>
        <w:ind w:left="284" w:hanging="284"/>
        <w:jc w:val="both"/>
        <w:rPr>
          <w:rFonts w:ascii="Arial" w:hAnsi="Arial" w:cs="Arial"/>
          <w:b/>
        </w:rPr>
      </w:pPr>
      <w:r>
        <w:rPr>
          <w:rFonts w:ascii="Arial" w:hAnsi="Arial"/>
          <w:b/>
        </w:rPr>
        <w:t>Introduction – short description</w:t>
      </w:r>
    </w:p>
    <w:p w14:paraId="04520F57" w14:textId="0C36796A" w:rsidR="00D47CA7" w:rsidRDefault="00D47CA7" w:rsidP="00D47CA7">
      <w:pPr>
        <w:spacing w:after="0" w:line="360" w:lineRule="auto"/>
        <w:ind w:firstLine="709"/>
        <w:jc w:val="both"/>
        <w:rPr>
          <w:rFonts w:ascii="Arial" w:hAnsi="Arial" w:cs="Arial"/>
        </w:rPr>
      </w:pPr>
      <w:r>
        <w:rPr>
          <w:rFonts w:ascii="Arial" w:hAnsi="Arial"/>
        </w:rPr>
        <w:t>In line with the provisions of the Transportation Law Act</w:t>
      </w:r>
      <w:r>
        <w:rPr>
          <w:rStyle w:val="Odwoanieprzypisudolnego"/>
          <w:rFonts w:ascii="Arial" w:hAnsi="Arial"/>
        </w:rPr>
        <w:footnoteReference w:id="143"/>
      </w:r>
      <w:r>
        <w:rPr>
          <w:rFonts w:ascii="Arial" w:hAnsi="Arial"/>
        </w:rPr>
        <w:t xml:space="preserve"> that regulates the transport of persons and property rendered for a fee under an agreement by entitled carriers, except for sea and air transportation, the carrier should undertake measures facilitating the passengers, in particular persons with limited personal mobility and persons with disabilities to use means of transport. Similar regulations are not included in the Act on road transport</w:t>
      </w:r>
      <w:r>
        <w:rPr>
          <w:rStyle w:val="Odwoanieprzypisudolnego"/>
          <w:rFonts w:ascii="Arial" w:hAnsi="Arial"/>
        </w:rPr>
        <w:footnoteReference w:id="144"/>
      </w:r>
      <w:r>
        <w:rPr>
          <w:rFonts w:ascii="Arial" w:hAnsi="Arial"/>
        </w:rPr>
        <w:t xml:space="preserve"> nor in the Act on railway transport</w:t>
      </w:r>
      <w:r>
        <w:rPr>
          <w:rStyle w:val="Odwoanieprzypisudolnego"/>
          <w:rFonts w:ascii="Arial" w:hAnsi="Arial"/>
        </w:rPr>
        <w:footnoteReference w:id="145"/>
      </w:r>
      <w:r>
        <w:rPr>
          <w:rFonts w:ascii="Arial" w:hAnsi="Arial"/>
        </w:rPr>
        <w:t xml:space="preserve">. </w:t>
      </w:r>
    </w:p>
    <w:p w14:paraId="5B23406A" w14:textId="146E55A0" w:rsidR="00D770B5" w:rsidRPr="00D47CA7" w:rsidRDefault="00D770B5" w:rsidP="00D47CA7">
      <w:pPr>
        <w:spacing w:after="0" w:line="360" w:lineRule="auto"/>
        <w:ind w:firstLine="709"/>
        <w:jc w:val="both"/>
        <w:rPr>
          <w:rFonts w:ascii="Arial" w:hAnsi="Arial" w:cs="Arial"/>
        </w:rPr>
      </w:pPr>
      <w:r>
        <w:rPr>
          <w:rFonts w:ascii="Arial" w:hAnsi="Arial"/>
        </w:rPr>
        <w:t>Moreover, EU legislation applies directly within the Polish legal system, including: Regulation no. 181/2011 concerning the rights of passengers in bus and coach transport</w:t>
      </w:r>
      <w:r>
        <w:rPr>
          <w:rStyle w:val="Odwoanieprzypisudolnego"/>
          <w:rFonts w:ascii="Arial" w:hAnsi="Arial"/>
        </w:rPr>
        <w:footnoteReference w:id="146"/>
      </w:r>
      <w:r>
        <w:rPr>
          <w:rFonts w:ascii="Arial" w:hAnsi="Arial"/>
        </w:rPr>
        <w:t>, Regulation no. 1371/2007 on rail passengers’ rights and obligations</w:t>
      </w:r>
      <w:r>
        <w:rPr>
          <w:rStyle w:val="Odwoanieprzypisudolnego"/>
          <w:rFonts w:ascii="Arial" w:hAnsi="Arial"/>
        </w:rPr>
        <w:footnoteReference w:id="147"/>
      </w:r>
      <w:r>
        <w:rPr>
          <w:rFonts w:ascii="Arial" w:hAnsi="Arial"/>
        </w:rPr>
        <w:t>, Regulation no. 1107/2006 concerning the rights of disabled persons and persons with reduced mobility when travelling by air</w:t>
      </w:r>
      <w:r>
        <w:rPr>
          <w:rStyle w:val="Odwoanieprzypisudolnego"/>
          <w:rFonts w:ascii="Arial" w:hAnsi="Arial"/>
        </w:rPr>
        <w:footnoteReference w:id="148"/>
      </w:r>
      <w:r>
        <w:rPr>
          <w:rFonts w:ascii="Arial" w:hAnsi="Arial"/>
        </w:rPr>
        <w:t xml:space="preserve"> and Regulation no. 1177/2010 concerning the rights of passengers when travelling by sea and inland waterway</w:t>
      </w:r>
      <w:r>
        <w:rPr>
          <w:rStyle w:val="Odwoanieprzypisudolnego"/>
          <w:rFonts w:ascii="Arial" w:hAnsi="Arial"/>
        </w:rPr>
        <w:footnoteReference w:id="149"/>
      </w:r>
      <w:r>
        <w:rPr>
          <w:rFonts w:ascii="Arial" w:hAnsi="Arial"/>
        </w:rPr>
        <w:t>, whose scope covers the rights of persons with disabilities.</w:t>
      </w:r>
    </w:p>
    <w:p w14:paraId="726B0B1B" w14:textId="77777777" w:rsidR="00D47CA7" w:rsidRDefault="00D47CA7" w:rsidP="007F6DAB">
      <w:pPr>
        <w:spacing w:after="0" w:line="360" w:lineRule="auto"/>
        <w:ind w:firstLine="709"/>
        <w:jc w:val="both"/>
        <w:rPr>
          <w:rFonts w:ascii="Arial" w:hAnsi="Arial" w:cs="Arial"/>
        </w:rPr>
      </w:pPr>
      <w:r>
        <w:rPr>
          <w:rFonts w:ascii="Arial" w:hAnsi="Arial"/>
        </w:rPr>
        <w:t>However, similarly to architectural accessibility, accessibility of means of transport for persons with disabilities usually considers only the needs of persons with mobility problems. It constitutes a significant barrier in the practical application of Article 20 of CRPD in Poland.</w:t>
      </w:r>
    </w:p>
    <w:p w14:paraId="07B8E04B" w14:textId="77777777" w:rsidR="007E3B00" w:rsidRDefault="007E3B00" w:rsidP="00885F45">
      <w:pPr>
        <w:pStyle w:val="Akapitzlist"/>
        <w:numPr>
          <w:ilvl w:val="0"/>
          <w:numId w:val="9"/>
        </w:numPr>
        <w:spacing w:before="120" w:after="120" w:line="360" w:lineRule="auto"/>
        <w:ind w:left="284" w:hanging="284"/>
        <w:jc w:val="both"/>
        <w:rPr>
          <w:rFonts w:ascii="Arial" w:hAnsi="Arial" w:cs="Arial"/>
          <w:b/>
        </w:rPr>
      </w:pPr>
      <w:r>
        <w:rPr>
          <w:rFonts w:ascii="Arial" w:hAnsi="Arial"/>
          <w:b/>
        </w:rPr>
        <w:t>Progress and successes in realisation of the personal mobility right</w:t>
      </w:r>
    </w:p>
    <w:p w14:paraId="2CE047F1" w14:textId="12EA956C" w:rsidR="00197F70" w:rsidRDefault="00197F70" w:rsidP="007F6DAB">
      <w:pPr>
        <w:spacing w:after="0" w:line="360" w:lineRule="auto"/>
        <w:ind w:firstLine="709"/>
        <w:jc w:val="both"/>
        <w:rPr>
          <w:rFonts w:ascii="Arial" w:hAnsi="Arial" w:cs="Arial"/>
        </w:rPr>
      </w:pPr>
      <w:r>
        <w:rPr>
          <w:rFonts w:ascii="Arial" w:hAnsi="Arial"/>
        </w:rPr>
        <w:t>In order to ensure personal mobility of persons with disabilities who use their own cars, it is necessary to adapt roads and parking places accordingly. An important change in this respect was enabling imposing a penalty on persons who infringed the prohibition to park on the parking places dedicated to persons with disabilities, even in the case of parking places located on the privately-owned premises (e.g. parking lots at shopping malls). The relevant revision of the laws entered into force in 2010</w:t>
      </w:r>
      <w:r>
        <w:rPr>
          <w:rStyle w:val="Odwoanieprzypisudolnego"/>
          <w:rFonts w:ascii="Arial" w:hAnsi="Arial"/>
        </w:rPr>
        <w:footnoteReference w:id="150"/>
      </w:r>
      <w:r>
        <w:rPr>
          <w:rFonts w:ascii="Arial" w:hAnsi="Arial"/>
        </w:rPr>
        <w:t xml:space="preserve">. </w:t>
      </w:r>
    </w:p>
    <w:p w14:paraId="3334BC2C" w14:textId="06DF19CF" w:rsidR="00197F70" w:rsidRDefault="00197F70" w:rsidP="007F6DAB">
      <w:pPr>
        <w:spacing w:after="0" w:line="360" w:lineRule="auto"/>
        <w:ind w:firstLine="709"/>
        <w:jc w:val="both"/>
        <w:rPr>
          <w:rFonts w:ascii="Arial" w:hAnsi="Arial" w:cs="Arial"/>
        </w:rPr>
      </w:pPr>
      <w:r>
        <w:rPr>
          <w:rFonts w:ascii="Arial" w:hAnsi="Arial"/>
        </w:rPr>
        <w:t xml:space="preserve">Out of the means of public transport, the one that is best adapted to the needs of persons with disabilities is the transport by air, which is the consequence of the standards </w:t>
      </w:r>
      <w:r>
        <w:rPr>
          <w:rFonts w:ascii="Arial" w:hAnsi="Arial"/>
        </w:rPr>
        <w:lastRenderedPageBreak/>
        <w:t xml:space="preserve">imposed by the aforementioned Regulation (EC) no. 1107/2006. The said regulation introduces an obligation to create favourable conditions for travelling for each and every passenger and provides for the prohibition of discrimination, save for security reasons. These provisions apply both to carriers and the body managing airports. </w:t>
      </w:r>
    </w:p>
    <w:p w14:paraId="0923B2BD" w14:textId="2F1746E0" w:rsidR="00197F70" w:rsidRPr="00552608" w:rsidRDefault="00197F70" w:rsidP="00552608">
      <w:pPr>
        <w:spacing w:after="0" w:line="360" w:lineRule="auto"/>
        <w:ind w:firstLine="709"/>
        <w:jc w:val="both"/>
        <w:rPr>
          <w:rFonts w:ascii="Arial" w:hAnsi="Arial"/>
        </w:rPr>
      </w:pPr>
      <w:r>
        <w:rPr>
          <w:rFonts w:ascii="Arial" w:hAnsi="Arial"/>
        </w:rPr>
        <w:t xml:space="preserve">At the moment, the airports located in the major Polish cities have been adapted to the needs of persons with disabilities. It is important to note here the drawn up </w:t>
      </w:r>
      <w:r w:rsidR="0041112E">
        <w:rPr>
          <w:rFonts w:ascii="Arial" w:hAnsi="Arial"/>
          <w:i/>
        </w:rPr>
        <w:t>Code of </w:t>
      </w:r>
      <w:r>
        <w:rPr>
          <w:rFonts w:ascii="Arial" w:hAnsi="Arial"/>
          <w:i/>
        </w:rPr>
        <w:t>Conduct on Servicing Persons with Disabilities and Persons with Limited Personal Mobility on the Ground at the Chopin Airport in Warsaw</w:t>
      </w:r>
      <w:r>
        <w:rPr>
          <w:rStyle w:val="Odwoanieprzypisudolnego"/>
          <w:rFonts w:ascii="Arial" w:hAnsi="Arial"/>
        </w:rPr>
        <w:footnoteReference w:id="151"/>
      </w:r>
      <w:r>
        <w:rPr>
          <w:rFonts w:ascii="Arial" w:hAnsi="Arial"/>
        </w:rPr>
        <w:t>. Despite its title, suggesting that the document is addressed to the airport’s employees, the Code contains the guidelines for persons with disabilities regarding the way of moving around the airport and of ordering the</w:t>
      </w:r>
      <w:r w:rsidR="00552608">
        <w:rPr>
          <w:rFonts w:ascii="Arial" w:hAnsi="Arial"/>
        </w:rPr>
        <w:t xml:space="preserve"> </w:t>
      </w:r>
      <w:r>
        <w:rPr>
          <w:rFonts w:ascii="Arial" w:hAnsi="Arial"/>
        </w:rPr>
        <w:t>assistant’s services. A similar document, addressed to the airport’s employees, has also been prepared by the Kraków-Balice airport</w:t>
      </w:r>
      <w:r>
        <w:rPr>
          <w:rStyle w:val="Odwoanieprzypisudolnego"/>
          <w:rFonts w:ascii="Arial" w:hAnsi="Arial"/>
        </w:rPr>
        <w:footnoteReference w:id="152"/>
      </w:r>
      <w:r>
        <w:rPr>
          <w:rFonts w:ascii="Arial" w:hAnsi="Arial"/>
        </w:rPr>
        <w:t xml:space="preserve"> and other airports.</w:t>
      </w:r>
    </w:p>
    <w:p w14:paraId="64C126B9" w14:textId="63B5066C" w:rsidR="00197F70" w:rsidRPr="00197F70" w:rsidRDefault="00DC30B3" w:rsidP="00885F45">
      <w:pPr>
        <w:spacing w:after="0" w:line="360" w:lineRule="auto"/>
        <w:ind w:firstLine="709"/>
        <w:jc w:val="both"/>
        <w:rPr>
          <w:rFonts w:ascii="Arial" w:hAnsi="Arial" w:cs="Arial"/>
          <w:sz w:val="16"/>
          <w:szCs w:val="16"/>
        </w:rPr>
      </w:pPr>
      <w:r>
        <w:rPr>
          <w:rFonts w:ascii="Arial" w:hAnsi="Arial"/>
        </w:rPr>
        <w:t xml:space="preserve">It must also be noted that more and more local government units, in particular in large cities, notice the necessity to adapt the public transport to the needs of persons with disabilities. Importantly, some units conduct educational campaign regarding the necessary to give up your sitting space or offer support to persons with disabilities, they also train public transport drivers in the area of considering the needs of persons with disabilities. </w:t>
      </w:r>
    </w:p>
    <w:p w14:paraId="60F76AB6" w14:textId="77777777" w:rsidR="007E3B00" w:rsidRDefault="007E3B00" w:rsidP="00885F45">
      <w:pPr>
        <w:pStyle w:val="Akapitzlist"/>
        <w:numPr>
          <w:ilvl w:val="0"/>
          <w:numId w:val="9"/>
        </w:numPr>
        <w:spacing w:before="120" w:after="120" w:line="360" w:lineRule="auto"/>
        <w:ind w:left="284" w:hanging="284"/>
        <w:contextualSpacing w:val="0"/>
        <w:jc w:val="both"/>
        <w:rPr>
          <w:rFonts w:ascii="Arial" w:hAnsi="Arial" w:cs="Arial"/>
          <w:b/>
        </w:rPr>
      </w:pPr>
      <w:r>
        <w:rPr>
          <w:rFonts w:ascii="Arial" w:hAnsi="Arial"/>
          <w:b/>
        </w:rPr>
        <w:t>Major problems and barriers in realisation of the right to personal mobility</w:t>
      </w:r>
    </w:p>
    <w:p w14:paraId="5024F731" w14:textId="77777777" w:rsidR="00197F70" w:rsidRPr="004A5292" w:rsidRDefault="00197F70" w:rsidP="00885F45">
      <w:pPr>
        <w:pStyle w:val="Akapitzlist"/>
        <w:numPr>
          <w:ilvl w:val="0"/>
          <w:numId w:val="33"/>
        </w:numPr>
        <w:spacing w:before="120" w:after="120" w:line="360" w:lineRule="auto"/>
        <w:ind w:left="284" w:hanging="284"/>
        <w:contextualSpacing w:val="0"/>
        <w:jc w:val="both"/>
        <w:rPr>
          <w:rFonts w:ascii="Arial" w:hAnsi="Arial" w:cs="Arial"/>
          <w:b/>
        </w:rPr>
      </w:pPr>
      <w:r>
        <w:rPr>
          <w:rFonts w:ascii="Arial" w:hAnsi="Arial"/>
          <w:b/>
        </w:rPr>
        <w:t>Public transport</w:t>
      </w:r>
    </w:p>
    <w:p w14:paraId="352BEAFE" w14:textId="77777777" w:rsidR="00197F70" w:rsidRDefault="00197F70" w:rsidP="007F6DAB">
      <w:pPr>
        <w:spacing w:after="0" w:line="360" w:lineRule="auto"/>
        <w:ind w:firstLine="709"/>
        <w:jc w:val="both"/>
        <w:rPr>
          <w:rFonts w:ascii="Arial" w:hAnsi="Arial" w:cs="Arial"/>
        </w:rPr>
      </w:pPr>
      <w:r>
        <w:rPr>
          <w:rFonts w:ascii="Arial" w:hAnsi="Arial"/>
        </w:rPr>
        <w:t>There are still no legal regulations that would oblige the carriers to ensure vehicles and services accessible to persons with disabilities. The Act on public transport</w:t>
      </w:r>
      <w:r>
        <w:rPr>
          <w:rStyle w:val="Odwoanieprzypisudolnego"/>
          <w:rFonts w:ascii="Arial" w:hAnsi="Arial"/>
        </w:rPr>
        <w:footnoteReference w:id="153"/>
      </w:r>
      <w:r>
        <w:rPr>
          <w:rFonts w:ascii="Arial" w:hAnsi="Arial"/>
        </w:rPr>
        <w:t xml:space="preserve"> binding since 2010 does not provide for any obligations that would directly improve accessibility of public transport to the needs of persons with different types of disabilities. The act imposes the obligation to establish </w:t>
      </w:r>
      <w:r>
        <w:rPr>
          <w:rFonts w:ascii="Arial" w:hAnsi="Arial"/>
          <w:i/>
        </w:rPr>
        <w:t>a plan for sustainable development of public transport</w:t>
      </w:r>
      <w:r>
        <w:rPr>
          <w:rFonts w:ascii="Arial" w:hAnsi="Arial"/>
        </w:rPr>
        <w:t xml:space="preserve"> for certain types of local government units and certain transport that should consider the needs of persons with disabilities and persons with reduced mobility. The legislator has introduced that general clause, yet no specification of detailed solutions that should be included in the properly prepared plan were provided. Therefore, the aforementioned regulation remains only a postulate, which does not offer any concrete rights for persons with disabilities. </w:t>
      </w:r>
    </w:p>
    <w:p w14:paraId="70E2E418" w14:textId="3E51735B" w:rsidR="00197F70" w:rsidRDefault="00197F70" w:rsidP="007F6DAB">
      <w:pPr>
        <w:spacing w:after="0" w:line="360" w:lineRule="auto"/>
        <w:ind w:firstLine="709"/>
        <w:jc w:val="both"/>
        <w:rPr>
          <w:rFonts w:ascii="Arial" w:hAnsi="Arial"/>
        </w:rPr>
      </w:pPr>
      <w:r>
        <w:rPr>
          <w:rFonts w:ascii="Arial" w:hAnsi="Arial"/>
        </w:rPr>
        <w:t xml:space="preserve">The provisions of the act are similar as regards awarding the public procurement to perform public transport. The Act stipulates that the Terms of Reference </w:t>
      </w:r>
      <w:r w:rsidR="0041112E">
        <w:rPr>
          <w:rFonts w:ascii="Arial" w:hAnsi="Arial"/>
          <w:i/>
        </w:rPr>
        <w:t>may include, in </w:t>
      </w:r>
      <w:r>
        <w:rPr>
          <w:rFonts w:ascii="Arial" w:hAnsi="Arial"/>
          <w:i/>
        </w:rPr>
        <w:t xml:space="preserve">particular, the common availability of services provided, including e.g. technical solutions </w:t>
      </w:r>
      <w:r>
        <w:rPr>
          <w:rFonts w:ascii="Arial" w:hAnsi="Arial"/>
          <w:i/>
        </w:rPr>
        <w:lastRenderedPageBreak/>
        <w:t>used in the means of transportation used to ensure environment protection and convenient passenger service, including service to persons with disabilities and persons with reduced mobility</w:t>
      </w:r>
      <w:r>
        <w:rPr>
          <w:rFonts w:ascii="Arial" w:hAnsi="Arial"/>
        </w:rPr>
        <w:t xml:space="preserve">. The Act enables considering transporting persons with disabilities upon awarding public procurement, yet it does not impose any obligation on the awarding entities. </w:t>
      </w:r>
    </w:p>
    <w:p w14:paraId="2386166B" w14:textId="77777777" w:rsidR="00197F70" w:rsidRPr="00DC072B" w:rsidRDefault="00197F70" w:rsidP="00885F45">
      <w:pPr>
        <w:pStyle w:val="Akapitzlist"/>
        <w:numPr>
          <w:ilvl w:val="0"/>
          <w:numId w:val="33"/>
        </w:numPr>
        <w:spacing w:before="120" w:after="120" w:line="360" w:lineRule="auto"/>
        <w:ind w:left="284" w:hanging="284"/>
        <w:contextualSpacing w:val="0"/>
        <w:jc w:val="both"/>
        <w:rPr>
          <w:rFonts w:ascii="Arial" w:hAnsi="Arial" w:cs="Arial"/>
          <w:b/>
        </w:rPr>
      </w:pPr>
      <w:r>
        <w:rPr>
          <w:rFonts w:ascii="Arial" w:hAnsi="Arial"/>
          <w:b/>
        </w:rPr>
        <w:t>Transport by car</w:t>
      </w:r>
    </w:p>
    <w:p w14:paraId="6A16DA57" w14:textId="275ED4BF" w:rsidR="00197F70" w:rsidRDefault="00197F70" w:rsidP="007F6DAB">
      <w:pPr>
        <w:spacing w:after="0" w:line="360" w:lineRule="auto"/>
        <w:ind w:firstLine="709"/>
        <w:jc w:val="both"/>
        <w:rPr>
          <w:rFonts w:ascii="Arial" w:hAnsi="Arial" w:cs="Arial"/>
        </w:rPr>
      </w:pPr>
      <w:r>
        <w:rPr>
          <w:rFonts w:ascii="Arial" w:hAnsi="Arial"/>
        </w:rPr>
        <w:t>The ability to obtain a driving licence by persons with disabilities is an important factor that enables them to move around independently and to practice certain professions. Some persons with disabilities are able to drive a car, but only in vehicles that are adapted to their needs. Such a vehicle is also required by a person with disabilities during the driving licence exam. In line with the Act on drivers</w:t>
      </w:r>
      <w:r>
        <w:rPr>
          <w:rStyle w:val="Odwoanieprzypisudolnego"/>
          <w:rFonts w:ascii="Arial" w:hAnsi="Arial"/>
        </w:rPr>
        <w:footnoteReference w:id="154"/>
      </w:r>
      <w:r>
        <w:rPr>
          <w:rFonts w:ascii="Arial" w:hAnsi="Arial"/>
        </w:rPr>
        <w:t>, the obligation to provide an adapted car for the practical part of the exam was imposed on the person taking the exam. According to the Ombudsman, this provision puts persons with disabilities in a worse situation that other exam takers, to whom a vehicle is provided by the exam centre. It is not reasonable to relieve the entities conducting public tasks in the form of conducting driving exams and receiving funds fir this objective from the obligation to ensure a relevant vehicle to a certain group of persons – requiring technical facilitations in the driven vehicles – and transferring that obligation and the accompanying difficulties onto a person with disabilities. According to the Ombudsman, the adopted solution leads to the infringement of the equality principle arising from the Constitution, and it also infringes the obligation to realise the social justice principle. This provision also infringes Article 20 of the Convention. Therefore, the Ombudsman directed a motion to the Constitutional Tribunal</w:t>
      </w:r>
      <w:r>
        <w:rPr>
          <w:rStyle w:val="Odwoanieprzypisudolnego"/>
          <w:rFonts w:ascii="Arial" w:hAnsi="Arial"/>
        </w:rPr>
        <w:footnoteReference w:id="155"/>
      </w:r>
      <w:r>
        <w:rPr>
          <w:rFonts w:ascii="Arial" w:hAnsi="Arial"/>
        </w:rPr>
        <w:t xml:space="preserve"> to recognize that regulation as inconsistent with the Constitution and the Convention on the Rights of Persons with Disabilities.</w:t>
      </w:r>
    </w:p>
    <w:p w14:paraId="09C322C9" w14:textId="66392F1D" w:rsidR="00197F70" w:rsidRDefault="00197F70" w:rsidP="007F6DAB">
      <w:pPr>
        <w:spacing w:after="0" w:line="360" w:lineRule="auto"/>
        <w:ind w:firstLine="709"/>
        <w:jc w:val="both"/>
        <w:rPr>
          <w:rFonts w:ascii="Arial" w:hAnsi="Arial" w:cs="Arial"/>
        </w:rPr>
      </w:pPr>
      <w:r>
        <w:rPr>
          <w:rFonts w:ascii="Arial" w:hAnsi="Arial"/>
        </w:rPr>
        <w:t xml:space="preserve">The group that experiences particular problems with obtaining the driving licence is the deaf. The driving licence exam has two parts: theoretical exam in the form of a test and practical driving test. In the past, a sign language interpreter could be present during both parts of the exam and translate both questions during the theoretical part of the exam and the instructions of the examiner during the practical part of the exam. At the moment, a sign language interpreter may only be present during the practical exam part, and passing the theoretical exam is made very difficult for persons using the sign language. Exam questions were translated into English and German, but not into Polish Sign Language. Another problem takes the form of an obligation imposed on the deaf person to ensure a sign language interpreter for the practical part of the exam at their own cost. Exam centres, </w:t>
      </w:r>
      <w:r>
        <w:rPr>
          <w:rFonts w:ascii="Arial" w:hAnsi="Arial"/>
        </w:rPr>
        <w:lastRenderedPageBreak/>
        <w:t>contrary to public authorities, are not covered by the Act on sign language</w:t>
      </w:r>
      <w:r>
        <w:rPr>
          <w:rStyle w:val="Odwoanieprzypisudolnego"/>
          <w:rFonts w:ascii="Arial" w:hAnsi="Arial"/>
        </w:rPr>
        <w:footnoteReference w:id="156"/>
      </w:r>
      <w:r>
        <w:rPr>
          <w:rFonts w:ascii="Arial" w:hAnsi="Arial"/>
        </w:rPr>
        <w:t xml:space="preserve"> that obliges them to ensure interpreting services on request of the deaf person. Thus, the cost of the exam increases significantly for a deaf person. The fact that no interpreting services are provided during the practical exam by the exam centre and the fact that the questions in the theoretical part of the exam are not translated, comprises a sign</w:t>
      </w:r>
      <w:r w:rsidR="0041112E">
        <w:rPr>
          <w:rFonts w:ascii="Arial" w:hAnsi="Arial"/>
        </w:rPr>
        <w:t>ificant obstacle in obtaining a </w:t>
      </w:r>
      <w:r>
        <w:rPr>
          <w:rFonts w:ascii="Arial" w:hAnsi="Arial"/>
        </w:rPr>
        <w:t xml:space="preserve">driving licence for deaf persons. </w:t>
      </w:r>
    </w:p>
    <w:p w14:paraId="1E1A3111" w14:textId="01EB3C4B" w:rsidR="00197F70" w:rsidRDefault="00021201" w:rsidP="007F6DAB">
      <w:pPr>
        <w:spacing w:after="0" w:line="360" w:lineRule="auto"/>
        <w:ind w:firstLine="709"/>
        <w:jc w:val="both"/>
        <w:rPr>
          <w:rFonts w:ascii="Arial" w:hAnsi="Arial" w:cs="Arial"/>
        </w:rPr>
      </w:pPr>
      <w:r>
        <w:rPr>
          <w:rFonts w:ascii="Arial" w:hAnsi="Arial"/>
        </w:rPr>
        <w:t>Moreover, the deaf are not able to obtain a driving licence of categories other than A and B (entitling to drive a motorcycle and a personal vehicle)</w:t>
      </w:r>
      <w:r w:rsidR="0041112E">
        <w:rPr>
          <w:rFonts w:ascii="Arial" w:hAnsi="Arial"/>
        </w:rPr>
        <w:t>, they are not able to obtain a </w:t>
      </w:r>
      <w:r>
        <w:rPr>
          <w:rFonts w:ascii="Arial" w:hAnsi="Arial"/>
        </w:rPr>
        <w:t>driving licence for trucks. It arises from internal regulations that stipulate which types of vehicles may be driven in line with the degree of hearing impairment. In line with the Resolution issued by the Minister of Health on the medical exams of drivers</w:t>
      </w:r>
      <w:r>
        <w:rPr>
          <w:rStyle w:val="Odwoanieprzypisudolnego"/>
          <w:rFonts w:ascii="Arial" w:hAnsi="Arial"/>
        </w:rPr>
        <w:footnoteReference w:id="157"/>
      </w:r>
      <w:r>
        <w:rPr>
          <w:rFonts w:ascii="Arial" w:hAnsi="Arial"/>
        </w:rPr>
        <w:t>, hearing impairment cannot exceed 35 dB. Such limitation prevents the deaf from practising the profession of a driver, even though many EU member states allow for it. According to the Ombudsman, from the road traffic safety point of view, such limitation is not justified, especially as the deaf have the ability to obtain the lice</w:t>
      </w:r>
      <w:r w:rsidR="0041112E">
        <w:rPr>
          <w:rFonts w:ascii="Arial" w:hAnsi="Arial"/>
        </w:rPr>
        <w:t>nce to drive a motorcycle and a </w:t>
      </w:r>
      <w:r>
        <w:rPr>
          <w:rFonts w:ascii="Arial" w:hAnsi="Arial"/>
        </w:rPr>
        <w:t xml:space="preserve">personal car.  </w:t>
      </w:r>
    </w:p>
    <w:p w14:paraId="3FC37AEB" w14:textId="77777777" w:rsidR="00197F70" w:rsidRPr="00DC072B" w:rsidRDefault="00197F70" w:rsidP="00885F45">
      <w:pPr>
        <w:pStyle w:val="Akapitzlist"/>
        <w:numPr>
          <w:ilvl w:val="0"/>
          <w:numId w:val="33"/>
        </w:numPr>
        <w:spacing w:before="120" w:after="120" w:line="360" w:lineRule="auto"/>
        <w:ind w:left="284" w:hanging="284"/>
        <w:contextualSpacing w:val="0"/>
        <w:jc w:val="both"/>
        <w:rPr>
          <w:rFonts w:ascii="Arial" w:hAnsi="Arial" w:cs="Arial"/>
          <w:b/>
        </w:rPr>
      </w:pPr>
      <w:r>
        <w:rPr>
          <w:rFonts w:ascii="Arial" w:hAnsi="Arial"/>
          <w:b/>
        </w:rPr>
        <w:t>Railway transport</w:t>
      </w:r>
    </w:p>
    <w:p w14:paraId="494F6E99" w14:textId="77777777" w:rsidR="00197F70" w:rsidRDefault="00197F70" w:rsidP="007F6DAB">
      <w:pPr>
        <w:spacing w:after="0" w:line="360" w:lineRule="auto"/>
        <w:ind w:firstLine="709"/>
        <w:jc w:val="both"/>
        <w:rPr>
          <w:rFonts w:ascii="Arial" w:hAnsi="Arial" w:cs="Arial"/>
        </w:rPr>
      </w:pPr>
      <w:r>
        <w:rPr>
          <w:rFonts w:ascii="Arial" w:hAnsi="Arial"/>
        </w:rPr>
        <w:t>The second most frequently chosen means of transport in Poland, following the road transport, is the railway transport. In 2012, approx. 270 million passengers travelled by rail, which constitutes 35% of all passengers (63% – transport by car; air travel corresponds to only 0.9% of all passengers)</w:t>
      </w:r>
      <w:r>
        <w:rPr>
          <w:rStyle w:val="Odwoanieprzypisudolnego"/>
          <w:rFonts w:ascii="Arial" w:hAnsi="Arial"/>
        </w:rPr>
        <w:footnoteReference w:id="158"/>
      </w:r>
      <w:r>
        <w:rPr>
          <w:rFonts w:ascii="Arial" w:hAnsi="Arial"/>
        </w:rPr>
        <w:t>.</w:t>
      </w:r>
    </w:p>
    <w:p w14:paraId="0752CCA3" w14:textId="0E94C84A" w:rsidR="00197F70" w:rsidRDefault="00197F70" w:rsidP="007F6DAB">
      <w:pPr>
        <w:spacing w:after="0" w:line="360" w:lineRule="auto"/>
        <w:ind w:firstLine="709"/>
        <w:jc w:val="both"/>
        <w:rPr>
          <w:rFonts w:ascii="Arial" w:hAnsi="Arial" w:cs="Arial"/>
        </w:rPr>
      </w:pPr>
      <w:r>
        <w:rPr>
          <w:rFonts w:ascii="Arial" w:hAnsi="Arial"/>
        </w:rPr>
        <w:t xml:space="preserve">As regards the railway transport, there are accessibility problems with respect to railway stations, platforms and rolling stock for persons with disabilities. The change in this respect was to be assured by the aforementioned Regulation of the European Parliament and Council (EC) no. 1371/2007. The provisions of the said regulation introduce solutions intended to facilitate using the railway transport by persons with mobility problems, imposing a series of obligation on the managers of stations and carriers. However, the Polish legislator excluded the application of Article 21(1) of the said regulation to urban, suburban and regional passenger transport indefinitely. The provision of the regulation obliges the railway company and the station manager to ensure accessibility of the station, platforms, rolling stock and other premises for persons with reduced mobility. According to the Ombudsman, in line with the provisions of the quoted regulation, it is possible to exclude certain provisions to </w:t>
      </w:r>
      <w:r>
        <w:rPr>
          <w:rFonts w:ascii="Arial" w:hAnsi="Arial"/>
        </w:rPr>
        <w:lastRenderedPageBreak/>
        <w:t>this end only temporarily; that exclusion cannot be indefinite. Therefore, the Human Rights Defender directed a motion to the Constitutional Tribunal to recognize non-compliance of the provisions of the Act on railway transport wit</w:t>
      </w:r>
      <w:r w:rsidR="00B17CDC">
        <w:rPr>
          <w:rFonts w:ascii="Arial" w:hAnsi="Arial"/>
        </w:rPr>
        <w:t>h</w:t>
      </w:r>
      <w:r>
        <w:rPr>
          <w:rFonts w:ascii="Arial" w:hAnsi="Arial"/>
        </w:rPr>
        <w:t xml:space="preserve"> the Polish Constitution and Article 9(1)(a) of CRPD</w:t>
      </w:r>
      <w:r>
        <w:rPr>
          <w:rStyle w:val="Odwoanieprzypisudolnego"/>
          <w:rFonts w:ascii="Arial" w:hAnsi="Arial"/>
        </w:rPr>
        <w:footnoteReference w:id="159"/>
      </w:r>
      <w:r>
        <w:rPr>
          <w:rFonts w:ascii="Arial" w:hAnsi="Arial"/>
        </w:rPr>
        <w:t>.</w:t>
      </w:r>
    </w:p>
    <w:p w14:paraId="0D0DFA7B" w14:textId="77777777" w:rsidR="007E3B00" w:rsidRDefault="007E3B00" w:rsidP="00885F45">
      <w:pPr>
        <w:pStyle w:val="Akapitzlist"/>
        <w:numPr>
          <w:ilvl w:val="0"/>
          <w:numId w:val="9"/>
        </w:numPr>
        <w:spacing w:before="120" w:after="120" w:line="360" w:lineRule="auto"/>
        <w:ind w:left="284" w:hanging="284"/>
        <w:contextualSpacing w:val="0"/>
        <w:jc w:val="both"/>
        <w:rPr>
          <w:rFonts w:ascii="Arial" w:hAnsi="Arial" w:cs="Arial"/>
          <w:b/>
        </w:rPr>
      </w:pPr>
      <w:r>
        <w:rPr>
          <w:rFonts w:ascii="Arial" w:hAnsi="Arial"/>
          <w:b/>
        </w:rPr>
        <w:t>Results of available studies and statistical data</w:t>
      </w:r>
    </w:p>
    <w:p w14:paraId="2A222FC7" w14:textId="65B3FD08" w:rsidR="00197F70" w:rsidRDefault="009B6EE8" w:rsidP="009B6EE8">
      <w:pPr>
        <w:spacing w:after="0" w:line="360" w:lineRule="auto"/>
        <w:ind w:firstLine="709"/>
        <w:jc w:val="both"/>
        <w:rPr>
          <w:rFonts w:ascii="Arial" w:hAnsi="Arial" w:cs="Arial"/>
        </w:rPr>
      </w:pPr>
      <w:r>
        <w:rPr>
          <w:rFonts w:ascii="Arial" w:hAnsi="Arial"/>
        </w:rPr>
        <w:t>As a consequence of the regulations discussed above, the accessibility level of rolling stock and railway stations to persons with disabilities is particularly low. From the studies conducted by the Supreme Audit Office in 2007</w:t>
      </w:r>
      <w:r>
        <w:rPr>
          <w:rStyle w:val="Odwoanieprzypisudolnego"/>
          <w:rFonts w:ascii="Arial" w:hAnsi="Arial"/>
        </w:rPr>
        <w:footnoteReference w:id="160"/>
      </w:r>
      <w:r>
        <w:rPr>
          <w:rFonts w:ascii="Arial" w:hAnsi="Arial"/>
        </w:rPr>
        <w:t xml:space="preserve"> (i.e. after signing but before ratifying the Convention by Poland) it follows that only 2 railway stations out of 223 stations functioning in Poland were fully adapted to handle persons with disabilities. The railway stations lacked adapted toilets and parking lots, working elevators and lifts, adapted ticket offices (voice amplifiers, lowered desks). Only 2.3% of the rolling stock in exploitation was adapted to transporting persons with disabilities. The most frequent barriers were as follows: narrow doors, not adapted toilets, excessive distance between the car and the platform edge. Since the last such comprehensive inspection of railway infrastructure, many railway buildings have underwent thorough redevelopment, and the rolling stock is modernised gradually. As it follows from the ad hoc inspections conducted by the employees of the Office of the Human Rights Defender and NGOs, a part of the redeveloped buildings remains inaccessible to persons with disabilities.</w:t>
      </w:r>
    </w:p>
    <w:p w14:paraId="7C8FB025" w14:textId="5C0A0783" w:rsidR="00197F70" w:rsidRDefault="00197F70" w:rsidP="007F6DAB">
      <w:pPr>
        <w:spacing w:after="0" w:line="360" w:lineRule="auto"/>
        <w:ind w:firstLine="709"/>
        <w:jc w:val="both"/>
        <w:rPr>
          <w:rFonts w:ascii="Arial" w:hAnsi="Arial" w:cs="Arial"/>
        </w:rPr>
      </w:pPr>
      <w:r>
        <w:rPr>
          <w:rFonts w:ascii="Arial" w:hAnsi="Arial"/>
        </w:rPr>
        <w:t xml:space="preserve">Warsaw’s Association for Transport Integration </w:t>
      </w:r>
      <w:r>
        <w:rPr>
          <w:rFonts w:ascii="Arial" w:hAnsi="Arial"/>
          <w:i/>
        </w:rPr>
        <w:t>[Polish: Stowarzyszenie Integracji Stołecznej Komunikacji, SISKOM]</w:t>
      </w:r>
      <w:r>
        <w:rPr>
          <w:rFonts w:ascii="Arial" w:hAnsi="Arial"/>
        </w:rPr>
        <w:t xml:space="preserve"> conducted studies on accessibility of the largest railway hub in Poland, which is located in Warsaw</w:t>
      </w:r>
      <w:r>
        <w:rPr>
          <w:rStyle w:val="Odwoanieprzypisudolnego"/>
          <w:rFonts w:ascii="Arial" w:hAnsi="Arial"/>
        </w:rPr>
        <w:footnoteReference w:id="161"/>
      </w:r>
      <w:r>
        <w:rPr>
          <w:rFonts w:ascii="Arial" w:hAnsi="Arial"/>
        </w:rPr>
        <w:t xml:space="preserve">. Warsaw’s railway hub is an important element of the railway infrastructure – it is a place where international and regional railway connections cross paths. From the conducted studies it follows that </w:t>
      </w:r>
      <w:r>
        <w:rPr>
          <w:rFonts w:ascii="Arial" w:hAnsi="Arial"/>
          <w:b/>
        </w:rPr>
        <w:t>only 29% railway stations might be recognized as accessible, while 71% – as inaccessible.</w:t>
      </w:r>
      <w:r>
        <w:rPr>
          <w:rFonts w:ascii="Arial" w:hAnsi="Arial"/>
        </w:rPr>
        <w:t xml:space="preserve"> The most frequent cause of inaccessibility was lack of alternatives for stairs and non-operational lifts</w:t>
      </w:r>
      <w:r>
        <w:rPr>
          <w:rStyle w:val="Odwoanieprzypisudolnego"/>
          <w:rFonts w:ascii="Arial" w:hAnsi="Arial"/>
        </w:rPr>
        <w:footnoteReference w:id="162"/>
      </w:r>
      <w:r>
        <w:rPr>
          <w:rFonts w:ascii="Arial" w:hAnsi="Arial"/>
        </w:rPr>
        <w:t xml:space="preserve">. The most spectacular example of non-systemic approach to accessibility of railway stations was the incomplete redevelopment of one of the three major railway stations in Warsaw, conducted before the European Football Championships held in Poland. The railway station is located on the ground floor, and persons with reduced mobility may access the station building without any problems. Facilitations for persons with other disabilities were also </w:t>
      </w:r>
      <w:r>
        <w:rPr>
          <w:rFonts w:ascii="Arial" w:hAnsi="Arial"/>
        </w:rPr>
        <w:lastRenderedPageBreak/>
        <w:t>introduced. However, the underground passages were not renovated, and therefore the sole way to access the platforms is through steep stairs</w:t>
      </w:r>
      <w:r>
        <w:rPr>
          <w:rStyle w:val="Odwoanieprzypisudolnego"/>
          <w:rFonts w:ascii="Arial" w:hAnsi="Arial"/>
        </w:rPr>
        <w:footnoteReference w:id="163"/>
      </w:r>
      <w:r>
        <w:rPr>
          <w:rFonts w:ascii="Arial" w:hAnsi="Arial"/>
        </w:rPr>
        <w:t xml:space="preserve">. </w:t>
      </w:r>
    </w:p>
    <w:p w14:paraId="2F6566E4" w14:textId="77777777" w:rsidR="00197F70" w:rsidRDefault="00197F70" w:rsidP="007F6DAB">
      <w:pPr>
        <w:spacing w:after="0" w:line="360" w:lineRule="auto"/>
        <w:ind w:firstLine="709"/>
        <w:jc w:val="both"/>
        <w:rPr>
          <w:rFonts w:ascii="Arial" w:hAnsi="Arial" w:cs="Arial"/>
        </w:rPr>
      </w:pPr>
      <w:r>
        <w:rPr>
          <w:rFonts w:ascii="Arial" w:hAnsi="Arial"/>
        </w:rPr>
        <w:t>The “Widzialni” Foundation has analysed accessibility for the blind, the partially sighted and the deaf of websites of major railway carriers in Poland, as well as websites for railway passengers</w:t>
      </w:r>
      <w:r>
        <w:rPr>
          <w:rStyle w:val="Odwoanieprzypisudolnego"/>
          <w:rFonts w:ascii="Arial" w:hAnsi="Arial"/>
        </w:rPr>
        <w:footnoteReference w:id="164"/>
      </w:r>
      <w:r>
        <w:rPr>
          <w:rFonts w:ascii="Arial" w:hAnsi="Arial"/>
        </w:rPr>
        <w:t xml:space="preserve">. The websites of the Railway Transport Office and the website for passengers run by that authority turned out to be adapted in the best way – </w:t>
      </w:r>
      <w:r>
        <w:rPr>
          <w:rFonts w:ascii="Arial" w:hAnsi="Arial"/>
          <w:b/>
        </w:rPr>
        <w:t>the websites were accessible in 83% and 85% respectively and received a good grade</w:t>
      </w:r>
      <w:r>
        <w:rPr>
          <w:rFonts w:ascii="Arial" w:hAnsi="Arial"/>
        </w:rPr>
        <w:t xml:space="preserve"> (which also means that no website was accessible in 100%). </w:t>
      </w:r>
      <w:r>
        <w:rPr>
          <w:rFonts w:ascii="Arial" w:hAnsi="Arial"/>
          <w:b/>
        </w:rPr>
        <w:t>The next two websites received an average grade</w:t>
      </w:r>
      <w:r>
        <w:rPr>
          <w:rFonts w:ascii="Arial" w:hAnsi="Arial"/>
        </w:rPr>
        <w:t xml:space="preserve"> (Fast Urban Rail </w:t>
      </w:r>
      <w:r>
        <w:rPr>
          <w:rFonts w:ascii="Arial" w:hAnsi="Arial"/>
          <w:i/>
        </w:rPr>
        <w:t>[SKM]</w:t>
      </w:r>
      <w:r>
        <w:rPr>
          <w:rFonts w:ascii="Arial" w:hAnsi="Arial"/>
        </w:rPr>
        <w:t xml:space="preserve"> in Warsaw – 73%, Koleje Mazowieckie – 72%), </w:t>
      </w:r>
      <w:r>
        <w:rPr>
          <w:rFonts w:ascii="Arial" w:hAnsi="Arial"/>
          <w:b/>
        </w:rPr>
        <w:t>while other websites were recognized as accessible to insufficient extent</w:t>
      </w:r>
      <w:r>
        <w:rPr>
          <w:rStyle w:val="Odwoanieprzypisudolnego"/>
          <w:rFonts w:ascii="Arial" w:hAnsi="Arial"/>
        </w:rPr>
        <w:footnoteReference w:id="165"/>
      </w:r>
      <w:r>
        <w:rPr>
          <w:rFonts w:ascii="Arial" w:hAnsi="Arial"/>
        </w:rPr>
        <w:t>.</w:t>
      </w:r>
    </w:p>
    <w:p w14:paraId="1FBB9E74" w14:textId="77777777" w:rsidR="007E3B00" w:rsidRDefault="00197F70" w:rsidP="00885F45">
      <w:pPr>
        <w:pStyle w:val="Akapitzlist"/>
        <w:numPr>
          <w:ilvl w:val="0"/>
          <w:numId w:val="9"/>
        </w:numPr>
        <w:spacing w:before="120" w:after="120" w:line="360" w:lineRule="auto"/>
        <w:ind w:left="284" w:hanging="284"/>
        <w:contextualSpacing w:val="0"/>
        <w:jc w:val="both"/>
        <w:rPr>
          <w:rFonts w:ascii="Arial" w:hAnsi="Arial" w:cs="Arial"/>
          <w:b/>
        </w:rPr>
      </w:pPr>
      <w:r>
        <w:rPr>
          <w:rFonts w:ascii="Arial" w:hAnsi="Arial"/>
          <w:b/>
        </w:rPr>
        <w:t>Major recommendations</w:t>
      </w:r>
    </w:p>
    <w:p w14:paraId="409D3A99" w14:textId="05E8E0D7" w:rsidR="00C5469E" w:rsidRDefault="00C5469E" w:rsidP="00C5469E">
      <w:pPr>
        <w:spacing w:after="0" w:line="360" w:lineRule="auto"/>
        <w:ind w:firstLine="709"/>
        <w:contextualSpacing/>
        <w:jc w:val="both"/>
        <w:rPr>
          <w:rFonts w:ascii="Arial" w:eastAsia="Calibri" w:hAnsi="Arial" w:cs="Arial"/>
        </w:rPr>
      </w:pPr>
      <w:r>
        <w:rPr>
          <w:rFonts w:ascii="Arial" w:hAnsi="Arial"/>
        </w:rPr>
        <w:t>According to the Human Rights Defender, in order to realise the right of persons with disabilities to mobility it is necessary to:</w:t>
      </w:r>
    </w:p>
    <w:p w14:paraId="6ADDE269" w14:textId="77777777" w:rsidR="00C5469E" w:rsidRDefault="00F90A48" w:rsidP="003D345C">
      <w:pPr>
        <w:pStyle w:val="Akapitzlist"/>
        <w:numPr>
          <w:ilvl w:val="0"/>
          <w:numId w:val="34"/>
        </w:numPr>
        <w:spacing w:after="0" w:line="360" w:lineRule="auto"/>
        <w:ind w:left="284" w:hanging="284"/>
        <w:jc w:val="both"/>
        <w:rPr>
          <w:rFonts w:ascii="Arial" w:eastAsia="Calibri" w:hAnsi="Arial" w:cs="Arial"/>
        </w:rPr>
      </w:pPr>
      <w:r>
        <w:rPr>
          <w:rFonts w:ascii="Arial" w:hAnsi="Arial"/>
        </w:rPr>
        <w:t>pass detailed regulations to make more precise obligations of carriers with respect to passengers with all types of disabilities;</w:t>
      </w:r>
    </w:p>
    <w:p w14:paraId="5D43C663" w14:textId="77777777" w:rsidR="00F90A48" w:rsidRDefault="00F90A48" w:rsidP="003D345C">
      <w:pPr>
        <w:pStyle w:val="Akapitzlist"/>
        <w:numPr>
          <w:ilvl w:val="0"/>
          <w:numId w:val="34"/>
        </w:numPr>
        <w:spacing w:after="0" w:line="360" w:lineRule="auto"/>
        <w:ind w:left="284" w:hanging="284"/>
        <w:jc w:val="both"/>
        <w:rPr>
          <w:rFonts w:ascii="Arial" w:eastAsia="Calibri" w:hAnsi="Arial" w:cs="Arial"/>
        </w:rPr>
      </w:pPr>
      <w:r>
        <w:rPr>
          <w:rFonts w:ascii="Arial" w:hAnsi="Arial"/>
        </w:rPr>
        <w:t>determine relevant time frame to ensure accessibility of railway infrastructure and other means of transport, and to monitor progress in this respect;</w:t>
      </w:r>
    </w:p>
    <w:p w14:paraId="253AA262" w14:textId="557444A5" w:rsidR="002A4819" w:rsidRDefault="002A4819" w:rsidP="003D345C">
      <w:pPr>
        <w:pStyle w:val="Akapitzlist"/>
        <w:numPr>
          <w:ilvl w:val="0"/>
          <w:numId w:val="34"/>
        </w:numPr>
        <w:spacing w:after="0" w:line="360" w:lineRule="auto"/>
        <w:ind w:left="284" w:hanging="284"/>
        <w:jc w:val="both"/>
        <w:rPr>
          <w:rFonts w:ascii="Arial" w:eastAsia="Calibri" w:hAnsi="Arial" w:cs="Arial"/>
        </w:rPr>
      </w:pPr>
      <w:r>
        <w:rPr>
          <w:rFonts w:ascii="Arial" w:hAnsi="Arial"/>
        </w:rPr>
        <w:t>disclose information at the platforms and railway and coach stations as well as at the airports in the form accessible to persons with disabilities, including in the Polish sign language;</w:t>
      </w:r>
    </w:p>
    <w:p w14:paraId="0C1EA1B4" w14:textId="1BA1B21C" w:rsidR="00F90A48" w:rsidRDefault="00F90A48" w:rsidP="003D345C">
      <w:pPr>
        <w:pStyle w:val="Akapitzlist"/>
        <w:numPr>
          <w:ilvl w:val="0"/>
          <w:numId w:val="34"/>
        </w:numPr>
        <w:spacing w:after="0" w:line="360" w:lineRule="auto"/>
        <w:ind w:left="284" w:hanging="284"/>
        <w:jc w:val="both"/>
        <w:rPr>
          <w:rFonts w:ascii="Arial" w:eastAsia="Calibri" w:hAnsi="Arial" w:cs="Arial"/>
        </w:rPr>
      </w:pPr>
      <w:r>
        <w:rPr>
          <w:rFonts w:ascii="Arial" w:hAnsi="Arial"/>
        </w:rPr>
        <w:t>revoke the regulations that discriminate persons with disabilities, including discriminating the dead with respect to the ability to gain a driving licence.</w:t>
      </w:r>
    </w:p>
    <w:p w14:paraId="5F44D965" w14:textId="77777777" w:rsidR="006317A2" w:rsidRPr="00F12C38" w:rsidRDefault="006317A2" w:rsidP="00E95991">
      <w:pPr>
        <w:pStyle w:val="Nagwek2"/>
      </w:pPr>
      <w:bookmarkStart w:id="29" w:name="_Toc403999540"/>
      <w:bookmarkStart w:id="30" w:name="_Toc424279004"/>
      <w:r>
        <w:t>Article 21 – Freedom of expression and opinion, and access to information</w:t>
      </w:r>
      <w:bookmarkEnd w:id="29"/>
      <w:bookmarkEnd w:id="30"/>
    </w:p>
    <w:p w14:paraId="23EE8078" w14:textId="77777777" w:rsidR="00250973" w:rsidRDefault="00250973" w:rsidP="00885F45">
      <w:pPr>
        <w:pStyle w:val="Akapitzlist"/>
        <w:numPr>
          <w:ilvl w:val="0"/>
          <w:numId w:val="10"/>
        </w:numPr>
        <w:spacing w:before="120" w:after="120" w:line="360" w:lineRule="auto"/>
        <w:ind w:left="284" w:hanging="284"/>
        <w:contextualSpacing w:val="0"/>
        <w:jc w:val="both"/>
        <w:rPr>
          <w:rFonts w:ascii="Arial" w:hAnsi="Arial" w:cs="Arial"/>
          <w:b/>
        </w:rPr>
      </w:pPr>
      <w:r>
        <w:rPr>
          <w:rFonts w:ascii="Arial" w:hAnsi="Arial"/>
          <w:b/>
        </w:rPr>
        <w:t>Introduction – short description</w:t>
      </w:r>
    </w:p>
    <w:p w14:paraId="4FBD8285" w14:textId="52D12805" w:rsidR="00F12C38" w:rsidRPr="00217A29" w:rsidRDefault="00217A29" w:rsidP="00885F45">
      <w:pPr>
        <w:spacing w:after="0" w:line="360" w:lineRule="auto"/>
        <w:ind w:firstLine="709"/>
        <w:jc w:val="both"/>
        <w:rPr>
          <w:rFonts w:ascii="Arial" w:hAnsi="Arial" w:cs="Arial"/>
        </w:rPr>
      </w:pPr>
      <w:r>
        <w:rPr>
          <w:rFonts w:ascii="Arial" w:hAnsi="Arial"/>
        </w:rPr>
        <w:t>The right of persons with disabilities to full and non-discriminatory access to information and freedom of expression and opinion is realised in three fundamental areas. First of all, one must note the activities of the state intended to convince private i</w:t>
      </w:r>
      <w:r w:rsidR="00147FB2">
        <w:rPr>
          <w:rFonts w:ascii="Arial" w:hAnsi="Arial"/>
        </w:rPr>
        <w:t>nstitutions to </w:t>
      </w:r>
      <w:r>
        <w:rPr>
          <w:rFonts w:ascii="Arial" w:hAnsi="Arial"/>
        </w:rPr>
        <w:t xml:space="preserve">provide information and services in the form that is accessible to persons with disabilities. Secondly, the measures undertaken in order to officially recognize the sign language and to ensure that persons with disabilities may use the means of communication (Braille, auxiliary </w:t>
      </w:r>
      <w:r>
        <w:rPr>
          <w:rFonts w:ascii="Arial" w:hAnsi="Arial"/>
        </w:rPr>
        <w:lastRenderedPageBreak/>
        <w:t xml:space="preserve">(augmentative) communication and alternative communication, all other available means of communication) of their choice while managing their affairs. Finally, the realisation of the right of persons with disability is made conditional on the accessibility of public websites in line with the </w:t>
      </w:r>
      <w:r>
        <w:rPr>
          <w:rFonts w:ascii="Arial" w:hAnsi="Arial"/>
          <w:i/>
        </w:rPr>
        <w:t>Web Accessibility Initiative</w:t>
      </w:r>
      <w:r>
        <w:rPr>
          <w:rFonts w:ascii="Arial" w:hAnsi="Arial"/>
        </w:rPr>
        <w:t xml:space="preserve"> (WAI) standard. The iss</w:t>
      </w:r>
      <w:r w:rsidR="00147FB2">
        <w:rPr>
          <w:rFonts w:ascii="Arial" w:hAnsi="Arial"/>
        </w:rPr>
        <w:t xml:space="preserve">ues related to accessibility </w:t>
      </w:r>
      <w:r w:rsidR="00147FB2" w:rsidRPr="00147FB2">
        <w:t>of</w:t>
      </w:r>
      <w:r w:rsidR="00147FB2">
        <w:t xml:space="preserve"> </w:t>
      </w:r>
      <w:r w:rsidRPr="00147FB2">
        <w:rPr>
          <w:rFonts w:ascii="Arial" w:hAnsi="Arial" w:cs="Arial"/>
        </w:rPr>
        <w:t>mass</w:t>
      </w:r>
      <w:r>
        <w:rPr>
          <w:rFonts w:ascii="Arial" w:hAnsi="Arial"/>
        </w:rPr>
        <w:t xml:space="preserve"> media were discussed in detail in the section of the report dedicated to realisation of Article 30 of CRPD.</w:t>
      </w:r>
    </w:p>
    <w:p w14:paraId="554B5765" w14:textId="77777777" w:rsidR="00250973" w:rsidRDefault="00250973" w:rsidP="00885F45">
      <w:pPr>
        <w:pStyle w:val="Akapitzlist"/>
        <w:numPr>
          <w:ilvl w:val="0"/>
          <w:numId w:val="10"/>
        </w:numPr>
        <w:spacing w:before="120" w:after="120" w:line="360" w:lineRule="auto"/>
        <w:ind w:left="284" w:hanging="284"/>
        <w:contextualSpacing w:val="0"/>
        <w:jc w:val="both"/>
        <w:rPr>
          <w:rFonts w:ascii="Arial" w:hAnsi="Arial" w:cs="Arial"/>
          <w:b/>
        </w:rPr>
      </w:pPr>
      <w:r>
        <w:rPr>
          <w:rFonts w:ascii="Arial" w:hAnsi="Arial"/>
          <w:b/>
        </w:rPr>
        <w:t>Progress and successes in realisation of the freedom of expression and opinion, and access to information</w:t>
      </w:r>
    </w:p>
    <w:p w14:paraId="1BC591B4" w14:textId="2D9E5500" w:rsidR="00F70AEF" w:rsidRDefault="007F77E1" w:rsidP="00885F45">
      <w:pPr>
        <w:spacing w:after="0" w:line="360" w:lineRule="auto"/>
        <w:ind w:firstLine="709"/>
        <w:jc w:val="both"/>
        <w:rPr>
          <w:rFonts w:ascii="Arial" w:hAnsi="Arial" w:cs="Arial"/>
        </w:rPr>
      </w:pPr>
      <w:r>
        <w:rPr>
          <w:rFonts w:ascii="Arial" w:hAnsi="Arial"/>
        </w:rPr>
        <w:t>Over the recent years, there was a series of significant changes intended to improve the realisation of the right of persons with disabilities to access to information and the freedom of expression and opinion. Revision of the Telecommunications Law Act</w:t>
      </w:r>
      <w:r>
        <w:rPr>
          <w:rStyle w:val="Odwoanieprzypisudolnego"/>
          <w:rFonts w:ascii="Arial" w:hAnsi="Arial"/>
        </w:rPr>
        <w:footnoteReference w:id="166"/>
      </w:r>
      <w:r>
        <w:rPr>
          <w:rFonts w:ascii="Arial" w:hAnsi="Arial"/>
        </w:rPr>
        <w:t xml:space="preserve"> is one of such examples, as a result of which operators of public telephone services were obliged to provide, as long as technically possible, to users who are persons with disabilities, access to the telephone services provided by them on equal terms as the access to telephone services provided to the majority of users.</w:t>
      </w:r>
    </w:p>
    <w:p w14:paraId="057359B8" w14:textId="13F91440" w:rsidR="0021651C" w:rsidRDefault="0021651C" w:rsidP="0021651C">
      <w:pPr>
        <w:spacing w:after="0" w:line="360" w:lineRule="auto"/>
        <w:ind w:firstLine="709"/>
        <w:jc w:val="both"/>
        <w:rPr>
          <w:rFonts w:ascii="Arial" w:hAnsi="Arial" w:cs="Arial"/>
          <w:bCs/>
        </w:rPr>
      </w:pPr>
      <w:r>
        <w:rPr>
          <w:rFonts w:ascii="Arial" w:hAnsi="Arial"/>
        </w:rPr>
        <w:t>Moreover, in 2011 an Act on sign language</w:t>
      </w:r>
      <w:r>
        <w:rPr>
          <w:rFonts w:ascii="Arial" w:hAnsi="Arial"/>
          <w:vertAlign w:val="superscript"/>
        </w:rPr>
        <w:footnoteReference w:id="167"/>
      </w:r>
      <w:r>
        <w:rPr>
          <w:rFonts w:ascii="Arial" w:hAnsi="Arial"/>
        </w:rPr>
        <w:t xml:space="preserve"> was passed, which amended the status of the sign language</w:t>
      </w:r>
      <w:r>
        <w:rPr>
          <w:rStyle w:val="Odwoanieprzypisudolnego"/>
          <w:rFonts w:ascii="Arial" w:hAnsi="Arial"/>
        </w:rPr>
        <w:footnoteReference w:id="168"/>
      </w:r>
      <w:r>
        <w:rPr>
          <w:rFonts w:ascii="Arial" w:hAnsi="Arial"/>
        </w:rPr>
        <w:t>. The primary obligation arising from the said Act is the obligation to ensure by public administration authorities, on request of a deaf or deafblind person the services of a sign language translator or SKOGN (communication system for deafblind persons) within three days. Alternatively, the office may hire an employee who knows sign language. Other duties include informing about the service and how to order it, ensuring documents needed to handle a given matter in the form that is accessible to an eligible person and to ensure that it is possible to contact the office in the form of the eligible person’s choice (e-mail, fax, text messages). An important solution also takes the form of being able to receive financing for sign language and SKOGN courses by deaf and deafblind persons as well as members of their families and other persons that have frequent contact with eligible persons.</w:t>
      </w:r>
    </w:p>
    <w:p w14:paraId="3545AB94" w14:textId="77777777" w:rsidR="00F12C38" w:rsidRDefault="00A62389" w:rsidP="009D7C71">
      <w:pPr>
        <w:spacing w:after="0" w:line="360" w:lineRule="auto"/>
        <w:ind w:firstLine="709"/>
        <w:jc w:val="both"/>
        <w:rPr>
          <w:rFonts w:ascii="Arial" w:hAnsi="Arial" w:cs="Arial"/>
        </w:rPr>
      </w:pPr>
      <w:r>
        <w:rPr>
          <w:rFonts w:ascii="Arial" w:hAnsi="Arial"/>
        </w:rPr>
        <w:t>Visible progress was also made with respect to accessibility of public websites. Pursuant to the provisions of the Act on digitalisation of the operations of entities realising public tasks</w:t>
      </w:r>
      <w:r>
        <w:rPr>
          <w:rStyle w:val="Odwoanieprzypisudolnego"/>
          <w:rFonts w:ascii="Arial" w:hAnsi="Arial"/>
          <w:i/>
        </w:rPr>
        <w:footnoteReference w:id="169"/>
      </w:r>
      <w:r>
        <w:rPr>
          <w:rFonts w:ascii="Arial" w:hAnsi="Arial"/>
        </w:rPr>
        <w:t xml:space="preserve"> and the resolution of the Council of Ministers on the National Interoperability </w:t>
      </w:r>
      <w:r>
        <w:rPr>
          <w:rFonts w:ascii="Arial" w:hAnsi="Arial"/>
        </w:rPr>
        <w:lastRenderedPageBreak/>
        <w:t>Framework</w:t>
      </w:r>
      <w:r>
        <w:rPr>
          <w:rStyle w:val="Odwoanieprzypisudolnego"/>
          <w:rFonts w:ascii="Arial" w:hAnsi="Arial"/>
        </w:rPr>
        <w:footnoteReference w:id="170"/>
      </w:r>
      <w:r>
        <w:rPr>
          <w:rFonts w:ascii="Arial" w:hAnsi="Arial"/>
        </w:rPr>
        <w:t xml:space="preserve">, minimum requirements for IT systems were stipulated, including methods of ensuring access to information of public entities to persons with disabilities. The said regulation also stipulates the methods of proceeding of entities that realise public tasks, which are intended to ensure accessibility of services provided by those entities in electronic form to citizens and entrepreneurs. The requirements of </w:t>
      </w:r>
      <w:r>
        <w:rPr>
          <w:rFonts w:ascii="Arial" w:hAnsi="Arial"/>
          <w:i/>
        </w:rPr>
        <w:t>Web Content Accessibility Guidelines</w:t>
      </w:r>
      <w:r>
        <w:rPr>
          <w:rFonts w:ascii="Arial" w:hAnsi="Arial"/>
        </w:rPr>
        <w:t xml:space="preserve"> (WCAG 2.0) constitute the standard for ICT systems in the area of accessibility to persons with disabilities that must be considered by entities realising public tasks in the process of designing websites where they publish their content, considering the AA level.</w:t>
      </w:r>
    </w:p>
    <w:p w14:paraId="4CD42E66" w14:textId="77777777" w:rsidR="00F12C38" w:rsidRDefault="003B2E0D" w:rsidP="003B2E0D">
      <w:pPr>
        <w:spacing w:after="0" w:line="360" w:lineRule="auto"/>
        <w:ind w:firstLine="709"/>
        <w:jc w:val="both"/>
        <w:rPr>
          <w:rFonts w:ascii="Arial" w:hAnsi="Arial"/>
        </w:rPr>
      </w:pPr>
      <w:r>
        <w:rPr>
          <w:rFonts w:ascii="Arial" w:hAnsi="Arial"/>
        </w:rPr>
        <w:t>The principles of disclosing public information are regulated in the Act on access to public information</w:t>
      </w:r>
      <w:r>
        <w:rPr>
          <w:rStyle w:val="Odwoanieprzypisudolnego"/>
          <w:rFonts w:ascii="Arial" w:hAnsi="Arial"/>
        </w:rPr>
        <w:footnoteReference w:id="171"/>
      </w:r>
      <w:r>
        <w:rPr>
          <w:rFonts w:ascii="Arial" w:hAnsi="Arial"/>
        </w:rPr>
        <w:t xml:space="preserve">. In line with that Act, a tool entitled Public Information Bulletin </w:t>
      </w:r>
      <w:r>
        <w:rPr>
          <w:rFonts w:ascii="Arial" w:hAnsi="Arial"/>
          <w:i/>
        </w:rPr>
        <w:t>[Polish: Biuletyn Informacji Publicznej]</w:t>
      </w:r>
      <w:r>
        <w:rPr>
          <w:rFonts w:ascii="Arial" w:hAnsi="Arial"/>
        </w:rPr>
        <w:t xml:space="preserve"> was established. Public Information Bulletin is a uniform system for designing websites created for the purposes of common disclosure of public information. In line with the aforementioned resolution on the National Interoperability Framework, Public Information Bulletin must meet the accessibility standards for users with disabilities, in particular: </w:t>
      </w:r>
      <w:r>
        <w:rPr>
          <w:rFonts w:ascii="Arial" w:hAnsi="Arial"/>
          <w:i/>
        </w:rPr>
        <w:t>HTML 4.01, XHTML 1.0 or HTML 3.2 as well as WCAG 2.0</w:t>
      </w:r>
      <w:r>
        <w:rPr>
          <w:rFonts w:ascii="Arial" w:hAnsi="Arial"/>
        </w:rPr>
        <w:t xml:space="preserve">. </w:t>
      </w:r>
    </w:p>
    <w:p w14:paraId="595F0929" w14:textId="4AB64BF9" w:rsidR="00C7429C" w:rsidRPr="00C7429C" w:rsidRDefault="00C7429C" w:rsidP="003B2E0D">
      <w:pPr>
        <w:spacing w:after="0" w:line="360" w:lineRule="auto"/>
        <w:ind w:firstLine="709"/>
        <w:jc w:val="both"/>
        <w:rPr>
          <w:rFonts w:ascii="Arial" w:hAnsi="Arial" w:cs="Arial"/>
          <w:b/>
        </w:rPr>
      </w:pPr>
      <w:r>
        <w:rPr>
          <w:rFonts w:ascii="Arial" w:hAnsi="Arial"/>
        </w:rPr>
        <w:t xml:space="preserve">IT systems of entities realising public tasks must be adapted to the requirements stipulated therein </w:t>
      </w:r>
      <w:r>
        <w:rPr>
          <w:rFonts w:ascii="Arial" w:hAnsi="Arial"/>
          <w:b/>
        </w:rPr>
        <w:t>by the end of first quarter of 2015</w:t>
      </w:r>
      <w:r w:rsidRPr="00C7429C">
        <w:rPr>
          <w:rFonts w:ascii="Arial" w:hAnsi="Arial"/>
          <w:b/>
          <w:vertAlign w:val="superscript"/>
        </w:rPr>
        <w:t>172</w:t>
      </w:r>
    </w:p>
    <w:p w14:paraId="0F47C59F" w14:textId="1B420639" w:rsidR="00250973" w:rsidRDefault="00250973" w:rsidP="00885F45">
      <w:pPr>
        <w:pStyle w:val="Akapitzlist"/>
        <w:numPr>
          <w:ilvl w:val="0"/>
          <w:numId w:val="10"/>
        </w:numPr>
        <w:spacing w:before="120" w:after="120" w:line="360" w:lineRule="auto"/>
        <w:ind w:left="284" w:hanging="284"/>
        <w:contextualSpacing w:val="0"/>
        <w:jc w:val="both"/>
        <w:rPr>
          <w:rFonts w:ascii="Arial" w:hAnsi="Arial" w:cs="Arial"/>
          <w:b/>
        </w:rPr>
      </w:pPr>
      <w:r>
        <w:rPr>
          <w:rFonts w:ascii="Arial" w:hAnsi="Arial"/>
          <w:b/>
        </w:rPr>
        <w:t>Major problems and barriers in realisation of the freedom of expression and opinion, and access to information – study results</w:t>
      </w:r>
    </w:p>
    <w:p w14:paraId="5D4ED561" w14:textId="577990D1" w:rsidR="00E40D28" w:rsidRPr="00FB78F4" w:rsidRDefault="00E40D28" w:rsidP="00885F45">
      <w:pPr>
        <w:pStyle w:val="Akapitzlist"/>
        <w:numPr>
          <w:ilvl w:val="0"/>
          <w:numId w:val="37"/>
        </w:numPr>
        <w:spacing w:before="120" w:after="120" w:line="360" w:lineRule="auto"/>
        <w:ind w:left="284" w:hanging="284"/>
        <w:contextualSpacing w:val="0"/>
        <w:jc w:val="both"/>
        <w:rPr>
          <w:rFonts w:ascii="Arial" w:hAnsi="Arial" w:cs="Arial"/>
        </w:rPr>
      </w:pPr>
      <w:r>
        <w:rPr>
          <w:rFonts w:ascii="Arial" w:hAnsi="Arial"/>
          <w:b/>
        </w:rPr>
        <w:t>Servicing the deaf and the deafblind in public administration offices</w:t>
      </w:r>
    </w:p>
    <w:p w14:paraId="345CD77C" w14:textId="0A7148E0" w:rsidR="00AF278F" w:rsidRDefault="00AF278F" w:rsidP="00E40D28">
      <w:pPr>
        <w:spacing w:after="0" w:line="360" w:lineRule="auto"/>
        <w:ind w:firstLine="709"/>
        <w:jc w:val="both"/>
        <w:rPr>
          <w:rFonts w:ascii="Arial" w:hAnsi="Arial" w:cs="Arial"/>
          <w:bCs/>
        </w:rPr>
      </w:pPr>
      <w:r>
        <w:rPr>
          <w:rFonts w:ascii="Arial" w:hAnsi="Arial"/>
        </w:rPr>
        <w:t>Despite the fact that the Act on sign language constitutes a huge step towards facilitating the functioning of the deaf and the deafblind persons and towards the implementation of Article 21 of the Convention, the Ombudsman notices significant faults of that regulation. The provisions of the act are imprecise in many places, and the legislator failed to consider instruments that would make it possible to enforce ef</w:t>
      </w:r>
      <w:r w:rsidR="00147FB2">
        <w:rPr>
          <w:rFonts w:ascii="Arial" w:hAnsi="Arial"/>
        </w:rPr>
        <w:t>fective realisation of </w:t>
      </w:r>
      <w:r>
        <w:rPr>
          <w:rFonts w:ascii="Arial" w:hAnsi="Arial"/>
        </w:rPr>
        <w:t xml:space="preserve">the obligations imposed on the offices. A significant fault of the regulation is also the fact that the obligation to ensure the services of an interpreter is imposed only on public administration authorities. Therefore, for example hospitals, clinics and schools (for the purposes of contacting parents of students) do not have to ensure such services, irrespective of whether they provide services as a private institution or as financed from public funds. The obligation to ensure the services of an interpreter also does not apply to the so-called local </w:t>
      </w:r>
      <w:r>
        <w:rPr>
          <w:rFonts w:ascii="Arial" w:hAnsi="Arial"/>
        </w:rPr>
        <w:lastRenderedPageBreak/>
        <w:t>government legal entities, i.e. the voivod</w:t>
      </w:r>
      <w:r w:rsidR="00147FB2">
        <w:rPr>
          <w:rFonts w:ascii="Arial" w:hAnsi="Arial"/>
        </w:rPr>
        <w:t>e</w:t>
      </w:r>
      <w:r>
        <w:rPr>
          <w:rFonts w:ascii="Arial" w:hAnsi="Arial"/>
        </w:rPr>
        <w:t>ship exam centres that hold driving licence exams</w:t>
      </w:r>
      <w:r>
        <w:rPr>
          <w:rStyle w:val="Odwoanieprzypisudolnego"/>
          <w:rFonts w:ascii="Arial" w:hAnsi="Arial"/>
        </w:rPr>
        <w:footnoteReference w:id="172"/>
      </w:r>
      <w:r>
        <w:rPr>
          <w:rFonts w:ascii="Arial" w:hAnsi="Arial"/>
        </w:rPr>
        <w:t xml:space="preserve">. </w:t>
      </w:r>
    </w:p>
    <w:p w14:paraId="204B8A43" w14:textId="192DFF5D" w:rsidR="00591B69" w:rsidRDefault="00AF278F" w:rsidP="00552608">
      <w:pPr>
        <w:spacing w:after="0" w:line="360" w:lineRule="auto"/>
        <w:ind w:firstLine="709"/>
        <w:jc w:val="both"/>
        <w:rPr>
          <w:rFonts w:ascii="Arial" w:hAnsi="Arial"/>
        </w:rPr>
      </w:pPr>
      <w:r>
        <w:rPr>
          <w:rFonts w:ascii="Arial" w:hAnsi="Arial"/>
        </w:rPr>
        <w:t>In 2013, the Human Rights Defender conducted an inspection of the provisions on the Act on sign language</w:t>
      </w:r>
      <w:r>
        <w:rPr>
          <w:rFonts w:ascii="Arial" w:hAnsi="Arial"/>
          <w:vertAlign w:val="superscript"/>
        </w:rPr>
        <w:footnoteReference w:id="173"/>
      </w:r>
      <w:r>
        <w:rPr>
          <w:rFonts w:ascii="Arial" w:hAnsi="Arial"/>
        </w:rPr>
        <w:t xml:space="preserve">. The results indicate that the implementation level of that act is very low. In the case of the deaf, the percentage of offices declaring that they offer the possibility to use the assistance of an interpreter was </w:t>
      </w:r>
      <w:r>
        <w:rPr>
          <w:rFonts w:ascii="Arial" w:hAnsi="Arial"/>
          <w:b/>
        </w:rPr>
        <w:t>73%, while in 41% the function of the interpreter was to be served only by a trained clerk</w:t>
      </w:r>
      <w:r>
        <w:rPr>
          <w:rFonts w:ascii="Arial" w:hAnsi="Arial"/>
        </w:rPr>
        <w:t xml:space="preserve">. In the case of deafblind persons, analogous values reached </w:t>
      </w:r>
      <w:r>
        <w:rPr>
          <w:rFonts w:ascii="Arial" w:hAnsi="Arial"/>
          <w:b/>
        </w:rPr>
        <w:t>22% and 3%</w:t>
      </w:r>
      <w:r>
        <w:rPr>
          <w:rFonts w:ascii="Arial" w:hAnsi="Arial"/>
        </w:rPr>
        <w:t>.</w:t>
      </w:r>
    </w:p>
    <w:p w14:paraId="2CE90CC8" w14:textId="77777777" w:rsidR="006A66B2" w:rsidRPr="006A66B2" w:rsidRDefault="006A66B2" w:rsidP="006A66B2">
      <w:pPr>
        <w:spacing w:after="0" w:line="360" w:lineRule="auto"/>
        <w:ind w:firstLine="709"/>
        <w:jc w:val="both"/>
        <w:rPr>
          <w:rFonts w:ascii="Arial" w:hAnsi="Arial"/>
          <w:b/>
          <w:sz w:val="16"/>
          <w:szCs w:val="16"/>
        </w:rPr>
      </w:pPr>
    </w:p>
    <w:p w14:paraId="73814D3E" w14:textId="77777777" w:rsidR="006A66B2" w:rsidRDefault="006A66B2" w:rsidP="006A66B2">
      <w:pPr>
        <w:spacing w:after="0" w:line="360" w:lineRule="auto"/>
        <w:jc w:val="center"/>
        <w:rPr>
          <w:rFonts w:ascii="Arial" w:hAnsi="Arial"/>
          <w:b/>
        </w:rPr>
      </w:pPr>
    </w:p>
    <w:p w14:paraId="7C8F226E" w14:textId="68412D33" w:rsidR="006A66B2" w:rsidRPr="00037B24" w:rsidRDefault="006A66B2" w:rsidP="00037B24">
      <w:pPr>
        <w:spacing w:after="0" w:line="360" w:lineRule="auto"/>
        <w:jc w:val="center"/>
        <w:rPr>
          <w:rFonts w:ascii="Arial" w:hAnsi="Arial"/>
          <w:b/>
        </w:rPr>
      </w:pPr>
      <w:r w:rsidRPr="006A66B2">
        <w:rPr>
          <w:rFonts w:ascii="Arial" w:hAnsi="Arial"/>
          <w:b/>
        </w:rPr>
        <w:t>Percentage of offices declaring the possibility to use the assistance of an interpreter</w:t>
      </w:r>
    </w:p>
    <w:p w14:paraId="3B7DAEFD" w14:textId="4811118B" w:rsidR="006A66B2" w:rsidRPr="00552608" w:rsidRDefault="006A66B2" w:rsidP="00552608">
      <w:pPr>
        <w:spacing w:after="0" w:line="360" w:lineRule="auto"/>
        <w:ind w:firstLine="709"/>
        <w:jc w:val="both"/>
        <w:rPr>
          <w:rFonts w:ascii="Arial" w:hAnsi="Arial" w:cs="Arial"/>
          <w:bCs/>
        </w:rPr>
      </w:pPr>
      <w:r>
        <w:rPr>
          <w:noProof/>
          <w:lang w:val="pl-PL" w:eastAsia="pl-PL" w:bidi="ar-SA"/>
        </w:rPr>
        <w:drawing>
          <wp:anchor distT="0" distB="0" distL="114300" distR="114300" simplePos="0" relativeHeight="251665408" behindDoc="0" locked="0" layoutInCell="1" allowOverlap="1" wp14:anchorId="3F13AB7C" wp14:editId="26392692">
            <wp:simplePos x="0" y="0"/>
            <wp:positionH relativeFrom="column">
              <wp:posOffset>2439035</wp:posOffset>
            </wp:positionH>
            <wp:positionV relativeFrom="paragraph">
              <wp:posOffset>104775</wp:posOffset>
            </wp:positionV>
            <wp:extent cx="2777490" cy="2475230"/>
            <wp:effectExtent l="0" t="0" r="0" b="0"/>
            <wp:wrapSquare wrapText="bothSides"/>
            <wp:docPr id="12" name="Wykres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r>
        <w:rPr>
          <w:noProof/>
          <w:lang w:val="pl-PL" w:eastAsia="pl-PL" w:bidi="ar-SA"/>
        </w:rPr>
        <w:drawing>
          <wp:anchor distT="0" distB="0" distL="114300" distR="114300" simplePos="0" relativeHeight="251664384" behindDoc="0" locked="0" layoutInCell="1" allowOverlap="1" wp14:anchorId="4823418A" wp14:editId="6829D7FB">
            <wp:simplePos x="0" y="0"/>
            <wp:positionH relativeFrom="column">
              <wp:posOffset>85090</wp:posOffset>
            </wp:positionH>
            <wp:positionV relativeFrom="paragraph">
              <wp:posOffset>91440</wp:posOffset>
            </wp:positionV>
            <wp:extent cx="2777490" cy="2475230"/>
            <wp:effectExtent l="0" t="0" r="0" b="0"/>
            <wp:wrapSquare wrapText="bothSides"/>
            <wp:docPr id="3" name="Wykres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page">
              <wp14:pctWidth>0</wp14:pctWidth>
            </wp14:sizeRelH>
            <wp14:sizeRelV relativeFrom="page">
              <wp14:pctHeight>0</wp14:pctHeight>
            </wp14:sizeRelV>
          </wp:anchor>
        </w:drawing>
      </w:r>
    </w:p>
    <w:p w14:paraId="0D03F998" w14:textId="20BE856B" w:rsidR="00591B69" w:rsidRDefault="00591B69" w:rsidP="006B30B1">
      <w:pPr>
        <w:spacing w:after="0" w:line="360" w:lineRule="auto"/>
        <w:ind w:firstLine="709"/>
        <w:jc w:val="both"/>
        <w:rPr>
          <w:rFonts w:ascii="Arial" w:hAnsi="Arial" w:cs="Arial"/>
          <w:b/>
          <w:bCs/>
          <w:sz w:val="16"/>
          <w:szCs w:val="16"/>
        </w:rPr>
      </w:pPr>
    </w:p>
    <w:p w14:paraId="542E5398" w14:textId="7087704E" w:rsidR="00AF278F" w:rsidRPr="00AF278F" w:rsidRDefault="00AF278F" w:rsidP="00AF278F">
      <w:pPr>
        <w:spacing w:after="0" w:line="360" w:lineRule="auto"/>
        <w:jc w:val="center"/>
        <w:rPr>
          <w:rFonts w:ascii="Arial" w:hAnsi="Arial" w:cs="Arial"/>
        </w:rPr>
      </w:pPr>
    </w:p>
    <w:p w14:paraId="581F8E88" w14:textId="77777777" w:rsidR="006A66B2" w:rsidRDefault="006A66B2" w:rsidP="006D11AE">
      <w:pPr>
        <w:spacing w:after="0" w:line="360" w:lineRule="auto"/>
        <w:jc w:val="center"/>
        <w:rPr>
          <w:rFonts w:ascii="Arial" w:hAnsi="Arial"/>
          <w:sz w:val="16"/>
        </w:rPr>
      </w:pPr>
    </w:p>
    <w:p w14:paraId="4DABDA29" w14:textId="77777777" w:rsidR="006A66B2" w:rsidRDefault="006A66B2" w:rsidP="006D11AE">
      <w:pPr>
        <w:spacing w:after="0" w:line="360" w:lineRule="auto"/>
        <w:jc w:val="center"/>
        <w:rPr>
          <w:rFonts w:ascii="Arial" w:hAnsi="Arial"/>
          <w:sz w:val="16"/>
        </w:rPr>
      </w:pPr>
    </w:p>
    <w:p w14:paraId="54DD402B" w14:textId="77777777" w:rsidR="006A66B2" w:rsidRDefault="006A66B2" w:rsidP="006D11AE">
      <w:pPr>
        <w:spacing w:after="0" w:line="360" w:lineRule="auto"/>
        <w:jc w:val="center"/>
        <w:rPr>
          <w:rFonts w:ascii="Arial" w:hAnsi="Arial"/>
          <w:sz w:val="16"/>
        </w:rPr>
      </w:pPr>
    </w:p>
    <w:p w14:paraId="46F39354" w14:textId="77777777" w:rsidR="006A66B2" w:rsidRDefault="006A66B2" w:rsidP="006D11AE">
      <w:pPr>
        <w:spacing w:after="0" w:line="360" w:lineRule="auto"/>
        <w:jc w:val="center"/>
        <w:rPr>
          <w:rFonts w:ascii="Arial" w:hAnsi="Arial"/>
          <w:sz w:val="16"/>
        </w:rPr>
      </w:pPr>
    </w:p>
    <w:p w14:paraId="0967D1F7" w14:textId="77777777" w:rsidR="006A66B2" w:rsidRDefault="006A66B2" w:rsidP="006D11AE">
      <w:pPr>
        <w:spacing w:after="0" w:line="360" w:lineRule="auto"/>
        <w:jc w:val="center"/>
        <w:rPr>
          <w:rFonts w:ascii="Arial" w:hAnsi="Arial"/>
          <w:sz w:val="16"/>
        </w:rPr>
      </w:pPr>
    </w:p>
    <w:p w14:paraId="6EEE990A" w14:textId="77777777" w:rsidR="006A66B2" w:rsidRDefault="006A66B2" w:rsidP="006D11AE">
      <w:pPr>
        <w:spacing w:after="0" w:line="360" w:lineRule="auto"/>
        <w:jc w:val="center"/>
        <w:rPr>
          <w:rFonts w:ascii="Arial" w:hAnsi="Arial"/>
          <w:sz w:val="16"/>
        </w:rPr>
      </w:pPr>
    </w:p>
    <w:p w14:paraId="52720A32" w14:textId="77777777" w:rsidR="006A66B2" w:rsidRDefault="006A66B2" w:rsidP="006D11AE">
      <w:pPr>
        <w:spacing w:after="0" w:line="360" w:lineRule="auto"/>
        <w:jc w:val="center"/>
        <w:rPr>
          <w:rFonts w:ascii="Arial" w:hAnsi="Arial"/>
          <w:sz w:val="16"/>
        </w:rPr>
      </w:pPr>
    </w:p>
    <w:p w14:paraId="7BFDF9DA" w14:textId="77777777" w:rsidR="006A66B2" w:rsidRDefault="006A66B2" w:rsidP="006D11AE">
      <w:pPr>
        <w:spacing w:after="0" w:line="360" w:lineRule="auto"/>
        <w:jc w:val="center"/>
        <w:rPr>
          <w:rFonts w:ascii="Arial" w:hAnsi="Arial"/>
          <w:sz w:val="16"/>
        </w:rPr>
      </w:pPr>
    </w:p>
    <w:p w14:paraId="59670A4B" w14:textId="77777777" w:rsidR="006A66B2" w:rsidRDefault="006A66B2" w:rsidP="006D11AE">
      <w:pPr>
        <w:spacing w:after="0" w:line="360" w:lineRule="auto"/>
        <w:jc w:val="center"/>
        <w:rPr>
          <w:rFonts w:ascii="Arial" w:hAnsi="Arial"/>
          <w:sz w:val="16"/>
        </w:rPr>
      </w:pPr>
    </w:p>
    <w:p w14:paraId="6102C0E0" w14:textId="77777777" w:rsidR="006A66B2" w:rsidRDefault="006A66B2" w:rsidP="006D11AE">
      <w:pPr>
        <w:spacing w:after="0" w:line="360" w:lineRule="auto"/>
        <w:jc w:val="center"/>
        <w:rPr>
          <w:rFonts w:ascii="Arial" w:hAnsi="Arial"/>
          <w:sz w:val="16"/>
        </w:rPr>
      </w:pPr>
    </w:p>
    <w:p w14:paraId="41AE4537" w14:textId="77777777" w:rsidR="006A66B2" w:rsidRDefault="006A66B2" w:rsidP="006D11AE">
      <w:pPr>
        <w:spacing w:after="0" w:line="360" w:lineRule="auto"/>
        <w:jc w:val="center"/>
        <w:rPr>
          <w:rFonts w:ascii="Arial" w:hAnsi="Arial"/>
          <w:sz w:val="16"/>
        </w:rPr>
      </w:pPr>
    </w:p>
    <w:p w14:paraId="1049DC4B" w14:textId="77777777" w:rsidR="006D11AE" w:rsidRPr="006D11AE" w:rsidRDefault="006D11AE" w:rsidP="006D11AE">
      <w:pPr>
        <w:spacing w:after="0" w:line="360" w:lineRule="auto"/>
        <w:jc w:val="center"/>
        <w:rPr>
          <w:rFonts w:ascii="Arial" w:hAnsi="Arial" w:cs="Arial"/>
          <w:bCs/>
          <w:sz w:val="16"/>
          <w:szCs w:val="16"/>
        </w:rPr>
      </w:pPr>
      <w:r>
        <w:rPr>
          <w:rFonts w:ascii="Arial" w:hAnsi="Arial"/>
          <w:sz w:val="16"/>
        </w:rPr>
        <w:t xml:space="preserve">Prepared by: the Office of the Human Rights Defender on the basis of the studies entitled: </w:t>
      </w:r>
      <w:r>
        <w:rPr>
          <w:rFonts w:ascii="Arial" w:hAnsi="Arial"/>
          <w:i/>
          <w:sz w:val="16"/>
        </w:rPr>
        <w:t>Knowledge of clerks about the obligations arising from the Act on sign language and other means of communication</w:t>
      </w:r>
    </w:p>
    <w:p w14:paraId="7C94D633" w14:textId="77777777" w:rsidR="00E55B35" w:rsidRPr="00E40D28" w:rsidRDefault="00E55B35" w:rsidP="00AF278F">
      <w:pPr>
        <w:spacing w:after="0" w:line="360" w:lineRule="auto"/>
        <w:ind w:firstLine="709"/>
        <w:jc w:val="both"/>
        <w:rPr>
          <w:rFonts w:ascii="Arial" w:hAnsi="Arial" w:cs="Arial"/>
          <w:bCs/>
          <w:sz w:val="16"/>
          <w:szCs w:val="16"/>
        </w:rPr>
      </w:pPr>
    </w:p>
    <w:p w14:paraId="74EA6221" w14:textId="62843D77" w:rsidR="006B30B1" w:rsidRPr="006B30B1" w:rsidRDefault="006B30B1" w:rsidP="006B30B1">
      <w:pPr>
        <w:spacing w:after="0" w:line="360" w:lineRule="auto"/>
        <w:ind w:firstLine="709"/>
        <w:jc w:val="both"/>
        <w:rPr>
          <w:rFonts w:ascii="Arial" w:hAnsi="Arial" w:cs="Arial"/>
          <w:bCs/>
        </w:rPr>
      </w:pPr>
      <w:r>
        <w:rPr>
          <w:rFonts w:ascii="Arial" w:hAnsi="Arial"/>
        </w:rPr>
        <w:t xml:space="preserve">It means that in the case of the deaf, </w:t>
      </w:r>
      <w:r>
        <w:rPr>
          <w:rFonts w:ascii="Arial" w:hAnsi="Arial"/>
          <w:b/>
        </w:rPr>
        <w:t>over</w:t>
      </w:r>
      <w:r>
        <w:rPr>
          <w:rFonts w:ascii="Arial" w:hAnsi="Arial"/>
        </w:rPr>
        <w:t xml:space="preserve"> </w:t>
      </w:r>
      <w:r>
        <w:rPr>
          <w:rFonts w:ascii="Arial" w:hAnsi="Arial"/>
          <w:b/>
        </w:rPr>
        <w:t xml:space="preserve">one fourth of offices (27%) fails to meet the obligations </w:t>
      </w:r>
      <w:r w:rsidR="00591B69">
        <w:rPr>
          <w:rFonts w:ascii="Arial" w:hAnsi="Arial"/>
        </w:rPr>
        <w:t>imposed on</w:t>
      </w:r>
      <w:r>
        <w:rPr>
          <w:rFonts w:ascii="Arial" w:hAnsi="Arial"/>
        </w:rPr>
        <w:t xml:space="preserve"> them under the Act on sign language, and in the case of deafblind persons, </w:t>
      </w:r>
      <w:r>
        <w:rPr>
          <w:rFonts w:ascii="Arial" w:hAnsi="Arial"/>
          <w:b/>
        </w:rPr>
        <w:t>that number grows to over three fourths (78%)</w:t>
      </w:r>
      <w:r>
        <w:rPr>
          <w:rFonts w:ascii="Arial" w:hAnsi="Arial"/>
        </w:rPr>
        <w:t xml:space="preserve">. </w:t>
      </w:r>
    </w:p>
    <w:p w14:paraId="5EC372B7" w14:textId="4A52D3CF" w:rsidR="006B30B1" w:rsidRPr="006B30B1" w:rsidRDefault="006B30B1" w:rsidP="006B30B1">
      <w:pPr>
        <w:spacing w:after="0" w:line="360" w:lineRule="auto"/>
        <w:ind w:firstLine="709"/>
        <w:jc w:val="both"/>
        <w:rPr>
          <w:rFonts w:ascii="Arial" w:hAnsi="Arial" w:cs="Arial"/>
          <w:bCs/>
        </w:rPr>
      </w:pPr>
      <w:r>
        <w:rPr>
          <w:rFonts w:ascii="Arial" w:hAnsi="Arial"/>
        </w:rPr>
        <w:t>It is also important to note that while the legislator allows the deaf or the deafblind persons to be services by a clerk trained for this purpose, such a clerk will rarely be able to stand for a professional interpreter. This is caused by the fact that the common practice consists in organising trainings in sign language (most often i</w:t>
      </w:r>
      <w:r w:rsidR="00637A1F">
        <w:rPr>
          <w:rFonts w:ascii="Arial" w:hAnsi="Arial"/>
        </w:rPr>
        <w:t>n Signed Polish, which is not a </w:t>
      </w:r>
      <w:r>
        <w:rPr>
          <w:rFonts w:ascii="Arial" w:hAnsi="Arial"/>
        </w:rPr>
        <w:t xml:space="preserve">natural language of the deaf) for employees of offices, which involve approx. 60 hours of classes, which usually come down to basic signs and phrases in the sign language. It is not </w:t>
      </w:r>
      <w:r>
        <w:rPr>
          <w:rFonts w:ascii="Arial" w:hAnsi="Arial"/>
        </w:rPr>
        <w:lastRenderedPageBreak/>
        <w:t>enough to provide efficient service to a deaf person even in the simplest affairs related to day-to-day life.</w:t>
      </w:r>
    </w:p>
    <w:p w14:paraId="0B14B186" w14:textId="77777777" w:rsidR="006B30B1" w:rsidRDefault="006B30B1" w:rsidP="006B30B1">
      <w:pPr>
        <w:spacing w:after="0" w:line="360" w:lineRule="auto"/>
        <w:ind w:firstLine="709"/>
        <w:jc w:val="both"/>
        <w:rPr>
          <w:rFonts w:ascii="Arial" w:hAnsi="Arial"/>
          <w:b/>
        </w:rPr>
      </w:pPr>
      <w:r>
        <w:rPr>
          <w:rFonts w:ascii="Arial" w:hAnsi="Arial"/>
        </w:rPr>
        <w:t xml:space="preserve">Therefore, a trained clerk should supplement, not replace, a professional interpreter. </w:t>
      </w:r>
      <w:r>
        <w:rPr>
          <w:rFonts w:ascii="Arial" w:hAnsi="Arial"/>
          <w:b/>
        </w:rPr>
        <w:t>The option to use the assistance of both a trained clerk and a professional interpreter was declared only by 10% offices as regards the deaf, and only 1% as regards the deafblind.</w:t>
      </w:r>
    </w:p>
    <w:p w14:paraId="33EB0965" w14:textId="77777777" w:rsidR="00BF2DC5" w:rsidRPr="00E40D28" w:rsidRDefault="00BF2DC5" w:rsidP="00AF278F">
      <w:pPr>
        <w:spacing w:after="0" w:line="360" w:lineRule="auto"/>
        <w:jc w:val="both"/>
        <w:rPr>
          <w:rFonts w:ascii="Arial" w:hAnsi="Arial" w:cs="Arial"/>
          <w:b/>
          <w:sz w:val="16"/>
          <w:szCs w:val="16"/>
        </w:rPr>
      </w:pPr>
    </w:p>
    <w:p w14:paraId="5AD42582" w14:textId="77777777" w:rsidR="00AF278F" w:rsidRPr="00AF278F" w:rsidRDefault="00AF278F" w:rsidP="00AF278F">
      <w:pPr>
        <w:spacing w:after="0" w:line="360" w:lineRule="auto"/>
        <w:jc w:val="center"/>
        <w:rPr>
          <w:rFonts w:ascii="Arial" w:hAnsi="Arial" w:cs="Arial"/>
          <w:b/>
        </w:rPr>
      </w:pPr>
      <w:r>
        <w:rPr>
          <w:rFonts w:ascii="Arial" w:hAnsi="Arial"/>
          <w:b/>
        </w:rPr>
        <w:t>The percentage of offices offering the assistance of an interpreter or a trained clerk</w:t>
      </w:r>
    </w:p>
    <w:p w14:paraId="480EB828" w14:textId="5D60ACB9" w:rsidR="009753E6" w:rsidRDefault="00C11978" w:rsidP="00C11978">
      <w:pPr>
        <w:spacing w:after="0" w:line="360" w:lineRule="auto"/>
        <w:ind w:left="426"/>
        <w:jc w:val="both"/>
        <w:rPr>
          <w:rFonts w:ascii="Arial" w:hAnsi="Arial" w:cs="Arial"/>
          <w:bCs/>
          <w:sz w:val="16"/>
          <w:szCs w:val="16"/>
        </w:rPr>
      </w:pPr>
      <w:r>
        <w:rPr>
          <w:rFonts w:ascii="Arial" w:hAnsi="Arial" w:cs="Arial"/>
          <w:bCs/>
          <w:noProof/>
          <w:sz w:val="16"/>
          <w:szCs w:val="16"/>
          <w:lang w:val="pl-PL" w:eastAsia="pl-PL" w:bidi="ar-SA"/>
        </w:rPr>
        <w:drawing>
          <wp:inline distT="0" distB="0" distL="0" distR="0" wp14:anchorId="60CF1B68" wp14:editId="650C150A">
            <wp:extent cx="5457825" cy="2019300"/>
            <wp:effectExtent l="0" t="0" r="0" b="0"/>
            <wp:docPr id="17" name="Wykres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8BEC068" w14:textId="77777777" w:rsidR="00905670" w:rsidRPr="006D11AE" w:rsidRDefault="00905670" w:rsidP="00905670">
      <w:pPr>
        <w:spacing w:after="0" w:line="360" w:lineRule="auto"/>
        <w:jc w:val="center"/>
        <w:rPr>
          <w:rFonts w:ascii="Arial" w:hAnsi="Arial" w:cs="Arial"/>
          <w:bCs/>
          <w:sz w:val="16"/>
          <w:szCs w:val="16"/>
        </w:rPr>
      </w:pPr>
      <w:r>
        <w:rPr>
          <w:rFonts w:ascii="Arial" w:hAnsi="Arial"/>
          <w:sz w:val="16"/>
        </w:rPr>
        <w:t xml:space="preserve">Prepared by: the Office of the Human Rights Defender on the basis of the studies entitled: </w:t>
      </w:r>
      <w:r>
        <w:rPr>
          <w:rFonts w:ascii="Arial" w:hAnsi="Arial"/>
          <w:i/>
          <w:sz w:val="16"/>
        </w:rPr>
        <w:t>Knowledge of clerks about the obligations arising from the Act on sign language and other means of communication</w:t>
      </w:r>
    </w:p>
    <w:p w14:paraId="393FE381" w14:textId="1D3C5EB4" w:rsidR="009753E6" w:rsidRPr="006D11AE" w:rsidRDefault="009753E6" w:rsidP="00AF278F">
      <w:pPr>
        <w:spacing w:after="0" w:line="360" w:lineRule="auto"/>
        <w:ind w:firstLine="709"/>
        <w:jc w:val="both"/>
        <w:rPr>
          <w:rFonts w:ascii="Arial" w:hAnsi="Arial" w:cs="Arial"/>
          <w:bCs/>
          <w:sz w:val="16"/>
          <w:szCs w:val="16"/>
        </w:rPr>
      </w:pPr>
    </w:p>
    <w:p w14:paraId="3400E2BA" w14:textId="7D0B2AFB" w:rsidR="00AF278F" w:rsidRPr="00AF278F" w:rsidRDefault="00AF278F" w:rsidP="00AF278F">
      <w:pPr>
        <w:spacing w:after="0" w:line="360" w:lineRule="auto"/>
        <w:ind w:firstLine="709"/>
        <w:jc w:val="both"/>
        <w:rPr>
          <w:rFonts w:ascii="Arial" w:hAnsi="Arial" w:cs="Arial"/>
          <w:bCs/>
        </w:rPr>
      </w:pPr>
      <w:r>
        <w:rPr>
          <w:rFonts w:ascii="Arial" w:hAnsi="Arial"/>
        </w:rPr>
        <w:t xml:space="preserve">The act also imposes an informative obligation on the offices obliged to ensure the services of an interpreter, i.e. to inform in the manner that is usual for the given office, in particular at the office’s website and in the office’s building, about the interpreting service and how a deaf person may order it. The received results show that </w:t>
      </w:r>
      <w:r>
        <w:rPr>
          <w:rFonts w:ascii="Arial" w:hAnsi="Arial"/>
          <w:b/>
        </w:rPr>
        <w:t xml:space="preserve">an interpreter was available in 73% offices, and only 29% of offices published a relevant information about it on their websites. In the case of the deafblind, out of 22% offices declaring accessibility of the interpreting services, 19% of them published a relevant information about it on their websites. </w:t>
      </w:r>
      <w:r>
        <w:rPr>
          <w:rFonts w:ascii="Arial" w:hAnsi="Arial"/>
        </w:rPr>
        <w:t>Few offices provide the said information in sign language.</w:t>
      </w:r>
    </w:p>
    <w:p w14:paraId="1F01182E" w14:textId="77777777" w:rsidR="00F84811" w:rsidRDefault="00F84811" w:rsidP="00AF278F">
      <w:pPr>
        <w:spacing w:after="0" w:line="360" w:lineRule="auto"/>
        <w:jc w:val="both"/>
        <w:rPr>
          <w:rFonts w:ascii="Arial" w:hAnsi="Arial" w:cs="Arial"/>
          <w:b/>
          <w:bCs/>
          <w:sz w:val="16"/>
          <w:szCs w:val="16"/>
        </w:rPr>
      </w:pPr>
    </w:p>
    <w:p w14:paraId="377F232F" w14:textId="77777777" w:rsidR="00735FB3" w:rsidRDefault="00735FB3" w:rsidP="00AF278F">
      <w:pPr>
        <w:spacing w:after="0" w:line="360" w:lineRule="auto"/>
        <w:jc w:val="both"/>
        <w:rPr>
          <w:rFonts w:ascii="Arial" w:hAnsi="Arial" w:cs="Arial"/>
          <w:b/>
          <w:bCs/>
          <w:sz w:val="16"/>
          <w:szCs w:val="16"/>
        </w:rPr>
      </w:pPr>
    </w:p>
    <w:p w14:paraId="23758091" w14:textId="77777777" w:rsidR="00735FB3" w:rsidRDefault="00735FB3" w:rsidP="00AF278F">
      <w:pPr>
        <w:spacing w:after="0" w:line="360" w:lineRule="auto"/>
        <w:jc w:val="both"/>
        <w:rPr>
          <w:rFonts w:ascii="Arial" w:hAnsi="Arial" w:cs="Arial"/>
          <w:b/>
          <w:bCs/>
          <w:sz w:val="16"/>
          <w:szCs w:val="16"/>
        </w:rPr>
      </w:pPr>
    </w:p>
    <w:p w14:paraId="6DD200E2" w14:textId="77777777" w:rsidR="00735FB3" w:rsidRDefault="00735FB3" w:rsidP="00AF278F">
      <w:pPr>
        <w:spacing w:after="0" w:line="360" w:lineRule="auto"/>
        <w:jc w:val="both"/>
        <w:rPr>
          <w:rFonts w:ascii="Arial" w:hAnsi="Arial" w:cs="Arial"/>
          <w:b/>
          <w:bCs/>
          <w:sz w:val="16"/>
          <w:szCs w:val="16"/>
        </w:rPr>
      </w:pPr>
    </w:p>
    <w:p w14:paraId="2C78BF83" w14:textId="77777777" w:rsidR="00735FB3" w:rsidRDefault="00735FB3" w:rsidP="00AF278F">
      <w:pPr>
        <w:spacing w:after="0" w:line="360" w:lineRule="auto"/>
        <w:jc w:val="both"/>
        <w:rPr>
          <w:rFonts w:ascii="Arial" w:hAnsi="Arial" w:cs="Arial"/>
          <w:b/>
          <w:bCs/>
          <w:sz w:val="16"/>
          <w:szCs w:val="16"/>
        </w:rPr>
      </w:pPr>
    </w:p>
    <w:p w14:paraId="2F57BD29" w14:textId="77777777" w:rsidR="00735FB3" w:rsidRDefault="00735FB3" w:rsidP="00AF278F">
      <w:pPr>
        <w:spacing w:after="0" w:line="360" w:lineRule="auto"/>
        <w:jc w:val="both"/>
        <w:rPr>
          <w:rFonts w:ascii="Arial" w:hAnsi="Arial" w:cs="Arial"/>
          <w:b/>
          <w:bCs/>
          <w:sz w:val="16"/>
          <w:szCs w:val="16"/>
        </w:rPr>
      </w:pPr>
    </w:p>
    <w:p w14:paraId="5400AD0D" w14:textId="77777777" w:rsidR="00735FB3" w:rsidRDefault="00735FB3" w:rsidP="00AF278F">
      <w:pPr>
        <w:spacing w:after="0" w:line="360" w:lineRule="auto"/>
        <w:jc w:val="both"/>
        <w:rPr>
          <w:rFonts w:ascii="Arial" w:hAnsi="Arial" w:cs="Arial"/>
          <w:b/>
          <w:bCs/>
          <w:sz w:val="16"/>
          <w:szCs w:val="16"/>
        </w:rPr>
      </w:pPr>
    </w:p>
    <w:p w14:paraId="38FBBFCA" w14:textId="77777777" w:rsidR="00735FB3" w:rsidRDefault="00735FB3" w:rsidP="00AF278F">
      <w:pPr>
        <w:spacing w:after="0" w:line="360" w:lineRule="auto"/>
        <w:jc w:val="both"/>
        <w:rPr>
          <w:rFonts w:ascii="Arial" w:hAnsi="Arial" w:cs="Arial"/>
          <w:b/>
          <w:bCs/>
          <w:sz w:val="16"/>
          <w:szCs w:val="16"/>
        </w:rPr>
      </w:pPr>
    </w:p>
    <w:p w14:paraId="2CF969B9" w14:textId="77777777" w:rsidR="00735FB3" w:rsidRDefault="00735FB3" w:rsidP="00AF278F">
      <w:pPr>
        <w:spacing w:after="0" w:line="360" w:lineRule="auto"/>
        <w:jc w:val="both"/>
        <w:rPr>
          <w:rFonts w:ascii="Arial" w:hAnsi="Arial" w:cs="Arial"/>
          <w:b/>
          <w:bCs/>
          <w:sz w:val="16"/>
          <w:szCs w:val="16"/>
        </w:rPr>
      </w:pPr>
    </w:p>
    <w:p w14:paraId="7759A0AA" w14:textId="77777777" w:rsidR="00735FB3" w:rsidRDefault="00735FB3" w:rsidP="00AF278F">
      <w:pPr>
        <w:spacing w:after="0" w:line="360" w:lineRule="auto"/>
        <w:jc w:val="both"/>
        <w:rPr>
          <w:rFonts w:ascii="Arial" w:hAnsi="Arial" w:cs="Arial"/>
          <w:b/>
          <w:bCs/>
          <w:sz w:val="16"/>
          <w:szCs w:val="16"/>
        </w:rPr>
      </w:pPr>
    </w:p>
    <w:p w14:paraId="44759E62" w14:textId="77777777" w:rsidR="00735FB3" w:rsidRDefault="00735FB3" w:rsidP="00AF278F">
      <w:pPr>
        <w:spacing w:after="0" w:line="360" w:lineRule="auto"/>
        <w:jc w:val="both"/>
        <w:rPr>
          <w:rFonts w:ascii="Arial" w:hAnsi="Arial" w:cs="Arial"/>
          <w:b/>
          <w:bCs/>
          <w:sz w:val="16"/>
          <w:szCs w:val="16"/>
        </w:rPr>
      </w:pPr>
    </w:p>
    <w:p w14:paraId="6F49DC68" w14:textId="77777777" w:rsidR="00735FB3" w:rsidRPr="00E40D28" w:rsidRDefault="00735FB3" w:rsidP="00AF278F">
      <w:pPr>
        <w:spacing w:after="0" w:line="360" w:lineRule="auto"/>
        <w:jc w:val="both"/>
        <w:rPr>
          <w:rFonts w:ascii="Arial" w:hAnsi="Arial" w:cs="Arial"/>
          <w:b/>
          <w:bCs/>
          <w:sz w:val="16"/>
          <w:szCs w:val="16"/>
        </w:rPr>
      </w:pPr>
    </w:p>
    <w:p w14:paraId="32652079" w14:textId="08096073" w:rsidR="00AF278F" w:rsidRPr="00AF278F" w:rsidRDefault="00AF278F" w:rsidP="00466CF8">
      <w:pPr>
        <w:spacing w:after="0" w:line="360" w:lineRule="auto"/>
        <w:jc w:val="center"/>
        <w:rPr>
          <w:rFonts w:ascii="Arial" w:hAnsi="Arial" w:cs="Arial"/>
          <w:b/>
          <w:bCs/>
        </w:rPr>
      </w:pPr>
      <w:r>
        <w:rPr>
          <w:rFonts w:ascii="Arial" w:hAnsi="Arial"/>
          <w:b/>
        </w:rPr>
        <w:lastRenderedPageBreak/>
        <w:t>The percentage of offices publishing information about the manner of providing services to eligible persons at the office’s website</w:t>
      </w:r>
    </w:p>
    <w:p w14:paraId="24A87168" w14:textId="5550AAC5" w:rsidR="006D11AE" w:rsidRPr="006D11AE" w:rsidRDefault="008C1B8C" w:rsidP="00466CF8">
      <w:pPr>
        <w:spacing w:after="0" w:line="360" w:lineRule="auto"/>
        <w:ind w:firstLine="709"/>
        <w:jc w:val="both"/>
        <w:rPr>
          <w:rFonts w:ascii="Arial" w:hAnsi="Arial" w:cs="Arial"/>
          <w:bCs/>
          <w:sz w:val="16"/>
          <w:szCs w:val="16"/>
        </w:rPr>
      </w:pPr>
      <w:r>
        <w:rPr>
          <w:rFonts w:ascii="Arial" w:hAnsi="Arial" w:cs="Arial"/>
          <w:bCs/>
          <w:noProof/>
          <w:sz w:val="16"/>
          <w:szCs w:val="16"/>
          <w:lang w:val="pl-PL" w:eastAsia="pl-PL" w:bidi="ar-SA"/>
        </w:rPr>
        <w:drawing>
          <wp:inline distT="0" distB="0" distL="0" distR="0" wp14:anchorId="06CBDEEB" wp14:editId="67F89ED9">
            <wp:extent cx="2512612" cy="2226365"/>
            <wp:effectExtent l="0" t="0" r="2540" b="2540"/>
            <wp:docPr id="22" name="Wykres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sidR="00F84811">
        <w:rPr>
          <w:rFonts w:ascii="Arial" w:hAnsi="Arial" w:cs="Arial"/>
          <w:bCs/>
          <w:sz w:val="16"/>
          <w:szCs w:val="16"/>
        </w:rPr>
        <w:t xml:space="preserve">   </w:t>
      </w:r>
      <w:r w:rsidR="00F84811">
        <w:rPr>
          <w:rFonts w:ascii="Arial" w:hAnsi="Arial" w:cs="Arial"/>
          <w:bCs/>
          <w:noProof/>
          <w:sz w:val="16"/>
          <w:szCs w:val="16"/>
          <w:lang w:val="pl-PL" w:eastAsia="pl-PL" w:bidi="ar-SA"/>
        </w:rPr>
        <w:drawing>
          <wp:inline distT="0" distB="0" distL="0" distR="0" wp14:anchorId="12B42634" wp14:editId="37183A3E">
            <wp:extent cx="2560320" cy="2274073"/>
            <wp:effectExtent l="0" t="0" r="0" b="0"/>
            <wp:docPr id="23" name="Wykres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1508256" w14:textId="77777777" w:rsidR="008C1B8C" w:rsidRDefault="008C1B8C" w:rsidP="008C1B8C">
      <w:pPr>
        <w:spacing w:after="0" w:line="360" w:lineRule="auto"/>
        <w:jc w:val="center"/>
        <w:rPr>
          <w:rFonts w:ascii="Arial" w:hAnsi="Arial"/>
          <w:i/>
          <w:sz w:val="16"/>
        </w:rPr>
      </w:pPr>
      <w:r>
        <w:rPr>
          <w:rFonts w:ascii="Arial" w:hAnsi="Arial"/>
          <w:sz w:val="16"/>
        </w:rPr>
        <w:t xml:space="preserve">Prepared by: the Office of the Human Rights Defender on the basis of the studies entitled: </w:t>
      </w:r>
      <w:r>
        <w:rPr>
          <w:rFonts w:ascii="Arial" w:hAnsi="Arial"/>
          <w:i/>
          <w:sz w:val="16"/>
        </w:rPr>
        <w:t>Knowledge of clerks about the obligations arising from the Act on sign language and other means of communication</w:t>
      </w:r>
    </w:p>
    <w:p w14:paraId="6AC5D70B" w14:textId="77777777" w:rsidR="00F84811" w:rsidRPr="006D11AE" w:rsidRDefault="00F84811" w:rsidP="008C1B8C">
      <w:pPr>
        <w:spacing w:after="0" w:line="360" w:lineRule="auto"/>
        <w:jc w:val="center"/>
        <w:rPr>
          <w:rFonts w:ascii="Arial" w:hAnsi="Arial" w:cs="Arial"/>
          <w:bCs/>
          <w:sz w:val="16"/>
          <w:szCs w:val="16"/>
        </w:rPr>
      </w:pPr>
    </w:p>
    <w:p w14:paraId="6D135E7F" w14:textId="77777777" w:rsidR="00AF278F" w:rsidRPr="00AF278F" w:rsidRDefault="00AF278F" w:rsidP="00466CF8">
      <w:pPr>
        <w:spacing w:after="0" w:line="360" w:lineRule="auto"/>
        <w:ind w:firstLine="709"/>
        <w:jc w:val="both"/>
        <w:rPr>
          <w:rFonts w:ascii="Arial" w:hAnsi="Arial" w:cs="Arial"/>
          <w:bCs/>
        </w:rPr>
      </w:pPr>
      <w:r>
        <w:rPr>
          <w:rFonts w:ascii="Arial" w:hAnsi="Arial"/>
        </w:rPr>
        <w:t>Apart from the interpreting service, the Act on sign language imposes an obligation to ensure other services that make it possible to communicate with the office. Availability of such methods is low, as only 79% of offices declared that it is possible to contact it through the most popular means of contact, i.e. the e-mail.</w:t>
      </w:r>
    </w:p>
    <w:p w14:paraId="1B1D256D" w14:textId="77777777" w:rsidR="008A2549" w:rsidRDefault="008A2549" w:rsidP="008A2549">
      <w:pPr>
        <w:spacing w:after="0" w:line="360" w:lineRule="auto"/>
        <w:ind w:firstLine="709"/>
        <w:jc w:val="both"/>
        <w:rPr>
          <w:rFonts w:ascii="Arial" w:hAnsi="Arial" w:cs="Arial"/>
        </w:rPr>
      </w:pPr>
      <w:r>
        <w:rPr>
          <w:rFonts w:ascii="Arial" w:hAnsi="Arial"/>
        </w:rPr>
        <w:t>A relatively low level of accessibility of measures supporting communication simply must raise concerns. At the moment, the Internet became a primary method of communication, hence the ability to contact an office through e-mail is especially significant. Considering the aforementioned, accessibility of that form of communication at 79% is not satisfactory. One should rather emphasize that as many as one in five offices questioned fails to offer this form of communication. In the context of lack of other forms of support to communication, it is necessary to visit the office in person.</w:t>
      </w:r>
    </w:p>
    <w:p w14:paraId="483180AB" w14:textId="77777777" w:rsidR="00980D21" w:rsidRDefault="00980D21" w:rsidP="00980D21">
      <w:pPr>
        <w:spacing w:after="0" w:line="360" w:lineRule="auto"/>
        <w:jc w:val="center"/>
        <w:rPr>
          <w:rFonts w:ascii="Arial" w:hAnsi="Arial" w:cs="Arial"/>
        </w:rPr>
      </w:pPr>
      <w:r>
        <w:rPr>
          <w:rFonts w:ascii="Arial" w:hAnsi="Arial"/>
        </w:rPr>
        <w:t>***</w:t>
      </w:r>
    </w:p>
    <w:p w14:paraId="2E21F132" w14:textId="173BB8C5" w:rsidR="00E40D28" w:rsidRPr="008A2549" w:rsidRDefault="00E40D28" w:rsidP="008A2549">
      <w:pPr>
        <w:spacing w:after="0" w:line="360" w:lineRule="auto"/>
        <w:ind w:firstLine="709"/>
        <w:jc w:val="both"/>
        <w:rPr>
          <w:rFonts w:ascii="Arial" w:hAnsi="Arial" w:cs="Arial"/>
        </w:rPr>
      </w:pPr>
      <w:r>
        <w:rPr>
          <w:rFonts w:ascii="Arial" w:hAnsi="Arial"/>
        </w:rPr>
        <w:t xml:space="preserve">Also, no </w:t>
      </w:r>
      <w:r>
        <w:rPr>
          <w:rFonts w:ascii="Arial" w:hAnsi="Arial"/>
          <w:b/>
        </w:rPr>
        <w:t>provisions of law allow for the use of Braille, auxiliary (augmentative) and alternative communication by persons with disabilities for the purposes of managing their affairs</w:t>
      </w:r>
      <w:r>
        <w:rPr>
          <w:rFonts w:ascii="Arial" w:hAnsi="Arial"/>
        </w:rPr>
        <w:t>.</w:t>
      </w:r>
    </w:p>
    <w:p w14:paraId="31B29095" w14:textId="561A8FBA" w:rsidR="008A2549" w:rsidRPr="00E40D28" w:rsidRDefault="00E40D28" w:rsidP="00885F45">
      <w:pPr>
        <w:pStyle w:val="Akapitzlist"/>
        <w:numPr>
          <w:ilvl w:val="0"/>
          <w:numId w:val="37"/>
        </w:numPr>
        <w:spacing w:before="120" w:after="120" w:line="360" w:lineRule="auto"/>
        <w:ind w:left="284" w:hanging="284"/>
        <w:contextualSpacing w:val="0"/>
        <w:jc w:val="both"/>
        <w:rPr>
          <w:rFonts w:ascii="Arial" w:hAnsi="Arial" w:cs="Arial"/>
          <w:b/>
        </w:rPr>
      </w:pPr>
      <w:r>
        <w:rPr>
          <w:rFonts w:ascii="Arial" w:hAnsi="Arial"/>
          <w:b/>
        </w:rPr>
        <w:t>Accessibility of websites of public institutions to persons with disabilities</w:t>
      </w:r>
    </w:p>
    <w:p w14:paraId="79BFDE0A" w14:textId="678A90E5" w:rsidR="00090685" w:rsidRPr="00090685" w:rsidRDefault="00980D21" w:rsidP="00090685">
      <w:pPr>
        <w:spacing w:after="0" w:line="360" w:lineRule="auto"/>
        <w:ind w:firstLine="709"/>
        <w:jc w:val="both"/>
        <w:rPr>
          <w:rFonts w:ascii="Arial" w:hAnsi="Arial" w:cs="Arial"/>
        </w:rPr>
      </w:pPr>
      <w:r>
        <w:rPr>
          <w:rFonts w:ascii="Arial" w:hAnsi="Arial"/>
        </w:rPr>
        <w:t>In 2013, the Human Rights Defender published a report on the studies analysing the accessibility of websites of public institutions to persons with disabilities</w:t>
      </w:r>
      <w:r>
        <w:rPr>
          <w:rStyle w:val="Odwoanieprzypisudolnego"/>
          <w:rFonts w:ascii="Arial" w:hAnsi="Arial"/>
        </w:rPr>
        <w:footnoteReference w:id="174"/>
      </w:r>
      <w:r>
        <w:rPr>
          <w:rFonts w:ascii="Arial" w:hAnsi="Arial"/>
        </w:rPr>
        <w:t xml:space="preserve">. The studies were </w:t>
      </w:r>
      <w:r>
        <w:rPr>
          <w:rFonts w:ascii="Arial" w:hAnsi="Arial"/>
        </w:rPr>
        <w:lastRenderedPageBreak/>
        <w:t xml:space="preserve">conducted in the last quarter of 2012 (i.e. after Poland ratified the Convention) and in July 2013. Following the inspection, it turned out that </w:t>
      </w:r>
      <w:r>
        <w:rPr>
          <w:rFonts w:ascii="Arial" w:hAnsi="Arial"/>
          <w:b/>
        </w:rPr>
        <w:t>no website studied</w:t>
      </w:r>
      <w:r>
        <w:rPr>
          <w:rFonts w:ascii="Arial" w:hAnsi="Arial"/>
        </w:rPr>
        <w:t xml:space="preserve"> </w:t>
      </w:r>
      <w:r>
        <w:rPr>
          <w:rFonts w:ascii="Arial" w:hAnsi="Arial"/>
          <w:b/>
        </w:rPr>
        <w:t>was 100% accessible to persons with disabilities</w:t>
      </w:r>
      <w:r>
        <w:rPr>
          <w:rFonts w:ascii="Arial" w:hAnsi="Arial"/>
        </w:rPr>
        <w:t xml:space="preserve"> and to other persons at risk of digital exclusion. The basic conclusions of the report are as follows:</w:t>
      </w:r>
    </w:p>
    <w:p w14:paraId="50B60EE8" w14:textId="77777777" w:rsidR="00090685" w:rsidRPr="00090685" w:rsidRDefault="00090685" w:rsidP="003D345C">
      <w:pPr>
        <w:numPr>
          <w:ilvl w:val="0"/>
          <w:numId w:val="38"/>
        </w:numPr>
        <w:spacing w:after="0" w:line="360" w:lineRule="auto"/>
        <w:ind w:left="284" w:hanging="284"/>
        <w:jc w:val="both"/>
        <w:rPr>
          <w:rFonts w:ascii="Arial" w:hAnsi="Arial" w:cs="Arial"/>
        </w:rPr>
      </w:pPr>
      <w:r>
        <w:rPr>
          <w:rFonts w:ascii="Arial" w:hAnsi="Arial"/>
          <w:b/>
        </w:rPr>
        <w:t>70.5%</w:t>
      </w:r>
      <w:r>
        <w:rPr>
          <w:rFonts w:ascii="Arial" w:hAnsi="Arial"/>
        </w:rPr>
        <w:t xml:space="preserve"> of studied public websites </w:t>
      </w:r>
      <w:r>
        <w:rPr>
          <w:rFonts w:ascii="Arial" w:hAnsi="Arial"/>
          <w:b/>
        </w:rPr>
        <w:t>were difficult to access</w:t>
      </w:r>
      <w:r>
        <w:rPr>
          <w:rFonts w:ascii="Arial" w:hAnsi="Arial"/>
        </w:rPr>
        <w:t xml:space="preserve"> to digitally excluded persons;</w:t>
      </w:r>
    </w:p>
    <w:p w14:paraId="7366BC0F" w14:textId="08090167" w:rsidR="00090685" w:rsidRPr="00090685" w:rsidRDefault="00090685" w:rsidP="003D345C">
      <w:pPr>
        <w:numPr>
          <w:ilvl w:val="0"/>
          <w:numId w:val="38"/>
        </w:numPr>
        <w:spacing w:after="0" w:line="360" w:lineRule="auto"/>
        <w:ind w:left="284" w:hanging="284"/>
        <w:jc w:val="both"/>
        <w:rPr>
          <w:rFonts w:ascii="Arial" w:hAnsi="Arial" w:cs="Arial"/>
        </w:rPr>
      </w:pPr>
      <w:r>
        <w:rPr>
          <w:rFonts w:ascii="Arial" w:hAnsi="Arial"/>
          <w:b/>
        </w:rPr>
        <w:t>23.9%</w:t>
      </w:r>
      <w:r>
        <w:rPr>
          <w:rFonts w:ascii="Arial" w:hAnsi="Arial"/>
        </w:rPr>
        <w:t xml:space="preserve"> websites </w:t>
      </w:r>
      <w:r>
        <w:rPr>
          <w:rFonts w:ascii="Arial" w:hAnsi="Arial"/>
          <w:b/>
        </w:rPr>
        <w:t>had occasional problems</w:t>
      </w:r>
      <w:r>
        <w:rPr>
          <w:rFonts w:ascii="Arial" w:hAnsi="Arial"/>
        </w:rPr>
        <w:t xml:space="preserve"> with access to information;</w:t>
      </w:r>
    </w:p>
    <w:p w14:paraId="47498D3A" w14:textId="77777777" w:rsidR="00090685" w:rsidRPr="00090685" w:rsidRDefault="00090685" w:rsidP="003D345C">
      <w:pPr>
        <w:numPr>
          <w:ilvl w:val="0"/>
          <w:numId w:val="38"/>
        </w:numPr>
        <w:spacing w:after="0" w:line="360" w:lineRule="auto"/>
        <w:ind w:left="284" w:hanging="284"/>
        <w:jc w:val="both"/>
        <w:rPr>
          <w:rFonts w:ascii="Arial" w:hAnsi="Arial" w:cs="Arial"/>
        </w:rPr>
      </w:pPr>
      <w:r>
        <w:rPr>
          <w:rFonts w:ascii="Arial" w:hAnsi="Arial"/>
          <w:b/>
        </w:rPr>
        <w:t>5.5%</w:t>
      </w:r>
      <w:r>
        <w:rPr>
          <w:rFonts w:ascii="Arial" w:hAnsi="Arial"/>
        </w:rPr>
        <w:t xml:space="preserve"> websites studied </w:t>
      </w:r>
      <w:r>
        <w:rPr>
          <w:rFonts w:ascii="Arial" w:hAnsi="Arial"/>
          <w:b/>
        </w:rPr>
        <w:t>were not accessible to any degree</w:t>
      </w:r>
      <w:r>
        <w:rPr>
          <w:rFonts w:ascii="Arial" w:hAnsi="Arial"/>
        </w:rPr>
        <w:t>;</w:t>
      </w:r>
    </w:p>
    <w:p w14:paraId="6BBBB49F" w14:textId="77777777" w:rsidR="00090685" w:rsidRDefault="00090685" w:rsidP="003D345C">
      <w:pPr>
        <w:numPr>
          <w:ilvl w:val="0"/>
          <w:numId w:val="38"/>
        </w:numPr>
        <w:spacing w:after="0" w:line="360" w:lineRule="auto"/>
        <w:ind w:left="284" w:hanging="284"/>
        <w:jc w:val="both"/>
        <w:rPr>
          <w:rFonts w:ascii="Arial" w:hAnsi="Arial" w:cs="Arial"/>
        </w:rPr>
      </w:pPr>
      <w:r>
        <w:rPr>
          <w:rFonts w:ascii="Arial" w:hAnsi="Arial"/>
        </w:rPr>
        <w:t xml:space="preserve">only </w:t>
      </w:r>
      <w:r>
        <w:rPr>
          <w:rFonts w:ascii="Arial" w:hAnsi="Arial"/>
          <w:b/>
        </w:rPr>
        <w:t>2.3%</w:t>
      </w:r>
      <w:r>
        <w:rPr>
          <w:rFonts w:ascii="Arial" w:hAnsi="Arial"/>
        </w:rPr>
        <w:t xml:space="preserve"> of public websites </w:t>
      </w:r>
      <w:r>
        <w:rPr>
          <w:rFonts w:ascii="Arial" w:hAnsi="Arial"/>
          <w:b/>
        </w:rPr>
        <w:t>were available to the majority of the majority of persons with disabilities and digitally excluded persons</w:t>
      </w:r>
      <w:r>
        <w:rPr>
          <w:rFonts w:ascii="Arial" w:hAnsi="Arial"/>
        </w:rPr>
        <w:t>.</w:t>
      </w:r>
    </w:p>
    <w:p w14:paraId="6626ED87" w14:textId="68414889" w:rsidR="00E04EBF" w:rsidRPr="00E04EBF" w:rsidRDefault="00F84811" w:rsidP="00980D21">
      <w:pPr>
        <w:spacing w:after="0" w:line="360" w:lineRule="auto"/>
        <w:ind w:firstLine="709"/>
        <w:jc w:val="both"/>
        <w:rPr>
          <w:rFonts w:ascii="Arial" w:hAnsi="Arial" w:cs="Arial"/>
          <w:sz w:val="16"/>
          <w:szCs w:val="16"/>
        </w:rPr>
      </w:pPr>
      <w:r>
        <w:rPr>
          <w:rFonts w:ascii="Arial" w:hAnsi="Arial" w:cs="Arial"/>
          <w:noProof/>
          <w:sz w:val="16"/>
          <w:szCs w:val="16"/>
          <w:lang w:val="pl-PL" w:eastAsia="pl-PL" w:bidi="ar-SA"/>
        </w:rPr>
        <w:drawing>
          <wp:inline distT="0" distB="0" distL="0" distR="0" wp14:anchorId="2B88A4F5" wp14:editId="57E7BD17">
            <wp:extent cx="4659465" cy="2814762"/>
            <wp:effectExtent l="0" t="0" r="8255" b="5080"/>
            <wp:docPr id="24" name="Wykres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624FF346" w14:textId="77777777" w:rsidR="00F84811" w:rsidRDefault="00F84811" w:rsidP="00F84811">
      <w:pPr>
        <w:spacing w:after="0" w:line="360" w:lineRule="auto"/>
        <w:jc w:val="center"/>
        <w:rPr>
          <w:rFonts w:ascii="Arial" w:hAnsi="Arial"/>
          <w:sz w:val="16"/>
        </w:rPr>
      </w:pPr>
      <w:r>
        <w:rPr>
          <w:rFonts w:ascii="Arial" w:hAnsi="Arial"/>
          <w:sz w:val="16"/>
        </w:rPr>
        <w:t>Prepared by: the Office of the Human Rights Defender on the basis of the studies conducted by the Foundation Institute for Regional Development</w:t>
      </w:r>
    </w:p>
    <w:p w14:paraId="6C79D94D" w14:textId="77777777" w:rsidR="00F84811" w:rsidRPr="00E04EBF" w:rsidRDefault="00F84811" w:rsidP="00F84811">
      <w:pPr>
        <w:spacing w:after="0" w:line="360" w:lineRule="auto"/>
        <w:jc w:val="center"/>
        <w:rPr>
          <w:rFonts w:ascii="Arial" w:hAnsi="Arial" w:cs="Arial"/>
          <w:sz w:val="16"/>
          <w:szCs w:val="16"/>
        </w:rPr>
      </w:pPr>
    </w:p>
    <w:p w14:paraId="7E73336C" w14:textId="77777777" w:rsidR="007F77E1" w:rsidRPr="00F12C38" w:rsidRDefault="007F77E1" w:rsidP="00980D21">
      <w:pPr>
        <w:spacing w:after="0" w:line="360" w:lineRule="auto"/>
        <w:ind w:firstLine="709"/>
        <w:jc w:val="both"/>
        <w:rPr>
          <w:rFonts w:ascii="Arial" w:hAnsi="Arial" w:cs="Arial"/>
        </w:rPr>
      </w:pPr>
      <w:r>
        <w:rPr>
          <w:rFonts w:ascii="Arial" w:hAnsi="Arial"/>
        </w:rPr>
        <w:t>Also, comparing the study results from 2012 and 2013 allows us to form the following conclusions:</w:t>
      </w:r>
    </w:p>
    <w:p w14:paraId="2488BF35" w14:textId="77777777" w:rsidR="007F77E1" w:rsidRPr="00F12C38" w:rsidRDefault="007F77E1" w:rsidP="003D345C">
      <w:pPr>
        <w:numPr>
          <w:ilvl w:val="0"/>
          <w:numId w:val="35"/>
        </w:numPr>
        <w:spacing w:after="0" w:line="360" w:lineRule="auto"/>
        <w:ind w:left="284" w:hanging="284"/>
        <w:jc w:val="both"/>
        <w:rPr>
          <w:rFonts w:ascii="Arial" w:hAnsi="Arial" w:cs="Arial"/>
        </w:rPr>
      </w:pPr>
      <w:r>
        <w:rPr>
          <w:rFonts w:ascii="Arial" w:hAnsi="Arial"/>
        </w:rPr>
        <w:t>more and more public websites are made accessible to digitally excluded persons;</w:t>
      </w:r>
    </w:p>
    <w:p w14:paraId="2D1C093B" w14:textId="77777777" w:rsidR="007F77E1" w:rsidRPr="00F12C38" w:rsidRDefault="007F77E1" w:rsidP="003D345C">
      <w:pPr>
        <w:numPr>
          <w:ilvl w:val="0"/>
          <w:numId w:val="35"/>
        </w:numPr>
        <w:spacing w:after="0" w:line="360" w:lineRule="auto"/>
        <w:ind w:left="284" w:hanging="284"/>
        <w:jc w:val="both"/>
        <w:rPr>
          <w:rFonts w:ascii="Arial" w:hAnsi="Arial" w:cs="Arial"/>
        </w:rPr>
      </w:pPr>
      <w:r>
        <w:rPr>
          <w:rFonts w:ascii="Arial" w:hAnsi="Arial"/>
        </w:rPr>
        <w:t>the increase in the number of accessible websites over 6 months was 1.5%;</w:t>
      </w:r>
    </w:p>
    <w:p w14:paraId="279AE005" w14:textId="77777777" w:rsidR="007F77E1" w:rsidRPr="00F12C38" w:rsidRDefault="007F77E1" w:rsidP="003D345C">
      <w:pPr>
        <w:numPr>
          <w:ilvl w:val="0"/>
          <w:numId w:val="35"/>
        </w:numPr>
        <w:spacing w:after="0" w:line="360" w:lineRule="auto"/>
        <w:ind w:left="284" w:hanging="284"/>
        <w:jc w:val="both"/>
        <w:rPr>
          <w:rFonts w:ascii="Arial" w:hAnsi="Arial" w:cs="Arial"/>
        </w:rPr>
      </w:pPr>
      <w:r>
        <w:rPr>
          <w:rFonts w:ascii="Arial" w:hAnsi="Arial"/>
        </w:rPr>
        <w:t>the increase in the number of accessible websites with occasional barriers in access to information over 6 months was 2.3%;</w:t>
      </w:r>
    </w:p>
    <w:p w14:paraId="7B90F382" w14:textId="77777777" w:rsidR="007F77E1" w:rsidRDefault="007F77E1" w:rsidP="003D345C">
      <w:pPr>
        <w:numPr>
          <w:ilvl w:val="0"/>
          <w:numId w:val="35"/>
        </w:numPr>
        <w:spacing w:after="0" w:line="360" w:lineRule="auto"/>
        <w:ind w:left="284" w:hanging="284"/>
        <w:jc w:val="both"/>
        <w:rPr>
          <w:rFonts w:ascii="Arial" w:hAnsi="Arial" w:cs="Arial"/>
        </w:rPr>
      </w:pPr>
      <w:r>
        <w:rPr>
          <w:rFonts w:ascii="Arial" w:hAnsi="Arial"/>
        </w:rPr>
        <w:t>the tendency is positive, yet the pace of the changes is insufficient. If the same increase rate is observed in 2015</w:t>
      </w:r>
      <w:r>
        <w:rPr>
          <w:rStyle w:val="Odwoanieprzypisudolnego"/>
          <w:rFonts w:ascii="Arial" w:hAnsi="Arial"/>
        </w:rPr>
        <w:footnoteReference w:id="175"/>
      </w:r>
      <w:r>
        <w:rPr>
          <w:rFonts w:ascii="Arial" w:hAnsi="Arial"/>
        </w:rPr>
        <w:t>, only 7.8%, instead of the assumed 100% public websites will be accessible to digitally excluded persons.</w:t>
      </w:r>
    </w:p>
    <w:p w14:paraId="7B645820" w14:textId="77777777" w:rsidR="00B73CC4" w:rsidRDefault="00B73CC4" w:rsidP="00663A71">
      <w:pPr>
        <w:spacing w:after="0" w:line="360" w:lineRule="auto"/>
        <w:ind w:left="284"/>
        <w:jc w:val="both"/>
        <w:rPr>
          <w:rFonts w:ascii="Arial" w:hAnsi="Arial" w:cs="Arial"/>
        </w:rPr>
      </w:pPr>
    </w:p>
    <w:p w14:paraId="7F997491" w14:textId="77777777" w:rsidR="00735FB3" w:rsidRPr="00090685" w:rsidRDefault="00735FB3" w:rsidP="00663A71">
      <w:pPr>
        <w:spacing w:after="0" w:line="360" w:lineRule="auto"/>
        <w:ind w:left="284"/>
        <w:jc w:val="both"/>
        <w:rPr>
          <w:rFonts w:ascii="Arial" w:hAnsi="Arial" w:cs="Arial"/>
        </w:rPr>
      </w:pPr>
    </w:p>
    <w:p w14:paraId="1CC3AEC0" w14:textId="77777777" w:rsidR="00250973" w:rsidRDefault="00F12C38" w:rsidP="00885F45">
      <w:pPr>
        <w:pStyle w:val="Akapitzlist"/>
        <w:numPr>
          <w:ilvl w:val="0"/>
          <w:numId w:val="10"/>
        </w:numPr>
        <w:spacing w:before="120" w:after="120" w:line="360" w:lineRule="auto"/>
        <w:ind w:left="284" w:hanging="284"/>
        <w:contextualSpacing w:val="0"/>
        <w:jc w:val="both"/>
        <w:rPr>
          <w:rFonts w:ascii="Arial" w:hAnsi="Arial" w:cs="Arial"/>
          <w:b/>
        </w:rPr>
      </w:pPr>
      <w:r>
        <w:rPr>
          <w:rFonts w:ascii="Arial" w:hAnsi="Arial"/>
          <w:b/>
        </w:rPr>
        <w:lastRenderedPageBreak/>
        <w:t>Major recommendations</w:t>
      </w:r>
    </w:p>
    <w:p w14:paraId="7F9DD399" w14:textId="77777777" w:rsidR="00EC1CE9" w:rsidRDefault="00EC1CE9" w:rsidP="00EC1CE9">
      <w:pPr>
        <w:spacing w:after="0" w:line="360" w:lineRule="auto"/>
        <w:ind w:firstLine="709"/>
        <w:jc w:val="both"/>
        <w:rPr>
          <w:rFonts w:ascii="Arial" w:hAnsi="Arial" w:cs="Arial"/>
        </w:rPr>
      </w:pPr>
      <w:r>
        <w:rPr>
          <w:rFonts w:ascii="Arial" w:hAnsi="Arial"/>
        </w:rPr>
        <w:t>According to the Ombudsman, in order to realise the freedom of expression and opinion and the right to public information of persons with disabilities, it is necessary to:</w:t>
      </w:r>
    </w:p>
    <w:p w14:paraId="64CB7F81" w14:textId="77777777" w:rsidR="00EC1CE9" w:rsidRDefault="00EC1CE9" w:rsidP="003D345C">
      <w:pPr>
        <w:pStyle w:val="Akapitzlist"/>
        <w:numPr>
          <w:ilvl w:val="0"/>
          <w:numId w:val="39"/>
        </w:numPr>
        <w:spacing w:after="0" w:line="360" w:lineRule="auto"/>
        <w:ind w:left="284" w:hanging="284"/>
        <w:jc w:val="both"/>
        <w:rPr>
          <w:rFonts w:ascii="Arial" w:hAnsi="Arial" w:cs="Arial"/>
        </w:rPr>
      </w:pPr>
      <w:r>
        <w:rPr>
          <w:rFonts w:ascii="Arial" w:hAnsi="Arial"/>
        </w:rPr>
        <w:t>intensify the activities intended to convince private institutions from various sectors to deliver information and services in the form that is accessible to persons with disabilities;</w:t>
      </w:r>
    </w:p>
    <w:p w14:paraId="6DE7597E" w14:textId="77777777" w:rsidR="00DF68BE" w:rsidRPr="00DF68BE" w:rsidRDefault="00DF68BE" w:rsidP="003D345C">
      <w:pPr>
        <w:pStyle w:val="Akapitzlist"/>
        <w:numPr>
          <w:ilvl w:val="0"/>
          <w:numId w:val="39"/>
        </w:numPr>
        <w:spacing w:after="0" w:line="360" w:lineRule="auto"/>
        <w:ind w:left="284" w:hanging="284"/>
        <w:jc w:val="both"/>
        <w:rPr>
          <w:rFonts w:ascii="Arial" w:hAnsi="Arial" w:cs="Arial"/>
        </w:rPr>
      </w:pPr>
      <w:r>
        <w:rPr>
          <w:rFonts w:ascii="Arial" w:hAnsi="Arial"/>
        </w:rPr>
        <w:t>significantly expand the catalogue of entities obliged to provide the services of an interpreter (Polish sign language, Signed Polish, and SKOGN) so that the said obligation applied to all publicly financed institutions, and further, also to all private institutions offering services to the general population;</w:t>
      </w:r>
    </w:p>
    <w:p w14:paraId="5F612A9C" w14:textId="1F5E26B9" w:rsidR="00DF68BE" w:rsidRDefault="0075192B" w:rsidP="003D345C">
      <w:pPr>
        <w:pStyle w:val="Akapitzlist"/>
        <w:numPr>
          <w:ilvl w:val="0"/>
          <w:numId w:val="39"/>
        </w:numPr>
        <w:spacing w:after="0" w:line="360" w:lineRule="auto"/>
        <w:ind w:left="284" w:hanging="284"/>
        <w:jc w:val="both"/>
        <w:rPr>
          <w:rFonts w:ascii="Arial" w:hAnsi="Arial" w:cs="Arial"/>
        </w:rPr>
      </w:pPr>
      <w:r>
        <w:rPr>
          <w:rFonts w:ascii="Arial" w:hAnsi="Arial"/>
        </w:rPr>
        <w:t>significantly improve the practical application of the Act on sign language, so that the entitlements of the deaf and the deafblind could actually be realised – intensification of actions is particularly required in the healthcare sector;</w:t>
      </w:r>
    </w:p>
    <w:p w14:paraId="2DAC9BFB" w14:textId="28C3F892" w:rsidR="0075192B" w:rsidRPr="0075192B" w:rsidRDefault="0075192B" w:rsidP="003D345C">
      <w:pPr>
        <w:pStyle w:val="Akapitzlist"/>
        <w:numPr>
          <w:ilvl w:val="0"/>
          <w:numId w:val="39"/>
        </w:numPr>
        <w:spacing w:after="0" w:line="360" w:lineRule="auto"/>
        <w:ind w:left="284"/>
        <w:jc w:val="both"/>
        <w:rPr>
          <w:rFonts w:ascii="Arial" w:hAnsi="Arial" w:cs="Arial"/>
        </w:rPr>
      </w:pPr>
      <w:r>
        <w:rPr>
          <w:rFonts w:ascii="Arial" w:hAnsi="Arial"/>
        </w:rPr>
        <w:t>put more emphasis on education in Polish sign language</w:t>
      </w:r>
      <w:r w:rsidR="00B73CC4">
        <w:rPr>
          <w:rFonts w:ascii="Arial" w:hAnsi="Arial"/>
        </w:rPr>
        <w:t xml:space="preserve"> (PJM) as a natural language of </w:t>
      </w:r>
      <w:r>
        <w:rPr>
          <w:rFonts w:ascii="Arial" w:hAnsi="Arial"/>
        </w:rPr>
        <w:t>the deaf;</w:t>
      </w:r>
    </w:p>
    <w:p w14:paraId="51E8C8F2" w14:textId="7E3B4C9E" w:rsidR="00DF68BE" w:rsidRDefault="0075192B" w:rsidP="003D345C">
      <w:pPr>
        <w:pStyle w:val="Akapitzlist"/>
        <w:numPr>
          <w:ilvl w:val="0"/>
          <w:numId w:val="39"/>
        </w:numPr>
        <w:spacing w:after="0" w:line="360" w:lineRule="auto"/>
        <w:ind w:left="284" w:hanging="284"/>
        <w:jc w:val="both"/>
        <w:rPr>
          <w:rFonts w:ascii="Arial" w:hAnsi="Arial" w:cs="Arial"/>
        </w:rPr>
      </w:pPr>
      <w:r>
        <w:rPr>
          <w:rFonts w:ascii="Arial" w:hAnsi="Arial"/>
        </w:rPr>
        <w:t>enable persons with disabilities to use Braille, auxiliary (augmentative) and alternative communication while managing their affairs in offices;</w:t>
      </w:r>
    </w:p>
    <w:p w14:paraId="6A71C0CE" w14:textId="77777777" w:rsidR="0075192B" w:rsidRDefault="0075192B" w:rsidP="003D345C">
      <w:pPr>
        <w:pStyle w:val="Akapitzlist"/>
        <w:numPr>
          <w:ilvl w:val="0"/>
          <w:numId w:val="39"/>
        </w:numPr>
        <w:spacing w:after="0" w:line="360" w:lineRule="auto"/>
        <w:ind w:left="284" w:hanging="284"/>
        <w:jc w:val="both"/>
        <w:rPr>
          <w:rFonts w:ascii="Arial" w:hAnsi="Arial" w:cs="Arial"/>
        </w:rPr>
      </w:pPr>
      <w:r>
        <w:rPr>
          <w:rFonts w:ascii="Arial" w:hAnsi="Arial"/>
        </w:rPr>
        <w:t>significantly accelerate the adaptation of websites of public institutions to the needs of persons with disabilities;</w:t>
      </w:r>
    </w:p>
    <w:p w14:paraId="28FE9753" w14:textId="77777777" w:rsidR="00F12C38" w:rsidRPr="00F12C38" w:rsidRDefault="00F12C38" w:rsidP="003D345C">
      <w:pPr>
        <w:numPr>
          <w:ilvl w:val="0"/>
          <w:numId w:val="36"/>
        </w:numPr>
        <w:spacing w:after="0" w:line="360" w:lineRule="auto"/>
        <w:jc w:val="both"/>
        <w:rPr>
          <w:rFonts w:ascii="Arial" w:hAnsi="Arial" w:cs="Arial"/>
        </w:rPr>
      </w:pPr>
      <w:r>
        <w:rPr>
          <w:rFonts w:ascii="Arial" w:hAnsi="Arial"/>
        </w:rPr>
        <w:t>conduct technical trainings regarding accessibility and WCAG 2.0 standard for persons responsible for the functioning of the information exchange systems and websites;</w:t>
      </w:r>
    </w:p>
    <w:p w14:paraId="4A0001A0" w14:textId="77777777" w:rsidR="00250973" w:rsidRDefault="00F12C38" w:rsidP="003D345C">
      <w:pPr>
        <w:numPr>
          <w:ilvl w:val="0"/>
          <w:numId w:val="36"/>
        </w:numPr>
        <w:spacing w:after="0" w:line="360" w:lineRule="auto"/>
        <w:jc w:val="both"/>
        <w:rPr>
          <w:rFonts w:ascii="Arial" w:hAnsi="Arial" w:cs="Arial"/>
        </w:rPr>
      </w:pPr>
      <w:r>
        <w:rPr>
          <w:rFonts w:ascii="Arial" w:hAnsi="Arial"/>
        </w:rPr>
        <w:t>conduct regular inspections of the accessibility level of public websites.</w:t>
      </w:r>
    </w:p>
    <w:p w14:paraId="46179BE8" w14:textId="77777777" w:rsidR="006317A2" w:rsidRPr="00E322E2" w:rsidRDefault="006317A2" w:rsidP="00E95991">
      <w:pPr>
        <w:pStyle w:val="Nagwek2"/>
      </w:pPr>
      <w:bookmarkStart w:id="31" w:name="_Toc403999541"/>
      <w:bookmarkStart w:id="32" w:name="_Toc424279005"/>
      <w:r>
        <w:t>Article 23 – Respect for home and the family</w:t>
      </w:r>
      <w:bookmarkEnd w:id="31"/>
      <w:bookmarkEnd w:id="32"/>
    </w:p>
    <w:p w14:paraId="2764F476" w14:textId="77777777" w:rsidR="00F37D2E" w:rsidRDefault="00F37D2E" w:rsidP="00885F45">
      <w:pPr>
        <w:pStyle w:val="Akapitzlist"/>
        <w:numPr>
          <w:ilvl w:val="0"/>
          <w:numId w:val="11"/>
        </w:numPr>
        <w:spacing w:before="120" w:after="120" w:line="360" w:lineRule="auto"/>
        <w:ind w:left="284" w:hanging="284"/>
        <w:contextualSpacing w:val="0"/>
        <w:jc w:val="both"/>
        <w:rPr>
          <w:rFonts w:ascii="Arial" w:hAnsi="Arial" w:cs="Arial"/>
          <w:b/>
        </w:rPr>
      </w:pPr>
      <w:r>
        <w:rPr>
          <w:rFonts w:ascii="Arial" w:hAnsi="Arial"/>
          <w:b/>
        </w:rPr>
        <w:t>Introduction – short description</w:t>
      </w:r>
    </w:p>
    <w:p w14:paraId="7E641E1B" w14:textId="5F7E3CA4" w:rsidR="009D6B91" w:rsidRPr="00917BD7" w:rsidRDefault="00E322E2" w:rsidP="00917BD7">
      <w:pPr>
        <w:pStyle w:val="Akapitzlist"/>
        <w:spacing w:after="0" w:line="360" w:lineRule="auto"/>
        <w:ind w:left="0" w:firstLine="709"/>
        <w:jc w:val="both"/>
        <w:rPr>
          <w:rFonts w:ascii="Arial" w:hAnsi="Arial" w:cs="Arial"/>
          <w:i/>
        </w:rPr>
      </w:pPr>
      <w:r>
        <w:rPr>
          <w:rFonts w:ascii="Arial" w:hAnsi="Arial"/>
        </w:rPr>
        <w:t>In line with the provisions of the Polish Constitution, marriage and family are under the care and protection of the Republic of Poland</w:t>
      </w:r>
      <w:r>
        <w:rPr>
          <w:rStyle w:val="Odwoanieprzypisudolnego"/>
          <w:rFonts w:ascii="Arial" w:hAnsi="Arial"/>
        </w:rPr>
        <w:footnoteReference w:id="176"/>
      </w:r>
      <w:r>
        <w:rPr>
          <w:rFonts w:ascii="Arial" w:hAnsi="Arial"/>
        </w:rPr>
        <w:t>. The catalogue of obstacles to marriage is stipulated in the Polish Family and Guardianship Code</w:t>
      </w:r>
      <w:r>
        <w:rPr>
          <w:rStyle w:val="Odwoanieprzypisudolnego"/>
          <w:rFonts w:ascii="Arial" w:hAnsi="Arial"/>
        </w:rPr>
        <w:footnoteReference w:id="177"/>
      </w:r>
      <w:r>
        <w:rPr>
          <w:rFonts w:ascii="Arial" w:hAnsi="Arial"/>
        </w:rPr>
        <w:t>. In line with Article 11(1) of the Polish Family and Guardianship Code, a fully legally incapacitated person may not marry. Moreover, a person suffering from mental illness or mental deficiencies also may not marry. Only in exceptional cases a court may allow for such persons to marry, if their health or mental condition poses no threat for the marriage and health of the future offspring</w:t>
      </w:r>
      <w:r>
        <w:rPr>
          <w:rFonts w:ascii="Arial" w:hAnsi="Arial"/>
          <w:vertAlign w:val="superscript"/>
        </w:rPr>
        <w:footnoteReference w:id="178"/>
      </w:r>
      <w:r>
        <w:rPr>
          <w:rFonts w:ascii="Arial" w:hAnsi="Arial"/>
        </w:rPr>
        <w:t xml:space="preserve">. In the context of the aforementioned, Poland submitted a reservation to the contents of Article 23 </w:t>
      </w:r>
      <w:r>
        <w:rPr>
          <w:rFonts w:ascii="Arial" w:hAnsi="Arial"/>
        </w:rPr>
        <w:lastRenderedPageBreak/>
        <w:t xml:space="preserve">CRPD, by stating that: </w:t>
      </w:r>
      <w:r>
        <w:rPr>
          <w:rFonts w:ascii="Arial" w:hAnsi="Arial"/>
          <w:i/>
        </w:rPr>
        <w:t>pursuant to Article 46 of the Convention, the Republic of Poland reserves the right not to apply the provision of Article 23(1)(a) of the Convention until the provisions of Polish law are amended. Until this reservation is withdrawn, a person with disabilities, whose disability is due to a mental illness or mental deficiency, which is of marriageable age, may not marry unless a court consents to such marriage by stating that the health or mental condition of such a person poses no thre</w:t>
      </w:r>
      <w:r w:rsidR="00B73CC4">
        <w:rPr>
          <w:rFonts w:ascii="Arial" w:hAnsi="Arial"/>
          <w:i/>
        </w:rPr>
        <w:t>at to the marriage or health of </w:t>
      </w:r>
      <w:r>
        <w:rPr>
          <w:rFonts w:ascii="Arial" w:hAnsi="Arial"/>
          <w:i/>
        </w:rPr>
        <w:t>future offspring, and if that person was not fully legally incapacitated. These terms arise from Article 12(1) of the Act of 25 February 1964 – Polish Family and Guardianship Code (Polish Journal of Laws no. 9, item 59, as amended).</w:t>
      </w:r>
      <w:r>
        <w:rPr>
          <w:rStyle w:val="Odwoanieprzypisudolnego"/>
          <w:rFonts w:ascii="Arial" w:hAnsi="Arial"/>
        </w:rPr>
        <w:footnoteReference w:id="179"/>
      </w:r>
    </w:p>
    <w:p w14:paraId="7FE518FA" w14:textId="77777777" w:rsidR="00F37D2E" w:rsidRDefault="00F37D2E" w:rsidP="00885F45">
      <w:pPr>
        <w:pStyle w:val="Akapitzlist"/>
        <w:numPr>
          <w:ilvl w:val="0"/>
          <w:numId w:val="11"/>
        </w:numPr>
        <w:spacing w:before="120" w:after="120" w:line="360" w:lineRule="auto"/>
        <w:ind w:left="284" w:hanging="284"/>
        <w:contextualSpacing w:val="0"/>
        <w:jc w:val="both"/>
        <w:rPr>
          <w:rFonts w:ascii="Arial" w:hAnsi="Arial" w:cs="Arial"/>
          <w:b/>
        </w:rPr>
      </w:pPr>
      <w:r>
        <w:rPr>
          <w:rFonts w:ascii="Arial" w:hAnsi="Arial"/>
          <w:b/>
        </w:rPr>
        <w:t>Progress and successes in realisation of the right of persons with disabilities to respect for home and the family</w:t>
      </w:r>
    </w:p>
    <w:p w14:paraId="6C9F8DCA" w14:textId="28A3B5BF" w:rsidR="00917BD7" w:rsidRDefault="00CE153B" w:rsidP="00CE153B">
      <w:pPr>
        <w:spacing w:after="0" w:line="360" w:lineRule="auto"/>
        <w:ind w:firstLine="709"/>
        <w:jc w:val="both"/>
        <w:rPr>
          <w:rFonts w:ascii="Arial" w:hAnsi="Arial" w:cs="Arial"/>
        </w:rPr>
      </w:pPr>
      <w:r>
        <w:rPr>
          <w:rFonts w:ascii="Arial" w:hAnsi="Arial"/>
        </w:rPr>
        <w:t>The Ministry of Justice has drafted assumptions to the draft act on amending: the Polish Family and Guardianship Code, the Polish Code of Civil Procedure, the Act on family support and the foster care system. The draft assumes withdrawing from treating full legal incapacitation as an obstacle to marrying, and withdrawing from certain obstacles to marrying provided for in the family law in the form of mental illness and mental deficiencies, with simultaneous introduction of a regulation, in line with which</w:t>
      </w:r>
      <w:r w:rsidR="00B73CC4">
        <w:rPr>
          <w:rFonts w:ascii="Arial" w:hAnsi="Arial"/>
        </w:rPr>
        <w:t xml:space="preserve"> the institution of marriage is </w:t>
      </w:r>
      <w:r>
        <w:rPr>
          <w:rFonts w:ascii="Arial" w:hAnsi="Arial"/>
        </w:rPr>
        <w:t>not available to persons with mental disorders of such a type that they do not allow them to control their behaviour and exclude the understanding of the significance of marriage as well as the consequences of marriage. According to the Ombudsman, adopting that revision should allow for withdrawing the reservation to the contents of Article 23 of CRPD submitted by Poland.</w:t>
      </w:r>
    </w:p>
    <w:p w14:paraId="2925641B" w14:textId="77777777" w:rsidR="00F37D2E" w:rsidRDefault="00F37D2E" w:rsidP="00885F45">
      <w:pPr>
        <w:pStyle w:val="Akapitzlist"/>
        <w:numPr>
          <w:ilvl w:val="0"/>
          <w:numId w:val="11"/>
        </w:numPr>
        <w:spacing w:before="120" w:after="120" w:line="360" w:lineRule="auto"/>
        <w:ind w:left="284" w:hanging="284"/>
        <w:contextualSpacing w:val="0"/>
        <w:jc w:val="both"/>
        <w:rPr>
          <w:rFonts w:ascii="Arial" w:hAnsi="Arial" w:cs="Arial"/>
          <w:b/>
        </w:rPr>
      </w:pPr>
      <w:r>
        <w:rPr>
          <w:rFonts w:ascii="Arial" w:hAnsi="Arial"/>
          <w:b/>
        </w:rPr>
        <w:t>Major problems and barriers in realisation of the right of persons with disabilities to respect for home and the family</w:t>
      </w:r>
    </w:p>
    <w:p w14:paraId="75CA1A3E" w14:textId="3DD9AFE3" w:rsidR="003A1AC9" w:rsidRDefault="003A1AC9" w:rsidP="00917BD7">
      <w:pPr>
        <w:spacing w:after="0" w:line="360" w:lineRule="auto"/>
        <w:ind w:firstLine="709"/>
        <w:jc w:val="both"/>
        <w:rPr>
          <w:rFonts w:ascii="Arial" w:hAnsi="Arial" w:cs="Arial"/>
        </w:rPr>
      </w:pPr>
      <w:r>
        <w:rPr>
          <w:rFonts w:ascii="Arial" w:hAnsi="Arial"/>
        </w:rPr>
        <w:t>Until the currently binding provisions of law are changed, some persons with disabilities are deprived of their right to marry and found a family, or their right to do so was limited in a significant way</w:t>
      </w:r>
      <w:r>
        <w:rPr>
          <w:rStyle w:val="Odwoanieprzypisudolnego"/>
          <w:rFonts w:ascii="Arial" w:hAnsi="Arial"/>
        </w:rPr>
        <w:footnoteReference w:id="180"/>
      </w:r>
      <w:r>
        <w:rPr>
          <w:rFonts w:ascii="Arial" w:hAnsi="Arial"/>
        </w:rPr>
        <w:t xml:space="preserve">. It must be emphasized that the requirement of </w:t>
      </w:r>
      <w:r>
        <w:rPr>
          <w:rFonts w:ascii="Arial" w:hAnsi="Arial"/>
          <w:i/>
        </w:rPr>
        <w:t>lack of threat to future offspring</w:t>
      </w:r>
      <w:r>
        <w:rPr>
          <w:rFonts w:ascii="Arial" w:hAnsi="Arial"/>
        </w:rPr>
        <w:t xml:space="preserve"> is interpreted very extensively in Poland. According to the position of the Supreme Court: </w:t>
      </w:r>
      <w:r>
        <w:rPr>
          <w:rFonts w:ascii="Arial" w:hAnsi="Arial"/>
          <w:i/>
        </w:rPr>
        <w:t xml:space="preserve">it applies not only to the fact whether the mental illness may be passed down to potential offspring, but also to the fact whether the mental condition of that person </w:t>
      </w:r>
      <w:r>
        <w:rPr>
          <w:rFonts w:ascii="Arial" w:hAnsi="Arial"/>
          <w:i/>
        </w:rPr>
        <w:lastRenderedPageBreak/>
        <w:t>excludes the proper raising of children and enforcing parental responsibility in general in line with the adopted standards.</w:t>
      </w:r>
      <w:r>
        <w:rPr>
          <w:rStyle w:val="Odwoanieprzypisudolnego"/>
          <w:rFonts w:ascii="Arial" w:hAnsi="Arial"/>
        </w:rPr>
        <w:footnoteReference w:id="181"/>
      </w:r>
    </w:p>
    <w:p w14:paraId="655DBC80" w14:textId="77777777" w:rsidR="00C910FF" w:rsidRDefault="00C910FF" w:rsidP="00917BD7">
      <w:pPr>
        <w:spacing w:after="0" w:line="360" w:lineRule="auto"/>
        <w:ind w:firstLine="709"/>
        <w:jc w:val="both"/>
        <w:rPr>
          <w:rFonts w:ascii="Arial" w:hAnsi="Arial" w:cs="Arial"/>
        </w:rPr>
      </w:pPr>
      <w:r>
        <w:rPr>
          <w:rFonts w:ascii="Arial" w:hAnsi="Arial"/>
        </w:rPr>
        <w:t>The Human Rights Defender receives complaints on the cases where the interpretation of the aforementioned obstacles to marry is performed extensively. In 2011, the Ombudsman joined the court procedure on giving consent for a woman suffering from the consequences of childhood cerebral palsy to marry. In this case, the consent to marry was granted, yet it constitutes a good example of barriers encountered by persons with disabilities, even if they are mentally and psychologically fit, so for formal reasons, the provisions of law do not prohibit them from marrying.</w:t>
      </w:r>
    </w:p>
    <w:p w14:paraId="58155DA1" w14:textId="68D0944C" w:rsidR="00917BD7" w:rsidRDefault="00917BD7" w:rsidP="00917BD7">
      <w:pPr>
        <w:spacing w:after="0" w:line="360" w:lineRule="auto"/>
        <w:ind w:firstLine="709"/>
        <w:jc w:val="both"/>
        <w:rPr>
          <w:rFonts w:ascii="Arial" w:hAnsi="Arial" w:cs="Arial"/>
        </w:rPr>
      </w:pPr>
      <w:r>
        <w:rPr>
          <w:rFonts w:ascii="Arial" w:hAnsi="Arial"/>
        </w:rPr>
        <w:t>The aforementioned provision of Article 12(1) of the Polish Family and Guardianship Code was submitted for consideration to the Constitutional Tribunal as a provision that is inconsistent with the Constitution. The case is pending</w:t>
      </w:r>
      <w:r>
        <w:rPr>
          <w:rStyle w:val="Odwoanieprzypisudolnego"/>
          <w:rFonts w:ascii="Arial" w:hAnsi="Arial"/>
        </w:rPr>
        <w:footnoteReference w:id="182"/>
      </w:r>
      <w:r>
        <w:rPr>
          <w:rFonts w:ascii="Arial" w:hAnsi="Arial"/>
        </w:rPr>
        <w:t>.</w:t>
      </w:r>
    </w:p>
    <w:p w14:paraId="47DC4AA0" w14:textId="77777777" w:rsidR="00F37D2E" w:rsidRDefault="009D6B91" w:rsidP="00885F45">
      <w:pPr>
        <w:pStyle w:val="Akapitzlist"/>
        <w:numPr>
          <w:ilvl w:val="0"/>
          <w:numId w:val="11"/>
        </w:numPr>
        <w:spacing w:before="120" w:after="120" w:line="360" w:lineRule="auto"/>
        <w:ind w:left="284" w:hanging="284"/>
        <w:contextualSpacing w:val="0"/>
        <w:jc w:val="both"/>
        <w:rPr>
          <w:rFonts w:ascii="Arial" w:hAnsi="Arial" w:cs="Arial"/>
          <w:b/>
        </w:rPr>
      </w:pPr>
      <w:r>
        <w:rPr>
          <w:rFonts w:ascii="Arial" w:hAnsi="Arial"/>
          <w:b/>
        </w:rPr>
        <w:t>Major recommendations</w:t>
      </w:r>
    </w:p>
    <w:p w14:paraId="32F57C7B" w14:textId="77777777" w:rsidR="00DA41B7" w:rsidRDefault="00DA41B7" w:rsidP="00DA41B7">
      <w:pPr>
        <w:spacing w:after="0" w:line="360" w:lineRule="auto"/>
        <w:ind w:firstLine="709"/>
        <w:jc w:val="both"/>
        <w:rPr>
          <w:rFonts w:ascii="Arial" w:hAnsi="Arial" w:cs="Arial"/>
        </w:rPr>
      </w:pPr>
      <w:r>
        <w:rPr>
          <w:rFonts w:ascii="Arial" w:hAnsi="Arial"/>
        </w:rPr>
        <w:t>According to the Ombudsman, for the purposes of realisation of the right of persons with disabilities to respect for home and the family it is necessary to:</w:t>
      </w:r>
    </w:p>
    <w:p w14:paraId="0EB555F3" w14:textId="77777777" w:rsidR="00DA41B7" w:rsidRDefault="00DA41B7" w:rsidP="003D345C">
      <w:pPr>
        <w:pStyle w:val="Akapitzlist"/>
        <w:numPr>
          <w:ilvl w:val="0"/>
          <w:numId w:val="41"/>
        </w:numPr>
        <w:spacing w:after="0" w:line="360" w:lineRule="auto"/>
        <w:ind w:left="284" w:hanging="284"/>
        <w:jc w:val="both"/>
        <w:rPr>
          <w:rFonts w:ascii="Arial" w:hAnsi="Arial" w:cs="Arial"/>
        </w:rPr>
      </w:pPr>
      <w:r>
        <w:rPr>
          <w:rFonts w:ascii="Arial" w:hAnsi="Arial"/>
        </w:rPr>
        <w:t>depart from the prohibition to marry (provided for in Articles 11 and 12 of the (Polish Family and Guardianship Code) in order to ensure the right to marry to persons with disabilities on the basis of a freely given and full consent of the future spouses.</w:t>
      </w:r>
    </w:p>
    <w:p w14:paraId="5DAF07E5" w14:textId="77777777" w:rsidR="006317A2" w:rsidRPr="0087175D" w:rsidRDefault="006317A2" w:rsidP="00E95991">
      <w:pPr>
        <w:pStyle w:val="Nagwek2"/>
      </w:pPr>
      <w:bookmarkStart w:id="33" w:name="_Toc403999542"/>
      <w:bookmarkStart w:id="34" w:name="_Toc424279006"/>
      <w:r>
        <w:t>Article 24 – Education</w:t>
      </w:r>
      <w:bookmarkEnd w:id="33"/>
      <w:bookmarkEnd w:id="34"/>
    </w:p>
    <w:p w14:paraId="7ADC8611" w14:textId="77777777" w:rsidR="00F37D2E" w:rsidRDefault="00F37D2E" w:rsidP="00885F45">
      <w:pPr>
        <w:pStyle w:val="Akapitzlist"/>
        <w:numPr>
          <w:ilvl w:val="0"/>
          <w:numId w:val="12"/>
        </w:numPr>
        <w:spacing w:before="120" w:after="120" w:line="360" w:lineRule="auto"/>
        <w:ind w:left="284" w:hanging="284"/>
        <w:contextualSpacing w:val="0"/>
        <w:jc w:val="both"/>
        <w:rPr>
          <w:rFonts w:ascii="Arial" w:hAnsi="Arial" w:cs="Arial"/>
          <w:b/>
        </w:rPr>
      </w:pPr>
      <w:r>
        <w:rPr>
          <w:rFonts w:ascii="Arial" w:hAnsi="Arial"/>
          <w:b/>
        </w:rPr>
        <w:t>Introduction – short description</w:t>
      </w:r>
    </w:p>
    <w:p w14:paraId="7DF8946E" w14:textId="4272AB76" w:rsidR="00CE5582" w:rsidRDefault="002746F2" w:rsidP="00FF2247">
      <w:pPr>
        <w:spacing w:after="0" w:line="360" w:lineRule="auto"/>
        <w:ind w:firstLine="709"/>
        <w:jc w:val="both"/>
        <w:rPr>
          <w:rFonts w:ascii="Arial" w:hAnsi="Arial" w:cs="Arial"/>
        </w:rPr>
      </w:pPr>
      <w:r>
        <w:rPr>
          <w:rFonts w:ascii="Arial" w:hAnsi="Arial"/>
        </w:rPr>
        <w:t>The provision of Article 24 that guarantees to persons with disabilities the right to education without discrimination and in line with the equal trea</w:t>
      </w:r>
      <w:r w:rsidR="00B73CC4">
        <w:rPr>
          <w:rFonts w:ascii="Arial" w:hAnsi="Arial"/>
        </w:rPr>
        <w:t>tment principle is reflected in </w:t>
      </w:r>
      <w:r>
        <w:rPr>
          <w:rFonts w:ascii="Arial" w:hAnsi="Arial"/>
        </w:rPr>
        <w:t xml:space="preserve">the general legal framework governing the Polish education system. In line with Article 70 of the Polish Constitution, </w:t>
      </w:r>
      <w:r>
        <w:rPr>
          <w:rFonts w:ascii="Arial" w:hAnsi="Arial"/>
          <w:i/>
        </w:rPr>
        <w:t>Every person has the right to education (...). Public authorities ensure common and equal access to education to the citizens</w:t>
      </w:r>
      <w:r>
        <w:rPr>
          <w:rFonts w:ascii="Arial" w:hAnsi="Arial"/>
        </w:rPr>
        <w:t>. In turn, in line with Article 1 of the Act on education</w:t>
      </w:r>
      <w:r>
        <w:rPr>
          <w:rStyle w:val="Odwoanieprzypisudolnego"/>
          <w:rFonts w:ascii="Arial" w:hAnsi="Arial"/>
        </w:rPr>
        <w:footnoteReference w:id="183"/>
      </w:r>
      <w:r>
        <w:rPr>
          <w:rFonts w:ascii="Arial" w:hAnsi="Arial"/>
        </w:rPr>
        <w:t xml:space="preserve">: </w:t>
      </w:r>
      <w:r>
        <w:rPr>
          <w:rFonts w:ascii="Arial" w:hAnsi="Arial"/>
          <w:i/>
        </w:rPr>
        <w:t>the education system ensures in particular: (...) the ability to receive education in all types of schools by children and teenagers with disabilities and socially maladjusted, in line with individual development and educational needs and predispositions, as well as to care of students with disabilities through allowing for offering individualised education process, teaching forms and programmes and revalidation classes.</w:t>
      </w:r>
      <w:r>
        <w:rPr>
          <w:rFonts w:ascii="Arial" w:hAnsi="Arial"/>
        </w:rPr>
        <w:t xml:space="preserve"> In the Polish </w:t>
      </w:r>
      <w:r>
        <w:rPr>
          <w:rFonts w:ascii="Arial" w:hAnsi="Arial"/>
        </w:rPr>
        <w:lastRenderedPageBreak/>
        <w:t xml:space="preserve">conditions, education of students with disabilities (special education) takes place in public schools (with inclusive education programme), in integration schools and in special schools. </w:t>
      </w:r>
    </w:p>
    <w:p w14:paraId="3D19E95E" w14:textId="77777777" w:rsidR="00735FB3" w:rsidRPr="00735FB3" w:rsidRDefault="00735FB3" w:rsidP="005B5F4B">
      <w:pPr>
        <w:pStyle w:val="Akapitzlist"/>
        <w:spacing w:after="0" w:line="240" w:lineRule="auto"/>
        <w:ind w:left="0"/>
        <w:jc w:val="center"/>
        <w:rPr>
          <w:rFonts w:ascii="Arial" w:hAnsi="Arial"/>
          <w:b/>
          <w:sz w:val="16"/>
          <w:szCs w:val="16"/>
        </w:rPr>
      </w:pPr>
    </w:p>
    <w:p w14:paraId="051D04ED" w14:textId="454A1255" w:rsidR="00286728" w:rsidRDefault="00286728" w:rsidP="005B5F4B">
      <w:pPr>
        <w:pStyle w:val="Akapitzlist"/>
        <w:spacing w:after="0" w:line="240" w:lineRule="auto"/>
        <w:ind w:left="0"/>
        <w:jc w:val="center"/>
        <w:rPr>
          <w:rFonts w:ascii="Arial" w:hAnsi="Arial" w:cs="Arial"/>
          <w:b/>
        </w:rPr>
      </w:pPr>
      <w:r>
        <w:rPr>
          <w:rFonts w:ascii="Arial" w:hAnsi="Arial"/>
          <w:b/>
        </w:rPr>
        <w:t>Students with disabilities according to the type of disability</w:t>
      </w:r>
    </w:p>
    <w:p w14:paraId="1C875A68" w14:textId="4552A894" w:rsidR="00286728" w:rsidRPr="004021B3" w:rsidRDefault="00286728" w:rsidP="005B5F4B">
      <w:pPr>
        <w:pStyle w:val="Akapitzlist"/>
        <w:spacing w:after="0" w:line="240" w:lineRule="auto"/>
        <w:ind w:left="0"/>
        <w:jc w:val="center"/>
        <w:rPr>
          <w:rFonts w:ascii="Arial" w:hAnsi="Arial" w:cs="Arial"/>
          <w:b/>
        </w:rPr>
      </w:pPr>
      <w:r>
        <w:rPr>
          <w:rFonts w:ascii="Arial" w:hAnsi="Arial"/>
          <w:b/>
        </w:rPr>
        <w:t>(as at 30 September 2013):</w:t>
      </w:r>
    </w:p>
    <w:p w14:paraId="621A20B2" w14:textId="77777777" w:rsidR="00286728" w:rsidRDefault="00286728" w:rsidP="00FF2247">
      <w:pPr>
        <w:spacing w:after="0" w:line="360" w:lineRule="auto"/>
        <w:ind w:firstLine="709"/>
        <w:jc w:val="both"/>
        <w:rPr>
          <w:rFonts w:ascii="Arial" w:hAnsi="Arial" w:cs="Arial"/>
        </w:rPr>
      </w:pPr>
    </w:p>
    <w:p w14:paraId="266C4511" w14:textId="5E8C9F8A" w:rsidR="001868E6" w:rsidRDefault="001868E6" w:rsidP="00FF2247">
      <w:pPr>
        <w:spacing w:after="0" w:line="360" w:lineRule="auto"/>
        <w:ind w:firstLine="709"/>
        <w:jc w:val="both"/>
        <w:rPr>
          <w:rFonts w:ascii="Arial" w:hAnsi="Arial" w:cs="Arial"/>
        </w:rPr>
      </w:pPr>
      <w:r>
        <w:rPr>
          <w:rFonts w:ascii="Arial" w:hAnsi="Arial" w:cs="Arial"/>
          <w:noProof/>
          <w:lang w:val="pl-PL" w:eastAsia="pl-PL" w:bidi="ar-SA"/>
        </w:rPr>
        <w:drawing>
          <wp:inline distT="0" distB="0" distL="0" distR="0" wp14:anchorId="53D14C18" wp14:editId="51137732">
            <wp:extent cx="5486400" cy="3800475"/>
            <wp:effectExtent l="0" t="0" r="0" b="0"/>
            <wp:docPr id="19" name="Wykres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7362A0D4" w14:textId="3A4770E9" w:rsidR="00933BB7" w:rsidRPr="00A5012D" w:rsidRDefault="00933BB7" w:rsidP="00933BB7">
      <w:pPr>
        <w:spacing w:after="0" w:line="360" w:lineRule="auto"/>
        <w:jc w:val="center"/>
        <w:rPr>
          <w:rFonts w:ascii="Arial" w:hAnsi="Arial" w:cs="Arial"/>
          <w:sz w:val="16"/>
          <w:szCs w:val="16"/>
        </w:rPr>
      </w:pPr>
      <w:r>
        <w:rPr>
          <w:rFonts w:ascii="Arial" w:hAnsi="Arial"/>
          <w:sz w:val="16"/>
        </w:rPr>
        <w:t xml:space="preserve">Prepared by: Agnieszka Dudzińska pursuant to the data provided by the IT Centre for Education from the Education Information System. </w:t>
      </w:r>
      <w:r w:rsidRPr="002B305E">
        <w:rPr>
          <w:rFonts w:ascii="Arial" w:hAnsi="Arial"/>
          <w:sz w:val="16"/>
          <w:lang w:val="pl-PL"/>
        </w:rPr>
        <w:t xml:space="preserve">Publication: „Najważniejsze problemy zarządzania edukacją. Poradnik praktyków dla praktyków” </w:t>
      </w:r>
      <w:r w:rsidRPr="002B305E">
        <w:rPr>
          <w:rFonts w:ascii="Arial" w:hAnsi="Arial"/>
          <w:i/>
          <w:sz w:val="16"/>
          <w:lang w:val="pl-PL"/>
        </w:rPr>
        <w:t xml:space="preserve">[Major problems with managing education. </w:t>
      </w:r>
      <w:r>
        <w:rPr>
          <w:rFonts w:ascii="Arial" w:hAnsi="Arial"/>
          <w:i/>
          <w:sz w:val="16"/>
        </w:rPr>
        <w:t>A handbook written by practitioners for practitioners]</w:t>
      </w:r>
      <w:r>
        <w:rPr>
          <w:rFonts w:ascii="Arial" w:hAnsi="Arial"/>
          <w:sz w:val="16"/>
        </w:rPr>
        <w:t>, publ. Municipium S.A.</w:t>
      </w:r>
    </w:p>
    <w:p w14:paraId="4913BBCC" w14:textId="77777777" w:rsidR="001868E6" w:rsidRPr="00382C5B" w:rsidRDefault="001868E6" w:rsidP="00FF2247">
      <w:pPr>
        <w:spacing w:after="0" w:line="360" w:lineRule="auto"/>
        <w:ind w:firstLine="709"/>
        <w:jc w:val="both"/>
        <w:rPr>
          <w:rFonts w:ascii="Arial" w:hAnsi="Arial" w:cs="Arial"/>
        </w:rPr>
      </w:pPr>
    </w:p>
    <w:p w14:paraId="44632C15" w14:textId="77777777" w:rsidR="00FF2247" w:rsidRDefault="00D53510" w:rsidP="00FF2247">
      <w:pPr>
        <w:spacing w:after="0" w:line="360" w:lineRule="auto"/>
        <w:ind w:firstLine="709"/>
        <w:jc w:val="both"/>
        <w:rPr>
          <w:rFonts w:ascii="Arial" w:hAnsi="Arial" w:cs="Arial"/>
        </w:rPr>
      </w:pPr>
      <w:r>
        <w:rPr>
          <w:rFonts w:ascii="Arial" w:hAnsi="Arial"/>
        </w:rPr>
        <w:t>As regards higher education – Higher Education Law Act</w:t>
      </w:r>
      <w:r>
        <w:rPr>
          <w:rStyle w:val="Odwoanieprzypisudolnego"/>
          <w:rFonts w:ascii="Arial" w:hAnsi="Arial"/>
        </w:rPr>
        <w:footnoteReference w:id="184"/>
      </w:r>
      <w:r>
        <w:rPr>
          <w:rFonts w:ascii="Arial" w:hAnsi="Arial"/>
        </w:rPr>
        <w:t xml:space="preserve"> indicates in Article 13 </w:t>
      </w:r>
      <w:r>
        <w:rPr>
          <w:rFonts w:ascii="Arial" w:hAnsi="Arial"/>
          <w:i/>
        </w:rPr>
        <w:t xml:space="preserve"> the necessity to ensure the conditions that enable persons with disabilities to participate fully in the education process and in scientific research.</w:t>
      </w:r>
      <w:r>
        <w:rPr>
          <w:rFonts w:ascii="Arial" w:hAnsi="Arial"/>
        </w:rPr>
        <w:t xml:space="preserve"> </w:t>
      </w:r>
    </w:p>
    <w:p w14:paraId="2B9EFFAA" w14:textId="4B23BD36" w:rsidR="007E1BC7" w:rsidRDefault="00FF2247" w:rsidP="00FF2247">
      <w:pPr>
        <w:spacing w:after="0" w:line="360" w:lineRule="auto"/>
        <w:ind w:firstLine="709"/>
        <w:jc w:val="both"/>
        <w:rPr>
          <w:rFonts w:ascii="Arial" w:hAnsi="Arial" w:cs="Arial"/>
        </w:rPr>
      </w:pPr>
      <w:r>
        <w:rPr>
          <w:rFonts w:ascii="Arial" w:hAnsi="Arial"/>
        </w:rPr>
        <w:t>One might thus recognize that the general legal</w:t>
      </w:r>
      <w:r w:rsidR="00B73CC4">
        <w:rPr>
          <w:rFonts w:ascii="Arial" w:hAnsi="Arial"/>
        </w:rPr>
        <w:t xml:space="preserve"> framework makes it possible to </w:t>
      </w:r>
      <w:r>
        <w:rPr>
          <w:rFonts w:ascii="Arial" w:hAnsi="Arial"/>
        </w:rPr>
        <w:t xml:space="preserve">realise the right of persons with disabilities to education. However, challenges are posed by certain specific provisions, which ensure that even though the right to education may be realised, there are no relevant legal solutions that ensure proper realisation of the right to education and enforcement of that right. </w:t>
      </w:r>
    </w:p>
    <w:p w14:paraId="0DC2F507" w14:textId="4CE7EF2B" w:rsidR="00FF2247" w:rsidRPr="00FF2247" w:rsidRDefault="00FF2247" w:rsidP="00FF2247">
      <w:pPr>
        <w:spacing w:after="0" w:line="360" w:lineRule="auto"/>
        <w:ind w:firstLine="709"/>
        <w:jc w:val="both"/>
        <w:rPr>
          <w:rFonts w:ascii="Arial" w:hAnsi="Arial" w:cs="Arial"/>
        </w:rPr>
      </w:pPr>
      <w:r>
        <w:rPr>
          <w:rFonts w:ascii="Arial" w:hAnsi="Arial"/>
        </w:rPr>
        <w:t xml:space="preserve">In practice, it means that the entire inclusive education system exhibits low efficiency and that there are many problems with access to education in the day-to-day life. It might also lead to double exclusion, because in the event of conflicting situations, it is easier to </w:t>
      </w:r>
      <w:r>
        <w:rPr>
          <w:rFonts w:ascii="Arial" w:hAnsi="Arial"/>
        </w:rPr>
        <w:lastRenderedPageBreak/>
        <w:t>enforce the law for persons with disabilities that have the relevant social, economic and cultural based, while persons particularly vulnerable to exclusion due to other factors like the social-economic status or origin are in particularly difficult situation.</w:t>
      </w:r>
    </w:p>
    <w:p w14:paraId="0B3EBFF9" w14:textId="77777777" w:rsidR="00FF2247" w:rsidRDefault="00FF2247" w:rsidP="00FF2247">
      <w:pPr>
        <w:spacing w:after="0" w:line="360" w:lineRule="auto"/>
        <w:ind w:firstLine="709"/>
        <w:jc w:val="both"/>
        <w:rPr>
          <w:rFonts w:ascii="Arial" w:hAnsi="Arial" w:cs="Arial"/>
        </w:rPr>
      </w:pPr>
      <w:r>
        <w:rPr>
          <w:rFonts w:ascii="Arial" w:hAnsi="Arial"/>
        </w:rPr>
        <w:t>A separate challenge is also posed by the negative approach to inclusive education also from the teaching staff, which is indicated, for example, in the post-inspection reports of the Supreme Audit Office</w:t>
      </w:r>
      <w:r>
        <w:rPr>
          <w:rFonts w:ascii="Arial" w:hAnsi="Arial"/>
          <w:vertAlign w:val="superscript"/>
        </w:rPr>
        <w:footnoteReference w:id="185"/>
      </w:r>
      <w:r>
        <w:rPr>
          <w:rFonts w:ascii="Arial" w:hAnsi="Arial"/>
        </w:rPr>
        <w:t xml:space="preserve"> and by some parents of non-disabled children.</w:t>
      </w:r>
    </w:p>
    <w:p w14:paraId="0157704E" w14:textId="77777777" w:rsidR="00F37D2E" w:rsidRDefault="00F37D2E" w:rsidP="00885F45">
      <w:pPr>
        <w:pStyle w:val="Akapitzlist"/>
        <w:numPr>
          <w:ilvl w:val="0"/>
          <w:numId w:val="12"/>
        </w:numPr>
        <w:spacing w:before="120" w:after="120" w:line="360" w:lineRule="auto"/>
        <w:ind w:left="284" w:hanging="284"/>
        <w:contextualSpacing w:val="0"/>
        <w:jc w:val="both"/>
        <w:rPr>
          <w:rFonts w:ascii="Arial" w:hAnsi="Arial" w:cs="Arial"/>
          <w:b/>
        </w:rPr>
      </w:pPr>
      <w:r>
        <w:rPr>
          <w:rFonts w:ascii="Arial" w:hAnsi="Arial"/>
          <w:b/>
        </w:rPr>
        <w:t>Progress and successes in realisation of the right to education</w:t>
      </w:r>
    </w:p>
    <w:p w14:paraId="3A2585DC" w14:textId="77777777" w:rsidR="00FF2247" w:rsidRDefault="00FF2247" w:rsidP="00FF2247">
      <w:pPr>
        <w:spacing w:after="0" w:line="360" w:lineRule="auto"/>
        <w:ind w:firstLine="709"/>
        <w:jc w:val="both"/>
        <w:rPr>
          <w:rFonts w:ascii="Arial" w:hAnsi="Arial" w:cs="Arial"/>
        </w:rPr>
      </w:pPr>
      <w:r>
        <w:rPr>
          <w:rFonts w:ascii="Arial" w:hAnsi="Arial"/>
        </w:rPr>
        <w:t xml:space="preserve">Without a doubt, the fact that the Ministry of National Education indicated multiple times and very clearly that inclusive education is a permanent element of the Polish education system, and expressed full support for the realisation of the Convention provisions. The list of successes in realisation of individual rights guaranteed by the Convention also includes successes related to ensuring accessibility of textbooks. The textbook for the first grade prepared by the Ministry of National Education was drafted in the form that is available not only to the blind and the partially sighted, but also in the Polish sign language and to persons using alternative forms of communication. The government also announced that the remaining textbooks will be gradually adapted. The planned changes to the assessment system with respect to special educational needs so that it would reflect the needs and the degree of functioning of students to a higher extent. </w:t>
      </w:r>
    </w:p>
    <w:p w14:paraId="4C8D2B1D" w14:textId="606C8223" w:rsidR="00FF2247" w:rsidRDefault="00FF2247" w:rsidP="00FF2247">
      <w:pPr>
        <w:spacing w:after="0" w:line="360" w:lineRule="auto"/>
        <w:ind w:firstLine="709"/>
        <w:jc w:val="both"/>
        <w:rPr>
          <w:rFonts w:ascii="Arial" w:hAnsi="Arial" w:cs="Arial"/>
        </w:rPr>
      </w:pPr>
      <w:r>
        <w:rPr>
          <w:rFonts w:ascii="Arial" w:hAnsi="Arial"/>
        </w:rPr>
        <w:t>One should also emphasize a series of meetings dedicated to special education and inclusive education as well as preparation of informative materials for parents and teachers on special education realised as a task of the Polish government</w:t>
      </w:r>
      <w:r>
        <w:rPr>
          <w:rFonts w:ascii="Arial" w:hAnsi="Arial"/>
          <w:vertAlign w:val="superscript"/>
        </w:rPr>
        <w:footnoteReference w:id="186"/>
      </w:r>
      <w:r>
        <w:rPr>
          <w:rFonts w:ascii="Arial" w:hAnsi="Arial"/>
        </w:rPr>
        <w:t xml:space="preserve">. It is also important to emphasize the existence of bottom-up initiatives handled by NGOs pertaining to legal counselling and substantive support for parents of children with disabilities. However, these activities are fragmented, they do not have systemic character. </w:t>
      </w:r>
    </w:p>
    <w:p w14:paraId="28D1F292" w14:textId="7C974097" w:rsidR="00433011" w:rsidRPr="00FF2247" w:rsidRDefault="00433011" w:rsidP="00FF2247">
      <w:pPr>
        <w:spacing w:after="0" w:line="360" w:lineRule="auto"/>
        <w:ind w:firstLine="709"/>
        <w:jc w:val="both"/>
        <w:rPr>
          <w:rFonts w:ascii="Arial" w:hAnsi="Arial" w:cs="Arial"/>
        </w:rPr>
      </w:pPr>
      <w:r>
        <w:rPr>
          <w:rFonts w:ascii="Arial" w:hAnsi="Arial"/>
        </w:rPr>
        <w:t>Persons with disabilities studying at higher education institutions (universities) are in the best situation. In particular, large academic centres that have offices or plenipotentiaries for persons with disabilities offer students extensive assistance, encompassing adaptation of teaching materials, transportation, assistance in obtaining financial support, and sometimes psychological assistance. It is also the only stage of education where the idea of inclusive education has been implemented to full extent.</w:t>
      </w:r>
    </w:p>
    <w:p w14:paraId="5EBBE621" w14:textId="77777777" w:rsidR="00FF2247" w:rsidRDefault="00FF2247" w:rsidP="00FF2247">
      <w:pPr>
        <w:spacing w:after="0" w:line="360" w:lineRule="auto"/>
        <w:jc w:val="both"/>
        <w:rPr>
          <w:rFonts w:ascii="Arial" w:hAnsi="Arial" w:cs="Arial"/>
          <w:sz w:val="16"/>
          <w:szCs w:val="16"/>
        </w:rPr>
      </w:pPr>
    </w:p>
    <w:p w14:paraId="3943A446" w14:textId="77777777" w:rsidR="00735FB3" w:rsidRDefault="00735FB3" w:rsidP="00FF2247">
      <w:pPr>
        <w:spacing w:after="0" w:line="360" w:lineRule="auto"/>
        <w:jc w:val="both"/>
        <w:rPr>
          <w:rFonts w:ascii="Arial" w:hAnsi="Arial" w:cs="Arial"/>
          <w:sz w:val="16"/>
          <w:szCs w:val="16"/>
        </w:rPr>
      </w:pPr>
    </w:p>
    <w:p w14:paraId="7301E340" w14:textId="77777777" w:rsidR="00735FB3" w:rsidRDefault="00735FB3" w:rsidP="00FF2247">
      <w:pPr>
        <w:spacing w:after="0" w:line="360" w:lineRule="auto"/>
        <w:jc w:val="both"/>
        <w:rPr>
          <w:rFonts w:ascii="Arial" w:hAnsi="Arial" w:cs="Arial"/>
          <w:sz w:val="16"/>
          <w:szCs w:val="16"/>
        </w:rPr>
      </w:pPr>
    </w:p>
    <w:p w14:paraId="2A77F594" w14:textId="77777777" w:rsidR="00735FB3" w:rsidRPr="00F2266A" w:rsidRDefault="00735FB3" w:rsidP="00FF2247">
      <w:pPr>
        <w:spacing w:after="0" w:line="360" w:lineRule="auto"/>
        <w:jc w:val="both"/>
        <w:rPr>
          <w:rFonts w:ascii="Arial" w:hAnsi="Arial" w:cs="Arial"/>
          <w:sz w:val="16"/>
          <w:szCs w:val="16"/>
        </w:rPr>
      </w:pPr>
    </w:p>
    <w:p w14:paraId="69785DB9" w14:textId="77777777" w:rsidR="00F37D2E" w:rsidRDefault="00F37D2E" w:rsidP="00885F45">
      <w:pPr>
        <w:pStyle w:val="Akapitzlist"/>
        <w:numPr>
          <w:ilvl w:val="0"/>
          <w:numId w:val="12"/>
        </w:numPr>
        <w:spacing w:before="120" w:after="120" w:line="360" w:lineRule="auto"/>
        <w:ind w:left="284" w:hanging="284"/>
        <w:contextualSpacing w:val="0"/>
        <w:jc w:val="both"/>
        <w:rPr>
          <w:rFonts w:ascii="Arial" w:hAnsi="Arial" w:cs="Arial"/>
          <w:b/>
        </w:rPr>
      </w:pPr>
      <w:r>
        <w:rPr>
          <w:rFonts w:ascii="Arial" w:hAnsi="Arial"/>
          <w:b/>
        </w:rPr>
        <w:lastRenderedPageBreak/>
        <w:t>Major problems and barriers in realisation of the right to education</w:t>
      </w:r>
    </w:p>
    <w:p w14:paraId="0F1E1AA5" w14:textId="22C62446" w:rsidR="00FF2247" w:rsidRDefault="00FF2247" w:rsidP="00FF2247">
      <w:pPr>
        <w:pStyle w:val="Akapitzlist"/>
        <w:spacing w:line="360" w:lineRule="auto"/>
        <w:ind w:left="0" w:firstLine="709"/>
        <w:jc w:val="both"/>
        <w:rPr>
          <w:rFonts w:ascii="Arial" w:hAnsi="Arial" w:cs="Arial"/>
        </w:rPr>
      </w:pPr>
      <w:r>
        <w:rPr>
          <w:rFonts w:ascii="Arial" w:hAnsi="Arial"/>
        </w:rPr>
        <w:t>The low, limited number of statistical data, studies and indicators measuring the realisation of the rights the persons with disabilities are entitled to constitutes a significant barrier in assessing the realisation of individual rights established under the Convention. Hence it is difficult to create a full picture that would present the situation of persons with disabilities not only in the area of education, but in all areas of day-to-day life.</w:t>
      </w:r>
    </w:p>
    <w:p w14:paraId="10F0E74A" w14:textId="77777777" w:rsidR="00FF2247" w:rsidRPr="00FF2247" w:rsidRDefault="00FF2247" w:rsidP="00FF2247">
      <w:pPr>
        <w:pStyle w:val="Akapitzlist"/>
        <w:spacing w:line="360" w:lineRule="auto"/>
        <w:ind w:left="0" w:firstLine="709"/>
        <w:jc w:val="both"/>
        <w:rPr>
          <w:rFonts w:ascii="Arial" w:hAnsi="Arial" w:cs="Arial"/>
        </w:rPr>
      </w:pPr>
      <w:r>
        <w:rPr>
          <w:rFonts w:ascii="Arial" w:hAnsi="Arial"/>
        </w:rPr>
        <w:t xml:space="preserve">Certainly, the system for financing special educational needs poses a problem. Even though an additional subsidy weight due to disability is granted for every child with legal disability status, which is transferred from the state budget to the authority that manages the given school (in the case of public schools – to local government), there are no legal guarantees that would ensure the transfer of the money by the local government directly to the school, in which the child received education. In practice, public schools guarantee the minimum support – two hours of revalidation classes per week. In turn, the possibility of obtaining support adequate to the needs depends on the affluence of the given local government and the level of activity of the school director and of the parents of the child with disabilities, not on the objective needs of the child. </w:t>
      </w:r>
    </w:p>
    <w:p w14:paraId="04E5AFF8" w14:textId="10C6B716" w:rsidR="00FF2247" w:rsidRPr="00FF2247" w:rsidRDefault="00FF2247" w:rsidP="00FF2247">
      <w:pPr>
        <w:pStyle w:val="Akapitzlist"/>
        <w:spacing w:line="360" w:lineRule="auto"/>
        <w:ind w:left="0" w:firstLine="709"/>
        <w:jc w:val="both"/>
        <w:rPr>
          <w:rFonts w:ascii="Arial" w:hAnsi="Arial" w:cs="Arial"/>
        </w:rPr>
      </w:pPr>
      <w:r>
        <w:rPr>
          <w:rFonts w:ascii="Arial" w:hAnsi="Arial"/>
        </w:rPr>
        <w:t>It is also important to mention that detailed legal regulations, including financial regulations, apply only to children with legal disability status, which makes many children with learning dysfunctions but without formal legal disability status eligible to a much reduced scope of support. Thus, the methods of defining disability under the Convention and within the education system differ.</w:t>
      </w:r>
    </w:p>
    <w:p w14:paraId="7A9C6567" w14:textId="7DCD0EE8" w:rsidR="00FF2247" w:rsidRPr="00FF2247" w:rsidRDefault="00FF2247" w:rsidP="00FF2247">
      <w:pPr>
        <w:pStyle w:val="Akapitzlist"/>
        <w:spacing w:line="360" w:lineRule="auto"/>
        <w:ind w:left="0" w:firstLine="709"/>
        <w:jc w:val="both"/>
        <w:rPr>
          <w:rFonts w:ascii="Arial" w:hAnsi="Arial" w:cs="Arial"/>
        </w:rPr>
      </w:pPr>
      <w:r>
        <w:rPr>
          <w:rFonts w:ascii="Arial" w:hAnsi="Arial"/>
        </w:rPr>
        <w:t>Problems in ensuring support for financial and substantive reasons – lack of properly trained personnel and stereotypes regarding disabilities make many teachers convinced that the only place fit for a student with disabilities, where they can get proper support, is in a special school – see the report of the Supreme Audit Office referred to above.</w:t>
      </w:r>
    </w:p>
    <w:p w14:paraId="5CEB15FB" w14:textId="056B5068" w:rsidR="00A85144" w:rsidRDefault="00FF2247" w:rsidP="00AF5EDF">
      <w:pPr>
        <w:pStyle w:val="Akapitzlist"/>
        <w:spacing w:line="360" w:lineRule="auto"/>
        <w:ind w:left="0" w:firstLine="709"/>
        <w:jc w:val="both"/>
        <w:rPr>
          <w:rFonts w:ascii="Arial" w:hAnsi="Arial" w:cs="Arial"/>
        </w:rPr>
      </w:pPr>
      <w:r>
        <w:rPr>
          <w:rFonts w:ascii="Arial" w:hAnsi="Arial"/>
        </w:rPr>
        <w:t xml:space="preserve">Thus, one should not be surprised that according to statistical data, </w:t>
      </w:r>
      <w:r>
        <w:rPr>
          <w:rFonts w:ascii="Arial" w:hAnsi="Arial"/>
          <w:b/>
        </w:rPr>
        <w:t>about half of students with special educational needs due to disabilities go to special schools, about one fifth – to integration schools,</w:t>
      </w:r>
      <w:r>
        <w:rPr>
          <w:rFonts w:ascii="Arial" w:hAnsi="Arial"/>
        </w:rPr>
        <w:t xml:space="preserve"> </w:t>
      </w:r>
      <w:r>
        <w:rPr>
          <w:rFonts w:ascii="Arial" w:hAnsi="Arial"/>
          <w:b/>
        </w:rPr>
        <w:t>and only three out of ten students – to public schools that offer inclusive education</w:t>
      </w:r>
      <w:r>
        <w:rPr>
          <w:rFonts w:ascii="Arial" w:hAnsi="Arial"/>
          <w:vertAlign w:val="superscript"/>
        </w:rPr>
        <w:footnoteReference w:id="187"/>
      </w:r>
      <w:r>
        <w:rPr>
          <w:rFonts w:ascii="Arial" w:hAnsi="Arial"/>
        </w:rPr>
        <w:t xml:space="preserve">. Moreover, it is clearly visible that the percentage of students in inclusive education is significantly decreasing as the age of students increases: while in kindergartens the percentage of students in special schools is approx. one fourth, with each subsequent stage of education in increases and in senior high schools it is as much as three fourths of the students with assessment certificates. In September 2012 (that is upon ratification of the Convention by Poland), the education system had over 159 thousand students with the certificates stating that they need special education. </w:t>
      </w:r>
    </w:p>
    <w:p w14:paraId="41B717DF" w14:textId="73DDD481" w:rsidR="00A85144" w:rsidRDefault="00A85144" w:rsidP="00A85144">
      <w:pPr>
        <w:pStyle w:val="Akapitzlist"/>
        <w:spacing w:line="360" w:lineRule="auto"/>
        <w:ind w:left="0" w:firstLine="709"/>
        <w:jc w:val="both"/>
        <w:rPr>
          <w:rFonts w:ascii="Arial" w:hAnsi="Arial" w:cs="Arial"/>
        </w:rPr>
      </w:pPr>
      <w:r>
        <w:rPr>
          <w:rFonts w:ascii="Arial" w:hAnsi="Arial"/>
        </w:rPr>
        <w:lastRenderedPageBreak/>
        <w:t xml:space="preserve">The aforementioned data clearly show that students with disabilities drop off the inclusive education system. The aforementioned also has consequences both </w:t>
      </w:r>
      <w:r>
        <w:rPr>
          <w:rFonts w:ascii="Arial" w:hAnsi="Arial"/>
          <w:b/>
        </w:rPr>
        <w:t>as regards the percentage of persons with disabilities reaching the level of higher education – 7.7% in 2013</w:t>
      </w:r>
      <w:r>
        <w:rPr>
          <w:rFonts w:ascii="Arial" w:hAnsi="Arial"/>
        </w:rPr>
        <w:t xml:space="preserve"> (in the case of non-disabled persons – 20.6%)</w:t>
      </w:r>
      <w:r>
        <w:rPr>
          <w:rFonts w:ascii="Arial" w:hAnsi="Arial"/>
          <w:vertAlign w:val="superscript"/>
        </w:rPr>
        <w:footnoteReference w:id="188"/>
      </w:r>
      <w:r>
        <w:rPr>
          <w:rFonts w:ascii="Arial" w:hAnsi="Arial"/>
        </w:rPr>
        <w:t xml:space="preserve"> and on the labour market. Only one in six persons with disabilities is active on the labour market – the vocational activity indicator is 17.2%. To compare, this indicator is 56% for non-disabled persons, which means that every other non-disabled person is active on the labour market</w:t>
      </w:r>
      <w:r>
        <w:rPr>
          <w:rStyle w:val="Odwoanieprzypisudolnego"/>
          <w:rFonts w:ascii="Arial" w:hAnsi="Arial"/>
        </w:rPr>
        <w:footnoteReference w:id="189"/>
      </w:r>
      <w:r>
        <w:rPr>
          <w:rFonts w:ascii="Arial" w:hAnsi="Arial"/>
        </w:rPr>
        <w:t>.</w:t>
      </w:r>
    </w:p>
    <w:p w14:paraId="65615114" w14:textId="77777777" w:rsidR="00C72832" w:rsidRDefault="00C72832" w:rsidP="00A85144">
      <w:pPr>
        <w:pStyle w:val="Akapitzlist"/>
        <w:spacing w:line="360" w:lineRule="auto"/>
        <w:ind w:left="0" w:firstLine="709"/>
        <w:jc w:val="both"/>
        <w:rPr>
          <w:rFonts w:ascii="Arial" w:hAnsi="Arial" w:cs="Arial"/>
        </w:rPr>
      </w:pPr>
    </w:p>
    <w:p w14:paraId="77BBAE9E" w14:textId="77777777" w:rsidR="00C72832" w:rsidRDefault="00C72832" w:rsidP="00C72832">
      <w:pPr>
        <w:pStyle w:val="Akapitzlist"/>
        <w:spacing w:after="0" w:line="240" w:lineRule="auto"/>
        <w:ind w:left="0" w:firstLine="709"/>
        <w:jc w:val="center"/>
        <w:rPr>
          <w:rFonts w:ascii="Arial" w:hAnsi="Arial" w:cs="Arial"/>
          <w:b/>
        </w:rPr>
      </w:pPr>
      <w:r>
        <w:rPr>
          <w:rFonts w:ascii="Arial" w:hAnsi="Arial"/>
          <w:b/>
        </w:rPr>
        <w:t xml:space="preserve">Students with disabilities at different levels of education </w:t>
      </w:r>
    </w:p>
    <w:p w14:paraId="7626DA62" w14:textId="77777777" w:rsidR="00C72832" w:rsidRDefault="00C72832" w:rsidP="00C72832">
      <w:pPr>
        <w:pStyle w:val="Akapitzlist"/>
        <w:spacing w:after="0" w:line="240" w:lineRule="auto"/>
        <w:ind w:left="0" w:firstLine="709"/>
        <w:jc w:val="center"/>
        <w:rPr>
          <w:rFonts w:ascii="Arial" w:hAnsi="Arial" w:cs="Arial"/>
          <w:b/>
        </w:rPr>
      </w:pPr>
      <w:r>
        <w:rPr>
          <w:rFonts w:ascii="Arial" w:hAnsi="Arial"/>
          <w:b/>
        </w:rPr>
        <w:t>– total participation and percentage of students attending special schools</w:t>
      </w:r>
    </w:p>
    <w:p w14:paraId="4B94CC86" w14:textId="77777777" w:rsidR="00C72832" w:rsidRDefault="00C72832" w:rsidP="00C72832">
      <w:pPr>
        <w:pStyle w:val="Akapitzlist"/>
        <w:spacing w:after="0" w:line="240" w:lineRule="auto"/>
        <w:ind w:left="0" w:firstLine="709"/>
        <w:jc w:val="center"/>
        <w:rPr>
          <w:rFonts w:ascii="Arial" w:hAnsi="Arial" w:cs="Arial"/>
        </w:rPr>
      </w:pPr>
    </w:p>
    <w:tbl>
      <w:tblPr>
        <w:tblStyle w:val="redniasiatka1akcent6"/>
        <w:tblW w:w="0" w:type="auto"/>
        <w:tblLook w:val="04A0" w:firstRow="1" w:lastRow="0" w:firstColumn="1" w:lastColumn="0" w:noHBand="0" w:noVBand="1"/>
      </w:tblPr>
      <w:tblGrid>
        <w:gridCol w:w="3105"/>
        <w:gridCol w:w="3114"/>
        <w:gridCol w:w="3069"/>
      </w:tblGrid>
      <w:tr w:rsidR="00C72832" w:rsidRPr="00C21084" w14:paraId="5557ED49" w14:textId="77777777" w:rsidTr="004330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05" w:type="dxa"/>
          </w:tcPr>
          <w:p w14:paraId="26771250" w14:textId="77777777" w:rsidR="00C72832" w:rsidRPr="00C21084" w:rsidRDefault="00C72832" w:rsidP="00433011">
            <w:pPr>
              <w:jc w:val="center"/>
              <w:rPr>
                <w:rFonts w:ascii="Arial" w:hAnsi="Arial" w:cs="Arial"/>
                <w:sz w:val="20"/>
                <w:szCs w:val="20"/>
              </w:rPr>
            </w:pPr>
            <w:r>
              <w:rPr>
                <w:rFonts w:ascii="Arial" w:hAnsi="Arial"/>
                <w:sz w:val="20"/>
              </w:rPr>
              <w:t>Education level</w:t>
            </w:r>
          </w:p>
        </w:tc>
        <w:tc>
          <w:tcPr>
            <w:tcW w:w="3114" w:type="dxa"/>
          </w:tcPr>
          <w:p w14:paraId="4106548A" w14:textId="77777777" w:rsidR="00C72832" w:rsidRPr="00C21084" w:rsidRDefault="00C72832" w:rsidP="00433011">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sz w:val="20"/>
              </w:rPr>
              <w:t>Share of students with disabilities in the total number of students</w:t>
            </w:r>
          </w:p>
        </w:tc>
        <w:tc>
          <w:tcPr>
            <w:tcW w:w="3069" w:type="dxa"/>
          </w:tcPr>
          <w:p w14:paraId="2AE604EE" w14:textId="77777777" w:rsidR="00C72832" w:rsidRPr="00C21084" w:rsidRDefault="00C72832" w:rsidP="00433011">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sz w:val="20"/>
              </w:rPr>
              <w:t>Percentage of students attending special schools</w:t>
            </w:r>
          </w:p>
        </w:tc>
      </w:tr>
      <w:tr w:rsidR="00C72832" w:rsidRPr="00C21084" w14:paraId="4BD15551" w14:textId="77777777" w:rsidTr="004330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05" w:type="dxa"/>
          </w:tcPr>
          <w:p w14:paraId="2936E6A8" w14:textId="77777777" w:rsidR="00C72832" w:rsidRPr="00C21084" w:rsidRDefault="00C72832" w:rsidP="00433011">
            <w:pPr>
              <w:rPr>
                <w:rFonts w:ascii="Arial" w:hAnsi="Arial" w:cs="Arial"/>
                <w:sz w:val="20"/>
                <w:szCs w:val="20"/>
              </w:rPr>
            </w:pPr>
            <w:r>
              <w:rPr>
                <w:rFonts w:ascii="Arial" w:hAnsi="Arial"/>
                <w:sz w:val="20"/>
              </w:rPr>
              <w:t>Kindergartens</w:t>
            </w:r>
          </w:p>
        </w:tc>
        <w:tc>
          <w:tcPr>
            <w:tcW w:w="3114" w:type="dxa"/>
          </w:tcPr>
          <w:p w14:paraId="3A3B8C67" w14:textId="77777777" w:rsidR="00C72832" w:rsidRPr="00C21084" w:rsidRDefault="00C72832" w:rsidP="0043301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sz w:val="20"/>
              </w:rPr>
              <w:t>0.9%</w:t>
            </w:r>
          </w:p>
        </w:tc>
        <w:tc>
          <w:tcPr>
            <w:tcW w:w="3069" w:type="dxa"/>
          </w:tcPr>
          <w:p w14:paraId="19862F4D" w14:textId="77777777" w:rsidR="00C72832" w:rsidRPr="00C21084" w:rsidRDefault="00C72832" w:rsidP="0043301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sz w:val="20"/>
              </w:rPr>
              <w:t>23%</w:t>
            </w:r>
          </w:p>
        </w:tc>
      </w:tr>
      <w:tr w:rsidR="00C72832" w:rsidRPr="00C21084" w14:paraId="7C4BF091" w14:textId="77777777" w:rsidTr="00433011">
        <w:tc>
          <w:tcPr>
            <w:cnfStyle w:val="001000000000" w:firstRow="0" w:lastRow="0" w:firstColumn="1" w:lastColumn="0" w:oddVBand="0" w:evenVBand="0" w:oddHBand="0" w:evenHBand="0" w:firstRowFirstColumn="0" w:firstRowLastColumn="0" w:lastRowFirstColumn="0" w:lastRowLastColumn="0"/>
            <w:tcW w:w="3105" w:type="dxa"/>
          </w:tcPr>
          <w:p w14:paraId="38C2F50B" w14:textId="77777777" w:rsidR="00C72832" w:rsidRPr="00C21084" w:rsidRDefault="00C72832" w:rsidP="00433011">
            <w:pPr>
              <w:rPr>
                <w:rFonts w:ascii="Arial" w:hAnsi="Arial" w:cs="Arial"/>
                <w:sz w:val="20"/>
                <w:szCs w:val="20"/>
              </w:rPr>
            </w:pPr>
            <w:r>
              <w:rPr>
                <w:rFonts w:ascii="Arial" w:hAnsi="Arial"/>
                <w:sz w:val="20"/>
              </w:rPr>
              <w:t>Primary schools (mandatory)</w:t>
            </w:r>
          </w:p>
        </w:tc>
        <w:tc>
          <w:tcPr>
            <w:tcW w:w="3114" w:type="dxa"/>
          </w:tcPr>
          <w:p w14:paraId="2A3F8110" w14:textId="77777777" w:rsidR="00C72832" w:rsidRPr="00C21084" w:rsidRDefault="00C72832" w:rsidP="0043301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sz w:val="20"/>
              </w:rPr>
              <w:t>2.5%</w:t>
            </w:r>
          </w:p>
        </w:tc>
        <w:tc>
          <w:tcPr>
            <w:tcW w:w="3069" w:type="dxa"/>
          </w:tcPr>
          <w:p w14:paraId="61470306" w14:textId="77777777" w:rsidR="00C72832" w:rsidRPr="00C21084" w:rsidRDefault="00C72832" w:rsidP="0043301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sz w:val="20"/>
              </w:rPr>
              <w:t>45%</w:t>
            </w:r>
          </w:p>
        </w:tc>
      </w:tr>
      <w:tr w:rsidR="00C72832" w:rsidRPr="00C21084" w14:paraId="3B672780" w14:textId="77777777" w:rsidTr="004330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05" w:type="dxa"/>
          </w:tcPr>
          <w:p w14:paraId="0858E064" w14:textId="77777777" w:rsidR="00C72832" w:rsidRPr="00C21084" w:rsidRDefault="00C72832" w:rsidP="00433011">
            <w:pPr>
              <w:rPr>
                <w:rFonts w:ascii="Arial" w:hAnsi="Arial" w:cs="Arial"/>
                <w:sz w:val="20"/>
                <w:szCs w:val="20"/>
              </w:rPr>
            </w:pPr>
            <w:r>
              <w:rPr>
                <w:rFonts w:ascii="Arial" w:hAnsi="Arial"/>
                <w:sz w:val="20"/>
              </w:rPr>
              <w:t>Junior high school (mandatory)</w:t>
            </w:r>
          </w:p>
        </w:tc>
        <w:tc>
          <w:tcPr>
            <w:tcW w:w="3114" w:type="dxa"/>
          </w:tcPr>
          <w:p w14:paraId="54A51D97" w14:textId="77777777" w:rsidR="00C72832" w:rsidRPr="00C21084" w:rsidRDefault="00C72832" w:rsidP="0043301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sz w:val="20"/>
              </w:rPr>
              <w:t>3.3%</w:t>
            </w:r>
          </w:p>
        </w:tc>
        <w:tc>
          <w:tcPr>
            <w:tcW w:w="3069" w:type="dxa"/>
          </w:tcPr>
          <w:p w14:paraId="5D6D0BB6" w14:textId="77777777" w:rsidR="00C72832" w:rsidRPr="00C21084" w:rsidRDefault="00C72832" w:rsidP="0043301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sz w:val="20"/>
              </w:rPr>
              <w:t>51%</w:t>
            </w:r>
          </w:p>
        </w:tc>
      </w:tr>
      <w:tr w:rsidR="00C72832" w:rsidRPr="00C21084" w14:paraId="61BBEFA7" w14:textId="77777777" w:rsidTr="00433011">
        <w:tc>
          <w:tcPr>
            <w:cnfStyle w:val="001000000000" w:firstRow="0" w:lastRow="0" w:firstColumn="1" w:lastColumn="0" w:oddVBand="0" w:evenVBand="0" w:oddHBand="0" w:evenHBand="0" w:firstRowFirstColumn="0" w:firstRowLastColumn="0" w:lastRowFirstColumn="0" w:lastRowLastColumn="0"/>
            <w:tcW w:w="3105" w:type="dxa"/>
          </w:tcPr>
          <w:p w14:paraId="7F631FEE" w14:textId="77777777" w:rsidR="00C72832" w:rsidRPr="00C21084" w:rsidRDefault="00C72832" w:rsidP="00433011">
            <w:pPr>
              <w:rPr>
                <w:rFonts w:ascii="Arial" w:hAnsi="Arial" w:cs="Arial"/>
                <w:sz w:val="20"/>
                <w:szCs w:val="20"/>
              </w:rPr>
            </w:pPr>
            <w:r>
              <w:rPr>
                <w:rFonts w:ascii="Arial" w:hAnsi="Arial"/>
                <w:sz w:val="20"/>
              </w:rPr>
              <w:t>Senior high school</w:t>
            </w:r>
          </w:p>
        </w:tc>
        <w:tc>
          <w:tcPr>
            <w:tcW w:w="3114" w:type="dxa"/>
          </w:tcPr>
          <w:p w14:paraId="18CCE3C7" w14:textId="77777777" w:rsidR="00C72832" w:rsidRPr="00C21084" w:rsidRDefault="00C72832" w:rsidP="0043301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sz w:val="20"/>
              </w:rPr>
              <w:t>1.6%</w:t>
            </w:r>
          </w:p>
        </w:tc>
        <w:tc>
          <w:tcPr>
            <w:tcW w:w="3069" w:type="dxa"/>
          </w:tcPr>
          <w:p w14:paraId="074AF594" w14:textId="77777777" w:rsidR="00C72832" w:rsidRPr="00C21084" w:rsidRDefault="00C72832" w:rsidP="0043301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sz w:val="20"/>
              </w:rPr>
              <w:t>78%</w:t>
            </w:r>
          </w:p>
        </w:tc>
      </w:tr>
    </w:tbl>
    <w:p w14:paraId="04BEBAFD" w14:textId="77777777" w:rsidR="004D797B" w:rsidRDefault="004D797B" w:rsidP="00C72832">
      <w:pPr>
        <w:spacing w:after="0" w:line="240" w:lineRule="auto"/>
        <w:jc w:val="center"/>
        <w:rPr>
          <w:rFonts w:ascii="Arial" w:hAnsi="Arial"/>
          <w:sz w:val="16"/>
        </w:rPr>
      </w:pPr>
    </w:p>
    <w:p w14:paraId="01E5BF0D" w14:textId="77777777" w:rsidR="00C72832" w:rsidRPr="00A5012D" w:rsidRDefault="00C72832" w:rsidP="00C72832">
      <w:pPr>
        <w:spacing w:after="0" w:line="240" w:lineRule="auto"/>
        <w:jc w:val="center"/>
        <w:rPr>
          <w:rFonts w:ascii="Arial" w:hAnsi="Arial" w:cs="Arial"/>
          <w:sz w:val="16"/>
          <w:szCs w:val="16"/>
        </w:rPr>
      </w:pPr>
      <w:r>
        <w:rPr>
          <w:rFonts w:ascii="Arial" w:hAnsi="Arial"/>
          <w:sz w:val="16"/>
        </w:rPr>
        <w:t xml:space="preserve">Prepared by: Agnieszka Dudzińska pursuant to the data provided by the IT Centre for Education from the Education Information System. </w:t>
      </w:r>
      <w:r w:rsidRPr="002B305E">
        <w:rPr>
          <w:rFonts w:ascii="Arial" w:hAnsi="Arial"/>
          <w:sz w:val="16"/>
          <w:lang w:val="pl-PL"/>
        </w:rPr>
        <w:t xml:space="preserve">Publication: „Najważniejsze problemy zarządzania edukacją. Poradnik praktyków dla praktyków” </w:t>
      </w:r>
      <w:r w:rsidRPr="002B305E">
        <w:rPr>
          <w:rFonts w:ascii="Arial" w:hAnsi="Arial"/>
          <w:i/>
          <w:sz w:val="16"/>
          <w:lang w:val="pl-PL"/>
        </w:rPr>
        <w:t xml:space="preserve">[Major problems with managing education. </w:t>
      </w:r>
      <w:r>
        <w:rPr>
          <w:rFonts w:ascii="Arial" w:hAnsi="Arial"/>
          <w:i/>
          <w:sz w:val="16"/>
        </w:rPr>
        <w:t>A handbook written by practitioners for practitioners]</w:t>
      </w:r>
      <w:r>
        <w:rPr>
          <w:rFonts w:ascii="Arial" w:hAnsi="Arial"/>
          <w:sz w:val="16"/>
        </w:rPr>
        <w:t>, publ. Municipium S.A.</w:t>
      </w:r>
    </w:p>
    <w:p w14:paraId="09D08390" w14:textId="77777777" w:rsidR="00C72832" w:rsidRDefault="00C72832" w:rsidP="00A85144">
      <w:pPr>
        <w:pStyle w:val="Akapitzlist"/>
        <w:spacing w:line="360" w:lineRule="auto"/>
        <w:ind w:left="0" w:firstLine="709"/>
        <w:jc w:val="both"/>
        <w:rPr>
          <w:rFonts w:ascii="Arial" w:hAnsi="Arial" w:cs="Arial"/>
        </w:rPr>
      </w:pPr>
    </w:p>
    <w:p w14:paraId="6EC36717" w14:textId="1C79AC42" w:rsidR="008B64FF" w:rsidRDefault="002128D7" w:rsidP="008B64FF">
      <w:pPr>
        <w:pStyle w:val="Akapitzlist"/>
        <w:spacing w:line="360" w:lineRule="auto"/>
        <w:ind w:left="0" w:firstLine="709"/>
        <w:jc w:val="both"/>
        <w:rPr>
          <w:rFonts w:ascii="Arial" w:hAnsi="Arial"/>
        </w:rPr>
      </w:pPr>
      <w:r>
        <w:rPr>
          <w:rFonts w:ascii="Arial" w:hAnsi="Arial"/>
        </w:rPr>
        <w:t xml:space="preserve">Significant problems are also posed by education conducted in languages and through methods and means of communication that is best fitted to students with disabilities, in particular deaf and deafblind students (in line with Article 24(3)(b and c) of CRPD). From the data provided by the Polish Association of the Deaf it follows that until now, </w:t>
      </w:r>
      <w:r>
        <w:rPr>
          <w:rFonts w:ascii="Arial" w:hAnsi="Arial"/>
          <w:b/>
        </w:rPr>
        <w:t>no school attended by deaf students holds classes in the Polish sign language, the natural language of the deaf</w:t>
      </w:r>
      <w:r>
        <w:rPr>
          <w:rStyle w:val="Odwoanieprzypisudolnego"/>
          <w:rFonts w:ascii="Arial" w:hAnsi="Arial"/>
        </w:rPr>
        <w:footnoteReference w:id="190"/>
      </w:r>
      <w:r>
        <w:rPr>
          <w:rFonts w:ascii="Arial" w:hAnsi="Arial"/>
        </w:rPr>
        <w:t>.</w:t>
      </w:r>
    </w:p>
    <w:p w14:paraId="02D22DE8" w14:textId="77777777" w:rsidR="008B64FF" w:rsidRPr="008B64FF" w:rsidRDefault="008B64FF" w:rsidP="008B64FF">
      <w:pPr>
        <w:pStyle w:val="Akapitzlist"/>
        <w:spacing w:line="360" w:lineRule="auto"/>
        <w:ind w:left="0" w:firstLine="709"/>
        <w:jc w:val="both"/>
        <w:rPr>
          <w:rFonts w:ascii="Arial" w:hAnsi="Arial"/>
        </w:rPr>
      </w:pPr>
    </w:p>
    <w:p w14:paraId="37DEC350" w14:textId="77777777" w:rsidR="00F37D2E" w:rsidRPr="006317A2" w:rsidRDefault="00001B2A" w:rsidP="00885F45">
      <w:pPr>
        <w:pStyle w:val="Akapitzlist"/>
        <w:numPr>
          <w:ilvl w:val="0"/>
          <w:numId w:val="12"/>
        </w:numPr>
        <w:spacing w:before="120" w:after="120" w:line="360" w:lineRule="auto"/>
        <w:ind w:left="284" w:hanging="284"/>
        <w:contextualSpacing w:val="0"/>
        <w:jc w:val="both"/>
        <w:rPr>
          <w:rFonts w:ascii="Arial" w:hAnsi="Arial" w:cs="Arial"/>
          <w:b/>
        </w:rPr>
      </w:pPr>
      <w:r>
        <w:rPr>
          <w:rFonts w:ascii="Arial" w:hAnsi="Arial"/>
          <w:b/>
        </w:rPr>
        <w:t>Major recommendations</w:t>
      </w:r>
    </w:p>
    <w:p w14:paraId="72C914BE" w14:textId="33A1C182" w:rsidR="00FF2247" w:rsidRPr="00FF2247" w:rsidRDefault="00FF2247" w:rsidP="00FF2247">
      <w:pPr>
        <w:pStyle w:val="Akapitzlist"/>
        <w:spacing w:line="360" w:lineRule="auto"/>
        <w:ind w:left="0" w:firstLine="709"/>
        <w:jc w:val="both"/>
        <w:rPr>
          <w:rFonts w:ascii="Arial" w:hAnsi="Arial" w:cs="Arial"/>
          <w:bCs/>
        </w:rPr>
      </w:pPr>
      <w:r>
        <w:rPr>
          <w:rFonts w:ascii="Arial" w:hAnsi="Arial"/>
        </w:rPr>
        <w:t xml:space="preserve">The starting point for the recommendations is formed by the conclusion that the analysis of the legal status and the practical application of the provisions of law do not allow us to recognize that the current system realises the provisions of Article 24 of the Convention in full; however, promoting the inclusive education system for persons with disabilities should become one of priorities. The proposed recommendations include: </w:t>
      </w:r>
    </w:p>
    <w:p w14:paraId="272DC086" w14:textId="77777777" w:rsidR="00FF2247" w:rsidRPr="00FF2247" w:rsidRDefault="00FF2247" w:rsidP="003D345C">
      <w:pPr>
        <w:pStyle w:val="Akapitzlist"/>
        <w:numPr>
          <w:ilvl w:val="0"/>
          <w:numId w:val="30"/>
        </w:numPr>
        <w:spacing w:line="360" w:lineRule="auto"/>
        <w:ind w:left="284" w:hanging="284"/>
        <w:jc w:val="both"/>
        <w:rPr>
          <w:rFonts w:ascii="Arial" w:hAnsi="Arial" w:cs="Arial"/>
          <w:bCs/>
        </w:rPr>
      </w:pPr>
      <w:r>
        <w:rPr>
          <w:rFonts w:ascii="Arial" w:hAnsi="Arial"/>
        </w:rPr>
        <w:lastRenderedPageBreak/>
        <w:t>changing the system for financing the education of persons with disabilities so that the funds allocated to that purpose were directed to the facility attended by the given child with disabilities and current monitoring of the educational process of students with disabilities;</w:t>
      </w:r>
    </w:p>
    <w:p w14:paraId="213FA621" w14:textId="3FA0148D" w:rsidR="00FF2247" w:rsidRPr="00FF2247" w:rsidRDefault="00FF2247" w:rsidP="003D345C">
      <w:pPr>
        <w:pStyle w:val="Akapitzlist"/>
        <w:numPr>
          <w:ilvl w:val="0"/>
          <w:numId w:val="30"/>
        </w:numPr>
        <w:spacing w:line="360" w:lineRule="auto"/>
        <w:ind w:left="284" w:hanging="284"/>
        <w:jc w:val="both"/>
        <w:rPr>
          <w:rFonts w:ascii="Arial" w:hAnsi="Arial" w:cs="Arial"/>
          <w:bCs/>
        </w:rPr>
      </w:pPr>
      <w:r>
        <w:rPr>
          <w:rFonts w:ascii="Arial" w:hAnsi="Arial"/>
        </w:rPr>
        <w:t>taking advantage of the potential of special schools and their personnel, in particular within respect to establishing a support system for teachers working with students with disabilities in public schools;</w:t>
      </w:r>
    </w:p>
    <w:p w14:paraId="21D5047A" w14:textId="77777777" w:rsidR="00FF2247" w:rsidRPr="00FF2247" w:rsidRDefault="00FF2247" w:rsidP="003D345C">
      <w:pPr>
        <w:pStyle w:val="Akapitzlist"/>
        <w:numPr>
          <w:ilvl w:val="0"/>
          <w:numId w:val="30"/>
        </w:numPr>
        <w:spacing w:line="360" w:lineRule="auto"/>
        <w:ind w:left="284" w:hanging="284"/>
        <w:jc w:val="both"/>
        <w:rPr>
          <w:rFonts w:ascii="Arial" w:hAnsi="Arial" w:cs="Arial"/>
          <w:bCs/>
        </w:rPr>
      </w:pPr>
      <w:r>
        <w:rPr>
          <w:rFonts w:ascii="Arial" w:hAnsi="Arial"/>
        </w:rPr>
        <w:t>providing psychological support to teachers, parents and students and establishing the “fast lane” for responding and mediating in conflict situations;</w:t>
      </w:r>
    </w:p>
    <w:p w14:paraId="0419708D" w14:textId="77777777" w:rsidR="00FF2247" w:rsidRPr="00FF2247" w:rsidRDefault="00FF2247" w:rsidP="003D345C">
      <w:pPr>
        <w:pStyle w:val="Akapitzlist"/>
        <w:numPr>
          <w:ilvl w:val="0"/>
          <w:numId w:val="30"/>
        </w:numPr>
        <w:spacing w:line="360" w:lineRule="auto"/>
        <w:ind w:left="284" w:hanging="284"/>
        <w:jc w:val="both"/>
        <w:rPr>
          <w:rFonts w:ascii="Arial" w:hAnsi="Arial" w:cs="Arial"/>
          <w:bCs/>
        </w:rPr>
      </w:pPr>
      <w:r>
        <w:rPr>
          <w:rFonts w:ascii="Arial" w:hAnsi="Arial"/>
        </w:rPr>
        <w:t>unifying the assessment system with respect to students’ disabilities and making the system to support students with disabilities more flexible;</w:t>
      </w:r>
    </w:p>
    <w:p w14:paraId="5EFF757D" w14:textId="77777777" w:rsidR="00FF2247" w:rsidRDefault="00FF2247" w:rsidP="003D345C">
      <w:pPr>
        <w:pStyle w:val="Akapitzlist"/>
        <w:numPr>
          <w:ilvl w:val="0"/>
          <w:numId w:val="30"/>
        </w:numPr>
        <w:spacing w:line="360" w:lineRule="auto"/>
        <w:ind w:left="284" w:hanging="284"/>
        <w:jc w:val="both"/>
        <w:rPr>
          <w:rFonts w:ascii="Arial" w:hAnsi="Arial" w:cs="Arial"/>
          <w:bCs/>
        </w:rPr>
      </w:pPr>
      <w:r>
        <w:rPr>
          <w:rFonts w:ascii="Arial" w:hAnsi="Arial"/>
        </w:rPr>
        <w:t>improving accessibility of: architecture, communication and information systems, textbooks and teaching aids;</w:t>
      </w:r>
    </w:p>
    <w:p w14:paraId="094B12F5" w14:textId="77777777" w:rsidR="004965CC" w:rsidRDefault="004965CC" w:rsidP="003D345C">
      <w:pPr>
        <w:pStyle w:val="Akapitzlist"/>
        <w:numPr>
          <w:ilvl w:val="0"/>
          <w:numId w:val="30"/>
        </w:numPr>
        <w:spacing w:line="360" w:lineRule="auto"/>
        <w:ind w:left="284" w:hanging="284"/>
        <w:jc w:val="both"/>
        <w:rPr>
          <w:rFonts w:ascii="Arial" w:hAnsi="Arial" w:cs="Arial"/>
          <w:bCs/>
        </w:rPr>
      </w:pPr>
      <w:r>
        <w:rPr>
          <w:rFonts w:ascii="Arial" w:hAnsi="Arial"/>
        </w:rPr>
        <w:t>conducting education classes in languages and with the help of methods and means of communication that is best fitted to students with disabilities, in particular teaching deaf students in sign language.</w:t>
      </w:r>
    </w:p>
    <w:p w14:paraId="76DC11EE" w14:textId="77777777" w:rsidR="006317A2" w:rsidRPr="00E5058E" w:rsidRDefault="006317A2" w:rsidP="00E95991">
      <w:pPr>
        <w:pStyle w:val="Nagwek2"/>
      </w:pPr>
      <w:bookmarkStart w:id="35" w:name="_Toc403999543"/>
      <w:bookmarkStart w:id="36" w:name="_Toc424279007"/>
      <w:r>
        <w:t>Article 26 – Habilitation and rehabilitation</w:t>
      </w:r>
      <w:bookmarkEnd w:id="35"/>
      <w:bookmarkEnd w:id="36"/>
    </w:p>
    <w:p w14:paraId="30F034B7" w14:textId="77777777" w:rsidR="004D5455" w:rsidRDefault="004D5455" w:rsidP="00885F45">
      <w:pPr>
        <w:pStyle w:val="Akapitzlist"/>
        <w:numPr>
          <w:ilvl w:val="0"/>
          <w:numId w:val="13"/>
        </w:numPr>
        <w:spacing w:before="120" w:after="120" w:line="360" w:lineRule="auto"/>
        <w:ind w:left="284" w:hanging="284"/>
        <w:contextualSpacing w:val="0"/>
        <w:jc w:val="both"/>
        <w:rPr>
          <w:rFonts w:ascii="Arial" w:hAnsi="Arial" w:cs="Arial"/>
          <w:b/>
        </w:rPr>
      </w:pPr>
      <w:r>
        <w:rPr>
          <w:rFonts w:ascii="Arial" w:hAnsi="Arial"/>
          <w:b/>
        </w:rPr>
        <w:t>Introduction – short description</w:t>
      </w:r>
    </w:p>
    <w:p w14:paraId="7DEE0D91" w14:textId="77777777" w:rsidR="00891A83" w:rsidRPr="00891A83" w:rsidRDefault="00891A83" w:rsidP="00B7459B">
      <w:pPr>
        <w:pStyle w:val="Akapitzlist"/>
        <w:spacing w:after="0" w:line="360" w:lineRule="auto"/>
        <w:ind w:left="0" w:firstLine="709"/>
        <w:jc w:val="both"/>
        <w:rPr>
          <w:rFonts w:ascii="Arial" w:hAnsi="Arial" w:cs="Arial"/>
        </w:rPr>
      </w:pPr>
      <w:r>
        <w:rPr>
          <w:rFonts w:ascii="Arial" w:hAnsi="Arial"/>
        </w:rPr>
        <w:t>Rehabilitation means improving – and sustaining – the current scope of functional capacity and preventing any decreases. Rehabilitation applies to treatment, therapeutic, educational and social actions. Next to the area encompassing health services, social rehabilitation belongs to one of the most important ones. Social rehabilitation includes not only the specific non-medical therapeutic actions intended to improve the functional activity, as well as vocational activation, education or social assistance at the place of residence.</w:t>
      </w:r>
    </w:p>
    <w:p w14:paraId="308B71EE" w14:textId="598A5358" w:rsidR="00891A83" w:rsidRPr="001560CB" w:rsidRDefault="00891A83" w:rsidP="001560CB">
      <w:pPr>
        <w:pStyle w:val="Akapitzlist"/>
        <w:spacing w:after="0" w:line="360" w:lineRule="auto"/>
        <w:ind w:left="0" w:firstLine="709"/>
        <w:jc w:val="both"/>
        <w:rPr>
          <w:rFonts w:ascii="Arial" w:hAnsi="Arial" w:cs="Arial"/>
        </w:rPr>
      </w:pPr>
      <w:r>
        <w:rPr>
          <w:rFonts w:ascii="Arial" w:hAnsi="Arial"/>
        </w:rPr>
        <w:t>In Poland, the activities in the area of rehabilitation perceived so widely are provided for in numerous internal regulations</w:t>
      </w:r>
      <w:r>
        <w:rPr>
          <w:rFonts w:ascii="Arial" w:hAnsi="Arial"/>
          <w:vertAlign w:val="superscript"/>
        </w:rPr>
        <w:footnoteReference w:id="191"/>
      </w:r>
      <w:r>
        <w:rPr>
          <w:rFonts w:ascii="Arial" w:hAnsi="Arial"/>
        </w:rPr>
        <w:t xml:space="preserve">. The fundamental source of social rehabilitation financing is the </w:t>
      </w:r>
      <w:r>
        <w:rPr>
          <w:rFonts w:ascii="Arial" w:hAnsi="Arial"/>
          <w:b/>
        </w:rPr>
        <w:t xml:space="preserve">State Fund for Rehabilitation of the Disabled Persons </w:t>
      </w:r>
      <w:r>
        <w:rPr>
          <w:rFonts w:ascii="Arial" w:hAnsi="Arial"/>
        </w:rPr>
        <w:t xml:space="preserve">(PFRON). In 2013, PFRON spent PLN 4.9 billion, of which 74% went to vocational rehabilitation, and 26% – to various social rehabilitation programmes. As the main source of the Fund’s income is formed </w:t>
      </w:r>
      <w:r>
        <w:rPr>
          <w:rFonts w:ascii="Arial" w:hAnsi="Arial"/>
        </w:rPr>
        <w:lastRenderedPageBreak/>
        <w:t>by the payments of employers that do not hire persons with disabilities, hence the mandatory expenses include in particular the co-financing to remuneratio</w:t>
      </w:r>
      <w:r w:rsidR="008B64FF">
        <w:rPr>
          <w:rFonts w:ascii="Arial" w:hAnsi="Arial"/>
        </w:rPr>
        <w:t>n stipulated by amount, paid to </w:t>
      </w:r>
      <w:r>
        <w:rPr>
          <w:rFonts w:ascii="Arial" w:hAnsi="Arial"/>
        </w:rPr>
        <w:t>employers who hire persons with disabilities (over PLN 3.2 billion in 2013), including other smaller programmes in the area of vocational rehabilitation. Ho</w:t>
      </w:r>
      <w:r w:rsidR="008B64FF">
        <w:rPr>
          <w:rFonts w:ascii="Arial" w:hAnsi="Arial"/>
        </w:rPr>
        <w:t>wever, the majority of funds of </w:t>
      </w:r>
      <w:r>
        <w:rPr>
          <w:rFonts w:ascii="Arial" w:hAnsi="Arial"/>
        </w:rPr>
        <w:t>the Fund allocated to social rehabilitation is spent obligatorily on financing activity-based therapy (PLN 0.36 billion in 2013), which is also determined by amount based on the number of participants. No other social rehabilitation programmes is not obligatory in nature nor enjoys permanent financing. The decisions on allocation of funds among individual programmes are made by their realizers based on the amount of funds</w:t>
      </w:r>
      <w:r>
        <w:rPr>
          <w:rStyle w:val="Odwoanieprzypisudolnego"/>
          <w:rFonts w:ascii="Arial" w:hAnsi="Arial"/>
        </w:rPr>
        <w:footnoteReference w:id="192"/>
      </w:r>
      <w:r>
        <w:rPr>
          <w:rFonts w:ascii="Arial" w:hAnsi="Arial"/>
        </w:rPr>
        <w:t xml:space="preserve">. </w:t>
      </w:r>
    </w:p>
    <w:p w14:paraId="709E93D8" w14:textId="77777777" w:rsidR="00720943" w:rsidRDefault="00891A83" w:rsidP="00720943">
      <w:pPr>
        <w:pStyle w:val="Akapitzlist"/>
        <w:spacing w:after="0" w:line="360" w:lineRule="auto"/>
        <w:ind w:left="0" w:firstLine="709"/>
        <w:jc w:val="both"/>
        <w:rPr>
          <w:rFonts w:ascii="Arial" w:hAnsi="Arial" w:cs="Arial"/>
        </w:rPr>
      </w:pPr>
      <w:r>
        <w:rPr>
          <w:rFonts w:ascii="Arial" w:hAnsi="Arial"/>
        </w:rPr>
        <w:t xml:space="preserve">Next to the funds paid directly by PFRON to employers who hire persons with disabilities and to persons with disabilities that run business activity, PFRON distributes its funds through local governments – mostly poviats (PLN 0.8 billion) in 2013), and to a lesser extent – NGOs (PLN 0.17 billion in 2013). </w:t>
      </w:r>
    </w:p>
    <w:p w14:paraId="0E9AC440" w14:textId="6AA98A1A" w:rsidR="00891A83" w:rsidRPr="00891A83" w:rsidRDefault="00720943" w:rsidP="00720943">
      <w:pPr>
        <w:pStyle w:val="Akapitzlist"/>
        <w:spacing w:after="0" w:line="360" w:lineRule="auto"/>
        <w:ind w:left="0" w:firstLine="709"/>
        <w:jc w:val="both"/>
        <w:rPr>
          <w:rFonts w:ascii="Arial" w:hAnsi="Arial" w:cs="Arial"/>
        </w:rPr>
      </w:pPr>
      <w:r>
        <w:rPr>
          <w:rFonts w:ascii="Arial" w:hAnsi="Arial"/>
        </w:rPr>
        <w:t>The funds provided by PFRON are allocated by poviats in particular to individual persons with disabilities f</w:t>
      </w:r>
      <w:r w:rsidR="008B64FF">
        <w:rPr>
          <w:rFonts w:ascii="Arial" w:hAnsi="Arial"/>
        </w:rPr>
        <w:t>or</w:t>
      </w:r>
      <w:r>
        <w:rPr>
          <w:rFonts w:ascii="Arial" w:hAnsi="Arial"/>
        </w:rPr>
        <w:t xml:space="preserve"> the purposes related to rehabilita</w:t>
      </w:r>
      <w:r w:rsidR="008B64FF">
        <w:rPr>
          <w:rFonts w:ascii="Arial" w:hAnsi="Arial"/>
        </w:rPr>
        <w:t>tion in various forms, and to a </w:t>
      </w:r>
      <w:r>
        <w:rPr>
          <w:rFonts w:ascii="Arial" w:hAnsi="Arial"/>
        </w:rPr>
        <w:t>lesser extent, also to organisations and other entities working directly with persons with disabilities</w:t>
      </w:r>
      <w:r>
        <w:rPr>
          <w:rFonts w:ascii="Arial" w:hAnsi="Arial"/>
          <w:vertAlign w:val="superscript"/>
        </w:rPr>
        <w:footnoteReference w:id="193"/>
      </w:r>
      <w:r>
        <w:rPr>
          <w:rFonts w:ascii="Arial" w:hAnsi="Arial"/>
        </w:rPr>
        <w:t>. Out of all PFRON programmes providing individual support the highest interest is visible in co-financing of rehabilitation equipment and assistance measures, co-financing of rehabilitation camps and co-financing to removal of architectural barriers, barriers in communication and transportation barriers.</w:t>
      </w:r>
    </w:p>
    <w:p w14:paraId="62678B9D" w14:textId="4B131913" w:rsidR="00891A83" w:rsidRPr="00891A83" w:rsidRDefault="00891A83" w:rsidP="00950671">
      <w:pPr>
        <w:pStyle w:val="Akapitzlist"/>
        <w:spacing w:after="0" w:line="360" w:lineRule="auto"/>
        <w:ind w:left="0" w:firstLine="709"/>
        <w:jc w:val="both"/>
        <w:rPr>
          <w:rFonts w:ascii="Arial" w:hAnsi="Arial" w:cs="Arial"/>
        </w:rPr>
      </w:pPr>
      <w:r>
        <w:rPr>
          <w:rFonts w:ascii="Arial" w:hAnsi="Arial"/>
        </w:rPr>
        <w:t xml:space="preserve">Additional financing path for the support provided directly to persons with disabilities is formed by the programme of the PFRON’s Supervisory Board realised since 2012 entitled “Active Local Government” (budget: PLN 0.11 billion in 2013). One of the parts of that </w:t>
      </w:r>
      <w:r>
        <w:rPr>
          <w:rFonts w:ascii="Arial" w:hAnsi="Arial"/>
        </w:rPr>
        <w:lastRenderedPageBreak/>
        <w:t>programme provides for removing barriers that make social and vocational activation difficult (PLN 58 million in 2013)</w:t>
      </w:r>
      <w:r>
        <w:rPr>
          <w:rFonts w:ascii="Arial" w:hAnsi="Arial"/>
          <w:vertAlign w:val="superscript"/>
        </w:rPr>
        <w:footnoteReference w:id="194"/>
      </w:r>
      <w:r>
        <w:rPr>
          <w:rFonts w:ascii="Arial" w:hAnsi="Arial"/>
        </w:rPr>
        <w:t xml:space="preserve">: </w:t>
      </w:r>
    </w:p>
    <w:p w14:paraId="3963E100" w14:textId="77777777" w:rsidR="00891A83" w:rsidRPr="00891A83" w:rsidRDefault="00891A83" w:rsidP="003D345C">
      <w:pPr>
        <w:pStyle w:val="Akapitzlist"/>
        <w:numPr>
          <w:ilvl w:val="0"/>
          <w:numId w:val="43"/>
        </w:numPr>
        <w:spacing w:after="0" w:line="360" w:lineRule="auto"/>
        <w:ind w:left="284" w:hanging="284"/>
        <w:jc w:val="both"/>
        <w:rPr>
          <w:rFonts w:ascii="Arial" w:hAnsi="Arial" w:cs="Arial"/>
        </w:rPr>
      </w:pPr>
      <w:r>
        <w:rPr>
          <w:rFonts w:ascii="Arial" w:hAnsi="Arial"/>
        </w:rPr>
        <w:t xml:space="preserve">transportation barriers (purchase and installation of fittings to vehicles, obtaining a driving licence); </w:t>
      </w:r>
    </w:p>
    <w:p w14:paraId="47BB841B" w14:textId="77777777" w:rsidR="00891A83" w:rsidRPr="00891A83" w:rsidRDefault="00891A83" w:rsidP="003D345C">
      <w:pPr>
        <w:pStyle w:val="Akapitzlist"/>
        <w:numPr>
          <w:ilvl w:val="0"/>
          <w:numId w:val="43"/>
        </w:numPr>
        <w:spacing w:after="0" w:line="360" w:lineRule="auto"/>
        <w:ind w:left="284" w:hanging="284"/>
        <w:jc w:val="both"/>
        <w:rPr>
          <w:rFonts w:ascii="Arial" w:hAnsi="Arial" w:cs="Arial"/>
        </w:rPr>
      </w:pPr>
      <w:r>
        <w:rPr>
          <w:rFonts w:ascii="Arial" w:hAnsi="Arial"/>
        </w:rPr>
        <w:t xml:space="preserve">barriers in participating in information society (purchase of electronic equipment, trainings in operating the equipment brought under the programme); </w:t>
      </w:r>
    </w:p>
    <w:p w14:paraId="7FC7E81B" w14:textId="03FCD795" w:rsidR="00891A83" w:rsidRPr="00891A83" w:rsidRDefault="00891A83" w:rsidP="003D345C">
      <w:pPr>
        <w:pStyle w:val="Akapitzlist"/>
        <w:numPr>
          <w:ilvl w:val="0"/>
          <w:numId w:val="43"/>
        </w:numPr>
        <w:spacing w:after="0" w:line="360" w:lineRule="auto"/>
        <w:ind w:left="284" w:hanging="284"/>
        <w:jc w:val="both"/>
        <w:rPr>
          <w:rFonts w:ascii="Arial" w:hAnsi="Arial" w:cs="Arial"/>
        </w:rPr>
      </w:pPr>
      <w:r>
        <w:rPr>
          <w:rFonts w:ascii="Arial" w:hAnsi="Arial"/>
        </w:rPr>
        <w:t xml:space="preserve">mobility barriers (purchasing an electric wheel chair, keeping the electric wheel chair in good technical condition, purchasing a state-of-the-art prosthetics of a limb, keeping the prosthetics in good condition); </w:t>
      </w:r>
    </w:p>
    <w:p w14:paraId="33204E05" w14:textId="77777777" w:rsidR="00891A83" w:rsidRPr="00891A83" w:rsidRDefault="00891A83" w:rsidP="003D345C">
      <w:pPr>
        <w:pStyle w:val="Akapitzlist"/>
        <w:numPr>
          <w:ilvl w:val="0"/>
          <w:numId w:val="43"/>
        </w:numPr>
        <w:spacing w:after="0" w:line="360" w:lineRule="auto"/>
        <w:ind w:left="284" w:hanging="284"/>
        <w:jc w:val="both"/>
        <w:rPr>
          <w:rFonts w:ascii="Arial" w:hAnsi="Arial" w:cs="Arial"/>
        </w:rPr>
      </w:pPr>
      <w:r>
        <w:rPr>
          <w:rFonts w:ascii="Arial" w:hAnsi="Arial"/>
        </w:rPr>
        <w:t xml:space="preserve">maintaining vocational activity by ensuring care to a dependant person. </w:t>
      </w:r>
    </w:p>
    <w:p w14:paraId="795DD32E" w14:textId="77777777" w:rsidR="00891A83" w:rsidRPr="00720943" w:rsidRDefault="00891A83" w:rsidP="00B52FBC">
      <w:pPr>
        <w:spacing w:after="0" w:line="360" w:lineRule="auto"/>
        <w:ind w:firstLine="709"/>
        <w:jc w:val="both"/>
        <w:rPr>
          <w:rFonts w:ascii="Arial" w:hAnsi="Arial" w:cs="Arial"/>
        </w:rPr>
      </w:pPr>
      <w:r>
        <w:rPr>
          <w:rFonts w:ascii="Arial" w:hAnsi="Arial"/>
        </w:rPr>
        <w:t>Co-financing from PFRON is only available to persons that meet the income criterion. The value of co-financing is also limited by the upper amount</w:t>
      </w:r>
      <w:r>
        <w:rPr>
          <w:rFonts w:ascii="Arial" w:hAnsi="Arial"/>
          <w:vertAlign w:val="superscript"/>
        </w:rPr>
        <w:footnoteReference w:id="195"/>
      </w:r>
      <w:r>
        <w:rPr>
          <w:rFonts w:ascii="Arial" w:hAnsi="Arial"/>
        </w:rPr>
        <w:t xml:space="preserve">. </w:t>
      </w:r>
    </w:p>
    <w:p w14:paraId="1F7B82D9" w14:textId="5E68D3A2" w:rsidR="00891A83" w:rsidRDefault="00891A83" w:rsidP="00950671">
      <w:pPr>
        <w:pStyle w:val="Akapitzlist"/>
        <w:spacing w:after="0" w:line="360" w:lineRule="auto"/>
        <w:ind w:left="0" w:firstLine="709"/>
        <w:jc w:val="both"/>
        <w:rPr>
          <w:rFonts w:ascii="Arial" w:hAnsi="Arial" w:cs="Arial"/>
        </w:rPr>
      </w:pPr>
      <w:r>
        <w:rPr>
          <w:rFonts w:ascii="Arial" w:hAnsi="Arial"/>
        </w:rPr>
        <w:t>In turn, social rehabilitation in the form of services and classes is mainly managed by NGOs. It pertains both to activity-based therapy (2/3 is handled by local organisations)</w:t>
      </w:r>
      <w:r>
        <w:rPr>
          <w:rFonts w:ascii="Arial" w:hAnsi="Arial"/>
          <w:vertAlign w:val="superscript"/>
        </w:rPr>
        <w:footnoteReference w:id="196"/>
      </w:r>
      <w:r>
        <w:rPr>
          <w:rFonts w:ascii="Arial" w:hAnsi="Arial"/>
        </w:rPr>
        <w:t xml:space="preserve"> and also probably to rehabilitation camps (no detailed data in this respect is available). However, the majority of activities in the area of permanent social rehabilitation is financed in competition mode in the form of short-term projects</w:t>
      </w:r>
      <w:r>
        <w:rPr>
          <w:rFonts w:ascii="Arial" w:hAnsi="Arial"/>
          <w:vertAlign w:val="superscript"/>
        </w:rPr>
        <w:footnoteReference w:id="197"/>
      </w:r>
      <w:r>
        <w:rPr>
          <w:rFonts w:ascii="Arial" w:hAnsi="Arial"/>
        </w:rPr>
        <w:t>, applying each year for a limited amount of public funds from various sources: next to PFRON, also from local governments, programmes co-financed from EU funds, programmes for NG</w:t>
      </w:r>
      <w:r w:rsidR="00ED2636">
        <w:rPr>
          <w:rFonts w:ascii="Arial" w:hAnsi="Arial"/>
        </w:rPr>
        <w:t>Os for different purposes (e.g. </w:t>
      </w:r>
      <w:r>
        <w:rPr>
          <w:rFonts w:ascii="Arial" w:hAnsi="Arial"/>
        </w:rPr>
        <w:t>Fund for Civic Initiatives, sport programmes or cultural programmes). In the competition organised by PFRON, the demand for new projects in 2</w:t>
      </w:r>
      <w:r w:rsidR="00ED2636">
        <w:rPr>
          <w:rFonts w:ascii="Arial" w:hAnsi="Arial"/>
        </w:rPr>
        <w:t>014 reached PLN 275 million. An </w:t>
      </w:r>
      <w:r>
        <w:rPr>
          <w:rFonts w:ascii="Arial" w:hAnsi="Arial"/>
        </w:rPr>
        <w:t>additional amount of PLN 115 million was due to multi-annual agreements concluded in previous years. The demand for financing the projects of NGOs is satisfied only partially.</w:t>
      </w:r>
    </w:p>
    <w:p w14:paraId="1A74DC93" w14:textId="77777777" w:rsidR="00891A83" w:rsidRPr="00B52FBC" w:rsidRDefault="00891A83" w:rsidP="00885F45">
      <w:pPr>
        <w:pStyle w:val="Akapitzlist"/>
        <w:numPr>
          <w:ilvl w:val="0"/>
          <w:numId w:val="44"/>
        </w:numPr>
        <w:spacing w:before="120" w:after="120" w:line="360" w:lineRule="auto"/>
        <w:ind w:left="284" w:hanging="284"/>
        <w:contextualSpacing w:val="0"/>
        <w:jc w:val="both"/>
        <w:rPr>
          <w:rFonts w:ascii="Arial" w:hAnsi="Arial" w:cs="Arial"/>
          <w:b/>
        </w:rPr>
      </w:pPr>
      <w:r>
        <w:rPr>
          <w:rFonts w:ascii="Arial" w:hAnsi="Arial"/>
          <w:b/>
        </w:rPr>
        <w:t>Rehabilitation of children and teenagers</w:t>
      </w:r>
    </w:p>
    <w:p w14:paraId="103EB26C" w14:textId="2569B2D3" w:rsidR="00891A83" w:rsidRPr="00891A83" w:rsidRDefault="00891A83" w:rsidP="00950671">
      <w:pPr>
        <w:pStyle w:val="Akapitzlist"/>
        <w:spacing w:after="0" w:line="360" w:lineRule="auto"/>
        <w:ind w:left="0" w:firstLine="709"/>
        <w:jc w:val="both"/>
        <w:rPr>
          <w:rFonts w:ascii="Arial" w:hAnsi="Arial" w:cs="Arial"/>
        </w:rPr>
      </w:pPr>
      <w:r>
        <w:rPr>
          <w:rFonts w:ascii="Arial" w:hAnsi="Arial"/>
        </w:rPr>
        <w:t xml:space="preserve">Another important source of financing for rehabilitation is the </w:t>
      </w:r>
      <w:r>
        <w:rPr>
          <w:rFonts w:ascii="Arial" w:hAnsi="Arial"/>
          <w:b/>
        </w:rPr>
        <w:t>education system</w:t>
      </w:r>
      <w:r>
        <w:rPr>
          <w:rFonts w:ascii="Arial" w:hAnsi="Arial"/>
        </w:rPr>
        <w:t xml:space="preserve">, within which children and teenagers have theoretically the ability to attend additional rehabilitation classes. The provisions on education provide for different forms of said rehabilitation. In theory, the education system also disposes of relevant funds to satisfy all rehabilitation needs of children in all teaching facilities, as the majority of the teaching </w:t>
      </w:r>
      <w:r>
        <w:rPr>
          <w:rFonts w:ascii="Arial" w:hAnsi="Arial"/>
        </w:rPr>
        <w:lastRenderedPageBreak/>
        <w:t xml:space="preserve">subsidy is calculated by an algorithm, which takes into account the number of students with disabilities and their type of disability. In 2013, the said amount was approx. PLN 4 billion, and it has  been systematically growing. </w:t>
      </w:r>
    </w:p>
    <w:p w14:paraId="504F837E" w14:textId="09382F79" w:rsidR="00891A83" w:rsidRPr="00891A83" w:rsidRDefault="00B52FBC" w:rsidP="0073465E">
      <w:pPr>
        <w:pStyle w:val="Akapitzlist"/>
        <w:spacing w:after="0" w:line="360" w:lineRule="auto"/>
        <w:ind w:left="0" w:firstLine="709"/>
        <w:jc w:val="both"/>
        <w:rPr>
          <w:rFonts w:ascii="Arial" w:hAnsi="Arial" w:cs="Arial"/>
        </w:rPr>
      </w:pPr>
      <w:r>
        <w:rPr>
          <w:rFonts w:ascii="Arial" w:hAnsi="Arial"/>
        </w:rPr>
        <w:t>However, there is no mechanism that would calculate funds for schools allocated to a particular student with disabilities. The funds calculated for a particular student with disabilities are paid in full to bodies that manage schools (municipalities and poviats), but only their small part is actually allocated to rehabilitation of students with disabilities. In line with the provisions on public finance, local governments treat the funds provided from the state budget as a whole, and use them to pay for all educational tasks, mainly remuneration of the teachers</w:t>
      </w:r>
      <w:r>
        <w:rPr>
          <w:rStyle w:val="Odwoanieprzypisudolnego"/>
          <w:rFonts w:ascii="Arial" w:hAnsi="Arial"/>
        </w:rPr>
        <w:footnoteReference w:id="198"/>
      </w:r>
      <w:r>
        <w:rPr>
          <w:rFonts w:ascii="Arial" w:hAnsi="Arial"/>
        </w:rPr>
        <w:t>. The increased spending of public funds for the purposes related to students with disabilities is not thus accompanied by a better degree of meeting their specific needs. This situation has not changed for many years</w:t>
      </w:r>
      <w:r>
        <w:rPr>
          <w:rFonts w:ascii="Arial" w:hAnsi="Arial"/>
          <w:vertAlign w:val="superscript"/>
        </w:rPr>
        <w:footnoteReference w:id="199"/>
      </w:r>
      <w:r>
        <w:rPr>
          <w:rFonts w:ascii="Arial" w:hAnsi="Arial"/>
        </w:rPr>
        <w:t xml:space="preserve">. </w:t>
      </w:r>
    </w:p>
    <w:p w14:paraId="157463B3" w14:textId="77777777" w:rsidR="00891A83" w:rsidRDefault="00891A83" w:rsidP="00950671">
      <w:pPr>
        <w:pStyle w:val="Akapitzlist"/>
        <w:spacing w:after="0" w:line="360" w:lineRule="auto"/>
        <w:ind w:left="0" w:firstLine="709"/>
        <w:jc w:val="both"/>
        <w:rPr>
          <w:rFonts w:ascii="Arial" w:hAnsi="Arial" w:cs="Arial"/>
        </w:rPr>
      </w:pPr>
      <w:r>
        <w:rPr>
          <w:rFonts w:ascii="Arial" w:hAnsi="Arial"/>
        </w:rPr>
        <w:t xml:space="preserve">Like with rehabilitation of adults, the problem with rehabilitation of children with disabilities lies in the lack of a catalogue of services and benefits for students with disabilities that could be realised at schools. </w:t>
      </w:r>
    </w:p>
    <w:p w14:paraId="7A00A236" w14:textId="77777777" w:rsidR="00891A83" w:rsidRPr="00B52FBC" w:rsidRDefault="00891A83" w:rsidP="00885F45">
      <w:pPr>
        <w:pStyle w:val="Akapitzlist"/>
        <w:numPr>
          <w:ilvl w:val="0"/>
          <w:numId w:val="44"/>
        </w:numPr>
        <w:spacing w:before="120" w:after="120" w:line="360" w:lineRule="auto"/>
        <w:ind w:left="284" w:hanging="284"/>
        <w:contextualSpacing w:val="0"/>
        <w:jc w:val="both"/>
        <w:rPr>
          <w:rFonts w:ascii="Arial" w:hAnsi="Arial" w:cs="Arial"/>
          <w:b/>
        </w:rPr>
      </w:pPr>
      <w:r>
        <w:rPr>
          <w:rFonts w:ascii="Arial" w:hAnsi="Arial"/>
          <w:b/>
        </w:rPr>
        <w:t>Residents of rural areas</w:t>
      </w:r>
    </w:p>
    <w:p w14:paraId="055BEEE7" w14:textId="3483E25C" w:rsidR="00891A83" w:rsidRDefault="00891A83" w:rsidP="00623F54">
      <w:pPr>
        <w:pStyle w:val="Akapitzlist"/>
        <w:spacing w:after="0" w:line="360" w:lineRule="auto"/>
        <w:ind w:left="0" w:firstLine="709"/>
        <w:jc w:val="both"/>
        <w:rPr>
          <w:rFonts w:ascii="Arial" w:hAnsi="Arial" w:cs="Arial"/>
        </w:rPr>
      </w:pPr>
      <w:r>
        <w:rPr>
          <w:rFonts w:ascii="Arial" w:hAnsi="Arial"/>
        </w:rPr>
        <w:t>37% of persons with disabilities live in rural areas</w:t>
      </w:r>
      <w:r>
        <w:rPr>
          <w:rStyle w:val="Odwoanieprzypisudolnego"/>
          <w:rFonts w:ascii="Arial" w:hAnsi="Arial"/>
        </w:rPr>
        <w:footnoteReference w:id="200"/>
      </w:r>
      <w:r>
        <w:rPr>
          <w:rFonts w:ascii="Arial" w:hAnsi="Arial"/>
        </w:rPr>
        <w:t>. Their share in using individual forms of support co-financed by PFRON does not vary significantly from that ratio, both in terms of numbers and amounts, yet the level of participation in rehabilitation camps as well as sport, cultural and recreation events is lower. However, due to spatial dispersion and the related lower potential for contacts and mutual support, one could expect that those two forms of support will be more available to that category of persons.</w:t>
      </w:r>
    </w:p>
    <w:p w14:paraId="32E8BC01" w14:textId="77777777" w:rsidR="00BF2DC5" w:rsidRDefault="00BF2DC5" w:rsidP="00623F54">
      <w:pPr>
        <w:pStyle w:val="Akapitzlist"/>
        <w:spacing w:after="0" w:line="360" w:lineRule="auto"/>
        <w:ind w:left="0" w:firstLine="709"/>
        <w:jc w:val="both"/>
        <w:rPr>
          <w:rFonts w:ascii="Arial" w:hAnsi="Arial" w:cs="Arial"/>
          <w:sz w:val="16"/>
          <w:szCs w:val="16"/>
        </w:rPr>
      </w:pPr>
    </w:p>
    <w:p w14:paraId="5714F4D3" w14:textId="77777777" w:rsidR="00735FB3" w:rsidRDefault="00735FB3" w:rsidP="00623F54">
      <w:pPr>
        <w:pStyle w:val="Akapitzlist"/>
        <w:spacing w:after="0" w:line="360" w:lineRule="auto"/>
        <w:ind w:left="0" w:firstLine="709"/>
        <w:jc w:val="both"/>
        <w:rPr>
          <w:rFonts w:ascii="Arial" w:hAnsi="Arial" w:cs="Arial"/>
          <w:sz w:val="16"/>
          <w:szCs w:val="16"/>
        </w:rPr>
      </w:pPr>
    </w:p>
    <w:p w14:paraId="5A01161F" w14:textId="77777777" w:rsidR="00735FB3" w:rsidRDefault="00735FB3" w:rsidP="00623F54">
      <w:pPr>
        <w:pStyle w:val="Akapitzlist"/>
        <w:spacing w:after="0" w:line="360" w:lineRule="auto"/>
        <w:ind w:left="0" w:firstLine="709"/>
        <w:jc w:val="both"/>
        <w:rPr>
          <w:rFonts w:ascii="Arial" w:hAnsi="Arial" w:cs="Arial"/>
          <w:sz w:val="16"/>
          <w:szCs w:val="16"/>
        </w:rPr>
      </w:pPr>
    </w:p>
    <w:p w14:paraId="76BA8A6F" w14:textId="77777777" w:rsidR="00735FB3" w:rsidRDefault="00735FB3" w:rsidP="00623F54">
      <w:pPr>
        <w:pStyle w:val="Akapitzlist"/>
        <w:spacing w:after="0" w:line="360" w:lineRule="auto"/>
        <w:ind w:left="0" w:firstLine="709"/>
        <w:jc w:val="both"/>
        <w:rPr>
          <w:rFonts w:ascii="Arial" w:hAnsi="Arial" w:cs="Arial"/>
          <w:sz w:val="16"/>
          <w:szCs w:val="16"/>
        </w:rPr>
      </w:pPr>
    </w:p>
    <w:p w14:paraId="6D5DC918" w14:textId="77777777" w:rsidR="00735FB3" w:rsidRDefault="00735FB3" w:rsidP="00623F54">
      <w:pPr>
        <w:pStyle w:val="Akapitzlist"/>
        <w:spacing w:after="0" w:line="360" w:lineRule="auto"/>
        <w:ind w:left="0" w:firstLine="709"/>
        <w:jc w:val="both"/>
        <w:rPr>
          <w:rFonts w:ascii="Arial" w:hAnsi="Arial" w:cs="Arial"/>
          <w:sz w:val="16"/>
          <w:szCs w:val="16"/>
        </w:rPr>
      </w:pPr>
    </w:p>
    <w:p w14:paraId="41F898D3" w14:textId="77777777" w:rsidR="00735FB3" w:rsidRDefault="00735FB3" w:rsidP="00623F54">
      <w:pPr>
        <w:pStyle w:val="Akapitzlist"/>
        <w:spacing w:after="0" w:line="360" w:lineRule="auto"/>
        <w:ind w:left="0" w:firstLine="709"/>
        <w:jc w:val="both"/>
        <w:rPr>
          <w:rFonts w:ascii="Arial" w:hAnsi="Arial" w:cs="Arial"/>
          <w:sz w:val="16"/>
          <w:szCs w:val="16"/>
        </w:rPr>
      </w:pPr>
    </w:p>
    <w:p w14:paraId="790BC146" w14:textId="77777777" w:rsidR="00735FB3" w:rsidRDefault="00735FB3" w:rsidP="00623F54">
      <w:pPr>
        <w:pStyle w:val="Akapitzlist"/>
        <w:spacing w:after="0" w:line="360" w:lineRule="auto"/>
        <w:ind w:left="0" w:firstLine="709"/>
        <w:jc w:val="both"/>
        <w:rPr>
          <w:rFonts w:ascii="Arial" w:hAnsi="Arial" w:cs="Arial"/>
          <w:sz w:val="16"/>
          <w:szCs w:val="16"/>
        </w:rPr>
      </w:pPr>
    </w:p>
    <w:p w14:paraId="5302867A" w14:textId="77777777" w:rsidR="00735FB3" w:rsidRDefault="00735FB3" w:rsidP="00623F54">
      <w:pPr>
        <w:pStyle w:val="Akapitzlist"/>
        <w:spacing w:after="0" w:line="360" w:lineRule="auto"/>
        <w:ind w:left="0" w:firstLine="709"/>
        <w:jc w:val="both"/>
        <w:rPr>
          <w:rFonts w:ascii="Arial" w:hAnsi="Arial" w:cs="Arial"/>
          <w:sz w:val="16"/>
          <w:szCs w:val="16"/>
        </w:rPr>
      </w:pPr>
    </w:p>
    <w:p w14:paraId="22EDCD50" w14:textId="77777777" w:rsidR="00735FB3" w:rsidRDefault="00735FB3" w:rsidP="00623F54">
      <w:pPr>
        <w:pStyle w:val="Akapitzlist"/>
        <w:spacing w:after="0" w:line="360" w:lineRule="auto"/>
        <w:ind w:left="0" w:firstLine="709"/>
        <w:jc w:val="both"/>
        <w:rPr>
          <w:rFonts w:ascii="Arial" w:hAnsi="Arial" w:cs="Arial"/>
          <w:sz w:val="16"/>
          <w:szCs w:val="16"/>
        </w:rPr>
      </w:pPr>
    </w:p>
    <w:p w14:paraId="17EA4B7C" w14:textId="77777777" w:rsidR="00735FB3" w:rsidRDefault="00735FB3" w:rsidP="00623F54">
      <w:pPr>
        <w:pStyle w:val="Akapitzlist"/>
        <w:spacing w:after="0" w:line="360" w:lineRule="auto"/>
        <w:ind w:left="0" w:firstLine="709"/>
        <w:jc w:val="both"/>
        <w:rPr>
          <w:rFonts w:ascii="Arial" w:hAnsi="Arial" w:cs="Arial"/>
          <w:sz w:val="16"/>
          <w:szCs w:val="16"/>
        </w:rPr>
      </w:pPr>
    </w:p>
    <w:p w14:paraId="125E8A39" w14:textId="77777777" w:rsidR="00735FB3" w:rsidRDefault="00735FB3" w:rsidP="00623F54">
      <w:pPr>
        <w:pStyle w:val="Akapitzlist"/>
        <w:spacing w:after="0" w:line="360" w:lineRule="auto"/>
        <w:ind w:left="0" w:firstLine="709"/>
        <w:jc w:val="both"/>
        <w:rPr>
          <w:rFonts w:ascii="Arial" w:hAnsi="Arial" w:cs="Arial"/>
          <w:sz w:val="16"/>
          <w:szCs w:val="16"/>
        </w:rPr>
      </w:pPr>
    </w:p>
    <w:p w14:paraId="4FE96CB2" w14:textId="77777777" w:rsidR="00735FB3" w:rsidRDefault="00735FB3" w:rsidP="00623F54">
      <w:pPr>
        <w:pStyle w:val="Akapitzlist"/>
        <w:spacing w:after="0" w:line="360" w:lineRule="auto"/>
        <w:ind w:left="0" w:firstLine="709"/>
        <w:jc w:val="both"/>
        <w:rPr>
          <w:rFonts w:ascii="Arial" w:hAnsi="Arial" w:cs="Arial"/>
          <w:sz w:val="16"/>
          <w:szCs w:val="16"/>
        </w:rPr>
      </w:pPr>
    </w:p>
    <w:p w14:paraId="48FBC726" w14:textId="77777777" w:rsidR="00735FB3" w:rsidRDefault="00735FB3" w:rsidP="00623F54">
      <w:pPr>
        <w:pStyle w:val="Akapitzlist"/>
        <w:spacing w:after="0" w:line="360" w:lineRule="auto"/>
        <w:ind w:left="0" w:firstLine="709"/>
        <w:jc w:val="both"/>
        <w:rPr>
          <w:rFonts w:ascii="Arial" w:hAnsi="Arial" w:cs="Arial"/>
          <w:sz w:val="16"/>
          <w:szCs w:val="16"/>
        </w:rPr>
      </w:pPr>
    </w:p>
    <w:p w14:paraId="7E13D883" w14:textId="77777777" w:rsidR="00735FB3" w:rsidRDefault="00735FB3" w:rsidP="00623F54">
      <w:pPr>
        <w:pStyle w:val="Akapitzlist"/>
        <w:spacing w:after="0" w:line="360" w:lineRule="auto"/>
        <w:ind w:left="0" w:firstLine="709"/>
        <w:jc w:val="both"/>
        <w:rPr>
          <w:rFonts w:ascii="Arial" w:hAnsi="Arial" w:cs="Arial"/>
          <w:sz w:val="16"/>
          <w:szCs w:val="16"/>
        </w:rPr>
      </w:pPr>
    </w:p>
    <w:p w14:paraId="25815306" w14:textId="77777777" w:rsidR="00891A83" w:rsidRDefault="00891A83" w:rsidP="00623F54">
      <w:pPr>
        <w:spacing w:after="0" w:line="360" w:lineRule="auto"/>
        <w:jc w:val="center"/>
        <w:rPr>
          <w:rFonts w:ascii="Arial" w:hAnsi="Arial" w:cs="Arial"/>
          <w:b/>
        </w:rPr>
      </w:pPr>
      <w:r>
        <w:rPr>
          <w:rFonts w:ascii="Arial" w:hAnsi="Arial"/>
          <w:b/>
        </w:rPr>
        <w:lastRenderedPageBreak/>
        <w:t>Share of residents of rural areas participating in selected forms of support</w:t>
      </w:r>
    </w:p>
    <w:tbl>
      <w:tblPr>
        <w:tblStyle w:val="redniasiatka1akcent6"/>
        <w:tblW w:w="0" w:type="auto"/>
        <w:jc w:val="center"/>
        <w:tblLook w:val="04A0" w:firstRow="1" w:lastRow="0" w:firstColumn="1" w:lastColumn="0" w:noHBand="0" w:noVBand="1"/>
      </w:tblPr>
      <w:tblGrid>
        <w:gridCol w:w="3008"/>
        <w:gridCol w:w="903"/>
        <w:gridCol w:w="1134"/>
        <w:gridCol w:w="850"/>
        <w:gridCol w:w="1134"/>
        <w:gridCol w:w="993"/>
        <w:gridCol w:w="992"/>
      </w:tblGrid>
      <w:tr w:rsidR="00891A83" w:rsidRPr="00891A83" w14:paraId="2AC215C4" w14:textId="77777777" w:rsidTr="00623F5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08" w:type="dxa"/>
            <w:vMerge w:val="restart"/>
            <w:vAlign w:val="center"/>
          </w:tcPr>
          <w:p w14:paraId="4F6F69C0" w14:textId="77777777" w:rsidR="00891A83" w:rsidRPr="00891A83" w:rsidRDefault="00891A83" w:rsidP="00623F54">
            <w:pPr>
              <w:spacing w:line="360" w:lineRule="auto"/>
              <w:jc w:val="center"/>
              <w:rPr>
                <w:rFonts w:ascii="Arial" w:hAnsi="Arial" w:cs="Arial"/>
                <w:sz w:val="16"/>
                <w:szCs w:val="16"/>
              </w:rPr>
            </w:pPr>
          </w:p>
          <w:p w14:paraId="0038DB12" w14:textId="77777777" w:rsidR="00891A83" w:rsidRPr="00891A83" w:rsidRDefault="00891A83" w:rsidP="00623F54">
            <w:pPr>
              <w:spacing w:line="360" w:lineRule="auto"/>
              <w:jc w:val="center"/>
              <w:rPr>
                <w:rFonts w:ascii="Arial" w:hAnsi="Arial" w:cs="Arial"/>
                <w:sz w:val="16"/>
                <w:szCs w:val="16"/>
              </w:rPr>
            </w:pPr>
            <w:r>
              <w:rPr>
                <w:rFonts w:ascii="Arial" w:hAnsi="Arial"/>
                <w:sz w:val="16"/>
              </w:rPr>
              <w:t>Form of support</w:t>
            </w:r>
          </w:p>
        </w:tc>
        <w:tc>
          <w:tcPr>
            <w:tcW w:w="2037" w:type="dxa"/>
            <w:gridSpan w:val="2"/>
            <w:vAlign w:val="center"/>
          </w:tcPr>
          <w:p w14:paraId="2038FFBB" w14:textId="77777777" w:rsidR="00891A83" w:rsidRPr="00891A83" w:rsidRDefault="00891A83" w:rsidP="00623F54">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Pr>
                <w:rFonts w:ascii="Arial" w:hAnsi="Arial"/>
                <w:sz w:val="16"/>
              </w:rPr>
              <w:t>TOTAL</w:t>
            </w:r>
          </w:p>
        </w:tc>
        <w:tc>
          <w:tcPr>
            <w:tcW w:w="3969" w:type="dxa"/>
            <w:gridSpan w:val="4"/>
            <w:vAlign w:val="center"/>
          </w:tcPr>
          <w:p w14:paraId="45B779A2" w14:textId="77777777" w:rsidR="00891A83" w:rsidRPr="00891A83" w:rsidRDefault="00891A83" w:rsidP="00BB4A0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Pr>
                <w:rFonts w:ascii="Arial" w:hAnsi="Arial"/>
                <w:sz w:val="16"/>
              </w:rPr>
              <w:t>RURAL AREAS</w:t>
            </w:r>
          </w:p>
        </w:tc>
      </w:tr>
      <w:tr w:rsidR="00891A83" w:rsidRPr="00891A83" w14:paraId="3DB2CCC2" w14:textId="77777777" w:rsidTr="00623F5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08" w:type="dxa"/>
            <w:vMerge/>
            <w:vAlign w:val="center"/>
          </w:tcPr>
          <w:p w14:paraId="72C9D8D7" w14:textId="77777777" w:rsidR="00891A83" w:rsidRPr="00891A83" w:rsidRDefault="00891A83" w:rsidP="00623F54">
            <w:pPr>
              <w:spacing w:line="360" w:lineRule="auto"/>
              <w:jc w:val="center"/>
              <w:rPr>
                <w:rFonts w:ascii="Arial" w:hAnsi="Arial" w:cs="Arial"/>
                <w:sz w:val="16"/>
                <w:szCs w:val="16"/>
              </w:rPr>
            </w:pPr>
          </w:p>
        </w:tc>
        <w:tc>
          <w:tcPr>
            <w:tcW w:w="903" w:type="dxa"/>
            <w:vAlign w:val="center"/>
          </w:tcPr>
          <w:p w14:paraId="4490ABBD" w14:textId="77777777" w:rsidR="00891A83" w:rsidRPr="00891A83" w:rsidRDefault="00891A83" w:rsidP="00623F5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Pr>
                <w:rFonts w:ascii="Arial" w:hAnsi="Arial"/>
                <w:sz w:val="16"/>
              </w:rPr>
              <w:t>Number of persons</w:t>
            </w:r>
          </w:p>
        </w:tc>
        <w:tc>
          <w:tcPr>
            <w:tcW w:w="1134" w:type="dxa"/>
            <w:vAlign w:val="center"/>
          </w:tcPr>
          <w:p w14:paraId="7D194068" w14:textId="77777777" w:rsidR="00891A83" w:rsidRPr="00891A83" w:rsidRDefault="00891A83" w:rsidP="00623F5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Pr>
                <w:rFonts w:ascii="Arial" w:hAnsi="Arial"/>
                <w:sz w:val="16"/>
              </w:rPr>
              <w:t>Amount in PLN</w:t>
            </w:r>
          </w:p>
        </w:tc>
        <w:tc>
          <w:tcPr>
            <w:tcW w:w="850" w:type="dxa"/>
            <w:vAlign w:val="center"/>
          </w:tcPr>
          <w:p w14:paraId="4CC8D250" w14:textId="77777777" w:rsidR="00891A83" w:rsidRPr="00891A83" w:rsidRDefault="00891A83" w:rsidP="00623F5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Pr>
                <w:rFonts w:ascii="Arial" w:hAnsi="Arial"/>
                <w:sz w:val="16"/>
              </w:rPr>
              <w:t>Number of persons</w:t>
            </w:r>
          </w:p>
        </w:tc>
        <w:tc>
          <w:tcPr>
            <w:tcW w:w="1134" w:type="dxa"/>
            <w:vAlign w:val="center"/>
          </w:tcPr>
          <w:p w14:paraId="4F391CB4" w14:textId="77777777" w:rsidR="00891A83" w:rsidRPr="00891A83" w:rsidRDefault="00891A83" w:rsidP="00623F5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Pr>
                <w:rFonts w:ascii="Arial" w:hAnsi="Arial"/>
                <w:sz w:val="16"/>
              </w:rPr>
              <w:t>Amount in PLN</w:t>
            </w:r>
          </w:p>
        </w:tc>
        <w:tc>
          <w:tcPr>
            <w:tcW w:w="993" w:type="dxa"/>
            <w:vAlign w:val="center"/>
          </w:tcPr>
          <w:p w14:paraId="5D0F16D5" w14:textId="77777777" w:rsidR="00891A83" w:rsidRPr="00891A83" w:rsidRDefault="00891A83" w:rsidP="00623F5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Pr>
                <w:rFonts w:ascii="Arial" w:hAnsi="Arial"/>
                <w:sz w:val="16"/>
              </w:rPr>
              <w:t>Share by number</w:t>
            </w:r>
          </w:p>
        </w:tc>
        <w:tc>
          <w:tcPr>
            <w:tcW w:w="992" w:type="dxa"/>
            <w:vAlign w:val="center"/>
          </w:tcPr>
          <w:p w14:paraId="26EBC35F" w14:textId="77777777" w:rsidR="00891A83" w:rsidRPr="00891A83" w:rsidRDefault="00891A83" w:rsidP="00623F5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Pr>
                <w:rFonts w:ascii="Arial" w:hAnsi="Arial"/>
                <w:sz w:val="16"/>
              </w:rPr>
              <w:t>Share by amount</w:t>
            </w:r>
          </w:p>
        </w:tc>
      </w:tr>
      <w:tr w:rsidR="00891A83" w:rsidRPr="00891A83" w14:paraId="3BB79C68" w14:textId="77777777" w:rsidTr="00623F54">
        <w:trPr>
          <w:jc w:val="center"/>
        </w:trPr>
        <w:tc>
          <w:tcPr>
            <w:cnfStyle w:val="001000000000" w:firstRow="0" w:lastRow="0" w:firstColumn="1" w:lastColumn="0" w:oddVBand="0" w:evenVBand="0" w:oddHBand="0" w:evenHBand="0" w:firstRowFirstColumn="0" w:firstRowLastColumn="0" w:lastRowFirstColumn="0" w:lastRowLastColumn="0"/>
            <w:tcW w:w="3008" w:type="dxa"/>
            <w:vAlign w:val="center"/>
          </w:tcPr>
          <w:p w14:paraId="0F65FFA1" w14:textId="77777777" w:rsidR="00891A83" w:rsidRPr="00891A83" w:rsidRDefault="00891A83" w:rsidP="00623F54">
            <w:pPr>
              <w:spacing w:line="360" w:lineRule="auto"/>
              <w:jc w:val="center"/>
              <w:rPr>
                <w:rFonts w:ascii="Arial" w:hAnsi="Arial" w:cs="Arial"/>
                <w:sz w:val="16"/>
                <w:szCs w:val="16"/>
              </w:rPr>
            </w:pPr>
            <w:r>
              <w:rPr>
                <w:rFonts w:ascii="Arial" w:hAnsi="Arial"/>
                <w:sz w:val="16"/>
              </w:rPr>
              <w:t>Rehabilitation treatment stays</w:t>
            </w:r>
          </w:p>
        </w:tc>
        <w:tc>
          <w:tcPr>
            <w:tcW w:w="903" w:type="dxa"/>
            <w:vAlign w:val="center"/>
          </w:tcPr>
          <w:p w14:paraId="570C6C19" w14:textId="77777777" w:rsidR="00891A83" w:rsidRPr="00891A83" w:rsidRDefault="00891A83" w:rsidP="00623F54">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Pr>
                <w:rFonts w:ascii="Arial" w:hAnsi="Arial"/>
                <w:sz w:val="16"/>
              </w:rPr>
              <w:t>60,282</w:t>
            </w:r>
          </w:p>
        </w:tc>
        <w:tc>
          <w:tcPr>
            <w:tcW w:w="1134" w:type="dxa"/>
            <w:vAlign w:val="center"/>
          </w:tcPr>
          <w:p w14:paraId="129BE628" w14:textId="77777777" w:rsidR="00891A83" w:rsidRPr="00891A83" w:rsidRDefault="00891A83" w:rsidP="00623F54">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Pr>
                <w:rFonts w:ascii="Arial" w:hAnsi="Arial"/>
                <w:sz w:val="16"/>
              </w:rPr>
              <w:t>48,574,810</w:t>
            </w:r>
          </w:p>
        </w:tc>
        <w:tc>
          <w:tcPr>
            <w:tcW w:w="850" w:type="dxa"/>
            <w:vAlign w:val="center"/>
          </w:tcPr>
          <w:p w14:paraId="01D955AA" w14:textId="77777777" w:rsidR="00891A83" w:rsidRPr="00891A83" w:rsidRDefault="00891A83" w:rsidP="00623F54">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Pr>
                <w:rFonts w:ascii="Arial" w:hAnsi="Arial"/>
                <w:sz w:val="16"/>
              </w:rPr>
              <w:t>14,498</w:t>
            </w:r>
          </w:p>
        </w:tc>
        <w:tc>
          <w:tcPr>
            <w:tcW w:w="1134" w:type="dxa"/>
            <w:vAlign w:val="center"/>
          </w:tcPr>
          <w:p w14:paraId="09B81907" w14:textId="77777777" w:rsidR="00891A83" w:rsidRPr="00891A83" w:rsidRDefault="00891A83" w:rsidP="00623F54">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Pr>
                <w:rFonts w:ascii="Arial" w:hAnsi="Arial"/>
                <w:sz w:val="16"/>
              </w:rPr>
              <w:t>12,865,387</w:t>
            </w:r>
          </w:p>
        </w:tc>
        <w:tc>
          <w:tcPr>
            <w:tcW w:w="993" w:type="dxa"/>
            <w:vAlign w:val="center"/>
          </w:tcPr>
          <w:p w14:paraId="76A4D2D8" w14:textId="77777777" w:rsidR="00891A83" w:rsidRPr="00891A83" w:rsidRDefault="00891A83" w:rsidP="00623F54">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Pr>
                <w:rFonts w:ascii="Arial" w:hAnsi="Arial"/>
                <w:sz w:val="16"/>
              </w:rPr>
              <w:t>24%</w:t>
            </w:r>
          </w:p>
        </w:tc>
        <w:tc>
          <w:tcPr>
            <w:tcW w:w="992" w:type="dxa"/>
            <w:vAlign w:val="center"/>
          </w:tcPr>
          <w:p w14:paraId="2C39AD3C" w14:textId="77777777" w:rsidR="00891A83" w:rsidRPr="00891A83" w:rsidRDefault="00891A83" w:rsidP="00623F54">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Pr>
                <w:rFonts w:ascii="Arial" w:hAnsi="Arial"/>
                <w:sz w:val="16"/>
              </w:rPr>
              <w:t>26%</w:t>
            </w:r>
          </w:p>
        </w:tc>
      </w:tr>
      <w:tr w:rsidR="00891A83" w:rsidRPr="00891A83" w14:paraId="542D5E6F" w14:textId="77777777" w:rsidTr="00623F5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08" w:type="dxa"/>
            <w:vAlign w:val="center"/>
          </w:tcPr>
          <w:p w14:paraId="0DF811CF" w14:textId="77777777" w:rsidR="00891A83" w:rsidRPr="00891A83" w:rsidRDefault="00891A83" w:rsidP="00623F54">
            <w:pPr>
              <w:spacing w:line="360" w:lineRule="auto"/>
              <w:jc w:val="center"/>
              <w:rPr>
                <w:rFonts w:ascii="Arial" w:hAnsi="Arial" w:cs="Arial"/>
                <w:sz w:val="16"/>
                <w:szCs w:val="16"/>
              </w:rPr>
            </w:pPr>
            <w:r>
              <w:rPr>
                <w:rFonts w:ascii="Arial" w:hAnsi="Arial"/>
                <w:sz w:val="16"/>
              </w:rPr>
              <w:t>Sport, cultural and recreation events</w:t>
            </w:r>
          </w:p>
        </w:tc>
        <w:tc>
          <w:tcPr>
            <w:tcW w:w="903" w:type="dxa"/>
            <w:vAlign w:val="center"/>
          </w:tcPr>
          <w:p w14:paraId="00CFE561" w14:textId="77777777" w:rsidR="00891A83" w:rsidRPr="00891A83" w:rsidRDefault="00891A83" w:rsidP="00623F5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Pr>
                <w:rFonts w:ascii="Arial" w:hAnsi="Arial"/>
                <w:sz w:val="16"/>
              </w:rPr>
              <w:t>190,357</w:t>
            </w:r>
          </w:p>
        </w:tc>
        <w:tc>
          <w:tcPr>
            <w:tcW w:w="1134" w:type="dxa"/>
            <w:vAlign w:val="center"/>
          </w:tcPr>
          <w:p w14:paraId="429F7009" w14:textId="77777777" w:rsidR="00891A83" w:rsidRPr="00891A83" w:rsidRDefault="00891A83" w:rsidP="00623F5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Pr>
                <w:rFonts w:ascii="Arial" w:hAnsi="Arial"/>
                <w:sz w:val="16"/>
              </w:rPr>
              <w:t>8,371 248</w:t>
            </w:r>
          </w:p>
        </w:tc>
        <w:tc>
          <w:tcPr>
            <w:tcW w:w="850" w:type="dxa"/>
            <w:vAlign w:val="center"/>
          </w:tcPr>
          <w:p w14:paraId="7999F324" w14:textId="77777777" w:rsidR="00891A83" w:rsidRPr="00891A83" w:rsidRDefault="00891A83" w:rsidP="00623F5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Pr>
                <w:rFonts w:ascii="Arial" w:hAnsi="Arial"/>
                <w:sz w:val="16"/>
              </w:rPr>
              <w:t>50,649</w:t>
            </w:r>
          </w:p>
        </w:tc>
        <w:tc>
          <w:tcPr>
            <w:tcW w:w="1134" w:type="dxa"/>
            <w:vAlign w:val="center"/>
          </w:tcPr>
          <w:p w14:paraId="2211AAA2" w14:textId="77777777" w:rsidR="00891A83" w:rsidRPr="00891A83" w:rsidRDefault="00891A83" w:rsidP="00623F5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Pr>
                <w:rFonts w:ascii="Arial" w:hAnsi="Arial"/>
                <w:sz w:val="16"/>
              </w:rPr>
              <w:t>2,252,720</w:t>
            </w:r>
          </w:p>
        </w:tc>
        <w:tc>
          <w:tcPr>
            <w:tcW w:w="993" w:type="dxa"/>
            <w:vAlign w:val="center"/>
          </w:tcPr>
          <w:p w14:paraId="1ACBDAC0" w14:textId="77777777" w:rsidR="00891A83" w:rsidRPr="00891A83" w:rsidRDefault="00891A83" w:rsidP="00623F5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Pr>
                <w:rFonts w:ascii="Arial" w:hAnsi="Arial"/>
                <w:sz w:val="16"/>
              </w:rPr>
              <w:t>27%</w:t>
            </w:r>
          </w:p>
        </w:tc>
        <w:tc>
          <w:tcPr>
            <w:tcW w:w="992" w:type="dxa"/>
            <w:vAlign w:val="center"/>
          </w:tcPr>
          <w:p w14:paraId="1993BFAF" w14:textId="77777777" w:rsidR="00891A83" w:rsidRPr="00891A83" w:rsidRDefault="00891A83" w:rsidP="00623F5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Pr>
                <w:rFonts w:ascii="Arial" w:hAnsi="Arial"/>
                <w:sz w:val="16"/>
              </w:rPr>
              <w:t>27%</w:t>
            </w:r>
          </w:p>
        </w:tc>
      </w:tr>
      <w:tr w:rsidR="00891A83" w:rsidRPr="00891A83" w14:paraId="0FACC7B2" w14:textId="77777777" w:rsidTr="00623F54">
        <w:trPr>
          <w:jc w:val="center"/>
        </w:trPr>
        <w:tc>
          <w:tcPr>
            <w:cnfStyle w:val="001000000000" w:firstRow="0" w:lastRow="0" w:firstColumn="1" w:lastColumn="0" w:oddVBand="0" w:evenVBand="0" w:oddHBand="0" w:evenHBand="0" w:firstRowFirstColumn="0" w:firstRowLastColumn="0" w:lastRowFirstColumn="0" w:lastRowLastColumn="0"/>
            <w:tcW w:w="3008" w:type="dxa"/>
            <w:vAlign w:val="center"/>
          </w:tcPr>
          <w:p w14:paraId="6B8CBB90" w14:textId="77777777" w:rsidR="00891A83" w:rsidRPr="00891A83" w:rsidRDefault="00891A83" w:rsidP="00623F54">
            <w:pPr>
              <w:spacing w:line="360" w:lineRule="auto"/>
              <w:jc w:val="center"/>
              <w:rPr>
                <w:rFonts w:ascii="Arial" w:hAnsi="Arial" w:cs="Arial"/>
                <w:sz w:val="16"/>
                <w:szCs w:val="16"/>
              </w:rPr>
            </w:pPr>
            <w:r>
              <w:rPr>
                <w:rFonts w:ascii="Arial" w:hAnsi="Arial"/>
                <w:sz w:val="16"/>
              </w:rPr>
              <w:t>Rehabilitation equipment, orthopaedic articles and augmentation means</w:t>
            </w:r>
          </w:p>
        </w:tc>
        <w:tc>
          <w:tcPr>
            <w:tcW w:w="903" w:type="dxa"/>
            <w:vAlign w:val="center"/>
          </w:tcPr>
          <w:p w14:paraId="11046B17" w14:textId="77777777" w:rsidR="00891A83" w:rsidRPr="00891A83" w:rsidRDefault="00891A83" w:rsidP="00623F54">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Pr>
                <w:rFonts w:ascii="Arial" w:hAnsi="Arial"/>
                <w:sz w:val="16"/>
              </w:rPr>
              <w:t>178,375</w:t>
            </w:r>
          </w:p>
        </w:tc>
        <w:tc>
          <w:tcPr>
            <w:tcW w:w="1134" w:type="dxa"/>
            <w:vAlign w:val="center"/>
          </w:tcPr>
          <w:p w14:paraId="718D1ADC" w14:textId="77777777" w:rsidR="00891A83" w:rsidRPr="00891A83" w:rsidRDefault="00891A83" w:rsidP="00623F54">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Pr>
                <w:rFonts w:ascii="Arial" w:hAnsi="Arial"/>
                <w:sz w:val="16"/>
              </w:rPr>
              <w:t>109,931 166</w:t>
            </w:r>
          </w:p>
        </w:tc>
        <w:tc>
          <w:tcPr>
            <w:tcW w:w="850" w:type="dxa"/>
            <w:vAlign w:val="center"/>
          </w:tcPr>
          <w:p w14:paraId="4D4C4B07" w14:textId="77777777" w:rsidR="00891A83" w:rsidRPr="00891A83" w:rsidRDefault="00891A83" w:rsidP="00623F54">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Pr>
                <w:rFonts w:ascii="Arial" w:hAnsi="Arial"/>
                <w:sz w:val="16"/>
              </w:rPr>
              <w:t>70,184</w:t>
            </w:r>
          </w:p>
        </w:tc>
        <w:tc>
          <w:tcPr>
            <w:tcW w:w="1134" w:type="dxa"/>
            <w:vAlign w:val="center"/>
          </w:tcPr>
          <w:p w14:paraId="02E734F9" w14:textId="77777777" w:rsidR="00891A83" w:rsidRPr="00891A83" w:rsidRDefault="00891A83" w:rsidP="00623F54">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Pr>
                <w:rFonts w:ascii="Arial" w:hAnsi="Arial"/>
                <w:sz w:val="16"/>
              </w:rPr>
              <w:t>42,339,882</w:t>
            </w:r>
          </w:p>
        </w:tc>
        <w:tc>
          <w:tcPr>
            <w:tcW w:w="993" w:type="dxa"/>
            <w:vAlign w:val="center"/>
          </w:tcPr>
          <w:p w14:paraId="7AE7D75F" w14:textId="77777777" w:rsidR="00891A83" w:rsidRPr="00891A83" w:rsidRDefault="00891A83" w:rsidP="00623F54">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Pr>
                <w:rFonts w:ascii="Arial" w:hAnsi="Arial"/>
                <w:sz w:val="16"/>
              </w:rPr>
              <w:t>39%</w:t>
            </w:r>
          </w:p>
        </w:tc>
        <w:tc>
          <w:tcPr>
            <w:tcW w:w="992" w:type="dxa"/>
            <w:vAlign w:val="center"/>
          </w:tcPr>
          <w:p w14:paraId="2B3E4A15" w14:textId="77777777" w:rsidR="00891A83" w:rsidRPr="00891A83" w:rsidRDefault="00891A83" w:rsidP="00623F54">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Pr>
                <w:rFonts w:ascii="Arial" w:hAnsi="Arial"/>
                <w:sz w:val="16"/>
              </w:rPr>
              <w:t>39%</w:t>
            </w:r>
          </w:p>
        </w:tc>
      </w:tr>
      <w:tr w:rsidR="00891A83" w:rsidRPr="00891A83" w14:paraId="1E4B4959" w14:textId="77777777" w:rsidTr="00623F5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08" w:type="dxa"/>
            <w:vAlign w:val="center"/>
          </w:tcPr>
          <w:p w14:paraId="7275B6C0" w14:textId="77777777" w:rsidR="00891A83" w:rsidRPr="00891A83" w:rsidRDefault="00891A83" w:rsidP="00623F54">
            <w:pPr>
              <w:spacing w:line="360" w:lineRule="auto"/>
              <w:jc w:val="center"/>
              <w:rPr>
                <w:rFonts w:ascii="Arial" w:hAnsi="Arial" w:cs="Arial"/>
                <w:sz w:val="16"/>
                <w:szCs w:val="16"/>
              </w:rPr>
            </w:pPr>
            <w:r>
              <w:rPr>
                <w:rFonts w:ascii="Arial" w:hAnsi="Arial"/>
                <w:sz w:val="16"/>
              </w:rPr>
              <w:t>Architectural barriers, barriers in communication, technical barriers</w:t>
            </w:r>
          </w:p>
        </w:tc>
        <w:tc>
          <w:tcPr>
            <w:tcW w:w="903" w:type="dxa"/>
            <w:vAlign w:val="center"/>
          </w:tcPr>
          <w:p w14:paraId="28F0E1B5" w14:textId="77777777" w:rsidR="00891A83" w:rsidRPr="00891A83" w:rsidRDefault="00891A83" w:rsidP="00623F5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Pr>
                <w:rFonts w:ascii="Arial" w:hAnsi="Arial"/>
                <w:sz w:val="16"/>
              </w:rPr>
              <w:t>14,579</w:t>
            </w:r>
          </w:p>
        </w:tc>
        <w:tc>
          <w:tcPr>
            <w:tcW w:w="1134" w:type="dxa"/>
            <w:vAlign w:val="center"/>
          </w:tcPr>
          <w:p w14:paraId="3C0F9D45" w14:textId="77777777" w:rsidR="00891A83" w:rsidRPr="00891A83" w:rsidRDefault="00891A83" w:rsidP="00623F5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Pr>
                <w:rFonts w:ascii="Arial" w:hAnsi="Arial"/>
                <w:sz w:val="16"/>
              </w:rPr>
              <w:t>51,185,333</w:t>
            </w:r>
          </w:p>
        </w:tc>
        <w:tc>
          <w:tcPr>
            <w:tcW w:w="850" w:type="dxa"/>
            <w:vAlign w:val="center"/>
          </w:tcPr>
          <w:p w14:paraId="3E11229A" w14:textId="77777777" w:rsidR="00891A83" w:rsidRPr="00891A83" w:rsidRDefault="00891A83" w:rsidP="00623F5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Pr>
                <w:rFonts w:ascii="Arial" w:hAnsi="Arial"/>
                <w:sz w:val="16"/>
              </w:rPr>
              <w:t>5,071</w:t>
            </w:r>
          </w:p>
        </w:tc>
        <w:tc>
          <w:tcPr>
            <w:tcW w:w="1134" w:type="dxa"/>
            <w:vAlign w:val="center"/>
          </w:tcPr>
          <w:p w14:paraId="3269532D" w14:textId="77777777" w:rsidR="00891A83" w:rsidRPr="00891A83" w:rsidRDefault="00891A83" w:rsidP="00623F5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Pr>
                <w:rFonts w:ascii="Arial" w:hAnsi="Arial"/>
                <w:sz w:val="16"/>
              </w:rPr>
              <w:t>17,309,340</w:t>
            </w:r>
          </w:p>
        </w:tc>
        <w:tc>
          <w:tcPr>
            <w:tcW w:w="993" w:type="dxa"/>
            <w:vAlign w:val="center"/>
          </w:tcPr>
          <w:p w14:paraId="0DA8A80A" w14:textId="77777777" w:rsidR="00891A83" w:rsidRPr="00891A83" w:rsidRDefault="00891A83" w:rsidP="00623F5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Pr>
                <w:rFonts w:ascii="Arial" w:hAnsi="Arial"/>
                <w:sz w:val="16"/>
              </w:rPr>
              <w:t>35%</w:t>
            </w:r>
          </w:p>
        </w:tc>
        <w:tc>
          <w:tcPr>
            <w:tcW w:w="992" w:type="dxa"/>
            <w:vAlign w:val="center"/>
          </w:tcPr>
          <w:p w14:paraId="1A432E13" w14:textId="77777777" w:rsidR="00891A83" w:rsidRPr="00891A83" w:rsidRDefault="00891A83" w:rsidP="00623F5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Pr>
                <w:rFonts w:ascii="Arial" w:hAnsi="Arial"/>
                <w:sz w:val="16"/>
              </w:rPr>
              <w:t>34%</w:t>
            </w:r>
          </w:p>
        </w:tc>
      </w:tr>
    </w:tbl>
    <w:p w14:paraId="4949A8E2" w14:textId="77777777" w:rsidR="00891A83" w:rsidRPr="00891A83" w:rsidRDefault="00891A83" w:rsidP="00950671">
      <w:pPr>
        <w:pStyle w:val="Akapitzlist"/>
        <w:spacing w:after="0" w:line="360" w:lineRule="auto"/>
        <w:ind w:left="0" w:firstLine="709"/>
        <w:jc w:val="both"/>
        <w:rPr>
          <w:rFonts w:ascii="Arial" w:hAnsi="Arial" w:cs="Arial"/>
          <w:sz w:val="16"/>
          <w:szCs w:val="16"/>
        </w:rPr>
      </w:pPr>
    </w:p>
    <w:p w14:paraId="29E0BFDE" w14:textId="77777777" w:rsidR="00891A83" w:rsidRDefault="00891A83" w:rsidP="00950671">
      <w:pPr>
        <w:pStyle w:val="Akapitzlist"/>
        <w:spacing w:after="0" w:line="360" w:lineRule="auto"/>
        <w:ind w:left="0"/>
        <w:jc w:val="center"/>
        <w:rPr>
          <w:rFonts w:ascii="Arial" w:hAnsi="Arial" w:cs="Arial"/>
          <w:i/>
          <w:sz w:val="16"/>
          <w:szCs w:val="16"/>
        </w:rPr>
      </w:pPr>
      <w:r>
        <w:rPr>
          <w:rFonts w:ascii="Arial" w:hAnsi="Arial"/>
          <w:i/>
          <w:sz w:val="16"/>
        </w:rPr>
        <w:t xml:space="preserve">Source: Report on the realisation of the substantive-financial plan of </w:t>
      </w:r>
    </w:p>
    <w:p w14:paraId="2E2D725A" w14:textId="77777777" w:rsidR="00891A83" w:rsidRPr="00891A83" w:rsidRDefault="00891A83" w:rsidP="00950671">
      <w:pPr>
        <w:pStyle w:val="Akapitzlist"/>
        <w:spacing w:after="0" w:line="360" w:lineRule="auto"/>
        <w:ind w:left="0"/>
        <w:jc w:val="center"/>
        <w:rPr>
          <w:rFonts w:ascii="Arial" w:hAnsi="Arial" w:cs="Arial"/>
          <w:i/>
          <w:sz w:val="16"/>
          <w:szCs w:val="16"/>
        </w:rPr>
      </w:pPr>
      <w:r>
        <w:rPr>
          <w:rFonts w:ascii="Arial" w:hAnsi="Arial"/>
          <w:i/>
          <w:sz w:val="16"/>
        </w:rPr>
        <w:t>the State fund for Rehabilitation of Disabled Persons in 2013.</w:t>
      </w:r>
    </w:p>
    <w:p w14:paraId="39DBF31B" w14:textId="77777777" w:rsidR="00891A83" w:rsidRPr="00B52FBC" w:rsidRDefault="00891A83" w:rsidP="00885F45">
      <w:pPr>
        <w:pStyle w:val="Akapitzlist"/>
        <w:numPr>
          <w:ilvl w:val="0"/>
          <w:numId w:val="44"/>
        </w:numPr>
        <w:spacing w:before="120" w:after="120" w:line="360" w:lineRule="auto"/>
        <w:ind w:left="284" w:hanging="284"/>
        <w:contextualSpacing w:val="0"/>
        <w:jc w:val="both"/>
        <w:rPr>
          <w:rFonts w:ascii="Arial" w:hAnsi="Arial" w:cs="Arial"/>
          <w:b/>
        </w:rPr>
      </w:pPr>
      <w:r>
        <w:rPr>
          <w:rFonts w:ascii="Arial" w:hAnsi="Arial"/>
          <w:b/>
        </w:rPr>
        <w:t>Social services</w:t>
      </w:r>
    </w:p>
    <w:p w14:paraId="768BD147" w14:textId="2A5ABC81" w:rsidR="00ED2636" w:rsidRDefault="00891A83" w:rsidP="00ED2636">
      <w:pPr>
        <w:pStyle w:val="Akapitzlist"/>
        <w:spacing w:after="0" w:line="360" w:lineRule="auto"/>
        <w:ind w:left="0" w:firstLine="709"/>
        <w:jc w:val="both"/>
        <w:rPr>
          <w:rFonts w:ascii="Arial" w:hAnsi="Arial"/>
        </w:rPr>
      </w:pPr>
      <w:r>
        <w:rPr>
          <w:rFonts w:ascii="Arial" w:hAnsi="Arial"/>
        </w:rPr>
        <w:t>An archaic model of comprehensive institutional care still dominates in Poland, instead of promoting services rendered at the place of residence. It is visible through the continued increase of the number of nursing homes and the number of their residents, and the accompanying decrease in the number of persons using the services of day care centres and insufficient supply of care services provided within the community</w:t>
      </w:r>
      <w:r>
        <w:rPr>
          <w:rStyle w:val="Odwoanieprzypisudolnego"/>
          <w:rFonts w:ascii="Arial" w:hAnsi="Arial"/>
        </w:rPr>
        <w:footnoteReference w:id="201"/>
      </w:r>
      <w:r>
        <w:rPr>
          <w:rFonts w:ascii="Arial" w:hAnsi="Arial"/>
        </w:rPr>
        <w:t xml:space="preserve">. </w:t>
      </w:r>
    </w:p>
    <w:p w14:paraId="27D9D6A1" w14:textId="77777777" w:rsidR="00891A83" w:rsidRPr="00B52FBC" w:rsidRDefault="00891A83" w:rsidP="00477195">
      <w:pPr>
        <w:pStyle w:val="Akapitzlist"/>
        <w:numPr>
          <w:ilvl w:val="0"/>
          <w:numId w:val="44"/>
        </w:numPr>
        <w:spacing w:before="120" w:after="120" w:line="360" w:lineRule="auto"/>
        <w:ind w:left="284" w:hanging="284"/>
        <w:contextualSpacing w:val="0"/>
        <w:jc w:val="both"/>
        <w:rPr>
          <w:rFonts w:ascii="Arial" w:hAnsi="Arial" w:cs="Arial"/>
          <w:b/>
        </w:rPr>
      </w:pPr>
      <w:r>
        <w:rPr>
          <w:rFonts w:ascii="Arial" w:hAnsi="Arial"/>
          <w:b/>
        </w:rPr>
        <w:t>Rehabilitation in care centres</w:t>
      </w:r>
    </w:p>
    <w:p w14:paraId="6B0B9E40" w14:textId="218A47E3" w:rsidR="00891A83" w:rsidRPr="00891A83" w:rsidRDefault="00891A83" w:rsidP="00950671">
      <w:pPr>
        <w:pStyle w:val="Akapitzlist"/>
        <w:spacing w:after="0" w:line="360" w:lineRule="auto"/>
        <w:ind w:left="0" w:firstLine="709"/>
        <w:jc w:val="both"/>
        <w:rPr>
          <w:rFonts w:ascii="Arial" w:hAnsi="Arial" w:cs="Arial"/>
        </w:rPr>
      </w:pPr>
      <w:r>
        <w:rPr>
          <w:rFonts w:ascii="Arial" w:hAnsi="Arial"/>
        </w:rPr>
        <w:t>Even though the provisions on all-day nursing homes do not directly mention rehabilitation, nursing homes are obliged by the statute to provide supporting services</w:t>
      </w:r>
      <w:r>
        <w:rPr>
          <w:rFonts w:ascii="Arial" w:hAnsi="Arial"/>
          <w:vertAlign w:val="superscript"/>
        </w:rPr>
        <w:footnoteReference w:id="202"/>
      </w:r>
      <w:r>
        <w:rPr>
          <w:rFonts w:ascii="Arial" w:hAnsi="Arial"/>
        </w:rPr>
        <w:t>. In line with the resolution on nursing homes</w:t>
      </w:r>
      <w:r>
        <w:rPr>
          <w:rStyle w:val="Odwoanieprzypisudolnego"/>
          <w:rFonts w:ascii="Arial" w:hAnsi="Arial"/>
        </w:rPr>
        <w:footnoteReference w:id="203"/>
      </w:r>
      <w:r>
        <w:rPr>
          <w:rFonts w:ascii="Arial" w:hAnsi="Arial"/>
        </w:rPr>
        <w:t>, these services consist in: ensuring the possibility to attend activity-based therapy, improve mobility and activate residents of the nursing home, ensuring the possibility to meet the religious and cultural needs of the residents, ensuring the conditions for developing self-management of the nursing home residents, stimulating and helping in maintaining and developing contacts with family and the local community, undertaking actions intended to help in undertaking employment, in particular employment that is of therapeutic value, ensuring safe storage to money and valuables, financing to a resident without own income the expenses for necessary personal articles, ensuring that the rights of the nursing home residents are respected, ensuring access to the information about those rights, effective submission and consideration of complaints filed by nursing home residents.</w:t>
      </w:r>
    </w:p>
    <w:p w14:paraId="37C2ED32" w14:textId="283B0C42" w:rsidR="00891A83" w:rsidRPr="00891A83" w:rsidRDefault="0041358F" w:rsidP="00950671">
      <w:pPr>
        <w:pStyle w:val="Akapitzlist"/>
        <w:spacing w:after="0" w:line="360" w:lineRule="auto"/>
        <w:ind w:left="0" w:firstLine="709"/>
        <w:jc w:val="both"/>
        <w:rPr>
          <w:rFonts w:ascii="Arial" w:hAnsi="Arial" w:cs="Arial"/>
        </w:rPr>
      </w:pPr>
      <w:r>
        <w:rPr>
          <w:rFonts w:ascii="Arial" w:hAnsi="Arial"/>
        </w:rPr>
        <w:lastRenderedPageBreak/>
        <w:t>The quoted resolution also provides, in the area related to care and auxiliary services, that the residents should be provided with: social work, activity-based therapy, ability to use a library and access to daily newspapers, ability to learn about the legal regulations on nursing homes, organisation of holidays and celebrations, attending cultural and tourist events, contact with a priest and attending religious services, contacts with the nursing home’s director, organising a funeral.</w:t>
      </w:r>
    </w:p>
    <w:p w14:paraId="4C125907" w14:textId="4CB30330" w:rsidR="00891A83" w:rsidRDefault="00891A83" w:rsidP="00950671">
      <w:pPr>
        <w:pStyle w:val="Akapitzlist"/>
        <w:spacing w:after="0" w:line="360" w:lineRule="auto"/>
        <w:ind w:left="0" w:firstLine="709"/>
        <w:jc w:val="both"/>
        <w:rPr>
          <w:rFonts w:ascii="Arial" w:hAnsi="Arial" w:cs="Arial"/>
        </w:rPr>
      </w:pPr>
      <w:r>
        <w:rPr>
          <w:rFonts w:ascii="Arial" w:hAnsi="Arial"/>
        </w:rPr>
        <w:t xml:space="preserve">In turn, family care homes (there are few such homes), ensure only residential and care services, like commercial care services, which are more numerous. As regards sheltered residences, there is a mention of </w:t>
      </w:r>
      <w:r>
        <w:rPr>
          <w:rFonts w:ascii="Arial" w:hAnsi="Arial"/>
          <w:i/>
        </w:rPr>
        <w:t>forms of support in the day-to-day functioning</w:t>
      </w:r>
      <w:r>
        <w:rPr>
          <w:rFonts w:ascii="Arial" w:hAnsi="Arial"/>
        </w:rPr>
        <w:t>. These forms of support are provided for in the resolution on sheltered residences</w:t>
      </w:r>
      <w:r>
        <w:rPr>
          <w:rFonts w:ascii="Arial" w:hAnsi="Arial"/>
          <w:vertAlign w:val="superscript"/>
        </w:rPr>
        <w:footnoteReference w:id="204"/>
      </w:r>
      <w:r>
        <w:rPr>
          <w:rFonts w:ascii="Arial" w:hAnsi="Arial"/>
        </w:rPr>
        <w:t xml:space="preserve"> and include: social work, specialist counselling, learning or maintaining the current mobility level in terms of self-service, independent living, development of social contacts and fulfilling social roles, assistance in moving around, performing day-to-day activities, realising social contacts, free time management, including using services available in the local community, applying for a flat.</w:t>
      </w:r>
    </w:p>
    <w:p w14:paraId="2A77A6A6" w14:textId="77777777" w:rsidR="00891A83" w:rsidRPr="00703104" w:rsidRDefault="00891A83" w:rsidP="00477195">
      <w:pPr>
        <w:pStyle w:val="Akapitzlist"/>
        <w:numPr>
          <w:ilvl w:val="0"/>
          <w:numId w:val="44"/>
        </w:numPr>
        <w:spacing w:before="120" w:after="120" w:line="360" w:lineRule="auto"/>
        <w:ind w:left="284" w:hanging="284"/>
        <w:contextualSpacing w:val="0"/>
        <w:jc w:val="both"/>
        <w:rPr>
          <w:rFonts w:ascii="Arial" w:hAnsi="Arial" w:cs="Arial"/>
          <w:b/>
        </w:rPr>
      </w:pPr>
      <w:r>
        <w:rPr>
          <w:rFonts w:ascii="Arial" w:hAnsi="Arial"/>
          <w:b/>
        </w:rPr>
        <w:t>Mental disability</w:t>
      </w:r>
    </w:p>
    <w:p w14:paraId="4B40F7CF" w14:textId="3179374D" w:rsidR="00891A83" w:rsidRPr="00891A83" w:rsidRDefault="00891A83" w:rsidP="00950671">
      <w:pPr>
        <w:pStyle w:val="Akapitzlist"/>
        <w:spacing w:after="0" w:line="360" w:lineRule="auto"/>
        <w:ind w:left="0" w:firstLine="709"/>
        <w:jc w:val="both"/>
        <w:rPr>
          <w:rFonts w:ascii="Arial" w:hAnsi="Arial" w:cs="Arial"/>
        </w:rPr>
      </w:pPr>
      <w:r>
        <w:rPr>
          <w:rFonts w:ascii="Arial" w:hAnsi="Arial"/>
        </w:rPr>
        <w:t>As regards access to rehabilitation, the situation of persons with mental disabilities is particularly difficult. Poland still has not managed to implement a community psychiatric model, which could reduce the frequency and length of the strongly stigmatising hospital stays.</w:t>
      </w:r>
    </w:p>
    <w:p w14:paraId="166FA14F" w14:textId="77777777" w:rsidR="00891A83" w:rsidRPr="00891A83" w:rsidRDefault="00891A83" w:rsidP="00950671">
      <w:pPr>
        <w:pStyle w:val="Akapitzlist"/>
        <w:spacing w:after="0" w:line="360" w:lineRule="auto"/>
        <w:ind w:left="0" w:firstLine="709"/>
        <w:jc w:val="both"/>
        <w:rPr>
          <w:rFonts w:ascii="Arial" w:hAnsi="Arial" w:cs="Arial"/>
        </w:rPr>
      </w:pPr>
      <w:r>
        <w:rPr>
          <w:rFonts w:ascii="Arial" w:hAnsi="Arial"/>
        </w:rPr>
        <w:t>Residents of nursing homes for mentally ill constitute the largest group out of all categories of residents (21.8 thousand people). There are more of them than elderly residents (19.7 thousand) or residents with somatic illnesses (20.2 thousand)</w:t>
      </w:r>
      <w:r>
        <w:rPr>
          <w:rStyle w:val="Odwoanieprzypisudolnego"/>
          <w:rFonts w:ascii="Arial" w:hAnsi="Arial"/>
        </w:rPr>
        <w:footnoteReference w:id="205"/>
      </w:r>
      <w:r>
        <w:rPr>
          <w:rFonts w:ascii="Arial" w:hAnsi="Arial"/>
        </w:rPr>
        <w:t xml:space="preserve">. The number of such homes is smaller than homes for other categories of residents, which also means that such nursing homes are also the most densely populated – the typical number of residents exceeds 100 persons. The number of persons with mental disabilities covered by all-day institutional care seems to be growing. </w:t>
      </w:r>
    </w:p>
    <w:p w14:paraId="538C16C2" w14:textId="7FC442DA" w:rsidR="00891A83" w:rsidRPr="00891A83" w:rsidRDefault="00891A83" w:rsidP="00950671">
      <w:pPr>
        <w:pStyle w:val="Akapitzlist"/>
        <w:spacing w:after="0" w:line="360" w:lineRule="auto"/>
        <w:ind w:left="0" w:firstLine="709"/>
        <w:jc w:val="both"/>
        <w:rPr>
          <w:rFonts w:ascii="Arial" w:hAnsi="Arial" w:cs="Arial"/>
        </w:rPr>
      </w:pPr>
      <w:r>
        <w:rPr>
          <w:rFonts w:ascii="Arial" w:hAnsi="Arial"/>
        </w:rPr>
        <w:t>In practice, persons with mental disabilities do not receive support in the communities they reside in, even though the Act on mental health protection provides for additional forms of community healthcare: daytime psychiatric wards, ho</w:t>
      </w:r>
      <w:r w:rsidR="000B267B">
        <w:rPr>
          <w:rFonts w:ascii="Arial" w:hAnsi="Arial"/>
        </w:rPr>
        <w:t>stels, community care teams. In </w:t>
      </w:r>
      <w:r>
        <w:rPr>
          <w:rFonts w:ascii="Arial" w:hAnsi="Arial"/>
        </w:rPr>
        <w:t>reality, these forms of supports are not functioning due to insufficient financing from the National Health Fund.</w:t>
      </w:r>
    </w:p>
    <w:p w14:paraId="4052001F" w14:textId="07CA168B" w:rsidR="00891A83" w:rsidRPr="00891A83" w:rsidRDefault="00891A83" w:rsidP="00F3416F">
      <w:pPr>
        <w:pStyle w:val="Akapitzlist"/>
        <w:spacing w:after="0" w:line="360" w:lineRule="auto"/>
        <w:ind w:left="0" w:firstLine="709"/>
        <w:jc w:val="both"/>
        <w:rPr>
          <w:rFonts w:ascii="Arial" w:hAnsi="Arial" w:cs="Arial"/>
        </w:rPr>
      </w:pPr>
      <w:r>
        <w:rPr>
          <w:rFonts w:ascii="Arial" w:hAnsi="Arial"/>
        </w:rPr>
        <w:t xml:space="preserve">Systemic neglect in this respect is also visible in the document </w:t>
      </w:r>
      <w:r w:rsidR="00361CCF">
        <w:rPr>
          <w:rFonts w:ascii="Arial" w:hAnsi="Arial"/>
          <w:i/>
        </w:rPr>
        <w:t>Informacja rządu o </w:t>
      </w:r>
      <w:r>
        <w:rPr>
          <w:rFonts w:ascii="Arial" w:hAnsi="Arial"/>
          <w:i/>
        </w:rPr>
        <w:t>realizacji działań wynikających z Narodowego Programu</w:t>
      </w:r>
      <w:r w:rsidR="00361CCF">
        <w:rPr>
          <w:rFonts w:ascii="Arial" w:hAnsi="Arial"/>
          <w:i/>
        </w:rPr>
        <w:t xml:space="preserve"> Ochrony Zdrowia Psychicznego </w:t>
      </w:r>
      <w:r w:rsidR="00361CCF">
        <w:rPr>
          <w:rFonts w:ascii="Arial" w:hAnsi="Arial"/>
          <w:i/>
        </w:rPr>
        <w:lastRenderedPageBreak/>
        <w:t>w </w:t>
      </w:r>
      <w:r>
        <w:rPr>
          <w:rFonts w:ascii="Arial" w:hAnsi="Arial"/>
          <w:i/>
        </w:rPr>
        <w:t>roku 2012</w:t>
      </w:r>
      <w:r>
        <w:rPr>
          <w:rFonts w:ascii="Arial" w:hAnsi="Arial"/>
          <w:vertAlign w:val="superscript"/>
        </w:rPr>
        <w:footnoteReference w:id="206"/>
      </w:r>
      <w:r>
        <w:rPr>
          <w:rFonts w:ascii="Arial" w:hAnsi="Arial"/>
        </w:rPr>
        <w:t xml:space="preserve"> </w:t>
      </w:r>
      <w:r>
        <w:rPr>
          <w:rFonts w:ascii="Arial" w:hAnsi="Arial"/>
          <w:i/>
        </w:rPr>
        <w:t>[Government’s information on the implementation of activities arising from the National Programme to Protect Mental Health in 2012]</w:t>
      </w:r>
      <w:r>
        <w:rPr>
          <w:rFonts w:ascii="Arial" w:hAnsi="Arial"/>
        </w:rPr>
        <w:t>. Its contents indicates that mental health protection in Poland is still treated as a marginal issue. This topic is important, as mental disorders often accompany other disabilities as a secondary disability. Research shows e.g. the correlation of disability and depression</w:t>
      </w:r>
      <w:r>
        <w:rPr>
          <w:rFonts w:ascii="Arial" w:hAnsi="Arial"/>
          <w:vertAlign w:val="superscript"/>
        </w:rPr>
        <w:footnoteReference w:id="207"/>
      </w:r>
      <w:r>
        <w:rPr>
          <w:rFonts w:ascii="Arial" w:hAnsi="Arial"/>
        </w:rPr>
        <w:t>. Thus, the shortage of psychiatric and preventive services for persons with disabilities poses a particularly acute problem.</w:t>
      </w:r>
    </w:p>
    <w:p w14:paraId="119CB1A8" w14:textId="77777777" w:rsidR="004D5455" w:rsidRDefault="004D5455" w:rsidP="00477195">
      <w:pPr>
        <w:pStyle w:val="Akapitzlist"/>
        <w:numPr>
          <w:ilvl w:val="0"/>
          <w:numId w:val="13"/>
        </w:numPr>
        <w:spacing w:before="120" w:after="120" w:line="360" w:lineRule="auto"/>
        <w:ind w:left="284" w:hanging="284"/>
        <w:contextualSpacing w:val="0"/>
        <w:jc w:val="both"/>
        <w:rPr>
          <w:rFonts w:ascii="Arial" w:hAnsi="Arial" w:cs="Arial"/>
          <w:b/>
        </w:rPr>
      </w:pPr>
      <w:r>
        <w:rPr>
          <w:rFonts w:ascii="Arial" w:hAnsi="Arial"/>
          <w:b/>
        </w:rPr>
        <w:t>Progress and successes in realisation of the right to rehabilitation</w:t>
      </w:r>
    </w:p>
    <w:p w14:paraId="43584230" w14:textId="114745DF" w:rsidR="0040670C" w:rsidRDefault="00950671" w:rsidP="0040670C">
      <w:pPr>
        <w:spacing w:after="0" w:line="360" w:lineRule="auto"/>
        <w:ind w:firstLine="709"/>
        <w:jc w:val="both"/>
        <w:rPr>
          <w:rFonts w:ascii="Arial" w:hAnsi="Arial" w:cs="Arial"/>
        </w:rPr>
      </w:pPr>
      <w:r>
        <w:rPr>
          <w:rFonts w:ascii="Arial" w:hAnsi="Arial"/>
        </w:rPr>
        <w:t>In January 2014, the Minister of Labour and Social Policy issues a resolution on social rehabilitation classes in nursing homes for persons with mental disorders</w:t>
      </w:r>
      <w:r>
        <w:rPr>
          <w:rFonts w:ascii="Arial" w:hAnsi="Arial"/>
          <w:vertAlign w:val="superscript"/>
        </w:rPr>
        <w:footnoteReference w:id="208"/>
      </w:r>
      <w:r w:rsidR="000B267B">
        <w:rPr>
          <w:rFonts w:ascii="Arial" w:hAnsi="Arial"/>
        </w:rPr>
        <w:t>. The </w:t>
      </w:r>
      <w:r>
        <w:rPr>
          <w:rFonts w:ascii="Arial" w:hAnsi="Arial"/>
        </w:rPr>
        <w:t xml:space="preserve">resolution contains a catalogue of rehabilitation forms that might constitute the basis for unifying these forms not only for different types of nursing homes, but also for community rehabilitation for persons with different types of disabilities. </w:t>
      </w:r>
    </w:p>
    <w:p w14:paraId="2BF00235" w14:textId="7796C04D" w:rsidR="00AA0DBB" w:rsidRDefault="00AA0DBB" w:rsidP="00AA0DBB">
      <w:pPr>
        <w:spacing w:after="0" w:line="360" w:lineRule="auto"/>
        <w:ind w:firstLine="709"/>
        <w:jc w:val="both"/>
        <w:rPr>
          <w:rFonts w:ascii="Arial" w:hAnsi="Arial" w:cs="Arial"/>
        </w:rPr>
      </w:pPr>
      <w:r>
        <w:rPr>
          <w:rFonts w:ascii="Arial" w:hAnsi="Arial"/>
        </w:rPr>
        <w:t xml:space="preserve">Moreover, the national </w:t>
      </w:r>
      <w:r>
        <w:rPr>
          <w:rFonts w:ascii="Arial" w:hAnsi="Arial"/>
          <w:i/>
        </w:rPr>
        <w:t>Operational Programme Knowledge, Education and Development</w:t>
      </w:r>
      <w:r>
        <w:rPr>
          <w:rFonts w:ascii="Arial" w:hAnsi="Arial"/>
        </w:rPr>
        <w:t>, which will be co-financed from the European Social Fund in 2014-2020</w:t>
      </w:r>
      <w:r>
        <w:rPr>
          <w:rFonts w:ascii="Arial" w:hAnsi="Arial"/>
          <w:vertAlign w:val="superscript"/>
        </w:rPr>
        <w:footnoteReference w:id="209"/>
      </w:r>
      <w:r>
        <w:rPr>
          <w:rFonts w:ascii="Arial" w:hAnsi="Arial"/>
        </w:rPr>
        <w:t xml:space="preserve">, provides, for example, for an investment priority 9.1. “Active inclusion”. Out of its four specific objectives, there is objective 4: “Preparing public policy entities for full implementation of the provisions of the </w:t>
      </w:r>
      <w:r>
        <w:rPr>
          <w:rFonts w:ascii="Arial" w:hAnsi="Arial"/>
          <w:i/>
        </w:rPr>
        <w:t>UN Convention on the Rights of Persons with Disabilities</w:t>
      </w:r>
      <w:r>
        <w:rPr>
          <w:rFonts w:ascii="Arial" w:hAnsi="Arial"/>
        </w:rPr>
        <w:t>”. In turn, one of the objectives under priority investment 9.7 “Facilitating access to affordable, permanent and high-quality services, including healthcare and social services rendered to the public” involves improving the quality of social and healthcare services provided to persons at risk of social exclusion. As a result of the measures undertaken, standards of services under the inclusion policy are to be drawn up.</w:t>
      </w:r>
    </w:p>
    <w:p w14:paraId="32E0271B" w14:textId="77777777" w:rsidR="004D5455" w:rsidRDefault="004D5455" w:rsidP="00477195">
      <w:pPr>
        <w:pStyle w:val="Akapitzlist"/>
        <w:numPr>
          <w:ilvl w:val="0"/>
          <w:numId w:val="13"/>
        </w:numPr>
        <w:spacing w:before="120" w:after="120" w:line="360" w:lineRule="auto"/>
        <w:ind w:left="284" w:hanging="284"/>
        <w:contextualSpacing w:val="0"/>
        <w:jc w:val="both"/>
        <w:rPr>
          <w:rFonts w:ascii="Arial" w:hAnsi="Arial" w:cs="Arial"/>
          <w:b/>
        </w:rPr>
      </w:pPr>
      <w:r>
        <w:rPr>
          <w:rFonts w:ascii="Arial" w:hAnsi="Arial"/>
          <w:b/>
        </w:rPr>
        <w:t>Major problems and barriers in realisation of the right to rehabilitation</w:t>
      </w:r>
    </w:p>
    <w:p w14:paraId="7605B088" w14:textId="3F38E917" w:rsidR="00AA0DBB" w:rsidRDefault="00950671" w:rsidP="00AA0DBB">
      <w:pPr>
        <w:spacing w:after="0" w:line="360" w:lineRule="auto"/>
        <w:ind w:firstLine="709"/>
        <w:jc w:val="both"/>
        <w:rPr>
          <w:rFonts w:ascii="Arial" w:hAnsi="Arial" w:cs="Arial"/>
        </w:rPr>
      </w:pPr>
      <w:r>
        <w:rPr>
          <w:rFonts w:ascii="Arial" w:hAnsi="Arial"/>
        </w:rPr>
        <w:t xml:space="preserve">The topic of rehabilitation of persons with disabilities pertains to many areas of administration. However, the administrative structures of the state lack an institution that would coordinate the entire range of the topic. The case is similar at a local level. Seemingly, this function is served by the Government Plenipotentiary for Persons with Disabilities, yet the Plenipotentiary’s formal competences are in practice limited to one act only (act on social and vocational rehabilitation and on employment of persons with disabilities). Until now, the Plenipotentiary did not initiate any actions intended to regulate the matters related to access to rehabilitation. It results in the lack of relevant communication among the departments and </w:t>
      </w:r>
      <w:r>
        <w:rPr>
          <w:rFonts w:ascii="Arial" w:hAnsi="Arial"/>
        </w:rPr>
        <w:lastRenderedPageBreak/>
        <w:t xml:space="preserve">lack of connections among rehabilitation services provided under separate systems in the area of tasks of rehabilitation nature pertaining to persons with disabilities. </w:t>
      </w:r>
    </w:p>
    <w:p w14:paraId="53524492" w14:textId="77777777" w:rsidR="00AA0DBB" w:rsidRDefault="00950671" w:rsidP="00AA0DBB">
      <w:pPr>
        <w:spacing w:after="0" w:line="360" w:lineRule="auto"/>
        <w:ind w:firstLine="709"/>
        <w:jc w:val="both"/>
        <w:rPr>
          <w:rFonts w:ascii="Arial" w:hAnsi="Arial" w:cs="Arial"/>
        </w:rPr>
      </w:pPr>
      <w:r>
        <w:rPr>
          <w:rFonts w:ascii="Arial" w:hAnsi="Arial"/>
        </w:rPr>
        <w:t>There is no – except for medical rehabilitation – set of guaranteed free rehabilitation services. Therefore, access of persons with disabilities to such services largely depends on the existence in the local community of a NGO and on whether that NGO obtains financing for short-term projects. Thus, there is a permanent risk that the progress achieved through rehabilitation will be lost as a result of losing access to continued rehabilitation.</w:t>
      </w:r>
    </w:p>
    <w:p w14:paraId="161D75ED" w14:textId="28A402A8" w:rsidR="00AA0DBB" w:rsidRDefault="00AA0DBB" w:rsidP="00AA0DBB">
      <w:pPr>
        <w:spacing w:after="0" w:line="360" w:lineRule="auto"/>
        <w:ind w:firstLine="709"/>
        <w:jc w:val="both"/>
        <w:rPr>
          <w:rFonts w:ascii="Arial" w:hAnsi="Arial" w:cs="Arial"/>
        </w:rPr>
      </w:pPr>
      <w:r>
        <w:rPr>
          <w:rFonts w:ascii="Arial" w:hAnsi="Arial"/>
        </w:rPr>
        <w:t>Public authorities in Poland do not dispose of a register of persons with disabilities, even though persons with disabilities must have legal disability status in order to take advantage of their entitlements. The status confirmations are issued under a few separate systems. One may have more than one disability status confirmation, as they are issued for different purposes (according to estimated data gathered from representative studies, it concerns approx. 0.5% of persons with disabilities, i.e. over 200 thousand people</w:t>
      </w:r>
      <w:r>
        <w:rPr>
          <w:rFonts w:ascii="Arial" w:hAnsi="Arial"/>
          <w:vertAlign w:val="superscript"/>
        </w:rPr>
        <w:footnoteReference w:id="210"/>
      </w:r>
      <w:r>
        <w:rPr>
          <w:rFonts w:ascii="Arial" w:hAnsi="Arial"/>
        </w:rPr>
        <w:t xml:space="preserve">). Databases managed by individual institutions are not integrated. Lack of basic data on the population makes it difficult to carry out reasonable social policy, including to determine the scale of demand for rehabilitation services. The disability status confirmation only contains general, fixed terms, without a description of the functioning of the given person and their deficits. Lack of thorough assessment of individual functioning and the corresponding guidelines regarding support makes it difficult to ensure proper rehabilitation. The </w:t>
      </w:r>
      <w:r>
        <w:rPr>
          <w:rFonts w:ascii="Arial" w:hAnsi="Arial"/>
          <w:i/>
        </w:rPr>
        <w:t>International Classification of Functioning, Disability and Health (ICF)</w:t>
      </w:r>
      <w:r>
        <w:rPr>
          <w:rFonts w:ascii="Arial" w:hAnsi="Arial"/>
        </w:rPr>
        <w:t xml:space="preserve"> recommended by WHO is not considered.</w:t>
      </w:r>
      <w:r>
        <w:rPr>
          <w:rFonts w:ascii="Arial" w:hAnsi="Arial"/>
          <w:i/>
        </w:rPr>
        <w:t xml:space="preserve"> </w:t>
      </w:r>
      <w:r>
        <w:rPr>
          <w:rFonts w:ascii="Arial" w:hAnsi="Arial"/>
        </w:rPr>
        <w:t>Refe</w:t>
      </w:r>
      <w:r w:rsidR="00775F9D">
        <w:rPr>
          <w:rFonts w:ascii="Arial" w:hAnsi="Arial"/>
        </w:rPr>
        <w:t>r</w:t>
      </w:r>
      <w:r>
        <w:rPr>
          <w:rFonts w:ascii="Arial" w:hAnsi="Arial"/>
        </w:rPr>
        <w:t xml:space="preserve">ring to that document would make it easier to communicate among the departments, in particular between the Ministries of Health and of Education. </w:t>
      </w:r>
    </w:p>
    <w:p w14:paraId="0341B342" w14:textId="2A4B498D" w:rsidR="00AA0DBB" w:rsidRDefault="00950671" w:rsidP="00AA0DBB">
      <w:pPr>
        <w:spacing w:after="0" w:line="360" w:lineRule="auto"/>
        <w:ind w:firstLine="709"/>
        <w:jc w:val="both"/>
        <w:rPr>
          <w:rFonts w:ascii="Arial" w:hAnsi="Arial" w:cs="Arial"/>
        </w:rPr>
      </w:pPr>
      <w:r>
        <w:rPr>
          <w:rFonts w:ascii="Arial" w:hAnsi="Arial"/>
        </w:rPr>
        <w:t>Currently, different types of rehabilitation are “awarded” in a chaotic manner, without any internal connections, and consequently, the results of rehabilitation might cancel each other out. A person with disabilities is also not covered with support in the area of coordinating access to services from different sources, even though the majority of such persons has problems with “managing” their rehabilitation due to their disabilities. The majority is also not able to professionally determine their needs in this respect or identify sources of support</w:t>
      </w:r>
      <w:r>
        <w:rPr>
          <w:rFonts w:ascii="Arial" w:hAnsi="Arial"/>
          <w:vertAlign w:val="superscript"/>
        </w:rPr>
        <w:footnoteReference w:id="211"/>
      </w:r>
      <w:r>
        <w:rPr>
          <w:rFonts w:ascii="Arial" w:hAnsi="Arial"/>
        </w:rPr>
        <w:t xml:space="preserve">. This problem is particularly visible in the case of children and persons with mental or intellectual disabilities. </w:t>
      </w:r>
    </w:p>
    <w:p w14:paraId="0A869A43" w14:textId="65AA90AB" w:rsidR="008003D6" w:rsidRDefault="00950671" w:rsidP="008003D6">
      <w:pPr>
        <w:spacing w:after="0" w:line="360" w:lineRule="auto"/>
        <w:ind w:firstLine="709"/>
        <w:jc w:val="both"/>
        <w:rPr>
          <w:rFonts w:ascii="Arial" w:hAnsi="Arial" w:cs="Arial"/>
        </w:rPr>
      </w:pPr>
      <w:r>
        <w:rPr>
          <w:rFonts w:ascii="Arial" w:hAnsi="Arial"/>
        </w:rPr>
        <w:t xml:space="preserve">Tasks in the area of social rehabilitation became de-centralised, thus they are not provided by the central administration; instead, they are rendered by local governments. The role of the central administration institutions should, however, cover the monitoring whether the state policy objectives are attained. Lack of such monitoring causes a series of problems. </w:t>
      </w:r>
      <w:r>
        <w:rPr>
          <w:rFonts w:ascii="Arial" w:hAnsi="Arial"/>
        </w:rPr>
        <w:lastRenderedPageBreak/>
        <w:t>For example, activity-based therapy is allocated inadequately to the needs. There are poviats with not even one activity-based therapy available, while other poviats have several. Neither the distance to be covered by the participants to get to therapy nor costs of transportation is considered. Rehabilitation camps are yet another example. Despite the fact that the voivod</w:t>
      </w:r>
      <w:r w:rsidR="00814B7E">
        <w:rPr>
          <w:rFonts w:ascii="Arial" w:hAnsi="Arial"/>
        </w:rPr>
        <w:t>e</w:t>
      </w:r>
      <w:r>
        <w:rPr>
          <w:rFonts w:ascii="Arial" w:hAnsi="Arial"/>
        </w:rPr>
        <w:t xml:space="preserve">s are obliged to keep a register of organisers of such camps and a register of centres, no management regarding the supply of centres of a given profile is conducted. </w:t>
      </w:r>
    </w:p>
    <w:p w14:paraId="68D8A10E" w14:textId="05EECB1F" w:rsidR="008003D6" w:rsidRDefault="00950671" w:rsidP="008003D6">
      <w:pPr>
        <w:spacing w:after="0" w:line="360" w:lineRule="auto"/>
        <w:ind w:firstLine="709"/>
        <w:jc w:val="both"/>
        <w:rPr>
          <w:rFonts w:ascii="Arial" w:hAnsi="Arial" w:cs="Arial"/>
        </w:rPr>
      </w:pPr>
      <w:r>
        <w:rPr>
          <w:rFonts w:ascii="Arial" w:hAnsi="Arial"/>
        </w:rPr>
        <w:t>Local governments that consider applications filed by individual persons for different types of support, try to satisfy to the largest extent the needs in the area of rehabilitation equipment, orthopaedic articles and auxiliary articles, as this type of support enjoys the most interest out of the PFRON’s programmes for individual persons.  In 2013, poviats received 228 thousand applications. This type of support is followed by rehabilitation camps (164 thousand applications). Elimination of architectural barriers, communication barriers and transportation barriers is reported less frequently (39 thousand applications), probably as the ranks of persons entitled to such support is limited to only some types of disabilities</w:t>
      </w:r>
      <w:r>
        <w:rPr>
          <w:rStyle w:val="Odwoanieprzypisudolnego"/>
          <w:rFonts w:ascii="Arial" w:hAnsi="Arial"/>
        </w:rPr>
        <w:footnoteReference w:id="212"/>
      </w:r>
      <w:r>
        <w:rPr>
          <w:rFonts w:ascii="Arial" w:hAnsi="Arial"/>
        </w:rPr>
        <w:t xml:space="preserve">. </w:t>
      </w:r>
    </w:p>
    <w:p w14:paraId="59A78711" w14:textId="67FE3064" w:rsidR="008003D6" w:rsidRDefault="00950671" w:rsidP="008003D6">
      <w:pPr>
        <w:spacing w:after="0" w:line="360" w:lineRule="auto"/>
        <w:ind w:firstLine="709"/>
        <w:jc w:val="both"/>
        <w:rPr>
          <w:rFonts w:ascii="Arial" w:hAnsi="Arial" w:cs="Arial"/>
        </w:rPr>
      </w:pPr>
      <w:r>
        <w:rPr>
          <w:rFonts w:ascii="Arial" w:hAnsi="Arial"/>
        </w:rPr>
        <w:t xml:space="preserve">The demand for all those forms of support is satisfied only partially. In 2013, under the aforementioned programmes, contracts were made, respectively: in the case of 78%, 41% and 37% of applications. By amount, these indicators are even lower, which additionally proves that contracts for lower than applied amounts are made. </w:t>
      </w:r>
      <w:r>
        <w:rPr>
          <w:rFonts w:ascii="Arial" w:hAnsi="Arial"/>
          <w:b/>
        </w:rPr>
        <w:t>It is also troubling to see a lower degree of satisfying the needs of persons with disabilities with respect to all three tasks in 2013 compared with 2012</w:t>
      </w:r>
      <w:r>
        <w:rPr>
          <w:rFonts w:ascii="Arial" w:hAnsi="Arial"/>
        </w:rPr>
        <w:t xml:space="preserve"> (in 2012, the indicators were: 94%, 83% and 63% respectively)</w:t>
      </w:r>
      <w:r>
        <w:rPr>
          <w:rStyle w:val="Odwoanieprzypisudolnego"/>
          <w:rFonts w:ascii="Arial" w:hAnsi="Arial"/>
        </w:rPr>
        <w:footnoteReference w:id="213"/>
      </w:r>
      <w:r>
        <w:rPr>
          <w:rFonts w:ascii="Arial" w:hAnsi="Arial"/>
        </w:rPr>
        <w:t>.</w:t>
      </w:r>
    </w:p>
    <w:p w14:paraId="0AF584CD" w14:textId="77777777" w:rsidR="00950671" w:rsidRDefault="00950671" w:rsidP="008003D6">
      <w:pPr>
        <w:spacing w:after="0" w:line="360" w:lineRule="auto"/>
        <w:ind w:firstLine="709"/>
        <w:jc w:val="both"/>
        <w:rPr>
          <w:rFonts w:ascii="Arial" w:hAnsi="Arial" w:cs="Arial"/>
        </w:rPr>
      </w:pPr>
      <w:r>
        <w:rPr>
          <w:rFonts w:ascii="Arial" w:hAnsi="Arial"/>
        </w:rPr>
        <w:t xml:space="preserve">Even in the case of support that is satisfied to the highest extent, i.e. co-financing to rehabilitation equipment, orthopaedic articles and auxiliary measures, </w:t>
      </w:r>
      <w:r>
        <w:rPr>
          <w:rFonts w:ascii="Arial" w:hAnsi="Arial"/>
          <w:b/>
        </w:rPr>
        <w:t>poviats are not able to meet the needs of one in four applicants.</w:t>
      </w:r>
      <w:r>
        <w:rPr>
          <w:rFonts w:ascii="Arial" w:hAnsi="Arial"/>
        </w:rPr>
        <w:t xml:space="preserve"> It must be emphasized that only 2% of those persons receives rehabilitation equipment (by amount, 5% of funds), while the others apply for co-financing to basic orthopaedic articles and auxiliary measures. The entire task is intended to supplement insufficient financing of the same articles by the National Health Fund</w:t>
      </w:r>
      <w:r>
        <w:rPr>
          <w:rFonts w:ascii="Arial" w:hAnsi="Arial"/>
          <w:vertAlign w:val="superscript"/>
        </w:rPr>
        <w:footnoteReference w:id="214"/>
      </w:r>
      <w:r>
        <w:rPr>
          <w:rFonts w:ascii="Arial" w:hAnsi="Arial"/>
        </w:rPr>
        <w:t>. Due to the income criterion that regulates the eligibility for support, one might also suspect that the demand listed in the reports is underestimated, as applications are filed only by persons that meet that criterion.</w:t>
      </w:r>
    </w:p>
    <w:p w14:paraId="07F455FD" w14:textId="77777777" w:rsidR="00703104" w:rsidRPr="00703104" w:rsidRDefault="00703104" w:rsidP="00950671">
      <w:pPr>
        <w:spacing w:after="0" w:line="360" w:lineRule="auto"/>
        <w:ind w:left="284" w:hanging="284"/>
        <w:jc w:val="both"/>
        <w:rPr>
          <w:rFonts w:ascii="Arial" w:hAnsi="Arial" w:cs="Arial"/>
          <w:sz w:val="16"/>
          <w:szCs w:val="16"/>
        </w:rPr>
      </w:pPr>
    </w:p>
    <w:p w14:paraId="43937026" w14:textId="77777777" w:rsidR="00950671" w:rsidRPr="00950671" w:rsidRDefault="00950671" w:rsidP="00950671">
      <w:pPr>
        <w:spacing w:after="0" w:line="360" w:lineRule="auto"/>
        <w:ind w:left="284" w:hanging="284"/>
        <w:jc w:val="both"/>
        <w:rPr>
          <w:rFonts w:ascii="Arial" w:hAnsi="Arial" w:cs="Arial"/>
          <w:b/>
        </w:rPr>
      </w:pPr>
      <w:r>
        <w:rPr>
          <w:rFonts w:ascii="Arial" w:hAnsi="Arial"/>
          <w:b/>
        </w:rPr>
        <w:lastRenderedPageBreak/>
        <w:t>Such low indicators of meeting the demand of persons with disabilities for rehabilitation support prove that no progress in realisation of Article 26 of the Convention has been registered.</w:t>
      </w:r>
    </w:p>
    <w:p w14:paraId="0A424636" w14:textId="77777777" w:rsidR="00623F54" w:rsidRDefault="00623F54" w:rsidP="00950671">
      <w:pPr>
        <w:spacing w:after="0" w:line="360" w:lineRule="auto"/>
        <w:jc w:val="both"/>
        <w:rPr>
          <w:rFonts w:ascii="Arial" w:hAnsi="Arial" w:cs="Arial"/>
          <w:sz w:val="16"/>
          <w:szCs w:val="16"/>
        </w:rPr>
      </w:pPr>
    </w:p>
    <w:p w14:paraId="2B8C4861" w14:textId="77777777" w:rsidR="00623F54" w:rsidRDefault="00950671" w:rsidP="00623F54">
      <w:pPr>
        <w:spacing w:after="0" w:line="360" w:lineRule="auto"/>
        <w:jc w:val="center"/>
        <w:rPr>
          <w:rFonts w:ascii="Arial" w:hAnsi="Arial" w:cs="Arial"/>
          <w:b/>
        </w:rPr>
      </w:pPr>
      <w:r>
        <w:rPr>
          <w:rFonts w:ascii="Arial" w:hAnsi="Arial"/>
          <w:b/>
        </w:rPr>
        <w:t xml:space="preserve">The degree of meeting the needs reported by persons with disabilities </w:t>
      </w:r>
    </w:p>
    <w:p w14:paraId="3FC18502" w14:textId="77777777" w:rsidR="00950671" w:rsidRPr="00623F54" w:rsidRDefault="00950671" w:rsidP="00623F54">
      <w:pPr>
        <w:spacing w:after="0" w:line="360" w:lineRule="auto"/>
        <w:jc w:val="center"/>
        <w:rPr>
          <w:rFonts w:ascii="Arial" w:hAnsi="Arial" w:cs="Arial"/>
          <w:b/>
        </w:rPr>
      </w:pPr>
      <w:r>
        <w:rPr>
          <w:rFonts w:ascii="Arial" w:hAnsi="Arial"/>
          <w:b/>
        </w:rPr>
        <w:t>under PFRON programmes</w:t>
      </w:r>
    </w:p>
    <w:tbl>
      <w:tblPr>
        <w:tblStyle w:val="redniasiatka1akcent6"/>
        <w:tblW w:w="0" w:type="auto"/>
        <w:jc w:val="center"/>
        <w:tblLook w:val="04A0" w:firstRow="1" w:lastRow="0" w:firstColumn="1" w:lastColumn="0" w:noHBand="0" w:noVBand="1"/>
      </w:tblPr>
      <w:tblGrid>
        <w:gridCol w:w="864"/>
        <w:gridCol w:w="986"/>
        <w:gridCol w:w="750"/>
        <w:gridCol w:w="1039"/>
        <w:gridCol w:w="986"/>
        <w:gridCol w:w="750"/>
        <w:gridCol w:w="1071"/>
        <w:gridCol w:w="986"/>
        <w:gridCol w:w="750"/>
        <w:gridCol w:w="1106"/>
      </w:tblGrid>
      <w:tr w:rsidR="00623F54" w:rsidRPr="00BA376D" w14:paraId="38E93B19" w14:textId="77777777" w:rsidTr="00623F54">
        <w:trPr>
          <w:cnfStyle w:val="100000000000" w:firstRow="1" w:lastRow="0" w:firstColumn="0" w:lastColumn="0" w:oddVBand="0" w:evenVBand="0" w:oddHBand="0" w:evenHBand="0" w:firstRowFirstColumn="0" w:firstRowLastColumn="0" w:lastRowFirstColumn="0" w:lastRowLastColumn="0"/>
          <w:trHeight w:val="227"/>
          <w:jc w:val="center"/>
        </w:trPr>
        <w:tc>
          <w:tcPr>
            <w:cnfStyle w:val="001000000000" w:firstRow="0" w:lastRow="0" w:firstColumn="1" w:lastColumn="0" w:oddVBand="0" w:evenVBand="0" w:oddHBand="0" w:evenHBand="0" w:firstRowFirstColumn="0" w:firstRowLastColumn="0" w:lastRowFirstColumn="0" w:lastRowLastColumn="0"/>
            <w:tcW w:w="950" w:type="dxa"/>
            <w:vMerge w:val="restart"/>
            <w:noWrap/>
            <w:vAlign w:val="center"/>
          </w:tcPr>
          <w:p w14:paraId="7E187A69" w14:textId="77777777" w:rsidR="00BA376D" w:rsidRPr="00BA376D" w:rsidRDefault="00BA376D" w:rsidP="00623F54">
            <w:pPr>
              <w:jc w:val="center"/>
              <w:rPr>
                <w:rFonts w:ascii="Arial" w:hAnsi="Arial" w:cs="Arial"/>
                <w:sz w:val="18"/>
              </w:rPr>
            </w:pPr>
          </w:p>
        </w:tc>
        <w:tc>
          <w:tcPr>
            <w:tcW w:w="2709" w:type="dxa"/>
            <w:gridSpan w:val="3"/>
            <w:noWrap/>
            <w:vAlign w:val="center"/>
          </w:tcPr>
          <w:p w14:paraId="0C1D0270" w14:textId="77777777" w:rsidR="00BA376D" w:rsidRPr="00BA376D" w:rsidRDefault="00BA376D" w:rsidP="00623F54">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Pr>
                <w:rFonts w:ascii="Arial" w:hAnsi="Arial"/>
                <w:sz w:val="16"/>
              </w:rPr>
              <w:t>2011</w:t>
            </w:r>
          </w:p>
        </w:tc>
        <w:tc>
          <w:tcPr>
            <w:tcW w:w="2807" w:type="dxa"/>
            <w:gridSpan w:val="3"/>
            <w:noWrap/>
            <w:vAlign w:val="center"/>
          </w:tcPr>
          <w:p w14:paraId="4FF33291" w14:textId="77777777" w:rsidR="00BA376D" w:rsidRPr="00BA376D" w:rsidRDefault="00BA376D" w:rsidP="00623F54">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Pr>
                <w:rFonts w:ascii="Arial" w:hAnsi="Arial"/>
                <w:sz w:val="16"/>
              </w:rPr>
              <w:t>2012</w:t>
            </w:r>
          </w:p>
        </w:tc>
        <w:tc>
          <w:tcPr>
            <w:tcW w:w="2822" w:type="dxa"/>
            <w:gridSpan w:val="3"/>
            <w:noWrap/>
            <w:vAlign w:val="center"/>
          </w:tcPr>
          <w:p w14:paraId="3FE7C123" w14:textId="77777777" w:rsidR="00BA376D" w:rsidRPr="00BA376D" w:rsidRDefault="00BA376D" w:rsidP="00623F54">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Pr>
                <w:rFonts w:ascii="Arial" w:hAnsi="Arial"/>
                <w:sz w:val="16"/>
              </w:rPr>
              <w:t>2013</w:t>
            </w:r>
          </w:p>
        </w:tc>
      </w:tr>
      <w:tr w:rsidR="00623F54" w:rsidRPr="00BA376D" w14:paraId="6C98A6C8" w14:textId="77777777" w:rsidTr="00623F5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50" w:type="dxa"/>
            <w:vMerge/>
            <w:noWrap/>
            <w:vAlign w:val="center"/>
          </w:tcPr>
          <w:p w14:paraId="668D10B0" w14:textId="77777777" w:rsidR="00BA376D" w:rsidRPr="00BA376D" w:rsidRDefault="00BA376D" w:rsidP="00623F54">
            <w:pPr>
              <w:jc w:val="center"/>
              <w:rPr>
                <w:rFonts w:ascii="Arial" w:hAnsi="Arial" w:cs="Arial"/>
                <w:sz w:val="18"/>
              </w:rPr>
            </w:pPr>
          </w:p>
        </w:tc>
        <w:tc>
          <w:tcPr>
            <w:tcW w:w="775" w:type="dxa"/>
            <w:noWrap/>
            <w:vAlign w:val="center"/>
          </w:tcPr>
          <w:p w14:paraId="4CC60B46" w14:textId="77777777" w:rsidR="00BA376D" w:rsidRPr="00BA376D" w:rsidRDefault="00BA376D" w:rsidP="00623F54">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p>
          <w:p w14:paraId="64AB6660" w14:textId="77777777" w:rsidR="00BA376D" w:rsidRPr="00BA376D" w:rsidRDefault="00BA376D" w:rsidP="00623F54">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Pr>
                <w:rFonts w:ascii="Arial" w:hAnsi="Arial"/>
                <w:sz w:val="16"/>
              </w:rPr>
              <w:t>Conclusions</w:t>
            </w:r>
          </w:p>
        </w:tc>
        <w:tc>
          <w:tcPr>
            <w:tcW w:w="786" w:type="dxa"/>
            <w:noWrap/>
            <w:vAlign w:val="center"/>
          </w:tcPr>
          <w:p w14:paraId="1E836AF0" w14:textId="77777777" w:rsidR="00BA376D" w:rsidRPr="00BA376D" w:rsidRDefault="00BA376D" w:rsidP="00623F54">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p>
          <w:p w14:paraId="32AA288B" w14:textId="77777777" w:rsidR="00BA376D" w:rsidRPr="00BA376D" w:rsidRDefault="00BA376D" w:rsidP="00623F54">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Pr>
                <w:rFonts w:ascii="Arial" w:hAnsi="Arial"/>
                <w:sz w:val="16"/>
              </w:rPr>
              <w:t>of the Contract</w:t>
            </w:r>
          </w:p>
        </w:tc>
        <w:tc>
          <w:tcPr>
            <w:tcW w:w="1148" w:type="dxa"/>
            <w:noWrap/>
            <w:vAlign w:val="center"/>
          </w:tcPr>
          <w:p w14:paraId="44E22E8B" w14:textId="77777777" w:rsidR="00BA376D" w:rsidRPr="00BA376D" w:rsidRDefault="00BA376D" w:rsidP="00623F54">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Pr>
                <w:rFonts w:ascii="Arial" w:hAnsi="Arial"/>
                <w:sz w:val="16"/>
              </w:rPr>
              <w:t>Satisfaction indicator</w:t>
            </w:r>
          </w:p>
        </w:tc>
        <w:tc>
          <w:tcPr>
            <w:tcW w:w="814" w:type="dxa"/>
            <w:noWrap/>
            <w:vAlign w:val="center"/>
          </w:tcPr>
          <w:p w14:paraId="3420605D" w14:textId="77777777" w:rsidR="00BA376D" w:rsidRPr="00BA376D" w:rsidRDefault="00BA376D" w:rsidP="00623F54">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p>
          <w:p w14:paraId="591DAFC4" w14:textId="77777777" w:rsidR="00BA376D" w:rsidRPr="00BA376D" w:rsidRDefault="00BA376D" w:rsidP="00623F54">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Pr>
                <w:rFonts w:ascii="Arial" w:hAnsi="Arial"/>
                <w:sz w:val="16"/>
              </w:rPr>
              <w:t>Conclusions</w:t>
            </w:r>
          </w:p>
        </w:tc>
        <w:tc>
          <w:tcPr>
            <w:tcW w:w="808" w:type="dxa"/>
            <w:noWrap/>
            <w:vAlign w:val="center"/>
          </w:tcPr>
          <w:p w14:paraId="62ECE631" w14:textId="77777777" w:rsidR="00BA376D" w:rsidRPr="00BA376D" w:rsidRDefault="00BA376D" w:rsidP="00623F54">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p>
          <w:p w14:paraId="3547C689" w14:textId="77777777" w:rsidR="00BA376D" w:rsidRPr="00BA376D" w:rsidRDefault="00BA376D" w:rsidP="00623F54">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Pr>
                <w:rFonts w:ascii="Arial" w:hAnsi="Arial"/>
                <w:sz w:val="16"/>
              </w:rPr>
              <w:t>of the Contract</w:t>
            </w:r>
          </w:p>
        </w:tc>
        <w:tc>
          <w:tcPr>
            <w:tcW w:w="1185" w:type="dxa"/>
            <w:noWrap/>
            <w:vAlign w:val="center"/>
          </w:tcPr>
          <w:p w14:paraId="1D983C5B" w14:textId="77777777" w:rsidR="00BA376D" w:rsidRPr="00BA376D" w:rsidRDefault="00BA376D" w:rsidP="00623F54">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Pr>
                <w:rFonts w:ascii="Arial" w:hAnsi="Arial"/>
                <w:sz w:val="16"/>
              </w:rPr>
              <w:t>Satisfaction indicator</w:t>
            </w:r>
          </w:p>
        </w:tc>
        <w:tc>
          <w:tcPr>
            <w:tcW w:w="849" w:type="dxa"/>
            <w:noWrap/>
            <w:vAlign w:val="center"/>
          </w:tcPr>
          <w:p w14:paraId="74502694" w14:textId="77777777" w:rsidR="00BA376D" w:rsidRPr="00BA376D" w:rsidRDefault="00BA376D" w:rsidP="00623F54">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p>
          <w:p w14:paraId="41E4EC75" w14:textId="77777777" w:rsidR="00BA376D" w:rsidRPr="00BA376D" w:rsidRDefault="00BA376D" w:rsidP="00623F54">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Pr>
                <w:rFonts w:ascii="Arial" w:hAnsi="Arial"/>
                <w:sz w:val="16"/>
              </w:rPr>
              <w:t>Conclusions</w:t>
            </w:r>
          </w:p>
        </w:tc>
        <w:tc>
          <w:tcPr>
            <w:tcW w:w="749" w:type="dxa"/>
            <w:noWrap/>
            <w:vAlign w:val="center"/>
          </w:tcPr>
          <w:p w14:paraId="0650258A" w14:textId="77777777" w:rsidR="00BA376D" w:rsidRPr="00BA376D" w:rsidRDefault="00BA376D" w:rsidP="00623F54">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p>
          <w:p w14:paraId="4BBCDB3A" w14:textId="77777777" w:rsidR="00BA376D" w:rsidRPr="00BA376D" w:rsidRDefault="00BA376D" w:rsidP="00623F54">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Pr>
                <w:rFonts w:ascii="Arial" w:hAnsi="Arial"/>
                <w:sz w:val="16"/>
              </w:rPr>
              <w:t>of the Contract</w:t>
            </w:r>
          </w:p>
        </w:tc>
        <w:tc>
          <w:tcPr>
            <w:tcW w:w="1224" w:type="dxa"/>
            <w:noWrap/>
            <w:vAlign w:val="center"/>
          </w:tcPr>
          <w:p w14:paraId="27330D79" w14:textId="77777777" w:rsidR="00BA376D" w:rsidRPr="00BA376D" w:rsidRDefault="00BA376D" w:rsidP="00623F54">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Pr>
                <w:rFonts w:ascii="Arial" w:hAnsi="Arial"/>
                <w:sz w:val="16"/>
              </w:rPr>
              <w:t>Satisfaction indicator</w:t>
            </w:r>
          </w:p>
        </w:tc>
      </w:tr>
      <w:tr w:rsidR="00BA376D" w:rsidRPr="00BA376D" w14:paraId="29F9C391" w14:textId="77777777" w:rsidTr="00623F54">
        <w:trPr>
          <w:trHeight w:val="227"/>
          <w:jc w:val="center"/>
        </w:trPr>
        <w:tc>
          <w:tcPr>
            <w:cnfStyle w:val="001000000000" w:firstRow="0" w:lastRow="0" w:firstColumn="1" w:lastColumn="0" w:oddVBand="0" w:evenVBand="0" w:oddHBand="0" w:evenHBand="0" w:firstRowFirstColumn="0" w:firstRowLastColumn="0" w:lastRowFirstColumn="0" w:lastRowLastColumn="0"/>
            <w:tcW w:w="9288" w:type="dxa"/>
            <w:gridSpan w:val="10"/>
            <w:noWrap/>
            <w:vAlign w:val="center"/>
          </w:tcPr>
          <w:p w14:paraId="37433FF7" w14:textId="77777777" w:rsidR="00BA376D" w:rsidRPr="00BA376D" w:rsidRDefault="00BA376D" w:rsidP="00623F54">
            <w:pPr>
              <w:jc w:val="center"/>
              <w:rPr>
                <w:rFonts w:ascii="Arial" w:hAnsi="Arial" w:cs="Arial"/>
                <w:sz w:val="16"/>
                <w:szCs w:val="16"/>
              </w:rPr>
            </w:pPr>
            <w:r>
              <w:rPr>
                <w:rFonts w:ascii="Arial" w:hAnsi="Arial"/>
                <w:sz w:val="16"/>
              </w:rPr>
              <w:t>Supply with rehabilitation equipment, orthopaedic articles, auxiliary articles</w:t>
            </w:r>
          </w:p>
        </w:tc>
      </w:tr>
      <w:tr w:rsidR="00623F54" w:rsidRPr="00BA376D" w14:paraId="313BEF45" w14:textId="77777777" w:rsidTr="00623F5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50" w:type="dxa"/>
            <w:noWrap/>
            <w:vAlign w:val="center"/>
          </w:tcPr>
          <w:p w14:paraId="6DD06D89" w14:textId="77777777" w:rsidR="00BA376D" w:rsidRPr="00BA376D" w:rsidRDefault="00BA376D" w:rsidP="00623F54">
            <w:pPr>
              <w:jc w:val="center"/>
              <w:rPr>
                <w:rFonts w:ascii="Arial" w:hAnsi="Arial" w:cs="Arial"/>
                <w:sz w:val="16"/>
                <w:szCs w:val="16"/>
              </w:rPr>
            </w:pPr>
            <w:r>
              <w:rPr>
                <w:rFonts w:ascii="Arial" w:hAnsi="Arial"/>
                <w:sz w:val="16"/>
              </w:rPr>
              <w:t>amount</w:t>
            </w:r>
          </w:p>
          <w:p w14:paraId="70071521" w14:textId="77777777" w:rsidR="00BA376D" w:rsidRPr="00BA376D" w:rsidRDefault="00BA376D" w:rsidP="00623F54">
            <w:pPr>
              <w:jc w:val="center"/>
              <w:rPr>
                <w:rFonts w:ascii="Arial" w:hAnsi="Arial" w:cs="Arial"/>
                <w:sz w:val="16"/>
                <w:szCs w:val="16"/>
              </w:rPr>
            </w:pPr>
            <w:r>
              <w:rPr>
                <w:rFonts w:ascii="Arial" w:hAnsi="Arial"/>
                <w:sz w:val="16"/>
              </w:rPr>
              <w:t>in PLN million</w:t>
            </w:r>
          </w:p>
        </w:tc>
        <w:tc>
          <w:tcPr>
            <w:tcW w:w="775" w:type="dxa"/>
            <w:noWrap/>
            <w:vAlign w:val="center"/>
          </w:tcPr>
          <w:p w14:paraId="5AC296A3" w14:textId="77777777" w:rsidR="00BA376D" w:rsidRPr="00BA376D" w:rsidRDefault="00BA376D" w:rsidP="00623F54">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Pr>
                <w:rFonts w:ascii="Arial" w:hAnsi="Arial"/>
                <w:sz w:val="16"/>
              </w:rPr>
              <w:t>164</w:t>
            </w:r>
          </w:p>
        </w:tc>
        <w:tc>
          <w:tcPr>
            <w:tcW w:w="786" w:type="dxa"/>
            <w:noWrap/>
            <w:vAlign w:val="center"/>
          </w:tcPr>
          <w:p w14:paraId="7619CA98" w14:textId="77777777" w:rsidR="00BA376D" w:rsidRPr="00BA376D" w:rsidRDefault="00BA376D" w:rsidP="00623F54">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Pr>
                <w:rFonts w:ascii="Arial" w:hAnsi="Arial"/>
                <w:sz w:val="16"/>
              </w:rPr>
              <w:t>114</w:t>
            </w:r>
          </w:p>
        </w:tc>
        <w:tc>
          <w:tcPr>
            <w:tcW w:w="1148" w:type="dxa"/>
            <w:noWrap/>
            <w:vAlign w:val="center"/>
          </w:tcPr>
          <w:p w14:paraId="567E3230" w14:textId="77777777" w:rsidR="00BA376D" w:rsidRPr="00BA376D" w:rsidRDefault="00BA376D" w:rsidP="00623F54">
            <w:pPr>
              <w:jc w:val="center"/>
              <w:cnfStyle w:val="000000100000" w:firstRow="0" w:lastRow="0" w:firstColumn="0" w:lastColumn="0" w:oddVBand="0" w:evenVBand="0" w:oddHBand="1" w:evenHBand="0" w:firstRowFirstColumn="0" w:firstRowLastColumn="0" w:lastRowFirstColumn="0" w:lastRowLastColumn="0"/>
              <w:rPr>
                <w:rFonts w:ascii="Arial" w:hAnsi="Arial" w:cs="Arial"/>
                <w:b/>
                <w:sz w:val="16"/>
                <w:szCs w:val="16"/>
              </w:rPr>
            </w:pPr>
            <w:r>
              <w:rPr>
                <w:rFonts w:ascii="Arial" w:hAnsi="Arial"/>
                <w:b/>
                <w:sz w:val="16"/>
              </w:rPr>
              <w:t>70%</w:t>
            </w:r>
          </w:p>
        </w:tc>
        <w:tc>
          <w:tcPr>
            <w:tcW w:w="814" w:type="dxa"/>
            <w:noWrap/>
            <w:vAlign w:val="center"/>
          </w:tcPr>
          <w:p w14:paraId="425836C6" w14:textId="77777777" w:rsidR="00BA376D" w:rsidRPr="00BA376D" w:rsidRDefault="00BA376D" w:rsidP="00623F54">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Pr>
                <w:rFonts w:ascii="Arial" w:hAnsi="Arial"/>
                <w:sz w:val="16"/>
              </w:rPr>
              <w:t>184</w:t>
            </w:r>
          </w:p>
        </w:tc>
        <w:tc>
          <w:tcPr>
            <w:tcW w:w="808" w:type="dxa"/>
            <w:noWrap/>
            <w:vAlign w:val="center"/>
          </w:tcPr>
          <w:p w14:paraId="4D3A33E1" w14:textId="77777777" w:rsidR="00BA376D" w:rsidRPr="00BA376D" w:rsidRDefault="00BA376D" w:rsidP="00623F54">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Pr>
                <w:rFonts w:ascii="Arial" w:hAnsi="Arial"/>
                <w:sz w:val="16"/>
              </w:rPr>
              <w:t>153</w:t>
            </w:r>
          </w:p>
        </w:tc>
        <w:tc>
          <w:tcPr>
            <w:tcW w:w="1185" w:type="dxa"/>
            <w:noWrap/>
            <w:vAlign w:val="center"/>
          </w:tcPr>
          <w:p w14:paraId="4CE5126F" w14:textId="77777777" w:rsidR="00BA376D" w:rsidRPr="00BA376D" w:rsidRDefault="00BA376D" w:rsidP="00623F54">
            <w:pPr>
              <w:jc w:val="center"/>
              <w:cnfStyle w:val="000000100000" w:firstRow="0" w:lastRow="0" w:firstColumn="0" w:lastColumn="0" w:oddVBand="0" w:evenVBand="0" w:oddHBand="1" w:evenHBand="0" w:firstRowFirstColumn="0" w:firstRowLastColumn="0" w:lastRowFirstColumn="0" w:lastRowLastColumn="0"/>
              <w:rPr>
                <w:rFonts w:ascii="Arial" w:hAnsi="Arial" w:cs="Arial"/>
                <w:b/>
                <w:sz w:val="16"/>
                <w:szCs w:val="16"/>
              </w:rPr>
            </w:pPr>
            <w:r>
              <w:rPr>
                <w:rFonts w:ascii="Arial" w:hAnsi="Arial"/>
                <w:b/>
                <w:sz w:val="16"/>
              </w:rPr>
              <w:t>83%</w:t>
            </w:r>
          </w:p>
        </w:tc>
        <w:tc>
          <w:tcPr>
            <w:tcW w:w="849" w:type="dxa"/>
            <w:noWrap/>
            <w:vAlign w:val="center"/>
          </w:tcPr>
          <w:p w14:paraId="0B01020C" w14:textId="77777777" w:rsidR="00BA376D" w:rsidRPr="00BA376D" w:rsidRDefault="00BA376D" w:rsidP="00623F54">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Pr>
                <w:rFonts w:ascii="Arial" w:hAnsi="Arial"/>
                <w:sz w:val="16"/>
              </w:rPr>
              <w:t>172</w:t>
            </w:r>
          </w:p>
        </w:tc>
        <w:tc>
          <w:tcPr>
            <w:tcW w:w="749" w:type="dxa"/>
            <w:noWrap/>
            <w:vAlign w:val="center"/>
          </w:tcPr>
          <w:p w14:paraId="40B8320B" w14:textId="77777777" w:rsidR="00BA376D" w:rsidRPr="00BA376D" w:rsidRDefault="00BA376D" w:rsidP="00623F54">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Pr>
                <w:rFonts w:ascii="Arial" w:hAnsi="Arial"/>
                <w:sz w:val="16"/>
              </w:rPr>
              <w:t>110</w:t>
            </w:r>
          </w:p>
        </w:tc>
        <w:tc>
          <w:tcPr>
            <w:tcW w:w="1224" w:type="dxa"/>
            <w:noWrap/>
            <w:vAlign w:val="center"/>
          </w:tcPr>
          <w:p w14:paraId="7564A5DC" w14:textId="77777777" w:rsidR="00BA376D" w:rsidRPr="00BA376D" w:rsidRDefault="00BA376D" w:rsidP="00623F54">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rPr>
            </w:pPr>
            <w:r>
              <w:rPr>
                <w:rFonts w:ascii="Arial" w:hAnsi="Arial"/>
                <w:b/>
                <w:sz w:val="16"/>
              </w:rPr>
              <w:t>64%</w:t>
            </w:r>
          </w:p>
        </w:tc>
      </w:tr>
      <w:tr w:rsidR="00623F54" w:rsidRPr="00BA376D" w14:paraId="129CD9F2" w14:textId="77777777" w:rsidTr="00623F54">
        <w:trPr>
          <w:trHeight w:val="300"/>
          <w:jc w:val="center"/>
        </w:trPr>
        <w:tc>
          <w:tcPr>
            <w:cnfStyle w:val="001000000000" w:firstRow="0" w:lastRow="0" w:firstColumn="1" w:lastColumn="0" w:oddVBand="0" w:evenVBand="0" w:oddHBand="0" w:evenHBand="0" w:firstRowFirstColumn="0" w:firstRowLastColumn="0" w:lastRowFirstColumn="0" w:lastRowLastColumn="0"/>
            <w:tcW w:w="950" w:type="dxa"/>
            <w:noWrap/>
            <w:vAlign w:val="center"/>
          </w:tcPr>
          <w:p w14:paraId="6356F7C4" w14:textId="77777777" w:rsidR="00BA376D" w:rsidRPr="00BA376D" w:rsidRDefault="00BA376D" w:rsidP="00623F54">
            <w:pPr>
              <w:jc w:val="center"/>
              <w:rPr>
                <w:rFonts w:ascii="Arial" w:hAnsi="Arial" w:cs="Arial"/>
                <w:iCs/>
                <w:sz w:val="16"/>
                <w:szCs w:val="16"/>
              </w:rPr>
            </w:pPr>
            <w:r>
              <w:rPr>
                <w:rFonts w:ascii="Arial" w:hAnsi="Arial"/>
                <w:sz w:val="16"/>
              </w:rPr>
              <w:t>number of persons</w:t>
            </w:r>
          </w:p>
        </w:tc>
        <w:tc>
          <w:tcPr>
            <w:tcW w:w="775" w:type="dxa"/>
            <w:noWrap/>
            <w:vAlign w:val="center"/>
          </w:tcPr>
          <w:p w14:paraId="1A6C01E8" w14:textId="77777777" w:rsidR="00BA376D" w:rsidRPr="00BA376D" w:rsidRDefault="00BA376D" w:rsidP="00623F54">
            <w:pPr>
              <w:jc w:val="center"/>
              <w:cnfStyle w:val="000000000000" w:firstRow="0" w:lastRow="0" w:firstColumn="0" w:lastColumn="0" w:oddVBand="0" w:evenVBand="0" w:oddHBand="0" w:evenHBand="0" w:firstRowFirstColumn="0" w:firstRowLastColumn="0" w:lastRowFirstColumn="0" w:lastRowLastColumn="0"/>
              <w:rPr>
                <w:rFonts w:ascii="Arial" w:hAnsi="Arial" w:cs="Arial"/>
                <w:i/>
                <w:iCs/>
                <w:sz w:val="16"/>
                <w:szCs w:val="16"/>
              </w:rPr>
            </w:pPr>
            <w:r>
              <w:rPr>
                <w:rFonts w:ascii="Arial" w:hAnsi="Arial"/>
                <w:i/>
                <w:sz w:val="16"/>
              </w:rPr>
              <w:t>217,087</w:t>
            </w:r>
          </w:p>
        </w:tc>
        <w:tc>
          <w:tcPr>
            <w:tcW w:w="786" w:type="dxa"/>
            <w:noWrap/>
            <w:vAlign w:val="center"/>
          </w:tcPr>
          <w:p w14:paraId="3C91E3BE" w14:textId="77777777" w:rsidR="00BA376D" w:rsidRPr="00BA376D" w:rsidRDefault="00BA376D" w:rsidP="00623F54">
            <w:pPr>
              <w:jc w:val="center"/>
              <w:cnfStyle w:val="000000000000" w:firstRow="0" w:lastRow="0" w:firstColumn="0" w:lastColumn="0" w:oddVBand="0" w:evenVBand="0" w:oddHBand="0" w:evenHBand="0" w:firstRowFirstColumn="0" w:firstRowLastColumn="0" w:lastRowFirstColumn="0" w:lastRowLastColumn="0"/>
              <w:rPr>
                <w:rFonts w:ascii="Arial" w:hAnsi="Arial" w:cs="Arial"/>
                <w:i/>
                <w:iCs/>
                <w:sz w:val="16"/>
                <w:szCs w:val="16"/>
              </w:rPr>
            </w:pPr>
            <w:r>
              <w:rPr>
                <w:rFonts w:ascii="Arial" w:hAnsi="Arial"/>
                <w:i/>
                <w:sz w:val="16"/>
              </w:rPr>
              <w:t>195,061</w:t>
            </w:r>
          </w:p>
        </w:tc>
        <w:tc>
          <w:tcPr>
            <w:tcW w:w="1148" w:type="dxa"/>
            <w:noWrap/>
            <w:vAlign w:val="center"/>
          </w:tcPr>
          <w:p w14:paraId="43DACE49" w14:textId="77777777" w:rsidR="00BA376D" w:rsidRPr="00BA376D" w:rsidRDefault="00BA376D" w:rsidP="00623F54">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16"/>
                <w:szCs w:val="16"/>
              </w:rPr>
            </w:pPr>
            <w:r>
              <w:rPr>
                <w:rFonts w:ascii="Arial" w:hAnsi="Arial"/>
                <w:b/>
                <w:sz w:val="16"/>
              </w:rPr>
              <w:t>90%</w:t>
            </w:r>
          </w:p>
        </w:tc>
        <w:tc>
          <w:tcPr>
            <w:tcW w:w="814" w:type="dxa"/>
            <w:noWrap/>
            <w:vAlign w:val="center"/>
          </w:tcPr>
          <w:p w14:paraId="3C288D54" w14:textId="77777777" w:rsidR="00BA376D" w:rsidRPr="00BA376D" w:rsidRDefault="00BA376D" w:rsidP="00623F54">
            <w:pPr>
              <w:jc w:val="center"/>
              <w:cnfStyle w:val="000000000000" w:firstRow="0" w:lastRow="0" w:firstColumn="0" w:lastColumn="0" w:oddVBand="0" w:evenVBand="0" w:oddHBand="0" w:evenHBand="0" w:firstRowFirstColumn="0" w:firstRowLastColumn="0" w:lastRowFirstColumn="0" w:lastRowLastColumn="0"/>
              <w:rPr>
                <w:rFonts w:ascii="Arial" w:hAnsi="Arial" w:cs="Arial"/>
                <w:i/>
                <w:iCs/>
                <w:sz w:val="16"/>
                <w:szCs w:val="16"/>
              </w:rPr>
            </w:pPr>
            <w:r>
              <w:rPr>
                <w:rFonts w:ascii="Arial" w:hAnsi="Arial"/>
                <w:i/>
                <w:sz w:val="16"/>
              </w:rPr>
              <w:t>240,686</w:t>
            </w:r>
          </w:p>
        </w:tc>
        <w:tc>
          <w:tcPr>
            <w:tcW w:w="808" w:type="dxa"/>
            <w:noWrap/>
            <w:vAlign w:val="center"/>
          </w:tcPr>
          <w:p w14:paraId="7AC29BF0" w14:textId="77777777" w:rsidR="00BA376D" w:rsidRPr="00BA376D" w:rsidRDefault="00BA376D" w:rsidP="00623F54">
            <w:pPr>
              <w:jc w:val="center"/>
              <w:cnfStyle w:val="000000000000" w:firstRow="0" w:lastRow="0" w:firstColumn="0" w:lastColumn="0" w:oddVBand="0" w:evenVBand="0" w:oddHBand="0" w:evenHBand="0" w:firstRowFirstColumn="0" w:firstRowLastColumn="0" w:lastRowFirstColumn="0" w:lastRowLastColumn="0"/>
              <w:rPr>
                <w:rFonts w:ascii="Arial" w:hAnsi="Arial" w:cs="Arial"/>
                <w:i/>
                <w:iCs/>
                <w:sz w:val="16"/>
                <w:szCs w:val="16"/>
              </w:rPr>
            </w:pPr>
            <w:r>
              <w:rPr>
                <w:rFonts w:ascii="Arial" w:hAnsi="Arial"/>
                <w:i/>
                <w:sz w:val="16"/>
              </w:rPr>
              <w:t>22 5227</w:t>
            </w:r>
          </w:p>
        </w:tc>
        <w:tc>
          <w:tcPr>
            <w:tcW w:w="1185" w:type="dxa"/>
            <w:noWrap/>
            <w:vAlign w:val="center"/>
          </w:tcPr>
          <w:p w14:paraId="16E550E2" w14:textId="77777777" w:rsidR="00BA376D" w:rsidRPr="00BA376D" w:rsidRDefault="00BA376D" w:rsidP="00623F54">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16"/>
                <w:szCs w:val="16"/>
              </w:rPr>
            </w:pPr>
            <w:r>
              <w:rPr>
                <w:rFonts w:ascii="Arial" w:hAnsi="Arial"/>
                <w:b/>
                <w:sz w:val="16"/>
              </w:rPr>
              <w:t>94%</w:t>
            </w:r>
          </w:p>
        </w:tc>
        <w:tc>
          <w:tcPr>
            <w:tcW w:w="849" w:type="dxa"/>
            <w:noWrap/>
            <w:vAlign w:val="center"/>
          </w:tcPr>
          <w:p w14:paraId="765CA9F7" w14:textId="77777777" w:rsidR="00BA376D" w:rsidRPr="00BA376D" w:rsidRDefault="00BA376D" w:rsidP="00623F54">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i/>
                <w:iCs/>
                <w:sz w:val="16"/>
                <w:szCs w:val="16"/>
              </w:rPr>
            </w:pPr>
            <w:r>
              <w:rPr>
                <w:rFonts w:ascii="Arial" w:hAnsi="Arial"/>
                <w:b/>
                <w:i/>
                <w:sz w:val="16"/>
              </w:rPr>
              <w:t>228,112</w:t>
            </w:r>
          </w:p>
        </w:tc>
        <w:tc>
          <w:tcPr>
            <w:tcW w:w="749" w:type="dxa"/>
            <w:noWrap/>
            <w:vAlign w:val="center"/>
          </w:tcPr>
          <w:p w14:paraId="5BF16DF4" w14:textId="77777777" w:rsidR="00BA376D" w:rsidRPr="00BA376D" w:rsidRDefault="00BA376D" w:rsidP="00623F54">
            <w:pPr>
              <w:jc w:val="center"/>
              <w:cnfStyle w:val="000000000000" w:firstRow="0" w:lastRow="0" w:firstColumn="0" w:lastColumn="0" w:oddVBand="0" w:evenVBand="0" w:oddHBand="0" w:evenHBand="0" w:firstRowFirstColumn="0" w:firstRowLastColumn="0" w:lastRowFirstColumn="0" w:lastRowLastColumn="0"/>
              <w:rPr>
                <w:rFonts w:ascii="Arial" w:hAnsi="Arial" w:cs="Arial"/>
                <w:i/>
                <w:iCs/>
                <w:sz w:val="16"/>
                <w:szCs w:val="16"/>
              </w:rPr>
            </w:pPr>
            <w:r>
              <w:rPr>
                <w:rFonts w:ascii="Arial" w:hAnsi="Arial"/>
                <w:i/>
                <w:sz w:val="16"/>
              </w:rPr>
              <w:t>17 8375</w:t>
            </w:r>
          </w:p>
        </w:tc>
        <w:tc>
          <w:tcPr>
            <w:tcW w:w="1224" w:type="dxa"/>
            <w:noWrap/>
            <w:vAlign w:val="center"/>
          </w:tcPr>
          <w:p w14:paraId="581401FB" w14:textId="77777777" w:rsidR="00BA376D" w:rsidRPr="00BA376D" w:rsidRDefault="00BA376D" w:rsidP="00623F54">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16"/>
                <w:szCs w:val="16"/>
              </w:rPr>
            </w:pPr>
            <w:r>
              <w:rPr>
                <w:rFonts w:ascii="Arial" w:hAnsi="Arial"/>
                <w:b/>
                <w:sz w:val="16"/>
              </w:rPr>
              <w:t>78%</w:t>
            </w:r>
          </w:p>
        </w:tc>
      </w:tr>
      <w:tr w:rsidR="00BA376D" w:rsidRPr="00BA376D" w14:paraId="11B420F3" w14:textId="77777777" w:rsidTr="00623F54">
        <w:trPr>
          <w:cnfStyle w:val="000000100000" w:firstRow="0" w:lastRow="0" w:firstColumn="0" w:lastColumn="0" w:oddVBand="0" w:evenVBand="0" w:oddHBand="1" w:evenHBand="0" w:firstRowFirstColumn="0" w:firstRowLastColumn="0" w:lastRowFirstColumn="0" w:lastRowLastColumn="0"/>
          <w:trHeight w:val="227"/>
          <w:jc w:val="center"/>
        </w:trPr>
        <w:tc>
          <w:tcPr>
            <w:cnfStyle w:val="001000000000" w:firstRow="0" w:lastRow="0" w:firstColumn="1" w:lastColumn="0" w:oddVBand="0" w:evenVBand="0" w:oddHBand="0" w:evenHBand="0" w:firstRowFirstColumn="0" w:firstRowLastColumn="0" w:lastRowFirstColumn="0" w:lastRowLastColumn="0"/>
            <w:tcW w:w="9288" w:type="dxa"/>
            <w:gridSpan w:val="10"/>
            <w:noWrap/>
            <w:vAlign w:val="center"/>
          </w:tcPr>
          <w:p w14:paraId="2661D1A3" w14:textId="77777777" w:rsidR="00BA376D" w:rsidRPr="00BA376D" w:rsidRDefault="00BA376D" w:rsidP="00623F54">
            <w:pPr>
              <w:jc w:val="center"/>
              <w:rPr>
                <w:rFonts w:ascii="Arial" w:hAnsi="Arial" w:cs="Arial"/>
                <w:sz w:val="16"/>
                <w:szCs w:val="16"/>
              </w:rPr>
            </w:pPr>
            <w:r>
              <w:rPr>
                <w:rFonts w:ascii="Arial" w:hAnsi="Arial"/>
                <w:sz w:val="16"/>
              </w:rPr>
              <w:t>Rehabilitation treatment stays</w:t>
            </w:r>
          </w:p>
        </w:tc>
      </w:tr>
      <w:tr w:rsidR="00623F54" w:rsidRPr="00BA376D" w14:paraId="339F7F22" w14:textId="77777777" w:rsidTr="00623F54">
        <w:trPr>
          <w:trHeight w:val="300"/>
          <w:jc w:val="center"/>
        </w:trPr>
        <w:tc>
          <w:tcPr>
            <w:cnfStyle w:val="001000000000" w:firstRow="0" w:lastRow="0" w:firstColumn="1" w:lastColumn="0" w:oddVBand="0" w:evenVBand="0" w:oddHBand="0" w:evenHBand="0" w:firstRowFirstColumn="0" w:firstRowLastColumn="0" w:lastRowFirstColumn="0" w:lastRowLastColumn="0"/>
            <w:tcW w:w="950" w:type="dxa"/>
            <w:noWrap/>
            <w:vAlign w:val="center"/>
            <w:hideMark/>
          </w:tcPr>
          <w:p w14:paraId="4660CFBC" w14:textId="77777777" w:rsidR="00BA376D" w:rsidRPr="00BA376D" w:rsidRDefault="00BA376D" w:rsidP="00623F54">
            <w:pPr>
              <w:jc w:val="center"/>
              <w:rPr>
                <w:rFonts w:ascii="Arial" w:hAnsi="Arial" w:cs="Arial"/>
                <w:sz w:val="16"/>
                <w:szCs w:val="16"/>
              </w:rPr>
            </w:pPr>
            <w:r>
              <w:rPr>
                <w:rFonts w:ascii="Arial" w:hAnsi="Arial"/>
                <w:sz w:val="16"/>
              </w:rPr>
              <w:t>amount</w:t>
            </w:r>
          </w:p>
          <w:p w14:paraId="0B0E47C0" w14:textId="77777777" w:rsidR="00BA376D" w:rsidRPr="00BA376D" w:rsidRDefault="00623F54" w:rsidP="00623F54">
            <w:pPr>
              <w:jc w:val="center"/>
              <w:rPr>
                <w:rFonts w:ascii="Arial" w:hAnsi="Arial" w:cs="Arial"/>
                <w:sz w:val="16"/>
                <w:szCs w:val="16"/>
              </w:rPr>
            </w:pPr>
            <w:r>
              <w:rPr>
                <w:rFonts w:ascii="Arial" w:hAnsi="Arial"/>
                <w:sz w:val="16"/>
              </w:rPr>
              <w:t>in PLN million</w:t>
            </w:r>
          </w:p>
        </w:tc>
        <w:tc>
          <w:tcPr>
            <w:tcW w:w="775" w:type="dxa"/>
            <w:noWrap/>
            <w:vAlign w:val="center"/>
            <w:hideMark/>
          </w:tcPr>
          <w:p w14:paraId="3DE34C2B" w14:textId="77777777" w:rsidR="00BA376D" w:rsidRPr="00BA376D" w:rsidRDefault="00BA376D" w:rsidP="00623F54">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p>
        </w:tc>
        <w:tc>
          <w:tcPr>
            <w:tcW w:w="786" w:type="dxa"/>
            <w:noWrap/>
            <w:vAlign w:val="center"/>
            <w:hideMark/>
          </w:tcPr>
          <w:p w14:paraId="53EDE908" w14:textId="77777777" w:rsidR="00BA376D" w:rsidRPr="00BA376D" w:rsidRDefault="00BA376D" w:rsidP="00623F54">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Pr>
                <w:rFonts w:ascii="Arial" w:hAnsi="Arial"/>
                <w:sz w:val="16"/>
              </w:rPr>
              <w:t>42</w:t>
            </w:r>
          </w:p>
        </w:tc>
        <w:tc>
          <w:tcPr>
            <w:tcW w:w="1148" w:type="dxa"/>
            <w:noWrap/>
            <w:vAlign w:val="center"/>
            <w:hideMark/>
          </w:tcPr>
          <w:p w14:paraId="6911C8D2" w14:textId="77777777" w:rsidR="00BA376D" w:rsidRPr="00BA376D" w:rsidRDefault="00BA376D" w:rsidP="00623F54">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p>
        </w:tc>
        <w:tc>
          <w:tcPr>
            <w:tcW w:w="814" w:type="dxa"/>
            <w:noWrap/>
            <w:vAlign w:val="center"/>
            <w:hideMark/>
          </w:tcPr>
          <w:p w14:paraId="6A521639" w14:textId="77777777" w:rsidR="00BA376D" w:rsidRPr="00BA376D" w:rsidRDefault="00BA376D" w:rsidP="00623F54">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p>
        </w:tc>
        <w:tc>
          <w:tcPr>
            <w:tcW w:w="808" w:type="dxa"/>
            <w:noWrap/>
            <w:vAlign w:val="center"/>
            <w:hideMark/>
          </w:tcPr>
          <w:p w14:paraId="6A2B8529" w14:textId="77777777" w:rsidR="00BA376D" w:rsidRPr="00BA376D" w:rsidRDefault="00BA376D" w:rsidP="00623F54">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Pr>
                <w:rFonts w:ascii="Arial" w:hAnsi="Arial"/>
                <w:sz w:val="16"/>
              </w:rPr>
              <w:t>120</w:t>
            </w:r>
          </w:p>
        </w:tc>
        <w:tc>
          <w:tcPr>
            <w:tcW w:w="1185" w:type="dxa"/>
            <w:noWrap/>
            <w:vAlign w:val="center"/>
            <w:hideMark/>
          </w:tcPr>
          <w:p w14:paraId="22A06AC9" w14:textId="77777777" w:rsidR="00BA376D" w:rsidRPr="00BA376D" w:rsidRDefault="00BA376D" w:rsidP="00623F54">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p>
        </w:tc>
        <w:tc>
          <w:tcPr>
            <w:tcW w:w="849" w:type="dxa"/>
            <w:noWrap/>
            <w:vAlign w:val="center"/>
            <w:hideMark/>
          </w:tcPr>
          <w:p w14:paraId="7F2D6247" w14:textId="77777777" w:rsidR="00BA376D" w:rsidRPr="00BA376D" w:rsidRDefault="00BA376D" w:rsidP="00623F54">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p>
        </w:tc>
        <w:tc>
          <w:tcPr>
            <w:tcW w:w="749" w:type="dxa"/>
            <w:noWrap/>
            <w:vAlign w:val="center"/>
            <w:hideMark/>
          </w:tcPr>
          <w:p w14:paraId="0B204604" w14:textId="77777777" w:rsidR="00BA376D" w:rsidRPr="00BA376D" w:rsidRDefault="00BA376D" w:rsidP="00623F54">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Pr>
                <w:rFonts w:ascii="Arial" w:hAnsi="Arial"/>
                <w:sz w:val="16"/>
              </w:rPr>
              <w:t>55</w:t>
            </w:r>
          </w:p>
        </w:tc>
        <w:tc>
          <w:tcPr>
            <w:tcW w:w="1224" w:type="dxa"/>
            <w:noWrap/>
            <w:vAlign w:val="center"/>
            <w:hideMark/>
          </w:tcPr>
          <w:p w14:paraId="702AC39E" w14:textId="77777777" w:rsidR="00BA376D" w:rsidRPr="00BA376D" w:rsidRDefault="00BA376D" w:rsidP="00623F54">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p>
        </w:tc>
      </w:tr>
      <w:tr w:rsidR="00623F54" w:rsidRPr="00BA376D" w14:paraId="43A4BC33" w14:textId="77777777" w:rsidTr="00623F5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50" w:type="dxa"/>
            <w:noWrap/>
            <w:vAlign w:val="center"/>
            <w:hideMark/>
          </w:tcPr>
          <w:p w14:paraId="08DD0336" w14:textId="77777777" w:rsidR="00BA376D" w:rsidRPr="00BA376D" w:rsidRDefault="00BA376D" w:rsidP="00623F54">
            <w:pPr>
              <w:jc w:val="center"/>
              <w:rPr>
                <w:rFonts w:ascii="Arial" w:hAnsi="Arial" w:cs="Arial"/>
                <w:iCs/>
                <w:sz w:val="16"/>
                <w:szCs w:val="16"/>
              </w:rPr>
            </w:pPr>
            <w:r>
              <w:rPr>
                <w:rFonts w:ascii="Arial" w:hAnsi="Arial"/>
                <w:sz w:val="16"/>
              </w:rPr>
              <w:t>number of persons</w:t>
            </w:r>
          </w:p>
        </w:tc>
        <w:tc>
          <w:tcPr>
            <w:tcW w:w="775" w:type="dxa"/>
            <w:noWrap/>
            <w:vAlign w:val="center"/>
            <w:hideMark/>
          </w:tcPr>
          <w:p w14:paraId="21D0E983" w14:textId="77777777" w:rsidR="00BA376D" w:rsidRPr="00BA376D" w:rsidRDefault="00BA376D" w:rsidP="00623F54">
            <w:pPr>
              <w:jc w:val="center"/>
              <w:cnfStyle w:val="000000100000" w:firstRow="0" w:lastRow="0" w:firstColumn="0" w:lastColumn="0" w:oddVBand="0" w:evenVBand="0" w:oddHBand="1" w:evenHBand="0" w:firstRowFirstColumn="0" w:firstRowLastColumn="0" w:lastRowFirstColumn="0" w:lastRowLastColumn="0"/>
              <w:rPr>
                <w:rFonts w:ascii="Arial" w:hAnsi="Arial" w:cs="Arial"/>
                <w:i/>
                <w:iCs/>
                <w:sz w:val="16"/>
                <w:szCs w:val="16"/>
              </w:rPr>
            </w:pPr>
            <w:r>
              <w:rPr>
                <w:rFonts w:ascii="Arial" w:hAnsi="Arial"/>
                <w:i/>
                <w:sz w:val="16"/>
              </w:rPr>
              <w:t>168,676</w:t>
            </w:r>
          </w:p>
        </w:tc>
        <w:tc>
          <w:tcPr>
            <w:tcW w:w="786" w:type="dxa"/>
            <w:noWrap/>
            <w:vAlign w:val="center"/>
            <w:hideMark/>
          </w:tcPr>
          <w:p w14:paraId="669B1796" w14:textId="77777777" w:rsidR="00BA376D" w:rsidRPr="00BA376D" w:rsidRDefault="00BA376D" w:rsidP="00623F54">
            <w:pPr>
              <w:jc w:val="center"/>
              <w:cnfStyle w:val="000000100000" w:firstRow="0" w:lastRow="0" w:firstColumn="0" w:lastColumn="0" w:oddVBand="0" w:evenVBand="0" w:oddHBand="1" w:evenHBand="0" w:firstRowFirstColumn="0" w:firstRowLastColumn="0" w:lastRowFirstColumn="0" w:lastRowLastColumn="0"/>
              <w:rPr>
                <w:rFonts w:ascii="Arial" w:hAnsi="Arial" w:cs="Arial"/>
                <w:i/>
                <w:iCs/>
                <w:sz w:val="16"/>
                <w:szCs w:val="16"/>
              </w:rPr>
            </w:pPr>
            <w:r>
              <w:rPr>
                <w:rFonts w:ascii="Arial" w:hAnsi="Arial"/>
                <w:i/>
                <w:sz w:val="16"/>
              </w:rPr>
              <w:t>58,702</w:t>
            </w:r>
          </w:p>
        </w:tc>
        <w:tc>
          <w:tcPr>
            <w:tcW w:w="1148" w:type="dxa"/>
            <w:noWrap/>
            <w:vAlign w:val="center"/>
            <w:hideMark/>
          </w:tcPr>
          <w:p w14:paraId="66E4BCE4" w14:textId="77777777" w:rsidR="00BA376D" w:rsidRPr="00BA376D" w:rsidRDefault="00BA376D" w:rsidP="00623F54">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rPr>
            </w:pPr>
            <w:r>
              <w:rPr>
                <w:rFonts w:ascii="Arial" w:hAnsi="Arial"/>
                <w:b/>
                <w:sz w:val="16"/>
              </w:rPr>
              <w:t>35%</w:t>
            </w:r>
          </w:p>
        </w:tc>
        <w:tc>
          <w:tcPr>
            <w:tcW w:w="814" w:type="dxa"/>
            <w:noWrap/>
            <w:vAlign w:val="center"/>
            <w:hideMark/>
          </w:tcPr>
          <w:p w14:paraId="702F6A24" w14:textId="77777777" w:rsidR="00BA376D" w:rsidRPr="00BA376D" w:rsidRDefault="00BA376D" w:rsidP="00623F54">
            <w:pPr>
              <w:jc w:val="center"/>
              <w:cnfStyle w:val="000000100000" w:firstRow="0" w:lastRow="0" w:firstColumn="0" w:lastColumn="0" w:oddVBand="0" w:evenVBand="0" w:oddHBand="1" w:evenHBand="0" w:firstRowFirstColumn="0" w:firstRowLastColumn="0" w:lastRowFirstColumn="0" w:lastRowLastColumn="0"/>
              <w:rPr>
                <w:rFonts w:ascii="Arial" w:hAnsi="Arial" w:cs="Arial"/>
                <w:i/>
                <w:iCs/>
                <w:sz w:val="16"/>
                <w:szCs w:val="16"/>
              </w:rPr>
            </w:pPr>
            <w:r>
              <w:rPr>
                <w:rFonts w:ascii="Arial" w:hAnsi="Arial"/>
                <w:i/>
                <w:sz w:val="16"/>
              </w:rPr>
              <w:t>180,110</w:t>
            </w:r>
          </w:p>
        </w:tc>
        <w:tc>
          <w:tcPr>
            <w:tcW w:w="808" w:type="dxa"/>
            <w:noWrap/>
            <w:vAlign w:val="center"/>
            <w:hideMark/>
          </w:tcPr>
          <w:p w14:paraId="6607D5D2" w14:textId="77777777" w:rsidR="00BA376D" w:rsidRPr="00BA376D" w:rsidRDefault="00BA376D" w:rsidP="00623F54">
            <w:pPr>
              <w:jc w:val="center"/>
              <w:cnfStyle w:val="000000100000" w:firstRow="0" w:lastRow="0" w:firstColumn="0" w:lastColumn="0" w:oddVBand="0" w:evenVBand="0" w:oddHBand="1" w:evenHBand="0" w:firstRowFirstColumn="0" w:firstRowLastColumn="0" w:lastRowFirstColumn="0" w:lastRowLastColumn="0"/>
              <w:rPr>
                <w:rFonts w:ascii="Arial" w:hAnsi="Arial" w:cs="Arial"/>
                <w:i/>
                <w:iCs/>
                <w:sz w:val="16"/>
                <w:szCs w:val="16"/>
              </w:rPr>
            </w:pPr>
            <w:r>
              <w:rPr>
                <w:rFonts w:ascii="Arial" w:hAnsi="Arial"/>
                <w:i/>
                <w:sz w:val="16"/>
              </w:rPr>
              <w:t>149,487</w:t>
            </w:r>
          </w:p>
        </w:tc>
        <w:tc>
          <w:tcPr>
            <w:tcW w:w="1185" w:type="dxa"/>
            <w:noWrap/>
            <w:vAlign w:val="center"/>
            <w:hideMark/>
          </w:tcPr>
          <w:p w14:paraId="55A2C51C" w14:textId="77777777" w:rsidR="00BA376D" w:rsidRPr="00BA376D" w:rsidRDefault="00BA376D" w:rsidP="00623F54">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rPr>
            </w:pPr>
            <w:r>
              <w:rPr>
                <w:rFonts w:ascii="Arial" w:hAnsi="Arial"/>
                <w:b/>
                <w:sz w:val="16"/>
              </w:rPr>
              <w:t>83%</w:t>
            </w:r>
          </w:p>
        </w:tc>
        <w:tc>
          <w:tcPr>
            <w:tcW w:w="849" w:type="dxa"/>
            <w:noWrap/>
            <w:vAlign w:val="center"/>
            <w:hideMark/>
          </w:tcPr>
          <w:p w14:paraId="6070AB9F" w14:textId="77777777" w:rsidR="00BA376D" w:rsidRPr="00BA376D" w:rsidRDefault="00BA376D" w:rsidP="00623F54">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i/>
                <w:iCs/>
                <w:sz w:val="16"/>
                <w:szCs w:val="16"/>
              </w:rPr>
            </w:pPr>
            <w:r>
              <w:rPr>
                <w:rFonts w:ascii="Arial" w:hAnsi="Arial"/>
                <w:b/>
                <w:i/>
                <w:sz w:val="16"/>
              </w:rPr>
              <w:t>164,000</w:t>
            </w:r>
          </w:p>
        </w:tc>
        <w:tc>
          <w:tcPr>
            <w:tcW w:w="749" w:type="dxa"/>
            <w:noWrap/>
            <w:vAlign w:val="center"/>
            <w:hideMark/>
          </w:tcPr>
          <w:p w14:paraId="5D74D48B" w14:textId="77777777" w:rsidR="00BA376D" w:rsidRPr="00BA376D" w:rsidRDefault="00BA376D" w:rsidP="00623F54">
            <w:pPr>
              <w:jc w:val="center"/>
              <w:cnfStyle w:val="000000100000" w:firstRow="0" w:lastRow="0" w:firstColumn="0" w:lastColumn="0" w:oddVBand="0" w:evenVBand="0" w:oddHBand="1" w:evenHBand="0" w:firstRowFirstColumn="0" w:firstRowLastColumn="0" w:lastRowFirstColumn="0" w:lastRowLastColumn="0"/>
              <w:rPr>
                <w:rFonts w:ascii="Arial" w:hAnsi="Arial" w:cs="Arial"/>
                <w:i/>
                <w:iCs/>
                <w:sz w:val="16"/>
                <w:szCs w:val="16"/>
              </w:rPr>
            </w:pPr>
            <w:r>
              <w:rPr>
                <w:rFonts w:ascii="Arial" w:hAnsi="Arial"/>
                <w:i/>
                <w:sz w:val="16"/>
              </w:rPr>
              <w:t>67,000</w:t>
            </w:r>
          </w:p>
        </w:tc>
        <w:tc>
          <w:tcPr>
            <w:tcW w:w="1224" w:type="dxa"/>
            <w:noWrap/>
            <w:vAlign w:val="center"/>
            <w:hideMark/>
          </w:tcPr>
          <w:p w14:paraId="660AB3E8" w14:textId="77777777" w:rsidR="00BA376D" w:rsidRPr="00BA376D" w:rsidRDefault="00BA376D" w:rsidP="00623F54">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i/>
                <w:iCs/>
                <w:sz w:val="16"/>
                <w:szCs w:val="16"/>
              </w:rPr>
            </w:pPr>
            <w:r>
              <w:rPr>
                <w:rFonts w:ascii="Arial" w:hAnsi="Arial"/>
                <w:b/>
                <w:i/>
                <w:sz w:val="16"/>
              </w:rPr>
              <w:t>41%</w:t>
            </w:r>
          </w:p>
        </w:tc>
      </w:tr>
      <w:tr w:rsidR="00BA376D" w:rsidRPr="00BA376D" w14:paraId="79DA7B89" w14:textId="77777777" w:rsidTr="00623F54">
        <w:trPr>
          <w:trHeight w:val="227"/>
          <w:jc w:val="center"/>
        </w:trPr>
        <w:tc>
          <w:tcPr>
            <w:cnfStyle w:val="001000000000" w:firstRow="0" w:lastRow="0" w:firstColumn="1" w:lastColumn="0" w:oddVBand="0" w:evenVBand="0" w:oddHBand="0" w:evenHBand="0" w:firstRowFirstColumn="0" w:firstRowLastColumn="0" w:lastRowFirstColumn="0" w:lastRowLastColumn="0"/>
            <w:tcW w:w="9288" w:type="dxa"/>
            <w:gridSpan w:val="10"/>
            <w:noWrap/>
            <w:vAlign w:val="center"/>
          </w:tcPr>
          <w:p w14:paraId="21D4C01A" w14:textId="77777777" w:rsidR="00BA376D" w:rsidRPr="00BA376D" w:rsidRDefault="00BA376D" w:rsidP="00623F54">
            <w:pPr>
              <w:jc w:val="center"/>
              <w:rPr>
                <w:rFonts w:ascii="Arial" w:hAnsi="Arial" w:cs="Arial"/>
                <w:sz w:val="16"/>
                <w:szCs w:val="16"/>
              </w:rPr>
            </w:pPr>
            <w:r>
              <w:rPr>
                <w:rFonts w:ascii="Arial" w:hAnsi="Arial"/>
                <w:sz w:val="16"/>
              </w:rPr>
              <w:t>Eliminating architectural, communication and technical barriers</w:t>
            </w:r>
          </w:p>
        </w:tc>
      </w:tr>
      <w:tr w:rsidR="00623F54" w:rsidRPr="00BA376D" w14:paraId="2EEF49A3" w14:textId="77777777" w:rsidTr="00623F5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50" w:type="dxa"/>
            <w:noWrap/>
            <w:vAlign w:val="center"/>
            <w:hideMark/>
          </w:tcPr>
          <w:p w14:paraId="4DC22BA8" w14:textId="77777777" w:rsidR="00BA376D" w:rsidRPr="00BA376D" w:rsidRDefault="00BA376D" w:rsidP="00623F54">
            <w:pPr>
              <w:jc w:val="center"/>
              <w:rPr>
                <w:rFonts w:ascii="Arial" w:hAnsi="Arial" w:cs="Arial"/>
                <w:sz w:val="16"/>
                <w:szCs w:val="16"/>
              </w:rPr>
            </w:pPr>
            <w:r>
              <w:rPr>
                <w:rFonts w:ascii="Arial" w:hAnsi="Arial"/>
                <w:sz w:val="16"/>
              </w:rPr>
              <w:t>amount</w:t>
            </w:r>
          </w:p>
          <w:p w14:paraId="2D11B3A9" w14:textId="77777777" w:rsidR="00BA376D" w:rsidRPr="00BA376D" w:rsidRDefault="00BA376D" w:rsidP="00623F54">
            <w:pPr>
              <w:jc w:val="center"/>
              <w:rPr>
                <w:rFonts w:ascii="Arial" w:hAnsi="Arial" w:cs="Arial"/>
                <w:sz w:val="16"/>
                <w:szCs w:val="16"/>
              </w:rPr>
            </w:pPr>
            <w:r>
              <w:rPr>
                <w:rFonts w:ascii="Arial" w:hAnsi="Arial"/>
                <w:sz w:val="16"/>
              </w:rPr>
              <w:t>in PLN million</w:t>
            </w:r>
          </w:p>
        </w:tc>
        <w:tc>
          <w:tcPr>
            <w:tcW w:w="775" w:type="dxa"/>
            <w:noWrap/>
            <w:vAlign w:val="center"/>
            <w:hideMark/>
          </w:tcPr>
          <w:p w14:paraId="1B2615E4" w14:textId="77777777" w:rsidR="00BA376D" w:rsidRPr="00BA376D" w:rsidRDefault="00BA376D" w:rsidP="00623F54">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Pr>
                <w:rFonts w:ascii="Arial" w:hAnsi="Arial"/>
                <w:sz w:val="16"/>
              </w:rPr>
              <w:t>220</w:t>
            </w:r>
          </w:p>
        </w:tc>
        <w:tc>
          <w:tcPr>
            <w:tcW w:w="786" w:type="dxa"/>
            <w:noWrap/>
            <w:vAlign w:val="center"/>
            <w:hideMark/>
          </w:tcPr>
          <w:p w14:paraId="1F2287D9" w14:textId="77777777" w:rsidR="00BA376D" w:rsidRPr="00BA376D" w:rsidRDefault="00BA376D" w:rsidP="00623F54">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Pr>
                <w:rFonts w:ascii="Arial" w:hAnsi="Arial"/>
                <w:sz w:val="16"/>
              </w:rPr>
              <w:t>52</w:t>
            </w:r>
          </w:p>
        </w:tc>
        <w:tc>
          <w:tcPr>
            <w:tcW w:w="1148" w:type="dxa"/>
            <w:noWrap/>
            <w:vAlign w:val="center"/>
            <w:hideMark/>
          </w:tcPr>
          <w:p w14:paraId="0AC25645" w14:textId="77777777" w:rsidR="00BA376D" w:rsidRPr="00BA376D" w:rsidRDefault="00BA376D" w:rsidP="00623F54">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rPr>
            </w:pPr>
            <w:r>
              <w:rPr>
                <w:rFonts w:ascii="Arial" w:hAnsi="Arial"/>
                <w:b/>
                <w:sz w:val="16"/>
              </w:rPr>
              <w:t>24%</w:t>
            </w:r>
          </w:p>
        </w:tc>
        <w:tc>
          <w:tcPr>
            <w:tcW w:w="814" w:type="dxa"/>
            <w:noWrap/>
            <w:vAlign w:val="center"/>
            <w:hideMark/>
          </w:tcPr>
          <w:p w14:paraId="5C743EA6" w14:textId="77777777" w:rsidR="00BA376D" w:rsidRPr="00BA376D" w:rsidRDefault="00BA376D" w:rsidP="00623F54">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Pr>
                <w:rFonts w:ascii="Arial" w:hAnsi="Arial"/>
                <w:sz w:val="16"/>
              </w:rPr>
              <w:t>252</w:t>
            </w:r>
          </w:p>
        </w:tc>
        <w:tc>
          <w:tcPr>
            <w:tcW w:w="808" w:type="dxa"/>
            <w:noWrap/>
            <w:vAlign w:val="center"/>
            <w:hideMark/>
          </w:tcPr>
          <w:p w14:paraId="72945F3C" w14:textId="77777777" w:rsidR="00BA376D" w:rsidRPr="00BA376D" w:rsidRDefault="00BA376D" w:rsidP="00623F54">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Pr>
                <w:rFonts w:ascii="Arial" w:hAnsi="Arial"/>
                <w:sz w:val="16"/>
              </w:rPr>
              <w:t>110</w:t>
            </w:r>
          </w:p>
        </w:tc>
        <w:tc>
          <w:tcPr>
            <w:tcW w:w="1185" w:type="dxa"/>
            <w:noWrap/>
            <w:vAlign w:val="center"/>
            <w:hideMark/>
          </w:tcPr>
          <w:p w14:paraId="41168771" w14:textId="77777777" w:rsidR="00BA376D" w:rsidRPr="00BA376D" w:rsidRDefault="00BA376D" w:rsidP="00623F54">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rPr>
            </w:pPr>
            <w:r>
              <w:rPr>
                <w:rFonts w:ascii="Arial" w:hAnsi="Arial"/>
                <w:b/>
                <w:sz w:val="16"/>
              </w:rPr>
              <w:t>44%</w:t>
            </w:r>
          </w:p>
        </w:tc>
        <w:tc>
          <w:tcPr>
            <w:tcW w:w="849" w:type="dxa"/>
            <w:noWrap/>
            <w:vAlign w:val="center"/>
            <w:hideMark/>
          </w:tcPr>
          <w:p w14:paraId="1856E3A1" w14:textId="77777777" w:rsidR="00BA376D" w:rsidRPr="00BA376D" w:rsidRDefault="00BA376D" w:rsidP="00623F54">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Pr>
                <w:rFonts w:ascii="Arial" w:hAnsi="Arial"/>
                <w:sz w:val="16"/>
              </w:rPr>
              <w:t>204</w:t>
            </w:r>
          </w:p>
        </w:tc>
        <w:tc>
          <w:tcPr>
            <w:tcW w:w="749" w:type="dxa"/>
            <w:noWrap/>
            <w:vAlign w:val="center"/>
            <w:hideMark/>
          </w:tcPr>
          <w:p w14:paraId="58674857" w14:textId="77777777" w:rsidR="00BA376D" w:rsidRPr="00BA376D" w:rsidRDefault="00BA376D" w:rsidP="00623F54">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Pr>
                <w:rFonts w:ascii="Arial" w:hAnsi="Arial"/>
                <w:sz w:val="16"/>
              </w:rPr>
              <w:t>51</w:t>
            </w:r>
          </w:p>
        </w:tc>
        <w:tc>
          <w:tcPr>
            <w:tcW w:w="1224" w:type="dxa"/>
            <w:noWrap/>
            <w:vAlign w:val="center"/>
            <w:hideMark/>
          </w:tcPr>
          <w:p w14:paraId="0D4F1BEF" w14:textId="77777777" w:rsidR="00BA376D" w:rsidRPr="00BA376D" w:rsidRDefault="00BA376D" w:rsidP="00623F54">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rPr>
            </w:pPr>
            <w:r>
              <w:rPr>
                <w:rFonts w:ascii="Arial" w:hAnsi="Arial"/>
                <w:b/>
                <w:sz w:val="16"/>
              </w:rPr>
              <w:t>25%</w:t>
            </w:r>
          </w:p>
        </w:tc>
      </w:tr>
      <w:tr w:rsidR="00623F54" w:rsidRPr="00BA376D" w14:paraId="2EFF377A" w14:textId="77777777" w:rsidTr="00623F54">
        <w:trPr>
          <w:trHeight w:val="300"/>
          <w:jc w:val="center"/>
        </w:trPr>
        <w:tc>
          <w:tcPr>
            <w:cnfStyle w:val="001000000000" w:firstRow="0" w:lastRow="0" w:firstColumn="1" w:lastColumn="0" w:oddVBand="0" w:evenVBand="0" w:oddHBand="0" w:evenHBand="0" w:firstRowFirstColumn="0" w:firstRowLastColumn="0" w:lastRowFirstColumn="0" w:lastRowLastColumn="0"/>
            <w:tcW w:w="950" w:type="dxa"/>
            <w:noWrap/>
            <w:vAlign w:val="center"/>
            <w:hideMark/>
          </w:tcPr>
          <w:p w14:paraId="2CE8B354" w14:textId="77777777" w:rsidR="00BA376D" w:rsidRPr="00BA376D" w:rsidRDefault="00BA376D" w:rsidP="00623F54">
            <w:pPr>
              <w:jc w:val="center"/>
              <w:rPr>
                <w:rFonts w:ascii="Arial" w:hAnsi="Arial" w:cs="Arial"/>
                <w:iCs/>
                <w:sz w:val="16"/>
                <w:szCs w:val="16"/>
              </w:rPr>
            </w:pPr>
            <w:r>
              <w:rPr>
                <w:rFonts w:ascii="Arial" w:hAnsi="Arial"/>
                <w:sz w:val="16"/>
              </w:rPr>
              <w:t>number of persons</w:t>
            </w:r>
          </w:p>
        </w:tc>
        <w:tc>
          <w:tcPr>
            <w:tcW w:w="775" w:type="dxa"/>
            <w:noWrap/>
            <w:vAlign w:val="center"/>
            <w:hideMark/>
          </w:tcPr>
          <w:p w14:paraId="7634716F" w14:textId="77777777" w:rsidR="00BA376D" w:rsidRPr="00BA376D" w:rsidRDefault="00BA376D" w:rsidP="00623F54">
            <w:pPr>
              <w:jc w:val="center"/>
              <w:cnfStyle w:val="000000000000" w:firstRow="0" w:lastRow="0" w:firstColumn="0" w:lastColumn="0" w:oddVBand="0" w:evenVBand="0" w:oddHBand="0" w:evenHBand="0" w:firstRowFirstColumn="0" w:firstRowLastColumn="0" w:lastRowFirstColumn="0" w:lastRowLastColumn="0"/>
              <w:rPr>
                <w:rFonts w:ascii="Arial" w:hAnsi="Arial" w:cs="Arial"/>
                <w:i/>
                <w:iCs/>
                <w:sz w:val="16"/>
                <w:szCs w:val="16"/>
              </w:rPr>
            </w:pPr>
            <w:r>
              <w:rPr>
                <w:rFonts w:ascii="Arial" w:hAnsi="Arial"/>
                <w:i/>
                <w:sz w:val="16"/>
              </w:rPr>
              <w:t>38,194</w:t>
            </w:r>
          </w:p>
        </w:tc>
        <w:tc>
          <w:tcPr>
            <w:tcW w:w="786" w:type="dxa"/>
            <w:noWrap/>
            <w:vAlign w:val="center"/>
            <w:hideMark/>
          </w:tcPr>
          <w:p w14:paraId="54F099F2" w14:textId="77777777" w:rsidR="00BA376D" w:rsidRPr="00BA376D" w:rsidRDefault="00BA376D" w:rsidP="00623F54">
            <w:pPr>
              <w:jc w:val="center"/>
              <w:cnfStyle w:val="000000000000" w:firstRow="0" w:lastRow="0" w:firstColumn="0" w:lastColumn="0" w:oddVBand="0" w:evenVBand="0" w:oddHBand="0" w:evenHBand="0" w:firstRowFirstColumn="0" w:firstRowLastColumn="0" w:lastRowFirstColumn="0" w:lastRowLastColumn="0"/>
              <w:rPr>
                <w:rFonts w:ascii="Arial" w:hAnsi="Arial" w:cs="Arial"/>
                <w:i/>
                <w:iCs/>
                <w:sz w:val="16"/>
                <w:szCs w:val="16"/>
              </w:rPr>
            </w:pPr>
            <w:r>
              <w:rPr>
                <w:rFonts w:ascii="Arial" w:hAnsi="Arial"/>
                <w:i/>
                <w:sz w:val="16"/>
              </w:rPr>
              <w:t>15,747</w:t>
            </w:r>
          </w:p>
        </w:tc>
        <w:tc>
          <w:tcPr>
            <w:tcW w:w="1148" w:type="dxa"/>
            <w:noWrap/>
            <w:vAlign w:val="center"/>
            <w:hideMark/>
          </w:tcPr>
          <w:p w14:paraId="2D4EC509" w14:textId="77777777" w:rsidR="00BA376D" w:rsidRPr="00BA376D" w:rsidRDefault="00BA376D" w:rsidP="00623F54">
            <w:pPr>
              <w:jc w:val="center"/>
              <w:cnfStyle w:val="000000000000" w:firstRow="0" w:lastRow="0" w:firstColumn="0" w:lastColumn="0" w:oddVBand="0" w:evenVBand="0" w:oddHBand="0" w:evenHBand="0" w:firstRowFirstColumn="0" w:firstRowLastColumn="0" w:lastRowFirstColumn="0" w:lastRowLastColumn="0"/>
              <w:rPr>
                <w:rFonts w:ascii="Arial" w:hAnsi="Arial" w:cs="Arial"/>
                <w:b/>
                <w:sz w:val="16"/>
                <w:szCs w:val="16"/>
              </w:rPr>
            </w:pPr>
            <w:r>
              <w:rPr>
                <w:rFonts w:ascii="Arial" w:hAnsi="Arial"/>
                <w:b/>
                <w:sz w:val="16"/>
              </w:rPr>
              <w:t>41%</w:t>
            </w:r>
          </w:p>
        </w:tc>
        <w:tc>
          <w:tcPr>
            <w:tcW w:w="814" w:type="dxa"/>
            <w:noWrap/>
            <w:vAlign w:val="center"/>
            <w:hideMark/>
          </w:tcPr>
          <w:p w14:paraId="41E9C83B" w14:textId="77777777" w:rsidR="00BA376D" w:rsidRPr="00BA376D" w:rsidRDefault="00BA376D" w:rsidP="00623F54">
            <w:pPr>
              <w:jc w:val="center"/>
              <w:cnfStyle w:val="000000000000" w:firstRow="0" w:lastRow="0" w:firstColumn="0" w:lastColumn="0" w:oddVBand="0" w:evenVBand="0" w:oddHBand="0" w:evenHBand="0" w:firstRowFirstColumn="0" w:firstRowLastColumn="0" w:lastRowFirstColumn="0" w:lastRowLastColumn="0"/>
              <w:rPr>
                <w:rFonts w:ascii="Arial" w:hAnsi="Arial" w:cs="Arial"/>
                <w:i/>
                <w:iCs/>
                <w:sz w:val="16"/>
                <w:szCs w:val="16"/>
              </w:rPr>
            </w:pPr>
            <w:r>
              <w:rPr>
                <w:rFonts w:ascii="Arial" w:hAnsi="Arial"/>
                <w:i/>
                <w:sz w:val="16"/>
              </w:rPr>
              <w:t>51,579</w:t>
            </w:r>
          </w:p>
        </w:tc>
        <w:tc>
          <w:tcPr>
            <w:tcW w:w="808" w:type="dxa"/>
            <w:noWrap/>
            <w:vAlign w:val="center"/>
            <w:hideMark/>
          </w:tcPr>
          <w:p w14:paraId="40B350BB" w14:textId="77777777" w:rsidR="00BA376D" w:rsidRPr="00BA376D" w:rsidRDefault="00BA376D" w:rsidP="00623F54">
            <w:pPr>
              <w:jc w:val="center"/>
              <w:cnfStyle w:val="000000000000" w:firstRow="0" w:lastRow="0" w:firstColumn="0" w:lastColumn="0" w:oddVBand="0" w:evenVBand="0" w:oddHBand="0" w:evenHBand="0" w:firstRowFirstColumn="0" w:firstRowLastColumn="0" w:lastRowFirstColumn="0" w:lastRowLastColumn="0"/>
              <w:rPr>
                <w:rFonts w:ascii="Arial" w:hAnsi="Arial" w:cs="Arial"/>
                <w:i/>
                <w:iCs/>
                <w:sz w:val="16"/>
                <w:szCs w:val="16"/>
              </w:rPr>
            </w:pPr>
            <w:r>
              <w:rPr>
                <w:rFonts w:ascii="Arial" w:hAnsi="Arial"/>
                <w:i/>
                <w:sz w:val="16"/>
              </w:rPr>
              <w:t>32,299</w:t>
            </w:r>
          </w:p>
        </w:tc>
        <w:tc>
          <w:tcPr>
            <w:tcW w:w="1185" w:type="dxa"/>
            <w:noWrap/>
            <w:vAlign w:val="center"/>
            <w:hideMark/>
          </w:tcPr>
          <w:p w14:paraId="3A2CF2D8" w14:textId="77777777" w:rsidR="00BA376D" w:rsidRPr="00BA376D" w:rsidRDefault="00BA376D" w:rsidP="00623F54">
            <w:pPr>
              <w:jc w:val="center"/>
              <w:cnfStyle w:val="000000000000" w:firstRow="0" w:lastRow="0" w:firstColumn="0" w:lastColumn="0" w:oddVBand="0" w:evenVBand="0" w:oddHBand="0" w:evenHBand="0" w:firstRowFirstColumn="0" w:firstRowLastColumn="0" w:lastRowFirstColumn="0" w:lastRowLastColumn="0"/>
              <w:rPr>
                <w:rFonts w:ascii="Arial" w:hAnsi="Arial" w:cs="Arial"/>
                <w:b/>
                <w:sz w:val="16"/>
                <w:szCs w:val="16"/>
              </w:rPr>
            </w:pPr>
            <w:r>
              <w:rPr>
                <w:rFonts w:ascii="Arial" w:hAnsi="Arial"/>
                <w:b/>
                <w:sz w:val="16"/>
              </w:rPr>
              <w:t>63%</w:t>
            </w:r>
          </w:p>
        </w:tc>
        <w:tc>
          <w:tcPr>
            <w:tcW w:w="849" w:type="dxa"/>
            <w:noWrap/>
            <w:vAlign w:val="center"/>
            <w:hideMark/>
          </w:tcPr>
          <w:p w14:paraId="696D2B4C" w14:textId="77777777" w:rsidR="00BA376D" w:rsidRPr="00BA376D" w:rsidRDefault="00BA376D" w:rsidP="00623F54">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i/>
                <w:iCs/>
                <w:sz w:val="16"/>
                <w:szCs w:val="16"/>
              </w:rPr>
            </w:pPr>
            <w:r>
              <w:rPr>
                <w:rFonts w:ascii="Arial" w:hAnsi="Arial"/>
                <w:b/>
                <w:i/>
                <w:sz w:val="16"/>
              </w:rPr>
              <w:t>38,926</w:t>
            </w:r>
          </w:p>
        </w:tc>
        <w:tc>
          <w:tcPr>
            <w:tcW w:w="749" w:type="dxa"/>
            <w:noWrap/>
            <w:vAlign w:val="center"/>
            <w:hideMark/>
          </w:tcPr>
          <w:p w14:paraId="1C22F2DB" w14:textId="77777777" w:rsidR="00BA376D" w:rsidRPr="00BA376D" w:rsidRDefault="00BA376D" w:rsidP="00623F54">
            <w:pPr>
              <w:jc w:val="center"/>
              <w:cnfStyle w:val="000000000000" w:firstRow="0" w:lastRow="0" w:firstColumn="0" w:lastColumn="0" w:oddVBand="0" w:evenVBand="0" w:oddHBand="0" w:evenHBand="0" w:firstRowFirstColumn="0" w:firstRowLastColumn="0" w:lastRowFirstColumn="0" w:lastRowLastColumn="0"/>
              <w:rPr>
                <w:rFonts w:ascii="Arial" w:hAnsi="Arial" w:cs="Arial"/>
                <w:i/>
                <w:iCs/>
                <w:sz w:val="16"/>
                <w:szCs w:val="16"/>
              </w:rPr>
            </w:pPr>
            <w:r>
              <w:rPr>
                <w:rFonts w:ascii="Arial" w:hAnsi="Arial"/>
                <w:i/>
                <w:sz w:val="16"/>
              </w:rPr>
              <w:t>14,579</w:t>
            </w:r>
          </w:p>
        </w:tc>
        <w:tc>
          <w:tcPr>
            <w:tcW w:w="1224" w:type="dxa"/>
            <w:noWrap/>
            <w:vAlign w:val="center"/>
            <w:hideMark/>
          </w:tcPr>
          <w:p w14:paraId="03CB72C9" w14:textId="77777777" w:rsidR="00BA376D" w:rsidRPr="00BA376D" w:rsidRDefault="00BA376D" w:rsidP="00623F54">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16"/>
                <w:szCs w:val="16"/>
              </w:rPr>
            </w:pPr>
            <w:r>
              <w:rPr>
                <w:rFonts w:ascii="Arial" w:hAnsi="Arial"/>
                <w:b/>
                <w:sz w:val="16"/>
              </w:rPr>
              <w:t>37%</w:t>
            </w:r>
          </w:p>
        </w:tc>
      </w:tr>
    </w:tbl>
    <w:p w14:paraId="10000E7A" w14:textId="77777777" w:rsidR="00950671" w:rsidRPr="00BA376D" w:rsidRDefault="00950671" w:rsidP="00950671">
      <w:pPr>
        <w:spacing w:after="0" w:line="360" w:lineRule="auto"/>
        <w:ind w:firstLine="709"/>
        <w:jc w:val="both"/>
        <w:rPr>
          <w:rFonts w:ascii="Arial" w:hAnsi="Arial" w:cs="Arial"/>
          <w:i/>
          <w:sz w:val="16"/>
          <w:szCs w:val="16"/>
        </w:rPr>
      </w:pPr>
    </w:p>
    <w:p w14:paraId="6D3818E9" w14:textId="77777777" w:rsidR="00950671" w:rsidRDefault="00950671" w:rsidP="00950671">
      <w:pPr>
        <w:spacing w:after="0" w:line="360" w:lineRule="auto"/>
        <w:jc w:val="center"/>
        <w:rPr>
          <w:rFonts w:ascii="Arial" w:hAnsi="Arial" w:cs="Arial"/>
          <w:i/>
          <w:sz w:val="16"/>
          <w:szCs w:val="16"/>
        </w:rPr>
      </w:pPr>
      <w:r>
        <w:rPr>
          <w:rFonts w:ascii="Arial" w:hAnsi="Arial"/>
          <w:i/>
          <w:sz w:val="16"/>
        </w:rPr>
        <w:t xml:space="preserve">Source: Reports on the realisation of the substantive-financial plan of </w:t>
      </w:r>
    </w:p>
    <w:p w14:paraId="1C20A47F" w14:textId="77777777" w:rsidR="00950671" w:rsidRPr="00950671" w:rsidRDefault="00950671" w:rsidP="00950671">
      <w:pPr>
        <w:spacing w:after="0" w:line="360" w:lineRule="auto"/>
        <w:jc w:val="center"/>
        <w:rPr>
          <w:rFonts w:ascii="Arial" w:hAnsi="Arial" w:cs="Arial"/>
          <w:i/>
          <w:sz w:val="16"/>
          <w:szCs w:val="16"/>
        </w:rPr>
      </w:pPr>
      <w:r>
        <w:rPr>
          <w:rFonts w:ascii="Arial" w:hAnsi="Arial"/>
          <w:i/>
          <w:sz w:val="16"/>
        </w:rPr>
        <w:t>the State fund for Rehabilitation of Disabled Persons in 2011, 2012 and 2013.</w:t>
      </w:r>
    </w:p>
    <w:p w14:paraId="2B536DBC" w14:textId="77777777" w:rsidR="00950671" w:rsidRPr="00BA376D" w:rsidRDefault="00950671" w:rsidP="00950671">
      <w:pPr>
        <w:spacing w:after="0" w:line="360" w:lineRule="auto"/>
        <w:ind w:firstLine="709"/>
        <w:jc w:val="both"/>
        <w:rPr>
          <w:rFonts w:ascii="Arial" w:hAnsi="Arial" w:cs="Arial"/>
          <w:i/>
          <w:sz w:val="16"/>
          <w:szCs w:val="16"/>
        </w:rPr>
      </w:pPr>
    </w:p>
    <w:p w14:paraId="3AA597B8" w14:textId="0412AC11" w:rsidR="003C23BD" w:rsidRDefault="003C23BD" w:rsidP="003C23BD">
      <w:pPr>
        <w:spacing w:after="0" w:line="360" w:lineRule="auto"/>
        <w:ind w:firstLine="709"/>
        <w:jc w:val="both"/>
        <w:rPr>
          <w:rFonts w:ascii="Arial" w:hAnsi="Arial" w:cs="Arial"/>
        </w:rPr>
      </w:pPr>
      <w:r>
        <w:rPr>
          <w:rFonts w:ascii="Arial" w:hAnsi="Arial"/>
        </w:rPr>
        <w:t>Moreover, the current formula of the “Active Local Government” programme poses a threat to its continuation. PFRON’s Supervisory Board makes decisions on its programmes in yearly cycles, without any guarantees of continuation of existing programmes. It increases the instability of programming. Nevertheless, that programme comprises an important supplementation to the offer of poviats to persons with disabilities. Lack of programming stability gives rise to doubts as to the possibility of students with disabilities to complete their studies, as the funds from PFRON are necessary to cover increased costs due to disability.</w:t>
      </w:r>
    </w:p>
    <w:p w14:paraId="7DBA4030" w14:textId="4B3CC3F2" w:rsidR="00950671" w:rsidRDefault="003C23BD" w:rsidP="003C23BD">
      <w:pPr>
        <w:spacing w:after="0" w:line="360" w:lineRule="auto"/>
        <w:ind w:firstLine="709"/>
        <w:jc w:val="both"/>
        <w:rPr>
          <w:rFonts w:ascii="Arial" w:hAnsi="Arial" w:cs="Arial"/>
          <w:b/>
        </w:rPr>
      </w:pPr>
      <w:r>
        <w:rPr>
          <w:rFonts w:ascii="Arial" w:hAnsi="Arial"/>
        </w:rPr>
        <w:t xml:space="preserve">Finally, continued increase of public spending for the purposes related to students with disabilities is not accompanied by a better degree of meeting specific needs of children with disabilities encompassed by the education system. </w:t>
      </w:r>
      <w:r>
        <w:rPr>
          <w:rFonts w:ascii="Arial" w:hAnsi="Arial"/>
          <w:b/>
        </w:rPr>
        <w:t>As this situation remains the same for many years, it proves that no progress in realisation of Article 26 of the Convention with reference to children and teenagers has been made.</w:t>
      </w:r>
    </w:p>
    <w:p w14:paraId="3F2D3195" w14:textId="77777777" w:rsidR="00663A71" w:rsidRDefault="00663A71" w:rsidP="003C23BD">
      <w:pPr>
        <w:spacing w:after="0" w:line="360" w:lineRule="auto"/>
        <w:ind w:firstLine="709"/>
        <w:jc w:val="both"/>
        <w:rPr>
          <w:rFonts w:ascii="Arial" w:hAnsi="Arial" w:cs="Arial"/>
          <w:b/>
        </w:rPr>
      </w:pPr>
    </w:p>
    <w:p w14:paraId="5A662661" w14:textId="77777777" w:rsidR="00735FB3" w:rsidRDefault="00735FB3" w:rsidP="003C23BD">
      <w:pPr>
        <w:spacing w:after="0" w:line="360" w:lineRule="auto"/>
        <w:ind w:firstLine="709"/>
        <w:jc w:val="both"/>
        <w:rPr>
          <w:rFonts w:ascii="Arial" w:hAnsi="Arial" w:cs="Arial"/>
          <w:b/>
        </w:rPr>
      </w:pPr>
    </w:p>
    <w:p w14:paraId="6712AB5C" w14:textId="77777777" w:rsidR="004D5455" w:rsidRDefault="00E5058E" w:rsidP="00477195">
      <w:pPr>
        <w:pStyle w:val="Akapitzlist"/>
        <w:numPr>
          <w:ilvl w:val="0"/>
          <w:numId w:val="13"/>
        </w:numPr>
        <w:spacing w:before="120" w:after="120" w:line="360" w:lineRule="auto"/>
        <w:ind w:left="284" w:hanging="284"/>
        <w:contextualSpacing w:val="0"/>
        <w:jc w:val="both"/>
        <w:rPr>
          <w:rFonts w:ascii="Arial" w:hAnsi="Arial" w:cs="Arial"/>
          <w:b/>
        </w:rPr>
      </w:pPr>
      <w:r>
        <w:rPr>
          <w:rFonts w:ascii="Arial" w:hAnsi="Arial"/>
          <w:b/>
        </w:rPr>
        <w:lastRenderedPageBreak/>
        <w:t>Major recommendations</w:t>
      </w:r>
    </w:p>
    <w:p w14:paraId="335BD053" w14:textId="75360708" w:rsidR="00691CE8" w:rsidRPr="00691CE8" w:rsidRDefault="00691CE8" w:rsidP="00691CE8">
      <w:pPr>
        <w:spacing w:after="0" w:line="360" w:lineRule="auto"/>
        <w:ind w:firstLine="709"/>
        <w:jc w:val="both"/>
        <w:rPr>
          <w:rFonts w:ascii="Arial" w:hAnsi="Arial" w:cs="Arial"/>
        </w:rPr>
      </w:pPr>
      <w:r>
        <w:rPr>
          <w:rFonts w:ascii="Arial" w:hAnsi="Arial"/>
        </w:rPr>
        <w:t>Considering the aforementioned, in order to realise the right of persons with disabilities to rehabilitation, it is necessary to:</w:t>
      </w:r>
    </w:p>
    <w:p w14:paraId="6453BDAB" w14:textId="68C80D4C" w:rsidR="00BA376D" w:rsidRPr="00691CE8" w:rsidRDefault="00691CE8" w:rsidP="003D345C">
      <w:pPr>
        <w:pStyle w:val="Akapitzlist"/>
        <w:numPr>
          <w:ilvl w:val="0"/>
          <w:numId w:val="45"/>
        </w:numPr>
        <w:spacing w:after="0" w:line="360" w:lineRule="auto"/>
        <w:ind w:left="284" w:hanging="284"/>
        <w:jc w:val="both"/>
        <w:rPr>
          <w:rFonts w:ascii="Arial" w:hAnsi="Arial" w:cs="Arial"/>
        </w:rPr>
      </w:pPr>
      <w:r>
        <w:rPr>
          <w:rFonts w:ascii="Arial" w:hAnsi="Arial"/>
        </w:rPr>
        <w:t>ensure a packet of guaranteed rehabilitation services determined individually for each person based on a functional diagnosis that is subject to periodic review. This requires an in-depth reform of the disability assessment system or replacing the disability assessment system with issuing individual decisions on awarding particular rehabilitation services. The catalogue of rehabilitation services and benefits should be cohesive and should consider realisation of tasks by different departments (ministries of social policy, of health, of education);</w:t>
      </w:r>
    </w:p>
    <w:p w14:paraId="7BA027D4" w14:textId="130A31C3" w:rsidR="00BA376D" w:rsidRPr="00691CE8" w:rsidRDefault="00691CE8" w:rsidP="003D345C">
      <w:pPr>
        <w:numPr>
          <w:ilvl w:val="0"/>
          <w:numId w:val="45"/>
        </w:numPr>
        <w:spacing w:after="0" w:line="360" w:lineRule="auto"/>
        <w:ind w:left="284" w:hanging="284"/>
        <w:jc w:val="both"/>
        <w:rPr>
          <w:rFonts w:ascii="Arial" w:hAnsi="Arial" w:cs="Arial"/>
        </w:rPr>
      </w:pPr>
      <w:r>
        <w:rPr>
          <w:rFonts w:ascii="Arial" w:hAnsi="Arial"/>
        </w:rPr>
        <w:t>ensure free access to necessary rehabilitation services to all persons with disabilities, irrespective of their income level. The income criterion should be removed for this category of persons in the provisions on social assistance and in the provisions on social and vocational rehabilitation of persons with disabilities. The aforementioned arises directly from the social solidarity principle derived from the Constitution and from the random character of disability. Rehabilitation costs lead to worsening of financial standing also of those persons and families that exceed the income criterion that entitles to benefits, therefore their living condition worsens significantly. This phenomenon is exacerbated by insufficient supply of rehabilitation services, both medical and social, which must be supplemented on commercial terms. It pertains most of all to children, whose parents wish to maximize their development opportunities. As a consequence, those families are often unreasonably pushed below the income threshold, and experience poverty and exclusion;</w:t>
      </w:r>
    </w:p>
    <w:p w14:paraId="4A24E0A2" w14:textId="7A56AA4A" w:rsidR="00BA376D" w:rsidRPr="00691CE8" w:rsidRDefault="00691CE8" w:rsidP="003D345C">
      <w:pPr>
        <w:numPr>
          <w:ilvl w:val="0"/>
          <w:numId w:val="45"/>
        </w:numPr>
        <w:spacing w:after="0" w:line="360" w:lineRule="auto"/>
        <w:ind w:left="284" w:hanging="284"/>
        <w:jc w:val="both"/>
        <w:rPr>
          <w:rFonts w:ascii="Arial" w:hAnsi="Arial" w:cs="Arial"/>
        </w:rPr>
      </w:pPr>
      <w:r>
        <w:rPr>
          <w:rFonts w:ascii="Arial" w:hAnsi="Arial"/>
        </w:rPr>
        <w:t>simplify the system of financing rehabilitation of persons with disabilities and make it more transparent. The same comment applies to programmes implemented using PFRON funding. Their structure and eligibility criteria are not clear to an average person with disabilities. It forces the recipients of those programmes to use the assistance of clerks in navigating through the overlapping regulations;</w:t>
      </w:r>
    </w:p>
    <w:p w14:paraId="03CA80FF" w14:textId="172350B6" w:rsidR="00BA376D" w:rsidRPr="00BA376D" w:rsidRDefault="00257A64" w:rsidP="003D345C">
      <w:pPr>
        <w:numPr>
          <w:ilvl w:val="0"/>
          <w:numId w:val="45"/>
        </w:numPr>
        <w:spacing w:after="0" w:line="360" w:lineRule="auto"/>
        <w:ind w:left="284" w:hanging="284"/>
        <w:jc w:val="both"/>
        <w:rPr>
          <w:rFonts w:ascii="Arial" w:hAnsi="Arial" w:cs="Arial"/>
        </w:rPr>
      </w:pPr>
      <w:r>
        <w:rPr>
          <w:rFonts w:ascii="Arial" w:hAnsi="Arial"/>
        </w:rPr>
        <w:t>catalogue of tasks financed by PFRON is too extensive. It is necessary to adapt the supply of rehabilitation services financed by PFRON to the demand. As poviats decide to spend the majority of funds from PFRON on direct social rehabilitation, it is necessary to limit financing of other tasks from those funds;</w:t>
      </w:r>
    </w:p>
    <w:p w14:paraId="0AC35775" w14:textId="019BAAC8" w:rsidR="00BA376D" w:rsidRPr="00691CE8" w:rsidRDefault="00257A64" w:rsidP="003D345C">
      <w:pPr>
        <w:pStyle w:val="Akapitzlist"/>
        <w:numPr>
          <w:ilvl w:val="0"/>
          <w:numId w:val="45"/>
        </w:numPr>
        <w:spacing w:after="0" w:line="360" w:lineRule="auto"/>
        <w:ind w:left="284" w:hanging="284"/>
        <w:jc w:val="both"/>
        <w:rPr>
          <w:rFonts w:ascii="Arial" w:hAnsi="Arial" w:cs="Arial"/>
        </w:rPr>
      </w:pPr>
      <w:r>
        <w:rPr>
          <w:rFonts w:ascii="Arial" w:hAnsi="Arial"/>
        </w:rPr>
        <w:t xml:space="preserve">sport, culture, recreation and tourism of persons with disabilities should be financed from public programmes, e.g. using additional points for applicants from this group. Medical rehabilitation and medical supplies should be, in turn, fully financed by the National Health Fund, while the labour market instruments and services for persons with disabilities and </w:t>
      </w:r>
      <w:r>
        <w:rPr>
          <w:rFonts w:ascii="Arial" w:hAnsi="Arial"/>
        </w:rPr>
        <w:lastRenderedPageBreak/>
        <w:t>costs of fitting their workplaces or hiring a supporting employee – from the Labour Fund, not from the funds of PFRON provided to poviats for employment offices;</w:t>
      </w:r>
    </w:p>
    <w:p w14:paraId="02FEEC6A" w14:textId="77777777" w:rsidR="00BA376D" w:rsidRPr="00691CE8" w:rsidRDefault="00257A64" w:rsidP="003D345C">
      <w:pPr>
        <w:pStyle w:val="Akapitzlist"/>
        <w:numPr>
          <w:ilvl w:val="0"/>
          <w:numId w:val="45"/>
        </w:numPr>
        <w:spacing w:after="0" w:line="360" w:lineRule="auto"/>
        <w:ind w:left="284" w:hanging="284"/>
        <w:jc w:val="both"/>
        <w:rPr>
          <w:rFonts w:ascii="Arial" w:hAnsi="Arial" w:cs="Arial"/>
        </w:rPr>
      </w:pPr>
      <w:r>
        <w:rPr>
          <w:rFonts w:ascii="Arial" w:hAnsi="Arial"/>
        </w:rPr>
        <w:t>currently, co-financing of sport, culture, recreation and tourism constitutes 1.3% of total spending of poviats of PFRON funds, tasks directed at persons with disabilities realised by poviat employment offices – 6.7%, and co-financing of entities subject to common financing by the National Health Fund – as much as 17% of expenses of poviats from PFRON funds. Poviats would be able to significantly increase financing of rehabilitation of individual persons with disabilities even at the current level of allocation. It is estimated that the additional amount is approx. PLN 160 million (the demand for such forms of support that is not met is estimated at approx. PN 240 million in 2013);</w:t>
      </w:r>
    </w:p>
    <w:p w14:paraId="08C047DF" w14:textId="36425452" w:rsidR="00BA376D" w:rsidRPr="00BA376D" w:rsidRDefault="00257A64" w:rsidP="003D345C">
      <w:pPr>
        <w:numPr>
          <w:ilvl w:val="0"/>
          <w:numId w:val="45"/>
        </w:numPr>
        <w:spacing w:after="0" w:line="360" w:lineRule="auto"/>
        <w:ind w:left="284" w:hanging="284"/>
        <w:jc w:val="both"/>
        <w:rPr>
          <w:rFonts w:ascii="Arial" w:hAnsi="Arial" w:cs="Arial"/>
        </w:rPr>
      </w:pPr>
      <w:r>
        <w:rPr>
          <w:rFonts w:ascii="Arial" w:hAnsi="Arial"/>
        </w:rPr>
        <w:t>more funds must be allocated to rehabilitation tasks commissioned to NGOs. It is necessary to ensure stable financing, e.g. by making the algorithm that calculates PFRON funds to poviats more rigid, and by contracting rehabilitation services in line with the needs reported by persons with disabilities;</w:t>
      </w:r>
    </w:p>
    <w:p w14:paraId="5391F3AE" w14:textId="77777777" w:rsidR="00BA376D" w:rsidRPr="00BA376D" w:rsidRDefault="00257A64" w:rsidP="003D345C">
      <w:pPr>
        <w:numPr>
          <w:ilvl w:val="0"/>
          <w:numId w:val="45"/>
        </w:numPr>
        <w:spacing w:after="0" w:line="360" w:lineRule="auto"/>
        <w:ind w:left="284" w:hanging="284"/>
        <w:jc w:val="both"/>
        <w:rPr>
          <w:rFonts w:ascii="Arial" w:hAnsi="Arial" w:cs="Arial"/>
        </w:rPr>
      </w:pPr>
      <w:r>
        <w:rPr>
          <w:rFonts w:ascii="Arial" w:hAnsi="Arial"/>
        </w:rPr>
        <w:t>the tasks of the “Active Local Government” programme must be financed under the general algorithm, increased by the amounts listed in the applications for such forms of support, not in the annual programme of the Supervisory Board. The support module for students under that programme should be taken over by the Ministry of Science and Higher Education and realised through special stipends;</w:t>
      </w:r>
    </w:p>
    <w:p w14:paraId="213E377D" w14:textId="77777777" w:rsidR="00BA376D" w:rsidRPr="00BA376D" w:rsidRDefault="00257A64" w:rsidP="003D345C">
      <w:pPr>
        <w:numPr>
          <w:ilvl w:val="0"/>
          <w:numId w:val="45"/>
        </w:numPr>
        <w:spacing w:after="0" w:line="360" w:lineRule="auto"/>
        <w:ind w:left="284" w:hanging="284"/>
        <w:jc w:val="both"/>
        <w:rPr>
          <w:rFonts w:ascii="Arial" w:hAnsi="Arial" w:cs="Arial"/>
        </w:rPr>
      </w:pPr>
      <w:r>
        <w:rPr>
          <w:rFonts w:ascii="Arial" w:hAnsi="Arial"/>
        </w:rPr>
        <w:t>the algorithm that calculates PFRON funds for poviats should be transformed so that it considers the percentage of residents of rural areas in the given poviat (in total or among the persons with disabilities);</w:t>
      </w:r>
    </w:p>
    <w:p w14:paraId="6AE3866E" w14:textId="77777777" w:rsidR="00BA376D" w:rsidRPr="00BA376D" w:rsidRDefault="00257A64" w:rsidP="003D345C">
      <w:pPr>
        <w:numPr>
          <w:ilvl w:val="0"/>
          <w:numId w:val="45"/>
        </w:numPr>
        <w:spacing w:after="0" w:line="360" w:lineRule="auto"/>
        <w:ind w:left="284" w:hanging="284"/>
        <w:jc w:val="both"/>
        <w:rPr>
          <w:rFonts w:ascii="Arial" w:hAnsi="Arial" w:cs="Arial"/>
        </w:rPr>
      </w:pPr>
      <w:r>
        <w:rPr>
          <w:rFonts w:ascii="Arial" w:hAnsi="Arial"/>
        </w:rPr>
        <w:t>it might be necessary to increase state budget spending on rehabilitation of persons with disabilities. The extent of such an increase might turn out to be insignificant, if the disability assessment system and the system of financing rehabilitation of children in educational facilities are reformed;</w:t>
      </w:r>
    </w:p>
    <w:p w14:paraId="35A929DD" w14:textId="291C8DE0" w:rsidR="00BA376D" w:rsidRPr="00257A64" w:rsidRDefault="00257A64" w:rsidP="003D345C">
      <w:pPr>
        <w:numPr>
          <w:ilvl w:val="0"/>
          <w:numId w:val="45"/>
        </w:numPr>
        <w:spacing w:after="0" w:line="360" w:lineRule="auto"/>
        <w:ind w:left="284" w:hanging="284"/>
        <w:jc w:val="both"/>
        <w:rPr>
          <w:rFonts w:ascii="Arial" w:hAnsi="Arial" w:cs="Arial"/>
        </w:rPr>
      </w:pPr>
      <w:r>
        <w:rPr>
          <w:rFonts w:ascii="Arial" w:hAnsi="Arial"/>
        </w:rPr>
        <w:t xml:space="preserve">amending the unclear provision included in Article 10a of the Act on rehabilitation, pertaining to the objectives of activity-based therapy. The activity-based therapy should be recognized as facilities contributing most of all to social rehabilitation, and as such, to ensuring mutual contacts and support for persons with disabilities and their environment not only </w:t>
      </w:r>
      <w:r>
        <w:rPr>
          <w:rFonts w:ascii="Arial" w:hAnsi="Arial"/>
          <w:i/>
        </w:rPr>
        <w:t>in the area of obtaining or restoring the skills needed to take up employment</w:t>
      </w:r>
      <w:r>
        <w:rPr>
          <w:rFonts w:ascii="Arial" w:hAnsi="Arial"/>
        </w:rPr>
        <w:t>. The current wording of this provision suggests that taking up employment is the intended objective. Nonetheless, the pro-employment potential of activity-based therapy should be treated as secondary. Employing activity-based therapy participants should be accompanied by the guarantee of continued support by the home therapy class, as well as of returning to the class, if necessary;</w:t>
      </w:r>
    </w:p>
    <w:p w14:paraId="35B7DF86" w14:textId="77777777" w:rsidR="00BA376D" w:rsidRPr="00BA376D" w:rsidRDefault="00257A64" w:rsidP="003D345C">
      <w:pPr>
        <w:numPr>
          <w:ilvl w:val="0"/>
          <w:numId w:val="45"/>
        </w:numPr>
        <w:spacing w:after="0" w:line="360" w:lineRule="auto"/>
        <w:ind w:left="284" w:hanging="284"/>
        <w:jc w:val="both"/>
        <w:rPr>
          <w:rFonts w:ascii="Arial" w:hAnsi="Arial" w:cs="Arial"/>
        </w:rPr>
      </w:pPr>
      <w:r>
        <w:rPr>
          <w:rFonts w:ascii="Arial" w:hAnsi="Arial"/>
        </w:rPr>
        <w:lastRenderedPageBreak/>
        <w:t>it is necessary to introduce mandatory evaluation of attaining the objectives of policy towards persons with disabilities using accurately selected indicators of access to rehabilitation. Such evaluation should be performed by the departments responsible for rehabilitation in annual cycles.</w:t>
      </w:r>
    </w:p>
    <w:p w14:paraId="251F0781" w14:textId="77777777" w:rsidR="006317A2" w:rsidRPr="0087175D" w:rsidRDefault="006317A2" w:rsidP="00470512">
      <w:pPr>
        <w:pStyle w:val="Nagwek2"/>
      </w:pPr>
      <w:bookmarkStart w:id="37" w:name="_Toc403999544"/>
      <w:bookmarkStart w:id="38" w:name="_Toc424279008"/>
      <w:r>
        <w:t>Article 27 – Work and employment</w:t>
      </w:r>
      <w:bookmarkEnd w:id="37"/>
      <w:bookmarkEnd w:id="38"/>
    </w:p>
    <w:p w14:paraId="7D82A1A1" w14:textId="77777777" w:rsidR="007A5618" w:rsidRDefault="007A5618" w:rsidP="00477195">
      <w:pPr>
        <w:pStyle w:val="Akapitzlist"/>
        <w:numPr>
          <w:ilvl w:val="0"/>
          <w:numId w:val="14"/>
        </w:numPr>
        <w:spacing w:before="120" w:after="120" w:line="360" w:lineRule="auto"/>
        <w:ind w:left="284" w:hanging="284"/>
        <w:contextualSpacing w:val="0"/>
        <w:jc w:val="both"/>
        <w:rPr>
          <w:rFonts w:ascii="Arial" w:hAnsi="Arial" w:cs="Arial"/>
          <w:b/>
        </w:rPr>
      </w:pPr>
      <w:r>
        <w:rPr>
          <w:rFonts w:ascii="Arial" w:hAnsi="Arial"/>
          <w:b/>
        </w:rPr>
        <w:t>Introduction – short description</w:t>
      </w:r>
    </w:p>
    <w:p w14:paraId="12A9A577" w14:textId="7C08D963" w:rsidR="007A5618" w:rsidRPr="005D3CE9" w:rsidRDefault="007A5618" w:rsidP="007A5618">
      <w:pPr>
        <w:spacing w:after="0" w:line="360" w:lineRule="auto"/>
        <w:ind w:firstLine="709"/>
        <w:jc w:val="both"/>
        <w:rPr>
          <w:rFonts w:ascii="Arial" w:hAnsi="Arial" w:cs="Arial"/>
        </w:rPr>
      </w:pPr>
      <w:r>
        <w:rPr>
          <w:rFonts w:ascii="Arial" w:hAnsi="Arial"/>
        </w:rPr>
        <w:t>Basic rights to employment of a person with disabilities a</w:t>
      </w:r>
      <w:r w:rsidR="00A24802">
        <w:rPr>
          <w:rFonts w:ascii="Arial" w:hAnsi="Arial"/>
        </w:rPr>
        <w:t>re derived – like the rights of </w:t>
      </w:r>
      <w:r>
        <w:rPr>
          <w:rFonts w:ascii="Arial" w:hAnsi="Arial"/>
        </w:rPr>
        <w:t>all citizens – primarily from the Constitution that guarantees to every person the freedom of choosing and practising a profession and selecting a workspace, with exceptions allowed under the statutes</w:t>
      </w:r>
      <w:r>
        <w:rPr>
          <w:rStyle w:val="Odwoanieprzypisudolnego"/>
          <w:rFonts w:ascii="Arial" w:hAnsi="Arial"/>
        </w:rPr>
        <w:footnoteReference w:id="215"/>
      </w:r>
      <w:r>
        <w:rPr>
          <w:rFonts w:ascii="Arial" w:hAnsi="Arial"/>
        </w:rPr>
        <w:t>. The Constitution also indicates that the minimal value of remuneration for work and the manner of determining that value is stipulated in the statute. Each citizen has the right to safe and sanitary workplace, each employee has the right to rest on the terms and conditions indicated in the statute. The Constitution also imposes an obligation in the area of shaping the maximum working hours also in the statute. Public authorities are obliged to carry out a policy intended to full productive employment through implementation of programmes to combat unemployment, including organisation and support provided to counselling and vocational training, public works and intervention works. With respect to the persons with disabilities themselves, the Constitution also provides that public authorities provide them, under the statute, the assistance in securing living conditions, training for work and social communication</w:t>
      </w:r>
      <w:r>
        <w:rPr>
          <w:rStyle w:val="Odwoanieprzypisudolnego"/>
          <w:rFonts w:ascii="Arial" w:hAnsi="Arial"/>
        </w:rPr>
        <w:footnoteReference w:id="216"/>
      </w:r>
      <w:r>
        <w:rPr>
          <w:rFonts w:ascii="Arial" w:hAnsi="Arial"/>
        </w:rPr>
        <w:t>. Thus, the Constitution ensures</w:t>
      </w:r>
      <w:r w:rsidR="00A24802">
        <w:rPr>
          <w:rFonts w:ascii="Arial" w:hAnsi="Arial"/>
        </w:rPr>
        <w:t xml:space="preserve"> primary rights in the area of </w:t>
      </w:r>
      <w:r>
        <w:rPr>
          <w:rFonts w:ascii="Arial" w:hAnsi="Arial"/>
        </w:rPr>
        <w:t>employment and constitutes a particular obligation of public authority to create an effective mechanism to support persons with disabilities</w:t>
      </w:r>
      <w:r>
        <w:rPr>
          <w:rFonts w:ascii="Arial" w:hAnsi="Arial"/>
          <w:vertAlign w:val="superscript"/>
        </w:rPr>
        <w:footnoteReference w:id="217"/>
      </w:r>
      <w:r>
        <w:rPr>
          <w:rFonts w:ascii="Arial" w:hAnsi="Arial"/>
        </w:rPr>
        <w:t>. Selecting relevant measures creating that support mechanism is left in the hands of ordinary legislator. It is the ordinary legislator who is largely responsible for the efficiency of realisation of the rights of persons with disabilities with respect to employment. The most important piece of legislation regulating employment is the Polish Labour Code, which expands on the constitutional values. It contains, among others, a catalogue of standards dedicated to equal treatment and prohibition of discrimination, where disability is present as one of negative grounds for differentiating employees at all stages of employment. It establishes an obligation of equal treatment and prohibition of discrimination with respect to all and any terms and conditions of employment. It also provides for sanctions for infringing them.</w:t>
      </w:r>
    </w:p>
    <w:p w14:paraId="113D8E51" w14:textId="7A8895E2" w:rsidR="004948DE" w:rsidRDefault="007A5618" w:rsidP="004948DE">
      <w:pPr>
        <w:spacing w:after="0" w:line="360" w:lineRule="auto"/>
        <w:ind w:firstLine="709"/>
        <w:jc w:val="both"/>
        <w:rPr>
          <w:rFonts w:ascii="Arial" w:hAnsi="Arial" w:cs="Arial"/>
        </w:rPr>
      </w:pPr>
      <w:r>
        <w:rPr>
          <w:rFonts w:ascii="Arial" w:hAnsi="Arial"/>
        </w:rPr>
        <w:lastRenderedPageBreak/>
        <w:t>Equal treatment is also protected by the Act on equal treatment, which applies e.g. to the terms and conditions of undertaking and running business or professional activity, including in particular work rendered under employment contract (to the extent not regulated in the Polish Labour Code) or work rendered pursuant to a civil-law contract</w:t>
      </w:r>
      <w:r>
        <w:rPr>
          <w:rStyle w:val="Odwoanieprzypisudolnego"/>
          <w:rFonts w:ascii="Arial" w:hAnsi="Arial"/>
        </w:rPr>
        <w:footnoteReference w:id="218"/>
      </w:r>
      <w:r>
        <w:rPr>
          <w:rFonts w:ascii="Arial" w:hAnsi="Arial"/>
        </w:rPr>
        <w:t xml:space="preserve">. </w:t>
      </w:r>
    </w:p>
    <w:p w14:paraId="018962DE" w14:textId="233D246C" w:rsidR="004948DE" w:rsidRDefault="004948DE" w:rsidP="004948DE">
      <w:pPr>
        <w:spacing w:after="0" w:line="360" w:lineRule="auto"/>
        <w:ind w:firstLine="709"/>
        <w:jc w:val="both"/>
        <w:rPr>
          <w:rFonts w:ascii="Arial" w:hAnsi="Arial" w:cs="Arial"/>
        </w:rPr>
      </w:pPr>
      <w:r>
        <w:rPr>
          <w:rFonts w:ascii="Arial" w:hAnsi="Arial"/>
        </w:rPr>
        <w:t>Act on rehabilitation is the act that focuses exclusively on persons with disabilities in the area of employment. It regulates the quantitative system for employing persons with disabilities. The catalogue of entitlements of employees with disabilities provided therein applies to hours of work, rest during the day of work, additional vacation leave or leaves from work. Employers that hire persons with disabilities may use co-financing to remuneration, reimbursement of the costs, e.g. costs of fitting the workplace, or adaptation of the workplace, co-financing to the interest on loans and certain tax relief</w:t>
      </w:r>
      <w:r>
        <w:rPr>
          <w:rFonts w:ascii="Arial" w:hAnsi="Arial"/>
          <w:vertAlign w:val="superscript"/>
        </w:rPr>
        <w:footnoteReference w:id="219"/>
      </w:r>
      <w:r>
        <w:rPr>
          <w:rFonts w:ascii="Arial" w:hAnsi="Arial"/>
        </w:rPr>
        <w:t>. The act also provides for the possibility to award a one-off support in undertaking business activity, agricultural activity, or in making a contribution to a social collective. A person with disabilities running business activity or managing own (or leased) agricultural farm, may receive co-financing up to 50% of the interest of the bank loan taken out to continue the said activity. Such a person is also entitled to full or partial refund of retirement pension and disability pension contributions.</w:t>
      </w:r>
    </w:p>
    <w:p w14:paraId="0EA27CEC" w14:textId="56CEFF12" w:rsidR="004948DE" w:rsidRPr="004948DE" w:rsidRDefault="004948DE" w:rsidP="004948DE">
      <w:pPr>
        <w:spacing w:after="0" w:line="360" w:lineRule="auto"/>
        <w:ind w:firstLine="709"/>
        <w:jc w:val="both"/>
        <w:rPr>
          <w:rFonts w:ascii="Arial" w:hAnsi="Arial" w:cs="Arial"/>
        </w:rPr>
      </w:pPr>
      <w:r>
        <w:rPr>
          <w:rFonts w:ascii="Arial" w:hAnsi="Arial"/>
        </w:rPr>
        <w:t>Sheltered workplaces operate pursuant to the act on rehabilitation. Thereunder, they are obliged to ensure specialist assistance, counselling and rehabilitation services to their employees and to establish company rehabilitation funds for persons with disabilities, intended to finance vocational, social and treatment rehabilitation, including individual rehabilitation programmes and individual assistance. The act stipulates the terms and conditions for establishing vocational rehabilitation workplaces, whose task is to conduct vocational and social rehabilitation. Both types of facilities ensure sheltered workspace conditions and hire mostly persons with disabilities, whose employment rate depends on the type of facility, the degree and the type of disability. Activity-based therapy workshops comprise yet another form of rehabilitation. These facilities are intended to create the possibility of social and vocational rehabilitation to persons unable to undertake employment or to restore skills necessary to undertake employment. Finally, the act provides for the possibility of organising rehabilitation camps, as an organised form of active rehabilitation combined with leisure elements, whose general objective is to improve the mental and physical fitness and to develop social skills of participants.</w:t>
      </w:r>
    </w:p>
    <w:p w14:paraId="0A9F2BE7" w14:textId="1FB62789" w:rsidR="004948DE" w:rsidRDefault="004948DE" w:rsidP="004948DE">
      <w:pPr>
        <w:spacing w:after="0" w:line="360" w:lineRule="auto"/>
        <w:ind w:firstLine="709"/>
        <w:jc w:val="both"/>
        <w:rPr>
          <w:rFonts w:ascii="Arial" w:hAnsi="Arial" w:cs="Arial"/>
        </w:rPr>
      </w:pPr>
      <w:r>
        <w:rPr>
          <w:rFonts w:ascii="Arial" w:hAnsi="Arial"/>
        </w:rPr>
        <w:t xml:space="preserve">The system of financing vocational and social rehabilitation of persons with disabilities is institutionalised. It is operated by the State Fund for Rehabilitation of Persons with </w:t>
      </w:r>
      <w:r>
        <w:rPr>
          <w:rFonts w:ascii="Arial" w:hAnsi="Arial"/>
        </w:rPr>
        <w:lastRenderedPageBreak/>
        <w:t>Disabilities – a target fund with legal personality, supervised socially by a Supervisory Board that is made up e.g. of representatives of social and vocational organisations (trade unions and organisations of employers). Next to the aforementioned tasks that are realised or supported from PFRON funds, the Fund allocates some of the funds to realisation of activities that level out differences between regions, in particular in local government units with high unemployment rate, or where no activity-based therapy workshops are available, or a vocational rehabilitation workplace, to the tasks in the area of vocational and social rehabilitation implemented by foundations and NGOs, on realisation of programmes supported by aid funds of the European Union addressed t persons with disabilities that are to be implemented in the given year; to co-finance tasks arising from governmental programmes, including those focused on HR development ad prevention of social exclusion of persons with disabilities, helping families with family members with disabilities; training courses in sign language and other means of communication, to finance in whole or in part studies, expert opinions and analyses on rehabilitation and to other tasks not listed in the statute.</w:t>
      </w:r>
    </w:p>
    <w:p w14:paraId="1763E472" w14:textId="77777777" w:rsidR="004948DE" w:rsidRPr="004948DE" w:rsidRDefault="004948DE" w:rsidP="004948DE">
      <w:pPr>
        <w:spacing w:after="0" w:line="360" w:lineRule="auto"/>
        <w:ind w:firstLine="709"/>
        <w:jc w:val="both"/>
        <w:rPr>
          <w:rFonts w:ascii="Arial" w:hAnsi="Arial" w:cs="Arial"/>
        </w:rPr>
      </w:pPr>
      <w:r>
        <w:rPr>
          <w:rFonts w:ascii="Arial" w:hAnsi="Arial"/>
        </w:rPr>
        <w:t>Among other legal acts, it is also important to mention the Act on promotion of employment and labour market institutions, which contains solutions on labour market services and instruments for the unemployed and for job seekers</w:t>
      </w:r>
      <w:r>
        <w:rPr>
          <w:rFonts w:ascii="Arial" w:hAnsi="Arial"/>
          <w:vertAlign w:val="superscript"/>
        </w:rPr>
        <w:footnoteReference w:id="220"/>
      </w:r>
      <w:r>
        <w:rPr>
          <w:rFonts w:ascii="Arial" w:hAnsi="Arial"/>
        </w:rPr>
        <w:t>, provisions regulating the operation of social collectives, as well as on social employment</w:t>
      </w:r>
      <w:r>
        <w:rPr>
          <w:rFonts w:ascii="Arial" w:hAnsi="Arial"/>
          <w:vertAlign w:val="superscript"/>
        </w:rPr>
        <w:footnoteReference w:id="221"/>
      </w:r>
      <w:r>
        <w:rPr>
          <w:rFonts w:ascii="Arial" w:hAnsi="Arial"/>
        </w:rPr>
        <w:t>.</w:t>
      </w:r>
    </w:p>
    <w:p w14:paraId="6E3FA8FD" w14:textId="54160CB4" w:rsidR="004948DE" w:rsidRPr="004948DE" w:rsidRDefault="004948DE" w:rsidP="004948DE">
      <w:pPr>
        <w:spacing w:after="0" w:line="360" w:lineRule="auto"/>
        <w:ind w:firstLine="709"/>
        <w:jc w:val="both"/>
        <w:rPr>
          <w:rFonts w:ascii="Arial" w:hAnsi="Arial" w:cs="Arial"/>
        </w:rPr>
      </w:pPr>
      <w:r>
        <w:rPr>
          <w:rFonts w:ascii="Arial" w:hAnsi="Arial"/>
        </w:rPr>
        <w:t>The public procurement law provides for the possibility to apply restricted procurements or social clauses that allow to restrict in the procurement notice that the given procurement is only available to contractors whose personnel comprises in over 50% of persons with disabilities, or to determine the requirements related to the realisation of the procurement in the description, regarding employing e.g. persons with disabilities</w:t>
      </w:r>
      <w:r>
        <w:rPr>
          <w:rFonts w:ascii="Arial" w:hAnsi="Arial"/>
          <w:vertAlign w:val="superscript"/>
        </w:rPr>
        <w:footnoteReference w:id="222"/>
      </w:r>
      <w:r>
        <w:rPr>
          <w:rFonts w:ascii="Arial" w:hAnsi="Arial"/>
        </w:rPr>
        <w:t xml:space="preserve">. </w:t>
      </w:r>
    </w:p>
    <w:p w14:paraId="1B42E39E" w14:textId="77777777" w:rsidR="004948DE" w:rsidRDefault="004948DE" w:rsidP="004948DE">
      <w:pPr>
        <w:spacing w:after="0" w:line="360" w:lineRule="auto"/>
        <w:ind w:firstLine="709"/>
        <w:jc w:val="both"/>
        <w:rPr>
          <w:rFonts w:ascii="Arial" w:hAnsi="Arial" w:cs="Arial"/>
        </w:rPr>
      </w:pPr>
      <w:r>
        <w:rPr>
          <w:rFonts w:ascii="Arial" w:hAnsi="Arial"/>
        </w:rPr>
        <w:t xml:space="preserve">The presented description constitutes only a brief outline of legal provisions related to Article 27 of the Convention. According to the Ombudsman, the information prepared for the public website contains more in-depth information about the legal status and the initiatives undertaken in the area of employing persons with disabilities; those information and undertaken actions give general knowledge on the system aiming at ensuring vocational support to persons with disabilities in Poland. That system, even if not perfect, does not deviate from international standards. In its formal shape, it guarantees fundamental rights in </w:t>
      </w:r>
      <w:r>
        <w:rPr>
          <w:rFonts w:ascii="Arial" w:hAnsi="Arial"/>
        </w:rPr>
        <w:lastRenderedPageBreak/>
        <w:t xml:space="preserve">the area of employment to persons with disabilities. Realisation of the rights of persons with disabilities, depending on the character of the case, may be enforced in administrative mode, through an appeal to an administrative court or before a common court.  </w:t>
      </w:r>
    </w:p>
    <w:p w14:paraId="7022DD44" w14:textId="36F0B479" w:rsidR="004948DE" w:rsidRPr="004948DE" w:rsidRDefault="004948DE" w:rsidP="004948DE">
      <w:pPr>
        <w:spacing w:after="0" w:line="360" w:lineRule="auto"/>
        <w:ind w:firstLine="709"/>
        <w:jc w:val="both"/>
        <w:rPr>
          <w:rFonts w:ascii="Arial" w:hAnsi="Arial" w:cs="Arial"/>
        </w:rPr>
      </w:pPr>
      <w:r>
        <w:rPr>
          <w:rFonts w:ascii="Arial" w:hAnsi="Arial"/>
        </w:rPr>
        <w:t xml:space="preserve">According to the Ombudsman, it is also necessary to critically assess the functioning solutions with respect to realisation of Article 27 of the Convention and the actual situation of persons with disabilities in Poland. One must remember that the solutions that nominally fit the international standards are not adapted to the current situation on the Polish labour market, their (effective) application in practice is not ensured, and sometimes they are neglected and not put into practice.  </w:t>
      </w:r>
    </w:p>
    <w:p w14:paraId="0E7E3408" w14:textId="77777777" w:rsidR="007A5618" w:rsidRDefault="007A5618" w:rsidP="00477195">
      <w:pPr>
        <w:pStyle w:val="Akapitzlist"/>
        <w:numPr>
          <w:ilvl w:val="0"/>
          <w:numId w:val="14"/>
        </w:numPr>
        <w:spacing w:before="120" w:after="120" w:line="360" w:lineRule="auto"/>
        <w:ind w:left="284" w:hanging="284"/>
        <w:contextualSpacing w:val="0"/>
        <w:jc w:val="both"/>
        <w:rPr>
          <w:rFonts w:ascii="Arial" w:hAnsi="Arial" w:cs="Arial"/>
          <w:b/>
        </w:rPr>
      </w:pPr>
      <w:r>
        <w:rPr>
          <w:rFonts w:ascii="Arial" w:hAnsi="Arial"/>
          <w:b/>
        </w:rPr>
        <w:t>Progress and successes in realisation of the right of persons with disabilities to work</w:t>
      </w:r>
    </w:p>
    <w:p w14:paraId="576B12EC" w14:textId="64EB0718" w:rsidR="007A5618" w:rsidRPr="00A717D1" w:rsidRDefault="00C8230C" w:rsidP="007A5618">
      <w:pPr>
        <w:spacing w:after="0" w:line="360" w:lineRule="auto"/>
        <w:ind w:firstLine="709"/>
        <w:jc w:val="both"/>
        <w:rPr>
          <w:rFonts w:ascii="Arial" w:hAnsi="Arial" w:cs="Arial"/>
        </w:rPr>
      </w:pPr>
      <w:r>
        <w:rPr>
          <w:rFonts w:ascii="Arial" w:hAnsi="Arial"/>
        </w:rPr>
        <w:t>Poland, as a member state of the European Union, has been successively implementing international solutions regarding equal treatment in the area of employment and prohibition of discrimination that apply also to persons with disabilities. Gradually, actions are undertaken to realise the social model of disability and to promote employment on the open labour market. Poland has adopted positive changes regarding employment on the open labour market, by ensuring equal co-financing for employers to remuneration of employees with disabilities and co-financing on the sheltered labour market. Before that change, co-financing to remuneration was higher for employers operating on the sheltered labour market. Poland has also recently undertaken affirmative activities to this end in the form of promotional campaigns promoting employment of persons with disabilities on the open labour market. Additionally, changes to positions in governmental administration (civil service, state offices) and local government administration, awarding, under the terms and conditions stipulated in the statute, candidates with disabilities the priority to be hired in administration offices that do not exceed the statutory 6% employment rate of persons with disabilities, provided that the persons with disabilities meet the same qualification criteria as other candidates.  This amendment has been partially revised after 2 years in force</w:t>
      </w:r>
      <w:r>
        <w:rPr>
          <w:rFonts w:ascii="Arial" w:hAnsi="Arial"/>
          <w:vertAlign w:val="superscript"/>
        </w:rPr>
        <w:footnoteReference w:id="223"/>
      </w:r>
      <w:r>
        <w:rPr>
          <w:rFonts w:ascii="Arial" w:hAnsi="Arial"/>
        </w:rPr>
        <w:t xml:space="preserve">. </w:t>
      </w:r>
    </w:p>
    <w:p w14:paraId="41C1C10D" w14:textId="57B2CD59" w:rsidR="007A5618" w:rsidRPr="00A717D1" w:rsidRDefault="007A5618" w:rsidP="007A5618">
      <w:pPr>
        <w:spacing w:after="0" w:line="360" w:lineRule="auto"/>
        <w:ind w:firstLine="709"/>
        <w:jc w:val="both"/>
        <w:rPr>
          <w:rFonts w:ascii="Arial" w:hAnsi="Arial" w:cs="Arial"/>
        </w:rPr>
      </w:pPr>
      <w:r>
        <w:rPr>
          <w:rFonts w:ascii="Arial" w:hAnsi="Arial"/>
        </w:rPr>
        <w:t xml:space="preserve">Despite high efficiency in seeking jobs by employment agencies specialising in finding employment for persons with disabilities, their share on the market has until recently been small, due to lack of systemic solutions. Hopes were raised by the amendment of the act on promotion of employment and labour market institutions that tightens and regulates the cooperation of public employment service with the agencies. The first assessment of the new </w:t>
      </w:r>
      <w:r>
        <w:rPr>
          <w:rFonts w:ascii="Arial" w:hAnsi="Arial"/>
        </w:rPr>
        <w:lastRenderedPageBreak/>
        <w:t>solutions is critical</w:t>
      </w:r>
      <w:r>
        <w:rPr>
          <w:rFonts w:ascii="Arial" w:hAnsi="Arial"/>
          <w:vertAlign w:val="superscript"/>
        </w:rPr>
        <w:footnoteReference w:id="224"/>
      </w:r>
      <w:r>
        <w:rPr>
          <w:rFonts w:ascii="Arial" w:hAnsi="Arial"/>
        </w:rPr>
        <w:t>, yet we must still wait and see how these solutions will operate in practice.</w:t>
      </w:r>
    </w:p>
    <w:p w14:paraId="4117D6FB" w14:textId="77777777" w:rsidR="007A5618" w:rsidRPr="00A717D1" w:rsidRDefault="007A5618" w:rsidP="007A5618">
      <w:pPr>
        <w:spacing w:after="0" w:line="360" w:lineRule="auto"/>
        <w:ind w:firstLine="709"/>
        <w:jc w:val="both"/>
        <w:rPr>
          <w:rFonts w:ascii="Arial" w:hAnsi="Arial" w:cs="Arial"/>
        </w:rPr>
      </w:pPr>
      <w:r>
        <w:rPr>
          <w:rFonts w:ascii="Arial" w:hAnsi="Arial"/>
        </w:rPr>
        <w:t xml:space="preserve">Governmental institutions run or support a series of programmes and projects, financed from public funds, whose long list is included in the government’s report. The effects of the programme rarely constitute the source of permanent change and improvement for persons participating in the programmes. They also rarely become a permanent element of the labour market. This is why the community of persons with disabilities has particularly high hopes with respect to the project entitled </w:t>
      </w:r>
      <w:r>
        <w:rPr>
          <w:rFonts w:ascii="Arial" w:hAnsi="Arial"/>
          <w:i/>
        </w:rPr>
        <w:t>Work trainer as a way to increase employment rates of persons with disabilities</w:t>
      </w:r>
      <w:r>
        <w:rPr>
          <w:rFonts w:ascii="Arial" w:hAnsi="Arial"/>
          <w:vertAlign w:val="superscript"/>
        </w:rPr>
        <w:footnoteReference w:id="225"/>
      </w:r>
      <w:r>
        <w:rPr>
          <w:rFonts w:ascii="Arial" w:hAnsi="Arial"/>
        </w:rPr>
        <w:t xml:space="preserve">. The project will work out, test and implement uniform procedures of recruiting, training, monitoring and managing the work of a </w:t>
      </w:r>
      <w:r>
        <w:rPr>
          <w:rFonts w:ascii="Arial" w:hAnsi="Arial"/>
          <w:i/>
        </w:rPr>
        <w:t>work trainer</w:t>
      </w:r>
      <w:r>
        <w:rPr>
          <w:rFonts w:ascii="Arial" w:hAnsi="Arial"/>
        </w:rPr>
        <w:t xml:space="preserve">, as an efficient form of vocational activation of persons with disabilities on the open labour market. The project takes advantage of international experiences and is based on the assumption that effective support for a person that requires individualised approach in supported employment consists in cooperation of  many different specialist at subsequent stages of employment. It assumes working out a systemic support in supported employment and standards of services rendered. </w:t>
      </w:r>
    </w:p>
    <w:p w14:paraId="4A9F2B0F" w14:textId="77777777" w:rsidR="007A5618" w:rsidRPr="00A717D1" w:rsidRDefault="007A5618" w:rsidP="007A5618">
      <w:pPr>
        <w:spacing w:after="0" w:line="360" w:lineRule="auto"/>
        <w:ind w:firstLine="709"/>
        <w:jc w:val="both"/>
        <w:rPr>
          <w:rFonts w:ascii="Arial" w:hAnsi="Arial" w:cs="Arial"/>
        </w:rPr>
      </w:pPr>
      <w:r>
        <w:rPr>
          <w:rFonts w:ascii="Arial" w:hAnsi="Arial"/>
        </w:rPr>
        <w:t xml:space="preserve">While designing and realising the </w:t>
      </w:r>
      <w:r>
        <w:rPr>
          <w:rFonts w:ascii="Arial" w:hAnsi="Arial"/>
          <w:i/>
        </w:rPr>
        <w:t>Operational Programme Knowledge, Education, Development 2014-2020</w:t>
      </w:r>
      <w:r>
        <w:rPr>
          <w:rFonts w:ascii="Arial" w:hAnsi="Arial"/>
        </w:rPr>
        <w:t xml:space="preserve"> (PO WER), Poland will consider the provisions of the Convention on the Rights of Persons with Disabilities, and the 2010-2020 European Strategy on Disability, as well as experiences of organisations acting for the benefit of persons with disabilities</w:t>
      </w:r>
      <w:r>
        <w:rPr>
          <w:rFonts w:ascii="Arial" w:hAnsi="Arial"/>
          <w:vertAlign w:val="superscript"/>
        </w:rPr>
        <w:footnoteReference w:id="226"/>
      </w:r>
      <w:r>
        <w:rPr>
          <w:rFonts w:ascii="Arial" w:hAnsi="Arial"/>
        </w:rPr>
        <w:t>.</w:t>
      </w:r>
    </w:p>
    <w:p w14:paraId="59DF9920" w14:textId="77777777" w:rsidR="007A5618" w:rsidRDefault="007A5618" w:rsidP="00477195">
      <w:pPr>
        <w:pStyle w:val="Akapitzlist"/>
        <w:numPr>
          <w:ilvl w:val="0"/>
          <w:numId w:val="14"/>
        </w:numPr>
        <w:spacing w:before="120" w:after="120" w:line="360" w:lineRule="auto"/>
        <w:ind w:left="284" w:hanging="284"/>
        <w:contextualSpacing w:val="0"/>
        <w:jc w:val="both"/>
        <w:rPr>
          <w:rFonts w:ascii="Arial" w:hAnsi="Arial" w:cs="Arial"/>
          <w:b/>
        </w:rPr>
      </w:pPr>
      <w:r>
        <w:rPr>
          <w:rFonts w:ascii="Arial" w:hAnsi="Arial"/>
          <w:b/>
        </w:rPr>
        <w:t>Major problems and obstacles in realisation of the right of persons with disabilities to work</w:t>
      </w:r>
    </w:p>
    <w:p w14:paraId="5CD41E85" w14:textId="3C723FD0" w:rsidR="007A5618" w:rsidRPr="00A717D1" w:rsidRDefault="007A5618" w:rsidP="007A5618">
      <w:pPr>
        <w:spacing w:after="0" w:line="360" w:lineRule="auto"/>
        <w:ind w:firstLine="709"/>
        <w:jc w:val="both"/>
        <w:rPr>
          <w:rFonts w:ascii="Arial" w:hAnsi="Arial" w:cs="Arial"/>
        </w:rPr>
      </w:pPr>
      <w:r>
        <w:rPr>
          <w:rFonts w:ascii="Arial" w:hAnsi="Arial"/>
        </w:rPr>
        <w:t>Despite the fact that legal solutions ensure, in formal terms, equal access to employment, prohibit discrimination at all stages, reports of cases pertaining to discrimination on the grounds of disabilities hardly ever are submitted to inspection authorities and to the justice system</w:t>
      </w:r>
      <w:r>
        <w:rPr>
          <w:rFonts w:ascii="Arial" w:hAnsi="Arial"/>
          <w:vertAlign w:val="superscript"/>
        </w:rPr>
        <w:footnoteReference w:id="227"/>
      </w:r>
      <w:r>
        <w:rPr>
          <w:rFonts w:ascii="Arial" w:hAnsi="Arial"/>
        </w:rPr>
        <w:t xml:space="preserve">. Out of the low percentage of complaints directed to the State Labour Inspection on the grounds of discrimination, no complaints were received regrading </w:t>
      </w:r>
      <w:r>
        <w:rPr>
          <w:rFonts w:ascii="Arial" w:hAnsi="Arial"/>
        </w:rPr>
        <w:lastRenderedPageBreak/>
        <w:t>discrimination on the grounds of disabilities</w:t>
      </w:r>
      <w:r>
        <w:rPr>
          <w:rFonts w:ascii="Arial" w:hAnsi="Arial"/>
          <w:vertAlign w:val="superscript"/>
        </w:rPr>
        <w:footnoteReference w:id="228"/>
      </w:r>
      <w:r>
        <w:rPr>
          <w:rFonts w:ascii="Arial" w:hAnsi="Arial"/>
        </w:rPr>
        <w:t>. It is, among others, a result of low level of awareness of rights and limited access to legal assistance</w:t>
      </w:r>
      <w:r>
        <w:rPr>
          <w:rStyle w:val="Odwoanieprzypisudolnego"/>
          <w:rFonts w:ascii="Arial" w:hAnsi="Arial"/>
        </w:rPr>
        <w:footnoteReference w:id="229"/>
      </w:r>
      <w:r>
        <w:rPr>
          <w:rFonts w:ascii="Arial" w:hAnsi="Arial"/>
        </w:rPr>
        <w:t xml:space="preserve">. </w:t>
      </w:r>
    </w:p>
    <w:p w14:paraId="50A3B127" w14:textId="7CBB81AA" w:rsidR="007A5618" w:rsidRPr="00A717D1" w:rsidRDefault="007A5618" w:rsidP="007A5618">
      <w:pPr>
        <w:spacing w:after="0" w:line="360" w:lineRule="auto"/>
        <w:ind w:firstLine="709"/>
        <w:jc w:val="both"/>
        <w:rPr>
          <w:rFonts w:ascii="Arial" w:hAnsi="Arial" w:cs="Arial"/>
        </w:rPr>
      </w:pPr>
      <w:r>
        <w:rPr>
          <w:rFonts w:ascii="Arial" w:hAnsi="Arial"/>
        </w:rPr>
        <w:t xml:space="preserve">Despite the existence of a financial support system in employment, </w:t>
      </w:r>
      <w:r>
        <w:rPr>
          <w:rFonts w:ascii="Arial" w:hAnsi="Arial"/>
          <w:b/>
        </w:rPr>
        <w:t>the employment rate indicator of persons with disabilities in Poland is one of the lowest in Europe</w:t>
      </w:r>
      <w:r>
        <w:rPr>
          <w:rFonts w:ascii="Arial" w:hAnsi="Arial"/>
        </w:rPr>
        <w:t xml:space="preserve">. </w:t>
      </w:r>
      <w:r>
        <w:rPr>
          <w:rFonts w:ascii="Arial" w:hAnsi="Arial"/>
          <w:b/>
        </w:rPr>
        <w:t>Lack of coherence between the social security system for persons with disabilities and the system to support employment</w:t>
      </w:r>
      <w:r>
        <w:rPr>
          <w:rFonts w:ascii="Arial" w:hAnsi="Arial"/>
        </w:rPr>
        <w:t xml:space="preserve"> is a serious problem. In Poland, we have experienced for years a known and unresolved phenomenon of a benefit trap, which discourages persons with disabilities who receive disability pension from vocational activity</w:t>
      </w:r>
      <w:r>
        <w:rPr>
          <w:rFonts w:ascii="Arial" w:hAnsi="Arial"/>
          <w:vertAlign w:val="superscript"/>
        </w:rPr>
        <w:footnoteReference w:id="230"/>
      </w:r>
      <w:r>
        <w:rPr>
          <w:rFonts w:ascii="Arial" w:hAnsi="Arial"/>
        </w:rPr>
        <w:t>. Moreover, the Polish support model by subventions to remuneration of employees with disabilities, while being one of the most popular solutions in Europe, it apparently fails to serve its purpose. Its mechanism does not contribute to permanent, successive increase of employment rates. About half of professionally active persons with disabilities operates outside the subsidised market, without any guarantee of analogous support. The system supporting employment of persons with disabilities is not adjusted to the current employment structure in Poland. It does not consider the high indicator of persons remaining outside (subsidised) employment, i.e. persons hired pursuant to civil-law contracts, persons running a business in Poland, persons participating in internships, or participating in other forms of activation. Moreover, research shows high bureaucratic barriers upon applying for support to em1ployment of persons with disabilities, all the while Poland has a very high percentage of persons employed at SMEs</w:t>
      </w:r>
      <w:r>
        <w:rPr>
          <w:rFonts w:ascii="Arial" w:hAnsi="Arial"/>
          <w:vertAlign w:val="superscript"/>
        </w:rPr>
        <w:footnoteReference w:id="231"/>
      </w:r>
      <w:r>
        <w:rPr>
          <w:rFonts w:ascii="Arial" w:hAnsi="Arial"/>
        </w:rPr>
        <w:t xml:space="preserve">. </w:t>
      </w:r>
    </w:p>
    <w:p w14:paraId="32D00108" w14:textId="79F46365" w:rsidR="007A5618" w:rsidRPr="00A717D1" w:rsidRDefault="007A5618" w:rsidP="007A5618">
      <w:pPr>
        <w:spacing w:after="0" w:line="360" w:lineRule="auto"/>
        <w:ind w:firstLine="709"/>
        <w:jc w:val="both"/>
        <w:rPr>
          <w:rFonts w:ascii="Arial" w:hAnsi="Arial" w:cs="Arial"/>
        </w:rPr>
      </w:pPr>
      <w:r>
        <w:rPr>
          <w:rFonts w:ascii="Arial" w:hAnsi="Arial"/>
        </w:rPr>
        <w:t xml:space="preserve">Despite the fact that the rights of persons with disabilities in access to positions in public administration increased, the percentage of persons with disabilities employed there is growing very slowly. The results of an inspection held only at the ministries, intended to verify the efficiency of the changes to the law, showed that </w:t>
      </w:r>
      <w:r>
        <w:rPr>
          <w:rFonts w:ascii="Arial" w:hAnsi="Arial"/>
          <w:b/>
        </w:rPr>
        <w:t>none of the ministries has exceeded the statutory threshold of 6%</w:t>
      </w:r>
      <w:r>
        <w:rPr>
          <w:rFonts w:ascii="Arial" w:hAnsi="Arial"/>
          <w:vertAlign w:val="superscript"/>
        </w:rPr>
        <w:footnoteReference w:id="232"/>
      </w:r>
      <w:r>
        <w:rPr>
          <w:rFonts w:ascii="Arial" w:hAnsi="Arial"/>
        </w:rPr>
        <w:t xml:space="preserve">. </w:t>
      </w:r>
    </w:p>
    <w:p w14:paraId="38536A7E" w14:textId="4A7CD33A" w:rsidR="007A5618" w:rsidRPr="00A717D1" w:rsidRDefault="007A5618" w:rsidP="007A5618">
      <w:pPr>
        <w:spacing w:after="0" w:line="360" w:lineRule="auto"/>
        <w:ind w:firstLine="709"/>
        <w:jc w:val="both"/>
        <w:rPr>
          <w:rFonts w:ascii="Arial" w:hAnsi="Arial" w:cs="Arial"/>
        </w:rPr>
      </w:pPr>
      <w:r>
        <w:rPr>
          <w:rFonts w:ascii="Arial" w:hAnsi="Arial"/>
        </w:rPr>
        <w:t xml:space="preserve">The solutions that are of key significance for hiring persons with disabilities focus on maintaining the employee rate indicator, and consume the majority of PFRON’s budget (¾ of funds). As the statistics show, these solutions promote keeping the job to a small extent, but they do not help in developing professional skills or improving professional skills by persons with disabilities. It is highly worrying that machines and devices in 35% of inspected </w:t>
      </w:r>
      <w:r>
        <w:rPr>
          <w:rFonts w:ascii="Arial" w:hAnsi="Arial"/>
        </w:rPr>
        <w:lastRenderedPageBreak/>
        <w:t>employers from the sheltered labour market failed to meet the requirements of OHS, in approx. 20% the requirements were not met by buildings, premises, workstations and sanitary devices</w:t>
      </w:r>
      <w:r>
        <w:rPr>
          <w:rFonts w:ascii="Arial" w:hAnsi="Arial"/>
          <w:vertAlign w:val="superscript"/>
        </w:rPr>
        <w:footnoteReference w:id="233"/>
      </w:r>
      <w:r>
        <w:rPr>
          <w:rFonts w:ascii="Arial" w:hAnsi="Arial"/>
        </w:rPr>
        <w:t>.</w:t>
      </w:r>
    </w:p>
    <w:p w14:paraId="73293C1C" w14:textId="77777777" w:rsidR="007A5618" w:rsidRPr="00A717D1" w:rsidRDefault="007A5618" w:rsidP="007A5618">
      <w:pPr>
        <w:spacing w:after="0" w:line="360" w:lineRule="auto"/>
        <w:ind w:firstLine="709"/>
        <w:jc w:val="both"/>
        <w:rPr>
          <w:rFonts w:ascii="Arial" w:hAnsi="Arial" w:cs="Arial"/>
        </w:rPr>
      </w:pPr>
      <w:r>
        <w:rPr>
          <w:rFonts w:ascii="Arial" w:hAnsi="Arial"/>
        </w:rPr>
        <w:t xml:space="preserve">It is unacceptable that there is no intensification of actions and measures and no increase in determination of public institutions to strengthen the elements that are supposed to serve activation of vocationally passive persons and to promote the transfer of persons that has been operating on sheltered labour market exclusively for years into the open labour market. The multi-stage system of vocational activation established under the rehabilitation act, which was intended to lead to the transfer of as large a group of persons from the sheltered labour market into the open labour market does not serve its purpose, because there are no incentives for entities that run activity-based treatment workshops or vocational rehabilitation workplaces operating on the sheltered labour market to direct persons with disabilities that completed social and vocational rehabilitation period into the open labour market. </w:t>
      </w:r>
    </w:p>
    <w:p w14:paraId="0FF4044C" w14:textId="0335B8A1" w:rsidR="005945E4" w:rsidRPr="005945E4" w:rsidRDefault="005945E4" w:rsidP="005945E4">
      <w:pPr>
        <w:spacing w:after="0" w:line="360" w:lineRule="auto"/>
        <w:ind w:firstLine="709"/>
        <w:jc w:val="both"/>
        <w:rPr>
          <w:rFonts w:ascii="Arial" w:hAnsi="Arial" w:cs="Arial"/>
        </w:rPr>
      </w:pPr>
      <w:r>
        <w:rPr>
          <w:rFonts w:ascii="Arial" w:hAnsi="Arial"/>
        </w:rPr>
        <w:t>According to the Ombudsman, the system supporting persons with disabilities considers actual, individual needs of employees with disabilities to a too small extent. Only to insufficient extent the system ensures the possibility to providing individualised support, adapted in terms of the type, form, amount of support, in the situations where persons with disabilities are not able to take up vocational activity, find a job and keep it due to their health condition and barriers they encounter, or due to the fact that they require assistance in contacting the employer, and sometimes temporary support during employment. The institution of an employee assisting the employee with disabilities at work as regards such activities as communicating with the community and activities impossible or difficult to perform independently by an employee with difficulties at the workplace, which does exist in Poland, is in practice implemented to a marginal degree. The instrument of a work trainer is only being tested.</w:t>
      </w:r>
    </w:p>
    <w:p w14:paraId="1F55907B" w14:textId="27B81670" w:rsidR="007A5618" w:rsidRPr="00A717D1" w:rsidRDefault="007A5618" w:rsidP="007A5618">
      <w:pPr>
        <w:spacing w:after="0" w:line="360" w:lineRule="auto"/>
        <w:ind w:firstLine="709"/>
        <w:jc w:val="both"/>
        <w:rPr>
          <w:rFonts w:ascii="Arial" w:hAnsi="Arial" w:cs="Arial"/>
        </w:rPr>
      </w:pPr>
      <w:r>
        <w:rPr>
          <w:rFonts w:ascii="Arial" w:hAnsi="Arial"/>
        </w:rPr>
        <w:t xml:space="preserve">Finally, in the age of common access to long-distance communication measures and remote work, particular attention must be paid to accessibility of job offers, projects and activation programmes for persons with disabilities on one hand, and to conditions facilitating remote work on the other.  </w:t>
      </w:r>
    </w:p>
    <w:p w14:paraId="4EE5C746" w14:textId="77777777" w:rsidR="007A5618" w:rsidRDefault="007A5618" w:rsidP="00477195">
      <w:pPr>
        <w:pStyle w:val="Akapitzlist"/>
        <w:numPr>
          <w:ilvl w:val="0"/>
          <w:numId w:val="14"/>
        </w:numPr>
        <w:spacing w:before="120" w:after="120" w:line="360" w:lineRule="auto"/>
        <w:ind w:left="284" w:hanging="284"/>
        <w:contextualSpacing w:val="0"/>
        <w:jc w:val="both"/>
        <w:rPr>
          <w:rFonts w:ascii="Arial" w:hAnsi="Arial" w:cs="Arial"/>
          <w:b/>
        </w:rPr>
      </w:pPr>
      <w:r>
        <w:rPr>
          <w:rFonts w:ascii="Arial" w:hAnsi="Arial"/>
          <w:b/>
        </w:rPr>
        <w:t>Results of available studies and statistical data</w:t>
      </w:r>
    </w:p>
    <w:p w14:paraId="7B1D4839" w14:textId="4576AF5F" w:rsidR="007A5618" w:rsidRPr="00A717D1" w:rsidRDefault="007A5618" w:rsidP="00571D72">
      <w:pPr>
        <w:spacing w:after="0" w:line="360" w:lineRule="auto"/>
        <w:ind w:firstLine="709"/>
        <w:jc w:val="both"/>
        <w:rPr>
          <w:rFonts w:ascii="Arial" w:eastAsia="Cambria" w:hAnsi="Arial" w:cs="Arial"/>
        </w:rPr>
      </w:pPr>
      <w:r>
        <w:rPr>
          <w:rFonts w:ascii="Arial" w:hAnsi="Arial"/>
        </w:rPr>
        <w:t xml:space="preserve">In Poland, economic activity of persons with disabilities is commonly and periodically verified. Studies are conducted according to the degree of disability, type of household, selected demographic features, hours of work, selected sections of the Polish Classification of Businesses and status. As regards persons with disabilities, unemployment rates are </w:t>
      </w:r>
      <w:r>
        <w:rPr>
          <w:rFonts w:ascii="Arial" w:hAnsi="Arial"/>
        </w:rPr>
        <w:lastRenderedPageBreak/>
        <w:t xml:space="preserve">included in the statistics according to the category of the unemployed, duration of looking for employment, selected methods of looking for work, reasons for being passive and degree of disability. </w:t>
      </w:r>
      <w:r>
        <w:rPr>
          <w:rFonts w:ascii="Arial" w:hAnsi="Arial"/>
          <w:b/>
          <w:kern w:val="36"/>
        </w:rPr>
        <w:t>The population of persons with disabilities (with legal disability status) in 2013 aged 16 or more was 3,332 thousand persons, and in the productive age – 1,914 thousand, of which 527 thousand persons were vocationally active, and 432 thousand worked.</w:t>
      </w:r>
      <w:r>
        <w:rPr>
          <w:rFonts w:ascii="Arial" w:hAnsi="Arial"/>
        </w:rPr>
        <w:t xml:space="preserve"> The number of unemployed persons was 94 thousand persons in productive age, and the number of vocationally passive persons in productive age was 1,388</w:t>
      </w:r>
      <w:r>
        <w:rPr>
          <w:rFonts w:ascii="Arial" w:hAnsi="Arial"/>
          <w:kern w:val="36"/>
          <w:vertAlign w:val="superscript"/>
        </w:rPr>
        <w:footnoteReference w:id="234"/>
      </w:r>
      <w:r>
        <w:rPr>
          <w:rFonts w:ascii="Arial" w:hAnsi="Arial"/>
        </w:rPr>
        <w:t xml:space="preserve">. </w:t>
      </w:r>
      <w:r>
        <w:rPr>
          <w:rFonts w:ascii="Arial" w:hAnsi="Arial"/>
          <w:b/>
        </w:rPr>
        <w:t>The vocational activity indicator of persons with disabilities in productive age is 25.7%, the employment rate indicator – 21%, and the unemployment rate – 18.4%</w:t>
      </w:r>
      <w:r>
        <w:rPr>
          <w:rFonts w:ascii="Arial" w:hAnsi="Arial"/>
          <w:vertAlign w:val="superscript"/>
        </w:rPr>
        <w:footnoteReference w:id="235"/>
      </w:r>
      <w:r>
        <w:rPr>
          <w:rFonts w:ascii="Arial" w:hAnsi="Arial"/>
        </w:rPr>
        <w:t xml:space="preserve">.  </w:t>
      </w:r>
    </w:p>
    <w:p w14:paraId="2D68B1A3" w14:textId="30B7D47A" w:rsidR="007A5618" w:rsidRPr="00A717D1" w:rsidRDefault="007A5618" w:rsidP="00571D72">
      <w:pPr>
        <w:spacing w:after="0" w:line="360" w:lineRule="auto"/>
        <w:ind w:firstLine="709"/>
        <w:jc w:val="both"/>
        <w:rPr>
          <w:rFonts w:ascii="Arial" w:eastAsia="MS Mincho" w:hAnsi="Arial" w:cs="Arial"/>
        </w:rPr>
      </w:pPr>
      <w:r>
        <w:rPr>
          <w:rFonts w:ascii="Arial" w:hAnsi="Arial"/>
        </w:rPr>
        <w:t>Every once in a while, the so-called module studies are conducted, focused on persons with disabilities on the labour market. The last one, for 2011, was prepared on analogous terms as in all EU member states, in order to collect “a comprehensive and comparable set of data on employment of persons with disabilities (...) in order to enable monitoring of implementation progress of Article 27 of the UN Convention on the Rights of Persons with Disabilities (on work and employment) and of the objectives of the European Employment Strategy and European Disability Strategy, as well as to measure changes in participation of persons with disabilities in the labour market”</w:t>
      </w:r>
      <w:r>
        <w:rPr>
          <w:rFonts w:ascii="Arial" w:hAnsi="Arial"/>
          <w:vertAlign w:val="superscript"/>
        </w:rPr>
        <w:footnoteReference w:id="236"/>
      </w:r>
      <w:r>
        <w:rPr>
          <w:rFonts w:ascii="Arial" w:hAnsi="Arial"/>
        </w:rPr>
        <w:t>. The study analysed the types of disorders experienced by the respondents, the character of disability, the impact of the disability on the number of hours of work per week, the impact of the disability on the type of the work performed, the necessity to use special devices or assistance of others by a person with disabilities</w:t>
      </w:r>
      <w:r>
        <w:rPr>
          <w:rFonts w:ascii="Arial" w:hAnsi="Arial"/>
          <w:vertAlign w:val="superscript"/>
        </w:rPr>
        <w:footnoteReference w:id="237"/>
      </w:r>
      <w:r>
        <w:rPr>
          <w:rFonts w:ascii="Arial" w:hAnsi="Arial"/>
        </w:rPr>
        <w:t>. The study covered persons aged 15-64 with biological disabilities, i.e. subjectively suffering from long-term health disorders or illnesses, and persons that experienced a lot of difficulties in performing basic activities.</w:t>
      </w:r>
    </w:p>
    <w:p w14:paraId="247388AB" w14:textId="77777777" w:rsidR="009B1D50" w:rsidRDefault="009B1D50" w:rsidP="00571D72">
      <w:pPr>
        <w:widowControl w:val="0"/>
        <w:autoSpaceDE w:val="0"/>
        <w:autoSpaceDN w:val="0"/>
        <w:adjustRightInd w:val="0"/>
        <w:spacing w:after="0" w:line="360" w:lineRule="auto"/>
        <w:ind w:left="709"/>
        <w:rPr>
          <w:rFonts w:ascii="Arial" w:eastAsia="MS Mincho" w:hAnsi="Arial" w:cs="Arial"/>
          <w:sz w:val="16"/>
          <w:szCs w:val="16"/>
        </w:rPr>
      </w:pPr>
    </w:p>
    <w:p w14:paraId="7F4EC269" w14:textId="77777777" w:rsidR="007A5618" w:rsidRDefault="007A5618" w:rsidP="007A5618">
      <w:pPr>
        <w:widowControl w:val="0"/>
        <w:autoSpaceDE w:val="0"/>
        <w:autoSpaceDN w:val="0"/>
        <w:adjustRightInd w:val="0"/>
        <w:spacing w:after="0" w:line="240" w:lineRule="auto"/>
        <w:ind w:left="709"/>
        <w:jc w:val="center"/>
        <w:rPr>
          <w:rFonts w:ascii="Arial" w:eastAsia="MS Mincho" w:hAnsi="Arial" w:cs="Arial"/>
          <w:b/>
        </w:rPr>
      </w:pPr>
      <w:r>
        <w:rPr>
          <w:rFonts w:ascii="Arial" w:hAnsi="Arial"/>
          <w:b/>
        </w:rPr>
        <w:t xml:space="preserve">Persons with disabilities in Poland aged 15-64 according to their status on the labour market and type of experienced difficulties </w:t>
      </w:r>
    </w:p>
    <w:p w14:paraId="0B85427D" w14:textId="77777777" w:rsidR="007A5618" w:rsidRDefault="007A5618" w:rsidP="007A5618">
      <w:pPr>
        <w:widowControl w:val="0"/>
        <w:autoSpaceDE w:val="0"/>
        <w:autoSpaceDN w:val="0"/>
        <w:adjustRightInd w:val="0"/>
        <w:spacing w:after="0" w:line="240" w:lineRule="auto"/>
        <w:ind w:left="709"/>
        <w:jc w:val="center"/>
        <w:rPr>
          <w:rFonts w:ascii="Arial" w:eastAsia="MS Mincho" w:hAnsi="Arial" w:cs="Arial"/>
          <w:b/>
        </w:rPr>
      </w:pPr>
      <w:r>
        <w:rPr>
          <w:rFonts w:ascii="Arial" w:hAnsi="Arial"/>
          <w:b/>
        </w:rPr>
        <w:t>in performing basic activities</w:t>
      </w:r>
      <w:r>
        <w:rPr>
          <w:rFonts w:ascii="Arial" w:hAnsi="Arial"/>
          <w:b/>
          <w:vertAlign w:val="superscript"/>
        </w:rPr>
        <w:footnoteReference w:id="238"/>
      </w:r>
    </w:p>
    <w:p w14:paraId="12547122" w14:textId="77777777" w:rsidR="007A5618" w:rsidRPr="00A717D1" w:rsidRDefault="007A5618" w:rsidP="007A5618">
      <w:pPr>
        <w:widowControl w:val="0"/>
        <w:autoSpaceDE w:val="0"/>
        <w:autoSpaceDN w:val="0"/>
        <w:adjustRightInd w:val="0"/>
        <w:spacing w:after="0" w:line="240" w:lineRule="auto"/>
        <w:ind w:left="709"/>
        <w:jc w:val="center"/>
        <w:rPr>
          <w:rFonts w:ascii="Arial" w:eastAsia="MS Mincho" w:hAnsi="Arial" w:cs="Arial"/>
          <w:b/>
          <w:sz w:val="16"/>
          <w:szCs w:val="16"/>
        </w:rPr>
      </w:pPr>
    </w:p>
    <w:tbl>
      <w:tblPr>
        <w:tblStyle w:val="redniasiatka3akcent6"/>
        <w:tblW w:w="5000" w:type="pct"/>
        <w:tblLook w:val="0000" w:firstRow="0" w:lastRow="0" w:firstColumn="0" w:lastColumn="0" w:noHBand="0" w:noVBand="0"/>
      </w:tblPr>
      <w:tblGrid>
        <w:gridCol w:w="2322"/>
        <w:gridCol w:w="894"/>
        <w:gridCol w:w="895"/>
        <w:gridCol w:w="894"/>
        <w:gridCol w:w="1428"/>
        <w:gridCol w:w="1332"/>
        <w:gridCol w:w="1523"/>
      </w:tblGrid>
      <w:tr w:rsidR="007A5618" w:rsidRPr="00A717D1" w14:paraId="197600F3" w14:textId="77777777" w:rsidTr="00100C2E">
        <w:trPr>
          <w:cnfStyle w:val="000000100000" w:firstRow="0" w:lastRow="0" w:firstColumn="0" w:lastColumn="0" w:oddVBand="0" w:evenVBand="0" w:oddHBand="1" w:evenHBand="0" w:firstRowFirstColumn="0" w:firstRowLastColumn="0" w:lastRowFirstColumn="0" w:lastRowLastColumn="0"/>
          <w:trHeight w:val="305"/>
        </w:trPr>
        <w:tc>
          <w:tcPr>
            <w:cnfStyle w:val="000010000000" w:firstRow="0" w:lastRow="0" w:firstColumn="0" w:lastColumn="0" w:oddVBand="1" w:evenVBand="0" w:oddHBand="0" w:evenHBand="0" w:firstRowFirstColumn="0" w:firstRowLastColumn="0" w:lastRowFirstColumn="0" w:lastRowLastColumn="0"/>
            <w:tcW w:w="1250" w:type="pct"/>
            <w:vMerge w:val="restart"/>
            <w:vAlign w:val="center"/>
          </w:tcPr>
          <w:p w14:paraId="4C84CFE9" w14:textId="77777777" w:rsidR="007A5618" w:rsidRPr="00A717D1" w:rsidRDefault="007A5618" w:rsidP="00100C2E">
            <w:pPr>
              <w:widowControl w:val="0"/>
              <w:autoSpaceDE w:val="0"/>
              <w:autoSpaceDN w:val="0"/>
              <w:adjustRightInd w:val="0"/>
              <w:ind w:left="176"/>
              <w:jc w:val="center"/>
              <w:rPr>
                <w:rFonts w:ascii="Arial" w:eastAsia="Cambria" w:hAnsi="Arial" w:cs="Arial"/>
                <w:b/>
                <w:sz w:val="16"/>
                <w:szCs w:val="16"/>
              </w:rPr>
            </w:pPr>
            <w:r>
              <w:rPr>
                <w:rFonts w:ascii="Arial" w:hAnsi="Arial"/>
                <w:b/>
                <w:sz w:val="16"/>
              </w:rPr>
              <w:t>Description</w:t>
            </w:r>
          </w:p>
        </w:tc>
        <w:tc>
          <w:tcPr>
            <w:tcW w:w="963" w:type="pct"/>
            <w:gridSpan w:val="2"/>
            <w:vMerge w:val="restart"/>
            <w:vAlign w:val="center"/>
          </w:tcPr>
          <w:p w14:paraId="1E28FE14" w14:textId="77777777" w:rsidR="007A5618" w:rsidRPr="00A717D1" w:rsidRDefault="007A5618" w:rsidP="00100C2E">
            <w:pPr>
              <w:widowControl w:val="0"/>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eastAsia="Cambria" w:hAnsi="Arial" w:cs="Arial"/>
                <w:b/>
                <w:sz w:val="16"/>
                <w:szCs w:val="16"/>
              </w:rPr>
            </w:pPr>
            <w:r>
              <w:rPr>
                <w:rFonts w:ascii="Arial" w:hAnsi="Arial"/>
                <w:b/>
                <w:sz w:val="16"/>
              </w:rPr>
              <w:t>Total</w:t>
            </w:r>
          </w:p>
        </w:tc>
        <w:tc>
          <w:tcPr>
            <w:cnfStyle w:val="000010000000" w:firstRow="0" w:lastRow="0" w:firstColumn="0" w:lastColumn="0" w:oddVBand="1" w:evenVBand="0" w:oddHBand="0" w:evenHBand="0" w:firstRowFirstColumn="0" w:firstRowLastColumn="0" w:lastRowFirstColumn="0" w:lastRowLastColumn="0"/>
            <w:tcW w:w="1250" w:type="pct"/>
            <w:gridSpan w:val="2"/>
            <w:vAlign w:val="center"/>
          </w:tcPr>
          <w:p w14:paraId="25A81657" w14:textId="77777777" w:rsidR="007A5618" w:rsidRPr="00A717D1" w:rsidRDefault="007A5618" w:rsidP="00100C2E">
            <w:pPr>
              <w:widowControl w:val="0"/>
              <w:autoSpaceDE w:val="0"/>
              <w:autoSpaceDN w:val="0"/>
              <w:adjustRightInd w:val="0"/>
              <w:jc w:val="center"/>
              <w:rPr>
                <w:rFonts w:ascii="Arial" w:eastAsia="Cambria" w:hAnsi="Arial" w:cs="Arial"/>
                <w:b/>
                <w:sz w:val="16"/>
                <w:szCs w:val="16"/>
              </w:rPr>
            </w:pPr>
            <w:r>
              <w:rPr>
                <w:rFonts w:ascii="Arial" w:hAnsi="Arial"/>
                <w:b/>
                <w:sz w:val="16"/>
              </w:rPr>
              <w:t>Employed</w:t>
            </w:r>
          </w:p>
          <w:p w14:paraId="3C6DCF9D" w14:textId="77777777" w:rsidR="007A5618" w:rsidRPr="00A717D1" w:rsidRDefault="007A5618" w:rsidP="00100C2E">
            <w:pPr>
              <w:widowControl w:val="0"/>
              <w:autoSpaceDE w:val="0"/>
              <w:autoSpaceDN w:val="0"/>
              <w:adjustRightInd w:val="0"/>
              <w:jc w:val="center"/>
              <w:rPr>
                <w:rFonts w:ascii="Arial" w:eastAsia="Cambria" w:hAnsi="Arial" w:cs="Arial"/>
                <w:b/>
                <w:sz w:val="16"/>
                <w:szCs w:val="16"/>
              </w:rPr>
            </w:pPr>
            <w:r>
              <w:rPr>
                <w:rFonts w:ascii="Arial" w:eastAsia="Cambria" w:hAnsi="Arial" w:cs="Arial"/>
                <w:b/>
                <w:noProof/>
                <w:sz w:val="16"/>
                <w:szCs w:val="16"/>
                <w:lang w:val="pl-PL" w:eastAsia="pl-PL" w:bidi="ar-SA"/>
              </w:rPr>
              <w:drawing>
                <wp:inline distT="0" distB="0" distL="0" distR="0" wp14:anchorId="2F51C78D" wp14:editId="6F6148AE">
                  <wp:extent cx="6985" cy="6985"/>
                  <wp:effectExtent l="0" t="0" r="0" b="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985" cy="6985"/>
                          </a:xfrm>
                          <a:prstGeom prst="rect">
                            <a:avLst/>
                          </a:prstGeom>
                          <a:noFill/>
                          <a:ln>
                            <a:noFill/>
                          </a:ln>
                        </pic:spPr>
                      </pic:pic>
                    </a:graphicData>
                  </a:graphic>
                </wp:inline>
              </w:drawing>
            </w:r>
          </w:p>
        </w:tc>
        <w:tc>
          <w:tcPr>
            <w:tcW w:w="717" w:type="pct"/>
            <w:vMerge w:val="restart"/>
            <w:vAlign w:val="center"/>
          </w:tcPr>
          <w:p w14:paraId="5BC282DD" w14:textId="77777777" w:rsidR="007A5618" w:rsidRPr="00A717D1" w:rsidRDefault="007A5618" w:rsidP="00100C2E">
            <w:pPr>
              <w:widowControl w:val="0"/>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eastAsia="Cambria" w:hAnsi="Arial" w:cs="Arial"/>
                <w:b/>
                <w:sz w:val="16"/>
                <w:szCs w:val="16"/>
              </w:rPr>
            </w:pPr>
            <w:r>
              <w:rPr>
                <w:rFonts w:ascii="Arial" w:eastAsia="Cambria" w:hAnsi="Arial" w:cs="Arial"/>
                <w:b/>
                <w:noProof/>
                <w:sz w:val="16"/>
                <w:szCs w:val="16"/>
                <w:lang w:val="pl-PL" w:eastAsia="pl-PL" w:bidi="ar-SA"/>
              </w:rPr>
              <w:drawing>
                <wp:inline distT="0" distB="0" distL="0" distR="0" wp14:anchorId="022E40F6" wp14:editId="437ED9AF">
                  <wp:extent cx="6985" cy="6985"/>
                  <wp:effectExtent l="0" t="0" r="0" b="0"/>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985" cy="6985"/>
                          </a:xfrm>
                          <a:prstGeom prst="rect">
                            <a:avLst/>
                          </a:prstGeom>
                          <a:noFill/>
                          <a:ln>
                            <a:noFill/>
                          </a:ln>
                        </pic:spPr>
                      </pic:pic>
                    </a:graphicData>
                  </a:graphic>
                </wp:inline>
              </w:drawing>
            </w:r>
            <w:r>
              <w:rPr>
                <w:rFonts w:ascii="Arial" w:hAnsi="Arial"/>
                <w:b/>
                <w:sz w:val="16"/>
              </w:rPr>
              <w:t>Unemployed</w:t>
            </w:r>
          </w:p>
        </w:tc>
        <w:tc>
          <w:tcPr>
            <w:cnfStyle w:val="000010000000" w:firstRow="0" w:lastRow="0" w:firstColumn="0" w:lastColumn="0" w:oddVBand="1" w:evenVBand="0" w:oddHBand="0" w:evenHBand="0" w:firstRowFirstColumn="0" w:firstRowLastColumn="0" w:lastRowFirstColumn="0" w:lastRowLastColumn="0"/>
            <w:tcW w:w="821" w:type="pct"/>
            <w:vMerge w:val="restart"/>
            <w:vAlign w:val="center"/>
          </w:tcPr>
          <w:p w14:paraId="74772291" w14:textId="48F1A486" w:rsidR="007A5618" w:rsidRPr="00A717D1" w:rsidRDefault="007A5618" w:rsidP="00114988">
            <w:pPr>
              <w:widowControl w:val="0"/>
              <w:autoSpaceDE w:val="0"/>
              <w:autoSpaceDN w:val="0"/>
              <w:adjustRightInd w:val="0"/>
              <w:jc w:val="center"/>
              <w:rPr>
                <w:rFonts w:ascii="Arial" w:eastAsia="Cambria" w:hAnsi="Arial" w:cs="Arial"/>
                <w:b/>
                <w:sz w:val="16"/>
                <w:szCs w:val="16"/>
              </w:rPr>
            </w:pPr>
            <w:r>
              <w:rPr>
                <w:rFonts w:ascii="Arial" w:eastAsia="Cambria" w:hAnsi="Arial" w:cs="Arial"/>
                <w:b/>
                <w:noProof/>
                <w:sz w:val="16"/>
                <w:szCs w:val="16"/>
                <w:lang w:val="pl-PL" w:eastAsia="pl-PL" w:bidi="ar-SA"/>
              </w:rPr>
              <w:drawing>
                <wp:inline distT="0" distB="0" distL="0" distR="0" wp14:anchorId="7471F0E1" wp14:editId="5232E491">
                  <wp:extent cx="6985" cy="6985"/>
                  <wp:effectExtent l="0" t="0" r="0" b="0"/>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985" cy="6985"/>
                          </a:xfrm>
                          <a:prstGeom prst="rect">
                            <a:avLst/>
                          </a:prstGeom>
                          <a:noFill/>
                          <a:ln>
                            <a:noFill/>
                          </a:ln>
                        </pic:spPr>
                      </pic:pic>
                    </a:graphicData>
                  </a:graphic>
                </wp:inline>
              </w:drawing>
            </w:r>
            <w:r>
              <w:rPr>
                <w:rFonts w:ascii="Arial" w:hAnsi="Arial"/>
                <w:b/>
                <w:sz w:val="16"/>
              </w:rPr>
              <w:t>Vocationally</w:t>
            </w:r>
            <w:r w:rsidR="00114988">
              <w:rPr>
                <w:rFonts w:ascii="Arial" w:hAnsi="Arial"/>
                <w:b/>
                <w:sz w:val="16"/>
              </w:rPr>
              <w:t xml:space="preserve"> </w:t>
            </w:r>
            <w:r w:rsidR="00100C2E">
              <w:rPr>
                <w:rFonts w:ascii="Arial" w:hAnsi="Arial"/>
                <w:b/>
                <w:sz w:val="16"/>
              </w:rPr>
              <w:t>passive</w:t>
            </w:r>
          </w:p>
        </w:tc>
      </w:tr>
      <w:tr w:rsidR="007A5618" w:rsidRPr="00A717D1" w14:paraId="0EADA4A2" w14:textId="77777777" w:rsidTr="00100C2E">
        <w:trPr>
          <w:trHeight w:val="597"/>
        </w:trPr>
        <w:tc>
          <w:tcPr>
            <w:cnfStyle w:val="000010000000" w:firstRow="0" w:lastRow="0" w:firstColumn="0" w:lastColumn="0" w:oddVBand="1" w:evenVBand="0" w:oddHBand="0" w:evenHBand="0" w:firstRowFirstColumn="0" w:firstRowLastColumn="0" w:lastRowFirstColumn="0" w:lastRowLastColumn="0"/>
            <w:tcW w:w="1250" w:type="pct"/>
            <w:vMerge/>
            <w:vAlign w:val="center"/>
          </w:tcPr>
          <w:p w14:paraId="5F0F2FE2" w14:textId="77777777" w:rsidR="007A5618" w:rsidRPr="00A717D1" w:rsidRDefault="007A5618" w:rsidP="00100C2E">
            <w:pPr>
              <w:widowControl w:val="0"/>
              <w:autoSpaceDE w:val="0"/>
              <w:autoSpaceDN w:val="0"/>
              <w:adjustRightInd w:val="0"/>
              <w:jc w:val="center"/>
              <w:rPr>
                <w:rFonts w:ascii="Arial" w:eastAsia="Cambria" w:hAnsi="Arial" w:cs="Arial"/>
                <w:sz w:val="16"/>
                <w:szCs w:val="16"/>
              </w:rPr>
            </w:pPr>
          </w:p>
        </w:tc>
        <w:tc>
          <w:tcPr>
            <w:tcW w:w="963" w:type="pct"/>
            <w:gridSpan w:val="2"/>
            <w:vMerge/>
            <w:vAlign w:val="center"/>
          </w:tcPr>
          <w:p w14:paraId="64ACE77D" w14:textId="77777777" w:rsidR="007A5618" w:rsidRPr="00A717D1" w:rsidRDefault="007A5618" w:rsidP="00100C2E">
            <w:pPr>
              <w:widowControl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eastAsia="Cambria" w:hAnsi="Arial" w:cs="Arial"/>
                <w:sz w:val="16"/>
                <w:szCs w:val="16"/>
              </w:rPr>
            </w:pPr>
          </w:p>
        </w:tc>
        <w:tc>
          <w:tcPr>
            <w:cnfStyle w:val="000010000000" w:firstRow="0" w:lastRow="0" w:firstColumn="0" w:lastColumn="0" w:oddVBand="1" w:evenVBand="0" w:oddHBand="0" w:evenHBand="0" w:firstRowFirstColumn="0" w:firstRowLastColumn="0" w:lastRowFirstColumn="0" w:lastRowLastColumn="0"/>
            <w:tcW w:w="481" w:type="pct"/>
            <w:vAlign w:val="center"/>
          </w:tcPr>
          <w:p w14:paraId="58397FF3" w14:textId="77777777" w:rsidR="007A5618" w:rsidRPr="00A717D1" w:rsidRDefault="007A5618" w:rsidP="00100C2E">
            <w:pPr>
              <w:widowControl w:val="0"/>
              <w:autoSpaceDE w:val="0"/>
              <w:autoSpaceDN w:val="0"/>
              <w:adjustRightInd w:val="0"/>
              <w:jc w:val="center"/>
              <w:rPr>
                <w:rFonts w:ascii="Arial" w:eastAsia="Cambria" w:hAnsi="Arial" w:cs="Arial"/>
                <w:b/>
                <w:sz w:val="16"/>
                <w:szCs w:val="16"/>
              </w:rPr>
            </w:pPr>
            <w:r>
              <w:rPr>
                <w:rFonts w:ascii="Arial" w:hAnsi="Arial"/>
                <w:b/>
                <w:sz w:val="16"/>
              </w:rPr>
              <w:t>total</w:t>
            </w:r>
          </w:p>
        </w:tc>
        <w:tc>
          <w:tcPr>
            <w:tcW w:w="769" w:type="pct"/>
            <w:vAlign w:val="center"/>
          </w:tcPr>
          <w:p w14:paraId="30EE6971" w14:textId="77777777" w:rsidR="007A5618" w:rsidRPr="00A717D1" w:rsidRDefault="007A5618" w:rsidP="00100C2E">
            <w:pPr>
              <w:widowControl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eastAsia="Cambria" w:hAnsi="Arial" w:cs="Arial"/>
                <w:b/>
                <w:sz w:val="16"/>
                <w:szCs w:val="16"/>
              </w:rPr>
            </w:pPr>
            <w:r>
              <w:rPr>
                <w:rFonts w:ascii="Arial" w:hAnsi="Arial"/>
                <w:b/>
                <w:sz w:val="16"/>
              </w:rPr>
              <w:t>full</w:t>
            </w:r>
          </w:p>
          <w:p w14:paraId="454FD790" w14:textId="77777777" w:rsidR="007A5618" w:rsidRPr="00A717D1" w:rsidRDefault="007A5618" w:rsidP="00100C2E">
            <w:pPr>
              <w:widowControl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eastAsia="Cambria" w:hAnsi="Arial" w:cs="Arial"/>
                <w:b/>
                <w:sz w:val="16"/>
                <w:szCs w:val="16"/>
              </w:rPr>
            </w:pPr>
            <w:r>
              <w:rPr>
                <w:rFonts w:ascii="Arial" w:hAnsi="Arial"/>
                <w:b/>
                <w:sz w:val="16"/>
              </w:rPr>
              <w:t>time</w:t>
            </w:r>
          </w:p>
        </w:tc>
        <w:tc>
          <w:tcPr>
            <w:cnfStyle w:val="000010000000" w:firstRow="0" w:lastRow="0" w:firstColumn="0" w:lastColumn="0" w:oddVBand="1" w:evenVBand="0" w:oddHBand="0" w:evenHBand="0" w:firstRowFirstColumn="0" w:firstRowLastColumn="0" w:lastRowFirstColumn="0" w:lastRowLastColumn="0"/>
            <w:tcW w:w="717" w:type="pct"/>
            <w:vMerge/>
            <w:vAlign w:val="center"/>
          </w:tcPr>
          <w:p w14:paraId="230D7C0B" w14:textId="77777777" w:rsidR="007A5618" w:rsidRPr="00A717D1" w:rsidRDefault="007A5618" w:rsidP="00100C2E">
            <w:pPr>
              <w:widowControl w:val="0"/>
              <w:autoSpaceDE w:val="0"/>
              <w:autoSpaceDN w:val="0"/>
              <w:adjustRightInd w:val="0"/>
              <w:jc w:val="center"/>
              <w:rPr>
                <w:rFonts w:ascii="Arial" w:eastAsia="Cambria" w:hAnsi="Arial" w:cs="Arial"/>
                <w:sz w:val="16"/>
                <w:szCs w:val="16"/>
              </w:rPr>
            </w:pPr>
          </w:p>
        </w:tc>
        <w:tc>
          <w:tcPr>
            <w:tcW w:w="821" w:type="pct"/>
            <w:vMerge/>
            <w:vAlign w:val="center"/>
          </w:tcPr>
          <w:p w14:paraId="575C6579" w14:textId="77777777" w:rsidR="007A5618" w:rsidRPr="00A717D1" w:rsidRDefault="007A5618" w:rsidP="00100C2E">
            <w:pPr>
              <w:widowControl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eastAsia="Cambria" w:hAnsi="Arial" w:cs="Arial"/>
                <w:sz w:val="16"/>
                <w:szCs w:val="16"/>
              </w:rPr>
            </w:pPr>
          </w:p>
        </w:tc>
      </w:tr>
      <w:tr w:rsidR="007A5618" w:rsidRPr="00A717D1" w14:paraId="49A8C206" w14:textId="77777777" w:rsidTr="00100C2E">
        <w:trPr>
          <w:cnfStyle w:val="000000100000" w:firstRow="0" w:lastRow="0" w:firstColumn="0" w:lastColumn="0" w:oddVBand="0" w:evenVBand="0" w:oddHBand="1" w:evenHBand="0" w:firstRowFirstColumn="0" w:firstRowLastColumn="0" w:lastRowFirstColumn="0" w:lastRowLastColumn="0"/>
          <w:trHeight w:val="189"/>
        </w:trPr>
        <w:tc>
          <w:tcPr>
            <w:cnfStyle w:val="000010000000" w:firstRow="0" w:lastRow="0" w:firstColumn="0" w:lastColumn="0" w:oddVBand="1" w:evenVBand="0" w:oddHBand="0" w:evenHBand="0" w:firstRowFirstColumn="0" w:firstRowLastColumn="0" w:lastRowFirstColumn="0" w:lastRowLastColumn="0"/>
            <w:tcW w:w="1250" w:type="pct"/>
            <w:vMerge/>
            <w:vAlign w:val="center"/>
          </w:tcPr>
          <w:p w14:paraId="36918DE1" w14:textId="77777777" w:rsidR="007A5618" w:rsidRPr="00A717D1" w:rsidRDefault="007A5618" w:rsidP="00100C2E">
            <w:pPr>
              <w:widowControl w:val="0"/>
              <w:autoSpaceDE w:val="0"/>
              <w:autoSpaceDN w:val="0"/>
              <w:adjustRightInd w:val="0"/>
              <w:jc w:val="center"/>
              <w:rPr>
                <w:rFonts w:ascii="Arial" w:eastAsia="Cambria" w:hAnsi="Arial" w:cs="Arial"/>
                <w:sz w:val="16"/>
                <w:szCs w:val="16"/>
              </w:rPr>
            </w:pPr>
          </w:p>
        </w:tc>
        <w:tc>
          <w:tcPr>
            <w:tcW w:w="481" w:type="pct"/>
            <w:vAlign w:val="center"/>
          </w:tcPr>
          <w:p w14:paraId="08FCBEF8" w14:textId="77777777" w:rsidR="007A5618" w:rsidRPr="00A717D1" w:rsidRDefault="007A5618" w:rsidP="00100C2E">
            <w:pPr>
              <w:widowControl w:val="0"/>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eastAsia="Cambria" w:hAnsi="Arial" w:cs="Arial"/>
                <w:sz w:val="16"/>
                <w:szCs w:val="16"/>
              </w:rPr>
            </w:pPr>
            <w:r>
              <w:rPr>
                <w:rFonts w:ascii="Arial" w:hAnsi="Arial"/>
                <w:sz w:val="16"/>
              </w:rPr>
              <w:t>thousand</w:t>
            </w:r>
          </w:p>
        </w:tc>
        <w:tc>
          <w:tcPr>
            <w:cnfStyle w:val="000010000000" w:firstRow="0" w:lastRow="0" w:firstColumn="0" w:lastColumn="0" w:oddVBand="1" w:evenVBand="0" w:oddHBand="0" w:evenHBand="0" w:firstRowFirstColumn="0" w:firstRowLastColumn="0" w:lastRowFirstColumn="0" w:lastRowLastColumn="0"/>
            <w:tcW w:w="3269" w:type="pct"/>
            <w:gridSpan w:val="5"/>
            <w:vAlign w:val="center"/>
          </w:tcPr>
          <w:p w14:paraId="6336D57B" w14:textId="77777777" w:rsidR="007A5618" w:rsidRPr="00A717D1" w:rsidRDefault="007A5618" w:rsidP="00100C2E">
            <w:pPr>
              <w:widowControl w:val="0"/>
              <w:autoSpaceDE w:val="0"/>
              <w:autoSpaceDN w:val="0"/>
              <w:adjustRightInd w:val="0"/>
              <w:jc w:val="center"/>
              <w:rPr>
                <w:rFonts w:ascii="Arial" w:eastAsia="Cambria" w:hAnsi="Arial" w:cs="Arial"/>
                <w:sz w:val="16"/>
                <w:szCs w:val="16"/>
              </w:rPr>
            </w:pPr>
            <w:r>
              <w:rPr>
                <w:rFonts w:ascii="Arial" w:hAnsi="Arial"/>
                <w:sz w:val="16"/>
              </w:rPr>
              <w:t>in %</w:t>
            </w:r>
          </w:p>
        </w:tc>
      </w:tr>
      <w:tr w:rsidR="007A5618" w:rsidRPr="00A717D1" w14:paraId="5865F9A9" w14:textId="77777777" w:rsidTr="00100C2E">
        <w:tc>
          <w:tcPr>
            <w:cnfStyle w:val="000010000000" w:firstRow="0" w:lastRow="0" w:firstColumn="0" w:lastColumn="0" w:oddVBand="1" w:evenVBand="0" w:oddHBand="0" w:evenHBand="0" w:firstRowFirstColumn="0" w:firstRowLastColumn="0" w:lastRowFirstColumn="0" w:lastRowLastColumn="0"/>
            <w:tcW w:w="1250" w:type="pct"/>
            <w:vAlign w:val="center"/>
          </w:tcPr>
          <w:p w14:paraId="6A28410F" w14:textId="77777777" w:rsidR="007A5618" w:rsidRPr="00A717D1" w:rsidRDefault="007A5618" w:rsidP="00100C2E">
            <w:pPr>
              <w:widowControl w:val="0"/>
              <w:autoSpaceDE w:val="0"/>
              <w:autoSpaceDN w:val="0"/>
              <w:adjustRightInd w:val="0"/>
              <w:jc w:val="center"/>
              <w:rPr>
                <w:rFonts w:ascii="Arial" w:eastAsia="Cambria" w:hAnsi="Arial" w:cs="Arial"/>
                <w:sz w:val="16"/>
                <w:szCs w:val="16"/>
              </w:rPr>
            </w:pPr>
            <w:r>
              <w:rPr>
                <w:rFonts w:ascii="Arial" w:hAnsi="Arial"/>
                <w:sz w:val="16"/>
              </w:rPr>
              <w:t>TOTAL</w:t>
            </w:r>
          </w:p>
        </w:tc>
        <w:tc>
          <w:tcPr>
            <w:tcW w:w="481" w:type="pct"/>
            <w:vAlign w:val="center"/>
          </w:tcPr>
          <w:p w14:paraId="2554D755" w14:textId="77777777" w:rsidR="007A5618" w:rsidRPr="00A717D1" w:rsidRDefault="007A5618" w:rsidP="00100C2E">
            <w:pPr>
              <w:widowControl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eastAsia="Cambria" w:hAnsi="Arial" w:cs="Arial"/>
                <w:sz w:val="16"/>
                <w:szCs w:val="16"/>
              </w:rPr>
            </w:pPr>
            <w:r>
              <w:rPr>
                <w:rFonts w:ascii="Arial" w:hAnsi="Arial"/>
                <w:sz w:val="16"/>
              </w:rPr>
              <w:t>26,653</w:t>
            </w:r>
          </w:p>
        </w:tc>
        <w:tc>
          <w:tcPr>
            <w:cnfStyle w:val="000010000000" w:firstRow="0" w:lastRow="0" w:firstColumn="0" w:lastColumn="0" w:oddVBand="1" w:evenVBand="0" w:oddHBand="0" w:evenHBand="0" w:firstRowFirstColumn="0" w:firstRowLastColumn="0" w:lastRowFirstColumn="0" w:lastRowLastColumn="0"/>
            <w:tcW w:w="481" w:type="pct"/>
            <w:vAlign w:val="center"/>
          </w:tcPr>
          <w:p w14:paraId="42D5AD86" w14:textId="77777777" w:rsidR="007A5618" w:rsidRPr="00A717D1" w:rsidRDefault="007A5618" w:rsidP="00100C2E">
            <w:pPr>
              <w:widowControl w:val="0"/>
              <w:autoSpaceDE w:val="0"/>
              <w:autoSpaceDN w:val="0"/>
              <w:adjustRightInd w:val="0"/>
              <w:jc w:val="center"/>
              <w:rPr>
                <w:rFonts w:ascii="Arial" w:eastAsia="Cambria" w:hAnsi="Arial" w:cs="Arial"/>
                <w:sz w:val="16"/>
                <w:szCs w:val="16"/>
              </w:rPr>
            </w:pPr>
            <w:r>
              <w:rPr>
                <w:rFonts w:ascii="Arial" w:hAnsi="Arial"/>
                <w:sz w:val="16"/>
              </w:rPr>
              <w:t>100.0</w:t>
            </w:r>
          </w:p>
        </w:tc>
        <w:tc>
          <w:tcPr>
            <w:tcW w:w="481" w:type="pct"/>
            <w:vAlign w:val="center"/>
          </w:tcPr>
          <w:p w14:paraId="1A6EB8C3" w14:textId="77777777" w:rsidR="007A5618" w:rsidRPr="00A717D1" w:rsidRDefault="007A5618" w:rsidP="00100C2E">
            <w:pPr>
              <w:widowControl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eastAsia="Cambria" w:hAnsi="Arial" w:cs="Arial"/>
                <w:sz w:val="16"/>
                <w:szCs w:val="16"/>
              </w:rPr>
            </w:pPr>
            <w:r>
              <w:rPr>
                <w:rFonts w:ascii="Arial" w:hAnsi="Arial"/>
                <w:sz w:val="16"/>
              </w:rPr>
              <w:t>60.0</w:t>
            </w:r>
          </w:p>
        </w:tc>
        <w:tc>
          <w:tcPr>
            <w:cnfStyle w:val="000010000000" w:firstRow="0" w:lastRow="0" w:firstColumn="0" w:lastColumn="0" w:oddVBand="1" w:evenVBand="0" w:oddHBand="0" w:evenHBand="0" w:firstRowFirstColumn="0" w:firstRowLastColumn="0" w:lastRowFirstColumn="0" w:lastRowLastColumn="0"/>
            <w:tcW w:w="769" w:type="pct"/>
            <w:vAlign w:val="center"/>
          </w:tcPr>
          <w:p w14:paraId="24B2C478" w14:textId="77777777" w:rsidR="007A5618" w:rsidRPr="00A717D1" w:rsidRDefault="007A5618" w:rsidP="00100C2E">
            <w:pPr>
              <w:widowControl w:val="0"/>
              <w:autoSpaceDE w:val="0"/>
              <w:autoSpaceDN w:val="0"/>
              <w:adjustRightInd w:val="0"/>
              <w:jc w:val="center"/>
              <w:rPr>
                <w:rFonts w:ascii="Arial" w:eastAsia="Cambria" w:hAnsi="Arial" w:cs="Arial"/>
                <w:sz w:val="16"/>
                <w:szCs w:val="16"/>
              </w:rPr>
            </w:pPr>
            <w:r>
              <w:rPr>
                <w:rFonts w:ascii="Arial" w:hAnsi="Arial"/>
                <w:sz w:val="16"/>
              </w:rPr>
              <w:t>55.6</w:t>
            </w:r>
          </w:p>
        </w:tc>
        <w:tc>
          <w:tcPr>
            <w:tcW w:w="717" w:type="pct"/>
            <w:vAlign w:val="center"/>
          </w:tcPr>
          <w:p w14:paraId="7927E8D6" w14:textId="77777777" w:rsidR="007A5618" w:rsidRPr="00A717D1" w:rsidRDefault="007A5618" w:rsidP="00100C2E">
            <w:pPr>
              <w:widowControl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eastAsia="Cambria" w:hAnsi="Arial" w:cs="Arial"/>
                <w:sz w:val="16"/>
                <w:szCs w:val="16"/>
              </w:rPr>
            </w:pPr>
            <w:r>
              <w:rPr>
                <w:rFonts w:ascii="Arial" w:hAnsi="Arial"/>
                <w:sz w:val="16"/>
              </w:rPr>
              <w:t>6.4</w:t>
            </w:r>
          </w:p>
        </w:tc>
        <w:tc>
          <w:tcPr>
            <w:cnfStyle w:val="000010000000" w:firstRow="0" w:lastRow="0" w:firstColumn="0" w:lastColumn="0" w:oddVBand="1" w:evenVBand="0" w:oddHBand="0" w:evenHBand="0" w:firstRowFirstColumn="0" w:firstRowLastColumn="0" w:lastRowFirstColumn="0" w:lastRowLastColumn="0"/>
            <w:tcW w:w="821" w:type="pct"/>
            <w:vAlign w:val="center"/>
          </w:tcPr>
          <w:p w14:paraId="0B1C5142" w14:textId="77777777" w:rsidR="007A5618" w:rsidRPr="00A717D1" w:rsidRDefault="007A5618" w:rsidP="00100C2E">
            <w:pPr>
              <w:widowControl w:val="0"/>
              <w:autoSpaceDE w:val="0"/>
              <w:autoSpaceDN w:val="0"/>
              <w:adjustRightInd w:val="0"/>
              <w:jc w:val="center"/>
              <w:rPr>
                <w:rFonts w:ascii="Arial" w:eastAsia="Cambria" w:hAnsi="Arial" w:cs="Arial"/>
                <w:sz w:val="16"/>
                <w:szCs w:val="16"/>
              </w:rPr>
            </w:pPr>
            <w:r>
              <w:rPr>
                <w:rFonts w:ascii="Arial" w:hAnsi="Arial"/>
                <w:sz w:val="16"/>
              </w:rPr>
              <w:t>33.7</w:t>
            </w:r>
          </w:p>
        </w:tc>
      </w:tr>
      <w:tr w:rsidR="007A5618" w:rsidRPr="00A717D1" w14:paraId="1AEC5CDC" w14:textId="77777777" w:rsidTr="00100C2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50" w:type="pct"/>
            <w:vAlign w:val="center"/>
          </w:tcPr>
          <w:p w14:paraId="5B27BA6F" w14:textId="77777777" w:rsidR="007A5618" w:rsidRPr="00A717D1" w:rsidRDefault="007A5618" w:rsidP="00100C2E">
            <w:pPr>
              <w:widowControl w:val="0"/>
              <w:autoSpaceDE w:val="0"/>
              <w:autoSpaceDN w:val="0"/>
              <w:adjustRightInd w:val="0"/>
              <w:jc w:val="center"/>
              <w:rPr>
                <w:rFonts w:ascii="Arial" w:eastAsia="Cambria" w:hAnsi="Arial" w:cs="Arial"/>
                <w:sz w:val="16"/>
                <w:szCs w:val="16"/>
              </w:rPr>
            </w:pPr>
            <w:r>
              <w:rPr>
                <w:rFonts w:ascii="Arial" w:hAnsi="Arial"/>
                <w:sz w:val="16"/>
              </w:rPr>
              <w:t>Seeing,</w:t>
            </w:r>
          </w:p>
          <w:p w14:paraId="1E281FB3" w14:textId="77777777" w:rsidR="007A5618" w:rsidRPr="00A717D1" w:rsidRDefault="007A5618" w:rsidP="00100C2E">
            <w:pPr>
              <w:widowControl w:val="0"/>
              <w:autoSpaceDE w:val="0"/>
              <w:autoSpaceDN w:val="0"/>
              <w:adjustRightInd w:val="0"/>
              <w:jc w:val="center"/>
              <w:rPr>
                <w:rFonts w:ascii="Arial" w:eastAsia="Cambria" w:hAnsi="Arial" w:cs="Arial"/>
                <w:sz w:val="16"/>
                <w:szCs w:val="16"/>
              </w:rPr>
            </w:pPr>
            <w:r>
              <w:rPr>
                <w:rFonts w:ascii="Arial" w:hAnsi="Arial"/>
                <w:sz w:val="16"/>
              </w:rPr>
              <w:t>even in glasses</w:t>
            </w:r>
          </w:p>
        </w:tc>
        <w:tc>
          <w:tcPr>
            <w:tcW w:w="481" w:type="pct"/>
            <w:vAlign w:val="center"/>
          </w:tcPr>
          <w:p w14:paraId="0454D4AC" w14:textId="77777777" w:rsidR="007A5618" w:rsidRPr="00A717D1" w:rsidRDefault="007A5618" w:rsidP="00100C2E">
            <w:pPr>
              <w:widowControl w:val="0"/>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eastAsia="Cambria" w:hAnsi="Arial" w:cs="Arial"/>
                <w:sz w:val="16"/>
                <w:szCs w:val="16"/>
              </w:rPr>
            </w:pPr>
            <w:r>
              <w:rPr>
                <w:rFonts w:ascii="Arial" w:hAnsi="Arial"/>
                <w:sz w:val="16"/>
              </w:rPr>
              <w:t>325</w:t>
            </w:r>
          </w:p>
        </w:tc>
        <w:tc>
          <w:tcPr>
            <w:cnfStyle w:val="000010000000" w:firstRow="0" w:lastRow="0" w:firstColumn="0" w:lastColumn="0" w:oddVBand="1" w:evenVBand="0" w:oddHBand="0" w:evenHBand="0" w:firstRowFirstColumn="0" w:firstRowLastColumn="0" w:lastRowFirstColumn="0" w:lastRowLastColumn="0"/>
            <w:tcW w:w="481" w:type="pct"/>
            <w:vAlign w:val="center"/>
          </w:tcPr>
          <w:p w14:paraId="456F7844" w14:textId="77777777" w:rsidR="007A5618" w:rsidRPr="00A717D1" w:rsidRDefault="007A5618" w:rsidP="00100C2E">
            <w:pPr>
              <w:widowControl w:val="0"/>
              <w:autoSpaceDE w:val="0"/>
              <w:autoSpaceDN w:val="0"/>
              <w:adjustRightInd w:val="0"/>
              <w:jc w:val="center"/>
              <w:rPr>
                <w:rFonts w:ascii="Arial" w:eastAsia="Cambria" w:hAnsi="Arial" w:cs="Arial"/>
                <w:sz w:val="16"/>
                <w:szCs w:val="16"/>
              </w:rPr>
            </w:pPr>
            <w:r>
              <w:rPr>
                <w:rFonts w:ascii="Arial" w:hAnsi="Arial"/>
                <w:sz w:val="16"/>
              </w:rPr>
              <w:t>100.0</w:t>
            </w:r>
          </w:p>
        </w:tc>
        <w:tc>
          <w:tcPr>
            <w:tcW w:w="481" w:type="pct"/>
            <w:vAlign w:val="center"/>
          </w:tcPr>
          <w:p w14:paraId="6065A1DE" w14:textId="77777777" w:rsidR="007A5618" w:rsidRPr="00A717D1" w:rsidRDefault="007A5618" w:rsidP="00100C2E">
            <w:pPr>
              <w:widowControl w:val="0"/>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eastAsia="Cambria" w:hAnsi="Arial" w:cs="Arial"/>
                <w:sz w:val="16"/>
                <w:szCs w:val="16"/>
              </w:rPr>
            </w:pPr>
            <w:r>
              <w:rPr>
                <w:rFonts w:ascii="Arial" w:hAnsi="Arial"/>
                <w:sz w:val="16"/>
              </w:rPr>
              <w:t>34.2</w:t>
            </w:r>
          </w:p>
        </w:tc>
        <w:tc>
          <w:tcPr>
            <w:cnfStyle w:val="000010000000" w:firstRow="0" w:lastRow="0" w:firstColumn="0" w:lastColumn="0" w:oddVBand="1" w:evenVBand="0" w:oddHBand="0" w:evenHBand="0" w:firstRowFirstColumn="0" w:firstRowLastColumn="0" w:lastRowFirstColumn="0" w:lastRowLastColumn="0"/>
            <w:tcW w:w="769" w:type="pct"/>
            <w:vAlign w:val="center"/>
          </w:tcPr>
          <w:p w14:paraId="35FFA155" w14:textId="77777777" w:rsidR="007A5618" w:rsidRPr="00A717D1" w:rsidRDefault="007A5618" w:rsidP="00100C2E">
            <w:pPr>
              <w:widowControl w:val="0"/>
              <w:autoSpaceDE w:val="0"/>
              <w:autoSpaceDN w:val="0"/>
              <w:adjustRightInd w:val="0"/>
              <w:jc w:val="center"/>
              <w:rPr>
                <w:rFonts w:ascii="Arial" w:eastAsia="Cambria" w:hAnsi="Arial" w:cs="Arial"/>
                <w:sz w:val="16"/>
                <w:szCs w:val="16"/>
              </w:rPr>
            </w:pPr>
            <w:r>
              <w:rPr>
                <w:rFonts w:ascii="Arial" w:hAnsi="Arial"/>
                <w:sz w:val="16"/>
              </w:rPr>
              <w:t>28.6</w:t>
            </w:r>
          </w:p>
        </w:tc>
        <w:tc>
          <w:tcPr>
            <w:tcW w:w="717" w:type="pct"/>
            <w:vAlign w:val="center"/>
          </w:tcPr>
          <w:p w14:paraId="2ADD11FF" w14:textId="77777777" w:rsidR="007A5618" w:rsidRPr="00A717D1" w:rsidRDefault="007A5618" w:rsidP="00100C2E">
            <w:pPr>
              <w:widowControl w:val="0"/>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eastAsia="Cambria" w:hAnsi="Arial" w:cs="Arial"/>
                <w:sz w:val="16"/>
                <w:szCs w:val="16"/>
              </w:rPr>
            </w:pPr>
            <w:r>
              <w:rPr>
                <w:rFonts w:ascii="Arial" w:hAnsi="Arial"/>
                <w:sz w:val="16"/>
              </w:rPr>
              <w:t>5.2</w:t>
            </w:r>
          </w:p>
        </w:tc>
        <w:tc>
          <w:tcPr>
            <w:cnfStyle w:val="000010000000" w:firstRow="0" w:lastRow="0" w:firstColumn="0" w:lastColumn="0" w:oddVBand="1" w:evenVBand="0" w:oddHBand="0" w:evenHBand="0" w:firstRowFirstColumn="0" w:firstRowLastColumn="0" w:lastRowFirstColumn="0" w:lastRowLastColumn="0"/>
            <w:tcW w:w="821" w:type="pct"/>
            <w:vAlign w:val="center"/>
          </w:tcPr>
          <w:p w14:paraId="7E082E7D" w14:textId="77777777" w:rsidR="007A5618" w:rsidRPr="00A717D1" w:rsidRDefault="007A5618" w:rsidP="00100C2E">
            <w:pPr>
              <w:widowControl w:val="0"/>
              <w:autoSpaceDE w:val="0"/>
              <w:autoSpaceDN w:val="0"/>
              <w:adjustRightInd w:val="0"/>
              <w:jc w:val="center"/>
              <w:rPr>
                <w:rFonts w:ascii="Arial" w:eastAsia="Cambria" w:hAnsi="Arial" w:cs="Arial"/>
                <w:sz w:val="16"/>
                <w:szCs w:val="16"/>
              </w:rPr>
            </w:pPr>
            <w:r>
              <w:rPr>
                <w:rFonts w:ascii="Arial" w:hAnsi="Arial"/>
                <w:sz w:val="16"/>
              </w:rPr>
              <w:t>60.6</w:t>
            </w:r>
          </w:p>
        </w:tc>
      </w:tr>
      <w:tr w:rsidR="007A5618" w:rsidRPr="00A717D1" w14:paraId="1D97F26D" w14:textId="77777777" w:rsidTr="00100C2E">
        <w:trPr>
          <w:trHeight w:val="597"/>
        </w:trPr>
        <w:tc>
          <w:tcPr>
            <w:cnfStyle w:val="000010000000" w:firstRow="0" w:lastRow="0" w:firstColumn="0" w:lastColumn="0" w:oddVBand="1" w:evenVBand="0" w:oddHBand="0" w:evenHBand="0" w:firstRowFirstColumn="0" w:firstRowLastColumn="0" w:lastRowFirstColumn="0" w:lastRowLastColumn="0"/>
            <w:tcW w:w="1250" w:type="pct"/>
            <w:vAlign w:val="center"/>
          </w:tcPr>
          <w:p w14:paraId="78B329AD" w14:textId="77777777" w:rsidR="007A5618" w:rsidRPr="00A717D1" w:rsidRDefault="007A5618" w:rsidP="00100C2E">
            <w:pPr>
              <w:widowControl w:val="0"/>
              <w:autoSpaceDE w:val="0"/>
              <w:autoSpaceDN w:val="0"/>
              <w:adjustRightInd w:val="0"/>
              <w:jc w:val="center"/>
              <w:rPr>
                <w:rFonts w:ascii="Arial" w:eastAsia="Cambria" w:hAnsi="Arial" w:cs="Arial"/>
                <w:sz w:val="16"/>
                <w:szCs w:val="16"/>
              </w:rPr>
            </w:pPr>
            <w:r>
              <w:rPr>
                <w:rFonts w:ascii="Arial" w:hAnsi="Arial"/>
                <w:sz w:val="16"/>
              </w:rPr>
              <w:lastRenderedPageBreak/>
              <w:t>Hearing,</w:t>
            </w:r>
          </w:p>
          <w:p w14:paraId="0C52D62D" w14:textId="77777777" w:rsidR="007A5618" w:rsidRPr="00A717D1" w:rsidRDefault="007A5618" w:rsidP="00100C2E">
            <w:pPr>
              <w:widowControl w:val="0"/>
              <w:autoSpaceDE w:val="0"/>
              <w:autoSpaceDN w:val="0"/>
              <w:adjustRightInd w:val="0"/>
              <w:jc w:val="center"/>
              <w:rPr>
                <w:rFonts w:ascii="Arial" w:eastAsia="Cambria" w:hAnsi="Arial" w:cs="Arial"/>
                <w:sz w:val="16"/>
                <w:szCs w:val="16"/>
              </w:rPr>
            </w:pPr>
            <w:r>
              <w:rPr>
                <w:rFonts w:ascii="Arial" w:hAnsi="Arial"/>
                <w:sz w:val="16"/>
              </w:rPr>
              <w:t>even with a hearing aid</w:t>
            </w:r>
          </w:p>
        </w:tc>
        <w:tc>
          <w:tcPr>
            <w:tcW w:w="481" w:type="pct"/>
            <w:vAlign w:val="center"/>
          </w:tcPr>
          <w:p w14:paraId="60EF276E" w14:textId="77777777" w:rsidR="007A5618" w:rsidRPr="00A717D1" w:rsidRDefault="007A5618" w:rsidP="00100C2E">
            <w:pPr>
              <w:widowControl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eastAsia="Cambria" w:hAnsi="Arial" w:cs="Arial"/>
                <w:sz w:val="16"/>
                <w:szCs w:val="16"/>
              </w:rPr>
            </w:pPr>
            <w:r>
              <w:rPr>
                <w:rFonts w:ascii="Arial" w:hAnsi="Arial"/>
                <w:sz w:val="16"/>
              </w:rPr>
              <w:t>115</w:t>
            </w:r>
          </w:p>
        </w:tc>
        <w:tc>
          <w:tcPr>
            <w:cnfStyle w:val="000010000000" w:firstRow="0" w:lastRow="0" w:firstColumn="0" w:lastColumn="0" w:oddVBand="1" w:evenVBand="0" w:oddHBand="0" w:evenHBand="0" w:firstRowFirstColumn="0" w:firstRowLastColumn="0" w:lastRowFirstColumn="0" w:lastRowLastColumn="0"/>
            <w:tcW w:w="481" w:type="pct"/>
            <w:vAlign w:val="center"/>
          </w:tcPr>
          <w:p w14:paraId="51C891CF" w14:textId="77777777" w:rsidR="007A5618" w:rsidRPr="00A717D1" w:rsidRDefault="007A5618" w:rsidP="00100C2E">
            <w:pPr>
              <w:widowControl w:val="0"/>
              <w:autoSpaceDE w:val="0"/>
              <w:autoSpaceDN w:val="0"/>
              <w:adjustRightInd w:val="0"/>
              <w:jc w:val="center"/>
              <w:rPr>
                <w:rFonts w:ascii="Arial" w:eastAsia="Cambria" w:hAnsi="Arial" w:cs="Arial"/>
                <w:sz w:val="16"/>
                <w:szCs w:val="16"/>
              </w:rPr>
            </w:pPr>
            <w:r>
              <w:rPr>
                <w:rFonts w:ascii="Arial" w:hAnsi="Arial"/>
                <w:sz w:val="16"/>
              </w:rPr>
              <w:t>100.0</w:t>
            </w:r>
          </w:p>
        </w:tc>
        <w:tc>
          <w:tcPr>
            <w:tcW w:w="481" w:type="pct"/>
            <w:vAlign w:val="center"/>
          </w:tcPr>
          <w:p w14:paraId="168E8CCA" w14:textId="77777777" w:rsidR="007A5618" w:rsidRPr="00A717D1" w:rsidRDefault="007A5618" w:rsidP="00100C2E">
            <w:pPr>
              <w:widowControl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eastAsia="Cambria" w:hAnsi="Arial" w:cs="Arial"/>
                <w:sz w:val="16"/>
                <w:szCs w:val="16"/>
              </w:rPr>
            </w:pPr>
            <w:r>
              <w:rPr>
                <w:rFonts w:ascii="Arial" w:hAnsi="Arial"/>
                <w:sz w:val="16"/>
              </w:rPr>
              <w:t>28.7</w:t>
            </w:r>
          </w:p>
        </w:tc>
        <w:tc>
          <w:tcPr>
            <w:cnfStyle w:val="000010000000" w:firstRow="0" w:lastRow="0" w:firstColumn="0" w:lastColumn="0" w:oddVBand="1" w:evenVBand="0" w:oddHBand="0" w:evenHBand="0" w:firstRowFirstColumn="0" w:firstRowLastColumn="0" w:lastRowFirstColumn="0" w:lastRowLastColumn="0"/>
            <w:tcW w:w="769" w:type="pct"/>
            <w:vAlign w:val="center"/>
          </w:tcPr>
          <w:p w14:paraId="75BBEC02" w14:textId="77777777" w:rsidR="007A5618" w:rsidRPr="00A717D1" w:rsidRDefault="007A5618" w:rsidP="00100C2E">
            <w:pPr>
              <w:widowControl w:val="0"/>
              <w:autoSpaceDE w:val="0"/>
              <w:autoSpaceDN w:val="0"/>
              <w:adjustRightInd w:val="0"/>
              <w:jc w:val="center"/>
              <w:rPr>
                <w:rFonts w:ascii="Arial" w:eastAsia="Cambria" w:hAnsi="Arial" w:cs="Arial"/>
                <w:sz w:val="16"/>
                <w:szCs w:val="16"/>
              </w:rPr>
            </w:pPr>
            <w:r>
              <w:rPr>
                <w:rFonts w:ascii="Arial" w:hAnsi="Arial"/>
                <w:sz w:val="16"/>
              </w:rPr>
              <w:t>22.6</w:t>
            </w:r>
          </w:p>
        </w:tc>
        <w:tc>
          <w:tcPr>
            <w:tcW w:w="717" w:type="pct"/>
            <w:vAlign w:val="center"/>
          </w:tcPr>
          <w:p w14:paraId="455A05A2" w14:textId="77777777" w:rsidR="007A5618" w:rsidRPr="00A717D1" w:rsidRDefault="007A5618" w:rsidP="00100C2E">
            <w:pPr>
              <w:widowControl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eastAsia="Cambria" w:hAnsi="Arial" w:cs="Arial"/>
                <w:sz w:val="16"/>
                <w:szCs w:val="16"/>
              </w:rPr>
            </w:pPr>
            <w:r>
              <w:rPr>
                <w:rFonts w:ascii="Arial" w:hAnsi="Arial"/>
                <w:sz w:val="16"/>
              </w:rPr>
              <w:t>6.1</w:t>
            </w:r>
          </w:p>
        </w:tc>
        <w:tc>
          <w:tcPr>
            <w:cnfStyle w:val="000010000000" w:firstRow="0" w:lastRow="0" w:firstColumn="0" w:lastColumn="0" w:oddVBand="1" w:evenVBand="0" w:oddHBand="0" w:evenHBand="0" w:firstRowFirstColumn="0" w:firstRowLastColumn="0" w:lastRowFirstColumn="0" w:lastRowLastColumn="0"/>
            <w:tcW w:w="821" w:type="pct"/>
            <w:vAlign w:val="center"/>
          </w:tcPr>
          <w:p w14:paraId="2996E9E6" w14:textId="77777777" w:rsidR="007A5618" w:rsidRPr="00A717D1" w:rsidRDefault="007A5618" w:rsidP="00100C2E">
            <w:pPr>
              <w:widowControl w:val="0"/>
              <w:autoSpaceDE w:val="0"/>
              <w:autoSpaceDN w:val="0"/>
              <w:adjustRightInd w:val="0"/>
              <w:jc w:val="center"/>
              <w:rPr>
                <w:rFonts w:ascii="Arial" w:eastAsia="Cambria" w:hAnsi="Arial" w:cs="Arial"/>
                <w:sz w:val="16"/>
                <w:szCs w:val="16"/>
              </w:rPr>
            </w:pPr>
            <w:r>
              <w:rPr>
                <w:rFonts w:ascii="Arial" w:hAnsi="Arial"/>
                <w:sz w:val="16"/>
              </w:rPr>
              <w:t>65.2</w:t>
            </w:r>
          </w:p>
        </w:tc>
      </w:tr>
      <w:tr w:rsidR="007A5618" w:rsidRPr="00A717D1" w14:paraId="4E3346CC" w14:textId="77777777" w:rsidTr="00100C2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50" w:type="pct"/>
            <w:vAlign w:val="center"/>
          </w:tcPr>
          <w:p w14:paraId="693BF937" w14:textId="77777777" w:rsidR="007A5618" w:rsidRPr="00A717D1" w:rsidRDefault="007A5618" w:rsidP="00100C2E">
            <w:pPr>
              <w:widowControl w:val="0"/>
              <w:autoSpaceDE w:val="0"/>
              <w:autoSpaceDN w:val="0"/>
              <w:adjustRightInd w:val="0"/>
              <w:jc w:val="center"/>
              <w:rPr>
                <w:rFonts w:ascii="Arial" w:eastAsia="Cambria" w:hAnsi="Arial" w:cs="Arial"/>
                <w:sz w:val="16"/>
                <w:szCs w:val="16"/>
              </w:rPr>
            </w:pPr>
            <w:r>
              <w:rPr>
                <w:rFonts w:ascii="Arial" w:hAnsi="Arial"/>
                <w:sz w:val="16"/>
              </w:rPr>
              <w:t>Walking,</w:t>
            </w:r>
          </w:p>
          <w:p w14:paraId="3CD4A6F8" w14:textId="77777777" w:rsidR="007A5618" w:rsidRPr="00A717D1" w:rsidRDefault="007A5618" w:rsidP="00100C2E">
            <w:pPr>
              <w:widowControl w:val="0"/>
              <w:autoSpaceDE w:val="0"/>
              <w:autoSpaceDN w:val="0"/>
              <w:adjustRightInd w:val="0"/>
              <w:jc w:val="center"/>
              <w:rPr>
                <w:rFonts w:ascii="Arial" w:eastAsia="Cambria" w:hAnsi="Arial" w:cs="Arial"/>
                <w:sz w:val="16"/>
                <w:szCs w:val="16"/>
              </w:rPr>
            </w:pPr>
            <w:r>
              <w:rPr>
                <w:rFonts w:ascii="Arial" w:hAnsi="Arial"/>
                <w:sz w:val="16"/>
              </w:rPr>
              <w:t>climbing stairs</w:t>
            </w:r>
          </w:p>
        </w:tc>
        <w:tc>
          <w:tcPr>
            <w:tcW w:w="481" w:type="pct"/>
            <w:vAlign w:val="center"/>
          </w:tcPr>
          <w:p w14:paraId="451658D4" w14:textId="77777777" w:rsidR="007A5618" w:rsidRPr="00A717D1" w:rsidRDefault="007A5618" w:rsidP="00100C2E">
            <w:pPr>
              <w:widowControl w:val="0"/>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eastAsia="Cambria" w:hAnsi="Arial" w:cs="Arial"/>
                <w:sz w:val="16"/>
                <w:szCs w:val="16"/>
              </w:rPr>
            </w:pPr>
            <w:r>
              <w:rPr>
                <w:rFonts w:ascii="Arial" w:hAnsi="Arial"/>
                <w:sz w:val="16"/>
              </w:rPr>
              <w:t>1480</w:t>
            </w:r>
          </w:p>
        </w:tc>
        <w:tc>
          <w:tcPr>
            <w:cnfStyle w:val="000010000000" w:firstRow="0" w:lastRow="0" w:firstColumn="0" w:lastColumn="0" w:oddVBand="1" w:evenVBand="0" w:oddHBand="0" w:evenHBand="0" w:firstRowFirstColumn="0" w:firstRowLastColumn="0" w:lastRowFirstColumn="0" w:lastRowLastColumn="0"/>
            <w:tcW w:w="481" w:type="pct"/>
            <w:vAlign w:val="center"/>
          </w:tcPr>
          <w:p w14:paraId="055A839A" w14:textId="77777777" w:rsidR="007A5618" w:rsidRPr="00A717D1" w:rsidRDefault="007A5618" w:rsidP="00100C2E">
            <w:pPr>
              <w:widowControl w:val="0"/>
              <w:autoSpaceDE w:val="0"/>
              <w:autoSpaceDN w:val="0"/>
              <w:adjustRightInd w:val="0"/>
              <w:jc w:val="center"/>
              <w:rPr>
                <w:rFonts w:ascii="Arial" w:eastAsia="Cambria" w:hAnsi="Arial" w:cs="Arial"/>
                <w:sz w:val="16"/>
                <w:szCs w:val="16"/>
              </w:rPr>
            </w:pPr>
            <w:r>
              <w:rPr>
                <w:rFonts w:ascii="Arial" w:hAnsi="Arial"/>
                <w:sz w:val="16"/>
              </w:rPr>
              <w:t>100.0</w:t>
            </w:r>
          </w:p>
        </w:tc>
        <w:tc>
          <w:tcPr>
            <w:tcW w:w="481" w:type="pct"/>
            <w:vAlign w:val="center"/>
          </w:tcPr>
          <w:p w14:paraId="7C776277" w14:textId="77777777" w:rsidR="007A5618" w:rsidRPr="00A717D1" w:rsidRDefault="007A5618" w:rsidP="00100C2E">
            <w:pPr>
              <w:widowControl w:val="0"/>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eastAsia="Cambria" w:hAnsi="Arial" w:cs="Arial"/>
                <w:sz w:val="16"/>
                <w:szCs w:val="16"/>
              </w:rPr>
            </w:pPr>
            <w:r>
              <w:rPr>
                <w:rFonts w:ascii="Arial" w:hAnsi="Arial"/>
                <w:sz w:val="16"/>
              </w:rPr>
              <w:t>26.3</w:t>
            </w:r>
          </w:p>
        </w:tc>
        <w:tc>
          <w:tcPr>
            <w:cnfStyle w:val="000010000000" w:firstRow="0" w:lastRow="0" w:firstColumn="0" w:lastColumn="0" w:oddVBand="1" w:evenVBand="0" w:oddHBand="0" w:evenHBand="0" w:firstRowFirstColumn="0" w:firstRowLastColumn="0" w:lastRowFirstColumn="0" w:lastRowLastColumn="0"/>
            <w:tcW w:w="769" w:type="pct"/>
            <w:vAlign w:val="center"/>
          </w:tcPr>
          <w:p w14:paraId="0B095FED" w14:textId="77777777" w:rsidR="007A5618" w:rsidRPr="00A717D1" w:rsidRDefault="007A5618" w:rsidP="00100C2E">
            <w:pPr>
              <w:widowControl w:val="0"/>
              <w:autoSpaceDE w:val="0"/>
              <w:autoSpaceDN w:val="0"/>
              <w:adjustRightInd w:val="0"/>
              <w:jc w:val="center"/>
              <w:rPr>
                <w:rFonts w:ascii="Arial" w:eastAsia="Cambria" w:hAnsi="Arial" w:cs="Arial"/>
                <w:sz w:val="16"/>
                <w:szCs w:val="16"/>
              </w:rPr>
            </w:pPr>
            <w:r>
              <w:rPr>
                <w:rFonts w:ascii="Arial" w:hAnsi="Arial"/>
                <w:sz w:val="16"/>
              </w:rPr>
              <w:t>21.3</w:t>
            </w:r>
          </w:p>
        </w:tc>
        <w:tc>
          <w:tcPr>
            <w:tcW w:w="717" w:type="pct"/>
            <w:vAlign w:val="center"/>
          </w:tcPr>
          <w:p w14:paraId="01B1C1C5" w14:textId="77777777" w:rsidR="007A5618" w:rsidRPr="00A717D1" w:rsidRDefault="007A5618" w:rsidP="00100C2E">
            <w:pPr>
              <w:widowControl w:val="0"/>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eastAsia="Cambria" w:hAnsi="Arial" w:cs="Arial"/>
                <w:sz w:val="16"/>
                <w:szCs w:val="16"/>
              </w:rPr>
            </w:pPr>
            <w:r>
              <w:rPr>
                <w:rFonts w:ascii="Arial" w:hAnsi="Arial"/>
                <w:sz w:val="16"/>
              </w:rPr>
              <w:t>3.9</w:t>
            </w:r>
          </w:p>
        </w:tc>
        <w:tc>
          <w:tcPr>
            <w:cnfStyle w:val="000010000000" w:firstRow="0" w:lastRow="0" w:firstColumn="0" w:lastColumn="0" w:oddVBand="1" w:evenVBand="0" w:oddHBand="0" w:evenHBand="0" w:firstRowFirstColumn="0" w:firstRowLastColumn="0" w:lastRowFirstColumn="0" w:lastRowLastColumn="0"/>
            <w:tcW w:w="821" w:type="pct"/>
            <w:vAlign w:val="center"/>
          </w:tcPr>
          <w:p w14:paraId="1B635EA9" w14:textId="77777777" w:rsidR="007A5618" w:rsidRPr="00A717D1" w:rsidRDefault="007A5618" w:rsidP="00100C2E">
            <w:pPr>
              <w:widowControl w:val="0"/>
              <w:autoSpaceDE w:val="0"/>
              <w:autoSpaceDN w:val="0"/>
              <w:adjustRightInd w:val="0"/>
              <w:jc w:val="center"/>
              <w:rPr>
                <w:rFonts w:ascii="Arial" w:eastAsia="Cambria" w:hAnsi="Arial" w:cs="Arial"/>
                <w:sz w:val="16"/>
                <w:szCs w:val="16"/>
              </w:rPr>
            </w:pPr>
            <w:r>
              <w:rPr>
                <w:rFonts w:ascii="Arial" w:hAnsi="Arial"/>
                <w:sz w:val="16"/>
              </w:rPr>
              <w:t>69.9</w:t>
            </w:r>
          </w:p>
        </w:tc>
      </w:tr>
      <w:tr w:rsidR="007A5618" w:rsidRPr="00A717D1" w14:paraId="443E8401" w14:textId="77777777" w:rsidTr="00100C2E">
        <w:tc>
          <w:tcPr>
            <w:cnfStyle w:val="000010000000" w:firstRow="0" w:lastRow="0" w:firstColumn="0" w:lastColumn="0" w:oddVBand="1" w:evenVBand="0" w:oddHBand="0" w:evenHBand="0" w:firstRowFirstColumn="0" w:firstRowLastColumn="0" w:lastRowFirstColumn="0" w:lastRowLastColumn="0"/>
            <w:tcW w:w="1250" w:type="pct"/>
            <w:vAlign w:val="center"/>
          </w:tcPr>
          <w:p w14:paraId="202FE2F1" w14:textId="77777777" w:rsidR="007A5618" w:rsidRPr="00A717D1" w:rsidRDefault="007A5618" w:rsidP="00100C2E">
            <w:pPr>
              <w:widowControl w:val="0"/>
              <w:autoSpaceDE w:val="0"/>
              <w:autoSpaceDN w:val="0"/>
              <w:adjustRightInd w:val="0"/>
              <w:jc w:val="center"/>
              <w:rPr>
                <w:rFonts w:ascii="Arial" w:eastAsia="Cambria" w:hAnsi="Arial" w:cs="Arial"/>
                <w:sz w:val="16"/>
                <w:szCs w:val="16"/>
              </w:rPr>
            </w:pPr>
            <w:r>
              <w:rPr>
                <w:rFonts w:ascii="Arial" w:hAnsi="Arial"/>
                <w:sz w:val="16"/>
              </w:rPr>
              <w:t>Sitting or standing</w:t>
            </w:r>
          </w:p>
        </w:tc>
        <w:tc>
          <w:tcPr>
            <w:tcW w:w="481" w:type="pct"/>
            <w:vAlign w:val="center"/>
          </w:tcPr>
          <w:p w14:paraId="6822016E" w14:textId="77777777" w:rsidR="007A5618" w:rsidRPr="00A717D1" w:rsidRDefault="007A5618" w:rsidP="00100C2E">
            <w:pPr>
              <w:widowControl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eastAsia="Cambria" w:hAnsi="Arial" w:cs="Arial"/>
                <w:sz w:val="16"/>
                <w:szCs w:val="16"/>
              </w:rPr>
            </w:pPr>
            <w:r>
              <w:rPr>
                <w:rFonts w:ascii="Arial" w:hAnsi="Arial"/>
                <w:sz w:val="16"/>
              </w:rPr>
              <w:t>453</w:t>
            </w:r>
          </w:p>
        </w:tc>
        <w:tc>
          <w:tcPr>
            <w:cnfStyle w:val="000010000000" w:firstRow="0" w:lastRow="0" w:firstColumn="0" w:lastColumn="0" w:oddVBand="1" w:evenVBand="0" w:oddHBand="0" w:evenHBand="0" w:firstRowFirstColumn="0" w:firstRowLastColumn="0" w:lastRowFirstColumn="0" w:lastRowLastColumn="0"/>
            <w:tcW w:w="481" w:type="pct"/>
            <w:vAlign w:val="center"/>
          </w:tcPr>
          <w:p w14:paraId="7B9DB68B" w14:textId="77777777" w:rsidR="007A5618" w:rsidRPr="00A717D1" w:rsidRDefault="007A5618" w:rsidP="00100C2E">
            <w:pPr>
              <w:widowControl w:val="0"/>
              <w:autoSpaceDE w:val="0"/>
              <w:autoSpaceDN w:val="0"/>
              <w:adjustRightInd w:val="0"/>
              <w:jc w:val="center"/>
              <w:rPr>
                <w:rFonts w:ascii="Arial" w:eastAsia="Cambria" w:hAnsi="Arial" w:cs="Arial"/>
                <w:sz w:val="16"/>
                <w:szCs w:val="16"/>
              </w:rPr>
            </w:pPr>
            <w:r>
              <w:rPr>
                <w:rFonts w:ascii="Arial" w:hAnsi="Arial"/>
                <w:sz w:val="16"/>
              </w:rPr>
              <w:t>100.0</w:t>
            </w:r>
          </w:p>
        </w:tc>
        <w:tc>
          <w:tcPr>
            <w:tcW w:w="481" w:type="pct"/>
            <w:vAlign w:val="center"/>
          </w:tcPr>
          <w:p w14:paraId="6C70EDAD" w14:textId="77777777" w:rsidR="007A5618" w:rsidRPr="00A717D1" w:rsidRDefault="007A5618" w:rsidP="00100C2E">
            <w:pPr>
              <w:widowControl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eastAsia="Cambria" w:hAnsi="Arial" w:cs="Arial"/>
                <w:sz w:val="16"/>
                <w:szCs w:val="16"/>
              </w:rPr>
            </w:pPr>
            <w:r>
              <w:rPr>
                <w:rFonts w:ascii="Arial" w:hAnsi="Arial"/>
                <w:sz w:val="16"/>
              </w:rPr>
              <w:t>37.1</w:t>
            </w:r>
          </w:p>
        </w:tc>
        <w:tc>
          <w:tcPr>
            <w:cnfStyle w:val="000010000000" w:firstRow="0" w:lastRow="0" w:firstColumn="0" w:lastColumn="0" w:oddVBand="1" w:evenVBand="0" w:oddHBand="0" w:evenHBand="0" w:firstRowFirstColumn="0" w:firstRowLastColumn="0" w:lastRowFirstColumn="0" w:lastRowLastColumn="0"/>
            <w:tcW w:w="769" w:type="pct"/>
            <w:vAlign w:val="center"/>
          </w:tcPr>
          <w:p w14:paraId="435AF75D" w14:textId="77777777" w:rsidR="007A5618" w:rsidRPr="00A717D1" w:rsidRDefault="007A5618" w:rsidP="00100C2E">
            <w:pPr>
              <w:widowControl w:val="0"/>
              <w:autoSpaceDE w:val="0"/>
              <w:autoSpaceDN w:val="0"/>
              <w:adjustRightInd w:val="0"/>
              <w:jc w:val="center"/>
              <w:rPr>
                <w:rFonts w:ascii="Arial" w:eastAsia="Cambria" w:hAnsi="Arial" w:cs="Arial"/>
                <w:sz w:val="16"/>
                <w:szCs w:val="16"/>
              </w:rPr>
            </w:pPr>
            <w:r>
              <w:rPr>
                <w:rFonts w:ascii="Arial" w:hAnsi="Arial"/>
                <w:sz w:val="16"/>
              </w:rPr>
              <w:t>31.8</w:t>
            </w:r>
          </w:p>
        </w:tc>
        <w:tc>
          <w:tcPr>
            <w:tcW w:w="717" w:type="pct"/>
            <w:vAlign w:val="center"/>
          </w:tcPr>
          <w:p w14:paraId="13D08BD2" w14:textId="77777777" w:rsidR="007A5618" w:rsidRPr="00A717D1" w:rsidRDefault="007A5618" w:rsidP="00100C2E">
            <w:pPr>
              <w:widowControl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eastAsia="Cambria" w:hAnsi="Arial" w:cs="Arial"/>
                <w:sz w:val="16"/>
                <w:szCs w:val="16"/>
              </w:rPr>
            </w:pPr>
            <w:r>
              <w:rPr>
                <w:rFonts w:ascii="Arial" w:hAnsi="Arial"/>
                <w:sz w:val="16"/>
              </w:rPr>
              <w:t>3.8</w:t>
            </w:r>
          </w:p>
        </w:tc>
        <w:tc>
          <w:tcPr>
            <w:cnfStyle w:val="000010000000" w:firstRow="0" w:lastRow="0" w:firstColumn="0" w:lastColumn="0" w:oddVBand="1" w:evenVBand="0" w:oddHBand="0" w:evenHBand="0" w:firstRowFirstColumn="0" w:firstRowLastColumn="0" w:lastRowFirstColumn="0" w:lastRowLastColumn="0"/>
            <w:tcW w:w="821" w:type="pct"/>
            <w:vAlign w:val="center"/>
          </w:tcPr>
          <w:p w14:paraId="4290B362" w14:textId="77777777" w:rsidR="007A5618" w:rsidRPr="00A717D1" w:rsidRDefault="007A5618" w:rsidP="00100C2E">
            <w:pPr>
              <w:widowControl w:val="0"/>
              <w:autoSpaceDE w:val="0"/>
              <w:autoSpaceDN w:val="0"/>
              <w:adjustRightInd w:val="0"/>
              <w:jc w:val="center"/>
              <w:rPr>
                <w:rFonts w:ascii="Arial" w:eastAsia="Cambria" w:hAnsi="Arial" w:cs="Arial"/>
                <w:sz w:val="16"/>
                <w:szCs w:val="16"/>
              </w:rPr>
            </w:pPr>
            <w:r>
              <w:rPr>
                <w:rFonts w:ascii="Arial" w:hAnsi="Arial"/>
                <w:sz w:val="16"/>
              </w:rPr>
              <w:t>59.2</w:t>
            </w:r>
          </w:p>
        </w:tc>
      </w:tr>
      <w:tr w:rsidR="007A5618" w:rsidRPr="00A717D1" w14:paraId="18881CAD" w14:textId="77777777" w:rsidTr="00100C2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50" w:type="pct"/>
            <w:vAlign w:val="center"/>
          </w:tcPr>
          <w:p w14:paraId="2D5AE631" w14:textId="77777777" w:rsidR="007A5618" w:rsidRPr="00A717D1" w:rsidRDefault="007A5618" w:rsidP="00100C2E">
            <w:pPr>
              <w:widowControl w:val="0"/>
              <w:autoSpaceDE w:val="0"/>
              <w:autoSpaceDN w:val="0"/>
              <w:adjustRightInd w:val="0"/>
              <w:jc w:val="center"/>
              <w:rPr>
                <w:rFonts w:ascii="Arial" w:eastAsia="Cambria" w:hAnsi="Arial" w:cs="Arial"/>
                <w:sz w:val="16"/>
                <w:szCs w:val="16"/>
              </w:rPr>
            </w:pPr>
            <w:r>
              <w:rPr>
                <w:rFonts w:ascii="Arial" w:hAnsi="Arial"/>
                <w:sz w:val="16"/>
              </w:rPr>
              <w:t>Memory,</w:t>
            </w:r>
          </w:p>
          <w:p w14:paraId="133DB8C0" w14:textId="77777777" w:rsidR="007A5618" w:rsidRPr="00A717D1" w:rsidRDefault="007A5618" w:rsidP="00100C2E">
            <w:pPr>
              <w:widowControl w:val="0"/>
              <w:autoSpaceDE w:val="0"/>
              <w:autoSpaceDN w:val="0"/>
              <w:adjustRightInd w:val="0"/>
              <w:jc w:val="center"/>
              <w:rPr>
                <w:rFonts w:ascii="Arial" w:eastAsia="Cambria" w:hAnsi="Arial" w:cs="Arial"/>
                <w:sz w:val="16"/>
                <w:szCs w:val="16"/>
              </w:rPr>
            </w:pPr>
            <w:r>
              <w:rPr>
                <w:rFonts w:ascii="Arial" w:hAnsi="Arial"/>
                <w:sz w:val="16"/>
              </w:rPr>
              <w:t>concentration</w:t>
            </w:r>
          </w:p>
        </w:tc>
        <w:tc>
          <w:tcPr>
            <w:tcW w:w="481" w:type="pct"/>
            <w:vAlign w:val="center"/>
          </w:tcPr>
          <w:p w14:paraId="41E55426" w14:textId="77777777" w:rsidR="007A5618" w:rsidRPr="00A717D1" w:rsidRDefault="007A5618" w:rsidP="00100C2E">
            <w:pPr>
              <w:widowControl w:val="0"/>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eastAsia="Cambria" w:hAnsi="Arial" w:cs="Arial"/>
                <w:sz w:val="16"/>
                <w:szCs w:val="16"/>
              </w:rPr>
            </w:pPr>
            <w:r>
              <w:rPr>
                <w:rFonts w:ascii="Arial" w:hAnsi="Arial"/>
                <w:sz w:val="16"/>
              </w:rPr>
              <w:t>373</w:t>
            </w:r>
          </w:p>
        </w:tc>
        <w:tc>
          <w:tcPr>
            <w:cnfStyle w:val="000010000000" w:firstRow="0" w:lastRow="0" w:firstColumn="0" w:lastColumn="0" w:oddVBand="1" w:evenVBand="0" w:oddHBand="0" w:evenHBand="0" w:firstRowFirstColumn="0" w:firstRowLastColumn="0" w:lastRowFirstColumn="0" w:lastRowLastColumn="0"/>
            <w:tcW w:w="481" w:type="pct"/>
            <w:vAlign w:val="center"/>
          </w:tcPr>
          <w:p w14:paraId="15DA0AB4" w14:textId="77777777" w:rsidR="007A5618" w:rsidRPr="00A717D1" w:rsidRDefault="007A5618" w:rsidP="00100C2E">
            <w:pPr>
              <w:widowControl w:val="0"/>
              <w:autoSpaceDE w:val="0"/>
              <w:autoSpaceDN w:val="0"/>
              <w:adjustRightInd w:val="0"/>
              <w:jc w:val="center"/>
              <w:rPr>
                <w:rFonts w:ascii="Arial" w:eastAsia="Cambria" w:hAnsi="Arial" w:cs="Arial"/>
                <w:sz w:val="16"/>
                <w:szCs w:val="16"/>
              </w:rPr>
            </w:pPr>
            <w:r>
              <w:rPr>
                <w:rFonts w:ascii="Arial" w:hAnsi="Arial"/>
                <w:sz w:val="16"/>
              </w:rPr>
              <w:t>100.0</w:t>
            </w:r>
          </w:p>
        </w:tc>
        <w:tc>
          <w:tcPr>
            <w:tcW w:w="481" w:type="pct"/>
            <w:vAlign w:val="center"/>
          </w:tcPr>
          <w:p w14:paraId="68D94726" w14:textId="77777777" w:rsidR="007A5618" w:rsidRPr="00A717D1" w:rsidRDefault="007A5618" w:rsidP="00100C2E">
            <w:pPr>
              <w:widowControl w:val="0"/>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eastAsia="Cambria" w:hAnsi="Arial" w:cs="Arial"/>
                <w:sz w:val="16"/>
                <w:szCs w:val="16"/>
              </w:rPr>
            </w:pPr>
            <w:r>
              <w:rPr>
                <w:rFonts w:ascii="Arial" w:hAnsi="Arial"/>
                <w:sz w:val="16"/>
              </w:rPr>
              <w:t>15.0</w:t>
            </w:r>
          </w:p>
        </w:tc>
        <w:tc>
          <w:tcPr>
            <w:cnfStyle w:val="000010000000" w:firstRow="0" w:lastRow="0" w:firstColumn="0" w:lastColumn="0" w:oddVBand="1" w:evenVBand="0" w:oddHBand="0" w:evenHBand="0" w:firstRowFirstColumn="0" w:firstRowLastColumn="0" w:lastRowFirstColumn="0" w:lastRowLastColumn="0"/>
            <w:tcW w:w="769" w:type="pct"/>
            <w:vAlign w:val="center"/>
          </w:tcPr>
          <w:p w14:paraId="728B59A3" w14:textId="77777777" w:rsidR="007A5618" w:rsidRPr="00A717D1" w:rsidRDefault="007A5618" w:rsidP="00100C2E">
            <w:pPr>
              <w:widowControl w:val="0"/>
              <w:autoSpaceDE w:val="0"/>
              <w:autoSpaceDN w:val="0"/>
              <w:adjustRightInd w:val="0"/>
              <w:jc w:val="center"/>
              <w:rPr>
                <w:rFonts w:ascii="Arial" w:eastAsia="Cambria" w:hAnsi="Arial" w:cs="Arial"/>
                <w:sz w:val="16"/>
                <w:szCs w:val="16"/>
              </w:rPr>
            </w:pPr>
            <w:r>
              <w:rPr>
                <w:rFonts w:ascii="Arial" w:hAnsi="Arial"/>
                <w:sz w:val="16"/>
              </w:rPr>
              <w:t>10.7</w:t>
            </w:r>
          </w:p>
        </w:tc>
        <w:tc>
          <w:tcPr>
            <w:tcW w:w="717" w:type="pct"/>
            <w:vAlign w:val="center"/>
          </w:tcPr>
          <w:p w14:paraId="66FAC470" w14:textId="77777777" w:rsidR="007A5618" w:rsidRPr="00A717D1" w:rsidRDefault="007A5618" w:rsidP="00100C2E">
            <w:pPr>
              <w:widowControl w:val="0"/>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eastAsia="Cambria" w:hAnsi="Arial" w:cs="Arial"/>
                <w:sz w:val="16"/>
                <w:szCs w:val="16"/>
              </w:rPr>
            </w:pPr>
            <w:r>
              <w:rPr>
                <w:rFonts w:ascii="Arial" w:hAnsi="Arial"/>
                <w:sz w:val="16"/>
              </w:rPr>
              <w:t>4.0</w:t>
            </w:r>
          </w:p>
        </w:tc>
        <w:tc>
          <w:tcPr>
            <w:cnfStyle w:val="000010000000" w:firstRow="0" w:lastRow="0" w:firstColumn="0" w:lastColumn="0" w:oddVBand="1" w:evenVBand="0" w:oddHBand="0" w:evenHBand="0" w:firstRowFirstColumn="0" w:firstRowLastColumn="0" w:lastRowFirstColumn="0" w:lastRowLastColumn="0"/>
            <w:tcW w:w="821" w:type="pct"/>
            <w:vAlign w:val="center"/>
          </w:tcPr>
          <w:p w14:paraId="3D4EF134" w14:textId="77777777" w:rsidR="007A5618" w:rsidRPr="00A717D1" w:rsidRDefault="007A5618" w:rsidP="00100C2E">
            <w:pPr>
              <w:widowControl w:val="0"/>
              <w:autoSpaceDE w:val="0"/>
              <w:autoSpaceDN w:val="0"/>
              <w:adjustRightInd w:val="0"/>
              <w:jc w:val="center"/>
              <w:rPr>
                <w:rFonts w:ascii="Arial" w:eastAsia="Cambria" w:hAnsi="Arial" w:cs="Arial"/>
                <w:sz w:val="16"/>
                <w:szCs w:val="16"/>
              </w:rPr>
            </w:pPr>
            <w:r>
              <w:rPr>
                <w:rFonts w:ascii="Arial" w:hAnsi="Arial"/>
                <w:sz w:val="16"/>
              </w:rPr>
              <w:t>80.7</w:t>
            </w:r>
          </w:p>
        </w:tc>
      </w:tr>
      <w:tr w:rsidR="007A5618" w:rsidRPr="00A717D1" w14:paraId="76B295E9" w14:textId="77777777" w:rsidTr="00100C2E">
        <w:tc>
          <w:tcPr>
            <w:cnfStyle w:val="000010000000" w:firstRow="0" w:lastRow="0" w:firstColumn="0" w:lastColumn="0" w:oddVBand="1" w:evenVBand="0" w:oddHBand="0" w:evenHBand="0" w:firstRowFirstColumn="0" w:firstRowLastColumn="0" w:lastRowFirstColumn="0" w:lastRowLastColumn="0"/>
            <w:tcW w:w="1250" w:type="pct"/>
            <w:vAlign w:val="center"/>
          </w:tcPr>
          <w:p w14:paraId="38C0E8F2" w14:textId="77777777" w:rsidR="007A5618" w:rsidRPr="00A717D1" w:rsidRDefault="007A5618" w:rsidP="00100C2E">
            <w:pPr>
              <w:widowControl w:val="0"/>
              <w:autoSpaceDE w:val="0"/>
              <w:autoSpaceDN w:val="0"/>
              <w:adjustRightInd w:val="0"/>
              <w:jc w:val="center"/>
              <w:rPr>
                <w:rFonts w:ascii="Arial" w:eastAsia="Cambria" w:hAnsi="Arial" w:cs="Arial"/>
                <w:sz w:val="16"/>
                <w:szCs w:val="16"/>
              </w:rPr>
            </w:pPr>
            <w:r>
              <w:rPr>
                <w:rFonts w:ascii="Arial" w:hAnsi="Arial"/>
                <w:sz w:val="16"/>
              </w:rPr>
              <w:t>Communication, e.g. understanding or being understood</w:t>
            </w:r>
          </w:p>
        </w:tc>
        <w:tc>
          <w:tcPr>
            <w:tcW w:w="481" w:type="pct"/>
            <w:vAlign w:val="center"/>
          </w:tcPr>
          <w:p w14:paraId="5BB56C6C" w14:textId="77777777" w:rsidR="007A5618" w:rsidRPr="00A717D1" w:rsidRDefault="007A5618" w:rsidP="00100C2E">
            <w:pPr>
              <w:widowControl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eastAsia="Cambria" w:hAnsi="Arial" w:cs="Arial"/>
                <w:sz w:val="16"/>
                <w:szCs w:val="16"/>
              </w:rPr>
            </w:pPr>
            <w:r>
              <w:rPr>
                <w:rFonts w:ascii="Arial" w:hAnsi="Arial"/>
                <w:sz w:val="16"/>
              </w:rPr>
              <w:t>257</w:t>
            </w:r>
          </w:p>
        </w:tc>
        <w:tc>
          <w:tcPr>
            <w:cnfStyle w:val="000010000000" w:firstRow="0" w:lastRow="0" w:firstColumn="0" w:lastColumn="0" w:oddVBand="1" w:evenVBand="0" w:oddHBand="0" w:evenHBand="0" w:firstRowFirstColumn="0" w:firstRowLastColumn="0" w:lastRowFirstColumn="0" w:lastRowLastColumn="0"/>
            <w:tcW w:w="481" w:type="pct"/>
            <w:vAlign w:val="center"/>
          </w:tcPr>
          <w:p w14:paraId="5A0D4346" w14:textId="77777777" w:rsidR="007A5618" w:rsidRPr="00A717D1" w:rsidRDefault="007A5618" w:rsidP="00100C2E">
            <w:pPr>
              <w:widowControl w:val="0"/>
              <w:autoSpaceDE w:val="0"/>
              <w:autoSpaceDN w:val="0"/>
              <w:adjustRightInd w:val="0"/>
              <w:jc w:val="center"/>
              <w:rPr>
                <w:rFonts w:ascii="Arial" w:eastAsia="Cambria" w:hAnsi="Arial" w:cs="Arial"/>
                <w:sz w:val="16"/>
                <w:szCs w:val="16"/>
              </w:rPr>
            </w:pPr>
            <w:r>
              <w:rPr>
                <w:rFonts w:ascii="Arial" w:hAnsi="Arial"/>
                <w:sz w:val="16"/>
              </w:rPr>
              <w:t>100.0</w:t>
            </w:r>
          </w:p>
        </w:tc>
        <w:tc>
          <w:tcPr>
            <w:tcW w:w="481" w:type="pct"/>
            <w:vAlign w:val="center"/>
          </w:tcPr>
          <w:p w14:paraId="49DABEAD" w14:textId="77777777" w:rsidR="007A5618" w:rsidRPr="00A717D1" w:rsidRDefault="007A5618" w:rsidP="00100C2E">
            <w:pPr>
              <w:widowControl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eastAsia="Cambria" w:hAnsi="Arial" w:cs="Arial"/>
                <w:sz w:val="16"/>
                <w:szCs w:val="16"/>
              </w:rPr>
            </w:pPr>
            <w:r>
              <w:rPr>
                <w:rFonts w:ascii="Arial" w:hAnsi="Arial"/>
                <w:sz w:val="16"/>
              </w:rPr>
              <w:t>9.3</w:t>
            </w:r>
          </w:p>
        </w:tc>
        <w:tc>
          <w:tcPr>
            <w:cnfStyle w:val="000010000000" w:firstRow="0" w:lastRow="0" w:firstColumn="0" w:lastColumn="0" w:oddVBand="1" w:evenVBand="0" w:oddHBand="0" w:evenHBand="0" w:firstRowFirstColumn="0" w:firstRowLastColumn="0" w:lastRowFirstColumn="0" w:lastRowLastColumn="0"/>
            <w:tcW w:w="769" w:type="pct"/>
            <w:vAlign w:val="center"/>
          </w:tcPr>
          <w:p w14:paraId="67D1E26A" w14:textId="77777777" w:rsidR="007A5618" w:rsidRPr="00A717D1" w:rsidRDefault="007A5618" w:rsidP="00100C2E">
            <w:pPr>
              <w:widowControl w:val="0"/>
              <w:autoSpaceDE w:val="0"/>
              <w:autoSpaceDN w:val="0"/>
              <w:adjustRightInd w:val="0"/>
              <w:jc w:val="center"/>
              <w:rPr>
                <w:rFonts w:ascii="Arial" w:eastAsia="Cambria" w:hAnsi="Arial" w:cs="Arial"/>
                <w:sz w:val="16"/>
                <w:szCs w:val="16"/>
              </w:rPr>
            </w:pPr>
            <w:r>
              <w:rPr>
                <w:rFonts w:ascii="Arial" w:hAnsi="Arial"/>
                <w:sz w:val="16"/>
              </w:rPr>
              <w:t>5.4</w:t>
            </w:r>
          </w:p>
        </w:tc>
        <w:tc>
          <w:tcPr>
            <w:tcW w:w="717" w:type="pct"/>
            <w:vAlign w:val="center"/>
          </w:tcPr>
          <w:p w14:paraId="79E7E81A" w14:textId="77777777" w:rsidR="007A5618" w:rsidRPr="00A717D1" w:rsidRDefault="007A5618" w:rsidP="00100C2E">
            <w:pPr>
              <w:widowControl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eastAsia="Cambria" w:hAnsi="Arial" w:cs="Arial"/>
                <w:sz w:val="16"/>
                <w:szCs w:val="16"/>
              </w:rPr>
            </w:pPr>
            <w:r>
              <w:rPr>
                <w:rFonts w:ascii="Arial" w:hAnsi="Arial"/>
                <w:sz w:val="16"/>
              </w:rPr>
              <w:t>1.2</w:t>
            </w:r>
          </w:p>
        </w:tc>
        <w:tc>
          <w:tcPr>
            <w:cnfStyle w:val="000010000000" w:firstRow="0" w:lastRow="0" w:firstColumn="0" w:lastColumn="0" w:oddVBand="1" w:evenVBand="0" w:oddHBand="0" w:evenHBand="0" w:firstRowFirstColumn="0" w:firstRowLastColumn="0" w:lastRowFirstColumn="0" w:lastRowLastColumn="0"/>
            <w:tcW w:w="821" w:type="pct"/>
            <w:vAlign w:val="center"/>
          </w:tcPr>
          <w:p w14:paraId="50C0275A" w14:textId="77777777" w:rsidR="007A5618" w:rsidRPr="00A717D1" w:rsidRDefault="007A5618" w:rsidP="00100C2E">
            <w:pPr>
              <w:widowControl w:val="0"/>
              <w:autoSpaceDE w:val="0"/>
              <w:autoSpaceDN w:val="0"/>
              <w:adjustRightInd w:val="0"/>
              <w:jc w:val="center"/>
              <w:rPr>
                <w:rFonts w:ascii="Arial" w:eastAsia="Cambria" w:hAnsi="Arial" w:cs="Arial"/>
                <w:sz w:val="16"/>
                <w:szCs w:val="16"/>
              </w:rPr>
            </w:pPr>
            <w:r>
              <w:rPr>
                <w:rFonts w:ascii="Arial" w:hAnsi="Arial"/>
                <w:sz w:val="16"/>
              </w:rPr>
              <w:t>89.5</w:t>
            </w:r>
          </w:p>
        </w:tc>
      </w:tr>
      <w:tr w:rsidR="007A5618" w:rsidRPr="00A717D1" w14:paraId="2A187CE8" w14:textId="77777777" w:rsidTr="00100C2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50" w:type="pct"/>
            <w:vAlign w:val="center"/>
          </w:tcPr>
          <w:p w14:paraId="3C2E1344" w14:textId="77777777" w:rsidR="007A5618" w:rsidRPr="00A717D1" w:rsidRDefault="007A5618" w:rsidP="00100C2E">
            <w:pPr>
              <w:widowControl w:val="0"/>
              <w:autoSpaceDE w:val="0"/>
              <w:autoSpaceDN w:val="0"/>
              <w:adjustRightInd w:val="0"/>
              <w:jc w:val="center"/>
              <w:rPr>
                <w:rFonts w:ascii="Arial" w:eastAsia="Cambria" w:hAnsi="Arial" w:cs="Arial"/>
                <w:sz w:val="16"/>
                <w:szCs w:val="16"/>
              </w:rPr>
            </w:pPr>
            <w:r>
              <w:rPr>
                <w:rFonts w:ascii="Arial" w:hAnsi="Arial"/>
                <w:sz w:val="16"/>
              </w:rPr>
              <w:t>Reaching for something, or stretching/stretching out</w:t>
            </w:r>
          </w:p>
        </w:tc>
        <w:tc>
          <w:tcPr>
            <w:tcW w:w="481" w:type="pct"/>
            <w:vAlign w:val="center"/>
          </w:tcPr>
          <w:p w14:paraId="4EA5E8DA" w14:textId="77777777" w:rsidR="007A5618" w:rsidRPr="00A717D1" w:rsidRDefault="007A5618" w:rsidP="00100C2E">
            <w:pPr>
              <w:widowControl w:val="0"/>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eastAsia="Cambria" w:hAnsi="Arial" w:cs="Arial"/>
                <w:sz w:val="16"/>
                <w:szCs w:val="16"/>
              </w:rPr>
            </w:pPr>
            <w:r>
              <w:rPr>
                <w:rFonts w:ascii="Arial" w:hAnsi="Arial"/>
                <w:sz w:val="16"/>
              </w:rPr>
              <w:t>207</w:t>
            </w:r>
          </w:p>
        </w:tc>
        <w:tc>
          <w:tcPr>
            <w:cnfStyle w:val="000010000000" w:firstRow="0" w:lastRow="0" w:firstColumn="0" w:lastColumn="0" w:oddVBand="1" w:evenVBand="0" w:oddHBand="0" w:evenHBand="0" w:firstRowFirstColumn="0" w:firstRowLastColumn="0" w:lastRowFirstColumn="0" w:lastRowLastColumn="0"/>
            <w:tcW w:w="481" w:type="pct"/>
            <w:vAlign w:val="center"/>
          </w:tcPr>
          <w:p w14:paraId="4DE2C22B" w14:textId="77777777" w:rsidR="007A5618" w:rsidRPr="00A717D1" w:rsidRDefault="007A5618" w:rsidP="00100C2E">
            <w:pPr>
              <w:widowControl w:val="0"/>
              <w:autoSpaceDE w:val="0"/>
              <w:autoSpaceDN w:val="0"/>
              <w:adjustRightInd w:val="0"/>
              <w:jc w:val="center"/>
              <w:rPr>
                <w:rFonts w:ascii="Arial" w:eastAsia="Cambria" w:hAnsi="Arial" w:cs="Arial"/>
                <w:sz w:val="16"/>
                <w:szCs w:val="16"/>
              </w:rPr>
            </w:pPr>
            <w:r>
              <w:rPr>
                <w:rFonts w:ascii="Arial" w:hAnsi="Arial"/>
                <w:sz w:val="16"/>
              </w:rPr>
              <w:t>100.0</w:t>
            </w:r>
          </w:p>
        </w:tc>
        <w:tc>
          <w:tcPr>
            <w:tcW w:w="481" w:type="pct"/>
            <w:vAlign w:val="center"/>
          </w:tcPr>
          <w:p w14:paraId="0F3FD6B2" w14:textId="77777777" w:rsidR="007A5618" w:rsidRPr="00A717D1" w:rsidRDefault="007A5618" w:rsidP="00100C2E">
            <w:pPr>
              <w:widowControl w:val="0"/>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eastAsia="Cambria" w:hAnsi="Arial" w:cs="Arial"/>
                <w:sz w:val="16"/>
                <w:szCs w:val="16"/>
              </w:rPr>
            </w:pPr>
            <w:r>
              <w:rPr>
                <w:rFonts w:ascii="Arial" w:hAnsi="Arial"/>
                <w:sz w:val="16"/>
              </w:rPr>
              <w:t>32.9</w:t>
            </w:r>
          </w:p>
        </w:tc>
        <w:tc>
          <w:tcPr>
            <w:cnfStyle w:val="000010000000" w:firstRow="0" w:lastRow="0" w:firstColumn="0" w:lastColumn="0" w:oddVBand="1" w:evenVBand="0" w:oddHBand="0" w:evenHBand="0" w:firstRowFirstColumn="0" w:firstRowLastColumn="0" w:lastRowFirstColumn="0" w:lastRowLastColumn="0"/>
            <w:tcW w:w="769" w:type="pct"/>
            <w:vAlign w:val="center"/>
          </w:tcPr>
          <w:p w14:paraId="1F1C33CC" w14:textId="77777777" w:rsidR="007A5618" w:rsidRPr="00A717D1" w:rsidRDefault="007A5618" w:rsidP="00100C2E">
            <w:pPr>
              <w:widowControl w:val="0"/>
              <w:autoSpaceDE w:val="0"/>
              <w:autoSpaceDN w:val="0"/>
              <w:adjustRightInd w:val="0"/>
              <w:jc w:val="center"/>
              <w:rPr>
                <w:rFonts w:ascii="Arial" w:eastAsia="Cambria" w:hAnsi="Arial" w:cs="Arial"/>
                <w:sz w:val="16"/>
                <w:szCs w:val="16"/>
              </w:rPr>
            </w:pPr>
            <w:r>
              <w:rPr>
                <w:rFonts w:ascii="Arial" w:hAnsi="Arial"/>
                <w:sz w:val="16"/>
              </w:rPr>
              <w:t>28.0</w:t>
            </w:r>
          </w:p>
        </w:tc>
        <w:tc>
          <w:tcPr>
            <w:tcW w:w="717" w:type="pct"/>
            <w:vAlign w:val="center"/>
          </w:tcPr>
          <w:p w14:paraId="17FBD761" w14:textId="77777777" w:rsidR="007A5618" w:rsidRPr="00A717D1" w:rsidRDefault="007A5618" w:rsidP="00100C2E">
            <w:pPr>
              <w:widowControl w:val="0"/>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eastAsia="Cambria" w:hAnsi="Arial" w:cs="Arial"/>
                <w:sz w:val="16"/>
                <w:szCs w:val="16"/>
              </w:rPr>
            </w:pPr>
            <w:r>
              <w:rPr>
                <w:rFonts w:ascii="Arial" w:hAnsi="Arial"/>
                <w:sz w:val="16"/>
              </w:rPr>
              <w:t>1.9</w:t>
            </w:r>
          </w:p>
        </w:tc>
        <w:tc>
          <w:tcPr>
            <w:cnfStyle w:val="000010000000" w:firstRow="0" w:lastRow="0" w:firstColumn="0" w:lastColumn="0" w:oddVBand="1" w:evenVBand="0" w:oddHBand="0" w:evenHBand="0" w:firstRowFirstColumn="0" w:firstRowLastColumn="0" w:lastRowFirstColumn="0" w:lastRowLastColumn="0"/>
            <w:tcW w:w="821" w:type="pct"/>
            <w:vAlign w:val="center"/>
          </w:tcPr>
          <w:p w14:paraId="3382558B" w14:textId="77777777" w:rsidR="007A5618" w:rsidRPr="00A717D1" w:rsidRDefault="007A5618" w:rsidP="00100C2E">
            <w:pPr>
              <w:widowControl w:val="0"/>
              <w:autoSpaceDE w:val="0"/>
              <w:autoSpaceDN w:val="0"/>
              <w:adjustRightInd w:val="0"/>
              <w:jc w:val="center"/>
              <w:rPr>
                <w:rFonts w:ascii="Arial" w:eastAsia="Cambria" w:hAnsi="Arial" w:cs="Arial"/>
                <w:sz w:val="16"/>
                <w:szCs w:val="16"/>
              </w:rPr>
            </w:pPr>
            <w:r>
              <w:rPr>
                <w:rFonts w:ascii="Arial" w:hAnsi="Arial"/>
                <w:sz w:val="16"/>
              </w:rPr>
              <w:t>65.2</w:t>
            </w:r>
          </w:p>
        </w:tc>
      </w:tr>
      <w:tr w:rsidR="007A5618" w:rsidRPr="00A717D1" w14:paraId="760EA764" w14:textId="77777777" w:rsidTr="00100C2E">
        <w:tc>
          <w:tcPr>
            <w:cnfStyle w:val="000010000000" w:firstRow="0" w:lastRow="0" w:firstColumn="0" w:lastColumn="0" w:oddVBand="1" w:evenVBand="0" w:oddHBand="0" w:evenHBand="0" w:firstRowFirstColumn="0" w:firstRowLastColumn="0" w:lastRowFirstColumn="0" w:lastRowLastColumn="0"/>
            <w:tcW w:w="1250" w:type="pct"/>
            <w:vAlign w:val="center"/>
          </w:tcPr>
          <w:p w14:paraId="087C87BB" w14:textId="77777777" w:rsidR="007A5618" w:rsidRPr="00A717D1" w:rsidRDefault="007A5618" w:rsidP="00100C2E">
            <w:pPr>
              <w:widowControl w:val="0"/>
              <w:autoSpaceDE w:val="0"/>
              <w:autoSpaceDN w:val="0"/>
              <w:adjustRightInd w:val="0"/>
              <w:jc w:val="center"/>
              <w:rPr>
                <w:rFonts w:ascii="Arial" w:eastAsia="Cambria" w:hAnsi="Arial" w:cs="Arial"/>
                <w:sz w:val="16"/>
                <w:szCs w:val="16"/>
              </w:rPr>
            </w:pPr>
            <w:r>
              <w:rPr>
                <w:rFonts w:ascii="Arial" w:hAnsi="Arial"/>
                <w:sz w:val="16"/>
              </w:rPr>
              <w:t>Picking up and carrying</w:t>
            </w:r>
          </w:p>
        </w:tc>
        <w:tc>
          <w:tcPr>
            <w:tcW w:w="481" w:type="pct"/>
            <w:vAlign w:val="center"/>
          </w:tcPr>
          <w:p w14:paraId="2C6FD44C" w14:textId="77777777" w:rsidR="007A5618" w:rsidRPr="00A717D1" w:rsidRDefault="007A5618" w:rsidP="00100C2E">
            <w:pPr>
              <w:widowControl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eastAsia="Cambria" w:hAnsi="Arial" w:cs="Arial"/>
                <w:sz w:val="16"/>
                <w:szCs w:val="16"/>
              </w:rPr>
            </w:pPr>
            <w:r>
              <w:rPr>
                <w:rFonts w:ascii="Arial" w:hAnsi="Arial"/>
                <w:sz w:val="16"/>
              </w:rPr>
              <w:t>1869</w:t>
            </w:r>
          </w:p>
        </w:tc>
        <w:tc>
          <w:tcPr>
            <w:cnfStyle w:val="000010000000" w:firstRow="0" w:lastRow="0" w:firstColumn="0" w:lastColumn="0" w:oddVBand="1" w:evenVBand="0" w:oddHBand="0" w:evenHBand="0" w:firstRowFirstColumn="0" w:firstRowLastColumn="0" w:lastRowFirstColumn="0" w:lastRowLastColumn="0"/>
            <w:tcW w:w="481" w:type="pct"/>
            <w:vAlign w:val="center"/>
          </w:tcPr>
          <w:p w14:paraId="59302666" w14:textId="77777777" w:rsidR="007A5618" w:rsidRPr="00A717D1" w:rsidRDefault="007A5618" w:rsidP="00100C2E">
            <w:pPr>
              <w:widowControl w:val="0"/>
              <w:autoSpaceDE w:val="0"/>
              <w:autoSpaceDN w:val="0"/>
              <w:adjustRightInd w:val="0"/>
              <w:jc w:val="center"/>
              <w:rPr>
                <w:rFonts w:ascii="Arial" w:eastAsia="Cambria" w:hAnsi="Arial" w:cs="Arial"/>
                <w:sz w:val="16"/>
                <w:szCs w:val="16"/>
              </w:rPr>
            </w:pPr>
            <w:r>
              <w:rPr>
                <w:rFonts w:ascii="Arial" w:hAnsi="Arial"/>
                <w:sz w:val="16"/>
              </w:rPr>
              <w:t>100.0</w:t>
            </w:r>
          </w:p>
        </w:tc>
        <w:tc>
          <w:tcPr>
            <w:tcW w:w="481" w:type="pct"/>
            <w:vAlign w:val="center"/>
          </w:tcPr>
          <w:p w14:paraId="273DF923" w14:textId="77777777" w:rsidR="007A5618" w:rsidRPr="00A717D1" w:rsidRDefault="007A5618" w:rsidP="00100C2E">
            <w:pPr>
              <w:widowControl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eastAsia="Cambria" w:hAnsi="Arial" w:cs="Arial"/>
                <w:sz w:val="16"/>
                <w:szCs w:val="16"/>
              </w:rPr>
            </w:pPr>
            <w:r>
              <w:rPr>
                <w:rFonts w:ascii="Arial" w:hAnsi="Arial"/>
                <w:sz w:val="16"/>
              </w:rPr>
              <w:t>36.7</w:t>
            </w:r>
          </w:p>
        </w:tc>
        <w:tc>
          <w:tcPr>
            <w:cnfStyle w:val="000010000000" w:firstRow="0" w:lastRow="0" w:firstColumn="0" w:lastColumn="0" w:oddVBand="1" w:evenVBand="0" w:oddHBand="0" w:evenHBand="0" w:firstRowFirstColumn="0" w:firstRowLastColumn="0" w:lastRowFirstColumn="0" w:lastRowLastColumn="0"/>
            <w:tcW w:w="769" w:type="pct"/>
            <w:vAlign w:val="center"/>
          </w:tcPr>
          <w:p w14:paraId="0F8B84A4" w14:textId="77777777" w:rsidR="007A5618" w:rsidRPr="00A717D1" w:rsidRDefault="007A5618" w:rsidP="00100C2E">
            <w:pPr>
              <w:widowControl w:val="0"/>
              <w:autoSpaceDE w:val="0"/>
              <w:autoSpaceDN w:val="0"/>
              <w:adjustRightInd w:val="0"/>
              <w:jc w:val="center"/>
              <w:rPr>
                <w:rFonts w:ascii="Arial" w:eastAsia="Cambria" w:hAnsi="Arial" w:cs="Arial"/>
                <w:sz w:val="16"/>
                <w:szCs w:val="16"/>
              </w:rPr>
            </w:pPr>
            <w:r>
              <w:rPr>
                <w:rFonts w:ascii="Arial" w:hAnsi="Arial"/>
                <w:sz w:val="16"/>
              </w:rPr>
              <w:t>30.8</w:t>
            </w:r>
          </w:p>
        </w:tc>
        <w:tc>
          <w:tcPr>
            <w:tcW w:w="717" w:type="pct"/>
            <w:vAlign w:val="center"/>
          </w:tcPr>
          <w:p w14:paraId="766C41A5" w14:textId="77777777" w:rsidR="007A5618" w:rsidRPr="00A717D1" w:rsidRDefault="007A5618" w:rsidP="00100C2E">
            <w:pPr>
              <w:widowControl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eastAsia="Cambria" w:hAnsi="Arial" w:cs="Arial"/>
                <w:sz w:val="16"/>
                <w:szCs w:val="16"/>
              </w:rPr>
            </w:pPr>
            <w:r>
              <w:rPr>
                <w:rFonts w:ascii="Arial" w:hAnsi="Arial"/>
                <w:sz w:val="16"/>
              </w:rPr>
              <w:t>4.5</w:t>
            </w:r>
          </w:p>
        </w:tc>
        <w:tc>
          <w:tcPr>
            <w:cnfStyle w:val="000010000000" w:firstRow="0" w:lastRow="0" w:firstColumn="0" w:lastColumn="0" w:oddVBand="1" w:evenVBand="0" w:oddHBand="0" w:evenHBand="0" w:firstRowFirstColumn="0" w:firstRowLastColumn="0" w:lastRowFirstColumn="0" w:lastRowLastColumn="0"/>
            <w:tcW w:w="821" w:type="pct"/>
            <w:vAlign w:val="center"/>
          </w:tcPr>
          <w:p w14:paraId="321F4E61" w14:textId="77777777" w:rsidR="007A5618" w:rsidRPr="00A717D1" w:rsidRDefault="007A5618" w:rsidP="00100C2E">
            <w:pPr>
              <w:widowControl w:val="0"/>
              <w:autoSpaceDE w:val="0"/>
              <w:autoSpaceDN w:val="0"/>
              <w:adjustRightInd w:val="0"/>
              <w:jc w:val="center"/>
              <w:rPr>
                <w:rFonts w:ascii="Arial" w:eastAsia="Cambria" w:hAnsi="Arial" w:cs="Arial"/>
                <w:sz w:val="16"/>
                <w:szCs w:val="16"/>
              </w:rPr>
            </w:pPr>
            <w:r>
              <w:rPr>
                <w:rFonts w:ascii="Arial" w:hAnsi="Arial"/>
                <w:sz w:val="16"/>
              </w:rPr>
              <w:t>58.8</w:t>
            </w:r>
          </w:p>
        </w:tc>
      </w:tr>
      <w:tr w:rsidR="007A5618" w:rsidRPr="00A717D1" w14:paraId="5DEFB206" w14:textId="77777777" w:rsidTr="00100C2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50" w:type="pct"/>
            <w:vAlign w:val="center"/>
          </w:tcPr>
          <w:p w14:paraId="2B38A476" w14:textId="77777777" w:rsidR="007A5618" w:rsidRPr="00A717D1" w:rsidRDefault="007A5618" w:rsidP="00100C2E">
            <w:pPr>
              <w:widowControl w:val="0"/>
              <w:autoSpaceDE w:val="0"/>
              <w:autoSpaceDN w:val="0"/>
              <w:adjustRightInd w:val="0"/>
              <w:jc w:val="center"/>
              <w:rPr>
                <w:rFonts w:ascii="Arial" w:eastAsia="Cambria" w:hAnsi="Arial" w:cs="Arial"/>
                <w:sz w:val="16"/>
                <w:szCs w:val="16"/>
              </w:rPr>
            </w:pPr>
            <w:r>
              <w:rPr>
                <w:rFonts w:ascii="Arial" w:hAnsi="Arial"/>
                <w:sz w:val="16"/>
              </w:rPr>
              <w:t>Bending down</w:t>
            </w:r>
          </w:p>
        </w:tc>
        <w:tc>
          <w:tcPr>
            <w:tcW w:w="481" w:type="pct"/>
            <w:vAlign w:val="center"/>
          </w:tcPr>
          <w:p w14:paraId="370A0388" w14:textId="77777777" w:rsidR="007A5618" w:rsidRPr="00A717D1" w:rsidRDefault="007A5618" w:rsidP="00100C2E">
            <w:pPr>
              <w:widowControl w:val="0"/>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eastAsia="Cambria" w:hAnsi="Arial" w:cs="Arial"/>
                <w:sz w:val="16"/>
                <w:szCs w:val="16"/>
              </w:rPr>
            </w:pPr>
            <w:r>
              <w:rPr>
                <w:rFonts w:ascii="Arial" w:hAnsi="Arial"/>
                <w:sz w:val="16"/>
              </w:rPr>
              <w:t>1078</w:t>
            </w:r>
          </w:p>
        </w:tc>
        <w:tc>
          <w:tcPr>
            <w:cnfStyle w:val="000010000000" w:firstRow="0" w:lastRow="0" w:firstColumn="0" w:lastColumn="0" w:oddVBand="1" w:evenVBand="0" w:oddHBand="0" w:evenHBand="0" w:firstRowFirstColumn="0" w:firstRowLastColumn="0" w:lastRowFirstColumn="0" w:lastRowLastColumn="0"/>
            <w:tcW w:w="481" w:type="pct"/>
            <w:vAlign w:val="center"/>
          </w:tcPr>
          <w:p w14:paraId="163648E2" w14:textId="77777777" w:rsidR="007A5618" w:rsidRPr="00A717D1" w:rsidRDefault="007A5618" w:rsidP="00100C2E">
            <w:pPr>
              <w:widowControl w:val="0"/>
              <w:autoSpaceDE w:val="0"/>
              <w:autoSpaceDN w:val="0"/>
              <w:adjustRightInd w:val="0"/>
              <w:jc w:val="center"/>
              <w:rPr>
                <w:rFonts w:ascii="Arial" w:eastAsia="Cambria" w:hAnsi="Arial" w:cs="Arial"/>
                <w:sz w:val="16"/>
                <w:szCs w:val="16"/>
              </w:rPr>
            </w:pPr>
            <w:r>
              <w:rPr>
                <w:rFonts w:ascii="Arial" w:hAnsi="Arial"/>
                <w:sz w:val="16"/>
              </w:rPr>
              <w:t>100.0</w:t>
            </w:r>
          </w:p>
        </w:tc>
        <w:tc>
          <w:tcPr>
            <w:tcW w:w="481" w:type="pct"/>
            <w:vAlign w:val="center"/>
          </w:tcPr>
          <w:p w14:paraId="3B96BCBA" w14:textId="77777777" w:rsidR="007A5618" w:rsidRPr="00A717D1" w:rsidRDefault="007A5618" w:rsidP="00100C2E">
            <w:pPr>
              <w:widowControl w:val="0"/>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eastAsia="Cambria" w:hAnsi="Arial" w:cs="Arial"/>
                <w:sz w:val="16"/>
                <w:szCs w:val="16"/>
              </w:rPr>
            </w:pPr>
            <w:r>
              <w:rPr>
                <w:rFonts w:ascii="Arial" w:hAnsi="Arial"/>
                <w:sz w:val="16"/>
              </w:rPr>
              <w:t>40.0</w:t>
            </w:r>
          </w:p>
        </w:tc>
        <w:tc>
          <w:tcPr>
            <w:cnfStyle w:val="000010000000" w:firstRow="0" w:lastRow="0" w:firstColumn="0" w:lastColumn="0" w:oddVBand="1" w:evenVBand="0" w:oddHBand="0" w:evenHBand="0" w:firstRowFirstColumn="0" w:firstRowLastColumn="0" w:lastRowFirstColumn="0" w:lastRowLastColumn="0"/>
            <w:tcW w:w="769" w:type="pct"/>
            <w:vAlign w:val="center"/>
          </w:tcPr>
          <w:p w14:paraId="20D2EF02" w14:textId="77777777" w:rsidR="007A5618" w:rsidRPr="00A717D1" w:rsidRDefault="007A5618" w:rsidP="00100C2E">
            <w:pPr>
              <w:widowControl w:val="0"/>
              <w:autoSpaceDE w:val="0"/>
              <w:autoSpaceDN w:val="0"/>
              <w:adjustRightInd w:val="0"/>
              <w:jc w:val="center"/>
              <w:rPr>
                <w:rFonts w:ascii="Arial" w:eastAsia="Cambria" w:hAnsi="Arial" w:cs="Arial"/>
                <w:sz w:val="16"/>
                <w:szCs w:val="16"/>
              </w:rPr>
            </w:pPr>
            <w:r>
              <w:rPr>
                <w:rFonts w:ascii="Arial" w:hAnsi="Arial"/>
                <w:sz w:val="16"/>
              </w:rPr>
              <w:t>34.1</w:t>
            </w:r>
          </w:p>
        </w:tc>
        <w:tc>
          <w:tcPr>
            <w:tcW w:w="717" w:type="pct"/>
            <w:vAlign w:val="center"/>
          </w:tcPr>
          <w:p w14:paraId="5727E57C" w14:textId="77777777" w:rsidR="007A5618" w:rsidRPr="00A717D1" w:rsidRDefault="007A5618" w:rsidP="00100C2E">
            <w:pPr>
              <w:widowControl w:val="0"/>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eastAsia="Cambria" w:hAnsi="Arial" w:cs="Arial"/>
                <w:sz w:val="16"/>
                <w:szCs w:val="16"/>
              </w:rPr>
            </w:pPr>
            <w:r>
              <w:rPr>
                <w:rFonts w:ascii="Arial" w:hAnsi="Arial"/>
                <w:sz w:val="16"/>
              </w:rPr>
              <w:t>4.9</w:t>
            </w:r>
          </w:p>
        </w:tc>
        <w:tc>
          <w:tcPr>
            <w:cnfStyle w:val="000010000000" w:firstRow="0" w:lastRow="0" w:firstColumn="0" w:lastColumn="0" w:oddVBand="1" w:evenVBand="0" w:oddHBand="0" w:evenHBand="0" w:firstRowFirstColumn="0" w:firstRowLastColumn="0" w:lastRowFirstColumn="0" w:lastRowLastColumn="0"/>
            <w:tcW w:w="821" w:type="pct"/>
            <w:vAlign w:val="center"/>
          </w:tcPr>
          <w:p w14:paraId="309BA402" w14:textId="77777777" w:rsidR="007A5618" w:rsidRPr="00A717D1" w:rsidRDefault="007A5618" w:rsidP="00100C2E">
            <w:pPr>
              <w:widowControl w:val="0"/>
              <w:autoSpaceDE w:val="0"/>
              <w:autoSpaceDN w:val="0"/>
              <w:adjustRightInd w:val="0"/>
              <w:jc w:val="center"/>
              <w:rPr>
                <w:rFonts w:ascii="Arial" w:eastAsia="Cambria" w:hAnsi="Arial" w:cs="Arial"/>
                <w:sz w:val="16"/>
                <w:szCs w:val="16"/>
              </w:rPr>
            </w:pPr>
            <w:r>
              <w:rPr>
                <w:rFonts w:ascii="Arial" w:hAnsi="Arial"/>
                <w:sz w:val="16"/>
              </w:rPr>
              <w:t>55.1</w:t>
            </w:r>
          </w:p>
        </w:tc>
      </w:tr>
      <w:tr w:rsidR="007A5618" w:rsidRPr="00A717D1" w14:paraId="6685CB66" w14:textId="77777777" w:rsidTr="00100C2E">
        <w:tc>
          <w:tcPr>
            <w:cnfStyle w:val="000010000000" w:firstRow="0" w:lastRow="0" w:firstColumn="0" w:lastColumn="0" w:oddVBand="1" w:evenVBand="0" w:oddHBand="0" w:evenHBand="0" w:firstRowFirstColumn="0" w:firstRowLastColumn="0" w:lastRowFirstColumn="0" w:lastRowLastColumn="0"/>
            <w:tcW w:w="1250" w:type="pct"/>
            <w:vAlign w:val="center"/>
          </w:tcPr>
          <w:p w14:paraId="4F8D6D17" w14:textId="77777777" w:rsidR="007A5618" w:rsidRPr="00A717D1" w:rsidRDefault="007A5618" w:rsidP="00100C2E">
            <w:pPr>
              <w:widowControl w:val="0"/>
              <w:autoSpaceDE w:val="0"/>
              <w:autoSpaceDN w:val="0"/>
              <w:adjustRightInd w:val="0"/>
              <w:jc w:val="center"/>
              <w:rPr>
                <w:rFonts w:ascii="Arial" w:eastAsia="Cambria" w:hAnsi="Arial" w:cs="Arial"/>
                <w:sz w:val="16"/>
                <w:szCs w:val="16"/>
              </w:rPr>
            </w:pPr>
            <w:r>
              <w:rPr>
                <w:rFonts w:ascii="Arial" w:hAnsi="Arial"/>
                <w:sz w:val="16"/>
              </w:rPr>
              <w:t>Holding, gripping, turning</w:t>
            </w:r>
          </w:p>
        </w:tc>
        <w:tc>
          <w:tcPr>
            <w:tcW w:w="481" w:type="pct"/>
            <w:vAlign w:val="center"/>
          </w:tcPr>
          <w:p w14:paraId="7F9EEE2F" w14:textId="77777777" w:rsidR="007A5618" w:rsidRPr="00A717D1" w:rsidRDefault="007A5618" w:rsidP="00100C2E">
            <w:pPr>
              <w:widowControl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eastAsia="Cambria" w:hAnsi="Arial" w:cs="Arial"/>
                <w:sz w:val="16"/>
                <w:szCs w:val="16"/>
              </w:rPr>
            </w:pPr>
            <w:r>
              <w:rPr>
                <w:rFonts w:ascii="Arial" w:hAnsi="Arial"/>
                <w:sz w:val="16"/>
              </w:rPr>
              <w:t>171</w:t>
            </w:r>
          </w:p>
        </w:tc>
        <w:tc>
          <w:tcPr>
            <w:cnfStyle w:val="000010000000" w:firstRow="0" w:lastRow="0" w:firstColumn="0" w:lastColumn="0" w:oddVBand="1" w:evenVBand="0" w:oddHBand="0" w:evenHBand="0" w:firstRowFirstColumn="0" w:firstRowLastColumn="0" w:lastRowFirstColumn="0" w:lastRowLastColumn="0"/>
            <w:tcW w:w="481" w:type="pct"/>
            <w:vAlign w:val="center"/>
          </w:tcPr>
          <w:p w14:paraId="0F247152" w14:textId="77777777" w:rsidR="007A5618" w:rsidRPr="00A717D1" w:rsidRDefault="007A5618" w:rsidP="00100C2E">
            <w:pPr>
              <w:widowControl w:val="0"/>
              <w:autoSpaceDE w:val="0"/>
              <w:autoSpaceDN w:val="0"/>
              <w:adjustRightInd w:val="0"/>
              <w:jc w:val="center"/>
              <w:rPr>
                <w:rFonts w:ascii="Arial" w:eastAsia="Cambria" w:hAnsi="Arial" w:cs="Arial"/>
                <w:sz w:val="16"/>
                <w:szCs w:val="16"/>
              </w:rPr>
            </w:pPr>
            <w:r>
              <w:rPr>
                <w:rFonts w:ascii="Arial" w:hAnsi="Arial"/>
                <w:sz w:val="16"/>
              </w:rPr>
              <w:t>100.0</w:t>
            </w:r>
          </w:p>
        </w:tc>
        <w:tc>
          <w:tcPr>
            <w:tcW w:w="481" w:type="pct"/>
            <w:vAlign w:val="center"/>
          </w:tcPr>
          <w:p w14:paraId="041C0E2A" w14:textId="77777777" w:rsidR="007A5618" w:rsidRPr="00A717D1" w:rsidRDefault="007A5618" w:rsidP="00100C2E">
            <w:pPr>
              <w:widowControl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eastAsia="Cambria" w:hAnsi="Arial" w:cs="Arial"/>
                <w:sz w:val="16"/>
                <w:szCs w:val="16"/>
              </w:rPr>
            </w:pPr>
            <w:r>
              <w:rPr>
                <w:rFonts w:ascii="Arial" w:hAnsi="Arial"/>
                <w:sz w:val="16"/>
              </w:rPr>
              <w:t>32.2</w:t>
            </w:r>
          </w:p>
        </w:tc>
        <w:tc>
          <w:tcPr>
            <w:cnfStyle w:val="000010000000" w:firstRow="0" w:lastRow="0" w:firstColumn="0" w:lastColumn="0" w:oddVBand="1" w:evenVBand="0" w:oddHBand="0" w:evenHBand="0" w:firstRowFirstColumn="0" w:firstRowLastColumn="0" w:lastRowFirstColumn="0" w:lastRowLastColumn="0"/>
            <w:tcW w:w="769" w:type="pct"/>
            <w:vAlign w:val="center"/>
          </w:tcPr>
          <w:p w14:paraId="43581DA6" w14:textId="77777777" w:rsidR="007A5618" w:rsidRPr="00A717D1" w:rsidRDefault="007A5618" w:rsidP="00100C2E">
            <w:pPr>
              <w:widowControl w:val="0"/>
              <w:autoSpaceDE w:val="0"/>
              <w:autoSpaceDN w:val="0"/>
              <w:adjustRightInd w:val="0"/>
              <w:jc w:val="center"/>
              <w:rPr>
                <w:rFonts w:ascii="Arial" w:eastAsia="Cambria" w:hAnsi="Arial" w:cs="Arial"/>
                <w:sz w:val="16"/>
                <w:szCs w:val="16"/>
              </w:rPr>
            </w:pPr>
            <w:r>
              <w:rPr>
                <w:rFonts w:ascii="Arial" w:hAnsi="Arial"/>
                <w:sz w:val="16"/>
              </w:rPr>
              <w:t>28.1</w:t>
            </w:r>
          </w:p>
        </w:tc>
        <w:tc>
          <w:tcPr>
            <w:tcW w:w="717" w:type="pct"/>
            <w:vAlign w:val="center"/>
          </w:tcPr>
          <w:p w14:paraId="26765295" w14:textId="77777777" w:rsidR="007A5618" w:rsidRPr="00A717D1" w:rsidRDefault="007A5618" w:rsidP="00100C2E">
            <w:pPr>
              <w:widowControl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eastAsia="Cambria" w:hAnsi="Arial" w:cs="Arial"/>
                <w:sz w:val="16"/>
                <w:szCs w:val="16"/>
              </w:rPr>
            </w:pPr>
            <w:r>
              <w:rPr>
                <w:rFonts w:ascii="Arial" w:hAnsi="Arial"/>
                <w:sz w:val="16"/>
              </w:rPr>
              <w:t>4.7</w:t>
            </w:r>
          </w:p>
        </w:tc>
        <w:tc>
          <w:tcPr>
            <w:cnfStyle w:val="000010000000" w:firstRow="0" w:lastRow="0" w:firstColumn="0" w:lastColumn="0" w:oddVBand="1" w:evenVBand="0" w:oddHBand="0" w:evenHBand="0" w:firstRowFirstColumn="0" w:firstRowLastColumn="0" w:lastRowFirstColumn="0" w:lastRowLastColumn="0"/>
            <w:tcW w:w="821" w:type="pct"/>
            <w:vAlign w:val="center"/>
          </w:tcPr>
          <w:p w14:paraId="244AD979" w14:textId="77777777" w:rsidR="007A5618" w:rsidRPr="00A717D1" w:rsidRDefault="007A5618" w:rsidP="00100C2E">
            <w:pPr>
              <w:widowControl w:val="0"/>
              <w:autoSpaceDE w:val="0"/>
              <w:autoSpaceDN w:val="0"/>
              <w:adjustRightInd w:val="0"/>
              <w:jc w:val="center"/>
              <w:rPr>
                <w:rFonts w:ascii="Arial" w:eastAsia="Cambria" w:hAnsi="Arial" w:cs="Arial"/>
                <w:sz w:val="16"/>
                <w:szCs w:val="16"/>
              </w:rPr>
            </w:pPr>
            <w:r>
              <w:rPr>
                <w:rFonts w:ascii="Arial" w:hAnsi="Arial"/>
                <w:sz w:val="16"/>
              </w:rPr>
              <w:t>63.2</w:t>
            </w:r>
          </w:p>
        </w:tc>
      </w:tr>
      <w:tr w:rsidR="007A5618" w:rsidRPr="00A717D1" w14:paraId="1DB76710" w14:textId="77777777" w:rsidTr="00100C2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50" w:type="pct"/>
            <w:vAlign w:val="center"/>
          </w:tcPr>
          <w:p w14:paraId="35D8FD18" w14:textId="77777777" w:rsidR="007A5618" w:rsidRPr="00A717D1" w:rsidRDefault="007A5618" w:rsidP="00100C2E">
            <w:pPr>
              <w:widowControl w:val="0"/>
              <w:autoSpaceDE w:val="0"/>
              <w:autoSpaceDN w:val="0"/>
              <w:adjustRightInd w:val="0"/>
              <w:jc w:val="center"/>
              <w:rPr>
                <w:rFonts w:ascii="Arial" w:eastAsia="Cambria" w:hAnsi="Arial" w:cs="Arial"/>
                <w:sz w:val="16"/>
                <w:szCs w:val="16"/>
              </w:rPr>
            </w:pPr>
            <w:r>
              <w:rPr>
                <w:rFonts w:ascii="Arial" w:hAnsi="Arial"/>
                <w:sz w:val="16"/>
              </w:rPr>
              <w:t>No activity poses difficulties</w:t>
            </w:r>
          </w:p>
        </w:tc>
        <w:tc>
          <w:tcPr>
            <w:tcW w:w="481" w:type="pct"/>
            <w:vAlign w:val="center"/>
          </w:tcPr>
          <w:p w14:paraId="607250EB" w14:textId="77777777" w:rsidR="007A5618" w:rsidRPr="00A717D1" w:rsidRDefault="007A5618" w:rsidP="00100C2E">
            <w:pPr>
              <w:widowControl w:val="0"/>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eastAsia="Cambria" w:hAnsi="Arial" w:cs="Arial"/>
                <w:sz w:val="16"/>
                <w:szCs w:val="16"/>
              </w:rPr>
            </w:pPr>
            <w:r>
              <w:rPr>
                <w:rFonts w:ascii="Arial" w:hAnsi="Arial"/>
                <w:sz w:val="16"/>
              </w:rPr>
              <w:t>22931</w:t>
            </w:r>
          </w:p>
        </w:tc>
        <w:tc>
          <w:tcPr>
            <w:cnfStyle w:val="000010000000" w:firstRow="0" w:lastRow="0" w:firstColumn="0" w:lastColumn="0" w:oddVBand="1" w:evenVBand="0" w:oddHBand="0" w:evenHBand="0" w:firstRowFirstColumn="0" w:firstRowLastColumn="0" w:lastRowFirstColumn="0" w:lastRowLastColumn="0"/>
            <w:tcW w:w="481" w:type="pct"/>
            <w:vAlign w:val="center"/>
          </w:tcPr>
          <w:p w14:paraId="1C9720FD" w14:textId="77777777" w:rsidR="007A5618" w:rsidRPr="00A717D1" w:rsidRDefault="007A5618" w:rsidP="00100C2E">
            <w:pPr>
              <w:widowControl w:val="0"/>
              <w:autoSpaceDE w:val="0"/>
              <w:autoSpaceDN w:val="0"/>
              <w:adjustRightInd w:val="0"/>
              <w:jc w:val="center"/>
              <w:rPr>
                <w:rFonts w:ascii="Arial" w:eastAsia="Cambria" w:hAnsi="Arial" w:cs="Arial"/>
                <w:sz w:val="16"/>
                <w:szCs w:val="16"/>
              </w:rPr>
            </w:pPr>
            <w:r>
              <w:rPr>
                <w:rFonts w:ascii="Arial" w:hAnsi="Arial"/>
                <w:sz w:val="16"/>
              </w:rPr>
              <w:t>100.0</w:t>
            </w:r>
          </w:p>
        </w:tc>
        <w:tc>
          <w:tcPr>
            <w:tcW w:w="481" w:type="pct"/>
            <w:vAlign w:val="center"/>
          </w:tcPr>
          <w:p w14:paraId="6CD946AD" w14:textId="77777777" w:rsidR="007A5618" w:rsidRPr="00A717D1" w:rsidRDefault="007A5618" w:rsidP="00100C2E">
            <w:pPr>
              <w:widowControl w:val="0"/>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eastAsia="Cambria" w:hAnsi="Arial" w:cs="Arial"/>
                <w:sz w:val="16"/>
                <w:szCs w:val="16"/>
              </w:rPr>
            </w:pPr>
            <w:r>
              <w:rPr>
                <w:rFonts w:ascii="Arial" w:hAnsi="Arial"/>
                <w:sz w:val="16"/>
              </w:rPr>
              <w:t>64.2</w:t>
            </w:r>
          </w:p>
        </w:tc>
        <w:tc>
          <w:tcPr>
            <w:cnfStyle w:val="000010000000" w:firstRow="0" w:lastRow="0" w:firstColumn="0" w:lastColumn="0" w:oddVBand="1" w:evenVBand="0" w:oddHBand="0" w:evenHBand="0" w:firstRowFirstColumn="0" w:firstRowLastColumn="0" w:lastRowFirstColumn="0" w:lastRowLastColumn="0"/>
            <w:tcW w:w="769" w:type="pct"/>
            <w:vAlign w:val="center"/>
          </w:tcPr>
          <w:p w14:paraId="66794099" w14:textId="77777777" w:rsidR="007A5618" w:rsidRPr="00A717D1" w:rsidRDefault="007A5618" w:rsidP="00100C2E">
            <w:pPr>
              <w:widowControl w:val="0"/>
              <w:autoSpaceDE w:val="0"/>
              <w:autoSpaceDN w:val="0"/>
              <w:adjustRightInd w:val="0"/>
              <w:jc w:val="center"/>
              <w:rPr>
                <w:rFonts w:ascii="Arial" w:eastAsia="Cambria" w:hAnsi="Arial" w:cs="Arial"/>
                <w:sz w:val="16"/>
                <w:szCs w:val="16"/>
              </w:rPr>
            </w:pPr>
            <w:r>
              <w:rPr>
                <w:rFonts w:ascii="Arial" w:hAnsi="Arial"/>
                <w:sz w:val="16"/>
              </w:rPr>
              <w:t>60.0</w:t>
            </w:r>
          </w:p>
        </w:tc>
        <w:tc>
          <w:tcPr>
            <w:tcW w:w="717" w:type="pct"/>
            <w:vAlign w:val="center"/>
          </w:tcPr>
          <w:p w14:paraId="54B02132" w14:textId="77777777" w:rsidR="007A5618" w:rsidRPr="00A717D1" w:rsidRDefault="007A5618" w:rsidP="00100C2E">
            <w:pPr>
              <w:widowControl w:val="0"/>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eastAsia="Cambria" w:hAnsi="Arial" w:cs="Arial"/>
                <w:sz w:val="16"/>
                <w:szCs w:val="16"/>
              </w:rPr>
            </w:pPr>
            <w:r>
              <w:rPr>
                <w:rFonts w:ascii="Arial" w:hAnsi="Arial"/>
                <w:sz w:val="16"/>
              </w:rPr>
              <w:t>6.7</w:t>
            </w:r>
          </w:p>
        </w:tc>
        <w:tc>
          <w:tcPr>
            <w:cnfStyle w:val="000010000000" w:firstRow="0" w:lastRow="0" w:firstColumn="0" w:lastColumn="0" w:oddVBand="1" w:evenVBand="0" w:oddHBand="0" w:evenHBand="0" w:firstRowFirstColumn="0" w:firstRowLastColumn="0" w:lastRowFirstColumn="0" w:lastRowLastColumn="0"/>
            <w:tcW w:w="821" w:type="pct"/>
            <w:vAlign w:val="center"/>
          </w:tcPr>
          <w:p w14:paraId="03F65F6C" w14:textId="77777777" w:rsidR="007A5618" w:rsidRPr="00A717D1" w:rsidRDefault="007A5618" w:rsidP="00100C2E">
            <w:pPr>
              <w:widowControl w:val="0"/>
              <w:autoSpaceDE w:val="0"/>
              <w:autoSpaceDN w:val="0"/>
              <w:adjustRightInd w:val="0"/>
              <w:jc w:val="center"/>
              <w:rPr>
                <w:rFonts w:ascii="Arial" w:eastAsia="Cambria" w:hAnsi="Arial" w:cs="Arial"/>
                <w:sz w:val="16"/>
                <w:szCs w:val="16"/>
              </w:rPr>
            </w:pPr>
            <w:r>
              <w:rPr>
                <w:rFonts w:ascii="Arial" w:hAnsi="Arial"/>
                <w:sz w:val="16"/>
              </w:rPr>
              <w:t>29.2</w:t>
            </w:r>
          </w:p>
        </w:tc>
      </w:tr>
    </w:tbl>
    <w:p w14:paraId="1FF98677" w14:textId="77777777" w:rsidR="007A5618" w:rsidRPr="00A717D1" w:rsidRDefault="007A5618" w:rsidP="007A5618">
      <w:pPr>
        <w:spacing w:after="0" w:line="360" w:lineRule="auto"/>
        <w:jc w:val="both"/>
        <w:rPr>
          <w:rFonts w:ascii="Arial" w:eastAsia="Cambria" w:hAnsi="Arial" w:cs="Arial"/>
          <w:sz w:val="16"/>
          <w:szCs w:val="16"/>
        </w:rPr>
      </w:pPr>
    </w:p>
    <w:p w14:paraId="42A838CE" w14:textId="31C02E04" w:rsidR="007A5618" w:rsidRPr="00A717D1" w:rsidRDefault="007A5618" w:rsidP="007A5618">
      <w:pPr>
        <w:widowControl w:val="0"/>
        <w:autoSpaceDE w:val="0"/>
        <w:autoSpaceDN w:val="0"/>
        <w:adjustRightInd w:val="0"/>
        <w:spacing w:after="0" w:line="360" w:lineRule="auto"/>
        <w:ind w:firstLine="709"/>
        <w:jc w:val="both"/>
        <w:rPr>
          <w:rFonts w:ascii="Arial" w:eastAsia="MS Mincho" w:hAnsi="Arial" w:cs="Arial"/>
        </w:rPr>
      </w:pPr>
      <w:r>
        <w:rPr>
          <w:rFonts w:ascii="Arial" w:hAnsi="Arial"/>
        </w:rPr>
        <w:t>Among other data, it is important to emphasize the necessity to use assistance of other persons at work. In the case of ill persons or persons with health problems or persons experiencing difficulties in performing basic activities, according to the need of using assistance of others at work, according to age, gender and place of residence, 14.3% of persons uses or would use assistance of other persons, and the lowest percentage is registered among persons with higher education – 4.6%, the lowest – among persons with primary education or lower: 25%</w:t>
      </w:r>
      <w:r>
        <w:rPr>
          <w:rFonts w:ascii="Arial" w:hAnsi="Arial"/>
          <w:vertAlign w:val="superscript"/>
        </w:rPr>
        <w:footnoteReference w:id="239"/>
      </w:r>
      <w:r>
        <w:rPr>
          <w:rFonts w:ascii="Arial" w:hAnsi="Arial"/>
        </w:rPr>
        <w:t>. Te education level also differentiates the scale, in which special working conditions are necessary. It must be noted that special working conditions for the purposes of the study meant either the manner of performing work or the character of the work (e.g. sitting while working, working from home), or the hours of work and organisation of working time. The lower the level of education, the higher the share of persons that require special working conditions. In the case of persons with higher education – one in 8 persons (12.5%) would use or uses special working conditions, while in the case of persons with primary education or lower – such need was reported by one in 3 persons (30.1%). On the other hand, this option is relatively most often reported by vocationally passive persons, out of which 35.3% so declared, by unemployed – 24.2%, while only 11.8% of the employed persons use special working conditions</w:t>
      </w:r>
      <w:r>
        <w:rPr>
          <w:rFonts w:ascii="Arial" w:hAnsi="Arial"/>
          <w:vertAlign w:val="superscript"/>
        </w:rPr>
        <w:footnoteReference w:id="240"/>
      </w:r>
      <w:r>
        <w:rPr>
          <w:rFonts w:ascii="Arial" w:hAnsi="Arial"/>
        </w:rPr>
        <w:t>.</w:t>
      </w:r>
    </w:p>
    <w:p w14:paraId="4A980BCE" w14:textId="77777777" w:rsidR="007A5618" w:rsidRPr="00A717D1" w:rsidRDefault="007A5618" w:rsidP="007A5618">
      <w:pPr>
        <w:widowControl w:val="0"/>
        <w:autoSpaceDE w:val="0"/>
        <w:autoSpaceDN w:val="0"/>
        <w:adjustRightInd w:val="0"/>
        <w:spacing w:after="0" w:line="360" w:lineRule="auto"/>
        <w:ind w:firstLine="709"/>
        <w:jc w:val="both"/>
        <w:rPr>
          <w:rFonts w:ascii="Arial" w:eastAsia="MS Mincho" w:hAnsi="Arial" w:cs="Arial"/>
        </w:rPr>
      </w:pPr>
      <w:r>
        <w:rPr>
          <w:rFonts w:ascii="Arial" w:hAnsi="Arial"/>
        </w:rPr>
        <w:t xml:space="preserve">The necessity to use special equipment or have the workplace adapted to their needs (i.e. adapting entrances to the building to the needs of persons with disabilities, accessibility of lifts, elevators, special parking places, adapting toilets, modifications at the workstation, e.g. special equipment that makes it possible for that person to work, e.g. Braille printers, voice processing devices, e.g.) was relatively (by percentage) more frequent in the case o younger persons, i.e. aged 15-34, yet in absolute terms (by number) the most numerous group of persons with such requirements were aged 55-64. The necessity to ensure special </w:t>
      </w:r>
      <w:r>
        <w:rPr>
          <w:rFonts w:ascii="Arial" w:hAnsi="Arial"/>
        </w:rPr>
        <w:lastRenderedPageBreak/>
        <w:t>organisation at the workplace applied to 277 thousand persons</w:t>
      </w:r>
      <w:r>
        <w:rPr>
          <w:rFonts w:ascii="Arial" w:hAnsi="Arial"/>
          <w:vertAlign w:val="superscript"/>
        </w:rPr>
        <w:footnoteReference w:id="241"/>
      </w:r>
      <w:r>
        <w:rPr>
          <w:rFonts w:ascii="Arial" w:hAnsi="Arial"/>
        </w:rPr>
        <w:t>.</w:t>
      </w:r>
    </w:p>
    <w:p w14:paraId="4609B6ED" w14:textId="1495F138" w:rsidR="007A5618" w:rsidRPr="00A717D1" w:rsidRDefault="007A5618" w:rsidP="007A5618">
      <w:pPr>
        <w:spacing w:after="0" w:line="360" w:lineRule="auto"/>
        <w:ind w:firstLine="709"/>
        <w:jc w:val="both"/>
        <w:rPr>
          <w:rFonts w:ascii="Arial" w:eastAsia="Cambria" w:hAnsi="Arial" w:cs="Arial"/>
        </w:rPr>
      </w:pPr>
      <w:r>
        <w:rPr>
          <w:rFonts w:ascii="Arial" w:hAnsi="Arial"/>
        </w:rPr>
        <w:t xml:space="preserve">Out of the studies conducted by scientific institutions, it is important to mention some results of the project entitled </w:t>
      </w:r>
      <w:r>
        <w:rPr>
          <w:rFonts w:ascii="Arial" w:hAnsi="Arial"/>
          <w:i/>
        </w:rPr>
        <w:t>From comprehensive diagnosis of the situation of persons  with disabilities in Poland to the new model of social policy with respect to disability</w:t>
      </w:r>
      <w:r>
        <w:rPr>
          <w:rFonts w:ascii="Arial" w:hAnsi="Arial"/>
          <w:vertAlign w:val="superscript"/>
        </w:rPr>
        <w:footnoteReference w:id="242"/>
      </w:r>
      <w:r>
        <w:rPr>
          <w:rFonts w:ascii="Arial" w:hAnsi="Arial"/>
        </w:rPr>
        <w:t>. The reasons for hiring persons with disabilities, both for institutions and companies, include first of all professional qualifications, mission and culture of the organisation based on non-discrimination principles, and also direct financial benefits, and finally – the sensitivity of the managerial personnel. Problems with finding non-disabled employees for the given position, or postulates of organisations representing employees, including trade unions, were actually incidental, as reasons for employing persons with disabilities</w:t>
      </w:r>
      <w:r>
        <w:rPr>
          <w:rFonts w:ascii="Arial" w:hAnsi="Arial"/>
          <w:vertAlign w:val="superscript"/>
        </w:rPr>
        <w:footnoteReference w:id="243"/>
      </w:r>
      <w:r>
        <w:rPr>
          <w:rFonts w:ascii="Arial" w:hAnsi="Arial"/>
        </w:rPr>
        <w:t xml:space="preserve">. Recruitment most often takes place through contacting the poviat employment office (59%), followed by the candidate filing an application independently or responding to an offer published on-line. </w:t>
      </w:r>
    </w:p>
    <w:p w14:paraId="7DBB7ACF" w14:textId="017FDA66" w:rsidR="007A5618" w:rsidRDefault="007A5618" w:rsidP="007A5618">
      <w:pPr>
        <w:spacing w:after="0" w:line="360" w:lineRule="auto"/>
        <w:ind w:firstLine="709"/>
        <w:jc w:val="both"/>
        <w:rPr>
          <w:rFonts w:ascii="Arial" w:eastAsia="Cambria" w:hAnsi="Arial" w:cs="Arial"/>
        </w:rPr>
      </w:pPr>
      <w:r>
        <w:rPr>
          <w:rFonts w:ascii="Arial" w:hAnsi="Arial"/>
        </w:rPr>
        <w:t>Polish employers most frequently use permanent forms of financial support or forms that increase the value of the company, i.e. co-financing of remuneration, reimbursement of the costs of organising and equipping the new workstation (60.3% and 37.5%). They use the option to reimburse the costs of qualification improvement by employees (9.6%) to a small extent. The quoted study also verified the indicators for using certain services comprising direct support to persons with disabilities (e.g. hiring an employee to assist a person with disabilities – 1.4%, assistant/work trainer – 6.7%)</w:t>
      </w:r>
      <w:r>
        <w:rPr>
          <w:rFonts w:ascii="Arial" w:hAnsi="Arial"/>
          <w:vertAlign w:val="superscript"/>
        </w:rPr>
        <w:footnoteReference w:id="244"/>
      </w:r>
      <w:r>
        <w:rPr>
          <w:rFonts w:ascii="Arial" w:hAnsi="Arial"/>
        </w:rPr>
        <w:t xml:space="preserve">. </w:t>
      </w:r>
    </w:p>
    <w:p w14:paraId="2A78D807" w14:textId="77777777" w:rsidR="007A5618" w:rsidRPr="006317A2" w:rsidRDefault="007A5618" w:rsidP="00477195">
      <w:pPr>
        <w:pStyle w:val="Akapitzlist"/>
        <w:numPr>
          <w:ilvl w:val="0"/>
          <w:numId w:val="14"/>
        </w:numPr>
        <w:spacing w:before="120" w:after="120" w:line="360" w:lineRule="auto"/>
        <w:ind w:left="284" w:hanging="284"/>
        <w:contextualSpacing w:val="0"/>
        <w:jc w:val="both"/>
        <w:rPr>
          <w:rFonts w:ascii="Arial" w:hAnsi="Arial" w:cs="Arial"/>
          <w:b/>
        </w:rPr>
      </w:pPr>
      <w:r>
        <w:rPr>
          <w:rFonts w:ascii="Arial" w:hAnsi="Arial"/>
          <w:b/>
        </w:rPr>
        <w:t>Major recommendations</w:t>
      </w:r>
    </w:p>
    <w:p w14:paraId="361BD8FE" w14:textId="10B4577D" w:rsidR="006317A2" w:rsidRDefault="007A5618" w:rsidP="00BE554E">
      <w:pPr>
        <w:spacing w:after="0" w:line="360" w:lineRule="auto"/>
        <w:ind w:firstLine="709"/>
        <w:jc w:val="both"/>
        <w:rPr>
          <w:rFonts w:ascii="Arial" w:eastAsia="Cambria" w:hAnsi="Arial" w:cs="Arial"/>
        </w:rPr>
      </w:pPr>
      <w:r>
        <w:rPr>
          <w:rFonts w:ascii="Arial" w:hAnsi="Arial"/>
        </w:rPr>
        <w:t>According to the Ombudsman, the decisions made in the area of employment should be consistent with the solutions adapted in the area of education, health and social security. It is necessary to launch operations that will follow the changes in the structure of the labour market, where intensification of the vocational activity of citizens, including persons with disabilities, is taking place. The majority of persons of disabilities may take up employment on the open labour market. Therefore, the shape of the solutions promoting employment of persons with disabilities and the assistance in training for work provided by the public authorities do not contribute to improving the indicators of employment rate, maintaining employment or returning to the labour market to a desired extent. In turn, the solutions to promote social and vocational rehabilitation, institutions shaping various form of sheltered work, do not strengthen the vocational activity of persons with disabilities, do not consider real needs of persons with disabilities, and do not establish a mechanism for the transfer of persons with disabilities from the sheltered labour market to the open labour market.</w:t>
      </w:r>
    </w:p>
    <w:p w14:paraId="3BF1979B" w14:textId="77777777" w:rsidR="006317A2" w:rsidRPr="001A0AB5" w:rsidRDefault="006317A2" w:rsidP="00470512">
      <w:pPr>
        <w:pStyle w:val="Nagwek2"/>
      </w:pPr>
      <w:bookmarkStart w:id="39" w:name="_Toc403999545"/>
      <w:bookmarkStart w:id="40" w:name="_Toc424279009"/>
      <w:r>
        <w:t>Article 28 – Adequate standard of living and social protection</w:t>
      </w:r>
      <w:r>
        <w:rPr>
          <w:rStyle w:val="Odwoanieprzypisudolnego"/>
          <w:b w:val="0"/>
        </w:rPr>
        <w:footnoteReference w:id="245"/>
      </w:r>
      <w:bookmarkEnd w:id="39"/>
      <w:bookmarkEnd w:id="40"/>
    </w:p>
    <w:p w14:paraId="68E5CFC0" w14:textId="77777777" w:rsidR="00770AC9" w:rsidRDefault="00770AC9" w:rsidP="00477195">
      <w:pPr>
        <w:pStyle w:val="Akapitzlist"/>
        <w:numPr>
          <w:ilvl w:val="0"/>
          <w:numId w:val="15"/>
        </w:numPr>
        <w:spacing w:before="120" w:after="120" w:line="360" w:lineRule="auto"/>
        <w:ind w:left="284" w:hanging="284"/>
        <w:contextualSpacing w:val="0"/>
        <w:jc w:val="both"/>
        <w:rPr>
          <w:rFonts w:ascii="Arial" w:hAnsi="Arial" w:cs="Arial"/>
          <w:b/>
        </w:rPr>
      </w:pPr>
      <w:r>
        <w:rPr>
          <w:rFonts w:ascii="Arial" w:hAnsi="Arial"/>
          <w:b/>
        </w:rPr>
        <w:t>Introduction – short description</w:t>
      </w:r>
    </w:p>
    <w:p w14:paraId="206EE1E3" w14:textId="072633FF" w:rsidR="00B135A0" w:rsidRPr="006B2974" w:rsidRDefault="00B135A0" w:rsidP="00B135A0">
      <w:pPr>
        <w:spacing w:after="0" w:line="360" w:lineRule="auto"/>
        <w:ind w:firstLine="709"/>
        <w:jc w:val="both"/>
        <w:rPr>
          <w:rFonts w:ascii="Arial" w:hAnsi="Arial" w:cs="Arial"/>
        </w:rPr>
      </w:pPr>
      <w:r>
        <w:rPr>
          <w:rFonts w:ascii="Arial" w:hAnsi="Arial"/>
        </w:rPr>
        <w:t>Irrespective of their age, persons with disabilities, due to more or less restricted capacity of the body, have more fundamental needs related e.g. to rehabilitation or the necessity to ensure proper care. In turn, persons with disabilities in productive age have less options to finance these needs and other basic needs through income from their own work. Those two facts are the decisive factors in terms of increased risk of poverty of households with multiple persons, with persons with disabilities as members, or single-person households of persons with disabilities.</w:t>
      </w:r>
    </w:p>
    <w:p w14:paraId="58DC95E8" w14:textId="77777777" w:rsidR="00B135A0" w:rsidRPr="006B2974" w:rsidRDefault="00B135A0" w:rsidP="00B135A0">
      <w:pPr>
        <w:spacing w:after="0" w:line="360" w:lineRule="auto"/>
        <w:ind w:firstLine="709"/>
        <w:jc w:val="both"/>
        <w:rPr>
          <w:rFonts w:ascii="Arial" w:hAnsi="Arial" w:cs="Arial"/>
        </w:rPr>
      </w:pPr>
      <w:r>
        <w:rPr>
          <w:rFonts w:ascii="Arial" w:hAnsi="Arial"/>
        </w:rPr>
        <w:t>Poland, like other developed countries, created an extensive social security system, which – in its insurance part – considers the risk of full or partial inability to work and provides for a compensation of lost earnings for this reason (</w:t>
      </w:r>
      <w:r>
        <w:rPr>
          <w:rFonts w:ascii="Arial" w:hAnsi="Arial"/>
          <w:b/>
        </w:rPr>
        <w:t>disability pension due to being unfit for work</w:t>
      </w:r>
      <w:r>
        <w:rPr>
          <w:rFonts w:ascii="Arial" w:hAnsi="Arial"/>
        </w:rPr>
        <w:t xml:space="preserve">). This system has an in-built safeguard against too low value of the insurance benefit in the form of regulation stating that no disability pension due to partial or full inability to work may be lower than the minimum benefits (which are differentiated according to whether the inability to work is partial or full). </w:t>
      </w:r>
    </w:p>
    <w:p w14:paraId="216FDA52" w14:textId="7EA81104" w:rsidR="00B135A0" w:rsidRPr="006B2974" w:rsidRDefault="00B135A0" w:rsidP="00B135A0">
      <w:pPr>
        <w:spacing w:after="0" w:line="360" w:lineRule="auto"/>
        <w:ind w:firstLine="709"/>
        <w:jc w:val="both"/>
        <w:rPr>
          <w:rFonts w:ascii="Arial" w:hAnsi="Arial" w:cs="Arial"/>
        </w:rPr>
      </w:pPr>
      <w:r>
        <w:rPr>
          <w:rFonts w:ascii="Arial" w:hAnsi="Arial"/>
        </w:rPr>
        <w:t xml:space="preserve">Moreover, two additional situations were taken into account. The first one arises from the fact that it is possible to gain a disability in childhood, which makes it much more difficult or even prevents obtaining the insurance rights to disability pension due to being unfit for work – </w:t>
      </w:r>
      <w:r>
        <w:rPr>
          <w:rFonts w:ascii="Arial" w:hAnsi="Arial"/>
          <w:b/>
        </w:rPr>
        <w:t>social  disability pension</w:t>
      </w:r>
      <w:r>
        <w:rPr>
          <w:rFonts w:ascii="Arial" w:hAnsi="Arial"/>
        </w:rPr>
        <w:t xml:space="preserve">. The second one arises from the fact that persons with disabilities might experience financial poverty despite the disability insurance (with minimum value) and social disability pension – </w:t>
      </w:r>
      <w:r>
        <w:rPr>
          <w:rFonts w:ascii="Arial" w:hAnsi="Arial"/>
          <w:b/>
        </w:rPr>
        <w:t>temporary and permanent allowance from social welfare</w:t>
      </w:r>
      <w:r>
        <w:rPr>
          <w:rFonts w:ascii="Arial" w:hAnsi="Arial"/>
        </w:rPr>
        <w:t>.</w:t>
      </w:r>
    </w:p>
    <w:p w14:paraId="5B174AFD" w14:textId="77777777" w:rsidR="00B135A0" w:rsidRPr="006B2974" w:rsidRDefault="00B135A0" w:rsidP="00B135A0">
      <w:pPr>
        <w:spacing w:after="0" w:line="360" w:lineRule="auto"/>
        <w:ind w:firstLine="709"/>
        <w:jc w:val="both"/>
        <w:rPr>
          <w:rFonts w:ascii="Arial" w:hAnsi="Arial" w:cs="Arial"/>
        </w:rPr>
      </w:pPr>
      <w:r>
        <w:rPr>
          <w:rFonts w:ascii="Arial" w:hAnsi="Arial"/>
        </w:rPr>
        <w:t xml:space="preserve">In the case of families with children with disabilities, their higher needs are considered by means of </w:t>
      </w:r>
      <w:r>
        <w:rPr>
          <w:rFonts w:ascii="Arial" w:hAnsi="Arial"/>
          <w:b/>
        </w:rPr>
        <w:t>bonuses to family allowance</w:t>
      </w:r>
      <w:r>
        <w:rPr>
          <w:rFonts w:ascii="Arial" w:hAnsi="Arial"/>
        </w:rPr>
        <w:t xml:space="preserve"> (as a rule, addressed only to poor families). Moreover, if children with disabilities are not independent and require permanent care, a separate benefit for the parent is provided for, i.e. </w:t>
      </w:r>
      <w:r>
        <w:rPr>
          <w:rFonts w:ascii="Arial" w:hAnsi="Arial"/>
          <w:b/>
        </w:rPr>
        <w:t>care benefit</w:t>
      </w:r>
      <w:r>
        <w:rPr>
          <w:rFonts w:ascii="Arial" w:hAnsi="Arial"/>
        </w:rPr>
        <w:t xml:space="preserve">. </w:t>
      </w:r>
    </w:p>
    <w:p w14:paraId="27A4A587" w14:textId="1E97DEE1" w:rsidR="00B135A0" w:rsidRPr="006B2974" w:rsidRDefault="00B135A0" w:rsidP="00B135A0">
      <w:pPr>
        <w:spacing w:after="0" w:line="360" w:lineRule="auto"/>
        <w:ind w:firstLine="709"/>
        <w:jc w:val="both"/>
        <w:rPr>
          <w:rFonts w:ascii="Arial" w:hAnsi="Arial" w:cs="Arial"/>
        </w:rPr>
      </w:pPr>
      <w:r>
        <w:rPr>
          <w:rFonts w:ascii="Arial" w:hAnsi="Arial"/>
        </w:rPr>
        <w:t>This system, as a rule, is supposed to fully secure persons with disabilities and their families against financial poverty, yet this is not the case in Poland. Households with adults and/or children with disabilities are at higher risk of extreme poverty than households without such persons. It is one of the biggest problems of the social security system in Poland, which does not protect families against extreme poverty.</w:t>
      </w:r>
    </w:p>
    <w:p w14:paraId="23E632F4" w14:textId="77777777" w:rsidR="00B135A0" w:rsidRDefault="00B135A0" w:rsidP="00477195">
      <w:pPr>
        <w:pStyle w:val="Akapitzlist"/>
        <w:numPr>
          <w:ilvl w:val="0"/>
          <w:numId w:val="15"/>
        </w:numPr>
        <w:spacing w:before="120" w:after="120" w:line="360" w:lineRule="auto"/>
        <w:ind w:left="284" w:hanging="284"/>
        <w:contextualSpacing w:val="0"/>
        <w:jc w:val="both"/>
        <w:rPr>
          <w:rFonts w:ascii="Arial" w:hAnsi="Arial" w:cs="Arial"/>
          <w:b/>
        </w:rPr>
      </w:pPr>
      <w:r>
        <w:rPr>
          <w:rFonts w:ascii="Arial" w:hAnsi="Arial"/>
          <w:b/>
        </w:rPr>
        <w:t>Progress and successes and major problems in realisation of the right to adequate standard of living and social protection</w:t>
      </w:r>
    </w:p>
    <w:p w14:paraId="40931A15" w14:textId="77777777" w:rsidR="00B135A0" w:rsidRPr="006B2974" w:rsidRDefault="00B135A0" w:rsidP="00B135A0">
      <w:pPr>
        <w:pStyle w:val="Akapitzlist"/>
        <w:spacing w:after="0" w:line="360" w:lineRule="auto"/>
        <w:ind w:left="0" w:firstLine="709"/>
        <w:jc w:val="both"/>
        <w:rPr>
          <w:rFonts w:ascii="Arial" w:hAnsi="Arial" w:cs="Arial"/>
        </w:rPr>
      </w:pPr>
      <w:r>
        <w:rPr>
          <w:rFonts w:ascii="Arial" w:hAnsi="Arial"/>
        </w:rPr>
        <w:t>Indicating the progress and successes made in Poland as regards reduction of poverty of persons with disabilities is extremely difficult due to lack of direct and measurable objectives and indicators in this area. The Charter of Persons with Disabilities provides for the right to social security, considering the necessity to bear increased costs due to disability and to include these costs in the taxation system</w:t>
      </w:r>
      <w:r>
        <w:rPr>
          <w:rStyle w:val="Odwoanieprzypisudolnego"/>
          <w:rFonts w:ascii="Arial" w:hAnsi="Arial"/>
        </w:rPr>
        <w:footnoteReference w:id="246"/>
      </w:r>
      <w:r>
        <w:rPr>
          <w:rFonts w:ascii="Arial" w:hAnsi="Arial"/>
        </w:rPr>
        <w:t xml:space="preserve">. In practice, monitoring the implementation of that right (annual information presented in the parliament) does not consider the indicators of risk of poverty of persons with disabilities. Information provided by the government mostly focuses on presenting data on social assistance benefits and family benefits as well as solutions provided for in the taxation system. </w:t>
      </w:r>
    </w:p>
    <w:p w14:paraId="665C72D1" w14:textId="5AC96181" w:rsidR="00B135A0" w:rsidRPr="006B2974" w:rsidRDefault="00B135A0" w:rsidP="00B135A0">
      <w:pPr>
        <w:pStyle w:val="Akapitzlist"/>
        <w:spacing w:after="0" w:line="360" w:lineRule="auto"/>
        <w:ind w:left="0" w:firstLine="709"/>
        <w:jc w:val="both"/>
        <w:rPr>
          <w:rFonts w:ascii="Arial" w:hAnsi="Arial" w:cs="Arial"/>
        </w:rPr>
      </w:pPr>
      <w:r>
        <w:rPr>
          <w:rFonts w:ascii="Arial" w:hAnsi="Arial"/>
        </w:rPr>
        <w:t>However, information on the number of persons with disabilities (or their families) receiving financial support due to any title, do not actually prove whether and to what extent this support contributes to reducing poverty related to disability. Moreover, the so-called disability pension or benefit trap continues to be an important problem indicated by some specialists. This trap means that obtaining and maintaining permanent income from financial benefits addressed to persons with disabilities and their guardians is more beneficial than taking up employment</w:t>
      </w:r>
      <w:r>
        <w:rPr>
          <w:rStyle w:val="Odwoanieprzypisudolnego"/>
          <w:rFonts w:ascii="Arial" w:hAnsi="Arial"/>
        </w:rPr>
        <w:footnoteReference w:id="247"/>
      </w:r>
      <w:r>
        <w:rPr>
          <w:rFonts w:ascii="Arial" w:hAnsi="Arial"/>
        </w:rPr>
        <w:t xml:space="preserve">. </w:t>
      </w:r>
    </w:p>
    <w:p w14:paraId="03AD97F1" w14:textId="2C709351" w:rsidR="00B135A0" w:rsidRPr="006B2974" w:rsidRDefault="00B135A0" w:rsidP="00B135A0">
      <w:pPr>
        <w:pStyle w:val="Akapitzlist"/>
        <w:spacing w:after="0" w:line="360" w:lineRule="auto"/>
        <w:ind w:left="0" w:firstLine="709"/>
        <w:jc w:val="both"/>
        <w:rPr>
          <w:rFonts w:ascii="Arial" w:hAnsi="Arial" w:cs="Arial"/>
        </w:rPr>
      </w:pPr>
      <w:r>
        <w:rPr>
          <w:rFonts w:ascii="Arial" w:hAnsi="Arial"/>
        </w:rPr>
        <w:t xml:space="preserve">In one case, the conflict between work and benefit is clear, and arises from the construction of the eligibility criteria. However, it does not pertain to persons with disabilities themselves, but </w:t>
      </w:r>
      <w:r>
        <w:rPr>
          <w:rFonts w:ascii="Arial" w:hAnsi="Arial"/>
          <w:b/>
        </w:rPr>
        <w:t>care benefit for guardians</w:t>
      </w:r>
      <w:r>
        <w:rPr>
          <w:rFonts w:ascii="Arial" w:hAnsi="Arial"/>
        </w:rPr>
        <w:t xml:space="preserve"> of persons (including children) with increased need of care (with legal status confirmation on inability to function independently). One of the conditions of receiving the care benefit is the fact that the guardian must resign from work. For formal reasons, the guardian cannot combine working with receiving care benefit. Over the recent years, multiple reform actions were undertaken in this area. However, they were not motivated by the intention to enable combining working and caring about dependant persons for the purposes of protecting the households of these persons against poverty. As a result of the ruling of the Constitutional Tribunal, in 2010 the income criterion for care benefits was abolished, which resulted in an increase of eligible persons. As a consequence, the income criterion for guardians of adult dependants (special care benefit) was restored partially, which in turn resulted in exclusion of some guardians from the ranks of benefit users. As a consequence of a subsequent ruling of the Constitutional Tribunal</w:t>
      </w:r>
      <w:r>
        <w:rPr>
          <w:rStyle w:val="Odwoanieprzypisudolnego"/>
          <w:rFonts w:ascii="Arial" w:hAnsi="Arial"/>
        </w:rPr>
        <w:footnoteReference w:id="248"/>
      </w:r>
      <w:r>
        <w:rPr>
          <w:rFonts w:ascii="Arial" w:hAnsi="Arial"/>
        </w:rPr>
        <w:t>, a benefit was introduced for those guardians who lost their care benefit as a consequence of previous legal changes (benefit for the guardian). On that occasion, the care benefits for guardians of children with disabilities were increased, while keeping in place the criteria that exclude such a guardian from the labour market</w:t>
      </w:r>
      <w:r>
        <w:rPr>
          <w:rStyle w:val="Odwoanieprzypisudolnego"/>
          <w:rFonts w:ascii="Arial" w:hAnsi="Arial"/>
        </w:rPr>
        <w:footnoteReference w:id="249"/>
      </w:r>
      <w:r>
        <w:rPr>
          <w:rFonts w:ascii="Arial" w:hAnsi="Arial"/>
        </w:rPr>
        <w:t>.</w:t>
      </w:r>
    </w:p>
    <w:p w14:paraId="35AAAE20" w14:textId="72D23292" w:rsidR="00B135A0" w:rsidRPr="006B2974" w:rsidRDefault="00B135A0" w:rsidP="00B135A0">
      <w:pPr>
        <w:pStyle w:val="Akapitzlist"/>
        <w:spacing w:after="0" w:line="360" w:lineRule="auto"/>
        <w:ind w:left="0" w:firstLine="709"/>
        <w:jc w:val="both"/>
        <w:rPr>
          <w:rFonts w:ascii="Arial" w:hAnsi="Arial" w:cs="Arial"/>
        </w:rPr>
      </w:pPr>
      <w:r>
        <w:rPr>
          <w:rFonts w:ascii="Arial" w:hAnsi="Arial"/>
        </w:rPr>
        <w:t xml:space="preserve">Care benefits comprise only one of the elements of the family benefit system. Another type of care benefit is </w:t>
      </w:r>
      <w:r>
        <w:rPr>
          <w:rFonts w:ascii="Arial" w:hAnsi="Arial"/>
          <w:b/>
        </w:rPr>
        <w:t>care allowance</w:t>
      </w:r>
      <w:r>
        <w:rPr>
          <w:rFonts w:ascii="Arial" w:hAnsi="Arial"/>
        </w:rPr>
        <w:t xml:space="preserve"> paid to persons with disabilities, which has remained at the same level for a long time – PLN 153 (approx. EUR 37). On one hand, there are new actions intended to increase benefits to guardians, while the benefits to be allocated directly to persons with disabilities that require permanent care are neglected.</w:t>
      </w:r>
    </w:p>
    <w:p w14:paraId="6FE6D697" w14:textId="564FE6CF" w:rsidR="00B135A0" w:rsidRPr="006B2974" w:rsidRDefault="00B135A0" w:rsidP="00B135A0">
      <w:pPr>
        <w:pStyle w:val="Akapitzlist"/>
        <w:spacing w:after="0" w:line="360" w:lineRule="auto"/>
        <w:ind w:left="0" w:firstLine="709"/>
        <w:jc w:val="both"/>
        <w:rPr>
          <w:rFonts w:ascii="Arial" w:hAnsi="Arial" w:cs="Arial"/>
        </w:rPr>
      </w:pPr>
      <w:r>
        <w:rPr>
          <w:rFonts w:ascii="Arial" w:hAnsi="Arial"/>
        </w:rPr>
        <w:t xml:space="preserve">Family benefits include in particular </w:t>
      </w:r>
      <w:r>
        <w:rPr>
          <w:rFonts w:ascii="Arial" w:hAnsi="Arial"/>
          <w:b/>
        </w:rPr>
        <w:t>family allowances and bonuses to allowances</w:t>
      </w:r>
      <w:r>
        <w:rPr>
          <w:rFonts w:ascii="Arial" w:hAnsi="Arial"/>
        </w:rPr>
        <w:t>. They are usually selective, i.e. dedicated exclusively to the poorer families – with the income criterion (family support threshold), which is higher for families with children with disabilities (PLN 623 per person since 2012, since November 2014 – PLN 664). Moreover, one of the bonuses is paid in connection with rehabilitation requirements of children (PLN 60 – approx. EUR 14.5 per month per child aged up to 5 years; PLN 80 – approx. EUR 19.2 to children aged 6-24), and several bonuses in the case of children with disabilities is higher (for raising a child alone – PLN 250 – approx. EUR 60.2 and if a child attends school outside the place of residence – PLN 90 – approx. EUR 21.5 per month). In 2009, these bonuses were granted to 183.5 thousand (of which 20% are persons without income or with very low monthly income, up to PLN 100), while in 2012 – only 146.3 thousand families with children with disabilities. Many families dropped out of the system because the income criterion remained unchanged for 6 years. It is possible to combine family allowances with work, provided that the income criterion is not exceeded (increased by the amount of the lowest family allowance, if the allowance was granted in the previous period). Family allowances and bonuses have set amounts, therefore after exceeding the income threshold, the families lose the entire financial support, which might discourage some families with children with disabilities from increasing income from work (due to the bonuses and increases of bonuses, the lost income is higher than in the case of other families). In households with two adults, women might be particularly discouraged from undertaking employment.</w:t>
      </w:r>
    </w:p>
    <w:p w14:paraId="05C35E50" w14:textId="5443954B" w:rsidR="00B135A0" w:rsidRPr="006B2974" w:rsidRDefault="00B135A0" w:rsidP="00B135A0">
      <w:pPr>
        <w:pStyle w:val="Akapitzlist"/>
        <w:spacing w:after="0" w:line="360" w:lineRule="auto"/>
        <w:ind w:left="0" w:firstLine="709"/>
        <w:jc w:val="both"/>
        <w:rPr>
          <w:rFonts w:ascii="Arial" w:hAnsi="Arial" w:cs="Arial"/>
        </w:rPr>
      </w:pPr>
      <w:r>
        <w:rPr>
          <w:rFonts w:ascii="Arial" w:hAnsi="Arial"/>
        </w:rPr>
        <w:t>Financial benefits from social insurance, i.e. disability pension due to being partially or fully unfit for work and social disability pension may be combined with earnings from employment, with restrictions. In the case of social disability pension, the restrictions were significantly decreased after the income threshold was increased from 30% to 70% of average remuneration (since 2012). One of the fundamental barriers against undertaking vocational activity still takes the form of uncertainty as to changes to the legal disability status after undertaking vocational activity, in particular on the open labour market.</w:t>
      </w:r>
    </w:p>
    <w:p w14:paraId="3305D57E" w14:textId="4A2DB30F" w:rsidR="00B135A0" w:rsidRPr="006B2974" w:rsidRDefault="00B135A0" w:rsidP="00B135A0">
      <w:pPr>
        <w:pStyle w:val="Akapitzlist"/>
        <w:spacing w:after="0" w:line="360" w:lineRule="auto"/>
        <w:ind w:left="0" w:firstLine="709"/>
        <w:jc w:val="both"/>
        <w:rPr>
          <w:rFonts w:ascii="Arial" w:hAnsi="Arial" w:cs="Arial"/>
        </w:rPr>
      </w:pPr>
      <w:r>
        <w:rPr>
          <w:rFonts w:ascii="Arial" w:hAnsi="Arial"/>
        </w:rPr>
        <w:t>In 2013, 32.8% of persons receiving disability pensions due to being unfit for work received a benefit ranging from PLN 500 to 900, i.e. from approx. EUR 120 to 217 (the range PLN 500-700, applies only to the disability pension due to being partially unfit for work); it does not apply to persons with legal status of being fully unfit for work and for independent living, in this case 59% of eligible persons received the lowest amount of the benefit, ranging from PLN 1000 to 12000, i.e. from approx. EUR 240 to 290</w:t>
      </w:r>
      <w:r>
        <w:rPr>
          <w:rStyle w:val="Odwoanieprzypisudolnego"/>
          <w:rFonts w:ascii="Arial" w:hAnsi="Arial"/>
        </w:rPr>
        <w:footnoteReference w:id="250"/>
      </w:r>
      <w:r>
        <w:rPr>
          <w:rFonts w:ascii="Arial" w:hAnsi="Arial"/>
        </w:rPr>
        <w:t>.</w:t>
      </w:r>
    </w:p>
    <w:p w14:paraId="01DBFF9F" w14:textId="34A1B44A" w:rsidR="00B135A0" w:rsidRPr="006B2974" w:rsidRDefault="00B135A0" w:rsidP="00B135A0">
      <w:pPr>
        <w:pStyle w:val="Akapitzlist"/>
        <w:spacing w:after="0" w:line="360" w:lineRule="auto"/>
        <w:ind w:left="0" w:firstLine="709"/>
        <w:jc w:val="both"/>
        <w:rPr>
          <w:rFonts w:ascii="Arial" w:hAnsi="Arial" w:cs="Arial"/>
        </w:rPr>
      </w:pPr>
      <w:r>
        <w:rPr>
          <w:rFonts w:ascii="Arial" w:hAnsi="Arial"/>
        </w:rPr>
        <w:t>Persons with disabilities that are fully unfit for work, whose households have lower income than the income criterion set in the act on social assistance</w:t>
      </w:r>
      <w:r>
        <w:rPr>
          <w:rStyle w:val="Odwoanieprzypisudolnego"/>
          <w:rFonts w:ascii="Arial" w:hAnsi="Arial"/>
        </w:rPr>
        <w:footnoteReference w:id="251"/>
      </w:r>
      <w:r>
        <w:rPr>
          <w:rFonts w:ascii="Arial" w:hAnsi="Arial"/>
        </w:rPr>
        <w:t xml:space="preserve">, may apply for </w:t>
      </w:r>
      <w:r>
        <w:rPr>
          <w:rFonts w:ascii="Arial" w:hAnsi="Arial"/>
          <w:b/>
        </w:rPr>
        <w:t>financial allowances</w:t>
      </w:r>
      <w:r>
        <w:rPr>
          <w:rFonts w:ascii="Arial" w:hAnsi="Arial"/>
        </w:rPr>
        <w:t xml:space="preserve"> stipulated in the act. In 2009, 55.7 thousand persons received </w:t>
      </w:r>
      <w:r>
        <w:rPr>
          <w:rFonts w:ascii="Arial" w:hAnsi="Arial"/>
          <w:b/>
        </w:rPr>
        <w:t>temporary allowances</w:t>
      </w:r>
      <w:r>
        <w:rPr>
          <w:rFonts w:ascii="Arial" w:hAnsi="Arial"/>
        </w:rPr>
        <w:t xml:space="preserve">, while 184.2 thousand – </w:t>
      </w:r>
      <w:r>
        <w:rPr>
          <w:rFonts w:ascii="Arial" w:hAnsi="Arial"/>
          <w:b/>
        </w:rPr>
        <w:t>permanent allowances</w:t>
      </w:r>
      <w:r>
        <w:rPr>
          <w:rFonts w:ascii="Arial" w:hAnsi="Arial"/>
        </w:rPr>
        <w:t xml:space="preserve"> (this number includes persons fully unfit for work due to age), in 2012 there were 47.2 thousand persons receiving temporary allowances and 197.8 thousand persons receiving permanent allowance. In that year, for one person with disabilities receiving temporary allowance, there was PLN 66 provided, i.e. approx. EUR 16 per month (to compare, in 2009 – PLN 69.5), and in the case of permanent allowance – PLN 300, i.e. approx. EUR 72 (in 2009 – PLN 281)</w:t>
      </w:r>
      <w:r>
        <w:rPr>
          <w:rStyle w:val="Odwoanieprzypisudolnego"/>
          <w:rFonts w:ascii="Arial" w:hAnsi="Arial"/>
        </w:rPr>
        <w:footnoteReference w:id="252"/>
      </w:r>
      <w:r>
        <w:rPr>
          <w:rFonts w:ascii="Arial" w:hAnsi="Arial"/>
        </w:rPr>
        <w:t xml:space="preserve">. </w:t>
      </w:r>
    </w:p>
    <w:p w14:paraId="6FEA16C1" w14:textId="21687187" w:rsidR="00B135A0" w:rsidRPr="006B2974" w:rsidRDefault="00B135A0" w:rsidP="00B135A0">
      <w:pPr>
        <w:pStyle w:val="Akapitzlist"/>
        <w:spacing w:after="0" w:line="360" w:lineRule="auto"/>
        <w:ind w:left="0" w:firstLine="709"/>
        <w:jc w:val="both"/>
        <w:rPr>
          <w:rFonts w:ascii="Arial" w:hAnsi="Arial" w:cs="Arial"/>
        </w:rPr>
      </w:pPr>
      <w:r>
        <w:rPr>
          <w:rFonts w:ascii="Arial" w:hAnsi="Arial"/>
        </w:rPr>
        <w:t xml:space="preserve">In the proposed revision of the act on social assistance it was recognized that the elderly and persons with disabilities </w:t>
      </w:r>
      <w:r>
        <w:rPr>
          <w:rFonts w:ascii="Arial" w:hAnsi="Arial"/>
          <w:i/>
        </w:rPr>
        <w:t>require particular care against poverty and social marginalisation</w:t>
      </w:r>
      <w:r>
        <w:rPr>
          <w:rFonts w:ascii="Arial" w:hAnsi="Arial"/>
        </w:rPr>
        <w:t>. One of the proposed changes took the form of determining the value of new social allowance, without considering the care bonus or care allowance, which in practice will result in higher benefits for persons with disabilities that are entitled to receive them.</w:t>
      </w:r>
    </w:p>
    <w:p w14:paraId="4ADE4B46" w14:textId="77777777" w:rsidR="00B135A0" w:rsidRDefault="00B135A0" w:rsidP="00477195">
      <w:pPr>
        <w:pStyle w:val="Akapitzlist"/>
        <w:numPr>
          <w:ilvl w:val="0"/>
          <w:numId w:val="15"/>
        </w:numPr>
        <w:spacing w:before="120" w:after="120" w:line="360" w:lineRule="auto"/>
        <w:ind w:left="284" w:hanging="284"/>
        <w:contextualSpacing w:val="0"/>
        <w:jc w:val="both"/>
        <w:rPr>
          <w:rFonts w:ascii="Arial" w:hAnsi="Arial" w:cs="Arial"/>
          <w:b/>
        </w:rPr>
      </w:pPr>
      <w:r>
        <w:rPr>
          <w:rFonts w:ascii="Arial" w:hAnsi="Arial"/>
          <w:b/>
        </w:rPr>
        <w:t>Results of available studies and statistical data</w:t>
      </w:r>
    </w:p>
    <w:p w14:paraId="44FC16E3" w14:textId="722BD7C4" w:rsidR="00B135A0" w:rsidRPr="006B2974" w:rsidRDefault="00B135A0" w:rsidP="00B135A0">
      <w:pPr>
        <w:spacing w:after="0" w:line="360" w:lineRule="auto"/>
        <w:ind w:firstLine="709"/>
        <w:jc w:val="both"/>
        <w:rPr>
          <w:rFonts w:ascii="Arial" w:hAnsi="Arial" w:cs="Arial"/>
        </w:rPr>
      </w:pPr>
      <w:r>
        <w:rPr>
          <w:rFonts w:ascii="Arial" w:hAnsi="Arial"/>
        </w:rPr>
        <w:t>At the beginning it is important to quote the results of studies on budgets of households, comparing the situation of households with and without persons with disabilities. As regards the monthly disposable income, expenses and fixed assets, including advanced technologies, differences are indicated systematically between the two types of households, to the detriment of those with persons with disabilities</w:t>
      </w:r>
      <w:r>
        <w:rPr>
          <w:rStyle w:val="Odwoanieprzypisudolnego"/>
          <w:rFonts w:ascii="Arial" w:hAnsi="Arial"/>
        </w:rPr>
        <w:footnoteReference w:id="253"/>
      </w:r>
      <w:r>
        <w:rPr>
          <w:rFonts w:ascii="Arial" w:hAnsi="Arial"/>
        </w:rPr>
        <w:t xml:space="preserve">. Average monthly disposable income of households with persons with disabilities compared with households without such persons </w:t>
      </w:r>
      <w:r>
        <w:rPr>
          <w:rFonts w:ascii="Arial" w:hAnsi="Arial"/>
          <w:b/>
        </w:rPr>
        <w:t>were lower by PLN 240 in 2009 and by PLN 280 in 2013.</w:t>
      </w:r>
      <w:r>
        <w:rPr>
          <w:rFonts w:ascii="Arial" w:hAnsi="Arial"/>
        </w:rPr>
        <w:t xml:space="preserve"> As regards average monthly expenses, they were </w:t>
      </w:r>
      <w:r>
        <w:rPr>
          <w:rFonts w:ascii="Arial" w:hAnsi="Arial"/>
          <w:b/>
        </w:rPr>
        <w:t>lower by PLN 180 and PLN 189, respectively.</w:t>
      </w:r>
      <w:r>
        <w:rPr>
          <w:rFonts w:ascii="Arial" w:hAnsi="Arial"/>
        </w:rPr>
        <w:t xml:space="preserve"> It is the consequence of the fact that the differences in the standard of living measured by income and expenses over the past few years remain at a similar level and increase only slightly.</w:t>
      </w:r>
    </w:p>
    <w:p w14:paraId="1606DE8E" w14:textId="2EF40DA0" w:rsidR="00B135A0" w:rsidRPr="006B2974" w:rsidRDefault="00B135A0" w:rsidP="00B135A0">
      <w:pPr>
        <w:spacing w:after="0" w:line="360" w:lineRule="auto"/>
        <w:ind w:firstLine="709"/>
        <w:jc w:val="both"/>
        <w:rPr>
          <w:rFonts w:ascii="Arial" w:hAnsi="Arial" w:cs="Arial"/>
        </w:rPr>
      </w:pPr>
      <w:r>
        <w:rPr>
          <w:rFonts w:ascii="Arial" w:hAnsi="Arial"/>
        </w:rPr>
        <w:t>There is no systematic monitoring of poverty among persons with disabilities in Poland. However, this is one of the categories that is included in the presentation of results of studies on the budgets of households in the form of statistical indicators of poverty. They are calculated using different poverty thresholds. None of them, however, takes into consideration specific needs of households with persons with disabilities. It pertains in particular to the minimum subsistence threshold, which is calculated for several types of working and retired families, yet without considering specific needs of persons with disabilities. Eligibility thresholds for social assistance (social intervention threshold) and for family benefits (family support threshold). Only in the case of the latter threshold a higher amount was provided for if a family has a child with disabilities. However, this threshold is not recognized as official poverty threshold and is not considered in the studies on poverty.</w:t>
      </w:r>
    </w:p>
    <w:p w14:paraId="2094AA21" w14:textId="554EA90D" w:rsidR="00B135A0" w:rsidRPr="006B2974" w:rsidRDefault="00B135A0" w:rsidP="00B135A0">
      <w:pPr>
        <w:spacing w:after="0" w:line="360" w:lineRule="auto"/>
        <w:ind w:firstLine="709"/>
        <w:jc w:val="both"/>
        <w:rPr>
          <w:rFonts w:ascii="Arial" w:hAnsi="Arial" w:cs="Arial"/>
        </w:rPr>
      </w:pPr>
      <w:r>
        <w:rPr>
          <w:rFonts w:ascii="Arial" w:hAnsi="Arial"/>
        </w:rPr>
        <w:t>Considering the fact that neither the minimum subsistence threshold nor the social intervention threshold consider the needs of persons with disabilities, introducing those needs would result in increasing the poverty threshold, and therefore recognizing a higher number of families with persons with disabilities as poor, therefore the statistical indicators of poverty would also increase. Thus, the aforementioned data is under-estimated. Despite the aforementioned, the statistical indicators of poverty, e.g. the poverty rate is higher for households with persons with disabilities compared with households without such persons.</w:t>
      </w:r>
    </w:p>
    <w:p w14:paraId="024F84D7" w14:textId="23979DDB" w:rsidR="00B135A0" w:rsidRPr="006B2974" w:rsidRDefault="00B135A0" w:rsidP="00B135A0">
      <w:pPr>
        <w:spacing w:after="0" w:line="360" w:lineRule="auto"/>
        <w:ind w:firstLine="709"/>
        <w:jc w:val="both"/>
        <w:rPr>
          <w:rFonts w:ascii="Arial" w:hAnsi="Arial" w:cs="Arial"/>
        </w:rPr>
      </w:pPr>
      <w:r>
        <w:rPr>
          <w:rFonts w:ascii="Arial" w:hAnsi="Arial"/>
        </w:rPr>
        <w:t xml:space="preserve">The difference between the indicators calculated in line with the minimum subsistence threshold for both groups has been on the rise since 2009. In 2009, </w:t>
      </w:r>
      <w:r>
        <w:rPr>
          <w:rFonts w:ascii="Arial" w:hAnsi="Arial"/>
          <w:b/>
        </w:rPr>
        <w:t>the extreme poverty rate for households with at least one person with disabilities (7.6%) was higher t</w:t>
      </w:r>
      <w:r w:rsidR="00A24802">
        <w:rPr>
          <w:rFonts w:ascii="Arial" w:hAnsi="Arial"/>
          <w:b/>
        </w:rPr>
        <w:t>h</w:t>
      </w:r>
      <w:r>
        <w:rPr>
          <w:rFonts w:ascii="Arial" w:hAnsi="Arial"/>
          <w:b/>
        </w:rPr>
        <w:t>an the poverty rate for households without such persons (5.1%) by 2.5 p.p., and in 2013 the same difference was twice as high and increased to 4.4 (from 10.8% to 6.4%).</w:t>
      </w:r>
      <w:r>
        <w:rPr>
          <w:rFonts w:ascii="Arial" w:hAnsi="Arial"/>
        </w:rPr>
        <w:t xml:space="preserve"> The increase of that difference was related to a faster increase of extreme poverty in the families with at least one person with disabilities compared with families without such persons.</w:t>
      </w:r>
    </w:p>
    <w:p w14:paraId="3FA7DF35" w14:textId="5C332324" w:rsidR="00B135A0" w:rsidRPr="006B2974" w:rsidRDefault="00B135A0" w:rsidP="00B135A0">
      <w:pPr>
        <w:spacing w:after="0" w:line="360" w:lineRule="auto"/>
        <w:ind w:firstLine="709"/>
        <w:jc w:val="both"/>
        <w:rPr>
          <w:rFonts w:ascii="Arial" w:hAnsi="Arial" w:cs="Arial"/>
        </w:rPr>
      </w:pPr>
      <w:r>
        <w:rPr>
          <w:rFonts w:ascii="Arial" w:hAnsi="Arial"/>
        </w:rPr>
        <w:t xml:space="preserve">While comparing extreme poverty rates for all households with those with at least one child with disabilities, it turns out that the differences are higher, but there is a visible downward tendency. </w:t>
      </w:r>
      <w:r>
        <w:rPr>
          <w:rFonts w:ascii="Arial" w:hAnsi="Arial"/>
          <w:b/>
        </w:rPr>
        <w:t>In 2009, the difference between the indicator for families with at least one child with disabilities (11.8%) compared with all households (5.7%) was 6.1 p.p., in 2013 it decreased to 4.1 p.p. (from 11.5% to 7.4%).</w:t>
      </w:r>
      <w:r>
        <w:rPr>
          <w:rFonts w:ascii="Arial" w:hAnsi="Arial"/>
        </w:rPr>
        <w:t xml:space="preserve"> However, lowering of that difference was not due to significant decreasing of extreme poverty of families with at least one child with disabilities, but due to the increase of the poverty rate for all households.</w:t>
      </w:r>
    </w:p>
    <w:p w14:paraId="262AC974" w14:textId="693C3591" w:rsidR="00B135A0" w:rsidRPr="006B2974" w:rsidRDefault="00B135A0" w:rsidP="00B135A0">
      <w:pPr>
        <w:spacing w:after="0" w:line="360" w:lineRule="auto"/>
        <w:ind w:firstLine="709"/>
        <w:jc w:val="both"/>
        <w:rPr>
          <w:rFonts w:ascii="Arial" w:hAnsi="Arial" w:cs="Arial"/>
        </w:rPr>
      </w:pPr>
      <w:r>
        <w:rPr>
          <w:rFonts w:ascii="Arial" w:hAnsi="Arial"/>
        </w:rPr>
        <w:t xml:space="preserve">The communications on the poverty analyses conducted on the basis of studies of household budgets, one more information applies to persons with disabilities: poverty level relative to main source of income. One of the categories present in the analyses is formed by households whose main source of income is a non-retirement pension (it must be assumed that in the majority of cases such pensions were awarded due to being unfit for work, but it is important to remember that there are some other benefits called ‘pension’, including allowances not related directly to disability, e.g. family pensions). Thus, it is possible to compare the poverty rate of households run by non-retirement pensioners with the poverty rate of all households and obtaining income from other sources. </w:t>
      </w:r>
    </w:p>
    <w:p w14:paraId="527F1F69" w14:textId="77777777" w:rsidR="00B135A0" w:rsidRPr="006B2974" w:rsidRDefault="00B135A0" w:rsidP="00B135A0">
      <w:pPr>
        <w:spacing w:after="0" w:line="360" w:lineRule="auto"/>
        <w:ind w:firstLine="709"/>
        <w:jc w:val="both"/>
        <w:rPr>
          <w:rFonts w:ascii="Arial" w:hAnsi="Arial" w:cs="Arial"/>
        </w:rPr>
      </w:pPr>
      <w:r>
        <w:rPr>
          <w:rFonts w:ascii="Arial" w:hAnsi="Arial"/>
        </w:rPr>
        <w:t xml:space="preserve">Extreme poverty of households run by non-retirement pensioners is higher than the extreme poverty rate for all households. </w:t>
      </w:r>
      <w:r>
        <w:rPr>
          <w:rFonts w:ascii="Arial" w:hAnsi="Arial"/>
          <w:b/>
        </w:rPr>
        <w:t>In 2009, the difference between the poverty threshold for households of non-retirement pensioners (11.2%) and the same indicator for all households (5.7%) was 5.5 p.p. Four years later its level was similar, at 5.8 p.o. (13.2% to 7.4%).</w:t>
      </w:r>
      <w:r>
        <w:rPr>
          <w:rFonts w:ascii="Arial" w:hAnsi="Arial"/>
        </w:rPr>
        <w:t xml:space="preserve"> Thus, both indicators increased at a similar scale over that period. Variability of the poverty level in that period for households run by non-retirement pensioners was much higher, for example, </w:t>
      </w:r>
      <w:r>
        <w:rPr>
          <w:rFonts w:ascii="Arial" w:hAnsi="Arial"/>
          <w:b/>
        </w:rPr>
        <w:t>in 2010, the extreme poverty rate for those households decreased to 9.6%, to increase to 13% in 2011.</w:t>
      </w:r>
    </w:p>
    <w:p w14:paraId="71E4E8CA" w14:textId="77777777" w:rsidR="00B135A0" w:rsidRPr="006B2974" w:rsidRDefault="00B135A0" w:rsidP="00B135A0">
      <w:pPr>
        <w:spacing w:after="0" w:line="360" w:lineRule="auto"/>
        <w:ind w:firstLine="709"/>
        <w:jc w:val="both"/>
        <w:rPr>
          <w:rFonts w:ascii="Arial" w:hAnsi="Arial" w:cs="Arial"/>
        </w:rPr>
      </w:pPr>
      <w:r>
        <w:rPr>
          <w:rFonts w:ascii="Arial" w:hAnsi="Arial"/>
        </w:rPr>
        <w:t xml:space="preserve">Going beyond the income-expense measures, EU methodology also considers the concept of material deprivation, which is studied on the basis of declarations made by representatives of households. From one of such analyses prepared on the basis of data of 2009 it followed that for several needs the level of material deprivation for persons with disabilities is higher than the one for persons without disabilities. </w:t>
      </w:r>
    </w:p>
    <w:p w14:paraId="75C391EE" w14:textId="5DF988D9" w:rsidR="00B135A0" w:rsidRPr="006B2974" w:rsidRDefault="00B135A0" w:rsidP="00B135A0">
      <w:pPr>
        <w:spacing w:after="0" w:line="360" w:lineRule="auto"/>
        <w:ind w:firstLine="709"/>
        <w:jc w:val="both"/>
        <w:rPr>
          <w:rFonts w:ascii="Arial" w:hAnsi="Arial" w:cs="Arial"/>
        </w:rPr>
      </w:pPr>
      <w:r>
        <w:rPr>
          <w:rFonts w:ascii="Arial" w:hAnsi="Arial"/>
          <w:b/>
        </w:rPr>
        <w:t>Inability to cover sudden and unexpected expenses was reported by 60.6% households with persons with disabilities</w:t>
      </w:r>
      <w:r>
        <w:rPr>
          <w:rFonts w:ascii="Arial" w:hAnsi="Arial"/>
        </w:rPr>
        <w:t xml:space="preserve"> and 46.3% households without such persons. In response to the question </w:t>
      </w:r>
      <w:r>
        <w:rPr>
          <w:rFonts w:ascii="Arial" w:hAnsi="Arial"/>
          <w:b/>
        </w:rPr>
        <w:t>whether the household can afford a holiday trip outside their place of residence for a week, 73% households with persons with disabilities stated that they cannot afford it</w:t>
      </w:r>
      <w:r>
        <w:rPr>
          <w:rFonts w:ascii="Arial" w:hAnsi="Arial"/>
        </w:rPr>
        <w:t xml:space="preserve">, compared with 57% households without such persons. </w:t>
      </w:r>
      <w:r>
        <w:rPr>
          <w:rFonts w:ascii="Arial" w:hAnsi="Arial"/>
          <w:b/>
        </w:rPr>
        <w:t>Inability to make the ends meet was reported by 47.3%</w:t>
      </w:r>
      <w:r>
        <w:rPr>
          <w:rFonts w:ascii="Arial" w:hAnsi="Arial"/>
        </w:rPr>
        <w:t xml:space="preserve"> of households with persons with disabilities, compared with 31% households without such persons. In turn, </w:t>
      </w:r>
      <w:r>
        <w:rPr>
          <w:rFonts w:ascii="Arial" w:hAnsi="Arial"/>
          <w:b/>
        </w:rPr>
        <w:t>inability to heat their house or apartment was reported by 47.3%</w:t>
      </w:r>
      <w:r>
        <w:rPr>
          <w:rFonts w:ascii="Arial" w:hAnsi="Arial"/>
        </w:rPr>
        <w:t xml:space="preserve"> of households with persons with disabilities, compared with 14.5% households without such persons. Even in response to the question whether </w:t>
      </w:r>
      <w:r>
        <w:rPr>
          <w:rFonts w:ascii="Arial" w:hAnsi="Arial"/>
          <w:b/>
        </w:rPr>
        <w:t>they are able to eat meat for a meal every other day, the difference was almost 10 p.p.: 24.1% to 15.1%</w:t>
      </w:r>
      <w:r>
        <w:rPr>
          <w:rStyle w:val="Odwoanieprzypisudolnego"/>
          <w:rFonts w:ascii="Arial" w:hAnsi="Arial"/>
        </w:rPr>
        <w:footnoteReference w:id="254"/>
      </w:r>
      <w:r>
        <w:rPr>
          <w:rFonts w:ascii="Arial" w:hAnsi="Arial"/>
        </w:rPr>
        <w:t>.</w:t>
      </w:r>
    </w:p>
    <w:p w14:paraId="6AC23DBC" w14:textId="3E2097BE" w:rsidR="00B135A0" w:rsidRDefault="00B135A0" w:rsidP="00B135A0">
      <w:pPr>
        <w:spacing w:after="0" w:line="360" w:lineRule="auto"/>
        <w:ind w:firstLine="709"/>
        <w:jc w:val="both"/>
        <w:rPr>
          <w:rFonts w:ascii="Arial" w:hAnsi="Arial" w:cs="Arial"/>
        </w:rPr>
      </w:pPr>
      <w:r>
        <w:rPr>
          <w:rFonts w:ascii="Arial" w:hAnsi="Arial"/>
        </w:rPr>
        <w:t>The analysis of statistical indicators clearly shows that households run by persons with disabilities or with persons with disabilities are at higher risk of worse living conditions, extreme poverty and material deprivation. Thus, the social security system does not compensate for the factors that make persons with disabilities more vulnerable to extreme poverty and material deprivation with respect to basic needs.</w:t>
      </w:r>
    </w:p>
    <w:p w14:paraId="51D1A50D" w14:textId="77777777" w:rsidR="00B135A0" w:rsidRDefault="00B135A0" w:rsidP="00477195">
      <w:pPr>
        <w:pStyle w:val="Akapitzlist"/>
        <w:numPr>
          <w:ilvl w:val="0"/>
          <w:numId w:val="15"/>
        </w:numPr>
        <w:spacing w:before="120" w:after="120" w:line="360" w:lineRule="auto"/>
        <w:ind w:left="284" w:hanging="284"/>
        <w:contextualSpacing w:val="0"/>
        <w:jc w:val="both"/>
        <w:rPr>
          <w:rFonts w:ascii="Arial" w:hAnsi="Arial" w:cs="Arial"/>
          <w:b/>
        </w:rPr>
      </w:pPr>
      <w:r>
        <w:rPr>
          <w:rFonts w:ascii="Arial" w:hAnsi="Arial"/>
          <w:b/>
        </w:rPr>
        <w:t>Major recommendations</w:t>
      </w:r>
    </w:p>
    <w:p w14:paraId="426C8104" w14:textId="44C6647E" w:rsidR="00B135A0" w:rsidRDefault="00B135A0" w:rsidP="00B135A0">
      <w:pPr>
        <w:pStyle w:val="Akapitzlist"/>
        <w:spacing w:after="0" w:line="360" w:lineRule="auto"/>
        <w:ind w:left="0" w:firstLine="709"/>
        <w:jc w:val="both"/>
        <w:rPr>
          <w:rFonts w:ascii="Arial" w:hAnsi="Arial" w:cs="Arial"/>
        </w:rPr>
      </w:pPr>
      <w:r>
        <w:rPr>
          <w:rFonts w:ascii="Arial" w:hAnsi="Arial"/>
        </w:rPr>
        <w:t>Considering the aforementioned, in order to realise the right of persons with disabilities to adequate standard of living and social protection, it is necessary to:</w:t>
      </w:r>
    </w:p>
    <w:p w14:paraId="579E5F47" w14:textId="03BC3E72" w:rsidR="00B135A0" w:rsidRDefault="00B135A0" w:rsidP="003D345C">
      <w:pPr>
        <w:pStyle w:val="Akapitzlist"/>
        <w:numPr>
          <w:ilvl w:val="0"/>
          <w:numId w:val="32"/>
        </w:numPr>
        <w:spacing w:after="0" w:line="360" w:lineRule="auto"/>
        <w:ind w:left="284" w:hanging="284"/>
        <w:jc w:val="both"/>
        <w:rPr>
          <w:rFonts w:ascii="Arial" w:hAnsi="Arial" w:cs="Arial"/>
        </w:rPr>
      </w:pPr>
      <w:r>
        <w:rPr>
          <w:rFonts w:ascii="Arial" w:hAnsi="Arial"/>
        </w:rPr>
        <w:t>design the social security system in such a way so that, on one hand, to ensure compensation of higher support costs to persons with disabilities and families with persons with disabilities and, on the other hand, to remove or significantly decrease obstacles preventing taking up employment on the open labour market by persons with disabilities in productive age. It cannot be excluded that even reformed labour market, more friendly to persons with disabilities and their guardians, as well as reformed disability pension system, would still require supplementation in the form of financial benefits addressed to poor households run by persons with disabilities or households with persons with disabilities;</w:t>
      </w:r>
    </w:p>
    <w:p w14:paraId="71BA050D" w14:textId="3FC5947A" w:rsidR="00B135A0" w:rsidRPr="00200E6C" w:rsidRDefault="00B135A0" w:rsidP="003D345C">
      <w:pPr>
        <w:pStyle w:val="Akapitzlist"/>
        <w:numPr>
          <w:ilvl w:val="0"/>
          <w:numId w:val="32"/>
        </w:numPr>
        <w:spacing w:after="0" w:line="360" w:lineRule="auto"/>
        <w:ind w:left="284" w:hanging="284"/>
        <w:jc w:val="both"/>
        <w:rPr>
          <w:rFonts w:ascii="Arial" w:hAnsi="Arial" w:cs="Arial"/>
        </w:rPr>
      </w:pPr>
      <w:r>
        <w:rPr>
          <w:rFonts w:ascii="Arial" w:hAnsi="Arial"/>
        </w:rPr>
        <w:t>it is necessary to better analyse the poverty of adults and children with disabilities. Therefore, the studies on the reference budgets (subsistence minimum and social minimum) conducted by the Institute of Labour and Social Affairs should include increased cost of maintenance related to disability. For this purpose, it is necessary to use the studies on budgets of households (expenses related to disability and care) and qualitative studies on persons with disabilities and guardians of children and adults in such situation. It should result in introducing additional categories in reference budgets – next to working families and families of pensioners: families with persons (including children) with disabilities. It is necessary to consider increased costs related to care of persons with disabilities that experience increased care needs;</w:t>
      </w:r>
    </w:p>
    <w:p w14:paraId="0860B0E6" w14:textId="5711D04B" w:rsidR="00B135A0" w:rsidRDefault="00B135A0" w:rsidP="003D345C">
      <w:pPr>
        <w:pStyle w:val="Akapitzlist"/>
        <w:numPr>
          <w:ilvl w:val="0"/>
          <w:numId w:val="32"/>
        </w:numPr>
        <w:spacing w:after="0" w:line="360" w:lineRule="auto"/>
        <w:ind w:left="284" w:hanging="284"/>
        <w:jc w:val="both"/>
        <w:rPr>
          <w:rFonts w:ascii="Arial" w:hAnsi="Arial" w:cs="Arial"/>
        </w:rPr>
      </w:pPr>
      <w:r>
        <w:rPr>
          <w:rFonts w:ascii="Arial" w:hAnsi="Arial"/>
        </w:rPr>
        <w:t>the results of these studies should be considered in the procedure to calculate the family support threshold and social intervention threshold (the threshold applied as the basis for upgrading the income thresholds in social assistance). These thresholds should determine the standard of assistance and should be protected against political decision of ad hoc nature, which resulted in their real loss of value of these thresholds in the past;</w:t>
      </w:r>
    </w:p>
    <w:p w14:paraId="006F0DB3" w14:textId="77777777" w:rsidR="00B135A0" w:rsidRDefault="00B135A0" w:rsidP="003D345C">
      <w:pPr>
        <w:pStyle w:val="Akapitzlist"/>
        <w:numPr>
          <w:ilvl w:val="0"/>
          <w:numId w:val="32"/>
        </w:numPr>
        <w:spacing w:after="0" w:line="360" w:lineRule="auto"/>
        <w:ind w:left="284" w:hanging="284"/>
        <w:jc w:val="both"/>
        <w:rPr>
          <w:rFonts w:ascii="Arial" w:hAnsi="Arial" w:cs="Arial"/>
        </w:rPr>
      </w:pPr>
      <w:r>
        <w:rPr>
          <w:rFonts w:ascii="Arial" w:hAnsi="Arial"/>
        </w:rPr>
        <w:t>it should result in introducing and maintaining permanently a higher criterion – standard of family allowances and social assistance allowances for households with children and persons with disabilities. Making these thresholds more real will not have an impact on the value of family benefits that are designated by amount, it will only have an impact on increasing the number of families with  children with disabilities eligible for it. Therefore, it is  also necessary to gradually and significantly increase rehabilitation bonuses and care allowances;</w:t>
      </w:r>
    </w:p>
    <w:p w14:paraId="3F6D2A99" w14:textId="15566FE2" w:rsidR="00B135A0" w:rsidRDefault="00B135A0" w:rsidP="003D345C">
      <w:pPr>
        <w:pStyle w:val="Akapitzlist"/>
        <w:numPr>
          <w:ilvl w:val="0"/>
          <w:numId w:val="32"/>
        </w:numPr>
        <w:spacing w:after="0" w:line="360" w:lineRule="auto"/>
        <w:ind w:left="284" w:hanging="284"/>
        <w:jc w:val="both"/>
        <w:rPr>
          <w:rFonts w:ascii="Arial" w:hAnsi="Arial" w:cs="Arial"/>
        </w:rPr>
      </w:pPr>
      <w:r>
        <w:rPr>
          <w:rFonts w:ascii="Arial" w:hAnsi="Arial"/>
        </w:rPr>
        <w:t xml:space="preserve">supplementary income support of the last chance (social assistance allowances) is to guarantee socially agreed minimum income of children and persons with disabilities experiencing poverty, and all other possibilities, resources and entitlements were used. Thus, as indicated above, it is necessary to make the income thresholds more real, which in this case also double as standards for the value of income support. Also, it is necessary to immediately lead to the situation, where the temporary allowances will be paid to all persons with disabilities who meet the income criterion in 100% of their value (currently, only 50% is guaranteed); </w:t>
      </w:r>
    </w:p>
    <w:p w14:paraId="5A080D9E" w14:textId="122A2C61" w:rsidR="00B135A0" w:rsidRPr="00200E6C" w:rsidRDefault="00B135A0" w:rsidP="003D345C">
      <w:pPr>
        <w:pStyle w:val="Akapitzlist"/>
        <w:numPr>
          <w:ilvl w:val="0"/>
          <w:numId w:val="32"/>
        </w:numPr>
        <w:spacing w:after="0" w:line="360" w:lineRule="auto"/>
        <w:ind w:left="284" w:hanging="284"/>
        <w:jc w:val="both"/>
        <w:rPr>
          <w:rFonts w:ascii="Arial" w:hAnsi="Arial" w:cs="Arial"/>
        </w:rPr>
      </w:pPr>
      <w:r>
        <w:rPr>
          <w:rFonts w:ascii="Arial" w:hAnsi="Arial"/>
        </w:rPr>
        <w:t xml:space="preserve">a separate objective must be included in the state strategy to reduce poverty – lowering the poverty of children and adults with disabilities. This objective must be put into operation, using te aforementioned studies and modifications to the methodology of the reference budgets and instruments based on them. The government’s report in this area should thus include at least the following information: 1) the objective of reducing poverty of children and adults with disabilities and the road towards the objective; 2) continued and new actions undertaken b the state in order to arrive </w:t>
      </w:r>
      <w:r w:rsidR="00A24802">
        <w:rPr>
          <w:rFonts w:ascii="Arial" w:hAnsi="Arial"/>
        </w:rPr>
        <w:t>at the designated objective; 3) </w:t>
      </w:r>
      <w:r>
        <w:rPr>
          <w:rFonts w:ascii="Arial" w:hAnsi="Arial"/>
        </w:rPr>
        <w:t>estimating the impact of the actions undertaken in the past on the poverty of persons with disabilities in the context of the remaining factors.</w:t>
      </w:r>
    </w:p>
    <w:p w14:paraId="04C63B60" w14:textId="77777777" w:rsidR="00735FB3" w:rsidRPr="00735FB3" w:rsidRDefault="00735FB3" w:rsidP="00735FB3">
      <w:pPr>
        <w:pStyle w:val="Nagwek2"/>
        <w:spacing w:before="0" w:after="0"/>
        <w:rPr>
          <w:sz w:val="16"/>
          <w:szCs w:val="16"/>
        </w:rPr>
      </w:pPr>
      <w:bookmarkStart w:id="41" w:name="_Toc403999546"/>
      <w:bookmarkStart w:id="42" w:name="_Toc424279010"/>
    </w:p>
    <w:p w14:paraId="39CBA4C3" w14:textId="77777777" w:rsidR="006317A2" w:rsidRDefault="006317A2" w:rsidP="00735FB3">
      <w:pPr>
        <w:pStyle w:val="Nagwek2"/>
        <w:spacing w:before="0" w:after="0"/>
      </w:pPr>
      <w:r>
        <w:t>Article 29 – Participation in political and public life</w:t>
      </w:r>
      <w:bookmarkEnd w:id="41"/>
      <w:bookmarkEnd w:id="42"/>
    </w:p>
    <w:p w14:paraId="4BF9968F" w14:textId="77777777" w:rsidR="00770AC9" w:rsidRDefault="00770AC9" w:rsidP="00735FB3">
      <w:pPr>
        <w:pStyle w:val="Akapitzlist"/>
        <w:numPr>
          <w:ilvl w:val="0"/>
          <w:numId w:val="16"/>
        </w:numPr>
        <w:spacing w:after="0" w:line="360" w:lineRule="auto"/>
        <w:ind w:left="284" w:hanging="284"/>
        <w:contextualSpacing w:val="0"/>
        <w:jc w:val="both"/>
        <w:rPr>
          <w:rFonts w:ascii="Arial" w:hAnsi="Arial" w:cs="Arial"/>
          <w:b/>
        </w:rPr>
      </w:pPr>
      <w:r>
        <w:rPr>
          <w:rFonts w:ascii="Arial" w:hAnsi="Arial"/>
          <w:b/>
        </w:rPr>
        <w:t>Introduction</w:t>
      </w:r>
    </w:p>
    <w:p w14:paraId="6378B58F" w14:textId="6E661A33" w:rsidR="00B051B7" w:rsidRDefault="00C4499D" w:rsidP="00735FB3">
      <w:pPr>
        <w:pStyle w:val="Akapitzlist"/>
        <w:spacing w:after="0" w:line="360" w:lineRule="auto"/>
        <w:ind w:left="0" w:firstLine="709"/>
        <w:jc w:val="both"/>
        <w:rPr>
          <w:rFonts w:ascii="Arial" w:hAnsi="Arial" w:cs="Arial"/>
        </w:rPr>
      </w:pPr>
      <w:r>
        <w:rPr>
          <w:rFonts w:ascii="Arial" w:hAnsi="Arial"/>
        </w:rPr>
        <w:t>In line with the provisions of the Polish Constitution, no person may be discriminated in political, social and economic life for any reason. The Constitution also guarantees the freedom of assembly and association, and to Polish citizens – the right to vote and to stand in election. As a rule, disability is not an independent premise that restricts realisation of the aforementioned rights. Nevertheless, in line with the provision of Article 62(2) of the Polish Constitution, persons legally incapacitated by means of a binding decision of a court have no right to participate in a referendum, and no right to vote. In practice, the above applies to persons with mental or intellectual disabilities. Other restrict</w:t>
      </w:r>
      <w:r w:rsidR="00A24802">
        <w:rPr>
          <w:rFonts w:ascii="Arial" w:hAnsi="Arial"/>
        </w:rPr>
        <w:t xml:space="preserve">ions regarding participation in </w:t>
      </w:r>
      <w:r>
        <w:rPr>
          <w:rFonts w:ascii="Arial" w:hAnsi="Arial"/>
        </w:rPr>
        <w:t>political and public life were regulated at the level of ordinary statutes discussed below.</w:t>
      </w:r>
    </w:p>
    <w:p w14:paraId="28DA20D8" w14:textId="078CB99D" w:rsidR="00770AC9" w:rsidRDefault="00770AC9" w:rsidP="00477195">
      <w:pPr>
        <w:pStyle w:val="Akapitzlist"/>
        <w:numPr>
          <w:ilvl w:val="0"/>
          <w:numId w:val="16"/>
        </w:numPr>
        <w:spacing w:before="120" w:after="120" w:line="360" w:lineRule="auto"/>
        <w:ind w:left="284" w:hanging="284"/>
        <w:contextualSpacing w:val="0"/>
        <w:jc w:val="both"/>
        <w:rPr>
          <w:rFonts w:ascii="Arial" w:hAnsi="Arial" w:cs="Arial"/>
          <w:b/>
        </w:rPr>
      </w:pPr>
      <w:r>
        <w:rPr>
          <w:rFonts w:ascii="Arial" w:hAnsi="Arial"/>
          <w:b/>
        </w:rPr>
        <w:t>Progress and successes in realisation of the right of persons with disabilities to participate in political and public life</w:t>
      </w:r>
    </w:p>
    <w:p w14:paraId="28835C61" w14:textId="3FC5C7EF" w:rsidR="00201044" w:rsidRDefault="00201044" w:rsidP="001813AA">
      <w:pPr>
        <w:spacing w:after="0" w:line="360" w:lineRule="auto"/>
        <w:ind w:firstLine="709"/>
        <w:jc w:val="both"/>
        <w:rPr>
          <w:rFonts w:ascii="Arial" w:hAnsi="Arial" w:cs="Arial"/>
        </w:rPr>
      </w:pPr>
      <w:r>
        <w:rPr>
          <w:rFonts w:ascii="Arial" w:hAnsi="Arial"/>
        </w:rPr>
        <w:t>Since 2009, Polish election law has been gradually supplemented with mechanisms that make it possible for persons with disabilities to actually participate in election. In line with the provisions of the 2011 Polish Election Code</w:t>
      </w:r>
      <w:r>
        <w:rPr>
          <w:rStyle w:val="Odwoanieprzypisudolnego"/>
          <w:rFonts w:ascii="Arial" w:hAnsi="Arial"/>
        </w:rPr>
        <w:footnoteReference w:id="255"/>
      </w:r>
      <w:r>
        <w:rPr>
          <w:rFonts w:ascii="Arial" w:hAnsi="Arial"/>
        </w:rPr>
        <w:t>, persons with significant or medium degree of disability</w:t>
      </w:r>
      <w:r>
        <w:rPr>
          <w:rStyle w:val="Odwoanieprzypisudolnego"/>
          <w:rFonts w:ascii="Arial" w:hAnsi="Arial"/>
        </w:rPr>
        <w:footnoteReference w:id="256"/>
      </w:r>
      <w:r>
        <w:rPr>
          <w:rFonts w:ascii="Arial" w:hAnsi="Arial"/>
        </w:rPr>
        <w:t xml:space="preserve"> may use alternative forms of voting in the form of </w:t>
      </w:r>
      <w:r>
        <w:rPr>
          <w:rFonts w:ascii="Arial" w:hAnsi="Arial"/>
          <w:b/>
        </w:rPr>
        <w:t>voting via a proxy and correspondence voting</w:t>
      </w:r>
      <w:r>
        <w:rPr>
          <w:rFonts w:ascii="Arial" w:hAnsi="Arial"/>
        </w:rPr>
        <w:t xml:space="preserve">. Election Code also introduced the possibility, addressed to blind persons, of voting using </w:t>
      </w:r>
      <w:r>
        <w:rPr>
          <w:rFonts w:ascii="Arial" w:hAnsi="Arial"/>
          <w:b/>
        </w:rPr>
        <w:t>special covers made in Braille placed on voting cards</w:t>
      </w:r>
      <w:r>
        <w:rPr>
          <w:rFonts w:ascii="Arial" w:hAnsi="Arial"/>
        </w:rPr>
        <w:t>. During voting, persons with disabilities will be able to use the assistance of third parties, who are not members of the district election committee nor returning officers of candidates.</w:t>
      </w:r>
    </w:p>
    <w:p w14:paraId="527BC8A2" w14:textId="77777777" w:rsidR="007F19C5" w:rsidRDefault="007F19C5" w:rsidP="001813AA">
      <w:pPr>
        <w:spacing w:after="0" w:line="360" w:lineRule="auto"/>
        <w:ind w:firstLine="709"/>
        <w:jc w:val="both"/>
        <w:rPr>
          <w:rFonts w:ascii="Arial" w:hAnsi="Arial" w:cs="Arial"/>
        </w:rPr>
      </w:pPr>
      <w:r>
        <w:rPr>
          <w:rFonts w:ascii="Arial" w:hAnsi="Arial"/>
        </w:rPr>
        <w:t>Gradually, the required number of polling places adapted to the needs of persons with disabilities is increasing. By 31 December 2014, the municipalities should adapt at least one third of polling places</w:t>
      </w:r>
      <w:r>
        <w:rPr>
          <w:rStyle w:val="Odwoanieprzypisudolnego"/>
          <w:rFonts w:ascii="Arial" w:hAnsi="Arial"/>
        </w:rPr>
        <w:footnoteReference w:id="257"/>
      </w:r>
      <w:r>
        <w:rPr>
          <w:rFonts w:ascii="Arial" w:hAnsi="Arial"/>
        </w:rPr>
        <w:t>. A voter with disabilities may enter their name to the list of voters in the selected voting district (within the territory of the municipality competent for their place of residence), where premises adapted to the their needs are available.</w:t>
      </w:r>
    </w:p>
    <w:p w14:paraId="71CCCF0F" w14:textId="77777777" w:rsidR="001813AA" w:rsidRDefault="001813AA" w:rsidP="001813AA">
      <w:pPr>
        <w:spacing w:after="0" w:line="360" w:lineRule="auto"/>
        <w:ind w:firstLine="709"/>
        <w:jc w:val="both"/>
        <w:rPr>
          <w:rFonts w:ascii="Arial" w:hAnsi="Arial" w:cs="Arial"/>
        </w:rPr>
      </w:pPr>
      <w:r>
        <w:rPr>
          <w:rFonts w:ascii="Arial" w:hAnsi="Arial"/>
        </w:rPr>
        <w:t>The Election Code also introduced a series of information obligations with respect to persons with disabilities. A voter with disabilities is entitled to obtain information on major issues related to the election for free from an employee of the municipal office, including by phone or in the form of printed informative materials (also electronically). The State Electoral Committee was thus obliged to publish information about the entitlements available to voters with disabilities at a website in the form that considers various types of disabilities. Moreover, SEC prepares the necessary informative materials in Braille, which are provided on request to interested parties.</w:t>
      </w:r>
    </w:p>
    <w:p w14:paraId="2E38F5A1" w14:textId="77777777" w:rsidR="00770AC9" w:rsidRDefault="00770AC9" w:rsidP="00477195">
      <w:pPr>
        <w:pStyle w:val="Akapitzlist"/>
        <w:numPr>
          <w:ilvl w:val="0"/>
          <w:numId w:val="16"/>
        </w:numPr>
        <w:spacing w:before="120" w:after="120" w:line="360" w:lineRule="auto"/>
        <w:ind w:left="284" w:hanging="284"/>
        <w:contextualSpacing w:val="0"/>
        <w:jc w:val="both"/>
        <w:rPr>
          <w:rFonts w:ascii="Arial" w:hAnsi="Arial" w:cs="Arial"/>
          <w:b/>
        </w:rPr>
      </w:pPr>
      <w:r>
        <w:rPr>
          <w:rFonts w:ascii="Arial" w:hAnsi="Arial"/>
          <w:b/>
        </w:rPr>
        <w:t>Major problems and barriers in realisation of the right of persons with disabilities to participate in political and public life – results of studies and statistical data</w:t>
      </w:r>
    </w:p>
    <w:p w14:paraId="01E2441F" w14:textId="74185B3D" w:rsidR="000D5E3E" w:rsidRDefault="0021006B" w:rsidP="00A24802">
      <w:pPr>
        <w:pStyle w:val="Akapitzlist"/>
        <w:spacing w:after="0" w:line="360" w:lineRule="auto"/>
        <w:ind w:left="0" w:firstLine="709"/>
        <w:jc w:val="both"/>
        <w:rPr>
          <w:rFonts w:ascii="Arial" w:hAnsi="Arial" w:cs="Arial"/>
        </w:rPr>
      </w:pPr>
      <w:r>
        <w:rPr>
          <w:rFonts w:ascii="Arial" w:hAnsi="Arial"/>
        </w:rPr>
        <w:t xml:space="preserve">Despite introducing mechanisms to adapt election procedures to the needs of persons with disabilities and to impose informative obligations, the level of knowledge on alternative forms of voting among eligible persons is very low. From the studies conducted by Public Opinion Research Center (CBOS) in cooperation with the Human Rights Defender it follows that only </w:t>
      </w:r>
      <w:r>
        <w:rPr>
          <w:rFonts w:ascii="Arial" w:hAnsi="Arial"/>
          <w:b/>
        </w:rPr>
        <w:t>32% voters with legal disability status knows that they may take advantage of the correspondence voting procedure</w:t>
      </w:r>
      <w:r>
        <w:rPr>
          <w:rFonts w:ascii="Arial" w:hAnsi="Arial"/>
        </w:rPr>
        <w:t xml:space="preserve">. Slightly more, only </w:t>
      </w:r>
      <w:r>
        <w:rPr>
          <w:rFonts w:ascii="Arial" w:hAnsi="Arial"/>
          <w:b/>
        </w:rPr>
        <w:t>34% of respondents, is aware that it is possible to vote by proxy</w:t>
      </w:r>
      <w:r>
        <w:rPr>
          <w:rStyle w:val="Odwoanieprzypisudolnego"/>
          <w:rFonts w:ascii="Arial" w:hAnsi="Arial"/>
        </w:rPr>
        <w:footnoteReference w:id="258"/>
      </w:r>
      <w:r>
        <w:rPr>
          <w:rFonts w:ascii="Arial" w:hAnsi="Arial"/>
        </w:rPr>
        <w:t xml:space="preserve">. That low awareness on the facilitations available in the voting process, paradoxically, is paradoxically due to lack of knowledge of persons with disabilities on the sources and possibilities of obtaining information about election. </w:t>
      </w:r>
      <w:r w:rsidR="000D5E3E">
        <w:rPr>
          <w:rFonts w:ascii="Arial" w:hAnsi="Arial"/>
        </w:rPr>
        <w:t xml:space="preserve">As a result, only a small percentage of eligible persons used alternative forms of voting. </w:t>
      </w:r>
    </w:p>
    <w:p w14:paraId="605C1607" w14:textId="77777777" w:rsidR="000D5E3E" w:rsidRDefault="000D5E3E" w:rsidP="000D5E3E">
      <w:pPr>
        <w:pStyle w:val="Akapitzlist"/>
        <w:spacing w:line="360" w:lineRule="auto"/>
        <w:ind w:left="0" w:firstLine="709"/>
        <w:jc w:val="both"/>
        <w:rPr>
          <w:rFonts w:ascii="Arial" w:hAnsi="Arial" w:cs="Arial"/>
        </w:rPr>
      </w:pPr>
      <w:r>
        <w:rPr>
          <w:rFonts w:ascii="Arial" w:hAnsi="Arial"/>
        </w:rPr>
        <w:t xml:space="preserve">In terms of preferences, Polish voters are traditionalists – out of many procedures available, they would be most willing to cast a vote in a polling place (68%). It is also necessary to emphasize that the respondents with disabilities indicate voting at a polling place as a preferred way of participating in election. However, </w:t>
      </w:r>
      <w:r>
        <w:rPr>
          <w:rFonts w:ascii="Arial" w:hAnsi="Arial"/>
          <w:b/>
        </w:rPr>
        <w:t>one in five persons with disabilities declares that it happened that they resigned from voting due to disability or reduced mobility making participation in the election difficult.</w:t>
      </w:r>
      <w:r>
        <w:rPr>
          <w:rFonts w:ascii="Arial" w:hAnsi="Arial"/>
        </w:rPr>
        <w:t xml:space="preserve"> It emphasizes the huge need to properly adapt the polling places to the needs of voters with disabilities</w:t>
      </w:r>
      <w:r>
        <w:rPr>
          <w:rStyle w:val="Odwoanieprzypisudolnego"/>
          <w:rFonts w:ascii="Arial" w:hAnsi="Arial"/>
        </w:rPr>
        <w:footnoteReference w:id="259"/>
      </w:r>
      <w:r>
        <w:rPr>
          <w:rFonts w:ascii="Arial" w:hAnsi="Arial"/>
        </w:rPr>
        <w:t>.</w:t>
      </w:r>
    </w:p>
    <w:p w14:paraId="2B3AE603" w14:textId="5E0800ED" w:rsidR="00184448" w:rsidRDefault="00DB6D72" w:rsidP="00A24802">
      <w:pPr>
        <w:pStyle w:val="Akapitzlist"/>
        <w:spacing w:line="360" w:lineRule="auto"/>
        <w:ind w:left="0" w:firstLine="709"/>
        <w:jc w:val="both"/>
        <w:rPr>
          <w:rFonts w:ascii="Arial" w:hAnsi="Arial"/>
          <w:b/>
        </w:rPr>
      </w:pPr>
      <w:r>
        <w:rPr>
          <w:rFonts w:ascii="Arial" w:hAnsi="Arial"/>
        </w:rPr>
        <w:t xml:space="preserve">The Human Rights Defender is systematically conducting inspections on the adaptation of polling places indicated by individual municipalities as premises adapted to the needs of voters with disabilities. As a result of the inspection conducted before the PE election (May 2014), the employees of the Office of the Human Rights Defender determined infringements in </w:t>
      </w:r>
      <w:r>
        <w:rPr>
          <w:rFonts w:ascii="Arial" w:hAnsi="Arial"/>
          <w:b/>
        </w:rPr>
        <w:t>113</w:t>
      </w:r>
      <w:r>
        <w:rPr>
          <w:rFonts w:ascii="Arial" w:hAnsi="Arial"/>
        </w:rPr>
        <w:t xml:space="preserve"> </w:t>
      </w:r>
      <w:r>
        <w:rPr>
          <w:rFonts w:ascii="Arial" w:hAnsi="Arial"/>
          <w:b/>
        </w:rPr>
        <w:t>controlled polling places</w:t>
      </w:r>
      <w:r>
        <w:rPr>
          <w:rFonts w:ascii="Arial" w:hAnsi="Arial"/>
        </w:rPr>
        <w:t xml:space="preserve">, comprising </w:t>
      </w:r>
      <w:r>
        <w:rPr>
          <w:rFonts w:ascii="Arial" w:hAnsi="Arial"/>
          <w:b/>
        </w:rPr>
        <w:t>72% of all inspected polling places.</w:t>
      </w:r>
    </w:p>
    <w:p w14:paraId="0F754BB0" w14:textId="77777777" w:rsidR="006B1A5A" w:rsidRPr="00735FB3" w:rsidRDefault="006B1A5A" w:rsidP="00A24802">
      <w:pPr>
        <w:pStyle w:val="Akapitzlist"/>
        <w:spacing w:line="360" w:lineRule="auto"/>
        <w:ind w:left="0" w:firstLine="709"/>
        <w:jc w:val="both"/>
        <w:rPr>
          <w:rFonts w:ascii="Arial" w:hAnsi="Arial" w:cs="Arial"/>
          <w:b/>
          <w:sz w:val="16"/>
          <w:szCs w:val="16"/>
        </w:rPr>
      </w:pPr>
    </w:p>
    <w:p w14:paraId="0D96D370" w14:textId="77777777" w:rsidR="00AC747F" w:rsidRDefault="00AC747F" w:rsidP="00AC747F">
      <w:pPr>
        <w:pStyle w:val="Akapitzlist"/>
        <w:spacing w:line="360" w:lineRule="auto"/>
        <w:ind w:left="0"/>
        <w:jc w:val="center"/>
        <w:rPr>
          <w:rFonts w:ascii="Arial" w:hAnsi="Arial" w:cs="Arial"/>
          <w:b/>
        </w:rPr>
      </w:pPr>
      <w:r>
        <w:rPr>
          <w:rFonts w:ascii="Arial" w:hAnsi="Arial"/>
          <w:b/>
        </w:rPr>
        <w:t xml:space="preserve">The results of the inspections of polling places indicated as the ones </w:t>
      </w:r>
    </w:p>
    <w:p w14:paraId="6E3A3B10" w14:textId="77777777" w:rsidR="00AC747F" w:rsidRPr="004021B3" w:rsidRDefault="00AC747F" w:rsidP="00AC747F">
      <w:pPr>
        <w:pStyle w:val="Akapitzlist"/>
        <w:spacing w:line="360" w:lineRule="auto"/>
        <w:ind w:left="0"/>
        <w:jc w:val="center"/>
        <w:rPr>
          <w:rFonts w:ascii="Arial" w:hAnsi="Arial" w:cs="Arial"/>
          <w:b/>
        </w:rPr>
      </w:pPr>
      <w:r>
        <w:rPr>
          <w:rFonts w:ascii="Arial" w:hAnsi="Arial"/>
          <w:b/>
        </w:rPr>
        <w:t>adapted to the needs of voters with disabilities:</w:t>
      </w:r>
    </w:p>
    <w:p w14:paraId="78818BF8" w14:textId="4F7433E9" w:rsidR="00547730" w:rsidRPr="006D11AE" w:rsidRDefault="004D797B" w:rsidP="000D5DF9">
      <w:pPr>
        <w:pStyle w:val="Akapitzlist"/>
        <w:spacing w:after="0" w:line="360" w:lineRule="auto"/>
        <w:ind w:left="0" w:firstLine="709"/>
        <w:jc w:val="both"/>
        <w:rPr>
          <w:rFonts w:ascii="Arial" w:hAnsi="Arial" w:cs="Arial"/>
          <w:sz w:val="16"/>
          <w:szCs w:val="16"/>
        </w:rPr>
      </w:pPr>
      <w:r>
        <w:rPr>
          <w:rFonts w:ascii="Arial" w:hAnsi="Arial" w:cs="Arial"/>
          <w:noProof/>
          <w:sz w:val="16"/>
          <w:szCs w:val="16"/>
          <w:lang w:val="pl-PL" w:eastAsia="pl-PL" w:bidi="ar-SA"/>
        </w:rPr>
        <w:drawing>
          <wp:inline distT="0" distB="0" distL="0" distR="0" wp14:anchorId="37F85AEB" wp14:editId="75E2D4D2">
            <wp:extent cx="4895850" cy="2733675"/>
            <wp:effectExtent l="0" t="0" r="0" b="0"/>
            <wp:docPr id="25" name="Wykres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1BD70511" w14:textId="77777777" w:rsidR="004D797B" w:rsidRDefault="004D797B" w:rsidP="004D797B">
      <w:pPr>
        <w:pStyle w:val="Akapitzlist"/>
        <w:spacing w:after="0" w:line="360" w:lineRule="auto"/>
        <w:ind w:left="0"/>
        <w:jc w:val="center"/>
        <w:rPr>
          <w:rFonts w:ascii="Arial" w:hAnsi="Arial"/>
          <w:sz w:val="16"/>
        </w:rPr>
      </w:pPr>
      <w:r>
        <w:rPr>
          <w:rFonts w:ascii="Arial" w:hAnsi="Arial"/>
          <w:sz w:val="16"/>
        </w:rPr>
        <w:t>Prepared by: Office of the Human Rights Defender based on own studies</w:t>
      </w:r>
    </w:p>
    <w:p w14:paraId="22EA2C27" w14:textId="77777777" w:rsidR="004D797B" w:rsidRPr="00547730" w:rsidRDefault="004D797B" w:rsidP="004D797B">
      <w:pPr>
        <w:pStyle w:val="Akapitzlist"/>
        <w:spacing w:after="0" w:line="360" w:lineRule="auto"/>
        <w:ind w:left="0"/>
        <w:jc w:val="center"/>
        <w:rPr>
          <w:rFonts w:ascii="Arial" w:hAnsi="Arial" w:cs="Arial"/>
          <w:sz w:val="16"/>
          <w:szCs w:val="16"/>
        </w:rPr>
      </w:pPr>
    </w:p>
    <w:p w14:paraId="1CE3B297" w14:textId="77777777" w:rsidR="00DF1CE1" w:rsidRDefault="00DF1CE1" w:rsidP="000D5DF9">
      <w:pPr>
        <w:pStyle w:val="Akapitzlist"/>
        <w:spacing w:after="0" w:line="360" w:lineRule="auto"/>
        <w:ind w:left="0" w:firstLine="709"/>
        <w:jc w:val="both"/>
        <w:rPr>
          <w:rFonts w:ascii="Arial" w:hAnsi="Arial" w:cs="Arial"/>
        </w:rPr>
      </w:pPr>
      <w:r>
        <w:rPr>
          <w:rFonts w:ascii="Arial" w:hAnsi="Arial"/>
        </w:rPr>
        <w:t xml:space="preserve">The Human Rights Defender also analysed the issues relative to </w:t>
      </w:r>
      <w:r>
        <w:rPr>
          <w:rFonts w:ascii="Arial" w:hAnsi="Arial"/>
          <w:b/>
        </w:rPr>
        <w:t>the right to stand in election of persons with disabilities</w:t>
      </w:r>
      <w:r>
        <w:rPr>
          <w:rFonts w:ascii="Arial" w:hAnsi="Arial"/>
        </w:rPr>
        <w:t>. Thus, in line with the provisions of the Election Code, the mandate of the head of municipality (major of town or city, respectively) expires e.g. upon issuing an assessment on being unfit for work</w:t>
      </w:r>
      <w:r>
        <w:rPr>
          <w:rStyle w:val="Odwoanieprzypisudolnego"/>
          <w:rFonts w:ascii="Arial" w:hAnsi="Arial"/>
        </w:rPr>
        <w:footnoteReference w:id="260"/>
      </w:r>
      <w:r>
        <w:rPr>
          <w:rFonts w:ascii="Arial" w:hAnsi="Arial"/>
        </w:rPr>
        <w:t>. In the meantime, as it was already indicated in the section of this report dedicated to the definition of disability in Polish law, assessment on being unfit for work does not mean imposing a prohibition to work, and many persons with such an assessment do work, also on the open labour market. Such provisions do not guarantee real and objective assessment of whether these persons can serve as the head of municipality, mayor of a town or a city, and as a consequence, they lead to discrimination of persons with disabilities. As a result of the analysis conducted, the Ombudsman directed a motion to the Constitutional Tribunal to determine non-compliance of the provision of Article 492(1)(6) of the Election Code Act with the provisions of the Constitution and with the provisions of the Convention on the Rights of Persons with Disabilities. In the ruling of 23 January 2014 the Tribunal recognized the said provision as compliant with the Constitution and discontinued the procedure as regards its compliance with the provision of Article 29 of CRPD</w:t>
      </w:r>
      <w:r>
        <w:rPr>
          <w:rStyle w:val="Odwoanieprzypisudolnego"/>
          <w:rFonts w:ascii="Arial" w:hAnsi="Arial"/>
        </w:rPr>
        <w:footnoteReference w:id="261"/>
      </w:r>
      <w:r>
        <w:rPr>
          <w:rFonts w:ascii="Arial" w:hAnsi="Arial"/>
        </w:rPr>
        <w:t>. Consequently, this provision remains in force.</w:t>
      </w:r>
    </w:p>
    <w:p w14:paraId="66470A51" w14:textId="110B775F" w:rsidR="001E374C" w:rsidRDefault="001E374C" w:rsidP="001E374C">
      <w:pPr>
        <w:pStyle w:val="Akapitzlist"/>
        <w:spacing w:after="0" w:line="360" w:lineRule="auto"/>
        <w:ind w:left="0" w:firstLine="709"/>
        <w:jc w:val="both"/>
        <w:rPr>
          <w:rFonts w:ascii="Arial" w:hAnsi="Arial" w:cs="Arial"/>
        </w:rPr>
      </w:pPr>
      <w:r>
        <w:rPr>
          <w:rFonts w:ascii="Arial" w:hAnsi="Arial"/>
        </w:rPr>
        <w:t xml:space="preserve">One of the most important problems with respect to participation of persons with disabilities in political and public life still takes the form of </w:t>
      </w:r>
      <w:r>
        <w:rPr>
          <w:rFonts w:ascii="Arial" w:hAnsi="Arial"/>
          <w:b/>
        </w:rPr>
        <w:t>the legal status of persons legally incapacitated</w:t>
      </w:r>
      <w:r>
        <w:rPr>
          <w:rStyle w:val="Odwoanieprzypisudolnego"/>
          <w:rFonts w:ascii="Arial" w:hAnsi="Arial"/>
        </w:rPr>
        <w:footnoteReference w:id="262"/>
      </w:r>
      <w:r>
        <w:rPr>
          <w:rFonts w:ascii="Arial" w:hAnsi="Arial"/>
        </w:rPr>
        <w:t xml:space="preserve">. As it was already mentioned above, after the assessment on legal disability status becomes binding, such persons are automatically deleted from the register of voters and cannot stand in election. Considering the position of the Committee on the Rights of Persons with Disabilities expressed in the decision on </w:t>
      </w:r>
      <w:r>
        <w:rPr>
          <w:rFonts w:ascii="Arial" w:hAnsi="Arial"/>
          <w:i/>
        </w:rPr>
        <w:t>Zsolt Budsó et al versus Hungary</w:t>
      </w:r>
      <w:r>
        <w:rPr>
          <w:rStyle w:val="Odwoanieprzypisudolnego"/>
          <w:rFonts w:ascii="Arial" w:hAnsi="Arial"/>
        </w:rPr>
        <w:footnoteReference w:id="263"/>
      </w:r>
      <w:r>
        <w:rPr>
          <w:rFonts w:ascii="Arial" w:hAnsi="Arial"/>
        </w:rPr>
        <w:t>, it must be recognized that this regulation infringes the provisions of Article 29 CRPD</w:t>
      </w:r>
      <w:r>
        <w:rPr>
          <w:rStyle w:val="Odwoanieprzypisudolnego"/>
          <w:rFonts w:ascii="Arial" w:hAnsi="Arial"/>
        </w:rPr>
        <w:footnoteReference w:id="264"/>
      </w:r>
      <w:r>
        <w:rPr>
          <w:rFonts w:ascii="Arial" w:hAnsi="Arial"/>
        </w:rPr>
        <w:t>.</w:t>
      </w:r>
    </w:p>
    <w:p w14:paraId="4E63BFDC" w14:textId="1C048636" w:rsidR="00763385" w:rsidRDefault="00763385" w:rsidP="001E374C">
      <w:pPr>
        <w:pStyle w:val="Akapitzlist"/>
        <w:spacing w:after="0" w:line="360" w:lineRule="auto"/>
        <w:ind w:left="0" w:firstLine="709"/>
        <w:jc w:val="both"/>
        <w:rPr>
          <w:rFonts w:ascii="Arial" w:hAnsi="Arial" w:cs="Arial"/>
        </w:rPr>
      </w:pPr>
      <w:r>
        <w:rPr>
          <w:rFonts w:ascii="Arial" w:hAnsi="Arial"/>
        </w:rPr>
        <w:t xml:space="preserve">Moreover, </w:t>
      </w:r>
      <w:r>
        <w:rPr>
          <w:rFonts w:ascii="Arial" w:hAnsi="Arial"/>
          <w:b/>
        </w:rPr>
        <w:t>legally incapacitated persons may not found an association nor be members of one</w:t>
      </w:r>
      <w:r>
        <w:rPr>
          <w:rStyle w:val="Odwoanieprzypisudolnego"/>
          <w:rFonts w:ascii="Arial" w:hAnsi="Arial"/>
          <w:b/>
        </w:rPr>
        <w:footnoteReference w:id="265"/>
      </w:r>
      <w:r>
        <w:rPr>
          <w:rFonts w:ascii="Arial" w:hAnsi="Arial"/>
          <w:b/>
        </w:rPr>
        <w:t>, they also may not organise public assemblies</w:t>
      </w:r>
      <w:r>
        <w:rPr>
          <w:rFonts w:ascii="Arial" w:hAnsi="Arial"/>
        </w:rPr>
        <w:t xml:space="preserve"> (though they may participate in them)</w:t>
      </w:r>
      <w:r>
        <w:rPr>
          <w:rStyle w:val="Odwoanieprzypisudolnego"/>
          <w:rFonts w:ascii="Arial" w:hAnsi="Arial"/>
        </w:rPr>
        <w:footnoteReference w:id="266"/>
      </w:r>
      <w:r>
        <w:rPr>
          <w:rFonts w:ascii="Arial" w:hAnsi="Arial"/>
        </w:rPr>
        <w:t>. According to the Ombudsman, these solutions may infringe the provision of Article 29 of CRPD</w:t>
      </w:r>
      <w:r>
        <w:rPr>
          <w:rStyle w:val="Odwoanieprzypisudolnego"/>
          <w:rFonts w:ascii="Arial" w:hAnsi="Arial"/>
        </w:rPr>
        <w:footnoteReference w:id="267"/>
      </w:r>
      <w:r>
        <w:rPr>
          <w:rFonts w:ascii="Arial" w:hAnsi="Arial"/>
        </w:rPr>
        <w:t>. </w:t>
      </w:r>
    </w:p>
    <w:p w14:paraId="7803BBB3" w14:textId="77777777" w:rsidR="00770AC9" w:rsidRPr="006317A2" w:rsidRDefault="00B051B7" w:rsidP="00477195">
      <w:pPr>
        <w:pStyle w:val="Akapitzlist"/>
        <w:numPr>
          <w:ilvl w:val="0"/>
          <w:numId w:val="16"/>
        </w:numPr>
        <w:spacing w:before="120" w:after="120" w:line="360" w:lineRule="auto"/>
        <w:ind w:left="284" w:hanging="284"/>
        <w:contextualSpacing w:val="0"/>
        <w:jc w:val="both"/>
        <w:rPr>
          <w:rFonts w:ascii="Arial" w:hAnsi="Arial" w:cs="Arial"/>
          <w:b/>
        </w:rPr>
      </w:pPr>
      <w:r>
        <w:rPr>
          <w:rFonts w:ascii="Arial" w:hAnsi="Arial"/>
          <w:b/>
        </w:rPr>
        <w:t>Major recommendations</w:t>
      </w:r>
    </w:p>
    <w:p w14:paraId="628BA6CD" w14:textId="78B8B68F" w:rsidR="008E25E8" w:rsidRDefault="00D166AB" w:rsidP="008E25E8">
      <w:pPr>
        <w:pStyle w:val="Akapitzlist"/>
        <w:spacing w:after="0" w:line="360" w:lineRule="auto"/>
        <w:ind w:left="0" w:firstLine="709"/>
        <w:jc w:val="both"/>
        <w:rPr>
          <w:rFonts w:ascii="Arial" w:hAnsi="Arial" w:cs="Arial"/>
        </w:rPr>
      </w:pPr>
      <w:r>
        <w:rPr>
          <w:rFonts w:ascii="Arial" w:hAnsi="Arial"/>
        </w:rPr>
        <w:t>According to the Human Rights Defender, in order to realise the right of persons with disabilities to participate in political and public life on equal terms with other citizens, it is necessary to:</w:t>
      </w:r>
    </w:p>
    <w:p w14:paraId="228AE722" w14:textId="77777777" w:rsidR="00686F78" w:rsidRDefault="00686F78" w:rsidP="003D345C">
      <w:pPr>
        <w:pStyle w:val="Akapitzlist"/>
        <w:numPr>
          <w:ilvl w:val="0"/>
          <w:numId w:val="28"/>
        </w:numPr>
        <w:spacing w:after="0" w:line="360" w:lineRule="auto"/>
        <w:ind w:left="284" w:hanging="284"/>
        <w:jc w:val="both"/>
        <w:rPr>
          <w:rFonts w:ascii="Arial" w:hAnsi="Arial" w:cs="Arial"/>
        </w:rPr>
      </w:pPr>
      <w:r>
        <w:rPr>
          <w:rFonts w:ascii="Arial" w:hAnsi="Arial"/>
        </w:rPr>
        <w:t>significantly increase the level of knowledge of persons with disabilities on their entitlements as regards the election procedures, for example in the form of an extensive informational campaign before each subsequent common election, using individual means of notifying about the election;</w:t>
      </w:r>
    </w:p>
    <w:p w14:paraId="45D1C2F7" w14:textId="77777777" w:rsidR="00686F78" w:rsidRDefault="00686F78" w:rsidP="003D345C">
      <w:pPr>
        <w:pStyle w:val="Akapitzlist"/>
        <w:numPr>
          <w:ilvl w:val="0"/>
          <w:numId w:val="28"/>
        </w:numPr>
        <w:spacing w:after="0" w:line="360" w:lineRule="auto"/>
        <w:ind w:left="284" w:hanging="284"/>
        <w:jc w:val="both"/>
        <w:rPr>
          <w:rFonts w:ascii="Arial" w:hAnsi="Arial" w:cs="Arial"/>
        </w:rPr>
      </w:pPr>
      <w:r>
        <w:rPr>
          <w:rFonts w:ascii="Arial" w:hAnsi="Arial"/>
        </w:rPr>
        <w:t>accelerate the works on adapting polling  places to the needs of voters with disabilities;</w:t>
      </w:r>
    </w:p>
    <w:p w14:paraId="1B315FBD" w14:textId="16AD2CDF" w:rsidR="00686F78" w:rsidRDefault="00686F78" w:rsidP="003D345C">
      <w:pPr>
        <w:pStyle w:val="Akapitzlist"/>
        <w:numPr>
          <w:ilvl w:val="0"/>
          <w:numId w:val="28"/>
        </w:numPr>
        <w:spacing w:after="0" w:line="360" w:lineRule="auto"/>
        <w:ind w:left="284" w:hanging="284"/>
        <w:jc w:val="both"/>
        <w:rPr>
          <w:rFonts w:ascii="Arial" w:hAnsi="Arial" w:cs="Arial"/>
        </w:rPr>
      </w:pPr>
      <w:r>
        <w:rPr>
          <w:rFonts w:ascii="Arial" w:hAnsi="Arial"/>
        </w:rPr>
        <w:t>ensure that persons with disabilities will be able to hold public functions, i.e. the position of head of a municipality, mayor of a town or city, on equal terms with other persons and using reasonable accommodations;</w:t>
      </w:r>
    </w:p>
    <w:p w14:paraId="50329F9D" w14:textId="77777777" w:rsidR="00686F78" w:rsidRDefault="00BA6228" w:rsidP="003D345C">
      <w:pPr>
        <w:pStyle w:val="Akapitzlist"/>
        <w:numPr>
          <w:ilvl w:val="0"/>
          <w:numId w:val="28"/>
        </w:numPr>
        <w:spacing w:after="0" w:line="360" w:lineRule="auto"/>
        <w:ind w:left="284" w:hanging="284"/>
        <w:jc w:val="both"/>
        <w:rPr>
          <w:rFonts w:ascii="Arial" w:hAnsi="Arial" w:cs="Arial"/>
        </w:rPr>
      </w:pPr>
      <w:r>
        <w:rPr>
          <w:rFonts w:ascii="Arial" w:hAnsi="Arial"/>
        </w:rPr>
        <w:t>ensure that persons with intellectual or mental disabilities will not be arbitrarily deprived of the right to vote and to stand in election;</w:t>
      </w:r>
    </w:p>
    <w:p w14:paraId="41222E97" w14:textId="3305E0D6" w:rsidR="00BA6228" w:rsidRDefault="00BA6228" w:rsidP="003D345C">
      <w:pPr>
        <w:pStyle w:val="Akapitzlist"/>
        <w:numPr>
          <w:ilvl w:val="0"/>
          <w:numId w:val="28"/>
        </w:numPr>
        <w:spacing w:after="0" w:line="360" w:lineRule="auto"/>
        <w:ind w:left="284" w:hanging="284"/>
        <w:jc w:val="both"/>
        <w:rPr>
          <w:rFonts w:ascii="Arial" w:hAnsi="Arial" w:cs="Arial"/>
        </w:rPr>
      </w:pPr>
      <w:r>
        <w:rPr>
          <w:rFonts w:ascii="Arial" w:hAnsi="Arial"/>
        </w:rPr>
        <w:t>create the conditions, in which all persons with disabilities, including persons with mental and intellectual disabilities, will be able to realise their freedom of assembly and association.</w:t>
      </w:r>
    </w:p>
    <w:p w14:paraId="6B943E1C" w14:textId="0A477E82" w:rsidR="006317A2" w:rsidRPr="003A77C4" w:rsidRDefault="006317A2" w:rsidP="00735FB3">
      <w:pPr>
        <w:pStyle w:val="Nagwek2"/>
        <w:jc w:val="both"/>
      </w:pPr>
      <w:bookmarkStart w:id="43" w:name="_Toc403999547"/>
      <w:bookmarkStart w:id="44" w:name="_Toc424279011"/>
      <w:r>
        <w:t>Article 30 – Participation in cultural life, recreation, leisure and sport</w:t>
      </w:r>
      <w:bookmarkEnd w:id="43"/>
      <w:bookmarkEnd w:id="44"/>
    </w:p>
    <w:p w14:paraId="6FB1EADE" w14:textId="2161FF41" w:rsidR="003A77C4" w:rsidRPr="00D017E3" w:rsidRDefault="00770AC9" w:rsidP="00D017E3">
      <w:pPr>
        <w:pStyle w:val="Akapitzlist"/>
        <w:numPr>
          <w:ilvl w:val="0"/>
          <w:numId w:val="17"/>
        </w:numPr>
        <w:spacing w:before="120" w:after="120" w:line="360" w:lineRule="auto"/>
        <w:ind w:left="284" w:hanging="284"/>
        <w:contextualSpacing w:val="0"/>
        <w:jc w:val="both"/>
        <w:rPr>
          <w:rFonts w:ascii="Arial" w:hAnsi="Arial" w:cs="Arial"/>
          <w:b/>
        </w:rPr>
      </w:pPr>
      <w:r>
        <w:rPr>
          <w:rFonts w:ascii="Arial" w:hAnsi="Arial"/>
          <w:b/>
        </w:rPr>
        <w:t>Introduction – short description</w:t>
      </w:r>
    </w:p>
    <w:p w14:paraId="178C491A" w14:textId="77777777" w:rsidR="00B97F13" w:rsidRPr="00B97F13" w:rsidRDefault="00B97F13" w:rsidP="00B97F13">
      <w:pPr>
        <w:pStyle w:val="Akapitzlist"/>
        <w:spacing w:after="0" w:line="360" w:lineRule="auto"/>
        <w:ind w:left="0" w:firstLine="709"/>
        <w:jc w:val="both"/>
        <w:rPr>
          <w:rFonts w:ascii="Arial" w:hAnsi="Arial" w:cs="Arial"/>
        </w:rPr>
      </w:pPr>
      <w:r>
        <w:rPr>
          <w:rFonts w:ascii="Arial" w:hAnsi="Arial"/>
        </w:rPr>
        <w:t xml:space="preserve">In line with Article 6(1) of the Polish Constitution, the Republic of Poland ensures conditions to promote and ensure equal access to products of culture, which are the source of the Nation’s identity, continuity and development. This Article must be interpreted jointly with Article 73, which assures everyone the freedom of artistic creation and scientific research, as well as dissemination of the fruits thereof, the freedom to teach and to enjoy the products of culture.  </w:t>
      </w:r>
    </w:p>
    <w:p w14:paraId="7BDD270F" w14:textId="77777777" w:rsidR="0096224F" w:rsidRPr="0096224F" w:rsidRDefault="0096224F" w:rsidP="0096224F">
      <w:pPr>
        <w:pStyle w:val="Akapitzlist"/>
        <w:spacing w:after="0" w:line="360" w:lineRule="auto"/>
        <w:ind w:left="0" w:firstLine="709"/>
        <w:jc w:val="both"/>
        <w:rPr>
          <w:rFonts w:ascii="Arial" w:hAnsi="Arial" w:cs="Arial"/>
        </w:rPr>
      </w:pPr>
      <w:r>
        <w:rPr>
          <w:rFonts w:ascii="Arial" w:hAnsi="Arial"/>
        </w:rPr>
        <w:t>The Polish legal system contains a series of legal provisions intended to ensure to persons with different types of disabilities the ability to participate in cultural life, recreation, leisure and sport on equal terms with other persons.</w:t>
      </w:r>
    </w:p>
    <w:p w14:paraId="522ABDD5" w14:textId="63897FD3" w:rsidR="003A77C4" w:rsidRPr="0056261D" w:rsidRDefault="0096224F" w:rsidP="00477195">
      <w:pPr>
        <w:pStyle w:val="Akapitzlist"/>
        <w:spacing w:after="0" w:line="360" w:lineRule="auto"/>
        <w:ind w:left="0"/>
        <w:jc w:val="both"/>
        <w:rPr>
          <w:rFonts w:ascii="Arial" w:hAnsi="Arial" w:cs="Arial"/>
          <w:sz w:val="16"/>
          <w:szCs w:val="16"/>
        </w:rPr>
      </w:pPr>
      <w:r>
        <w:rPr>
          <w:rFonts w:ascii="Arial" w:hAnsi="Arial"/>
        </w:rPr>
        <w:t>The relevant provisions of the act on copyright</w:t>
      </w:r>
      <w:r>
        <w:rPr>
          <w:rFonts w:ascii="Arial" w:hAnsi="Arial"/>
          <w:vertAlign w:val="superscript"/>
        </w:rPr>
        <w:footnoteReference w:id="268"/>
      </w:r>
      <w:r>
        <w:rPr>
          <w:rFonts w:ascii="Arial" w:hAnsi="Arial"/>
        </w:rPr>
        <w:t>, act on radio and television</w:t>
      </w:r>
      <w:r>
        <w:rPr>
          <w:rFonts w:ascii="Arial" w:hAnsi="Arial"/>
          <w:vertAlign w:val="superscript"/>
        </w:rPr>
        <w:footnoteReference w:id="269"/>
      </w:r>
      <w:r>
        <w:rPr>
          <w:rFonts w:ascii="Arial" w:hAnsi="Arial"/>
        </w:rPr>
        <w:t xml:space="preserve"> or act on sport</w:t>
      </w:r>
      <w:r>
        <w:rPr>
          <w:rStyle w:val="Odwoanieprzypisudolnego"/>
          <w:rFonts w:ascii="Arial" w:hAnsi="Arial"/>
        </w:rPr>
        <w:footnoteReference w:id="270"/>
      </w:r>
      <w:r>
        <w:rPr>
          <w:rFonts w:ascii="Arial" w:hAnsi="Arial"/>
        </w:rPr>
        <w:t xml:space="preserve"> apply to persons with disabilities. Despite the aforementioned, the Human Rights Defender receives numerous signals regarding discrimination or total exclusion of persons with disabilities from cultural life.</w:t>
      </w:r>
    </w:p>
    <w:p w14:paraId="4CC16A06" w14:textId="77777777" w:rsidR="00770AC9" w:rsidRDefault="00770AC9" w:rsidP="00477195">
      <w:pPr>
        <w:pStyle w:val="Akapitzlist"/>
        <w:numPr>
          <w:ilvl w:val="0"/>
          <w:numId w:val="17"/>
        </w:numPr>
        <w:spacing w:before="120" w:after="120" w:line="360" w:lineRule="auto"/>
        <w:ind w:left="284" w:hanging="284"/>
        <w:contextualSpacing w:val="0"/>
        <w:jc w:val="both"/>
        <w:rPr>
          <w:rFonts w:ascii="Arial" w:hAnsi="Arial" w:cs="Arial"/>
          <w:b/>
        </w:rPr>
      </w:pPr>
      <w:r>
        <w:rPr>
          <w:rFonts w:ascii="Arial" w:hAnsi="Arial"/>
          <w:b/>
        </w:rPr>
        <w:t>Progress and successes in realisation of the right to participate in cultural life, recreation, leisure and sport</w:t>
      </w:r>
    </w:p>
    <w:p w14:paraId="1C7444F8" w14:textId="77777777" w:rsidR="0096224F" w:rsidRPr="0096224F" w:rsidRDefault="0096224F" w:rsidP="0056261D">
      <w:pPr>
        <w:pStyle w:val="Akapitzlist"/>
        <w:spacing w:after="0" w:line="360" w:lineRule="auto"/>
        <w:ind w:left="0" w:firstLine="709"/>
        <w:jc w:val="both"/>
        <w:rPr>
          <w:rFonts w:ascii="Arial" w:hAnsi="Arial" w:cs="Arial"/>
        </w:rPr>
      </w:pPr>
      <w:r>
        <w:rPr>
          <w:rFonts w:ascii="Arial" w:hAnsi="Arial"/>
        </w:rPr>
        <w:t xml:space="preserve">Recently, the acts regulating this thematic scope were supplemented by the provisions of law intended to ensure access of persons with disabilities to culture and recreation, as well as to ensure support to athletes with disabilities, on equal terms with other athletes. </w:t>
      </w:r>
    </w:p>
    <w:p w14:paraId="33869757" w14:textId="77777777" w:rsidR="0096224F" w:rsidRPr="0096224F" w:rsidRDefault="00D83671" w:rsidP="00D83671">
      <w:pPr>
        <w:pStyle w:val="Akapitzlist"/>
        <w:spacing w:after="0" w:line="360" w:lineRule="auto"/>
        <w:ind w:left="0" w:firstLine="709"/>
        <w:jc w:val="both"/>
        <w:rPr>
          <w:rFonts w:ascii="Arial" w:hAnsi="Arial" w:cs="Arial"/>
          <w:bCs/>
        </w:rPr>
      </w:pPr>
      <w:r>
        <w:rPr>
          <w:rFonts w:ascii="Arial" w:hAnsi="Arial"/>
        </w:rPr>
        <w:t>In line with Article 33</w:t>
      </w:r>
      <w:r>
        <w:rPr>
          <w:rFonts w:ascii="Arial" w:hAnsi="Arial"/>
          <w:vertAlign w:val="superscript"/>
        </w:rPr>
        <w:t>1</w:t>
      </w:r>
      <w:r>
        <w:rPr>
          <w:rFonts w:ascii="Arial" w:hAnsi="Arial"/>
        </w:rPr>
        <w:t xml:space="preserve"> of the Act on copyright, </w:t>
      </w:r>
      <w:r>
        <w:rPr>
          <w:rFonts w:ascii="Arial" w:hAnsi="Arial"/>
          <w:i/>
        </w:rPr>
        <w:t>it is permitted to use works already distributed for the benefit of persons with disabilities provided that such use is directly related to their disabilities, is not for profit, and is undertaken to the extent arising from the nature of the disability.</w:t>
      </w:r>
      <w:r>
        <w:rPr>
          <w:rFonts w:ascii="Arial" w:hAnsi="Arial"/>
        </w:rPr>
        <w:t xml:space="preserve"> In turn, in line with Article 18a of the Act on radio and television, television programme broadcasters are obliged to </w:t>
      </w:r>
      <w:r>
        <w:rPr>
          <w:rFonts w:ascii="Arial" w:hAnsi="Arial"/>
          <w:i/>
        </w:rPr>
        <w:t>ensure accessibility of programmes to persons with disabilities on the grounds of dysfunctions to sight and hearing by introducing relevant facilitations: audio description, subtitles for deaf persons and interpretations into sign language, so that at least 10% of the broadcasting time per quarter (excluding advertising and television shopping shows) were accompanied by such facilitations</w:t>
      </w:r>
      <w:r>
        <w:rPr>
          <w:rFonts w:ascii="Arial" w:hAnsi="Arial"/>
        </w:rPr>
        <w:t>.</w:t>
      </w:r>
    </w:p>
    <w:p w14:paraId="4D68B5C1" w14:textId="77777777" w:rsidR="00634815" w:rsidRDefault="00634815" w:rsidP="0056261D">
      <w:pPr>
        <w:pStyle w:val="Akapitzlist"/>
        <w:spacing w:after="0" w:line="360" w:lineRule="auto"/>
        <w:ind w:left="0" w:firstLine="709"/>
        <w:jc w:val="both"/>
        <w:rPr>
          <w:rFonts w:ascii="Arial" w:hAnsi="Arial" w:cs="Arial"/>
          <w:bCs/>
        </w:rPr>
      </w:pPr>
      <w:r>
        <w:rPr>
          <w:rFonts w:ascii="Arial" w:hAnsi="Arial"/>
        </w:rPr>
        <w:t xml:space="preserve">At the moment, winners of medals on Paralympic Games and Deaflympic Games receive Olympic benefits on the same terms as winners of medals on Olympic Games. The same benefits were also awarded to persons that won medals on sport events that were the equivalent of Paralympic Games held before 1989 and the equivalent of the Deaflympic Games held before 2001.      </w:t>
      </w:r>
    </w:p>
    <w:p w14:paraId="45117C16" w14:textId="1F2F2676" w:rsidR="0096224F" w:rsidRPr="0096224F" w:rsidRDefault="003C285C" w:rsidP="0056261D">
      <w:pPr>
        <w:pStyle w:val="Akapitzlist"/>
        <w:spacing w:after="0" w:line="360" w:lineRule="auto"/>
        <w:ind w:left="0" w:firstLine="709"/>
        <w:jc w:val="both"/>
        <w:rPr>
          <w:rFonts w:ascii="Arial" w:hAnsi="Arial" w:cs="Arial"/>
          <w:bCs/>
        </w:rPr>
      </w:pPr>
      <w:r>
        <w:rPr>
          <w:rFonts w:ascii="Arial" w:hAnsi="Arial"/>
        </w:rPr>
        <w:t>In line with the Act on rehabilitation</w:t>
      </w:r>
      <w:r>
        <w:rPr>
          <w:rFonts w:ascii="Arial" w:hAnsi="Arial"/>
          <w:vertAlign w:val="superscript"/>
        </w:rPr>
        <w:footnoteReference w:id="271"/>
      </w:r>
      <w:r>
        <w:rPr>
          <w:rFonts w:ascii="Arial" w:hAnsi="Arial"/>
        </w:rPr>
        <w:t>, persons with disabilities are entitled to enter national parks and nature reserves, including beaches and bathing resorts, with assisting dogs.</w:t>
      </w:r>
    </w:p>
    <w:p w14:paraId="7F63AC4D" w14:textId="77777777" w:rsidR="00770AC9" w:rsidRDefault="00770AC9" w:rsidP="00477195">
      <w:pPr>
        <w:pStyle w:val="Akapitzlist"/>
        <w:numPr>
          <w:ilvl w:val="0"/>
          <w:numId w:val="17"/>
        </w:numPr>
        <w:spacing w:before="120" w:after="120" w:line="360" w:lineRule="auto"/>
        <w:ind w:left="284" w:hanging="284"/>
        <w:contextualSpacing w:val="0"/>
        <w:jc w:val="both"/>
        <w:rPr>
          <w:rFonts w:ascii="Arial" w:hAnsi="Arial" w:cs="Arial"/>
          <w:b/>
        </w:rPr>
      </w:pPr>
      <w:r>
        <w:rPr>
          <w:rFonts w:ascii="Arial" w:hAnsi="Arial"/>
          <w:b/>
        </w:rPr>
        <w:t>Major problems and barriers in realisation of the right to participate in cultural life, recreation, leisure and sport – available data</w:t>
      </w:r>
    </w:p>
    <w:p w14:paraId="0855AB7A" w14:textId="77777777" w:rsidR="0096224F" w:rsidRPr="0096224F" w:rsidRDefault="0096224F" w:rsidP="0056261D">
      <w:pPr>
        <w:spacing w:after="0" w:line="360" w:lineRule="auto"/>
        <w:ind w:firstLine="709"/>
        <w:jc w:val="both"/>
        <w:rPr>
          <w:rFonts w:ascii="Arial" w:hAnsi="Arial" w:cs="Arial"/>
        </w:rPr>
      </w:pPr>
      <w:r>
        <w:rPr>
          <w:rFonts w:ascii="Arial" w:hAnsi="Arial"/>
        </w:rPr>
        <w:t>While the aforementioned regulations are assessed positively, one must also indicate their faults, as a result of which access of persons with disabilities to products of culture is limited.</w:t>
      </w:r>
    </w:p>
    <w:p w14:paraId="59A00F55" w14:textId="77777777" w:rsidR="0096224F" w:rsidRPr="0096224F" w:rsidRDefault="004914C4" w:rsidP="0056261D">
      <w:pPr>
        <w:spacing w:after="0" w:line="360" w:lineRule="auto"/>
        <w:ind w:firstLine="709"/>
        <w:jc w:val="both"/>
        <w:rPr>
          <w:rFonts w:ascii="Arial" w:hAnsi="Arial" w:cs="Arial"/>
          <w:bCs/>
        </w:rPr>
      </w:pPr>
      <w:r>
        <w:rPr>
          <w:rFonts w:ascii="Arial" w:hAnsi="Arial"/>
        </w:rPr>
        <w:t>The provision of Article 33</w:t>
      </w:r>
      <w:r>
        <w:rPr>
          <w:rFonts w:ascii="Arial" w:hAnsi="Arial"/>
          <w:vertAlign w:val="superscript"/>
        </w:rPr>
        <w:t>1</w:t>
      </w:r>
      <w:r>
        <w:rPr>
          <w:rFonts w:ascii="Arial" w:hAnsi="Arial"/>
        </w:rPr>
        <w:t xml:space="preserve"> of the act on copyright in its current wording does not allow for preparing audio description or interpretation into sign language without the consent of the copyright owner. This is because such activities result in creating a related work, which is used for commercial purposes (e.g. by television channels). It constitutes a serious barrier in realisation of the rights of persons with disabilities.</w:t>
      </w:r>
    </w:p>
    <w:p w14:paraId="6C790991" w14:textId="199E6C18" w:rsidR="0096224F" w:rsidRDefault="0096224F" w:rsidP="008E53A2">
      <w:pPr>
        <w:spacing w:after="0" w:line="360" w:lineRule="auto"/>
        <w:ind w:firstLine="709"/>
        <w:jc w:val="both"/>
        <w:rPr>
          <w:rFonts w:ascii="Arial" w:hAnsi="Arial" w:cs="Arial"/>
        </w:rPr>
      </w:pPr>
      <w:r>
        <w:rPr>
          <w:rFonts w:ascii="Arial" w:hAnsi="Arial"/>
        </w:rPr>
        <w:t>Problems are also posed by the unclear wording of Article 18a of the Act on radio and television, from which it does not follow whether the statutory requirement of 10% of adapted programmes applies to each technique separately (sign language interpreter, subtitles, audio description) or jointly, and if jointly, what is the ratio of individual techniques. Since the entry of that provision into force, three interpretations have been in use. The first one arises from the statement of grounds for the draft act</w:t>
      </w:r>
      <w:r>
        <w:rPr>
          <w:rStyle w:val="Odwoanieprzypisudolnego"/>
          <w:rFonts w:ascii="Arial" w:hAnsi="Arial"/>
        </w:rPr>
        <w:footnoteReference w:id="272"/>
      </w:r>
      <w:r>
        <w:rPr>
          <w:rFonts w:ascii="Arial" w:hAnsi="Arial"/>
        </w:rPr>
        <w:t>; in line with this interpretation, the 10% requirement indicated in the statute should apply proportionally to each of the three techniques. A separate interpretation of this provision was proposed by broadcasters, according to which the 10% requirement applies to all three facilitations jointly, and may be divided by the broadcaster in any manner. In turn, according to the organisations of persons with disabilities, the broadcasters are obliged to broadcast at least 10% of programmes with each of these facilitations</w:t>
      </w:r>
      <w:r>
        <w:rPr>
          <w:rFonts w:ascii="Arial" w:hAnsi="Arial"/>
          <w:vertAlign w:val="superscript"/>
        </w:rPr>
        <w:footnoteReference w:id="273"/>
      </w:r>
      <w:r>
        <w:rPr>
          <w:rFonts w:ascii="Arial" w:hAnsi="Arial"/>
        </w:rPr>
        <w:t>. At the moment, pursuant to the agreement made by the representatives of broadcasters, the interpretation that is least favourable to persons with disabilities ent</w:t>
      </w:r>
      <w:r w:rsidR="00D017E3">
        <w:rPr>
          <w:rFonts w:ascii="Arial" w:hAnsi="Arial"/>
        </w:rPr>
        <w:t>ered into force. It must also b</w:t>
      </w:r>
      <w:r>
        <w:rPr>
          <w:rFonts w:ascii="Arial" w:hAnsi="Arial"/>
        </w:rPr>
        <w:t>e noted that the Act on radio and television – contrary to the principle of gradual achievement of full realisation of social rights, does not provide for gradual increase of the obligations imposed on the broadcasters as regards broadcasting programmes with facilitations for persons with disabilities</w:t>
      </w:r>
      <w:r>
        <w:rPr>
          <w:rFonts w:ascii="Arial" w:hAnsi="Arial"/>
          <w:vertAlign w:val="superscript"/>
        </w:rPr>
        <w:footnoteReference w:id="274"/>
      </w:r>
      <w:r>
        <w:rPr>
          <w:rFonts w:ascii="Arial" w:hAnsi="Arial"/>
        </w:rPr>
        <w:t xml:space="preserve">. </w:t>
      </w:r>
    </w:p>
    <w:p w14:paraId="7A70E9C5" w14:textId="77777777" w:rsidR="008E53A2" w:rsidRPr="008E53A2" w:rsidRDefault="008E53A2" w:rsidP="008E53A2">
      <w:pPr>
        <w:spacing w:after="0" w:line="360" w:lineRule="auto"/>
        <w:ind w:firstLine="709"/>
        <w:jc w:val="both"/>
        <w:rPr>
          <w:rFonts w:ascii="Arial" w:hAnsi="Arial" w:cs="Arial"/>
        </w:rPr>
      </w:pPr>
      <w:r>
        <w:rPr>
          <w:rFonts w:ascii="Arial" w:hAnsi="Arial"/>
        </w:rPr>
        <w:t xml:space="preserve">Any doubts related to interpreting the provisions of the Act on radio and television as regards the obligation to adapt the given programming time to the needs of persons with disabilities result in the fact that still only a small percentage of programmes is accessible to persons with disabilities. From the data obtained from the National Radio and Television Council it follows that, for example, in Q1 2014 the biggest public channels </w:t>
      </w:r>
      <w:r>
        <w:rPr>
          <w:rFonts w:ascii="Arial" w:hAnsi="Arial"/>
          <w:b/>
        </w:rPr>
        <w:t>– TVP1 and TVP2 – ensured 31.4% and 20.3% programmes with subtitles respectively. Among the biggest privately-owned channels, TVN ensured 19.1%, while Polsat – 16.5%.</w:t>
      </w:r>
      <w:r>
        <w:rPr>
          <w:rFonts w:ascii="Arial" w:hAnsi="Arial"/>
        </w:rPr>
        <w:t xml:space="preserve"> Such a high percentage of programming with subtitles might be explained by the cost of this solution – it is the cheapest one out of the three techniques mentioned above.</w:t>
      </w:r>
    </w:p>
    <w:p w14:paraId="58C5328F" w14:textId="77777777" w:rsidR="008E53A2" w:rsidRDefault="008E53A2" w:rsidP="008E53A2">
      <w:pPr>
        <w:spacing w:after="0" w:line="360" w:lineRule="auto"/>
        <w:ind w:firstLine="709"/>
        <w:jc w:val="both"/>
        <w:rPr>
          <w:rFonts w:ascii="Arial" w:hAnsi="Arial"/>
          <w:b/>
        </w:rPr>
      </w:pPr>
      <w:r>
        <w:rPr>
          <w:rFonts w:ascii="Arial" w:hAnsi="Arial"/>
          <w:b/>
        </w:rPr>
        <w:t>The number of programmes broadcast with audio description is much lower: 2% (TVP1), 1.4% (TVP2), 5.9% (TVN) and 2.2% (Polsat).</w:t>
      </w:r>
      <w:r>
        <w:rPr>
          <w:rFonts w:ascii="Arial" w:hAnsi="Arial"/>
        </w:rPr>
        <w:t xml:space="preserve"> In turn, ensuring programmes </w:t>
      </w:r>
      <w:r>
        <w:rPr>
          <w:rFonts w:ascii="Arial" w:hAnsi="Arial"/>
          <w:b/>
        </w:rPr>
        <w:t>with interpretation into sign language</w:t>
      </w:r>
      <w:r>
        <w:rPr>
          <w:rFonts w:ascii="Arial" w:hAnsi="Arial"/>
        </w:rPr>
        <w:t xml:space="preserve"> is practically marginal – </w:t>
      </w:r>
      <w:r>
        <w:rPr>
          <w:rFonts w:ascii="Arial" w:hAnsi="Arial"/>
          <w:b/>
        </w:rPr>
        <w:t xml:space="preserve">no programme was adapted in this way by TVP1 and TVN, while TVP2 and Polsat ensured 1.2% and 0.1% of such programming, respectively. </w:t>
      </w:r>
    </w:p>
    <w:p w14:paraId="706EE4CF" w14:textId="77777777" w:rsidR="00504B30" w:rsidRDefault="00504B30" w:rsidP="008E53A2">
      <w:pPr>
        <w:spacing w:after="0" w:line="360" w:lineRule="auto"/>
        <w:ind w:firstLine="709"/>
        <w:jc w:val="both"/>
        <w:rPr>
          <w:rFonts w:ascii="Arial" w:hAnsi="Arial" w:cs="Arial"/>
        </w:rPr>
      </w:pPr>
    </w:p>
    <w:p w14:paraId="142D7C57" w14:textId="77777777" w:rsidR="00735FB3" w:rsidRDefault="00735FB3" w:rsidP="008E53A2">
      <w:pPr>
        <w:spacing w:after="0" w:line="360" w:lineRule="auto"/>
        <w:ind w:firstLine="709"/>
        <w:jc w:val="both"/>
        <w:rPr>
          <w:rFonts w:ascii="Arial" w:hAnsi="Arial" w:cs="Arial"/>
        </w:rPr>
      </w:pPr>
    </w:p>
    <w:p w14:paraId="3007DF69" w14:textId="77777777" w:rsidR="00735FB3" w:rsidRDefault="00735FB3" w:rsidP="008E53A2">
      <w:pPr>
        <w:spacing w:after="0" w:line="360" w:lineRule="auto"/>
        <w:ind w:firstLine="709"/>
        <w:jc w:val="both"/>
        <w:rPr>
          <w:rFonts w:ascii="Arial" w:hAnsi="Arial" w:cs="Arial"/>
        </w:rPr>
      </w:pPr>
    </w:p>
    <w:p w14:paraId="391295C3" w14:textId="77777777" w:rsidR="00735FB3" w:rsidRDefault="00735FB3" w:rsidP="008E53A2">
      <w:pPr>
        <w:spacing w:after="0" w:line="360" w:lineRule="auto"/>
        <w:ind w:firstLine="709"/>
        <w:jc w:val="both"/>
        <w:rPr>
          <w:rFonts w:ascii="Arial" w:hAnsi="Arial" w:cs="Arial"/>
        </w:rPr>
      </w:pPr>
    </w:p>
    <w:p w14:paraId="190832C8" w14:textId="77777777" w:rsidR="00735FB3" w:rsidRPr="008E53A2" w:rsidRDefault="00735FB3" w:rsidP="008E53A2">
      <w:pPr>
        <w:spacing w:after="0" w:line="360" w:lineRule="auto"/>
        <w:ind w:firstLine="709"/>
        <w:jc w:val="both"/>
        <w:rPr>
          <w:rFonts w:ascii="Arial" w:hAnsi="Arial" w:cs="Arial"/>
        </w:rPr>
      </w:pPr>
    </w:p>
    <w:p w14:paraId="0871C0AE" w14:textId="77777777" w:rsidR="00504B30" w:rsidRPr="00735FB3" w:rsidRDefault="00504B30" w:rsidP="00504B30">
      <w:pPr>
        <w:spacing w:after="0" w:line="360" w:lineRule="auto"/>
        <w:jc w:val="center"/>
        <w:rPr>
          <w:rFonts w:ascii="Arial" w:hAnsi="Arial" w:cs="Arial"/>
          <w:b/>
          <w:bCs/>
        </w:rPr>
      </w:pPr>
      <w:r w:rsidRPr="00735FB3">
        <w:rPr>
          <w:rFonts w:ascii="Arial" w:hAnsi="Arial" w:cs="Arial"/>
          <w:b/>
          <w:bCs/>
        </w:rPr>
        <w:t>The percentage of programming time</w:t>
      </w:r>
    </w:p>
    <w:p w14:paraId="5DCFA52A" w14:textId="77777777" w:rsidR="00504B30" w:rsidRPr="00735FB3" w:rsidRDefault="00504B30" w:rsidP="00504B30">
      <w:pPr>
        <w:spacing w:after="0" w:line="360" w:lineRule="auto"/>
        <w:jc w:val="center"/>
        <w:rPr>
          <w:rFonts w:ascii="Arial" w:hAnsi="Arial" w:cs="Arial"/>
          <w:b/>
          <w:bCs/>
        </w:rPr>
      </w:pPr>
      <w:r w:rsidRPr="00735FB3">
        <w:rPr>
          <w:rFonts w:ascii="Arial" w:hAnsi="Arial" w:cs="Arial"/>
          <w:b/>
          <w:bCs/>
        </w:rPr>
        <w:t>broadcast by major television channels in the</w:t>
      </w:r>
    </w:p>
    <w:p w14:paraId="161E29DA" w14:textId="0200314D" w:rsidR="00504B30" w:rsidRPr="00735FB3" w:rsidRDefault="00504B30" w:rsidP="00504B30">
      <w:pPr>
        <w:spacing w:after="0" w:line="360" w:lineRule="auto"/>
        <w:jc w:val="center"/>
        <w:rPr>
          <w:rFonts w:ascii="Arial" w:hAnsi="Arial" w:cs="Arial"/>
          <w:lang w:val="en-US"/>
        </w:rPr>
      </w:pPr>
      <w:r w:rsidRPr="00735FB3">
        <w:rPr>
          <w:rFonts w:ascii="Arial" w:hAnsi="Arial" w:cs="Arial"/>
          <w:b/>
          <w:bCs/>
        </w:rPr>
        <w:t>period of January-March 2014</w:t>
      </w:r>
    </w:p>
    <w:p w14:paraId="5D16F86D" w14:textId="1276A7C1" w:rsidR="009B1D50" w:rsidRDefault="00172D24" w:rsidP="008E53A2">
      <w:pPr>
        <w:spacing w:after="0" w:line="360" w:lineRule="auto"/>
        <w:ind w:firstLine="709"/>
        <w:jc w:val="both"/>
        <w:rPr>
          <w:rFonts w:ascii="Arial" w:hAnsi="Arial" w:cs="Arial"/>
        </w:rPr>
      </w:pPr>
      <w:r>
        <w:rPr>
          <w:rFonts w:ascii="Arial" w:hAnsi="Arial" w:cs="Arial"/>
          <w:noProof/>
          <w:lang w:val="pl-PL" w:eastAsia="pl-PL" w:bidi="ar-SA"/>
        </w:rPr>
        <w:drawing>
          <wp:inline distT="0" distB="0" distL="0" distR="0" wp14:anchorId="6D0E5334" wp14:editId="08FEC11F">
            <wp:extent cx="5486400" cy="2051436"/>
            <wp:effectExtent l="0" t="0" r="0" b="6350"/>
            <wp:docPr id="18" name="Wykres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34AC7498" w14:textId="77777777" w:rsidR="00C6467E" w:rsidRDefault="00C6467E" w:rsidP="00C6467E">
      <w:pPr>
        <w:spacing w:after="0" w:line="360" w:lineRule="auto"/>
        <w:jc w:val="center"/>
        <w:rPr>
          <w:rFonts w:ascii="Arial" w:hAnsi="Arial"/>
          <w:sz w:val="16"/>
        </w:rPr>
      </w:pPr>
      <w:r>
        <w:rPr>
          <w:rFonts w:ascii="Arial" w:hAnsi="Arial"/>
          <w:sz w:val="16"/>
        </w:rPr>
        <w:t>Prepared by: Office of the Human Rights Defender on the basis of the data disclosed by the National Radio and Television Council.</w:t>
      </w:r>
    </w:p>
    <w:p w14:paraId="561B888A" w14:textId="77777777" w:rsidR="00C6467E" w:rsidRPr="00A5012D" w:rsidRDefault="00C6467E" w:rsidP="00C6467E">
      <w:pPr>
        <w:spacing w:after="0" w:line="360" w:lineRule="auto"/>
        <w:jc w:val="center"/>
        <w:rPr>
          <w:rFonts w:ascii="Arial" w:hAnsi="Arial" w:cs="Arial"/>
          <w:sz w:val="16"/>
          <w:szCs w:val="16"/>
        </w:rPr>
      </w:pPr>
    </w:p>
    <w:p w14:paraId="55454B1B" w14:textId="77777777" w:rsidR="008E53A2" w:rsidRPr="008E53A2" w:rsidRDefault="008E53A2" w:rsidP="008E53A2">
      <w:pPr>
        <w:spacing w:after="0" w:line="360" w:lineRule="auto"/>
        <w:ind w:firstLine="709"/>
        <w:jc w:val="both"/>
        <w:rPr>
          <w:rFonts w:ascii="Arial" w:hAnsi="Arial" w:cs="Arial"/>
          <w:b/>
        </w:rPr>
      </w:pPr>
      <w:r>
        <w:rPr>
          <w:rFonts w:ascii="Arial" w:hAnsi="Arial"/>
        </w:rPr>
        <w:t>The aforementioned statistical data shows that television channels, if they do broadcast facilitated programming, it is not uniform, and it does not ensure accessibility to persons with different types of disabilities. As a consequence, persons with disabilities cannot select programming on different topics, which is consistent with their interests. Some channels, considering the type of the facilitation used, are only accessible to the blind, others – to the deaf knowing Polish. This situation does not contribute to ensuring as extensive as possible access to the products of culture to persons with disabilities.</w:t>
      </w:r>
    </w:p>
    <w:p w14:paraId="07019875" w14:textId="77777777" w:rsidR="00770AC9" w:rsidRDefault="003A77C4" w:rsidP="00477195">
      <w:pPr>
        <w:pStyle w:val="Akapitzlist"/>
        <w:numPr>
          <w:ilvl w:val="0"/>
          <w:numId w:val="17"/>
        </w:numPr>
        <w:spacing w:before="120" w:after="120" w:line="360" w:lineRule="auto"/>
        <w:ind w:left="284" w:hanging="284"/>
        <w:contextualSpacing w:val="0"/>
        <w:jc w:val="both"/>
        <w:rPr>
          <w:rFonts w:ascii="Arial" w:hAnsi="Arial" w:cs="Arial"/>
          <w:b/>
        </w:rPr>
      </w:pPr>
      <w:r>
        <w:rPr>
          <w:rFonts w:ascii="Arial" w:hAnsi="Arial"/>
          <w:b/>
        </w:rPr>
        <w:t>Major recommendations</w:t>
      </w:r>
    </w:p>
    <w:p w14:paraId="086AEA38" w14:textId="5A2CB56C" w:rsidR="00A75522" w:rsidRDefault="00A75522" w:rsidP="0056261D">
      <w:pPr>
        <w:spacing w:after="0" w:line="360" w:lineRule="auto"/>
        <w:ind w:firstLine="709"/>
        <w:jc w:val="both"/>
        <w:rPr>
          <w:rFonts w:ascii="Arial" w:hAnsi="Arial" w:cs="Arial"/>
        </w:rPr>
      </w:pPr>
      <w:r>
        <w:rPr>
          <w:rFonts w:ascii="Arial" w:hAnsi="Arial"/>
        </w:rPr>
        <w:t>According to the Human Rights Defender, for the purposes of realisation of the right of persons with disabilities to participation in cultural life, recreation, leisure and sport, it is necessary to:</w:t>
      </w:r>
    </w:p>
    <w:p w14:paraId="08A8261D" w14:textId="77777777" w:rsidR="00A75522" w:rsidRDefault="00A75522" w:rsidP="003D345C">
      <w:pPr>
        <w:pStyle w:val="Akapitzlist"/>
        <w:numPr>
          <w:ilvl w:val="0"/>
          <w:numId w:val="40"/>
        </w:numPr>
        <w:spacing w:after="0" w:line="360" w:lineRule="auto"/>
        <w:ind w:left="284" w:hanging="284"/>
        <w:jc w:val="both"/>
        <w:rPr>
          <w:rFonts w:ascii="Arial" w:hAnsi="Arial" w:cs="Arial"/>
        </w:rPr>
      </w:pPr>
      <w:r>
        <w:rPr>
          <w:rFonts w:ascii="Arial" w:hAnsi="Arial"/>
        </w:rPr>
        <w:t>shape the provisions of the copyright in such a way so that they do not constitute an actual obstacle to adapting the work to the needs of persons with sight or hearing disabilities;</w:t>
      </w:r>
    </w:p>
    <w:p w14:paraId="35CAC9C1" w14:textId="77777777" w:rsidR="00005DA7" w:rsidRDefault="00005DA7" w:rsidP="003D345C">
      <w:pPr>
        <w:pStyle w:val="Akapitzlist"/>
        <w:numPr>
          <w:ilvl w:val="0"/>
          <w:numId w:val="40"/>
        </w:numPr>
        <w:spacing w:after="0" w:line="360" w:lineRule="auto"/>
        <w:ind w:left="284" w:hanging="284"/>
        <w:jc w:val="both"/>
        <w:rPr>
          <w:rFonts w:ascii="Arial" w:hAnsi="Arial" w:cs="Arial"/>
        </w:rPr>
      </w:pPr>
      <w:r>
        <w:rPr>
          <w:rFonts w:ascii="Arial" w:hAnsi="Arial"/>
        </w:rPr>
        <w:t>regulate the obligations of television broadcasters in a precise way, so that persons with all types of disabilities could have access to that programming on equal terms with other persons, considering the principle of gradual realisation of social rights;</w:t>
      </w:r>
    </w:p>
    <w:p w14:paraId="3FAAB2D3" w14:textId="77777777" w:rsidR="00005DA7" w:rsidRDefault="00005DA7" w:rsidP="003D345C">
      <w:pPr>
        <w:pStyle w:val="Akapitzlist"/>
        <w:numPr>
          <w:ilvl w:val="0"/>
          <w:numId w:val="40"/>
        </w:numPr>
        <w:tabs>
          <w:tab w:val="left" w:pos="284"/>
        </w:tabs>
        <w:spacing w:after="0" w:line="360" w:lineRule="auto"/>
        <w:ind w:left="284" w:hanging="284"/>
        <w:jc w:val="both"/>
        <w:rPr>
          <w:rFonts w:ascii="Arial" w:hAnsi="Arial" w:cs="Arial"/>
        </w:rPr>
      </w:pPr>
      <w:r>
        <w:rPr>
          <w:rFonts w:ascii="Arial" w:hAnsi="Arial"/>
        </w:rPr>
        <w:t>put more emphasis on promoting sport of persons with disabilities and ensure comprehensive support to Polish representatives with disabilities to international competitions;</w:t>
      </w:r>
    </w:p>
    <w:p w14:paraId="129B2DF5" w14:textId="75C6E1F3" w:rsidR="00005DA7" w:rsidRPr="00005DA7" w:rsidRDefault="00005DA7" w:rsidP="003D345C">
      <w:pPr>
        <w:pStyle w:val="Akapitzlist"/>
        <w:numPr>
          <w:ilvl w:val="0"/>
          <w:numId w:val="40"/>
        </w:numPr>
        <w:tabs>
          <w:tab w:val="left" w:pos="284"/>
        </w:tabs>
        <w:spacing w:after="0" w:line="360" w:lineRule="auto"/>
        <w:ind w:left="284"/>
        <w:jc w:val="both"/>
        <w:rPr>
          <w:rFonts w:ascii="Arial" w:hAnsi="Arial" w:cs="Arial"/>
        </w:rPr>
      </w:pPr>
      <w:r>
        <w:rPr>
          <w:rFonts w:ascii="Arial" w:hAnsi="Arial"/>
        </w:rPr>
        <w:t>intensify the measures intended to convince private institutions from various sectors to deliver information and services in the area of culture, recreation, leisure and sport in the form that is accessible to persons with disabilities, including Braille, Polish Sign Language and other forms of alternative communication (e.g. easy to read language, augmentative forms).</w:t>
      </w:r>
    </w:p>
    <w:p w14:paraId="615B50C0" w14:textId="77777777" w:rsidR="00524801" w:rsidRDefault="00524801" w:rsidP="003A77C4">
      <w:pPr>
        <w:spacing w:after="0" w:line="360" w:lineRule="auto"/>
        <w:jc w:val="both"/>
        <w:rPr>
          <w:rFonts w:ascii="Arial" w:hAnsi="Arial" w:cs="Arial"/>
          <w:sz w:val="16"/>
          <w:szCs w:val="16"/>
        </w:rPr>
      </w:pPr>
    </w:p>
    <w:p w14:paraId="0735CE2A" w14:textId="77777777" w:rsidR="00524801" w:rsidRDefault="00524801" w:rsidP="003A77C4">
      <w:pPr>
        <w:spacing w:after="0" w:line="360" w:lineRule="auto"/>
        <w:jc w:val="both"/>
        <w:rPr>
          <w:rFonts w:ascii="Arial" w:hAnsi="Arial" w:cs="Arial"/>
          <w:sz w:val="16"/>
          <w:szCs w:val="16"/>
        </w:rPr>
      </w:pPr>
    </w:p>
    <w:p w14:paraId="29821F47" w14:textId="49F6030A" w:rsidR="00FA592E" w:rsidRDefault="00FA592E">
      <w:pPr>
        <w:rPr>
          <w:rFonts w:ascii="Arial" w:hAnsi="Arial" w:cs="Arial"/>
          <w:sz w:val="16"/>
          <w:szCs w:val="16"/>
        </w:rPr>
      </w:pPr>
      <w:r>
        <w:br w:type="page"/>
      </w:r>
    </w:p>
    <w:p w14:paraId="3427081E" w14:textId="1A8D59E3" w:rsidR="00B53D85" w:rsidRPr="00DC6776" w:rsidRDefault="00B53D85" w:rsidP="00470512">
      <w:pPr>
        <w:pStyle w:val="Nagwek1"/>
        <w:numPr>
          <w:ilvl w:val="0"/>
          <w:numId w:val="58"/>
        </w:numPr>
      </w:pPr>
      <w:bookmarkStart w:id="45" w:name="_Toc403999548"/>
      <w:bookmarkStart w:id="46" w:name="_Toc424279012"/>
      <w:r>
        <w:t>Information on the reservations and interpretation declaration to the provisions of the Convention filed by Poland</w:t>
      </w:r>
      <w:bookmarkEnd w:id="45"/>
      <w:bookmarkEnd w:id="46"/>
    </w:p>
    <w:p w14:paraId="3C5603E3" w14:textId="5C826847" w:rsidR="00232BDC" w:rsidRDefault="00232BDC" w:rsidP="001813AA">
      <w:pPr>
        <w:spacing w:after="0" w:line="360" w:lineRule="auto"/>
        <w:ind w:firstLine="567"/>
        <w:jc w:val="both"/>
        <w:rPr>
          <w:rFonts w:ascii="Arial" w:hAnsi="Arial" w:cs="Arial"/>
        </w:rPr>
      </w:pPr>
      <w:r>
        <w:rPr>
          <w:rFonts w:ascii="Arial" w:hAnsi="Arial"/>
        </w:rPr>
        <w:t>In line with the guidelines of the Committee, State Parties in their report should list reservations or interpretation declarations to individual articles of the Convention, along with the information whether these reservations remain valid</w:t>
      </w:r>
      <w:r>
        <w:rPr>
          <w:rStyle w:val="Odwoanieprzypisudolnego"/>
          <w:rFonts w:ascii="Arial" w:hAnsi="Arial"/>
        </w:rPr>
        <w:footnoteReference w:id="275"/>
      </w:r>
      <w:r>
        <w:rPr>
          <w:rFonts w:ascii="Arial" w:hAnsi="Arial"/>
        </w:rPr>
        <w:t>. Moreover, as regards the reservations submitted e.g. to Article 12 of the Convention, State Parties should additionally present information on interpretation and validity of those reservations. The said information are not included in the contents of the governmental report. Thus, below you will find the assessment of the Human Rights Defender of the contents and validity of unilateral statements made by Poland upon signing and ratifying the Convention.</w:t>
      </w:r>
    </w:p>
    <w:p w14:paraId="4ADFFCF2" w14:textId="246D7C1E" w:rsidR="001C552D" w:rsidRDefault="00E83C8A" w:rsidP="001813AA">
      <w:pPr>
        <w:spacing w:after="0" w:line="360" w:lineRule="auto"/>
        <w:ind w:firstLine="567"/>
        <w:jc w:val="both"/>
        <w:rPr>
          <w:rFonts w:ascii="Arial" w:hAnsi="Arial" w:cs="Arial"/>
        </w:rPr>
      </w:pPr>
      <w:r>
        <w:rPr>
          <w:rFonts w:ascii="Arial" w:hAnsi="Arial"/>
        </w:rPr>
        <w:t>Poland made reservations to the Convention on the Rights of Persons with Disabilities both upon signing it and upon submitting the ratification document. The areas indicated by the Polish government, which were recognized as particularly problematic from the point of compliance with the national law, concern three areas: equal recognition before the law (Article 12 of CRPD), right to marry (Article 23(1)(a) of CRPD) and sexual and reproductive health, as well as the right of persons with disabilities to make independent and responsible decisions on the number of children and the time they are born (Article 23(1)(b) and Article 25(a) of CRPD).</w:t>
      </w:r>
    </w:p>
    <w:p w14:paraId="7306EDF6" w14:textId="77777777" w:rsidR="00BC38D4" w:rsidRPr="00BC38D4" w:rsidRDefault="00BC38D4" w:rsidP="00477195">
      <w:pPr>
        <w:pStyle w:val="Akapitzlist"/>
        <w:numPr>
          <w:ilvl w:val="0"/>
          <w:numId w:val="23"/>
        </w:numPr>
        <w:spacing w:before="120" w:after="120" w:line="360" w:lineRule="auto"/>
        <w:ind w:left="284" w:hanging="284"/>
        <w:contextualSpacing w:val="0"/>
        <w:jc w:val="both"/>
        <w:rPr>
          <w:rFonts w:ascii="Arial" w:hAnsi="Arial" w:cs="Arial"/>
          <w:b/>
        </w:rPr>
      </w:pPr>
      <w:r>
        <w:rPr>
          <w:rFonts w:ascii="Arial" w:hAnsi="Arial"/>
          <w:b/>
        </w:rPr>
        <w:t>Poland’s declaration regarding Article 12 of CRPD – equal recognition before the law</w:t>
      </w:r>
    </w:p>
    <w:p w14:paraId="21B3C52B" w14:textId="4C264560" w:rsidR="00750875" w:rsidRPr="002B305E" w:rsidRDefault="00232BDC" w:rsidP="001813AA">
      <w:pPr>
        <w:spacing w:after="0" w:line="360" w:lineRule="auto"/>
        <w:ind w:firstLine="567"/>
        <w:jc w:val="both"/>
        <w:rPr>
          <w:rFonts w:ascii="Arial" w:hAnsi="Arial" w:cs="Arial"/>
          <w:lang w:val="pl-PL"/>
        </w:rPr>
      </w:pPr>
      <w:r w:rsidRPr="002B305E">
        <w:rPr>
          <w:rFonts w:ascii="Arial" w:hAnsi="Arial"/>
          <w:lang w:val="pl-PL"/>
        </w:rPr>
        <w:t xml:space="preserve">Upon ratifying the Convention, Poland submitted a declaration (entitled: interpretation declaration) in the following wording: </w:t>
      </w:r>
      <w:r w:rsidRPr="002B305E">
        <w:rPr>
          <w:rFonts w:ascii="Arial" w:hAnsi="Arial"/>
          <w:i/>
          <w:lang w:val="pl-PL"/>
        </w:rPr>
        <w:t>Rzeczpospolita Polska oświadcza, że interpretuje art. 12 Konwencji w sposób zezwalający na stosowanie ubezwłasnowolnienia, w okolicznościach i w sposób określony w prawie wewnętrznym, jako środka, o którym mowa w art. 12 ust. 4, w sytuacji, gdy wskutek choroby psychicznej, niedorozwoju umysłowego lub innego rodzaju zaburzeń psychicznych osoba nie jest w stanie kierować swoim postępowaniem</w:t>
      </w:r>
      <w:r>
        <w:rPr>
          <w:rFonts w:ascii="Arial" w:hAnsi="Arial"/>
          <w:vertAlign w:val="superscript"/>
        </w:rPr>
        <w:footnoteReference w:id="276"/>
      </w:r>
      <w:r w:rsidRPr="002B305E">
        <w:rPr>
          <w:rFonts w:ascii="Arial" w:hAnsi="Arial"/>
          <w:lang w:val="pl-PL"/>
        </w:rPr>
        <w:t>.</w:t>
      </w:r>
    </w:p>
    <w:p w14:paraId="089FBE7E" w14:textId="575ABFBE" w:rsidR="005B1304" w:rsidRPr="005B1304" w:rsidRDefault="004F2CFA" w:rsidP="001813AA">
      <w:pPr>
        <w:spacing w:after="0" w:line="360" w:lineRule="auto"/>
        <w:ind w:firstLine="567"/>
        <w:jc w:val="both"/>
        <w:rPr>
          <w:rFonts w:ascii="Arial" w:hAnsi="Arial" w:cs="Arial"/>
        </w:rPr>
      </w:pPr>
      <w:r>
        <w:rPr>
          <w:rFonts w:ascii="Arial" w:hAnsi="Arial"/>
        </w:rPr>
        <w:t xml:space="preserve">Considering the structure of the Polish institution of legal incapacitation, it must be recognized that the Polish declaration does not serve to make the provisions of the Convention more precise, but it </w:t>
      </w:r>
      <w:r>
        <w:rPr>
          <w:rFonts w:ascii="Arial" w:hAnsi="Arial"/>
          <w:i/>
        </w:rPr>
        <w:t>de facto</w:t>
      </w:r>
      <w:r>
        <w:rPr>
          <w:rFonts w:ascii="Arial" w:hAnsi="Arial"/>
        </w:rPr>
        <w:t xml:space="preserve"> excludes their application with respect to equal capacity for legal acts of persons with disabilities who, in line with the law binding in Poland, were legally incapacitated. In line with the wording of the declaration, the institution of legal incapacitation, regulated under the Polish Civil Code, is made equal with the measure mentioned in Article 12(4) of the Convention. It means that the wording of the Convention is significantly amended as regards equal recognition of persons with disabilities before the law. The Polish legal incapacitation model is a classic example of substitute decision-making mode, which fundamentally deviates from the requirements described in Article 12 of CRPD. As a consequence, irrespective of the title used to describe the declaration made by Poland, considering the consequence of that declaration with respect to the subject-matter scope of application of the Convention, we are dealing with a reservation subject to the restrictions listed in Article 19(c) of the Vienna Convention on the Law of Treaties</w:t>
      </w:r>
      <w:r>
        <w:rPr>
          <w:rStyle w:val="Odwoanieprzypisudolnego"/>
          <w:rFonts w:ascii="Arial" w:hAnsi="Arial"/>
        </w:rPr>
        <w:footnoteReference w:id="277"/>
      </w:r>
      <w:r>
        <w:rPr>
          <w:rFonts w:ascii="Arial" w:hAnsi="Arial"/>
        </w:rPr>
        <w:t xml:space="preserve"> and Article 46 of the Convention on the Rights of Persons with Disabilities, i.e. the requirement of compliance with the objective and the subject of the treaty.</w:t>
      </w:r>
    </w:p>
    <w:p w14:paraId="735BA044" w14:textId="2C17A269" w:rsidR="00446E54" w:rsidRDefault="00446E54" w:rsidP="001813AA">
      <w:pPr>
        <w:spacing w:after="0" w:line="360" w:lineRule="auto"/>
        <w:ind w:firstLine="567"/>
        <w:jc w:val="both"/>
        <w:rPr>
          <w:rFonts w:ascii="Arial" w:hAnsi="Arial" w:cs="Arial"/>
        </w:rPr>
      </w:pPr>
      <w:r>
        <w:rPr>
          <w:rFonts w:ascii="Arial" w:hAnsi="Arial"/>
        </w:rPr>
        <w:t>According to the Ombudsman, the declaration (reservation) filed by Poland as regards Article 12 of the Convention on the Rights of Persons with Disabilities does not meet the aforementioned criterion. There is no doubt that it is non-compliant with the objective of the Convention, which covers e.g. ensuring equal use of all human rights and fundamental freedoms by all persons with disabilities</w:t>
      </w:r>
      <w:r>
        <w:rPr>
          <w:rFonts w:ascii="Arial" w:hAnsi="Arial"/>
          <w:vertAlign w:val="superscript"/>
        </w:rPr>
        <w:footnoteReference w:id="278"/>
      </w:r>
      <w:r>
        <w:rPr>
          <w:rFonts w:ascii="Arial" w:hAnsi="Arial"/>
        </w:rPr>
        <w:t>. The Polish legal incapacitation institution does not meet the standards described in Article 12 of the Convention and does not meet any of the requirements discussed in that provision regarding the allowed measures with respect to the exercise of capacity for legal acts by persons with disabilities. It cannot be thus reasonably stated that Poland implements the provisions of the Convention, in the light of the functioning of the legal incapacitation institution in its current form.</w:t>
      </w:r>
    </w:p>
    <w:p w14:paraId="1D204F42" w14:textId="77777777" w:rsidR="009E7B3F" w:rsidRDefault="00446E54" w:rsidP="001813AA">
      <w:pPr>
        <w:spacing w:after="0" w:line="360" w:lineRule="auto"/>
        <w:ind w:firstLine="567"/>
        <w:jc w:val="both"/>
        <w:rPr>
          <w:rFonts w:ascii="Arial" w:hAnsi="Arial" w:cs="Arial"/>
        </w:rPr>
      </w:pPr>
      <w:r>
        <w:rPr>
          <w:rFonts w:ascii="Arial" w:hAnsi="Arial"/>
          <w:b/>
        </w:rPr>
        <w:t>Polish government should intensify the works on revising the provisions of the civil law regulating the legal incapacitation institution and introduce a supported decision-making system. The said revision should correspond to the standards discussed in Article 12 of CRPD, which will make it possible to withdraw the submitted declaration that does not correspond to the objectives of the Convention</w:t>
      </w:r>
      <w:r>
        <w:rPr>
          <w:rFonts w:ascii="Arial" w:hAnsi="Arial"/>
        </w:rPr>
        <w:t>.</w:t>
      </w:r>
    </w:p>
    <w:p w14:paraId="7AFD214E" w14:textId="77777777" w:rsidR="00C4440B" w:rsidRPr="00C4440B" w:rsidRDefault="00C4440B" w:rsidP="00477195">
      <w:pPr>
        <w:pStyle w:val="Akapitzlist"/>
        <w:numPr>
          <w:ilvl w:val="0"/>
          <w:numId w:val="23"/>
        </w:numPr>
        <w:spacing w:before="120" w:after="120" w:line="360" w:lineRule="auto"/>
        <w:ind w:left="284" w:hanging="284"/>
        <w:contextualSpacing w:val="0"/>
        <w:jc w:val="both"/>
        <w:rPr>
          <w:rFonts w:ascii="Arial" w:hAnsi="Arial" w:cs="Arial"/>
          <w:b/>
        </w:rPr>
      </w:pPr>
      <w:r>
        <w:rPr>
          <w:rFonts w:ascii="Arial" w:hAnsi="Arial"/>
          <w:b/>
        </w:rPr>
        <w:t>Poland’s reservation to Article 23(1)(a) of CRPD – the right to marry</w:t>
      </w:r>
    </w:p>
    <w:p w14:paraId="2ABD8244" w14:textId="48B3C9E6" w:rsidR="000042D8" w:rsidRPr="000042D8" w:rsidRDefault="00750875" w:rsidP="001813AA">
      <w:pPr>
        <w:spacing w:after="0" w:line="360" w:lineRule="auto"/>
        <w:ind w:firstLine="567"/>
        <w:jc w:val="both"/>
        <w:rPr>
          <w:rFonts w:ascii="Arial" w:hAnsi="Arial" w:cs="Arial"/>
        </w:rPr>
      </w:pPr>
      <w:r>
        <w:rPr>
          <w:rFonts w:ascii="Arial" w:hAnsi="Arial"/>
        </w:rPr>
        <w:t xml:space="preserve">In line with the reservation made by Poland upon submitting the ratification document: </w:t>
      </w:r>
      <w:r>
        <w:rPr>
          <w:rFonts w:ascii="Arial" w:hAnsi="Arial"/>
          <w:i/>
        </w:rPr>
        <w:t>Article 23(1)(a) of the Convention applies to recognising the right of all persons with disabilities of the marriageable age to marry and found a family, following a freely given and full consent of the future spouses. Pursuant to Article 46 of the Convention, the Republic of Poland reserves the right not to apply the provision of Article 23(1)(a) of the Convention until the provisions of Polish law are amended. Until this reservation is withdrawn, a person with disabilities, whose disability is due to a mental illness or mental deficiency, which is of marriageable age, may not marry unless a court consents to such marriage by stating that the health or mental condition of such a person poses no threat to the marriage or health of future offspring, and if that person was not fully legally incapacitated. These terms arise from Article 12(1) of the Act of 25 February 1964 – Polish Family and Guardianship Code (Polish Journal of Laws no. 9, item 59, as amended).</w:t>
      </w:r>
      <w:r>
        <w:rPr>
          <w:rFonts w:ascii="Arial" w:hAnsi="Arial"/>
          <w:i/>
          <w:vertAlign w:val="superscript"/>
        </w:rPr>
        <w:footnoteReference w:id="279"/>
      </w:r>
      <w:r>
        <w:rPr>
          <w:rFonts w:ascii="Arial" w:hAnsi="Arial"/>
        </w:rPr>
        <w:t xml:space="preserve"> As it is easy to note, the very wording of this reservation shows that it is temporary in nature and, as intended by the government, it will be withdrawn following a revision of national provisions of law. </w:t>
      </w:r>
    </w:p>
    <w:p w14:paraId="433B3316" w14:textId="3BB24A32" w:rsidR="000042D8" w:rsidRPr="000042D8" w:rsidRDefault="000042D8" w:rsidP="001813AA">
      <w:pPr>
        <w:spacing w:after="0" w:line="360" w:lineRule="auto"/>
        <w:ind w:firstLine="567"/>
        <w:jc w:val="both"/>
        <w:rPr>
          <w:rFonts w:ascii="Arial" w:hAnsi="Arial" w:cs="Arial"/>
        </w:rPr>
      </w:pPr>
      <w:r>
        <w:rPr>
          <w:rFonts w:ascii="Arial" w:hAnsi="Arial"/>
        </w:rPr>
        <w:t>Here it must be emphasized that the belief that it is necessary to revise the discriminatory regulations of the Polish Family and Guardianship Code is shared by NGOs representing persons with disabilities, the Human Rights Defender</w:t>
      </w:r>
      <w:r>
        <w:rPr>
          <w:rFonts w:ascii="Arial" w:hAnsi="Arial"/>
          <w:vertAlign w:val="superscript"/>
        </w:rPr>
        <w:footnoteReference w:id="280"/>
      </w:r>
      <w:r>
        <w:rPr>
          <w:rFonts w:ascii="Arial" w:hAnsi="Arial"/>
        </w:rPr>
        <w:t>, and representatives of the government. The Ministry of Justice has already drafted assumptions to the draft act on amending: the Polish Family and Guardianship Code, the Polish Code of Civil Procedure, the Act on family support and the foster care system. The draft assumes withdrawing from treating full legal incapacitation as an obstacle to marrying, and withdrawing from certain obstacles to marrying provided for in the family law in the form of mental illness and mental deficiencies, with simultaneous introduction of a regulation, in line with which the institution of marriage is not available to persons with mental disorders of such a type that they do not allow them to control their behaviour and exclude the understanding of the signifi</w:t>
      </w:r>
      <w:r w:rsidR="00D017E3">
        <w:rPr>
          <w:rFonts w:ascii="Arial" w:hAnsi="Arial"/>
        </w:rPr>
        <w:t>cance of </w:t>
      </w:r>
      <w:r>
        <w:rPr>
          <w:rFonts w:ascii="Arial" w:hAnsi="Arial"/>
        </w:rPr>
        <w:t>marriage as well as the consequences of marriage</w:t>
      </w:r>
      <w:r>
        <w:rPr>
          <w:rFonts w:ascii="Arial" w:hAnsi="Arial"/>
          <w:vertAlign w:val="superscript"/>
        </w:rPr>
        <w:footnoteReference w:id="281"/>
      </w:r>
      <w:r>
        <w:rPr>
          <w:rFonts w:ascii="Arial" w:hAnsi="Arial"/>
        </w:rPr>
        <w:t>.</w:t>
      </w:r>
    </w:p>
    <w:p w14:paraId="5123984D" w14:textId="010AABF4" w:rsidR="000042D8" w:rsidRPr="000042D8" w:rsidRDefault="000042D8" w:rsidP="001813AA">
      <w:pPr>
        <w:spacing w:after="0" w:line="360" w:lineRule="auto"/>
        <w:ind w:firstLine="567"/>
        <w:jc w:val="both"/>
        <w:rPr>
          <w:rFonts w:ascii="Arial" w:hAnsi="Arial" w:cs="Arial"/>
        </w:rPr>
      </w:pPr>
      <w:r>
        <w:rPr>
          <w:rFonts w:ascii="Arial" w:hAnsi="Arial"/>
        </w:rPr>
        <w:t xml:space="preserve">The common agreement as to the need to revise the current regulations of the Polish Family and Guardianship Code as well as the level of progress of legislative work in this respect allows us to hope that the reservation submitted by Poland to Article 23(1)(a) of the Convention will be withdrawn in the near future, which was in fact promised in the very wording of the reservation. </w:t>
      </w:r>
    </w:p>
    <w:p w14:paraId="75FE2B11" w14:textId="77777777" w:rsidR="004F6E47" w:rsidRPr="004F6E47" w:rsidRDefault="004F6E47" w:rsidP="00477195">
      <w:pPr>
        <w:pStyle w:val="Akapitzlist"/>
        <w:numPr>
          <w:ilvl w:val="0"/>
          <w:numId w:val="23"/>
        </w:numPr>
        <w:spacing w:before="120" w:after="120" w:line="360" w:lineRule="auto"/>
        <w:ind w:left="284" w:hanging="284"/>
        <w:contextualSpacing w:val="0"/>
        <w:jc w:val="both"/>
        <w:rPr>
          <w:rFonts w:ascii="Arial" w:hAnsi="Arial" w:cs="Arial"/>
          <w:b/>
        </w:rPr>
      </w:pPr>
      <w:r>
        <w:rPr>
          <w:rFonts w:ascii="Arial" w:hAnsi="Arial"/>
          <w:b/>
        </w:rPr>
        <w:t>Reservation of Poland to the provisions of Article 23(1)(b) and Article 25(a) of CRPD – prohibition of abortion</w:t>
      </w:r>
    </w:p>
    <w:p w14:paraId="1DF798A4" w14:textId="396DBEE9" w:rsidR="00750875" w:rsidRPr="00750875" w:rsidRDefault="00610122" w:rsidP="001813AA">
      <w:pPr>
        <w:spacing w:after="0" w:line="360" w:lineRule="auto"/>
        <w:ind w:firstLine="567"/>
        <w:jc w:val="both"/>
        <w:rPr>
          <w:rFonts w:ascii="Arial" w:hAnsi="Arial" w:cs="Arial"/>
        </w:rPr>
      </w:pPr>
      <w:r>
        <w:rPr>
          <w:rFonts w:ascii="Arial" w:hAnsi="Arial"/>
        </w:rPr>
        <w:t xml:space="preserve">The third reservation pertains to the prohibition of abortion and refers both to the provisions of the Convention regulating the affairs related to family life and planning as well as to health protection. Considering the national regulations, upon signing the Convention, Poland reserved that: </w:t>
      </w:r>
      <w:r>
        <w:rPr>
          <w:rFonts w:ascii="Arial" w:hAnsi="Arial"/>
          <w:i/>
        </w:rPr>
        <w:t>Articles 23(1) (b) and 25 (a) shall not be interpreted in a way conferring an individual right to abortion or mandating state party to provide access thereto</w:t>
      </w:r>
      <w:r>
        <w:rPr>
          <w:rFonts w:ascii="Arial" w:hAnsi="Arial"/>
          <w:vertAlign w:val="superscript"/>
        </w:rPr>
        <w:footnoteReference w:id="282"/>
      </w:r>
      <w:r>
        <w:rPr>
          <w:rFonts w:ascii="Arial" w:hAnsi="Arial"/>
        </w:rPr>
        <w:t xml:space="preserve">. The said declaration was repeated upon ratifying the Convention by Poland: </w:t>
      </w:r>
      <w:r>
        <w:rPr>
          <w:rFonts w:ascii="Arial" w:hAnsi="Arial"/>
          <w:i/>
        </w:rPr>
        <w:t>the Republic of Poland understands that Article 23(1)(b) and Article 25 (a) shall not be interpreted in a way conferring an individual right to abortion or mandating state party to provide access thereto, unless that right is guaranteed by the national law</w:t>
      </w:r>
      <w:r>
        <w:rPr>
          <w:rFonts w:ascii="Arial" w:hAnsi="Arial"/>
          <w:vertAlign w:val="superscript"/>
        </w:rPr>
        <w:footnoteReference w:id="283"/>
      </w:r>
      <w:r>
        <w:rPr>
          <w:rFonts w:ascii="Arial" w:hAnsi="Arial"/>
        </w:rPr>
        <w:t>.</w:t>
      </w:r>
    </w:p>
    <w:p w14:paraId="3EA78593" w14:textId="50E56121" w:rsidR="00750875" w:rsidRPr="00750875" w:rsidRDefault="005B777A" w:rsidP="001813AA">
      <w:pPr>
        <w:spacing w:after="0" w:line="360" w:lineRule="auto"/>
        <w:ind w:firstLine="567"/>
        <w:jc w:val="both"/>
        <w:rPr>
          <w:rFonts w:ascii="Arial" w:hAnsi="Arial" w:cs="Arial"/>
        </w:rPr>
      </w:pPr>
      <w:r>
        <w:rPr>
          <w:rFonts w:ascii="Arial" w:hAnsi="Arial"/>
        </w:rPr>
        <w:t>In line with Polish law, abortion is allowed only in three cases: if the pregnancy constitutes a threat to life or health of the pregnant woman, if prenatal tests or other medical indicators suggest high probability of severe and irreversible impairment of the foetus or untreatable illness posing a threat to the life or foetus, or if there is reasonable cause to believe that the pregnancy is the result of an act prohibited by law</w:t>
      </w:r>
      <w:r>
        <w:rPr>
          <w:rFonts w:ascii="Arial" w:hAnsi="Arial"/>
          <w:vertAlign w:val="superscript"/>
        </w:rPr>
        <w:footnoteReference w:id="284"/>
      </w:r>
      <w:r>
        <w:rPr>
          <w:rFonts w:ascii="Arial" w:hAnsi="Arial"/>
        </w:rPr>
        <w:t>. According to the Ombudsman, the objective of the aforementioned reservation is to ensure autonomy in the area of regulating the availability of abortion and as such is deprived of any normative text, and has no impact on legal or actual situation of persons with disabilities in Poland.</w:t>
      </w:r>
    </w:p>
    <w:p w14:paraId="3BBC2282" w14:textId="77777777" w:rsidR="006F7164" w:rsidRDefault="006F7164" w:rsidP="001813AA">
      <w:pPr>
        <w:spacing w:after="0" w:line="360" w:lineRule="auto"/>
        <w:jc w:val="both"/>
        <w:rPr>
          <w:rFonts w:ascii="Arial" w:hAnsi="Arial" w:cs="Arial"/>
        </w:rPr>
      </w:pPr>
    </w:p>
    <w:p w14:paraId="21E54ED2" w14:textId="750D8462" w:rsidR="006B1A5A" w:rsidRDefault="006B1A5A">
      <w:pPr>
        <w:rPr>
          <w:rFonts w:ascii="Arial" w:hAnsi="Arial" w:cs="Arial"/>
        </w:rPr>
      </w:pPr>
      <w:r>
        <w:rPr>
          <w:rFonts w:ascii="Arial" w:hAnsi="Arial" w:cs="Arial"/>
        </w:rPr>
        <w:br w:type="page"/>
      </w:r>
    </w:p>
    <w:p w14:paraId="249ADC3B" w14:textId="77777777" w:rsidR="00B53D85" w:rsidRPr="00481025" w:rsidRDefault="00B53D85" w:rsidP="00457A77">
      <w:pPr>
        <w:pStyle w:val="Nagwek1"/>
        <w:numPr>
          <w:ilvl w:val="0"/>
          <w:numId w:val="58"/>
        </w:numPr>
      </w:pPr>
      <w:bookmarkStart w:id="49" w:name="_Toc403999550"/>
      <w:bookmarkStart w:id="50" w:name="_Toc424279013"/>
      <w:r>
        <w:t>Information on the consultation procedure and the involvement of civic society in the process of drawing up the alternative report</w:t>
      </w:r>
      <w:bookmarkEnd w:id="49"/>
      <w:bookmarkEnd w:id="50"/>
    </w:p>
    <w:p w14:paraId="62AF646A" w14:textId="41005776" w:rsidR="008B6CDF" w:rsidRDefault="00CC1600" w:rsidP="008B6CDF">
      <w:pPr>
        <w:spacing w:after="0" w:line="360" w:lineRule="auto"/>
        <w:ind w:firstLine="567"/>
        <w:jc w:val="both"/>
        <w:rPr>
          <w:rFonts w:ascii="Arial" w:hAnsi="Arial" w:cs="Arial"/>
        </w:rPr>
      </w:pPr>
      <w:bookmarkStart w:id="51" w:name="_Toc403999551"/>
      <w:r>
        <w:rPr>
          <w:rFonts w:ascii="Arial" w:hAnsi="Arial"/>
        </w:rPr>
        <w:t>The concept, the structure and the contents of the Report of the Ombudsman were drawn up following consultations with the permanent Expert Committee for Persons with Disabilities functioning at the Human Rights Defender’s Office. The Committee is comprised of the representatives of the science community and NGOs involved in protecting the rights of persons with disabilities, including the persons with disabilities themselves.</w:t>
      </w:r>
    </w:p>
    <w:p w14:paraId="34E75261" w14:textId="0EF6A164" w:rsidR="00CC1600" w:rsidRDefault="00CC1600" w:rsidP="008B6CDF">
      <w:pPr>
        <w:spacing w:after="0" w:line="360" w:lineRule="auto"/>
        <w:ind w:firstLine="567"/>
        <w:jc w:val="both"/>
        <w:rPr>
          <w:rFonts w:ascii="Arial" w:hAnsi="Arial" w:cs="Arial"/>
        </w:rPr>
      </w:pPr>
      <w:r>
        <w:rPr>
          <w:rFonts w:ascii="Arial" w:hAnsi="Arial"/>
        </w:rPr>
        <w:t xml:space="preserve">The report was also subjected to extensive social consultations. The consultations took place within regional meetings attended by persons with disabilities, their guardians, representatives of NGOs acting for the benefit of persons with disabilities, as well as employees of public institutions dealing with disability topics. Consultation meetings took place in four Polish cities (Gdańsk, Katowice, Warsaw, Wrocław). There were 14 meetings in total, attended by 140 persons. All meetings were open and available to persons with any type of disability. Additional meetings were also organised for persons with mental disabilities and for deaf persons. The draft summary of the Report was interpreted into sign language and was available to all participants of the consultation meetings. </w:t>
      </w:r>
    </w:p>
    <w:p w14:paraId="2D503903" w14:textId="5203AB92" w:rsidR="00C63586" w:rsidRDefault="00C63586" w:rsidP="008B6CDF">
      <w:pPr>
        <w:spacing w:after="0" w:line="360" w:lineRule="auto"/>
        <w:ind w:firstLine="567"/>
        <w:jc w:val="both"/>
        <w:rPr>
          <w:rFonts w:ascii="Arial" w:hAnsi="Arial" w:cs="Arial"/>
        </w:rPr>
      </w:pPr>
      <w:r>
        <w:rPr>
          <w:rFonts w:ascii="Arial" w:hAnsi="Arial"/>
        </w:rPr>
        <w:t>At the same time, consultations were held using an on-line questionnaire prepared in line with the guidelines of WCAG 2.0 and subjected to the accessibility audit. In this way, 45 additional opinions and comments were obtained regarding the contents of the Ombudsman’s Report.</w:t>
      </w:r>
    </w:p>
    <w:p w14:paraId="5D0633F2" w14:textId="71D9E604" w:rsidR="00DD06C0" w:rsidRPr="008B6CDF" w:rsidRDefault="00DD06C0" w:rsidP="008B6CDF">
      <w:pPr>
        <w:spacing w:after="0" w:line="360" w:lineRule="auto"/>
        <w:ind w:firstLine="567"/>
        <w:jc w:val="both"/>
        <w:rPr>
          <w:rFonts w:ascii="Arial" w:hAnsi="Arial" w:cs="Arial"/>
        </w:rPr>
      </w:pPr>
      <w:r>
        <w:rPr>
          <w:rFonts w:ascii="Arial" w:hAnsi="Arial"/>
        </w:rPr>
        <w:t>The final version of the Report is available in the Polish Sign Language.</w:t>
      </w:r>
    </w:p>
    <w:p w14:paraId="15548200" w14:textId="77777777" w:rsidR="00B25429" w:rsidRDefault="00B25429" w:rsidP="00B25429">
      <w:pPr>
        <w:pStyle w:val="Nagwek1"/>
        <w:spacing w:before="0" w:after="0"/>
        <w:rPr>
          <w:color w:val="auto"/>
        </w:rPr>
      </w:pPr>
    </w:p>
    <w:p w14:paraId="2A076954" w14:textId="77777777" w:rsidR="00735FB3" w:rsidRDefault="00735FB3" w:rsidP="00735FB3"/>
    <w:p w14:paraId="79607236" w14:textId="77777777" w:rsidR="00735FB3" w:rsidRDefault="00735FB3" w:rsidP="00735FB3"/>
    <w:p w14:paraId="040A7263" w14:textId="77777777" w:rsidR="00735FB3" w:rsidRDefault="00735FB3" w:rsidP="00735FB3"/>
    <w:p w14:paraId="1FD301AE" w14:textId="77777777" w:rsidR="00735FB3" w:rsidRDefault="00735FB3" w:rsidP="00735FB3"/>
    <w:p w14:paraId="7CF42F26" w14:textId="77777777" w:rsidR="00735FB3" w:rsidRDefault="00735FB3" w:rsidP="00735FB3"/>
    <w:p w14:paraId="3EC1B4D3" w14:textId="77777777" w:rsidR="00735FB3" w:rsidRPr="00735FB3" w:rsidRDefault="00735FB3" w:rsidP="00735FB3"/>
    <w:p w14:paraId="5FBD1E0D" w14:textId="77777777" w:rsidR="00B0782F" w:rsidRPr="002B305E" w:rsidRDefault="004427D0" w:rsidP="00B25429">
      <w:pPr>
        <w:pStyle w:val="Nagwek1"/>
        <w:spacing w:before="0" w:after="0"/>
        <w:rPr>
          <w:lang w:val="pl-PL"/>
        </w:rPr>
      </w:pPr>
      <w:bookmarkStart w:id="52" w:name="_Toc424279014"/>
      <w:r w:rsidRPr="002B305E">
        <w:rPr>
          <w:lang w:val="pl-PL"/>
        </w:rPr>
        <w:t>References:</w:t>
      </w:r>
      <w:bookmarkEnd w:id="51"/>
      <w:bookmarkEnd w:id="52"/>
      <w:r w:rsidRPr="002B305E">
        <w:rPr>
          <w:lang w:val="pl-PL"/>
        </w:rPr>
        <w:t xml:space="preserve"> </w:t>
      </w:r>
    </w:p>
    <w:p w14:paraId="7536AFDD" w14:textId="0ACC0CCD" w:rsidR="00186611" w:rsidRDefault="00186611" w:rsidP="004427D0">
      <w:pPr>
        <w:spacing w:after="0" w:line="360" w:lineRule="auto"/>
        <w:jc w:val="both"/>
        <w:rPr>
          <w:rFonts w:ascii="Arial" w:hAnsi="Arial" w:cs="Arial"/>
          <w:sz w:val="18"/>
          <w:szCs w:val="18"/>
        </w:rPr>
      </w:pPr>
      <w:r w:rsidRPr="002B305E">
        <w:rPr>
          <w:rFonts w:ascii="Arial" w:hAnsi="Arial"/>
          <w:sz w:val="18"/>
          <w:lang w:val="pl-PL"/>
        </w:rPr>
        <w:t xml:space="preserve">M. Anasz et al., “Życie w integracji. Stargardzki model lokalnego systemu rehabilitacji i wsparcia społeczno-zawodowego osób z niepełnosprawnością intelektualną”, </w:t>
      </w:r>
      <w:r w:rsidRPr="002B305E">
        <w:rPr>
          <w:rFonts w:ascii="Arial" w:hAnsi="Arial"/>
          <w:i/>
          <w:sz w:val="18"/>
          <w:lang w:val="pl-PL"/>
        </w:rPr>
        <w:t xml:space="preserve">[Living in integration. </w:t>
      </w:r>
      <w:r>
        <w:rPr>
          <w:rFonts w:ascii="Arial" w:hAnsi="Arial"/>
          <w:i/>
          <w:sz w:val="18"/>
        </w:rPr>
        <w:t>Stargard-based model of local rehabilitation and social-vocational support to persons with mental disabilities]</w:t>
      </w:r>
      <w:r>
        <w:rPr>
          <w:rFonts w:ascii="Arial" w:hAnsi="Arial"/>
          <w:sz w:val="18"/>
        </w:rPr>
        <w:t xml:space="preserve">, PFON, 2012; </w:t>
      </w:r>
    </w:p>
    <w:p w14:paraId="4E0594A4" w14:textId="2A6E94B4" w:rsidR="00E15422" w:rsidRPr="002B305E" w:rsidRDefault="00E15422" w:rsidP="004427D0">
      <w:pPr>
        <w:spacing w:after="0" w:line="360" w:lineRule="auto"/>
        <w:jc w:val="both"/>
        <w:rPr>
          <w:rFonts w:ascii="Arial" w:hAnsi="Arial" w:cs="Arial"/>
          <w:sz w:val="18"/>
          <w:szCs w:val="18"/>
          <w:lang w:val="pl-PL"/>
        </w:rPr>
      </w:pPr>
      <w:r w:rsidRPr="002B305E">
        <w:rPr>
          <w:rFonts w:ascii="Arial" w:hAnsi="Arial"/>
          <w:sz w:val="18"/>
          <w:lang w:val="pl-PL"/>
        </w:rPr>
        <w:t xml:space="preserve">J. Czapiński, </w:t>
      </w:r>
      <w:r w:rsidRPr="002B305E">
        <w:rPr>
          <w:rFonts w:ascii="Arial" w:hAnsi="Arial"/>
          <w:i/>
          <w:sz w:val="18"/>
          <w:lang w:val="pl-PL"/>
        </w:rPr>
        <w:t>Niepełnosprawność [Disability]</w:t>
      </w:r>
      <w:r w:rsidRPr="002B305E">
        <w:rPr>
          <w:rFonts w:ascii="Arial" w:hAnsi="Arial"/>
          <w:sz w:val="18"/>
          <w:lang w:val="pl-PL"/>
        </w:rPr>
        <w:t xml:space="preserve">, in: I. E. Kotowska (ed.) “Rynek </w:t>
      </w:r>
      <w:r w:rsidR="00D017E3">
        <w:rPr>
          <w:rFonts w:ascii="Arial" w:hAnsi="Arial"/>
          <w:sz w:val="18"/>
          <w:lang w:val="pl-PL"/>
        </w:rPr>
        <w:t>pracy i wykluczenie społeczne w </w:t>
      </w:r>
      <w:r w:rsidRPr="002B305E">
        <w:rPr>
          <w:rFonts w:ascii="Arial" w:hAnsi="Arial"/>
          <w:sz w:val="18"/>
          <w:lang w:val="pl-PL"/>
        </w:rPr>
        <w:t xml:space="preserve">kontekście percepcji Polaków. Diagnoza społeczna 2013” </w:t>
      </w:r>
      <w:r w:rsidRPr="002B305E">
        <w:rPr>
          <w:rFonts w:ascii="Arial" w:hAnsi="Arial"/>
          <w:i/>
          <w:sz w:val="18"/>
          <w:lang w:val="pl-PL"/>
        </w:rPr>
        <w:t>[Labour market and social exclusion as perceived by Poles. 2013 Social diagnosis]</w:t>
      </w:r>
      <w:r w:rsidRPr="002B305E">
        <w:rPr>
          <w:rFonts w:ascii="Arial" w:hAnsi="Arial"/>
          <w:sz w:val="18"/>
          <w:lang w:val="pl-PL"/>
        </w:rPr>
        <w:t>, Warsaw 2014;</w:t>
      </w:r>
    </w:p>
    <w:p w14:paraId="47242C06" w14:textId="0E35F2EC" w:rsidR="00A10355" w:rsidRPr="002B305E" w:rsidRDefault="00A10355" w:rsidP="004427D0">
      <w:pPr>
        <w:spacing w:after="0" w:line="360" w:lineRule="auto"/>
        <w:jc w:val="both"/>
        <w:rPr>
          <w:rFonts w:ascii="Arial" w:hAnsi="Arial" w:cs="Arial"/>
          <w:sz w:val="18"/>
          <w:szCs w:val="18"/>
          <w:lang w:val="pl-PL"/>
        </w:rPr>
      </w:pPr>
      <w:r w:rsidRPr="002B305E">
        <w:rPr>
          <w:rFonts w:ascii="Arial" w:hAnsi="Arial"/>
          <w:sz w:val="18"/>
          <w:lang w:val="pl-PL"/>
        </w:rPr>
        <w:t xml:space="preserve">A. Dudzińska, A. Sobczak </w:t>
      </w:r>
      <w:r w:rsidRPr="002B305E">
        <w:rPr>
          <w:rFonts w:ascii="Arial" w:hAnsi="Arial"/>
          <w:i/>
          <w:sz w:val="18"/>
          <w:lang w:val="pl-PL"/>
        </w:rPr>
        <w:t>Potrzeby i oczekiwania osób z różnymi niepełnosprawnościami dotyczące przyszłej sytuacji mieszkaniowej [Needs and expectations of persons with different types of disabilities regarding their future housing situation]</w:t>
      </w:r>
      <w:r w:rsidRPr="002B305E">
        <w:rPr>
          <w:rFonts w:ascii="Arial" w:hAnsi="Arial"/>
          <w:sz w:val="18"/>
          <w:lang w:val="pl-PL"/>
        </w:rPr>
        <w:t>, in : A. Sobczak (ed.) “Niezależne życie i pełne uczest</w:t>
      </w:r>
      <w:r w:rsidR="00D017E3">
        <w:rPr>
          <w:rFonts w:ascii="Arial" w:hAnsi="Arial"/>
          <w:sz w:val="18"/>
          <w:lang w:val="pl-PL"/>
        </w:rPr>
        <w:t>nictwo osób niepełnosprawnych w </w:t>
      </w:r>
      <w:r w:rsidRPr="002B305E">
        <w:rPr>
          <w:rFonts w:ascii="Arial" w:hAnsi="Arial"/>
          <w:sz w:val="18"/>
          <w:lang w:val="pl-PL"/>
        </w:rPr>
        <w:t xml:space="preserve">życiu społecznym” </w:t>
      </w:r>
      <w:r w:rsidRPr="002B305E">
        <w:rPr>
          <w:rFonts w:ascii="Arial" w:hAnsi="Arial"/>
          <w:i/>
          <w:sz w:val="18"/>
          <w:lang w:val="pl-PL"/>
        </w:rPr>
        <w:t>[Independent life and full inclusion of persons with disabilities in social life]</w:t>
      </w:r>
      <w:r w:rsidRPr="002B305E">
        <w:rPr>
          <w:rFonts w:ascii="Arial" w:hAnsi="Arial"/>
          <w:sz w:val="18"/>
          <w:lang w:val="pl-PL"/>
        </w:rPr>
        <w:t>, Wyd. Uniwersytetu Łódzkiego, Łódź 2012;</w:t>
      </w:r>
    </w:p>
    <w:p w14:paraId="51B9B0DB" w14:textId="77777777" w:rsidR="00A6388E" w:rsidRPr="002B305E" w:rsidRDefault="00A6388E" w:rsidP="004427D0">
      <w:pPr>
        <w:spacing w:after="0" w:line="360" w:lineRule="auto"/>
        <w:jc w:val="both"/>
        <w:rPr>
          <w:rFonts w:ascii="Arial" w:hAnsi="Arial" w:cs="Arial"/>
          <w:sz w:val="18"/>
          <w:szCs w:val="18"/>
          <w:lang w:val="pl-PL"/>
        </w:rPr>
      </w:pPr>
      <w:r w:rsidRPr="002B305E">
        <w:rPr>
          <w:rFonts w:ascii="Arial" w:hAnsi="Arial"/>
          <w:sz w:val="18"/>
          <w:lang w:val="pl-PL"/>
        </w:rPr>
        <w:t xml:space="preserve">B. Gąciarz, B. Giermanowska, </w:t>
      </w:r>
      <w:r w:rsidRPr="002B305E">
        <w:rPr>
          <w:rFonts w:ascii="Arial" w:hAnsi="Arial"/>
          <w:i/>
          <w:sz w:val="18"/>
          <w:lang w:val="pl-PL"/>
        </w:rPr>
        <w:t>Zatrudniając niepełnosprawnych. Wiedza, opinie, doświadczenia pracodawców</w:t>
      </w:r>
      <w:r w:rsidRPr="002B305E">
        <w:rPr>
          <w:rFonts w:ascii="Arial" w:hAnsi="Arial"/>
          <w:sz w:val="18"/>
          <w:lang w:val="pl-PL"/>
        </w:rPr>
        <w:t xml:space="preserve"> </w:t>
      </w:r>
      <w:r w:rsidRPr="002B305E">
        <w:rPr>
          <w:rFonts w:ascii="Arial" w:hAnsi="Arial"/>
          <w:i/>
          <w:sz w:val="18"/>
          <w:lang w:val="pl-PL"/>
        </w:rPr>
        <w:t>[Hiring persons with disabilities. Knowledge, opinions, experiences of employers]</w:t>
      </w:r>
      <w:r w:rsidRPr="002B305E">
        <w:rPr>
          <w:rFonts w:ascii="Arial" w:hAnsi="Arial"/>
          <w:sz w:val="18"/>
          <w:lang w:val="pl-PL"/>
        </w:rPr>
        <w:t>. Warsaw 2009;</w:t>
      </w:r>
    </w:p>
    <w:p w14:paraId="5BC290C2" w14:textId="77777777" w:rsidR="00BD5AAD" w:rsidRPr="00BD5AAD" w:rsidRDefault="00BD5AAD" w:rsidP="00BD5AAD">
      <w:pPr>
        <w:spacing w:after="0" w:line="360" w:lineRule="auto"/>
        <w:jc w:val="both"/>
        <w:rPr>
          <w:rFonts w:ascii="Arial" w:hAnsi="Arial" w:cs="Arial"/>
          <w:sz w:val="18"/>
          <w:szCs w:val="18"/>
        </w:rPr>
      </w:pPr>
      <w:r w:rsidRPr="002B305E">
        <w:rPr>
          <w:rFonts w:ascii="Arial" w:hAnsi="Arial"/>
          <w:sz w:val="18"/>
          <w:lang w:val="pl-PL"/>
        </w:rPr>
        <w:t xml:space="preserve">E. Giermanowska (ed.), </w:t>
      </w:r>
      <w:r w:rsidRPr="002B305E">
        <w:rPr>
          <w:rFonts w:ascii="Arial" w:hAnsi="Arial"/>
          <w:i/>
          <w:sz w:val="18"/>
          <w:lang w:val="pl-PL"/>
        </w:rPr>
        <w:t xml:space="preserve">Zatrudniając niepełnosprawnych. Dobre praktyki pracodawców w Polsce i innych krajach Europy [Hiring persons with disabilities. </w:t>
      </w:r>
      <w:r>
        <w:rPr>
          <w:rFonts w:ascii="Arial" w:hAnsi="Arial"/>
          <w:i/>
          <w:sz w:val="18"/>
        </w:rPr>
        <w:t>Good practices of employers in Poland and in other countries of Europe]</w:t>
      </w:r>
      <w:r>
        <w:rPr>
          <w:rFonts w:ascii="Arial" w:hAnsi="Arial"/>
          <w:sz w:val="18"/>
        </w:rPr>
        <w:t>, Kraków 2014;</w:t>
      </w:r>
    </w:p>
    <w:p w14:paraId="52383C17" w14:textId="77777777" w:rsidR="00186611" w:rsidRPr="002B305E" w:rsidRDefault="00186611" w:rsidP="004427D0">
      <w:pPr>
        <w:spacing w:after="0" w:line="360" w:lineRule="auto"/>
        <w:jc w:val="both"/>
        <w:rPr>
          <w:rFonts w:ascii="Arial" w:hAnsi="Arial" w:cs="Arial"/>
          <w:sz w:val="18"/>
          <w:szCs w:val="18"/>
          <w:lang w:val="pl-PL"/>
        </w:rPr>
      </w:pPr>
      <w:r w:rsidRPr="002B305E">
        <w:rPr>
          <w:rFonts w:ascii="Arial" w:hAnsi="Arial"/>
          <w:sz w:val="18"/>
          <w:lang w:val="pl-PL"/>
        </w:rPr>
        <w:t xml:space="preserve">Z. Grabusińska “Domy pomocy społecznej w Polsce” </w:t>
      </w:r>
      <w:r w:rsidRPr="002B305E">
        <w:rPr>
          <w:rFonts w:ascii="Arial" w:hAnsi="Arial"/>
          <w:i/>
          <w:sz w:val="18"/>
          <w:lang w:val="pl-PL"/>
        </w:rPr>
        <w:t>[Nursing homes in Poland]</w:t>
      </w:r>
      <w:r w:rsidRPr="002B305E">
        <w:rPr>
          <w:rFonts w:ascii="Arial" w:hAnsi="Arial"/>
          <w:sz w:val="18"/>
          <w:lang w:val="pl-PL"/>
        </w:rPr>
        <w:t>, Warsaw 2013;</w:t>
      </w:r>
    </w:p>
    <w:p w14:paraId="5266217C" w14:textId="77777777" w:rsidR="004427D0" w:rsidRPr="002B305E" w:rsidRDefault="004427D0" w:rsidP="004427D0">
      <w:pPr>
        <w:spacing w:after="0" w:line="360" w:lineRule="auto"/>
        <w:jc w:val="both"/>
        <w:rPr>
          <w:rFonts w:ascii="Arial" w:hAnsi="Arial" w:cs="Arial"/>
          <w:sz w:val="18"/>
          <w:szCs w:val="18"/>
          <w:lang w:val="pl-PL"/>
        </w:rPr>
      </w:pPr>
      <w:r w:rsidRPr="002B305E">
        <w:rPr>
          <w:rFonts w:ascii="Arial" w:hAnsi="Arial"/>
          <w:sz w:val="18"/>
          <w:lang w:val="pl-PL"/>
        </w:rPr>
        <w:t xml:space="preserve">L. Klyszcz, “Pułapka świadczeniowa a aktywność zawodowa i społeczna osób niepełnosprawnych” </w:t>
      </w:r>
      <w:r w:rsidRPr="002B305E">
        <w:rPr>
          <w:rFonts w:ascii="Arial" w:hAnsi="Arial"/>
          <w:i/>
          <w:sz w:val="18"/>
          <w:lang w:val="pl-PL"/>
        </w:rPr>
        <w:t>[Benefit trap versus vocational and social activity of persons with disabilities]</w:t>
      </w:r>
      <w:r w:rsidRPr="002B305E">
        <w:rPr>
          <w:rFonts w:ascii="Arial" w:hAnsi="Arial"/>
          <w:sz w:val="18"/>
          <w:lang w:val="pl-PL"/>
        </w:rPr>
        <w:t>, Fundacja Instytut Rozwoju Regionalnego, Kraków, 2011;</w:t>
      </w:r>
    </w:p>
    <w:p w14:paraId="331F77CD" w14:textId="77777777" w:rsidR="000030E6" w:rsidRPr="002B305E" w:rsidRDefault="000030E6" w:rsidP="004427D0">
      <w:pPr>
        <w:spacing w:after="0" w:line="360" w:lineRule="auto"/>
        <w:jc w:val="both"/>
        <w:rPr>
          <w:rFonts w:ascii="Arial" w:hAnsi="Arial" w:cs="Arial"/>
          <w:sz w:val="18"/>
          <w:szCs w:val="18"/>
          <w:lang w:val="pl-PL"/>
        </w:rPr>
      </w:pPr>
      <w:r w:rsidRPr="002B305E">
        <w:rPr>
          <w:rFonts w:ascii="Arial" w:hAnsi="Arial"/>
          <w:sz w:val="18"/>
          <w:lang w:val="pl-PL"/>
        </w:rPr>
        <w:t xml:space="preserve">K. Kurowski, </w:t>
      </w:r>
      <w:r w:rsidRPr="002B305E">
        <w:rPr>
          <w:rFonts w:ascii="Arial" w:hAnsi="Arial"/>
          <w:i/>
          <w:sz w:val="18"/>
          <w:lang w:val="pl-PL"/>
        </w:rPr>
        <w:t>Przestrzeganie wolności i praw człowieka i obywatela w domach pomocy społecznej [Compliance with the freedoms and rights of persons and citizens in nursing homes]</w:t>
      </w:r>
      <w:r w:rsidRPr="002B305E">
        <w:rPr>
          <w:rFonts w:ascii="Arial" w:hAnsi="Arial"/>
          <w:sz w:val="18"/>
          <w:lang w:val="pl-PL"/>
        </w:rPr>
        <w:t xml:space="preserve">, “Niepełnosprawność. Zagadnienia, problemy, rozwiązania” </w:t>
      </w:r>
      <w:r w:rsidRPr="002B305E">
        <w:rPr>
          <w:rFonts w:ascii="Arial" w:hAnsi="Arial"/>
          <w:i/>
          <w:sz w:val="18"/>
          <w:lang w:val="pl-PL"/>
        </w:rPr>
        <w:t>[Disability – issues, problems, solutions]</w:t>
      </w:r>
      <w:r w:rsidRPr="002B305E">
        <w:rPr>
          <w:rFonts w:ascii="Arial" w:hAnsi="Arial"/>
          <w:sz w:val="18"/>
          <w:lang w:val="pl-PL"/>
        </w:rPr>
        <w:t xml:space="preserve">, No. II/2014(11); </w:t>
      </w:r>
    </w:p>
    <w:p w14:paraId="5943C093" w14:textId="77777777" w:rsidR="006B097E" w:rsidRPr="002B305E" w:rsidRDefault="006B097E" w:rsidP="004427D0">
      <w:pPr>
        <w:spacing w:after="0" w:line="360" w:lineRule="auto"/>
        <w:jc w:val="both"/>
        <w:rPr>
          <w:rFonts w:ascii="Arial" w:hAnsi="Arial" w:cs="Arial"/>
          <w:sz w:val="18"/>
          <w:szCs w:val="18"/>
          <w:lang w:val="pl-PL"/>
        </w:rPr>
      </w:pPr>
      <w:r w:rsidRPr="002B305E">
        <w:rPr>
          <w:rFonts w:ascii="Arial" w:hAnsi="Arial"/>
          <w:sz w:val="18"/>
          <w:lang w:val="pl-PL"/>
        </w:rPr>
        <w:t xml:space="preserve">K. Kurowski, “Wolności i prawa człowieka i obywatela z perspektywy osób z niepełnosprawnościami” </w:t>
      </w:r>
      <w:r w:rsidRPr="002B305E">
        <w:rPr>
          <w:rFonts w:ascii="Arial" w:hAnsi="Arial"/>
          <w:i/>
          <w:sz w:val="18"/>
          <w:lang w:val="pl-PL"/>
        </w:rPr>
        <w:t xml:space="preserve">[Freedoms and rights of persons and citizens from the perspective of persons with disabilities </w:t>
      </w:r>
      <w:r w:rsidRPr="002B305E">
        <w:rPr>
          <w:rFonts w:ascii="Arial" w:hAnsi="Arial"/>
          <w:sz w:val="18"/>
          <w:lang w:val="pl-PL"/>
        </w:rPr>
        <w:t>, published by BRPO, Warsaw 2014;</w:t>
      </w:r>
    </w:p>
    <w:p w14:paraId="173F9DB9" w14:textId="77777777" w:rsidR="00934F19" w:rsidRPr="002B305E" w:rsidRDefault="00934F19" w:rsidP="004427D0">
      <w:pPr>
        <w:spacing w:after="0" w:line="360" w:lineRule="auto"/>
        <w:jc w:val="both"/>
        <w:rPr>
          <w:rFonts w:ascii="Arial" w:hAnsi="Arial" w:cs="Arial"/>
          <w:sz w:val="18"/>
          <w:szCs w:val="18"/>
          <w:lang w:val="pl-PL"/>
        </w:rPr>
      </w:pPr>
      <w:r w:rsidRPr="002B305E">
        <w:rPr>
          <w:rFonts w:ascii="Arial" w:hAnsi="Arial"/>
          <w:sz w:val="18"/>
          <w:lang w:val="pl-PL"/>
        </w:rPr>
        <w:t xml:space="preserve">M. Paluszkiewicz, </w:t>
      </w:r>
      <w:r w:rsidRPr="002B305E">
        <w:rPr>
          <w:rFonts w:ascii="Arial" w:hAnsi="Arial"/>
          <w:i/>
          <w:sz w:val="18"/>
          <w:lang w:val="pl-PL"/>
        </w:rPr>
        <w:t>Agencje zatrudnienia po nowelizacji ustawy o promocji zatrudnienia i instytucjach rynku pracy</w:t>
      </w:r>
      <w:r w:rsidRPr="002B305E">
        <w:rPr>
          <w:rFonts w:ascii="Arial" w:hAnsi="Arial"/>
          <w:sz w:val="18"/>
          <w:lang w:val="pl-PL"/>
        </w:rPr>
        <w:t xml:space="preserve"> </w:t>
      </w:r>
      <w:r w:rsidRPr="002B305E">
        <w:rPr>
          <w:rFonts w:ascii="Arial" w:hAnsi="Arial"/>
          <w:i/>
          <w:sz w:val="18"/>
          <w:lang w:val="pl-PL"/>
        </w:rPr>
        <w:t>[Employment agencies following the revision of the act on promotion of employment and labour market institutions]</w:t>
      </w:r>
      <w:r w:rsidRPr="002B305E">
        <w:rPr>
          <w:rFonts w:ascii="Arial" w:hAnsi="Arial"/>
          <w:sz w:val="18"/>
          <w:lang w:val="pl-PL"/>
        </w:rPr>
        <w:t xml:space="preserve">, in: “Praca i Zabezpieczenie Społeczne” </w:t>
      </w:r>
      <w:r w:rsidRPr="002B305E">
        <w:rPr>
          <w:rFonts w:ascii="Arial" w:hAnsi="Arial"/>
          <w:i/>
          <w:sz w:val="18"/>
          <w:lang w:val="pl-PL"/>
        </w:rPr>
        <w:t>[Work and Social Security]</w:t>
      </w:r>
      <w:r w:rsidRPr="002B305E">
        <w:rPr>
          <w:rFonts w:ascii="Arial" w:hAnsi="Arial"/>
          <w:sz w:val="18"/>
          <w:lang w:val="pl-PL"/>
        </w:rPr>
        <w:t xml:space="preserve"> no. 6/2014;</w:t>
      </w:r>
    </w:p>
    <w:p w14:paraId="6D67D096" w14:textId="1C3AE1B2" w:rsidR="006B04F0" w:rsidRPr="002B305E" w:rsidRDefault="006B04F0" w:rsidP="004427D0">
      <w:pPr>
        <w:spacing w:after="0" w:line="360" w:lineRule="auto"/>
        <w:jc w:val="both"/>
        <w:rPr>
          <w:rFonts w:ascii="Arial" w:hAnsi="Arial" w:cs="Arial"/>
          <w:sz w:val="18"/>
          <w:szCs w:val="18"/>
          <w:lang w:val="pl-PL"/>
        </w:rPr>
      </w:pPr>
      <w:r w:rsidRPr="002B305E">
        <w:rPr>
          <w:rFonts w:ascii="Arial" w:hAnsi="Arial"/>
          <w:sz w:val="18"/>
          <w:lang w:val="pl-PL"/>
        </w:rPr>
        <w:t>Piaskowski Paweł “Wykluczenie i włączenie cyfrowe osób i gospodarstw domowych”</w:t>
      </w:r>
      <w:r w:rsidRPr="002B305E">
        <w:rPr>
          <w:rFonts w:ascii="Arial" w:hAnsi="Arial"/>
          <w:i/>
          <w:sz w:val="18"/>
          <w:lang w:val="pl-PL"/>
        </w:rPr>
        <w:t xml:space="preserve"> [Digital exclusion and inclusion of persons and households]</w:t>
      </w:r>
      <w:r w:rsidRPr="002B305E">
        <w:rPr>
          <w:rFonts w:ascii="Arial" w:hAnsi="Arial"/>
          <w:sz w:val="18"/>
          <w:lang w:val="pl-PL"/>
        </w:rPr>
        <w:t>, in: D. Verger et al (ed.) “Jakość życi</w:t>
      </w:r>
      <w:r w:rsidR="00D017E3">
        <w:rPr>
          <w:rFonts w:ascii="Arial" w:hAnsi="Arial"/>
          <w:sz w:val="18"/>
          <w:lang w:val="pl-PL"/>
        </w:rPr>
        <w:t>a, kapitał społeczny, ubóstwo i </w:t>
      </w:r>
      <w:r w:rsidRPr="002B305E">
        <w:rPr>
          <w:rFonts w:ascii="Arial" w:hAnsi="Arial"/>
          <w:sz w:val="18"/>
          <w:lang w:val="pl-PL"/>
        </w:rPr>
        <w:t xml:space="preserve">wykluczenie społeczne w Polsce” </w:t>
      </w:r>
      <w:r w:rsidRPr="002B305E">
        <w:rPr>
          <w:rFonts w:ascii="Arial" w:hAnsi="Arial"/>
          <w:i/>
          <w:sz w:val="18"/>
          <w:lang w:val="pl-PL"/>
        </w:rPr>
        <w:t>[Quality of life, social capital, poverty and social exclusion in Poland]</w:t>
      </w:r>
      <w:r w:rsidRPr="002B305E">
        <w:rPr>
          <w:rFonts w:ascii="Arial" w:hAnsi="Arial"/>
          <w:sz w:val="18"/>
          <w:lang w:val="pl-PL"/>
        </w:rPr>
        <w:t>, Central Statistical Office, Warsaw, 2013;</w:t>
      </w:r>
    </w:p>
    <w:p w14:paraId="7E927F45" w14:textId="77777777" w:rsidR="00A341CD" w:rsidRPr="002B305E" w:rsidRDefault="00A341CD" w:rsidP="004427D0">
      <w:pPr>
        <w:spacing w:after="0" w:line="360" w:lineRule="auto"/>
        <w:jc w:val="both"/>
        <w:rPr>
          <w:rFonts w:ascii="Arial" w:hAnsi="Arial" w:cs="Arial"/>
          <w:sz w:val="18"/>
          <w:szCs w:val="18"/>
          <w:lang w:val="pl-PL"/>
        </w:rPr>
      </w:pPr>
      <w:r w:rsidRPr="002B305E">
        <w:rPr>
          <w:rFonts w:ascii="Arial" w:hAnsi="Arial"/>
          <w:sz w:val="18"/>
          <w:lang w:val="pl-PL"/>
        </w:rPr>
        <w:t xml:space="preserve">S. Rudnicki </w:t>
      </w:r>
      <w:r w:rsidRPr="002B305E">
        <w:rPr>
          <w:rFonts w:ascii="Arial" w:hAnsi="Arial"/>
          <w:i/>
          <w:sz w:val="18"/>
          <w:lang w:val="pl-PL"/>
        </w:rPr>
        <w:t>Niepełnosprawność i złożoność [Disability and complexity]</w:t>
      </w:r>
      <w:r w:rsidRPr="002B305E">
        <w:rPr>
          <w:rFonts w:ascii="Arial" w:hAnsi="Arial"/>
          <w:sz w:val="18"/>
          <w:lang w:val="pl-PL"/>
        </w:rPr>
        <w:t xml:space="preserve">, in: “Studia Socjologiczne” </w:t>
      </w:r>
      <w:r w:rsidRPr="002B305E">
        <w:rPr>
          <w:rFonts w:ascii="Arial" w:hAnsi="Arial"/>
          <w:i/>
          <w:sz w:val="18"/>
          <w:lang w:val="pl-PL"/>
        </w:rPr>
        <w:t>[Sociology Studies]</w:t>
      </w:r>
      <w:r w:rsidRPr="002B305E">
        <w:rPr>
          <w:rFonts w:ascii="Arial" w:hAnsi="Arial"/>
          <w:sz w:val="18"/>
          <w:lang w:val="pl-PL"/>
        </w:rPr>
        <w:t xml:space="preserve"> no. 2/2104;</w:t>
      </w:r>
    </w:p>
    <w:p w14:paraId="55297BB1" w14:textId="7E1460DB" w:rsidR="004427D0" w:rsidRPr="002B305E" w:rsidRDefault="004427D0" w:rsidP="004427D0">
      <w:pPr>
        <w:spacing w:after="0" w:line="360" w:lineRule="auto"/>
        <w:jc w:val="both"/>
        <w:rPr>
          <w:rFonts w:ascii="Arial" w:hAnsi="Arial" w:cs="Arial"/>
          <w:sz w:val="18"/>
          <w:szCs w:val="18"/>
          <w:lang w:val="pl-PL"/>
        </w:rPr>
      </w:pPr>
      <w:r w:rsidRPr="002B305E">
        <w:rPr>
          <w:rFonts w:ascii="Arial" w:hAnsi="Arial"/>
          <w:sz w:val="18"/>
          <w:lang w:val="pl-PL"/>
        </w:rPr>
        <w:t xml:space="preserve">A. Waszkielewicz, </w:t>
      </w:r>
      <w:r w:rsidRPr="002B305E">
        <w:rPr>
          <w:rFonts w:ascii="Arial" w:hAnsi="Arial"/>
          <w:i/>
          <w:sz w:val="18"/>
          <w:lang w:val="pl-PL"/>
        </w:rPr>
        <w:t>Zabezpieczenie społeczne osób niepełnosprawnych</w:t>
      </w:r>
      <w:r w:rsidRPr="002B305E">
        <w:rPr>
          <w:rFonts w:ascii="Arial" w:hAnsi="Arial"/>
          <w:sz w:val="18"/>
          <w:lang w:val="pl-PL"/>
        </w:rPr>
        <w:t xml:space="preserve"> </w:t>
      </w:r>
      <w:r w:rsidRPr="002B305E">
        <w:rPr>
          <w:rFonts w:ascii="Arial" w:hAnsi="Arial"/>
          <w:i/>
          <w:sz w:val="18"/>
          <w:lang w:val="pl-PL"/>
        </w:rPr>
        <w:t>[Social security of persons with disabilities]</w:t>
      </w:r>
      <w:r w:rsidRPr="002B305E">
        <w:rPr>
          <w:rFonts w:ascii="Arial" w:hAnsi="Arial"/>
          <w:sz w:val="18"/>
          <w:lang w:val="pl-PL"/>
        </w:rPr>
        <w:t>, in: A. Błaszczak (ed.), “Najważniejsze wyzwania po ratyfikacji przez Polskę Konwencji</w:t>
      </w:r>
      <w:r w:rsidR="00D017E3">
        <w:rPr>
          <w:rFonts w:ascii="Arial" w:hAnsi="Arial"/>
          <w:sz w:val="18"/>
          <w:lang w:val="pl-PL"/>
        </w:rPr>
        <w:t xml:space="preserve"> ONZ o </w:t>
      </w:r>
      <w:r w:rsidRPr="002B305E">
        <w:rPr>
          <w:rFonts w:ascii="Arial" w:hAnsi="Arial"/>
          <w:sz w:val="18"/>
          <w:lang w:val="pl-PL"/>
        </w:rPr>
        <w:t xml:space="preserve">prawach osób niepełnosprawnych” </w:t>
      </w:r>
      <w:r w:rsidRPr="002B305E">
        <w:rPr>
          <w:rFonts w:ascii="Arial" w:hAnsi="Arial"/>
          <w:i/>
          <w:sz w:val="18"/>
          <w:lang w:val="pl-PL"/>
        </w:rPr>
        <w:t>[Major challenges following ratification of the UN Convention on the Rights of Persons with Disabilities by Poland]</w:t>
      </w:r>
      <w:r w:rsidRPr="002B305E">
        <w:rPr>
          <w:rFonts w:ascii="Arial" w:hAnsi="Arial"/>
          <w:sz w:val="18"/>
          <w:lang w:val="pl-PL"/>
        </w:rPr>
        <w:t>, Human Rights Defender, 2012;</w:t>
      </w:r>
    </w:p>
    <w:p w14:paraId="337B186F" w14:textId="77777777" w:rsidR="004427D0" w:rsidRPr="002B305E" w:rsidRDefault="004427D0" w:rsidP="004427D0">
      <w:pPr>
        <w:spacing w:after="0" w:line="360" w:lineRule="auto"/>
        <w:jc w:val="both"/>
        <w:rPr>
          <w:rFonts w:ascii="Arial" w:hAnsi="Arial" w:cs="Arial"/>
          <w:sz w:val="18"/>
          <w:szCs w:val="18"/>
          <w:lang w:val="pl-PL"/>
        </w:rPr>
      </w:pPr>
      <w:r w:rsidRPr="002B305E">
        <w:rPr>
          <w:rFonts w:ascii="Arial" w:hAnsi="Arial"/>
          <w:sz w:val="18"/>
          <w:lang w:val="pl-PL"/>
        </w:rPr>
        <w:t xml:space="preserve">A. Waszkielewicz, “Reforma systemu zabezpieczeń społecznych” </w:t>
      </w:r>
      <w:r w:rsidRPr="002B305E">
        <w:rPr>
          <w:rFonts w:ascii="Arial" w:hAnsi="Arial"/>
          <w:i/>
          <w:sz w:val="18"/>
          <w:lang w:val="pl-PL"/>
        </w:rPr>
        <w:t>[Reform of the social security system]</w:t>
      </w:r>
      <w:r w:rsidRPr="002B305E">
        <w:rPr>
          <w:rFonts w:ascii="Arial" w:hAnsi="Arial"/>
          <w:sz w:val="18"/>
          <w:lang w:val="pl-PL"/>
        </w:rPr>
        <w:t>, 2013;</w:t>
      </w:r>
    </w:p>
    <w:p w14:paraId="146519B7" w14:textId="77777777" w:rsidR="00E15422" w:rsidRPr="002B305E" w:rsidRDefault="00E15422" w:rsidP="004427D0">
      <w:pPr>
        <w:spacing w:after="0" w:line="360" w:lineRule="auto"/>
        <w:jc w:val="both"/>
        <w:rPr>
          <w:rFonts w:ascii="Arial" w:hAnsi="Arial" w:cs="Arial"/>
          <w:sz w:val="18"/>
          <w:szCs w:val="18"/>
          <w:lang w:val="pl-PL"/>
        </w:rPr>
      </w:pPr>
      <w:r w:rsidRPr="002B305E">
        <w:rPr>
          <w:rFonts w:ascii="Arial" w:hAnsi="Arial"/>
          <w:sz w:val="18"/>
          <w:lang w:val="pl-PL"/>
        </w:rPr>
        <w:t xml:space="preserve">J. Wciórka (ed.), </w:t>
      </w:r>
      <w:r w:rsidRPr="002B305E">
        <w:rPr>
          <w:rFonts w:ascii="Arial" w:hAnsi="Arial"/>
          <w:i/>
          <w:sz w:val="18"/>
          <w:lang w:val="pl-PL"/>
        </w:rPr>
        <w:t>Ochrona zdrowia psychicznego w Polsce: wyzwania, plany, bariery, dobre praktyki [Protection of mental health in Poland: challenges, plans, barriers, best practice]</w:t>
      </w:r>
      <w:r w:rsidRPr="002B305E">
        <w:rPr>
          <w:rFonts w:ascii="Arial" w:hAnsi="Arial"/>
          <w:sz w:val="18"/>
          <w:lang w:val="pl-PL"/>
        </w:rPr>
        <w:t>, published by BRPO, Warsaw 2014;</w:t>
      </w:r>
    </w:p>
    <w:p w14:paraId="05984E96" w14:textId="1E4C092E" w:rsidR="00157314" w:rsidRPr="005F127C" w:rsidRDefault="000030E6" w:rsidP="004427D0">
      <w:pPr>
        <w:spacing w:after="0" w:line="360" w:lineRule="auto"/>
        <w:jc w:val="both"/>
        <w:rPr>
          <w:rFonts w:ascii="Arial" w:hAnsi="Arial" w:cs="Arial"/>
          <w:sz w:val="18"/>
          <w:szCs w:val="18"/>
        </w:rPr>
      </w:pPr>
      <w:r w:rsidRPr="002B305E">
        <w:rPr>
          <w:rFonts w:ascii="Arial" w:hAnsi="Arial"/>
          <w:sz w:val="18"/>
          <w:lang w:val="pl-PL"/>
        </w:rPr>
        <w:t xml:space="preserve">S. Trociuk (ed.) </w:t>
      </w:r>
      <w:r w:rsidRPr="002B305E">
        <w:rPr>
          <w:rFonts w:ascii="Arial" w:hAnsi="Arial"/>
          <w:i/>
          <w:sz w:val="18"/>
          <w:lang w:val="pl-PL"/>
        </w:rPr>
        <w:t xml:space="preserve">Przeciwdziałanie przemocy wobec kobiet, w </w:t>
      </w:r>
      <w:r w:rsidR="00D017E3">
        <w:rPr>
          <w:rFonts w:ascii="Arial" w:hAnsi="Arial"/>
          <w:i/>
          <w:sz w:val="18"/>
          <w:lang w:val="pl-PL"/>
        </w:rPr>
        <w:t>tym kobiet starszych i kobiet z </w:t>
      </w:r>
      <w:r w:rsidRPr="002B305E">
        <w:rPr>
          <w:rFonts w:ascii="Arial" w:hAnsi="Arial"/>
          <w:i/>
          <w:sz w:val="18"/>
          <w:lang w:val="pl-PL"/>
        </w:rPr>
        <w:t xml:space="preserve">niepełnosprawnościami. </w:t>
      </w:r>
      <w:r>
        <w:rPr>
          <w:rFonts w:ascii="Arial" w:hAnsi="Arial"/>
          <w:i/>
          <w:sz w:val="18"/>
        </w:rPr>
        <w:t>Analiza i zalecenia [Preventing violence against women, including elderly women and women with disabilities. Analysis and recommendations]</w:t>
      </w:r>
      <w:r>
        <w:rPr>
          <w:rFonts w:ascii="Arial" w:hAnsi="Arial"/>
          <w:sz w:val="18"/>
        </w:rPr>
        <w:t xml:space="preserve">, report of the Human Rights Defender in the series Zasada równego traktowania. Prawo i praktyka </w:t>
      </w:r>
      <w:r>
        <w:rPr>
          <w:rFonts w:ascii="Arial" w:hAnsi="Arial"/>
          <w:i/>
          <w:sz w:val="18"/>
        </w:rPr>
        <w:t>[Equal treatment principle.</w:t>
      </w:r>
      <w:r>
        <w:rPr>
          <w:rFonts w:ascii="Arial" w:hAnsi="Arial"/>
          <w:sz w:val="18"/>
        </w:rPr>
        <w:t xml:space="preserve"> </w:t>
      </w:r>
      <w:r>
        <w:rPr>
          <w:rFonts w:ascii="Arial" w:hAnsi="Arial"/>
          <w:i/>
          <w:sz w:val="18"/>
        </w:rPr>
        <w:t>Law and Practice],</w:t>
      </w:r>
      <w:r>
        <w:rPr>
          <w:rFonts w:ascii="Arial" w:hAnsi="Arial"/>
          <w:sz w:val="18"/>
        </w:rPr>
        <w:t xml:space="preserve"> Warsaw, July 2013;</w:t>
      </w:r>
    </w:p>
    <w:p w14:paraId="3F0B8072" w14:textId="7D38640F" w:rsidR="00157314" w:rsidRPr="00954DFD" w:rsidRDefault="00157314" w:rsidP="00157314">
      <w:pPr>
        <w:spacing w:after="0" w:line="360" w:lineRule="auto"/>
        <w:jc w:val="both"/>
        <w:rPr>
          <w:rFonts w:ascii="Arial" w:hAnsi="Arial" w:cs="Arial"/>
          <w:sz w:val="18"/>
          <w:szCs w:val="18"/>
        </w:rPr>
      </w:pPr>
      <w:r w:rsidRPr="002B305E">
        <w:rPr>
          <w:rFonts w:ascii="Arial" w:hAnsi="Arial"/>
          <w:sz w:val="18"/>
          <w:lang w:val="pl-PL"/>
        </w:rPr>
        <w:t xml:space="preserve">S. Trociuk (ed.), </w:t>
      </w:r>
      <w:r w:rsidRPr="002B305E">
        <w:rPr>
          <w:rFonts w:ascii="Arial" w:hAnsi="Arial"/>
          <w:i/>
          <w:sz w:val="18"/>
          <w:lang w:val="pl-PL"/>
        </w:rPr>
        <w:t xml:space="preserve">Dostępność witryn internetowych instytucji publicznych dla osób z niepełnosprawnościami. </w:t>
      </w:r>
      <w:r>
        <w:rPr>
          <w:rFonts w:ascii="Arial" w:hAnsi="Arial"/>
          <w:i/>
          <w:sz w:val="18"/>
        </w:rPr>
        <w:t>Analiza i zalecenia</w:t>
      </w:r>
      <w:r>
        <w:rPr>
          <w:rFonts w:ascii="Arial" w:hAnsi="Arial"/>
          <w:sz w:val="18"/>
        </w:rPr>
        <w:t xml:space="preserve"> </w:t>
      </w:r>
      <w:r>
        <w:rPr>
          <w:rFonts w:ascii="Arial" w:hAnsi="Arial"/>
          <w:i/>
          <w:sz w:val="18"/>
        </w:rPr>
        <w:t>[Accessibility of websites of public institutions to persons with disabilities</w:t>
      </w:r>
      <w:r>
        <w:rPr>
          <w:rFonts w:ascii="Arial" w:hAnsi="Arial"/>
          <w:sz w:val="18"/>
        </w:rPr>
        <w:t xml:space="preserve"> </w:t>
      </w:r>
      <w:r>
        <w:rPr>
          <w:rFonts w:ascii="Arial" w:hAnsi="Arial"/>
          <w:i/>
          <w:sz w:val="18"/>
        </w:rPr>
        <w:t>Analysis and recommendations]</w:t>
      </w:r>
      <w:r>
        <w:rPr>
          <w:rFonts w:ascii="Arial" w:hAnsi="Arial"/>
          <w:sz w:val="18"/>
        </w:rPr>
        <w:t>, report of the Human Rights Defender in the series Zasa</w:t>
      </w:r>
      <w:r w:rsidR="00D017E3">
        <w:rPr>
          <w:rFonts w:ascii="Arial" w:hAnsi="Arial"/>
          <w:sz w:val="18"/>
        </w:rPr>
        <w:t>da równego traktowania. Prawo i </w:t>
      </w:r>
      <w:r>
        <w:rPr>
          <w:rFonts w:ascii="Arial" w:hAnsi="Arial"/>
          <w:sz w:val="18"/>
        </w:rPr>
        <w:t xml:space="preserve">praktyka </w:t>
      </w:r>
      <w:r>
        <w:rPr>
          <w:rFonts w:ascii="Arial" w:hAnsi="Arial"/>
          <w:i/>
          <w:sz w:val="18"/>
        </w:rPr>
        <w:t>[Equal treatment principle.</w:t>
      </w:r>
      <w:r>
        <w:rPr>
          <w:rFonts w:ascii="Arial" w:hAnsi="Arial"/>
          <w:sz w:val="18"/>
        </w:rPr>
        <w:t xml:space="preserve"> </w:t>
      </w:r>
      <w:r>
        <w:rPr>
          <w:rFonts w:ascii="Arial" w:hAnsi="Arial"/>
          <w:i/>
          <w:sz w:val="18"/>
        </w:rPr>
        <w:t>Law and Practice],</w:t>
      </w:r>
      <w:r>
        <w:rPr>
          <w:rFonts w:ascii="Arial" w:hAnsi="Arial"/>
          <w:sz w:val="18"/>
        </w:rPr>
        <w:t xml:space="preserve"> Warsaw, December 2013;</w:t>
      </w:r>
    </w:p>
    <w:p w14:paraId="374B78D8" w14:textId="77777777" w:rsidR="00157314" w:rsidRPr="005F127C" w:rsidRDefault="00157314" w:rsidP="004427D0">
      <w:pPr>
        <w:spacing w:after="0" w:line="360" w:lineRule="auto"/>
        <w:jc w:val="both"/>
        <w:rPr>
          <w:rFonts w:ascii="Arial" w:hAnsi="Arial" w:cs="Arial"/>
          <w:sz w:val="18"/>
          <w:szCs w:val="18"/>
        </w:rPr>
      </w:pPr>
      <w:r w:rsidRPr="002B305E">
        <w:rPr>
          <w:rFonts w:ascii="Arial" w:hAnsi="Arial"/>
          <w:sz w:val="18"/>
          <w:lang w:val="pl-PL"/>
        </w:rPr>
        <w:t xml:space="preserve">S. Trociuk (ed.) Obsługa osób głuchych i głuchoniewidomych w urzędach administracji publicznej. </w:t>
      </w:r>
      <w:r>
        <w:rPr>
          <w:rFonts w:ascii="Arial" w:hAnsi="Arial"/>
          <w:i/>
          <w:sz w:val="18"/>
        </w:rPr>
        <w:t>[Servicing the deaf and the deafblind in public administration offices. Analysis and recommendations]</w:t>
      </w:r>
      <w:r>
        <w:rPr>
          <w:rFonts w:ascii="Arial" w:hAnsi="Arial"/>
          <w:sz w:val="18"/>
        </w:rPr>
        <w:t xml:space="preserve">, report of the Human Rights Defender in the series Zasada równego traktowania. Prawo i praktyka </w:t>
      </w:r>
      <w:r>
        <w:rPr>
          <w:rFonts w:ascii="Arial" w:hAnsi="Arial"/>
          <w:i/>
          <w:sz w:val="18"/>
        </w:rPr>
        <w:t>[Equal treatment principle.</w:t>
      </w:r>
      <w:r>
        <w:rPr>
          <w:rFonts w:ascii="Arial" w:hAnsi="Arial"/>
          <w:sz w:val="18"/>
        </w:rPr>
        <w:t xml:space="preserve"> </w:t>
      </w:r>
      <w:r>
        <w:rPr>
          <w:rFonts w:ascii="Arial" w:hAnsi="Arial"/>
          <w:i/>
          <w:sz w:val="18"/>
        </w:rPr>
        <w:t>Law and Practice],</w:t>
      </w:r>
      <w:r>
        <w:rPr>
          <w:rFonts w:ascii="Arial" w:hAnsi="Arial"/>
          <w:sz w:val="18"/>
        </w:rPr>
        <w:t xml:space="preserve"> Warsaw, September 2014;</w:t>
      </w:r>
    </w:p>
    <w:p w14:paraId="6567D1BB" w14:textId="77777777" w:rsidR="004427D0" w:rsidRPr="00954DFD" w:rsidRDefault="004427D0" w:rsidP="004427D0">
      <w:pPr>
        <w:spacing w:after="0" w:line="360" w:lineRule="auto"/>
        <w:jc w:val="both"/>
        <w:rPr>
          <w:rFonts w:ascii="Arial" w:hAnsi="Arial" w:cs="Arial"/>
          <w:sz w:val="18"/>
          <w:szCs w:val="18"/>
        </w:rPr>
      </w:pPr>
      <w:r>
        <w:rPr>
          <w:rFonts w:ascii="Arial" w:hAnsi="Arial"/>
          <w:sz w:val="18"/>
        </w:rPr>
        <w:t xml:space="preserve">A. Zaidi, </w:t>
      </w:r>
      <w:r>
        <w:rPr>
          <w:rFonts w:ascii="Arial" w:hAnsi="Arial"/>
          <w:i/>
          <w:sz w:val="18"/>
        </w:rPr>
        <w:t>The situation of working-age people with disabilities across the EU</w:t>
      </w:r>
      <w:r>
        <w:rPr>
          <w:rFonts w:ascii="Arial" w:hAnsi="Arial"/>
          <w:sz w:val="18"/>
        </w:rPr>
        <w:t>, “Social Situation Observatory”, 2011;</w:t>
      </w:r>
    </w:p>
    <w:p w14:paraId="5AE5D5EA" w14:textId="77777777" w:rsidR="00DC6480" w:rsidRPr="00954DFD" w:rsidRDefault="00DC6480" w:rsidP="004427D0">
      <w:pPr>
        <w:spacing w:after="0" w:line="360" w:lineRule="auto"/>
        <w:jc w:val="both"/>
        <w:rPr>
          <w:rFonts w:ascii="Arial" w:hAnsi="Arial" w:cs="Arial"/>
          <w:sz w:val="18"/>
          <w:szCs w:val="18"/>
        </w:rPr>
      </w:pPr>
      <w:r>
        <w:rPr>
          <w:rFonts w:ascii="Arial" w:hAnsi="Arial"/>
          <w:sz w:val="18"/>
        </w:rPr>
        <w:t xml:space="preserve">M. Zima-Parjaszewska, </w:t>
      </w:r>
      <w:r>
        <w:rPr>
          <w:rFonts w:ascii="Arial" w:hAnsi="Arial"/>
          <w:i/>
          <w:sz w:val="18"/>
        </w:rPr>
        <w:t>Równość osób z niepełnosprawnościami wobec prawa – sytuacja prawna osób ubezwłasnowolnionych [Equality of persons with disabilities before law – legal situation of legally incapacitated persons]</w:t>
      </w:r>
      <w:r>
        <w:rPr>
          <w:rFonts w:ascii="Arial" w:hAnsi="Arial"/>
          <w:sz w:val="18"/>
        </w:rPr>
        <w:t xml:space="preserve">, in: A. Błaszczak (ed.), “Najważniejsze wyzwania po ratyfikacji przez Polskę Konwencji ONZ o prawach osób niepełnosprawnych” </w:t>
      </w:r>
      <w:r>
        <w:rPr>
          <w:rFonts w:ascii="Arial" w:hAnsi="Arial"/>
          <w:i/>
          <w:sz w:val="18"/>
        </w:rPr>
        <w:t>[Major challenges following ratification of the UN Convention on the Rights of Persons with Disabilities by Poland]</w:t>
      </w:r>
      <w:r>
        <w:rPr>
          <w:rFonts w:ascii="Arial" w:hAnsi="Arial"/>
          <w:sz w:val="18"/>
        </w:rPr>
        <w:t>, publishing house BRPO, Warsaw 2012.</w:t>
      </w:r>
    </w:p>
    <w:p w14:paraId="6995CAE9" w14:textId="77777777" w:rsidR="00B25429" w:rsidRPr="006B1A5A" w:rsidRDefault="00B25429" w:rsidP="00B25429">
      <w:pPr>
        <w:pStyle w:val="Nagwek1"/>
        <w:spacing w:before="0" w:after="0"/>
        <w:rPr>
          <w:color w:val="auto"/>
          <w:sz w:val="18"/>
          <w:szCs w:val="18"/>
        </w:rPr>
      </w:pPr>
      <w:bookmarkStart w:id="53" w:name="_Toc403999552"/>
    </w:p>
    <w:p w14:paraId="0FB8F900" w14:textId="5EFE32B3" w:rsidR="004427D0" w:rsidRPr="00164854" w:rsidRDefault="00457A77" w:rsidP="00B25429">
      <w:pPr>
        <w:pStyle w:val="Nagwek1"/>
        <w:spacing w:before="0" w:after="0"/>
      </w:pPr>
      <w:bookmarkStart w:id="54" w:name="_Toc424279015"/>
      <w:r>
        <w:t>List of reports and other studies quoted:</w:t>
      </w:r>
      <w:bookmarkEnd w:id="53"/>
      <w:bookmarkEnd w:id="54"/>
    </w:p>
    <w:p w14:paraId="46352434" w14:textId="77777777" w:rsidR="004355C1" w:rsidRPr="00954DFD" w:rsidRDefault="004355C1" w:rsidP="003D345C">
      <w:pPr>
        <w:pStyle w:val="Akapitzlist"/>
        <w:numPr>
          <w:ilvl w:val="0"/>
          <w:numId w:val="50"/>
        </w:numPr>
        <w:spacing w:after="0" w:line="360" w:lineRule="auto"/>
        <w:ind w:left="284" w:hanging="284"/>
        <w:jc w:val="both"/>
        <w:rPr>
          <w:rFonts w:ascii="Arial" w:hAnsi="Arial" w:cs="Arial"/>
          <w:sz w:val="18"/>
          <w:szCs w:val="18"/>
        </w:rPr>
      </w:pPr>
      <w:r>
        <w:rPr>
          <w:rFonts w:ascii="Arial" w:hAnsi="Arial"/>
          <w:sz w:val="18"/>
        </w:rPr>
        <w:t>Information of the Government of the Republic of Poland on the activities undertaken in 2009 to realise the provisions of the resolution of the Sejm of the Republic of Poland of 1 August 1997;</w:t>
      </w:r>
    </w:p>
    <w:p w14:paraId="7FBAC95C" w14:textId="77777777" w:rsidR="004355C1" w:rsidRPr="00954DFD" w:rsidRDefault="004355C1" w:rsidP="003D345C">
      <w:pPr>
        <w:pStyle w:val="Akapitzlist"/>
        <w:numPr>
          <w:ilvl w:val="0"/>
          <w:numId w:val="50"/>
        </w:numPr>
        <w:spacing w:after="0" w:line="360" w:lineRule="auto"/>
        <w:ind w:left="284" w:hanging="284"/>
        <w:jc w:val="both"/>
        <w:rPr>
          <w:rFonts w:ascii="Arial" w:hAnsi="Arial" w:cs="Arial"/>
          <w:sz w:val="18"/>
          <w:szCs w:val="18"/>
        </w:rPr>
      </w:pPr>
      <w:r>
        <w:rPr>
          <w:rFonts w:ascii="Arial" w:hAnsi="Arial"/>
          <w:sz w:val="18"/>
        </w:rPr>
        <w:t>Information of the Government of the Republic of Poland on the activities undertaken in 2012 to realise the provisions of the resolution of the Sejm of the Republic of Poland of 1 August 1997;</w:t>
      </w:r>
    </w:p>
    <w:p w14:paraId="3BCBD2E5" w14:textId="77777777" w:rsidR="004355C1" w:rsidRPr="00954DFD" w:rsidRDefault="009F7284" w:rsidP="003D345C">
      <w:pPr>
        <w:pStyle w:val="Akapitzlist"/>
        <w:numPr>
          <w:ilvl w:val="0"/>
          <w:numId w:val="50"/>
        </w:numPr>
        <w:spacing w:after="0" w:line="360" w:lineRule="auto"/>
        <w:ind w:left="284" w:hanging="284"/>
        <w:jc w:val="both"/>
        <w:rPr>
          <w:rFonts w:ascii="Arial" w:hAnsi="Arial" w:cs="Arial"/>
          <w:sz w:val="18"/>
          <w:szCs w:val="18"/>
        </w:rPr>
      </w:pPr>
      <w:r>
        <w:rPr>
          <w:rFonts w:ascii="Arial" w:hAnsi="Arial"/>
          <w:sz w:val="18"/>
        </w:rPr>
        <w:t>Annual report on the social assistance benefits awarded – financial, in kind and in services in the period January – December 2009, Ministry of Labour and Social Policy, 2010;</w:t>
      </w:r>
    </w:p>
    <w:p w14:paraId="15667A6E" w14:textId="77777777" w:rsidR="00F24B30" w:rsidRDefault="00F24B30" w:rsidP="003D345C">
      <w:pPr>
        <w:pStyle w:val="Akapitzlist"/>
        <w:numPr>
          <w:ilvl w:val="0"/>
          <w:numId w:val="50"/>
        </w:numPr>
        <w:spacing w:after="0" w:line="360" w:lineRule="auto"/>
        <w:ind w:left="284" w:hanging="284"/>
        <w:jc w:val="both"/>
        <w:rPr>
          <w:rFonts w:ascii="Arial" w:hAnsi="Arial" w:cs="Arial"/>
          <w:sz w:val="18"/>
          <w:szCs w:val="18"/>
        </w:rPr>
      </w:pPr>
      <w:r>
        <w:rPr>
          <w:rFonts w:ascii="Arial" w:hAnsi="Arial"/>
          <w:sz w:val="18"/>
        </w:rPr>
        <w:t>Report of the Ombudsman for the Rights of Patients on realisation of the rights of patients within the territory of the Republic of Poland for the period from 1 January 2012 to 31 December 2012;</w:t>
      </w:r>
    </w:p>
    <w:p w14:paraId="17737C45" w14:textId="77777777" w:rsidR="00A6388E" w:rsidRPr="00954DFD" w:rsidRDefault="00A6388E" w:rsidP="003D345C">
      <w:pPr>
        <w:pStyle w:val="Akapitzlist"/>
        <w:numPr>
          <w:ilvl w:val="0"/>
          <w:numId w:val="50"/>
        </w:numPr>
        <w:spacing w:after="0" w:line="360" w:lineRule="auto"/>
        <w:ind w:left="284" w:hanging="284"/>
        <w:jc w:val="both"/>
        <w:rPr>
          <w:rFonts w:ascii="Arial" w:hAnsi="Arial" w:cs="Arial"/>
          <w:sz w:val="18"/>
          <w:szCs w:val="18"/>
        </w:rPr>
      </w:pPr>
      <w:r>
        <w:rPr>
          <w:rFonts w:ascii="Arial" w:hAnsi="Arial"/>
          <w:sz w:val="18"/>
        </w:rPr>
        <w:t>Report on the activity of the State Labour Inspection for 2013;</w:t>
      </w:r>
    </w:p>
    <w:p w14:paraId="44732048" w14:textId="77777777" w:rsidR="00C45045" w:rsidRPr="00954DFD" w:rsidRDefault="004355C1" w:rsidP="00C45045">
      <w:pPr>
        <w:pStyle w:val="Akapitzlist"/>
        <w:numPr>
          <w:ilvl w:val="0"/>
          <w:numId w:val="50"/>
        </w:numPr>
        <w:spacing w:after="0" w:line="360" w:lineRule="auto"/>
        <w:ind w:left="284" w:hanging="284"/>
        <w:jc w:val="both"/>
        <w:rPr>
          <w:rFonts w:ascii="Arial" w:hAnsi="Arial" w:cs="Arial"/>
          <w:sz w:val="18"/>
          <w:szCs w:val="18"/>
        </w:rPr>
      </w:pPr>
      <w:r>
        <w:rPr>
          <w:rFonts w:ascii="Arial" w:hAnsi="Arial"/>
          <w:sz w:val="18"/>
        </w:rPr>
        <w:t>Structure of retirement and disability pension amounts paid by the Social Insurance Institution following indexation in March 2013, SII 2013;</w:t>
      </w:r>
    </w:p>
    <w:p w14:paraId="0FAA535C" w14:textId="77777777" w:rsidR="00C45045" w:rsidRPr="00954DFD" w:rsidRDefault="00C45045" w:rsidP="00C45045">
      <w:pPr>
        <w:pStyle w:val="Akapitzlist"/>
        <w:numPr>
          <w:ilvl w:val="0"/>
          <w:numId w:val="50"/>
        </w:numPr>
        <w:spacing w:after="0" w:line="360" w:lineRule="auto"/>
        <w:ind w:left="284" w:hanging="284"/>
        <w:jc w:val="both"/>
        <w:rPr>
          <w:rFonts w:ascii="Arial" w:hAnsi="Arial" w:cs="Arial"/>
          <w:sz w:val="18"/>
          <w:szCs w:val="18"/>
        </w:rPr>
      </w:pPr>
      <w:r>
        <w:rPr>
          <w:rFonts w:ascii="Arial" w:hAnsi="Arial"/>
          <w:sz w:val="18"/>
        </w:rPr>
        <w:t>Economic activity of Polish population, Q2 2013, Central Statistical Office 2013;</w:t>
      </w:r>
    </w:p>
    <w:p w14:paraId="144CA4CD" w14:textId="77777777" w:rsidR="004355C1" w:rsidRPr="00954DFD" w:rsidRDefault="004355C1" w:rsidP="003D345C">
      <w:pPr>
        <w:pStyle w:val="Akapitzlist"/>
        <w:numPr>
          <w:ilvl w:val="0"/>
          <w:numId w:val="50"/>
        </w:numPr>
        <w:spacing w:after="0" w:line="360" w:lineRule="auto"/>
        <w:ind w:left="284" w:hanging="284"/>
        <w:jc w:val="both"/>
        <w:rPr>
          <w:rFonts w:ascii="Arial" w:hAnsi="Arial" w:cs="Arial"/>
          <w:sz w:val="18"/>
          <w:szCs w:val="18"/>
        </w:rPr>
      </w:pPr>
      <w:r>
        <w:rPr>
          <w:rFonts w:ascii="Arial" w:hAnsi="Arial"/>
          <w:sz w:val="18"/>
        </w:rPr>
        <w:t>Situation of households in 2013 in the light of the study on the budgets of households, Signal information, Central Statistical Office, 2014;</w:t>
      </w:r>
    </w:p>
    <w:p w14:paraId="5B5AFEAC" w14:textId="77777777" w:rsidR="00DC6480" w:rsidRPr="00954DFD" w:rsidRDefault="00DC6480" w:rsidP="003D345C">
      <w:pPr>
        <w:pStyle w:val="Akapitzlist"/>
        <w:numPr>
          <w:ilvl w:val="0"/>
          <w:numId w:val="50"/>
        </w:numPr>
        <w:spacing w:after="0" w:line="360" w:lineRule="auto"/>
        <w:ind w:left="284" w:hanging="284"/>
        <w:jc w:val="both"/>
        <w:rPr>
          <w:rFonts w:ascii="Arial" w:hAnsi="Arial" w:cs="Arial"/>
          <w:sz w:val="18"/>
          <w:szCs w:val="18"/>
        </w:rPr>
      </w:pPr>
      <w:r>
        <w:rPr>
          <w:rFonts w:ascii="Arial" w:hAnsi="Arial"/>
          <w:sz w:val="18"/>
        </w:rPr>
        <w:t xml:space="preserve">Information of the Supreme Audit Office about the results of the inspection </w:t>
      </w:r>
      <w:r>
        <w:rPr>
          <w:rFonts w:ascii="Arial" w:hAnsi="Arial"/>
          <w:i/>
          <w:sz w:val="18"/>
        </w:rPr>
        <w:t>Accessibility of public buildings to persons with disabilities in Podlaskie voivodship</w:t>
      </w:r>
      <w:r>
        <w:rPr>
          <w:rFonts w:ascii="Arial" w:hAnsi="Arial"/>
          <w:sz w:val="18"/>
        </w:rPr>
        <w:t>, reg. no. 171/2012/P12127/LBI;</w:t>
      </w:r>
    </w:p>
    <w:p w14:paraId="4CE90126" w14:textId="77777777" w:rsidR="006B097E" w:rsidRDefault="006B097E" w:rsidP="003D345C">
      <w:pPr>
        <w:pStyle w:val="Akapitzlist"/>
        <w:numPr>
          <w:ilvl w:val="0"/>
          <w:numId w:val="50"/>
        </w:numPr>
        <w:spacing w:after="0" w:line="360" w:lineRule="auto"/>
        <w:ind w:left="284" w:hanging="284"/>
        <w:jc w:val="both"/>
        <w:rPr>
          <w:rFonts w:ascii="Arial" w:hAnsi="Arial" w:cs="Arial"/>
          <w:sz w:val="18"/>
          <w:szCs w:val="18"/>
        </w:rPr>
      </w:pPr>
      <w:r>
        <w:rPr>
          <w:rFonts w:ascii="Arial" w:hAnsi="Arial"/>
          <w:sz w:val="18"/>
        </w:rPr>
        <w:t>Information on the results of the technical condition inspections and inspections of preparation of railway stations to servicing passengers, Supreme Audit Office, Warsaw, October 2008;</w:t>
      </w:r>
    </w:p>
    <w:p w14:paraId="21DDE187" w14:textId="77777777" w:rsidR="00FF72C7" w:rsidRDefault="00934F19" w:rsidP="00FF72C7">
      <w:pPr>
        <w:pStyle w:val="Akapitzlist"/>
        <w:numPr>
          <w:ilvl w:val="0"/>
          <w:numId w:val="50"/>
        </w:numPr>
        <w:spacing w:after="0" w:line="360" w:lineRule="auto"/>
        <w:ind w:left="284" w:hanging="284"/>
        <w:jc w:val="both"/>
        <w:rPr>
          <w:rFonts w:ascii="Arial" w:hAnsi="Arial" w:cs="Arial"/>
          <w:sz w:val="18"/>
          <w:szCs w:val="18"/>
        </w:rPr>
      </w:pPr>
      <w:r>
        <w:rPr>
          <w:rFonts w:ascii="Arial" w:hAnsi="Arial"/>
          <w:sz w:val="18"/>
        </w:rPr>
        <w:t xml:space="preserve">Information on the results of an inspection: </w:t>
      </w:r>
      <w:r>
        <w:rPr>
          <w:rFonts w:ascii="Arial" w:hAnsi="Arial"/>
          <w:i/>
          <w:sz w:val="18"/>
        </w:rPr>
        <w:t>Employing persons with disabilities in civil service</w:t>
      </w:r>
      <w:r>
        <w:rPr>
          <w:rFonts w:ascii="Arial" w:hAnsi="Arial"/>
          <w:sz w:val="18"/>
        </w:rPr>
        <w:t>, Chancellery of the Prime Minister, Inspection and Supervision Division, 6 June 2013;</w:t>
      </w:r>
    </w:p>
    <w:p w14:paraId="5821BFE6" w14:textId="77777777" w:rsidR="00FF72C7" w:rsidRPr="00FF72C7" w:rsidRDefault="00FF72C7" w:rsidP="00FF72C7">
      <w:pPr>
        <w:pStyle w:val="Akapitzlist"/>
        <w:numPr>
          <w:ilvl w:val="0"/>
          <w:numId w:val="50"/>
        </w:numPr>
        <w:spacing w:after="0" w:line="360" w:lineRule="auto"/>
        <w:ind w:left="284" w:hanging="284"/>
        <w:jc w:val="both"/>
        <w:rPr>
          <w:rFonts w:ascii="Arial" w:hAnsi="Arial" w:cs="Arial"/>
          <w:sz w:val="18"/>
          <w:szCs w:val="18"/>
        </w:rPr>
      </w:pPr>
      <w:r>
        <w:rPr>
          <w:rFonts w:ascii="Arial" w:hAnsi="Arial"/>
          <w:sz w:val="18"/>
        </w:rPr>
        <w:t>Communication no. 55/2014 on CBOS study in cooperation with the Human Rights Defender – Voting facilitations – opinions, expectations and knowledge, Warsaw 2014.</w:t>
      </w:r>
    </w:p>
    <w:p w14:paraId="21CBBBD0" w14:textId="77777777" w:rsidR="000030E6" w:rsidRPr="00954DFD" w:rsidRDefault="000030E6" w:rsidP="003D345C">
      <w:pPr>
        <w:pStyle w:val="Akapitzlist"/>
        <w:numPr>
          <w:ilvl w:val="0"/>
          <w:numId w:val="50"/>
        </w:numPr>
        <w:spacing w:after="0" w:line="360" w:lineRule="auto"/>
        <w:ind w:left="284" w:hanging="284"/>
        <w:jc w:val="both"/>
        <w:rPr>
          <w:rFonts w:ascii="Arial" w:hAnsi="Arial" w:cs="Arial"/>
          <w:sz w:val="18"/>
          <w:szCs w:val="18"/>
        </w:rPr>
      </w:pPr>
      <w:r>
        <w:rPr>
          <w:rFonts w:ascii="Arial" w:hAnsi="Arial"/>
          <w:i/>
          <w:sz w:val="18"/>
        </w:rPr>
        <w:t>Domestic violence against the elderly and the persons with disabilities. Part II – report on the professional study</w:t>
      </w:r>
      <w:r>
        <w:rPr>
          <w:rFonts w:ascii="Arial" w:hAnsi="Arial"/>
          <w:sz w:val="18"/>
        </w:rPr>
        <w:t>. Studies performed on the commission of the Ministry of Labour and Social Policy on a sample of 100 persons – employees of Police, public healthcare units, social assistance centres and Poviat Family Assistance Centre – by the Polish Academy of Sciences, Institute of Psychology, Warsaw 2009;</w:t>
      </w:r>
    </w:p>
    <w:p w14:paraId="1FF0EB90" w14:textId="246D2C40" w:rsidR="00F24B30" w:rsidRPr="004C14B5" w:rsidRDefault="00F24B30" w:rsidP="003D345C">
      <w:pPr>
        <w:pStyle w:val="Akapitzlist"/>
        <w:numPr>
          <w:ilvl w:val="0"/>
          <w:numId w:val="50"/>
        </w:numPr>
        <w:spacing w:after="0" w:line="360" w:lineRule="auto"/>
        <w:ind w:left="284" w:hanging="284"/>
        <w:jc w:val="both"/>
        <w:rPr>
          <w:rFonts w:ascii="Arial" w:hAnsi="Arial" w:cs="Arial"/>
          <w:sz w:val="18"/>
          <w:szCs w:val="18"/>
        </w:rPr>
      </w:pPr>
      <w:r>
        <w:rPr>
          <w:rFonts w:ascii="Arial" w:hAnsi="Arial"/>
          <w:i/>
          <w:sz w:val="18"/>
        </w:rPr>
        <w:t>Reports on the functioning of Specialist Centres Supporting Domestic Violence Victims for 2012, Warsaw, August 2012, Appendix no. 1 to the Report on the realisation of the National Programme to Prevent Domestic Violence for 2012;</w:t>
      </w:r>
    </w:p>
    <w:p w14:paraId="294FA479" w14:textId="77777777" w:rsidR="004C14B5" w:rsidRPr="00954DFD" w:rsidRDefault="004C14B5" w:rsidP="004C14B5">
      <w:pPr>
        <w:pStyle w:val="Akapitzlist"/>
        <w:spacing w:after="0" w:line="360" w:lineRule="auto"/>
        <w:ind w:left="284"/>
        <w:jc w:val="both"/>
        <w:rPr>
          <w:rFonts w:ascii="Arial" w:hAnsi="Arial" w:cs="Arial"/>
          <w:sz w:val="18"/>
          <w:szCs w:val="18"/>
        </w:rPr>
      </w:pPr>
    </w:p>
    <w:p w14:paraId="55D8ADA5" w14:textId="4D049609" w:rsidR="004427D0" w:rsidRPr="00457A77" w:rsidRDefault="004427D0" w:rsidP="004C14B5">
      <w:pPr>
        <w:pStyle w:val="Nagwek1"/>
        <w:spacing w:before="0" w:after="0"/>
      </w:pPr>
      <w:bookmarkStart w:id="55" w:name="_Toc403999553"/>
      <w:bookmarkStart w:id="56" w:name="_Toc424279016"/>
      <w:r>
        <w:t>List of legal acts quoted:</w:t>
      </w:r>
      <w:bookmarkEnd w:id="55"/>
      <w:bookmarkEnd w:id="56"/>
      <w:r>
        <w:t xml:space="preserve"> </w:t>
      </w:r>
    </w:p>
    <w:p w14:paraId="00A0E21F" w14:textId="77777777" w:rsidR="0064055C" w:rsidRPr="00954DFD" w:rsidRDefault="0064055C" w:rsidP="0064055C">
      <w:pPr>
        <w:pStyle w:val="Akapitzlist"/>
        <w:numPr>
          <w:ilvl w:val="0"/>
          <w:numId w:val="51"/>
        </w:numPr>
        <w:spacing w:after="0" w:line="360" w:lineRule="auto"/>
        <w:ind w:left="284" w:hanging="284"/>
        <w:jc w:val="both"/>
        <w:rPr>
          <w:rFonts w:ascii="Arial" w:hAnsi="Arial" w:cs="Arial"/>
          <w:sz w:val="18"/>
          <w:szCs w:val="18"/>
        </w:rPr>
      </w:pPr>
      <w:r>
        <w:rPr>
          <w:rFonts w:ascii="Arial" w:hAnsi="Arial"/>
          <w:sz w:val="18"/>
        </w:rPr>
        <w:t>Convention on the Rights of Persons with Disabilities, adopted by the General Assembly of the United Nations on 13 December 2006 (Polish Journal of Laws of 2012, item 1169);</w:t>
      </w:r>
    </w:p>
    <w:p w14:paraId="370F6F71" w14:textId="77777777" w:rsidR="0064055C" w:rsidRPr="00954DFD" w:rsidRDefault="0064055C" w:rsidP="0064055C">
      <w:pPr>
        <w:pStyle w:val="Akapitzlist"/>
        <w:numPr>
          <w:ilvl w:val="0"/>
          <w:numId w:val="51"/>
        </w:numPr>
        <w:spacing w:after="0" w:line="360" w:lineRule="auto"/>
        <w:ind w:left="284" w:hanging="284"/>
        <w:jc w:val="both"/>
        <w:rPr>
          <w:rFonts w:ascii="Arial" w:hAnsi="Arial" w:cs="Arial"/>
          <w:sz w:val="18"/>
          <w:szCs w:val="18"/>
        </w:rPr>
      </w:pPr>
      <w:r>
        <w:rPr>
          <w:rFonts w:ascii="Arial" w:hAnsi="Arial"/>
          <w:sz w:val="18"/>
        </w:rPr>
        <w:t>Convention against Torture and Other Cruel, Inhuman or Degrading Treatment or Punishment adopted by the General Assembly of the United Nations in New York on 10 December 1984 (Polish Journal of Laws of 1989, no. 63, item 378);</w:t>
      </w:r>
    </w:p>
    <w:p w14:paraId="66331406" w14:textId="0F7F42F9" w:rsidR="00E0496B" w:rsidRDefault="0064055C" w:rsidP="00E0496B">
      <w:pPr>
        <w:pStyle w:val="Akapitzlist"/>
        <w:numPr>
          <w:ilvl w:val="0"/>
          <w:numId w:val="51"/>
        </w:numPr>
        <w:spacing w:after="0" w:line="360" w:lineRule="auto"/>
        <w:ind w:left="284" w:hanging="284"/>
        <w:jc w:val="both"/>
        <w:rPr>
          <w:rFonts w:ascii="Arial" w:hAnsi="Arial" w:cs="Arial"/>
          <w:sz w:val="18"/>
          <w:szCs w:val="18"/>
        </w:rPr>
      </w:pPr>
      <w:r>
        <w:rPr>
          <w:rFonts w:ascii="Arial" w:hAnsi="Arial"/>
          <w:sz w:val="18"/>
        </w:rPr>
        <w:t>Optional Protocol to the Convention against Torture and Other Cruel, Inhuman or Degrading Treatment or Punishment adopted by the General Assembly of the United Nations in New York on 18 December 2002 (Polish Journal of Laws of 2007, no. 30, item 192);</w:t>
      </w:r>
    </w:p>
    <w:p w14:paraId="5094048B" w14:textId="77777777" w:rsidR="00E0496B" w:rsidRPr="00E0496B" w:rsidRDefault="00E0496B" w:rsidP="00E0496B">
      <w:pPr>
        <w:pStyle w:val="Akapitzlist"/>
        <w:numPr>
          <w:ilvl w:val="0"/>
          <w:numId w:val="51"/>
        </w:numPr>
        <w:spacing w:after="0" w:line="360" w:lineRule="auto"/>
        <w:ind w:left="284" w:hanging="284"/>
        <w:jc w:val="both"/>
        <w:rPr>
          <w:rFonts w:ascii="Arial" w:hAnsi="Arial" w:cs="Arial"/>
          <w:sz w:val="18"/>
          <w:szCs w:val="18"/>
        </w:rPr>
      </w:pPr>
      <w:r>
        <w:rPr>
          <w:rFonts w:ascii="Arial" w:hAnsi="Arial"/>
          <w:sz w:val="18"/>
        </w:rPr>
        <w:t>Vienna Convention on the Law of Treaties made in Vienna on 23 May 1969 (Polish Journal of Laws of 1990, no. 74, item 439);</w:t>
      </w:r>
    </w:p>
    <w:p w14:paraId="7DAB4B08" w14:textId="77777777" w:rsidR="0064055C" w:rsidRDefault="0064055C" w:rsidP="00954DFD">
      <w:pPr>
        <w:pStyle w:val="Akapitzlist"/>
        <w:numPr>
          <w:ilvl w:val="0"/>
          <w:numId w:val="49"/>
        </w:numPr>
        <w:spacing w:after="0" w:line="360" w:lineRule="auto"/>
        <w:ind w:left="284" w:hanging="284"/>
        <w:jc w:val="both"/>
        <w:rPr>
          <w:rFonts w:ascii="Arial" w:hAnsi="Arial" w:cs="Arial"/>
          <w:sz w:val="18"/>
          <w:szCs w:val="18"/>
        </w:rPr>
      </w:pPr>
      <w:r>
        <w:rPr>
          <w:rFonts w:ascii="Arial" w:hAnsi="Arial"/>
          <w:sz w:val="18"/>
        </w:rPr>
        <w:t>Act of 2 April 1997 – the Constitution of the Republic of Poland (Polish Journal of Laws no. 78 item 483 as amended);</w:t>
      </w:r>
    </w:p>
    <w:p w14:paraId="2F6A691E" w14:textId="77777777" w:rsidR="00954DFD" w:rsidRPr="00954DFD" w:rsidRDefault="00954DFD" w:rsidP="00954DFD">
      <w:pPr>
        <w:pStyle w:val="Akapitzlist"/>
        <w:numPr>
          <w:ilvl w:val="0"/>
          <w:numId w:val="49"/>
        </w:numPr>
        <w:spacing w:line="360" w:lineRule="auto"/>
        <w:ind w:left="284" w:hanging="284"/>
        <w:jc w:val="both"/>
        <w:rPr>
          <w:rFonts w:ascii="Arial" w:hAnsi="Arial" w:cs="Arial"/>
          <w:sz w:val="18"/>
          <w:szCs w:val="18"/>
        </w:rPr>
      </w:pPr>
      <w:r>
        <w:rPr>
          <w:rFonts w:ascii="Arial" w:hAnsi="Arial"/>
          <w:sz w:val="18"/>
        </w:rPr>
        <w:t xml:space="preserve">Act of 23 April 1964 - Civil Code (Polish Journal of Laws of 2014, item 121); </w:t>
      </w:r>
    </w:p>
    <w:p w14:paraId="204F7D71" w14:textId="77777777" w:rsidR="00954DFD" w:rsidRPr="00954DFD" w:rsidRDefault="00954DFD" w:rsidP="00954DFD">
      <w:pPr>
        <w:pStyle w:val="Akapitzlist"/>
        <w:numPr>
          <w:ilvl w:val="0"/>
          <w:numId w:val="49"/>
        </w:numPr>
        <w:spacing w:line="360" w:lineRule="auto"/>
        <w:ind w:left="284" w:hanging="284"/>
        <w:jc w:val="both"/>
        <w:rPr>
          <w:rFonts w:ascii="Arial" w:hAnsi="Arial" w:cs="Arial"/>
          <w:sz w:val="18"/>
          <w:szCs w:val="18"/>
        </w:rPr>
      </w:pPr>
      <w:r>
        <w:rPr>
          <w:rFonts w:ascii="Arial" w:hAnsi="Arial"/>
          <w:sz w:val="18"/>
        </w:rPr>
        <w:t>Act of 26 June 1974 - Labour Code (Polish Journal of Laws of 1998 no. 21 item 94 as amended);</w:t>
      </w:r>
    </w:p>
    <w:p w14:paraId="248C0DDA" w14:textId="77777777" w:rsidR="001F46A8" w:rsidRDefault="00CA2753" w:rsidP="00954DFD">
      <w:pPr>
        <w:pStyle w:val="Akapitzlist"/>
        <w:numPr>
          <w:ilvl w:val="0"/>
          <w:numId w:val="49"/>
        </w:numPr>
        <w:spacing w:after="0" w:line="360" w:lineRule="auto"/>
        <w:ind w:left="284" w:hanging="284"/>
        <w:jc w:val="both"/>
        <w:rPr>
          <w:rFonts w:ascii="Arial" w:hAnsi="Arial" w:cs="Arial"/>
          <w:sz w:val="18"/>
          <w:szCs w:val="18"/>
        </w:rPr>
      </w:pPr>
      <w:r>
        <w:rPr>
          <w:rFonts w:ascii="Arial" w:hAnsi="Arial"/>
          <w:sz w:val="18"/>
        </w:rPr>
        <w:t>Act of 25 February 1964 - Polish Family and Guardianship Code (Polish Journal of Laws of 2012 item 788 as amended);</w:t>
      </w:r>
    </w:p>
    <w:p w14:paraId="2BFC27B5" w14:textId="77777777" w:rsidR="00954DFD" w:rsidRPr="00954DFD" w:rsidRDefault="00954DFD" w:rsidP="00954DFD">
      <w:pPr>
        <w:pStyle w:val="Akapitzlist"/>
        <w:numPr>
          <w:ilvl w:val="0"/>
          <w:numId w:val="49"/>
        </w:numPr>
        <w:spacing w:after="0" w:line="360" w:lineRule="auto"/>
        <w:ind w:left="284" w:hanging="284"/>
        <w:jc w:val="both"/>
        <w:rPr>
          <w:rFonts w:ascii="Arial" w:hAnsi="Arial" w:cs="Arial"/>
          <w:sz w:val="18"/>
          <w:szCs w:val="18"/>
        </w:rPr>
      </w:pPr>
      <w:r>
        <w:rPr>
          <w:rFonts w:ascii="Arial" w:hAnsi="Arial"/>
          <w:sz w:val="18"/>
        </w:rPr>
        <w:t>Act of 5 January 2011 – Polish Election Code (Polish Journal of Laws no. 21 item 112 as amended);</w:t>
      </w:r>
    </w:p>
    <w:p w14:paraId="038C177C" w14:textId="77777777" w:rsidR="00954DFD" w:rsidRPr="00954DFD" w:rsidRDefault="00954DFD" w:rsidP="00954DFD">
      <w:pPr>
        <w:pStyle w:val="Akapitzlist"/>
        <w:numPr>
          <w:ilvl w:val="0"/>
          <w:numId w:val="49"/>
        </w:numPr>
        <w:spacing w:after="0" w:line="360" w:lineRule="auto"/>
        <w:ind w:left="284" w:hanging="284"/>
        <w:jc w:val="both"/>
        <w:rPr>
          <w:rFonts w:ascii="Arial" w:hAnsi="Arial" w:cs="Arial"/>
          <w:sz w:val="18"/>
          <w:szCs w:val="18"/>
        </w:rPr>
      </w:pPr>
      <w:r>
        <w:rPr>
          <w:rFonts w:ascii="Arial" w:hAnsi="Arial"/>
          <w:sz w:val="18"/>
        </w:rPr>
        <w:t>Act of 6 June 1997 – Polish Code of Criminal Procedure (Polish Journal of Laws no. 89 item 555 as amended);</w:t>
      </w:r>
    </w:p>
    <w:p w14:paraId="306DA386" w14:textId="77777777" w:rsidR="00954DFD" w:rsidRPr="00954DFD" w:rsidRDefault="00954DFD" w:rsidP="00954DFD">
      <w:pPr>
        <w:pStyle w:val="Akapitzlist"/>
        <w:numPr>
          <w:ilvl w:val="0"/>
          <w:numId w:val="49"/>
        </w:numPr>
        <w:spacing w:after="0" w:line="360" w:lineRule="auto"/>
        <w:ind w:left="284" w:hanging="284"/>
        <w:jc w:val="both"/>
        <w:rPr>
          <w:rFonts w:ascii="Arial" w:hAnsi="Arial" w:cs="Arial"/>
          <w:sz w:val="18"/>
          <w:szCs w:val="18"/>
        </w:rPr>
      </w:pPr>
      <w:r>
        <w:rPr>
          <w:rFonts w:ascii="Arial" w:hAnsi="Arial"/>
          <w:sz w:val="18"/>
        </w:rPr>
        <w:t>Act of 17 November 1964 – Polish Code of Civil Procedure (Polish Journal of Laws of 2014 item 101 as amended);</w:t>
      </w:r>
    </w:p>
    <w:p w14:paraId="79271D59" w14:textId="77777777" w:rsidR="00954DFD" w:rsidRPr="00954DFD" w:rsidRDefault="00954DFD" w:rsidP="00954DFD">
      <w:pPr>
        <w:pStyle w:val="Akapitzlist"/>
        <w:numPr>
          <w:ilvl w:val="0"/>
          <w:numId w:val="49"/>
        </w:numPr>
        <w:spacing w:after="0" w:line="360" w:lineRule="auto"/>
        <w:ind w:left="284" w:hanging="284"/>
        <w:jc w:val="both"/>
        <w:rPr>
          <w:rFonts w:ascii="Arial" w:hAnsi="Arial" w:cs="Arial"/>
          <w:sz w:val="18"/>
          <w:szCs w:val="18"/>
        </w:rPr>
      </w:pPr>
      <w:r>
        <w:rPr>
          <w:rFonts w:ascii="Arial" w:hAnsi="Arial"/>
          <w:sz w:val="18"/>
        </w:rPr>
        <w:t>Act of 14 June 1960 – Polish Code of Administrative Procedure (Polish Journal of Laws of 2013 item 267 as amended);</w:t>
      </w:r>
    </w:p>
    <w:p w14:paraId="6C9DDF15" w14:textId="77777777" w:rsidR="00954DFD" w:rsidRPr="00954DFD" w:rsidRDefault="00954DFD" w:rsidP="00954DFD">
      <w:pPr>
        <w:pStyle w:val="Akapitzlist"/>
        <w:numPr>
          <w:ilvl w:val="0"/>
          <w:numId w:val="49"/>
        </w:numPr>
        <w:spacing w:after="0" w:line="360" w:lineRule="auto"/>
        <w:ind w:left="284" w:hanging="284"/>
        <w:jc w:val="both"/>
        <w:rPr>
          <w:rFonts w:ascii="Arial" w:hAnsi="Arial" w:cs="Arial"/>
          <w:sz w:val="18"/>
          <w:szCs w:val="18"/>
        </w:rPr>
      </w:pPr>
      <w:r>
        <w:rPr>
          <w:rFonts w:ascii="Arial" w:hAnsi="Arial"/>
          <w:sz w:val="18"/>
        </w:rPr>
        <w:t>Act of 30 August 2002 – Law on procedure before administrative courts (Polish Journal of Laws of 2012 item 270 as amended);</w:t>
      </w:r>
    </w:p>
    <w:p w14:paraId="7F841D4A" w14:textId="77777777" w:rsidR="004D4AD2" w:rsidRPr="00954DFD" w:rsidRDefault="00CA2753" w:rsidP="003D345C">
      <w:pPr>
        <w:pStyle w:val="Akapitzlist"/>
        <w:numPr>
          <w:ilvl w:val="0"/>
          <w:numId w:val="49"/>
        </w:numPr>
        <w:spacing w:after="0" w:line="360" w:lineRule="auto"/>
        <w:ind w:left="284" w:hanging="284"/>
        <w:jc w:val="both"/>
        <w:rPr>
          <w:rFonts w:ascii="Arial" w:hAnsi="Arial" w:cs="Arial"/>
          <w:b/>
          <w:sz w:val="18"/>
          <w:szCs w:val="18"/>
        </w:rPr>
      </w:pPr>
      <w:r>
        <w:rPr>
          <w:rFonts w:ascii="Arial" w:hAnsi="Arial"/>
          <w:sz w:val="18"/>
        </w:rPr>
        <w:t>Act of 15 July 1987 on Human Rights Defender (Polish Journal of Laws of 2001 no. 14 item 147 as amended);</w:t>
      </w:r>
    </w:p>
    <w:p w14:paraId="0A64990C" w14:textId="77777777" w:rsidR="00CE0A8A" w:rsidRPr="00954DFD" w:rsidRDefault="00CA2753" w:rsidP="003D345C">
      <w:pPr>
        <w:pStyle w:val="Akapitzlist"/>
        <w:numPr>
          <w:ilvl w:val="0"/>
          <w:numId w:val="49"/>
        </w:numPr>
        <w:spacing w:after="0" w:line="360" w:lineRule="auto"/>
        <w:ind w:left="284" w:hanging="284"/>
        <w:jc w:val="both"/>
        <w:rPr>
          <w:rFonts w:ascii="Arial" w:hAnsi="Arial" w:cs="Arial"/>
          <w:b/>
          <w:sz w:val="18"/>
          <w:szCs w:val="18"/>
        </w:rPr>
      </w:pPr>
      <w:r>
        <w:rPr>
          <w:rFonts w:ascii="Arial" w:hAnsi="Arial"/>
          <w:sz w:val="18"/>
        </w:rPr>
        <w:t>Act of 3 December 2010 on the implementation of some regulations of European Union regarding equal treatment (Polish Journal of Laws no. 254, item 1700);</w:t>
      </w:r>
    </w:p>
    <w:p w14:paraId="505009E5" w14:textId="77777777" w:rsidR="00CE0A8A" w:rsidRPr="00954DFD" w:rsidRDefault="00CA2753" w:rsidP="003D345C">
      <w:pPr>
        <w:pStyle w:val="Akapitzlist"/>
        <w:numPr>
          <w:ilvl w:val="0"/>
          <w:numId w:val="49"/>
        </w:numPr>
        <w:spacing w:after="0" w:line="360" w:lineRule="auto"/>
        <w:ind w:left="284" w:hanging="284"/>
        <w:jc w:val="both"/>
        <w:rPr>
          <w:rFonts w:ascii="Arial" w:hAnsi="Arial" w:cs="Arial"/>
          <w:sz w:val="18"/>
          <w:szCs w:val="18"/>
        </w:rPr>
      </w:pPr>
      <w:r>
        <w:rPr>
          <w:rFonts w:ascii="Arial" w:hAnsi="Arial"/>
          <w:sz w:val="18"/>
        </w:rPr>
        <w:t>Act of 4 September 1997 on sections of governmental administration (Polish Journal of Laws of 2013 item 743 as amended);</w:t>
      </w:r>
    </w:p>
    <w:p w14:paraId="29987A4C" w14:textId="77777777" w:rsidR="00CE0A8A" w:rsidRPr="00954DFD" w:rsidRDefault="00CA2753" w:rsidP="003D345C">
      <w:pPr>
        <w:pStyle w:val="Akapitzlist"/>
        <w:numPr>
          <w:ilvl w:val="0"/>
          <w:numId w:val="49"/>
        </w:numPr>
        <w:spacing w:after="0" w:line="360" w:lineRule="auto"/>
        <w:ind w:left="284" w:hanging="284"/>
        <w:jc w:val="both"/>
        <w:rPr>
          <w:rFonts w:ascii="Arial" w:hAnsi="Arial" w:cs="Arial"/>
          <w:sz w:val="18"/>
          <w:szCs w:val="18"/>
        </w:rPr>
      </w:pPr>
      <w:r>
        <w:rPr>
          <w:rFonts w:ascii="Arial" w:hAnsi="Arial"/>
          <w:sz w:val="18"/>
        </w:rPr>
        <w:t>Act of 27 August 1997 on vocational and social rehabilitation and employment of persons with disabilities (Polish Journal of Laws of 2011 no. 127 item 721 as amended);</w:t>
      </w:r>
    </w:p>
    <w:p w14:paraId="599882DC" w14:textId="2038F16C" w:rsidR="00CE0A8A" w:rsidRPr="00954DFD" w:rsidRDefault="00CA2753" w:rsidP="003D345C">
      <w:pPr>
        <w:pStyle w:val="Akapitzlist"/>
        <w:numPr>
          <w:ilvl w:val="0"/>
          <w:numId w:val="49"/>
        </w:numPr>
        <w:spacing w:after="0" w:line="360" w:lineRule="auto"/>
        <w:ind w:left="284" w:hanging="284"/>
        <w:jc w:val="both"/>
        <w:rPr>
          <w:rFonts w:ascii="Arial" w:hAnsi="Arial" w:cs="Arial"/>
          <w:sz w:val="18"/>
          <w:szCs w:val="18"/>
        </w:rPr>
      </w:pPr>
      <w:r>
        <w:rPr>
          <w:rFonts w:ascii="Arial" w:hAnsi="Arial"/>
          <w:sz w:val="18"/>
        </w:rPr>
        <w:t>Act of 17 December 1998 on retirement and disability pensions from the Social Insurance Fund (Polish Journal of Laws of 2013 item 1440 as amended);</w:t>
      </w:r>
    </w:p>
    <w:p w14:paraId="4AE1162D" w14:textId="77777777" w:rsidR="005F57DB" w:rsidRPr="00954DFD" w:rsidRDefault="00CA2753" w:rsidP="003D345C">
      <w:pPr>
        <w:pStyle w:val="Akapitzlist"/>
        <w:numPr>
          <w:ilvl w:val="0"/>
          <w:numId w:val="49"/>
        </w:numPr>
        <w:spacing w:after="0" w:line="360" w:lineRule="auto"/>
        <w:ind w:left="284" w:hanging="284"/>
        <w:jc w:val="both"/>
        <w:rPr>
          <w:rFonts w:ascii="Arial" w:hAnsi="Arial" w:cs="Arial"/>
          <w:sz w:val="18"/>
          <w:szCs w:val="18"/>
        </w:rPr>
      </w:pPr>
      <w:r>
        <w:rPr>
          <w:rFonts w:ascii="Arial" w:hAnsi="Arial"/>
          <w:sz w:val="18"/>
        </w:rPr>
        <w:t>Act of 20 December 1990 on social insurance of farmers (Polish Journal of Laws of 2013 item 1403 as amended);</w:t>
      </w:r>
    </w:p>
    <w:p w14:paraId="381C9789" w14:textId="43928118" w:rsidR="005F57DB" w:rsidRPr="00954DFD" w:rsidRDefault="00CA2753" w:rsidP="003D345C">
      <w:pPr>
        <w:pStyle w:val="Akapitzlist"/>
        <w:numPr>
          <w:ilvl w:val="0"/>
          <w:numId w:val="49"/>
        </w:numPr>
        <w:spacing w:after="0" w:line="360" w:lineRule="auto"/>
        <w:ind w:left="284" w:hanging="284"/>
        <w:jc w:val="both"/>
        <w:rPr>
          <w:rFonts w:ascii="Arial" w:hAnsi="Arial" w:cs="Arial"/>
          <w:sz w:val="18"/>
          <w:szCs w:val="18"/>
        </w:rPr>
      </w:pPr>
      <w:r>
        <w:rPr>
          <w:rFonts w:ascii="Arial" w:hAnsi="Arial"/>
          <w:sz w:val="18"/>
        </w:rPr>
        <w:t xml:space="preserve">Act of 29 May 1974 on the scheme for military invalids and veterans and their families; (Polish Journal of Laws of 2010 no. 101, item 648, as amended); </w:t>
      </w:r>
    </w:p>
    <w:p w14:paraId="3BEE3EC8" w14:textId="666F4CC9" w:rsidR="005F57DB" w:rsidRPr="00954DFD" w:rsidRDefault="00CA2753" w:rsidP="003D345C">
      <w:pPr>
        <w:pStyle w:val="Akapitzlist"/>
        <w:numPr>
          <w:ilvl w:val="0"/>
          <w:numId w:val="49"/>
        </w:numPr>
        <w:spacing w:after="0" w:line="360" w:lineRule="auto"/>
        <w:ind w:left="284" w:hanging="284"/>
        <w:jc w:val="both"/>
        <w:rPr>
          <w:rFonts w:ascii="Arial" w:hAnsi="Arial" w:cs="Arial"/>
          <w:sz w:val="18"/>
          <w:szCs w:val="18"/>
        </w:rPr>
      </w:pPr>
      <w:r>
        <w:rPr>
          <w:rFonts w:ascii="Arial" w:hAnsi="Arial"/>
          <w:sz w:val="18"/>
        </w:rPr>
        <w:t xml:space="preserve">Act of 10 December 1993 on the scheme for professional soldiers and their families; (Polish Journal of Laws of 2004 no. 8, item 66, as amended); </w:t>
      </w:r>
    </w:p>
    <w:p w14:paraId="3DEB5A98" w14:textId="3657AACB" w:rsidR="005F57DB" w:rsidRPr="00954DFD" w:rsidRDefault="00CA2753" w:rsidP="003D345C">
      <w:pPr>
        <w:pStyle w:val="Akapitzlist"/>
        <w:numPr>
          <w:ilvl w:val="0"/>
          <w:numId w:val="49"/>
        </w:numPr>
        <w:spacing w:after="0" w:line="360" w:lineRule="auto"/>
        <w:ind w:left="284" w:hanging="284"/>
        <w:jc w:val="both"/>
        <w:rPr>
          <w:rFonts w:ascii="Arial" w:hAnsi="Arial" w:cs="Arial"/>
          <w:sz w:val="18"/>
          <w:szCs w:val="18"/>
        </w:rPr>
      </w:pPr>
      <w:r>
        <w:rPr>
          <w:rFonts w:ascii="Arial" w:hAnsi="Arial"/>
          <w:sz w:val="18"/>
        </w:rPr>
        <w:t>Act of 18 February 1994 on retirement pension scheme for the officers of Police, Internal Security Agency, Intelligence Agency, Border Guard, Government Security Agency, State Fire Emergency Service and Prison Service and their families, (Polish Journal of Laws of 2004 no. 8, item 67, as amended);</w:t>
      </w:r>
    </w:p>
    <w:p w14:paraId="08FF4E31" w14:textId="77777777" w:rsidR="005F57DB" w:rsidRPr="00954DFD" w:rsidRDefault="00CA2753" w:rsidP="003D345C">
      <w:pPr>
        <w:pStyle w:val="Akapitzlist"/>
        <w:numPr>
          <w:ilvl w:val="0"/>
          <w:numId w:val="49"/>
        </w:numPr>
        <w:spacing w:after="0" w:line="360" w:lineRule="auto"/>
        <w:ind w:left="284" w:hanging="284"/>
        <w:jc w:val="both"/>
        <w:rPr>
          <w:rFonts w:ascii="Arial" w:hAnsi="Arial" w:cs="Arial"/>
          <w:sz w:val="18"/>
          <w:szCs w:val="18"/>
        </w:rPr>
      </w:pPr>
      <w:r>
        <w:rPr>
          <w:rFonts w:ascii="Arial" w:hAnsi="Arial"/>
          <w:sz w:val="18"/>
        </w:rPr>
        <w:t>Act of 7 September 1991 on education (Polish Journal of Laws of 2004 no. 256 item 2572 as amended);</w:t>
      </w:r>
    </w:p>
    <w:p w14:paraId="45676087" w14:textId="77777777" w:rsidR="00CF18ED" w:rsidRPr="00954DFD" w:rsidRDefault="00CA2753" w:rsidP="003D345C">
      <w:pPr>
        <w:pStyle w:val="Akapitzlist"/>
        <w:numPr>
          <w:ilvl w:val="0"/>
          <w:numId w:val="49"/>
        </w:numPr>
        <w:spacing w:after="0" w:line="360" w:lineRule="auto"/>
        <w:ind w:left="284" w:hanging="284"/>
        <w:jc w:val="both"/>
        <w:rPr>
          <w:rFonts w:ascii="Arial" w:hAnsi="Arial" w:cs="Arial"/>
          <w:sz w:val="18"/>
          <w:szCs w:val="18"/>
        </w:rPr>
      </w:pPr>
      <w:r>
        <w:rPr>
          <w:rFonts w:ascii="Arial" w:hAnsi="Arial"/>
          <w:sz w:val="18"/>
        </w:rPr>
        <w:t>Act of 14 March 2003 on national referendum (Polish Journal of Laws no. 57 item 507 as amended);</w:t>
      </w:r>
    </w:p>
    <w:p w14:paraId="29EEF3C2" w14:textId="77777777" w:rsidR="00CF18ED" w:rsidRPr="00954DFD" w:rsidRDefault="00CA2753" w:rsidP="003D345C">
      <w:pPr>
        <w:pStyle w:val="Akapitzlist"/>
        <w:numPr>
          <w:ilvl w:val="0"/>
          <w:numId w:val="49"/>
        </w:numPr>
        <w:spacing w:after="0" w:line="360" w:lineRule="auto"/>
        <w:ind w:left="284" w:hanging="284"/>
        <w:jc w:val="both"/>
        <w:rPr>
          <w:rFonts w:ascii="Arial" w:hAnsi="Arial" w:cs="Arial"/>
          <w:sz w:val="18"/>
          <w:szCs w:val="18"/>
        </w:rPr>
      </w:pPr>
      <w:r>
        <w:rPr>
          <w:rFonts w:ascii="Arial" w:hAnsi="Arial"/>
          <w:sz w:val="18"/>
        </w:rPr>
        <w:t>Act of 6 September 2001 Pharmaceutical Law Act (Polish Journal of Laws of 2008 no. 45 item 271 as amended);</w:t>
      </w:r>
    </w:p>
    <w:p w14:paraId="4F0A35B6" w14:textId="77777777" w:rsidR="00CF18ED" w:rsidRPr="00954DFD" w:rsidRDefault="00CA2753" w:rsidP="003D345C">
      <w:pPr>
        <w:pStyle w:val="Akapitzlist"/>
        <w:numPr>
          <w:ilvl w:val="0"/>
          <w:numId w:val="49"/>
        </w:numPr>
        <w:spacing w:after="0" w:line="360" w:lineRule="auto"/>
        <w:ind w:left="284" w:hanging="284"/>
        <w:jc w:val="both"/>
        <w:rPr>
          <w:rFonts w:ascii="Arial" w:hAnsi="Arial" w:cs="Arial"/>
          <w:sz w:val="18"/>
          <w:szCs w:val="18"/>
        </w:rPr>
      </w:pPr>
      <w:r>
        <w:rPr>
          <w:rFonts w:ascii="Arial" w:hAnsi="Arial"/>
          <w:sz w:val="18"/>
        </w:rPr>
        <w:t>Act of 19 August 2011 on sign language and other means of communication (Polish Journal of Laws no. 209 item 1243 as amended);</w:t>
      </w:r>
    </w:p>
    <w:p w14:paraId="55BB77F5" w14:textId="77777777" w:rsidR="00CF18ED" w:rsidRPr="00954DFD" w:rsidRDefault="00CA2753" w:rsidP="003D345C">
      <w:pPr>
        <w:pStyle w:val="Akapitzlist"/>
        <w:numPr>
          <w:ilvl w:val="0"/>
          <w:numId w:val="49"/>
        </w:numPr>
        <w:spacing w:after="0" w:line="360" w:lineRule="auto"/>
        <w:ind w:left="284" w:hanging="284"/>
        <w:jc w:val="both"/>
        <w:rPr>
          <w:rFonts w:ascii="Arial" w:hAnsi="Arial" w:cs="Arial"/>
          <w:sz w:val="18"/>
          <w:szCs w:val="18"/>
        </w:rPr>
      </w:pPr>
      <w:r>
        <w:rPr>
          <w:rFonts w:ascii="Arial" w:hAnsi="Arial"/>
          <w:sz w:val="18"/>
        </w:rPr>
        <w:t>Act of 7 October 1999 on Polish language (Polish Journal of Laws of 2011 no. 43 item 224 as amended);</w:t>
      </w:r>
    </w:p>
    <w:p w14:paraId="13F5E0FA" w14:textId="77777777" w:rsidR="00F22D20" w:rsidRPr="00954DFD" w:rsidRDefault="00CA2753" w:rsidP="003D345C">
      <w:pPr>
        <w:pStyle w:val="Akapitzlist"/>
        <w:numPr>
          <w:ilvl w:val="0"/>
          <w:numId w:val="49"/>
        </w:numPr>
        <w:spacing w:after="0" w:line="360" w:lineRule="auto"/>
        <w:ind w:left="284" w:hanging="284"/>
        <w:jc w:val="both"/>
        <w:rPr>
          <w:rFonts w:ascii="Arial" w:hAnsi="Arial" w:cs="Arial"/>
          <w:sz w:val="18"/>
          <w:szCs w:val="18"/>
        </w:rPr>
      </w:pPr>
      <w:r>
        <w:rPr>
          <w:rFonts w:ascii="Arial" w:hAnsi="Arial"/>
          <w:sz w:val="18"/>
        </w:rPr>
        <w:t>Act of 7 July 1994 Construction Law Act (Polish Journal of Laws of 2013 item 1409 as amended);</w:t>
      </w:r>
    </w:p>
    <w:p w14:paraId="5AC48AAB" w14:textId="77777777" w:rsidR="00F22D20" w:rsidRPr="00954DFD" w:rsidRDefault="00CA2753" w:rsidP="003D345C">
      <w:pPr>
        <w:pStyle w:val="Akapitzlist"/>
        <w:numPr>
          <w:ilvl w:val="0"/>
          <w:numId w:val="49"/>
        </w:numPr>
        <w:spacing w:after="0" w:line="360" w:lineRule="auto"/>
        <w:ind w:left="284" w:hanging="284"/>
        <w:jc w:val="both"/>
        <w:rPr>
          <w:rFonts w:ascii="Arial" w:hAnsi="Arial" w:cs="Arial"/>
          <w:sz w:val="18"/>
          <w:szCs w:val="18"/>
        </w:rPr>
      </w:pPr>
      <w:r>
        <w:rPr>
          <w:rFonts w:ascii="Arial" w:hAnsi="Arial"/>
          <w:sz w:val="18"/>
        </w:rPr>
        <w:t>Act of 15 November 1984 Transportation Law Act (Polish Journal of Laws of 2012 item 1173 as amended);</w:t>
      </w:r>
    </w:p>
    <w:p w14:paraId="4108B6A3" w14:textId="77777777" w:rsidR="00F22D20" w:rsidRPr="00954DFD" w:rsidRDefault="00CA2753" w:rsidP="003D345C">
      <w:pPr>
        <w:pStyle w:val="Akapitzlist"/>
        <w:numPr>
          <w:ilvl w:val="0"/>
          <w:numId w:val="49"/>
        </w:numPr>
        <w:spacing w:after="0" w:line="360" w:lineRule="auto"/>
        <w:ind w:left="284" w:hanging="284"/>
        <w:jc w:val="both"/>
        <w:rPr>
          <w:rFonts w:ascii="Arial" w:hAnsi="Arial" w:cs="Arial"/>
          <w:sz w:val="18"/>
          <w:szCs w:val="18"/>
        </w:rPr>
      </w:pPr>
      <w:r>
        <w:rPr>
          <w:rFonts w:ascii="Arial" w:hAnsi="Arial"/>
          <w:sz w:val="18"/>
        </w:rPr>
        <w:t>Act of 16 July 2004 Telecommunications Law Act (Polish Journal of Laws of 2014, item 243);</w:t>
      </w:r>
    </w:p>
    <w:p w14:paraId="06535001" w14:textId="77777777" w:rsidR="00EB689A" w:rsidRPr="00954DFD" w:rsidRDefault="00CA2753" w:rsidP="003D345C">
      <w:pPr>
        <w:pStyle w:val="Akapitzlist"/>
        <w:numPr>
          <w:ilvl w:val="0"/>
          <w:numId w:val="49"/>
        </w:numPr>
        <w:spacing w:after="0" w:line="360" w:lineRule="auto"/>
        <w:ind w:left="284" w:hanging="284"/>
        <w:jc w:val="both"/>
        <w:rPr>
          <w:rFonts w:ascii="Arial" w:hAnsi="Arial" w:cs="Arial"/>
          <w:sz w:val="18"/>
          <w:szCs w:val="18"/>
        </w:rPr>
      </w:pPr>
      <w:r>
        <w:rPr>
          <w:rFonts w:ascii="Arial" w:hAnsi="Arial"/>
          <w:sz w:val="18"/>
        </w:rPr>
        <w:t xml:space="preserve">Act of 14 April 2000 on international agreements (Polish Journal of Laws no. 39 item 443 as amended); </w:t>
      </w:r>
    </w:p>
    <w:p w14:paraId="4530E019" w14:textId="77777777" w:rsidR="00DC6480" w:rsidRPr="00954DFD" w:rsidRDefault="00CA2753" w:rsidP="003D345C">
      <w:pPr>
        <w:pStyle w:val="Akapitzlist"/>
        <w:numPr>
          <w:ilvl w:val="0"/>
          <w:numId w:val="49"/>
        </w:numPr>
        <w:spacing w:line="360" w:lineRule="auto"/>
        <w:ind w:left="284" w:hanging="284"/>
        <w:jc w:val="both"/>
        <w:rPr>
          <w:rFonts w:ascii="Arial" w:hAnsi="Arial" w:cs="Arial"/>
          <w:sz w:val="18"/>
          <w:szCs w:val="18"/>
        </w:rPr>
      </w:pPr>
      <w:r>
        <w:rPr>
          <w:rFonts w:ascii="Arial" w:hAnsi="Arial"/>
          <w:sz w:val="18"/>
        </w:rPr>
        <w:t xml:space="preserve">Act of 27 March 2003 on spatial planning and development (Polish Journal of Laws of 2012 item 647 as amended); </w:t>
      </w:r>
    </w:p>
    <w:p w14:paraId="7F11FF96" w14:textId="77777777" w:rsidR="00EB689A" w:rsidRDefault="00CA2753" w:rsidP="003D345C">
      <w:pPr>
        <w:pStyle w:val="Akapitzlist"/>
        <w:numPr>
          <w:ilvl w:val="0"/>
          <w:numId w:val="49"/>
        </w:numPr>
        <w:spacing w:line="360" w:lineRule="auto"/>
        <w:ind w:left="284" w:hanging="284"/>
        <w:jc w:val="both"/>
        <w:rPr>
          <w:rFonts w:ascii="Arial" w:hAnsi="Arial" w:cs="Arial"/>
          <w:sz w:val="18"/>
          <w:szCs w:val="18"/>
        </w:rPr>
      </w:pPr>
      <w:r>
        <w:rPr>
          <w:rFonts w:ascii="Arial" w:hAnsi="Arial"/>
          <w:sz w:val="18"/>
        </w:rPr>
        <w:t>Act of 7 April 1989 Law on Associations (Polish Journal of Laws no. 20 item 54 as amended);</w:t>
      </w:r>
    </w:p>
    <w:p w14:paraId="70871BE5" w14:textId="77777777" w:rsidR="00FF72C7" w:rsidRPr="00954DFD" w:rsidRDefault="00FF72C7" w:rsidP="003D345C">
      <w:pPr>
        <w:pStyle w:val="Akapitzlist"/>
        <w:numPr>
          <w:ilvl w:val="0"/>
          <w:numId w:val="49"/>
        </w:numPr>
        <w:spacing w:line="360" w:lineRule="auto"/>
        <w:ind w:left="284" w:hanging="284"/>
        <w:jc w:val="both"/>
        <w:rPr>
          <w:rFonts w:ascii="Arial" w:hAnsi="Arial" w:cs="Arial"/>
          <w:sz w:val="18"/>
          <w:szCs w:val="18"/>
        </w:rPr>
      </w:pPr>
      <w:r>
        <w:rPr>
          <w:rFonts w:ascii="Arial" w:hAnsi="Arial"/>
          <w:sz w:val="18"/>
        </w:rPr>
        <w:t>Act of 5 July 1990 Law on Assemblies (Polish Journal of Laws of 2013, item 397);</w:t>
      </w:r>
    </w:p>
    <w:p w14:paraId="0A460A85" w14:textId="77777777" w:rsidR="00EB689A" w:rsidRPr="00954DFD" w:rsidRDefault="00CA2753" w:rsidP="00EB689A">
      <w:pPr>
        <w:pStyle w:val="Akapitzlist"/>
        <w:numPr>
          <w:ilvl w:val="0"/>
          <w:numId w:val="49"/>
        </w:numPr>
        <w:spacing w:after="0" w:line="360" w:lineRule="auto"/>
        <w:ind w:left="284" w:hanging="284"/>
        <w:jc w:val="both"/>
        <w:rPr>
          <w:rFonts w:ascii="Arial" w:hAnsi="Arial" w:cs="Arial"/>
          <w:sz w:val="18"/>
          <w:szCs w:val="18"/>
        </w:rPr>
      </w:pPr>
      <w:r>
        <w:rPr>
          <w:rFonts w:ascii="Arial" w:hAnsi="Arial"/>
          <w:sz w:val="18"/>
        </w:rPr>
        <w:t>Act of 27 July 2001 Law on common courts (Polish Journal of Laws no. 98 item 1070 as amended);</w:t>
      </w:r>
    </w:p>
    <w:p w14:paraId="3C0E3A34" w14:textId="77777777" w:rsidR="00D82977" w:rsidRPr="00954DFD" w:rsidRDefault="00CA2753" w:rsidP="00EB689A">
      <w:pPr>
        <w:pStyle w:val="Akapitzlist"/>
        <w:numPr>
          <w:ilvl w:val="0"/>
          <w:numId w:val="49"/>
        </w:numPr>
        <w:spacing w:after="0" w:line="360" w:lineRule="auto"/>
        <w:ind w:left="284" w:hanging="284"/>
        <w:jc w:val="both"/>
        <w:rPr>
          <w:rFonts w:ascii="Arial" w:hAnsi="Arial" w:cs="Arial"/>
          <w:sz w:val="18"/>
          <w:szCs w:val="18"/>
        </w:rPr>
      </w:pPr>
      <w:r>
        <w:rPr>
          <w:rFonts w:ascii="Arial" w:hAnsi="Arial"/>
          <w:sz w:val="18"/>
        </w:rPr>
        <w:t>Act of 5 December 1996 on the profession of a doctor and dentist (Polish Journal of Laws of 2008 no. 136 item 857 as amended);</w:t>
      </w:r>
    </w:p>
    <w:p w14:paraId="08DBA4FA" w14:textId="77777777" w:rsidR="00D82977" w:rsidRPr="00954DFD" w:rsidRDefault="00CA2753" w:rsidP="00EB689A">
      <w:pPr>
        <w:pStyle w:val="Akapitzlist"/>
        <w:numPr>
          <w:ilvl w:val="0"/>
          <w:numId w:val="49"/>
        </w:numPr>
        <w:spacing w:after="0" w:line="360" w:lineRule="auto"/>
        <w:ind w:left="284" w:hanging="284"/>
        <w:jc w:val="both"/>
        <w:rPr>
          <w:rFonts w:ascii="Arial" w:hAnsi="Arial" w:cs="Arial"/>
          <w:sz w:val="18"/>
          <w:szCs w:val="18"/>
        </w:rPr>
      </w:pPr>
      <w:r>
        <w:rPr>
          <w:rFonts w:ascii="Arial" w:hAnsi="Arial"/>
          <w:sz w:val="18"/>
        </w:rPr>
        <w:t>Act of 29 August 1997 Tax Ordinance (Polish Journal of Laws of 2005 no. 8 item 60 as amended);</w:t>
      </w:r>
    </w:p>
    <w:p w14:paraId="6D54B441" w14:textId="77777777" w:rsidR="00D82977" w:rsidRPr="00954DFD" w:rsidRDefault="00CA2753" w:rsidP="00EB689A">
      <w:pPr>
        <w:pStyle w:val="Akapitzlist"/>
        <w:numPr>
          <w:ilvl w:val="0"/>
          <w:numId w:val="49"/>
        </w:numPr>
        <w:spacing w:after="0" w:line="360" w:lineRule="auto"/>
        <w:ind w:left="284" w:hanging="284"/>
        <w:jc w:val="both"/>
        <w:rPr>
          <w:rFonts w:ascii="Arial" w:hAnsi="Arial" w:cs="Arial"/>
          <w:sz w:val="18"/>
          <w:szCs w:val="18"/>
        </w:rPr>
      </w:pPr>
      <w:r>
        <w:rPr>
          <w:rFonts w:ascii="Arial" w:hAnsi="Arial"/>
          <w:sz w:val="18"/>
        </w:rPr>
        <w:t>Act of 10 April 1974 on the registration of population and personal identity documents (Polish Journal of Laws of 2006 no. 139 item 993 as amended);</w:t>
      </w:r>
    </w:p>
    <w:p w14:paraId="65940C9C" w14:textId="77777777" w:rsidR="000918EA" w:rsidRPr="00954DFD" w:rsidRDefault="00CA2753" w:rsidP="000918EA">
      <w:pPr>
        <w:pStyle w:val="Akapitzlist"/>
        <w:numPr>
          <w:ilvl w:val="0"/>
          <w:numId w:val="49"/>
        </w:numPr>
        <w:spacing w:after="0" w:line="360" w:lineRule="auto"/>
        <w:ind w:left="284" w:hanging="284"/>
        <w:jc w:val="both"/>
        <w:rPr>
          <w:rFonts w:ascii="Arial" w:hAnsi="Arial" w:cs="Arial"/>
          <w:sz w:val="18"/>
          <w:szCs w:val="18"/>
        </w:rPr>
      </w:pPr>
      <w:r>
        <w:rPr>
          <w:rFonts w:ascii="Arial" w:hAnsi="Arial"/>
          <w:sz w:val="18"/>
        </w:rPr>
        <w:t>Act of 22 August 1997 on public blood donation service (Polish Journal of Laws no. 106 item 681 as amended);</w:t>
      </w:r>
    </w:p>
    <w:p w14:paraId="7BB4A532" w14:textId="77777777" w:rsidR="000918EA" w:rsidRPr="00954DFD" w:rsidRDefault="00CA2753" w:rsidP="000918EA">
      <w:pPr>
        <w:pStyle w:val="Akapitzlist"/>
        <w:numPr>
          <w:ilvl w:val="0"/>
          <w:numId w:val="49"/>
        </w:numPr>
        <w:spacing w:after="0" w:line="360" w:lineRule="auto"/>
        <w:ind w:left="284" w:hanging="284"/>
        <w:jc w:val="both"/>
        <w:rPr>
          <w:rFonts w:ascii="Arial" w:hAnsi="Arial" w:cs="Arial"/>
          <w:sz w:val="18"/>
          <w:szCs w:val="18"/>
        </w:rPr>
      </w:pPr>
      <w:r>
        <w:rPr>
          <w:rFonts w:ascii="Arial" w:hAnsi="Arial"/>
          <w:sz w:val="18"/>
        </w:rPr>
        <w:t>Act of 19 August 1994 on mental health protection (Polish Journal of Laws of 2011 no. 231 item 1375 as amended);</w:t>
      </w:r>
    </w:p>
    <w:p w14:paraId="5C3257EA" w14:textId="77777777" w:rsidR="00F24B30" w:rsidRPr="00954DFD" w:rsidRDefault="00CA2753" w:rsidP="00F24B30">
      <w:pPr>
        <w:pStyle w:val="Akapitzlist"/>
        <w:numPr>
          <w:ilvl w:val="0"/>
          <w:numId w:val="49"/>
        </w:numPr>
        <w:spacing w:after="0" w:line="360" w:lineRule="auto"/>
        <w:ind w:left="284" w:hanging="284"/>
        <w:jc w:val="both"/>
        <w:rPr>
          <w:rFonts w:ascii="Arial" w:hAnsi="Arial" w:cs="Arial"/>
          <w:sz w:val="18"/>
          <w:szCs w:val="18"/>
        </w:rPr>
      </w:pPr>
      <w:r>
        <w:rPr>
          <w:rFonts w:ascii="Arial" w:hAnsi="Arial"/>
          <w:sz w:val="18"/>
        </w:rPr>
        <w:t>Act of 29 July 2005 on preventing domestic violence (Polish Journal of Laws no. 180 item 1493 as amended);</w:t>
      </w:r>
    </w:p>
    <w:p w14:paraId="12638374" w14:textId="77777777" w:rsidR="00F24B30" w:rsidRPr="00954DFD" w:rsidRDefault="00CA2753" w:rsidP="00F24B30">
      <w:pPr>
        <w:pStyle w:val="Akapitzlist"/>
        <w:numPr>
          <w:ilvl w:val="0"/>
          <w:numId w:val="49"/>
        </w:numPr>
        <w:spacing w:after="0" w:line="360" w:lineRule="auto"/>
        <w:ind w:left="284" w:hanging="284"/>
        <w:jc w:val="both"/>
        <w:rPr>
          <w:rFonts w:ascii="Arial" w:hAnsi="Arial" w:cs="Arial"/>
          <w:sz w:val="18"/>
          <w:szCs w:val="18"/>
        </w:rPr>
      </w:pPr>
      <w:r>
        <w:rPr>
          <w:rFonts w:ascii="Arial" w:hAnsi="Arial"/>
          <w:sz w:val="18"/>
        </w:rPr>
        <w:t>Act of 12 March 2004 on social assistance (Polish Journal of Laws of 2013 item 182 as amended);</w:t>
      </w:r>
    </w:p>
    <w:p w14:paraId="0EB6ABA5" w14:textId="77777777" w:rsidR="006B097E" w:rsidRPr="00954DFD" w:rsidRDefault="00CA2753" w:rsidP="006B097E">
      <w:pPr>
        <w:pStyle w:val="Akapitzlist"/>
        <w:numPr>
          <w:ilvl w:val="0"/>
          <w:numId w:val="49"/>
        </w:numPr>
        <w:spacing w:after="0" w:line="360" w:lineRule="auto"/>
        <w:ind w:left="284" w:hanging="284"/>
        <w:jc w:val="both"/>
        <w:rPr>
          <w:rFonts w:ascii="Arial" w:hAnsi="Arial" w:cs="Arial"/>
          <w:sz w:val="18"/>
          <w:szCs w:val="18"/>
        </w:rPr>
      </w:pPr>
      <w:r>
        <w:rPr>
          <w:rFonts w:ascii="Arial" w:hAnsi="Arial"/>
          <w:sz w:val="18"/>
        </w:rPr>
        <w:t>Act of 6 September 2001 on road transport (Polish Journal of Laws of 2013 item 1414 as amended);</w:t>
      </w:r>
    </w:p>
    <w:p w14:paraId="10E39CC1" w14:textId="77777777" w:rsidR="006B097E" w:rsidRPr="00954DFD" w:rsidRDefault="00CA2753" w:rsidP="006B097E">
      <w:pPr>
        <w:pStyle w:val="Akapitzlist"/>
        <w:numPr>
          <w:ilvl w:val="0"/>
          <w:numId w:val="49"/>
        </w:numPr>
        <w:spacing w:after="0" w:line="360" w:lineRule="auto"/>
        <w:ind w:left="284" w:hanging="284"/>
        <w:jc w:val="both"/>
        <w:rPr>
          <w:rFonts w:ascii="Arial" w:hAnsi="Arial" w:cs="Arial"/>
          <w:sz w:val="18"/>
          <w:szCs w:val="18"/>
        </w:rPr>
      </w:pPr>
      <w:r>
        <w:rPr>
          <w:rFonts w:ascii="Arial" w:hAnsi="Arial"/>
          <w:sz w:val="18"/>
        </w:rPr>
        <w:t>Act of 28 March 2003 on railway transport (Polish Journal of Laws of 2013 item 1594 as amended);</w:t>
      </w:r>
    </w:p>
    <w:p w14:paraId="07015A5B" w14:textId="77777777" w:rsidR="006B097E" w:rsidRPr="00954DFD" w:rsidRDefault="00CA2753" w:rsidP="006B097E">
      <w:pPr>
        <w:pStyle w:val="Akapitzlist"/>
        <w:numPr>
          <w:ilvl w:val="0"/>
          <w:numId w:val="49"/>
        </w:numPr>
        <w:spacing w:after="0" w:line="360" w:lineRule="auto"/>
        <w:ind w:left="284" w:hanging="284"/>
        <w:jc w:val="both"/>
        <w:rPr>
          <w:rFonts w:ascii="Arial" w:hAnsi="Arial" w:cs="Arial"/>
          <w:sz w:val="18"/>
          <w:szCs w:val="18"/>
        </w:rPr>
      </w:pPr>
      <w:r>
        <w:rPr>
          <w:rFonts w:ascii="Arial" w:hAnsi="Arial"/>
          <w:sz w:val="18"/>
        </w:rPr>
        <w:t>Act of 5 January 2011 on drivers (Polish Journal of Laws no. 30 item 151 as amended);</w:t>
      </w:r>
    </w:p>
    <w:p w14:paraId="59F3F80D" w14:textId="5C3FF4DA" w:rsidR="00157314" w:rsidRPr="00954DFD" w:rsidRDefault="00CA2753" w:rsidP="00157314">
      <w:pPr>
        <w:pStyle w:val="Akapitzlist"/>
        <w:numPr>
          <w:ilvl w:val="0"/>
          <w:numId w:val="49"/>
        </w:numPr>
        <w:spacing w:after="0" w:line="360" w:lineRule="auto"/>
        <w:ind w:left="284" w:hanging="284"/>
        <w:jc w:val="both"/>
        <w:rPr>
          <w:rFonts w:ascii="Arial" w:hAnsi="Arial" w:cs="Arial"/>
          <w:sz w:val="18"/>
          <w:szCs w:val="18"/>
        </w:rPr>
      </w:pPr>
      <w:r>
        <w:rPr>
          <w:rFonts w:ascii="Arial" w:hAnsi="Arial"/>
          <w:sz w:val="18"/>
        </w:rPr>
        <w:t>Act of 17 February 2005 on digitalisation of operations of entities realising public tasks (Polish Journal of Laws of 2013 item 235 as amended);</w:t>
      </w:r>
    </w:p>
    <w:p w14:paraId="7F7FDDE4" w14:textId="77777777" w:rsidR="00157314" w:rsidRPr="00954DFD" w:rsidRDefault="00CA2753" w:rsidP="00157314">
      <w:pPr>
        <w:pStyle w:val="Akapitzlist"/>
        <w:numPr>
          <w:ilvl w:val="0"/>
          <w:numId w:val="49"/>
        </w:numPr>
        <w:spacing w:after="0" w:line="360" w:lineRule="auto"/>
        <w:ind w:left="284" w:hanging="284"/>
        <w:jc w:val="both"/>
        <w:rPr>
          <w:rFonts w:ascii="Arial" w:hAnsi="Arial" w:cs="Arial"/>
          <w:sz w:val="18"/>
          <w:szCs w:val="18"/>
        </w:rPr>
      </w:pPr>
      <w:r>
        <w:rPr>
          <w:rFonts w:ascii="Arial" w:hAnsi="Arial"/>
          <w:sz w:val="18"/>
        </w:rPr>
        <w:t>Act of 6 September 2001 on access to public information (Polish Journal of Laws of 2014, item 782);</w:t>
      </w:r>
    </w:p>
    <w:p w14:paraId="6770657E" w14:textId="77777777" w:rsidR="00C45045" w:rsidRPr="00954DFD" w:rsidRDefault="00CA2753" w:rsidP="00157314">
      <w:pPr>
        <w:pStyle w:val="Akapitzlist"/>
        <w:numPr>
          <w:ilvl w:val="0"/>
          <w:numId w:val="49"/>
        </w:numPr>
        <w:spacing w:after="0" w:line="360" w:lineRule="auto"/>
        <w:ind w:left="284" w:hanging="284"/>
        <w:jc w:val="both"/>
        <w:rPr>
          <w:rFonts w:ascii="Arial" w:hAnsi="Arial" w:cs="Arial"/>
          <w:sz w:val="18"/>
          <w:szCs w:val="18"/>
        </w:rPr>
      </w:pPr>
      <w:r>
        <w:rPr>
          <w:rFonts w:ascii="Arial" w:hAnsi="Arial"/>
          <w:sz w:val="18"/>
        </w:rPr>
        <w:t>Act of 7 September 1991 on education (Polish Journal of Laws of 2004 no. 256 item 2572 as amended);</w:t>
      </w:r>
    </w:p>
    <w:p w14:paraId="5DF281BE" w14:textId="77777777" w:rsidR="00C45045" w:rsidRPr="00954DFD" w:rsidRDefault="00CA2753" w:rsidP="00157314">
      <w:pPr>
        <w:pStyle w:val="Akapitzlist"/>
        <w:numPr>
          <w:ilvl w:val="0"/>
          <w:numId w:val="49"/>
        </w:numPr>
        <w:spacing w:after="0" w:line="360" w:lineRule="auto"/>
        <w:ind w:left="284" w:hanging="284"/>
        <w:jc w:val="both"/>
        <w:rPr>
          <w:rFonts w:ascii="Arial" w:hAnsi="Arial" w:cs="Arial"/>
          <w:sz w:val="18"/>
          <w:szCs w:val="18"/>
        </w:rPr>
      </w:pPr>
      <w:r>
        <w:rPr>
          <w:rFonts w:ascii="Arial" w:hAnsi="Arial"/>
          <w:sz w:val="18"/>
        </w:rPr>
        <w:t>Act of 27 July 2005 – Higher Education Law Act (Polish Journal of Laws of 2005 no. 164 item 1365 as amended);</w:t>
      </w:r>
    </w:p>
    <w:p w14:paraId="3B68303D" w14:textId="77777777" w:rsidR="00C45045" w:rsidRPr="00954DFD" w:rsidRDefault="00CA2753" w:rsidP="00157314">
      <w:pPr>
        <w:pStyle w:val="Akapitzlist"/>
        <w:numPr>
          <w:ilvl w:val="0"/>
          <w:numId w:val="49"/>
        </w:numPr>
        <w:spacing w:after="0" w:line="360" w:lineRule="auto"/>
        <w:ind w:left="284" w:hanging="284"/>
        <w:jc w:val="both"/>
        <w:rPr>
          <w:rFonts w:ascii="Arial" w:hAnsi="Arial" w:cs="Arial"/>
          <w:sz w:val="18"/>
          <w:szCs w:val="18"/>
        </w:rPr>
      </w:pPr>
      <w:r>
        <w:rPr>
          <w:rFonts w:ascii="Arial" w:hAnsi="Arial"/>
          <w:sz w:val="18"/>
        </w:rPr>
        <w:t xml:space="preserve">Act of 15 April 2011 on treatment activity (Polish Journal of Laws of 2013 item 217 as amended); </w:t>
      </w:r>
    </w:p>
    <w:p w14:paraId="270F6250" w14:textId="77777777" w:rsidR="00E0496B" w:rsidRDefault="00CA2753" w:rsidP="00E0496B">
      <w:pPr>
        <w:pStyle w:val="Akapitzlist"/>
        <w:numPr>
          <w:ilvl w:val="0"/>
          <w:numId w:val="49"/>
        </w:numPr>
        <w:spacing w:after="0" w:line="360" w:lineRule="auto"/>
        <w:ind w:left="284" w:hanging="284"/>
        <w:jc w:val="both"/>
        <w:rPr>
          <w:rFonts w:ascii="Arial" w:hAnsi="Arial" w:cs="Arial"/>
          <w:sz w:val="18"/>
          <w:szCs w:val="18"/>
        </w:rPr>
      </w:pPr>
      <w:r>
        <w:rPr>
          <w:rFonts w:ascii="Arial" w:hAnsi="Arial"/>
          <w:sz w:val="18"/>
        </w:rPr>
        <w:t>Act of 27 August 2004 on the healthcare services financed from public funds (Polish Journal of Laws of 2008 no. 164 item 1027 as amended);</w:t>
      </w:r>
    </w:p>
    <w:p w14:paraId="143B5BDA" w14:textId="77777777" w:rsidR="00E0496B" w:rsidRPr="00E0496B" w:rsidRDefault="00E0496B" w:rsidP="00E0496B">
      <w:pPr>
        <w:pStyle w:val="Akapitzlist"/>
        <w:numPr>
          <w:ilvl w:val="0"/>
          <w:numId w:val="49"/>
        </w:numPr>
        <w:spacing w:after="0" w:line="360" w:lineRule="auto"/>
        <w:ind w:left="284" w:hanging="284"/>
        <w:jc w:val="both"/>
        <w:rPr>
          <w:rFonts w:ascii="Arial" w:hAnsi="Arial" w:cs="Arial"/>
          <w:sz w:val="18"/>
          <w:szCs w:val="18"/>
        </w:rPr>
      </w:pPr>
      <w:r>
        <w:rPr>
          <w:rFonts w:ascii="Arial" w:hAnsi="Arial"/>
          <w:sz w:val="18"/>
        </w:rPr>
        <w:t>Act of 7 January 1993 on family planning, protection of human foetus and the conditions that allow for abortion (Polish Journal of Laws no. 17 item 78 as amended);</w:t>
      </w:r>
    </w:p>
    <w:p w14:paraId="443F63EE" w14:textId="77777777" w:rsidR="00CA2753" w:rsidRDefault="00CA2753" w:rsidP="00157314">
      <w:pPr>
        <w:pStyle w:val="Akapitzlist"/>
        <w:numPr>
          <w:ilvl w:val="0"/>
          <w:numId w:val="49"/>
        </w:numPr>
        <w:spacing w:after="0" w:line="360" w:lineRule="auto"/>
        <w:ind w:left="284" w:hanging="284"/>
        <w:jc w:val="both"/>
        <w:rPr>
          <w:rFonts w:ascii="Arial" w:hAnsi="Arial" w:cs="Arial"/>
          <w:sz w:val="18"/>
          <w:szCs w:val="18"/>
        </w:rPr>
      </w:pPr>
      <w:r>
        <w:rPr>
          <w:rFonts w:ascii="Arial" w:hAnsi="Arial"/>
          <w:sz w:val="18"/>
        </w:rPr>
        <w:t>Act of 24 April 2003 on public benefit activities and voluntary work (Polish Journal of Laws of 2010 no. 234 item 1536 as amended);</w:t>
      </w:r>
    </w:p>
    <w:p w14:paraId="4EE981F8" w14:textId="77777777" w:rsidR="00A341CD" w:rsidRDefault="00A341CD" w:rsidP="00A341CD">
      <w:pPr>
        <w:pStyle w:val="Akapitzlist"/>
        <w:numPr>
          <w:ilvl w:val="0"/>
          <w:numId w:val="49"/>
        </w:numPr>
        <w:spacing w:line="360" w:lineRule="auto"/>
        <w:ind w:left="284" w:hanging="284"/>
        <w:rPr>
          <w:rFonts w:ascii="Arial" w:hAnsi="Arial" w:cs="Arial"/>
          <w:sz w:val="18"/>
          <w:szCs w:val="18"/>
        </w:rPr>
      </w:pPr>
      <w:r>
        <w:rPr>
          <w:rFonts w:ascii="Arial" w:hAnsi="Arial"/>
          <w:sz w:val="18"/>
        </w:rPr>
        <w:t xml:space="preserve">The Act of 20 April 2004 on promotion of employment and labour market institutions (Polish Journal of Laws of 2013 item 674 as amended); </w:t>
      </w:r>
    </w:p>
    <w:p w14:paraId="6F2BDF22" w14:textId="77777777" w:rsidR="00A341CD" w:rsidRDefault="00A341CD" w:rsidP="00A341CD">
      <w:pPr>
        <w:pStyle w:val="Akapitzlist"/>
        <w:numPr>
          <w:ilvl w:val="0"/>
          <w:numId w:val="49"/>
        </w:numPr>
        <w:spacing w:line="360" w:lineRule="auto"/>
        <w:ind w:left="284" w:hanging="284"/>
        <w:rPr>
          <w:rFonts w:ascii="Arial" w:hAnsi="Arial" w:cs="Arial"/>
          <w:sz w:val="18"/>
          <w:szCs w:val="18"/>
        </w:rPr>
      </w:pPr>
      <w:r>
        <w:rPr>
          <w:rFonts w:ascii="Arial" w:hAnsi="Arial"/>
          <w:sz w:val="18"/>
        </w:rPr>
        <w:t xml:space="preserve">Act of 27 April 2006 on social collectives (Polish Journal of Laws no. 94 item 651 as amended); </w:t>
      </w:r>
    </w:p>
    <w:p w14:paraId="011C059B" w14:textId="77777777" w:rsidR="00A341CD" w:rsidRDefault="00A341CD" w:rsidP="00A341CD">
      <w:pPr>
        <w:pStyle w:val="Akapitzlist"/>
        <w:numPr>
          <w:ilvl w:val="0"/>
          <w:numId w:val="49"/>
        </w:numPr>
        <w:spacing w:line="360" w:lineRule="auto"/>
        <w:ind w:left="284" w:hanging="284"/>
        <w:rPr>
          <w:rFonts w:ascii="Arial" w:hAnsi="Arial" w:cs="Arial"/>
          <w:sz w:val="18"/>
          <w:szCs w:val="18"/>
        </w:rPr>
      </w:pPr>
      <w:r>
        <w:rPr>
          <w:rFonts w:ascii="Arial" w:hAnsi="Arial"/>
          <w:sz w:val="18"/>
        </w:rPr>
        <w:t>Act of 13 June 2003 on social employment (Polish Journal of Laws of 2011 no. 43, item 225, as amended);</w:t>
      </w:r>
    </w:p>
    <w:p w14:paraId="2B0FAE4D" w14:textId="77777777" w:rsidR="00FF72C7" w:rsidRDefault="00A341CD" w:rsidP="00FF72C7">
      <w:pPr>
        <w:pStyle w:val="Akapitzlist"/>
        <w:numPr>
          <w:ilvl w:val="0"/>
          <w:numId w:val="49"/>
        </w:numPr>
        <w:spacing w:line="360" w:lineRule="auto"/>
        <w:ind w:left="284" w:hanging="284"/>
        <w:rPr>
          <w:rFonts w:ascii="Arial" w:hAnsi="Arial" w:cs="Arial"/>
          <w:sz w:val="18"/>
          <w:szCs w:val="18"/>
        </w:rPr>
      </w:pPr>
      <w:r>
        <w:rPr>
          <w:rFonts w:ascii="Arial" w:hAnsi="Arial"/>
          <w:sz w:val="18"/>
        </w:rPr>
        <w:t>Act of 29 January 2004 Public Procurement Law (Polish Journal of Laws of 2013 item 907 as amended);</w:t>
      </w:r>
    </w:p>
    <w:p w14:paraId="139E9326" w14:textId="77777777" w:rsidR="00CF5B4A" w:rsidRDefault="00FF72C7" w:rsidP="00FF72C7">
      <w:pPr>
        <w:pStyle w:val="Akapitzlist"/>
        <w:numPr>
          <w:ilvl w:val="0"/>
          <w:numId w:val="49"/>
        </w:numPr>
        <w:spacing w:line="360" w:lineRule="auto"/>
        <w:ind w:left="284" w:hanging="284"/>
        <w:rPr>
          <w:rFonts w:ascii="Arial" w:hAnsi="Arial" w:cs="Arial"/>
          <w:sz w:val="18"/>
          <w:szCs w:val="18"/>
        </w:rPr>
      </w:pPr>
      <w:r>
        <w:rPr>
          <w:rFonts w:ascii="Arial" w:hAnsi="Arial"/>
          <w:sz w:val="18"/>
        </w:rPr>
        <w:t xml:space="preserve">Act of 4 February 1994 on copyright and derivative rights (Polish Journal of Laws of 2006 no. 90 item 631 as amended); </w:t>
      </w:r>
    </w:p>
    <w:p w14:paraId="457FC93F" w14:textId="77777777" w:rsidR="00CF5B4A" w:rsidRDefault="00FF72C7" w:rsidP="00CF5B4A">
      <w:pPr>
        <w:pStyle w:val="Akapitzlist"/>
        <w:numPr>
          <w:ilvl w:val="0"/>
          <w:numId w:val="49"/>
        </w:numPr>
        <w:spacing w:line="360" w:lineRule="auto"/>
        <w:ind w:left="284" w:hanging="284"/>
        <w:rPr>
          <w:rFonts w:ascii="Arial" w:hAnsi="Arial" w:cs="Arial"/>
          <w:sz w:val="18"/>
          <w:szCs w:val="18"/>
        </w:rPr>
      </w:pPr>
      <w:r>
        <w:rPr>
          <w:rFonts w:ascii="Arial" w:hAnsi="Arial"/>
          <w:sz w:val="18"/>
        </w:rPr>
        <w:t>Act of 29 December 1992 on radio and television (Polish Journal of Laws of 2011 no. 43 item 226 as amended);</w:t>
      </w:r>
    </w:p>
    <w:p w14:paraId="52584D11" w14:textId="77777777" w:rsidR="00FF72C7" w:rsidRPr="00CF5B4A" w:rsidRDefault="00CF5B4A" w:rsidP="00CF5B4A">
      <w:pPr>
        <w:pStyle w:val="Akapitzlist"/>
        <w:numPr>
          <w:ilvl w:val="0"/>
          <w:numId w:val="49"/>
        </w:numPr>
        <w:spacing w:line="360" w:lineRule="auto"/>
        <w:ind w:left="284" w:hanging="284"/>
        <w:rPr>
          <w:rFonts w:ascii="Arial" w:hAnsi="Arial" w:cs="Arial"/>
          <w:sz w:val="18"/>
          <w:szCs w:val="18"/>
        </w:rPr>
      </w:pPr>
      <w:r>
        <w:rPr>
          <w:rFonts w:ascii="Arial" w:hAnsi="Arial"/>
          <w:sz w:val="18"/>
        </w:rPr>
        <w:t>Act of 25 June 2010 on sport (Polish Journal of Laws of 2014, item 715);</w:t>
      </w:r>
    </w:p>
    <w:p w14:paraId="030858DD" w14:textId="77777777" w:rsidR="006B097E" w:rsidRPr="00954DFD" w:rsidRDefault="00CA2753" w:rsidP="006B097E">
      <w:pPr>
        <w:pStyle w:val="Akapitzlist"/>
        <w:numPr>
          <w:ilvl w:val="0"/>
          <w:numId w:val="49"/>
        </w:numPr>
        <w:spacing w:after="0" w:line="360" w:lineRule="auto"/>
        <w:ind w:left="284" w:hanging="284"/>
        <w:jc w:val="both"/>
        <w:rPr>
          <w:rFonts w:ascii="Arial" w:hAnsi="Arial" w:cs="Arial"/>
          <w:sz w:val="18"/>
          <w:szCs w:val="18"/>
        </w:rPr>
      </w:pPr>
      <w:r>
        <w:rPr>
          <w:rFonts w:ascii="Arial" w:hAnsi="Arial"/>
          <w:sz w:val="18"/>
        </w:rPr>
        <w:t>Regulation (EC) no. 181/2011 of the European Parliament and of the Council of 16 February 2011 concerning the rights of passengers in bus and coach transport and amending Regulation (EC) no. 2006/2004 (EU Official Journal L.2011.55.1);</w:t>
      </w:r>
    </w:p>
    <w:p w14:paraId="7245C616" w14:textId="77777777" w:rsidR="006B097E" w:rsidRPr="00954DFD" w:rsidRDefault="0064055C" w:rsidP="006B097E">
      <w:pPr>
        <w:pStyle w:val="Akapitzlist"/>
        <w:numPr>
          <w:ilvl w:val="0"/>
          <w:numId w:val="49"/>
        </w:numPr>
        <w:spacing w:after="0" w:line="360" w:lineRule="auto"/>
        <w:ind w:left="284" w:hanging="284"/>
        <w:jc w:val="both"/>
        <w:rPr>
          <w:rFonts w:ascii="Arial" w:hAnsi="Arial" w:cs="Arial"/>
          <w:sz w:val="18"/>
          <w:szCs w:val="18"/>
        </w:rPr>
      </w:pPr>
      <w:r>
        <w:rPr>
          <w:rFonts w:ascii="Arial" w:hAnsi="Arial"/>
          <w:sz w:val="18"/>
        </w:rPr>
        <w:t>Regulation (EC) no. 1371/2007 of the European Parliament and of the Council of 23 October 2007 on rail passengers’ rights and obligations (EU Official Journal L.2007.315.14);</w:t>
      </w:r>
    </w:p>
    <w:p w14:paraId="79CD35D9" w14:textId="77777777" w:rsidR="006B097E" w:rsidRPr="00954DFD" w:rsidRDefault="0064055C" w:rsidP="006B097E">
      <w:pPr>
        <w:pStyle w:val="Akapitzlist"/>
        <w:numPr>
          <w:ilvl w:val="0"/>
          <w:numId w:val="49"/>
        </w:numPr>
        <w:spacing w:after="0" w:line="360" w:lineRule="auto"/>
        <w:ind w:left="284" w:hanging="284"/>
        <w:jc w:val="both"/>
        <w:rPr>
          <w:rFonts w:ascii="Arial" w:hAnsi="Arial" w:cs="Arial"/>
          <w:sz w:val="18"/>
          <w:szCs w:val="18"/>
        </w:rPr>
      </w:pPr>
      <w:r>
        <w:rPr>
          <w:rFonts w:ascii="Arial" w:hAnsi="Arial"/>
          <w:sz w:val="18"/>
        </w:rPr>
        <w:t>Regulation (EC) no. 1107/2006 of the European Parliament and of the Council of 5 July 2006 concerning the rights of disabled persons and persons with reduced mobility when travelling by air (EU Official Journal L.2006.204.1);</w:t>
      </w:r>
    </w:p>
    <w:p w14:paraId="5097C057" w14:textId="77777777" w:rsidR="00BD5AAD" w:rsidRDefault="0064055C" w:rsidP="00BD5AAD">
      <w:pPr>
        <w:pStyle w:val="Akapitzlist"/>
        <w:numPr>
          <w:ilvl w:val="0"/>
          <w:numId w:val="49"/>
        </w:numPr>
        <w:spacing w:after="0" w:line="360" w:lineRule="auto"/>
        <w:ind w:left="284" w:hanging="284"/>
        <w:jc w:val="both"/>
        <w:rPr>
          <w:rFonts w:ascii="Arial" w:hAnsi="Arial" w:cs="Arial"/>
          <w:sz w:val="18"/>
          <w:szCs w:val="18"/>
        </w:rPr>
      </w:pPr>
      <w:r>
        <w:rPr>
          <w:rFonts w:ascii="Arial" w:hAnsi="Arial"/>
          <w:sz w:val="18"/>
        </w:rPr>
        <w:t>Regulation (EC) no. 1177/2010 of the European Parliament and of the Council of 24 November 2010 concerning the rights of passengers when travelling by sea and inland waterway and amending Regulation (EC) no. 2006/2004 (EU Official Journal L.2010.334.1);</w:t>
      </w:r>
    </w:p>
    <w:p w14:paraId="68BAA2D8" w14:textId="77777777" w:rsidR="00BD5AAD" w:rsidRPr="00BD5AAD" w:rsidRDefault="00BD5AAD" w:rsidP="00BD5AAD">
      <w:pPr>
        <w:pStyle w:val="Akapitzlist"/>
        <w:numPr>
          <w:ilvl w:val="0"/>
          <w:numId w:val="49"/>
        </w:numPr>
        <w:spacing w:after="0" w:line="360" w:lineRule="auto"/>
        <w:ind w:left="284" w:hanging="284"/>
        <w:jc w:val="both"/>
        <w:rPr>
          <w:rFonts w:ascii="Arial" w:hAnsi="Arial" w:cs="Arial"/>
          <w:sz w:val="18"/>
          <w:szCs w:val="18"/>
        </w:rPr>
      </w:pPr>
      <w:r>
        <w:rPr>
          <w:rFonts w:ascii="Arial" w:hAnsi="Arial"/>
          <w:sz w:val="18"/>
        </w:rPr>
        <w:t>Commission Regulation (EU) no. 317/2010 of 16 April 2010 adopting the specifications of the 2011 ad hoc module on employment of disabled people for the labour force sample survey provided for by Council Regulation (EC) no. 577/98 (Official Journal L 97z 17.4.2010, p. 3-9);</w:t>
      </w:r>
    </w:p>
    <w:p w14:paraId="14E4BC42" w14:textId="77777777" w:rsidR="00CF18ED" w:rsidRPr="00954DFD" w:rsidRDefault="0064055C" w:rsidP="00A10355">
      <w:pPr>
        <w:pStyle w:val="Akapitzlist"/>
        <w:numPr>
          <w:ilvl w:val="0"/>
          <w:numId w:val="52"/>
        </w:numPr>
        <w:spacing w:after="0" w:line="360" w:lineRule="auto"/>
        <w:ind w:left="284" w:hanging="284"/>
        <w:jc w:val="both"/>
        <w:rPr>
          <w:rFonts w:ascii="Arial" w:hAnsi="Arial" w:cs="Arial"/>
          <w:sz w:val="18"/>
          <w:szCs w:val="18"/>
        </w:rPr>
      </w:pPr>
      <w:r>
        <w:rPr>
          <w:rFonts w:ascii="Arial" w:hAnsi="Arial"/>
          <w:sz w:val="18"/>
        </w:rPr>
        <w:t>Resolution of the Council of Ministers of 12 April 2012 on National Interoperability Framework, minimal requirements for public registers and sharing information in electronic form and minimal requirements for ICT systems (Polish Journal of Laws item 526);</w:t>
      </w:r>
    </w:p>
    <w:p w14:paraId="2616FB35" w14:textId="3806EB04" w:rsidR="00CF18ED" w:rsidRPr="00954DFD" w:rsidRDefault="0064055C" w:rsidP="00A10355">
      <w:pPr>
        <w:pStyle w:val="Akapitzlist"/>
        <w:numPr>
          <w:ilvl w:val="0"/>
          <w:numId w:val="52"/>
        </w:numPr>
        <w:spacing w:line="360" w:lineRule="auto"/>
        <w:ind w:left="284" w:hanging="284"/>
        <w:jc w:val="both"/>
        <w:rPr>
          <w:rFonts w:ascii="Arial" w:hAnsi="Arial" w:cs="Arial"/>
          <w:sz w:val="18"/>
          <w:szCs w:val="18"/>
        </w:rPr>
      </w:pPr>
      <w:r>
        <w:rPr>
          <w:rFonts w:ascii="Arial" w:hAnsi="Arial"/>
          <w:sz w:val="18"/>
        </w:rPr>
        <w:t xml:space="preserve">Resolution of the Council of Ministers of 31 October 2005 on establishing the Ministry of Labour and Social Policy and on abolishing the Ministry of Social Policy (Polish Journal of Laws no. 220, item 1881); </w:t>
      </w:r>
    </w:p>
    <w:p w14:paraId="5AAFE1D1" w14:textId="77777777" w:rsidR="009F7284" w:rsidRPr="00954DFD" w:rsidRDefault="0064055C" w:rsidP="003D345C">
      <w:pPr>
        <w:pStyle w:val="Akapitzlist"/>
        <w:numPr>
          <w:ilvl w:val="0"/>
          <w:numId w:val="52"/>
        </w:numPr>
        <w:spacing w:line="360" w:lineRule="auto"/>
        <w:ind w:left="284" w:hanging="284"/>
        <w:jc w:val="both"/>
        <w:rPr>
          <w:rFonts w:ascii="Arial" w:hAnsi="Arial" w:cs="Arial"/>
          <w:sz w:val="18"/>
          <w:szCs w:val="18"/>
        </w:rPr>
      </w:pPr>
      <w:r>
        <w:rPr>
          <w:rFonts w:ascii="Arial" w:hAnsi="Arial"/>
          <w:sz w:val="18"/>
        </w:rPr>
        <w:t xml:space="preserve">Resolutions of the Minister of Labour and Social Policy of 25 June 2002 on determining the tasks of poviats that may be financed from the funds of the State Fund for the Rehabilitation of the Disabled (PFRON) (Polish Journal of Laws of 2013, item 1190); </w:t>
      </w:r>
    </w:p>
    <w:p w14:paraId="2876E64B" w14:textId="77777777" w:rsidR="009F7284" w:rsidRPr="00954DFD" w:rsidRDefault="0064055C" w:rsidP="003D345C">
      <w:pPr>
        <w:pStyle w:val="Akapitzlist"/>
        <w:numPr>
          <w:ilvl w:val="0"/>
          <w:numId w:val="52"/>
        </w:numPr>
        <w:spacing w:line="360" w:lineRule="auto"/>
        <w:ind w:left="284" w:hanging="284"/>
        <w:jc w:val="both"/>
        <w:rPr>
          <w:rFonts w:ascii="Arial" w:hAnsi="Arial" w:cs="Arial"/>
          <w:sz w:val="18"/>
          <w:szCs w:val="18"/>
        </w:rPr>
      </w:pPr>
      <w:r>
        <w:rPr>
          <w:rFonts w:ascii="Arial" w:hAnsi="Arial"/>
          <w:sz w:val="18"/>
        </w:rPr>
        <w:t>Resolution of the Minister of Infrastructure of 12 April 2002 on technical conditions of buildings and their locations (Polish Journal of Laws of 2002 no. 75 item 690 as amended);</w:t>
      </w:r>
    </w:p>
    <w:p w14:paraId="746D9D24" w14:textId="77777777" w:rsidR="00A10355" w:rsidRPr="00954DFD" w:rsidRDefault="0064055C" w:rsidP="003D345C">
      <w:pPr>
        <w:pStyle w:val="Akapitzlist"/>
        <w:numPr>
          <w:ilvl w:val="0"/>
          <w:numId w:val="52"/>
        </w:numPr>
        <w:spacing w:line="360" w:lineRule="auto"/>
        <w:ind w:left="284" w:hanging="284"/>
        <w:jc w:val="both"/>
        <w:rPr>
          <w:rFonts w:ascii="Arial" w:hAnsi="Arial" w:cs="Arial"/>
          <w:sz w:val="18"/>
          <w:szCs w:val="18"/>
        </w:rPr>
      </w:pPr>
      <w:r>
        <w:rPr>
          <w:rFonts w:ascii="Arial" w:hAnsi="Arial"/>
          <w:sz w:val="18"/>
        </w:rPr>
        <w:t>Resolution of the Council of Ministers of 28 December 2010 on the National Programme to Protect Mental Health (Polish Journal of Laws of 2011, no. 24, item 128);</w:t>
      </w:r>
    </w:p>
    <w:p w14:paraId="2C325C60" w14:textId="77777777" w:rsidR="006B097E" w:rsidRPr="00954DFD" w:rsidRDefault="0064055C" w:rsidP="006B097E">
      <w:pPr>
        <w:pStyle w:val="Akapitzlist"/>
        <w:numPr>
          <w:ilvl w:val="0"/>
          <w:numId w:val="52"/>
        </w:numPr>
        <w:spacing w:line="360" w:lineRule="auto"/>
        <w:ind w:left="284" w:hanging="284"/>
        <w:jc w:val="both"/>
        <w:rPr>
          <w:rFonts w:ascii="Arial" w:hAnsi="Arial" w:cs="Arial"/>
          <w:sz w:val="18"/>
          <w:szCs w:val="18"/>
        </w:rPr>
      </w:pPr>
      <w:r>
        <w:rPr>
          <w:rFonts w:ascii="Arial" w:hAnsi="Arial"/>
          <w:sz w:val="18"/>
        </w:rPr>
        <w:t>Resolution of the Minister of Labour and Social Policy of 23 August 2012 on nursing homes (Polish Journal of Laws item 964);</w:t>
      </w:r>
    </w:p>
    <w:p w14:paraId="230E90BD" w14:textId="77777777" w:rsidR="00CA2753" w:rsidRPr="00954DFD" w:rsidRDefault="0064055C" w:rsidP="00CA2753">
      <w:pPr>
        <w:pStyle w:val="Akapitzlist"/>
        <w:numPr>
          <w:ilvl w:val="0"/>
          <w:numId w:val="52"/>
        </w:numPr>
        <w:spacing w:line="360" w:lineRule="auto"/>
        <w:ind w:left="284" w:hanging="284"/>
        <w:jc w:val="both"/>
        <w:rPr>
          <w:rFonts w:ascii="Arial" w:hAnsi="Arial" w:cs="Arial"/>
          <w:sz w:val="18"/>
          <w:szCs w:val="18"/>
        </w:rPr>
      </w:pPr>
      <w:r>
        <w:rPr>
          <w:rFonts w:ascii="Arial" w:hAnsi="Arial"/>
          <w:sz w:val="18"/>
        </w:rPr>
        <w:t>Resolution of the Minister of Health of 7 January 2004 on medical exams of drivers and candidates for drivers (Polish Journal of Laws of 2013, item 133);</w:t>
      </w:r>
    </w:p>
    <w:p w14:paraId="00D36F8A" w14:textId="77777777" w:rsidR="00CA2753" w:rsidRPr="00954DFD" w:rsidRDefault="0064055C" w:rsidP="00CA2753">
      <w:pPr>
        <w:pStyle w:val="Akapitzlist"/>
        <w:numPr>
          <w:ilvl w:val="0"/>
          <w:numId w:val="52"/>
        </w:numPr>
        <w:spacing w:line="360" w:lineRule="auto"/>
        <w:ind w:left="284" w:hanging="284"/>
        <w:jc w:val="both"/>
        <w:rPr>
          <w:rFonts w:ascii="Arial" w:hAnsi="Arial" w:cs="Arial"/>
          <w:sz w:val="18"/>
          <w:szCs w:val="18"/>
        </w:rPr>
      </w:pPr>
      <w:r>
        <w:rPr>
          <w:rFonts w:ascii="Arial" w:hAnsi="Arial"/>
          <w:sz w:val="18"/>
        </w:rPr>
        <w:t>Resolution of the Minister of Health of 6 November 2013 on guaranteed services in treatment rehabilitation (Polish Journal of Laws item 1522);</w:t>
      </w:r>
    </w:p>
    <w:p w14:paraId="4A6AC28B" w14:textId="77777777" w:rsidR="00CA2753" w:rsidRPr="00954DFD" w:rsidRDefault="0064055C" w:rsidP="00CA2753">
      <w:pPr>
        <w:pStyle w:val="Akapitzlist"/>
        <w:numPr>
          <w:ilvl w:val="0"/>
          <w:numId w:val="52"/>
        </w:numPr>
        <w:spacing w:line="360" w:lineRule="auto"/>
        <w:ind w:left="284" w:hanging="284"/>
        <w:jc w:val="both"/>
        <w:rPr>
          <w:rFonts w:ascii="Arial" w:hAnsi="Arial" w:cs="Arial"/>
          <w:sz w:val="18"/>
          <w:szCs w:val="18"/>
        </w:rPr>
      </w:pPr>
      <w:r>
        <w:rPr>
          <w:rFonts w:ascii="Arial" w:hAnsi="Arial"/>
          <w:sz w:val="18"/>
        </w:rPr>
        <w:t>Resolution of the Minister of Labour and Social Policy of 23 August 2012 on nursing homes (Polish Journal of Laws item 964);</w:t>
      </w:r>
    </w:p>
    <w:p w14:paraId="7CB63E49" w14:textId="77777777" w:rsidR="00E15422" w:rsidRDefault="0064055C" w:rsidP="00CA2753">
      <w:pPr>
        <w:pStyle w:val="Akapitzlist"/>
        <w:numPr>
          <w:ilvl w:val="0"/>
          <w:numId w:val="52"/>
        </w:numPr>
        <w:spacing w:line="360" w:lineRule="auto"/>
        <w:ind w:left="284" w:hanging="284"/>
        <w:jc w:val="both"/>
        <w:rPr>
          <w:rFonts w:ascii="Arial" w:hAnsi="Arial" w:cs="Arial"/>
          <w:sz w:val="18"/>
          <w:szCs w:val="18"/>
        </w:rPr>
      </w:pPr>
      <w:r>
        <w:rPr>
          <w:rFonts w:ascii="Arial" w:hAnsi="Arial"/>
          <w:sz w:val="18"/>
        </w:rPr>
        <w:t xml:space="preserve">Resolution of the Minister of Labour and Social Policy of 14 March 2012 on sheltered residence (Polish Journal of Laws item 305); </w:t>
      </w:r>
    </w:p>
    <w:p w14:paraId="7680827C" w14:textId="77777777" w:rsidR="00B8547E" w:rsidRDefault="00E15422" w:rsidP="00B8547E">
      <w:pPr>
        <w:pStyle w:val="Akapitzlist"/>
        <w:numPr>
          <w:ilvl w:val="0"/>
          <w:numId w:val="52"/>
        </w:numPr>
        <w:spacing w:line="360" w:lineRule="auto"/>
        <w:ind w:left="284" w:hanging="284"/>
        <w:jc w:val="both"/>
        <w:rPr>
          <w:rFonts w:ascii="Arial" w:hAnsi="Arial" w:cs="Arial"/>
          <w:sz w:val="18"/>
          <w:szCs w:val="18"/>
        </w:rPr>
      </w:pPr>
      <w:r>
        <w:rPr>
          <w:rFonts w:ascii="Arial" w:hAnsi="Arial"/>
          <w:sz w:val="18"/>
        </w:rPr>
        <w:t>Resolution of the Minister of Labour and Social Policy of 14 January 2014 on social rehabilitation classes in nursing homes for persons with mental disorders (Polish Journal of Laws item 250);</w:t>
      </w:r>
    </w:p>
    <w:p w14:paraId="3B1AB493" w14:textId="77777777" w:rsidR="00B8547E" w:rsidRPr="00B8547E" w:rsidRDefault="00B8547E" w:rsidP="00B8547E">
      <w:pPr>
        <w:pStyle w:val="Akapitzlist"/>
        <w:numPr>
          <w:ilvl w:val="0"/>
          <w:numId w:val="52"/>
        </w:numPr>
        <w:spacing w:line="360" w:lineRule="auto"/>
        <w:ind w:left="284" w:hanging="284"/>
        <w:jc w:val="both"/>
        <w:rPr>
          <w:rFonts w:ascii="Arial" w:hAnsi="Arial" w:cs="Arial"/>
          <w:sz w:val="18"/>
          <w:szCs w:val="18"/>
        </w:rPr>
      </w:pPr>
      <w:r>
        <w:rPr>
          <w:rFonts w:ascii="Arial" w:hAnsi="Arial"/>
          <w:sz w:val="18"/>
        </w:rPr>
        <w:t>Resolution of the Minister of Infrastructure of 29 July 2011 on the premises of district election committees adapted to the needs of persons with disabilities (Polish Journal of Laws no. 158 item 938);</w:t>
      </w:r>
    </w:p>
    <w:p w14:paraId="0FBB24EC" w14:textId="0C9AA73C" w:rsidR="00CF18ED" w:rsidRPr="00954DFD" w:rsidRDefault="0064055C" w:rsidP="003D345C">
      <w:pPr>
        <w:pStyle w:val="Akapitzlist"/>
        <w:numPr>
          <w:ilvl w:val="0"/>
          <w:numId w:val="54"/>
        </w:numPr>
        <w:spacing w:after="0" w:line="360" w:lineRule="auto"/>
        <w:ind w:left="284" w:hanging="284"/>
        <w:jc w:val="both"/>
        <w:rPr>
          <w:rFonts w:ascii="Arial" w:hAnsi="Arial" w:cs="Arial"/>
          <w:sz w:val="18"/>
          <w:szCs w:val="18"/>
        </w:rPr>
      </w:pPr>
      <w:r>
        <w:rPr>
          <w:rFonts w:ascii="Arial" w:hAnsi="Arial"/>
          <w:sz w:val="18"/>
        </w:rPr>
        <w:t>Resolution of the Sejm of the Republic of Poland of 1 August 1997 – Charter of the Persons with Disabilities (M.P. no. 50, item 475);</w:t>
      </w:r>
    </w:p>
    <w:p w14:paraId="7E3B12C9" w14:textId="3AE9E668" w:rsidR="00CF18ED" w:rsidRPr="00457A77" w:rsidRDefault="0064055C" w:rsidP="005F57DB">
      <w:pPr>
        <w:pStyle w:val="Akapitzlist"/>
        <w:numPr>
          <w:ilvl w:val="0"/>
          <w:numId w:val="54"/>
        </w:numPr>
        <w:spacing w:after="0" w:line="360" w:lineRule="auto"/>
        <w:ind w:left="284" w:hanging="284"/>
        <w:jc w:val="both"/>
        <w:rPr>
          <w:rFonts w:ascii="Arial" w:hAnsi="Arial" w:cs="Arial"/>
          <w:sz w:val="16"/>
          <w:szCs w:val="16"/>
        </w:rPr>
      </w:pPr>
      <w:r>
        <w:rPr>
          <w:rFonts w:ascii="Arial" w:hAnsi="Arial"/>
          <w:sz w:val="18"/>
        </w:rPr>
        <w:t>Resolution no. 76 of the Council of Ministers of 29 April 2014 on establishing the 2014-2020 National Programme to Prevent Domestic Violence (M.P., item 445);</w:t>
      </w:r>
    </w:p>
    <w:p w14:paraId="3B4C9FEE" w14:textId="224E20FE" w:rsidR="005F57DB" w:rsidRPr="00954DFD" w:rsidRDefault="0064055C" w:rsidP="004C14B5">
      <w:pPr>
        <w:pStyle w:val="Akapitzlist"/>
        <w:numPr>
          <w:ilvl w:val="0"/>
          <w:numId w:val="53"/>
        </w:numPr>
        <w:spacing w:after="0" w:line="360" w:lineRule="auto"/>
        <w:ind w:left="284" w:hanging="284"/>
        <w:jc w:val="both"/>
        <w:rPr>
          <w:rFonts w:ascii="Arial" w:hAnsi="Arial" w:cs="Arial"/>
          <w:sz w:val="18"/>
          <w:szCs w:val="18"/>
        </w:rPr>
      </w:pPr>
      <w:r>
        <w:rPr>
          <w:rFonts w:ascii="Arial" w:hAnsi="Arial"/>
          <w:sz w:val="18"/>
        </w:rPr>
        <w:t>Resolution no. 26 of the Minister of Labour and Social Policy of 28 August 2013 on establishing the Team for enforcing the provisions of the Convention on the Rights of Persons with Disabilities (Official Journal of MPiPS item 27 as amended).</w:t>
      </w:r>
    </w:p>
    <w:p w14:paraId="1254145F" w14:textId="77777777" w:rsidR="004C14B5" w:rsidRPr="006B1A5A" w:rsidRDefault="004C14B5" w:rsidP="004C14B5">
      <w:pPr>
        <w:pStyle w:val="Nagwek1"/>
        <w:spacing w:before="0" w:after="0"/>
        <w:rPr>
          <w:color w:val="auto"/>
          <w:sz w:val="18"/>
          <w:szCs w:val="18"/>
        </w:rPr>
      </w:pPr>
      <w:bookmarkStart w:id="57" w:name="_Toc403999554"/>
    </w:p>
    <w:p w14:paraId="7263150E" w14:textId="04ED95CC" w:rsidR="004427D0" w:rsidRPr="00457A77" w:rsidRDefault="00457A77" w:rsidP="004C14B5">
      <w:pPr>
        <w:pStyle w:val="Nagwek1"/>
        <w:spacing w:before="0" w:after="0"/>
      </w:pPr>
      <w:bookmarkStart w:id="58" w:name="_Toc424279017"/>
      <w:r>
        <w:t>List of court rulings quoted:</w:t>
      </w:r>
      <w:bookmarkEnd w:id="57"/>
      <w:bookmarkEnd w:id="58"/>
    </w:p>
    <w:p w14:paraId="4B0463C1" w14:textId="77777777" w:rsidR="001715CB" w:rsidRPr="00556F73" w:rsidRDefault="001715CB" w:rsidP="001715CB">
      <w:pPr>
        <w:pStyle w:val="Akapitzlist"/>
        <w:numPr>
          <w:ilvl w:val="0"/>
          <w:numId w:val="55"/>
        </w:numPr>
        <w:spacing w:after="0" w:line="360" w:lineRule="auto"/>
        <w:ind w:left="284" w:hanging="284"/>
        <w:jc w:val="both"/>
        <w:rPr>
          <w:rFonts w:ascii="Arial" w:hAnsi="Arial" w:cs="Arial"/>
          <w:sz w:val="18"/>
          <w:szCs w:val="18"/>
        </w:rPr>
      </w:pPr>
      <w:r>
        <w:rPr>
          <w:rFonts w:ascii="Arial" w:hAnsi="Arial"/>
          <w:sz w:val="18"/>
        </w:rPr>
        <w:t xml:space="preserve">Decision of the European Court of Human Rights of 12 January 2013 in the case </w:t>
      </w:r>
      <w:r>
        <w:rPr>
          <w:rFonts w:ascii="Arial" w:hAnsi="Arial"/>
          <w:i/>
          <w:sz w:val="18"/>
        </w:rPr>
        <w:t>D.G. v. Poland</w:t>
      </w:r>
      <w:r>
        <w:rPr>
          <w:rFonts w:ascii="Arial" w:hAnsi="Arial"/>
          <w:sz w:val="18"/>
        </w:rPr>
        <w:t>, complaint no. 45705/07;</w:t>
      </w:r>
    </w:p>
    <w:p w14:paraId="0273C99F" w14:textId="77777777" w:rsidR="00934F19" w:rsidRPr="00BD5AAD" w:rsidRDefault="00A341CD" w:rsidP="00934F19">
      <w:pPr>
        <w:pStyle w:val="Akapitzlist"/>
        <w:numPr>
          <w:ilvl w:val="0"/>
          <w:numId w:val="55"/>
        </w:numPr>
        <w:spacing w:after="0" w:line="360" w:lineRule="auto"/>
        <w:ind w:left="284" w:hanging="284"/>
        <w:jc w:val="both"/>
        <w:rPr>
          <w:rFonts w:ascii="Arial" w:hAnsi="Arial" w:cs="Arial"/>
          <w:sz w:val="18"/>
          <w:szCs w:val="18"/>
        </w:rPr>
      </w:pPr>
      <w:r>
        <w:rPr>
          <w:rFonts w:ascii="Arial" w:hAnsi="Arial"/>
          <w:sz w:val="18"/>
        </w:rPr>
        <w:t>Ruling of the Constitutional Tribunal of 23 October 2007, case file no. P 28/07;</w:t>
      </w:r>
    </w:p>
    <w:p w14:paraId="2F0A7875" w14:textId="77777777" w:rsidR="00BD5AAD" w:rsidRPr="00934F19" w:rsidRDefault="00BD5AAD" w:rsidP="00934F19">
      <w:pPr>
        <w:pStyle w:val="Akapitzlist"/>
        <w:numPr>
          <w:ilvl w:val="0"/>
          <w:numId w:val="55"/>
        </w:numPr>
        <w:spacing w:after="0" w:line="360" w:lineRule="auto"/>
        <w:ind w:left="284" w:hanging="284"/>
        <w:jc w:val="both"/>
        <w:rPr>
          <w:rFonts w:ascii="Arial" w:hAnsi="Arial" w:cs="Arial"/>
          <w:sz w:val="18"/>
          <w:szCs w:val="18"/>
        </w:rPr>
      </w:pPr>
      <w:r>
        <w:rPr>
          <w:rFonts w:ascii="Arial" w:hAnsi="Arial"/>
          <w:sz w:val="18"/>
        </w:rPr>
        <w:t>Ruling of the Constitutional Tribunal of 5 December 2013, case file no. K 27/13;</w:t>
      </w:r>
    </w:p>
    <w:p w14:paraId="3FBBF3FA" w14:textId="77777777" w:rsidR="009F7284" w:rsidRPr="00556F73" w:rsidRDefault="009F7284" w:rsidP="003D345C">
      <w:pPr>
        <w:pStyle w:val="Akapitzlist"/>
        <w:numPr>
          <w:ilvl w:val="0"/>
          <w:numId w:val="55"/>
        </w:numPr>
        <w:spacing w:after="0" w:line="360" w:lineRule="auto"/>
        <w:ind w:left="284" w:hanging="284"/>
        <w:jc w:val="both"/>
        <w:rPr>
          <w:rFonts w:ascii="Arial" w:hAnsi="Arial" w:cs="Arial"/>
          <w:sz w:val="18"/>
          <w:szCs w:val="18"/>
        </w:rPr>
      </w:pPr>
      <w:r>
        <w:rPr>
          <w:rFonts w:ascii="Arial" w:hAnsi="Arial"/>
          <w:sz w:val="18"/>
        </w:rPr>
        <w:t>Ruling of the Constitutional Tribunal of 23 January 2014, case file no. K 51/12;</w:t>
      </w:r>
    </w:p>
    <w:p w14:paraId="288B95A3" w14:textId="77777777" w:rsidR="00C45045" w:rsidRPr="00556F73" w:rsidRDefault="00C45045" w:rsidP="003D345C">
      <w:pPr>
        <w:pStyle w:val="Akapitzlist"/>
        <w:numPr>
          <w:ilvl w:val="0"/>
          <w:numId w:val="55"/>
        </w:numPr>
        <w:spacing w:after="0" w:line="360" w:lineRule="auto"/>
        <w:ind w:left="284" w:hanging="284"/>
        <w:jc w:val="both"/>
        <w:rPr>
          <w:rFonts w:ascii="Arial" w:hAnsi="Arial" w:cs="Arial"/>
          <w:sz w:val="18"/>
          <w:szCs w:val="18"/>
        </w:rPr>
      </w:pPr>
      <w:r>
        <w:rPr>
          <w:rFonts w:ascii="Arial" w:hAnsi="Arial"/>
          <w:sz w:val="18"/>
        </w:rPr>
        <w:t>Ruling of the Constitutional Tribunal of 18 September 2014, case file no. K 44/12;</w:t>
      </w:r>
    </w:p>
    <w:p w14:paraId="0DF86390" w14:textId="77777777" w:rsidR="001F46A8" w:rsidRPr="00556F73" w:rsidRDefault="001F46A8" w:rsidP="003D345C">
      <w:pPr>
        <w:pStyle w:val="Akapitzlist"/>
        <w:numPr>
          <w:ilvl w:val="0"/>
          <w:numId w:val="55"/>
        </w:numPr>
        <w:spacing w:after="0" w:line="360" w:lineRule="auto"/>
        <w:ind w:left="284" w:hanging="284"/>
        <w:jc w:val="both"/>
        <w:rPr>
          <w:rFonts w:ascii="Arial" w:hAnsi="Arial" w:cs="Arial"/>
          <w:sz w:val="18"/>
          <w:szCs w:val="18"/>
        </w:rPr>
      </w:pPr>
      <w:r>
        <w:rPr>
          <w:rFonts w:ascii="Arial" w:hAnsi="Arial"/>
          <w:sz w:val="18"/>
        </w:rPr>
        <w:t>Ruling of the Supreme Court of 29 December 1978, case file no. II CR 475/78;</w:t>
      </w:r>
    </w:p>
    <w:p w14:paraId="0D103A85" w14:textId="77777777" w:rsidR="009F7284" w:rsidRPr="00556F73" w:rsidRDefault="009F7284" w:rsidP="003D345C">
      <w:pPr>
        <w:pStyle w:val="Akapitzlist"/>
        <w:numPr>
          <w:ilvl w:val="0"/>
          <w:numId w:val="55"/>
        </w:numPr>
        <w:spacing w:after="0" w:line="360" w:lineRule="auto"/>
        <w:ind w:left="284" w:hanging="284"/>
        <w:jc w:val="both"/>
        <w:rPr>
          <w:rFonts w:ascii="Arial" w:hAnsi="Arial" w:cs="Arial"/>
          <w:sz w:val="18"/>
          <w:szCs w:val="18"/>
        </w:rPr>
      </w:pPr>
      <w:r>
        <w:rPr>
          <w:rFonts w:ascii="Arial" w:hAnsi="Arial"/>
          <w:sz w:val="18"/>
        </w:rPr>
        <w:t>Ruling of the Supreme Court of 8 February 2000, case file no. III UKN 374/99;</w:t>
      </w:r>
    </w:p>
    <w:p w14:paraId="42A1C46D" w14:textId="77777777" w:rsidR="000918EA" w:rsidRDefault="000918EA" w:rsidP="003D345C">
      <w:pPr>
        <w:pStyle w:val="Akapitzlist"/>
        <w:numPr>
          <w:ilvl w:val="0"/>
          <w:numId w:val="55"/>
        </w:numPr>
        <w:spacing w:after="0" w:line="360" w:lineRule="auto"/>
        <w:ind w:left="284" w:hanging="284"/>
        <w:jc w:val="both"/>
        <w:rPr>
          <w:rFonts w:ascii="Arial" w:hAnsi="Arial" w:cs="Arial"/>
          <w:sz w:val="18"/>
          <w:szCs w:val="18"/>
        </w:rPr>
      </w:pPr>
      <w:r>
        <w:rPr>
          <w:rFonts w:ascii="Arial" w:hAnsi="Arial"/>
          <w:sz w:val="18"/>
        </w:rPr>
        <w:t>Ruling of the Supreme Court of 12 April 2012, case file no. II PK 218/11;</w:t>
      </w:r>
    </w:p>
    <w:p w14:paraId="52F967B5" w14:textId="77777777" w:rsidR="00EB689A" w:rsidRDefault="00EB689A" w:rsidP="003D345C">
      <w:pPr>
        <w:pStyle w:val="Akapitzlist"/>
        <w:numPr>
          <w:ilvl w:val="0"/>
          <w:numId w:val="55"/>
        </w:numPr>
        <w:spacing w:after="0" w:line="360" w:lineRule="auto"/>
        <w:ind w:left="284" w:hanging="284"/>
        <w:jc w:val="both"/>
        <w:rPr>
          <w:rFonts w:ascii="Arial" w:hAnsi="Arial" w:cs="Arial"/>
          <w:sz w:val="18"/>
          <w:szCs w:val="18"/>
        </w:rPr>
      </w:pPr>
      <w:r>
        <w:rPr>
          <w:rFonts w:ascii="Arial" w:hAnsi="Arial"/>
          <w:sz w:val="18"/>
        </w:rPr>
        <w:t>Ruling of the Court of Appeal in Warsaw of 28 September 2011, case file no. I ACa 300/11;</w:t>
      </w:r>
    </w:p>
    <w:p w14:paraId="450C69FD" w14:textId="03E049D6" w:rsidR="00FF72C7" w:rsidRPr="00556F73" w:rsidRDefault="00FF72C7" w:rsidP="003D345C">
      <w:pPr>
        <w:pStyle w:val="Akapitzlist"/>
        <w:numPr>
          <w:ilvl w:val="0"/>
          <w:numId w:val="55"/>
        </w:numPr>
        <w:spacing w:after="0" w:line="360" w:lineRule="auto"/>
        <w:ind w:left="284" w:hanging="284"/>
        <w:jc w:val="both"/>
        <w:rPr>
          <w:rFonts w:ascii="Arial" w:hAnsi="Arial" w:cs="Arial"/>
          <w:sz w:val="18"/>
          <w:szCs w:val="18"/>
        </w:rPr>
      </w:pPr>
      <w:r>
        <w:rPr>
          <w:rFonts w:ascii="Arial" w:hAnsi="Arial"/>
          <w:sz w:val="18"/>
        </w:rPr>
        <w:t xml:space="preserve">Decision of the Committee on the Rights of Persons with Disabilities of 9 September 2013 no. CRPD/C/10/D/4/2011 in the matter of </w:t>
      </w:r>
      <w:r>
        <w:rPr>
          <w:rFonts w:ascii="Arial" w:hAnsi="Arial"/>
          <w:i/>
          <w:sz w:val="18"/>
        </w:rPr>
        <w:t>Zsolt Bujdsó et al versus Hungary</w:t>
      </w:r>
      <w:r>
        <w:rPr>
          <w:rFonts w:ascii="Arial" w:hAnsi="Arial"/>
          <w:sz w:val="18"/>
        </w:rPr>
        <w:t>, complaint no. 4/2011;</w:t>
      </w:r>
    </w:p>
    <w:p w14:paraId="1D213370" w14:textId="77777777" w:rsidR="00735FB3" w:rsidRDefault="00735FB3" w:rsidP="001813AA">
      <w:pPr>
        <w:spacing w:after="0" w:line="360" w:lineRule="auto"/>
        <w:jc w:val="both"/>
        <w:rPr>
          <w:rFonts w:ascii="Arial" w:hAnsi="Arial"/>
          <w:b/>
          <w:color w:val="E36C0A" w:themeColor="accent6" w:themeShade="BF"/>
          <w:sz w:val="16"/>
          <w:szCs w:val="16"/>
        </w:rPr>
      </w:pPr>
    </w:p>
    <w:p w14:paraId="6800BF4C" w14:textId="77777777" w:rsidR="00735FB3" w:rsidRDefault="00735FB3" w:rsidP="001813AA">
      <w:pPr>
        <w:spacing w:after="0" w:line="360" w:lineRule="auto"/>
        <w:jc w:val="both"/>
        <w:rPr>
          <w:rFonts w:ascii="Arial" w:hAnsi="Arial"/>
          <w:b/>
          <w:color w:val="E36C0A" w:themeColor="accent6" w:themeShade="BF"/>
          <w:sz w:val="16"/>
          <w:szCs w:val="16"/>
        </w:rPr>
      </w:pPr>
    </w:p>
    <w:p w14:paraId="7FB7B8CC" w14:textId="77777777" w:rsidR="00735FB3" w:rsidRDefault="00735FB3" w:rsidP="001813AA">
      <w:pPr>
        <w:spacing w:after="0" w:line="360" w:lineRule="auto"/>
        <w:jc w:val="both"/>
        <w:rPr>
          <w:rFonts w:ascii="Arial" w:hAnsi="Arial"/>
          <w:b/>
          <w:color w:val="E36C0A" w:themeColor="accent6" w:themeShade="BF"/>
          <w:sz w:val="16"/>
          <w:szCs w:val="16"/>
        </w:rPr>
      </w:pPr>
    </w:p>
    <w:p w14:paraId="4639636B" w14:textId="77777777" w:rsidR="00735FB3" w:rsidRDefault="00735FB3" w:rsidP="001813AA">
      <w:pPr>
        <w:spacing w:after="0" w:line="360" w:lineRule="auto"/>
        <w:jc w:val="both"/>
        <w:rPr>
          <w:rFonts w:ascii="Arial" w:hAnsi="Arial"/>
          <w:b/>
          <w:color w:val="E36C0A" w:themeColor="accent6" w:themeShade="BF"/>
          <w:sz w:val="16"/>
          <w:szCs w:val="16"/>
        </w:rPr>
      </w:pPr>
    </w:p>
    <w:p w14:paraId="22A7DCB6" w14:textId="77777777" w:rsidR="00735FB3" w:rsidRDefault="00735FB3" w:rsidP="001813AA">
      <w:pPr>
        <w:spacing w:after="0" w:line="360" w:lineRule="auto"/>
        <w:jc w:val="both"/>
        <w:rPr>
          <w:rFonts w:ascii="Arial" w:hAnsi="Arial"/>
          <w:b/>
          <w:color w:val="E36C0A" w:themeColor="accent6" w:themeShade="BF"/>
          <w:sz w:val="16"/>
          <w:szCs w:val="16"/>
        </w:rPr>
      </w:pPr>
    </w:p>
    <w:p w14:paraId="1CCAE79E" w14:textId="77777777" w:rsidR="00735FB3" w:rsidRPr="00735FB3" w:rsidRDefault="00735FB3" w:rsidP="001813AA">
      <w:pPr>
        <w:spacing w:after="0" w:line="360" w:lineRule="auto"/>
        <w:jc w:val="both"/>
        <w:rPr>
          <w:rFonts w:ascii="Arial" w:hAnsi="Arial"/>
          <w:b/>
          <w:color w:val="E36C0A" w:themeColor="accent6" w:themeShade="BF"/>
          <w:sz w:val="16"/>
          <w:szCs w:val="16"/>
        </w:rPr>
      </w:pPr>
    </w:p>
    <w:p w14:paraId="3C098859" w14:textId="77777777" w:rsidR="002B64A4" w:rsidRDefault="002B64A4" w:rsidP="00735FB3">
      <w:pPr>
        <w:spacing w:after="0" w:line="360" w:lineRule="auto"/>
        <w:jc w:val="both"/>
        <w:rPr>
          <w:rFonts w:ascii="Arial" w:hAnsi="Arial" w:cs="Arial"/>
          <w:b/>
          <w:color w:val="E36C0A" w:themeColor="accent6" w:themeShade="BF"/>
          <w:sz w:val="32"/>
          <w:szCs w:val="32"/>
        </w:rPr>
      </w:pPr>
      <w:r>
        <w:rPr>
          <w:rFonts w:ascii="Arial" w:hAnsi="Arial"/>
          <w:b/>
          <w:color w:val="E36C0A" w:themeColor="accent6" w:themeShade="BF"/>
          <w:sz w:val="32"/>
        </w:rPr>
        <w:t>Appendices:</w:t>
      </w:r>
    </w:p>
    <w:p w14:paraId="7828295B" w14:textId="17F6B7DF" w:rsidR="00771039" w:rsidRDefault="00BA7B00" w:rsidP="00735FB3">
      <w:pPr>
        <w:pStyle w:val="Akapitzlist"/>
        <w:numPr>
          <w:ilvl w:val="0"/>
          <w:numId w:val="19"/>
        </w:numPr>
        <w:spacing w:after="0" w:line="360" w:lineRule="auto"/>
        <w:ind w:left="284" w:hanging="284"/>
        <w:jc w:val="both"/>
        <w:rPr>
          <w:rFonts w:ascii="Arial" w:hAnsi="Arial" w:cs="Arial"/>
          <w:sz w:val="18"/>
          <w:szCs w:val="18"/>
        </w:rPr>
      </w:pPr>
      <w:r>
        <w:rPr>
          <w:rFonts w:ascii="Arial" w:hAnsi="Arial"/>
          <w:sz w:val="18"/>
        </w:rPr>
        <w:t>Tasks of the Human Rights Defender as an independent authority to promote, protect and monitor the realisation of the provisions of the Convention on the Rights of Persons with Disabilities;</w:t>
      </w:r>
    </w:p>
    <w:p w14:paraId="1B72A37D" w14:textId="6918D5A1" w:rsidR="004C14B5" w:rsidRPr="004C14B5" w:rsidRDefault="004C14B5" w:rsidP="00735FB3">
      <w:pPr>
        <w:pStyle w:val="Akapitzlist"/>
        <w:numPr>
          <w:ilvl w:val="0"/>
          <w:numId w:val="19"/>
        </w:numPr>
        <w:spacing w:after="0" w:line="360" w:lineRule="auto"/>
        <w:ind w:left="284" w:hanging="284"/>
        <w:jc w:val="both"/>
        <w:rPr>
          <w:rFonts w:ascii="Arial" w:hAnsi="Arial" w:cs="Arial"/>
          <w:sz w:val="18"/>
          <w:szCs w:val="18"/>
        </w:rPr>
      </w:pPr>
      <w:r>
        <w:rPr>
          <w:rFonts w:ascii="Arial" w:hAnsi="Arial"/>
          <w:sz w:val="18"/>
        </w:rPr>
        <w:t>Realisation of the provisions of the Convention on the Rights of Persons with Disabilities at local level – study report of the Human Rights Defender.</w:t>
      </w:r>
    </w:p>
    <w:p w14:paraId="37C786FD" w14:textId="77777777" w:rsidR="00771039" w:rsidRDefault="00771039" w:rsidP="00735FB3">
      <w:pPr>
        <w:spacing w:after="0" w:line="360" w:lineRule="auto"/>
        <w:ind w:left="284" w:hanging="284"/>
        <w:jc w:val="both"/>
        <w:rPr>
          <w:rFonts w:ascii="Arial" w:hAnsi="Arial" w:cs="Arial"/>
        </w:rPr>
      </w:pPr>
    </w:p>
    <w:sectPr w:rsidR="00771039" w:rsidSect="00012023">
      <w:headerReference w:type="default" r:id="rId24"/>
      <w:footerReference w:type="default" r:id="rId25"/>
      <w:pgSz w:w="11906" w:h="16838"/>
      <w:pgMar w:top="1417" w:right="1417" w:bottom="1417" w:left="1417" w:header="708" w:footer="708" w:gutter="0"/>
      <w:pgNumType w:start="0"/>
      <w:cols w:space="708"/>
      <w:titlePg/>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F5BA993" w15:done="0"/>
  <w15:commentEx w15:paraId="6E231D00" w15:done="0"/>
  <w15:commentEx w15:paraId="0ABAA789" w15:done="0"/>
  <w15:commentEx w15:paraId="30DDF7BC" w15:done="0"/>
  <w15:commentEx w15:paraId="79418151" w15:done="0"/>
  <w15:commentEx w15:paraId="582D473E"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4CCC02" w14:textId="77777777" w:rsidR="00EF75D4" w:rsidRDefault="00EF75D4" w:rsidP="00DF331F">
      <w:pPr>
        <w:spacing w:after="0" w:line="240" w:lineRule="auto"/>
      </w:pPr>
      <w:r>
        <w:separator/>
      </w:r>
    </w:p>
  </w:endnote>
  <w:endnote w:type="continuationSeparator" w:id="0">
    <w:p w14:paraId="7EAF1225" w14:textId="77777777" w:rsidR="00EF75D4" w:rsidRDefault="00EF75D4" w:rsidP="00DF3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34632481"/>
      <w:docPartObj>
        <w:docPartGallery w:val="Page Numbers (Bottom of Page)"/>
        <w:docPartUnique/>
      </w:docPartObj>
    </w:sdtPr>
    <w:sdtEndPr/>
    <w:sdtContent>
      <w:p w14:paraId="01288AB2" w14:textId="77777777" w:rsidR="00FD1C56" w:rsidRDefault="00FD1C56">
        <w:pPr>
          <w:pStyle w:val="Stopka"/>
          <w:jc w:val="center"/>
        </w:pPr>
        <w:r>
          <w:fldChar w:fldCharType="begin"/>
        </w:r>
        <w:r>
          <w:instrText>PAGE   \* MERGEFORMAT</w:instrText>
        </w:r>
        <w:r>
          <w:fldChar w:fldCharType="separate"/>
        </w:r>
        <w:r w:rsidR="00F85AE8">
          <w:rPr>
            <w:noProof/>
          </w:rPr>
          <w:t>3</w:t>
        </w:r>
        <w:r>
          <w:fldChar w:fldCharType="end"/>
        </w:r>
      </w:p>
    </w:sdtContent>
  </w:sdt>
  <w:p w14:paraId="0B5D90D4" w14:textId="77777777" w:rsidR="00FD1C56" w:rsidRDefault="00FD1C5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0ACF22" w14:textId="77777777" w:rsidR="00EF75D4" w:rsidRDefault="00EF75D4" w:rsidP="00DF331F">
      <w:pPr>
        <w:spacing w:after="0" w:line="240" w:lineRule="auto"/>
      </w:pPr>
      <w:r>
        <w:separator/>
      </w:r>
    </w:p>
  </w:footnote>
  <w:footnote w:type="continuationSeparator" w:id="0">
    <w:p w14:paraId="198AE2E6" w14:textId="77777777" w:rsidR="00EF75D4" w:rsidRDefault="00EF75D4" w:rsidP="00DF331F">
      <w:pPr>
        <w:spacing w:after="0" w:line="240" w:lineRule="auto"/>
      </w:pPr>
      <w:r>
        <w:continuationSeparator/>
      </w:r>
    </w:p>
  </w:footnote>
  <w:footnote w:id="1">
    <w:p w14:paraId="6C3A3274" w14:textId="366866E6" w:rsidR="00FD1C56" w:rsidRPr="00AF504D"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Article 35 of CRPD.</w:t>
      </w:r>
    </w:p>
  </w:footnote>
  <w:footnote w:id="2">
    <w:p w14:paraId="0FAE8D3F" w14:textId="3D5FBE75" w:rsidR="00FD1C56" w:rsidRPr="00AF504D"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This issue is discussed in greater detail in part VI of the report.</w:t>
      </w:r>
    </w:p>
  </w:footnote>
  <w:footnote w:id="3">
    <w:p w14:paraId="366D5C2A" w14:textId="7A7BCA26" w:rsidR="00FD1C56" w:rsidRPr="00845127"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 xml:space="preserve">The statutory position of the Ombudsman is set forth in the provisions of Articles 80 and 208-212 of the Polish Constitution and the provisions of the Act of 15 July 1987 </w:t>
      </w:r>
      <w:r>
        <w:rPr>
          <w:rFonts w:ascii="Arial" w:hAnsi="Arial"/>
          <w:i/>
          <w:sz w:val="16"/>
        </w:rPr>
        <w:t>on the Human Rights Defender</w:t>
      </w:r>
      <w:r>
        <w:rPr>
          <w:rFonts w:ascii="Arial" w:hAnsi="Arial"/>
          <w:sz w:val="16"/>
        </w:rPr>
        <w:t xml:space="preserve"> (Polish Journal of Laws of 2014, 1648). </w:t>
      </w:r>
    </w:p>
  </w:footnote>
  <w:footnote w:id="4">
    <w:p w14:paraId="1C758C87" w14:textId="138AC190" w:rsidR="00FD1C56" w:rsidRPr="00845127"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UN General Assembly Resolution 48/134 of 20 December 1993 International Coordinating Committee,</w:t>
      </w:r>
      <w:r>
        <w:rPr>
          <w:rFonts w:ascii="Arial" w:hAnsi="Arial"/>
          <w:i/>
          <w:sz w:val="16"/>
        </w:rPr>
        <w:t xml:space="preserve"> </w:t>
      </w:r>
      <w:r>
        <w:rPr>
          <w:rFonts w:ascii="Arial" w:hAnsi="Arial"/>
          <w:sz w:val="16"/>
        </w:rPr>
        <w:t>following the guidelines included in the so-called Paris Principles, awarded the Human Rights Defender the A status, which means that the full impartiality and independence of the Ombudsman was recognized in the light of the universal international standard.</w:t>
      </w:r>
    </w:p>
  </w:footnote>
  <w:footnote w:id="5">
    <w:p w14:paraId="649CE5A4" w14:textId="228AAE01" w:rsidR="00FD1C56" w:rsidRPr="00954858"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Act of 3 December 2010 (Polish Journal of Laws no. 254 item 1700).</w:t>
      </w:r>
    </w:p>
  </w:footnote>
  <w:footnote w:id="6">
    <w:p w14:paraId="7222B32B" w14:textId="2CE7EAE0" w:rsidR="00FD1C56" w:rsidRPr="00954858"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UN Convention on the Rights of Persons with Disabilities of 13 December 2006 (Polish Journal of Laws of 2012 item 1169).</w:t>
      </w:r>
    </w:p>
  </w:footnote>
  <w:footnote w:id="7">
    <w:p w14:paraId="38407CB8" w14:textId="1D4EB91D" w:rsidR="00FD1C56" w:rsidRPr="00836192"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Pursuant to the requirements of Article 31(1)(6) of the Act of 4 September 1997 on governmental administration divisions (Polish Journal of Laws of 2013, item 743 as amended) in conjunction with Article 1(2) of the Regulation of the Council of Ministers of 31 October 2005 on establishing the Ministry of Labour and Social Policy and on abolishing the Ministry of Social Policy (Polish Journal of Laws no. 220, item 1881).</w:t>
      </w:r>
    </w:p>
  </w:footnote>
  <w:footnote w:id="8">
    <w:p w14:paraId="1CFD81AD" w14:textId="6A87D3D7" w:rsidR="00FD1C56" w:rsidRPr="00836192"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The provision of Article 34 of the Act of 27 August 1997 on vocational and social rehabilitation and employment of persons with disabilities (Polish Journal of Laws of 2011, no. 127, item 721, as amended).</w:t>
      </w:r>
    </w:p>
  </w:footnote>
  <w:footnote w:id="9">
    <w:p w14:paraId="446493BA" w14:textId="35EDC544" w:rsidR="00FD1C56" w:rsidRPr="00836192"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Resolution no. 26 of the Minister of Labour and Social Policy of 28 August 2013 on establishing the Team for enforcing the provisions of the Convention on the Rights of Persons with Disabilities (Official Journal of the Ministry of Labour and Social Policy, item 27 as amended, hereinafter referred to as MLSP Resolution).</w:t>
      </w:r>
    </w:p>
  </w:footnote>
  <w:footnote w:id="10">
    <w:p w14:paraId="61842427" w14:textId="3BBB58E9" w:rsidR="00FD1C56" w:rsidRPr="00836192" w:rsidRDefault="00FD1C56" w:rsidP="00F3598A">
      <w:pPr>
        <w:pStyle w:val="Tekstprzypisudolnego"/>
        <w:ind w:left="227" w:hanging="227"/>
        <w:jc w:val="both"/>
        <w:rPr>
          <w:rFonts w:ascii="Times New Roman" w:hAnsi="Times New Roman" w:cs="Times New Roman"/>
        </w:rPr>
      </w:pPr>
      <w:r>
        <w:rPr>
          <w:rStyle w:val="Odwoanieprzypisudolnego"/>
          <w:rFonts w:ascii="Arial" w:hAnsi="Arial"/>
          <w:sz w:val="16"/>
        </w:rPr>
        <w:footnoteRef/>
      </w:r>
      <w:r>
        <w:rPr>
          <w:rFonts w:ascii="Arial" w:hAnsi="Arial"/>
          <w:sz w:val="16"/>
        </w:rPr>
        <w:t xml:space="preserve"> </w:t>
      </w:r>
      <w:r>
        <w:tab/>
      </w:r>
      <w:r>
        <w:rPr>
          <w:rFonts w:ascii="Arial" w:hAnsi="Arial"/>
          <w:sz w:val="16"/>
        </w:rPr>
        <w:t>See e.g. the general notice of the Human Rights Defender to the Minister of Labour and Social Policy of 26 June 2013, reference no.: RPO-638035-I/09.</w:t>
      </w:r>
    </w:p>
  </w:footnote>
  <w:footnote w:id="11">
    <w:p w14:paraId="256BE75A" w14:textId="57CA448D" w:rsidR="00FD1C56" w:rsidRPr="00B01C05"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Articles 2 and 7(2) of the MLSP Resolution.</w:t>
      </w:r>
    </w:p>
  </w:footnote>
  <w:footnote w:id="12">
    <w:p w14:paraId="379732D9" w14:textId="657CEC51" w:rsidR="00FD1C56" w:rsidRPr="00B01C05"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Letter of the MLSP of 26 July 2013.</w:t>
      </w:r>
    </w:p>
  </w:footnote>
  <w:footnote w:id="13">
    <w:p w14:paraId="3E868FCA" w14:textId="700455E6" w:rsidR="00FD1C56" w:rsidRPr="00B01C05"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Detailed tasks of HRD in this area are discussed in Appendix no. 2 to this report.</w:t>
      </w:r>
    </w:p>
  </w:footnote>
  <w:footnote w:id="14">
    <w:p w14:paraId="4B4713DF" w14:textId="5A5BCFBB" w:rsidR="00FD1C56" w:rsidRPr="000E4467"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The activities of the Expert Commission for Persons with Disabilities were discussed in the section “Information about the procedure to consult and involve the civic society in the process of drawing up the report of the Human Rights Defender”.</w:t>
      </w:r>
    </w:p>
  </w:footnote>
  <w:footnote w:id="15">
    <w:p w14:paraId="18AA0A3A" w14:textId="6ED6CE8E" w:rsidR="00FD1C56" w:rsidRDefault="00FD1C56" w:rsidP="00F3598A">
      <w:pPr>
        <w:pStyle w:val="Tekstprzypisudolnego"/>
        <w:ind w:left="227" w:hanging="227"/>
        <w:jc w:val="both"/>
      </w:pPr>
      <w:r>
        <w:rPr>
          <w:rStyle w:val="Odwoanieprzypisudolnego"/>
          <w:rFonts w:ascii="Arial" w:hAnsi="Arial"/>
          <w:sz w:val="16"/>
        </w:rPr>
        <w:footnoteRef/>
      </w:r>
      <w:r>
        <w:rPr>
          <w:rFonts w:ascii="Arial" w:hAnsi="Arial"/>
          <w:sz w:val="16"/>
        </w:rPr>
        <w:t xml:space="preserve"> </w:t>
      </w:r>
      <w:r>
        <w:tab/>
      </w:r>
      <w:r>
        <w:rPr>
          <w:rFonts w:ascii="Arial" w:hAnsi="Arial"/>
          <w:sz w:val="16"/>
        </w:rPr>
        <w:t xml:space="preserve">In 2013, </w:t>
      </w:r>
      <w:r>
        <w:rPr>
          <w:rFonts w:ascii="Arial" w:hAnsi="Arial"/>
          <w:b/>
          <w:sz w:val="16"/>
        </w:rPr>
        <w:t>PLN 667,000</w:t>
      </w:r>
      <w:r>
        <w:rPr>
          <w:rFonts w:ascii="Arial" w:hAnsi="Arial"/>
          <w:sz w:val="16"/>
        </w:rPr>
        <w:t xml:space="preserve"> were allocated to the Ombudsman for the purposes related to exercising the function of the independent mechanism,</w:t>
      </w:r>
      <w:r>
        <w:rPr>
          <w:rFonts w:ascii="Arial" w:hAnsi="Arial"/>
          <w:b/>
          <w:sz w:val="16"/>
        </w:rPr>
        <w:t xml:space="preserve"> </w:t>
      </w:r>
      <w:r>
        <w:rPr>
          <w:rFonts w:ascii="Arial" w:hAnsi="Arial"/>
          <w:sz w:val="16"/>
        </w:rPr>
        <w:t xml:space="preserve">which approximately equals </w:t>
      </w:r>
      <w:r>
        <w:rPr>
          <w:rFonts w:ascii="Arial" w:hAnsi="Arial"/>
          <w:b/>
          <w:sz w:val="16"/>
        </w:rPr>
        <w:t>PLN 160,000</w:t>
      </w:r>
      <w:r>
        <w:rPr>
          <w:rFonts w:ascii="Arial" w:hAnsi="Arial"/>
          <w:sz w:val="16"/>
        </w:rPr>
        <w:t xml:space="preserve"> (one hundred and sixty thousand euros). </w:t>
      </w:r>
    </w:p>
  </w:footnote>
  <w:footnote w:id="16">
    <w:p w14:paraId="4E57032D" w14:textId="41BF1911" w:rsidR="00FD1C56" w:rsidRPr="0065715F"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Act of 27 August 1997 on social and vocational rehabilitation and employment of persons with disabilities (Polish Journal of Laws of 2011, No. 127, item 721 as amended, hereinafter referred to as Act on rehabilitation).</w:t>
      </w:r>
    </w:p>
  </w:footnote>
  <w:footnote w:id="17">
    <w:p w14:paraId="7B21ABD9" w14:textId="787D3083" w:rsidR="00FD1C56" w:rsidRPr="0065715F"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Act of 17 December 1998 on retirement and disability pensions from the Social Insurance Fund (Polish Journal of Laws of 2013, item 1440 as amended, hereinafter referred to as Act on retirement and disability pensions).</w:t>
      </w:r>
    </w:p>
  </w:footnote>
  <w:footnote w:id="18">
    <w:p w14:paraId="55CAABE7" w14:textId="6ABF1369" w:rsidR="00FD1C56" w:rsidRPr="00266BD0"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Article 12 of the Act on retirement and disability pensions.</w:t>
      </w:r>
    </w:p>
  </w:footnote>
  <w:footnote w:id="19">
    <w:p w14:paraId="5B31915C" w14:textId="58E381A3" w:rsidR="00FD1C56" w:rsidRPr="00C523B2"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Article 21 of the Act of 20 December 1990 on social insurance of farmers (Polish Journal of Laws of 2013, item 1403, as amended).</w:t>
      </w:r>
    </w:p>
  </w:footnote>
  <w:footnote w:id="20">
    <w:p w14:paraId="17A26B76" w14:textId="35929F45" w:rsidR="00FD1C56" w:rsidRPr="0077050C"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Act of 29 May 1974 on the scheme for military invalids and veterans and their families, Articles 6-10, Articles 30-32, Article 57(2) (Polish Journal of Laws of 2010, no. 101, item 648 as amended); Act of 10 December 1993 on retirement pension scheme for professional soldiers and their families, Articles 19-21 (Polish Journal of Laws of 2004, no. 8 item 66 as amended); Act of 18 February 1994 on retirement pension scheme for the officers of Police, Internal Security Agency, Intelligence Agency, Border Guard, Government Security Agency, State Fire Emergency Service and Prison Service and their families, Articles 19-21 (Polish Journal of Laws of 2004 no. 8 item 67 as amended).</w:t>
      </w:r>
    </w:p>
  </w:footnote>
  <w:footnote w:id="21">
    <w:p w14:paraId="4D015D11" w14:textId="60848DE7" w:rsidR="00FD1C56" w:rsidRPr="00D047BD"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Article 4a of the Act on rehabilitation.</w:t>
      </w:r>
    </w:p>
  </w:footnote>
  <w:footnote w:id="22">
    <w:p w14:paraId="485C2ECA" w14:textId="3A2D5186" w:rsidR="00FD1C56" w:rsidRPr="00D047BD"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Article 71b(3) of the Act of 7 September 1991 on education system (Polish Journal of Laws of 2004, no. 256, item 2572, as amended).</w:t>
      </w:r>
    </w:p>
  </w:footnote>
  <w:footnote w:id="23">
    <w:p w14:paraId="137BDE84" w14:textId="136B47E4" w:rsidR="00FD1C56" w:rsidRPr="00D047BD"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Article 40a and Article 37b(2) of the Act of 5 January 2011 – Election Code (Polish Journal of Laws no. 21, item 112 as amended, hereinafter referred to as: Election Code).</w:t>
      </w:r>
    </w:p>
  </w:footnote>
  <w:footnote w:id="24">
    <w:p w14:paraId="12142D58" w14:textId="0EBCED0B" w:rsidR="00FD1C56" w:rsidRPr="00D047BD"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Article 20(6) of the Act of 14 March 2003 on national referendum (Polish Journal of Laws no. 57, item 507, as amended).</w:t>
      </w:r>
    </w:p>
  </w:footnote>
  <w:footnote w:id="25">
    <w:p w14:paraId="2B1C5612" w14:textId="2BC5F171" w:rsidR="00FD1C56" w:rsidRPr="00D047BD"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Article 26(1a) of the Act of 6 September 2001 – Pharmaceutical Law (Polish Journal of Laws of 2008, no. 45, item 271, as amended).</w:t>
      </w:r>
    </w:p>
  </w:footnote>
  <w:footnote w:id="26">
    <w:p w14:paraId="791EC6DA" w14:textId="7EB865E8" w:rsidR="00FD1C56" w:rsidRPr="004F3D43"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Resolution of the Council of Ministers of 12 April 2012 on National Interoperability Framework, minimal requirements for public registers and sharing information in electronic form and minimal requirements for ICT systems( Polish Journal of Laws item 526).</w:t>
      </w:r>
    </w:p>
  </w:footnote>
  <w:footnote w:id="27">
    <w:p w14:paraId="2CBFA2FD" w14:textId="2CEFFB57" w:rsidR="00FD1C56" w:rsidRPr="00186CE7"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Article 3(5) of the Act of 19 August 2011 on sign language and other means of communication (Polish Journal of Laws no. 209, item 1243 as amended, hereinafter referred to as: Act on sign language).</w:t>
      </w:r>
    </w:p>
  </w:footnote>
  <w:footnote w:id="28">
    <w:p w14:paraId="4EDC9F3F" w14:textId="12BA77CD" w:rsidR="00FD1C56" w:rsidRPr="00186CE7"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Act of 7 October 1999 on Polish language (Polish Journal of Laws of 2011, no. 43, item 224, as amended).</w:t>
      </w:r>
    </w:p>
  </w:footnote>
  <w:footnote w:id="29">
    <w:p w14:paraId="00D61DD7" w14:textId="26CDB7C5" w:rsidR="00FD1C56" w:rsidRPr="00035FAA"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Article 1(8) of the resolution of the Sejm of the Republic of Poland of 1 August 1997 – Charter of the Persons with Disabilities (M.P. no. 50, item 475).</w:t>
      </w:r>
    </w:p>
  </w:footnote>
  <w:footnote w:id="30">
    <w:p w14:paraId="31436E70" w14:textId="663E062B" w:rsidR="00FD1C56" w:rsidRPr="00035FAA"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For example, Article 2(4) of the resolution of the Minister of Labour and Social Policy of 25 June 2002 on determining the tasks of poviats that may be financed from the funds of the State Fund for the Rehabilitation of the Disabled (PFRON) (Polish Journal of Laws of 2013 item 1190).</w:t>
      </w:r>
    </w:p>
  </w:footnote>
  <w:footnote w:id="31">
    <w:p w14:paraId="02F09469" w14:textId="5DD2F6E6" w:rsidR="00FD1C56" w:rsidRPr="00693831"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Council Directive 2000/43/EC of 29 June 2000 implementing the principle of equal treatment between persons irrespective of racial or ethnic origin, Council Directive 2004/113/EC of 13 December 2004 implementing the principle of equal treatment between men and women in the access to and supply of goods and services and the Directive of the European Parliament and of the Council 2006/54/EC of 5 July 2006 on the implementation of the principle of equal opportunities and equal treatment o</w:t>
      </w:r>
      <w:r w:rsidR="0074578D">
        <w:rPr>
          <w:rFonts w:ascii="Arial" w:hAnsi="Arial"/>
          <w:sz w:val="16"/>
        </w:rPr>
        <w:t>f</w:t>
      </w:r>
      <w:r>
        <w:rPr>
          <w:rFonts w:ascii="Arial" w:hAnsi="Arial"/>
          <w:sz w:val="16"/>
        </w:rPr>
        <w:t xml:space="preserve"> men and women in matters of employment and occupation.</w:t>
      </w:r>
    </w:p>
  </w:footnote>
  <w:footnote w:id="32">
    <w:p w14:paraId="627A3754" w14:textId="09FFA7D3" w:rsidR="00FD1C56" w:rsidRPr="00685C47"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Article 5(1)(4) of the Act of 7 July 1994 - Construction Law (Polish Journal of Laws of 2013 item 1409 as amended).</w:t>
      </w:r>
    </w:p>
  </w:footnote>
  <w:footnote w:id="33">
    <w:p w14:paraId="05A9760A" w14:textId="18C9A680" w:rsidR="00FD1C56" w:rsidRPr="00685C47"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Article 14(2) of the Act of 15 November 1984 – Transportation Law (Polish Journal of Laws of 2012 item 1173 as amended).</w:t>
      </w:r>
    </w:p>
  </w:footnote>
  <w:footnote w:id="34">
    <w:p w14:paraId="51220844" w14:textId="691331B6" w:rsidR="00FD1C56" w:rsidRPr="00E96835"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Article 1(1)(13) of the Act of 16 July 2004 - Telecommunication Law (Polish Journal of Laws of 2014 item 243).</w:t>
      </w:r>
    </w:p>
  </w:footnote>
  <w:footnote w:id="35">
    <w:p w14:paraId="21A4001B" w14:textId="25E262EF" w:rsidR="00FD1C56" w:rsidRPr="00DE064F"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Article 20(1) of the Act of 14 April 2000 on international agreements (Polish Journal of Laws no. 39, item 443, as amended).</w:t>
      </w:r>
    </w:p>
  </w:footnote>
  <w:footnote w:id="36">
    <w:p w14:paraId="2BA4D8C3" w14:textId="1D0C31AB" w:rsidR="00FD1C56" w:rsidRPr="00DE064F"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 xml:space="preserve">In line with item A.3.2(c) of the guidelines for State Parties of the Convention adopted during the second session of the Committee on the Rights of Persons with Disabilities in Geneva held on 19-23 October 2009 no. CRPD/C/2/3 – </w:t>
      </w:r>
      <w:r>
        <w:rPr>
          <w:rFonts w:ascii="Arial" w:hAnsi="Arial"/>
          <w:i/>
          <w:sz w:val="16"/>
        </w:rPr>
        <w:t>Guidelines on treaty-specific document to be submitted by state parties under article 35, paragraph 1, of the Convention on the Rights of Persons with Disabilities</w:t>
      </w:r>
      <w:r>
        <w:rPr>
          <w:rFonts w:ascii="Arial" w:hAnsi="Arial"/>
          <w:sz w:val="16"/>
        </w:rPr>
        <w:t xml:space="preserve"> (hereinafter referred to as: Committee’s guidelines), a State Party should discuss the information about the adopted indicators to monitor progress towards the full realization of the Convention rights in its report.</w:t>
      </w:r>
    </w:p>
  </w:footnote>
  <w:footnote w:id="37">
    <w:p w14:paraId="6E1C7938" w14:textId="332D2A3B" w:rsidR="00FD1C56" w:rsidRPr="00DE064F"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The provision of Article 23 of the Act of 23 April 1964 Civil Code (Polish Journal of Laws of 2014, item 121, hereinafter referred to as: PCC).</w:t>
      </w:r>
    </w:p>
  </w:footnote>
  <w:footnote w:id="38">
    <w:p w14:paraId="55634504" w14:textId="3562F823" w:rsidR="00FD1C56" w:rsidRPr="00DE064F"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 xml:space="preserve">The Court of Appeal in Warsaw in its judgement of 28 September 2011 (case file no. I ACa 300/11) stated that refusing the entry of a person with disabilities accompanied by an assisting dog to a restaurant comprises an infringement of personal rights and the equal treatment principle in the access to publicly offered services. The court also stated in the statement of grounds that: </w:t>
      </w:r>
      <w:r>
        <w:rPr>
          <w:rFonts w:ascii="Arial" w:hAnsi="Arial"/>
          <w:i/>
          <w:sz w:val="16"/>
        </w:rPr>
        <w:t>discrimination takes place not only if an objective justification for the difference in treatment of persons in the same situation is missing, but also when seemingly neutral conditions, criteria or practices are applied in a consistent manner to all persons, but they affect a certain social group in a particular way</w:t>
      </w:r>
      <w:r>
        <w:rPr>
          <w:rFonts w:ascii="Arial" w:hAnsi="Arial"/>
          <w:sz w:val="16"/>
        </w:rPr>
        <w:t>.</w:t>
      </w:r>
    </w:p>
  </w:footnote>
  <w:footnote w:id="39">
    <w:p w14:paraId="6DF23511" w14:textId="1643035E" w:rsidR="00FD1C56" w:rsidRPr="00F36414"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In the ruling of 8 February 2000 (case file no. III UKN 374/99), the Supreme Court recognized that the International Covenant on Economic, Social and Cultural Rights is not an agreement whose provisions may be applied directly.</w:t>
      </w:r>
    </w:p>
  </w:footnote>
  <w:footnote w:id="40">
    <w:p w14:paraId="3E0BC1A0" w14:textId="6BA4281B" w:rsidR="00FD1C56" w:rsidRPr="008F2E2A"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In the ruling of 23 January 2014 (case file no. K 51/12) the Constitutional Tribunal recognized that separate ruling on the compliance of the questioned regulation with Article 29(a) of the Convention is superfluous. Hence the procedure with respect to that inspection basis was discontinued due to the fact that the said ruling was superfluous. Detailed description of the case was included in the sections discussing the implementation of Article 29 of CRPD.</w:t>
      </w:r>
    </w:p>
  </w:footnote>
  <w:footnote w:id="41">
    <w:p w14:paraId="640FEDAA" w14:textId="6DDE0D65" w:rsidR="00FD1C56" w:rsidRPr="008F2E2A"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Ruling of the Constitutional Tribunal of 18 September 2014, case file no. K 44/12.</w:t>
      </w:r>
    </w:p>
  </w:footnote>
  <w:footnote w:id="42">
    <w:p w14:paraId="521D8B18" w14:textId="5F601CC7" w:rsidR="00FD1C56" w:rsidRPr="00F97F5A" w:rsidRDefault="00FD1C56" w:rsidP="00F3598A">
      <w:pPr>
        <w:pStyle w:val="Tekstprzypisudolnego"/>
        <w:ind w:left="227" w:hanging="227"/>
        <w:jc w:val="both"/>
        <w:rPr>
          <w:rFonts w:ascii="Arial" w:hAnsi="Arial" w:cs="Arial"/>
          <w:bCs/>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Case with the case file no. K 47/12 filed by the Human Rights Defender concerning adaptation to the needs of persons with disabilities of stations, railway platforms and rolling stock; case with the case file no. K 37/13 filed by the Human Rights Defender concerning the obligation to delivery by a person with disabilities of a vehicle adapted to the type of the impairment for the purposes of conducting the practical exam for the driving licence, and legal request of the Court of Appeal in Katowice, case file no.: P 58/13, concerning the right of persons with disabilities to enter into marriage.</w:t>
      </w:r>
    </w:p>
    <w:p w14:paraId="526DE69E" w14:textId="77777777" w:rsidR="00FD1C56" w:rsidRPr="00F36414" w:rsidRDefault="00FD1C56" w:rsidP="00F3598A">
      <w:pPr>
        <w:pStyle w:val="Tekstprzypisudolnego"/>
        <w:ind w:left="227" w:hanging="227"/>
        <w:jc w:val="both"/>
        <w:rPr>
          <w:rFonts w:ascii="Arial" w:hAnsi="Arial" w:cs="Arial"/>
          <w:sz w:val="16"/>
          <w:szCs w:val="16"/>
        </w:rPr>
      </w:pPr>
    </w:p>
  </w:footnote>
  <w:footnote w:id="43">
    <w:p w14:paraId="5D351F80" w14:textId="3E790B0E" w:rsidR="00FD1C56" w:rsidRPr="000E367E"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Act of 26 June 1974 - Labour Code (Polish Journal of Laws of 1998 no. 21 item 94 as amended, hereinafter referred to as: Labour Code or LC).</w:t>
      </w:r>
    </w:p>
  </w:footnote>
  <w:footnote w:id="44">
    <w:p w14:paraId="5A06651D" w14:textId="7D69E08E" w:rsidR="00FD1C56" w:rsidRPr="000E367E"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Act of 3 December 2010 on the implementation of some regulations of European Union regarding equal treatment (Polish Journal of Laws no. 254, item 1700, as amended).</w:t>
      </w:r>
    </w:p>
  </w:footnote>
  <w:footnote w:id="45">
    <w:p w14:paraId="4261EDCA" w14:textId="5023C559" w:rsidR="00FD1C56" w:rsidRPr="00A73DA7"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Article 21(7) of the Act on equal treatment.</w:t>
      </w:r>
    </w:p>
  </w:footnote>
  <w:footnote w:id="46">
    <w:p w14:paraId="41EC3992" w14:textId="129F9809" w:rsidR="00FD1C56" w:rsidRPr="00B95CB0"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Article 11(2) in conjunction with Article 11(1)(2) of the Act on the Human Rights Defender.</w:t>
      </w:r>
    </w:p>
  </w:footnote>
  <w:footnote w:id="47">
    <w:p w14:paraId="1E69720E" w14:textId="12AF74EE" w:rsidR="00FD1C56" w:rsidRPr="00B95CB0"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Study conducted under the project “Equal treatment as a standard of good governance”, (CEAPP, 2012). The results of the study were published in the 2013-2016 National Action Plan for Equal Treatment.</w:t>
      </w:r>
    </w:p>
  </w:footnote>
  <w:footnote w:id="48">
    <w:p w14:paraId="4E4938A9" w14:textId="3D477E71" w:rsidR="00FD1C56" w:rsidRPr="00086D60"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Study of the European Commission – Eurobarometer – discrimination in EU in 2012.</w:t>
      </w:r>
    </w:p>
  </w:footnote>
  <w:footnote w:id="49">
    <w:p w14:paraId="6A0F805C" w14:textId="5F8A4725" w:rsidR="00FD1C56" w:rsidRPr="00AF0FCB"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The issue of accessibility of transportation infrastructure was discussed in the section of the report concerning realisation of Article 20 CRPD, while the issue of accessibility of information (including websites) – in the section dedicated to realisation of Article 21 of the Convention.</w:t>
      </w:r>
    </w:p>
  </w:footnote>
  <w:footnote w:id="50">
    <w:p w14:paraId="6FBC48DF" w14:textId="38F96489" w:rsidR="00FD1C56" w:rsidRPr="00AF0FCB"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Act of 7 July 1994 Construction Law Act (Polish Journal of Laws of 2013 item 1409 as amended, hereinafter referred to as Construction Law Act).</w:t>
      </w:r>
    </w:p>
  </w:footnote>
  <w:footnote w:id="51">
    <w:p w14:paraId="25449218" w14:textId="513170EC" w:rsidR="00FD1C56" w:rsidRPr="00FE4AA0"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Resolution of the Minister of Infrastructure of 12 April 2002 on technical conditions of buildings and their locations</w:t>
      </w:r>
      <w:r>
        <w:rPr>
          <w:rFonts w:ascii="Arial" w:hAnsi="Arial"/>
          <w:i/>
          <w:sz w:val="16"/>
        </w:rPr>
        <w:t xml:space="preserve"> </w:t>
      </w:r>
      <w:r>
        <w:rPr>
          <w:rFonts w:ascii="Arial" w:hAnsi="Arial"/>
          <w:sz w:val="16"/>
        </w:rPr>
        <w:t>(Polish  Journal of Laws of 2002, no. 75, item 690, as amended).</w:t>
      </w:r>
    </w:p>
  </w:footnote>
  <w:footnote w:id="52">
    <w:p w14:paraId="52A55897" w14:textId="53BE6C23" w:rsidR="00FD1C56" w:rsidRPr="00FE4AA0"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Article 5(1)(4) of the Construction Law Act.</w:t>
      </w:r>
    </w:p>
  </w:footnote>
  <w:footnote w:id="53">
    <w:p w14:paraId="2C4489B3" w14:textId="17065FE2" w:rsidR="00FD1C56" w:rsidRPr="00FE4AA0"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Article 1(2)(5) of the Act of 27 March 2003 on spatial planning and development</w:t>
      </w:r>
      <w:r>
        <w:rPr>
          <w:rFonts w:ascii="Arial" w:hAnsi="Arial"/>
          <w:i/>
          <w:sz w:val="16"/>
        </w:rPr>
        <w:t xml:space="preserve"> </w:t>
      </w:r>
      <w:r>
        <w:rPr>
          <w:rFonts w:ascii="Arial" w:hAnsi="Arial"/>
          <w:sz w:val="16"/>
        </w:rPr>
        <w:t>(Polish Journal of Laws of 2012 item 647 as amended).</w:t>
      </w:r>
    </w:p>
  </w:footnote>
  <w:footnote w:id="54">
    <w:p w14:paraId="5C6360A2" w14:textId="039D8389" w:rsidR="00FD1C56" w:rsidRPr="002E3477"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More information on this topic is included in the sections of this report discussing the realisation of Articles 1-4 of CRPD.</w:t>
      </w:r>
    </w:p>
  </w:footnote>
  <w:footnote w:id="55">
    <w:p w14:paraId="6B7F0110" w14:textId="0C58BA91" w:rsidR="00FD1C56" w:rsidRPr="00777CC3"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Date of entry into force of the Construction Law Act.</w:t>
      </w:r>
    </w:p>
  </w:footnote>
  <w:footnote w:id="56">
    <w:p w14:paraId="0258B755" w14:textId="462B858D" w:rsidR="00FD1C56" w:rsidRPr="00777CC3"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The said problem was raised by the Human Rights Defender in the notice to the Minister of Transport, Construction and Maritime Economy of 19 November 2012, reference no.: RPO-715377-I/12/KK.</w:t>
      </w:r>
    </w:p>
  </w:footnote>
  <w:footnote w:id="57">
    <w:p w14:paraId="207DD661" w14:textId="0178B3A3" w:rsidR="00FD1C56" w:rsidRPr="00777CC3"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The said problem was raised by the Human Rights Defender in the notice to the Minister of Science and Higher Education of 8 August 2012, reference no.: RPO-701167-I/12/KK.</w:t>
      </w:r>
    </w:p>
  </w:footnote>
  <w:footnote w:id="58">
    <w:p w14:paraId="1695F7F2" w14:textId="145C8416" w:rsidR="00FD1C56" w:rsidRPr="007C5F32"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The said problem was raised by the Human Rights Defender in the notice to the Minister of Transport, Construction and Maritime Economy of 24 July 2013, reference no.: RPO-728520-IV/13/AT.</w:t>
      </w:r>
    </w:p>
  </w:footnote>
  <w:footnote w:id="59">
    <w:p w14:paraId="1255CBF2" w14:textId="237681C1" w:rsidR="00FD1C56" w:rsidRPr="00673791"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More information on this topic is included in the sections of this report discussing the realisation of Articles 15 of CRPD.</w:t>
      </w:r>
    </w:p>
  </w:footnote>
  <w:footnote w:id="60">
    <w:p w14:paraId="007DABE7" w14:textId="3EB87A1C" w:rsidR="00FD1C56" w:rsidRPr="00053898"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 xml:space="preserve">Information about the results of the inspection </w:t>
      </w:r>
      <w:r>
        <w:rPr>
          <w:rFonts w:ascii="Arial" w:hAnsi="Arial"/>
          <w:i/>
          <w:sz w:val="16"/>
        </w:rPr>
        <w:t>Accessibility of public buildings to persons with disabilities in Podlaskie voivodeship</w:t>
      </w:r>
      <w:r>
        <w:rPr>
          <w:rFonts w:ascii="Arial" w:hAnsi="Arial"/>
          <w:sz w:val="16"/>
        </w:rPr>
        <w:t>, reg. no. 171/2012/P12127/LBI, p. 7-8.</w:t>
      </w:r>
    </w:p>
  </w:footnote>
  <w:footnote w:id="61">
    <w:p w14:paraId="70387E1A" w14:textId="70A3F26F" w:rsidR="00FD1C56" w:rsidRPr="008B5BED"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Article 8(1) of the Act of 23 April 1964 – Civil Code (Polish Journal of Laws of 2014, item 121, hereinafter referred to as: Civil Code).</w:t>
      </w:r>
    </w:p>
  </w:footnote>
  <w:footnote w:id="62">
    <w:p w14:paraId="424AACB3" w14:textId="6422FBB5" w:rsidR="00FD1C56" w:rsidRPr="0022707D"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Article 12 of the Polish Civil Code.</w:t>
      </w:r>
    </w:p>
  </w:footnote>
  <w:footnote w:id="63">
    <w:p w14:paraId="45D01AC8" w14:textId="360F1039" w:rsidR="00FD1C56" w:rsidRPr="001B6A6F"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 xml:space="preserve">Source: M. Zima-Parjaszewska, </w:t>
      </w:r>
      <w:r>
        <w:rPr>
          <w:rFonts w:ascii="Arial" w:hAnsi="Arial"/>
          <w:i/>
          <w:sz w:val="16"/>
        </w:rPr>
        <w:t>Równość osób z niepełnosprawnościami wobec prawa – sytuacja prawna osób ubezwłasnowolnionych [Equality of persons with disabilities before law – legal situation of legally incapacitated persons]</w:t>
      </w:r>
      <w:r>
        <w:rPr>
          <w:rFonts w:ascii="Arial" w:hAnsi="Arial"/>
          <w:sz w:val="16"/>
        </w:rPr>
        <w:t xml:space="preserve">, in: A. Błaszczak (ed.), “Najważniejsze wyzwania po ratyfikacji przez Polskę Konwencji ONZ o prawach osób niepełnosprawnych” [Major challenges following ratification of the UN Convention on the Rights of Persons with Disabilities by Poland], publishing house BRPO, Warsaw 2012, p. 20. </w:t>
      </w:r>
    </w:p>
  </w:footnote>
  <w:footnote w:id="64">
    <w:p w14:paraId="5BA036A2" w14:textId="1499CDBB" w:rsidR="00FD1C56" w:rsidRPr="001B6A6F"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The translation of the Convention was published in the official journal of laws – Dziennik Ustaw of 2012, item 1169.</w:t>
      </w:r>
    </w:p>
  </w:footnote>
  <w:footnote w:id="65">
    <w:p w14:paraId="2C5CC5BC" w14:textId="15AF480C" w:rsidR="00FD1C56" w:rsidRPr="001B6A6F"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The said declaration raises doubts as to its compliance with the wording of Article 46 of CRPD, which was discussed in part V of this report.</w:t>
      </w:r>
    </w:p>
  </w:footnote>
  <w:footnote w:id="66">
    <w:p w14:paraId="7E1A91D0" w14:textId="39969F15" w:rsidR="00FD1C56" w:rsidRPr="00225D72" w:rsidRDefault="00FD1C56" w:rsidP="00F3598A">
      <w:pPr>
        <w:spacing w:after="0" w:line="240" w:lineRule="auto"/>
        <w:ind w:left="227" w:hanging="227"/>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Polish Journal of Laws no. 20 item 54 as amended.</w:t>
      </w:r>
    </w:p>
  </w:footnote>
  <w:footnote w:id="67">
    <w:p w14:paraId="5C58D491" w14:textId="6261AB8A" w:rsidR="00FD1C56" w:rsidRPr="00225D72" w:rsidRDefault="00FD1C56" w:rsidP="00F3598A">
      <w:pPr>
        <w:spacing w:after="0" w:line="240" w:lineRule="aut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Polish Journal of Laws of 2001 no. 79 item 857 as amended.</w:t>
      </w:r>
    </w:p>
  </w:footnote>
  <w:footnote w:id="68">
    <w:p w14:paraId="56DFB031" w14:textId="57FEAED7" w:rsidR="00FD1C56" w:rsidRPr="00225D72" w:rsidRDefault="00FD1C56" w:rsidP="00F3598A">
      <w:pPr>
        <w:spacing w:after="0" w:line="240" w:lineRule="aut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Polish Journal of Laws no. 51 item 297 as amended.</w:t>
      </w:r>
    </w:p>
  </w:footnote>
  <w:footnote w:id="69">
    <w:p w14:paraId="5E7728C2" w14:textId="6086428C" w:rsidR="00FD1C56" w:rsidRPr="00225D72"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 xml:space="preserve">Considering the requirements of day-to-day life, the legislator provided for an exception to the aforementioned in sec. 2, consisting in the possibility to recognize that such an agreement made by a legally incapacitated person as valid, if the following conditions are met: this is an agreement that is commonly made </w:t>
      </w:r>
      <w:r>
        <w:rPr>
          <w:rFonts w:ascii="Arial" w:hAnsi="Arial"/>
          <w:i/>
          <w:sz w:val="16"/>
        </w:rPr>
        <w:t>in minor day-to-day life matters;</w:t>
      </w:r>
      <w:r>
        <w:rPr>
          <w:rFonts w:ascii="Arial" w:hAnsi="Arial"/>
          <w:sz w:val="16"/>
        </w:rPr>
        <w:t xml:space="preserve"> secondly, it is executed; thirdly, it will not result in grossly damaging </w:t>
      </w:r>
      <w:r>
        <w:rPr>
          <w:rFonts w:ascii="Arial" w:hAnsi="Arial"/>
          <w:i/>
          <w:sz w:val="16"/>
        </w:rPr>
        <w:t>the person that has no capacity for legal acts</w:t>
      </w:r>
      <w:r>
        <w:rPr>
          <w:rFonts w:ascii="Arial" w:hAnsi="Arial"/>
          <w:sz w:val="16"/>
        </w:rPr>
        <w:t>.</w:t>
      </w:r>
    </w:p>
  </w:footnote>
  <w:footnote w:id="70">
    <w:p w14:paraId="1C6375F7" w14:textId="19B3E9E6" w:rsidR="00FD1C56" w:rsidRPr="00225D72" w:rsidRDefault="00FD1C56" w:rsidP="00F3598A">
      <w:pPr>
        <w:spacing w:after="0" w:line="240" w:lineRule="aut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w:t>
      </w:r>
      <w:r>
        <w:tab/>
      </w:r>
      <w:r>
        <w:rPr>
          <w:rFonts w:ascii="Arial" w:hAnsi="Arial"/>
          <w:sz w:val="16"/>
        </w:rPr>
        <w:t>The issue of marrying by persons with disabilities was discussed in the section on the realisation of Article 23 of CRPD.</w:t>
      </w:r>
    </w:p>
  </w:footnote>
  <w:footnote w:id="71">
    <w:p w14:paraId="2EB15641" w14:textId="2620EBC1" w:rsidR="00FD1C56" w:rsidRPr="00225D72" w:rsidRDefault="00FD1C56" w:rsidP="00F3598A">
      <w:pPr>
        <w:spacing w:after="0" w:line="240" w:lineRule="aut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w:t>
      </w:r>
      <w:r>
        <w:tab/>
      </w:r>
      <w:r>
        <w:rPr>
          <w:rFonts w:ascii="Arial" w:hAnsi="Arial"/>
          <w:sz w:val="16"/>
        </w:rPr>
        <w:t>Polish Journal of Laws of 1998 no. 21 item 94 as amended.</w:t>
      </w:r>
    </w:p>
  </w:footnote>
  <w:footnote w:id="72">
    <w:p w14:paraId="6446C710" w14:textId="580124BA" w:rsidR="00FD1C56" w:rsidRPr="00225D72" w:rsidRDefault="00FD1C56" w:rsidP="00F3598A">
      <w:pPr>
        <w:spacing w:after="0" w:line="240" w:lineRule="aut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w:t>
      </w:r>
      <w:r>
        <w:tab/>
      </w:r>
      <w:r>
        <w:rPr>
          <w:rFonts w:ascii="Arial" w:hAnsi="Arial"/>
          <w:sz w:val="16"/>
        </w:rPr>
        <w:t>Polish Journal of Laws no. 98 item 1070 as amended.</w:t>
      </w:r>
    </w:p>
  </w:footnote>
  <w:footnote w:id="73">
    <w:p w14:paraId="0A4FADA6" w14:textId="3EEAD6B3" w:rsidR="00FD1C56" w:rsidRPr="00225D72" w:rsidRDefault="00FD1C56" w:rsidP="00F3598A">
      <w:pPr>
        <w:spacing w:after="0" w:line="240" w:lineRule="aut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w:t>
      </w:r>
      <w:r>
        <w:tab/>
      </w:r>
      <w:r>
        <w:rPr>
          <w:rFonts w:ascii="Arial" w:hAnsi="Arial"/>
          <w:sz w:val="16"/>
        </w:rPr>
        <w:t>Polish Journal of Laws of 2008 no. 136 item 857 uniform text.</w:t>
      </w:r>
    </w:p>
  </w:footnote>
  <w:footnote w:id="74">
    <w:p w14:paraId="2DC55DF2" w14:textId="523B76C7" w:rsidR="00FD1C56" w:rsidRPr="00225D72" w:rsidRDefault="00FD1C56" w:rsidP="00F3598A">
      <w:pPr>
        <w:spacing w:after="0" w:line="240" w:lineRule="aut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w:t>
      </w:r>
      <w:r>
        <w:tab/>
      </w:r>
      <w:r>
        <w:rPr>
          <w:rFonts w:ascii="Arial" w:hAnsi="Arial"/>
          <w:sz w:val="16"/>
        </w:rPr>
        <w:t>Polish Journal of Laws of 2005 no. 8 item 60 uniform text.</w:t>
      </w:r>
    </w:p>
  </w:footnote>
  <w:footnote w:id="75">
    <w:p w14:paraId="07B1DFF0" w14:textId="19407AA8" w:rsidR="00FD1C56" w:rsidRPr="00755EA7" w:rsidRDefault="00FD1C56" w:rsidP="00F3598A">
      <w:pPr>
        <w:spacing w:after="0" w:line="240" w:lineRule="aut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w:t>
      </w:r>
      <w:r>
        <w:tab/>
      </w:r>
      <w:r>
        <w:rPr>
          <w:rFonts w:ascii="Arial" w:hAnsi="Arial"/>
          <w:sz w:val="16"/>
        </w:rPr>
        <w:t>Polish Journal of Laws of 2006 no.</w:t>
      </w:r>
      <w:r>
        <w:rPr>
          <w:rFonts w:ascii="Arial" w:hAnsi="Arial"/>
          <w:color w:val="FF0000"/>
          <w:sz w:val="16"/>
        </w:rPr>
        <w:t xml:space="preserve"> </w:t>
      </w:r>
      <w:r>
        <w:rPr>
          <w:rFonts w:ascii="Arial" w:hAnsi="Arial"/>
          <w:sz w:val="16"/>
        </w:rPr>
        <w:t>139 item 993 uniform text.</w:t>
      </w:r>
    </w:p>
  </w:footnote>
  <w:footnote w:id="76">
    <w:p w14:paraId="4DE8B78E" w14:textId="59AE307C" w:rsidR="00FD1C56" w:rsidRPr="00755EA7" w:rsidRDefault="00FD1C56" w:rsidP="00F3598A">
      <w:pPr>
        <w:spacing w:after="0" w:line="240" w:lineRule="aut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w:t>
      </w:r>
      <w:r>
        <w:tab/>
      </w:r>
      <w:r>
        <w:rPr>
          <w:rFonts w:ascii="Arial" w:hAnsi="Arial"/>
          <w:sz w:val="16"/>
        </w:rPr>
        <w:t>Polish Journal of Laws no. 106 item 681 as amended.</w:t>
      </w:r>
    </w:p>
  </w:footnote>
  <w:footnote w:id="77">
    <w:p w14:paraId="73D6935B" w14:textId="0A86DA65" w:rsidR="00FD1C56" w:rsidRPr="00755EA7"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sidRPr="002B305E">
        <w:rPr>
          <w:rFonts w:ascii="Arial" w:hAnsi="Arial"/>
          <w:sz w:val="16"/>
          <w:lang w:val="pl-PL"/>
        </w:rPr>
        <w:t xml:space="preserve"> </w:t>
      </w:r>
      <w:r w:rsidRPr="002B305E">
        <w:rPr>
          <w:lang w:val="pl-PL"/>
        </w:rPr>
        <w:tab/>
      </w:r>
      <w:r w:rsidRPr="002B305E">
        <w:rPr>
          <w:rFonts w:ascii="Arial" w:hAnsi="Arial"/>
          <w:sz w:val="16"/>
          <w:lang w:val="pl-PL"/>
        </w:rPr>
        <w:t xml:space="preserve">Source: M. Zima-Parjaszewska, </w:t>
      </w:r>
      <w:r w:rsidRPr="002B305E">
        <w:rPr>
          <w:rFonts w:ascii="Arial" w:hAnsi="Arial"/>
          <w:i/>
          <w:sz w:val="16"/>
          <w:lang w:val="pl-PL"/>
        </w:rPr>
        <w:t xml:space="preserve">Równość osób z niepełnosprawnościami... </w:t>
      </w:r>
      <w:r>
        <w:rPr>
          <w:rFonts w:ascii="Arial" w:hAnsi="Arial"/>
          <w:i/>
          <w:sz w:val="16"/>
        </w:rPr>
        <w:t>[Equality of persons with disabilities...]</w:t>
      </w:r>
      <w:r>
        <w:rPr>
          <w:rFonts w:ascii="Arial" w:hAnsi="Arial"/>
          <w:sz w:val="16"/>
        </w:rPr>
        <w:t xml:space="preserve">, p. 21,22. </w:t>
      </w:r>
    </w:p>
  </w:footnote>
  <w:footnote w:id="78">
    <w:p w14:paraId="09E002EC" w14:textId="727503E5" w:rsidR="00FD1C56" w:rsidRPr="00225D72"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Materials of the Division of Statistics and Analyses of the Justice System at the Ministry of justice available at http://isws.ms.gov.pl/pl/wyszukiwarka/index,1.html?Query=ubezw%C5%82asnowolnienie%20w%20latach%202004-2012</w:t>
      </w:r>
    </w:p>
  </w:footnote>
  <w:footnote w:id="79">
    <w:p w14:paraId="71DCCAC2" w14:textId="044E00C2" w:rsidR="00FD1C56" w:rsidRPr="00965C3C"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Data disclosed by the Division for Statistical Managerial Information at the Department for Strategy and Deregulation at the Ministry of Justice.</w:t>
      </w:r>
    </w:p>
  </w:footnote>
  <w:footnote w:id="80">
    <w:p w14:paraId="3E5B6911" w14:textId="39B737E7" w:rsidR="00FD1C56" w:rsidRPr="00856102"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Article 45(1) and Article 77(2) of the Polish Constitution.</w:t>
      </w:r>
    </w:p>
  </w:footnote>
  <w:footnote w:id="81">
    <w:p w14:paraId="53DA7CED" w14:textId="44E86ABD" w:rsidR="00FD1C56" w:rsidRPr="00856102"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Act of 6 June 1997 – Polish Code of Criminal Procedure (Polish Journal of Laws no. 89, item 555 as amended, hereinafter referred to as: Code of Criminal Procedure).</w:t>
      </w:r>
    </w:p>
  </w:footnote>
  <w:footnote w:id="82">
    <w:p w14:paraId="7FF7826F" w14:textId="2353BBFD" w:rsidR="00FD1C56" w:rsidRPr="00856102"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Act of 17 November 1964 – Polish Code of Civil Procedure (Polish Journal of Laws of 2014 item 101 as amended, hereinafter referred to as: Code of Civil Procedure).</w:t>
      </w:r>
    </w:p>
  </w:footnote>
  <w:footnote w:id="83">
    <w:p w14:paraId="5553E392" w14:textId="5E5F9EE4" w:rsidR="00FD1C56" w:rsidRPr="00856102"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Act of 14 June 1960 – Polish Code of Administrative Procedure (Polish Journal of Laws of 2013 item 267 as amended, hereinafter referred to as: Code of Administrative Procedure).</w:t>
      </w:r>
    </w:p>
  </w:footnote>
  <w:footnote w:id="84">
    <w:p w14:paraId="0E4E2CA3" w14:textId="155F83B2" w:rsidR="00FD1C56" w:rsidRPr="00856102"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Act of 30 August 2002 – Law on procedure before administrative courts (Polish Journal of Laws of 2012 item 270 as amended, hereinafter referred to as LPAC).</w:t>
      </w:r>
    </w:p>
  </w:footnote>
  <w:footnote w:id="85">
    <w:p w14:paraId="68131F76" w14:textId="6DC2DC55" w:rsidR="00FD1C56" w:rsidRPr="00EE4E91"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Article 48 of the Act of 19 August 1994 on mental health protection (Polish Journal of Laws of 2011, no. 231, item 1375, as amended).</w:t>
      </w:r>
    </w:p>
  </w:footnote>
  <w:footnote w:id="86">
    <w:p w14:paraId="40AADF30" w14:textId="678B8903" w:rsidR="00FD1C56" w:rsidRPr="00EE4E91"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Article 560(1) of the Polish Code of Civil Procedure.</w:t>
      </w:r>
    </w:p>
  </w:footnote>
  <w:footnote w:id="87">
    <w:p w14:paraId="76410ECC" w14:textId="084DC766" w:rsidR="00FD1C56" w:rsidRPr="000A31FA"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Article 23a of the Act on rehabilitation.</w:t>
      </w:r>
    </w:p>
  </w:footnote>
  <w:footnote w:id="88">
    <w:p w14:paraId="38E1AA8F" w14:textId="60AF7DA8" w:rsidR="00FD1C56" w:rsidRPr="000A31FA"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More information on this topic is included in the sections of this report dedicated to Article 9 of CRPD.</w:t>
      </w:r>
    </w:p>
  </w:footnote>
  <w:footnote w:id="89">
    <w:p w14:paraId="445912EE" w14:textId="16B430D5" w:rsidR="00FD1C56" w:rsidRPr="00FC69A5"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Response of the Minister of Justice dated 27 February 2014, reference no.: DPrC-IV-072-2/13 to the notice of the Human Rights Defender of 12 December 2013, reference no.: 707225-I/12/KK.</w:t>
      </w:r>
    </w:p>
  </w:footnote>
  <w:footnote w:id="90">
    <w:p w14:paraId="28380C47" w14:textId="19C21AEC" w:rsidR="00FD1C56" w:rsidRPr="00FC69A5"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Ruling of the Supreme Court of 12 April 2012, case file no. K 218/11.</w:t>
      </w:r>
    </w:p>
  </w:footnote>
  <w:footnote w:id="91">
    <w:p w14:paraId="093BD524" w14:textId="7F9E3E48" w:rsidR="00FD1C56" w:rsidRPr="00DD4673"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Convention against Torture and Other Cruel, Inhuman or Degrading Treatment or Punishment adopted by the General Assembly of the United Nations in New York on 10 December 1984 (Polish Journal of Laws of 1989, no. 63, item 378).</w:t>
      </w:r>
    </w:p>
  </w:footnote>
  <w:footnote w:id="92">
    <w:p w14:paraId="576C7548" w14:textId="74C85899" w:rsidR="00FD1C56" w:rsidRPr="0066190C"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Optional Protocol to the Convention against Torture and Other Cruel, Inhuman or Degrading Treatment or Punishment adopted by the General Assembly of the United Nations in New York on 18 December 2002 (Polish Journal of Laws of 2007, no. 30, item 192).</w:t>
      </w:r>
    </w:p>
    <w:p w14:paraId="76DC35A0" w14:textId="77777777" w:rsidR="00FD1C56" w:rsidRDefault="00FD1C56" w:rsidP="00F3598A">
      <w:pPr>
        <w:pStyle w:val="Tekstprzypisudolnego"/>
        <w:ind w:left="227" w:hanging="227"/>
      </w:pPr>
    </w:p>
  </w:footnote>
  <w:footnote w:id="93">
    <w:p w14:paraId="79023F98" w14:textId="18FACEDE" w:rsidR="00FD1C56" w:rsidRPr="00230877"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NPM reports are each time submitted to the management of individual facilities, along with relevant recommendations. They are published at http://www.rpo.gov.pl/pl/krajowy-mechanizm-prewencji. Central institutions are informed about the fact that persons with disabilities are frequently victims of inhuman or degrading treatment or punishment for  example in annual reports of the Human Rights Defender.</w:t>
      </w:r>
    </w:p>
  </w:footnote>
  <w:footnote w:id="94">
    <w:p w14:paraId="664EAFD0" w14:textId="68DECBE0" w:rsidR="00FD1C56" w:rsidRPr="00230877"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Most frequently, the aforementioned situations concern persons with mental or intellectual disabilities.</w:t>
      </w:r>
    </w:p>
  </w:footnote>
  <w:footnote w:id="95">
    <w:p w14:paraId="73BBB9AB" w14:textId="104173B0" w:rsidR="00FD1C56" w:rsidRPr="00F14B62"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 xml:space="preserve">This problem was also noticed by the European Court of Human Rights in its decision of 12 January 2013 in the case </w:t>
      </w:r>
      <w:r>
        <w:rPr>
          <w:rFonts w:ascii="Arial" w:hAnsi="Arial"/>
          <w:i/>
          <w:sz w:val="16"/>
        </w:rPr>
        <w:t>D.G. v. Poland</w:t>
      </w:r>
      <w:r>
        <w:rPr>
          <w:rFonts w:ascii="Arial" w:hAnsi="Arial"/>
          <w:sz w:val="16"/>
        </w:rPr>
        <w:t xml:space="preserve"> (complaint no. 45705/07).</w:t>
      </w:r>
    </w:p>
  </w:footnote>
  <w:footnote w:id="96">
    <w:p w14:paraId="03CEBFAC" w14:textId="1F815129" w:rsidR="00FD1C56" w:rsidRPr="0027594C"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Act of 7 July 1994 Construction Law Act (Polish Journal of Laws of 2013, item 1409, as amended).</w:t>
      </w:r>
    </w:p>
  </w:footnote>
  <w:footnote w:id="97">
    <w:p w14:paraId="2D9BE85A" w14:textId="51CBBA5C" w:rsidR="00FD1C56" w:rsidRPr="0027594C"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The matter of accessibility of buildings to persons with disabilities was discussed in detail in the section of the report dedicated to realisation of Article 9 of CRPD.</w:t>
      </w:r>
    </w:p>
  </w:footnote>
  <w:footnote w:id="98">
    <w:p w14:paraId="512D8761" w14:textId="23EB74DD" w:rsidR="00FD1C56" w:rsidRPr="00917AD3"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 xml:space="preserve">See e.g. 16(2), 42(2), 55(2), 61(2), 40(2), 71(4), 74, 89 in conjunction with 75(3) of the Minister of Infrastructure of 12 April 2002 </w:t>
      </w:r>
      <w:r>
        <w:rPr>
          <w:rFonts w:ascii="Arial" w:hAnsi="Arial"/>
          <w:i/>
          <w:sz w:val="16"/>
        </w:rPr>
        <w:t>on technical conditions of buildings and their locations</w:t>
      </w:r>
      <w:r>
        <w:rPr>
          <w:rFonts w:ascii="Arial" w:hAnsi="Arial"/>
          <w:sz w:val="16"/>
        </w:rPr>
        <w:t xml:space="preserve"> (Polish Journal of Laws of 2002 no. 75, item 690, as amended).</w:t>
      </w:r>
    </w:p>
  </w:footnote>
  <w:footnote w:id="99">
    <w:p w14:paraId="5AAF8767" w14:textId="522E3B21" w:rsidR="00FD1C56" w:rsidRPr="00917AD3"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The Human Rights Defender raised this problem in the notice directed to the Minister of Justice of 11 December 2013, reference no.: RPO-744194-II/IV/13/EB/AT).</w:t>
      </w:r>
    </w:p>
  </w:footnote>
  <w:footnote w:id="100">
    <w:p w14:paraId="1AEA5B3A" w14:textId="529F34D5" w:rsidR="00FD1C56" w:rsidRPr="00917AD3"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 xml:space="preserve">Appendix to the Ordinance no. 55/13 of the General Director of the Prison Service of 20 December 2013 </w:t>
      </w:r>
      <w:r>
        <w:rPr>
          <w:rFonts w:ascii="Arial" w:hAnsi="Arial"/>
          <w:i/>
          <w:sz w:val="16"/>
        </w:rPr>
        <w:t>on determining the purpose of detention centres and jails.</w:t>
      </w:r>
    </w:p>
  </w:footnote>
  <w:footnote w:id="101">
    <w:p w14:paraId="2BBA8D9F" w14:textId="01E100D8" w:rsidR="00FD1C56" w:rsidRPr="005C21E9"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Notice of the Human Rights Defender to the Minister of Justice of 14 May 2014, reference no.: RPO.KMP.571.26.2014.MMa.</w:t>
      </w:r>
    </w:p>
  </w:footnote>
  <w:footnote w:id="102">
    <w:p w14:paraId="2ED7E687" w14:textId="2FEA111F" w:rsidR="00FD1C56" w:rsidRPr="005C21E9"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Letter of the Human Rights Defender to the Prevention and Road Traffice Office at the Police Headquarters of 4 April 2014, reference no.: KMP.570.18.2014.</w:t>
      </w:r>
    </w:p>
  </w:footnote>
  <w:footnote w:id="103">
    <w:p w14:paraId="2BB393BF" w14:textId="419FA403" w:rsidR="00FD1C56" w:rsidRPr="00834B19"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Letter of 4 May 2014, reference no.: L.dz.EK-3301/2648/14.</w:t>
      </w:r>
    </w:p>
  </w:footnote>
  <w:footnote w:id="104">
    <w:p w14:paraId="2337E3E6" w14:textId="486D0EA4" w:rsidR="00FD1C56" w:rsidRPr="001D5420"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Act of 29 July 2005 on preventing domestic violence (Journal of Laws no. 180 item 1493 as amended).</w:t>
      </w:r>
    </w:p>
  </w:footnote>
  <w:footnote w:id="105">
    <w:p w14:paraId="322EBC68" w14:textId="24515E01" w:rsidR="00FD1C56" w:rsidRPr="003C146A"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Resolution no. 76 of the Council of Ministers of 29 April 2014 on establishing the 2014-2020 National Programme to Prevent Domestic Violence (M.P., item 445).</w:t>
      </w:r>
    </w:p>
  </w:footnote>
  <w:footnote w:id="106">
    <w:p w14:paraId="45FEB10E" w14:textId="60901DF5" w:rsidR="00FD1C56" w:rsidRPr="003C146A"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Including social assistance organisational units, representatives of municipal commissions for solving alcohol abuse problems, Police, education and healthcare.</w:t>
      </w:r>
    </w:p>
  </w:footnote>
  <w:footnote w:id="107">
    <w:p w14:paraId="56DB46AB" w14:textId="13DA38CB" w:rsidR="00FD1C56" w:rsidRPr="003B597D"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2014-2020 National Programme to Prevent Domestic Violence, p. 5.</w:t>
      </w:r>
    </w:p>
  </w:footnote>
  <w:footnote w:id="108">
    <w:p w14:paraId="3532ED22" w14:textId="35C16FBB" w:rsidR="00FD1C56" w:rsidRPr="003B597D"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sidRPr="002B305E">
        <w:rPr>
          <w:rFonts w:ascii="Arial" w:hAnsi="Arial"/>
          <w:sz w:val="16"/>
          <w:lang w:val="pl-PL"/>
        </w:rPr>
        <w:t xml:space="preserve"> </w:t>
      </w:r>
      <w:r w:rsidRPr="002B305E">
        <w:rPr>
          <w:lang w:val="pl-PL"/>
        </w:rPr>
        <w:tab/>
      </w:r>
      <w:r w:rsidRPr="002B305E">
        <w:rPr>
          <w:rFonts w:ascii="Arial" w:hAnsi="Arial"/>
          <w:i/>
          <w:sz w:val="16"/>
          <w:lang w:val="pl-PL"/>
        </w:rPr>
        <w:t xml:space="preserve">Przeciwdziałanie przemocy wobec kobiet, w tym kobiet starszych i kobiet z niepełnosprawnościami. </w:t>
      </w:r>
      <w:r>
        <w:rPr>
          <w:rFonts w:ascii="Arial" w:hAnsi="Arial"/>
          <w:i/>
          <w:sz w:val="16"/>
        </w:rPr>
        <w:t>Analiza i zalecenia [Preventing violence against women, including elderly women and women with disabilities. Analysis and recommendations]</w:t>
      </w:r>
      <w:r>
        <w:rPr>
          <w:rFonts w:ascii="Arial" w:hAnsi="Arial"/>
          <w:sz w:val="16"/>
        </w:rPr>
        <w:t xml:space="preserve">, report of the Human Rights Defender in the series </w:t>
      </w:r>
      <w:r>
        <w:rPr>
          <w:rFonts w:ascii="Arial" w:hAnsi="Arial"/>
          <w:i/>
          <w:sz w:val="16"/>
        </w:rPr>
        <w:t>Zasada równego traktowania. Prawo i praktyka [Equal treatment principle. Law and Practice]</w:t>
      </w:r>
      <w:r>
        <w:rPr>
          <w:rFonts w:ascii="Arial" w:hAnsi="Arial"/>
          <w:sz w:val="16"/>
        </w:rPr>
        <w:t>, Warsaw, July 2013, p. 81.</w:t>
      </w:r>
    </w:p>
  </w:footnote>
  <w:footnote w:id="109">
    <w:p w14:paraId="7DBFF11D" w14:textId="58E8244F" w:rsidR="00FD1C56" w:rsidRPr="003B597D"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i/>
          <w:sz w:val="16"/>
        </w:rPr>
        <w:t>Domestic violence against the elderly and the persons with disabilities. Part II – report on the professional study</w:t>
      </w:r>
      <w:r>
        <w:rPr>
          <w:rFonts w:ascii="Arial" w:hAnsi="Arial"/>
          <w:sz w:val="16"/>
        </w:rPr>
        <w:t>. Studies performed on the commission of the Ministry of Labour and Social Policy on a sample of 100 persons – employees of Police, public healthcare units, social assistance centres and Poviat Family Assistance Centre – by the Polish Academy of Sciences, Institute of Psychology, Warsaw 2009, p. 50-53.</w:t>
      </w:r>
    </w:p>
  </w:footnote>
  <w:footnote w:id="110">
    <w:p w14:paraId="4791D57A" w14:textId="6517ED5D" w:rsidR="00FD1C56" w:rsidRPr="003B597D"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Based on telephone interviews conducted on 25 August 2014 by the employees of the Office of the Human Rights Defender with the employees of the Specialist Centres Supporting Domestic Violence Victims.</w:t>
      </w:r>
    </w:p>
  </w:footnote>
  <w:footnote w:id="111">
    <w:p w14:paraId="40B7918C" w14:textId="61F9FFD8" w:rsidR="00FD1C56" w:rsidRPr="003B597D"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sidRPr="002B305E">
        <w:rPr>
          <w:rFonts w:ascii="Arial" w:hAnsi="Arial"/>
          <w:sz w:val="16"/>
          <w:lang w:val="pl-PL"/>
        </w:rPr>
        <w:t xml:space="preserve"> </w:t>
      </w:r>
      <w:r w:rsidRPr="002B305E">
        <w:rPr>
          <w:lang w:val="pl-PL"/>
        </w:rPr>
        <w:tab/>
      </w:r>
      <w:r w:rsidRPr="002B305E">
        <w:rPr>
          <w:rFonts w:ascii="Arial" w:hAnsi="Arial"/>
          <w:i/>
          <w:sz w:val="16"/>
          <w:lang w:val="pl-PL"/>
        </w:rPr>
        <w:t xml:space="preserve">Przeciwdziałanie przemocy wobec kobiet, w tym kobiet starszych i kobiet z niepełnosprawnościami. </w:t>
      </w:r>
      <w:r>
        <w:rPr>
          <w:rFonts w:ascii="Arial" w:hAnsi="Arial"/>
          <w:i/>
          <w:sz w:val="16"/>
        </w:rPr>
        <w:t>Analiza i zalecenia [Preventing violence against women, including elderly women and women with disabilities. Analysis and recommendations]</w:t>
      </w:r>
      <w:r>
        <w:rPr>
          <w:rFonts w:ascii="Arial" w:hAnsi="Arial"/>
          <w:sz w:val="16"/>
        </w:rPr>
        <w:t xml:space="preserve">, report of the Human Rights Defender in the series </w:t>
      </w:r>
      <w:r>
        <w:rPr>
          <w:rFonts w:ascii="Arial" w:hAnsi="Arial"/>
          <w:i/>
          <w:sz w:val="16"/>
        </w:rPr>
        <w:t>Zasada równego traktowania. Prawo i praktyka [Equal treatment principle. Law and Practice]</w:t>
      </w:r>
      <w:r>
        <w:rPr>
          <w:rFonts w:ascii="Arial" w:hAnsi="Arial"/>
          <w:sz w:val="16"/>
        </w:rPr>
        <w:t>, Warsaw, July 2013, p. 88.</w:t>
      </w:r>
    </w:p>
  </w:footnote>
  <w:footnote w:id="112">
    <w:p w14:paraId="5D5774BC" w14:textId="4ED8F35C" w:rsidR="00FD1C56" w:rsidRPr="003B597D"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 xml:space="preserve">The results of analysis of regulations binding in the Łódź’s nursing homes and a questionnaire conducted among the directors or employees of nursing homes; </w:t>
      </w:r>
      <w:r>
        <w:rPr>
          <w:rFonts w:ascii="Arial" w:hAnsi="Arial"/>
          <w:i/>
          <w:sz w:val="16"/>
        </w:rPr>
        <w:t>Przestrzeganie wolności i praw człowieka i obywatela w domach pomocy społecznej [Observation of freedoms and rights of persons and citizens in nursing homes]</w:t>
      </w:r>
      <w:r>
        <w:rPr>
          <w:rFonts w:ascii="Arial" w:hAnsi="Arial"/>
          <w:sz w:val="16"/>
        </w:rPr>
        <w:t xml:space="preserve">, K. Kurowski in: Niepełnosprawność. Zagadnienia, problemy, rozwiązania </w:t>
      </w:r>
      <w:r>
        <w:rPr>
          <w:rFonts w:ascii="Arial" w:hAnsi="Arial"/>
          <w:i/>
          <w:sz w:val="16"/>
        </w:rPr>
        <w:t>[Disabilities. Issues, problems, solutions]</w:t>
      </w:r>
      <w:r>
        <w:rPr>
          <w:rFonts w:ascii="Arial" w:hAnsi="Arial"/>
          <w:sz w:val="16"/>
        </w:rPr>
        <w:t>, No. II/2014(11),  p. 161-162, p. 171-172.</w:t>
      </w:r>
    </w:p>
  </w:footnote>
  <w:footnote w:id="113">
    <w:p w14:paraId="7F263812" w14:textId="648CCD3B" w:rsidR="00FD1C56" w:rsidRPr="00140229"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i/>
          <w:sz w:val="16"/>
        </w:rPr>
        <w:t>Sprawozdanie dotyczące przestrzegania praw pacjenta na terytorium Rzeczypospolitej Polskiej za okres od dnia 1 stycznia 2012 r. do dnia 31 grudnia 2012 r. [Report on realisation of the rights of patients within the territory of the Republic of Poland for the period from 1 January 2012 to 31 December 2012]</w:t>
      </w:r>
      <w:r>
        <w:rPr>
          <w:rFonts w:ascii="Arial" w:hAnsi="Arial"/>
          <w:sz w:val="16"/>
        </w:rPr>
        <w:t>, Ombudsman for the Rights of Patients, p. 151-152.</w:t>
      </w:r>
    </w:p>
  </w:footnote>
  <w:footnote w:id="114">
    <w:p w14:paraId="7841FA54" w14:textId="596A7E36" w:rsidR="00FD1C56" w:rsidRPr="00140229"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sidRPr="002B305E">
        <w:rPr>
          <w:rFonts w:ascii="Arial" w:hAnsi="Arial"/>
          <w:i/>
          <w:sz w:val="16"/>
          <w:lang w:val="pl-PL"/>
        </w:rPr>
        <w:t xml:space="preserve"> </w:t>
      </w:r>
      <w:r w:rsidRPr="002B305E">
        <w:rPr>
          <w:lang w:val="pl-PL"/>
        </w:rPr>
        <w:tab/>
      </w:r>
      <w:r w:rsidRPr="002B305E">
        <w:rPr>
          <w:rFonts w:ascii="Arial" w:hAnsi="Arial"/>
          <w:i/>
          <w:sz w:val="16"/>
          <w:lang w:val="pl-PL"/>
        </w:rPr>
        <w:t>Przemoc w rodzinie - Działanie prokuratury</w:t>
      </w:r>
      <w:r w:rsidRPr="002B305E">
        <w:rPr>
          <w:rFonts w:ascii="Arial" w:hAnsi="Arial"/>
          <w:sz w:val="16"/>
          <w:lang w:val="pl-PL"/>
        </w:rPr>
        <w:t xml:space="preserve">… </w:t>
      </w:r>
      <w:r>
        <w:rPr>
          <w:rFonts w:ascii="Arial" w:hAnsi="Arial"/>
          <w:i/>
          <w:sz w:val="16"/>
        </w:rPr>
        <w:t>[Domestic Violence – Activity of Prosecutor’s Office...]</w:t>
      </w:r>
    </w:p>
  </w:footnote>
  <w:footnote w:id="115">
    <w:p w14:paraId="162D6905" w14:textId="0B2D39B4" w:rsidR="00FD1C56" w:rsidRPr="00140229"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 xml:space="preserve">Raporty z działalności Specjalistycznych Ośrodków Wsparcia dla ofiar przemocy w rodzinie za 2012 r. </w:t>
      </w:r>
      <w:r>
        <w:rPr>
          <w:rFonts w:ascii="Arial" w:hAnsi="Arial"/>
          <w:i/>
          <w:sz w:val="16"/>
        </w:rPr>
        <w:t>[Reports on the functioning of Specialist Centres Supporting Domestic Violence Victims for 2012]</w:t>
      </w:r>
      <w:r>
        <w:rPr>
          <w:rFonts w:ascii="Arial" w:hAnsi="Arial"/>
          <w:sz w:val="16"/>
        </w:rPr>
        <w:t xml:space="preserve">, Warsaw, August 2012, Appendix no. 1 to the Report on the realisation of the National Programme to Prevent Domestic Violence for 2012 </w:t>
      </w:r>
      <w:r w:rsidRPr="00E70AA8">
        <w:rPr>
          <w:rFonts w:ascii="Arial" w:hAnsi="Arial"/>
          <w:sz w:val="16"/>
        </w:rPr>
        <w:t>http://ms.gov.pl/Data/Files/_public/ppwr/krajowy_program/sprawozdania/rok-2012/04.-sprawozdanie_kpppwr_zal.-2---sow.pdf</w:t>
      </w:r>
      <w:r>
        <w:rPr>
          <w:rFonts w:ascii="Arial" w:hAnsi="Arial"/>
          <w:sz w:val="16"/>
        </w:rPr>
        <w:t xml:space="preserve"> </w:t>
      </w:r>
    </w:p>
  </w:footnote>
  <w:footnote w:id="116">
    <w:p w14:paraId="6722AC12" w14:textId="182BA113" w:rsidR="00FD1C56" w:rsidRPr="00140229"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http://statystyka.policja.pl/st/wybrane-statystyki/przemoc-w-rodzinie/50863,Przemoc-w-rodzinie.html</w:t>
      </w:r>
    </w:p>
  </w:footnote>
  <w:footnote w:id="117">
    <w:p w14:paraId="383024C7" w14:textId="4986AEA0" w:rsidR="00FD1C56" w:rsidRPr="00140229"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i/>
          <w:sz w:val="16"/>
        </w:rPr>
        <w:t>Przemoc w rodzinie - Działanie prokuratury i orzecznictwo sądów powszechnych oraz działania Ministerstwa Sprawiedliwości w zakresie przeciwdziałania przemocy w rodzinie, w tym dotyczące ochrony osoby pokrzywdzonej oraz oddziaływań korekcyjno-edukacyjnych dla sprawców tego typu przestępstw [Domestic Violence – Activity of Prosecutor’s Office and Rulings of common courts, activities of the Ministry of Justice in the area of preventing domestic violence, including the protection of victims and the correction-education actions for perpetrators of such offences]</w:t>
      </w:r>
      <w:r>
        <w:rPr>
          <w:rFonts w:ascii="Arial" w:hAnsi="Arial"/>
          <w:sz w:val="16"/>
        </w:rPr>
        <w:t>, ms.gov.pl/Data/Files/_public/ppwr/przemoc-w-rodzinie-dzialania-ms-2013.ppsx.</w:t>
      </w:r>
    </w:p>
  </w:footnote>
  <w:footnote w:id="118">
    <w:p w14:paraId="29FFB1E6" w14:textId="7FD34783" w:rsidR="00FD1C56" w:rsidRPr="00252CFC"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Act of 12 March 2004 on social assistance (Polish Journal of Laws of 2013, item 182, as amended).</w:t>
      </w:r>
    </w:p>
  </w:footnote>
  <w:footnote w:id="119">
    <w:p w14:paraId="51588298" w14:textId="676B5BDB" w:rsidR="00FD1C56" w:rsidRPr="00252CFC"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Act of 19 August 1994 on mental health protection (Polish Journal of Laws of 2011 no. 231 item 1375 as amended).</w:t>
      </w:r>
    </w:p>
  </w:footnote>
  <w:footnote w:id="120">
    <w:p w14:paraId="4B96EA58" w14:textId="1CAFD6B9" w:rsidR="00FD1C56" w:rsidRPr="00252CFC"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Resolution of the Council of Ministers of 28 December 2010 on the National Programme to Protect Mental Health (Polish Journal of Laws of 2011, no. 24, item 128).</w:t>
      </w:r>
    </w:p>
  </w:footnote>
  <w:footnote w:id="121">
    <w:p w14:paraId="77A905BC" w14:textId="0E402BDC" w:rsidR="00FD1C56" w:rsidRPr="006E5FA3"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Report of the Ministry of Labour and Social Policy for 2013, Section 4 – POLAND total, last access on 04/03/2015 at http://www.mpips.gov.pl/pomoc-spoleczna/raporty-i-statystyki/statystyki-pomocy-spolecznej/statystyka-za-2013/</w:t>
      </w:r>
    </w:p>
  </w:footnote>
  <w:footnote w:id="122">
    <w:p w14:paraId="2A4E0059" w14:textId="7C7D8FA1" w:rsidR="00FD1C56" w:rsidRPr="00336643"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 xml:space="preserve">See report by Daniel Verger et al. </w:t>
      </w:r>
      <w:r>
        <w:rPr>
          <w:rFonts w:ascii="Arial" w:hAnsi="Arial"/>
          <w:i/>
          <w:sz w:val="16"/>
        </w:rPr>
        <w:t>Jakość życia, kapitał społeczny, ubóstwo i wykluczenie społeczne w Polsce [Quality of life, social capital, poverty and social exclusion in Poland]</w:t>
      </w:r>
      <w:r>
        <w:rPr>
          <w:rFonts w:ascii="Arial" w:hAnsi="Arial"/>
          <w:sz w:val="16"/>
        </w:rPr>
        <w:t xml:space="preserve">, Central Statistical Office, Warsaw 2013, which discusses the results of the new comprehensive study conducted by the Central Statistical Office in 2011 entitled “Social cohesion study” </w:t>
      </w:r>
      <w:r>
        <w:rPr>
          <w:rFonts w:ascii="Arial" w:hAnsi="Arial"/>
          <w:i/>
          <w:sz w:val="16"/>
        </w:rPr>
        <w:t>[Polish: Badanie spójności społecznej]</w:t>
      </w:r>
    </w:p>
  </w:footnote>
  <w:footnote w:id="123">
    <w:p w14:paraId="0D702456" w14:textId="77FBFC3C" w:rsidR="00FD1C56" w:rsidRPr="0064339E"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More information on this topic is included in the sections of this report discussing Article 28 of CRPD.</w:t>
      </w:r>
    </w:p>
  </w:footnote>
  <w:footnote w:id="124">
    <w:p w14:paraId="222EAE18" w14:textId="165BF2CC" w:rsidR="00FD1C56" w:rsidRPr="006E5FA3"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Piaskowski Paweł „Wykluczenie i włączenie cyfrowe osób i gospodarstw domowych”</w:t>
      </w:r>
      <w:r>
        <w:rPr>
          <w:rFonts w:ascii="Arial" w:hAnsi="Arial"/>
          <w:i/>
          <w:sz w:val="16"/>
        </w:rPr>
        <w:t xml:space="preserve"> [”Digital exclusion and inclusion of persons and households”]</w:t>
      </w:r>
      <w:r>
        <w:rPr>
          <w:rFonts w:ascii="Arial" w:hAnsi="Arial"/>
          <w:sz w:val="16"/>
        </w:rPr>
        <w:t xml:space="preserve">, in: </w:t>
      </w:r>
      <w:r>
        <w:rPr>
          <w:rFonts w:ascii="Arial" w:hAnsi="Arial"/>
          <w:i/>
          <w:sz w:val="16"/>
        </w:rPr>
        <w:t>Jakość życia, kapitał społeczny, ubóstwo i wykluczenie społeczne w Polsce [Quality of life, social capital, poverty and social exclusion in Poland]</w:t>
      </w:r>
      <w:r>
        <w:rPr>
          <w:rFonts w:ascii="Arial" w:hAnsi="Arial"/>
          <w:sz w:val="16"/>
        </w:rPr>
        <w:t>, ed. Daniel Verger et al, Central Statistical Office, Warsaw 2013, p. 90.</w:t>
      </w:r>
    </w:p>
  </w:footnote>
  <w:footnote w:id="125">
    <w:p w14:paraId="73D980B1" w14:textId="04A7AB8F" w:rsidR="00FD1C56" w:rsidRPr="0064339E"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Act of 12 March 2004 on social assistance, Article 36(2).</w:t>
      </w:r>
    </w:p>
  </w:footnote>
  <w:footnote w:id="126">
    <w:p w14:paraId="7A2B0C6B" w14:textId="2F6D3FE7" w:rsidR="00FD1C56" w:rsidRPr="001575B0"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Article 54(1) of the Act on social assistance.</w:t>
      </w:r>
    </w:p>
  </w:footnote>
  <w:footnote w:id="127">
    <w:p w14:paraId="60886A77" w14:textId="7D1AD191" w:rsidR="00FD1C56" w:rsidRPr="00D82B88"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Ministry of Labour and Social Policy – Report of the Ministry of Labour and Social Policy-03 2013, available at: http://www.mpips.gov.pl/pomoc-spoleczna/raporty-i-statystyki/statystyki-pomocy-spolecznej/statystyka-za-2013/#akapit1</w:t>
      </w:r>
    </w:p>
  </w:footnote>
  <w:footnote w:id="128">
    <w:p w14:paraId="6C695256" w14:textId="08E6A1D0" w:rsidR="00FD1C56" w:rsidRPr="002B305E" w:rsidRDefault="00FD1C56" w:rsidP="00F3598A">
      <w:pPr>
        <w:pStyle w:val="Tekstprzypisudolnego"/>
        <w:ind w:left="227" w:hanging="227"/>
        <w:jc w:val="both"/>
        <w:rPr>
          <w:rFonts w:ascii="Arial" w:hAnsi="Arial" w:cs="Arial"/>
          <w:sz w:val="16"/>
          <w:szCs w:val="16"/>
          <w:lang w:val="pl-PL"/>
        </w:rPr>
      </w:pPr>
      <w:r>
        <w:rPr>
          <w:rStyle w:val="Odwoanieprzypisudolnego"/>
          <w:rFonts w:ascii="Arial" w:hAnsi="Arial"/>
          <w:sz w:val="16"/>
        </w:rPr>
        <w:footnoteRef/>
      </w:r>
      <w:r>
        <w:rPr>
          <w:rFonts w:ascii="Arial" w:hAnsi="Arial"/>
          <w:sz w:val="16"/>
        </w:rPr>
        <w:t xml:space="preserve"> </w:t>
      </w:r>
      <w:r>
        <w:tab/>
      </w:r>
      <w:r>
        <w:rPr>
          <w:rFonts w:ascii="Arial" w:hAnsi="Arial"/>
          <w:sz w:val="16"/>
        </w:rPr>
        <w:t xml:space="preserve">Dudzińska A., Sobczak A. </w:t>
      </w:r>
      <w:r>
        <w:rPr>
          <w:rFonts w:ascii="Arial" w:hAnsi="Arial"/>
          <w:i/>
          <w:sz w:val="16"/>
        </w:rPr>
        <w:t>Potrzeby i oczekiwania osób z różnymi niepełnosprawnościami dotyczące przyszłej sytuacji mieszkaniowej [Needs and expectations of persons with different types of disabilities regarding their future housing situation]</w:t>
      </w:r>
      <w:r>
        <w:rPr>
          <w:rFonts w:ascii="Arial" w:hAnsi="Arial"/>
          <w:sz w:val="16"/>
        </w:rPr>
        <w:t xml:space="preserve">, in : “Niezależne życie i pełne uczestnictwo osób niepełnosprawnych w życiu społecznym” </w:t>
      </w:r>
      <w:r>
        <w:rPr>
          <w:rFonts w:ascii="Arial" w:hAnsi="Arial"/>
          <w:i/>
          <w:sz w:val="16"/>
        </w:rPr>
        <w:t>[Independent life and full inclusion of persons with disabilities in social life]</w:t>
      </w:r>
      <w:r>
        <w:rPr>
          <w:rFonts w:ascii="Arial" w:hAnsi="Arial"/>
          <w:sz w:val="16"/>
        </w:rPr>
        <w:t xml:space="preserve">, ed. </w:t>
      </w:r>
      <w:r w:rsidRPr="002B305E">
        <w:rPr>
          <w:rFonts w:ascii="Arial" w:hAnsi="Arial"/>
          <w:sz w:val="16"/>
          <w:lang w:val="pl-PL"/>
        </w:rPr>
        <w:t>Sobczak A., Wyd. Uniwersytetu Łódzkiego, Łódź 2012, p. 65-78.</w:t>
      </w:r>
    </w:p>
  </w:footnote>
  <w:footnote w:id="129">
    <w:p w14:paraId="1F8897CB" w14:textId="12DA5EE3" w:rsidR="00FD1C56" w:rsidRPr="002B305E" w:rsidRDefault="00FD1C56" w:rsidP="00F3598A">
      <w:pPr>
        <w:pStyle w:val="Tekstprzypisudolnego"/>
        <w:ind w:left="227" w:hanging="227"/>
        <w:jc w:val="both"/>
        <w:rPr>
          <w:rFonts w:ascii="Arial" w:hAnsi="Arial" w:cs="Arial"/>
          <w:sz w:val="16"/>
          <w:szCs w:val="16"/>
          <w:lang w:val="pl-PL"/>
        </w:rPr>
      </w:pPr>
      <w:r>
        <w:rPr>
          <w:rStyle w:val="Odwoanieprzypisudolnego"/>
          <w:rFonts w:ascii="Arial" w:hAnsi="Arial"/>
          <w:sz w:val="16"/>
        </w:rPr>
        <w:footnoteRef/>
      </w:r>
      <w:r w:rsidRPr="002B305E">
        <w:rPr>
          <w:rFonts w:ascii="Arial" w:hAnsi="Arial"/>
          <w:sz w:val="16"/>
          <w:lang w:val="pl-PL"/>
        </w:rPr>
        <w:t xml:space="preserve"> </w:t>
      </w:r>
      <w:r w:rsidRPr="002B305E">
        <w:rPr>
          <w:lang w:val="pl-PL"/>
        </w:rPr>
        <w:tab/>
      </w:r>
      <w:r w:rsidRPr="002B305E">
        <w:rPr>
          <w:rFonts w:ascii="Arial" w:hAnsi="Arial"/>
          <w:sz w:val="16"/>
          <w:lang w:val="pl-PL"/>
        </w:rPr>
        <w:t xml:space="preserve">See Grabusińska Z. “Domy pomocy społecznej w Polsce” </w:t>
      </w:r>
      <w:r w:rsidRPr="002B305E">
        <w:rPr>
          <w:rFonts w:ascii="Arial" w:hAnsi="Arial"/>
          <w:i/>
          <w:sz w:val="16"/>
          <w:lang w:val="pl-PL"/>
        </w:rPr>
        <w:t>[Nursing homes in Poland]</w:t>
      </w:r>
      <w:r w:rsidRPr="002B305E">
        <w:rPr>
          <w:rFonts w:ascii="Arial" w:hAnsi="Arial"/>
          <w:sz w:val="16"/>
          <w:lang w:val="pl-PL"/>
        </w:rPr>
        <w:t>, Warsaw 2013, p. 27.</w:t>
      </w:r>
    </w:p>
  </w:footnote>
  <w:footnote w:id="130">
    <w:p w14:paraId="5634059C" w14:textId="051470B6" w:rsidR="00FD1C56" w:rsidRPr="001A1CD3"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sidRPr="002B305E">
        <w:rPr>
          <w:rFonts w:ascii="Arial" w:hAnsi="Arial"/>
          <w:sz w:val="16"/>
          <w:lang w:val="pl-PL"/>
        </w:rPr>
        <w:t xml:space="preserve"> </w:t>
      </w:r>
      <w:r w:rsidRPr="002B305E">
        <w:rPr>
          <w:lang w:val="pl-PL"/>
        </w:rPr>
        <w:tab/>
      </w:r>
      <w:r w:rsidRPr="002B305E">
        <w:rPr>
          <w:rFonts w:ascii="Arial" w:hAnsi="Arial"/>
          <w:sz w:val="16"/>
          <w:lang w:val="pl-PL"/>
        </w:rPr>
        <w:t xml:space="preserve">See Anasz M. et al “Życie w integracji. Stargardzki model lokalnego systemu rehabilitacji i wsparcia społeczno-zawodowego osób z niepełnosprawnością intelektualną”, </w:t>
      </w:r>
      <w:r w:rsidRPr="002B305E">
        <w:rPr>
          <w:rFonts w:ascii="Arial" w:hAnsi="Arial"/>
          <w:i/>
          <w:sz w:val="16"/>
          <w:lang w:val="pl-PL"/>
        </w:rPr>
        <w:t xml:space="preserve">[Living in integration. </w:t>
      </w:r>
      <w:r>
        <w:rPr>
          <w:rFonts w:ascii="Arial" w:hAnsi="Arial"/>
          <w:i/>
          <w:sz w:val="16"/>
        </w:rPr>
        <w:t>Stargard-based model of local rehabilitation and social-vocational support to persons with mental disabilities]</w:t>
      </w:r>
      <w:r>
        <w:rPr>
          <w:rFonts w:ascii="Arial" w:hAnsi="Arial"/>
          <w:sz w:val="16"/>
        </w:rPr>
        <w:t>, PFON, 2012.</w:t>
      </w:r>
    </w:p>
  </w:footnote>
  <w:footnote w:id="131">
    <w:p w14:paraId="24C81AB9" w14:textId="7C34AB17" w:rsidR="00FD1C56" w:rsidRPr="001A1CD3"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Ministry of Labour and Social Policy – Report of the Ministry of Labour and Social Policy-03 2012 and 2013. Data pertains to all persons using nursing homes, not only persons with disabilities.</w:t>
      </w:r>
    </w:p>
  </w:footnote>
  <w:footnote w:id="132">
    <w:p w14:paraId="2BB5F803" w14:textId="0B947B4F" w:rsidR="00FD1C56" w:rsidRPr="001A1CD3"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Ministry of Labour and Social Policy – Report of the Ministry of Labour and Social Policy-03 2012 and 2013. Data pertains to all persons using day care homes, not only persons with disabilities.</w:t>
      </w:r>
    </w:p>
  </w:footnote>
  <w:footnote w:id="133">
    <w:p w14:paraId="7EF84588" w14:textId="705A1B2D" w:rsidR="00FD1C56" w:rsidRPr="001A1CD3"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However, there is no statistical data regarding the use of commercial services, but usually persons with disabilities cannot afford them.</w:t>
      </w:r>
    </w:p>
  </w:footnote>
  <w:footnote w:id="134">
    <w:p w14:paraId="15906653" w14:textId="4BD18156" w:rsidR="00FD1C56" w:rsidRPr="00E12B94"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See Grabusińska, op. cit., p. 19, and also: http://www.senat.gov.pl/gfx/senat/userfiles/_public/k8/dokumenty/stenogram/ oswiadczenia/chybicka/2601o.pdf</w:t>
      </w:r>
    </w:p>
  </w:footnote>
  <w:footnote w:id="135">
    <w:p w14:paraId="5FB231A0" w14:textId="3F5BA0FA" w:rsidR="00FD1C56" w:rsidRPr="00E12B94"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See resolution of the Minister of Labour and Social Policy of 23 August 2012 on nursing homes (Polish Journal of Laws item 964).</w:t>
      </w:r>
    </w:p>
  </w:footnote>
  <w:footnote w:id="136">
    <w:p w14:paraId="5226BF29" w14:textId="393B5D67" w:rsidR="00FD1C56" w:rsidRPr="00E12B94"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http://www.mpips.gov.pl/aktualnosci-wszystkie/ministerstwo/art,6634,wsparcie-dla-osob-niepelnosprawnych.html</w:t>
      </w:r>
    </w:p>
  </w:footnote>
  <w:footnote w:id="137">
    <w:p w14:paraId="33806149" w14:textId="357B164E" w:rsidR="00FD1C56" w:rsidRPr="00E12B94"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For example, in Warsaw the “Assistant of a person with disabilities” has been functioning since 2006, but the services rendered under this programme are recognized as “luxurious” (e.g. assistance in commuting to selected places, a visit to a museum, theatre or cinema, meetings with friends, entertainment), while they lack basic support in their day-to-day lives. Additionally, the support of an assistant is limited to up to 2 times a week, 3.5 hours at a time, and the service is rendered for a fee: http://www.asystent.warszawa.pl/index.php/jak-sie-zglosic/wrunki-realizacji-uslug.</w:t>
      </w:r>
    </w:p>
  </w:footnote>
  <w:footnote w:id="138">
    <w:p w14:paraId="5F20FBBE" w14:textId="5E5711D6" w:rsidR="00FD1C56" w:rsidRPr="0012538D"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https://www.mir.gov.pl/fundusze/Fundusze_Europejskie_2014_2020/Documents/PO_WER_08012014.pdf</w:t>
      </w:r>
    </w:p>
  </w:footnote>
  <w:footnote w:id="139">
    <w:p w14:paraId="6E34230E" w14:textId="4DAC8DF6" w:rsidR="00FD1C56" w:rsidRPr="0012538D"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i/>
          <w:sz w:val="16"/>
        </w:rPr>
        <w:t>Common European Guidelines on the Transition from Institutional to Community-based Care</w:t>
      </w:r>
      <w:r>
        <w:rPr>
          <w:rFonts w:ascii="Arial" w:hAnsi="Arial"/>
          <w:sz w:val="16"/>
        </w:rPr>
        <w:t xml:space="preserve"> available at: http://deinstitutionalisationguide.eu/wp-content/uploads/2013/05/Common-European-Guidelines_Polish-version.pdf.</w:t>
      </w:r>
    </w:p>
  </w:footnote>
  <w:footnote w:id="140">
    <w:p w14:paraId="6131B0F7" w14:textId="40608CB1" w:rsidR="00FD1C56" w:rsidRPr="0012538D" w:rsidRDefault="00FD1C56" w:rsidP="00F3598A">
      <w:pPr>
        <w:pStyle w:val="Tekstprzypisudolnego"/>
        <w:ind w:left="227" w:hanging="227"/>
        <w:jc w:val="both"/>
        <w:rPr>
          <w:rFonts w:ascii="Arial" w:hAnsi="Arial" w:cs="Arial"/>
          <w:b/>
          <w:color w:val="FF0000"/>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See: Ministry of Labour and Social Policy – Report of the Ministry of Labour and Social Policy-05 2012, available at: http://www.mpips.gov.pl/pomoc-spoleczna/raporty-i-statystyki/statystyki-pomocy-spolecznej/statystyka-za-rok-2012/</w:t>
      </w:r>
    </w:p>
  </w:footnote>
  <w:footnote w:id="141">
    <w:p w14:paraId="4A5EEEB0" w14:textId="6FCEFC44" w:rsidR="00FD1C56" w:rsidRPr="0012538D"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Grabusińska, op. cit., p. 6.</w:t>
      </w:r>
    </w:p>
  </w:footnote>
  <w:footnote w:id="142">
    <w:p w14:paraId="36F7B28D" w14:textId="7FAC1384" w:rsidR="00FD1C56" w:rsidRPr="00E80F29" w:rsidRDefault="00FD1C56" w:rsidP="00F3598A">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 xml:space="preserve">The results of the studies were discussed in:  K. Kurowski, </w:t>
      </w:r>
      <w:r>
        <w:rPr>
          <w:rFonts w:ascii="Arial" w:hAnsi="Arial"/>
          <w:i/>
          <w:sz w:val="16"/>
        </w:rPr>
        <w:t>Przestrzeganie wolności i praw człowieka i obywatela w domach pomocy społecznej [Compliance with the freedoms and rights of persons and citizens in nursing homes]</w:t>
      </w:r>
      <w:r>
        <w:rPr>
          <w:rFonts w:ascii="Arial" w:hAnsi="Arial"/>
          <w:sz w:val="16"/>
        </w:rPr>
        <w:t xml:space="preserve">, „Niepełnosprawność -  zagadnienia, problemy, rozwiązania” </w:t>
      </w:r>
      <w:r>
        <w:rPr>
          <w:rFonts w:ascii="Arial" w:hAnsi="Arial"/>
          <w:i/>
          <w:sz w:val="16"/>
        </w:rPr>
        <w:t>[Disability – issues, problems, solutions]</w:t>
      </w:r>
      <w:r>
        <w:rPr>
          <w:rFonts w:ascii="Arial" w:hAnsi="Arial"/>
          <w:sz w:val="16"/>
        </w:rPr>
        <w:t xml:space="preserve">II/2014 (11), p. 157 -182; K. Kurowski, „Wolności i prawa człowieka i obywatela z perspektywy osób z niepełnosprawnościami” </w:t>
      </w:r>
      <w:r>
        <w:rPr>
          <w:rFonts w:ascii="Arial" w:hAnsi="Arial"/>
          <w:i/>
          <w:sz w:val="16"/>
        </w:rPr>
        <w:t>[Freedoms and rights of persons and citizens from the perspective of persons with disabilities]</w:t>
      </w:r>
      <w:r>
        <w:rPr>
          <w:rFonts w:ascii="Arial" w:hAnsi="Arial"/>
          <w:sz w:val="16"/>
        </w:rPr>
        <w:t xml:space="preserve">, published by the Office of the Human Rights Defender, Warsaw 2014, p. 68-72, 74-75, 79-82, 108-109, 141-144, 159. </w:t>
      </w:r>
    </w:p>
  </w:footnote>
  <w:footnote w:id="143">
    <w:p w14:paraId="5789922E" w14:textId="356E5A13" w:rsidR="00FD1C56" w:rsidRPr="00E12B94"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Article 14(2) of the Transportation Law Act.</w:t>
      </w:r>
    </w:p>
  </w:footnote>
  <w:footnote w:id="144">
    <w:p w14:paraId="53B9C913" w14:textId="658260EB" w:rsidR="00FD1C56" w:rsidRPr="00D770B5"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Act of 6 September 2001 on road transport (Polish Journal of Laws of 2013 item 1414 as amended).</w:t>
      </w:r>
    </w:p>
  </w:footnote>
  <w:footnote w:id="145">
    <w:p w14:paraId="1963B9FE" w14:textId="55CD054A" w:rsidR="00FD1C56" w:rsidRPr="00D770B5"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Act of 28 March 2003 on railway transport (Polish Journal of Laws of 2013 item 1594 as amended).</w:t>
      </w:r>
    </w:p>
  </w:footnote>
  <w:footnote w:id="146">
    <w:p w14:paraId="21E301D1" w14:textId="37EDDA57" w:rsidR="00FD1C56" w:rsidRPr="00E71FF3"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Regulation (EC) no. 181/2011 of the European Parliament and of the Council of 16 February 2011 concerning the rights of passengers in bus and coach transport and amending Regulation (EC) no. 2006/2004 (EU Official Journal L.2011.55.1).</w:t>
      </w:r>
    </w:p>
  </w:footnote>
  <w:footnote w:id="147">
    <w:p w14:paraId="1CC97FC7" w14:textId="78D3A8F8" w:rsidR="00FD1C56" w:rsidRPr="00E71FF3"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Regulation (EC) no. 1371/2007 of the European Parliament and of the Council of 23 October 2007 on rail passengers’ rights and obligations (EU Official Journal L.2007.315.14).</w:t>
      </w:r>
    </w:p>
  </w:footnote>
  <w:footnote w:id="148">
    <w:p w14:paraId="7937A864" w14:textId="2AFCCA82" w:rsidR="00FD1C56" w:rsidRPr="00E71FF3"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 xml:space="preserve">Regulation (EC) no. 1107/2006 of the European Parliament and of the Council of 5 July 2006 concerning the rights </w:t>
      </w:r>
      <w:r w:rsidRPr="0041112E">
        <w:t>of</w:t>
      </w:r>
      <w:r>
        <w:t> </w:t>
      </w:r>
      <w:r w:rsidRPr="0041112E">
        <w:t>disabled</w:t>
      </w:r>
      <w:r>
        <w:rPr>
          <w:rFonts w:ascii="Arial" w:hAnsi="Arial"/>
          <w:sz w:val="16"/>
        </w:rPr>
        <w:t xml:space="preserve"> persons and persons with reduced mobility when travelling by air (EU Official Journal L.2006.204.1).</w:t>
      </w:r>
    </w:p>
  </w:footnote>
  <w:footnote w:id="149">
    <w:p w14:paraId="6743FFE2" w14:textId="63D36CAC" w:rsidR="00FD1C56" w:rsidRPr="00E71FF3"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Regulation (EC) no. 1177/2010 of the European Parliament and of the Council of 24 November 2010 concerning the rights of passengers when travelling by sea and inland waterway and amending Regulation (EC) no. 2006/2004 (EU Official Journal L.2010.334.1).</w:t>
      </w:r>
    </w:p>
  </w:footnote>
  <w:footnote w:id="150">
    <w:p w14:paraId="36BC6F2C" w14:textId="1EF512D3" w:rsidR="00FD1C56" w:rsidRPr="007F6DAB"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 xml:space="preserve">Amendment to Article 1(2) introduced by the Act of 22 July 2010 </w:t>
      </w:r>
      <w:r>
        <w:rPr>
          <w:rFonts w:ascii="Arial" w:hAnsi="Arial"/>
          <w:i/>
          <w:sz w:val="16"/>
        </w:rPr>
        <w:t xml:space="preserve">amending the Road Traffic Law Act </w:t>
      </w:r>
      <w:r>
        <w:rPr>
          <w:rFonts w:ascii="Arial" w:hAnsi="Arial"/>
          <w:sz w:val="16"/>
        </w:rPr>
        <w:t xml:space="preserve">(Polish Journal of Laws no. 152, item 1018). </w:t>
      </w:r>
    </w:p>
  </w:footnote>
  <w:footnote w:id="151">
    <w:p w14:paraId="7601BE4D" w14:textId="3ADFEC8A" w:rsidR="00FD1C56" w:rsidRPr="007F6DAB"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The document is available at: http://www.lotnisko-chopina.pl/pl/pasazer/na-lotnisku/pasazer-PRM/kodeks-dobrego-postepowania-przy-obsludze-naziemnej-osob-niepelnosprawnych-oraz-osob-z-ograniczona-sprawnoscia-ruchowa-na-lotnisku-chopina-w-warszawie.</w:t>
      </w:r>
    </w:p>
  </w:footnote>
  <w:footnote w:id="152">
    <w:p w14:paraId="3BEE8F93" w14:textId="3B823357" w:rsidR="00FD1C56" w:rsidRPr="007F6DAB"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Code of Good Practice in Handling Persons with Reduced Mobility is available at: file:///C:/Users/miksa_k/Downloads/prm_kodeks%20.pdf (also available in English).</w:t>
      </w:r>
    </w:p>
  </w:footnote>
  <w:footnote w:id="153">
    <w:p w14:paraId="4A06E121" w14:textId="0CF855D8" w:rsidR="00FD1C56" w:rsidRPr="007F6DAB"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Act of 16 December 2010 on road transport (Polish Journal of Laws of 2011, no. 5, item 13, as amended).</w:t>
      </w:r>
    </w:p>
  </w:footnote>
  <w:footnote w:id="154">
    <w:p w14:paraId="04F789F5" w14:textId="332C3811" w:rsidR="00FD1C56" w:rsidRPr="007F6DAB"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Act of 5 January 2011 on drivers (Polish Journal of Laws no. 30, item 151, as amended).</w:t>
      </w:r>
    </w:p>
  </w:footnote>
  <w:footnote w:id="155">
    <w:p w14:paraId="27741CC0" w14:textId="53ED0BB7" w:rsidR="00FD1C56" w:rsidRPr="007F6DAB"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Motion of 14 August 2013, reference no.: RPO-658549-V/10/BA. The Tribunal will consider the case under case file no. K 37/13.</w:t>
      </w:r>
    </w:p>
  </w:footnote>
  <w:footnote w:id="156">
    <w:p w14:paraId="2C7FB3B0" w14:textId="47E7579A" w:rsidR="00FD1C56" w:rsidRPr="007F6DAB"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Act of 19 August 2011 on sign language and other means of communication (Polish Journal of Laws no. 209, item 1243, as amended).</w:t>
      </w:r>
    </w:p>
  </w:footnote>
  <w:footnote w:id="157">
    <w:p w14:paraId="3A1D3AC8" w14:textId="75E27193" w:rsidR="00FD1C56" w:rsidRPr="007F6DAB"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Resolution of the Minister of Health of 7 January 2004 on medical exams of drivers and candidates for drivers (Polish Journal of Laws of 2013 item 133).</w:t>
      </w:r>
    </w:p>
  </w:footnote>
  <w:footnote w:id="158">
    <w:p w14:paraId="0E64EE50" w14:textId="743DFC5E" w:rsidR="00FD1C56" w:rsidRPr="007F6DAB"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 xml:space="preserve">Data of the Central Statistical Office, </w:t>
      </w:r>
      <w:r>
        <w:rPr>
          <w:rFonts w:ascii="Arial" w:hAnsi="Arial"/>
          <w:i/>
          <w:sz w:val="16"/>
        </w:rPr>
        <w:t xml:space="preserve">Transport. </w:t>
      </w:r>
      <w:r w:rsidRPr="002B305E">
        <w:rPr>
          <w:rFonts w:ascii="Arial" w:hAnsi="Arial"/>
          <w:i/>
          <w:sz w:val="16"/>
          <w:lang w:val="pl-PL"/>
        </w:rPr>
        <w:t xml:space="preserve">Wyniki działalności w 2012 r. [Transport. </w:t>
      </w:r>
      <w:r>
        <w:rPr>
          <w:rFonts w:ascii="Arial" w:hAnsi="Arial"/>
          <w:i/>
          <w:sz w:val="16"/>
        </w:rPr>
        <w:t xml:space="preserve">Operating results in 2012], </w:t>
      </w:r>
      <w:r>
        <w:rPr>
          <w:rFonts w:ascii="Arial" w:hAnsi="Arial"/>
          <w:sz w:val="16"/>
        </w:rPr>
        <w:t xml:space="preserve">Warsaw 2013 r., p. 90. </w:t>
      </w:r>
    </w:p>
  </w:footnote>
  <w:footnote w:id="159">
    <w:p w14:paraId="51173CDE" w14:textId="090793AB" w:rsidR="00FD1C56" w:rsidRPr="007F6DAB"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Motion of HRD of 12 November 2012, reference no.: RPO-715862-V-12/ST. The Tribunal will consider the case under case file no. K 47/12.</w:t>
      </w:r>
    </w:p>
  </w:footnote>
  <w:footnote w:id="160">
    <w:p w14:paraId="0386E745" w14:textId="02B8C1CB" w:rsidR="00FD1C56" w:rsidRPr="007F6DAB"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Information on the results of the technical condition inspections and inspections of preparation of railway stations to servicing passengers, Supreme Audit Office, Warsaw, October 2008.</w:t>
      </w:r>
    </w:p>
  </w:footnote>
  <w:footnote w:id="161">
    <w:p w14:paraId="6962F4A4" w14:textId="164C3383" w:rsidR="00FD1C56" w:rsidRPr="007F6DAB"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Accessibility of railway stations and stops in Warsaw. SISKOM’s Report</w:t>
      </w:r>
      <w:r>
        <w:rPr>
          <w:rFonts w:ascii="Arial" w:hAnsi="Arial"/>
          <w:i/>
          <w:sz w:val="16"/>
        </w:rPr>
        <w:t xml:space="preserve">, </w:t>
      </w:r>
      <w:r>
        <w:rPr>
          <w:rFonts w:ascii="Arial" w:hAnsi="Arial"/>
          <w:sz w:val="16"/>
        </w:rPr>
        <w:t>Warsaw 2013 (available at: http://mapabarier.siskom.waw.pl/wp-content/uploads/2013/05/SISKOM_Dostepnosc_warszawskich_stacji_i_przystankow_kolejowych.pdf)</w:t>
      </w:r>
    </w:p>
  </w:footnote>
  <w:footnote w:id="162">
    <w:p w14:paraId="145028B9" w14:textId="0460D567" w:rsidR="00FD1C56" w:rsidRPr="002B305E" w:rsidRDefault="00FD1C56" w:rsidP="001F0CDD">
      <w:pPr>
        <w:pStyle w:val="Tekstprzypisudolnego"/>
        <w:ind w:left="227" w:hanging="227"/>
        <w:jc w:val="both"/>
        <w:rPr>
          <w:rFonts w:ascii="Arial" w:hAnsi="Arial" w:cs="Arial"/>
          <w:sz w:val="16"/>
          <w:szCs w:val="16"/>
          <w:lang w:val="pl-PL"/>
        </w:rPr>
      </w:pPr>
      <w:r>
        <w:rPr>
          <w:rStyle w:val="Odwoanieprzypisudolnego"/>
          <w:rFonts w:ascii="Arial" w:hAnsi="Arial"/>
          <w:sz w:val="16"/>
        </w:rPr>
        <w:footnoteRef/>
      </w:r>
      <w:r w:rsidRPr="002B305E">
        <w:rPr>
          <w:rFonts w:ascii="Arial" w:hAnsi="Arial"/>
          <w:sz w:val="16"/>
          <w:lang w:val="pl-PL"/>
        </w:rPr>
        <w:t xml:space="preserve"> </w:t>
      </w:r>
      <w:r w:rsidRPr="002B305E">
        <w:rPr>
          <w:lang w:val="pl-PL"/>
        </w:rPr>
        <w:tab/>
      </w:r>
      <w:r w:rsidRPr="002B305E">
        <w:rPr>
          <w:rFonts w:ascii="Arial" w:hAnsi="Arial"/>
          <w:i/>
          <w:sz w:val="16"/>
          <w:lang w:val="pl-PL"/>
        </w:rPr>
        <w:t>Ibidem</w:t>
      </w:r>
      <w:r w:rsidRPr="002B305E">
        <w:rPr>
          <w:rFonts w:ascii="Arial" w:hAnsi="Arial"/>
          <w:sz w:val="16"/>
          <w:lang w:val="pl-PL"/>
        </w:rPr>
        <w:t>, p. 24-25.</w:t>
      </w:r>
    </w:p>
  </w:footnote>
  <w:footnote w:id="163">
    <w:p w14:paraId="6236FF52" w14:textId="11E7755C" w:rsidR="00FD1C56" w:rsidRPr="002B305E" w:rsidRDefault="00FD1C56" w:rsidP="001F0CDD">
      <w:pPr>
        <w:pStyle w:val="Tekstprzypisudolnego"/>
        <w:ind w:left="227" w:hanging="227"/>
        <w:jc w:val="both"/>
        <w:rPr>
          <w:rFonts w:ascii="Arial" w:hAnsi="Arial" w:cs="Arial"/>
          <w:sz w:val="16"/>
          <w:szCs w:val="16"/>
          <w:lang w:val="pl-PL"/>
        </w:rPr>
      </w:pPr>
      <w:r>
        <w:rPr>
          <w:rStyle w:val="Odwoanieprzypisudolnego"/>
          <w:rFonts w:ascii="Arial" w:hAnsi="Arial"/>
          <w:sz w:val="16"/>
        </w:rPr>
        <w:footnoteRef/>
      </w:r>
      <w:r w:rsidRPr="002B305E">
        <w:rPr>
          <w:rFonts w:ascii="Arial" w:hAnsi="Arial"/>
          <w:sz w:val="16"/>
          <w:lang w:val="pl-PL"/>
        </w:rPr>
        <w:t xml:space="preserve"> </w:t>
      </w:r>
      <w:r w:rsidRPr="002B305E">
        <w:rPr>
          <w:lang w:val="pl-PL"/>
        </w:rPr>
        <w:tab/>
      </w:r>
      <w:r w:rsidRPr="002B305E">
        <w:rPr>
          <w:rFonts w:ascii="Arial" w:hAnsi="Arial"/>
          <w:i/>
          <w:sz w:val="16"/>
          <w:lang w:val="pl-PL"/>
        </w:rPr>
        <w:t xml:space="preserve">Ibidem, </w:t>
      </w:r>
      <w:r w:rsidRPr="002B305E">
        <w:rPr>
          <w:rFonts w:ascii="Arial" w:hAnsi="Arial"/>
          <w:sz w:val="16"/>
          <w:lang w:val="pl-PL"/>
        </w:rPr>
        <w:t>p. 10.</w:t>
      </w:r>
    </w:p>
  </w:footnote>
  <w:footnote w:id="164">
    <w:p w14:paraId="72EDDCE1" w14:textId="1CFE87E1" w:rsidR="00FD1C56" w:rsidRPr="007F6DAB"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sidRPr="002B305E">
        <w:rPr>
          <w:rFonts w:ascii="Arial" w:hAnsi="Arial"/>
          <w:sz w:val="16"/>
          <w:lang w:val="pl-PL"/>
        </w:rPr>
        <w:t xml:space="preserve"> “Fundacja Widzialni. Strony internetowe bez barier”, </w:t>
      </w:r>
      <w:r w:rsidRPr="002B305E">
        <w:rPr>
          <w:rFonts w:ascii="Arial" w:hAnsi="Arial"/>
          <w:i/>
          <w:sz w:val="16"/>
          <w:lang w:val="pl-PL"/>
        </w:rPr>
        <w:t xml:space="preserve">[”Widzialni” Fundation. </w:t>
      </w:r>
      <w:r>
        <w:rPr>
          <w:rFonts w:ascii="Arial" w:hAnsi="Arial"/>
          <w:i/>
          <w:sz w:val="16"/>
        </w:rPr>
        <w:t>Websites without barriers]</w:t>
      </w:r>
      <w:r>
        <w:rPr>
          <w:rFonts w:ascii="Arial" w:hAnsi="Arial"/>
          <w:sz w:val="16"/>
        </w:rPr>
        <w:t>2014, available at: http://widzialni.org/container/raport-kolei.pdf</w:t>
      </w:r>
    </w:p>
  </w:footnote>
  <w:footnote w:id="165">
    <w:p w14:paraId="2A3F99C1" w14:textId="2079EDE3" w:rsidR="00FD1C56" w:rsidRPr="007F6DAB"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i/>
          <w:sz w:val="16"/>
        </w:rPr>
        <w:t xml:space="preserve">Ibidem, </w:t>
      </w:r>
      <w:r>
        <w:rPr>
          <w:rFonts w:ascii="Arial" w:hAnsi="Arial"/>
          <w:sz w:val="16"/>
        </w:rPr>
        <w:t>p. 20.</w:t>
      </w:r>
    </w:p>
  </w:footnote>
  <w:footnote w:id="166">
    <w:p w14:paraId="64FA37E2" w14:textId="50FAF20D" w:rsidR="00FD1C56" w:rsidRPr="00F70AEF"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Article 79(c) of the Act of 16 July 2004 – Telecommunications Law (Polish Journal of Laws of 2014 item 243).</w:t>
      </w:r>
    </w:p>
  </w:footnote>
  <w:footnote w:id="167">
    <w:p w14:paraId="6E3ED0D6" w14:textId="0609B3F4" w:rsidR="00FD1C56" w:rsidRPr="00A62389"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Act of 19 August 2011 on sign language and other means of communication (Polish Journal of Laws no. 209, item 1243, as amended).</w:t>
      </w:r>
    </w:p>
  </w:footnote>
  <w:footnote w:id="168">
    <w:p w14:paraId="7ADE859E" w14:textId="3D495562" w:rsidR="00FD1C56" w:rsidRPr="00A62389"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See part of the report dedicated to the definition of language and communication.</w:t>
      </w:r>
    </w:p>
  </w:footnote>
  <w:footnote w:id="169">
    <w:p w14:paraId="45B9038C" w14:textId="415D5DDA" w:rsidR="00FD1C56" w:rsidRPr="00A62389"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Act of 17 February 2005 on digitalisation of operations of entities realising public tasks (Polish Journal of Laws of 2013 item 235 as amended).</w:t>
      </w:r>
    </w:p>
  </w:footnote>
  <w:footnote w:id="170">
    <w:p w14:paraId="65C9E328" w14:textId="35E65873" w:rsidR="00FD1C56" w:rsidRPr="00A62389"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Resolution of the Council of Ministers of 12 April 2012 on National Interoperability Framework, minimal requirements for public registers and sharing information in electronic form and minimal requirements for ICT systems( Polish Journal of Laws item 526).</w:t>
      </w:r>
    </w:p>
  </w:footnote>
  <w:footnote w:id="171">
    <w:p w14:paraId="0D1C5272" w14:textId="60DC0EF7" w:rsidR="00FD1C56" w:rsidRPr="00AD74E3"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Act of 6 September 2001 on access to public information (Polish Journal of Laws of 2014 item 782).</w:t>
      </w:r>
    </w:p>
  </w:footnote>
  <w:footnote w:id="172">
    <w:p w14:paraId="43CFF6FB" w14:textId="5E8B1CA1" w:rsidR="00FD1C56" w:rsidRPr="00AD74E3"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More information on this topic is included in the sections of this report discussing Article 20 of the Convention.</w:t>
      </w:r>
    </w:p>
  </w:footnote>
  <w:footnote w:id="173">
    <w:p w14:paraId="1C42D8C6" w14:textId="225E29AB" w:rsidR="00FD1C56" w:rsidRPr="00AD74E3"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 xml:space="preserve">Pursuant to the studies conducted, a report was prepared by the Human Rights Defender entitled </w:t>
      </w:r>
      <w:r>
        <w:rPr>
          <w:rFonts w:ascii="Arial" w:hAnsi="Arial"/>
          <w:i/>
          <w:sz w:val="16"/>
        </w:rPr>
        <w:t xml:space="preserve">Zasada równego traktowania. </w:t>
      </w:r>
      <w:r w:rsidRPr="002B305E">
        <w:rPr>
          <w:rFonts w:ascii="Arial" w:hAnsi="Arial"/>
          <w:i/>
          <w:sz w:val="16"/>
          <w:lang w:val="pl-PL"/>
        </w:rPr>
        <w:t xml:space="preserve">Prawo i praktyka. [Equal treatment principle. Law and Practice] Obsługa osób głuchych i głuchoniewidomych w urzędach administracji publicznej. </w:t>
      </w:r>
      <w:r>
        <w:rPr>
          <w:rFonts w:ascii="Arial" w:hAnsi="Arial"/>
          <w:i/>
          <w:sz w:val="16"/>
        </w:rPr>
        <w:t>Analiza i zalecenia. [Servicing the deaf and the deafblind in public administration offices. Analysis and recommendations.]</w:t>
      </w:r>
      <w:r>
        <w:rPr>
          <w:rFonts w:ascii="Arial" w:hAnsi="Arial"/>
          <w:sz w:val="16"/>
        </w:rPr>
        <w:t xml:space="preserve"> available at: www.rpo.gov.pl</w:t>
      </w:r>
    </w:p>
  </w:footnote>
  <w:footnote w:id="174">
    <w:p w14:paraId="4B82D263" w14:textId="0C24D01E" w:rsidR="00FD1C56" w:rsidRPr="00980D21"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 xml:space="preserve">Report entitled: </w:t>
      </w:r>
      <w:r>
        <w:rPr>
          <w:rFonts w:ascii="Arial" w:hAnsi="Arial"/>
          <w:i/>
          <w:sz w:val="16"/>
        </w:rPr>
        <w:t>Zasada równego traktowania. Prawo i praktyka. [Equal treatment principle. Law and Practice] Dostępność witryn internetowych instytucji publicznych dla osób z niepełnosprawnościami [Accessibility of websites of public institutions to persons with disabilities]</w:t>
      </w:r>
      <w:r>
        <w:rPr>
          <w:rFonts w:ascii="Arial" w:hAnsi="Arial"/>
          <w:sz w:val="16"/>
        </w:rPr>
        <w:t xml:space="preserve"> is available at: http://www.rpo.gov.pl/pl/content/zasada-r%C3%B3wnego-traktowania-prawo-i-praktyka-nr-11-dost%C4%99pno%C5%9B%C4%87-witryn-internetowych-instytucji The report was drawn up on the basis of studies conducted by the Foundation Institute for Regional Development. The analysis of accessibility of public websites was conducted using the Utilitia tool (www.validator.utilitia.pl).</w:t>
      </w:r>
    </w:p>
  </w:footnote>
  <w:footnote w:id="175">
    <w:p w14:paraId="74CDEB1D" w14:textId="213A033A" w:rsidR="00FD1C56" w:rsidRPr="00DD134F"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IT systems of entities realising public tasks must be adapted to the requirements stipulated therein by the end of the first quarter of 2015.</w:t>
      </w:r>
    </w:p>
  </w:footnote>
  <w:footnote w:id="176">
    <w:p w14:paraId="1AC1BEDC" w14:textId="397B3859" w:rsidR="00FD1C56" w:rsidRPr="00060A55"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Article 18 of the Polish Constitution.</w:t>
      </w:r>
    </w:p>
  </w:footnote>
  <w:footnote w:id="177">
    <w:p w14:paraId="15C3B333" w14:textId="472D8327" w:rsidR="00FD1C56" w:rsidRPr="00060A55"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Act of 25 February 1964 - Polish Family and Guardianship Code (Polish Journal of Laws of 2012 item 788 as amended, hereinafter referred to as: Polish Family and Guardianship Code).</w:t>
      </w:r>
    </w:p>
  </w:footnote>
  <w:footnote w:id="178">
    <w:p w14:paraId="0FBE64A0" w14:textId="380D3A52" w:rsidR="00FD1C56" w:rsidRPr="00060A55"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Article 12(1) of the Polish Family and Guardianship Code.</w:t>
      </w:r>
    </w:p>
  </w:footnote>
  <w:footnote w:id="179">
    <w:p w14:paraId="16271157" w14:textId="50A2ADE7" w:rsidR="00FD1C56" w:rsidRPr="00615556"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More information on this topic is provided in the sections of the report dedicated to reservations and the interpretation statement filed by Poland regarding the Convention on the Rights of Persons with Disabilities.</w:t>
      </w:r>
    </w:p>
  </w:footnote>
  <w:footnote w:id="180">
    <w:p w14:paraId="73D0E775" w14:textId="0BF6619F" w:rsidR="00FD1C56" w:rsidRPr="00615556"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This problem was raised many times by the Human Rights Defender, e.g. in the notice of the Minister of Justice of 3 August 2011, reference no.: RPO-673676-IV/11/MK.</w:t>
      </w:r>
    </w:p>
  </w:footnote>
  <w:footnote w:id="181">
    <w:p w14:paraId="304C5DD4" w14:textId="08A7FA94" w:rsidR="00FD1C56" w:rsidRPr="00615556"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Ruling of the Supreme Court of 29 December 1978, case file no.: II CR 475/78 – the main theses of the ruling remain binding in the Polish judicial practice.</w:t>
      </w:r>
    </w:p>
  </w:footnote>
  <w:footnote w:id="182">
    <w:p w14:paraId="7CB85E43" w14:textId="32856E05" w:rsidR="00FD1C56" w:rsidRPr="00615556"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The legal inquiry was filed by the Court of Appeal in Katowice. The case is pending under case file no. P 58/13.</w:t>
      </w:r>
    </w:p>
  </w:footnote>
  <w:footnote w:id="183">
    <w:p w14:paraId="48051EC9" w14:textId="3175A0D6" w:rsidR="00FD1C56" w:rsidRPr="007E1BC7"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Act of 7 September 1991 on education (Polish Journal of Laws of 2004, no. 256, item 2572 as amended, hereinafter referred to as Act on education).</w:t>
      </w:r>
    </w:p>
  </w:footnote>
  <w:footnote w:id="184">
    <w:p w14:paraId="077AD4F9" w14:textId="65A5BF7B" w:rsidR="00FD1C56" w:rsidRPr="007E1BC7"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Act of 27 July 2005 – Higher Education Law Act (Polish Journal of Laws of 2005, no. 164, item 1365, as amended).</w:t>
      </w:r>
    </w:p>
  </w:footnote>
  <w:footnote w:id="185">
    <w:p w14:paraId="0E4900AB" w14:textId="08934DB7" w:rsidR="00FD1C56" w:rsidRPr="002B305E" w:rsidRDefault="00FD1C56" w:rsidP="001F0CDD">
      <w:pPr>
        <w:pStyle w:val="Tekstprzypisudolnego"/>
        <w:ind w:left="227" w:hanging="227"/>
        <w:jc w:val="both"/>
        <w:rPr>
          <w:rFonts w:ascii="Arial" w:hAnsi="Arial" w:cs="Arial"/>
          <w:sz w:val="16"/>
          <w:szCs w:val="16"/>
          <w:lang w:val="pl-PL"/>
        </w:rPr>
      </w:pPr>
      <w:r>
        <w:rPr>
          <w:rStyle w:val="Odwoanieprzypisudolnego"/>
          <w:rFonts w:ascii="Arial" w:hAnsi="Arial"/>
          <w:sz w:val="16"/>
        </w:rPr>
        <w:footnoteRef/>
      </w:r>
      <w:r w:rsidRPr="002B305E">
        <w:rPr>
          <w:lang w:val="pl-PL"/>
        </w:rPr>
        <w:tab/>
      </w:r>
      <w:r w:rsidRPr="002B305E">
        <w:rPr>
          <w:rFonts w:ascii="Arial" w:hAnsi="Arial"/>
          <w:sz w:val="16"/>
          <w:lang w:val="pl-PL"/>
        </w:rPr>
        <w:t xml:space="preserve">„Kształcenie uczniów z niepełnosprawnościami o specjalnych potrzebach edukacyjnych” </w:t>
      </w:r>
      <w:r w:rsidRPr="002B305E">
        <w:rPr>
          <w:rFonts w:ascii="Arial" w:hAnsi="Arial"/>
          <w:i/>
          <w:sz w:val="16"/>
          <w:lang w:val="pl-PL"/>
        </w:rPr>
        <w:t>[Educating students with disabilities in need of special education]</w:t>
      </w:r>
      <w:r w:rsidRPr="002B305E">
        <w:rPr>
          <w:rFonts w:ascii="Arial" w:hAnsi="Arial"/>
          <w:sz w:val="16"/>
          <w:lang w:val="pl-PL"/>
        </w:rPr>
        <w:t xml:space="preserve"> http://www.nik.gov.pl/plik/id,4585,vp,5892.pdf</w:t>
      </w:r>
    </w:p>
  </w:footnote>
  <w:footnote w:id="186">
    <w:p w14:paraId="21AB5A0B" w14:textId="726E884B" w:rsidR="00FD1C56" w:rsidRPr="002B305E" w:rsidRDefault="00FD1C56" w:rsidP="001F0CDD">
      <w:pPr>
        <w:pStyle w:val="Tekstprzypisudolnego"/>
        <w:ind w:left="227" w:hanging="227"/>
        <w:jc w:val="both"/>
        <w:rPr>
          <w:rFonts w:ascii="Arial" w:hAnsi="Arial" w:cs="Arial"/>
          <w:sz w:val="16"/>
          <w:szCs w:val="16"/>
          <w:lang w:val="pl-PL"/>
        </w:rPr>
      </w:pPr>
      <w:r>
        <w:rPr>
          <w:rStyle w:val="Odwoanieprzypisudolnego"/>
          <w:rFonts w:ascii="Arial" w:hAnsi="Arial"/>
          <w:sz w:val="16"/>
        </w:rPr>
        <w:footnoteRef/>
      </w:r>
      <w:r w:rsidRPr="002B305E">
        <w:rPr>
          <w:rFonts w:ascii="Arial" w:hAnsi="Arial"/>
          <w:sz w:val="16"/>
          <w:lang w:val="pl-PL"/>
        </w:rPr>
        <w:t xml:space="preserve"> </w:t>
      </w:r>
      <w:r w:rsidRPr="002B305E">
        <w:rPr>
          <w:lang w:val="pl-PL"/>
        </w:rPr>
        <w:tab/>
      </w:r>
      <w:r w:rsidRPr="00B73CC4">
        <w:rPr>
          <w:rFonts w:ascii="Arial" w:hAnsi="Arial"/>
          <w:sz w:val="16"/>
          <w:lang w:val="pl-PL"/>
        </w:rPr>
        <w:t>http://www.ore.edu.pl/strona-ore/index.php?option=com_content&amp;view=category&amp;layout=blog&amp;id=106&amp;Itemid=1081</w:t>
      </w:r>
      <w:r w:rsidRPr="002B305E">
        <w:rPr>
          <w:rFonts w:ascii="Arial" w:hAnsi="Arial"/>
          <w:sz w:val="16"/>
          <w:lang w:val="pl-PL"/>
        </w:rPr>
        <w:t xml:space="preserve"> </w:t>
      </w:r>
    </w:p>
  </w:footnote>
  <w:footnote w:id="187">
    <w:p w14:paraId="45AA1B22" w14:textId="3EDDB979" w:rsidR="00FD1C56" w:rsidRPr="002746F2"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 xml:space="preserve">See: Data from the Education Information System, as at September 2013 </w:t>
      </w:r>
      <w:r w:rsidRPr="00814D8A">
        <w:rPr>
          <w:rFonts w:ascii="Arial" w:hAnsi="Arial"/>
          <w:sz w:val="16"/>
        </w:rPr>
        <w:t>http://www.cie.men.gov.pl/index.php/dane-statystyczne/139.html</w:t>
      </w:r>
      <w:r>
        <w:rPr>
          <w:rFonts w:ascii="Arial" w:hAnsi="Arial"/>
          <w:sz w:val="16"/>
        </w:rPr>
        <w:t xml:space="preserve"> </w:t>
      </w:r>
    </w:p>
  </w:footnote>
  <w:footnote w:id="188">
    <w:p w14:paraId="29DFB79A" w14:textId="210F6E2A" w:rsidR="00FD1C56" w:rsidRPr="00386668"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 xml:space="preserve">See: </w:t>
      </w:r>
      <w:r w:rsidRPr="00814D8A">
        <w:rPr>
          <w:rFonts w:ascii="Arial" w:hAnsi="Arial"/>
          <w:sz w:val="16"/>
        </w:rPr>
        <w:t>http://www.niepelnosprawni.gov.pl/niepelnosprawnosc-w-liczbach-/edukacja/</w:t>
      </w:r>
      <w:r>
        <w:rPr>
          <w:rFonts w:ascii="Arial" w:hAnsi="Arial"/>
          <w:sz w:val="16"/>
        </w:rPr>
        <w:t xml:space="preserve"> </w:t>
      </w:r>
    </w:p>
  </w:footnote>
  <w:footnote w:id="189">
    <w:p w14:paraId="06935708" w14:textId="3052E8EB" w:rsidR="00FD1C56" w:rsidRPr="00386668"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 xml:space="preserve">Source: </w:t>
      </w:r>
      <w:r>
        <w:rPr>
          <w:rFonts w:ascii="Arial" w:hAnsi="Arial"/>
          <w:i/>
          <w:sz w:val="16"/>
        </w:rPr>
        <w:t>Aktywność ekonomiczna ludności Polski II kwartał 2013 r. [Economic activity of Polish population, Q2 2013]</w:t>
      </w:r>
      <w:r>
        <w:rPr>
          <w:rFonts w:ascii="Arial" w:hAnsi="Arial"/>
          <w:sz w:val="16"/>
        </w:rPr>
        <w:t>, Central Statistical Office</w:t>
      </w:r>
    </w:p>
  </w:footnote>
  <w:footnote w:id="190">
    <w:p w14:paraId="5D7E7757" w14:textId="77BE5EE7" w:rsidR="00FD1C56" w:rsidRPr="00386668"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More information on the notion of “language” is included in the sections of this report discussing Articles 1-4 of the Convention. The problem of teaching deaf students was touched upon in the notice of the Human Rights Defender directed to the Government Plenipotentiary for Equal Treatment of 16 June 2013, reference no.: RPO-734684-I/13/AM.</w:t>
      </w:r>
    </w:p>
  </w:footnote>
  <w:footnote w:id="191">
    <w:p w14:paraId="57B52F9A" w14:textId="711F8A20" w:rsidR="00FD1C56" w:rsidRPr="006B6CD3"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Major regulations in this respect include: the Act of 27 August 1997 on vocational and social rehabilitation and employment of persons with disabilities (Polish Journal of Laws of 2011, no. 127, item 721 as amended) and the Act of 19 August 1994 on mental health protection (Polish Journal of Laws of 2011 no. 231 item 1375 as amended), along with the resolution of the Council of Ministers of 28 December 2010 on the National Programme to Protect Mental Health (Polish Journal of Laws of 2011 no. 24 item 128), Act of 7 September 1991 on education system (Polish Journal of Laws of 2004 no. 256 item 2572 as amended), Act of 12 March 2004 on social assistance (Polish Journal of Laws of 2013 no. 182 as amended), Act of 15 April 2011 on medical activity (Polish Journal of Laws of 2013 item 2017 as amended), Act of 27 August 2004 on the healthcare services financed from public funds (Polish Journal of Laws of 2008 no. 164 item 1027 as amended) along with the resolution of the Minister of Health of 6 November 2013 on guaranteed services in treatment rehabilitation (Polish Journal of Laws item 1522).</w:t>
      </w:r>
    </w:p>
  </w:footnote>
  <w:footnote w:id="192">
    <w:p w14:paraId="5CF00F78" w14:textId="4753ADD9" w:rsidR="00FD1C56" w:rsidRPr="00FA5326" w:rsidRDefault="00FD1C56" w:rsidP="00FA5326">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Report on the realisation of the substantive-financial plan of the State Fund for Rehabilitation of the Disabled Persons in 2013, last access 4 March 2015 at http://www.pfron.org.pl/bip/budzet-funduszu/1076,Sprawozdania-z-realizacji-planu-rzeczowo-finansowego-z-dzialalnosci-PFRON-w-lata.html.</w:t>
      </w:r>
    </w:p>
  </w:footnote>
  <w:footnote w:id="193">
    <w:p w14:paraId="008E5759" w14:textId="2215ECDD" w:rsidR="00FD1C56" w:rsidRPr="00BA376D"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 xml:space="preserve">In line with the resolution of the Minister of Labour and Social Policy of 25 June 2002 on determining the tasks of poviats that may be financed from the funds of the State Fund for the Rehabilitation of the Disabled (PFRON) (Polish Journal of Laws of 2013 item 1190), </w:t>
      </w:r>
      <w:r>
        <w:rPr>
          <w:rFonts w:ascii="Arial" w:hAnsi="Arial"/>
          <w:b/>
          <w:sz w:val="16"/>
        </w:rPr>
        <w:t>poviats may realise the following catalogue of tasks:</w:t>
      </w:r>
      <w:r>
        <w:rPr>
          <w:rFonts w:ascii="Arial" w:hAnsi="Arial"/>
          <w:sz w:val="16"/>
        </w:rPr>
        <w:t xml:space="preserve"> sport, culture, recreation and tourism of persons with disabilities; supplying with rehabilitation equipment, orthopaedic articles and auxiliary measures awarded to persons with disabilities pursuant to separate provisions; removal of architectural barriers, barriers in communication and transportation barriers, in connection with individual needs of persons with disabilities; rehabilitation of children and teenagers; training and re-training of persons with disabilities; services of a sign language interpreter or assisting interpreter. Additionally, under the Act on rehabilitation, poviats realise </w:t>
      </w:r>
      <w:r>
        <w:rPr>
          <w:rFonts w:ascii="Arial" w:hAnsi="Arial"/>
          <w:b/>
          <w:sz w:val="16"/>
        </w:rPr>
        <w:t>tasks of PFRON in the area of vocational rehabilitation:</w:t>
      </w:r>
      <w:r>
        <w:rPr>
          <w:rFonts w:ascii="Arial" w:hAnsi="Arial"/>
          <w:sz w:val="16"/>
        </w:rPr>
        <w:t xml:space="preserve"> reimbursing the cost of hiring employees assisting persons with disabilities in the workplace, reimbursing the cost of fittings needed in the workplace, reimbursing the cost of labour market instruments and services for persons with disabilities who seek work and remain unemployed, one-off co-financing for launching business activity, agricultural activity or making a contribution to a social collective, co-financing to the interest of a bank loan, financing training courses organised by the head of the poviat employment office, reimbursing costs of training courses organised by employer, and also </w:t>
      </w:r>
      <w:r>
        <w:rPr>
          <w:rFonts w:ascii="Arial" w:hAnsi="Arial"/>
          <w:b/>
          <w:sz w:val="16"/>
        </w:rPr>
        <w:t>tasks of PFRON in the area of social rehabilitation</w:t>
      </w:r>
      <w:r>
        <w:rPr>
          <w:rFonts w:ascii="Arial" w:hAnsi="Arial"/>
          <w:sz w:val="16"/>
        </w:rPr>
        <w:t>: co-financing to rehabilitation camps, co-financing the supply in rehabilitation equipment for legal entities and organisational units without legal personality, co-financing the costs of creating and operating activity-based therapy. Poviats may also commission foundations and NGOs the performance of tasks in the area of social and vocational rehabilitation.</w:t>
      </w:r>
    </w:p>
  </w:footnote>
  <w:footnote w:id="194">
    <w:p w14:paraId="6FB9A242" w14:textId="3E2C910F" w:rsidR="00FD1C56" w:rsidRPr="00BA376D"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 xml:space="preserve">The second part of the “Active Local Government” programme is formed by a module that supports persons with disabilities in completing higher education (PLN 49 million in 2013), mainly in the form of a flat-rate benefit paid to students with disabilities. This programme continues the earlier “Student” programme realised directly by PFRON. </w:t>
      </w:r>
    </w:p>
  </w:footnote>
  <w:footnote w:id="195">
    <w:p w14:paraId="3F92AF45" w14:textId="73D3E66A" w:rsidR="00FD1C56" w:rsidRPr="00BA376D"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 xml:space="preserve">See: “Informator dla osób niepełnosprawnych 2014” </w:t>
      </w:r>
      <w:r>
        <w:rPr>
          <w:rFonts w:ascii="Arial" w:hAnsi="Arial"/>
          <w:i/>
          <w:sz w:val="16"/>
        </w:rPr>
        <w:t>[2014 Information guide for persons with disabilities]</w:t>
      </w:r>
      <w:r>
        <w:rPr>
          <w:rFonts w:ascii="Arial" w:hAnsi="Arial"/>
          <w:sz w:val="16"/>
        </w:rPr>
        <w:t xml:space="preserve"> and “Informator dla opiekuna dziecka niepełnosprawnego” </w:t>
      </w:r>
      <w:r>
        <w:rPr>
          <w:rFonts w:ascii="Arial" w:hAnsi="Arial"/>
          <w:i/>
          <w:sz w:val="16"/>
        </w:rPr>
        <w:t>[Information guide for the guardian of a child with disabilities]</w:t>
      </w:r>
      <w:r>
        <w:rPr>
          <w:rFonts w:ascii="Arial" w:hAnsi="Arial"/>
          <w:sz w:val="16"/>
        </w:rPr>
        <w:t xml:space="preserve"> available at the website of PFRON: http://www.pfron.org.pl/#d3.</w:t>
      </w:r>
    </w:p>
  </w:footnote>
  <w:footnote w:id="196">
    <w:p w14:paraId="795AC1A8" w14:textId="233B5716" w:rsidR="00FD1C56" w:rsidRPr="0073465E"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 xml:space="preserve">Report “Analiza działalności warsztatów terapii zajęciowej w 2008 roku”, </w:t>
      </w:r>
      <w:r>
        <w:rPr>
          <w:rFonts w:ascii="Arial" w:hAnsi="Arial"/>
          <w:i/>
          <w:sz w:val="16"/>
        </w:rPr>
        <w:t>[Analysis of the functioning of activity-based therapy in 2008]</w:t>
      </w:r>
      <w:r>
        <w:rPr>
          <w:rFonts w:ascii="Arial" w:hAnsi="Arial"/>
          <w:sz w:val="16"/>
        </w:rPr>
        <w:t>, PFRON, Warsaw, May 2009, available at http://www.pfron.org.pl/ftp/dokumenty/Badania_i_analizy/Raport_z_badania_-_Analiza_dzialalnosci_wtz_w_2008_roku.pdf</w:t>
      </w:r>
    </w:p>
  </w:footnote>
  <w:footnote w:id="197">
    <w:p w14:paraId="29C430D6" w14:textId="3571D30A" w:rsidR="00FD1C56" w:rsidRPr="0073465E"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The Act of 24 April 2003 on public benefit activities regulating these competitions (Polish Journal of Laws of 2010 no. 234, item 1536 as amended) allows for projects that last up to 5 years; the practice shows that projects for one year, three years maximum, dominate.</w:t>
      </w:r>
    </w:p>
  </w:footnote>
  <w:footnote w:id="198">
    <w:p w14:paraId="66923D4F" w14:textId="4ABF32A9" w:rsidR="00FD1C56" w:rsidRPr="0073465E"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More information on this topic is included in the sections of this report discussing Article 24 of CRPD.</w:t>
      </w:r>
    </w:p>
  </w:footnote>
  <w:footnote w:id="199">
    <w:p w14:paraId="1346E90D" w14:textId="24074ED8" w:rsidR="00FD1C56" w:rsidRPr="0073465E"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See information from the project entitled “Wszystko Jasne” realised since 2009 by the “Nie-Grzeczne Dzieci” Association, available at www.wszystkojasne.waw.pl, in particular the summary of the activity of Ombudsman for Students with Disabilities for 2011 and 2012.</w:t>
      </w:r>
    </w:p>
  </w:footnote>
  <w:footnote w:id="200">
    <w:p w14:paraId="22675A09" w14:textId="1D7A2794" w:rsidR="00FD1C56" w:rsidRPr="005C6626"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Data from the 2011 National Census, available at: http://www.niepelnosprawni.gov.pl/niepelnosprawnosc-w-liczbach-/dane-demograficzne/informacje-i-dane-demograficzne/.</w:t>
      </w:r>
    </w:p>
  </w:footnote>
  <w:footnote w:id="201">
    <w:p w14:paraId="71F5DB97" w14:textId="70833BCE" w:rsidR="00FD1C56" w:rsidRPr="004F2D34"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More information on this topic is included in the sections of this report dedicated to Article 19 of CRPD.</w:t>
      </w:r>
    </w:p>
  </w:footnote>
  <w:footnote w:id="202">
    <w:p w14:paraId="7FF62544" w14:textId="759A3203" w:rsidR="00FD1C56" w:rsidRPr="0003085A"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 xml:space="preserve">As regards medical rehabilitation, nursing homes do not have any particular obligations. Act on social assistance only provides that they are to </w:t>
      </w:r>
      <w:r>
        <w:rPr>
          <w:rFonts w:ascii="Arial" w:hAnsi="Arial"/>
          <w:i/>
          <w:sz w:val="16"/>
        </w:rPr>
        <w:t>enable and organise for residents assistance in using healthcare services</w:t>
      </w:r>
      <w:r>
        <w:rPr>
          <w:rFonts w:ascii="Arial" w:hAnsi="Arial"/>
          <w:sz w:val="16"/>
        </w:rPr>
        <w:t xml:space="preserve"> (Article 58(2)).</w:t>
      </w:r>
    </w:p>
  </w:footnote>
  <w:footnote w:id="203">
    <w:p w14:paraId="210093D2" w14:textId="377D97C0" w:rsidR="00FD1C56" w:rsidRPr="0003085A"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 xml:space="preserve">Resolution of the Minister of Labour and Social Policy of 23 August 2012 on nursing homes (Polish Journal of Laws item 964). </w:t>
      </w:r>
    </w:p>
  </w:footnote>
  <w:footnote w:id="204">
    <w:p w14:paraId="2E33AB58" w14:textId="093527BC" w:rsidR="00FD1C56" w:rsidRPr="0003085A"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Resolution of the Minister of Labour and Social Policy of 14 March 2012 on sheltered residence (Polish Journal of Laws item 305).</w:t>
      </w:r>
    </w:p>
  </w:footnote>
  <w:footnote w:id="205">
    <w:p w14:paraId="0F411076" w14:textId="10E1AE2A" w:rsidR="00FD1C56" w:rsidRPr="005C6626" w:rsidRDefault="00FD1C56" w:rsidP="001F0CDD">
      <w:pPr>
        <w:pStyle w:val="Tekstprzypisudolnego"/>
        <w:ind w:left="227" w:hanging="227"/>
        <w:jc w:val="both"/>
        <w:rPr>
          <w:rFonts w:ascii="Arial" w:hAnsi="Arial" w:cs="Arial"/>
          <w:color w:val="FF0000"/>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Source: Local Data Bank of the Central Statistical Office, data for 2012, available at www.stat.gov.pl.</w:t>
      </w:r>
    </w:p>
  </w:footnote>
  <w:footnote w:id="206">
    <w:p w14:paraId="4E2128E7" w14:textId="1BD4FD68" w:rsidR="00FD1C56" w:rsidRPr="00502C7B"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See: http://orka.sejm.gov.pl/Druki7ka.nsf/0/B8107E8F9AB94B64C1257CB700339155/%24File/2303.pdf</w:t>
      </w:r>
    </w:p>
  </w:footnote>
  <w:footnote w:id="207">
    <w:p w14:paraId="310FEDBF" w14:textId="0CC7C7B9" w:rsidR="00FD1C56" w:rsidRPr="00712512"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sidRPr="002B305E">
        <w:rPr>
          <w:rFonts w:ascii="Arial" w:hAnsi="Arial"/>
          <w:sz w:val="16"/>
          <w:lang w:val="pl-PL"/>
        </w:rPr>
        <w:t xml:space="preserve"> </w:t>
      </w:r>
      <w:r w:rsidRPr="002B305E">
        <w:rPr>
          <w:lang w:val="pl-PL"/>
        </w:rPr>
        <w:tab/>
      </w:r>
      <w:r w:rsidRPr="002B305E">
        <w:rPr>
          <w:rFonts w:ascii="Arial" w:hAnsi="Arial"/>
          <w:sz w:val="16"/>
          <w:lang w:val="pl-PL"/>
        </w:rPr>
        <w:t xml:space="preserve">Czapiński Janusz </w:t>
      </w:r>
      <w:r w:rsidRPr="002B305E">
        <w:rPr>
          <w:rFonts w:ascii="Arial" w:hAnsi="Arial"/>
          <w:i/>
          <w:sz w:val="16"/>
          <w:lang w:val="pl-PL"/>
        </w:rPr>
        <w:t>Niepełnosprawność [Disability]</w:t>
      </w:r>
      <w:r w:rsidRPr="002B305E">
        <w:rPr>
          <w:rFonts w:ascii="Arial" w:hAnsi="Arial"/>
          <w:sz w:val="16"/>
          <w:lang w:val="pl-PL"/>
        </w:rPr>
        <w:t xml:space="preserve">, in: “Rynek pracy i wykluczenie społeczne w kontekście percepcji Polaków. </w:t>
      </w:r>
      <w:r>
        <w:rPr>
          <w:rFonts w:ascii="Arial" w:hAnsi="Arial"/>
          <w:sz w:val="16"/>
        </w:rPr>
        <w:t xml:space="preserve">Diagnoza społeczna 2013” </w:t>
      </w:r>
      <w:r>
        <w:rPr>
          <w:rFonts w:ascii="Arial" w:hAnsi="Arial"/>
          <w:i/>
          <w:sz w:val="16"/>
        </w:rPr>
        <w:t>[Labour market and social exclusion as perceived by Poles. 2013 Social diagnosis]</w:t>
      </w:r>
      <w:r>
        <w:rPr>
          <w:rFonts w:ascii="Arial" w:hAnsi="Arial"/>
          <w:sz w:val="16"/>
        </w:rPr>
        <w:t>, ed. I. E. Kotowska, Warsaw 2014, p. 213.</w:t>
      </w:r>
    </w:p>
  </w:footnote>
  <w:footnote w:id="208">
    <w:p w14:paraId="4B207DC5" w14:textId="265C806C" w:rsidR="00FD1C56" w:rsidRPr="00712512"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Resolution of the Minister of Labour and Social Policy of 14 January 2014 on social rehabilitation classes in nursing homes for persons with mental disorders (Polish Journal of Laws item 250).</w:t>
      </w:r>
    </w:p>
  </w:footnote>
  <w:footnote w:id="209">
    <w:p w14:paraId="3885D00D" w14:textId="6E895A5C" w:rsidR="00FD1C56" w:rsidRPr="00BA376D"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https://www.mir.gov.pl/fundusze/Fundusze_Europejskie_2014_2020/Documents/PO_WER_08012014.pdf</w:t>
      </w:r>
    </w:p>
  </w:footnote>
  <w:footnote w:id="210">
    <w:p w14:paraId="008B4244" w14:textId="12B57984" w:rsidR="00FD1C56" w:rsidRPr="002B305E" w:rsidRDefault="00FD1C56" w:rsidP="001F0CDD">
      <w:pPr>
        <w:pStyle w:val="Tekstprzypisudolnego"/>
        <w:ind w:left="227" w:hanging="227"/>
        <w:jc w:val="both"/>
        <w:rPr>
          <w:rFonts w:ascii="Arial" w:hAnsi="Arial" w:cs="Arial"/>
          <w:sz w:val="16"/>
          <w:szCs w:val="16"/>
          <w:lang w:val="pl-PL"/>
        </w:rPr>
      </w:pPr>
      <w:r>
        <w:rPr>
          <w:rStyle w:val="Odwoanieprzypisudolnego"/>
          <w:rFonts w:ascii="Arial" w:hAnsi="Arial"/>
          <w:sz w:val="16"/>
        </w:rPr>
        <w:footnoteRef/>
      </w:r>
      <w:r w:rsidRPr="002B305E">
        <w:rPr>
          <w:rFonts w:ascii="Arial" w:hAnsi="Arial"/>
          <w:sz w:val="16"/>
          <w:lang w:val="pl-PL"/>
        </w:rPr>
        <w:t xml:space="preserve"> </w:t>
      </w:r>
      <w:r w:rsidRPr="002B305E">
        <w:rPr>
          <w:lang w:val="pl-PL"/>
        </w:rPr>
        <w:tab/>
      </w:r>
      <w:r w:rsidRPr="002B305E">
        <w:rPr>
          <w:rFonts w:ascii="Arial" w:hAnsi="Arial"/>
          <w:sz w:val="16"/>
          <w:lang w:val="pl-PL"/>
        </w:rPr>
        <w:t>Czapiński, op. cit., p. 209 et seq.</w:t>
      </w:r>
    </w:p>
  </w:footnote>
  <w:footnote w:id="211">
    <w:p w14:paraId="7979DF60" w14:textId="570367A9" w:rsidR="00FD1C56" w:rsidRPr="002B305E" w:rsidRDefault="00FD1C56" w:rsidP="001F0CDD">
      <w:pPr>
        <w:pStyle w:val="Tekstprzypisudolnego"/>
        <w:ind w:left="227" w:hanging="227"/>
        <w:jc w:val="both"/>
        <w:rPr>
          <w:rFonts w:ascii="Arial" w:hAnsi="Arial" w:cs="Arial"/>
          <w:sz w:val="16"/>
          <w:szCs w:val="16"/>
          <w:lang w:val="pl-PL"/>
        </w:rPr>
      </w:pPr>
      <w:r>
        <w:rPr>
          <w:rStyle w:val="Odwoanieprzypisudolnego"/>
          <w:rFonts w:ascii="Arial" w:hAnsi="Arial"/>
          <w:sz w:val="16"/>
        </w:rPr>
        <w:footnoteRef/>
      </w:r>
      <w:r>
        <w:rPr>
          <w:rFonts w:ascii="Arial" w:hAnsi="Arial"/>
          <w:sz w:val="16"/>
        </w:rPr>
        <w:t xml:space="preserve"> </w:t>
      </w:r>
      <w:r>
        <w:tab/>
      </w:r>
      <w:r>
        <w:rPr>
          <w:rFonts w:ascii="Arial" w:hAnsi="Arial"/>
          <w:sz w:val="16"/>
        </w:rPr>
        <w:t xml:space="preserve">Seweryn Rudnicki describes this phenomenon as a significant discrimination: institutional systems generate complexity and burden the person with disabilities with the necessity to reduce that complexity. </w:t>
      </w:r>
      <w:r w:rsidRPr="002B305E">
        <w:rPr>
          <w:rFonts w:ascii="Arial" w:hAnsi="Arial"/>
          <w:sz w:val="16"/>
          <w:lang w:val="pl-PL"/>
        </w:rPr>
        <w:t xml:space="preserve">See: S. Rudnicki </w:t>
      </w:r>
      <w:r w:rsidRPr="002B305E">
        <w:rPr>
          <w:rFonts w:ascii="Arial" w:hAnsi="Arial"/>
          <w:i/>
          <w:sz w:val="16"/>
          <w:lang w:val="pl-PL"/>
        </w:rPr>
        <w:t>Niepełnosprawność i złożoność [Disability and complexity]</w:t>
      </w:r>
      <w:r w:rsidRPr="002B305E">
        <w:rPr>
          <w:rFonts w:ascii="Arial" w:hAnsi="Arial"/>
          <w:sz w:val="16"/>
          <w:lang w:val="pl-PL"/>
        </w:rPr>
        <w:t xml:space="preserve">, in: “Studia Socjologiczne” </w:t>
      </w:r>
      <w:r w:rsidRPr="002B305E">
        <w:rPr>
          <w:rFonts w:ascii="Arial" w:hAnsi="Arial"/>
          <w:i/>
          <w:sz w:val="16"/>
          <w:lang w:val="pl-PL"/>
        </w:rPr>
        <w:t>[Sociology Studies]</w:t>
      </w:r>
      <w:r w:rsidRPr="002B305E">
        <w:rPr>
          <w:rFonts w:ascii="Arial" w:hAnsi="Arial"/>
          <w:sz w:val="16"/>
          <w:lang w:val="pl-PL"/>
        </w:rPr>
        <w:t xml:space="preserve"> no. 2/2104, p. 43-61.</w:t>
      </w:r>
    </w:p>
  </w:footnote>
  <w:footnote w:id="212">
    <w:p w14:paraId="537B5A50" w14:textId="67A6AEB3" w:rsidR="00FD1C56" w:rsidRPr="000C119D"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Report on the realisation of the substantive-financial plan of the State Fund for Rehabilitation of the Disabled Persons in 2013, last access 4 March 2015 at http://www.pfron.org.pl/bip/budzet-funduszu/1076,Sprawozdania-z-realizacji-planu-rzeczowo-finansowego-z-dzialalnosci-PFRON-w-lata.html.</w:t>
      </w:r>
    </w:p>
  </w:footnote>
  <w:footnote w:id="213">
    <w:p w14:paraId="3E449EC8" w14:textId="3B4A498B" w:rsidR="00FD1C56" w:rsidRPr="000C119D"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Reports on the realisation of the substantive-financial plan of the State Fund for Rehabilitation of the Disabled Persons in 2011, 2012 and 2013, last access 4 March 2015 at http://www.pfron.org.pl/bip/budzet-funduszu/1076,Sprawozdania-z-realizacji-planu-rzeczowo-finansowego-z-dzialalnosci-PFRON-w-lata.html.</w:t>
      </w:r>
    </w:p>
  </w:footnote>
  <w:footnote w:id="214">
    <w:p w14:paraId="698C31D3" w14:textId="53DA4342" w:rsidR="00FD1C56" w:rsidRPr="00BA376D"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Obtaining additional financing from PFRON requires troublesome actions from persons with disabilities, in the form of applying to two different bodies, which makes the access procedures much more complex. Access to those articles should be in its entirety covered by the financing from the National Health Fund.</w:t>
      </w:r>
    </w:p>
  </w:footnote>
  <w:footnote w:id="215">
    <w:p w14:paraId="42605D52" w14:textId="3F7E43EC" w:rsidR="00FD1C56" w:rsidRPr="004E093B"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Article 65 of the Polish Constitution.</w:t>
      </w:r>
    </w:p>
  </w:footnote>
  <w:footnote w:id="216">
    <w:p w14:paraId="05E8DB53" w14:textId="6A00820F" w:rsidR="00FD1C56" w:rsidRPr="004E093B"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Article 69 of the Polish Constitution.</w:t>
      </w:r>
    </w:p>
  </w:footnote>
  <w:footnote w:id="217">
    <w:p w14:paraId="5132AC09" w14:textId="308A64AC" w:rsidR="00FD1C56" w:rsidRPr="004E093B" w:rsidRDefault="00FD1C56" w:rsidP="001F0CDD">
      <w:pPr>
        <w:spacing w:after="0"/>
        <w:ind w:left="227" w:hanging="227"/>
        <w:jc w:val="both"/>
        <w:rPr>
          <w:rFonts w:ascii="Arial" w:eastAsia="Times New Roman" w:hAnsi="Arial" w:cs="Arial"/>
          <w:sz w:val="16"/>
          <w:szCs w:val="16"/>
          <w:lang w:eastAsia="pl-PL"/>
        </w:rPr>
      </w:pPr>
      <w:r>
        <w:rPr>
          <w:rStyle w:val="Odwoanieprzypisudolnego"/>
          <w:rFonts w:ascii="Arial" w:hAnsi="Arial"/>
          <w:sz w:val="16"/>
        </w:rPr>
        <w:footnoteRef/>
      </w:r>
      <w:r>
        <w:rPr>
          <w:rFonts w:ascii="Arial" w:hAnsi="Arial"/>
          <w:sz w:val="16"/>
        </w:rPr>
        <w:t xml:space="preserve"> </w:t>
      </w:r>
      <w:r>
        <w:tab/>
      </w:r>
      <w:r>
        <w:rPr>
          <w:rFonts w:ascii="Arial" w:hAnsi="Arial"/>
          <w:color w:val="000000"/>
          <w:sz w:val="16"/>
        </w:rPr>
        <w:t xml:space="preserve">Decision of the Constitutional Tribunal of 23 October 2007, case file no. P 28/07, OTK-A 2007/9/106, Polish Journal of Laws of 2007, no. 200, item 1446. </w:t>
      </w:r>
    </w:p>
  </w:footnote>
  <w:footnote w:id="218">
    <w:p w14:paraId="1FFEA78B" w14:textId="4844F18D" w:rsidR="00FD1C56" w:rsidRPr="00463080" w:rsidRDefault="00FD1C56" w:rsidP="001F0CDD">
      <w:pPr>
        <w:pStyle w:val="Tekstprzypisudolnego"/>
        <w:ind w:left="227" w:hanging="227"/>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More information on this topic is included in the sections of this report dedicated to Article 5 of CRPD.</w:t>
      </w:r>
    </w:p>
  </w:footnote>
  <w:footnote w:id="219">
    <w:p w14:paraId="076E43E9" w14:textId="68C841B7" w:rsidR="00FD1C56" w:rsidRPr="00463080" w:rsidRDefault="00FD1C56" w:rsidP="001F0CDD">
      <w:pPr>
        <w:pStyle w:val="Tekstprzypisudolnego"/>
        <w:ind w:left="227" w:hanging="227"/>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 xml:space="preserve">Certain entitlements are awarded to employers that hire an employee with disabilities, if certain additional conditions are met (e.g. Article 26, 26e) or to employers who run a sheltered workplace (Article 32). </w:t>
      </w:r>
    </w:p>
  </w:footnote>
  <w:footnote w:id="220">
    <w:p w14:paraId="2C2FEEE7" w14:textId="2D862744" w:rsidR="00FD1C56" w:rsidRPr="00F07A8A" w:rsidRDefault="00FD1C56" w:rsidP="001F0CDD">
      <w:pPr>
        <w:pStyle w:val="Tekstprzypisudolnego"/>
        <w:ind w:left="227" w:hanging="227"/>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 xml:space="preserve">The Act of 20 April 2004 on promotion of employment and labour market institutions (Polish Journal of Laws of 2013, item 674 as amended). If a person with disabilities that does not have the status of an unemployed person but is looking for work, is not employed and is registered in the poviat employment office wishes to take advantage of the labour market services or instruments, such services and instruments are financed from the funds of PFRON, instead of the funds of the Employment Fund. </w:t>
      </w:r>
    </w:p>
  </w:footnote>
  <w:footnote w:id="221">
    <w:p w14:paraId="45ECE2AB" w14:textId="3B4D9E85" w:rsidR="00FD1C56" w:rsidRPr="00F07A8A" w:rsidRDefault="00FD1C56" w:rsidP="001F0CDD">
      <w:pPr>
        <w:pStyle w:val="Tekstprzypisudolnego"/>
        <w:ind w:left="227" w:hanging="227"/>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Act of 27 April 2006 on social collectives (Polish Journal of Laws no. 94, item 651, as amended), Act of 13 June 2003 on social employment, (Polish Journal of Laws of 2011 no. 43 item 225 as amended).</w:t>
      </w:r>
    </w:p>
  </w:footnote>
  <w:footnote w:id="222">
    <w:p w14:paraId="2BC0904A" w14:textId="2BC72CCF" w:rsidR="00FD1C56" w:rsidRPr="00FF0B41" w:rsidRDefault="00FD1C56" w:rsidP="001F0CDD">
      <w:pPr>
        <w:pStyle w:val="Tekstprzypisudolnego"/>
        <w:ind w:left="227" w:hanging="227"/>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Article 22(2) and Article 29(4)(1b) of the Act of 29 January 2004 – Public Procurement Law (Polish Journal of Laws of 2013, item 907 as amended).</w:t>
      </w:r>
    </w:p>
  </w:footnote>
  <w:footnote w:id="223">
    <w:p w14:paraId="156C3C61" w14:textId="0BB18FF7" w:rsidR="00FD1C56" w:rsidRPr="003A2200" w:rsidRDefault="00FD1C56" w:rsidP="001F0CDD">
      <w:pPr>
        <w:pStyle w:val="Tekstprzypisudolnego"/>
        <w:ind w:left="227" w:hanging="227"/>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 xml:space="preserve">Information on the results of an inspection: </w:t>
      </w:r>
      <w:r>
        <w:rPr>
          <w:rFonts w:ascii="Arial" w:hAnsi="Arial"/>
          <w:i/>
          <w:sz w:val="16"/>
        </w:rPr>
        <w:t>Zatrudnianie osób niepełnosprawnych w służbie cywilnej [Employing persons with disabilities in civil service]</w:t>
      </w:r>
      <w:r>
        <w:rPr>
          <w:rFonts w:ascii="Arial" w:hAnsi="Arial"/>
          <w:sz w:val="16"/>
        </w:rPr>
        <w:t>, Chancellery of the Prime Minister, Inspection and Supervision Division, 6 June 2013.</w:t>
      </w:r>
    </w:p>
  </w:footnote>
  <w:footnote w:id="224">
    <w:p w14:paraId="74551260" w14:textId="6E0EE8B8" w:rsidR="00FD1C56" w:rsidRPr="003A2200"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 xml:space="preserve">See e.g.: M. Paluszkiewicz, </w:t>
      </w:r>
      <w:r>
        <w:rPr>
          <w:rFonts w:ascii="Arial" w:hAnsi="Arial"/>
          <w:i/>
          <w:sz w:val="16"/>
        </w:rPr>
        <w:t>Agencje zatrudnienia po nowelizacji ustawy o promocji zatrudnienia i instytucjach rynku pracy</w:t>
      </w:r>
      <w:r>
        <w:rPr>
          <w:rFonts w:ascii="Arial" w:hAnsi="Arial"/>
          <w:sz w:val="16"/>
        </w:rPr>
        <w:t xml:space="preserve"> </w:t>
      </w:r>
      <w:r>
        <w:rPr>
          <w:rFonts w:ascii="Arial" w:hAnsi="Arial"/>
          <w:i/>
          <w:sz w:val="16"/>
        </w:rPr>
        <w:t>[Employment agencies following the revision of the act on promotion of employment and labour market institutions]</w:t>
      </w:r>
      <w:r>
        <w:rPr>
          <w:rFonts w:ascii="Arial" w:hAnsi="Arial"/>
          <w:sz w:val="16"/>
        </w:rPr>
        <w:t xml:space="preserve">, “Praca i Zabezpieczenie Społeczne”  </w:t>
      </w:r>
      <w:r>
        <w:rPr>
          <w:rFonts w:ascii="Arial" w:hAnsi="Arial"/>
          <w:i/>
          <w:sz w:val="16"/>
        </w:rPr>
        <w:t>[Work and Social Security]</w:t>
      </w:r>
      <w:r>
        <w:rPr>
          <w:rFonts w:ascii="Arial" w:hAnsi="Arial"/>
          <w:sz w:val="16"/>
        </w:rPr>
        <w:t xml:space="preserve"> no. 6/2014, p. 15-16.</w:t>
      </w:r>
    </w:p>
  </w:footnote>
  <w:footnote w:id="225">
    <w:p w14:paraId="7EAEF577" w14:textId="4D02DC78" w:rsidR="00FD1C56" w:rsidRPr="003A2200" w:rsidRDefault="00FD1C56" w:rsidP="001F0CDD">
      <w:pPr>
        <w:spacing w:after="0" w:line="240" w:lineRule="auto"/>
        <w:ind w:left="227" w:hanging="227"/>
        <w:jc w:val="both"/>
        <w:rPr>
          <w:rFonts w:ascii="Arial" w:eastAsia="Times New Roman" w:hAnsi="Arial" w:cs="Arial"/>
          <w:sz w:val="16"/>
          <w:szCs w:val="16"/>
          <w:lang w:eastAsia="pl-PL"/>
        </w:rPr>
      </w:pPr>
      <w:r>
        <w:rPr>
          <w:rStyle w:val="Odwoanieprzypisudolnego"/>
          <w:rFonts w:ascii="Arial" w:hAnsi="Arial"/>
          <w:sz w:val="16"/>
        </w:rPr>
        <w:footnoteRef/>
      </w:r>
      <w:r>
        <w:rPr>
          <w:rFonts w:ascii="Arial" w:hAnsi="Arial"/>
          <w:sz w:val="16"/>
        </w:rPr>
        <w:t xml:space="preserve"> </w:t>
      </w:r>
      <w:r>
        <w:tab/>
      </w:r>
      <w:r>
        <w:rPr>
          <w:rFonts w:ascii="Arial" w:hAnsi="Arial"/>
          <w:sz w:val="16"/>
        </w:rPr>
        <w:t>The project implemented by PFRON together with PFON, POPON and KARE from 31 December 2012 to 31 December 2014, financed from EU funds under Priority I, Employment and social integration, Operational Programme Human Capital 2007-2013. </w:t>
      </w:r>
    </w:p>
  </w:footnote>
  <w:footnote w:id="226">
    <w:p w14:paraId="190BDB88" w14:textId="130EFEB6" w:rsidR="00FD1C56" w:rsidRPr="003A2200"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 xml:space="preserve">Operational Programme Knowledge, Education, Development 2014-2020, legal status as at January 2014, Ministry of Infrastructure and Development. </w:t>
      </w:r>
    </w:p>
  </w:footnote>
  <w:footnote w:id="227">
    <w:p w14:paraId="76F1A946" w14:textId="41F84138" w:rsidR="00FD1C56" w:rsidRPr="003A2200"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 xml:space="preserve">However, there are exceptions. One of them was a case of refusing employment to a person on a wheel chair, ruling of the Supreme Court of 12 April 2012, case file no. II PK 218/11, OSNP no. 9-10/2013, item 105. </w:t>
      </w:r>
    </w:p>
  </w:footnote>
  <w:footnote w:id="228">
    <w:p w14:paraId="2FF7DD77" w14:textId="6BEAD6B0" w:rsidR="00FD1C56" w:rsidRPr="003A2200" w:rsidRDefault="00FD1C56" w:rsidP="001F0CDD">
      <w:pPr>
        <w:pStyle w:val="Akapitzlist"/>
        <w:spacing w:after="0" w:line="240" w:lineRule="aut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 xml:space="preserve">The cases pertaining to discrimination were based on the ground of gender, age, memberships in unions and nationality. </w:t>
      </w:r>
    </w:p>
  </w:footnote>
  <w:footnote w:id="229">
    <w:p w14:paraId="52F7DB99" w14:textId="2B3B0A83" w:rsidR="00FD1C56" w:rsidRPr="003A2200"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More information on this topic is included in the sections of this report dedicated to Article 5 of CRPD.</w:t>
      </w:r>
    </w:p>
  </w:footnote>
  <w:footnote w:id="230">
    <w:p w14:paraId="09B04D5C" w14:textId="33D70D7F" w:rsidR="00FD1C56" w:rsidRPr="003A2200"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 xml:space="preserve">L. Klyszcz, Pułapka świadczeniowa a aktywność zawodowa i społeczna osób niepełnosprawnych, </w:t>
      </w:r>
      <w:r>
        <w:rPr>
          <w:rFonts w:ascii="Arial" w:hAnsi="Arial"/>
          <w:i/>
          <w:sz w:val="16"/>
        </w:rPr>
        <w:t>[Benefit trap versus vocational and social activity of persons with disabilities]</w:t>
      </w:r>
      <w:r>
        <w:rPr>
          <w:rFonts w:ascii="Arial" w:hAnsi="Arial"/>
          <w:sz w:val="16"/>
        </w:rPr>
        <w:t xml:space="preserve"> Kraków 2011, A. Waszkielewicz,  Najważniejsze wyzwania po ratyfikacji przez Polskę Konwencji ONZ o Prawach Osób Niepełnosprawnych, Warszawa 2012 r. </w:t>
      </w:r>
      <w:r>
        <w:rPr>
          <w:rFonts w:ascii="Arial" w:hAnsi="Arial"/>
          <w:i/>
          <w:sz w:val="16"/>
        </w:rPr>
        <w:t>[Major challenges following ratification by Poland of the UN Convention on the Rights of Persons with Disabilities]</w:t>
      </w:r>
      <w:r>
        <w:rPr>
          <w:rFonts w:ascii="Arial" w:hAnsi="Arial"/>
          <w:sz w:val="16"/>
        </w:rPr>
        <w:t>, p. 63.</w:t>
      </w:r>
    </w:p>
  </w:footnote>
  <w:footnote w:id="231">
    <w:p w14:paraId="4B946E8E" w14:textId="5C2D8878" w:rsidR="00FD1C56" w:rsidRPr="003A2200"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 xml:space="preserve">It is estimated that 44 % of employers hiring persons with disabilities dispenses with applying for co-financing to remuneration, as they are unwilling to complete bureaucratic procedures, B. Gąciarz, B. Giermanowska, </w:t>
      </w:r>
      <w:r>
        <w:rPr>
          <w:rFonts w:ascii="Arial" w:hAnsi="Arial"/>
          <w:i/>
          <w:sz w:val="16"/>
        </w:rPr>
        <w:t>Zatrudniając niepełnosprawnych. Wiedza, opinie, doświadczenia pracodawców</w:t>
      </w:r>
      <w:r>
        <w:rPr>
          <w:rFonts w:ascii="Arial" w:hAnsi="Arial"/>
          <w:sz w:val="16"/>
        </w:rPr>
        <w:t xml:space="preserve"> </w:t>
      </w:r>
      <w:r>
        <w:rPr>
          <w:rFonts w:ascii="Arial" w:hAnsi="Arial"/>
          <w:i/>
          <w:sz w:val="16"/>
        </w:rPr>
        <w:t>[Hiring persons with disabilities. Knowledge, opinions, experiences of employers]</w:t>
      </w:r>
      <w:r>
        <w:rPr>
          <w:rFonts w:ascii="Arial" w:hAnsi="Arial"/>
          <w:sz w:val="16"/>
        </w:rPr>
        <w:t xml:space="preserve">. Warsaw 2009, p. 56.   </w:t>
      </w:r>
    </w:p>
  </w:footnote>
  <w:footnote w:id="232">
    <w:p w14:paraId="186216E7" w14:textId="59D93A6F" w:rsidR="00FD1C56" w:rsidRPr="002616CA"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 xml:space="preserve">Information on the results of an inspection: </w:t>
      </w:r>
      <w:r>
        <w:rPr>
          <w:rFonts w:ascii="Arial" w:hAnsi="Arial"/>
          <w:i/>
          <w:sz w:val="16"/>
        </w:rPr>
        <w:t>Zatrudnianie osób niepełnosprawnych w służbie cywilnej [Employing persons with disabilities in civil service]</w:t>
      </w:r>
      <w:r>
        <w:rPr>
          <w:rFonts w:ascii="Arial" w:hAnsi="Arial"/>
          <w:sz w:val="16"/>
        </w:rPr>
        <w:t xml:space="preserve">, Chancellery of the Prime Minister, Inspection and Supervision Division, 6 June 2013, p. 5. </w:t>
      </w:r>
    </w:p>
  </w:footnote>
  <w:footnote w:id="233">
    <w:p w14:paraId="0615632E" w14:textId="25E84B9E" w:rsidR="00FD1C56" w:rsidRPr="00E92B9C"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 xml:space="preserve">Report on the activity of the State Labour Inspection for 2013, p. 145. </w:t>
      </w:r>
    </w:p>
  </w:footnote>
  <w:footnote w:id="234">
    <w:p w14:paraId="7D8A8538" w14:textId="5EA37B9D" w:rsidR="00FD1C56" w:rsidRPr="003A2200"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kern w:val="36"/>
          <w:sz w:val="16"/>
        </w:rPr>
        <w:t xml:space="preserve">Situation of persons with disabilities on the labour market in 2013. Analytic information on the situation of persons with disabilities on the labour market in 2013 on the basis of the results of the Labour Force Survey (LFS by the Central Statistical Office) from the first three quarters of 2013, available at </w:t>
      </w:r>
      <w:r w:rsidRPr="00A24802">
        <w:rPr>
          <w:rFonts w:ascii="Arial" w:hAnsi="Arial"/>
          <w:sz w:val="16"/>
        </w:rPr>
        <w:t>http://www.niepelnosprawni.gov.pl/niepelnosprawnosc-w-liczbach-/rynek-pracy/informacje-i-dane-dotyczace-rynk/</w:t>
      </w:r>
    </w:p>
  </w:footnote>
  <w:footnote w:id="235">
    <w:p w14:paraId="4625A74F" w14:textId="264AEDF5" w:rsidR="00FD1C56" w:rsidRPr="003A2200"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 xml:space="preserve">Data of the Central Statistical Office for the first quarter of 2014, available at </w:t>
      </w:r>
      <w:r w:rsidRPr="00A24802">
        <w:rPr>
          <w:rFonts w:ascii="Arial" w:hAnsi="Arial"/>
          <w:sz w:val="16"/>
        </w:rPr>
        <w:t>http://www.niepelnosprawni.gov.pl/niepelnosprawnosc-w-liczbach-/bael/</w:t>
      </w:r>
    </w:p>
  </w:footnote>
  <w:footnote w:id="236">
    <w:p w14:paraId="2D90662E" w14:textId="0D654AF6" w:rsidR="00FD1C56" w:rsidRPr="003A2200" w:rsidRDefault="00FD1C56" w:rsidP="001F0CDD">
      <w:pPr>
        <w:spacing w:after="0" w:line="240" w:lineRule="aut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Regulation of the European Commission no. 317/2010 of 16 April 2010 (Official Journal L of 17/04/2010, p. 3-9).</w:t>
      </w:r>
    </w:p>
  </w:footnote>
  <w:footnote w:id="237">
    <w:p w14:paraId="17ACBC71" w14:textId="01F96A3B" w:rsidR="00FD1C56" w:rsidRPr="003A2200"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Persons with disabilities on the labour market in 2011, Central Statistical Office, Warsaw, 2012, p. 15.</w:t>
      </w:r>
    </w:p>
  </w:footnote>
  <w:footnote w:id="238">
    <w:p w14:paraId="58C60AB3" w14:textId="586D0903" w:rsidR="00FD1C56" w:rsidRPr="002925D3" w:rsidRDefault="00FD1C56" w:rsidP="001F0CDD">
      <w:pPr>
        <w:pStyle w:val="Tekstprzypisudolnego"/>
        <w:ind w:left="227" w:hanging="227"/>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Persons with disabilities on the labour market in 2011, Central Statistical Office, Warsaw, 2012, p. 36.</w:t>
      </w:r>
    </w:p>
  </w:footnote>
  <w:footnote w:id="239">
    <w:p w14:paraId="40955217" w14:textId="2A61B1E8" w:rsidR="00FD1C56" w:rsidRPr="00F07A8A" w:rsidRDefault="00FD1C56" w:rsidP="001F0CDD">
      <w:pPr>
        <w:pStyle w:val="Tekstprzypisudolnego"/>
        <w:ind w:left="227" w:hanging="227"/>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 xml:space="preserve">Persons with disabilities on the labour market in 2011, Central Statistical Office, Warsaw, 2012, p. 50. </w:t>
      </w:r>
    </w:p>
  </w:footnote>
  <w:footnote w:id="240">
    <w:p w14:paraId="3B7B06C3" w14:textId="3CAED940" w:rsidR="00FD1C56" w:rsidRPr="00F07A8A" w:rsidRDefault="00FD1C56" w:rsidP="001F0CDD">
      <w:pPr>
        <w:pStyle w:val="Tekstprzypisudolnego"/>
        <w:ind w:left="227" w:hanging="227"/>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 xml:space="preserve">Persons with disabilities on the labour market in 2011, Central Statistical Office, Warsaw, 2012, p. 54-56. </w:t>
      </w:r>
    </w:p>
  </w:footnote>
  <w:footnote w:id="241">
    <w:p w14:paraId="79BF2879" w14:textId="62854EE8" w:rsidR="00FD1C56" w:rsidRPr="00F07A8A"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Persons with disabilities on the labour market in 2011, Central Statistical Office, Warsaw, 2012, p. 51-52.</w:t>
      </w:r>
    </w:p>
  </w:footnote>
  <w:footnote w:id="242">
    <w:p w14:paraId="3580AEA8" w14:textId="2F3116BD" w:rsidR="00FD1C56" w:rsidRPr="00F07A8A"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 xml:space="preserve">The project realised by the Faculty of Humanities at the Stanisław Staszic AGH University of Technology in Kraków in 2012-2014 under the scientific supervision of professor B. Gąciarz, financed by PFRON, Kraków 2014.   </w:t>
      </w:r>
    </w:p>
  </w:footnote>
  <w:footnote w:id="243">
    <w:p w14:paraId="24B930E2" w14:textId="09421F30" w:rsidR="00FD1C56" w:rsidRPr="00E241D9"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sidRPr="002B305E">
        <w:rPr>
          <w:rFonts w:ascii="Arial" w:hAnsi="Arial"/>
          <w:sz w:val="16"/>
          <w:lang w:val="pl-PL"/>
        </w:rPr>
        <w:t xml:space="preserve"> </w:t>
      </w:r>
      <w:r w:rsidRPr="002B305E">
        <w:rPr>
          <w:lang w:val="pl-PL"/>
        </w:rPr>
        <w:tab/>
      </w:r>
      <w:r w:rsidRPr="002B305E">
        <w:rPr>
          <w:rFonts w:ascii="Arial" w:hAnsi="Arial"/>
          <w:sz w:val="16"/>
          <w:lang w:val="pl-PL"/>
        </w:rPr>
        <w:t xml:space="preserve">E. Giermanowska (ed.) </w:t>
      </w:r>
      <w:r w:rsidRPr="002B305E">
        <w:rPr>
          <w:rFonts w:ascii="Arial" w:hAnsi="Arial"/>
          <w:i/>
          <w:sz w:val="16"/>
          <w:lang w:val="pl-PL"/>
        </w:rPr>
        <w:t xml:space="preserve">Zatrudniając niepełnosprawnych. Dobre praktyki pracodawców w Polsce i innych krajach Europy [Hiring persons with disabilities. </w:t>
      </w:r>
      <w:r>
        <w:rPr>
          <w:rFonts w:ascii="Arial" w:hAnsi="Arial"/>
          <w:i/>
          <w:sz w:val="16"/>
        </w:rPr>
        <w:t>Good practices of employers in Poland and in other countries of Europe]</w:t>
      </w:r>
      <w:r>
        <w:rPr>
          <w:rFonts w:ascii="Arial" w:hAnsi="Arial"/>
          <w:sz w:val="16"/>
        </w:rPr>
        <w:t xml:space="preserve">, Kraków 2014, p. 73. </w:t>
      </w:r>
    </w:p>
  </w:footnote>
  <w:footnote w:id="244">
    <w:p w14:paraId="6F951D60" w14:textId="48B335B3" w:rsidR="00FD1C56" w:rsidRPr="004345E5"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sidRPr="002B305E">
        <w:rPr>
          <w:rFonts w:ascii="Arial" w:hAnsi="Arial"/>
          <w:sz w:val="16"/>
          <w:lang w:val="pl-PL"/>
        </w:rPr>
        <w:t xml:space="preserve"> </w:t>
      </w:r>
      <w:r w:rsidRPr="002B305E">
        <w:rPr>
          <w:lang w:val="pl-PL"/>
        </w:rPr>
        <w:tab/>
      </w:r>
      <w:r w:rsidRPr="002B305E">
        <w:rPr>
          <w:rFonts w:ascii="Arial" w:hAnsi="Arial"/>
          <w:sz w:val="16"/>
          <w:lang w:val="pl-PL"/>
        </w:rPr>
        <w:t xml:space="preserve">E. Giermanowska (ed.) </w:t>
      </w:r>
      <w:r w:rsidRPr="002B305E">
        <w:rPr>
          <w:rFonts w:ascii="Arial" w:hAnsi="Arial"/>
          <w:i/>
          <w:sz w:val="16"/>
          <w:lang w:val="pl-PL"/>
        </w:rPr>
        <w:t xml:space="preserve">Zatrudniając niepełnosprawnych. Dobre praktyki pracodawców w Polsce i innych krajach Europy [Hiring persons with disabilities. </w:t>
      </w:r>
      <w:r>
        <w:rPr>
          <w:rFonts w:ascii="Arial" w:hAnsi="Arial"/>
          <w:i/>
          <w:sz w:val="16"/>
        </w:rPr>
        <w:t>Good practices of employers in Poland and in other countries of Europe]</w:t>
      </w:r>
      <w:r>
        <w:rPr>
          <w:rFonts w:ascii="Arial" w:hAnsi="Arial"/>
          <w:sz w:val="16"/>
        </w:rPr>
        <w:t>, Kraków 2014, p. 71-72.</w:t>
      </w:r>
    </w:p>
  </w:footnote>
  <w:footnote w:id="245">
    <w:p w14:paraId="4694CC75" w14:textId="4A4D8447" w:rsidR="00FD1C56" w:rsidRPr="004345E5" w:rsidRDefault="00FD1C56" w:rsidP="001F0CDD">
      <w:pPr>
        <w:pStyle w:val="Tekstprzypisudolnego"/>
        <w:ind w:left="227" w:hanging="227"/>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The topic of access to housing of persons with disabilities was discussed in the section of the report dedicated to realisation of Article 19 of CRPD.</w:t>
      </w:r>
    </w:p>
  </w:footnote>
  <w:footnote w:id="246">
    <w:p w14:paraId="55748396" w14:textId="5113D77F" w:rsidR="00FD1C56" w:rsidRPr="00077BD5"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Article 1(7) of the resolution of the Sejm of the Republic of Poland of 1 August 1997 – Charter of the Persons with Disabilities (M.P. no. 50, item 475).</w:t>
      </w:r>
    </w:p>
  </w:footnote>
  <w:footnote w:id="247">
    <w:p w14:paraId="71E8FE96" w14:textId="1A759C3F" w:rsidR="00FD1C56" w:rsidRPr="00833D75"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 xml:space="preserve">See e.g. A. Waszkielewicz, </w:t>
      </w:r>
      <w:r>
        <w:rPr>
          <w:rFonts w:ascii="Arial" w:hAnsi="Arial"/>
          <w:i/>
          <w:sz w:val="16"/>
        </w:rPr>
        <w:t>Zabezpieczenie społeczne osób niepełnosprawnych</w:t>
      </w:r>
      <w:r>
        <w:rPr>
          <w:rFonts w:ascii="Arial" w:hAnsi="Arial"/>
          <w:sz w:val="16"/>
        </w:rPr>
        <w:t xml:space="preserve"> </w:t>
      </w:r>
      <w:r>
        <w:rPr>
          <w:rFonts w:ascii="Arial" w:hAnsi="Arial"/>
          <w:i/>
          <w:sz w:val="16"/>
        </w:rPr>
        <w:t>[Social security of persons with disabilities]</w:t>
      </w:r>
      <w:r>
        <w:rPr>
          <w:rFonts w:ascii="Arial" w:hAnsi="Arial"/>
          <w:sz w:val="16"/>
        </w:rPr>
        <w:t xml:space="preserve">, in: A. Błaszczak (ed.), “Najważniejsze wyzwania po ratyfikacji przez Polskę Konwencji ONZ o prawach osób niepełnosprawnych” </w:t>
      </w:r>
      <w:r>
        <w:rPr>
          <w:rFonts w:ascii="Arial" w:hAnsi="Arial"/>
          <w:i/>
          <w:sz w:val="16"/>
        </w:rPr>
        <w:t>[Major challenges following ratification of the UN Convention on the Rights of Persons with Disabilities by Poland]</w:t>
      </w:r>
      <w:r>
        <w:rPr>
          <w:rFonts w:ascii="Arial" w:hAnsi="Arial"/>
          <w:sz w:val="16"/>
        </w:rPr>
        <w:t>, publishing house BRPO, Warsaw 2012, p. 56. et seq.</w:t>
      </w:r>
    </w:p>
  </w:footnote>
  <w:footnote w:id="248">
    <w:p w14:paraId="2D8E6197" w14:textId="6FAFB486" w:rsidR="00FD1C56" w:rsidRPr="00833D75"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Ruling of the Constitutional Tribunal of 5 December 2013, case file no. K 27/13.</w:t>
      </w:r>
    </w:p>
  </w:footnote>
  <w:footnote w:id="249">
    <w:p w14:paraId="4A42A03E" w14:textId="42AD669A" w:rsidR="00FD1C56" w:rsidRPr="00833D75"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At the moment, a proposal is under discussion to professionalise the care, i.e. treating care as a job, which will be remunerated by the state. Ultimately, the care benefit in this case would be set at the level of minimum pay.</w:t>
      </w:r>
    </w:p>
  </w:footnote>
  <w:footnote w:id="250">
    <w:p w14:paraId="790A41D0" w14:textId="73C14549" w:rsidR="00FD1C56" w:rsidRPr="00AD5984"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Data of the Social Insurance Institution (ZUS) of 2013.</w:t>
      </w:r>
    </w:p>
  </w:footnote>
  <w:footnote w:id="251">
    <w:p w14:paraId="198BB9DB" w14:textId="39404E1D" w:rsidR="00FD1C56" w:rsidRPr="00E571CE"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Act of 12 March 2004 on social assistance (Polish Journal of Laws of 2013, item 182, as amended).</w:t>
      </w:r>
    </w:p>
  </w:footnote>
  <w:footnote w:id="252">
    <w:p w14:paraId="2065D29D" w14:textId="16FAB5D6" w:rsidR="00FD1C56" w:rsidRPr="00E571CE"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Data after: Information of the Government of the Republic of Poland on the activities undertaken to realise the provisions of the resolution of the Sejm of the Republic of Poland of 1 August 1997 “Charter of Persons with Disabilities” for 2009 and 2012.</w:t>
      </w:r>
    </w:p>
  </w:footnote>
  <w:footnote w:id="253">
    <w:p w14:paraId="7D4D9285" w14:textId="3D4E9446" w:rsidR="00FD1C56" w:rsidRPr="00334178" w:rsidRDefault="00FD1C56" w:rsidP="00334178">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Data of the Central Statistical Office of 2014.</w:t>
      </w:r>
    </w:p>
  </w:footnote>
  <w:footnote w:id="254">
    <w:p w14:paraId="23FAEF14" w14:textId="59B48DC5" w:rsidR="00FD1C56" w:rsidRPr="0090292C"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 xml:space="preserve">A. Zaidi, </w:t>
      </w:r>
      <w:r>
        <w:rPr>
          <w:rFonts w:ascii="Arial" w:hAnsi="Arial"/>
          <w:i/>
          <w:sz w:val="16"/>
        </w:rPr>
        <w:t>The situation of working-age people with disabilities across the EU</w:t>
      </w:r>
      <w:r>
        <w:rPr>
          <w:rFonts w:ascii="Arial" w:hAnsi="Arial"/>
          <w:sz w:val="16"/>
        </w:rPr>
        <w:t>, Social Situation Observatory, 2011.</w:t>
      </w:r>
    </w:p>
    <w:p w14:paraId="6CB2A85B" w14:textId="77777777" w:rsidR="00FD1C56" w:rsidRPr="009D08E0" w:rsidRDefault="00FD1C56" w:rsidP="00B135A0">
      <w:pPr>
        <w:pStyle w:val="Tekstprzypisudolnego"/>
      </w:pPr>
    </w:p>
  </w:footnote>
  <w:footnote w:id="255">
    <w:p w14:paraId="1CF19FF3" w14:textId="51887C1B" w:rsidR="00FD1C56" w:rsidRPr="007F19C5"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Act of 5 January 2011 – Polish Election Code (Polish Journal of Laws no. 21 item 112 as amended, hereinafter referred to as: Election Code).</w:t>
      </w:r>
    </w:p>
  </w:footnote>
  <w:footnote w:id="256">
    <w:p w14:paraId="7C91EE89" w14:textId="5385D50F" w:rsidR="00FD1C56" w:rsidRPr="007F19C5"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See notes to the definition of disability applied in Poland, pages 9-11 of this report.</w:t>
      </w:r>
    </w:p>
  </w:footnote>
  <w:footnote w:id="257">
    <w:p w14:paraId="057905FE" w14:textId="2193EBDA" w:rsidR="00FD1C56" w:rsidRPr="00D3567B"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Specific guidelines regarding technical conditions of these places are regulated in the resolution of the Minister of Infrastructure of 29 July 2011 on the premises of district election committees adapted to the needs of persons with disabilities (Polish Journal of Laws no. 158 item 938).</w:t>
      </w:r>
    </w:p>
  </w:footnote>
  <w:footnote w:id="258">
    <w:p w14:paraId="0EE79D72" w14:textId="381DE248" w:rsidR="00FD1C56" w:rsidRPr="00D3567B"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 xml:space="preserve">See Communication no. 55/2014 on CBOS study in cooperation with the Human Rights Defender – </w:t>
      </w:r>
      <w:r>
        <w:rPr>
          <w:rFonts w:ascii="Arial" w:hAnsi="Arial"/>
          <w:i/>
          <w:sz w:val="16"/>
        </w:rPr>
        <w:t>Ułatwienia w głosowaniu – opinie, oczekiwania i wiedza [Voting facilitations – opinions, expectations and knowledge]</w:t>
      </w:r>
      <w:r>
        <w:rPr>
          <w:rFonts w:ascii="Arial" w:hAnsi="Arial"/>
          <w:sz w:val="16"/>
        </w:rPr>
        <w:t>, Warsaw 2014.</w:t>
      </w:r>
    </w:p>
  </w:footnote>
  <w:footnote w:id="259">
    <w:p w14:paraId="668FCC6B" w14:textId="589A7240" w:rsidR="00FD1C56" w:rsidRPr="00860684"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Ibidem.</w:t>
      </w:r>
    </w:p>
  </w:footnote>
  <w:footnote w:id="260">
    <w:p w14:paraId="35A212F1" w14:textId="267F8E97" w:rsidR="00FD1C56" w:rsidRPr="001E374C"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Article 492(1)(6) of the Election Code.</w:t>
      </w:r>
    </w:p>
  </w:footnote>
  <w:footnote w:id="261">
    <w:p w14:paraId="25BD7ADF" w14:textId="48E86563" w:rsidR="00FD1C56" w:rsidRPr="001E374C"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Ruling of the Constitutional Tribunal of 23 January 2014, case file no. K 51/12.</w:t>
      </w:r>
    </w:p>
  </w:footnote>
  <w:footnote w:id="262">
    <w:p w14:paraId="711F9640" w14:textId="168664B4" w:rsidR="00FD1C56" w:rsidRPr="001E374C"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More information on this topic is included in the sections of this report discussing Article 12 of CRPD.</w:t>
      </w:r>
    </w:p>
  </w:footnote>
  <w:footnote w:id="263">
    <w:p w14:paraId="63D3FBE6" w14:textId="3CD209C9" w:rsidR="00FD1C56" w:rsidRPr="00763385"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 xml:space="preserve">Decision of the Committee on the Rights of Persons with Disabilities of 9 September 2013 no. CRPD/C/10/D/4/2011 in the matter of </w:t>
      </w:r>
      <w:r>
        <w:rPr>
          <w:rFonts w:ascii="Arial" w:hAnsi="Arial"/>
          <w:i/>
          <w:sz w:val="16"/>
        </w:rPr>
        <w:t>Zsolt Bujdsó et al versus Hungary</w:t>
      </w:r>
      <w:r>
        <w:rPr>
          <w:rFonts w:ascii="Arial" w:hAnsi="Arial"/>
          <w:sz w:val="16"/>
        </w:rPr>
        <w:t>, complaint no. 4/2011.</w:t>
      </w:r>
    </w:p>
  </w:footnote>
  <w:footnote w:id="264">
    <w:p w14:paraId="5673A110" w14:textId="60CE26EE" w:rsidR="00FD1C56" w:rsidRPr="00763385"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This problem was raised in the general notice of the Human Rights Defender to the Prime Minister of 15 April 2014, reference no.: I.602.4.2014.JZ.</w:t>
      </w:r>
    </w:p>
  </w:footnote>
  <w:footnote w:id="265">
    <w:p w14:paraId="2CF6BBFB" w14:textId="3E67F811" w:rsidR="00FD1C56" w:rsidRPr="004A2F4B"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Article 3(1) of the Act of 7 April 1989 – Law on Associations (Polish Journal of Laws of 2001, no. 79, item 855, as amended). The Ombudsman is aware of a case where the registration court refuse to register an association, whose articles of association provided that persons with mental disorders may be members of that association. It must be emphasized that it is an unacceptable extensive interpretation, because the very fact of mental disability does not mean that the given person has no capacity for legal acts.</w:t>
      </w:r>
    </w:p>
  </w:footnote>
  <w:footnote w:id="266">
    <w:p w14:paraId="10964582" w14:textId="35A472DA" w:rsidR="00FD1C56" w:rsidRPr="004A2F4B"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Article 3(1) of the Act of 5 July 1990 – Law on Assemblies (Polish Journal of Laws of 2013 item 397).</w:t>
      </w:r>
    </w:p>
  </w:footnote>
  <w:footnote w:id="267">
    <w:p w14:paraId="6FF53DFA" w14:textId="038F3F39" w:rsidR="00FD1C56" w:rsidRPr="004A2F4B"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The Human Rights Defender filed a motion with the Constitutional Tribunal, in which the Ombudsman questioned the compliance of the provision excluding the right of legally incapacitated persons to organise public assemblies with the Constitution. One of the standards used by the Human Rights Defender during the inspection was the provision of Article 29 of CRPD. In the ruling of 18 September 2014 (case file no. K 44/12), the Constitutional Tribunal recognized, however, that the aforementioned provision complies with the Polish Constitution and with Article 29 of the Convention.</w:t>
      </w:r>
    </w:p>
  </w:footnote>
  <w:footnote w:id="268">
    <w:p w14:paraId="2E57910A" w14:textId="6D9FB010" w:rsidR="00FD1C56" w:rsidRPr="00B97F13"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Act of 4 February 1994 on copyright and derivative rights (Polish Journal of Laws of 2006, no. 90, item 631, as amended).</w:t>
      </w:r>
    </w:p>
  </w:footnote>
  <w:footnote w:id="269">
    <w:p w14:paraId="7063F1CA" w14:textId="7C5C08E4" w:rsidR="00FD1C56" w:rsidRPr="00B97F13"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Act of 29 December 1992 on radio and television (Polish Journal of Laws of 2011, no. 43, item 226, as amended).</w:t>
      </w:r>
    </w:p>
  </w:footnote>
  <w:footnote w:id="270">
    <w:p w14:paraId="453FC553" w14:textId="419E368E" w:rsidR="00FD1C56" w:rsidRPr="00B97F13"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Act of 25 June 2010 on sport (Polish Journal of Laws of 2014 item 715).</w:t>
      </w:r>
    </w:p>
  </w:footnote>
  <w:footnote w:id="271">
    <w:p w14:paraId="3A81CD35" w14:textId="1A90321A" w:rsidR="00FD1C56" w:rsidRPr="008E53A2"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These changes were introduced by means of the Act of 7 December 2012 on nature protection and of the Act on vocational and social rehabilitation and employment of persons with disabilities (Polish Journal of Laws of 2013 item 73).</w:t>
      </w:r>
    </w:p>
  </w:footnote>
  <w:footnote w:id="272">
    <w:p w14:paraId="20AA2BBE" w14:textId="72994198" w:rsidR="00FD1C56" w:rsidRPr="008E53A2"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p>
  </w:footnote>
  <w:footnote w:id="273">
    <w:p w14:paraId="3B5CE86C" w14:textId="218CBE33" w:rsidR="00FD1C56" w:rsidRPr="008E53A2"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The Human Rights Defender sent notices to the Head of the National Radio and Television Council regarding the interpretation of Article 18a of the Act on radio and television of 21 January 2013, reference no.: RPO-715848-I/12/KK and to the Minister of Culture and National Heritage on the imprecise character of Article 18a of the Act on radio and television of 22 July 2013, reference no.: RPO-715848-I/12/KK.</w:t>
      </w:r>
    </w:p>
  </w:footnote>
  <w:footnote w:id="274">
    <w:p w14:paraId="764D4D40" w14:textId="79018270" w:rsidR="00FD1C56" w:rsidRPr="0056261D"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According to the Ombudsman, the aforementioned increase is a necessary element of proper implementation of the Convention. Moreover, the obligation to gradually increase the number of facilitated programmes might be derived straight from Article 7 of Directive 2010/13/EC of the European Parliament and of the Council of 11 December 2007 amending the Council Directive 89/552/EEC on the coordination of certain provisions laid down by Law, Regulation or Administrative Action in Member States.</w:t>
      </w:r>
    </w:p>
  </w:footnote>
  <w:footnote w:id="275">
    <w:p w14:paraId="0E997E2C" w14:textId="37EF78E9" w:rsidR="00FD1C56" w:rsidRPr="00C17723"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bookmarkStart w:id="47" w:name="OLE_LINK1"/>
      <w:bookmarkStart w:id="48" w:name="OLE_LINK2"/>
      <w:r>
        <w:tab/>
      </w:r>
      <w:r>
        <w:rPr>
          <w:rFonts w:ascii="Arial" w:hAnsi="Arial"/>
          <w:sz w:val="16"/>
        </w:rPr>
        <w:t xml:space="preserve">A.10 of the guidelines for State Parties of the Convention adopted during the second session of the Committee on the Rights of Persons with Disabilities in Geneva held on 19-23 October 2009 no. CRPD/C/2/3 – </w:t>
      </w:r>
      <w:r>
        <w:rPr>
          <w:rFonts w:ascii="Arial" w:hAnsi="Arial"/>
          <w:i/>
          <w:sz w:val="16"/>
        </w:rPr>
        <w:t>Guidelines on treaty-specific document to be submitted by state parties under article 35, paragraph 1, of the Convention on the Rights of Persons with Disabilities</w:t>
      </w:r>
      <w:r>
        <w:rPr>
          <w:rFonts w:ascii="Arial" w:hAnsi="Arial"/>
          <w:sz w:val="16"/>
        </w:rPr>
        <w:t>.</w:t>
      </w:r>
      <w:bookmarkEnd w:id="47"/>
      <w:bookmarkEnd w:id="48"/>
    </w:p>
  </w:footnote>
  <w:footnote w:id="276">
    <w:p w14:paraId="318A2372" w14:textId="78FE5609" w:rsidR="00FD1C56" w:rsidRPr="00C17723"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 xml:space="preserve">The declaration of Poland to Article 12 of CRPD in the English language is as follows: </w:t>
      </w:r>
      <w:r>
        <w:rPr>
          <w:rFonts w:ascii="Arial" w:hAnsi="Arial"/>
          <w:i/>
          <w:sz w:val="16"/>
        </w:rPr>
        <w:t>the Republic of Poland declares that it will interpret Article 12 of the Convention in a way allowing the application of the incapacitation, in the circumstances and in the manner set forth in the domestic law, as a measure indicated in Article 12.4, when a person suffering from a mental illness, mental disability or other mental disorder is unable to control his or her conduct</w:t>
      </w:r>
      <w:r>
        <w:rPr>
          <w:rFonts w:ascii="Arial" w:hAnsi="Arial"/>
          <w:sz w:val="16"/>
        </w:rPr>
        <w:t>. The contents of the declaration corresponds to the contents of Article 13(1) of the Act of 23 April 1964 – Civil Code (Polish Journal of Laws no. 16 item 93 as amended, hereinafter referred to as Polish Civil Code) excluding the drinking and drug abuse condition. The problem of the legal status of legally incapacitated persons in Poland, along with the controversies applicable to the Polish translation of the Convention as well as interpretation and the consequences of the declaration quoted above, were discussed in detail in the sections of this report dedicated to equal recognition of persons with disabilities before the law.</w:t>
      </w:r>
    </w:p>
  </w:footnote>
  <w:footnote w:id="277">
    <w:p w14:paraId="612DA648" w14:textId="59F6F895" w:rsidR="00FD1C56" w:rsidRPr="00C17723"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Vienna Convention on the Law of Treaties made in Vienna on 23 May 1969 (Polish Journal of Laws of 1990, no. 74, item 439).</w:t>
      </w:r>
    </w:p>
  </w:footnote>
  <w:footnote w:id="278">
    <w:p w14:paraId="2F50F392" w14:textId="72AB5A32" w:rsidR="00FD1C56" w:rsidRPr="00C17723"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Article 1 of the Convention on the Rights of Persons with Disabilities.</w:t>
      </w:r>
    </w:p>
  </w:footnote>
  <w:footnote w:id="279">
    <w:p w14:paraId="4F9CF298" w14:textId="29257400" w:rsidR="00FD1C56" w:rsidRPr="00C17723"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 xml:space="preserve">The declaration of Poland to Article 23(1)(a) of CRPD in the English language is as follows: </w:t>
      </w:r>
      <w:r>
        <w:rPr>
          <w:rFonts w:ascii="Arial" w:hAnsi="Arial"/>
          <w:i/>
          <w:sz w:val="16"/>
        </w:rPr>
        <w:t>Article 23(1)(a) of the Convention refers to the recognition of the right of all persons with disabilities who are of marriageable age to marry and to found a family on the basis of free and full consent of the intending spouses. By virtue of Article 46 of the Convention the Republic of Poland reserves the right not to apply Article 23(1)(a) of the Convention until relevant domestic legislation is amended. Until the withdrawal of the reservation a disabled person whose disability results from a mental illness or mental disability and who is of marriageable age, can not get married without the court’s approval based on the statement that the health or mental condition of that person does not jeopardize the marriage, nor the health of prospective children and on condition that such a person has not been fully incapacitated. These conditions result from Article 12(1) of the Polish Family and Guardianship Code (Polish Journal of Laws of 1964, no. 9, item 59, as amended)</w:t>
      </w:r>
      <w:r>
        <w:rPr>
          <w:rFonts w:ascii="Arial" w:hAnsi="Arial"/>
          <w:sz w:val="16"/>
        </w:rPr>
        <w:t>.</w:t>
      </w:r>
    </w:p>
  </w:footnote>
  <w:footnote w:id="280">
    <w:p w14:paraId="531380CB" w14:textId="1CDFDB3A" w:rsidR="00FD1C56" w:rsidRPr="00C17723"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See general notice of the Human Rights Defender to the Minister of Justice of 3 August 2011, reference no.: 673676-IV/11/MK available at: http://www.sprawy-generalne.brpo.gov.pl/szczegoly.php?pismo=1584251.</w:t>
      </w:r>
    </w:p>
  </w:footnote>
  <w:footnote w:id="281">
    <w:p w14:paraId="2E40C1D7" w14:textId="52E9EE86" w:rsidR="00FD1C56" w:rsidRPr="00C17723"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Letter of the Minister of Justice to the Human Rights Defender of 8 March 2013, reference no.: DPrC-072-1/12.</w:t>
      </w:r>
    </w:p>
  </w:footnote>
  <w:footnote w:id="282">
    <w:p w14:paraId="055923A2" w14:textId="73707C31" w:rsidR="00FD1C56" w:rsidRPr="00C17723"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 xml:space="preserve">The text of the reservation in English is as follows: </w:t>
      </w:r>
      <w:r>
        <w:rPr>
          <w:rFonts w:ascii="Arial" w:hAnsi="Arial"/>
          <w:i/>
          <w:sz w:val="16"/>
        </w:rPr>
        <w:t>the Republic of Poland understands that Articles 23(1) (b) and 25 (a) shall not be interpreted in a way conferring an individual right to abortion or mandating state party to provide access thereto</w:t>
      </w:r>
      <w:r>
        <w:rPr>
          <w:rFonts w:ascii="Arial" w:hAnsi="Arial"/>
          <w:sz w:val="16"/>
        </w:rPr>
        <w:t>.</w:t>
      </w:r>
    </w:p>
  </w:footnote>
  <w:footnote w:id="283">
    <w:p w14:paraId="47B8BF1D" w14:textId="3D596B1F" w:rsidR="00FD1C56" w:rsidRPr="00C17723" w:rsidRDefault="00FD1C56" w:rsidP="001F0CDD">
      <w:pPr>
        <w:pStyle w:val="Tekstprzypisudolnego"/>
        <w:tabs>
          <w:tab w:val="left" w:pos="5160"/>
        </w:tabs>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 xml:space="preserve">The text of the reservation in English is as follows: </w:t>
      </w:r>
      <w:r>
        <w:rPr>
          <w:rFonts w:ascii="Arial" w:hAnsi="Arial"/>
          <w:i/>
          <w:sz w:val="16"/>
        </w:rPr>
        <w:t>the Republic of Poland understands that Article 23(1)(b) and Article 25 (a) shall not be interpreted in a way conferring an individual right to abortion or mandating state party to provide access thereto, unless that right is guaranteed by the national law</w:t>
      </w:r>
      <w:r>
        <w:rPr>
          <w:rFonts w:ascii="Arial" w:hAnsi="Arial"/>
          <w:sz w:val="16"/>
        </w:rPr>
        <w:t>.</w:t>
      </w:r>
    </w:p>
  </w:footnote>
  <w:footnote w:id="284">
    <w:p w14:paraId="15889D65" w14:textId="0DB91A46" w:rsidR="00FD1C56" w:rsidRPr="00C17723" w:rsidRDefault="00FD1C56" w:rsidP="001F0CDD">
      <w:pPr>
        <w:pStyle w:val="Tekstprzypisudolnego"/>
        <w:ind w:left="227" w:hanging="227"/>
        <w:jc w:val="both"/>
        <w:rPr>
          <w:rFonts w:ascii="Arial" w:hAnsi="Arial" w:cs="Arial"/>
          <w:sz w:val="16"/>
          <w:szCs w:val="16"/>
        </w:rPr>
      </w:pPr>
      <w:r>
        <w:rPr>
          <w:rStyle w:val="Odwoanieprzypisudolnego"/>
          <w:rFonts w:ascii="Arial" w:hAnsi="Arial"/>
          <w:sz w:val="16"/>
        </w:rPr>
        <w:footnoteRef/>
      </w:r>
      <w:r>
        <w:rPr>
          <w:rFonts w:ascii="Arial" w:hAnsi="Arial"/>
          <w:sz w:val="16"/>
        </w:rPr>
        <w:t xml:space="preserve"> </w:t>
      </w:r>
      <w:r>
        <w:tab/>
      </w:r>
      <w:r>
        <w:rPr>
          <w:rFonts w:ascii="Arial" w:hAnsi="Arial"/>
          <w:sz w:val="16"/>
        </w:rPr>
        <w:t>Article 4a(1)(1-3) of the Act of 7 January 1993 on family planning, protection of human foetus and the conditions that allow for abortion (Polish Journal of Laws no. 17, item 78, as amended).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2AF3BF" w14:textId="18596BBE" w:rsidR="00FD1C56" w:rsidRDefault="00FD1C56" w:rsidP="00FD1C56">
    <w:pPr>
      <w:pStyle w:val="Nagwek"/>
      <w:tabs>
        <w:tab w:val="clear" w:pos="9072"/>
      </w:tabs>
      <w:ind w:left="3402" w:right="1417"/>
      <w:jc w:val="right"/>
      <w:rPr>
        <w:rFonts w:ascii="Arial" w:hAnsi="Arial" w:cs="Arial"/>
        <w:sz w:val="16"/>
        <w:szCs w:val="16"/>
      </w:rPr>
    </w:pPr>
    <w:r>
      <w:rPr>
        <w:noProof/>
        <w:lang w:val="pl-PL" w:eastAsia="pl-PL" w:bidi="ar-SA"/>
      </w:rPr>
      <w:drawing>
        <wp:anchor distT="0" distB="0" distL="114300" distR="114300" simplePos="0" relativeHeight="251658752" behindDoc="0" locked="0" layoutInCell="1" allowOverlap="1" wp14:anchorId="6F07D6D1" wp14:editId="39871371">
          <wp:simplePos x="0" y="0"/>
          <wp:positionH relativeFrom="column">
            <wp:posOffset>5102860</wp:posOffset>
          </wp:positionH>
          <wp:positionV relativeFrom="paragraph">
            <wp:posOffset>-41910</wp:posOffset>
          </wp:positionV>
          <wp:extent cx="935990" cy="377825"/>
          <wp:effectExtent l="0" t="0" r="0" b="3175"/>
          <wp:wrapSquare wrapText="bothSides"/>
          <wp:docPr id="8" name="Obraz 8" descr="https://www.rpo.gov.pl/sites/default/files/logo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rpo.gov.pl/sites/default/files/logo_en.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35990" cy="3778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sz w:val="16"/>
      </w:rPr>
      <w:t>Report of the Human Rights Defender</w:t>
    </w:r>
  </w:p>
  <w:p w14:paraId="24387A6A" w14:textId="599A87D2" w:rsidR="00FD1C56" w:rsidRDefault="00FD1C56" w:rsidP="00FD1C56">
    <w:pPr>
      <w:pStyle w:val="Nagwek"/>
      <w:tabs>
        <w:tab w:val="clear" w:pos="9072"/>
      </w:tabs>
      <w:ind w:left="3402" w:right="1417"/>
      <w:jc w:val="right"/>
      <w:rPr>
        <w:rFonts w:ascii="Arial" w:hAnsi="Arial" w:cs="Arial"/>
        <w:sz w:val="16"/>
        <w:szCs w:val="16"/>
      </w:rPr>
    </w:pPr>
    <w:r>
      <w:rPr>
        <w:rFonts w:ascii="Arial" w:hAnsi="Arial" w:cs="Arial"/>
        <w:noProof/>
        <w:sz w:val="16"/>
        <w:szCs w:val="16"/>
        <w:lang w:val="pl-PL" w:eastAsia="pl-PL" w:bidi="ar-SA"/>
      </w:rPr>
      <mc:AlternateContent>
        <mc:Choice Requires="wps">
          <w:drawing>
            <wp:anchor distT="0" distB="0" distL="114300" distR="114300" simplePos="0" relativeHeight="251657728" behindDoc="0" locked="0" layoutInCell="1" allowOverlap="1" wp14:anchorId="7EEF1C2C" wp14:editId="2DE438CF">
              <wp:simplePos x="0" y="0"/>
              <wp:positionH relativeFrom="column">
                <wp:posOffset>-38558</wp:posOffset>
              </wp:positionH>
              <wp:positionV relativeFrom="paragraph">
                <wp:posOffset>262920</wp:posOffset>
              </wp:positionV>
              <wp:extent cx="6134396" cy="10160"/>
              <wp:effectExtent l="0" t="0" r="19050" b="27940"/>
              <wp:wrapNone/>
              <wp:docPr id="6" name="Łącznik prostoliniowy 6"/>
              <wp:cNvGraphicFramePr/>
              <a:graphic xmlns:a="http://schemas.openxmlformats.org/drawingml/2006/main">
                <a:graphicData uri="http://schemas.microsoft.com/office/word/2010/wordprocessingShape">
                  <wps:wsp>
                    <wps:cNvCnPr/>
                    <wps:spPr>
                      <a:xfrm>
                        <a:off x="0" y="0"/>
                        <a:ext cx="6134396" cy="10160"/>
                      </a:xfrm>
                      <a:prstGeom prst="line">
                        <a:avLst/>
                      </a:prstGeom>
                      <a:ln w="12700">
                        <a:solidFill>
                          <a:schemeClr val="accent6">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71E091D2" id="Łącznik prostoliniowy 6" o:spid="_x0000_s1026" style="position:absolute;z-index:251657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05pt,20.7pt" to="479.9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" strokecolor="#e36c0a [2409]" strokeweight="1pt"/>
          </w:pict>
        </mc:Fallback>
      </mc:AlternateContent>
    </w:r>
    <w:r>
      <w:rPr>
        <w:rFonts w:ascii="Arial" w:hAnsi="Arial"/>
        <w:sz w:val="16"/>
      </w:rPr>
      <w:t>on the implementation of the</w:t>
    </w:r>
  </w:p>
  <w:p w14:paraId="5CD5D188" w14:textId="2EA63F5C" w:rsidR="00FD1C56" w:rsidRPr="00A95DA8" w:rsidRDefault="00FD1C56" w:rsidP="00FD1C56">
    <w:pPr>
      <w:pStyle w:val="Nagwek"/>
      <w:tabs>
        <w:tab w:val="clear" w:pos="9072"/>
      </w:tabs>
      <w:spacing w:after="240"/>
      <w:ind w:left="3402" w:right="1418"/>
      <w:jc w:val="right"/>
      <w:rPr>
        <w:rFonts w:ascii="Arial" w:hAnsi="Arial" w:cs="Arial"/>
        <w:sz w:val="16"/>
        <w:szCs w:val="16"/>
      </w:rPr>
    </w:pPr>
    <w:r>
      <w:rPr>
        <w:rFonts w:ascii="Arial" w:hAnsi="Arial"/>
        <w:sz w:val="16"/>
      </w:rPr>
      <w:t>UN Convention on the Rights of Persons with Disabilities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A7A06"/>
    <w:multiLevelType w:val="hybridMultilevel"/>
    <w:tmpl w:val="35EAA5FE"/>
    <w:lvl w:ilvl="0" w:tplc="FA94CD5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56816A5"/>
    <w:multiLevelType w:val="hybridMultilevel"/>
    <w:tmpl w:val="F5BE0D60"/>
    <w:lvl w:ilvl="0" w:tplc="FA94CD5E">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nsid w:val="074A61FD"/>
    <w:multiLevelType w:val="hybridMultilevel"/>
    <w:tmpl w:val="A40E5E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C65319E"/>
    <w:multiLevelType w:val="hybridMultilevel"/>
    <w:tmpl w:val="507E69C0"/>
    <w:lvl w:ilvl="0" w:tplc="DC96FC6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2200BFC"/>
    <w:multiLevelType w:val="hybridMultilevel"/>
    <w:tmpl w:val="F3E2AA2A"/>
    <w:lvl w:ilvl="0" w:tplc="FA94CD5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13414DBC"/>
    <w:multiLevelType w:val="hybridMultilevel"/>
    <w:tmpl w:val="E70685EA"/>
    <w:lvl w:ilvl="0" w:tplc="FA94CD5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40660FB"/>
    <w:multiLevelType w:val="hybridMultilevel"/>
    <w:tmpl w:val="80B88924"/>
    <w:lvl w:ilvl="0" w:tplc="FA94CD5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14330D5B"/>
    <w:multiLevelType w:val="hybridMultilevel"/>
    <w:tmpl w:val="A2200D3C"/>
    <w:lvl w:ilvl="0" w:tplc="8B5273F2">
      <w:start w:val="6"/>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5B20810"/>
    <w:multiLevelType w:val="hybridMultilevel"/>
    <w:tmpl w:val="E5FEDAAE"/>
    <w:lvl w:ilvl="0" w:tplc="FA94CD5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160E398B"/>
    <w:multiLevelType w:val="hybridMultilevel"/>
    <w:tmpl w:val="3322105C"/>
    <w:lvl w:ilvl="0" w:tplc="404CFC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
    <w:nsid w:val="1776471F"/>
    <w:multiLevelType w:val="hybridMultilevel"/>
    <w:tmpl w:val="64521144"/>
    <w:lvl w:ilvl="0" w:tplc="DC96FC6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17FD6F06"/>
    <w:multiLevelType w:val="hybridMultilevel"/>
    <w:tmpl w:val="18329F00"/>
    <w:lvl w:ilvl="0" w:tplc="FA94CD5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1B6356A6"/>
    <w:multiLevelType w:val="hybridMultilevel"/>
    <w:tmpl w:val="E0B4DA06"/>
    <w:lvl w:ilvl="0" w:tplc="FA94CD5E">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
    <w:nsid w:val="1CA0674A"/>
    <w:multiLevelType w:val="hybridMultilevel"/>
    <w:tmpl w:val="AAEE0500"/>
    <w:lvl w:ilvl="0" w:tplc="FA94CD5E">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4">
    <w:nsid w:val="1CE108DC"/>
    <w:multiLevelType w:val="hybridMultilevel"/>
    <w:tmpl w:val="3322105C"/>
    <w:lvl w:ilvl="0" w:tplc="404CFC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5">
    <w:nsid w:val="2AFC2F21"/>
    <w:multiLevelType w:val="hybridMultilevel"/>
    <w:tmpl w:val="3322105C"/>
    <w:lvl w:ilvl="0" w:tplc="404CFC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6">
    <w:nsid w:val="2B6E5279"/>
    <w:multiLevelType w:val="hybridMultilevel"/>
    <w:tmpl w:val="56F0B7A8"/>
    <w:lvl w:ilvl="0" w:tplc="DC96FC6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2C395333"/>
    <w:multiLevelType w:val="hybridMultilevel"/>
    <w:tmpl w:val="221604B8"/>
    <w:lvl w:ilvl="0" w:tplc="FA94CD5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2E0D72AC"/>
    <w:multiLevelType w:val="hybridMultilevel"/>
    <w:tmpl w:val="9B245B08"/>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F1C7CA8"/>
    <w:multiLevelType w:val="hybridMultilevel"/>
    <w:tmpl w:val="87508F06"/>
    <w:lvl w:ilvl="0" w:tplc="404CFC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0">
    <w:nsid w:val="2F2A19C2"/>
    <w:multiLevelType w:val="hybridMultilevel"/>
    <w:tmpl w:val="3322105C"/>
    <w:lvl w:ilvl="0" w:tplc="404CFC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1">
    <w:nsid w:val="2FC966A9"/>
    <w:multiLevelType w:val="hybridMultilevel"/>
    <w:tmpl w:val="6BE2258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30417113"/>
    <w:multiLevelType w:val="hybridMultilevel"/>
    <w:tmpl w:val="76760C02"/>
    <w:lvl w:ilvl="0" w:tplc="04150015">
      <w:start w:val="22"/>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307C5087"/>
    <w:multiLevelType w:val="hybridMultilevel"/>
    <w:tmpl w:val="1ADCE922"/>
    <w:lvl w:ilvl="0" w:tplc="FA94CD5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323D133A"/>
    <w:multiLevelType w:val="hybridMultilevel"/>
    <w:tmpl w:val="6162520C"/>
    <w:lvl w:ilvl="0" w:tplc="8B5273F2">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340303E6"/>
    <w:multiLevelType w:val="hybridMultilevel"/>
    <w:tmpl w:val="64F477DE"/>
    <w:lvl w:ilvl="0" w:tplc="DC96FC6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3525096F"/>
    <w:multiLevelType w:val="hybridMultilevel"/>
    <w:tmpl w:val="4094BE3A"/>
    <w:lvl w:ilvl="0" w:tplc="DC96FC6C">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39E305F1"/>
    <w:multiLevelType w:val="hybridMultilevel"/>
    <w:tmpl w:val="960EFB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3B086F28"/>
    <w:multiLevelType w:val="hybridMultilevel"/>
    <w:tmpl w:val="3322105C"/>
    <w:lvl w:ilvl="0" w:tplc="404CFC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9">
    <w:nsid w:val="3E440528"/>
    <w:multiLevelType w:val="hybridMultilevel"/>
    <w:tmpl w:val="03D8C34E"/>
    <w:lvl w:ilvl="0" w:tplc="FA94CD5E">
      <w:start w:val="1"/>
      <w:numFmt w:val="bullet"/>
      <w:lvlText w:val=""/>
      <w:lvlJc w:val="left"/>
      <w:pPr>
        <w:ind w:left="720" w:hanging="360"/>
      </w:pPr>
      <w:rPr>
        <w:rFonts w:ascii="Symbol" w:hAnsi="Symbol" w:hint="default"/>
      </w:rPr>
    </w:lvl>
    <w:lvl w:ilvl="1" w:tplc="0140482A">
      <w:numFmt w:val="bullet"/>
      <w:lvlText w:val="•"/>
      <w:lvlJc w:val="left"/>
      <w:pPr>
        <w:ind w:left="2025" w:hanging="945"/>
      </w:pPr>
      <w:rPr>
        <w:rFonts w:ascii="Arial" w:eastAsiaTheme="minorHAnsi" w:hAnsi="Arial" w:cs="Aria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3E673993"/>
    <w:multiLevelType w:val="hybridMultilevel"/>
    <w:tmpl w:val="3322105C"/>
    <w:lvl w:ilvl="0" w:tplc="404CFC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1">
    <w:nsid w:val="3EB736A3"/>
    <w:multiLevelType w:val="hybridMultilevel"/>
    <w:tmpl w:val="764016CC"/>
    <w:lvl w:ilvl="0" w:tplc="FA94CD5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3F1F44C3"/>
    <w:multiLevelType w:val="hybridMultilevel"/>
    <w:tmpl w:val="45A07734"/>
    <w:lvl w:ilvl="0" w:tplc="FA94CD5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43817B5D"/>
    <w:multiLevelType w:val="hybridMultilevel"/>
    <w:tmpl w:val="08F0387A"/>
    <w:lvl w:ilvl="0" w:tplc="04150015">
      <w:start w:val="1"/>
      <w:numFmt w:val="upp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4">
    <w:nsid w:val="461B39A0"/>
    <w:multiLevelType w:val="hybridMultilevel"/>
    <w:tmpl w:val="3322105C"/>
    <w:lvl w:ilvl="0" w:tplc="404CFC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5">
    <w:nsid w:val="46DC30CC"/>
    <w:multiLevelType w:val="hybridMultilevel"/>
    <w:tmpl w:val="6F023ADA"/>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49AB6636"/>
    <w:multiLevelType w:val="hybridMultilevel"/>
    <w:tmpl w:val="D57C80B8"/>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4A417728"/>
    <w:multiLevelType w:val="hybridMultilevel"/>
    <w:tmpl w:val="17265FB0"/>
    <w:lvl w:ilvl="0" w:tplc="FA94CD5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nsid w:val="501328D5"/>
    <w:multiLevelType w:val="hybridMultilevel"/>
    <w:tmpl w:val="4A76EAA6"/>
    <w:lvl w:ilvl="0" w:tplc="DC96FC6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525372B4"/>
    <w:multiLevelType w:val="hybridMultilevel"/>
    <w:tmpl w:val="3322105C"/>
    <w:lvl w:ilvl="0" w:tplc="404CFC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0">
    <w:nsid w:val="52D5081C"/>
    <w:multiLevelType w:val="hybridMultilevel"/>
    <w:tmpl w:val="752EE18C"/>
    <w:lvl w:ilvl="0" w:tplc="781EB92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nsid w:val="534016D0"/>
    <w:multiLevelType w:val="hybridMultilevel"/>
    <w:tmpl w:val="CB9CAFAE"/>
    <w:lvl w:ilvl="0" w:tplc="1C0A025A">
      <w:start w:val="1"/>
      <w:numFmt w:val="decimal"/>
      <w:lvlText w:val="%1."/>
      <w:lvlJc w:val="left"/>
      <w:pPr>
        <w:ind w:left="786" w:hanging="360"/>
      </w:pPr>
      <w:rPr>
        <w:rFonts w:hint="default"/>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2">
    <w:nsid w:val="59706F46"/>
    <w:multiLevelType w:val="hybridMultilevel"/>
    <w:tmpl w:val="2EE2DE7A"/>
    <w:lvl w:ilvl="0" w:tplc="DC96FC6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nsid w:val="5D2A5048"/>
    <w:multiLevelType w:val="hybridMultilevel"/>
    <w:tmpl w:val="3322105C"/>
    <w:lvl w:ilvl="0" w:tplc="404CFC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4">
    <w:nsid w:val="5D640D66"/>
    <w:multiLevelType w:val="hybridMultilevel"/>
    <w:tmpl w:val="3322105C"/>
    <w:lvl w:ilvl="0" w:tplc="404CFC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5">
    <w:nsid w:val="5F4D483C"/>
    <w:multiLevelType w:val="hybridMultilevel"/>
    <w:tmpl w:val="6C9622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68CB13E3"/>
    <w:multiLevelType w:val="hybridMultilevel"/>
    <w:tmpl w:val="3322105C"/>
    <w:lvl w:ilvl="0" w:tplc="404CFC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7">
    <w:nsid w:val="6A1E606C"/>
    <w:multiLevelType w:val="hybridMultilevel"/>
    <w:tmpl w:val="3322105C"/>
    <w:lvl w:ilvl="0" w:tplc="404CFC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8">
    <w:nsid w:val="6A3E0FF2"/>
    <w:multiLevelType w:val="hybridMultilevel"/>
    <w:tmpl w:val="BA1C5680"/>
    <w:lvl w:ilvl="0" w:tplc="FA94CD5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nsid w:val="6AB1657C"/>
    <w:multiLevelType w:val="hybridMultilevel"/>
    <w:tmpl w:val="23781E50"/>
    <w:lvl w:ilvl="0" w:tplc="FA94CD5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nsid w:val="6F8C1912"/>
    <w:multiLevelType w:val="hybridMultilevel"/>
    <w:tmpl w:val="ED986586"/>
    <w:lvl w:ilvl="0" w:tplc="FA94CD5E">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71B333BC"/>
    <w:multiLevelType w:val="hybridMultilevel"/>
    <w:tmpl w:val="3322105C"/>
    <w:lvl w:ilvl="0" w:tplc="404CFC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2">
    <w:nsid w:val="71B74905"/>
    <w:multiLevelType w:val="hybridMultilevel"/>
    <w:tmpl w:val="21366EBE"/>
    <w:lvl w:ilvl="0" w:tplc="6248CBDA">
      <w:start w:val="1"/>
      <w:numFmt w:val="upp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71DD0171"/>
    <w:multiLevelType w:val="hybridMultilevel"/>
    <w:tmpl w:val="D4C0661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735F4971"/>
    <w:multiLevelType w:val="hybridMultilevel"/>
    <w:tmpl w:val="53C05554"/>
    <w:lvl w:ilvl="0" w:tplc="781EB92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nsid w:val="760162A5"/>
    <w:multiLevelType w:val="hybridMultilevel"/>
    <w:tmpl w:val="3AD8BD16"/>
    <w:lvl w:ilvl="0" w:tplc="FA94CD5E">
      <w:start w:val="1"/>
      <w:numFmt w:val="bullet"/>
      <w:lvlText w:val=""/>
      <w:lvlJc w:val="left"/>
      <w:pPr>
        <w:tabs>
          <w:tab w:val="num" w:pos="720"/>
        </w:tabs>
        <w:ind w:left="720" w:hanging="360"/>
      </w:pPr>
      <w:rPr>
        <w:rFonts w:ascii="Symbol" w:hAnsi="Symbol"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nsid w:val="77CC162F"/>
    <w:multiLevelType w:val="hybridMultilevel"/>
    <w:tmpl w:val="8C7A95F8"/>
    <w:lvl w:ilvl="0" w:tplc="DC96FC6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nsid w:val="7FDB4F28"/>
    <w:multiLevelType w:val="hybridMultilevel"/>
    <w:tmpl w:val="3322105C"/>
    <w:lvl w:ilvl="0" w:tplc="404CFC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num w:numId="1">
    <w:abstractNumId w:val="24"/>
  </w:num>
  <w:num w:numId="2">
    <w:abstractNumId w:val="30"/>
  </w:num>
  <w:num w:numId="3">
    <w:abstractNumId w:val="39"/>
  </w:num>
  <w:num w:numId="4">
    <w:abstractNumId w:val="20"/>
  </w:num>
  <w:num w:numId="5">
    <w:abstractNumId w:val="34"/>
  </w:num>
  <w:num w:numId="6">
    <w:abstractNumId w:val="41"/>
  </w:num>
  <w:num w:numId="7">
    <w:abstractNumId w:val="47"/>
  </w:num>
  <w:num w:numId="8">
    <w:abstractNumId w:val="51"/>
  </w:num>
  <w:num w:numId="9">
    <w:abstractNumId w:val="14"/>
  </w:num>
  <w:num w:numId="10">
    <w:abstractNumId w:val="15"/>
  </w:num>
  <w:num w:numId="11">
    <w:abstractNumId w:val="28"/>
  </w:num>
  <w:num w:numId="12">
    <w:abstractNumId w:val="43"/>
  </w:num>
  <w:num w:numId="13">
    <w:abstractNumId w:val="44"/>
  </w:num>
  <w:num w:numId="14">
    <w:abstractNumId w:val="9"/>
  </w:num>
  <w:num w:numId="15">
    <w:abstractNumId w:val="19"/>
  </w:num>
  <w:num w:numId="16">
    <w:abstractNumId w:val="57"/>
  </w:num>
  <w:num w:numId="17">
    <w:abstractNumId w:val="46"/>
  </w:num>
  <w:num w:numId="18">
    <w:abstractNumId w:val="55"/>
  </w:num>
  <w:num w:numId="19">
    <w:abstractNumId w:val="53"/>
  </w:num>
  <w:num w:numId="20">
    <w:abstractNumId w:val="45"/>
  </w:num>
  <w:num w:numId="21">
    <w:abstractNumId w:val="22"/>
  </w:num>
  <w:num w:numId="22">
    <w:abstractNumId w:val="7"/>
  </w:num>
  <w:num w:numId="23">
    <w:abstractNumId w:val="27"/>
  </w:num>
  <w:num w:numId="24">
    <w:abstractNumId w:val="40"/>
  </w:num>
  <w:num w:numId="25">
    <w:abstractNumId w:val="54"/>
  </w:num>
  <w:num w:numId="26">
    <w:abstractNumId w:val="2"/>
  </w:num>
  <w:num w:numId="27">
    <w:abstractNumId w:val="23"/>
  </w:num>
  <w:num w:numId="28">
    <w:abstractNumId w:val="31"/>
  </w:num>
  <w:num w:numId="29">
    <w:abstractNumId w:val="29"/>
  </w:num>
  <w:num w:numId="30">
    <w:abstractNumId w:val="12"/>
  </w:num>
  <w:num w:numId="31">
    <w:abstractNumId w:val="32"/>
  </w:num>
  <w:num w:numId="32">
    <w:abstractNumId w:val="0"/>
  </w:num>
  <w:num w:numId="33">
    <w:abstractNumId w:val="33"/>
  </w:num>
  <w:num w:numId="34">
    <w:abstractNumId w:val="48"/>
  </w:num>
  <w:num w:numId="35">
    <w:abstractNumId w:val="11"/>
  </w:num>
  <w:num w:numId="36">
    <w:abstractNumId w:val="1"/>
  </w:num>
  <w:num w:numId="37">
    <w:abstractNumId w:val="52"/>
  </w:num>
  <w:num w:numId="38">
    <w:abstractNumId w:val="13"/>
  </w:num>
  <w:num w:numId="39">
    <w:abstractNumId w:val="37"/>
  </w:num>
  <w:num w:numId="40">
    <w:abstractNumId w:val="17"/>
  </w:num>
  <w:num w:numId="41">
    <w:abstractNumId w:val="8"/>
  </w:num>
  <w:num w:numId="42">
    <w:abstractNumId w:val="6"/>
  </w:num>
  <w:num w:numId="43">
    <w:abstractNumId w:val="4"/>
  </w:num>
  <w:num w:numId="44">
    <w:abstractNumId w:val="18"/>
  </w:num>
  <w:num w:numId="45">
    <w:abstractNumId w:val="49"/>
  </w:num>
  <w:num w:numId="46">
    <w:abstractNumId w:val="50"/>
  </w:num>
  <w:num w:numId="47">
    <w:abstractNumId w:val="5"/>
  </w:num>
  <w:num w:numId="48">
    <w:abstractNumId w:val="21"/>
  </w:num>
  <w:num w:numId="49">
    <w:abstractNumId w:val="56"/>
  </w:num>
  <w:num w:numId="50">
    <w:abstractNumId w:val="42"/>
  </w:num>
  <w:num w:numId="51">
    <w:abstractNumId w:val="10"/>
  </w:num>
  <w:num w:numId="52">
    <w:abstractNumId w:val="25"/>
  </w:num>
  <w:num w:numId="53">
    <w:abstractNumId w:val="16"/>
  </w:num>
  <w:num w:numId="54">
    <w:abstractNumId w:val="38"/>
  </w:num>
  <w:num w:numId="55">
    <w:abstractNumId w:val="3"/>
  </w:num>
  <w:num w:numId="56">
    <w:abstractNumId w:val="26"/>
  </w:num>
  <w:num w:numId="57">
    <w:abstractNumId w:val="35"/>
  </w:num>
  <w:num w:numId="58">
    <w:abstractNumId w:val="36"/>
  </w:num>
  <w:numIdMacAtCleanup w:val="5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agdalena Małek">
    <w15:presenceInfo w15:providerId="Windows Live" w15:userId="f0f20d3ffc90558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09ED"/>
    <w:rsid w:val="00001B2A"/>
    <w:rsid w:val="000029A3"/>
    <w:rsid w:val="000030E6"/>
    <w:rsid w:val="000042D8"/>
    <w:rsid w:val="00005DA7"/>
    <w:rsid w:val="00006DA5"/>
    <w:rsid w:val="00010F5D"/>
    <w:rsid w:val="00011242"/>
    <w:rsid w:val="00012023"/>
    <w:rsid w:val="00012A5D"/>
    <w:rsid w:val="0001514F"/>
    <w:rsid w:val="000208E6"/>
    <w:rsid w:val="00021201"/>
    <w:rsid w:val="00021826"/>
    <w:rsid w:val="00023974"/>
    <w:rsid w:val="00024B39"/>
    <w:rsid w:val="000303FB"/>
    <w:rsid w:val="0003085A"/>
    <w:rsid w:val="00031D7B"/>
    <w:rsid w:val="00032EC4"/>
    <w:rsid w:val="00033351"/>
    <w:rsid w:val="0003344C"/>
    <w:rsid w:val="00035BBE"/>
    <w:rsid w:val="00035F07"/>
    <w:rsid w:val="00035FAA"/>
    <w:rsid w:val="0003794F"/>
    <w:rsid w:val="00037B24"/>
    <w:rsid w:val="00040497"/>
    <w:rsid w:val="0004752D"/>
    <w:rsid w:val="00052F32"/>
    <w:rsid w:val="00053898"/>
    <w:rsid w:val="00053A9B"/>
    <w:rsid w:val="00053DFB"/>
    <w:rsid w:val="00056426"/>
    <w:rsid w:val="00056B05"/>
    <w:rsid w:val="00060A55"/>
    <w:rsid w:val="000655DF"/>
    <w:rsid w:val="00065676"/>
    <w:rsid w:val="00066D89"/>
    <w:rsid w:val="000676B3"/>
    <w:rsid w:val="00071762"/>
    <w:rsid w:val="00072CA4"/>
    <w:rsid w:val="000760E2"/>
    <w:rsid w:val="00077BD5"/>
    <w:rsid w:val="0008027D"/>
    <w:rsid w:val="000809B5"/>
    <w:rsid w:val="000814E6"/>
    <w:rsid w:val="00081C62"/>
    <w:rsid w:val="00083401"/>
    <w:rsid w:val="00084174"/>
    <w:rsid w:val="00084230"/>
    <w:rsid w:val="0008461C"/>
    <w:rsid w:val="00086D60"/>
    <w:rsid w:val="00087D63"/>
    <w:rsid w:val="00090685"/>
    <w:rsid w:val="000908DD"/>
    <w:rsid w:val="00090927"/>
    <w:rsid w:val="00090B04"/>
    <w:rsid w:val="00091335"/>
    <w:rsid w:val="000918EA"/>
    <w:rsid w:val="0009409C"/>
    <w:rsid w:val="0009435A"/>
    <w:rsid w:val="000A1BBC"/>
    <w:rsid w:val="000A1E41"/>
    <w:rsid w:val="000A2060"/>
    <w:rsid w:val="000A31FA"/>
    <w:rsid w:val="000A7E61"/>
    <w:rsid w:val="000B0922"/>
    <w:rsid w:val="000B12E2"/>
    <w:rsid w:val="000B1878"/>
    <w:rsid w:val="000B20AE"/>
    <w:rsid w:val="000B267B"/>
    <w:rsid w:val="000B2746"/>
    <w:rsid w:val="000B2E95"/>
    <w:rsid w:val="000B75F0"/>
    <w:rsid w:val="000C119D"/>
    <w:rsid w:val="000C521A"/>
    <w:rsid w:val="000C5F0B"/>
    <w:rsid w:val="000D1DF4"/>
    <w:rsid w:val="000D2334"/>
    <w:rsid w:val="000D23FE"/>
    <w:rsid w:val="000D2478"/>
    <w:rsid w:val="000D2DC3"/>
    <w:rsid w:val="000D5DF9"/>
    <w:rsid w:val="000D5E3E"/>
    <w:rsid w:val="000D5FDF"/>
    <w:rsid w:val="000E16BE"/>
    <w:rsid w:val="000E367E"/>
    <w:rsid w:val="000E4054"/>
    <w:rsid w:val="000E4467"/>
    <w:rsid w:val="000E48FB"/>
    <w:rsid w:val="000F1311"/>
    <w:rsid w:val="000F1A81"/>
    <w:rsid w:val="000F4261"/>
    <w:rsid w:val="000F5387"/>
    <w:rsid w:val="00100234"/>
    <w:rsid w:val="00100C2E"/>
    <w:rsid w:val="0010107F"/>
    <w:rsid w:val="00102F81"/>
    <w:rsid w:val="00103441"/>
    <w:rsid w:val="0010487E"/>
    <w:rsid w:val="001075D5"/>
    <w:rsid w:val="0011147E"/>
    <w:rsid w:val="001116DC"/>
    <w:rsid w:val="00112C42"/>
    <w:rsid w:val="00113431"/>
    <w:rsid w:val="00114988"/>
    <w:rsid w:val="001206B6"/>
    <w:rsid w:val="001242ED"/>
    <w:rsid w:val="00124A8F"/>
    <w:rsid w:val="0012538D"/>
    <w:rsid w:val="001318E9"/>
    <w:rsid w:val="00131D67"/>
    <w:rsid w:val="00134AFB"/>
    <w:rsid w:val="001359C0"/>
    <w:rsid w:val="00136766"/>
    <w:rsid w:val="00140229"/>
    <w:rsid w:val="001410C7"/>
    <w:rsid w:val="00141E8D"/>
    <w:rsid w:val="001428A3"/>
    <w:rsid w:val="00143128"/>
    <w:rsid w:val="001443A0"/>
    <w:rsid w:val="00145F03"/>
    <w:rsid w:val="00146E20"/>
    <w:rsid w:val="00147FB2"/>
    <w:rsid w:val="00152DC5"/>
    <w:rsid w:val="00154B76"/>
    <w:rsid w:val="00155AB5"/>
    <w:rsid w:val="001560CB"/>
    <w:rsid w:val="00157314"/>
    <w:rsid w:val="001575B0"/>
    <w:rsid w:val="00160D7C"/>
    <w:rsid w:val="0016146E"/>
    <w:rsid w:val="001617C2"/>
    <w:rsid w:val="00161856"/>
    <w:rsid w:val="00161EFA"/>
    <w:rsid w:val="00163DA2"/>
    <w:rsid w:val="00164854"/>
    <w:rsid w:val="00167971"/>
    <w:rsid w:val="00167C63"/>
    <w:rsid w:val="001715CB"/>
    <w:rsid w:val="0017186F"/>
    <w:rsid w:val="00172D24"/>
    <w:rsid w:val="001778B9"/>
    <w:rsid w:val="001813AA"/>
    <w:rsid w:val="00182126"/>
    <w:rsid w:val="00184448"/>
    <w:rsid w:val="00186611"/>
    <w:rsid w:val="001867FC"/>
    <w:rsid w:val="001868E6"/>
    <w:rsid w:val="00186CE7"/>
    <w:rsid w:val="00193291"/>
    <w:rsid w:val="0019388E"/>
    <w:rsid w:val="00195392"/>
    <w:rsid w:val="0019559C"/>
    <w:rsid w:val="00196FE3"/>
    <w:rsid w:val="00197F70"/>
    <w:rsid w:val="001A0AB5"/>
    <w:rsid w:val="001A1CD3"/>
    <w:rsid w:val="001A205A"/>
    <w:rsid w:val="001A5AFE"/>
    <w:rsid w:val="001A5F34"/>
    <w:rsid w:val="001A66BA"/>
    <w:rsid w:val="001B3D71"/>
    <w:rsid w:val="001B476A"/>
    <w:rsid w:val="001B4D27"/>
    <w:rsid w:val="001B6A6F"/>
    <w:rsid w:val="001C4A51"/>
    <w:rsid w:val="001C552D"/>
    <w:rsid w:val="001C59E0"/>
    <w:rsid w:val="001C6D83"/>
    <w:rsid w:val="001D15A2"/>
    <w:rsid w:val="001D5420"/>
    <w:rsid w:val="001D5B1C"/>
    <w:rsid w:val="001D6420"/>
    <w:rsid w:val="001E3296"/>
    <w:rsid w:val="001E374C"/>
    <w:rsid w:val="001E4C16"/>
    <w:rsid w:val="001E5D7C"/>
    <w:rsid w:val="001F0CDD"/>
    <w:rsid w:val="001F250E"/>
    <w:rsid w:val="001F3E0A"/>
    <w:rsid w:val="001F3F40"/>
    <w:rsid w:val="001F46A8"/>
    <w:rsid w:val="001F61FD"/>
    <w:rsid w:val="001F6663"/>
    <w:rsid w:val="001F6AAD"/>
    <w:rsid w:val="001F7017"/>
    <w:rsid w:val="002000F5"/>
    <w:rsid w:val="002005EA"/>
    <w:rsid w:val="00200E6C"/>
    <w:rsid w:val="00201044"/>
    <w:rsid w:val="002013F3"/>
    <w:rsid w:val="00203C13"/>
    <w:rsid w:val="0020747F"/>
    <w:rsid w:val="0021006B"/>
    <w:rsid w:val="002105ED"/>
    <w:rsid w:val="0021080D"/>
    <w:rsid w:val="00211C5A"/>
    <w:rsid w:val="002128D7"/>
    <w:rsid w:val="00212D24"/>
    <w:rsid w:val="00215537"/>
    <w:rsid w:val="0021651C"/>
    <w:rsid w:val="00216B29"/>
    <w:rsid w:val="00217A29"/>
    <w:rsid w:val="00220E84"/>
    <w:rsid w:val="002214A1"/>
    <w:rsid w:val="00222194"/>
    <w:rsid w:val="00225D72"/>
    <w:rsid w:val="0022707D"/>
    <w:rsid w:val="00227452"/>
    <w:rsid w:val="002300B5"/>
    <w:rsid w:val="00230236"/>
    <w:rsid w:val="00230877"/>
    <w:rsid w:val="00230A1D"/>
    <w:rsid w:val="00232234"/>
    <w:rsid w:val="00232BDC"/>
    <w:rsid w:val="00233CA4"/>
    <w:rsid w:val="00233D2D"/>
    <w:rsid w:val="002347D4"/>
    <w:rsid w:val="0023487D"/>
    <w:rsid w:val="00235BA5"/>
    <w:rsid w:val="0024031E"/>
    <w:rsid w:val="002455C1"/>
    <w:rsid w:val="00250973"/>
    <w:rsid w:val="00251674"/>
    <w:rsid w:val="00251910"/>
    <w:rsid w:val="002527D3"/>
    <w:rsid w:val="00252CFC"/>
    <w:rsid w:val="0025340A"/>
    <w:rsid w:val="00254A84"/>
    <w:rsid w:val="00255814"/>
    <w:rsid w:val="00257A64"/>
    <w:rsid w:val="00264184"/>
    <w:rsid w:val="002642A3"/>
    <w:rsid w:val="0026437E"/>
    <w:rsid w:val="002647B7"/>
    <w:rsid w:val="00266BD0"/>
    <w:rsid w:val="002746F2"/>
    <w:rsid w:val="00275755"/>
    <w:rsid w:val="0027594C"/>
    <w:rsid w:val="0027683A"/>
    <w:rsid w:val="00277F24"/>
    <w:rsid w:val="00280CC6"/>
    <w:rsid w:val="002812E6"/>
    <w:rsid w:val="00282447"/>
    <w:rsid w:val="00284669"/>
    <w:rsid w:val="00285AD6"/>
    <w:rsid w:val="0028623B"/>
    <w:rsid w:val="00286728"/>
    <w:rsid w:val="00287A6F"/>
    <w:rsid w:val="00292788"/>
    <w:rsid w:val="00292968"/>
    <w:rsid w:val="002933FD"/>
    <w:rsid w:val="00293B55"/>
    <w:rsid w:val="0029415D"/>
    <w:rsid w:val="00295351"/>
    <w:rsid w:val="002A1B40"/>
    <w:rsid w:val="002A4819"/>
    <w:rsid w:val="002A4B8E"/>
    <w:rsid w:val="002A4D8E"/>
    <w:rsid w:val="002A5330"/>
    <w:rsid w:val="002A6E66"/>
    <w:rsid w:val="002B305E"/>
    <w:rsid w:val="002B365F"/>
    <w:rsid w:val="002B39C6"/>
    <w:rsid w:val="002B3A8F"/>
    <w:rsid w:val="002B4848"/>
    <w:rsid w:val="002B64A4"/>
    <w:rsid w:val="002B6A25"/>
    <w:rsid w:val="002B7371"/>
    <w:rsid w:val="002C02CF"/>
    <w:rsid w:val="002C0944"/>
    <w:rsid w:val="002C17CC"/>
    <w:rsid w:val="002C2485"/>
    <w:rsid w:val="002C38A7"/>
    <w:rsid w:val="002C66BD"/>
    <w:rsid w:val="002C6C09"/>
    <w:rsid w:val="002D04F1"/>
    <w:rsid w:val="002D0F99"/>
    <w:rsid w:val="002D395D"/>
    <w:rsid w:val="002D5F6D"/>
    <w:rsid w:val="002E0900"/>
    <w:rsid w:val="002E1F06"/>
    <w:rsid w:val="002E3477"/>
    <w:rsid w:val="002E4946"/>
    <w:rsid w:val="002E58C5"/>
    <w:rsid w:val="002E7C7E"/>
    <w:rsid w:val="002F0E23"/>
    <w:rsid w:val="002F1B82"/>
    <w:rsid w:val="002F6177"/>
    <w:rsid w:val="002F6712"/>
    <w:rsid w:val="002F6933"/>
    <w:rsid w:val="002F7823"/>
    <w:rsid w:val="003031DB"/>
    <w:rsid w:val="00303358"/>
    <w:rsid w:val="0030367A"/>
    <w:rsid w:val="003048CB"/>
    <w:rsid w:val="003064A3"/>
    <w:rsid w:val="003073F1"/>
    <w:rsid w:val="00307F2B"/>
    <w:rsid w:val="00310A02"/>
    <w:rsid w:val="00310B21"/>
    <w:rsid w:val="00312D13"/>
    <w:rsid w:val="0031473E"/>
    <w:rsid w:val="0031606D"/>
    <w:rsid w:val="00316BFC"/>
    <w:rsid w:val="0031741E"/>
    <w:rsid w:val="00321F14"/>
    <w:rsid w:val="00322095"/>
    <w:rsid w:val="00322613"/>
    <w:rsid w:val="003235CB"/>
    <w:rsid w:val="00324338"/>
    <w:rsid w:val="00326518"/>
    <w:rsid w:val="003300F5"/>
    <w:rsid w:val="00333CE4"/>
    <w:rsid w:val="00334178"/>
    <w:rsid w:val="00334795"/>
    <w:rsid w:val="003354CF"/>
    <w:rsid w:val="00336643"/>
    <w:rsid w:val="00336A92"/>
    <w:rsid w:val="00336F71"/>
    <w:rsid w:val="003377CD"/>
    <w:rsid w:val="00337C88"/>
    <w:rsid w:val="00340BE8"/>
    <w:rsid w:val="00341E15"/>
    <w:rsid w:val="003478DE"/>
    <w:rsid w:val="00354130"/>
    <w:rsid w:val="003565C7"/>
    <w:rsid w:val="00357E93"/>
    <w:rsid w:val="0036057C"/>
    <w:rsid w:val="00361CCF"/>
    <w:rsid w:val="00362DBE"/>
    <w:rsid w:val="003648CF"/>
    <w:rsid w:val="00364E41"/>
    <w:rsid w:val="003664A1"/>
    <w:rsid w:val="00367EC0"/>
    <w:rsid w:val="0037078C"/>
    <w:rsid w:val="003733AC"/>
    <w:rsid w:val="00373D22"/>
    <w:rsid w:val="00375962"/>
    <w:rsid w:val="00381933"/>
    <w:rsid w:val="00382C5B"/>
    <w:rsid w:val="00386644"/>
    <w:rsid w:val="00386668"/>
    <w:rsid w:val="00386819"/>
    <w:rsid w:val="00386C74"/>
    <w:rsid w:val="00387BCA"/>
    <w:rsid w:val="003919C9"/>
    <w:rsid w:val="00392689"/>
    <w:rsid w:val="00393498"/>
    <w:rsid w:val="0039556C"/>
    <w:rsid w:val="003A1AC9"/>
    <w:rsid w:val="003A2200"/>
    <w:rsid w:val="003A3B4C"/>
    <w:rsid w:val="003A432A"/>
    <w:rsid w:val="003A451C"/>
    <w:rsid w:val="003A5B7A"/>
    <w:rsid w:val="003A77C4"/>
    <w:rsid w:val="003B0937"/>
    <w:rsid w:val="003B2E0D"/>
    <w:rsid w:val="003B4D07"/>
    <w:rsid w:val="003B597D"/>
    <w:rsid w:val="003C146A"/>
    <w:rsid w:val="003C1490"/>
    <w:rsid w:val="003C227B"/>
    <w:rsid w:val="003C23BD"/>
    <w:rsid w:val="003C285C"/>
    <w:rsid w:val="003C44EF"/>
    <w:rsid w:val="003C4C40"/>
    <w:rsid w:val="003D137A"/>
    <w:rsid w:val="003D345C"/>
    <w:rsid w:val="003D44EF"/>
    <w:rsid w:val="003D4A42"/>
    <w:rsid w:val="003D533D"/>
    <w:rsid w:val="003D5CC7"/>
    <w:rsid w:val="003D6341"/>
    <w:rsid w:val="003D7618"/>
    <w:rsid w:val="003E3167"/>
    <w:rsid w:val="003E6969"/>
    <w:rsid w:val="003E6A74"/>
    <w:rsid w:val="003F1C29"/>
    <w:rsid w:val="003F267A"/>
    <w:rsid w:val="003F30CF"/>
    <w:rsid w:val="003F336E"/>
    <w:rsid w:val="003F6948"/>
    <w:rsid w:val="003F7752"/>
    <w:rsid w:val="004021B3"/>
    <w:rsid w:val="0040277F"/>
    <w:rsid w:val="00404B1E"/>
    <w:rsid w:val="00404E1E"/>
    <w:rsid w:val="004055A0"/>
    <w:rsid w:val="0040670C"/>
    <w:rsid w:val="0041112E"/>
    <w:rsid w:val="00412F52"/>
    <w:rsid w:val="0041333B"/>
    <w:rsid w:val="0041358F"/>
    <w:rsid w:val="00414348"/>
    <w:rsid w:val="00416C9B"/>
    <w:rsid w:val="0041769A"/>
    <w:rsid w:val="0042264B"/>
    <w:rsid w:val="00426793"/>
    <w:rsid w:val="00427336"/>
    <w:rsid w:val="0043182A"/>
    <w:rsid w:val="00432DE8"/>
    <w:rsid w:val="00433011"/>
    <w:rsid w:val="004335C3"/>
    <w:rsid w:val="004345E5"/>
    <w:rsid w:val="00434DC6"/>
    <w:rsid w:val="004355C1"/>
    <w:rsid w:val="00437F7F"/>
    <w:rsid w:val="00441420"/>
    <w:rsid w:val="004427D0"/>
    <w:rsid w:val="00446E2C"/>
    <w:rsid w:val="00446E54"/>
    <w:rsid w:val="0044744B"/>
    <w:rsid w:val="0045075D"/>
    <w:rsid w:val="00451F70"/>
    <w:rsid w:val="00453581"/>
    <w:rsid w:val="00454279"/>
    <w:rsid w:val="004565DB"/>
    <w:rsid w:val="00457A77"/>
    <w:rsid w:val="00460A21"/>
    <w:rsid w:val="00463080"/>
    <w:rsid w:val="004635A6"/>
    <w:rsid w:val="00466CF8"/>
    <w:rsid w:val="00470512"/>
    <w:rsid w:val="00472C98"/>
    <w:rsid w:val="004730B9"/>
    <w:rsid w:val="00477049"/>
    <w:rsid w:val="00477195"/>
    <w:rsid w:val="00481025"/>
    <w:rsid w:val="00481126"/>
    <w:rsid w:val="00482468"/>
    <w:rsid w:val="0048657D"/>
    <w:rsid w:val="004901EE"/>
    <w:rsid w:val="004914C4"/>
    <w:rsid w:val="004948DE"/>
    <w:rsid w:val="0049599B"/>
    <w:rsid w:val="00495D99"/>
    <w:rsid w:val="004965CC"/>
    <w:rsid w:val="00496B6F"/>
    <w:rsid w:val="004A0102"/>
    <w:rsid w:val="004A17DD"/>
    <w:rsid w:val="004A206C"/>
    <w:rsid w:val="004A238D"/>
    <w:rsid w:val="004A28A4"/>
    <w:rsid w:val="004A2F4B"/>
    <w:rsid w:val="004A5015"/>
    <w:rsid w:val="004A6D3B"/>
    <w:rsid w:val="004A71C1"/>
    <w:rsid w:val="004B01FA"/>
    <w:rsid w:val="004B2D5D"/>
    <w:rsid w:val="004B314C"/>
    <w:rsid w:val="004B3B7B"/>
    <w:rsid w:val="004B7F26"/>
    <w:rsid w:val="004C14B5"/>
    <w:rsid w:val="004C5C24"/>
    <w:rsid w:val="004C783F"/>
    <w:rsid w:val="004C787D"/>
    <w:rsid w:val="004C7AE6"/>
    <w:rsid w:val="004D2D5E"/>
    <w:rsid w:val="004D472E"/>
    <w:rsid w:val="004D4960"/>
    <w:rsid w:val="004D4AD2"/>
    <w:rsid w:val="004D4CC5"/>
    <w:rsid w:val="004D5455"/>
    <w:rsid w:val="004D70A2"/>
    <w:rsid w:val="004D797B"/>
    <w:rsid w:val="004D7D57"/>
    <w:rsid w:val="004E052B"/>
    <w:rsid w:val="004E093B"/>
    <w:rsid w:val="004E5904"/>
    <w:rsid w:val="004F0DE0"/>
    <w:rsid w:val="004F0FC9"/>
    <w:rsid w:val="004F2CFA"/>
    <w:rsid w:val="004F2D34"/>
    <w:rsid w:val="004F3D43"/>
    <w:rsid w:val="004F65B7"/>
    <w:rsid w:val="004F6919"/>
    <w:rsid w:val="004F6E47"/>
    <w:rsid w:val="0050086F"/>
    <w:rsid w:val="00502C7B"/>
    <w:rsid w:val="00504B30"/>
    <w:rsid w:val="005051AC"/>
    <w:rsid w:val="00506D91"/>
    <w:rsid w:val="005070EA"/>
    <w:rsid w:val="0050710D"/>
    <w:rsid w:val="005072BC"/>
    <w:rsid w:val="005076B7"/>
    <w:rsid w:val="00513129"/>
    <w:rsid w:val="00513A67"/>
    <w:rsid w:val="005154FC"/>
    <w:rsid w:val="00520706"/>
    <w:rsid w:val="00522887"/>
    <w:rsid w:val="005247C5"/>
    <w:rsid w:val="00524801"/>
    <w:rsid w:val="00524A7A"/>
    <w:rsid w:val="005316C4"/>
    <w:rsid w:val="00531C3B"/>
    <w:rsid w:val="0053391A"/>
    <w:rsid w:val="0053576F"/>
    <w:rsid w:val="0054137B"/>
    <w:rsid w:val="0054318B"/>
    <w:rsid w:val="00544BC7"/>
    <w:rsid w:val="00547730"/>
    <w:rsid w:val="00551901"/>
    <w:rsid w:val="00552608"/>
    <w:rsid w:val="00553853"/>
    <w:rsid w:val="00556F73"/>
    <w:rsid w:val="00557604"/>
    <w:rsid w:val="00562522"/>
    <w:rsid w:val="0056261D"/>
    <w:rsid w:val="00563BB8"/>
    <w:rsid w:val="00564D72"/>
    <w:rsid w:val="0056588E"/>
    <w:rsid w:val="0056604A"/>
    <w:rsid w:val="005709D3"/>
    <w:rsid w:val="00571D72"/>
    <w:rsid w:val="00572853"/>
    <w:rsid w:val="00572DF2"/>
    <w:rsid w:val="00573040"/>
    <w:rsid w:val="00574E61"/>
    <w:rsid w:val="00576ECA"/>
    <w:rsid w:val="005819B7"/>
    <w:rsid w:val="00582A62"/>
    <w:rsid w:val="0058594C"/>
    <w:rsid w:val="00590D83"/>
    <w:rsid w:val="00591B69"/>
    <w:rsid w:val="00592F08"/>
    <w:rsid w:val="00592F33"/>
    <w:rsid w:val="005945E4"/>
    <w:rsid w:val="0059552D"/>
    <w:rsid w:val="00596674"/>
    <w:rsid w:val="00597C7A"/>
    <w:rsid w:val="005A1C28"/>
    <w:rsid w:val="005A268E"/>
    <w:rsid w:val="005A60A3"/>
    <w:rsid w:val="005A6D7C"/>
    <w:rsid w:val="005B1304"/>
    <w:rsid w:val="005B1766"/>
    <w:rsid w:val="005B21A8"/>
    <w:rsid w:val="005B3843"/>
    <w:rsid w:val="005B5F4B"/>
    <w:rsid w:val="005B6C21"/>
    <w:rsid w:val="005B73DC"/>
    <w:rsid w:val="005B777A"/>
    <w:rsid w:val="005C12F4"/>
    <w:rsid w:val="005C21E9"/>
    <w:rsid w:val="005C284B"/>
    <w:rsid w:val="005C6626"/>
    <w:rsid w:val="005D0FE6"/>
    <w:rsid w:val="005D2E26"/>
    <w:rsid w:val="005D4295"/>
    <w:rsid w:val="005D7F54"/>
    <w:rsid w:val="005E0071"/>
    <w:rsid w:val="005E14D0"/>
    <w:rsid w:val="005E2CC6"/>
    <w:rsid w:val="005E49E2"/>
    <w:rsid w:val="005F0AAD"/>
    <w:rsid w:val="005F0DB5"/>
    <w:rsid w:val="005F127C"/>
    <w:rsid w:val="005F1C18"/>
    <w:rsid w:val="005F287E"/>
    <w:rsid w:val="005F29D2"/>
    <w:rsid w:val="005F3603"/>
    <w:rsid w:val="005F4AB9"/>
    <w:rsid w:val="005F50D0"/>
    <w:rsid w:val="005F57DB"/>
    <w:rsid w:val="005F7820"/>
    <w:rsid w:val="00600993"/>
    <w:rsid w:val="00601160"/>
    <w:rsid w:val="00610122"/>
    <w:rsid w:val="0061020F"/>
    <w:rsid w:val="0061093E"/>
    <w:rsid w:val="0061097F"/>
    <w:rsid w:val="00613003"/>
    <w:rsid w:val="00613DDD"/>
    <w:rsid w:val="00615556"/>
    <w:rsid w:val="0061725F"/>
    <w:rsid w:val="00621036"/>
    <w:rsid w:val="00623F54"/>
    <w:rsid w:val="00624916"/>
    <w:rsid w:val="006273DF"/>
    <w:rsid w:val="006278EF"/>
    <w:rsid w:val="006317A2"/>
    <w:rsid w:val="0063220B"/>
    <w:rsid w:val="00632B95"/>
    <w:rsid w:val="00634815"/>
    <w:rsid w:val="00635602"/>
    <w:rsid w:val="00635FFC"/>
    <w:rsid w:val="00637A1F"/>
    <w:rsid w:val="0064055C"/>
    <w:rsid w:val="006407BE"/>
    <w:rsid w:val="00640F04"/>
    <w:rsid w:val="006412DA"/>
    <w:rsid w:val="00641B79"/>
    <w:rsid w:val="0064339E"/>
    <w:rsid w:val="00643BCB"/>
    <w:rsid w:val="00644DA2"/>
    <w:rsid w:val="00645723"/>
    <w:rsid w:val="0064639C"/>
    <w:rsid w:val="00646A38"/>
    <w:rsid w:val="006506E3"/>
    <w:rsid w:val="00650FD4"/>
    <w:rsid w:val="006514EE"/>
    <w:rsid w:val="006522F5"/>
    <w:rsid w:val="006554FA"/>
    <w:rsid w:val="0065715F"/>
    <w:rsid w:val="00657F26"/>
    <w:rsid w:val="006609ED"/>
    <w:rsid w:val="0066190C"/>
    <w:rsid w:val="0066307D"/>
    <w:rsid w:val="006630DE"/>
    <w:rsid w:val="00663A71"/>
    <w:rsid w:val="00665872"/>
    <w:rsid w:val="00672F81"/>
    <w:rsid w:val="00673791"/>
    <w:rsid w:val="00673F05"/>
    <w:rsid w:val="0068181C"/>
    <w:rsid w:val="0068208E"/>
    <w:rsid w:val="00685A50"/>
    <w:rsid w:val="00685C47"/>
    <w:rsid w:val="00685C8A"/>
    <w:rsid w:val="00686F78"/>
    <w:rsid w:val="00690989"/>
    <w:rsid w:val="00691CE8"/>
    <w:rsid w:val="00693831"/>
    <w:rsid w:val="00696462"/>
    <w:rsid w:val="00696B86"/>
    <w:rsid w:val="006A2CAF"/>
    <w:rsid w:val="006A45D2"/>
    <w:rsid w:val="006A5D09"/>
    <w:rsid w:val="006A6530"/>
    <w:rsid w:val="006A66B2"/>
    <w:rsid w:val="006B04F0"/>
    <w:rsid w:val="006B05AF"/>
    <w:rsid w:val="006B097E"/>
    <w:rsid w:val="006B0BEF"/>
    <w:rsid w:val="006B12F9"/>
    <w:rsid w:val="006B1A5A"/>
    <w:rsid w:val="006B2974"/>
    <w:rsid w:val="006B30B1"/>
    <w:rsid w:val="006B4BE8"/>
    <w:rsid w:val="006B599E"/>
    <w:rsid w:val="006B5F13"/>
    <w:rsid w:val="006B6CD3"/>
    <w:rsid w:val="006B7E2E"/>
    <w:rsid w:val="006C0AE5"/>
    <w:rsid w:val="006C15EB"/>
    <w:rsid w:val="006C2DA8"/>
    <w:rsid w:val="006C5B0A"/>
    <w:rsid w:val="006C5D1F"/>
    <w:rsid w:val="006C6DC5"/>
    <w:rsid w:val="006C749F"/>
    <w:rsid w:val="006C7772"/>
    <w:rsid w:val="006C7EA9"/>
    <w:rsid w:val="006D04FD"/>
    <w:rsid w:val="006D06A4"/>
    <w:rsid w:val="006D11AE"/>
    <w:rsid w:val="006D3C7F"/>
    <w:rsid w:val="006D6143"/>
    <w:rsid w:val="006D66FB"/>
    <w:rsid w:val="006D6AAC"/>
    <w:rsid w:val="006D7098"/>
    <w:rsid w:val="006E0D0A"/>
    <w:rsid w:val="006E209A"/>
    <w:rsid w:val="006E228D"/>
    <w:rsid w:val="006E2BE4"/>
    <w:rsid w:val="006E5FA3"/>
    <w:rsid w:val="006F0946"/>
    <w:rsid w:val="006F0BA0"/>
    <w:rsid w:val="006F0BC1"/>
    <w:rsid w:val="006F53C2"/>
    <w:rsid w:val="006F6924"/>
    <w:rsid w:val="006F6DAB"/>
    <w:rsid w:val="006F7164"/>
    <w:rsid w:val="006F7E34"/>
    <w:rsid w:val="007003CC"/>
    <w:rsid w:val="00701D07"/>
    <w:rsid w:val="00702897"/>
    <w:rsid w:val="00703104"/>
    <w:rsid w:val="007044F3"/>
    <w:rsid w:val="00706893"/>
    <w:rsid w:val="007120F2"/>
    <w:rsid w:val="00712512"/>
    <w:rsid w:val="00713014"/>
    <w:rsid w:val="00713A6A"/>
    <w:rsid w:val="00720943"/>
    <w:rsid w:val="007240BC"/>
    <w:rsid w:val="00725F95"/>
    <w:rsid w:val="00726C13"/>
    <w:rsid w:val="00730DDF"/>
    <w:rsid w:val="00732E9D"/>
    <w:rsid w:val="007334A6"/>
    <w:rsid w:val="0073465E"/>
    <w:rsid w:val="00735FB3"/>
    <w:rsid w:val="00743479"/>
    <w:rsid w:val="00745658"/>
    <w:rsid w:val="0074578D"/>
    <w:rsid w:val="00746B8D"/>
    <w:rsid w:val="00747E08"/>
    <w:rsid w:val="007501D2"/>
    <w:rsid w:val="00750875"/>
    <w:rsid w:val="0075192B"/>
    <w:rsid w:val="00753B9D"/>
    <w:rsid w:val="00754618"/>
    <w:rsid w:val="00755484"/>
    <w:rsid w:val="00755EA7"/>
    <w:rsid w:val="00761C76"/>
    <w:rsid w:val="00762A77"/>
    <w:rsid w:val="00763385"/>
    <w:rsid w:val="00765CB1"/>
    <w:rsid w:val="007664C0"/>
    <w:rsid w:val="00766C35"/>
    <w:rsid w:val="00766F83"/>
    <w:rsid w:val="00767373"/>
    <w:rsid w:val="007674E1"/>
    <w:rsid w:val="0077050C"/>
    <w:rsid w:val="00770AC9"/>
    <w:rsid w:val="00771039"/>
    <w:rsid w:val="00771923"/>
    <w:rsid w:val="0077251F"/>
    <w:rsid w:val="00775F9D"/>
    <w:rsid w:val="0077608C"/>
    <w:rsid w:val="007774FE"/>
    <w:rsid w:val="00777CC3"/>
    <w:rsid w:val="007808B7"/>
    <w:rsid w:val="00783563"/>
    <w:rsid w:val="00785550"/>
    <w:rsid w:val="0078717E"/>
    <w:rsid w:val="00790CB2"/>
    <w:rsid w:val="007912FF"/>
    <w:rsid w:val="0079137F"/>
    <w:rsid w:val="007917CE"/>
    <w:rsid w:val="007961E9"/>
    <w:rsid w:val="00796567"/>
    <w:rsid w:val="007A4E14"/>
    <w:rsid w:val="007A5618"/>
    <w:rsid w:val="007A5A84"/>
    <w:rsid w:val="007B060B"/>
    <w:rsid w:val="007B0E0C"/>
    <w:rsid w:val="007B1D66"/>
    <w:rsid w:val="007B2B28"/>
    <w:rsid w:val="007B3E0A"/>
    <w:rsid w:val="007B4B27"/>
    <w:rsid w:val="007B4C58"/>
    <w:rsid w:val="007C0E0E"/>
    <w:rsid w:val="007C12BB"/>
    <w:rsid w:val="007C2013"/>
    <w:rsid w:val="007C285C"/>
    <w:rsid w:val="007C3513"/>
    <w:rsid w:val="007C3BF0"/>
    <w:rsid w:val="007C49C6"/>
    <w:rsid w:val="007C49FC"/>
    <w:rsid w:val="007C53A7"/>
    <w:rsid w:val="007C5D38"/>
    <w:rsid w:val="007C5F32"/>
    <w:rsid w:val="007C7F39"/>
    <w:rsid w:val="007D11B6"/>
    <w:rsid w:val="007D3AAA"/>
    <w:rsid w:val="007D477E"/>
    <w:rsid w:val="007D657A"/>
    <w:rsid w:val="007D7B66"/>
    <w:rsid w:val="007E1BC7"/>
    <w:rsid w:val="007E3B00"/>
    <w:rsid w:val="007F19C5"/>
    <w:rsid w:val="007F4FAB"/>
    <w:rsid w:val="007F57BD"/>
    <w:rsid w:val="007F6DAB"/>
    <w:rsid w:val="007F77E1"/>
    <w:rsid w:val="007F7968"/>
    <w:rsid w:val="008003D6"/>
    <w:rsid w:val="00802B98"/>
    <w:rsid w:val="0080635B"/>
    <w:rsid w:val="00811DD5"/>
    <w:rsid w:val="008134B4"/>
    <w:rsid w:val="00814B7E"/>
    <w:rsid w:val="00814D8A"/>
    <w:rsid w:val="00815963"/>
    <w:rsid w:val="00822770"/>
    <w:rsid w:val="00825855"/>
    <w:rsid w:val="008271AC"/>
    <w:rsid w:val="008319B7"/>
    <w:rsid w:val="00833A1D"/>
    <w:rsid w:val="00833D75"/>
    <w:rsid w:val="00834B19"/>
    <w:rsid w:val="008354B1"/>
    <w:rsid w:val="00836192"/>
    <w:rsid w:val="00840935"/>
    <w:rsid w:val="00840FF8"/>
    <w:rsid w:val="00842AEC"/>
    <w:rsid w:val="00843468"/>
    <w:rsid w:val="0084389C"/>
    <w:rsid w:val="00844325"/>
    <w:rsid w:val="008449CA"/>
    <w:rsid w:val="00845127"/>
    <w:rsid w:val="00847F29"/>
    <w:rsid w:val="0085211D"/>
    <w:rsid w:val="0085213D"/>
    <w:rsid w:val="008549F6"/>
    <w:rsid w:val="00856102"/>
    <w:rsid w:val="00856FC1"/>
    <w:rsid w:val="00860684"/>
    <w:rsid w:val="00864FBE"/>
    <w:rsid w:val="00871371"/>
    <w:rsid w:val="0087175D"/>
    <w:rsid w:val="00872FB5"/>
    <w:rsid w:val="008745D9"/>
    <w:rsid w:val="008765C1"/>
    <w:rsid w:val="0087685A"/>
    <w:rsid w:val="00876F77"/>
    <w:rsid w:val="00880724"/>
    <w:rsid w:val="00883A92"/>
    <w:rsid w:val="00885CE0"/>
    <w:rsid w:val="00885F45"/>
    <w:rsid w:val="00886940"/>
    <w:rsid w:val="0089077E"/>
    <w:rsid w:val="008916C1"/>
    <w:rsid w:val="00891A83"/>
    <w:rsid w:val="00891C3B"/>
    <w:rsid w:val="008948B4"/>
    <w:rsid w:val="00894FE8"/>
    <w:rsid w:val="00896E86"/>
    <w:rsid w:val="00897320"/>
    <w:rsid w:val="008A2549"/>
    <w:rsid w:val="008A3B19"/>
    <w:rsid w:val="008A4F6C"/>
    <w:rsid w:val="008A5DC5"/>
    <w:rsid w:val="008A6A31"/>
    <w:rsid w:val="008B2B01"/>
    <w:rsid w:val="008B3EEA"/>
    <w:rsid w:val="008B5638"/>
    <w:rsid w:val="008B5BED"/>
    <w:rsid w:val="008B64FF"/>
    <w:rsid w:val="008B6CDF"/>
    <w:rsid w:val="008C1B8C"/>
    <w:rsid w:val="008C2271"/>
    <w:rsid w:val="008C337B"/>
    <w:rsid w:val="008C5B4E"/>
    <w:rsid w:val="008C60EC"/>
    <w:rsid w:val="008C67A9"/>
    <w:rsid w:val="008C6BF6"/>
    <w:rsid w:val="008D163D"/>
    <w:rsid w:val="008D1A0A"/>
    <w:rsid w:val="008D3687"/>
    <w:rsid w:val="008D7FC2"/>
    <w:rsid w:val="008E1AF9"/>
    <w:rsid w:val="008E25E8"/>
    <w:rsid w:val="008E2EB2"/>
    <w:rsid w:val="008E51F1"/>
    <w:rsid w:val="008E53A2"/>
    <w:rsid w:val="008E5C8B"/>
    <w:rsid w:val="008E684B"/>
    <w:rsid w:val="008E7466"/>
    <w:rsid w:val="008F15C3"/>
    <w:rsid w:val="008F2E2A"/>
    <w:rsid w:val="008F3838"/>
    <w:rsid w:val="008F3CC1"/>
    <w:rsid w:val="008F5413"/>
    <w:rsid w:val="008F561A"/>
    <w:rsid w:val="008F6054"/>
    <w:rsid w:val="0090292C"/>
    <w:rsid w:val="00905670"/>
    <w:rsid w:val="009068DA"/>
    <w:rsid w:val="00912D77"/>
    <w:rsid w:val="0091360E"/>
    <w:rsid w:val="00913CB7"/>
    <w:rsid w:val="00914A95"/>
    <w:rsid w:val="00914B8A"/>
    <w:rsid w:val="00914F68"/>
    <w:rsid w:val="0091621E"/>
    <w:rsid w:val="0091720E"/>
    <w:rsid w:val="00917AD3"/>
    <w:rsid w:val="00917BD7"/>
    <w:rsid w:val="009203DF"/>
    <w:rsid w:val="00922958"/>
    <w:rsid w:val="00922CEC"/>
    <w:rsid w:val="009237B7"/>
    <w:rsid w:val="009240E2"/>
    <w:rsid w:val="009261BC"/>
    <w:rsid w:val="00926D12"/>
    <w:rsid w:val="009275C5"/>
    <w:rsid w:val="00933BB7"/>
    <w:rsid w:val="00934050"/>
    <w:rsid w:val="00934F19"/>
    <w:rsid w:val="00942FEB"/>
    <w:rsid w:val="00943CB3"/>
    <w:rsid w:val="0094737B"/>
    <w:rsid w:val="0094792E"/>
    <w:rsid w:val="00950671"/>
    <w:rsid w:val="009517E5"/>
    <w:rsid w:val="009540D3"/>
    <w:rsid w:val="00954858"/>
    <w:rsid w:val="00954DFD"/>
    <w:rsid w:val="00954F12"/>
    <w:rsid w:val="00955DF1"/>
    <w:rsid w:val="0095705D"/>
    <w:rsid w:val="009606AC"/>
    <w:rsid w:val="0096224F"/>
    <w:rsid w:val="00962744"/>
    <w:rsid w:val="00965226"/>
    <w:rsid w:val="00965C3C"/>
    <w:rsid w:val="009669B7"/>
    <w:rsid w:val="009733C4"/>
    <w:rsid w:val="00973893"/>
    <w:rsid w:val="009738E4"/>
    <w:rsid w:val="00974B27"/>
    <w:rsid w:val="009753E6"/>
    <w:rsid w:val="00975A55"/>
    <w:rsid w:val="00977BD1"/>
    <w:rsid w:val="00980525"/>
    <w:rsid w:val="0098091D"/>
    <w:rsid w:val="00980D21"/>
    <w:rsid w:val="00982B77"/>
    <w:rsid w:val="00984BF4"/>
    <w:rsid w:val="0098741B"/>
    <w:rsid w:val="009902B2"/>
    <w:rsid w:val="00990A1C"/>
    <w:rsid w:val="009926F5"/>
    <w:rsid w:val="00994261"/>
    <w:rsid w:val="009A0741"/>
    <w:rsid w:val="009A2F28"/>
    <w:rsid w:val="009A4543"/>
    <w:rsid w:val="009B0617"/>
    <w:rsid w:val="009B1D50"/>
    <w:rsid w:val="009B23D2"/>
    <w:rsid w:val="009B5992"/>
    <w:rsid w:val="009B5F7F"/>
    <w:rsid w:val="009B6EB5"/>
    <w:rsid w:val="009B6EE8"/>
    <w:rsid w:val="009C19F3"/>
    <w:rsid w:val="009D08E0"/>
    <w:rsid w:val="009D1AAC"/>
    <w:rsid w:val="009D22C1"/>
    <w:rsid w:val="009D5D2D"/>
    <w:rsid w:val="009D5E1E"/>
    <w:rsid w:val="009D6B91"/>
    <w:rsid w:val="009D7914"/>
    <w:rsid w:val="009D7C71"/>
    <w:rsid w:val="009E0E09"/>
    <w:rsid w:val="009E169F"/>
    <w:rsid w:val="009E24DF"/>
    <w:rsid w:val="009E3543"/>
    <w:rsid w:val="009E3894"/>
    <w:rsid w:val="009E6630"/>
    <w:rsid w:val="009E79BF"/>
    <w:rsid w:val="009E7B02"/>
    <w:rsid w:val="009E7B3F"/>
    <w:rsid w:val="009F1009"/>
    <w:rsid w:val="009F11A7"/>
    <w:rsid w:val="009F1A2B"/>
    <w:rsid w:val="009F7284"/>
    <w:rsid w:val="009F7721"/>
    <w:rsid w:val="00A02A3F"/>
    <w:rsid w:val="00A043B1"/>
    <w:rsid w:val="00A06380"/>
    <w:rsid w:val="00A06E8F"/>
    <w:rsid w:val="00A10355"/>
    <w:rsid w:val="00A13918"/>
    <w:rsid w:val="00A14887"/>
    <w:rsid w:val="00A14C86"/>
    <w:rsid w:val="00A16F58"/>
    <w:rsid w:val="00A2098B"/>
    <w:rsid w:val="00A23AA9"/>
    <w:rsid w:val="00A2449A"/>
    <w:rsid w:val="00A24802"/>
    <w:rsid w:val="00A27CFA"/>
    <w:rsid w:val="00A341CD"/>
    <w:rsid w:val="00A34E46"/>
    <w:rsid w:val="00A375DE"/>
    <w:rsid w:val="00A426AB"/>
    <w:rsid w:val="00A5007D"/>
    <w:rsid w:val="00A5012D"/>
    <w:rsid w:val="00A52DD8"/>
    <w:rsid w:val="00A536D9"/>
    <w:rsid w:val="00A539A6"/>
    <w:rsid w:val="00A554B8"/>
    <w:rsid w:val="00A5743E"/>
    <w:rsid w:val="00A62389"/>
    <w:rsid w:val="00A62A42"/>
    <w:rsid w:val="00A6388E"/>
    <w:rsid w:val="00A64A3D"/>
    <w:rsid w:val="00A65213"/>
    <w:rsid w:val="00A65790"/>
    <w:rsid w:val="00A67BEC"/>
    <w:rsid w:val="00A71021"/>
    <w:rsid w:val="00A71B2F"/>
    <w:rsid w:val="00A71BEE"/>
    <w:rsid w:val="00A71FC1"/>
    <w:rsid w:val="00A72DD1"/>
    <w:rsid w:val="00A73DA7"/>
    <w:rsid w:val="00A74B08"/>
    <w:rsid w:val="00A75522"/>
    <w:rsid w:val="00A75FE6"/>
    <w:rsid w:val="00A77FC0"/>
    <w:rsid w:val="00A82C37"/>
    <w:rsid w:val="00A82F36"/>
    <w:rsid w:val="00A82F6A"/>
    <w:rsid w:val="00A85144"/>
    <w:rsid w:val="00A8641B"/>
    <w:rsid w:val="00A909FE"/>
    <w:rsid w:val="00A92A14"/>
    <w:rsid w:val="00A94C29"/>
    <w:rsid w:val="00A9560A"/>
    <w:rsid w:val="00A95DA8"/>
    <w:rsid w:val="00A975F7"/>
    <w:rsid w:val="00AA0C56"/>
    <w:rsid w:val="00AA0DBB"/>
    <w:rsid w:val="00AA190F"/>
    <w:rsid w:val="00AA582B"/>
    <w:rsid w:val="00AA712F"/>
    <w:rsid w:val="00AA7F08"/>
    <w:rsid w:val="00AB0A1A"/>
    <w:rsid w:val="00AB3699"/>
    <w:rsid w:val="00AB4389"/>
    <w:rsid w:val="00AB7AFE"/>
    <w:rsid w:val="00AC2717"/>
    <w:rsid w:val="00AC47E0"/>
    <w:rsid w:val="00AC5135"/>
    <w:rsid w:val="00AC6784"/>
    <w:rsid w:val="00AC747D"/>
    <w:rsid w:val="00AC747F"/>
    <w:rsid w:val="00AD58D2"/>
    <w:rsid w:val="00AD5984"/>
    <w:rsid w:val="00AD74E3"/>
    <w:rsid w:val="00AE0A6E"/>
    <w:rsid w:val="00AE1699"/>
    <w:rsid w:val="00AE2594"/>
    <w:rsid w:val="00AE3875"/>
    <w:rsid w:val="00AE3C87"/>
    <w:rsid w:val="00AE684E"/>
    <w:rsid w:val="00AF0FCB"/>
    <w:rsid w:val="00AF271F"/>
    <w:rsid w:val="00AF278F"/>
    <w:rsid w:val="00AF4634"/>
    <w:rsid w:val="00AF4E7A"/>
    <w:rsid w:val="00AF504D"/>
    <w:rsid w:val="00AF5EDF"/>
    <w:rsid w:val="00AF77BE"/>
    <w:rsid w:val="00B0063B"/>
    <w:rsid w:val="00B015B4"/>
    <w:rsid w:val="00B01C05"/>
    <w:rsid w:val="00B02763"/>
    <w:rsid w:val="00B02D89"/>
    <w:rsid w:val="00B048E3"/>
    <w:rsid w:val="00B051B7"/>
    <w:rsid w:val="00B07622"/>
    <w:rsid w:val="00B0782F"/>
    <w:rsid w:val="00B135A0"/>
    <w:rsid w:val="00B14E03"/>
    <w:rsid w:val="00B14F97"/>
    <w:rsid w:val="00B162EB"/>
    <w:rsid w:val="00B17CDC"/>
    <w:rsid w:val="00B20763"/>
    <w:rsid w:val="00B21186"/>
    <w:rsid w:val="00B25429"/>
    <w:rsid w:val="00B260B4"/>
    <w:rsid w:val="00B31B58"/>
    <w:rsid w:val="00B3267C"/>
    <w:rsid w:val="00B35672"/>
    <w:rsid w:val="00B35EBE"/>
    <w:rsid w:val="00B366CE"/>
    <w:rsid w:val="00B41992"/>
    <w:rsid w:val="00B42033"/>
    <w:rsid w:val="00B44559"/>
    <w:rsid w:val="00B52AE3"/>
    <w:rsid w:val="00B52FBC"/>
    <w:rsid w:val="00B53D85"/>
    <w:rsid w:val="00B60209"/>
    <w:rsid w:val="00B619D1"/>
    <w:rsid w:val="00B65136"/>
    <w:rsid w:val="00B66164"/>
    <w:rsid w:val="00B66193"/>
    <w:rsid w:val="00B70DA3"/>
    <w:rsid w:val="00B7285D"/>
    <w:rsid w:val="00B72A2C"/>
    <w:rsid w:val="00B72ECF"/>
    <w:rsid w:val="00B73CC4"/>
    <w:rsid w:val="00B7459B"/>
    <w:rsid w:val="00B80F37"/>
    <w:rsid w:val="00B82BCB"/>
    <w:rsid w:val="00B85283"/>
    <w:rsid w:val="00B8547E"/>
    <w:rsid w:val="00B85731"/>
    <w:rsid w:val="00B91494"/>
    <w:rsid w:val="00B92AB9"/>
    <w:rsid w:val="00B94D52"/>
    <w:rsid w:val="00B95CB0"/>
    <w:rsid w:val="00B967ED"/>
    <w:rsid w:val="00B97231"/>
    <w:rsid w:val="00B97F13"/>
    <w:rsid w:val="00BA0287"/>
    <w:rsid w:val="00BA03CB"/>
    <w:rsid w:val="00BA0DB2"/>
    <w:rsid w:val="00BA0EBD"/>
    <w:rsid w:val="00BA124C"/>
    <w:rsid w:val="00BA1345"/>
    <w:rsid w:val="00BA28ED"/>
    <w:rsid w:val="00BA376D"/>
    <w:rsid w:val="00BA6228"/>
    <w:rsid w:val="00BA7B00"/>
    <w:rsid w:val="00BB05C4"/>
    <w:rsid w:val="00BB08C4"/>
    <w:rsid w:val="00BB1DBA"/>
    <w:rsid w:val="00BB1EDD"/>
    <w:rsid w:val="00BB4A06"/>
    <w:rsid w:val="00BB4E93"/>
    <w:rsid w:val="00BB5248"/>
    <w:rsid w:val="00BB61CA"/>
    <w:rsid w:val="00BC02AC"/>
    <w:rsid w:val="00BC10BE"/>
    <w:rsid w:val="00BC12B9"/>
    <w:rsid w:val="00BC1F63"/>
    <w:rsid w:val="00BC2ACE"/>
    <w:rsid w:val="00BC30FC"/>
    <w:rsid w:val="00BC38D4"/>
    <w:rsid w:val="00BC3D6F"/>
    <w:rsid w:val="00BC426F"/>
    <w:rsid w:val="00BC6CAE"/>
    <w:rsid w:val="00BC7171"/>
    <w:rsid w:val="00BC77FB"/>
    <w:rsid w:val="00BC78AC"/>
    <w:rsid w:val="00BD3B30"/>
    <w:rsid w:val="00BD52C5"/>
    <w:rsid w:val="00BD5AAD"/>
    <w:rsid w:val="00BD5ABA"/>
    <w:rsid w:val="00BD7F21"/>
    <w:rsid w:val="00BE03B0"/>
    <w:rsid w:val="00BE501D"/>
    <w:rsid w:val="00BE554E"/>
    <w:rsid w:val="00BE67A0"/>
    <w:rsid w:val="00BF12DB"/>
    <w:rsid w:val="00BF2DC5"/>
    <w:rsid w:val="00BF30ED"/>
    <w:rsid w:val="00BF68CE"/>
    <w:rsid w:val="00C02B00"/>
    <w:rsid w:val="00C05BBB"/>
    <w:rsid w:val="00C073E5"/>
    <w:rsid w:val="00C07555"/>
    <w:rsid w:val="00C11978"/>
    <w:rsid w:val="00C1621B"/>
    <w:rsid w:val="00C16DCB"/>
    <w:rsid w:val="00C17723"/>
    <w:rsid w:val="00C17F05"/>
    <w:rsid w:val="00C20D79"/>
    <w:rsid w:val="00C21084"/>
    <w:rsid w:val="00C21231"/>
    <w:rsid w:val="00C21A9F"/>
    <w:rsid w:val="00C220CC"/>
    <w:rsid w:val="00C25270"/>
    <w:rsid w:val="00C26D83"/>
    <w:rsid w:val="00C33402"/>
    <w:rsid w:val="00C33ECD"/>
    <w:rsid w:val="00C359D1"/>
    <w:rsid w:val="00C363A1"/>
    <w:rsid w:val="00C363DA"/>
    <w:rsid w:val="00C414E9"/>
    <w:rsid w:val="00C419F8"/>
    <w:rsid w:val="00C4440B"/>
    <w:rsid w:val="00C4499D"/>
    <w:rsid w:val="00C45045"/>
    <w:rsid w:val="00C4553A"/>
    <w:rsid w:val="00C46131"/>
    <w:rsid w:val="00C462DF"/>
    <w:rsid w:val="00C523B2"/>
    <w:rsid w:val="00C52A0B"/>
    <w:rsid w:val="00C5315B"/>
    <w:rsid w:val="00C5469E"/>
    <w:rsid w:val="00C5559B"/>
    <w:rsid w:val="00C57C11"/>
    <w:rsid w:val="00C60730"/>
    <w:rsid w:val="00C609A1"/>
    <w:rsid w:val="00C612E2"/>
    <w:rsid w:val="00C623EB"/>
    <w:rsid w:val="00C63300"/>
    <w:rsid w:val="00C634A3"/>
    <w:rsid w:val="00C63586"/>
    <w:rsid w:val="00C6467E"/>
    <w:rsid w:val="00C64A97"/>
    <w:rsid w:val="00C65FD3"/>
    <w:rsid w:val="00C6653C"/>
    <w:rsid w:val="00C67FE7"/>
    <w:rsid w:val="00C716C2"/>
    <w:rsid w:val="00C71A0D"/>
    <w:rsid w:val="00C71D1F"/>
    <w:rsid w:val="00C72832"/>
    <w:rsid w:val="00C7429C"/>
    <w:rsid w:val="00C77E44"/>
    <w:rsid w:val="00C81001"/>
    <w:rsid w:val="00C8230C"/>
    <w:rsid w:val="00C831E4"/>
    <w:rsid w:val="00C8448B"/>
    <w:rsid w:val="00C90FDE"/>
    <w:rsid w:val="00C910FF"/>
    <w:rsid w:val="00C9653E"/>
    <w:rsid w:val="00CA0F70"/>
    <w:rsid w:val="00CA25D7"/>
    <w:rsid w:val="00CA2753"/>
    <w:rsid w:val="00CA3415"/>
    <w:rsid w:val="00CA437A"/>
    <w:rsid w:val="00CA6594"/>
    <w:rsid w:val="00CB0F42"/>
    <w:rsid w:val="00CB2AA6"/>
    <w:rsid w:val="00CB3327"/>
    <w:rsid w:val="00CB4A20"/>
    <w:rsid w:val="00CB622A"/>
    <w:rsid w:val="00CB6D02"/>
    <w:rsid w:val="00CB7270"/>
    <w:rsid w:val="00CC1600"/>
    <w:rsid w:val="00CD2CFF"/>
    <w:rsid w:val="00CD434D"/>
    <w:rsid w:val="00CD69B0"/>
    <w:rsid w:val="00CD6D7C"/>
    <w:rsid w:val="00CE0A8A"/>
    <w:rsid w:val="00CE153B"/>
    <w:rsid w:val="00CE19F1"/>
    <w:rsid w:val="00CE1D36"/>
    <w:rsid w:val="00CE5582"/>
    <w:rsid w:val="00CE72A2"/>
    <w:rsid w:val="00CF17EF"/>
    <w:rsid w:val="00CF18ED"/>
    <w:rsid w:val="00CF1C83"/>
    <w:rsid w:val="00CF45DB"/>
    <w:rsid w:val="00CF4E9C"/>
    <w:rsid w:val="00CF5B4A"/>
    <w:rsid w:val="00D017E3"/>
    <w:rsid w:val="00D047BD"/>
    <w:rsid w:val="00D047FD"/>
    <w:rsid w:val="00D049F3"/>
    <w:rsid w:val="00D04AEC"/>
    <w:rsid w:val="00D067BC"/>
    <w:rsid w:val="00D11FEB"/>
    <w:rsid w:val="00D165A9"/>
    <w:rsid w:val="00D166AB"/>
    <w:rsid w:val="00D22620"/>
    <w:rsid w:val="00D233AD"/>
    <w:rsid w:val="00D23B0F"/>
    <w:rsid w:val="00D243C6"/>
    <w:rsid w:val="00D24969"/>
    <w:rsid w:val="00D26A22"/>
    <w:rsid w:val="00D30D5B"/>
    <w:rsid w:val="00D3147E"/>
    <w:rsid w:val="00D31713"/>
    <w:rsid w:val="00D32955"/>
    <w:rsid w:val="00D34A74"/>
    <w:rsid w:val="00D3567B"/>
    <w:rsid w:val="00D3705F"/>
    <w:rsid w:val="00D408AE"/>
    <w:rsid w:val="00D411BD"/>
    <w:rsid w:val="00D41505"/>
    <w:rsid w:val="00D42EDC"/>
    <w:rsid w:val="00D431EF"/>
    <w:rsid w:val="00D43466"/>
    <w:rsid w:val="00D43B93"/>
    <w:rsid w:val="00D43C34"/>
    <w:rsid w:val="00D47CA7"/>
    <w:rsid w:val="00D47E29"/>
    <w:rsid w:val="00D50769"/>
    <w:rsid w:val="00D51104"/>
    <w:rsid w:val="00D51186"/>
    <w:rsid w:val="00D518A4"/>
    <w:rsid w:val="00D52E41"/>
    <w:rsid w:val="00D53510"/>
    <w:rsid w:val="00D5422F"/>
    <w:rsid w:val="00D54935"/>
    <w:rsid w:val="00D6166E"/>
    <w:rsid w:val="00D62075"/>
    <w:rsid w:val="00D65A24"/>
    <w:rsid w:val="00D66224"/>
    <w:rsid w:val="00D67147"/>
    <w:rsid w:val="00D71C8D"/>
    <w:rsid w:val="00D71FC0"/>
    <w:rsid w:val="00D72186"/>
    <w:rsid w:val="00D7306A"/>
    <w:rsid w:val="00D75CB2"/>
    <w:rsid w:val="00D767F0"/>
    <w:rsid w:val="00D76EBE"/>
    <w:rsid w:val="00D770B5"/>
    <w:rsid w:val="00D82977"/>
    <w:rsid w:val="00D82B88"/>
    <w:rsid w:val="00D83387"/>
    <w:rsid w:val="00D83671"/>
    <w:rsid w:val="00D86744"/>
    <w:rsid w:val="00D876AD"/>
    <w:rsid w:val="00D902FB"/>
    <w:rsid w:val="00D91E23"/>
    <w:rsid w:val="00D92AD8"/>
    <w:rsid w:val="00D96980"/>
    <w:rsid w:val="00DA1F8D"/>
    <w:rsid w:val="00DA2C55"/>
    <w:rsid w:val="00DA41B7"/>
    <w:rsid w:val="00DB2198"/>
    <w:rsid w:val="00DB4E96"/>
    <w:rsid w:val="00DB691E"/>
    <w:rsid w:val="00DB6D72"/>
    <w:rsid w:val="00DB7916"/>
    <w:rsid w:val="00DC072B"/>
    <w:rsid w:val="00DC30B3"/>
    <w:rsid w:val="00DC3BDB"/>
    <w:rsid w:val="00DC42D0"/>
    <w:rsid w:val="00DC4640"/>
    <w:rsid w:val="00DC495E"/>
    <w:rsid w:val="00DC6480"/>
    <w:rsid w:val="00DC6776"/>
    <w:rsid w:val="00DC6FB5"/>
    <w:rsid w:val="00DC7119"/>
    <w:rsid w:val="00DD01A0"/>
    <w:rsid w:val="00DD06C0"/>
    <w:rsid w:val="00DD134F"/>
    <w:rsid w:val="00DD171F"/>
    <w:rsid w:val="00DD275D"/>
    <w:rsid w:val="00DD4673"/>
    <w:rsid w:val="00DE064F"/>
    <w:rsid w:val="00DE34A2"/>
    <w:rsid w:val="00DE423C"/>
    <w:rsid w:val="00DF1CE1"/>
    <w:rsid w:val="00DF1D0E"/>
    <w:rsid w:val="00DF331F"/>
    <w:rsid w:val="00DF3CB1"/>
    <w:rsid w:val="00DF4153"/>
    <w:rsid w:val="00DF4877"/>
    <w:rsid w:val="00DF6048"/>
    <w:rsid w:val="00DF68BE"/>
    <w:rsid w:val="00E01621"/>
    <w:rsid w:val="00E01A66"/>
    <w:rsid w:val="00E02C8D"/>
    <w:rsid w:val="00E038D6"/>
    <w:rsid w:val="00E0496B"/>
    <w:rsid w:val="00E04EBF"/>
    <w:rsid w:val="00E109D4"/>
    <w:rsid w:val="00E12B94"/>
    <w:rsid w:val="00E13C61"/>
    <w:rsid w:val="00E14FE3"/>
    <w:rsid w:val="00E15422"/>
    <w:rsid w:val="00E16655"/>
    <w:rsid w:val="00E16B78"/>
    <w:rsid w:val="00E177FD"/>
    <w:rsid w:val="00E253F5"/>
    <w:rsid w:val="00E255B9"/>
    <w:rsid w:val="00E2690F"/>
    <w:rsid w:val="00E306AA"/>
    <w:rsid w:val="00E30814"/>
    <w:rsid w:val="00E322E2"/>
    <w:rsid w:val="00E32C47"/>
    <w:rsid w:val="00E33BE7"/>
    <w:rsid w:val="00E3429C"/>
    <w:rsid w:val="00E40D28"/>
    <w:rsid w:val="00E4157B"/>
    <w:rsid w:val="00E42CCD"/>
    <w:rsid w:val="00E43392"/>
    <w:rsid w:val="00E44A47"/>
    <w:rsid w:val="00E46B2E"/>
    <w:rsid w:val="00E5012F"/>
    <w:rsid w:val="00E5058E"/>
    <w:rsid w:val="00E510B9"/>
    <w:rsid w:val="00E527EB"/>
    <w:rsid w:val="00E541B6"/>
    <w:rsid w:val="00E555D4"/>
    <w:rsid w:val="00E55B35"/>
    <w:rsid w:val="00E5624D"/>
    <w:rsid w:val="00E563A2"/>
    <w:rsid w:val="00E571CE"/>
    <w:rsid w:val="00E579D5"/>
    <w:rsid w:val="00E601C1"/>
    <w:rsid w:val="00E61B19"/>
    <w:rsid w:val="00E61B32"/>
    <w:rsid w:val="00E62E58"/>
    <w:rsid w:val="00E63956"/>
    <w:rsid w:val="00E63D8E"/>
    <w:rsid w:val="00E650D1"/>
    <w:rsid w:val="00E658F6"/>
    <w:rsid w:val="00E7014A"/>
    <w:rsid w:val="00E702F0"/>
    <w:rsid w:val="00E70AA8"/>
    <w:rsid w:val="00E70E75"/>
    <w:rsid w:val="00E7160E"/>
    <w:rsid w:val="00E71910"/>
    <w:rsid w:val="00E71FF3"/>
    <w:rsid w:val="00E72108"/>
    <w:rsid w:val="00E80F29"/>
    <w:rsid w:val="00E83C0B"/>
    <w:rsid w:val="00E83C8A"/>
    <w:rsid w:val="00E86759"/>
    <w:rsid w:val="00E8763D"/>
    <w:rsid w:val="00E93E4C"/>
    <w:rsid w:val="00E95991"/>
    <w:rsid w:val="00E96139"/>
    <w:rsid w:val="00E96835"/>
    <w:rsid w:val="00E96DFA"/>
    <w:rsid w:val="00E97E5B"/>
    <w:rsid w:val="00EA1250"/>
    <w:rsid w:val="00EA15B3"/>
    <w:rsid w:val="00EA1E62"/>
    <w:rsid w:val="00EB119D"/>
    <w:rsid w:val="00EB26C3"/>
    <w:rsid w:val="00EB6714"/>
    <w:rsid w:val="00EB689A"/>
    <w:rsid w:val="00EB78C6"/>
    <w:rsid w:val="00EB7BC0"/>
    <w:rsid w:val="00EC1CE9"/>
    <w:rsid w:val="00EC1EA6"/>
    <w:rsid w:val="00EC2524"/>
    <w:rsid w:val="00EC2A30"/>
    <w:rsid w:val="00EC4B2F"/>
    <w:rsid w:val="00EC68BB"/>
    <w:rsid w:val="00ED2311"/>
    <w:rsid w:val="00ED2636"/>
    <w:rsid w:val="00ED2CDC"/>
    <w:rsid w:val="00ED596F"/>
    <w:rsid w:val="00ED68C0"/>
    <w:rsid w:val="00EE04F8"/>
    <w:rsid w:val="00EE0BC2"/>
    <w:rsid w:val="00EE1D66"/>
    <w:rsid w:val="00EE3D04"/>
    <w:rsid w:val="00EE3F45"/>
    <w:rsid w:val="00EE4E91"/>
    <w:rsid w:val="00EE573C"/>
    <w:rsid w:val="00EE7AD5"/>
    <w:rsid w:val="00EF0D34"/>
    <w:rsid w:val="00EF105C"/>
    <w:rsid w:val="00EF1432"/>
    <w:rsid w:val="00EF32B1"/>
    <w:rsid w:val="00EF3553"/>
    <w:rsid w:val="00EF574F"/>
    <w:rsid w:val="00EF6608"/>
    <w:rsid w:val="00EF75D4"/>
    <w:rsid w:val="00F003BA"/>
    <w:rsid w:val="00F03016"/>
    <w:rsid w:val="00F03625"/>
    <w:rsid w:val="00F041BA"/>
    <w:rsid w:val="00F052AA"/>
    <w:rsid w:val="00F05DD4"/>
    <w:rsid w:val="00F07081"/>
    <w:rsid w:val="00F11020"/>
    <w:rsid w:val="00F12C38"/>
    <w:rsid w:val="00F1325C"/>
    <w:rsid w:val="00F14B62"/>
    <w:rsid w:val="00F16989"/>
    <w:rsid w:val="00F16A7D"/>
    <w:rsid w:val="00F17BFF"/>
    <w:rsid w:val="00F204D4"/>
    <w:rsid w:val="00F208C1"/>
    <w:rsid w:val="00F2266A"/>
    <w:rsid w:val="00F22D20"/>
    <w:rsid w:val="00F22D8A"/>
    <w:rsid w:val="00F23EB8"/>
    <w:rsid w:val="00F24B30"/>
    <w:rsid w:val="00F25ABB"/>
    <w:rsid w:val="00F27091"/>
    <w:rsid w:val="00F3416F"/>
    <w:rsid w:val="00F3598A"/>
    <w:rsid w:val="00F35A13"/>
    <w:rsid w:val="00F36414"/>
    <w:rsid w:val="00F3745D"/>
    <w:rsid w:val="00F37D2E"/>
    <w:rsid w:val="00F417C4"/>
    <w:rsid w:val="00F421E7"/>
    <w:rsid w:val="00F42656"/>
    <w:rsid w:val="00F458C6"/>
    <w:rsid w:val="00F531C9"/>
    <w:rsid w:val="00F551B1"/>
    <w:rsid w:val="00F555ED"/>
    <w:rsid w:val="00F572C2"/>
    <w:rsid w:val="00F61DAA"/>
    <w:rsid w:val="00F636FB"/>
    <w:rsid w:val="00F637B0"/>
    <w:rsid w:val="00F6524A"/>
    <w:rsid w:val="00F66D81"/>
    <w:rsid w:val="00F67C09"/>
    <w:rsid w:val="00F702E8"/>
    <w:rsid w:val="00F70AEF"/>
    <w:rsid w:val="00F71272"/>
    <w:rsid w:val="00F71899"/>
    <w:rsid w:val="00F71CF3"/>
    <w:rsid w:val="00F7447F"/>
    <w:rsid w:val="00F80A83"/>
    <w:rsid w:val="00F81A13"/>
    <w:rsid w:val="00F8260D"/>
    <w:rsid w:val="00F847E9"/>
    <w:rsid w:val="00F84811"/>
    <w:rsid w:val="00F85AE8"/>
    <w:rsid w:val="00F86737"/>
    <w:rsid w:val="00F86AF6"/>
    <w:rsid w:val="00F90A48"/>
    <w:rsid w:val="00F91966"/>
    <w:rsid w:val="00F91A18"/>
    <w:rsid w:val="00F92CA5"/>
    <w:rsid w:val="00F93884"/>
    <w:rsid w:val="00F97F5A"/>
    <w:rsid w:val="00FA1606"/>
    <w:rsid w:val="00FA2E76"/>
    <w:rsid w:val="00FA309D"/>
    <w:rsid w:val="00FA4C21"/>
    <w:rsid w:val="00FA4F32"/>
    <w:rsid w:val="00FA5326"/>
    <w:rsid w:val="00FA592E"/>
    <w:rsid w:val="00FA6450"/>
    <w:rsid w:val="00FA74E5"/>
    <w:rsid w:val="00FB1D23"/>
    <w:rsid w:val="00FB78F4"/>
    <w:rsid w:val="00FB79A6"/>
    <w:rsid w:val="00FC056C"/>
    <w:rsid w:val="00FC4BDF"/>
    <w:rsid w:val="00FC69A5"/>
    <w:rsid w:val="00FD1816"/>
    <w:rsid w:val="00FD1C56"/>
    <w:rsid w:val="00FD4D8F"/>
    <w:rsid w:val="00FD66FE"/>
    <w:rsid w:val="00FD6D7F"/>
    <w:rsid w:val="00FD6EA7"/>
    <w:rsid w:val="00FE2A27"/>
    <w:rsid w:val="00FE34E6"/>
    <w:rsid w:val="00FE4AA0"/>
    <w:rsid w:val="00FE4D59"/>
    <w:rsid w:val="00FE7240"/>
    <w:rsid w:val="00FF010D"/>
    <w:rsid w:val="00FF0409"/>
    <w:rsid w:val="00FF1B34"/>
    <w:rsid w:val="00FF1DA8"/>
    <w:rsid w:val="00FF2247"/>
    <w:rsid w:val="00FF2F84"/>
    <w:rsid w:val="00FF36D1"/>
    <w:rsid w:val="00FF5218"/>
    <w:rsid w:val="00FF59C5"/>
    <w:rsid w:val="00FF63D7"/>
    <w:rsid w:val="00FF72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477E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GB" w:bidi="en-GB"/>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B6CDF"/>
  </w:style>
  <w:style w:type="paragraph" w:styleId="Nagwek1">
    <w:name w:val="heading 1"/>
    <w:basedOn w:val="Normalny"/>
    <w:next w:val="Normalny"/>
    <w:link w:val="Nagwek1Znak"/>
    <w:uiPriority w:val="9"/>
    <w:qFormat/>
    <w:rsid w:val="00886940"/>
    <w:pPr>
      <w:keepNext/>
      <w:keepLines/>
      <w:spacing w:before="480" w:after="240" w:line="360" w:lineRule="auto"/>
      <w:outlineLvl w:val="0"/>
    </w:pPr>
    <w:rPr>
      <w:rFonts w:ascii="Arial" w:eastAsiaTheme="majorEastAsia" w:hAnsi="Arial" w:cs="Arial"/>
      <w:b/>
      <w:bCs/>
      <w:color w:val="E36C0A" w:themeColor="accent6" w:themeShade="BF"/>
      <w:sz w:val="32"/>
      <w:szCs w:val="32"/>
    </w:rPr>
  </w:style>
  <w:style w:type="paragraph" w:styleId="Nagwek2">
    <w:name w:val="heading 2"/>
    <w:basedOn w:val="Normalny"/>
    <w:next w:val="Normalny"/>
    <w:link w:val="Nagwek2Znak"/>
    <w:uiPriority w:val="9"/>
    <w:unhideWhenUsed/>
    <w:qFormat/>
    <w:rsid w:val="00F92CA5"/>
    <w:pPr>
      <w:keepNext/>
      <w:keepLines/>
      <w:spacing w:before="200" w:after="240" w:line="360" w:lineRule="auto"/>
      <w:outlineLvl w:val="1"/>
    </w:pPr>
    <w:rPr>
      <w:rFonts w:ascii="Arial" w:eastAsiaTheme="majorEastAsia" w:hAnsi="Arial" w:cs="Arial"/>
      <w:b/>
      <w:bCs/>
      <w:color w:val="E36C0A" w:themeColor="accent6"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073E5"/>
    <w:pPr>
      <w:ind w:left="720"/>
      <w:contextualSpacing/>
    </w:pPr>
  </w:style>
  <w:style w:type="paragraph" w:styleId="Tekstprzypisudolnego">
    <w:name w:val="footnote text"/>
    <w:basedOn w:val="Normalny"/>
    <w:link w:val="TekstprzypisudolnegoZnak"/>
    <w:uiPriority w:val="99"/>
    <w:unhideWhenUsed/>
    <w:rsid w:val="00DF331F"/>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DF331F"/>
    <w:rPr>
      <w:sz w:val="20"/>
      <w:szCs w:val="20"/>
    </w:rPr>
  </w:style>
  <w:style w:type="character" w:styleId="Odwoanieprzypisudolnego">
    <w:name w:val="footnote reference"/>
    <w:basedOn w:val="Domylnaczcionkaakapitu"/>
    <w:uiPriority w:val="99"/>
    <w:unhideWhenUsed/>
    <w:rsid w:val="00DF331F"/>
    <w:rPr>
      <w:vertAlign w:val="superscript"/>
    </w:rPr>
  </w:style>
  <w:style w:type="paragraph" w:styleId="Nagwek">
    <w:name w:val="header"/>
    <w:basedOn w:val="Normalny"/>
    <w:link w:val="NagwekZnak"/>
    <w:uiPriority w:val="99"/>
    <w:unhideWhenUsed/>
    <w:rsid w:val="00A95DA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95DA8"/>
  </w:style>
  <w:style w:type="paragraph" w:styleId="Stopka">
    <w:name w:val="footer"/>
    <w:basedOn w:val="Normalny"/>
    <w:link w:val="StopkaZnak"/>
    <w:uiPriority w:val="99"/>
    <w:unhideWhenUsed/>
    <w:rsid w:val="00A95DA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95DA8"/>
  </w:style>
  <w:style w:type="paragraph" w:styleId="Bezodstpw">
    <w:name w:val="No Spacing"/>
    <w:link w:val="BezodstpwZnak"/>
    <w:uiPriority w:val="1"/>
    <w:qFormat/>
    <w:rsid w:val="00012023"/>
    <w:pPr>
      <w:spacing w:after="0" w:line="240" w:lineRule="auto"/>
    </w:pPr>
    <w:rPr>
      <w:rFonts w:eastAsiaTheme="minorEastAsia"/>
    </w:rPr>
  </w:style>
  <w:style w:type="character" w:customStyle="1" w:styleId="BezodstpwZnak">
    <w:name w:val="Bez odstępów Znak"/>
    <w:basedOn w:val="Domylnaczcionkaakapitu"/>
    <w:link w:val="Bezodstpw"/>
    <w:uiPriority w:val="1"/>
    <w:rsid w:val="00012023"/>
    <w:rPr>
      <w:rFonts w:eastAsiaTheme="minorEastAsia"/>
      <w:lang w:eastAsia="en-GB"/>
    </w:rPr>
  </w:style>
  <w:style w:type="paragraph" w:styleId="Tekstdymka">
    <w:name w:val="Balloon Text"/>
    <w:basedOn w:val="Normalny"/>
    <w:link w:val="TekstdymkaZnak"/>
    <w:uiPriority w:val="99"/>
    <w:semiHidden/>
    <w:unhideWhenUsed/>
    <w:rsid w:val="0001202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12023"/>
    <w:rPr>
      <w:rFonts w:ascii="Tahoma" w:hAnsi="Tahoma" w:cs="Tahoma"/>
      <w:sz w:val="16"/>
      <w:szCs w:val="16"/>
    </w:rPr>
  </w:style>
  <w:style w:type="paragraph" w:styleId="Tytu">
    <w:name w:val="Title"/>
    <w:basedOn w:val="Normalny"/>
    <w:next w:val="Normalny"/>
    <w:link w:val="TytuZnak"/>
    <w:uiPriority w:val="10"/>
    <w:qFormat/>
    <w:rsid w:val="0001202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012023"/>
    <w:rPr>
      <w:rFonts w:asciiTheme="majorHAnsi" w:eastAsiaTheme="majorEastAsia" w:hAnsiTheme="majorHAnsi" w:cstheme="majorBidi"/>
      <w:color w:val="17365D" w:themeColor="text2" w:themeShade="BF"/>
      <w:spacing w:val="5"/>
      <w:kern w:val="28"/>
      <w:sz w:val="52"/>
      <w:szCs w:val="52"/>
      <w:lang w:eastAsia="en-GB"/>
    </w:rPr>
  </w:style>
  <w:style w:type="paragraph" w:styleId="Podtytu">
    <w:name w:val="Subtitle"/>
    <w:basedOn w:val="Normalny"/>
    <w:next w:val="Normalny"/>
    <w:link w:val="PodtytuZnak"/>
    <w:uiPriority w:val="11"/>
    <w:qFormat/>
    <w:rsid w:val="0001202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ytuZnak">
    <w:name w:val="Podtytuł Znak"/>
    <w:basedOn w:val="Domylnaczcionkaakapitu"/>
    <w:link w:val="Podtytu"/>
    <w:uiPriority w:val="11"/>
    <w:rsid w:val="00012023"/>
    <w:rPr>
      <w:rFonts w:asciiTheme="majorHAnsi" w:eastAsiaTheme="majorEastAsia" w:hAnsiTheme="majorHAnsi" w:cstheme="majorBidi"/>
      <w:i/>
      <w:iCs/>
      <w:color w:val="4F81BD" w:themeColor="accent1"/>
      <w:spacing w:val="15"/>
      <w:sz w:val="24"/>
      <w:szCs w:val="24"/>
      <w:lang w:eastAsia="en-GB"/>
    </w:rPr>
  </w:style>
  <w:style w:type="character" w:customStyle="1" w:styleId="Nagwek1Znak">
    <w:name w:val="Nagłówek 1 Znak"/>
    <w:basedOn w:val="Domylnaczcionkaakapitu"/>
    <w:link w:val="Nagwek1"/>
    <w:uiPriority w:val="9"/>
    <w:rsid w:val="00886940"/>
    <w:rPr>
      <w:rFonts w:ascii="Arial" w:eastAsiaTheme="majorEastAsia" w:hAnsi="Arial" w:cs="Arial"/>
      <w:b/>
      <w:bCs/>
      <w:color w:val="E36C0A" w:themeColor="accent6" w:themeShade="BF"/>
      <w:sz w:val="32"/>
      <w:szCs w:val="32"/>
    </w:rPr>
  </w:style>
  <w:style w:type="paragraph" w:styleId="Nagwekspisutreci">
    <w:name w:val="TOC Heading"/>
    <w:basedOn w:val="Nagwek1"/>
    <w:next w:val="Normalny"/>
    <w:uiPriority w:val="39"/>
    <w:semiHidden/>
    <w:unhideWhenUsed/>
    <w:qFormat/>
    <w:rsid w:val="009D22C1"/>
    <w:pPr>
      <w:outlineLvl w:val="9"/>
    </w:pPr>
  </w:style>
  <w:style w:type="paragraph" w:styleId="Spistreci2">
    <w:name w:val="toc 2"/>
    <w:basedOn w:val="Normalny"/>
    <w:next w:val="Normalny"/>
    <w:autoRedefine/>
    <w:uiPriority w:val="39"/>
    <w:unhideWhenUsed/>
    <w:qFormat/>
    <w:rsid w:val="009D22C1"/>
    <w:pPr>
      <w:spacing w:after="100"/>
      <w:ind w:left="220"/>
    </w:pPr>
    <w:rPr>
      <w:rFonts w:eastAsiaTheme="minorEastAsia"/>
    </w:rPr>
  </w:style>
  <w:style w:type="paragraph" w:styleId="Spistreci1">
    <w:name w:val="toc 1"/>
    <w:basedOn w:val="Normalny"/>
    <w:next w:val="Normalny"/>
    <w:autoRedefine/>
    <w:uiPriority w:val="39"/>
    <w:unhideWhenUsed/>
    <w:qFormat/>
    <w:rsid w:val="00457A77"/>
    <w:pPr>
      <w:tabs>
        <w:tab w:val="left" w:pos="440"/>
        <w:tab w:val="right" w:leader="dot" w:pos="9062"/>
      </w:tabs>
      <w:spacing w:after="100" w:line="240" w:lineRule="auto"/>
      <w:ind w:left="454" w:hanging="454"/>
    </w:pPr>
    <w:rPr>
      <w:rFonts w:eastAsiaTheme="minorEastAsia"/>
    </w:rPr>
  </w:style>
  <w:style w:type="paragraph" w:styleId="Spistreci3">
    <w:name w:val="toc 3"/>
    <w:basedOn w:val="Normalny"/>
    <w:next w:val="Normalny"/>
    <w:autoRedefine/>
    <w:uiPriority w:val="39"/>
    <w:semiHidden/>
    <w:unhideWhenUsed/>
    <w:qFormat/>
    <w:rsid w:val="009D22C1"/>
    <w:pPr>
      <w:spacing w:after="100"/>
      <w:ind w:left="440"/>
    </w:pPr>
    <w:rPr>
      <w:rFonts w:eastAsiaTheme="minorEastAsia"/>
    </w:rPr>
  </w:style>
  <w:style w:type="paragraph" w:styleId="Tekstpodstawowywcity3">
    <w:name w:val="Body Text Indent 3"/>
    <w:basedOn w:val="Normalny"/>
    <w:link w:val="Tekstpodstawowywcity3Znak"/>
    <w:uiPriority w:val="99"/>
    <w:semiHidden/>
    <w:unhideWhenUsed/>
    <w:rsid w:val="004021B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4021B3"/>
    <w:rPr>
      <w:sz w:val="16"/>
      <w:szCs w:val="16"/>
    </w:rPr>
  </w:style>
  <w:style w:type="character" w:styleId="Hipercze">
    <w:name w:val="Hyperlink"/>
    <w:basedOn w:val="Domylnaczcionkaakapitu"/>
    <w:uiPriority w:val="99"/>
    <w:unhideWhenUsed/>
    <w:rsid w:val="00CA3415"/>
    <w:rPr>
      <w:color w:val="0000FF" w:themeColor="hyperlink"/>
      <w:u w:val="single"/>
    </w:rPr>
  </w:style>
  <w:style w:type="character" w:styleId="Odwoaniedokomentarza">
    <w:name w:val="annotation reference"/>
    <w:basedOn w:val="Domylnaczcionkaakapitu"/>
    <w:uiPriority w:val="99"/>
    <w:semiHidden/>
    <w:unhideWhenUsed/>
    <w:rsid w:val="00777CC3"/>
    <w:rPr>
      <w:sz w:val="16"/>
      <w:szCs w:val="16"/>
    </w:rPr>
  </w:style>
  <w:style w:type="paragraph" w:styleId="Tekstkomentarza">
    <w:name w:val="annotation text"/>
    <w:basedOn w:val="Normalny"/>
    <w:link w:val="TekstkomentarzaZnak"/>
    <w:uiPriority w:val="99"/>
    <w:semiHidden/>
    <w:unhideWhenUsed/>
    <w:rsid w:val="00777CC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77CC3"/>
    <w:rPr>
      <w:sz w:val="20"/>
      <w:szCs w:val="20"/>
    </w:rPr>
  </w:style>
  <w:style w:type="paragraph" w:styleId="Tematkomentarza">
    <w:name w:val="annotation subject"/>
    <w:basedOn w:val="Tekstkomentarza"/>
    <w:next w:val="Tekstkomentarza"/>
    <w:link w:val="TematkomentarzaZnak"/>
    <w:uiPriority w:val="99"/>
    <w:semiHidden/>
    <w:unhideWhenUsed/>
    <w:rsid w:val="00777CC3"/>
    <w:rPr>
      <w:b/>
      <w:bCs/>
    </w:rPr>
  </w:style>
  <w:style w:type="character" w:customStyle="1" w:styleId="TematkomentarzaZnak">
    <w:name w:val="Temat komentarza Znak"/>
    <w:basedOn w:val="TekstkomentarzaZnak"/>
    <w:link w:val="Tematkomentarza"/>
    <w:uiPriority w:val="99"/>
    <w:semiHidden/>
    <w:rsid w:val="00777CC3"/>
    <w:rPr>
      <w:b/>
      <w:bCs/>
      <w:sz w:val="20"/>
      <w:szCs w:val="20"/>
    </w:rPr>
  </w:style>
  <w:style w:type="table" w:styleId="Tabela-Siatka">
    <w:name w:val="Table Grid"/>
    <w:basedOn w:val="Standardowy"/>
    <w:uiPriority w:val="59"/>
    <w:rsid w:val="00891A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59"/>
    <w:rsid w:val="00891A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59"/>
    <w:rsid w:val="00BA37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dniasiatka1akcent6">
    <w:name w:val="Medium Grid 1 Accent 6"/>
    <w:basedOn w:val="Standardowy"/>
    <w:uiPriority w:val="67"/>
    <w:rsid w:val="00623F5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redniasiatka3akcent6">
    <w:name w:val="Medium Grid 3 Accent 6"/>
    <w:basedOn w:val="Standardowy"/>
    <w:uiPriority w:val="69"/>
    <w:rsid w:val="0010107F"/>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character" w:customStyle="1" w:styleId="Nagwek2Znak">
    <w:name w:val="Nagłówek 2 Znak"/>
    <w:basedOn w:val="Domylnaczcionkaakapitu"/>
    <w:link w:val="Nagwek2"/>
    <w:uiPriority w:val="9"/>
    <w:rsid w:val="00F92CA5"/>
    <w:rPr>
      <w:rFonts w:ascii="Arial" w:eastAsiaTheme="majorEastAsia" w:hAnsi="Arial" w:cs="Arial"/>
      <w:b/>
      <w:bCs/>
      <w:color w:val="E36C0A" w:themeColor="accent6" w:themeShade="BF"/>
      <w:sz w:val="28"/>
      <w:szCs w:val="28"/>
    </w:rPr>
  </w:style>
  <w:style w:type="paragraph" w:styleId="Legenda">
    <w:name w:val="caption"/>
    <w:basedOn w:val="Normalny"/>
    <w:next w:val="Normalny"/>
    <w:uiPriority w:val="35"/>
    <w:semiHidden/>
    <w:unhideWhenUsed/>
    <w:qFormat/>
    <w:rsid w:val="00504B30"/>
    <w:pPr>
      <w:spacing w:line="240" w:lineRule="auto"/>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GB" w:bidi="en-GB"/>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B6CDF"/>
  </w:style>
  <w:style w:type="paragraph" w:styleId="Nagwek1">
    <w:name w:val="heading 1"/>
    <w:basedOn w:val="Normalny"/>
    <w:next w:val="Normalny"/>
    <w:link w:val="Nagwek1Znak"/>
    <w:uiPriority w:val="9"/>
    <w:qFormat/>
    <w:rsid w:val="00886940"/>
    <w:pPr>
      <w:keepNext/>
      <w:keepLines/>
      <w:spacing w:before="480" w:after="240" w:line="360" w:lineRule="auto"/>
      <w:outlineLvl w:val="0"/>
    </w:pPr>
    <w:rPr>
      <w:rFonts w:ascii="Arial" w:eastAsiaTheme="majorEastAsia" w:hAnsi="Arial" w:cs="Arial"/>
      <w:b/>
      <w:bCs/>
      <w:color w:val="E36C0A" w:themeColor="accent6" w:themeShade="BF"/>
      <w:sz w:val="32"/>
      <w:szCs w:val="32"/>
    </w:rPr>
  </w:style>
  <w:style w:type="paragraph" w:styleId="Nagwek2">
    <w:name w:val="heading 2"/>
    <w:basedOn w:val="Normalny"/>
    <w:next w:val="Normalny"/>
    <w:link w:val="Nagwek2Znak"/>
    <w:uiPriority w:val="9"/>
    <w:unhideWhenUsed/>
    <w:qFormat/>
    <w:rsid w:val="00F92CA5"/>
    <w:pPr>
      <w:keepNext/>
      <w:keepLines/>
      <w:spacing w:before="200" w:after="240" w:line="360" w:lineRule="auto"/>
      <w:outlineLvl w:val="1"/>
    </w:pPr>
    <w:rPr>
      <w:rFonts w:ascii="Arial" w:eastAsiaTheme="majorEastAsia" w:hAnsi="Arial" w:cs="Arial"/>
      <w:b/>
      <w:bCs/>
      <w:color w:val="E36C0A" w:themeColor="accent6"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073E5"/>
    <w:pPr>
      <w:ind w:left="720"/>
      <w:contextualSpacing/>
    </w:pPr>
  </w:style>
  <w:style w:type="paragraph" w:styleId="Tekstprzypisudolnego">
    <w:name w:val="footnote text"/>
    <w:basedOn w:val="Normalny"/>
    <w:link w:val="TekstprzypisudolnegoZnak"/>
    <w:uiPriority w:val="99"/>
    <w:unhideWhenUsed/>
    <w:rsid w:val="00DF331F"/>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DF331F"/>
    <w:rPr>
      <w:sz w:val="20"/>
      <w:szCs w:val="20"/>
    </w:rPr>
  </w:style>
  <w:style w:type="character" w:styleId="Odwoanieprzypisudolnego">
    <w:name w:val="footnote reference"/>
    <w:basedOn w:val="Domylnaczcionkaakapitu"/>
    <w:uiPriority w:val="99"/>
    <w:unhideWhenUsed/>
    <w:rsid w:val="00DF331F"/>
    <w:rPr>
      <w:vertAlign w:val="superscript"/>
    </w:rPr>
  </w:style>
  <w:style w:type="paragraph" w:styleId="Nagwek">
    <w:name w:val="header"/>
    <w:basedOn w:val="Normalny"/>
    <w:link w:val="NagwekZnak"/>
    <w:uiPriority w:val="99"/>
    <w:unhideWhenUsed/>
    <w:rsid w:val="00A95DA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95DA8"/>
  </w:style>
  <w:style w:type="paragraph" w:styleId="Stopka">
    <w:name w:val="footer"/>
    <w:basedOn w:val="Normalny"/>
    <w:link w:val="StopkaZnak"/>
    <w:uiPriority w:val="99"/>
    <w:unhideWhenUsed/>
    <w:rsid w:val="00A95DA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95DA8"/>
  </w:style>
  <w:style w:type="paragraph" w:styleId="Bezodstpw">
    <w:name w:val="No Spacing"/>
    <w:link w:val="BezodstpwZnak"/>
    <w:uiPriority w:val="1"/>
    <w:qFormat/>
    <w:rsid w:val="00012023"/>
    <w:pPr>
      <w:spacing w:after="0" w:line="240" w:lineRule="auto"/>
    </w:pPr>
    <w:rPr>
      <w:rFonts w:eastAsiaTheme="minorEastAsia"/>
    </w:rPr>
  </w:style>
  <w:style w:type="character" w:customStyle="1" w:styleId="BezodstpwZnak">
    <w:name w:val="Bez odstępów Znak"/>
    <w:basedOn w:val="Domylnaczcionkaakapitu"/>
    <w:link w:val="Bezodstpw"/>
    <w:uiPriority w:val="1"/>
    <w:rsid w:val="00012023"/>
    <w:rPr>
      <w:rFonts w:eastAsiaTheme="minorEastAsia"/>
      <w:lang w:eastAsia="en-GB"/>
    </w:rPr>
  </w:style>
  <w:style w:type="paragraph" w:styleId="Tekstdymka">
    <w:name w:val="Balloon Text"/>
    <w:basedOn w:val="Normalny"/>
    <w:link w:val="TekstdymkaZnak"/>
    <w:uiPriority w:val="99"/>
    <w:semiHidden/>
    <w:unhideWhenUsed/>
    <w:rsid w:val="0001202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12023"/>
    <w:rPr>
      <w:rFonts w:ascii="Tahoma" w:hAnsi="Tahoma" w:cs="Tahoma"/>
      <w:sz w:val="16"/>
      <w:szCs w:val="16"/>
    </w:rPr>
  </w:style>
  <w:style w:type="paragraph" w:styleId="Tytu">
    <w:name w:val="Title"/>
    <w:basedOn w:val="Normalny"/>
    <w:next w:val="Normalny"/>
    <w:link w:val="TytuZnak"/>
    <w:uiPriority w:val="10"/>
    <w:qFormat/>
    <w:rsid w:val="0001202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012023"/>
    <w:rPr>
      <w:rFonts w:asciiTheme="majorHAnsi" w:eastAsiaTheme="majorEastAsia" w:hAnsiTheme="majorHAnsi" w:cstheme="majorBidi"/>
      <w:color w:val="17365D" w:themeColor="text2" w:themeShade="BF"/>
      <w:spacing w:val="5"/>
      <w:kern w:val="28"/>
      <w:sz w:val="52"/>
      <w:szCs w:val="52"/>
      <w:lang w:eastAsia="en-GB"/>
    </w:rPr>
  </w:style>
  <w:style w:type="paragraph" w:styleId="Podtytu">
    <w:name w:val="Subtitle"/>
    <w:basedOn w:val="Normalny"/>
    <w:next w:val="Normalny"/>
    <w:link w:val="PodtytuZnak"/>
    <w:uiPriority w:val="11"/>
    <w:qFormat/>
    <w:rsid w:val="0001202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ytuZnak">
    <w:name w:val="Podtytuł Znak"/>
    <w:basedOn w:val="Domylnaczcionkaakapitu"/>
    <w:link w:val="Podtytu"/>
    <w:uiPriority w:val="11"/>
    <w:rsid w:val="00012023"/>
    <w:rPr>
      <w:rFonts w:asciiTheme="majorHAnsi" w:eastAsiaTheme="majorEastAsia" w:hAnsiTheme="majorHAnsi" w:cstheme="majorBidi"/>
      <w:i/>
      <w:iCs/>
      <w:color w:val="4F81BD" w:themeColor="accent1"/>
      <w:spacing w:val="15"/>
      <w:sz w:val="24"/>
      <w:szCs w:val="24"/>
      <w:lang w:eastAsia="en-GB"/>
    </w:rPr>
  </w:style>
  <w:style w:type="character" w:customStyle="1" w:styleId="Nagwek1Znak">
    <w:name w:val="Nagłówek 1 Znak"/>
    <w:basedOn w:val="Domylnaczcionkaakapitu"/>
    <w:link w:val="Nagwek1"/>
    <w:uiPriority w:val="9"/>
    <w:rsid w:val="00886940"/>
    <w:rPr>
      <w:rFonts w:ascii="Arial" w:eastAsiaTheme="majorEastAsia" w:hAnsi="Arial" w:cs="Arial"/>
      <w:b/>
      <w:bCs/>
      <w:color w:val="E36C0A" w:themeColor="accent6" w:themeShade="BF"/>
      <w:sz w:val="32"/>
      <w:szCs w:val="32"/>
    </w:rPr>
  </w:style>
  <w:style w:type="paragraph" w:styleId="Nagwekspisutreci">
    <w:name w:val="TOC Heading"/>
    <w:basedOn w:val="Nagwek1"/>
    <w:next w:val="Normalny"/>
    <w:uiPriority w:val="39"/>
    <w:semiHidden/>
    <w:unhideWhenUsed/>
    <w:qFormat/>
    <w:rsid w:val="009D22C1"/>
    <w:pPr>
      <w:outlineLvl w:val="9"/>
    </w:pPr>
  </w:style>
  <w:style w:type="paragraph" w:styleId="Spistreci2">
    <w:name w:val="toc 2"/>
    <w:basedOn w:val="Normalny"/>
    <w:next w:val="Normalny"/>
    <w:autoRedefine/>
    <w:uiPriority w:val="39"/>
    <w:unhideWhenUsed/>
    <w:qFormat/>
    <w:rsid w:val="009D22C1"/>
    <w:pPr>
      <w:spacing w:after="100"/>
      <w:ind w:left="220"/>
    </w:pPr>
    <w:rPr>
      <w:rFonts w:eastAsiaTheme="minorEastAsia"/>
    </w:rPr>
  </w:style>
  <w:style w:type="paragraph" w:styleId="Spistreci1">
    <w:name w:val="toc 1"/>
    <w:basedOn w:val="Normalny"/>
    <w:next w:val="Normalny"/>
    <w:autoRedefine/>
    <w:uiPriority w:val="39"/>
    <w:unhideWhenUsed/>
    <w:qFormat/>
    <w:rsid w:val="00457A77"/>
    <w:pPr>
      <w:tabs>
        <w:tab w:val="left" w:pos="440"/>
        <w:tab w:val="right" w:leader="dot" w:pos="9062"/>
      </w:tabs>
      <w:spacing w:after="100" w:line="240" w:lineRule="auto"/>
      <w:ind w:left="454" w:hanging="454"/>
    </w:pPr>
    <w:rPr>
      <w:rFonts w:eastAsiaTheme="minorEastAsia"/>
    </w:rPr>
  </w:style>
  <w:style w:type="paragraph" w:styleId="Spistreci3">
    <w:name w:val="toc 3"/>
    <w:basedOn w:val="Normalny"/>
    <w:next w:val="Normalny"/>
    <w:autoRedefine/>
    <w:uiPriority w:val="39"/>
    <w:semiHidden/>
    <w:unhideWhenUsed/>
    <w:qFormat/>
    <w:rsid w:val="009D22C1"/>
    <w:pPr>
      <w:spacing w:after="100"/>
      <w:ind w:left="440"/>
    </w:pPr>
    <w:rPr>
      <w:rFonts w:eastAsiaTheme="minorEastAsia"/>
    </w:rPr>
  </w:style>
  <w:style w:type="paragraph" w:styleId="Tekstpodstawowywcity3">
    <w:name w:val="Body Text Indent 3"/>
    <w:basedOn w:val="Normalny"/>
    <w:link w:val="Tekstpodstawowywcity3Znak"/>
    <w:uiPriority w:val="99"/>
    <w:semiHidden/>
    <w:unhideWhenUsed/>
    <w:rsid w:val="004021B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4021B3"/>
    <w:rPr>
      <w:sz w:val="16"/>
      <w:szCs w:val="16"/>
    </w:rPr>
  </w:style>
  <w:style w:type="character" w:styleId="Hipercze">
    <w:name w:val="Hyperlink"/>
    <w:basedOn w:val="Domylnaczcionkaakapitu"/>
    <w:uiPriority w:val="99"/>
    <w:unhideWhenUsed/>
    <w:rsid w:val="00CA3415"/>
    <w:rPr>
      <w:color w:val="0000FF" w:themeColor="hyperlink"/>
      <w:u w:val="single"/>
    </w:rPr>
  </w:style>
  <w:style w:type="character" w:styleId="Odwoaniedokomentarza">
    <w:name w:val="annotation reference"/>
    <w:basedOn w:val="Domylnaczcionkaakapitu"/>
    <w:uiPriority w:val="99"/>
    <w:semiHidden/>
    <w:unhideWhenUsed/>
    <w:rsid w:val="00777CC3"/>
    <w:rPr>
      <w:sz w:val="16"/>
      <w:szCs w:val="16"/>
    </w:rPr>
  </w:style>
  <w:style w:type="paragraph" w:styleId="Tekstkomentarza">
    <w:name w:val="annotation text"/>
    <w:basedOn w:val="Normalny"/>
    <w:link w:val="TekstkomentarzaZnak"/>
    <w:uiPriority w:val="99"/>
    <w:semiHidden/>
    <w:unhideWhenUsed/>
    <w:rsid w:val="00777CC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77CC3"/>
    <w:rPr>
      <w:sz w:val="20"/>
      <w:szCs w:val="20"/>
    </w:rPr>
  </w:style>
  <w:style w:type="paragraph" w:styleId="Tematkomentarza">
    <w:name w:val="annotation subject"/>
    <w:basedOn w:val="Tekstkomentarza"/>
    <w:next w:val="Tekstkomentarza"/>
    <w:link w:val="TematkomentarzaZnak"/>
    <w:uiPriority w:val="99"/>
    <w:semiHidden/>
    <w:unhideWhenUsed/>
    <w:rsid w:val="00777CC3"/>
    <w:rPr>
      <w:b/>
      <w:bCs/>
    </w:rPr>
  </w:style>
  <w:style w:type="character" w:customStyle="1" w:styleId="TematkomentarzaZnak">
    <w:name w:val="Temat komentarza Znak"/>
    <w:basedOn w:val="TekstkomentarzaZnak"/>
    <w:link w:val="Tematkomentarza"/>
    <w:uiPriority w:val="99"/>
    <w:semiHidden/>
    <w:rsid w:val="00777CC3"/>
    <w:rPr>
      <w:b/>
      <w:bCs/>
      <w:sz w:val="20"/>
      <w:szCs w:val="20"/>
    </w:rPr>
  </w:style>
  <w:style w:type="table" w:styleId="Tabela-Siatka">
    <w:name w:val="Table Grid"/>
    <w:basedOn w:val="Standardowy"/>
    <w:uiPriority w:val="59"/>
    <w:rsid w:val="00891A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59"/>
    <w:rsid w:val="00891A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59"/>
    <w:rsid w:val="00BA37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dniasiatka1akcent6">
    <w:name w:val="Medium Grid 1 Accent 6"/>
    <w:basedOn w:val="Standardowy"/>
    <w:uiPriority w:val="67"/>
    <w:rsid w:val="00623F5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redniasiatka3akcent6">
    <w:name w:val="Medium Grid 3 Accent 6"/>
    <w:basedOn w:val="Standardowy"/>
    <w:uiPriority w:val="69"/>
    <w:rsid w:val="0010107F"/>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character" w:customStyle="1" w:styleId="Nagwek2Znak">
    <w:name w:val="Nagłówek 2 Znak"/>
    <w:basedOn w:val="Domylnaczcionkaakapitu"/>
    <w:link w:val="Nagwek2"/>
    <w:uiPriority w:val="9"/>
    <w:rsid w:val="00F92CA5"/>
    <w:rPr>
      <w:rFonts w:ascii="Arial" w:eastAsiaTheme="majorEastAsia" w:hAnsi="Arial" w:cs="Arial"/>
      <w:b/>
      <w:bCs/>
      <w:color w:val="E36C0A" w:themeColor="accent6" w:themeShade="BF"/>
      <w:sz w:val="28"/>
      <w:szCs w:val="28"/>
    </w:rPr>
  </w:style>
  <w:style w:type="paragraph" w:styleId="Legenda">
    <w:name w:val="caption"/>
    <w:basedOn w:val="Normalny"/>
    <w:next w:val="Normalny"/>
    <w:uiPriority w:val="35"/>
    <w:semiHidden/>
    <w:unhideWhenUsed/>
    <w:qFormat/>
    <w:rsid w:val="00504B30"/>
    <w:pPr>
      <w:spacing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145120">
      <w:bodyDiv w:val="1"/>
      <w:marLeft w:val="0"/>
      <w:marRight w:val="0"/>
      <w:marTop w:val="0"/>
      <w:marBottom w:val="0"/>
      <w:divBdr>
        <w:top w:val="none" w:sz="0" w:space="0" w:color="auto"/>
        <w:left w:val="none" w:sz="0" w:space="0" w:color="auto"/>
        <w:bottom w:val="none" w:sz="0" w:space="0" w:color="auto"/>
        <w:right w:val="none" w:sz="0" w:space="0" w:color="auto"/>
      </w:divBdr>
    </w:div>
    <w:div w:id="367796539">
      <w:bodyDiv w:val="1"/>
      <w:marLeft w:val="0"/>
      <w:marRight w:val="0"/>
      <w:marTop w:val="0"/>
      <w:marBottom w:val="0"/>
      <w:divBdr>
        <w:top w:val="none" w:sz="0" w:space="0" w:color="auto"/>
        <w:left w:val="none" w:sz="0" w:space="0" w:color="auto"/>
        <w:bottom w:val="none" w:sz="0" w:space="0" w:color="auto"/>
        <w:right w:val="none" w:sz="0" w:space="0" w:color="auto"/>
      </w:divBdr>
    </w:div>
    <w:div w:id="883059912">
      <w:bodyDiv w:val="1"/>
      <w:marLeft w:val="0"/>
      <w:marRight w:val="0"/>
      <w:marTop w:val="0"/>
      <w:marBottom w:val="0"/>
      <w:divBdr>
        <w:top w:val="none" w:sz="0" w:space="0" w:color="auto"/>
        <w:left w:val="none" w:sz="0" w:space="0" w:color="auto"/>
        <w:bottom w:val="none" w:sz="0" w:space="0" w:color="auto"/>
        <w:right w:val="none" w:sz="0" w:space="0" w:color="auto"/>
      </w:divBdr>
    </w:div>
    <w:div w:id="1824159388">
      <w:bodyDiv w:val="1"/>
      <w:marLeft w:val="0"/>
      <w:marRight w:val="0"/>
      <w:marTop w:val="0"/>
      <w:marBottom w:val="0"/>
      <w:divBdr>
        <w:top w:val="none" w:sz="0" w:space="0" w:color="auto"/>
        <w:left w:val="none" w:sz="0" w:space="0" w:color="auto"/>
        <w:bottom w:val="none" w:sz="0" w:space="0" w:color="auto"/>
        <w:right w:val="none" w:sz="0" w:space="0" w:color="auto"/>
      </w:divBdr>
    </w:div>
    <w:div w:id="2121605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hart" Target="charts/chart2.xml"/><Relationship Id="rId18" Type="http://schemas.openxmlformats.org/officeDocument/2006/relationships/chart" Target="charts/chart7.xm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image" Target="media/image2.png"/><Relationship Id="rId34" Type="http://schemas.openxmlformats.org/officeDocument/2006/relationships/customXml" Target="../customXml/item5.xml"/><Relationship Id="rId7" Type="http://schemas.openxmlformats.org/officeDocument/2006/relationships/webSettings" Target="webSettings.xml"/><Relationship Id="rId12" Type="http://schemas.openxmlformats.org/officeDocument/2006/relationships/chart" Target="charts/chart1.xml"/><Relationship Id="rId17" Type="http://schemas.openxmlformats.org/officeDocument/2006/relationships/chart" Target="charts/chart6.xml"/><Relationship Id="rId25" Type="http://schemas.openxmlformats.org/officeDocument/2006/relationships/footer" Target="footer1.xml"/><Relationship Id="rId33" Type="http://schemas.openxmlformats.org/officeDocument/2006/relationships/customXml" Target="../customXml/item4.xml"/><Relationship Id="rId2" Type="http://schemas.openxmlformats.org/officeDocument/2006/relationships/customXml" Target="../customXml/item2.xml"/><Relationship Id="rId16" Type="http://schemas.openxmlformats.org/officeDocument/2006/relationships/chart" Target="charts/chart5.xml"/><Relationship Id="rId20" Type="http://schemas.openxmlformats.org/officeDocument/2006/relationships/chart" Target="charts/chart9.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0.jpeg"/><Relationship Id="rId24" Type="http://schemas.openxmlformats.org/officeDocument/2006/relationships/header" Target="header1.xml"/><Relationship Id="rId32" Type="http://schemas.openxmlformats.org/officeDocument/2006/relationships/customXml" Target="../customXml/item3.xml"/><Relationship Id="rId5" Type="http://schemas.microsoft.com/office/2007/relationships/stylesWithEffects" Target="stylesWithEffects.xml"/><Relationship Id="rId15" Type="http://schemas.openxmlformats.org/officeDocument/2006/relationships/chart" Target="charts/chart4.xml"/><Relationship Id="rId23" Type="http://schemas.openxmlformats.org/officeDocument/2006/relationships/chart" Target="charts/chart11.xml"/><Relationship Id="rId10" Type="http://schemas.openxmlformats.org/officeDocument/2006/relationships/image" Target="media/image1.jpeg"/><Relationship Id="rId19" Type="http://schemas.openxmlformats.org/officeDocument/2006/relationships/chart" Target="charts/chart8.xml"/><Relationship Id="rId31" Type="http://schemas.microsoft.com/office/2011/relationships/people" Target="peop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chart" Target="charts/chart3.xml"/><Relationship Id="rId22" Type="http://schemas.openxmlformats.org/officeDocument/2006/relationships/chart" Target="charts/chart10.xml"/><Relationship Id="rId27" Type="http://schemas.openxmlformats.org/officeDocument/2006/relationships/theme" Target="theme/theme1.xml"/><Relationship Id="rId30" Type="http://schemas.microsoft.com/office/2011/relationships/commentsExtended" Target="commentsExtended.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1.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2.xml"/></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10.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Worksheet1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32"/>
    </mc:Choice>
    <mc:Fallback>
      <c:style val="32"/>
    </mc:Fallback>
  </mc:AlternateContent>
  <c:chart>
    <c:autoTitleDeleted val="1"/>
    <c:plotArea>
      <c:layout/>
      <c:barChart>
        <c:barDir val="col"/>
        <c:grouping val="clustered"/>
        <c:varyColors val="0"/>
        <c:ser>
          <c:idx val="0"/>
          <c:order val="0"/>
          <c:tx>
            <c:strRef>
              <c:f>Arkusz1!$B$1</c:f>
              <c:strCache>
                <c:ptCount val="1"/>
                <c:pt idx="0">
                  <c:v>prohibition of unequal treatment/discrimination on the grounds of disability</c:v>
                </c:pt>
              </c:strCache>
            </c:strRef>
          </c:tx>
          <c:invertIfNegative val="0"/>
          <c:dLbls>
            <c:dLbl>
              <c:idx val="0"/>
              <c:tx>
                <c:rich>
                  <a:bodyPr/>
                  <a:lstStyle/>
                  <a:p>
                    <a:r>
                      <a:rPr lang="en-US"/>
                      <a:t> 36,1 %</a:t>
                    </a:r>
                  </a:p>
                </c:rich>
              </c:tx>
              <c:showLegendKey val="0"/>
              <c:showVal val="1"/>
              <c:showCatName val="0"/>
              <c:showSerName val="0"/>
              <c:showPercent val="0"/>
              <c:showBubbleSize val="0"/>
              <c:extLst xmlns:ve="http://schemas.openxmlformats.org/markup-compatibility/2006" xmlns:o="urn:schemas-microsoft-com:office:office"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pic="http://schemas.openxmlformats.org/drawingml/2006/picture"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dgm="http://schemas.openxmlformats.org/drawingml/2006/diagram" xmlns:p="http://schemas.openxmlformats.org/presentationml/2006/main" xmlns:msxsl="urn:schemas-microsoft-com:xslt" xmlns:DataManagerRef="urn:DataManager">
                <c:ext xmlns:c15="http://schemas.microsoft.com/office/drawing/2012/chart" uri="{CE6537A1-D6FC-4f65-9D91-7224C49458BB}"/>
              </c:extLst>
            </c:dLbl>
            <c:spPr>
              <a:noFill/>
              <a:ln>
                <a:noFill/>
              </a:ln>
              <a:effectLst/>
            </c:spPr>
            <c:showLegendKey val="0"/>
            <c:showVal val="1"/>
            <c:showCatName val="0"/>
            <c:showSerName val="0"/>
            <c:showPercent val="0"/>
            <c:showBubbleSize val="0"/>
            <c:showLeaderLines val="0"/>
            <c:extLst xmlns:ve="http://schemas.openxmlformats.org/markup-compatibility/2006" xmlns:o="urn:schemas-microsoft-com:office:office"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pic="http://schemas.openxmlformats.org/drawingml/2006/picture"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dgm="http://schemas.openxmlformats.org/drawingml/2006/diagram" xmlns:p="http://schemas.openxmlformats.org/presentationml/2006/main" xmlns:msxsl="urn:schemas-microsoft-com:xslt" xmlns:DataManagerRef="urn:DataManager">
              <c:ext xmlns:c15="http://schemas.microsoft.com/office/drawing/2012/chart" uri="{CE6537A1-D6FC-4f65-9D91-7224C49458BB}">
                <c15:showLeaderLines val="0"/>
              </c:ext>
            </c:extLst>
          </c:dLbls>
          <c:cat>
            <c:numRef>
              <c:f>Arkusz1!$A$2</c:f>
              <c:numCache>
                <c:formatCode>General</c:formatCode>
                <c:ptCount val="1"/>
              </c:numCache>
            </c:numRef>
          </c:cat>
          <c:val>
            <c:numRef>
              <c:f>Arkusz1!$B$2</c:f>
              <c:numCache>
                <c:formatCode>General</c:formatCode>
                <c:ptCount val="1"/>
                <c:pt idx="0">
                  <c:v>36.1</c:v>
                </c:pt>
              </c:numCache>
            </c:numRef>
          </c:val>
        </c:ser>
        <c:ser>
          <c:idx val="1"/>
          <c:order val="1"/>
          <c:tx>
            <c:strRef>
              <c:f>Arkusz1!$C$1</c:f>
              <c:strCache>
                <c:ptCount val="1"/>
                <c:pt idx="0">
                  <c:v>prohibition of unequal treatment/discrimination on the grounds of nationality</c:v>
                </c:pt>
              </c:strCache>
            </c:strRef>
          </c:tx>
          <c:invertIfNegative val="0"/>
          <c:dLbls>
            <c:dLbl>
              <c:idx val="0"/>
              <c:tx>
                <c:rich>
                  <a:bodyPr/>
                  <a:lstStyle/>
                  <a:p>
                    <a:r>
                      <a:rPr lang="en-US"/>
                      <a:t>9,6 %</a:t>
                    </a:r>
                  </a:p>
                </c:rich>
              </c:tx>
              <c:showLegendKey val="0"/>
              <c:showVal val="1"/>
              <c:showCatName val="0"/>
              <c:showSerName val="0"/>
              <c:showPercent val="0"/>
              <c:showBubbleSize val="0"/>
              <c:extLst xmlns:ve="http://schemas.openxmlformats.org/markup-compatibility/2006" xmlns:o="urn:schemas-microsoft-com:office:office"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pic="http://schemas.openxmlformats.org/drawingml/2006/picture"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dgm="http://schemas.openxmlformats.org/drawingml/2006/diagram" xmlns:p="http://schemas.openxmlformats.org/presentationml/2006/main" xmlns:msxsl="urn:schemas-microsoft-com:xslt" xmlns:DataManagerRef="urn:DataManager">
                <c:ext xmlns:c15="http://schemas.microsoft.com/office/drawing/2012/chart" uri="{CE6537A1-D6FC-4f65-9D91-7224C49458BB}"/>
              </c:extLst>
            </c:dLbl>
            <c:spPr>
              <a:noFill/>
              <a:ln>
                <a:noFill/>
              </a:ln>
              <a:effectLst/>
            </c:spPr>
            <c:showLegendKey val="0"/>
            <c:showVal val="1"/>
            <c:showCatName val="0"/>
            <c:showSerName val="0"/>
            <c:showPercent val="0"/>
            <c:showBubbleSize val="0"/>
            <c:showLeaderLines val="0"/>
            <c:extLst xmlns:ve="http://schemas.openxmlformats.org/markup-compatibility/2006" xmlns:o="urn:schemas-microsoft-com:office:office"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pic="http://schemas.openxmlformats.org/drawingml/2006/picture"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dgm="http://schemas.openxmlformats.org/drawingml/2006/diagram" xmlns:p="http://schemas.openxmlformats.org/presentationml/2006/main" xmlns:msxsl="urn:schemas-microsoft-com:xslt" xmlns:DataManagerRef="urn:DataManager">
              <c:ext xmlns:c15="http://schemas.microsoft.com/office/drawing/2012/chart" uri="{CE6537A1-D6FC-4f65-9D91-7224C49458BB}">
                <c15:showLeaderLines val="0"/>
              </c:ext>
            </c:extLst>
          </c:dLbls>
          <c:cat>
            <c:numRef>
              <c:f>Arkusz1!$A$2</c:f>
              <c:numCache>
                <c:formatCode>General</c:formatCode>
                <c:ptCount val="1"/>
              </c:numCache>
            </c:numRef>
          </c:cat>
          <c:val>
            <c:numRef>
              <c:f>Arkusz1!$C$2</c:f>
              <c:numCache>
                <c:formatCode>General</c:formatCode>
                <c:ptCount val="1"/>
                <c:pt idx="0">
                  <c:v>9.6</c:v>
                </c:pt>
              </c:numCache>
            </c:numRef>
          </c:val>
        </c:ser>
        <c:ser>
          <c:idx val="2"/>
          <c:order val="2"/>
          <c:tx>
            <c:strRef>
              <c:f>Arkusz1!$D$1</c:f>
              <c:strCache>
                <c:ptCount val="1"/>
                <c:pt idx="0">
                  <c:v>prohibition of unequal treatment/discrimination on the grounds of sexual orientation</c:v>
                </c:pt>
              </c:strCache>
            </c:strRef>
          </c:tx>
          <c:invertIfNegative val="0"/>
          <c:dLbls>
            <c:dLbl>
              <c:idx val="0"/>
              <c:tx>
                <c:rich>
                  <a:bodyPr/>
                  <a:lstStyle/>
                  <a:p>
                    <a:r>
                      <a:rPr lang="en-US"/>
                      <a:t>7,7 %</a:t>
                    </a:r>
                  </a:p>
                </c:rich>
              </c:tx>
              <c:showLegendKey val="0"/>
              <c:showVal val="1"/>
              <c:showCatName val="0"/>
              <c:showSerName val="0"/>
              <c:showPercent val="0"/>
              <c:showBubbleSize val="0"/>
              <c:extLst xmlns:ve="http://schemas.openxmlformats.org/markup-compatibility/2006" xmlns:o="urn:schemas-microsoft-com:office:office"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pic="http://schemas.openxmlformats.org/drawingml/2006/picture"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dgm="http://schemas.openxmlformats.org/drawingml/2006/diagram" xmlns:p="http://schemas.openxmlformats.org/presentationml/2006/main" xmlns:msxsl="urn:schemas-microsoft-com:xslt" xmlns:DataManagerRef="urn:DataManager">
                <c:ext xmlns:c15="http://schemas.microsoft.com/office/drawing/2012/chart" uri="{CE6537A1-D6FC-4f65-9D91-7224C49458BB}"/>
              </c:extLst>
            </c:dLbl>
            <c:spPr>
              <a:noFill/>
              <a:ln>
                <a:noFill/>
              </a:ln>
              <a:effectLst/>
            </c:spPr>
            <c:showLegendKey val="0"/>
            <c:showVal val="1"/>
            <c:showCatName val="0"/>
            <c:showSerName val="0"/>
            <c:showPercent val="0"/>
            <c:showBubbleSize val="0"/>
            <c:showLeaderLines val="0"/>
            <c:extLst xmlns:ve="http://schemas.openxmlformats.org/markup-compatibility/2006" xmlns:o="urn:schemas-microsoft-com:office:office"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pic="http://schemas.openxmlformats.org/drawingml/2006/picture"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dgm="http://schemas.openxmlformats.org/drawingml/2006/diagram" xmlns:p="http://schemas.openxmlformats.org/presentationml/2006/main" xmlns:msxsl="urn:schemas-microsoft-com:xslt" xmlns:DataManagerRef="urn:DataManager">
              <c:ext xmlns:c15="http://schemas.microsoft.com/office/drawing/2012/chart" uri="{CE6537A1-D6FC-4f65-9D91-7224C49458BB}">
                <c15:showLeaderLines val="0"/>
              </c:ext>
            </c:extLst>
          </c:dLbls>
          <c:cat>
            <c:numRef>
              <c:f>Arkusz1!$A$2</c:f>
              <c:numCache>
                <c:formatCode>General</c:formatCode>
                <c:ptCount val="1"/>
              </c:numCache>
            </c:numRef>
          </c:cat>
          <c:val>
            <c:numRef>
              <c:f>Arkusz1!$D$2</c:f>
              <c:numCache>
                <c:formatCode>General</c:formatCode>
                <c:ptCount val="1"/>
                <c:pt idx="0">
                  <c:v>7.7</c:v>
                </c:pt>
              </c:numCache>
            </c:numRef>
          </c:val>
        </c:ser>
        <c:ser>
          <c:idx val="3"/>
          <c:order val="3"/>
          <c:tx>
            <c:strRef>
              <c:f>Arkusz1!$E$1</c:f>
              <c:strCache>
                <c:ptCount val="1"/>
                <c:pt idx="0">
                  <c:v>prohibition of unequal treatment/discrimination on the grounds of age</c:v>
                </c:pt>
              </c:strCache>
            </c:strRef>
          </c:tx>
          <c:invertIfNegative val="0"/>
          <c:dLbls>
            <c:dLbl>
              <c:idx val="0"/>
              <c:tx>
                <c:rich>
                  <a:bodyPr/>
                  <a:lstStyle/>
                  <a:p>
                    <a:r>
                      <a:rPr lang="en-US"/>
                      <a:t>5,8 %</a:t>
                    </a:r>
                  </a:p>
                </c:rich>
              </c:tx>
              <c:showLegendKey val="0"/>
              <c:showVal val="1"/>
              <c:showCatName val="0"/>
              <c:showSerName val="0"/>
              <c:showPercent val="0"/>
              <c:showBubbleSize val="0"/>
              <c:extLst xmlns:ve="http://schemas.openxmlformats.org/markup-compatibility/2006" xmlns:o="urn:schemas-microsoft-com:office:office"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pic="http://schemas.openxmlformats.org/drawingml/2006/picture"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dgm="http://schemas.openxmlformats.org/drawingml/2006/diagram" xmlns:p="http://schemas.openxmlformats.org/presentationml/2006/main" xmlns:msxsl="urn:schemas-microsoft-com:xslt" xmlns:DataManagerRef="urn:DataManager">
                <c:ext xmlns:c15="http://schemas.microsoft.com/office/drawing/2012/chart" uri="{CE6537A1-D6FC-4f65-9D91-7224C49458BB}"/>
              </c:extLst>
            </c:dLbl>
            <c:spPr>
              <a:noFill/>
              <a:ln>
                <a:noFill/>
              </a:ln>
              <a:effectLst/>
            </c:spPr>
            <c:showLegendKey val="0"/>
            <c:showVal val="1"/>
            <c:showCatName val="0"/>
            <c:showSerName val="0"/>
            <c:showPercent val="0"/>
            <c:showBubbleSize val="0"/>
            <c:showLeaderLines val="0"/>
            <c:extLst xmlns:ve="http://schemas.openxmlformats.org/markup-compatibility/2006" xmlns:o="urn:schemas-microsoft-com:office:office"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pic="http://schemas.openxmlformats.org/drawingml/2006/picture"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dgm="http://schemas.openxmlformats.org/drawingml/2006/diagram" xmlns:p="http://schemas.openxmlformats.org/presentationml/2006/main" xmlns:msxsl="urn:schemas-microsoft-com:xslt" xmlns:DataManagerRef="urn:DataManager">
              <c:ext xmlns:c15="http://schemas.microsoft.com/office/drawing/2012/chart" uri="{CE6537A1-D6FC-4f65-9D91-7224C49458BB}">
                <c15:showLeaderLines val="0"/>
              </c:ext>
            </c:extLst>
          </c:dLbls>
          <c:cat>
            <c:numRef>
              <c:f>Arkusz1!$A$2</c:f>
              <c:numCache>
                <c:formatCode>General</c:formatCode>
                <c:ptCount val="1"/>
              </c:numCache>
            </c:numRef>
          </c:cat>
          <c:val>
            <c:numRef>
              <c:f>Arkusz1!$E$2</c:f>
              <c:numCache>
                <c:formatCode>General</c:formatCode>
                <c:ptCount val="1"/>
                <c:pt idx="0">
                  <c:v>5.8</c:v>
                </c:pt>
              </c:numCache>
            </c:numRef>
          </c:val>
        </c:ser>
        <c:ser>
          <c:idx val="4"/>
          <c:order val="4"/>
          <c:tx>
            <c:strRef>
              <c:f>Arkusz1!$F$1</c:f>
              <c:strCache>
                <c:ptCount val="1"/>
                <c:pt idx="0">
                  <c:v>prohibition of unequal treatment/discrimination on the grounds of religion or beliefs</c:v>
                </c:pt>
              </c:strCache>
            </c:strRef>
          </c:tx>
          <c:invertIfNegative val="0"/>
          <c:dLbls>
            <c:dLbl>
              <c:idx val="0"/>
              <c:tx>
                <c:rich>
                  <a:bodyPr/>
                  <a:lstStyle/>
                  <a:p>
                    <a:r>
                      <a:rPr lang="en-US"/>
                      <a:t>5 %</a:t>
                    </a:r>
                  </a:p>
                </c:rich>
              </c:tx>
              <c:showLegendKey val="0"/>
              <c:showVal val="1"/>
              <c:showCatName val="0"/>
              <c:showSerName val="0"/>
              <c:showPercent val="0"/>
              <c:showBubbleSize val="0"/>
              <c:extLst xmlns:ve="http://schemas.openxmlformats.org/markup-compatibility/2006" xmlns:o="urn:schemas-microsoft-com:office:office"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pic="http://schemas.openxmlformats.org/drawingml/2006/picture"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dgm="http://schemas.openxmlformats.org/drawingml/2006/diagram" xmlns:p="http://schemas.openxmlformats.org/presentationml/2006/main" xmlns:msxsl="urn:schemas-microsoft-com:xslt" xmlns:DataManagerRef="urn:DataManager">
                <c:ext xmlns:c15="http://schemas.microsoft.com/office/drawing/2012/chart" uri="{CE6537A1-D6FC-4f65-9D91-7224C49458BB}"/>
              </c:extLst>
            </c:dLbl>
            <c:spPr>
              <a:noFill/>
              <a:ln>
                <a:noFill/>
              </a:ln>
              <a:effectLst/>
            </c:spPr>
            <c:showLegendKey val="0"/>
            <c:showVal val="1"/>
            <c:showCatName val="0"/>
            <c:showSerName val="0"/>
            <c:showPercent val="0"/>
            <c:showBubbleSize val="0"/>
            <c:showLeaderLines val="0"/>
            <c:extLst xmlns:ve="http://schemas.openxmlformats.org/markup-compatibility/2006" xmlns:o="urn:schemas-microsoft-com:office:office"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pic="http://schemas.openxmlformats.org/drawingml/2006/picture"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dgm="http://schemas.openxmlformats.org/drawingml/2006/diagram" xmlns:p="http://schemas.openxmlformats.org/presentationml/2006/main" xmlns:msxsl="urn:schemas-microsoft-com:xslt" xmlns:DataManagerRef="urn:DataManager">
              <c:ext xmlns:c15="http://schemas.microsoft.com/office/drawing/2012/chart" uri="{CE6537A1-D6FC-4f65-9D91-7224C49458BB}">
                <c15:showLeaderLines val="0"/>
              </c:ext>
            </c:extLst>
          </c:dLbls>
          <c:cat>
            <c:numRef>
              <c:f>Arkusz1!$A$2</c:f>
              <c:numCache>
                <c:formatCode>General</c:formatCode>
                <c:ptCount val="1"/>
              </c:numCache>
            </c:numRef>
          </c:cat>
          <c:val>
            <c:numRef>
              <c:f>Arkusz1!$F$2</c:f>
              <c:numCache>
                <c:formatCode>General</c:formatCode>
                <c:ptCount val="1"/>
                <c:pt idx="0">
                  <c:v>5</c:v>
                </c:pt>
              </c:numCache>
            </c:numRef>
          </c:val>
        </c:ser>
        <c:dLbls>
          <c:showLegendKey val="0"/>
          <c:showVal val="1"/>
          <c:showCatName val="0"/>
          <c:showSerName val="0"/>
          <c:showPercent val="0"/>
          <c:showBubbleSize val="0"/>
        </c:dLbls>
        <c:gapWidth val="150"/>
        <c:overlap val="-25"/>
        <c:axId val="164384128"/>
        <c:axId val="164394112"/>
      </c:barChart>
      <c:catAx>
        <c:axId val="164384128"/>
        <c:scaling>
          <c:orientation val="minMax"/>
        </c:scaling>
        <c:delete val="0"/>
        <c:axPos val="b"/>
        <c:numFmt formatCode="General" sourceLinked="1"/>
        <c:majorTickMark val="none"/>
        <c:minorTickMark val="none"/>
        <c:tickLblPos val="nextTo"/>
        <c:crossAx val="164394112"/>
        <c:crosses val="autoZero"/>
        <c:auto val="1"/>
        <c:lblAlgn val="ctr"/>
        <c:lblOffset val="100"/>
        <c:noMultiLvlLbl val="0"/>
      </c:catAx>
      <c:valAx>
        <c:axId val="164394112"/>
        <c:scaling>
          <c:orientation val="minMax"/>
        </c:scaling>
        <c:delete val="1"/>
        <c:axPos val="l"/>
        <c:numFmt formatCode="General" sourceLinked="1"/>
        <c:majorTickMark val="out"/>
        <c:minorTickMark val="none"/>
        <c:tickLblPos val="nextTo"/>
        <c:crossAx val="164384128"/>
        <c:crosses val="autoZero"/>
        <c:crossBetween val="between"/>
      </c:valAx>
    </c:plotArea>
    <c:legend>
      <c:legendPos val="t"/>
      <c:overlay val="0"/>
    </c:legend>
    <c:plotVisOnly val="1"/>
    <c:dispBlanksAs val="gap"/>
    <c:showDLblsOverMax val="0"/>
  </c:chart>
  <c:spPr>
    <a:ln>
      <a:no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32"/>
    </mc:Choice>
    <mc:Fallback>
      <c:style val="32"/>
    </mc:Fallback>
  </mc:AlternateContent>
  <c:chart>
    <c:autoTitleDeleted val="1"/>
    <c:plotArea>
      <c:layout/>
      <c:barChart>
        <c:barDir val="col"/>
        <c:grouping val="clustered"/>
        <c:varyColors val="0"/>
        <c:ser>
          <c:idx val="0"/>
          <c:order val="0"/>
          <c:tx>
            <c:strRef>
              <c:f>Arkusz1!$B$1</c:f>
              <c:strCache>
                <c:ptCount val="1"/>
                <c:pt idx="0">
                  <c:v>number of motions to award legal incapacitation</c:v>
                </c:pt>
              </c:strCache>
            </c:strRef>
          </c:tx>
          <c:invertIfNegative val="0"/>
          <c:cat>
            <c:numRef>
              <c:f>Arkusz1!$A$2:$A$9</c:f>
              <c:numCache>
                <c:formatCode>General</c:formatCode>
                <c:ptCount val="8"/>
                <c:pt idx="0">
                  <c:v>2006</c:v>
                </c:pt>
                <c:pt idx="1">
                  <c:v>2007</c:v>
                </c:pt>
                <c:pt idx="2">
                  <c:v>2008</c:v>
                </c:pt>
                <c:pt idx="3">
                  <c:v>2009</c:v>
                </c:pt>
                <c:pt idx="4">
                  <c:v>2010</c:v>
                </c:pt>
                <c:pt idx="5">
                  <c:v>2011</c:v>
                </c:pt>
                <c:pt idx="6">
                  <c:v>2012</c:v>
                </c:pt>
                <c:pt idx="7">
                  <c:v>2013</c:v>
                </c:pt>
              </c:numCache>
            </c:numRef>
          </c:cat>
          <c:val>
            <c:numRef>
              <c:f>Arkusz1!$B$2:$B$9</c:f>
              <c:numCache>
                <c:formatCode>General</c:formatCode>
                <c:ptCount val="8"/>
                <c:pt idx="0">
                  <c:v>9104</c:v>
                </c:pt>
                <c:pt idx="1">
                  <c:v>9822</c:v>
                </c:pt>
                <c:pt idx="2">
                  <c:v>9985</c:v>
                </c:pt>
                <c:pt idx="3">
                  <c:v>10725</c:v>
                </c:pt>
                <c:pt idx="4">
                  <c:v>11293</c:v>
                </c:pt>
                <c:pt idx="5">
                  <c:v>11681</c:v>
                </c:pt>
                <c:pt idx="6">
                  <c:v>12983</c:v>
                </c:pt>
                <c:pt idx="7">
                  <c:v>12999</c:v>
                </c:pt>
              </c:numCache>
            </c:numRef>
          </c:val>
        </c:ser>
        <c:ser>
          <c:idx val="1"/>
          <c:order val="1"/>
          <c:tx>
            <c:strRef>
              <c:f>Arkusz1!$C$1</c:f>
              <c:strCache>
                <c:ptCount val="1"/>
                <c:pt idx="0">
                  <c:v>full legal incapacitation awarded</c:v>
                </c:pt>
              </c:strCache>
            </c:strRef>
          </c:tx>
          <c:invertIfNegative val="0"/>
          <c:cat>
            <c:numRef>
              <c:f>Arkusz1!$A$2:$A$9</c:f>
              <c:numCache>
                <c:formatCode>General</c:formatCode>
                <c:ptCount val="8"/>
                <c:pt idx="0">
                  <c:v>2006</c:v>
                </c:pt>
                <c:pt idx="1">
                  <c:v>2007</c:v>
                </c:pt>
                <c:pt idx="2">
                  <c:v>2008</c:v>
                </c:pt>
                <c:pt idx="3">
                  <c:v>2009</c:v>
                </c:pt>
                <c:pt idx="4">
                  <c:v>2010</c:v>
                </c:pt>
                <c:pt idx="5">
                  <c:v>2011</c:v>
                </c:pt>
                <c:pt idx="6">
                  <c:v>2012</c:v>
                </c:pt>
                <c:pt idx="7">
                  <c:v>2013</c:v>
                </c:pt>
              </c:numCache>
            </c:numRef>
          </c:cat>
          <c:val>
            <c:numRef>
              <c:f>Arkusz1!$C$2:$C$9</c:f>
              <c:numCache>
                <c:formatCode>General</c:formatCode>
                <c:ptCount val="8"/>
                <c:pt idx="0">
                  <c:v>5497</c:v>
                </c:pt>
                <c:pt idx="1">
                  <c:v>5725</c:v>
                </c:pt>
                <c:pt idx="2">
                  <c:v>5170</c:v>
                </c:pt>
                <c:pt idx="3">
                  <c:v>6184</c:v>
                </c:pt>
                <c:pt idx="4">
                  <c:v>6494</c:v>
                </c:pt>
                <c:pt idx="5">
                  <c:v>6817</c:v>
                </c:pt>
                <c:pt idx="6">
                  <c:v>7456</c:v>
                </c:pt>
                <c:pt idx="7">
                  <c:v>7776</c:v>
                </c:pt>
              </c:numCache>
            </c:numRef>
          </c:val>
        </c:ser>
        <c:ser>
          <c:idx val="2"/>
          <c:order val="2"/>
          <c:tx>
            <c:strRef>
              <c:f>Arkusz1!$D$1</c:f>
              <c:strCache>
                <c:ptCount val="1"/>
                <c:pt idx="0">
                  <c:v>partial legal incapacitation awarded</c:v>
                </c:pt>
              </c:strCache>
            </c:strRef>
          </c:tx>
          <c:invertIfNegative val="0"/>
          <c:cat>
            <c:numRef>
              <c:f>Arkusz1!$A$2:$A$9</c:f>
              <c:numCache>
                <c:formatCode>General</c:formatCode>
                <c:ptCount val="8"/>
                <c:pt idx="0">
                  <c:v>2006</c:v>
                </c:pt>
                <c:pt idx="1">
                  <c:v>2007</c:v>
                </c:pt>
                <c:pt idx="2">
                  <c:v>2008</c:v>
                </c:pt>
                <c:pt idx="3">
                  <c:v>2009</c:v>
                </c:pt>
                <c:pt idx="4">
                  <c:v>2010</c:v>
                </c:pt>
                <c:pt idx="5">
                  <c:v>2011</c:v>
                </c:pt>
                <c:pt idx="6">
                  <c:v>2012</c:v>
                </c:pt>
                <c:pt idx="7">
                  <c:v>2013</c:v>
                </c:pt>
              </c:numCache>
            </c:numRef>
          </c:cat>
          <c:val>
            <c:numRef>
              <c:f>Arkusz1!$D$2:$D$9</c:f>
              <c:numCache>
                <c:formatCode>General</c:formatCode>
                <c:ptCount val="8"/>
                <c:pt idx="0">
                  <c:v>692</c:v>
                </c:pt>
                <c:pt idx="1">
                  <c:v>751</c:v>
                </c:pt>
                <c:pt idx="2">
                  <c:v>635</c:v>
                </c:pt>
                <c:pt idx="3">
                  <c:v>767</c:v>
                </c:pt>
                <c:pt idx="4">
                  <c:v>810</c:v>
                </c:pt>
                <c:pt idx="5">
                  <c:v>694</c:v>
                </c:pt>
                <c:pt idx="6">
                  <c:v>763</c:v>
                </c:pt>
                <c:pt idx="7">
                  <c:v>718</c:v>
                </c:pt>
              </c:numCache>
            </c:numRef>
          </c:val>
        </c:ser>
        <c:dLbls>
          <c:showLegendKey val="0"/>
          <c:showVal val="0"/>
          <c:showCatName val="0"/>
          <c:showSerName val="0"/>
          <c:showPercent val="0"/>
          <c:showBubbleSize val="0"/>
        </c:dLbls>
        <c:gapWidth val="75"/>
        <c:overlap val="-25"/>
        <c:axId val="164403456"/>
        <c:axId val="205275136"/>
      </c:barChart>
      <c:catAx>
        <c:axId val="164403456"/>
        <c:scaling>
          <c:orientation val="minMax"/>
        </c:scaling>
        <c:delete val="0"/>
        <c:axPos val="b"/>
        <c:numFmt formatCode="General" sourceLinked="1"/>
        <c:majorTickMark val="none"/>
        <c:minorTickMark val="none"/>
        <c:tickLblPos val="nextTo"/>
        <c:crossAx val="205275136"/>
        <c:crosses val="autoZero"/>
        <c:auto val="1"/>
        <c:lblAlgn val="ctr"/>
        <c:lblOffset val="100"/>
        <c:noMultiLvlLbl val="0"/>
      </c:catAx>
      <c:valAx>
        <c:axId val="205275136"/>
        <c:scaling>
          <c:orientation val="minMax"/>
        </c:scaling>
        <c:delete val="0"/>
        <c:axPos val="l"/>
        <c:majorGridlines/>
        <c:numFmt formatCode="General" sourceLinked="1"/>
        <c:majorTickMark val="none"/>
        <c:minorTickMark val="none"/>
        <c:tickLblPos val="nextTo"/>
        <c:spPr>
          <a:ln w="9525">
            <a:noFill/>
          </a:ln>
        </c:spPr>
        <c:crossAx val="164403456"/>
        <c:crosses val="autoZero"/>
        <c:crossBetween val="between"/>
      </c:valAx>
    </c:plotArea>
    <c:legend>
      <c:legendPos val="b"/>
      <c:overlay val="0"/>
    </c:legend>
    <c:plotVisOnly val="1"/>
    <c:dispBlanksAs val="gap"/>
    <c:showDLblsOverMax val="0"/>
  </c:chart>
  <c:spPr>
    <a:noFill/>
    <a:ln>
      <a:noFill/>
    </a:ln>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32"/>
    </mc:Choice>
    <mc:Fallback>
      <c:style val="32"/>
    </mc:Fallback>
  </mc:AlternateContent>
  <c:clrMapOvr bg1="lt1" tx1="dk1" bg2="lt2" tx2="dk2" accent1="accent1" accent2="accent2" accent3="accent3" accent4="accent4" accent5="accent5" accent6="accent6" hlink="hlink" folHlink="folHlink"/>
  <c:chart>
    <c:title>
      <c:layout>
        <c:manualLayout>
          <c:xMode val="edge"/>
          <c:yMode val="edge"/>
          <c:x val="0.32279360141710683"/>
          <c:y val="3.0785017957927142E-2"/>
        </c:manualLayout>
      </c:layout>
      <c:overlay val="0"/>
      <c:txPr>
        <a:bodyPr/>
        <a:lstStyle/>
        <a:p>
          <a:pPr>
            <a:defRPr sz="1100">
              <a:latin typeface="Arial" panose="020B0604020202020204" pitchFamily="34" charset="0"/>
              <a:cs typeface="Arial" panose="020B0604020202020204" pitchFamily="34" charset="0"/>
            </a:defRPr>
          </a:pPr>
          <a:endParaRPr lang="pl-PL"/>
        </a:p>
      </c:txPr>
    </c:title>
    <c:autoTitleDeleted val="0"/>
    <c:plotArea>
      <c:layout/>
      <c:pieChart>
        <c:varyColors val="1"/>
        <c:ser>
          <c:idx val="0"/>
          <c:order val="0"/>
          <c:tx>
            <c:strRef>
              <c:f>Arkusz1!$B$1</c:f>
              <c:strCache>
                <c:ptCount val="1"/>
                <c:pt idx="0">
                  <c:v>The deafblind</c:v>
                </c:pt>
              </c:strCache>
            </c:strRef>
          </c:tx>
          <c:dLbls>
            <c:showLegendKey val="0"/>
            <c:showVal val="1"/>
            <c:showCatName val="0"/>
            <c:showSerName val="0"/>
            <c:showPercent val="0"/>
            <c:showBubbleSize val="0"/>
            <c:showLeaderLines val="1"/>
          </c:dLbls>
          <c:cat>
            <c:strRef>
              <c:f>Arkusz1!$A$2:$A$3</c:f>
              <c:strCache>
                <c:ptCount val="2"/>
                <c:pt idx="0">
                  <c:v>Declare</c:v>
                </c:pt>
                <c:pt idx="1">
                  <c:v>Do not declare</c:v>
                </c:pt>
              </c:strCache>
            </c:strRef>
          </c:cat>
          <c:val>
            <c:numRef>
              <c:f>Arkusz1!$B$2:$B$3</c:f>
              <c:numCache>
                <c:formatCode>0%</c:formatCode>
                <c:ptCount val="2"/>
                <c:pt idx="0">
                  <c:v>0.22</c:v>
                </c:pt>
                <c:pt idx="1">
                  <c:v>0.78</c:v>
                </c:pt>
              </c:numCache>
            </c:numRef>
          </c:val>
        </c:ser>
        <c:dLbls>
          <c:showLegendKey val="0"/>
          <c:showVal val="0"/>
          <c:showCatName val="0"/>
          <c:showSerName val="0"/>
          <c:showPercent val="0"/>
          <c:showBubbleSize val="0"/>
          <c:showLeaderLines val="1"/>
        </c:dLbls>
        <c:firstSliceAng val="0"/>
      </c:pieChart>
    </c:plotArea>
    <c:legend>
      <c:legendPos val="b"/>
      <c:layout>
        <c:manualLayout>
          <c:xMode val="edge"/>
          <c:yMode val="edge"/>
          <c:x val="0.19053407110978179"/>
          <c:y val="0.87034457403958421"/>
          <c:w val="0.61893185778043647"/>
          <c:h val="9.2869540320989166E-2"/>
        </c:manualLayout>
      </c:layout>
      <c:overlay val="0"/>
    </c:legend>
    <c:plotVisOnly val="1"/>
    <c:dispBlanksAs val="gap"/>
    <c:showDLblsOverMax val="0"/>
  </c:chart>
  <c:spPr>
    <a:ln>
      <a:noFill/>
    </a:ln>
  </c:sp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32"/>
    </mc:Choice>
    <mc:Fallback>
      <c:style val="32"/>
    </mc:Fallback>
  </mc:AlternateContent>
  <c:clrMapOvr bg1="lt1" tx1="dk1" bg2="lt2" tx2="dk2" accent1="accent1" accent2="accent2" accent3="accent3" accent4="accent4" accent5="accent5" accent6="accent6" hlink="hlink" folHlink="folHlink"/>
  <c:chart>
    <c:title>
      <c:overlay val="0"/>
      <c:txPr>
        <a:bodyPr/>
        <a:lstStyle/>
        <a:p>
          <a:pPr>
            <a:defRPr sz="1100">
              <a:latin typeface="Arial" panose="020B0604020202020204" pitchFamily="34" charset="0"/>
              <a:cs typeface="Arial" panose="020B0604020202020204" pitchFamily="34" charset="0"/>
            </a:defRPr>
          </a:pPr>
          <a:endParaRPr lang="pl-PL"/>
        </a:p>
      </c:txPr>
    </c:title>
    <c:autoTitleDeleted val="0"/>
    <c:plotArea>
      <c:layout/>
      <c:pieChart>
        <c:varyColors val="1"/>
        <c:ser>
          <c:idx val="0"/>
          <c:order val="0"/>
          <c:tx>
            <c:strRef>
              <c:f>Arkusz1!$B$1</c:f>
              <c:strCache>
                <c:ptCount val="1"/>
                <c:pt idx="0">
                  <c:v>The deaf</c:v>
                </c:pt>
              </c:strCache>
            </c:strRef>
          </c:tx>
          <c:dLbls>
            <c:showLegendKey val="0"/>
            <c:showVal val="1"/>
            <c:showCatName val="0"/>
            <c:showSerName val="0"/>
            <c:showPercent val="0"/>
            <c:showBubbleSize val="0"/>
            <c:showLeaderLines val="1"/>
          </c:dLbls>
          <c:cat>
            <c:strRef>
              <c:f>Arkusz1!$A$2:$A$3</c:f>
              <c:strCache>
                <c:ptCount val="2"/>
                <c:pt idx="0">
                  <c:v>Declare</c:v>
                </c:pt>
                <c:pt idx="1">
                  <c:v>Do not declare</c:v>
                </c:pt>
              </c:strCache>
            </c:strRef>
          </c:cat>
          <c:val>
            <c:numRef>
              <c:f>Arkusz1!$B$2:$B$3</c:f>
              <c:numCache>
                <c:formatCode>0%</c:formatCode>
                <c:ptCount val="2"/>
                <c:pt idx="0">
                  <c:v>0.27</c:v>
                </c:pt>
                <c:pt idx="1">
                  <c:v>0.73</c:v>
                </c:pt>
              </c:numCache>
            </c:numRef>
          </c:val>
        </c:ser>
        <c:dLbls>
          <c:showLegendKey val="0"/>
          <c:showVal val="0"/>
          <c:showCatName val="0"/>
          <c:showSerName val="0"/>
          <c:showPercent val="0"/>
          <c:showBubbleSize val="0"/>
          <c:showLeaderLines val="1"/>
        </c:dLbls>
        <c:firstSliceAng val="0"/>
      </c:pieChart>
    </c:plotArea>
    <c:legend>
      <c:legendPos val="b"/>
      <c:overlay val="0"/>
    </c:legend>
    <c:plotVisOnly val="1"/>
    <c:dispBlanksAs val="gap"/>
    <c:showDLblsOverMax val="0"/>
  </c:chart>
  <c:spPr>
    <a:ln>
      <a:noFill/>
    </a:ln>
  </c:sp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32"/>
    </mc:Choice>
    <mc:Fallback>
      <c:style val="32"/>
    </mc:Fallback>
  </mc:AlternateContent>
  <c:chart>
    <c:autoTitleDeleted val="0"/>
    <c:plotArea>
      <c:layout/>
      <c:barChart>
        <c:barDir val="bar"/>
        <c:grouping val="stacked"/>
        <c:varyColors val="0"/>
        <c:ser>
          <c:idx val="0"/>
          <c:order val="0"/>
          <c:tx>
            <c:strRef>
              <c:f>Arkusz1!$B$1</c:f>
              <c:strCache>
                <c:ptCount val="1"/>
                <c:pt idx="0">
                  <c:v>Interpreter and trained clerk</c:v>
                </c:pt>
              </c:strCache>
            </c:strRef>
          </c:tx>
          <c:invertIfNegative val="0"/>
          <c:dLbls>
            <c:showLegendKey val="0"/>
            <c:showVal val="1"/>
            <c:showCatName val="0"/>
            <c:showSerName val="0"/>
            <c:showPercent val="0"/>
            <c:showBubbleSize val="0"/>
            <c:showLeaderLines val="0"/>
          </c:dLbls>
          <c:cat>
            <c:strRef>
              <c:f>Arkusz1!$A$2:$A$4</c:f>
              <c:strCache>
                <c:ptCount val="3"/>
                <c:pt idx="0">
                  <c:v>Total</c:v>
                </c:pt>
                <c:pt idx="1">
                  <c:v>The deafblind</c:v>
                </c:pt>
                <c:pt idx="2">
                  <c:v>The deaf</c:v>
                </c:pt>
              </c:strCache>
            </c:strRef>
          </c:cat>
          <c:val>
            <c:numRef>
              <c:f>Arkusz1!$B$2:$B$4</c:f>
              <c:numCache>
                <c:formatCode>General</c:formatCode>
                <c:ptCount val="3"/>
                <c:pt idx="0" formatCode="0%">
                  <c:v>0.05</c:v>
                </c:pt>
                <c:pt idx="2" formatCode="0%">
                  <c:v>0.1</c:v>
                </c:pt>
              </c:numCache>
            </c:numRef>
          </c:val>
        </c:ser>
        <c:ser>
          <c:idx val="1"/>
          <c:order val="1"/>
          <c:tx>
            <c:strRef>
              <c:f>Arkusz1!$C$1</c:f>
              <c:strCache>
                <c:ptCount val="1"/>
                <c:pt idx="0">
                  <c:v>Interpreter only</c:v>
                </c:pt>
              </c:strCache>
            </c:strRef>
          </c:tx>
          <c:invertIfNegative val="0"/>
          <c:dLbls>
            <c:showLegendKey val="0"/>
            <c:showVal val="1"/>
            <c:showCatName val="0"/>
            <c:showSerName val="0"/>
            <c:showPercent val="0"/>
            <c:showBubbleSize val="0"/>
            <c:showLeaderLines val="0"/>
          </c:dLbls>
          <c:cat>
            <c:strRef>
              <c:f>Arkusz1!$A$2:$A$4</c:f>
              <c:strCache>
                <c:ptCount val="3"/>
                <c:pt idx="0">
                  <c:v>Total</c:v>
                </c:pt>
                <c:pt idx="1">
                  <c:v>The deafblind</c:v>
                </c:pt>
                <c:pt idx="2">
                  <c:v>The deaf</c:v>
                </c:pt>
              </c:strCache>
            </c:strRef>
          </c:cat>
          <c:val>
            <c:numRef>
              <c:f>Arkusz1!$C$2:$C$4</c:f>
              <c:numCache>
                <c:formatCode>0%</c:formatCode>
                <c:ptCount val="3"/>
                <c:pt idx="0">
                  <c:v>0.2</c:v>
                </c:pt>
                <c:pt idx="1">
                  <c:v>0.18</c:v>
                </c:pt>
                <c:pt idx="2">
                  <c:v>0.22</c:v>
                </c:pt>
              </c:numCache>
            </c:numRef>
          </c:val>
        </c:ser>
        <c:ser>
          <c:idx val="2"/>
          <c:order val="2"/>
          <c:tx>
            <c:strRef>
              <c:f>Arkusz1!$D$1</c:f>
              <c:strCache>
                <c:ptCount val="1"/>
                <c:pt idx="0">
                  <c:v>Trained clerk only</c:v>
                </c:pt>
              </c:strCache>
            </c:strRef>
          </c:tx>
          <c:invertIfNegative val="0"/>
          <c:dLbls>
            <c:showLegendKey val="0"/>
            <c:showVal val="1"/>
            <c:showCatName val="0"/>
            <c:showSerName val="0"/>
            <c:showPercent val="0"/>
            <c:showBubbleSize val="0"/>
            <c:showLeaderLines val="0"/>
          </c:dLbls>
          <c:cat>
            <c:strRef>
              <c:f>Arkusz1!$A$2:$A$4</c:f>
              <c:strCache>
                <c:ptCount val="3"/>
                <c:pt idx="0">
                  <c:v>Total</c:v>
                </c:pt>
                <c:pt idx="1">
                  <c:v>The deafblind</c:v>
                </c:pt>
                <c:pt idx="2">
                  <c:v>The deaf</c:v>
                </c:pt>
              </c:strCache>
            </c:strRef>
          </c:cat>
          <c:val>
            <c:numRef>
              <c:f>Arkusz1!$D$2:$D$4</c:f>
              <c:numCache>
                <c:formatCode>0%</c:formatCode>
                <c:ptCount val="3"/>
                <c:pt idx="0">
                  <c:v>0.22</c:v>
                </c:pt>
                <c:pt idx="1">
                  <c:v>0.03</c:v>
                </c:pt>
                <c:pt idx="2">
                  <c:v>0.41</c:v>
                </c:pt>
              </c:numCache>
            </c:numRef>
          </c:val>
        </c:ser>
        <c:dLbls>
          <c:showLegendKey val="0"/>
          <c:showVal val="0"/>
          <c:showCatName val="0"/>
          <c:showSerName val="0"/>
          <c:showPercent val="0"/>
          <c:showBubbleSize val="0"/>
        </c:dLbls>
        <c:gapWidth val="150"/>
        <c:overlap val="100"/>
        <c:axId val="202534912"/>
        <c:axId val="202536448"/>
      </c:barChart>
      <c:catAx>
        <c:axId val="202534912"/>
        <c:scaling>
          <c:orientation val="minMax"/>
        </c:scaling>
        <c:delete val="0"/>
        <c:axPos val="l"/>
        <c:majorTickMark val="out"/>
        <c:minorTickMark val="none"/>
        <c:tickLblPos val="nextTo"/>
        <c:crossAx val="202536448"/>
        <c:crossesAt val="0"/>
        <c:auto val="1"/>
        <c:lblAlgn val="ctr"/>
        <c:lblOffset val="100"/>
        <c:noMultiLvlLbl val="0"/>
      </c:catAx>
      <c:valAx>
        <c:axId val="202536448"/>
        <c:scaling>
          <c:orientation val="minMax"/>
          <c:max val="1"/>
        </c:scaling>
        <c:delete val="0"/>
        <c:axPos val="b"/>
        <c:majorGridlines>
          <c:spPr>
            <a:ln>
              <a:solidFill>
                <a:schemeClr val="accent1"/>
              </a:solidFill>
            </a:ln>
          </c:spPr>
        </c:majorGridlines>
        <c:numFmt formatCode="0%" sourceLinked="0"/>
        <c:majorTickMark val="out"/>
        <c:minorTickMark val="none"/>
        <c:tickLblPos val="nextTo"/>
        <c:crossAx val="202534912"/>
        <c:crosses val="autoZero"/>
        <c:crossBetween val="between"/>
      </c:valAx>
    </c:plotArea>
    <c:legend>
      <c:legendPos val="b"/>
      <c:overlay val="0"/>
    </c:legend>
    <c:plotVisOnly val="1"/>
    <c:dispBlanksAs val="gap"/>
    <c:showDLblsOverMax val="0"/>
  </c:chart>
  <c:spPr>
    <a:ln>
      <a:noFill/>
    </a:ln>
  </c:sp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32"/>
    </mc:Choice>
    <mc:Fallback>
      <c:style val="32"/>
    </mc:Fallback>
  </mc:AlternateContent>
  <c:chart>
    <c:title>
      <c:tx>
        <c:rich>
          <a:bodyPr/>
          <a:lstStyle/>
          <a:p>
            <a:pPr>
              <a:defRPr/>
            </a:pPr>
            <a:r>
              <a:rPr lang="pl-PL" sz="1100"/>
              <a:t>The deaf</a:t>
            </a:r>
          </a:p>
        </c:rich>
      </c:tx>
      <c:overlay val="0"/>
    </c:title>
    <c:autoTitleDeleted val="0"/>
    <c:plotArea>
      <c:layout/>
      <c:pieChart>
        <c:varyColors val="1"/>
        <c:ser>
          <c:idx val="0"/>
          <c:order val="0"/>
          <c:tx>
            <c:strRef>
              <c:f>Arkusz1!$B$1</c:f>
              <c:strCache>
                <c:ptCount val="1"/>
                <c:pt idx="0">
                  <c:v>The deaf</c:v>
                </c:pt>
              </c:strCache>
            </c:strRef>
          </c:tx>
          <c:dLbls>
            <c:dLblPos val="ctr"/>
            <c:showLegendKey val="0"/>
            <c:showVal val="1"/>
            <c:showCatName val="0"/>
            <c:showSerName val="0"/>
            <c:showPercent val="0"/>
            <c:showBubbleSize val="0"/>
            <c:showLeaderLines val="1"/>
          </c:dLbls>
          <c:cat>
            <c:strRef>
              <c:f>Arkusz1!$A$2:$A$3</c:f>
              <c:strCache>
                <c:ptCount val="2"/>
                <c:pt idx="0">
                  <c:v>Declare</c:v>
                </c:pt>
                <c:pt idx="1">
                  <c:v>Do not declare</c:v>
                </c:pt>
              </c:strCache>
            </c:strRef>
          </c:cat>
          <c:val>
            <c:numRef>
              <c:f>Arkusz1!$B$2:$B$3</c:f>
              <c:numCache>
                <c:formatCode>0%</c:formatCode>
                <c:ptCount val="2"/>
                <c:pt idx="0">
                  <c:v>0.28999999999999998</c:v>
                </c:pt>
                <c:pt idx="1">
                  <c:v>0.71</c:v>
                </c:pt>
              </c:numCache>
            </c:numRef>
          </c:val>
        </c:ser>
        <c:dLbls>
          <c:showLegendKey val="0"/>
          <c:showVal val="0"/>
          <c:showCatName val="0"/>
          <c:showSerName val="0"/>
          <c:showPercent val="0"/>
          <c:showBubbleSize val="0"/>
          <c:showLeaderLines val="1"/>
        </c:dLbls>
        <c:firstSliceAng val="0"/>
      </c:pieChart>
    </c:plotArea>
    <c:legend>
      <c:legendPos val="b"/>
      <c:overlay val="0"/>
    </c:legend>
    <c:plotVisOnly val="1"/>
    <c:dispBlanksAs val="gap"/>
    <c:showDLblsOverMax val="0"/>
  </c:chart>
  <c:spPr>
    <a:ln>
      <a:noFill/>
    </a:ln>
  </c:sp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32"/>
    </mc:Choice>
    <mc:Fallback>
      <c:style val="32"/>
    </mc:Fallback>
  </mc:AlternateContent>
  <c:chart>
    <c:title>
      <c:tx>
        <c:rich>
          <a:bodyPr/>
          <a:lstStyle/>
          <a:p>
            <a:pPr>
              <a:defRPr/>
            </a:pPr>
            <a:r>
              <a:rPr lang="pl-PL" sz="1100"/>
              <a:t>The deafblind</a:t>
            </a:r>
          </a:p>
        </c:rich>
      </c:tx>
      <c:overlay val="0"/>
    </c:title>
    <c:autoTitleDeleted val="0"/>
    <c:plotArea>
      <c:layout/>
      <c:pieChart>
        <c:varyColors val="1"/>
        <c:ser>
          <c:idx val="0"/>
          <c:order val="0"/>
          <c:tx>
            <c:strRef>
              <c:f>Arkusz1!$B$1</c:f>
              <c:strCache>
                <c:ptCount val="1"/>
                <c:pt idx="0">
                  <c:v>The deafblind</c:v>
                </c:pt>
              </c:strCache>
            </c:strRef>
          </c:tx>
          <c:dLbls>
            <c:dLblPos val="ctr"/>
            <c:showLegendKey val="0"/>
            <c:showVal val="1"/>
            <c:showCatName val="0"/>
            <c:showSerName val="0"/>
            <c:showPercent val="0"/>
            <c:showBubbleSize val="0"/>
            <c:showLeaderLines val="1"/>
          </c:dLbls>
          <c:cat>
            <c:strRef>
              <c:f>Arkusz1!$A$2:$A$3</c:f>
              <c:strCache>
                <c:ptCount val="2"/>
                <c:pt idx="0">
                  <c:v>Declare</c:v>
                </c:pt>
                <c:pt idx="1">
                  <c:v>Do not declare</c:v>
                </c:pt>
              </c:strCache>
            </c:strRef>
          </c:cat>
          <c:val>
            <c:numRef>
              <c:f>Arkusz1!$B$2:$B$3</c:f>
              <c:numCache>
                <c:formatCode>0%</c:formatCode>
                <c:ptCount val="2"/>
                <c:pt idx="0">
                  <c:v>0.19</c:v>
                </c:pt>
                <c:pt idx="1">
                  <c:v>0.81</c:v>
                </c:pt>
              </c:numCache>
            </c:numRef>
          </c:val>
        </c:ser>
        <c:dLbls>
          <c:showLegendKey val="0"/>
          <c:showVal val="0"/>
          <c:showCatName val="0"/>
          <c:showSerName val="0"/>
          <c:showPercent val="0"/>
          <c:showBubbleSize val="0"/>
          <c:showLeaderLines val="1"/>
        </c:dLbls>
        <c:firstSliceAng val="0"/>
      </c:pieChart>
    </c:plotArea>
    <c:legend>
      <c:legendPos val="b"/>
      <c:overlay val="0"/>
    </c:legend>
    <c:plotVisOnly val="1"/>
    <c:dispBlanksAs val="gap"/>
    <c:showDLblsOverMax val="0"/>
  </c:chart>
  <c:spPr>
    <a:ln>
      <a:noFill/>
    </a:ln>
  </c:sp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32"/>
    </mc:Choice>
    <mc:Fallback>
      <c:style val="32"/>
    </mc:Fallback>
  </mc:AlternateContent>
  <c:chart>
    <c:title>
      <c:tx>
        <c:rich>
          <a:bodyPr/>
          <a:lstStyle/>
          <a:p>
            <a:pPr>
              <a:defRPr/>
            </a:pPr>
            <a:r>
              <a:rPr lang="en-US" sz="1200"/>
              <a:t>Accessibility of websites of public institutions </a:t>
            </a:r>
            <a:endParaRPr lang="pl-PL" sz="1200"/>
          </a:p>
          <a:p>
            <a:pPr>
              <a:defRPr/>
            </a:pPr>
            <a:r>
              <a:rPr lang="en-US" sz="1200"/>
              <a:t>to persnosn with disabilities</a:t>
            </a:r>
          </a:p>
        </c:rich>
      </c:tx>
      <c:overlay val="0"/>
    </c:title>
    <c:autoTitleDeleted val="0"/>
    <c:plotArea>
      <c:layout/>
      <c:pieChart>
        <c:varyColors val="1"/>
        <c:ser>
          <c:idx val="0"/>
          <c:order val="0"/>
          <c:tx>
            <c:strRef>
              <c:f>Arkusz1!$B$1</c:f>
              <c:strCache>
                <c:ptCount val="1"/>
                <c:pt idx="0">
                  <c:v>Accessibility of websites of public institutions to persnosn with disabilities</c:v>
                </c:pt>
              </c:strCache>
            </c:strRef>
          </c:tx>
          <c:dLbls>
            <c:dLbl>
              <c:idx val="0"/>
              <c:dLblPos val="inEnd"/>
              <c:showLegendKey val="0"/>
              <c:showVal val="1"/>
              <c:showCatName val="0"/>
              <c:showSerName val="0"/>
              <c:showPercent val="0"/>
              <c:showBubbleSize val="0"/>
            </c:dLbl>
            <c:dLbl>
              <c:idx val="1"/>
              <c:dLblPos val="inEnd"/>
              <c:showLegendKey val="0"/>
              <c:showVal val="1"/>
              <c:showCatName val="0"/>
              <c:showSerName val="0"/>
              <c:showPercent val="0"/>
              <c:showBubbleSize val="0"/>
            </c:dLbl>
            <c:dLbl>
              <c:idx val="2"/>
              <c:dLblPos val="inEnd"/>
              <c:showLegendKey val="0"/>
              <c:showVal val="1"/>
              <c:showCatName val="0"/>
              <c:showSerName val="0"/>
              <c:showPercent val="0"/>
              <c:showBubbleSize val="0"/>
            </c:dLbl>
            <c:dLbl>
              <c:idx val="3"/>
              <c:dLblPos val="outEnd"/>
              <c:showLegendKey val="0"/>
              <c:showVal val="1"/>
              <c:showCatName val="0"/>
              <c:showSerName val="0"/>
              <c:showPercent val="0"/>
              <c:showBubbleSize val="0"/>
            </c:dLbl>
            <c:dLblPos val="ctr"/>
            <c:showLegendKey val="0"/>
            <c:showVal val="1"/>
            <c:showCatName val="0"/>
            <c:showSerName val="0"/>
            <c:showPercent val="0"/>
            <c:showBubbleSize val="0"/>
            <c:showLeaderLines val="1"/>
          </c:dLbls>
          <c:cat>
            <c:strRef>
              <c:f>Arkusz1!$A$2:$A$5</c:f>
              <c:strCache>
                <c:ptCount val="4"/>
                <c:pt idx="0">
                  <c:v>not accessible</c:v>
                </c:pt>
                <c:pt idx="1">
                  <c:v>difficult to access</c:v>
                </c:pt>
                <c:pt idx="2">
                  <c:v>accessible with problems</c:v>
                </c:pt>
                <c:pt idx="3">
                  <c:v>accessible with problems</c:v>
                </c:pt>
              </c:strCache>
            </c:strRef>
          </c:cat>
          <c:val>
            <c:numRef>
              <c:f>Arkusz1!$B$2:$B$5</c:f>
              <c:numCache>
                <c:formatCode>0%</c:formatCode>
                <c:ptCount val="4"/>
                <c:pt idx="0">
                  <c:v>0.05</c:v>
                </c:pt>
                <c:pt idx="1">
                  <c:v>0.71</c:v>
                </c:pt>
                <c:pt idx="2">
                  <c:v>0.22</c:v>
                </c:pt>
                <c:pt idx="3">
                  <c:v>0.02</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spPr>
    <a:ln>
      <a:noFill/>
    </a:ln>
  </c:sp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32"/>
    </mc:Choice>
    <mc:Fallback>
      <c:style val="32"/>
    </mc:Fallback>
  </mc:AlternateContent>
  <c:chart>
    <c:autoTitleDeleted val="1"/>
    <c:plotArea>
      <c:layout/>
      <c:pieChart>
        <c:varyColors val="1"/>
        <c:ser>
          <c:idx val="0"/>
          <c:order val="0"/>
          <c:tx>
            <c:strRef>
              <c:f>Arkusz1!$B$1</c:f>
              <c:strCache>
                <c:ptCount val="1"/>
                <c:pt idx="0">
                  <c:v>Sprzedaż</c:v>
                </c:pt>
              </c:strCache>
            </c:strRef>
          </c:tx>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Arkusz1!$A$2:$A$10</c:f>
              <c:strCache>
                <c:ptCount val="9"/>
                <c:pt idx="0">
                  <c:v>conjunction of disabilities</c:v>
                </c:pt>
                <c:pt idx="1">
                  <c:v>the blind and the partially sighted</c:v>
                </c:pt>
                <c:pt idx="2">
                  <c:v>the deaf</c:v>
                </c:pt>
                <c:pt idx="3">
                  <c:v>the partially hearing</c:v>
                </c:pt>
                <c:pt idx="4">
                  <c:v>intellectual disability - light degree</c:v>
                </c:pt>
                <c:pt idx="5">
                  <c:v>intellectual disability - medium and significant degree</c:v>
                </c:pt>
                <c:pt idx="6">
                  <c:v>intellectual disability - severe degree</c:v>
                </c:pt>
                <c:pt idx="7">
                  <c:v>physical disability</c:v>
                </c:pt>
                <c:pt idx="8">
                  <c:v>autism (including Asperger's syndrome)</c:v>
                </c:pt>
              </c:strCache>
            </c:strRef>
          </c:cat>
          <c:val>
            <c:numRef>
              <c:f>Arkusz1!$B$2:$B$10</c:f>
              <c:numCache>
                <c:formatCode>0%</c:formatCode>
                <c:ptCount val="9"/>
                <c:pt idx="0">
                  <c:v>0.15</c:v>
                </c:pt>
                <c:pt idx="1">
                  <c:v>0.04</c:v>
                </c:pt>
                <c:pt idx="2">
                  <c:v>0.02</c:v>
                </c:pt>
                <c:pt idx="3">
                  <c:v>0.05</c:v>
                </c:pt>
                <c:pt idx="4">
                  <c:v>0.32</c:v>
                </c:pt>
                <c:pt idx="5">
                  <c:v>0.18</c:v>
                </c:pt>
                <c:pt idx="6">
                  <c:v>7.0000000000000007E-2</c:v>
                </c:pt>
                <c:pt idx="7">
                  <c:v>0.09</c:v>
                </c:pt>
                <c:pt idx="8">
                  <c:v>0.09</c:v>
                </c:pt>
              </c:numCache>
            </c:numRef>
          </c:val>
        </c:ser>
        <c:dLbls>
          <c:showLegendKey val="0"/>
          <c:showVal val="0"/>
          <c:showCatName val="0"/>
          <c:showSerName val="0"/>
          <c:showPercent val="1"/>
          <c:showBubbleSize val="0"/>
          <c:showLeaderLines val="1"/>
        </c:dLbls>
        <c:firstSliceAng val="0"/>
      </c:pieChart>
    </c:plotArea>
    <c:legend>
      <c:legendPos val="r"/>
      <c:layout>
        <c:manualLayout>
          <c:xMode val="edge"/>
          <c:yMode val="edge"/>
          <c:x val="0.64583333333333337"/>
          <c:y val="2.5031344766114773E-2"/>
          <c:w val="0.34027777777777779"/>
          <c:h val="0.97496865523388521"/>
        </c:manualLayout>
      </c:layout>
      <c:overlay val="0"/>
    </c:legend>
    <c:plotVisOnly val="1"/>
    <c:dispBlanksAs val="gap"/>
    <c:showDLblsOverMax val="0"/>
  </c:chart>
  <c:spPr>
    <a:ln>
      <a:noFill/>
    </a:ln>
  </c:sp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32"/>
    </mc:Choice>
    <mc:Fallback>
      <c:style val="32"/>
    </mc:Fallback>
  </mc:AlternateContent>
  <c:chart>
    <c:autoTitleDeleted val="1"/>
    <c:plotArea>
      <c:layout/>
      <c:pieChart>
        <c:varyColors val="1"/>
        <c:ser>
          <c:idx val="0"/>
          <c:order val="0"/>
          <c:tx>
            <c:strRef>
              <c:f>Arkusz1!$B$1</c:f>
              <c:strCache>
                <c:ptCount val="1"/>
                <c:pt idx="0">
                  <c:v>Kolumna1</c:v>
                </c:pt>
              </c:strCache>
            </c:strRef>
          </c:tx>
          <c:dLbls>
            <c:showLegendKey val="0"/>
            <c:showVal val="1"/>
            <c:showCatName val="0"/>
            <c:showSerName val="0"/>
            <c:showPercent val="0"/>
            <c:showBubbleSize val="0"/>
            <c:showLeaderLines val="1"/>
          </c:dLbls>
          <c:cat>
            <c:strRef>
              <c:f>Arkusz1!$A$2:$A$3</c:f>
              <c:strCache>
                <c:ptCount val="2"/>
                <c:pt idx="0">
                  <c:v>Premises with problems</c:v>
                </c:pt>
                <c:pt idx="1">
                  <c:v>Premises without problems</c:v>
                </c:pt>
              </c:strCache>
            </c:strRef>
          </c:cat>
          <c:val>
            <c:numRef>
              <c:f>Arkusz1!$B$2:$B$3</c:f>
              <c:numCache>
                <c:formatCode>0%</c:formatCode>
                <c:ptCount val="2"/>
                <c:pt idx="0">
                  <c:v>0.72</c:v>
                </c:pt>
                <c:pt idx="1">
                  <c:v>0.28000000000000003</c:v>
                </c:pt>
              </c:numCache>
            </c:numRef>
          </c:val>
        </c:ser>
        <c:dLbls>
          <c:showLegendKey val="0"/>
          <c:showVal val="0"/>
          <c:showCatName val="0"/>
          <c:showSerName val="0"/>
          <c:showPercent val="0"/>
          <c:showBubbleSize val="0"/>
          <c:showLeaderLines val="1"/>
        </c:dLbls>
        <c:firstSliceAng val="0"/>
      </c:pieChart>
    </c:plotArea>
    <c:legend>
      <c:legendPos val="t"/>
      <c:overlay val="0"/>
    </c:legend>
    <c:plotVisOnly val="1"/>
    <c:dispBlanksAs val="gap"/>
    <c:showDLblsOverMax val="0"/>
  </c:chart>
  <c:spPr>
    <a:ln>
      <a:noFill/>
    </a:ln>
  </c:sp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32"/>
    </mc:Choice>
    <mc:Fallback>
      <c:style val="32"/>
    </mc:Fallback>
  </mc:AlternateContent>
  <c:chart>
    <c:autoTitleDeleted val="0"/>
    <c:plotArea>
      <c:layout/>
      <c:barChart>
        <c:barDir val="col"/>
        <c:grouping val="clustered"/>
        <c:varyColors val="0"/>
        <c:ser>
          <c:idx val="0"/>
          <c:order val="0"/>
          <c:tx>
            <c:strRef>
              <c:f>Arkusz1!$B$1</c:f>
              <c:strCache>
                <c:ptCount val="1"/>
                <c:pt idx="0">
                  <c:v>Subtitles for the deaf</c:v>
                </c:pt>
              </c:strCache>
            </c:strRef>
          </c:tx>
          <c:invertIfNegative val="0"/>
          <c:dLbls>
            <c:numFmt formatCode="0.0%" sourceLinked="0"/>
            <c:showLegendKey val="0"/>
            <c:showVal val="1"/>
            <c:showCatName val="0"/>
            <c:showSerName val="0"/>
            <c:showPercent val="0"/>
            <c:showBubbleSize val="0"/>
            <c:showLeaderLines val="0"/>
          </c:dLbls>
          <c:cat>
            <c:strRef>
              <c:f>Arkusz1!$A$2:$A$5</c:f>
              <c:strCache>
                <c:ptCount val="4"/>
                <c:pt idx="0">
                  <c:v>TVP1</c:v>
                </c:pt>
                <c:pt idx="1">
                  <c:v>TVP2</c:v>
                </c:pt>
                <c:pt idx="2">
                  <c:v>TVN</c:v>
                </c:pt>
                <c:pt idx="3">
                  <c:v>Polsat</c:v>
                </c:pt>
              </c:strCache>
            </c:strRef>
          </c:cat>
          <c:val>
            <c:numRef>
              <c:f>Arkusz1!$B$2:$B$5</c:f>
              <c:numCache>
                <c:formatCode>0.00%</c:formatCode>
                <c:ptCount val="4"/>
                <c:pt idx="0">
                  <c:v>0.314</c:v>
                </c:pt>
                <c:pt idx="1">
                  <c:v>0.20300000000000001</c:v>
                </c:pt>
                <c:pt idx="2">
                  <c:v>0.191</c:v>
                </c:pt>
                <c:pt idx="3">
                  <c:v>0.16500000000000001</c:v>
                </c:pt>
              </c:numCache>
            </c:numRef>
          </c:val>
        </c:ser>
        <c:ser>
          <c:idx val="1"/>
          <c:order val="1"/>
          <c:tx>
            <c:strRef>
              <c:f>Arkusz1!$C$1</c:f>
              <c:strCache>
                <c:ptCount val="1"/>
                <c:pt idx="0">
                  <c:v>Sign language interpreter</c:v>
                </c:pt>
              </c:strCache>
            </c:strRef>
          </c:tx>
          <c:invertIfNegative val="0"/>
          <c:dLbls>
            <c:dLbl>
              <c:idx val="3"/>
              <c:numFmt formatCode="0.0%" sourceLinked="0"/>
              <c:spPr/>
              <c:txPr>
                <a:bodyPr/>
                <a:lstStyle/>
                <a:p>
                  <a:pPr>
                    <a:defRPr/>
                  </a:pPr>
                  <a:endParaRPr lang="pl-PL"/>
                </a:p>
              </c:txPr>
              <c:showLegendKey val="0"/>
              <c:showVal val="1"/>
              <c:showCatName val="0"/>
              <c:showSerName val="0"/>
              <c:showPercent val="0"/>
              <c:showBubbleSize val="0"/>
            </c:dLbl>
            <c:showLegendKey val="0"/>
            <c:showVal val="1"/>
            <c:showCatName val="0"/>
            <c:showSerName val="0"/>
            <c:showPercent val="0"/>
            <c:showBubbleSize val="0"/>
            <c:showLeaderLines val="0"/>
          </c:dLbls>
          <c:cat>
            <c:strRef>
              <c:f>Arkusz1!$A$2:$A$5</c:f>
              <c:strCache>
                <c:ptCount val="4"/>
                <c:pt idx="0">
                  <c:v>TVP1</c:v>
                </c:pt>
                <c:pt idx="1">
                  <c:v>TVP2</c:v>
                </c:pt>
                <c:pt idx="2">
                  <c:v>TVN</c:v>
                </c:pt>
                <c:pt idx="3">
                  <c:v>Polsat</c:v>
                </c:pt>
              </c:strCache>
            </c:strRef>
          </c:cat>
          <c:val>
            <c:numRef>
              <c:f>Arkusz1!$C$2:$C$5</c:f>
              <c:numCache>
                <c:formatCode>0%</c:formatCode>
                <c:ptCount val="4"/>
                <c:pt idx="0">
                  <c:v>0</c:v>
                </c:pt>
                <c:pt idx="1">
                  <c:v>0.01</c:v>
                </c:pt>
                <c:pt idx="2">
                  <c:v>0</c:v>
                </c:pt>
                <c:pt idx="3" formatCode="0.00%">
                  <c:v>1E-3</c:v>
                </c:pt>
              </c:numCache>
            </c:numRef>
          </c:val>
        </c:ser>
        <c:ser>
          <c:idx val="2"/>
          <c:order val="2"/>
          <c:tx>
            <c:strRef>
              <c:f>Arkusz1!$D$1</c:f>
              <c:strCache>
                <c:ptCount val="1"/>
                <c:pt idx="0">
                  <c:v>Audio description</c:v>
                </c:pt>
              </c:strCache>
            </c:strRef>
          </c:tx>
          <c:invertIfNegative val="0"/>
          <c:dLbls>
            <c:dLbl>
              <c:idx val="0"/>
              <c:numFmt formatCode="0%" sourceLinked="0"/>
              <c:spPr/>
              <c:txPr>
                <a:bodyPr/>
                <a:lstStyle/>
                <a:p>
                  <a:pPr>
                    <a:defRPr/>
                  </a:pPr>
                  <a:endParaRPr lang="pl-PL"/>
                </a:p>
              </c:txPr>
              <c:showLegendKey val="0"/>
              <c:showVal val="1"/>
              <c:showCatName val="0"/>
              <c:showSerName val="0"/>
              <c:showPercent val="0"/>
              <c:showBubbleSize val="0"/>
            </c:dLbl>
            <c:numFmt formatCode="0.0%" sourceLinked="0"/>
            <c:showLegendKey val="0"/>
            <c:showVal val="1"/>
            <c:showCatName val="0"/>
            <c:showSerName val="0"/>
            <c:showPercent val="0"/>
            <c:showBubbleSize val="0"/>
            <c:showLeaderLines val="0"/>
          </c:dLbls>
          <c:cat>
            <c:strRef>
              <c:f>Arkusz1!$A$2:$A$5</c:f>
              <c:strCache>
                <c:ptCount val="4"/>
                <c:pt idx="0">
                  <c:v>TVP1</c:v>
                </c:pt>
                <c:pt idx="1">
                  <c:v>TVP2</c:v>
                </c:pt>
                <c:pt idx="2">
                  <c:v>TVN</c:v>
                </c:pt>
                <c:pt idx="3">
                  <c:v>Polsat</c:v>
                </c:pt>
              </c:strCache>
            </c:strRef>
          </c:cat>
          <c:val>
            <c:numRef>
              <c:f>Arkusz1!$D$2:$D$5</c:f>
              <c:numCache>
                <c:formatCode>0.00%</c:formatCode>
                <c:ptCount val="4"/>
                <c:pt idx="0" formatCode="0%">
                  <c:v>0.02</c:v>
                </c:pt>
                <c:pt idx="1">
                  <c:v>1.4E-2</c:v>
                </c:pt>
                <c:pt idx="2">
                  <c:v>5.8999999999999997E-2</c:v>
                </c:pt>
                <c:pt idx="3">
                  <c:v>2.1999999999999999E-2</c:v>
                </c:pt>
              </c:numCache>
            </c:numRef>
          </c:val>
        </c:ser>
        <c:dLbls>
          <c:showLegendKey val="0"/>
          <c:showVal val="0"/>
          <c:showCatName val="0"/>
          <c:showSerName val="0"/>
          <c:showPercent val="0"/>
          <c:showBubbleSize val="0"/>
        </c:dLbls>
        <c:gapWidth val="150"/>
        <c:axId val="205527296"/>
        <c:axId val="205541376"/>
      </c:barChart>
      <c:catAx>
        <c:axId val="205527296"/>
        <c:scaling>
          <c:orientation val="minMax"/>
        </c:scaling>
        <c:delete val="0"/>
        <c:axPos val="b"/>
        <c:majorTickMark val="out"/>
        <c:minorTickMark val="none"/>
        <c:tickLblPos val="nextTo"/>
        <c:crossAx val="205541376"/>
        <c:crosses val="autoZero"/>
        <c:auto val="1"/>
        <c:lblAlgn val="ctr"/>
        <c:lblOffset val="100"/>
        <c:noMultiLvlLbl val="0"/>
      </c:catAx>
      <c:valAx>
        <c:axId val="205541376"/>
        <c:scaling>
          <c:orientation val="minMax"/>
        </c:scaling>
        <c:delete val="1"/>
        <c:axPos val="l"/>
        <c:numFmt formatCode="0.00%" sourceLinked="1"/>
        <c:majorTickMark val="out"/>
        <c:minorTickMark val="none"/>
        <c:tickLblPos val="nextTo"/>
        <c:crossAx val="205527296"/>
        <c:crosses val="autoZero"/>
        <c:crossBetween val="between"/>
      </c:valAx>
    </c:plotArea>
    <c:legend>
      <c:legendPos val="t"/>
      <c:overlay val="0"/>
    </c:legend>
    <c:plotVisOnly val="1"/>
    <c:dispBlanksAs val="gap"/>
    <c:showDLblsOverMax val="0"/>
  </c:chart>
  <c:spPr>
    <a:ln>
      <a:noFill/>
    </a:ln>
  </c:spPr>
  <c:externalData r:id="rId1">
    <c:autoUpdate val="0"/>
  </c:externalData>
</c:chartSpac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CoverPageProperties xmlns="http://schemas.microsoft.com/office/2006/coverPageProps">
  <PublishDate/>
  <Abstract>This report Sprawozdanie stanowi realizację uprawnień Rzecznika Praw Obywatelskich </Abstract>
  <CompanyAddress/>
  <CompanyPhone/>
  <CompanyFax/>
  <CompanyEmail/>
</CoverPage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26A8FB-BD2B-43D2-A8C5-CB04259200BD}"/>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3E2C8016-D883-4E04-8EAF-C797D8E12C0C}"/>
</file>

<file path=customXml/itemProps4.xml><?xml version="1.0" encoding="utf-8"?>
<ds:datastoreItem xmlns:ds="http://schemas.openxmlformats.org/officeDocument/2006/customXml" ds:itemID="{7708CEF4-BAA9-4371-9316-5F4EC0D37126}"/>
</file>

<file path=customXml/itemProps5.xml><?xml version="1.0" encoding="utf-8"?>
<ds:datastoreItem xmlns:ds="http://schemas.openxmlformats.org/officeDocument/2006/customXml" ds:itemID="{998988BE-4D26-4990-A26B-BE0570376C42}"/>
</file>

<file path=docProps/app.xml><?xml version="1.0" encoding="utf-8"?>
<Properties xmlns="http://schemas.openxmlformats.org/officeDocument/2006/extended-properties" xmlns:vt="http://schemas.openxmlformats.org/officeDocument/2006/docPropsVTypes">
  <Template>Normal</Template>
  <TotalTime>0</TotalTime>
  <Pages>94</Pages>
  <Words>44705</Words>
  <Characters>247669</Characters>
  <Application>Microsoft Office Word</Application>
  <DocSecurity>0</DocSecurity>
  <Lines>4060</Lines>
  <Paragraphs>1254</Paragraphs>
  <ScaleCrop>false</ScaleCrop>
  <HeadingPairs>
    <vt:vector size="2" baseType="variant">
      <vt:variant>
        <vt:lpstr>Tytuł</vt:lpstr>
      </vt:variant>
      <vt:variant>
        <vt:i4>1</vt:i4>
      </vt:variant>
    </vt:vector>
  </HeadingPairs>
  <TitlesOfParts>
    <vt:vector size="1" baseType="lpstr">
      <vt:lpstr>Realisation of the obligations arising from the UN Convention on the Rights of Persons with Disabilities by Poland</vt:lpstr>
    </vt:vector>
  </TitlesOfParts>
  <Company>BRPO</Company>
  <LinksUpToDate>false</LinksUpToDate>
  <CharactersWithSpaces>291120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Realisation of the obligations arising from the UN Convention on the Rights of Persons with Disabilities by Poland</dc:title>
  <dc:subject>2012 - 2014</dc:subject>
  <dc:creator>Anna</dc:creator>
  <cp:lastModifiedBy>Magdalena Kuruś</cp:lastModifiedBy>
  <cp:revision>2</cp:revision>
  <cp:lastPrinted>2015-08-07T10:30:00Z</cp:lastPrinted>
  <dcterms:created xsi:type="dcterms:W3CDTF">2018-01-31T12:01:00Z</dcterms:created>
  <dcterms:modified xsi:type="dcterms:W3CDTF">2018-01-31T12:01:00Z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