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602" w:rsidRDefault="00301602" w:rsidP="00301602">
      <w:pPr>
        <w:pStyle w:val="Default"/>
      </w:pPr>
      <w:bookmarkStart w:id="0" w:name="_Toc517349930"/>
      <w:r>
        <w:rPr>
          <w:noProof/>
          <w:lang w:val="en-GB" w:eastAsia="en-GB"/>
        </w:rPr>
        <w:drawing>
          <wp:anchor distT="0" distB="0" distL="114300" distR="114300" simplePos="0" relativeHeight="251663360" behindDoc="0" locked="0" layoutInCell="1" allowOverlap="1" wp14:anchorId="31BECB60" wp14:editId="7F8CE8E7">
            <wp:simplePos x="0" y="0"/>
            <wp:positionH relativeFrom="column">
              <wp:posOffset>4471670</wp:posOffset>
            </wp:positionH>
            <wp:positionV relativeFrom="paragraph">
              <wp:posOffset>3810</wp:posOffset>
            </wp:positionV>
            <wp:extent cx="1678305" cy="1454150"/>
            <wp:effectExtent l="0" t="0" r="0" b="0"/>
            <wp:wrapSquare wrapText="bothSides"/>
            <wp:docPr id="46" name="Imag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alphaModFix/>
                      <a:lum/>
                    </a:blip>
                    <a:srcRect/>
                    <a:stretch>
                      <a:fillRect/>
                    </a:stretch>
                  </pic:blipFill>
                  <pic:spPr>
                    <a:xfrm>
                      <a:off x="0" y="0"/>
                      <a:ext cx="1678305" cy="1454150"/>
                    </a:xfrm>
                    <a:prstGeom prst="rect">
                      <a:avLst/>
                    </a:prstGeom>
                    <a:noFill/>
                    <a:ln>
                      <a:noFill/>
                      <a:prstDash/>
                    </a:ln>
                  </pic:spPr>
                </pic:pic>
              </a:graphicData>
            </a:graphic>
          </wp:anchor>
        </w:drawing>
      </w:r>
    </w:p>
    <w:p w:rsidR="00301602" w:rsidRDefault="00301602" w:rsidP="00301602">
      <w:pPr>
        <w:pStyle w:val="Default"/>
      </w:pPr>
      <w:r>
        <w:rPr>
          <w:noProof/>
          <w:lang w:val="en-GB" w:eastAsia="en-GB"/>
        </w:rPr>
        <w:drawing>
          <wp:anchor distT="0" distB="0" distL="114300" distR="114300" simplePos="0" relativeHeight="251661312" behindDoc="0" locked="0" layoutInCell="1" allowOverlap="1" wp14:anchorId="5BCFED9D" wp14:editId="52DB7813">
            <wp:simplePos x="0" y="0"/>
            <wp:positionH relativeFrom="column">
              <wp:posOffset>-323850</wp:posOffset>
            </wp:positionH>
            <wp:positionV relativeFrom="paragraph">
              <wp:posOffset>157480</wp:posOffset>
            </wp:positionV>
            <wp:extent cx="1479550" cy="1073785"/>
            <wp:effectExtent l="0" t="0" r="6350" b="0"/>
            <wp:wrapSquare wrapText="bothSides"/>
            <wp:docPr id="47" name="Imag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alphaModFix/>
                      <a:lum/>
                    </a:blip>
                    <a:srcRect/>
                    <a:stretch>
                      <a:fillRect/>
                    </a:stretch>
                  </pic:blipFill>
                  <pic:spPr>
                    <a:xfrm>
                      <a:off x="0" y="0"/>
                      <a:ext cx="1479550" cy="1073785"/>
                    </a:xfrm>
                    <a:prstGeom prst="rect">
                      <a:avLst/>
                    </a:prstGeom>
                    <a:noFill/>
                    <a:ln>
                      <a:noFill/>
                      <a:prstDash/>
                    </a:ln>
                  </pic:spPr>
                </pic:pic>
              </a:graphicData>
            </a:graphic>
          </wp:anchor>
        </w:drawing>
      </w:r>
    </w:p>
    <w:p w:rsidR="00301602" w:rsidRDefault="00301602" w:rsidP="00301602">
      <w:pPr>
        <w:pStyle w:val="Default"/>
      </w:pPr>
      <w:r>
        <w:t xml:space="preserve">                                                             </w:t>
      </w: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r w:rsidRPr="001C21FB">
        <w:rPr>
          <w:noProof/>
          <w:sz w:val="22"/>
          <w:szCs w:val="22"/>
          <w:lang w:val="en-GB" w:eastAsia="en-GB"/>
        </w:rPr>
        <mc:AlternateContent>
          <mc:Choice Requires="wps">
            <w:drawing>
              <wp:anchor distT="0" distB="0" distL="0" distR="0" simplePos="0" relativeHeight="251659264" behindDoc="0" locked="0" layoutInCell="1" allowOverlap="1" wp14:anchorId="489A5B27" wp14:editId="64A7B05F">
                <wp:simplePos x="0" y="0"/>
                <wp:positionH relativeFrom="column">
                  <wp:posOffset>-248920</wp:posOffset>
                </wp:positionH>
                <wp:positionV relativeFrom="paragraph">
                  <wp:posOffset>261620</wp:posOffset>
                </wp:positionV>
                <wp:extent cx="6275705" cy="3674745"/>
                <wp:effectExtent l="1676400" t="1028700" r="10795" b="20955"/>
                <wp:wrapNone/>
                <wp:docPr id="1" name="10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705" cy="3674745"/>
                        </a:xfrm>
                        <a:prstGeom prst="roundRect">
                          <a:avLst>
                            <a:gd name="adj" fmla="val 16667"/>
                          </a:avLst>
                        </a:prstGeom>
                        <a:solidFill>
                          <a:srgbClr val="8496B0"/>
                        </a:solidFill>
                        <a:ln w="38100">
                          <a:solidFill>
                            <a:srgbClr val="F2F2F2"/>
                          </a:solidFill>
                          <a:round/>
                          <a:headEnd/>
                          <a:tailEnd/>
                        </a:ln>
                        <a:effectLst>
                          <a:outerShdw dist="107763" dir="13500000" sx="125000" sy="125000" algn="br" rotWithShape="0">
                            <a:srgbClr val="1F3763">
                              <a:alpha val="50000"/>
                            </a:srgbClr>
                          </a:outerShdw>
                        </a:effectLst>
                      </wps:spPr>
                      <wps:txbx>
                        <w:txbxContent>
                          <w:p w:rsidR="00301602" w:rsidRDefault="00301602" w:rsidP="00301602">
                            <w:pPr>
                              <w:spacing w:before="720" w:after="120"/>
                              <w:jc w:val="center"/>
                              <w:rPr>
                                <w:rFonts w:ascii="Eras Demi ITC" w:hAnsi="Eras Demi ITC"/>
                                <w:b/>
                                <w:color w:val="FFFFFF"/>
                                <w:sz w:val="80"/>
                                <w:szCs w:val="80"/>
                              </w:rPr>
                            </w:pPr>
                            <w:r>
                              <w:rPr>
                                <w:rFonts w:ascii="Eras Demi ITC" w:hAnsi="Eras Demi ITC"/>
                                <w:b/>
                                <w:color w:val="FFFFFF"/>
                                <w:sz w:val="80"/>
                                <w:szCs w:val="80"/>
                              </w:rPr>
                              <w:t>RA</w:t>
                            </w:r>
                            <w:bookmarkStart w:id="1" w:name="_GoBack"/>
                            <w:bookmarkEnd w:id="1"/>
                            <w:r>
                              <w:rPr>
                                <w:rFonts w:ascii="Eras Demi ITC" w:hAnsi="Eras Demi ITC"/>
                                <w:b/>
                                <w:color w:val="FFFFFF"/>
                                <w:sz w:val="80"/>
                                <w:szCs w:val="80"/>
                              </w:rPr>
                              <w:t>P</w:t>
                            </w:r>
                            <w:r w:rsidR="00732DCA">
                              <w:rPr>
                                <w:rFonts w:ascii="Eras Demi ITC" w:hAnsi="Eras Demi ITC"/>
                                <w:b/>
                                <w:color w:val="FFFFFF"/>
                                <w:sz w:val="80"/>
                                <w:szCs w:val="80"/>
                              </w:rPr>
                              <w:t xml:space="preserve">PORT ALTERNATIF DE </w:t>
                            </w:r>
                            <w:r w:rsidR="00C47B78">
                              <w:rPr>
                                <w:rFonts w:ascii="Eras Demi ITC" w:hAnsi="Eras Demi ITC"/>
                                <w:b/>
                                <w:color w:val="FFFFFF"/>
                                <w:sz w:val="80"/>
                                <w:szCs w:val="80"/>
                              </w:rPr>
                              <w:t xml:space="preserve">L’ONG </w:t>
                            </w:r>
                            <w:r w:rsidR="00732DCA">
                              <w:rPr>
                                <w:rFonts w:ascii="Eras Demi ITC" w:hAnsi="Eras Demi ITC"/>
                                <w:b/>
                                <w:color w:val="FFFFFF"/>
                                <w:sz w:val="80"/>
                                <w:szCs w:val="80"/>
                              </w:rPr>
                              <w:t>CHANGEMENT SOCIAL BENIN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oundrect w14:anchorId="489A5B27" id="1026" o:spid="_x0000_s1026" style="position:absolute;margin-left:-19.6pt;margin-top:20.6pt;width:494.15pt;height:289.3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" fillcolor="#8496b0" strokecolor="#f2f2f2" strokeweight="3pt">
                <v:shadow on="t" type="perspective" color="#1f3763" opacity=".5" origin=".5,.5" offset="-6pt,-6pt" matrix="1.25,,,1.25"/>
                <v:textbox>
                  <w:txbxContent>
                    <w:p w:rsidR="00301602" w:rsidRDefault="00301602" w:rsidP="00301602">
                      <w:pPr>
                        <w:spacing w:before="720" w:after="120"/>
                        <w:jc w:val="center"/>
                        <w:rPr>
                          <w:rFonts w:ascii="Eras Demi ITC" w:hAnsi="Eras Demi ITC"/>
                          <w:b/>
                          <w:color w:val="FFFFFF"/>
                          <w:sz w:val="80"/>
                          <w:szCs w:val="80"/>
                        </w:rPr>
                      </w:pPr>
                      <w:r>
                        <w:rPr>
                          <w:rFonts w:ascii="Eras Demi ITC" w:hAnsi="Eras Demi ITC"/>
                          <w:b/>
                          <w:color w:val="FFFFFF"/>
                          <w:sz w:val="80"/>
                          <w:szCs w:val="80"/>
                        </w:rPr>
                        <w:t>RAP</w:t>
                      </w:r>
                      <w:r w:rsidR="00732DCA">
                        <w:rPr>
                          <w:rFonts w:ascii="Eras Demi ITC" w:hAnsi="Eras Demi ITC"/>
                          <w:b/>
                          <w:color w:val="FFFFFF"/>
                          <w:sz w:val="80"/>
                          <w:szCs w:val="80"/>
                        </w:rPr>
                        <w:t xml:space="preserve">PORT ALTERNATIF DE </w:t>
                      </w:r>
                      <w:r w:rsidR="00C47B78">
                        <w:rPr>
                          <w:rFonts w:ascii="Eras Demi ITC" w:hAnsi="Eras Demi ITC"/>
                          <w:b/>
                          <w:color w:val="FFFFFF"/>
                          <w:sz w:val="80"/>
                          <w:szCs w:val="80"/>
                        </w:rPr>
                        <w:t xml:space="preserve">L’ONG </w:t>
                      </w:r>
                      <w:r w:rsidR="00732DCA">
                        <w:rPr>
                          <w:rFonts w:ascii="Eras Demi ITC" w:hAnsi="Eras Demi ITC"/>
                          <w:b/>
                          <w:color w:val="FFFFFF"/>
                          <w:sz w:val="80"/>
                          <w:szCs w:val="80"/>
                        </w:rPr>
                        <w:t>CHANGEMENT SOCIAL BENIN</w:t>
                      </w:r>
                    </w:p>
                  </w:txbxContent>
                </v:textbox>
              </v:roundrect>
            </w:pict>
          </mc:Fallback>
        </mc:AlternateContent>
      </w: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pPr>
    </w:p>
    <w:p w:rsidR="00301602" w:rsidRDefault="00301602" w:rsidP="00301602">
      <w:pPr>
        <w:pStyle w:val="Default"/>
        <w:rPr>
          <w:b/>
          <w:u w:val="single"/>
        </w:rPr>
      </w:pPr>
      <w:r w:rsidRPr="0014164C">
        <w:rPr>
          <w:b/>
          <w:u w:val="single"/>
        </w:rPr>
        <w:t xml:space="preserve">Liste des sigles et abréviations </w:t>
      </w:r>
    </w:p>
    <w:p w:rsidR="0014164C" w:rsidRPr="0014164C" w:rsidRDefault="0014164C" w:rsidP="00301602">
      <w:pPr>
        <w:pStyle w:val="Default"/>
        <w:rPr>
          <w:b/>
          <w:u w:val="single"/>
        </w:rPr>
      </w:pPr>
    </w:p>
    <w:p w:rsidR="00301602" w:rsidRPr="0014164C" w:rsidRDefault="00301602" w:rsidP="00301602">
      <w:pPr>
        <w:pStyle w:val="Default"/>
        <w:rPr>
          <w:sz w:val="22"/>
          <w:szCs w:val="22"/>
        </w:rPr>
      </w:pPr>
      <w:r w:rsidRPr="0014164C">
        <w:rPr>
          <w:sz w:val="22"/>
          <w:szCs w:val="22"/>
        </w:rPr>
        <w:t xml:space="preserve">ACAT </w:t>
      </w:r>
      <w:r w:rsidR="0014164C">
        <w:rPr>
          <w:sz w:val="22"/>
          <w:szCs w:val="22"/>
        </w:rPr>
        <w:t xml:space="preserve">    </w:t>
      </w:r>
      <w:r w:rsidRPr="0014164C">
        <w:rPr>
          <w:sz w:val="22"/>
          <w:szCs w:val="22"/>
        </w:rPr>
        <w:t xml:space="preserve">Association des Chrétiens Contre la Torture </w:t>
      </w:r>
    </w:p>
    <w:p w:rsidR="00E03564" w:rsidRPr="0014164C" w:rsidRDefault="00E03564" w:rsidP="00301602">
      <w:pPr>
        <w:pStyle w:val="Default"/>
        <w:rPr>
          <w:sz w:val="22"/>
          <w:szCs w:val="22"/>
        </w:rPr>
      </w:pPr>
      <w:r w:rsidRPr="0014164C">
        <w:rPr>
          <w:sz w:val="22"/>
          <w:szCs w:val="22"/>
        </w:rPr>
        <w:t xml:space="preserve">AIB </w:t>
      </w:r>
      <w:r w:rsidR="0014164C">
        <w:rPr>
          <w:sz w:val="22"/>
          <w:szCs w:val="22"/>
        </w:rPr>
        <w:t xml:space="preserve">        </w:t>
      </w:r>
      <w:r w:rsidRPr="0014164C">
        <w:rPr>
          <w:sz w:val="22"/>
          <w:szCs w:val="22"/>
        </w:rPr>
        <w:t>Amnesty International Bénin</w:t>
      </w:r>
    </w:p>
    <w:p w:rsidR="00A644A0" w:rsidRPr="0014164C" w:rsidRDefault="005D0163" w:rsidP="00301602">
      <w:pPr>
        <w:pStyle w:val="Default"/>
        <w:rPr>
          <w:sz w:val="22"/>
          <w:szCs w:val="22"/>
        </w:rPr>
      </w:pPr>
      <w:r w:rsidRPr="0014164C">
        <w:rPr>
          <w:sz w:val="22"/>
          <w:szCs w:val="22"/>
        </w:rPr>
        <w:t xml:space="preserve">CAT </w:t>
      </w:r>
      <w:r w:rsidR="0014164C">
        <w:rPr>
          <w:sz w:val="22"/>
          <w:szCs w:val="22"/>
        </w:rPr>
        <w:t xml:space="preserve">       </w:t>
      </w:r>
      <w:r w:rsidRPr="0014164C">
        <w:rPr>
          <w:sz w:val="22"/>
          <w:szCs w:val="22"/>
        </w:rPr>
        <w:t>Comité pour l’Abolition de la</w:t>
      </w:r>
      <w:r w:rsidR="00A644A0" w:rsidRPr="0014164C">
        <w:rPr>
          <w:sz w:val="22"/>
          <w:szCs w:val="22"/>
        </w:rPr>
        <w:t xml:space="preserve"> Torture</w:t>
      </w:r>
    </w:p>
    <w:p w:rsidR="00995A52" w:rsidRPr="0014164C" w:rsidRDefault="00995A52" w:rsidP="00301602">
      <w:pPr>
        <w:pStyle w:val="Default"/>
        <w:rPr>
          <w:sz w:val="22"/>
          <w:szCs w:val="22"/>
        </w:rPr>
      </w:pPr>
      <w:r w:rsidRPr="0014164C">
        <w:rPr>
          <w:sz w:val="22"/>
          <w:szCs w:val="22"/>
        </w:rPr>
        <w:t xml:space="preserve">CBDH </w:t>
      </w:r>
      <w:r w:rsidR="0014164C">
        <w:rPr>
          <w:sz w:val="22"/>
          <w:szCs w:val="22"/>
        </w:rPr>
        <w:t xml:space="preserve">    </w:t>
      </w:r>
      <w:r w:rsidRPr="0014164C">
        <w:rPr>
          <w:sz w:val="22"/>
          <w:szCs w:val="22"/>
        </w:rPr>
        <w:t>Commission Béninoise des Droits de l’Homme</w:t>
      </w:r>
    </w:p>
    <w:p w:rsidR="004224B6" w:rsidRPr="0014164C" w:rsidRDefault="004224B6" w:rsidP="00301602">
      <w:pPr>
        <w:pStyle w:val="Default"/>
        <w:rPr>
          <w:sz w:val="22"/>
          <w:szCs w:val="22"/>
          <w:lang w:val="en-US"/>
        </w:rPr>
      </w:pPr>
      <w:r w:rsidRPr="0014164C">
        <w:rPr>
          <w:sz w:val="22"/>
          <w:szCs w:val="22"/>
          <w:lang w:val="en-US"/>
        </w:rPr>
        <w:t xml:space="preserve">CCPR </w:t>
      </w:r>
      <w:r w:rsidR="0014164C">
        <w:rPr>
          <w:sz w:val="22"/>
          <w:szCs w:val="22"/>
          <w:lang w:val="en-US"/>
        </w:rPr>
        <w:t xml:space="preserve">     </w:t>
      </w:r>
      <w:r w:rsidRPr="0014164C">
        <w:rPr>
          <w:sz w:val="22"/>
          <w:szCs w:val="22"/>
          <w:lang w:val="en-US"/>
        </w:rPr>
        <w:t>Centre for Civil and Political Rights</w:t>
      </w:r>
    </w:p>
    <w:p w:rsidR="00DE042C" w:rsidRPr="0014164C" w:rsidRDefault="00DE042C" w:rsidP="00301602">
      <w:pPr>
        <w:pStyle w:val="Default"/>
        <w:rPr>
          <w:sz w:val="22"/>
          <w:szCs w:val="22"/>
        </w:rPr>
      </w:pPr>
      <w:r w:rsidRPr="0014164C">
        <w:rPr>
          <w:sz w:val="22"/>
          <w:szCs w:val="22"/>
        </w:rPr>
        <w:t xml:space="preserve">CDH </w:t>
      </w:r>
      <w:r w:rsidR="0014164C">
        <w:rPr>
          <w:sz w:val="22"/>
          <w:szCs w:val="22"/>
        </w:rPr>
        <w:t xml:space="preserve">       </w:t>
      </w:r>
      <w:r w:rsidRPr="0014164C">
        <w:rPr>
          <w:sz w:val="22"/>
          <w:szCs w:val="22"/>
        </w:rPr>
        <w:t>Comité des Droits de l’Homme</w:t>
      </w:r>
    </w:p>
    <w:p w:rsidR="00F96324" w:rsidRPr="0014164C" w:rsidRDefault="006D3A1B" w:rsidP="00301602">
      <w:pPr>
        <w:pStyle w:val="Default"/>
        <w:rPr>
          <w:sz w:val="22"/>
          <w:szCs w:val="22"/>
          <w:lang w:val="en-US"/>
        </w:rPr>
      </w:pPr>
      <w:r w:rsidRPr="0014164C">
        <w:rPr>
          <w:sz w:val="22"/>
          <w:szCs w:val="22"/>
          <w:lang w:val="en-US"/>
        </w:rPr>
        <w:t xml:space="preserve">CEDAW </w:t>
      </w:r>
      <w:r>
        <w:rPr>
          <w:sz w:val="22"/>
          <w:szCs w:val="22"/>
          <w:lang w:val="en-US"/>
        </w:rPr>
        <w:t xml:space="preserve"> Convenant</w:t>
      </w:r>
      <w:r w:rsidR="00F96324" w:rsidRPr="0014164C">
        <w:rPr>
          <w:sz w:val="22"/>
          <w:szCs w:val="22"/>
          <w:lang w:val="en-US"/>
        </w:rPr>
        <w:t xml:space="preserve"> on Elimination of Discrimination Against Women</w:t>
      </w:r>
    </w:p>
    <w:p w:rsidR="00F96324" w:rsidRPr="0014164C" w:rsidRDefault="00F96324" w:rsidP="00301602">
      <w:pPr>
        <w:pStyle w:val="Default"/>
        <w:rPr>
          <w:sz w:val="22"/>
          <w:szCs w:val="22"/>
          <w:lang w:val="en-US"/>
        </w:rPr>
      </w:pPr>
      <w:r w:rsidRPr="0014164C">
        <w:rPr>
          <w:sz w:val="22"/>
          <w:szCs w:val="22"/>
          <w:lang w:val="en-US"/>
        </w:rPr>
        <w:t xml:space="preserve">CERD </w:t>
      </w:r>
      <w:r w:rsidR="00DD006A">
        <w:rPr>
          <w:sz w:val="22"/>
          <w:szCs w:val="22"/>
          <w:lang w:val="en-US"/>
        </w:rPr>
        <w:t xml:space="preserve">     Committee on the Elimination of Racial Discrimination</w:t>
      </w:r>
    </w:p>
    <w:p w:rsidR="00F96324" w:rsidRPr="0014164C" w:rsidRDefault="00F96324" w:rsidP="00301602">
      <w:pPr>
        <w:pStyle w:val="Default"/>
        <w:rPr>
          <w:sz w:val="22"/>
          <w:szCs w:val="22"/>
          <w:lang w:val="en-US"/>
        </w:rPr>
      </w:pPr>
      <w:r w:rsidRPr="0014164C">
        <w:rPr>
          <w:sz w:val="22"/>
          <w:szCs w:val="22"/>
          <w:lang w:val="en-US"/>
        </w:rPr>
        <w:t xml:space="preserve">CESCR </w:t>
      </w:r>
      <w:r w:rsidR="0014164C">
        <w:rPr>
          <w:sz w:val="22"/>
          <w:szCs w:val="22"/>
          <w:lang w:val="en-US"/>
        </w:rPr>
        <w:t xml:space="preserve">   </w:t>
      </w:r>
      <w:r w:rsidRPr="0014164C">
        <w:rPr>
          <w:sz w:val="22"/>
          <w:szCs w:val="22"/>
          <w:lang w:val="en-US"/>
        </w:rPr>
        <w:t>Committee of Economic, Social and Cultural Rights</w:t>
      </w:r>
    </w:p>
    <w:p w:rsidR="007E211E" w:rsidRPr="0014164C" w:rsidRDefault="007E211E" w:rsidP="00301602">
      <w:pPr>
        <w:pStyle w:val="Default"/>
        <w:rPr>
          <w:sz w:val="22"/>
          <w:szCs w:val="22"/>
          <w:lang w:val="en-US"/>
        </w:rPr>
      </w:pPr>
      <w:r w:rsidRPr="0014164C">
        <w:rPr>
          <w:sz w:val="22"/>
          <w:szCs w:val="22"/>
          <w:lang w:val="en-US"/>
        </w:rPr>
        <w:t xml:space="preserve">CRC </w:t>
      </w:r>
      <w:r w:rsidR="0014164C">
        <w:rPr>
          <w:sz w:val="22"/>
          <w:szCs w:val="22"/>
          <w:lang w:val="en-US"/>
        </w:rPr>
        <w:t xml:space="preserve">        </w:t>
      </w:r>
      <w:r w:rsidRPr="0014164C">
        <w:rPr>
          <w:sz w:val="22"/>
          <w:szCs w:val="22"/>
          <w:lang w:val="en-US"/>
        </w:rPr>
        <w:t>Child’s Rights Convenant</w:t>
      </w:r>
    </w:p>
    <w:p w:rsidR="007971B3" w:rsidRPr="0014164C" w:rsidRDefault="007971B3" w:rsidP="00301602">
      <w:pPr>
        <w:pStyle w:val="Default"/>
        <w:rPr>
          <w:sz w:val="22"/>
          <w:szCs w:val="22"/>
          <w:lang w:val="en-US"/>
        </w:rPr>
      </w:pPr>
      <w:r w:rsidRPr="0014164C">
        <w:rPr>
          <w:sz w:val="22"/>
          <w:szCs w:val="22"/>
          <w:lang w:val="en-US"/>
        </w:rPr>
        <w:t>CMW</w:t>
      </w:r>
      <w:r w:rsidR="00DD006A">
        <w:rPr>
          <w:sz w:val="22"/>
          <w:szCs w:val="22"/>
          <w:lang w:val="en-US"/>
        </w:rPr>
        <w:t xml:space="preserve">       Committee on Migrant Workers</w:t>
      </w:r>
    </w:p>
    <w:p w:rsidR="00915085" w:rsidRPr="0014164C" w:rsidRDefault="00915085" w:rsidP="00301602">
      <w:pPr>
        <w:pStyle w:val="Default"/>
        <w:rPr>
          <w:sz w:val="22"/>
          <w:szCs w:val="22"/>
        </w:rPr>
      </w:pPr>
      <w:r w:rsidRPr="0014164C">
        <w:rPr>
          <w:sz w:val="22"/>
          <w:szCs w:val="22"/>
        </w:rPr>
        <w:t xml:space="preserve">CSB </w:t>
      </w:r>
      <w:r w:rsidR="0014164C">
        <w:rPr>
          <w:sz w:val="22"/>
          <w:szCs w:val="22"/>
        </w:rPr>
        <w:t xml:space="preserve">         </w:t>
      </w:r>
      <w:r w:rsidRPr="0014164C">
        <w:rPr>
          <w:sz w:val="22"/>
          <w:szCs w:val="22"/>
        </w:rPr>
        <w:t>Changement Social Bénin</w:t>
      </w:r>
    </w:p>
    <w:p w:rsidR="00915085" w:rsidRPr="0014164C" w:rsidRDefault="00915085" w:rsidP="00301602">
      <w:pPr>
        <w:pStyle w:val="Default"/>
        <w:rPr>
          <w:sz w:val="22"/>
          <w:szCs w:val="22"/>
        </w:rPr>
      </w:pPr>
      <w:r w:rsidRPr="0014164C">
        <w:rPr>
          <w:sz w:val="22"/>
          <w:szCs w:val="22"/>
        </w:rPr>
        <w:lastRenderedPageBreak/>
        <w:t xml:space="preserve">DSB </w:t>
      </w:r>
      <w:r w:rsidR="0014164C">
        <w:rPr>
          <w:sz w:val="22"/>
          <w:szCs w:val="22"/>
        </w:rPr>
        <w:t xml:space="preserve">         </w:t>
      </w:r>
      <w:r w:rsidRPr="0014164C">
        <w:rPr>
          <w:sz w:val="22"/>
          <w:szCs w:val="22"/>
        </w:rPr>
        <w:t>Dimension Sociale Bénin</w:t>
      </w:r>
    </w:p>
    <w:p w:rsidR="00915085" w:rsidRPr="0014164C" w:rsidRDefault="00DE042C" w:rsidP="00301602">
      <w:pPr>
        <w:pStyle w:val="Default"/>
        <w:rPr>
          <w:sz w:val="22"/>
          <w:szCs w:val="22"/>
        </w:rPr>
      </w:pPr>
      <w:r w:rsidRPr="0014164C">
        <w:rPr>
          <w:sz w:val="22"/>
          <w:szCs w:val="22"/>
        </w:rPr>
        <w:t xml:space="preserve">EPU </w:t>
      </w:r>
      <w:r w:rsidR="0014164C">
        <w:rPr>
          <w:sz w:val="22"/>
          <w:szCs w:val="22"/>
        </w:rPr>
        <w:t xml:space="preserve">         </w:t>
      </w:r>
      <w:r w:rsidRPr="0014164C">
        <w:rPr>
          <w:sz w:val="22"/>
          <w:szCs w:val="22"/>
        </w:rPr>
        <w:t>Examen Périodique Universel</w:t>
      </w:r>
    </w:p>
    <w:p w:rsidR="007971B3" w:rsidRPr="0014164C" w:rsidRDefault="007971B3" w:rsidP="00301602">
      <w:pPr>
        <w:pStyle w:val="Default"/>
        <w:rPr>
          <w:sz w:val="22"/>
          <w:szCs w:val="22"/>
        </w:rPr>
      </w:pPr>
      <w:r w:rsidRPr="0014164C">
        <w:rPr>
          <w:sz w:val="22"/>
          <w:szCs w:val="22"/>
        </w:rPr>
        <w:t>ICCPR</w:t>
      </w:r>
      <w:r w:rsidR="0014164C" w:rsidRPr="0014164C">
        <w:rPr>
          <w:sz w:val="22"/>
          <w:szCs w:val="22"/>
        </w:rPr>
        <w:t xml:space="preserve">      International Convenant on Civil and Political  Rights</w:t>
      </w:r>
    </w:p>
    <w:p w:rsidR="00995A52" w:rsidRPr="0014164C" w:rsidRDefault="00995A52" w:rsidP="00301602">
      <w:pPr>
        <w:pStyle w:val="Default"/>
        <w:rPr>
          <w:sz w:val="22"/>
          <w:szCs w:val="22"/>
        </w:rPr>
      </w:pPr>
      <w:r w:rsidRPr="0014164C">
        <w:rPr>
          <w:sz w:val="22"/>
          <w:szCs w:val="22"/>
        </w:rPr>
        <w:t>INDH</w:t>
      </w:r>
      <w:r w:rsidR="0014164C">
        <w:rPr>
          <w:sz w:val="22"/>
          <w:szCs w:val="22"/>
        </w:rPr>
        <w:t xml:space="preserve">       </w:t>
      </w:r>
      <w:r w:rsidRPr="0014164C">
        <w:rPr>
          <w:sz w:val="22"/>
          <w:szCs w:val="22"/>
        </w:rPr>
        <w:t xml:space="preserve"> Institution Nationale des Droits de l’Homme</w:t>
      </w:r>
    </w:p>
    <w:p w:rsidR="00301602" w:rsidRPr="0014164C" w:rsidRDefault="00301602" w:rsidP="00301602">
      <w:pPr>
        <w:pStyle w:val="Default"/>
        <w:rPr>
          <w:sz w:val="22"/>
          <w:szCs w:val="22"/>
        </w:rPr>
      </w:pPr>
      <w:r w:rsidRPr="0014164C">
        <w:rPr>
          <w:sz w:val="22"/>
          <w:szCs w:val="22"/>
        </w:rPr>
        <w:t xml:space="preserve">FIACAT </w:t>
      </w:r>
      <w:r w:rsidR="0014164C">
        <w:rPr>
          <w:sz w:val="22"/>
          <w:szCs w:val="22"/>
        </w:rPr>
        <w:t xml:space="preserve">   </w:t>
      </w:r>
      <w:r w:rsidRPr="0014164C">
        <w:rPr>
          <w:sz w:val="22"/>
          <w:szCs w:val="22"/>
        </w:rPr>
        <w:t xml:space="preserve">Fédération Internationale de l’Action des Catholiques pour l’Abolition de la Torture </w:t>
      </w:r>
    </w:p>
    <w:p w:rsidR="00301602" w:rsidRPr="0014164C" w:rsidRDefault="00301602" w:rsidP="00301602">
      <w:pPr>
        <w:pStyle w:val="Default"/>
        <w:rPr>
          <w:sz w:val="22"/>
          <w:szCs w:val="22"/>
        </w:rPr>
      </w:pPr>
      <w:r w:rsidRPr="0014164C">
        <w:rPr>
          <w:sz w:val="22"/>
          <w:szCs w:val="22"/>
        </w:rPr>
        <w:t xml:space="preserve">MJL </w:t>
      </w:r>
      <w:r w:rsidR="0014164C">
        <w:rPr>
          <w:sz w:val="22"/>
          <w:szCs w:val="22"/>
        </w:rPr>
        <w:t xml:space="preserve">          </w:t>
      </w:r>
      <w:r w:rsidRPr="0014164C">
        <w:rPr>
          <w:sz w:val="22"/>
          <w:szCs w:val="22"/>
        </w:rPr>
        <w:t xml:space="preserve">Ministère de la Justice et de la Législation </w:t>
      </w:r>
    </w:p>
    <w:p w:rsidR="00E03564" w:rsidRPr="0014164C" w:rsidRDefault="00E03564" w:rsidP="00301602">
      <w:pPr>
        <w:pStyle w:val="Default"/>
        <w:rPr>
          <w:sz w:val="22"/>
          <w:szCs w:val="22"/>
        </w:rPr>
      </w:pPr>
      <w:r w:rsidRPr="0014164C">
        <w:rPr>
          <w:sz w:val="22"/>
          <w:szCs w:val="22"/>
        </w:rPr>
        <w:t xml:space="preserve">MNPT </w:t>
      </w:r>
      <w:r w:rsidR="0014164C">
        <w:rPr>
          <w:sz w:val="22"/>
          <w:szCs w:val="22"/>
        </w:rPr>
        <w:t xml:space="preserve">      </w:t>
      </w:r>
      <w:r w:rsidRPr="0014164C">
        <w:rPr>
          <w:sz w:val="22"/>
          <w:szCs w:val="22"/>
        </w:rPr>
        <w:t>Mécanisme National de Prévention de la Torture</w:t>
      </w:r>
    </w:p>
    <w:p w:rsidR="00E03564" w:rsidRPr="0014164C" w:rsidRDefault="00E03564" w:rsidP="00301602">
      <w:pPr>
        <w:pStyle w:val="Default"/>
        <w:rPr>
          <w:sz w:val="22"/>
          <w:szCs w:val="22"/>
        </w:rPr>
      </w:pPr>
      <w:r w:rsidRPr="0014164C">
        <w:rPr>
          <w:sz w:val="22"/>
          <w:szCs w:val="22"/>
        </w:rPr>
        <w:t xml:space="preserve">ODIP </w:t>
      </w:r>
      <w:r w:rsidR="0014164C">
        <w:rPr>
          <w:sz w:val="22"/>
          <w:szCs w:val="22"/>
        </w:rPr>
        <w:t xml:space="preserve">        </w:t>
      </w:r>
      <w:r w:rsidRPr="0014164C">
        <w:rPr>
          <w:sz w:val="22"/>
          <w:szCs w:val="22"/>
        </w:rPr>
        <w:t>Organisation pour la Défense des Intérêts des Prisonniers</w:t>
      </w:r>
    </w:p>
    <w:p w:rsidR="00301602" w:rsidRPr="0014164C" w:rsidRDefault="00301602" w:rsidP="00301602">
      <w:pPr>
        <w:pStyle w:val="Default"/>
        <w:rPr>
          <w:sz w:val="22"/>
          <w:szCs w:val="22"/>
        </w:rPr>
      </w:pPr>
      <w:r w:rsidRPr="0014164C">
        <w:rPr>
          <w:sz w:val="22"/>
          <w:szCs w:val="22"/>
        </w:rPr>
        <w:t xml:space="preserve">ONG </w:t>
      </w:r>
      <w:r w:rsidR="0014164C">
        <w:rPr>
          <w:sz w:val="22"/>
          <w:szCs w:val="22"/>
        </w:rPr>
        <w:t xml:space="preserve">         </w:t>
      </w:r>
      <w:r w:rsidRPr="0014164C">
        <w:rPr>
          <w:sz w:val="22"/>
          <w:szCs w:val="22"/>
        </w:rPr>
        <w:t xml:space="preserve">Organisation Non Gouvernementale </w:t>
      </w:r>
    </w:p>
    <w:p w:rsidR="00301602" w:rsidRPr="0014164C" w:rsidRDefault="00301602" w:rsidP="00301602">
      <w:pPr>
        <w:pStyle w:val="Default"/>
        <w:rPr>
          <w:sz w:val="22"/>
          <w:szCs w:val="22"/>
        </w:rPr>
      </w:pPr>
      <w:r w:rsidRPr="0014164C">
        <w:rPr>
          <w:sz w:val="22"/>
          <w:szCs w:val="22"/>
        </w:rPr>
        <w:t xml:space="preserve">ONU </w:t>
      </w:r>
      <w:r w:rsidR="0014164C">
        <w:rPr>
          <w:sz w:val="22"/>
          <w:szCs w:val="22"/>
        </w:rPr>
        <w:t xml:space="preserve">         </w:t>
      </w:r>
      <w:r w:rsidRPr="0014164C">
        <w:rPr>
          <w:sz w:val="22"/>
          <w:szCs w:val="22"/>
        </w:rPr>
        <w:t xml:space="preserve">Organisation des Nations Unies </w:t>
      </w:r>
    </w:p>
    <w:p w:rsidR="0014164C" w:rsidRPr="0014164C" w:rsidRDefault="0014164C" w:rsidP="00301602">
      <w:pPr>
        <w:pStyle w:val="Default"/>
        <w:rPr>
          <w:color w:val="auto"/>
          <w:sz w:val="22"/>
          <w:szCs w:val="22"/>
        </w:rPr>
      </w:pPr>
      <w:r w:rsidRPr="0014164C">
        <w:rPr>
          <w:color w:val="auto"/>
          <w:sz w:val="22"/>
          <w:szCs w:val="22"/>
        </w:rPr>
        <w:t xml:space="preserve">OSC </w:t>
      </w:r>
      <w:r w:rsidR="006D3A1B">
        <w:rPr>
          <w:color w:val="auto"/>
          <w:sz w:val="22"/>
          <w:szCs w:val="22"/>
        </w:rPr>
        <w:t xml:space="preserve">          </w:t>
      </w:r>
      <w:r w:rsidRPr="0014164C">
        <w:rPr>
          <w:color w:val="auto"/>
          <w:sz w:val="22"/>
          <w:szCs w:val="22"/>
        </w:rPr>
        <w:t>Organisations de la Société Civile</w:t>
      </w:r>
    </w:p>
    <w:p w:rsidR="00301602" w:rsidRPr="0014164C" w:rsidRDefault="00A96DD0" w:rsidP="0014164C">
      <w:pPr>
        <w:pStyle w:val="Default"/>
        <w:rPr>
          <w:color w:val="auto"/>
          <w:sz w:val="22"/>
          <w:szCs w:val="22"/>
        </w:rPr>
      </w:pPr>
      <w:r w:rsidRPr="0014164C">
        <w:rPr>
          <w:color w:val="auto"/>
          <w:sz w:val="22"/>
          <w:szCs w:val="22"/>
        </w:rPr>
        <w:t xml:space="preserve">SPT </w:t>
      </w:r>
      <w:r w:rsidR="006D3A1B">
        <w:rPr>
          <w:color w:val="auto"/>
          <w:sz w:val="22"/>
          <w:szCs w:val="22"/>
        </w:rPr>
        <w:t xml:space="preserve">           </w:t>
      </w:r>
      <w:r w:rsidRPr="0014164C">
        <w:rPr>
          <w:color w:val="auto"/>
          <w:sz w:val="22"/>
          <w:szCs w:val="22"/>
        </w:rPr>
        <w:t>Sous-comité de Prévention de la Torture</w:t>
      </w:r>
    </w:p>
    <w:p w:rsidR="00301602" w:rsidRPr="00D72FAE" w:rsidRDefault="00301602" w:rsidP="00967210">
      <w:pPr>
        <w:pStyle w:val="Heading1"/>
        <w:jc w:val="both"/>
      </w:pPr>
    </w:p>
    <w:p w:rsidR="00301602" w:rsidRPr="00D72FAE" w:rsidRDefault="00301602" w:rsidP="00967210">
      <w:pPr>
        <w:pStyle w:val="Heading1"/>
        <w:jc w:val="both"/>
      </w:pPr>
    </w:p>
    <w:p w:rsidR="00301602" w:rsidRPr="00D72FAE" w:rsidRDefault="00301602" w:rsidP="00967210">
      <w:pPr>
        <w:pStyle w:val="Heading1"/>
        <w:jc w:val="both"/>
      </w:pPr>
    </w:p>
    <w:p w:rsidR="00301602" w:rsidRPr="00D72FAE" w:rsidRDefault="00301602" w:rsidP="00967210">
      <w:pPr>
        <w:pStyle w:val="Heading1"/>
        <w:jc w:val="both"/>
      </w:pPr>
    </w:p>
    <w:p w:rsidR="00301602" w:rsidRPr="00D72FAE" w:rsidRDefault="00301602" w:rsidP="00967210">
      <w:pPr>
        <w:pStyle w:val="Heading1"/>
        <w:jc w:val="both"/>
      </w:pPr>
    </w:p>
    <w:p w:rsidR="00301602" w:rsidRPr="00D72FAE" w:rsidRDefault="00301602" w:rsidP="00967210">
      <w:pPr>
        <w:pStyle w:val="Heading1"/>
        <w:jc w:val="both"/>
      </w:pPr>
    </w:p>
    <w:p w:rsidR="00301602" w:rsidRPr="00D72FAE" w:rsidRDefault="00301602" w:rsidP="00967210">
      <w:pPr>
        <w:pStyle w:val="Heading1"/>
        <w:jc w:val="both"/>
      </w:pPr>
    </w:p>
    <w:p w:rsidR="00D72FAE" w:rsidRDefault="00D72FAE" w:rsidP="00967210">
      <w:pPr>
        <w:pStyle w:val="Heading1"/>
        <w:jc w:val="both"/>
      </w:pPr>
    </w:p>
    <w:p w:rsidR="008C2D8A" w:rsidRPr="008C2D8A" w:rsidRDefault="008C2D8A" w:rsidP="008C2D8A"/>
    <w:p w:rsidR="00D72FAE" w:rsidRPr="00D72FAE" w:rsidRDefault="00D72FAE" w:rsidP="00D72FAE"/>
    <w:p w:rsidR="00967210" w:rsidRDefault="00967210" w:rsidP="00967210">
      <w:pPr>
        <w:pStyle w:val="Heading1"/>
        <w:jc w:val="both"/>
      </w:pPr>
      <w:r>
        <w:lastRenderedPageBreak/>
        <w:t>Rapport alternatif de la société civile à l’attention du Comité Contre la Torture sur la situation au Bénin à la suite de la soumission du 3è rapport étatique</w:t>
      </w:r>
      <w:bookmarkEnd w:id="0"/>
    </w:p>
    <w:p w:rsidR="00967210" w:rsidRDefault="00967210" w:rsidP="00967210">
      <w:pPr>
        <w:jc w:val="both"/>
      </w:pPr>
    </w:p>
    <w:p w:rsidR="00967210" w:rsidRDefault="00967210" w:rsidP="00967210">
      <w:pPr>
        <w:jc w:val="both"/>
      </w:pPr>
      <w:r>
        <w:t>Juin 2018</w:t>
      </w:r>
    </w:p>
    <w:p w:rsidR="00967210" w:rsidRDefault="00967210" w:rsidP="00967210">
      <w:pPr>
        <w:jc w:val="both"/>
      </w:pPr>
    </w:p>
    <w:p w:rsidR="00967210" w:rsidRPr="006D1646" w:rsidRDefault="00967210" w:rsidP="00967210">
      <w:pPr>
        <w:jc w:val="both"/>
      </w:pPr>
    </w:p>
    <w:sdt>
      <w:sdtPr>
        <w:rPr>
          <w:rFonts w:asciiTheme="minorHAnsi" w:eastAsiaTheme="minorHAnsi" w:hAnsiTheme="minorHAnsi" w:cstheme="minorBidi"/>
          <w:color w:val="auto"/>
          <w:sz w:val="22"/>
          <w:szCs w:val="22"/>
          <w:lang w:eastAsia="en-US"/>
        </w:rPr>
        <w:id w:val="-2073652622"/>
        <w:docPartObj>
          <w:docPartGallery w:val="Table of Contents"/>
          <w:docPartUnique/>
        </w:docPartObj>
      </w:sdtPr>
      <w:sdtEndPr>
        <w:rPr>
          <w:b/>
          <w:bCs/>
        </w:rPr>
      </w:sdtEndPr>
      <w:sdtContent>
        <w:p w:rsidR="00967210" w:rsidRDefault="00967210" w:rsidP="00967210">
          <w:pPr>
            <w:pStyle w:val="TOCHeading"/>
            <w:jc w:val="both"/>
          </w:pPr>
          <w:r>
            <w:t>Table des matières</w:t>
          </w:r>
        </w:p>
        <w:p w:rsidR="00967210" w:rsidRPr="00136007" w:rsidRDefault="00967210" w:rsidP="00967210">
          <w:pPr>
            <w:pStyle w:val="TOC1"/>
            <w:tabs>
              <w:tab w:val="right" w:leader="dot" w:pos="9062"/>
            </w:tabs>
            <w:jc w:val="both"/>
            <w:rPr>
              <w:rFonts w:eastAsiaTheme="minorEastAsia"/>
              <w:noProof/>
              <w:sz w:val="28"/>
              <w:szCs w:val="28"/>
              <w:lang w:eastAsia="fr-FR"/>
            </w:rPr>
          </w:pPr>
          <w:r w:rsidRPr="00136007">
            <w:rPr>
              <w:sz w:val="28"/>
              <w:szCs w:val="28"/>
            </w:rPr>
            <w:fldChar w:fldCharType="begin"/>
          </w:r>
          <w:r w:rsidRPr="00136007">
            <w:rPr>
              <w:sz w:val="28"/>
              <w:szCs w:val="28"/>
            </w:rPr>
            <w:instrText xml:space="preserve"> TOC \o "1-3" \h \z \u </w:instrText>
          </w:r>
          <w:r w:rsidRPr="00136007">
            <w:rPr>
              <w:sz w:val="28"/>
              <w:szCs w:val="28"/>
            </w:rPr>
            <w:fldChar w:fldCharType="separate"/>
          </w:r>
        </w:p>
        <w:p w:rsidR="00967210" w:rsidRPr="00136007" w:rsidRDefault="00DC2457" w:rsidP="00967210">
          <w:pPr>
            <w:pStyle w:val="TOC1"/>
            <w:tabs>
              <w:tab w:val="right" w:leader="dot" w:pos="9062"/>
            </w:tabs>
            <w:jc w:val="both"/>
            <w:rPr>
              <w:rFonts w:eastAsiaTheme="minorEastAsia"/>
              <w:noProof/>
              <w:sz w:val="28"/>
              <w:szCs w:val="28"/>
              <w:lang w:eastAsia="fr-FR"/>
            </w:rPr>
          </w:pPr>
          <w:hyperlink w:anchor="_Toc517349931" w:history="1">
            <w:r w:rsidR="00967210" w:rsidRPr="00136007">
              <w:rPr>
                <w:rStyle w:val="Hyperlink"/>
                <w:noProof/>
                <w:sz w:val="28"/>
                <w:szCs w:val="28"/>
              </w:rPr>
              <w:t>INTRODUCTION</w:t>
            </w:r>
            <w:r w:rsidR="00967210" w:rsidRPr="00136007">
              <w:rPr>
                <w:noProof/>
                <w:webHidden/>
                <w:sz w:val="28"/>
                <w:szCs w:val="28"/>
              </w:rPr>
              <w:tab/>
            </w:r>
            <w:r w:rsidR="008C2D8A">
              <w:rPr>
                <w:noProof/>
                <w:webHidden/>
                <w:sz w:val="28"/>
                <w:szCs w:val="28"/>
              </w:rPr>
              <w:t>4</w:t>
            </w:r>
          </w:hyperlink>
        </w:p>
        <w:p w:rsidR="00967210" w:rsidRPr="00136007" w:rsidRDefault="00DC2457" w:rsidP="00967210">
          <w:pPr>
            <w:pStyle w:val="TOC1"/>
            <w:tabs>
              <w:tab w:val="right" w:leader="dot" w:pos="9062"/>
            </w:tabs>
            <w:jc w:val="both"/>
            <w:rPr>
              <w:rFonts w:eastAsiaTheme="minorEastAsia"/>
              <w:noProof/>
              <w:sz w:val="28"/>
              <w:szCs w:val="28"/>
              <w:lang w:eastAsia="fr-FR"/>
            </w:rPr>
          </w:pPr>
          <w:hyperlink w:anchor="_Toc517349932" w:history="1">
            <w:r w:rsidR="00967210" w:rsidRPr="00136007">
              <w:rPr>
                <w:rStyle w:val="Hyperlink"/>
                <w:noProof/>
                <w:sz w:val="28"/>
                <w:szCs w:val="28"/>
              </w:rPr>
              <w:t>CONTEXTUALISATION</w:t>
            </w:r>
            <w:r w:rsidR="00967210" w:rsidRPr="00136007">
              <w:rPr>
                <w:noProof/>
                <w:webHidden/>
                <w:sz w:val="28"/>
                <w:szCs w:val="28"/>
              </w:rPr>
              <w:tab/>
            </w:r>
            <w:r w:rsidR="008C2D8A">
              <w:rPr>
                <w:noProof/>
                <w:webHidden/>
                <w:sz w:val="28"/>
                <w:szCs w:val="28"/>
              </w:rPr>
              <w:t>4</w:t>
            </w:r>
          </w:hyperlink>
        </w:p>
        <w:p w:rsidR="00967210" w:rsidRPr="00136007" w:rsidRDefault="00DC2457" w:rsidP="00967210">
          <w:pPr>
            <w:pStyle w:val="TOC1"/>
            <w:tabs>
              <w:tab w:val="right" w:leader="dot" w:pos="9062"/>
            </w:tabs>
            <w:jc w:val="both"/>
            <w:rPr>
              <w:rFonts w:eastAsiaTheme="minorEastAsia"/>
              <w:noProof/>
              <w:sz w:val="28"/>
              <w:szCs w:val="28"/>
              <w:lang w:eastAsia="fr-FR"/>
            </w:rPr>
          </w:pPr>
          <w:hyperlink w:anchor="_Toc517349933" w:history="1">
            <w:r w:rsidR="00967210" w:rsidRPr="00136007">
              <w:rPr>
                <w:rStyle w:val="Hyperlink"/>
                <w:noProof/>
                <w:sz w:val="28"/>
                <w:szCs w:val="28"/>
              </w:rPr>
              <w:t>ETAT DES LIEUX DE LA MISE EN ŒUVRE DE LA CONVENTION</w:t>
            </w:r>
            <w:r w:rsidR="00967210" w:rsidRPr="00136007">
              <w:rPr>
                <w:noProof/>
                <w:webHidden/>
                <w:sz w:val="28"/>
                <w:szCs w:val="28"/>
              </w:rPr>
              <w:tab/>
            </w:r>
            <w:r w:rsidR="00BC7D48">
              <w:rPr>
                <w:noProof/>
                <w:webHidden/>
                <w:sz w:val="28"/>
                <w:szCs w:val="28"/>
              </w:rPr>
              <w:t>6</w:t>
            </w:r>
          </w:hyperlink>
        </w:p>
        <w:p w:rsidR="00967210" w:rsidRPr="00136007" w:rsidRDefault="00DC2457" w:rsidP="00967210">
          <w:pPr>
            <w:pStyle w:val="TOC2"/>
            <w:tabs>
              <w:tab w:val="right" w:leader="dot" w:pos="9062"/>
            </w:tabs>
            <w:jc w:val="both"/>
            <w:rPr>
              <w:rFonts w:eastAsiaTheme="minorEastAsia"/>
              <w:noProof/>
              <w:sz w:val="28"/>
              <w:szCs w:val="28"/>
              <w:lang w:eastAsia="fr-FR"/>
            </w:rPr>
          </w:pPr>
          <w:hyperlink w:anchor="_Toc517349934" w:history="1">
            <w:r w:rsidR="00967210" w:rsidRPr="00136007">
              <w:rPr>
                <w:rStyle w:val="Hyperlink"/>
                <w:noProof/>
                <w:sz w:val="28"/>
                <w:szCs w:val="28"/>
              </w:rPr>
              <w:t>Les essentiels :</w:t>
            </w:r>
            <w:r w:rsidR="00967210" w:rsidRPr="00136007">
              <w:rPr>
                <w:noProof/>
                <w:webHidden/>
                <w:sz w:val="28"/>
                <w:szCs w:val="28"/>
              </w:rPr>
              <w:tab/>
            </w:r>
            <w:r w:rsidR="00BC7D48">
              <w:rPr>
                <w:noProof/>
                <w:webHidden/>
                <w:sz w:val="28"/>
                <w:szCs w:val="28"/>
              </w:rPr>
              <w:t>6</w:t>
            </w:r>
          </w:hyperlink>
        </w:p>
        <w:p w:rsidR="00967210" w:rsidRPr="00136007" w:rsidRDefault="00DC2457" w:rsidP="00967210">
          <w:pPr>
            <w:pStyle w:val="TOC3"/>
            <w:tabs>
              <w:tab w:val="right" w:leader="dot" w:pos="9062"/>
            </w:tabs>
            <w:jc w:val="both"/>
            <w:rPr>
              <w:rFonts w:eastAsiaTheme="minorEastAsia"/>
              <w:noProof/>
              <w:sz w:val="28"/>
              <w:szCs w:val="28"/>
              <w:lang w:eastAsia="fr-FR"/>
            </w:rPr>
          </w:pPr>
          <w:hyperlink w:anchor="_Toc517349935" w:history="1">
            <w:r w:rsidR="00967210" w:rsidRPr="00136007">
              <w:rPr>
                <w:rStyle w:val="Hyperlink"/>
                <w:noProof/>
                <w:sz w:val="28"/>
                <w:szCs w:val="28"/>
              </w:rPr>
              <w:t>La Torture</w:t>
            </w:r>
            <w:r w:rsidR="00967210" w:rsidRPr="00136007">
              <w:rPr>
                <w:noProof/>
                <w:webHidden/>
                <w:sz w:val="28"/>
                <w:szCs w:val="28"/>
              </w:rPr>
              <w:tab/>
            </w:r>
            <w:r w:rsidR="00BC7D48">
              <w:rPr>
                <w:noProof/>
                <w:webHidden/>
                <w:sz w:val="28"/>
                <w:szCs w:val="28"/>
              </w:rPr>
              <w:t>6</w:t>
            </w:r>
          </w:hyperlink>
        </w:p>
        <w:p w:rsidR="00967210" w:rsidRPr="00136007" w:rsidRDefault="00DC2457" w:rsidP="00967210">
          <w:pPr>
            <w:pStyle w:val="TOC3"/>
            <w:tabs>
              <w:tab w:val="right" w:leader="dot" w:pos="9062"/>
            </w:tabs>
            <w:jc w:val="both"/>
            <w:rPr>
              <w:rFonts w:eastAsiaTheme="minorEastAsia"/>
              <w:noProof/>
              <w:sz w:val="28"/>
              <w:szCs w:val="28"/>
              <w:lang w:eastAsia="fr-FR"/>
            </w:rPr>
          </w:pPr>
          <w:hyperlink w:anchor="_Toc517349936" w:history="1">
            <w:r w:rsidR="00967210" w:rsidRPr="00136007">
              <w:rPr>
                <w:rStyle w:val="Hyperlink"/>
                <w:noProof/>
                <w:sz w:val="28"/>
                <w:szCs w:val="28"/>
              </w:rPr>
              <w:t>La détention</w:t>
            </w:r>
            <w:r w:rsidR="00967210" w:rsidRPr="00136007">
              <w:rPr>
                <w:noProof/>
                <w:webHidden/>
                <w:sz w:val="28"/>
                <w:szCs w:val="28"/>
              </w:rPr>
              <w:tab/>
            </w:r>
            <w:r w:rsidR="00BC7D48">
              <w:rPr>
                <w:noProof/>
                <w:webHidden/>
                <w:sz w:val="28"/>
                <w:szCs w:val="28"/>
              </w:rPr>
              <w:t>7</w:t>
            </w:r>
          </w:hyperlink>
        </w:p>
        <w:p w:rsidR="00967210" w:rsidRPr="00136007" w:rsidRDefault="00DC2457" w:rsidP="00967210">
          <w:pPr>
            <w:pStyle w:val="TOC3"/>
            <w:tabs>
              <w:tab w:val="right" w:leader="dot" w:pos="9062"/>
            </w:tabs>
            <w:jc w:val="both"/>
            <w:rPr>
              <w:rFonts w:eastAsiaTheme="minorEastAsia"/>
              <w:noProof/>
              <w:sz w:val="28"/>
              <w:szCs w:val="28"/>
              <w:lang w:eastAsia="fr-FR"/>
            </w:rPr>
          </w:pPr>
          <w:hyperlink w:anchor="_Toc517349937" w:history="1">
            <w:r w:rsidR="00967210" w:rsidRPr="00136007">
              <w:rPr>
                <w:rStyle w:val="Hyperlink"/>
                <w:noProof/>
                <w:sz w:val="28"/>
                <w:szCs w:val="28"/>
              </w:rPr>
              <w:t>La violence</w:t>
            </w:r>
            <w:r w:rsidR="00967210" w:rsidRPr="00136007">
              <w:rPr>
                <w:noProof/>
                <w:webHidden/>
                <w:sz w:val="28"/>
                <w:szCs w:val="28"/>
              </w:rPr>
              <w:tab/>
            </w:r>
            <w:r w:rsidR="00BC7D48">
              <w:rPr>
                <w:noProof/>
                <w:webHidden/>
                <w:sz w:val="28"/>
                <w:szCs w:val="28"/>
              </w:rPr>
              <w:t>9</w:t>
            </w:r>
          </w:hyperlink>
        </w:p>
        <w:p w:rsidR="00967210" w:rsidRPr="00136007" w:rsidRDefault="00DC2457" w:rsidP="00967210">
          <w:pPr>
            <w:pStyle w:val="TOC3"/>
            <w:tabs>
              <w:tab w:val="right" w:leader="dot" w:pos="9062"/>
            </w:tabs>
            <w:jc w:val="both"/>
            <w:rPr>
              <w:rFonts w:eastAsiaTheme="minorEastAsia"/>
              <w:noProof/>
              <w:sz w:val="28"/>
              <w:szCs w:val="28"/>
              <w:lang w:eastAsia="fr-FR"/>
            </w:rPr>
          </w:pPr>
          <w:hyperlink w:anchor="_Toc517349938" w:history="1">
            <w:r w:rsidR="00967210" w:rsidRPr="00136007">
              <w:rPr>
                <w:rStyle w:val="Hyperlink"/>
                <w:noProof/>
                <w:sz w:val="28"/>
                <w:szCs w:val="28"/>
              </w:rPr>
              <w:t>Sur la formation préventive</w:t>
            </w:r>
            <w:r w:rsidR="00967210" w:rsidRPr="00136007">
              <w:rPr>
                <w:noProof/>
                <w:webHidden/>
                <w:sz w:val="28"/>
                <w:szCs w:val="28"/>
              </w:rPr>
              <w:tab/>
            </w:r>
            <w:r w:rsidR="00BC7D48">
              <w:rPr>
                <w:noProof/>
                <w:webHidden/>
                <w:sz w:val="28"/>
                <w:szCs w:val="28"/>
              </w:rPr>
              <w:t>9</w:t>
            </w:r>
          </w:hyperlink>
        </w:p>
        <w:p w:rsidR="00967210" w:rsidRPr="00136007" w:rsidRDefault="00DC2457" w:rsidP="00967210">
          <w:pPr>
            <w:pStyle w:val="TOC2"/>
            <w:tabs>
              <w:tab w:val="right" w:leader="dot" w:pos="9062"/>
            </w:tabs>
            <w:jc w:val="both"/>
            <w:rPr>
              <w:rFonts w:eastAsiaTheme="minorEastAsia"/>
              <w:noProof/>
              <w:sz w:val="28"/>
              <w:szCs w:val="28"/>
              <w:lang w:eastAsia="fr-FR"/>
            </w:rPr>
          </w:pPr>
          <w:hyperlink w:anchor="_Toc517349939" w:history="1">
            <w:r w:rsidR="00967210" w:rsidRPr="00136007">
              <w:rPr>
                <w:rStyle w:val="Hyperlink"/>
                <w:noProof/>
                <w:sz w:val="28"/>
                <w:szCs w:val="28"/>
              </w:rPr>
              <w:t xml:space="preserve">Les interrogations persistantes reflétées </w:t>
            </w:r>
            <w:r w:rsidR="00967210">
              <w:rPr>
                <w:rStyle w:val="Hyperlink"/>
                <w:noProof/>
                <w:sz w:val="28"/>
                <w:szCs w:val="28"/>
              </w:rPr>
              <w:t>à</w:t>
            </w:r>
            <w:r w:rsidR="00967210" w:rsidRPr="00136007">
              <w:rPr>
                <w:rStyle w:val="Hyperlink"/>
                <w:noProof/>
                <w:sz w:val="28"/>
                <w:szCs w:val="28"/>
              </w:rPr>
              <w:t xml:space="preserve"> travers le nouveau rapport soumis par l’Etat :</w:t>
            </w:r>
            <w:r w:rsidR="00967210" w:rsidRPr="00136007">
              <w:rPr>
                <w:noProof/>
                <w:webHidden/>
                <w:sz w:val="28"/>
                <w:szCs w:val="28"/>
              </w:rPr>
              <w:tab/>
            </w:r>
            <w:r w:rsidR="00BC7D48">
              <w:rPr>
                <w:noProof/>
                <w:webHidden/>
                <w:sz w:val="28"/>
                <w:szCs w:val="28"/>
              </w:rPr>
              <w:t>9</w:t>
            </w:r>
          </w:hyperlink>
        </w:p>
        <w:p w:rsidR="00967210" w:rsidRPr="00136007" w:rsidRDefault="00DC2457" w:rsidP="00967210">
          <w:pPr>
            <w:pStyle w:val="TOC1"/>
            <w:tabs>
              <w:tab w:val="right" w:leader="dot" w:pos="9062"/>
            </w:tabs>
            <w:jc w:val="both"/>
            <w:rPr>
              <w:rFonts w:eastAsiaTheme="minorEastAsia"/>
              <w:noProof/>
              <w:sz w:val="28"/>
              <w:szCs w:val="28"/>
              <w:lang w:eastAsia="fr-FR"/>
            </w:rPr>
          </w:pPr>
          <w:hyperlink w:anchor="_Toc517349940" w:history="1">
            <w:r w:rsidR="00967210" w:rsidRPr="00136007">
              <w:rPr>
                <w:rStyle w:val="Hyperlink"/>
                <w:noProof/>
                <w:sz w:val="28"/>
                <w:szCs w:val="28"/>
              </w:rPr>
              <w:t>OBSERVATIONS</w:t>
            </w:r>
            <w:r w:rsidR="00967210" w:rsidRPr="00136007">
              <w:rPr>
                <w:noProof/>
                <w:webHidden/>
                <w:sz w:val="28"/>
                <w:szCs w:val="28"/>
              </w:rPr>
              <w:tab/>
            </w:r>
            <w:r w:rsidR="00BC7D48">
              <w:rPr>
                <w:noProof/>
                <w:webHidden/>
                <w:sz w:val="28"/>
                <w:szCs w:val="28"/>
              </w:rPr>
              <w:t>10</w:t>
            </w:r>
          </w:hyperlink>
        </w:p>
        <w:p w:rsidR="00967210" w:rsidRDefault="00967210" w:rsidP="00967210">
          <w:pPr>
            <w:jc w:val="both"/>
          </w:pPr>
          <w:r w:rsidRPr="00136007">
            <w:rPr>
              <w:b/>
              <w:bCs/>
              <w:sz w:val="28"/>
              <w:szCs w:val="28"/>
            </w:rPr>
            <w:fldChar w:fldCharType="end"/>
          </w:r>
        </w:p>
      </w:sdtContent>
    </w:sdt>
    <w:p w:rsidR="00967210" w:rsidRDefault="00967210" w:rsidP="00967210">
      <w:pPr>
        <w:jc w:val="both"/>
      </w:pPr>
    </w:p>
    <w:p w:rsidR="00967210" w:rsidRDefault="00967210" w:rsidP="00967210">
      <w:pPr>
        <w:jc w:val="both"/>
      </w:pPr>
    </w:p>
    <w:p w:rsidR="00967210" w:rsidRDefault="00967210" w:rsidP="00967210">
      <w:pPr>
        <w:jc w:val="both"/>
      </w:pPr>
    </w:p>
    <w:p w:rsidR="00967210" w:rsidRDefault="00967210" w:rsidP="00967210">
      <w:pPr>
        <w:jc w:val="both"/>
      </w:pPr>
    </w:p>
    <w:p w:rsidR="00967210" w:rsidRDefault="00967210" w:rsidP="00967210">
      <w:pPr>
        <w:jc w:val="both"/>
      </w:pPr>
    </w:p>
    <w:p w:rsidR="00967210" w:rsidRDefault="00967210" w:rsidP="00967210">
      <w:pPr>
        <w:jc w:val="both"/>
      </w:pPr>
    </w:p>
    <w:p w:rsidR="00967210" w:rsidRDefault="00967210" w:rsidP="00967210">
      <w:pPr>
        <w:jc w:val="both"/>
      </w:pPr>
    </w:p>
    <w:p w:rsidR="00967210" w:rsidRDefault="00967210" w:rsidP="00967210">
      <w:pPr>
        <w:jc w:val="both"/>
      </w:pPr>
    </w:p>
    <w:p w:rsidR="00D72FAE" w:rsidRDefault="00D72FAE" w:rsidP="00967210">
      <w:pPr>
        <w:pStyle w:val="Heading1"/>
        <w:jc w:val="both"/>
        <w:rPr>
          <w:b/>
        </w:rPr>
      </w:pPr>
      <w:bookmarkStart w:id="2" w:name="_Toc517349931"/>
    </w:p>
    <w:p w:rsidR="00732DCA" w:rsidRDefault="00732DCA" w:rsidP="00732DCA"/>
    <w:p w:rsidR="00732DCA" w:rsidRDefault="00732DCA" w:rsidP="00732DCA"/>
    <w:p w:rsidR="00732DCA" w:rsidRPr="00732DCA" w:rsidRDefault="00732DCA" w:rsidP="00732DCA"/>
    <w:p w:rsidR="00967210" w:rsidRPr="006F6C4C" w:rsidRDefault="00967210" w:rsidP="00967210">
      <w:pPr>
        <w:pStyle w:val="Heading1"/>
        <w:jc w:val="both"/>
        <w:rPr>
          <w:b/>
        </w:rPr>
      </w:pPr>
      <w:r w:rsidRPr="006F6C4C">
        <w:rPr>
          <w:b/>
        </w:rPr>
        <w:t>INTRODUCTION</w:t>
      </w:r>
      <w:bookmarkEnd w:id="2"/>
    </w:p>
    <w:p w:rsidR="00967210" w:rsidRPr="006F6C4C" w:rsidRDefault="00967210" w:rsidP="00967210"/>
    <w:p w:rsidR="00967210" w:rsidRDefault="00967210" w:rsidP="00967210">
      <w:pPr>
        <w:jc w:val="both"/>
        <w:rPr>
          <w:sz w:val="28"/>
          <w:szCs w:val="28"/>
        </w:rPr>
      </w:pPr>
      <w:r w:rsidRPr="005937D4">
        <w:rPr>
          <w:sz w:val="28"/>
          <w:szCs w:val="28"/>
        </w:rPr>
        <w:t xml:space="preserve">Le 29 décembre 2017, le Bénin soumettait son troisième rapport périodique devant le Comité </w:t>
      </w:r>
      <w:r w:rsidRPr="005937D4">
        <w:rPr>
          <w:sz w:val="28"/>
          <w:szCs w:val="28"/>
        </w:rPr>
        <w:lastRenderedPageBreak/>
        <w:t xml:space="preserve">pour l’Abolition de la torture en application à l’article 19 de la Convention </w:t>
      </w:r>
      <w:r w:rsidRPr="005937D4">
        <w:rPr>
          <w:rStyle w:val="FootnoteReference"/>
          <w:sz w:val="28"/>
          <w:szCs w:val="28"/>
        </w:rPr>
        <w:footnoteReference w:id="1"/>
      </w:r>
      <w:r w:rsidRPr="005937D4">
        <w:rPr>
          <w:sz w:val="28"/>
          <w:szCs w:val="28"/>
        </w:rPr>
        <w:t xml:space="preserve">, rapport normalement attendu depuis 2011. L’analyse de ce rapport révèle que la situation n’a pas eu une évolution significative par rapport aux engagements pris par l’Etat en adhérant à la Convention. C’est pour </w:t>
      </w:r>
      <w:r w:rsidRPr="005937D4">
        <w:rPr>
          <w:sz w:val="28"/>
          <w:szCs w:val="28"/>
        </w:rPr>
        <w:lastRenderedPageBreak/>
        <w:t>cette raison que le présent document a pour objectif de mettre l’accent eu égard à la situa</w:t>
      </w:r>
      <w:r w:rsidR="00EB039B">
        <w:rPr>
          <w:sz w:val="28"/>
          <w:szCs w:val="28"/>
        </w:rPr>
        <w:t>tion actuelle qui subsiste au Bé</w:t>
      </w:r>
      <w:r w:rsidRPr="005937D4">
        <w:rPr>
          <w:sz w:val="28"/>
          <w:szCs w:val="28"/>
        </w:rPr>
        <w:t>nin sur les interrogations qui demeurent en la matière.</w:t>
      </w:r>
    </w:p>
    <w:p w:rsidR="00967210" w:rsidRDefault="00967210" w:rsidP="00967210">
      <w:pPr>
        <w:jc w:val="both"/>
        <w:rPr>
          <w:sz w:val="28"/>
          <w:szCs w:val="28"/>
        </w:rPr>
      </w:pPr>
    </w:p>
    <w:p w:rsidR="00967210" w:rsidRPr="005937D4" w:rsidRDefault="00967210" w:rsidP="00967210">
      <w:pPr>
        <w:jc w:val="both"/>
        <w:rPr>
          <w:sz w:val="28"/>
          <w:szCs w:val="28"/>
        </w:rPr>
      </w:pPr>
    </w:p>
    <w:p w:rsidR="00967210" w:rsidRPr="006F6C4C" w:rsidRDefault="00967210" w:rsidP="00967210">
      <w:pPr>
        <w:pStyle w:val="Heading1"/>
        <w:jc w:val="both"/>
        <w:rPr>
          <w:b/>
        </w:rPr>
      </w:pPr>
      <w:bookmarkStart w:id="3" w:name="_Toc517349932"/>
      <w:r w:rsidRPr="006F6C4C">
        <w:rPr>
          <w:b/>
        </w:rPr>
        <w:t>CONTEXTUALISATION</w:t>
      </w:r>
      <w:bookmarkEnd w:id="3"/>
    </w:p>
    <w:p w:rsidR="00967210" w:rsidRPr="006F6C4C" w:rsidRDefault="00967210" w:rsidP="00967210"/>
    <w:p w:rsidR="00967210" w:rsidRPr="005937D4" w:rsidRDefault="00967210" w:rsidP="00967210">
      <w:pPr>
        <w:jc w:val="both"/>
        <w:rPr>
          <w:sz w:val="28"/>
          <w:szCs w:val="28"/>
        </w:rPr>
      </w:pPr>
      <w:r w:rsidRPr="005937D4">
        <w:rPr>
          <w:sz w:val="28"/>
          <w:szCs w:val="28"/>
        </w:rPr>
        <w:t>Ici</w:t>
      </w:r>
      <w:r>
        <w:rPr>
          <w:sz w:val="28"/>
          <w:szCs w:val="28"/>
        </w:rPr>
        <w:t>,</w:t>
      </w:r>
      <w:r w:rsidRPr="005937D4">
        <w:rPr>
          <w:sz w:val="28"/>
          <w:szCs w:val="28"/>
        </w:rPr>
        <w:t xml:space="preserve"> il s’agira de présenter le statut actualisé des différentes ratifications d’une part</w:t>
      </w:r>
      <w:r>
        <w:rPr>
          <w:sz w:val="28"/>
          <w:szCs w:val="28"/>
        </w:rPr>
        <w:t>,</w:t>
      </w:r>
      <w:r w:rsidRPr="005937D4">
        <w:rPr>
          <w:sz w:val="28"/>
          <w:szCs w:val="28"/>
        </w:rPr>
        <w:t xml:space="preserve"> et </w:t>
      </w:r>
      <w:r>
        <w:rPr>
          <w:sz w:val="28"/>
          <w:szCs w:val="28"/>
        </w:rPr>
        <w:t xml:space="preserve">les </w:t>
      </w:r>
      <w:r w:rsidRPr="005937D4">
        <w:rPr>
          <w:sz w:val="28"/>
          <w:szCs w:val="28"/>
        </w:rPr>
        <w:t>obligations de présenter des rapports aux organes de traités d’autre part.</w:t>
      </w:r>
    </w:p>
    <w:p w:rsidR="00967210" w:rsidRPr="005937D4" w:rsidRDefault="00967210" w:rsidP="00967210">
      <w:pPr>
        <w:jc w:val="both"/>
        <w:rPr>
          <w:sz w:val="28"/>
          <w:szCs w:val="28"/>
        </w:rPr>
      </w:pPr>
      <w:r w:rsidRPr="005937D4">
        <w:rPr>
          <w:sz w:val="28"/>
          <w:szCs w:val="28"/>
        </w:rPr>
        <w:t>Ces différents éléments sont présentés dans les tableaux récapitulatifs ci-après :</w:t>
      </w:r>
    </w:p>
    <w:tbl>
      <w:tblPr>
        <w:tblStyle w:val="TableGrid"/>
        <w:tblW w:w="0" w:type="auto"/>
        <w:tblLook w:val="04A0" w:firstRow="1" w:lastRow="0" w:firstColumn="1" w:lastColumn="0" w:noHBand="0" w:noVBand="1"/>
      </w:tblPr>
      <w:tblGrid>
        <w:gridCol w:w="3020"/>
        <w:gridCol w:w="3021"/>
        <w:gridCol w:w="3021"/>
      </w:tblGrid>
      <w:tr w:rsidR="00967210" w:rsidTr="00A21696">
        <w:tc>
          <w:tcPr>
            <w:tcW w:w="3020" w:type="dxa"/>
          </w:tcPr>
          <w:p w:rsidR="00967210" w:rsidRDefault="00967210" w:rsidP="00A21696">
            <w:pPr>
              <w:jc w:val="both"/>
            </w:pPr>
            <w:r>
              <w:rPr>
                <w:rFonts w:ascii="Arial" w:hAnsi="Arial" w:cs="Arial"/>
                <w:b/>
                <w:bCs/>
              </w:rPr>
              <w:t>Convention</w:t>
            </w:r>
          </w:p>
        </w:tc>
        <w:tc>
          <w:tcPr>
            <w:tcW w:w="3021" w:type="dxa"/>
          </w:tcPr>
          <w:p w:rsidR="00967210" w:rsidRDefault="00967210" w:rsidP="00A21696">
            <w:pPr>
              <w:jc w:val="both"/>
            </w:pPr>
            <w:r>
              <w:rPr>
                <w:rFonts w:ascii="Arial" w:hAnsi="Arial" w:cs="Arial"/>
                <w:b/>
                <w:bCs/>
              </w:rPr>
              <w:t>Signature</w:t>
            </w:r>
          </w:p>
        </w:tc>
        <w:tc>
          <w:tcPr>
            <w:tcW w:w="3021" w:type="dxa"/>
          </w:tcPr>
          <w:p w:rsidR="00967210" w:rsidRDefault="00967210" w:rsidP="00A21696">
            <w:pPr>
              <w:autoSpaceDE w:val="0"/>
              <w:autoSpaceDN w:val="0"/>
              <w:adjustRightInd w:val="0"/>
              <w:jc w:val="both"/>
              <w:rPr>
                <w:rFonts w:ascii="Arial" w:hAnsi="Arial" w:cs="Arial"/>
                <w:b/>
                <w:bCs/>
              </w:rPr>
            </w:pPr>
            <w:r>
              <w:rPr>
                <w:rFonts w:ascii="Arial" w:hAnsi="Arial" w:cs="Arial"/>
                <w:b/>
                <w:bCs/>
              </w:rPr>
              <w:t>Entrée en vigueur</w:t>
            </w:r>
          </w:p>
          <w:p w:rsidR="00967210" w:rsidRDefault="00967210" w:rsidP="00A21696">
            <w:pPr>
              <w:jc w:val="both"/>
            </w:pPr>
          </w:p>
        </w:tc>
      </w:tr>
      <w:tr w:rsidR="00967210" w:rsidTr="00A21696">
        <w:tc>
          <w:tcPr>
            <w:tcW w:w="3020" w:type="dxa"/>
          </w:tcPr>
          <w:p w:rsidR="00967210" w:rsidRPr="00D31937" w:rsidRDefault="00967210" w:rsidP="00A21696">
            <w:pPr>
              <w:jc w:val="both"/>
            </w:pPr>
            <w:r>
              <w:rPr>
                <w:rFonts w:ascii="Arial" w:hAnsi="Arial" w:cs="Arial"/>
                <w:b/>
                <w:bCs/>
              </w:rPr>
              <w:t>CAT (</w:t>
            </w:r>
            <w:r>
              <w:rPr>
                <w:rFonts w:ascii="Arial" w:hAnsi="Arial" w:cs="Arial"/>
                <w:bCs/>
              </w:rPr>
              <w:t>art 21,22)</w:t>
            </w:r>
          </w:p>
        </w:tc>
        <w:tc>
          <w:tcPr>
            <w:tcW w:w="3021" w:type="dxa"/>
          </w:tcPr>
          <w:p w:rsidR="00967210" w:rsidRDefault="00967210" w:rsidP="00A21696">
            <w:pPr>
              <w:jc w:val="both"/>
            </w:pPr>
            <w:r>
              <w:rPr>
                <w:rFonts w:ascii="Arial" w:hAnsi="Arial" w:cs="Arial"/>
              </w:rPr>
              <w:t>12/03/1992</w:t>
            </w:r>
          </w:p>
        </w:tc>
        <w:tc>
          <w:tcPr>
            <w:tcW w:w="3021" w:type="dxa"/>
          </w:tcPr>
          <w:p w:rsidR="00967210" w:rsidRDefault="00967210" w:rsidP="00A21696">
            <w:pPr>
              <w:autoSpaceDE w:val="0"/>
              <w:autoSpaceDN w:val="0"/>
              <w:adjustRightInd w:val="0"/>
              <w:jc w:val="both"/>
              <w:rPr>
                <w:rFonts w:ascii="Arial" w:hAnsi="Arial" w:cs="Arial"/>
              </w:rPr>
            </w:pPr>
            <w:r>
              <w:rPr>
                <w:rFonts w:ascii="Arial" w:hAnsi="Arial" w:cs="Arial"/>
              </w:rPr>
              <w:t>12/04/1992</w:t>
            </w:r>
          </w:p>
          <w:p w:rsidR="00967210" w:rsidRDefault="00967210" w:rsidP="00A21696">
            <w:pPr>
              <w:jc w:val="both"/>
            </w:pPr>
          </w:p>
        </w:tc>
      </w:tr>
      <w:tr w:rsidR="00967210" w:rsidTr="00A21696">
        <w:tc>
          <w:tcPr>
            <w:tcW w:w="3020" w:type="dxa"/>
          </w:tcPr>
          <w:p w:rsidR="00967210" w:rsidRPr="00D31937" w:rsidRDefault="00967210" w:rsidP="00A21696">
            <w:pPr>
              <w:jc w:val="both"/>
            </w:pPr>
            <w:r w:rsidRPr="00974D26">
              <w:rPr>
                <w:rFonts w:ascii="Arial" w:hAnsi="Arial" w:cs="Arial"/>
                <w:b/>
                <w:bCs/>
                <w:lang w:val="en-US"/>
              </w:rPr>
              <w:t xml:space="preserve">CAT </w:t>
            </w:r>
            <w:r>
              <w:rPr>
                <w:rFonts w:ascii="Arial" w:hAnsi="Arial" w:cs="Arial"/>
                <w:b/>
                <w:bCs/>
                <w:lang w:val="en-US"/>
              </w:rPr>
              <w:t>–</w:t>
            </w:r>
            <w:r w:rsidRPr="00974D26">
              <w:rPr>
                <w:rFonts w:ascii="Arial" w:hAnsi="Arial" w:cs="Arial"/>
                <w:b/>
                <w:bCs/>
                <w:lang w:val="en-US"/>
              </w:rPr>
              <w:t xml:space="preserve"> OPT</w:t>
            </w:r>
            <w:r>
              <w:rPr>
                <w:rFonts w:ascii="Arial" w:hAnsi="Arial" w:cs="Arial"/>
                <w:b/>
                <w:bCs/>
                <w:lang w:val="en-US"/>
              </w:rPr>
              <w:t xml:space="preserve"> (</w:t>
            </w:r>
            <w:r>
              <w:rPr>
                <w:rFonts w:ascii="Arial" w:hAnsi="Arial" w:cs="Arial"/>
                <w:bCs/>
                <w:lang w:val="en-US"/>
              </w:rPr>
              <w:t>art 24)</w:t>
            </w:r>
          </w:p>
        </w:tc>
        <w:tc>
          <w:tcPr>
            <w:tcW w:w="3021" w:type="dxa"/>
          </w:tcPr>
          <w:p w:rsidR="00967210" w:rsidRDefault="00967210" w:rsidP="00A21696">
            <w:pPr>
              <w:jc w:val="both"/>
            </w:pPr>
            <w:r w:rsidRPr="00974D26">
              <w:rPr>
                <w:rFonts w:ascii="Arial" w:hAnsi="Arial" w:cs="Arial"/>
                <w:lang w:val="en-US"/>
              </w:rPr>
              <w:t>20/09/2006</w:t>
            </w:r>
          </w:p>
        </w:tc>
        <w:tc>
          <w:tcPr>
            <w:tcW w:w="3021" w:type="dxa"/>
          </w:tcPr>
          <w:p w:rsidR="00967210" w:rsidRPr="00974D26" w:rsidRDefault="00967210" w:rsidP="00A21696">
            <w:pPr>
              <w:autoSpaceDE w:val="0"/>
              <w:autoSpaceDN w:val="0"/>
              <w:adjustRightInd w:val="0"/>
              <w:jc w:val="both"/>
              <w:rPr>
                <w:rFonts w:ascii="Arial" w:hAnsi="Arial" w:cs="Arial"/>
                <w:lang w:val="en-US"/>
              </w:rPr>
            </w:pPr>
            <w:r w:rsidRPr="00974D26">
              <w:rPr>
                <w:rFonts w:ascii="Arial" w:hAnsi="Arial" w:cs="Arial"/>
                <w:lang w:val="en-US"/>
              </w:rPr>
              <w:t>20/10/2006</w:t>
            </w:r>
          </w:p>
          <w:p w:rsidR="00967210" w:rsidRDefault="00967210" w:rsidP="00A21696">
            <w:pPr>
              <w:jc w:val="both"/>
            </w:pPr>
          </w:p>
        </w:tc>
      </w:tr>
      <w:tr w:rsidR="00967210" w:rsidTr="00A21696">
        <w:tc>
          <w:tcPr>
            <w:tcW w:w="3020" w:type="dxa"/>
          </w:tcPr>
          <w:p w:rsidR="00967210" w:rsidRPr="00D31937" w:rsidRDefault="00967210" w:rsidP="00A21696">
            <w:pPr>
              <w:jc w:val="both"/>
            </w:pPr>
            <w:r w:rsidRPr="00D31937">
              <w:rPr>
                <w:rFonts w:ascii="Arial" w:hAnsi="Arial" w:cs="Arial"/>
                <w:b/>
                <w:bCs/>
              </w:rPr>
              <w:t>CCPR+ 1er Prot et 2è</w:t>
            </w:r>
            <w:r>
              <w:rPr>
                <w:rFonts w:ascii="Arial" w:hAnsi="Arial" w:cs="Arial"/>
                <w:b/>
                <w:bCs/>
              </w:rPr>
              <w:t xml:space="preserve"> Prot</w:t>
            </w:r>
          </w:p>
        </w:tc>
        <w:tc>
          <w:tcPr>
            <w:tcW w:w="3021" w:type="dxa"/>
          </w:tcPr>
          <w:p w:rsidR="00967210" w:rsidRDefault="00967210" w:rsidP="00A21696">
            <w:pPr>
              <w:jc w:val="both"/>
            </w:pPr>
            <w:r w:rsidRPr="00974D26">
              <w:rPr>
                <w:rFonts w:ascii="Arial" w:hAnsi="Arial" w:cs="Arial"/>
                <w:lang w:val="en-US"/>
              </w:rPr>
              <w:t>12/03/1992</w:t>
            </w:r>
          </w:p>
        </w:tc>
        <w:tc>
          <w:tcPr>
            <w:tcW w:w="3021" w:type="dxa"/>
          </w:tcPr>
          <w:p w:rsidR="00967210" w:rsidRPr="00974D26" w:rsidRDefault="00967210" w:rsidP="00A21696">
            <w:pPr>
              <w:autoSpaceDE w:val="0"/>
              <w:autoSpaceDN w:val="0"/>
              <w:adjustRightInd w:val="0"/>
              <w:jc w:val="both"/>
              <w:rPr>
                <w:rFonts w:ascii="Arial" w:hAnsi="Arial" w:cs="Arial"/>
                <w:lang w:val="en-US"/>
              </w:rPr>
            </w:pPr>
            <w:r w:rsidRPr="00974D26">
              <w:rPr>
                <w:rFonts w:ascii="Arial" w:hAnsi="Arial" w:cs="Arial"/>
                <w:lang w:val="en-US"/>
              </w:rPr>
              <w:t>12/06/1992</w:t>
            </w:r>
          </w:p>
          <w:p w:rsidR="00967210" w:rsidRDefault="00967210" w:rsidP="00A21696">
            <w:pPr>
              <w:jc w:val="both"/>
            </w:pPr>
          </w:p>
        </w:tc>
      </w:tr>
      <w:tr w:rsidR="00967210" w:rsidTr="00A21696">
        <w:tc>
          <w:tcPr>
            <w:tcW w:w="3020" w:type="dxa"/>
          </w:tcPr>
          <w:p w:rsidR="00967210" w:rsidRDefault="00967210" w:rsidP="00A21696">
            <w:pPr>
              <w:tabs>
                <w:tab w:val="center" w:pos="1402"/>
              </w:tabs>
              <w:jc w:val="both"/>
            </w:pPr>
            <w:r w:rsidRPr="00974D26">
              <w:rPr>
                <w:rFonts w:ascii="Arial" w:hAnsi="Arial" w:cs="Arial"/>
                <w:b/>
                <w:bCs/>
                <w:lang w:val="en-US"/>
              </w:rPr>
              <w:t>CEDAW</w:t>
            </w:r>
            <w:r>
              <w:rPr>
                <w:rFonts w:ascii="Arial" w:hAnsi="Arial" w:cs="Arial"/>
                <w:b/>
                <w:bCs/>
                <w:lang w:val="en-US"/>
              </w:rPr>
              <w:tab/>
              <w:t xml:space="preserve"> (art 20)</w:t>
            </w:r>
          </w:p>
        </w:tc>
        <w:tc>
          <w:tcPr>
            <w:tcW w:w="3021" w:type="dxa"/>
          </w:tcPr>
          <w:p w:rsidR="00967210" w:rsidRDefault="00967210" w:rsidP="00A21696">
            <w:pPr>
              <w:jc w:val="both"/>
            </w:pPr>
            <w:r w:rsidRPr="00974D26">
              <w:rPr>
                <w:rFonts w:ascii="Arial" w:hAnsi="Arial" w:cs="Arial"/>
                <w:lang w:val="en-US"/>
              </w:rPr>
              <w:t>12/03/1992</w:t>
            </w:r>
          </w:p>
        </w:tc>
        <w:tc>
          <w:tcPr>
            <w:tcW w:w="3021" w:type="dxa"/>
          </w:tcPr>
          <w:p w:rsidR="00967210" w:rsidRPr="00974D26" w:rsidRDefault="00967210" w:rsidP="00A21696">
            <w:pPr>
              <w:autoSpaceDE w:val="0"/>
              <w:autoSpaceDN w:val="0"/>
              <w:adjustRightInd w:val="0"/>
              <w:jc w:val="both"/>
              <w:rPr>
                <w:rFonts w:ascii="Arial" w:hAnsi="Arial" w:cs="Arial"/>
                <w:lang w:val="en-US"/>
              </w:rPr>
            </w:pPr>
            <w:r w:rsidRPr="00974D26">
              <w:rPr>
                <w:rFonts w:ascii="Arial" w:hAnsi="Arial" w:cs="Arial"/>
                <w:lang w:val="en-US"/>
              </w:rPr>
              <w:t>12/04/1992</w:t>
            </w:r>
          </w:p>
          <w:p w:rsidR="00967210" w:rsidRDefault="00967210" w:rsidP="00A21696">
            <w:pPr>
              <w:jc w:val="both"/>
            </w:pPr>
          </w:p>
        </w:tc>
      </w:tr>
      <w:tr w:rsidR="00967210" w:rsidTr="00A21696">
        <w:tc>
          <w:tcPr>
            <w:tcW w:w="3020" w:type="dxa"/>
          </w:tcPr>
          <w:p w:rsidR="00967210" w:rsidRDefault="00967210" w:rsidP="00A21696">
            <w:pPr>
              <w:jc w:val="both"/>
            </w:pPr>
            <w:r w:rsidRPr="00974D26">
              <w:rPr>
                <w:rFonts w:ascii="Arial" w:hAnsi="Arial" w:cs="Arial"/>
                <w:lang w:val="en-US"/>
              </w:rPr>
              <w:t>Protocole additionnel</w:t>
            </w:r>
            <w:r>
              <w:rPr>
                <w:rFonts w:ascii="Arial" w:hAnsi="Arial" w:cs="Arial"/>
                <w:lang w:val="en-US"/>
              </w:rPr>
              <w:t xml:space="preserve"> CEDAW</w:t>
            </w:r>
          </w:p>
        </w:tc>
        <w:tc>
          <w:tcPr>
            <w:tcW w:w="3021" w:type="dxa"/>
          </w:tcPr>
          <w:p w:rsidR="00967210" w:rsidRDefault="00967210" w:rsidP="00A21696">
            <w:pPr>
              <w:jc w:val="both"/>
            </w:pPr>
            <w:r w:rsidRPr="00974D26">
              <w:rPr>
                <w:rFonts w:ascii="Arial" w:hAnsi="Arial" w:cs="Arial"/>
                <w:lang w:val="en-US"/>
              </w:rPr>
              <w:t>25/05/2003</w:t>
            </w:r>
            <w:r>
              <w:rPr>
                <w:rStyle w:val="FootnoteReference"/>
                <w:rFonts w:ascii="Arial" w:hAnsi="Arial" w:cs="Arial"/>
                <w:lang w:val="en-US"/>
              </w:rPr>
              <w:footnoteReference w:id="2"/>
            </w:r>
          </w:p>
        </w:tc>
        <w:tc>
          <w:tcPr>
            <w:tcW w:w="3021" w:type="dxa"/>
          </w:tcPr>
          <w:p w:rsidR="00967210" w:rsidRDefault="00967210" w:rsidP="00A21696">
            <w:pPr>
              <w:jc w:val="both"/>
            </w:pPr>
            <w:r>
              <w:t>//</w:t>
            </w:r>
          </w:p>
        </w:tc>
      </w:tr>
      <w:tr w:rsidR="00967210" w:rsidTr="00A21696">
        <w:tc>
          <w:tcPr>
            <w:tcW w:w="3020" w:type="dxa"/>
          </w:tcPr>
          <w:p w:rsidR="00967210" w:rsidRDefault="00967210" w:rsidP="00A21696">
            <w:pPr>
              <w:jc w:val="both"/>
            </w:pPr>
            <w:r w:rsidRPr="00974D26">
              <w:rPr>
                <w:rFonts w:ascii="Arial" w:hAnsi="Arial" w:cs="Arial"/>
                <w:b/>
                <w:bCs/>
                <w:lang w:val="en-US"/>
              </w:rPr>
              <w:t>CERD</w:t>
            </w:r>
            <w:r>
              <w:rPr>
                <w:rFonts w:ascii="Arial" w:hAnsi="Arial" w:cs="Arial"/>
                <w:b/>
                <w:bCs/>
                <w:lang w:val="en-US"/>
              </w:rPr>
              <w:t xml:space="preserve"> (art 8, art 14)</w:t>
            </w:r>
          </w:p>
        </w:tc>
        <w:tc>
          <w:tcPr>
            <w:tcW w:w="3021" w:type="dxa"/>
          </w:tcPr>
          <w:p w:rsidR="00967210" w:rsidRDefault="00967210" w:rsidP="00A21696">
            <w:pPr>
              <w:jc w:val="both"/>
            </w:pPr>
            <w:r w:rsidRPr="00974D26">
              <w:rPr>
                <w:rFonts w:ascii="Arial" w:hAnsi="Arial" w:cs="Arial"/>
                <w:lang w:val="en-US"/>
              </w:rPr>
              <w:t>30/11/2001</w:t>
            </w:r>
          </w:p>
        </w:tc>
        <w:tc>
          <w:tcPr>
            <w:tcW w:w="3021" w:type="dxa"/>
          </w:tcPr>
          <w:p w:rsidR="00967210" w:rsidRPr="00974D26" w:rsidRDefault="00967210" w:rsidP="00A21696">
            <w:pPr>
              <w:autoSpaceDE w:val="0"/>
              <w:autoSpaceDN w:val="0"/>
              <w:adjustRightInd w:val="0"/>
              <w:jc w:val="both"/>
              <w:rPr>
                <w:rFonts w:ascii="Arial" w:hAnsi="Arial" w:cs="Arial"/>
                <w:lang w:val="en-US"/>
              </w:rPr>
            </w:pPr>
            <w:r w:rsidRPr="00974D26">
              <w:rPr>
                <w:rFonts w:ascii="Arial" w:hAnsi="Arial" w:cs="Arial"/>
                <w:lang w:val="en-US"/>
              </w:rPr>
              <w:t>30/12/2001</w:t>
            </w:r>
          </w:p>
          <w:p w:rsidR="00967210" w:rsidRDefault="00967210" w:rsidP="00A21696">
            <w:pPr>
              <w:jc w:val="both"/>
            </w:pPr>
          </w:p>
        </w:tc>
      </w:tr>
      <w:tr w:rsidR="00967210" w:rsidTr="00A21696">
        <w:tc>
          <w:tcPr>
            <w:tcW w:w="3020" w:type="dxa"/>
          </w:tcPr>
          <w:p w:rsidR="00967210" w:rsidRDefault="00967210" w:rsidP="00A21696">
            <w:pPr>
              <w:jc w:val="both"/>
            </w:pPr>
            <w:r w:rsidRPr="00974D26">
              <w:rPr>
                <w:rFonts w:ascii="Arial" w:hAnsi="Arial" w:cs="Arial"/>
                <w:b/>
                <w:bCs/>
                <w:lang w:val="en-US"/>
              </w:rPr>
              <w:lastRenderedPageBreak/>
              <w:t>CESCR</w:t>
            </w:r>
            <w:r>
              <w:rPr>
                <w:rFonts w:ascii="Arial" w:hAnsi="Arial" w:cs="Arial"/>
                <w:b/>
                <w:bCs/>
                <w:lang w:val="en-US"/>
              </w:rPr>
              <w:t xml:space="preserve"> </w:t>
            </w:r>
            <w:r w:rsidRPr="00974D26">
              <w:rPr>
                <w:rFonts w:ascii="Arial" w:hAnsi="Arial" w:cs="Arial"/>
                <w:lang w:val="en-US"/>
              </w:rPr>
              <w:t>(réserve – article 13(2)</w:t>
            </w:r>
          </w:p>
        </w:tc>
        <w:tc>
          <w:tcPr>
            <w:tcW w:w="3021" w:type="dxa"/>
          </w:tcPr>
          <w:p w:rsidR="00967210" w:rsidRDefault="00967210" w:rsidP="00A21696">
            <w:pPr>
              <w:jc w:val="both"/>
            </w:pPr>
            <w:r w:rsidRPr="00974D26">
              <w:rPr>
                <w:rFonts w:ascii="Arial" w:hAnsi="Arial" w:cs="Arial"/>
                <w:lang w:val="en-US"/>
              </w:rPr>
              <w:t>12/03/1992</w:t>
            </w:r>
          </w:p>
        </w:tc>
        <w:tc>
          <w:tcPr>
            <w:tcW w:w="3021" w:type="dxa"/>
          </w:tcPr>
          <w:p w:rsidR="00967210" w:rsidRPr="00974D26" w:rsidRDefault="00967210" w:rsidP="00A21696">
            <w:pPr>
              <w:autoSpaceDE w:val="0"/>
              <w:autoSpaceDN w:val="0"/>
              <w:adjustRightInd w:val="0"/>
              <w:jc w:val="both"/>
              <w:rPr>
                <w:rFonts w:ascii="Arial" w:hAnsi="Arial" w:cs="Arial"/>
                <w:lang w:val="en-US"/>
              </w:rPr>
            </w:pPr>
            <w:r w:rsidRPr="00974D26">
              <w:rPr>
                <w:rFonts w:ascii="Arial" w:hAnsi="Arial" w:cs="Arial"/>
                <w:lang w:val="en-US"/>
              </w:rPr>
              <w:t>12/06/1992</w:t>
            </w:r>
          </w:p>
          <w:p w:rsidR="00967210" w:rsidRDefault="00967210" w:rsidP="00A21696">
            <w:pPr>
              <w:jc w:val="both"/>
            </w:pPr>
          </w:p>
        </w:tc>
      </w:tr>
      <w:tr w:rsidR="00967210" w:rsidTr="00A21696">
        <w:tc>
          <w:tcPr>
            <w:tcW w:w="3020" w:type="dxa"/>
          </w:tcPr>
          <w:p w:rsidR="00967210" w:rsidRPr="00974D26" w:rsidRDefault="00967210" w:rsidP="00A21696">
            <w:pPr>
              <w:jc w:val="both"/>
              <w:rPr>
                <w:rFonts w:ascii="Arial" w:hAnsi="Arial" w:cs="Arial"/>
                <w:b/>
                <w:bCs/>
                <w:lang w:val="en-US"/>
              </w:rPr>
            </w:pPr>
            <w:r>
              <w:rPr>
                <w:rFonts w:ascii="Arial" w:hAnsi="Arial" w:cs="Arial"/>
                <w:b/>
                <w:bCs/>
              </w:rPr>
              <w:t>CMW</w:t>
            </w:r>
          </w:p>
        </w:tc>
        <w:tc>
          <w:tcPr>
            <w:tcW w:w="3021" w:type="dxa"/>
          </w:tcPr>
          <w:p w:rsidR="00967210" w:rsidRDefault="00967210" w:rsidP="00A21696">
            <w:pPr>
              <w:autoSpaceDE w:val="0"/>
              <w:autoSpaceDN w:val="0"/>
              <w:adjustRightInd w:val="0"/>
              <w:jc w:val="both"/>
              <w:rPr>
                <w:rFonts w:ascii="Arial" w:hAnsi="Arial" w:cs="Arial"/>
                <w:sz w:val="14"/>
                <w:szCs w:val="14"/>
              </w:rPr>
            </w:pPr>
            <w:r>
              <w:rPr>
                <w:rFonts w:ascii="Arial" w:hAnsi="Arial" w:cs="Arial"/>
              </w:rPr>
              <w:t>15/09/2006</w:t>
            </w:r>
            <w:r>
              <w:rPr>
                <w:rStyle w:val="FootnoteReference"/>
                <w:rFonts w:ascii="Arial" w:hAnsi="Arial" w:cs="Arial"/>
              </w:rPr>
              <w:footnoteReference w:id="3"/>
            </w:r>
          </w:p>
          <w:p w:rsidR="00967210" w:rsidRDefault="00967210" w:rsidP="00A21696">
            <w:pPr>
              <w:jc w:val="both"/>
            </w:pPr>
          </w:p>
        </w:tc>
        <w:tc>
          <w:tcPr>
            <w:tcW w:w="3021" w:type="dxa"/>
          </w:tcPr>
          <w:p w:rsidR="00967210" w:rsidRDefault="00967210" w:rsidP="00A21696">
            <w:pPr>
              <w:jc w:val="both"/>
            </w:pPr>
          </w:p>
        </w:tc>
      </w:tr>
      <w:tr w:rsidR="00967210" w:rsidTr="00A21696">
        <w:tc>
          <w:tcPr>
            <w:tcW w:w="3020" w:type="dxa"/>
          </w:tcPr>
          <w:p w:rsidR="00967210" w:rsidRPr="00974D26" w:rsidRDefault="00967210" w:rsidP="00A21696">
            <w:pPr>
              <w:jc w:val="both"/>
              <w:rPr>
                <w:rFonts w:ascii="Arial" w:hAnsi="Arial" w:cs="Arial"/>
                <w:b/>
                <w:bCs/>
                <w:lang w:val="en-US"/>
              </w:rPr>
            </w:pPr>
            <w:r>
              <w:rPr>
                <w:rFonts w:ascii="Arial" w:hAnsi="Arial" w:cs="Arial"/>
                <w:b/>
                <w:bCs/>
              </w:rPr>
              <w:t>CRC</w:t>
            </w:r>
          </w:p>
        </w:tc>
        <w:tc>
          <w:tcPr>
            <w:tcW w:w="3021" w:type="dxa"/>
          </w:tcPr>
          <w:p w:rsidR="00967210" w:rsidRDefault="00967210" w:rsidP="00A21696">
            <w:pPr>
              <w:jc w:val="both"/>
            </w:pPr>
            <w:r>
              <w:rPr>
                <w:rFonts w:ascii="Arial" w:hAnsi="Arial" w:cs="Arial"/>
              </w:rPr>
              <w:t>30/08/1990</w:t>
            </w:r>
          </w:p>
        </w:tc>
        <w:tc>
          <w:tcPr>
            <w:tcW w:w="3021" w:type="dxa"/>
          </w:tcPr>
          <w:p w:rsidR="00967210" w:rsidRDefault="00967210" w:rsidP="00A21696">
            <w:pPr>
              <w:autoSpaceDE w:val="0"/>
              <w:autoSpaceDN w:val="0"/>
              <w:adjustRightInd w:val="0"/>
              <w:jc w:val="both"/>
              <w:rPr>
                <w:rFonts w:ascii="Arial" w:hAnsi="Arial" w:cs="Arial"/>
              </w:rPr>
            </w:pPr>
            <w:r>
              <w:rPr>
                <w:rFonts w:ascii="Arial" w:hAnsi="Arial" w:cs="Arial"/>
              </w:rPr>
              <w:t>02/09/1990</w:t>
            </w:r>
          </w:p>
          <w:p w:rsidR="00967210" w:rsidRDefault="00967210" w:rsidP="00A21696">
            <w:pPr>
              <w:jc w:val="both"/>
            </w:pPr>
          </w:p>
        </w:tc>
      </w:tr>
      <w:tr w:rsidR="00967210" w:rsidTr="00A21696">
        <w:tc>
          <w:tcPr>
            <w:tcW w:w="3020" w:type="dxa"/>
          </w:tcPr>
          <w:p w:rsidR="00967210" w:rsidRPr="00974D26" w:rsidRDefault="00967210" w:rsidP="00A21696">
            <w:pPr>
              <w:jc w:val="both"/>
              <w:rPr>
                <w:rFonts w:ascii="Arial" w:hAnsi="Arial" w:cs="Arial"/>
                <w:b/>
                <w:bCs/>
                <w:lang w:val="en-US"/>
              </w:rPr>
            </w:pPr>
            <w:r>
              <w:rPr>
                <w:rFonts w:ascii="Arial" w:hAnsi="Arial" w:cs="Arial"/>
              </w:rPr>
              <w:t>1</w:t>
            </w:r>
            <w:r>
              <w:rPr>
                <w:rFonts w:ascii="Arial" w:hAnsi="Arial" w:cs="Arial"/>
                <w:sz w:val="14"/>
                <w:szCs w:val="14"/>
              </w:rPr>
              <w:t xml:space="preserve">er </w:t>
            </w:r>
            <w:r>
              <w:rPr>
                <w:rFonts w:ascii="Arial" w:hAnsi="Arial" w:cs="Arial"/>
              </w:rPr>
              <w:t>Protocole additionnel- AC</w:t>
            </w:r>
          </w:p>
        </w:tc>
        <w:tc>
          <w:tcPr>
            <w:tcW w:w="3021" w:type="dxa"/>
          </w:tcPr>
          <w:p w:rsidR="00967210" w:rsidRDefault="00967210" w:rsidP="00A21696">
            <w:pPr>
              <w:jc w:val="both"/>
            </w:pPr>
            <w:r>
              <w:rPr>
                <w:rFonts w:ascii="Arial" w:hAnsi="Arial" w:cs="Arial"/>
              </w:rPr>
              <w:t>31/01/2005</w:t>
            </w:r>
          </w:p>
        </w:tc>
        <w:tc>
          <w:tcPr>
            <w:tcW w:w="3021" w:type="dxa"/>
          </w:tcPr>
          <w:p w:rsidR="00967210" w:rsidRDefault="00967210" w:rsidP="00A21696">
            <w:pPr>
              <w:autoSpaceDE w:val="0"/>
              <w:autoSpaceDN w:val="0"/>
              <w:adjustRightInd w:val="0"/>
              <w:jc w:val="both"/>
              <w:rPr>
                <w:rFonts w:ascii="Arial" w:hAnsi="Arial" w:cs="Arial"/>
              </w:rPr>
            </w:pPr>
            <w:r>
              <w:rPr>
                <w:rFonts w:ascii="Arial" w:hAnsi="Arial" w:cs="Arial"/>
              </w:rPr>
              <w:t>01/03/2005</w:t>
            </w:r>
          </w:p>
          <w:p w:rsidR="00967210" w:rsidRDefault="00967210" w:rsidP="00A21696">
            <w:pPr>
              <w:jc w:val="both"/>
            </w:pPr>
          </w:p>
        </w:tc>
      </w:tr>
      <w:tr w:rsidR="00967210" w:rsidTr="00A21696">
        <w:tc>
          <w:tcPr>
            <w:tcW w:w="3020" w:type="dxa"/>
          </w:tcPr>
          <w:p w:rsidR="00967210" w:rsidRPr="00974D26" w:rsidRDefault="00967210" w:rsidP="00A21696">
            <w:pPr>
              <w:jc w:val="both"/>
              <w:rPr>
                <w:rFonts w:ascii="Arial" w:hAnsi="Arial" w:cs="Arial"/>
                <w:b/>
                <w:bCs/>
                <w:lang w:val="en-US"/>
              </w:rPr>
            </w:pPr>
            <w:r>
              <w:rPr>
                <w:rFonts w:ascii="Arial" w:hAnsi="Arial" w:cs="Arial"/>
              </w:rPr>
              <w:t>2</w:t>
            </w:r>
            <w:r>
              <w:rPr>
                <w:rFonts w:ascii="Arial" w:hAnsi="Arial" w:cs="Arial"/>
                <w:sz w:val="14"/>
                <w:szCs w:val="14"/>
              </w:rPr>
              <w:t xml:space="preserve">e </w:t>
            </w:r>
            <w:r>
              <w:rPr>
                <w:rFonts w:ascii="Arial" w:hAnsi="Arial" w:cs="Arial"/>
              </w:rPr>
              <w:t>Protocole additionnel - SC</w:t>
            </w:r>
          </w:p>
        </w:tc>
        <w:tc>
          <w:tcPr>
            <w:tcW w:w="3021" w:type="dxa"/>
          </w:tcPr>
          <w:p w:rsidR="00967210" w:rsidRDefault="00967210" w:rsidP="00A21696">
            <w:pPr>
              <w:jc w:val="both"/>
            </w:pPr>
            <w:r>
              <w:rPr>
                <w:rFonts w:ascii="Arial" w:hAnsi="Arial" w:cs="Arial"/>
              </w:rPr>
              <w:t>31/01/2005</w:t>
            </w:r>
          </w:p>
        </w:tc>
        <w:tc>
          <w:tcPr>
            <w:tcW w:w="3021" w:type="dxa"/>
          </w:tcPr>
          <w:p w:rsidR="00967210" w:rsidRDefault="00967210" w:rsidP="00A21696">
            <w:pPr>
              <w:jc w:val="both"/>
            </w:pPr>
            <w:r>
              <w:rPr>
                <w:rFonts w:ascii="Arial" w:hAnsi="Arial" w:cs="Arial"/>
              </w:rPr>
              <w:t>01/03/2005</w:t>
            </w:r>
          </w:p>
          <w:p w:rsidR="00967210" w:rsidRDefault="00967210" w:rsidP="00A21696">
            <w:pPr>
              <w:jc w:val="both"/>
            </w:pPr>
          </w:p>
        </w:tc>
      </w:tr>
    </w:tbl>
    <w:p w:rsidR="00967210" w:rsidRDefault="00967210" w:rsidP="00967210">
      <w:pPr>
        <w:autoSpaceDE w:val="0"/>
        <w:autoSpaceDN w:val="0"/>
        <w:adjustRightInd w:val="0"/>
        <w:spacing w:after="0" w:line="240" w:lineRule="auto"/>
        <w:jc w:val="both"/>
        <w:rPr>
          <w:rFonts w:ascii="Arial" w:hAnsi="Arial" w:cs="Arial"/>
          <w:lang w:val="en-US"/>
        </w:rPr>
      </w:pPr>
    </w:p>
    <w:p w:rsidR="00967210" w:rsidRDefault="00967210" w:rsidP="00967210">
      <w:pPr>
        <w:autoSpaceDE w:val="0"/>
        <w:autoSpaceDN w:val="0"/>
        <w:adjustRightInd w:val="0"/>
        <w:spacing w:after="0" w:line="240" w:lineRule="auto"/>
        <w:jc w:val="both"/>
        <w:rPr>
          <w:rFonts w:ascii="Arial" w:hAnsi="Arial" w:cs="Arial"/>
          <w:lang w:val="en-US"/>
        </w:rPr>
      </w:pPr>
    </w:p>
    <w:p w:rsidR="00967210" w:rsidRDefault="00967210" w:rsidP="00967210">
      <w:pPr>
        <w:autoSpaceDE w:val="0"/>
        <w:autoSpaceDN w:val="0"/>
        <w:adjustRightInd w:val="0"/>
        <w:spacing w:after="0" w:line="240" w:lineRule="auto"/>
        <w:jc w:val="both"/>
        <w:rPr>
          <w:rFonts w:ascii="Arial" w:hAnsi="Arial" w:cs="Arial"/>
          <w:lang w:val="en-US"/>
        </w:rPr>
      </w:pPr>
    </w:p>
    <w:p w:rsidR="00967210" w:rsidRDefault="00967210" w:rsidP="00967210">
      <w:pPr>
        <w:autoSpaceDE w:val="0"/>
        <w:autoSpaceDN w:val="0"/>
        <w:adjustRightInd w:val="0"/>
        <w:spacing w:after="0" w:line="240" w:lineRule="auto"/>
        <w:jc w:val="both"/>
        <w:rPr>
          <w:rFonts w:ascii="Arial" w:hAnsi="Arial" w:cs="Arial"/>
          <w:lang w:val="en-US"/>
        </w:rPr>
      </w:pPr>
    </w:p>
    <w:tbl>
      <w:tblPr>
        <w:tblStyle w:val="TableNormal1"/>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1"/>
        <w:gridCol w:w="1841"/>
        <w:gridCol w:w="1843"/>
        <w:gridCol w:w="1841"/>
        <w:gridCol w:w="1843"/>
      </w:tblGrid>
      <w:tr w:rsidR="00967210" w:rsidTr="00A21696">
        <w:trPr>
          <w:trHeight w:val="251"/>
        </w:trPr>
        <w:tc>
          <w:tcPr>
            <w:tcW w:w="1841" w:type="dxa"/>
            <w:shd w:val="clear" w:color="auto" w:fill="B3B3B3"/>
          </w:tcPr>
          <w:p w:rsidR="00967210" w:rsidRDefault="00967210" w:rsidP="00A21696">
            <w:pPr>
              <w:pStyle w:val="TableParagraph"/>
              <w:spacing w:line="232" w:lineRule="exact"/>
              <w:ind w:left="69"/>
              <w:jc w:val="both"/>
              <w:rPr>
                <w:b/>
              </w:rPr>
            </w:pPr>
            <w:r>
              <w:rPr>
                <w:b/>
              </w:rPr>
              <w:t>Convention</w:t>
            </w:r>
          </w:p>
        </w:tc>
        <w:tc>
          <w:tcPr>
            <w:tcW w:w="1841" w:type="dxa"/>
            <w:shd w:val="clear" w:color="auto" w:fill="B3B3B3"/>
          </w:tcPr>
          <w:p w:rsidR="00967210" w:rsidRDefault="00967210" w:rsidP="00A21696">
            <w:pPr>
              <w:pStyle w:val="TableParagraph"/>
              <w:spacing w:line="232" w:lineRule="exact"/>
              <w:ind w:left="69"/>
              <w:jc w:val="both"/>
              <w:rPr>
                <w:b/>
              </w:rPr>
            </w:pPr>
            <w:r>
              <w:rPr>
                <w:b/>
              </w:rPr>
              <w:t>Rapport</w:t>
            </w:r>
          </w:p>
        </w:tc>
        <w:tc>
          <w:tcPr>
            <w:tcW w:w="1843" w:type="dxa"/>
            <w:shd w:val="clear" w:color="auto" w:fill="B3B3B3"/>
          </w:tcPr>
          <w:p w:rsidR="00967210" w:rsidRDefault="00967210" w:rsidP="00A21696">
            <w:pPr>
              <w:pStyle w:val="TableParagraph"/>
              <w:spacing w:line="232" w:lineRule="exact"/>
              <w:ind w:left="68"/>
              <w:jc w:val="both"/>
              <w:rPr>
                <w:b/>
              </w:rPr>
            </w:pPr>
            <w:r>
              <w:rPr>
                <w:b/>
              </w:rPr>
              <w:t>Dû</w:t>
            </w:r>
          </w:p>
        </w:tc>
        <w:tc>
          <w:tcPr>
            <w:tcW w:w="1841" w:type="dxa"/>
            <w:shd w:val="clear" w:color="auto" w:fill="B3B3B3"/>
          </w:tcPr>
          <w:p w:rsidR="00967210" w:rsidRDefault="00967210" w:rsidP="00A21696">
            <w:pPr>
              <w:pStyle w:val="TableParagraph"/>
              <w:spacing w:line="232" w:lineRule="exact"/>
              <w:ind w:left="69"/>
              <w:jc w:val="both"/>
              <w:rPr>
                <w:b/>
              </w:rPr>
            </w:pPr>
            <w:r>
              <w:rPr>
                <w:b/>
              </w:rPr>
              <w:t>Soumis</w:t>
            </w:r>
          </w:p>
        </w:tc>
        <w:tc>
          <w:tcPr>
            <w:tcW w:w="1843" w:type="dxa"/>
            <w:shd w:val="clear" w:color="auto" w:fill="B3B3B3"/>
          </w:tcPr>
          <w:p w:rsidR="00967210" w:rsidRDefault="00967210" w:rsidP="00A21696">
            <w:pPr>
              <w:pStyle w:val="TableParagraph"/>
              <w:spacing w:line="232" w:lineRule="exact"/>
              <w:ind w:left="71"/>
              <w:jc w:val="both"/>
              <w:rPr>
                <w:b/>
              </w:rPr>
            </w:pPr>
            <w:r>
              <w:rPr>
                <w:b/>
              </w:rPr>
              <w:t>Examiné</w:t>
            </w:r>
          </w:p>
        </w:tc>
      </w:tr>
      <w:tr w:rsidR="00967210" w:rsidTr="00A21696">
        <w:trPr>
          <w:trHeight w:val="254"/>
        </w:trPr>
        <w:tc>
          <w:tcPr>
            <w:tcW w:w="1841" w:type="dxa"/>
          </w:tcPr>
          <w:p w:rsidR="00967210" w:rsidRDefault="00967210" w:rsidP="00A21696">
            <w:pPr>
              <w:pStyle w:val="TableParagraph"/>
              <w:spacing w:line="234" w:lineRule="exact"/>
              <w:ind w:left="570"/>
              <w:jc w:val="both"/>
              <w:rPr>
                <w:rFonts w:ascii="Times New Roman"/>
                <w:b/>
              </w:rPr>
            </w:pPr>
            <w:r>
              <w:rPr>
                <w:rFonts w:ascii="Times New Roman"/>
                <w:b/>
              </w:rPr>
              <w:t>ICCPR</w:t>
            </w:r>
          </w:p>
        </w:tc>
        <w:tc>
          <w:tcPr>
            <w:tcW w:w="1841" w:type="dxa"/>
          </w:tcPr>
          <w:p w:rsidR="00967210" w:rsidRDefault="00967210" w:rsidP="00A21696">
            <w:pPr>
              <w:pStyle w:val="TableParagraph"/>
              <w:spacing w:line="234" w:lineRule="exact"/>
              <w:ind w:left="69"/>
              <w:jc w:val="both"/>
            </w:pPr>
            <w:r>
              <w:t>Rapport initial</w:t>
            </w:r>
          </w:p>
        </w:tc>
        <w:tc>
          <w:tcPr>
            <w:tcW w:w="1843" w:type="dxa"/>
          </w:tcPr>
          <w:p w:rsidR="00967210" w:rsidRDefault="00967210" w:rsidP="00A21696">
            <w:pPr>
              <w:pStyle w:val="TableParagraph"/>
              <w:spacing w:line="234" w:lineRule="exact"/>
              <w:ind w:right="359"/>
              <w:jc w:val="both"/>
            </w:pPr>
            <w:r>
              <w:t>11/06/1993</w:t>
            </w:r>
          </w:p>
        </w:tc>
        <w:tc>
          <w:tcPr>
            <w:tcW w:w="1841" w:type="dxa"/>
          </w:tcPr>
          <w:p w:rsidR="00967210" w:rsidRDefault="00967210" w:rsidP="00A21696">
            <w:pPr>
              <w:pStyle w:val="TableParagraph"/>
              <w:spacing w:line="234" w:lineRule="exact"/>
              <w:ind w:right="354"/>
              <w:jc w:val="both"/>
            </w:pPr>
            <w:r>
              <w:t>01/02/2004</w:t>
            </w:r>
          </w:p>
        </w:tc>
        <w:tc>
          <w:tcPr>
            <w:tcW w:w="1843" w:type="dxa"/>
          </w:tcPr>
          <w:p w:rsidR="00967210" w:rsidRDefault="00967210" w:rsidP="00A21696">
            <w:pPr>
              <w:pStyle w:val="TableParagraph"/>
              <w:spacing w:line="234" w:lineRule="exact"/>
              <w:ind w:left="95"/>
              <w:jc w:val="both"/>
            </w:pPr>
            <w:r>
              <w:t>21 et 22/10/2004</w:t>
            </w:r>
          </w:p>
        </w:tc>
      </w:tr>
      <w:tr w:rsidR="00967210" w:rsidTr="00A21696">
        <w:trPr>
          <w:trHeight w:val="251"/>
        </w:trPr>
        <w:tc>
          <w:tcPr>
            <w:tcW w:w="1841" w:type="dxa"/>
          </w:tcPr>
          <w:p w:rsidR="00967210" w:rsidRDefault="00967210" w:rsidP="00A21696">
            <w:pPr>
              <w:pStyle w:val="TableParagraph"/>
              <w:spacing w:line="240" w:lineRule="auto"/>
              <w:jc w:val="both"/>
              <w:rPr>
                <w:rFonts w:ascii="Times New Roman"/>
                <w:sz w:val="18"/>
              </w:rPr>
            </w:pPr>
          </w:p>
        </w:tc>
        <w:tc>
          <w:tcPr>
            <w:tcW w:w="1841" w:type="dxa"/>
          </w:tcPr>
          <w:p w:rsidR="00967210" w:rsidRDefault="00967210" w:rsidP="00A21696">
            <w:pPr>
              <w:pStyle w:val="TableParagraph"/>
              <w:spacing w:line="232" w:lineRule="exact"/>
              <w:ind w:left="69"/>
              <w:jc w:val="both"/>
            </w:pPr>
            <w:r>
              <w:t>2</w:t>
            </w:r>
            <w:r>
              <w:rPr>
                <w:vertAlign w:val="superscript"/>
              </w:rPr>
              <w:t>ème</w:t>
            </w:r>
            <w:r>
              <w:t xml:space="preserve"> périodique</w:t>
            </w:r>
          </w:p>
        </w:tc>
        <w:tc>
          <w:tcPr>
            <w:tcW w:w="1843" w:type="dxa"/>
          </w:tcPr>
          <w:p w:rsidR="00967210" w:rsidRDefault="00967210" w:rsidP="00A21696">
            <w:pPr>
              <w:pStyle w:val="TableParagraph"/>
              <w:spacing w:line="232" w:lineRule="exact"/>
              <w:ind w:right="419"/>
              <w:jc w:val="both"/>
            </w:pPr>
            <w:r>
              <w:t>3/08/1983</w:t>
            </w:r>
          </w:p>
        </w:tc>
        <w:tc>
          <w:tcPr>
            <w:tcW w:w="1841" w:type="dxa"/>
          </w:tcPr>
          <w:p w:rsidR="00967210" w:rsidRDefault="00967210" w:rsidP="00A21696">
            <w:pPr>
              <w:pStyle w:val="TableParagraph"/>
              <w:spacing w:line="232" w:lineRule="exact"/>
              <w:ind w:left="11"/>
              <w:jc w:val="both"/>
            </w:pPr>
            <w:r>
              <w:t>/</w:t>
            </w:r>
          </w:p>
        </w:tc>
        <w:tc>
          <w:tcPr>
            <w:tcW w:w="1843" w:type="dxa"/>
          </w:tcPr>
          <w:p w:rsidR="00967210" w:rsidRDefault="00967210" w:rsidP="00A21696">
            <w:pPr>
              <w:pStyle w:val="TableParagraph"/>
              <w:spacing w:line="232" w:lineRule="exact"/>
              <w:ind w:left="13"/>
              <w:jc w:val="both"/>
            </w:pPr>
            <w:r>
              <w:t>/</w:t>
            </w:r>
          </w:p>
        </w:tc>
      </w:tr>
      <w:tr w:rsidR="00967210" w:rsidTr="00A21696">
        <w:trPr>
          <w:trHeight w:val="254"/>
        </w:trPr>
        <w:tc>
          <w:tcPr>
            <w:tcW w:w="1841" w:type="dxa"/>
          </w:tcPr>
          <w:p w:rsidR="00967210" w:rsidRDefault="00967210" w:rsidP="00A21696">
            <w:pPr>
              <w:pStyle w:val="TableParagraph"/>
              <w:spacing w:line="234" w:lineRule="exact"/>
              <w:ind w:left="498"/>
              <w:jc w:val="both"/>
              <w:rPr>
                <w:rFonts w:ascii="Times New Roman"/>
                <w:b/>
              </w:rPr>
            </w:pPr>
            <w:r>
              <w:rPr>
                <w:rFonts w:ascii="Times New Roman"/>
                <w:b/>
              </w:rPr>
              <w:t>CEDAW</w:t>
            </w:r>
          </w:p>
        </w:tc>
        <w:tc>
          <w:tcPr>
            <w:tcW w:w="1841" w:type="dxa"/>
          </w:tcPr>
          <w:p w:rsidR="00967210" w:rsidRDefault="00967210" w:rsidP="00A21696">
            <w:pPr>
              <w:pStyle w:val="TableParagraph"/>
              <w:spacing w:line="234" w:lineRule="exact"/>
              <w:ind w:left="69"/>
              <w:jc w:val="both"/>
            </w:pPr>
            <w:r>
              <w:t>Rapport initial</w:t>
            </w:r>
          </w:p>
        </w:tc>
        <w:tc>
          <w:tcPr>
            <w:tcW w:w="1843" w:type="dxa"/>
          </w:tcPr>
          <w:p w:rsidR="00967210" w:rsidRDefault="00967210" w:rsidP="00A21696">
            <w:pPr>
              <w:pStyle w:val="TableParagraph"/>
              <w:spacing w:line="234" w:lineRule="exact"/>
              <w:ind w:right="359"/>
              <w:jc w:val="both"/>
            </w:pPr>
            <w:r>
              <w:t>11/04/1993</w:t>
            </w:r>
          </w:p>
        </w:tc>
        <w:tc>
          <w:tcPr>
            <w:tcW w:w="1841" w:type="dxa"/>
          </w:tcPr>
          <w:p w:rsidR="00967210" w:rsidRDefault="00967210" w:rsidP="00A21696">
            <w:pPr>
              <w:pStyle w:val="TableParagraph"/>
              <w:spacing w:line="234" w:lineRule="exact"/>
              <w:ind w:right="354"/>
              <w:jc w:val="both"/>
            </w:pPr>
            <w:r>
              <w:t>27/06/2002</w:t>
            </w:r>
          </w:p>
        </w:tc>
        <w:tc>
          <w:tcPr>
            <w:tcW w:w="1843" w:type="dxa"/>
          </w:tcPr>
          <w:p w:rsidR="00967210" w:rsidRDefault="00967210" w:rsidP="00A21696">
            <w:pPr>
              <w:pStyle w:val="TableParagraph"/>
              <w:spacing w:line="234" w:lineRule="exact"/>
              <w:ind w:left="371"/>
              <w:jc w:val="both"/>
            </w:pPr>
            <w:r>
              <w:t>05/07/2005</w:t>
            </w:r>
          </w:p>
        </w:tc>
      </w:tr>
      <w:tr w:rsidR="00967210" w:rsidTr="00A21696">
        <w:trPr>
          <w:trHeight w:val="254"/>
        </w:trPr>
        <w:tc>
          <w:tcPr>
            <w:tcW w:w="1841" w:type="dxa"/>
          </w:tcPr>
          <w:p w:rsidR="00967210" w:rsidRDefault="00967210" w:rsidP="00A21696">
            <w:pPr>
              <w:pStyle w:val="TableParagraph"/>
              <w:spacing w:line="240" w:lineRule="auto"/>
              <w:jc w:val="both"/>
              <w:rPr>
                <w:rFonts w:ascii="Times New Roman"/>
                <w:sz w:val="18"/>
              </w:rPr>
            </w:pPr>
          </w:p>
        </w:tc>
        <w:tc>
          <w:tcPr>
            <w:tcW w:w="1841" w:type="dxa"/>
          </w:tcPr>
          <w:p w:rsidR="00967210" w:rsidRDefault="00967210" w:rsidP="00A21696">
            <w:pPr>
              <w:pStyle w:val="TableParagraph"/>
              <w:spacing w:line="234" w:lineRule="exact"/>
              <w:ind w:left="69"/>
              <w:jc w:val="both"/>
            </w:pPr>
            <w:r>
              <w:t>2</w:t>
            </w:r>
            <w:r>
              <w:rPr>
                <w:vertAlign w:val="superscript"/>
              </w:rPr>
              <w:t>ème</w:t>
            </w:r>
            <w:r>
              <w:t xml:space="preserve"> périodique</w:t>
            </w:r>
          </w:p>
        </w:tc>
        <w:tc>
          <w:tcPr>
            <w:tcW w:w="1843" w:type="dxa"/>
          </w:tcPr>
          <w:p w:rsidR="00967210" w:rsidRDefault="00967210" w:rsidP="00A21696">
            <w:pPr>
              <w:pStyle w:val="TableParagraph"/>
              <w:spacing w:line="234" w:lineRule="exact"/>
              <w:ind w:right="359"/>
              <w:jc w:val="both"/>
            </w:pPr>
            <w:r>
              <w:t>11/04/1997</w:t>
            </w:r>
          </w:p>
        </w:tc>
        <w:tc>
          <w:tcPr>
            <w:tcW w:w="1841" w:type="dxa"/>
          </w:tcPr>
          <w:p w:rsidR="00967210" w:rsidRDefault="00967210" w:rsidP="00A21696">
            <w:pPr>
              <w:pStyle w:val="TableParagraph"/>
              <w:spacing w:line="234" w:lineRule="exact"/>
              <w:ind w:right="354"/>
              <w:jc w:val="both"/>
            </w:pPr>
            <w:r>
              <w:t>27/06/2002</w:t>
            </w:r>
          </w:p>
        </w:tc>
        <w:tc>
          <w:tcPr>
            <w:tcW w:w="1843" w:type="dxa"/>
          </w:tcPr>
          <w:p w:rsidR="00967210" w:rsidRDefault="00967210" w:rsidP="00A21696">
            <w:pPr>
              <w:pStyle w:val="TableParagraph"/>
              <w:spacing w:line="234" w:lineRule="exact"/>
              <w:ind w:left="371"/>
              <w:jc w:val="both"/>
            </w:pPr>
            <w:r>
              <w:t>05/07/2005</w:t>
            </w:r>
          </w:p>
        </w:tc>
      </w:tr>
      <w:tr w:rsidR="00967210" w:rsidTr="00A21696">
        <w:trPr>
          <w:trHeight w:val="251"/>
        </w:trPr>
        <w:tc>
          <w:tcPr>
            <w:tcW w:w="1841" w:type="dxa"/>
          </w:tcPr>
          <w:p w:rsidR="00967210" w:rsidRDefault="00967210" w:rsidP="00A21696">
            <w:pPr>
              <w:pStyle w:val="TableParagraph"/>
              <w:spacing w:line="240" w:lineRule="auto"/>
              <w:jc w:val="both"/>
              <w:rPr>
                <w:rFonts w:ascii="Times New Roman"/>
                <w:sz w:val="18"/>
              </w:rPr>
            </w:pPr>
          </w:p>
        </w:tc>
        <w:tc>
          <w:tcPr>
            <w:tcW w:w="1841" w:type="dxa"/>
          </w:tcPr>
          <w:p w:rsidR="00967210" w:rsidRDefault="00967210" w:rsidP="00A21696">
            <w:pPr>
              <w:pStyle w:val="TableParagraph"/>
              <w:spacing w:line="232" w:lineRule="exact"/>
              <w:ind w:left="69"/>
              <w:jc w:val="both"/>
            </w:pPr>
            <w:r>
              <w:t>3</w:t>
            </w:r>
            <w:r>
              <w:rPr>
                <w:vertAlign w:val="superscript"/>
              </w:rPr>
              <w:t>ème</w:t>
            </w:r>
            <w:r>
              <w:t xml:space="preserve"> périodique</w:t>
            </w:r>
          </w:p>
        </w:tc>
        <w:tc>
          <w:tcPr>
            <w:tcW w:w="1843" w:type="dxa"/>
          </w:tcPr>
          <w:p w:rsidR="00967210" w:rsidRDefault="00967210" w:rsidP="00A21696">
            <w:pPr>
              <w:pStyle w:val="TableParagraph"/>
              <w:spacing w:line="232" w:lineRule="exact"/>
              <w:ind w:right="359"/>
              <w:jc w:val="both"/>
            </w:pPr>
            <w:r>
              <w:t>11/04/2001</w:t>
            </w:r>
          </w:p>
        </w:tc>
        <w:tc>
          <w:tcPr>
            <w:tcW w:w="1841" w:type="dxa"/>
          </w:tcPr>
          <w:p w:rsidR="00967210" w:rsidRDefault="00967210" w:rsidP="00A21696">
            <w:pPr>
              <w:pStyle w:val="TableParagraph"/>
              <w:spacing w:line="232" w:lineRule="exact"/>
              <w:ind w:right="354"/>
              <w:jc w:val="both"/>
            </w:pPr>
            <w:r>
              <w:t>27/06/2002</w:t>
            </w:r>
          </w:p>
        </w:tc>
        <w:tc>
          <w:tcPr>
            <w:tcW w:w="1843" w:type="dxa"/>
          </w:tcPr>
          <w:p w:rsidR="00967210" w:rsidRDefault="00967210" w:rsidP="00A21696">
            <w:pPr>
              <w:pStyle w:val="TableParagraph"/>
              <w:spacing w:line="232" w:lineRule="exact"/>
              <w:ind w:left="371"/>
              <w:jc w:val="both"/>
            </w:pPr>
            <w:r>
              <w:t>05/07/2005</w:t>
            </w:r>
          </w:p>
        </w:tc>
      </w:tr>
      <w:tr w:rsidR="00967210" w:rsidTr="00A21696">
        <w:trPr>
          <w:trHeight w:val="254"/>
        </w:trPr>
        <w:tc>
          <w:tcPr>
            <w:tcW w:w="1841" w:type="dxa"/>
          </w:tcPr>
          <w:p w:rsidR="00967210" w:rsidRDefault="00967210" w:rsidP="00A21696">
            <w:pPr>
              <w:pStyle w:val="TableParagraph"/>
              <w:spacing w:line="240" w:lineRule="auto"/>
              <w:jc w:val="both"/>
              <w:rPr>
                <w:rFonts w:ascii="Times New Roman"/>
                <w:sz w:val="18"/>
              </w:rPr>
            </w:pPr>
          </w:p>
        </w:tc>
        <w:tc>
          <w:tcPr>
            <w:tcW w:w="1841" w:type="dxa"/>
          </w:tcPr>
          <w:p w:rsidR="00967210" w:rsidRDefault="00967210" w:rsidP="00A21696">
            <w:pPr>
              <w:pStyle w:val="TableParagraph"/>
              <w:spacing w:line="234" w:lineRule="exact"/>
              <w:ind w:left="69"/>
              <w:jc w:val="both"/>
            </w:pPr>
            <w:r>
              <w:t>4</w:t>
            </w:r>
            <w:r>
              <w:rPr>
                <w:vertAlign w:val="superscript"/>
              </w:rPr>
              <w:t>ème</w:t>
            </w:r>
            <w:r>
              <w:t xml:space="preserve"> périodique</w:t>
            </w:r>
          </w:p>
        </w:tc>
        <w:tc>
          <w:tcPr>
            <w:tcW w:w="1843" w:type="dxa"/>
          </w:tcPr>
          <w:p w:rsidR="00967210" w:rsidRDefault="00967210" w:rsidP="00A21696">
            <w:pPr>
              <w:pStyle w:val="TableParagraph"/>
              <w:spacing w:line="234" w:lineRule="exact"/>
              <w:ind w:right="359"/>
              <w:jc w:val="both"/>
            </w:pPr>
            <w:r>
              <w:t>11/04/2005</w:t>
            </w:r>
          </w:p>
        </w:tc>
        <w:tc>
          <w:tcPr>
            <w:tcW w:w="1841" w:type="dxa"/>
          </w:tcPr>
          <w:p w:rsidR="00967210" w:rsidRDefault="00967210" w:rsidP="00A21696">
            <w:pPr>
              <w:pStyle w:val="TableParagraph"/>
              <w:spacing w:line="234" w:lineRule="exact"/>
              <w:ind w:left="11"/>
              <w:jc w:val="both"/>
            </w:pPr>
            <w:r>
              <w:t>/</w:t>
            </w:r>
          </w:p>
        </w:tc>
        <w:tc>
          <w:tcPr>
            <w:tcW w:w="1843" w:type="dxa"/>
          </w:tcPr>
          <w:p w:rsidR="00967210" w:rsidRDefault="00967210" w:rsidP="00A21696">
            <w:pPr>
              <w:pStyle w:val="TableParagraph"/>
              <w:spacing w:line="234" w:lineRule="exact"/>
              <w:ind w:left="13"/>
              <w:jc w:val="both"/>
            </w:pPr>
            <w:r>
              <w:t>/</w:t>
            </w:r>
          </w:p>
        </w:tc>
      </w:tr>
      <w:tr w:rsidR="00967210" w:rsidTr="00A21696">
        <w:trPr>
          <w:trHeight w:val="251"/>
        </w:trPr>
        <w:tc>
          <w:tcPr>
            <w:tcW w:w="1841" w:type="dxa"/>
          </w:tcPr>
          <w:p w:rsidR="00967210" w:rsidRDefault="00967210" w:rsidP="00A21696">
            <w:pPr>
              <w:pStyle w:val="TableParagraph"/>
              <w:spacing w:line="232" w:lineRule="exact"/>
              <w:ind w:left="609"/>
              <w:jc w:val="both"/>
              <w:rPr>
                <w:rFonts w:ascii="Times New Roman"/>
                <w:b/>
              </w:rPr>
            </w:pPr>
            <w:r>
              <w:rPr>
                <w:rFonts w:ascii="Times New Roman"/>
                <w:b/>
              </w:rPr>
              <w:t>CERD</w:t>
            </w:r>
          </w:p>
        </w:tc>
        <w:tc>
          <w:tcPr>
            <w:tcW w:w="1841" w:type="dxa"/>
          </w:tcPr>
          <w:p w:rsidR="00967210" w:rsidRDefault="00967210" w:rsidP="00A21696">
            <w:pPr>
              <w:pStyle w:val="TableParagraph"/>
              <w:spacing w:line="232" w:lineRule="exact"/>
              <w:ind w:left="69"/>
              <w:jc w:val="both"/>
            </w:pPr>
            <w:r>
              <w:t>Rapport initial</w:t>
            </w:r>
          </w:p>
        </w:tc>
        <w:tc>
          <w:tcPr>
            <w:tcW w:w="1843" w:type="dxa"/>
          </w:tcPr>
          <w:p w:rsidR="00967210" w:rsidRDefault="00967210" w:rsidP="00A21696">
            <w:pPr>
              <w:pStyle w:val="TableParagraph"/>
              <w:spacing w:line="232" w:lineRule="exact"/>
              <w:ind w:right="359"/>
              <w:jc w:val="both"/>
            </w:pPr>
            <w:r>
              <w:t>30/12/2002</w:t>
            </w:r>
          </w:p>
        </w:tc>
        <w:tc>
          <w:tcPr>
            <w:tcW w:w="1841" w:type="dxa"/>
          </w:tcPr>
          <w:p w:rsidR="00967210" w:rsidRDefault="00967210" w:rsidP="00A21696">
            <w:pPr>
              <w:pStyle w:val="TableParagraph"/>
              <w:spacing w:line="232" w:lineRule="exact"/>
              <w:ind w:left="11"/>
              <w:jc w:val="both"/>
            </w:pPr>
            <w:r>
              <w:t>/</w:t>
            </w:r>
          </w:p>
        </w:tc>
        <w:tc>
          <w:tcPr>
            <w:tcW w:w="1843" w:type="dxa"/>
          </w:tcPr>
          <w:p w:rsidR="00967210" w:rsidRDefault="00967210" w:rsidP="00A21696">
            <w:pPr>
              <w:pStyle w:val="TableParagraph"/>
              <w:spacing w:line="232" w:lineRule="exact"/>
              <w:ind w:left="13"/>
              <w:jc w:val="both"/>
            </w:pPr>
            <w:r>
              <w:t>/</w:t>
            </w:r>
          </w:p>
        </w:tc>
      </w:tr>
      <w:tr w:rsidR="00967210" w:rsidTr="00A21696">
        <w:trPr>
          <w:trHeight w:val="254"/>
        </w:trPr>
        <w:tc>
          <w:tcPr>
            <w:tcW w:w="1841" w:type="dxa"/>
          </w:tcPr>
          <w:p w:rsidR="00967210" w:rsidRDefault="00967210" w:rsidP="00A21696">
            <w:pPr>
              <w:pStyle w:val="TableParagraph"/>
              <w:spacing w:line="240" w:lineRule="auto"/>
              <w:jc w:val="both"/>
              <w:rPr>
                <w:rFonts w:ascii="Times New Roman"/>
                <w:sz w:val="18"/>
              </w:rPr>
            </w:pPr>
          </w:p>
        </w:tc>
        <w:tc>
          <w:tcPr>
            <w:tcW w:w="1841" w:type="dxa"/>
          </w:tcPr>
          <w:p w:rsidR="00967210" w:rsidRDefault="00967210" w:rsidP="00A21696">
            <w:pPr>
              <w:pStyle w:val="TableParagraph"/>
              <w:spacing w:line="234" w:lineRule="exact"/>
              <w:ind w:left="69"/>
              <w:jc w:val="both"/>
            </w:pPr>
            <w:r>
              <w:t>2</w:t>
            </w:r>
            <w:r>
              <w:rPr>
                <w:vertAlign w:val="superscript"/>
              </w:rPr>
              <w:t>ème</w:t>
            </w:r>
            <w:r>
              <w:t xml:space="preserve"> périodique</w:t>
            </w:r>
          </w:p>
        </w:tc>
        <w:tc>
          <w:tcPr>
            <w:tcW w:w="1843" w:type="dxa"/>
          </w:tcPr>
          <w:p w:rsidR="00967210" w:rsidRDefault="00967210" w:rsidP="00A21696">
            <w:pPr>
              <w:pStyle w:val="TableParagraph"/>
              <w:spacing w:line="234" w:lineRule="exact"/>
              <w:ind w:right="359"/>
              <w:jc w:val="both"/>
            </w:pPr>
            <w:r>
              <w:t>30/12/2004</w:t>
            </w:r>
          </w:p>
        </w:tc>
        <w:tc>
          <w:tcPr>
            <w:tcW w:w="1841" w:type="dxa"/>
          </w:tcPr>
          <w:p w:rsidR="00967210" w:rsidRDefault="00967210" w:rsidP="00A21696">
            <w:pPr>
              <w:pStyle w:val="TableParagraph"/>
              <w:spacing w:line="234" w:lineRule="exact"/>
              <w:ind w:left="11"/>
              <w:jc w:val="both"/>
            </w:pPr>
            <w:r>
              <w:t>/</w:t>
            </w:r>
          </w:p>
        </w:tc>
        <w:tc>
          <w:tcPr>
            <w:tcW w:w="1843" w:type="dxa"/>
          </w:tcPr>
          <w:p w:rsidR="00967210" w:rsidRDefault="00967210" w:rsidP="00A21696">
            <w:pPr>
              <w:pStyle w:val="TableParagraph"/>
              <w:spacing w:line="234" w:lineRule="exact"/>
              <w:ind w:left="13"/>
              <w:jc w:val="both"/>
            </w:pPr>
            <w:r>
              <w:t>/</w:t>
            </w:r>
          </w:p>
        </w:tc>
      </w:tr>
      <w:tr w:rsidR="00967210" w:rsidTr="00A21696">
        <w:trPr>
          <w:trHeight w:val="251"/>
        </w:trPr>
        <w:tc>
          <w:tcPr>
            <w:tcW w:w="1841" w:type="dxa"/>
          </w:tcPr>
          <w:p w:rsidR="00967210" w:rsidRDefault="00967210" w:rsidP="00A21696">
            <w:pPr>
              <w:pStyle w:val="TableParagraph"/>
              <w:spacing w:line="240" w:lineRule="auto"/>
              <w:jc w:val="both"/>
              <w:rPr>
                <w:rFonts w:ascii="Times New Roman"/>
                <w:sz w:val="18"/>
              </w:rPr>
            </w:pPr>
          </w:p>
        </w:tc>
        <w:tc>
          <w:tcPr>
            <w:tcW w:w="1841" w:type="dxa"/>
          </w:tcPr>
          <w:p w:rsidR="00967210" w:rsidRDefault="00967210" w:rsidP="00A21696">
            <w:pPr>
              <w:pStyle w:val="TableParagraph"/>
              <w:spacing w:line="232" w:lineRule="exact"/>
              <w:ind w:left="69"/>
              <w:jc w:val="both"/>
            </w:pPr>
            <w:r>
              <w:t>3</w:t>
            </w:r>
            <w:r>
              <w:rPr>
                <w:vertAlign w:val="superscript"/>
              </w:rPr>
              <w:t>ème</w:t>
            </w:r>
            <w:r>
              <w:t xml:space="preserve"> périodique</w:t>
            </w:r>
          </w:p>
        </w:tc>
        <w:tc>
          <w:tcPr>
            <w:tcW w:w="1843" w:type="dxa"/>
          </w:tcPr>
          <w:p w:rsidR="00967210" w:rsidRDefault="00967210" w:rsidP="00A21696">
            <w:pPr>
              <w:pStyle w:val="TableParagraph"/>
              <w:spacing w:line="232" w:lineRule="exact"/>
              <w:ind w:right="359"/>
              <w:jc w:val="both"/>
            </w:pPr>
            <w:r>
              <w:t>30/12/2006</w:t>
            </w:r>
          </w:p>
        </w:tc>
        <w:tc>
          <w:tcPr>
            <w:tcW w:w="1841" w:type="dxa"/>
          </w:tcPr>
          <w:p w:rsidR="00967210" w:rsidRDefault="00967210" w:rsidP="00A21696">
            <w:pPr>
              <w:pStyle w:val="TableParagraph"/>
              <w:spacing w:line="232" w:lineRule="exact"/>
              <w:ind w:left="11"/>
              <w:jc w:val="both"/>
            </w:pPr>
            <w:r>
              <w:t>/</w:t>
            </w:r>
          </w:p>
        </w:tc>
        <w:tc>
          <w:tcPr>
            <w:tcW w:w="1843" w:type="dxa"/>
          </w:tcPr>
          <w:p w:rsidR="00967210" w:rsidRDefault="00967210" w:rsidP="00A21696">
            <w:pPr>
              <w:pStyle w:val="TableParagraph"/>
              <w:spacing w:line="232" w:lineRule="exact"/>
              <w:ind w:left="13"/>
              <w:jc w:val="both"/>
            </w:pPr>
            <w:r>
              <w:t>/</w:t>
            </w:r>
          </w:p>
        </w:tc>
      </w:tr>
      <w:tr w:rsidR="00967210" w:rsidTr="00A21696">
        <w:trPr>
          <w:trHeight w:val="254"/>
        </w:trPr>
        <w:tc>
          <w:tcPr>
            <w:tcW w:w="1841" w:type="dxa"/>
          </w:tcPr>
          <w:p w:rsidR="00967210" w:rsidRDefault="00967210" w:rsidP="00A21696">
            <w:pPr>
              <w:pStyle w:val="TableParagraph"/>
              <w:spacing w:line="234" w:lineRule="exact"/>
              <w:ind w:left="128" w:right="120"/>
              <w:jc w:val="both"/>
              <w:rPr>
                <w:rFonts w:ascii="Times New Roman"/>
                <w:b/>
              </w:rPr>
            </w:pPr>
            <w:r>
              <w:rPr>
                <w:rFonts w:ascii="Times New Roman"/>
                <w:b/>
              </w:rPr>
              <w:t>CRC</w:t>
            </w:r>
          </w:p>
        </w:tc>
        <w:tc>
          <w:tcPr>
            <w:tcW w:w="1841" w:type="dxa"/>
          </w:tcPr>
          <w:p w:rsidR="00967210" w:rsidRDefault="00967210" w:rsidP="00A21696">
            <w:pPr>
              <w:pStyle w:val="TableParagraph"/>
              <w:spacing w:line="234" w:lineRule="exact"/>
              <w:ind w:left="69"/>
              <w:jc w:val="both"/>
            </w:pPr>
            <w:r>
              <w:t>Rapport initial</w:t>
            </w:r>
          </w:p>
        </w:tc>
        <w:tc>
          <w:tcPr>
            <w:tcW w:w="1843" w:type="dxa"/>
          </w:tcPr>
          <w:p w:rsidR="00967210" w:rsidRDefault="00967210" w:rsidP="00A21696">
            <w:pPr>
              <w:pStyle w:val="TableParagraph"/>
              <w:spacing w:line="234" w:lineRule="exact"/>
              <w:ind w:right="359"/>
              <w:jc w:val="both"/>
            </w:pPr>
            <w:r>
              <w:t>01/09/1992</w:t>
            </w:r>
          </w:p>
        </w:tc>
        <w:tc>
          <w:tcPr>
            <w:tcW w:w="1841" w:type="dxa"/>
          </w:tcPr>
          <w:p w:rsidR="00967210" w:rsidRDefault="00967210" w:rsidP="00A21696">
            <w:pPr>
              <w:pStyle w:val="TableParagraph"/>
              <w:spacing w:line="234" w:lineRule="exact"/>
              <w:ind w:right="354"/>
              <w:jc w:val="both"/>
            </w:pPr>
            <w:r>
              <w:t>22/01/1997</w:t>
            </w:r>
          </w:p>
        </w:tc>
        <w:tc>
          <w:tcPr>
            <w:tcW w:w="1843" w:type="dxa"/>
          </w:tcPr>
          <w:p w:rsidR="00967210" w:rsidRDefault="00967210" w:rsidP="00A21696">
            <w:pPr>
              <w:pStyle w:val="TableParagraph"/>
              <w:spacing w:line="234" w:lineRule="exact"/>
              <w:ind w:left="95"/>
              <w:jc w:val="both"/>
            </w:pPr>
            <w:r>
              <w:t>26 et 27/05/2007</w:t>
            </w:r>
          </w:p>
        </w:tc>
      </w:tr>
      <w:tr w:rsidR="00967210" w:rsidTr="00A21696">
        <w:trPr>
          <w:trHeight w:val="254"/>
        </w:trPr>
        <w:tc>
          <w:tcPr>
            <w:tcW w:w="1841" w:type="dxa"/>
          </w:tcPr>
          <w:p w:rsidR="00967210" w:rsidRDefault="00967210" w:rsidP="00A21696">
            <w:pPr>
              <w:pStyle w:val="TableParagraph"/>
              <w:spacing w:line="240" w:lineRule="auto"/>
              <w:jc w:val="both"/>
              <w:rPr>
                <w:rFonts w:ascii="Times New Roman"/>
                <w:sz w:val="18"/>
              </w:rPr>
            </w:pPr>
          </w:p>
        </w:tc>
        <w:tc>
          <w:tcPr>
            <w:tcW w:w="1841" w:type="dxa"/>
          </w:tcPr>
          <w:p w:rsidR="00967210" w:rsidRDefault="00967210" w:rsidP="00A21696">
            <w:pPr>
              <w:pStyle w:val="TableParagraph"/>
              <w:spacing w:line="234" w:lineRule="exact"/>
              <w:ind w:left="69"/>
              <w:jc w:val="both"/>
            </w:pPr>
            <w:r>
              <w:t>2</w:t>
            </w:r>
            <w:r>
              <w:rPr>
                <w:vertAlign w:val="superscript"/>
              </w:rPr>
              <w:t>ème</w:t>
            </w:r>
            <w:r>
              <w:t xml:space="preserve"> périodique</w:t>
            </w:r>
          </w:p>
        </w:tc>
        <w:tc>
          <w:tcPr>
            <w:tcW w:w="1843" w:type="dxa"/>
          </w:tcPr>
          <w:p w:rsidR="00967210" w:rsidRDefault="00967210" w:rsidP="00A21696">
            <w:pPr>
              <w:pStyle w:val="TableParagraph"/>
              <w:spacing w:line="234" w:lineRule="exact"/>
              <w:ind w:right="359"/>
              <w:jc w:val="both"/>
            </w:pPr>
            <w:r>
              <w:t>01/09/1997</w:t>
            </w:r>
          </w:p>
        </w:tc>
        <w:tc>
          <w:tcPr>
            <w:tcW w:w="1841" w:type="dxa"/>
          </w:tcPr>
          <w:p w:rsidR="00967210" w:rsidRDefault="00967210" w:rsidP="00A21696">
            <w:pPr>
              <w:pStyle w:val="TableParagraph"/>
              <w:spacing w:line="234" w:lineRule="exact"/>
              <w:ind w:right="354"/>
              <w:jc w:val="both"/>
            </w:pPr>
            <w:r>
              <w:t>20/04/2005</w:t>
            </w:r>
          </w:p>
        </w:tc>
        <w:tc>
          <w:tcPr>
            <w:tcW w:w="1843" w:type="dxa"/>
          </w:tcPr>
          <w:p w:rsidR="00967210" w:rsidRDefault="00967210" w:rsidP="00A21696">
            <w:pPr>
              <w:pStyle w:val="TableParagraph"/>
              <w:spacing w:line="234" w:lineRule="exact"/>
              <w:ind w:left="371"/>
              <w:jc w:val="both"/>
            </w:pPr>
            <w:r>
              <w:t>20/09/2006</w:t>
            </w:r>
          </w:p>
        </w:tc>
      </w:tr>
    </w:tbl>
    <w:p w:rsidR="00967210" w:rsidRDefault="00967210" w:rsidP="00967210">
      <w:pPr>
        <w:autoSpaceDE w:val="0"/>
        <w:autoSpaceDN w:val="0"/>
        <w:adjustRightInd w:val="0"/>
        <w:spacing w:after="0" w:line="240" w:lineRule="auto"/>
        <w:jc w:val="both"/>
        <w:rPr>
          <w:rFonts w:ascii="Arial" w:hAnsi="Arial" w:cs="Arial"/>
          <w:lang w:val="en-US"/>
        </w:rPr>
      </w:pPr>
    </w:p>
    <w:p w:rsidR="00967210" w:rsidRPr="000E3586" w:rsidRDefault="00967210" w:rsidP="00967210">
      <w:pPr>
        <w:autoSpaceDE w:val="0"/>
        <w:autoSpaceDN w:val="0"/>
        <w:adjustRightInd w:val="0"/>
        <w:spacing w:after="0" w:line="240" w:lineRule="auto"/>
        <w:jc w:val="both"/>
        <w:rPr>
          <w:rFonts w:ascii="Times New Roman" w:hAnsi="Times New Roman" w:cs="Times New Roman"/>
          <w:i/>
          <w:sz w:val="24"/>
          <w:szCs w:val="24"/>
        </w:rPr>
      </w:pPr>
      <w:r>
        <w:rPr>
          <w:rFonts w:ascii="Arial" w:hAnsi="Arial" w:cs="Arial"/>
        </w:rPr>
        <w:t>« </w:t>
      </w:r>
      <w:r w:rsidRPr="000E3586">
        <w:rPr>
          <w:rFonts w:ascii="Times New Roman" w:hAnsi="Times New Roman" w:cs="Times New Roman"/>
          <w:i/>
          <w:sz w:val="24"/>
          <w:szCs w:val="24"/>
        </w:rPr>
        <w:t>En complément de ces normes internationales, la Constitution du 11 Décembre 1990 consacre le respect de nombreux principes de droits de l’</w:t>
      </w:r>
      <w:r>
        <w:rPr>
          <w:rFonts w:ascii="Times New Roman" w:hAnsi="Times New Roman" w:cs="Times New Roman"/>
          <w:i/>
          <w:sz w:val="24"/>
          <w:szCs w:val="24"/>
        </w:rPr>
        <w:t>H</w:t>
      </w:r>
      <w:r w:rsidRPr="000E3586">
        <w:rPr>
          <w:rFonts w:ascii="Times New Roman" w:hAnsi="Times New Roman" w:cs="Times New Roman"/>
          <w:i/>
          <w:sz w:val="24"/>
          <w:szCs w:val="24"/>
        </w:rPr>
        <w:t>omme, notamment les droits garantis par la Charte Africaine des Droits de l’Homme et des Peuples (article 7), ou l’interdiction absolue de la torture et des traitements cruels, inhumains ou dégradants (article</w:t>
      </w:r>
    </w:p>
    <w:p w:rsidR="00967210" w:rsidRDefault="00967210" w:rsidP="00967210">
      <w:pPr>
        <w:autoSpaceDE w:val="0"/>
        <w:autoSpaceDN w:val="0"/>
        <w:adjustRightInd w:val="0"/>
        <w:spacing w:after="0" w:line="240" w:lineRule="auto"/>
        <w:jc w:val="both"/>
        <w:rPr>
          <w:rFonts w:ascii="Times New Roman" w:hAnsi="Times New Roman" w:cs="Times New Roman"/>
          <w:sz w:val="24"/>
          <w:szCs w:val="24"/>
        </w:rPr>
      </w:pPr>
      <w:r w:rsidRPr="000E3586">
        <w:rPr>
          <w:rFonts w:ascii="Times New Roman" w:hAnsi="Times New Roman" w:cs="Times New Roman"/>
          <w:i/>
          <w:sz w:val="24"/>
          <w:szCs w:val="24"/>
        </w:rPr>
        <w:t>18).</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 </w:t>
      </w:r>
    </w:p>
    <w:p w:rsidR="00967210" w:rsidRDefault="00967210" w:rsidP="00967210">
      <w:pPr>
        <w:autoSpaceDE w:val="0"/>
        <w:autoSpaceDN w:val="0"/>
        <w:adjustRightInd w:val="0"/>
        <w:spacing w:after="0" w:line="240" w:lineRule="auto"/>
        <w:jc w:val="both"/>
        <w:rPr>
          <w:rFonts w:ascii="Times New Roman" w:hAnsi="Times New Roman" w:cs="Times New Roman"/>
          <w:sz w:val="24"/>
          <w:szCs w:val="24"/>
        </w:rPr>
      </w:pPr>
    </w:p>
    <w:p w:rsidR="00967210" w:rsidRPr="005937D4" w:rsidRDefault="00967210" w:rsidP="00967210">
      <w:pPr>
        <w:autoSpaceDE w:val="0"/>
        <w:autoSpaceDN w:val="0"/>
        <w:adjustRightInd w:val="0"/>
        <w:spacing w:after="0" w:line="240" w:lineRule="auto"/>
        <w:jc w:val="both"/>
        <w:rPr>
          <w:rFonts w:cs="Times New Roman"/>
          <w:sz w:val="28"/>
          <w:szCs w:val="28"/>
        </w:rPr>
      </w:pPr>
      <w:r w:rsidRPr="005937D4">
        <w:rPr>
          <w:rFonts w:cs="Times New Roman"/>
          <w:sz w:val="28"/>
          <w:szCs w:val="28"/>
        </w:rPr>
        <w:t>C’est fort de cela qu’un état des lieux de la mise en œuvre de la Convention s’impose.</w:t>
      </w:r>
    </w:p>
    <w:p w:rsidR="00967210" w:rsidRDefault="00967210" w:rsidP="00967210">
      <w:pPr>
        <w:autoSpaceDE w:val="0"/>
        <w:autoSpaceDN w:val="0"/>
        <w:adjustRightInd w:val="0"/>
        <w:spacing w:after="0" w:line="240" w:lineRule="auto"/>
        <w:jc w:val="both"/>
        <w:rPr>
          <w:rFonts w:ascii="Arial" w:hAnsi="Arial" w:cs="Arial"/>
        </w:rPr>
      </w:pPr>
    </w:p>
    <w:p w:rsidR="00967210" w:rsidRDefault="00967210" w:rsidP="00967210">
      <w:pPr>
        <w:autoSpaceDE w:val="0"/>
        <w:autoSpaceDN w:val="0"/>
        <w:adjustRightInd w:val="0"/>
        <w:spacing w:after="0" w:line="240" w:lineRule="auto"/>
        <w:jc w:val="both"/>
        <w:rPr>
          <w:rFonts w:ascii="Arial" w:hAnsi="Arial" w:cs="Arial"/>
        </w:rPr>
      </w:pPr>
    </w:p>
    <w:p w:rsidR="00967210" w:rsidRDefault="00967210" w:rsidP="00967210">
      <w:pPr>
        <w:autoSpaceDE w:val="0"/>
        <w:autoSpaceDN w:val="0"/>
        <w:adjustRightInd w:val="0"/>
        <w:spacing w:after="0" w:line="240" w:lineRule="auto"/>
        <w:jc w:val="both"/>
        <w:rPr>
          <w:rFonts w:ascii="Arial" w:hAnsi="Arial" w:cs="Arial"/>
        </w:rPr>
      </w:pPr>
    </w:p>
    <w:p w:rsidR="00967210" w:rsidRPr="00BB0F81" w:rsidRDefault="00967210" w:rsidP="00967210">
      <w:pPr>
        <w:autoSpaceDE w:val="0"/>
        <w:autoSpaceDN w:val="0"/>
        <w:adjustRightInd w:val="0"/>
        <w:spacing w:after="0" w:line="240" w:lineRule="auto"/>
        <w:jc w:val="both"/>
        <w:rPr>
          <w:rFonts w:ascii="Arial" w:hAnsi="Arial" w:cs="Arial"/>
        </w:rPr>
      </w:pPr>
    </w:p>
    <w:p w:rsidR="00967210" w:rsidRPr="006F6C4C" w:rsidRDefault="00967210" w:rsidP="00967210">
      <w:pPr>
        <w:pStyle w:val="Heading1"/>
        <w:jc w:val="both"/>
        <w:rPr>
          <w:b/>
        </w:rPr>
      </w:pPr>
      <w:bookmarkStart w:id="4" w:name="_Toc517349933"/>
      <w:r w:rsidRPr="006F6C4C">
        <w:rPr>
          <w:b/>
        </w:rPr>
        <w:t>ETAT DES LIEUX DE LA MISE EN ŒUVRE DE LA CONVENTION</w:t>
      </w:r>
      <w:bookmarkEnd w:id="4"/>
    </w:p>
    <w:p w:rsidR="00967210" w:rsidRPr="006F6C4C" w:rsidRDefault="00967210" w:rsidP="00967210"/>
    <w:p w:rsidR="00967210" w:rsidRPr="005937D4" w:rsidRDefault="00967210" w:rsidP="00967210">
      <w:pPr>
        <w:jc w:val="both"/>
        <w:rPr>
          <w:sz w:val="28"/>
          <w:szCs w:val="28"/>
        </w:rPr>
      </w:pPr>
      <w:r w:rsidRPr="005937D4">
        <w:rPr>
          <w:sz w:val="28"/>
          <w:szCs w:val="28"/>
        </w:rPr>
        <w:t>Il faut dire à la vérité que s’agissant de ce nouveau rapport, sa lecture suscite des interrogations essentielles. Ainsi après avoir rappelé les essentiels, nous relèverons les interrogations persistantes.</w:t>
      </w:r>
    </w:p>
    <w:p w:rsidR="00967210" w:rsidRPr="003B5BC5" w:rsidRDefault="00967210" w:rsidP="00967210">
      <w:pPr>
        <w:pStyle w:val="Heading2"/>
        <w:jc w:val="both"/>
        <w:rPr>
          <w:sz w:val="32"/>
          <w:szCs w:val="32"/>
        </w:rPr>
      </w:pPr>
      <w:bookmarkStart w:id="5" w:name="_Toc517349934"/>
      <w:bookmarkStart w:id="6" w:name="_Hlk511294650"/>
      <w:r w:rsidRPr="003B5BC5">
        <w:rPr>
          <w:sz w:val="32"/>
          <w:szCs w:val="32"/>
        </w:rPr>
        <w:t>Les essentiels :</w:t>
      </w:r>
      <w:bookmarkEnd w:id="5"/>
    </w:p>
    <w:p w:rsidR="00967210" w:rsidRPr="005937D4" w:rsidRDefault="00967210" w:rsidP="00967210">
      <w:pPr>
        <w:jc w:val="both"/>
        <w:rPr>
          <w:sz w:val="28"/>
          <w:szCs w:val="28"/>
        </w:rPr>
      </w:pPr>
      <w:bookmarkStart w:id="7" w:name="_Hlk511294723"/>
      <w:bookmarkEnd w:id="6"/>
      <w:r w:rsidRPr="005937D4">
        <w:rPr>
          <w:sz w:val="28"/>
          <w:szCs w:val="28"/>
        </w:rPr>
        <w:t>Notre analyse a tourné autour de 4 points essentiels.</w:t>
      </w:r>
    </w:p>
    <w:p w:rsidR="00967210" w:rsidRPr="003B5BC5" w:rsidRDefault="00967210" w:rsidP="00967210">
      <w:pPr>
        <w:pStyle w:val="Heading3"/>
        <w:jc w:val="both"/>
        <w:rPr>
          <w:sz w:val="28"/>
          <w:szCs w:val="28"/>
        </w:rPr>
      </w:pPr>
      <w:bookmarkStart w:id="8" w:name="_Toc517349935"/>
      <w:bookmarkStart w:id="9" w:name="_Hlk511294747"/>
      <w:bookmarkEnd w:id="7"/>
      <w:r w:rsidRPr="003B5BC5">
        <w:rPr>
          <w:sz w:val="28"/>
          <w:szCs w:val="28"/>
        </w:rPr>
        <w:t>La Torture</w:t>
      </w:r>
      <w:bookmarkEnd w:id="8"/>
    </w:p>
    <w:p w:rsidR="00967210" w:rsidRPr="00455ADB" w:rsidRDefault="00967210" w:rsidP="00967210">
      <w:pPr>
        <w:jc w:val="both"/>
        <w:rPr>
          <w:sz w:val="28"/>
          <w:szCs w:val="28"/>
        </w:rPr>
      </w:pPr>
      <w:r w:rsidRPr="00455ADB">
        <w:rPr>
          <w:sz w:val="28"/>
          <w:szCs w:val="28"/>
        </w:rPr>
        <w:t>Les points saillants sur la notion au regard du rapport récent soumis par l’</w:t>
      </w:r>
      <w:r>
        <w:rPr>
          <w:sz w:val="28"/>
          <w:szCs w:val="28"/>
        </w:rPr>
        <w:t>E</w:t>
      </w:r>
      <w:r w:rsidRPr="00455ADB">
        <w:rPr>
          <w:sz w:val="28"/>
          <w:szCs w:val="28"/>
        </w:rPr>
        <w:t xml:space="preserve">tat béninois au Comité laissent subsister le fait qu’il n’y a eu malheureusement aucune avancée positive en la matière. </w:t>
      </w:r>
      <w:r w:rsidRPr="00455ADB">
        <w:rPr>
          <w:sz w:val="28"/>
          <w:szCs w:val="28"/>
        </w:rPr>
        <w:lastRenderedPageBreak/>
        <w:t>L’absence d’incrimination légale de la torture demeure encore d’actualité.</w:t>
      </w:r>
    </w:p>
    <w:p w:rsidR="00967210" w:rsidRDefault="00967210" w:rsidP="00967210">
      <w:pPr>
        <w:jc w:val="both"/>
        <w:rPr>
          <w:sz w:val="28"/>
          <w:szCs w:val="28"/>
        </w:rPr>
      </w:pPr>
      <w:r w:rsidRPr="00455ADB">
        <w:rPr>
          <w:sz w:val="28"/>
          <w:szCs w:val="28"/>
        </w:rPr>
        <w:t>La torture n’est donc toujours pas pénalement incriminée. Les articles 18 et 19 de la Constitution</w:t>
      </w:r>
      <w:r w:rsidRPr="00455ADB">
        <w:rPr>
          <w:rStyle w:val="FootnoteReference"/>
          <w:sz w:val="28"/>
          <w:szCs w:val="28"/>
        </w:rPr>
        <w:footnoteReference w:id="5"/>
      </w:r>
      <w:r w:rsidR="00845CAD">
        <w:rPr>
          <w:sz w:val="28"/>
          <w:szCs w:val="28"/>
        </w:rPr>
        <w:t>,</w:t>
      </w:r>
      <w:r w:rsidRPr="00455ADB">
        <w:rPr>
          <w:sz w:val="28"/>
          <w:szCs w:val="28"/>
        </w:rPr>
        <w:t xml:space="preserve"> s’ils font référence expresse à la notion</w:t>
      </w:r>
      <w:r w:rsidR="00845CAD">
        <w:rPr>
          <w:sz w:val="28"/>
          <w:szCs w:val="28"/>
        </w:rPr>
        <w:t>,</w:t>
      </w:r>
      <w:r w:rsidRPr="00455ADB">
        <w:rPr>
          <w:sz w:val="28"/>
          <w:szCs w:val="28"/>
        </w:rPr>
        <w:t xml:space="preserve"> ne sont pas relayés dans la législation pénale. Cela est donc en opposition directe avec l’article 4 de la Convention contre la torture à laquelle le Bénin est partie.  Et donc pour conséquence, un agent de l’Etat présumé coupable d’un tel acte ne pourrait voir sa responsabilité être soulevée. Pire encore, le nouveau Code Pénal</w:t>
      </w:r>
      <w:r>
        <w:rPr>
          <w:sz w:val="28"/>
          <w:szCs w:val="28"/>
        </w:rPr>
        <w:t>,</w:t>
      </w:r>
      <w:r w:rsidRPr="00455ADB">
        <w:rPr>
          <w:sz w:val="28"/>
          <w:szCs w:val="28"/>
        </w:rPr>
        <w:t xml:space="preserve"> n</w:t>
      </w:r>
      <w:r>
        <w:rPr>
          <w:sz w:val="28"/>
          <w:szCs w:val="28"/>
        </w:rPr>
        <w:t>’a pas</w:t>
      </w:r>
      <w:r w:rsidRPr="00455ADB">
        <w:rPr>
          <w:sz w:val="28"/>
          <w:szCs w:val="28"/>
        </w:rPr>
        <w:t xml:space="preserve"> prév</w:t>
      </w:r>
      <w:r>
        <w:rPr>
          <w:sz w:val="28"/>
          <w:szCs w:val="28"/>
        </w:rPr>
        <w:t>u</w:t>
      </w:r>
      <w:r w:rsidRPr="00455ADB">
        <w:rPr>
          <w:sz w:val="28"/>
          <w:szCs w:val="28"/>
        </w:rPr>
        <w:t xml:space="preserve"> que la torture soit érigée en infraction. Cette omission avait d’ailleurs été reconnue par la délégation béninoise lors de l’examen du rapport initial au Comité des droits de l</w:t>
      </w:r>
      <w:r w:rsidR="00845CAD">
        <w:rPr>
          <w:sz w:val="28"/>
          <w:szCs w:val="28"/>
        </w:rPr>
        <w:t>’H</w:t>
      </w:r>
      <w:r w:rsidRPr="00455ADB">
        <w:rPr>
          <w:sz w:val="28"/>
          <w:szCs w:val="28"/>
        </w:rPr>
        <w:t>omme en octobre 2004</w:t>
      </w:r>
      <w:r w:rsidRPr="00455ADB">
        <w:rPr>
          <w:rStyle w:val="FootnoteReference"/>
          <w:sz w:val="28"/>
          <w:szCs w:val="28"/>
        </w:rPr>
        <w:footnoteReference w:id="6"/>
      </w:r>
      <w:r w:rsidRPr="00455ADB">
        <w:rPr>
          <w:sz w:val="28"/>
          <w:szCs w:val="28"/>
        </w:rPr>
        <w:t xml:space="preserve">. </w:t>
      </w:r>
    </w:p>
    <w:p w:rsidR="00967210" w:rsidRPr="00455ADB" w:rsidRDefault="00967210" w:rsidP="00967210">
      <w:pPr>
        <w:jc w:val="both"/>
        <w:rPr>
          <w:sz w:val="28"/>
          <w:szCs w:val="28"/>
        </w:rPr>
      </w:pPr>
      <w:r w:rsidRPr="00455ADB">
        <w:rPr>
          <w:sz w:val="28"/>
          <w:szCs w:val="28"/>
        </w:rPr>
        <w:lastRenderedPageBreak/>
        <w:t>Et même si à ce jour, de nombreuses actions sont entreprises par la société civile pour exiger une véritable incrimination de la torture dans le droit pénal béninois, il n’en demeure pas moins que cela ne semble pas faire l’objet d’urgente préoccupation de la part des autorités béninoises.</w:t>
      </w:r>
    </w:p>
    <w:p w:rsidR="00967210" w:rsidRPr="00D12F6C" w:rsidRDefault="00967210" w:rsidP="00967210">
      <w:pPr>
        <w:jc w:val="both"/>
      </w:pPr>
      <w:r w:rsidRPr="00455ADB">
        <w:rPr>
          <w:sz w:val="28"/>
          <w:szCs w:val="28"/>
        </w:rPr>
        <w:t>Aussi à ce jour</w:t>
      </w:r>
      <w:r>
        <w:rPr>
          <w:sz w:val="28"/>
          <w:szCs w:val="28"/>
        </w:rPr>
        <w:t>,</w:t>
      </w:r>
      <w:r w:rsidRPr="00455ADB">
        <w:rPr>
          <w:sz w:val="28"/>
          <w:szCs w:val="28"/>
        </w:rPr>
        <w:t xml:space="preserve"> le mécanisme national de prévention de la torture demeure simplement inexistant.</w:t>
      </w:r>
      <w:r>
        <w:rPr>
          <w:sz w:val="28"/>
          <w:szCs w:val="28"/>
        </w:rPr>
        <w:t xml:space="preserve"> Le</w:t>
      </w:r>
      <w:r w:rsidR="00A76B04">
        <w:rPr>
          <w:sz w:val="28"/>
          <w:szCs w:val="28"/>
        </w:rPr>
        <w:t xml:space="preserve"> Plan d’actions national de mise en œuvre des recommandations du deuxième cycle d’Examen Périodique Universel du Bénin a prévu intégrer les compétences de ce mécanisme aux attributions de </w:t>
      </w:r>
      <w:r>
        <w:rPr>
          <w:sz w:val="28"/>
          <w:szCs w:val="28"/>
        </w:rPr>
        <w:t xml:space="preserve">la Commission Béninoise des Droits de l’Homme </w:t>
      </w:r>
      <w:r w:rsidR="00D943E0">
        <w:rPr>
          <w:sz w:val="28"/>
          <w:szCs w:val="28"/>
        </w:rPr>
        <w:t xml:space="preserve">(INDH) </w:t>
      </w:r>
      <w:r>
        <w:rPr>
          <w:sz w:val="28"/>
          <w:szCs w:val="28"/>
        </w:rPr>
        <w:t>dont le processus d’installation suit toujours son cours.</w:t>
      </w:r>
    </w:p>
    <w:p w:rsidR="00967210" w:rsidRDefault="00967210" w:rsidP="00967210">
      <w:pPr>
        <w:jc w:val="both"/>
      </w:pPr>
    </w:p>
    <w:p w:rsidR="00967210" w:rsidRPr="003B5BC5" w:rsidRDefault="00967210" w:rsidP="00967210">
      <w:pPr>
        <w:pStyle w:val="Heading3"/>
        <w:jc w:val="both"/>
        <w:rPr>
          <w:sz w:val="28"/>
          <w:szCs w:val="28"/>
        </w:rPr>
      </w:pPr>
      <w:bookmarkStart w:id="10" w:name="_Toc517349936"/>
      <w:r w:rsidRPr="003B5BC5">
        <w:rPr>
          <w:sz w:val="28"/>
          <w:szCs w:val="28"/>
        </w:rPr>
        <w:t>La détention</w:t>
      </w:r>
      <w:bookmarkEnd w:id="10"/>
    </w:p>
    <w:p w:rsidR="00967210" w:rsidRPr="00BC16AF" w:rsidRDefault="00967210" w:rsidP="00967210">
      <w:pPr>
        <w:jc w:val="both"/>
        <w:rPr>
          <w:sz w:val="28"/>
          <w:szCs w:val="28"/>
        </w:rPr>
      </w:pPr>
      <w:r w:rsidRPr="00BC16AF">
        <w:rPr>
          <w:sz w:val="28"/>
          <w:szCs w:val="28"/>
        </w:rPr>
        <w:t>S’agissant des conditions de détention dans les centres, le constat reste toujours amer. En effet</w:t>
      </w:r>
      <w:r>
        <w:rPr>
          <w:sz w:val="28"/>
          <w:szCs w:val="28"/>
        </w:rPr>
        <w:t>,</w:t>
      </w:r>
      <w:r w:rsidRPr="00BC16AF">
        <w:rPr>
          <w:sz w:val="28"/>
          <w:szCs w:val="28"/>
        </w:rPr>
        <w:t xml:space="preserve"> on relève des irrégularités persistantes notamment :</w:t>
      </w:r>
    </w:p>
    <w:p w:rsidR="00967210" w:rsidRPr="00967210" w:rsidRDefault="00967210" w:rsidP="00967210">
      <w:pPr>
        <w:numPr>
          <w:ilvl w:val="2"/>
          <w:numId w:val="2"/>
        </w:numPr>
        <w:jc w:val="both"/>
        <w:rPr>
          <w:sz w:val="28"/>
          <w:szCs w:val="28"/>
        </w:rPr>
      </w:pPr>
      <w:r w:rsidRPr="00BC16AF">
        <w:rPr>
          <w:sz w:val="28"/>
          <w:szCs w:val="28"/>
        </w:rPr>
        <w:lastRenderedPageBreak/>
        <w:t xml:space="preserve"> La surpopulation carcérale</w:t>
      </w:r>
      <w:r>
        <w:rPr>
          <w:rStyle w:val="FootnoteReference"/>
          <w:sz w:val="28"/>
          <w:szCs w:val="28"/>
        </w:rPr>
        <w:footnoteReference w:id="7"/>
      </w:r>
      <w:r w:rsidRPr="00BC16AF">
        <w:rPr>
          <w:sz w:val="28"/>
          <w:szCs w:val="28"/>
        </w:rPr>
        <w:t xml:space="preserve"> qui va de mal en pi</w:t>
      </w:r>
      <w:r>
        <w:rPr>
          <w:sz w:val="28"/>
          <w:szCs w:val="28"/>
        </w:rPr>
        <w:t>re</w:t>
      </w:r>
      <w:r w:rsidRPr="00BC16AF">
        <w:rPr>
          <w:sz w:val="28"/>
          <w:szCs w:val="28"/>
        </w:rPr>
        <w:t xml:space="preserve"> nonobstant le fait que l’Etat se vante de la mise en place d’un nouveau centre de détention.</w:t>
      </w:r>
      <w:r>
        <w:rPr>
          <w:sz w:val="28"/>
          <w:szCs w:val="28"/>
        </w:rPr>
        <w:t xml:space="preserve"> En effet, u</w:t>
      </w:r>
      <w:r w:rsidRPr="00967210">
        <w:rPr>
          <w:sz w:val="28"/>
          <w:szCs w:val="28"/>
        </w:rPr>
        <w:t xml:space="preserve">ne étude réalisée en Juillet-Août 2016 par le Ministère de la Justice et de la Législation révèle que </w:t>
      </w:r>
      <w:r w:rsidRPr="00CD2C9A">
        <w:rPr>
          <w:sz w:val="28"/>
          <w:szCs w:val="28"/>
        </w:rPr>
        <w:t>les prisons béninoises reçoivent 2 à 5 fois plus que leur capacité d’accueil,</w:t>
      </w:r>
      <w:r w:rsidRPr="00967210">
        <w:rPr>
          <w:sz w:val="28"/>
          <w:szCs w:val="28"/>
        </w:rPr>
        <w:t xml:space="preserve"> ce qui induit par moment des insurrections comme à la prison civile d’Abomey en 2016. </w:t>
      </w:r>
    </w:p>
    <w:p w:rsidR="00967210" w:rsidRPr="00BC16AF" w:rsidRDefault="00967210" w:rsidP="00967210">
      <w:pPr>
        <w:numPr>
          <w:ilvl w:val="2"/>
          <w:numId w:val="2"/>
        </w:numPr>
        <w:jc w:val="both"/>
        <w:rPr>
          <w:sz w:val="28"/>
          <w:szCs w:val="28"/>
        </w:rPr>
      </w:pPr>
      <w:r w:rsidRPr="00BC16AF">
        <w:rPr>
          <w:sz w:val="28"/>
          <w:szCs w:val="28"/>
        </w:rPr>
        <w:t>L’exiguïté et de la vétusté des bâtiments qui semblent ne pas avoir de budget de rénovation prévu à ce jour,</w:t>
      </w:r>
    </w:p>
    <w:p w:rsidR="00967210" w:rsidRPr="00BC16AF" w:rsidRDefault="00967210" w:rsidP="00967210">
      <w:pPr>
        <w:numPr>
          <w:ilvl w:val="2"/>
          <w:numId w:val="2"/>
        </w:numPr>
        <w:jc w:val="both"/>
        <w:rPr>
          <w:sz w:val="28"/>
          <w:szCs w:val="28"/>
        </w:rPr>
      </w:pPr>
      <w:r w:rsidRPr="00BC16AF">
        <w:rPr>
          <w:sz w:val="28"/>
          <w:szCs w:val="28"/>
        </w:rPr>
        <w:t>L’ouverture tardive et la lenteur de la procédure judiciaire,</w:t>
      </w:r>
    </w:p>
    <w:p w:rsidR="00967210" w:rsidRPr="00BC16AF" w:rsidRDefault="00967210" w:rsidP="00967210">
      <w:pPr>
        <w:numPr>
          <w:ilvl w:val="2"/>
          <w:numId w:val="2"/>
        </w:numPr>
        <w:jc w:val="both"/>
        <w:rPr>
          <w:sz w:val="28"/>
          <w:szCs w:val="28"/>
        </w:rPr>
      </w:pPr>
      <w:r w:rsidRPr="00BC16AF">
        <w:rPr>
          <w:sz w:val="28"/>
          <w:szCs w:val="28"/>
        </w:rPr>
        <w:lastRenderedPageBreak/>
        <w:t>L’insécurité sanitaire des lieux de détention et le manque accru d’hygiène causant des maladies et des épidémies sanitaires.</w:t>
      </w:r>
    </w:p>
    <w:p w:rsidR="00967210" w:rsidRPr="00BC16AF" w:rsidRDefault="00967210" w:rsidP="00967210">
      <w:pPr>
        <w:numPr>
          <w:ilvl w:val="2"/>
          <w:numId w:val="2"/>
        </w:numPr>
        <w:jc w:val="both"/>
        <w:rPr>
          <w:sz w:val="28"/>
          <w:szCs w:val="28"/>
        </w:rPr>
      </w:pPr>
      <w:r w:rsidRPr="00BC16AF">
        <w:rPr>
          <w:sz w:val="28"/>
          <w:szCs w:val="28"/>
        </w:rPr>
        <w:t>L’accès très limité aux soins médicaux, l’insuffisance et la qualité médiocre de la ration alimentaire</w:t>
      </w:r>
    </w:p>
    <w:p w:rsidR="00967210" w:rsidRPr="00BC16AF" w:rsidRDefault="00967210" w:rsidP="00967210">
      <w:pPr>
        <w:numPr>
          <w:ilvl w:val="2"/>
          <w:numId w:val="2"/>
        </w:numPr>
        <w:jc w:val="both"/>
        <w:rPr>
          <w:sz w:val="28"/>
          <w:szCs w:val="28"/>
        </w:rPr>
      </w:pPr>
      <w:r w:rsidRPr="00BC16AF">
        <w:rPr>
          <w:sz w:val="28"/>
          <w:szCs w:val="28"/>
        </w:rPr>
        <w:t>Un déficit de visites régulières effectuées par les structures compétentes,</w:t>
      </w:r>
    </w:p>
    <w:p w:rsidR="00967210" w:rsidRPr="00BC16AF" w:rsidRDefault="00967210" w:rsidP="00967210">
      <w:pPr>
        <w:numPr>
          <w:ilvl w:val="2"/>
          <w:numId w:val="2"/>
        </w:numPr>
        <w:jc w:val="both"/>
        <w:rPr>
          <w:sz w:val="28"/>
          <w:szCs w:val="28"/>
        </w:rPr>
      </w:pPr>
      <w:r w:rsidRPr="00BC16AF">
        <w:rPr>
          <w:sz w:val="28"/>
          <w:szCs w:val="28"/>
        </w:rPr>
        <w:t>La promiscuité de la population</w:t>
      </w:r>
      <w:r>
        <w:rPr>
          <w:sz w:val="28"/>
          <w:szCs w:val="28"/>
        </w:rPr>
        <w:t xml:space="preserve"> carcérale</w:t>
      </w:r>
    </w:p>
    <w:p w:rsidR="00967210" w:rsidRPr="00BC16AF" w:rsidRDefault="00967210" w:rsidP="00967210">
      <w:pPr>
        <w:numPr>
          <w:ilvl w:val="2"/>
          <w:numId w:val="2"/>
        </w:numPr>
        <w:jc w:val="both"/>
        <w:rPr>
          <w:sz w:val="28"/>
          <w:szCs w:val="28"/>
        </w:rPr>
      </w:pPr>
      <w:r w:rsidRPr="00BC16AF">
        <w:rPr>
          <w:sz w:val="28"/>
          <w:szCs w:val="28"/>
        </w:rPr>
        <w:t>Le nombre élevé de détentions non justifiées.</w:t>
      </w:r>
      <w:r>
        <w:rPr>
          <w:rStyle w:val="FootnoteReference"/>
          <w:sz w:val="28"/>
          <w:szCs w:val="28"/>
        </w:rPr>
        <w:footnoteReference w:id="8"/>
      </w:r>
    </w:p>
    <w:p w:rsidR="00967210" w:rsidRPr="00BF20FB" w:rsidRDefault="00967210" w:rsidP="00967210">
      <w:pPr>
        <w:jc w:val="both"/>
      </w:pPr>
    </w:p>
    <w:p w:rsidR="00C83463" w:rsidRDefault="00967210" w:rsidP="00967210">
      <w:pPr>
        <w:jc w:val="both"/>
        <w:rPr>
          <w:sz w:val="28"/>
          <w:szCs w:val="28"/>
        </w:rPr>
      </w:pPr>
      <w:r w:rsidRPr="003170BE">
        <w:rPr>
          <w:sz w:val="28"/>
          <w:szCs w:val="28"/>
        </w:rPr>
        <w:t>Les bâtiments hébergent un très grand nombre de prisonniers ou détenus, la plupart dort dans des conditions inhumaines</w:t>
      </w:r>
      <w:r w:rsidR="0031781A">
        <w:rPr>
          <w:rStyle w:val="FootnoteReference"/>
          <w:sz w:val="28"/>
          <w:szCs w:val="28"/>
        </w:rPr>
        <w:footnoteReference w:id="9"/>
      </w:r>
      <w:r w:rsidRPr="003170BE">
        <w:rPr>
          <w:sz w:val="28"/>
          <w:szCs w:val="28"/>
        </w:rPr>
        <w:t>.</w:t>
      </w:r>
      <w:r>
        <w:rPr>
          <w:sz w:val="28"/>
          <w:szCs w:val="28"/>
        </w:rPr>
        <w:t xml:space="preserve"> Aussi il a été constaté </w:t>
      </w:r>
      <w:r>
        <w:rPr>
          <w:sz w:val="28"/>
          <w:szCs w:val="28"/>
        </w:rPr>
        <w:lastRenderedPageBreak/>
        <w:t>l’existence d’un système de racolage et de rançonnement dans les prisons avec la complicité des régisseur</w:t>
      </w:r>
      <w:r w:rsidR="00C83463">
        <w:rPr>
          <w:sz w:val="28"/>
          <w:szCs w:val="28"/>
        </w:rPr>
        <w:t xml:space="preserve">s </w:t>
      </w:r>
      <w:r w:rsidR="00C83463" w:rsidRPr="00C83463">
        <w:rPr>
          <w:sz w:val="28"/>
          <w:szCs w:val="28"/>
        </w:rPr>
        <w:t xml:space="preserve">et </w:t>
      </w:r>
      <w:r w:rsidR="00C83463">
        <w:rPr>
          <w:sz w:val="28"/>
          <w:szCs w:val="28"/>
        </w:rPr>
        <w:t>d</w:t>
      </w:r>
      <w:r w:rsidR="00C83463" w:rsidRPr="00C83463">
        <w:rPr>
          <w:sz w:val="28"/>
          <w:szCs w:val="28"/>
        </w:rPr>
        <w:t xml:space="preserve">es gardiens de prison à travers un système de </w:t>
      </w:r>
      <w:r w:rsidR="004A163B">
        <w:rPr>
          <w:sz w:val="28"/>
          <w:szCs w:val="28"/>
        </w:rPr>
        <w:t>gérance par</w:t>
      </w:r>
      <w:r w:rsidR="00C83463" w:rsidRPr="00C83463">
        <w:rPr>
          <w:sz w:val="28"/>
          <w:szCs w:val="28"/>
        </w:rPr>
        <w:t xml:space="preserve"> dérogation aux responsables des bâtiments. Ce qui permet aujourd’hui à beaucoup de responsables de prison et aux gardiens de prison de se protéger juridiquement. Etre prisonnier au Bénin, suscite un autre enfer au-delà de la rétention</w:t>
      </w:r>
      <w:r w:rsidR="00C83463">
        <w:rPr>
          <w:sz w:val="28"/>
          <w:szCs w:val="28"/>
        </w:rPr>
        <w:t> :</w:t>
      </w:r>
    </w:p>
    <w:p w:rsidR="00C83463" w:rsidRDefault="00C83463" w:rsidP="00C83463">
      <w:pPr>
        <w:pStyle w:val="ListParagraph"/>
        <w:numPr>
          <w:ilvl w:val="0"/>
          <w:numId w:val="5"/>
        </w:numPr>
        <w:jc w:val="both"/>
        <w:rPr>
          <w:sz w:val="28"/>
          <w:szCs w:val="28"/>
        </w:rPr>
      </w:pPr>
      <w:r w:rsidRPr="00C83463">
        <w:rPr>
          <w:sz w:val="28"/>
          <w:szCs w:val="28"/>
        </w:rPr>
        <w:t xml:space="preserve"> Le prisonnier Béninois, </w:t>
      </w:r>
      <w:r>
        <w:rPr>
          <w:sz w:val="28"/>
          <w:szCs w:val="28"/>
        </w:rPr>
        <w:t>est amené à payer</w:t>
      </w:r>
      <w:r w:rsidRPr="00C83463">
        <w:rPr>
          <w:sz w:val="28"/>
          <w:szCs w:val="28"/>
        </w:rPr>
        <w:t xml:space="preserve"> un minimum de 20000 CFA soit 31euros</w:t>
      </w:r>
      <w:r>
        <w:rPr>
          <w:sz w:val="28"/>
          <w:szCs w:val="28"/>
        </w:rPr>
        <w:t> </w:t>
      </w:r>
      <w:r w:rsidRPr="00C83463">
        <w:rPr>
          <w:sz w:val="28"/>
          <w:szCs w:val="28"/>
        </w:rPr>
        <w:t>pour</w:t>
      </w:r>
      <w:r>
        <w:rPr>
          <w:sz w:val="28"/>
          <w:szCs w:val="28"/>
        </w:rPr>
        <w:t> </w:t>
      </w:r>
      <w:r w:rsidRPr="00C83463">
        <w:rPr>
          <w:sz w:val="28"/>
          <w:szCs w:val="28"/>
        </w:rPr>
        <w:t>avoir</w:t>
      </w:r>
      <w:r>
        <w:rPr>
          <w:sz w:val="28"/>
          <w:szCs w:val="28"/>
        </w:rPr>
        <w:t> </w:t>
      </w:r>
      <w:r w:rsidRPr="00C83463">
        <w:rPr>
          <w:sz w:val="28"/>
          <w:szCs w:val="28"/>
        </w:rPr>
        <w:t>droit</w:t>
      </w:r>
      <w:r>
        <w:rPr>
          <w:sz w:val="28"/>
          <w:szCs w:val="28"/>
        </w:rPr>
        <w:t> </w:t>
      </w:r>
      <w:r w:rsidRPr="00C83463">
        <w:rPr>
          <w:sz w:val="28"/>
          <w:szCs w:val="28"/>
        </w:rPr>
        <w:t>à</w:t>
      </w:r>
      <w:r>
        <w:rPr>
          <w:sz w:val="28"/>
          <w:szCs w:val="28"/>
        </w:rPr>
        <w:t> </w:t>
      </w:r>
      <w:r w:rsidRPr="00C83463">
        <w:rPr>
          <w:sz w:val="28"/>
          <w:szCs w:val="28"/>
        </w:rPr>
        <w:t>un</w:t>
      </w:r>
      <w:r>
        <w:rPr>
          <w:sz w:val="28"/>
          <w:szCs w:val="28"/>
        </w:rPr>
        <w:t> </w:t>
      </w:r>
      <w:r w:rsidRPr="00C83463">
        <w:rPr>
          <w:sz w:val="28"/>
          <w:szCs w:val="28"/>
        </w:rPr>
        <w:t>matelas.  </w:t>
      </w:r>
    </w:p>
    <w:p w:rsidR="00594229" w:rsidRDefault="00C83463" w:rsidP="00C83463">
      <w:pPr>
        <w:pStyle w:val="ListParagraph"/>
        <w:numPr>
          <w:ilvl w:val="0"/>
          <w:numId w:val="5"/>
        </w:numPr>
        <w:jc w:val="both"/>
        <w:rPr>
          <w:sz w:val="28"/>
          <w:szCs w:val="28"/>
        </w:rPr>
      </w:pPr>
      <w:r>
        <w:rPr>
          <w:sz w:val="28"/>
          <w:szCs w:val="28"/>
        </w:rPr>
        <w:t xml:space="preserve">On dénote l’existence de </w:t>
      </w:r>
      <w:r w:rsidRPr="00C83463">
        <w:rPr>
          <w:sz w:val="28"/>
          <w:szCs w:val="28"/>
        </w:rPr>
        <w:t>taxes</w:t>
      </w:r>
      <w:r>
        <w:rPr>
          <w:sz w:val="28"/>
          <w:szCs w:val="28"/>
        </w:rPr>
        <w:t xml:space="preserve"> informelles par rapport </w:t>
      </w:r>
      <w:r w:rsidR="00594229">
        <w:rPr>
          <w:sz w:val="28"/>
          <w:szCs w:val="28"/>
        </w:rPr>
        <w:t>au logement. Par exemple a</w:t>
      </w:r>
      <w:r w:rsidRPr="00C83463">
        <w:rPr>
          <w:sz w:val="28"/>
          <w:szCs w:val="28"/>
        </w:rPr>
        <w:t>u premier niveau</w:t>
      </w:r>
      <w:r w:rsidR="00594229">
        <w:rPr>
          <w:sz w:val="28"/>
          <w:szCs w:val="28"/>
        </w:rPr>
        <w:t xml:space="preserve"> p</w:t>
      </w:r>
      <w:r w:rsidRPr="00C83463">
        <w:rPr>
          <w:sz w:val="28"/>
          <w:szCs w:val="28"/>
        </w:rPr>
        <w:t>lus proche des brasseurs</w:t>
      </w:r>
      <w:r w:rsidR="00594229">
        <w:rPr>
          <w:sz w:val="28"/>
          <w:szCs w:val="28"/>
        </w:rPr>
        <w:t>, le logis</w:t>
      </w:r>
      <w:r w:rsidRPr="00C83463">
        <w:rPr>
          <w:sz w:val="28"/>
          <w:szCs w:val="28"/>
        </w:rPr>
        <w:t xml:space="preserve"> coute</w:t>
      </w:r>
      <w:r w:rsidR="00594229">
        <w:rPr>
          <w:sz w:val="28"/>
          <w:szCs w:val="28"/>
        </w:rPr>
        <w:t>rait</w:t>
      </w:r>
      <w:r w:rsidRPr="00C83463">
        <w:rPr>
          <w:sz w:val="28"/>
          <w:szCs w:val="28"/>
        </w:rPr>
        <w:t xml:space="preserve"> 65000 CFA soit 100 euros. Le second niveau plus proche du sol, coute</w:t>
      </w:r>
      <w:r w:rsidR="00594229">
        <w:rPr>
          <w:sz w:val="28"/>
          <w:szCs w:val="28"/>
        </w:rPr>
        <w:t>rait</w:t>
      </w:r>
      <w:r w:rsidRPr="00C83463">
        <w:rPr>
          <w:sz w:val="28"/>
          <w:szCs w:val="28"/>
        </w:rPr>
        <w:t xml:space="preserve"> 45000 CFA soit 67 euros. Et pour poser le matelas</w:t>
      </w:r>
      <w:r w:rsidR="00594229">
        <w:rPr>
          <w:sz w:val="28"/>
          <w:szCs w:val="28"/>
        </w:rPr>
        <w:t xml:space="preserve"> à ras le </w:t>
      </w:r>
      <w:r w:rsidRPr="00C83463">
        <w:rPr>
          <w:sz w:val="28"/>
          <w:szCs w:val="28"/>
        </w:rPr>
        <w:t>sol</w:t>
      </w:r>
      <w:r w:rsidR="00594229">
        <w:rPr>
          <w:sz w:val="28"/>
          <w:szCs w:val="28"/>
        </w:rPr>
        <w:t>,</w:t>
      </w:r>
      <w:r w:rsidRPr="00C83463">
        <w:rPr>
          <w:sz w:val="28"/>
          <w:szCs w:val="28"/>
        </w:rPr>
        <w:t>20000 CFA soit 31euros. A défaut de ces différents tarifs, le prisonnier qui dort dans les mêmes entrepôts qui fait office du bâtiment de détention aura</w:t>
      </w:r>
      <w:r w:rsidR="00594229">
        <w:rPr>
          <w:sz w:val="28"/>
          <w:szCs w:val="28"/>
        </w:rPr>
        <w:t>it</w:t>
      </w:r>
      <w:r w:rsidRPr="00C83463">
        <w:rPr>
          <w:sz w:val="28"/>
          <w:szCs w:val="28"/>
        </w:rPr>
        <w:t xml:space="preserve"> l’obligation de faire le balayage au réveil de tout le bâtiment, le </w:t>
      </w:r>
      <w:r w:rsidRPr="00C83463">
        <w:rPr>
          <w:sz w:val="28"/>
          <w:szCs w:val="28"/>
        </w:rPr>
        <w:lastRenderedPageBreak/>
        <w:t xml:space="preserve">lavage des </w:t>
      </w:r>
      <w:r w:rsidR="00594229">
        <w:rPr>
          <w:sz w:val="28"/>
          <w:szCs w:val="28"/>
        </w:rPr>
        <w:t>t</w:t>
      </w:r>
      <w:r w:rsidRPr="00C83463">
        <w:rPr>
          <w:sz w:val="28"/>
          <w:szCs w:val="28"/>
        </w:rPr>
        <w:t xml:space="preserve">oilettes, le nettoyage des douches communes et </w:t>
      </w:r>
      <w:r w:rsidR="00594229" w:rsidRPr="00C83463">
        <w:rPr>
          <w:sz w:val="28"/>
          <w:szCs w:val="28"/>
        </w:rPr>
        <w:t>d</w:t>
      </w:r>
      <w:r w:rsidR="00594229">
        <w:rPr>
          <w:sz w:val="28"/>
          <w:szCs w:val="28"/>
        </w:rPr>
        <w:t>evra</w:t>
      </w:r>
      <w:r w:rsidR="00594229" w:rsidRPr="00C83463">
        <w:rPr>
          <w:sz w:val="28"/>
          <w:szCs w:val="28"/>
        </w:rPr>
        <w:t>it</w:t>
      </w:r>
      <w:r w:rsidRPr="00C83463">
        <w:rPr>
          <w:sz w:val="28"/>
          <w:szCs w:val="28"/>
        </w:rPr>
        <w:t xml:space="preserve"> être la dernière personne à se doucher après ses corvées</w:t>
      </w:r>
      <w:r w:rsidR="00631A8E">
        <w:rPr>
          <w:sz w:val="28"/>
          <w:szCs w:val="28"/>
        </w:rPr>
        <w:t xml:space="preserve"> et après la douche de ceux qui </w:t>
      </w:r>
      <w:r w:rsidR="00594229">
        <w:rPr>
          <w:sz w:val="28"/>
          <w:szCs w:val="28"/>
        </w:rPr>
        <w:t>auraie</w:t>
      </w:r>
      <w:r w:rsidRPr="00C83463">
        <w:rPr>
          <w:sz w:val="28"/>
          <w:szCs w:val="28"/>
        </w:rPr>
        <w:t>nt</w:t>
      </w:r>
      <w:r w:rsidR="00594229">
        <w:rPr>
          <w:sz w:val="28"/>
          <w:szCs w:val="28"/>
        </w:rPr>
        <w:t> </w:t>
      </w:r>
      <w:r w:rsidRPr="00C83463">
        <w:rPr>
          <w:sz w:val="28"/>
          <w:szCs w:val="28"/>
        </w:rPr>
        <w:t xml:space="preserve">payés. </w:t>
      </w:r>
      <w:r w:rsidRPr="00C83463">
        <w:rPr>
          <w:sz w:val="28"/>
          <w:szCs w:val="28"/>
        </w:rPr>
        <w:br/>
        <w:t>Ces sommes s</w:t>
      </w:r>
      <w:r w:rsidR="00594229">
        <w:rPr>
          <w:sz w:val="28"/>
          <w:szCs w:val="28"/>
        </w:rPr>
        <w:t>eraien</w:t>
      </w:r>
      <w:r w:rsidRPr="00C83463">
        <w:rPr>
          <w:sz w:val="28"/>
          <w:szCs w:val="28"/>
        </w:rPr>
        <w:t>t versées directement à d’autres prisonniers qui sont responsables des bâtimen</w:t>
      </w:r>
      <w:r w:rsidR="00631A8E">
        <w:rPr>
          <w:sz w:val="28"/>
          <w:szCs w:val="28"/>
        </w:rPr>
        <w:t>ts désignés par les régisseurs</w:t>
      </w:r>
      <w:r w:rsidRPr="00C83463">
        <w:rPr>
          <w:sz w:val="28"/>
          <w:szCs w:val="28"/>
        </w:rPr>
        <w:t xml:space="preserve"> à qui ces derniers rend</w:t>
      </w:r>
      <w:r w:rsidR="00594229">
        <w:rPr>
          <w:sz w:val="28"/>
          <w:szCs w:val="28"/>
        </w:rPr>
        <w:t>raie</w:t>
      </w:r>
      <w:r w:rsidRPr="00C83463">
        <w:rPr>
          <w:sz w:val="28"/>
          <w:szCs w:val="28"/>
        </w:rPr>
        <w:t>nt</w:t>
      </w:r>
      <w:r w:rsidR="00594229">
        <w:rPr>
          <w:sz w:val="28"/>
          <w:szCs w:val="28"/>
        </w:rPr>
        <w:t> c</w:t>
      </w:r>
      <w:r w:rsidRPr="00C83463">
        <w:rPr>
          <w:sz w:val="28"/>
          <w:szCs w:val="28"/>
        </w:rPr>
        <w:t>ompte</w:t>
      </w:r>
      <w:r w:rsidR="00594229">
        <w:rPr>
          <w:sz w:val="28"/>
          <w:szCs w:val="28"/>
        </w:rPr>
        <w:t> </w:t>
      </w:r>
      <w:r w:rsidRPr="00C83463">
        <w:rPr>
          <w:sz w:val="28"/>
          <w:szCs w:val="28"/>
        </w:rPr>
        <w:t>en</w:t>
      </w:r>
      <w:r w:rsidR="00594229">
        <w:rPr>
          <w:sz w:val="28"/>
          <w:szCs w:val="28"/>
        </w:rPr>
        <w:t> </w:t>
      </w:r>
      <w:r w:rsidRPr="00C83463">
        <w:rPr>
          <w:sz w:val="28"/>
          <w:szCs w:val="28"/>
        </w:rPr>
        <w:t xml:space="preserve">retour.  </w:t>
      </w:r>
    </w:p>
    <w:p w:rsidR="00594229" w:rsidRDefault="00594229" w:rsidP="00C83463">
      <w:pPr>
        <w:pStyle w:val="ListParagraph"/>
        <w:numPr>
          <w:ilvl w:val="0"/>
          <w:numId w:val="5"/>
        </w:numPr>
        <w:jc w:val="both"/>
        <w:rPr>
          <w:sz w:val="28"/>
          <w:szCs w:val="28"/>
        </w:rPr>
      </w:pPr>
      <w:r>
        <w:rPr>
          <w:sz w:val="28"/>
          <w:szCs w:val="28"/>
        </w:rPr>
        <w:t>S’agissant des conditions spécifiques liées à la femme dans les milieux de détention, un système de racolage aurait été mis en place.</w:t>
      </w:r>
    </w:p>
    <w:p w:rsidR="0031781A" w:rsidRDefault="00594229" w:rsidP="0031781A">
      <w:pPr>
        <w:pStyle w:val="ListParagraph"/>
        <w:numPr>
          <w:ilvl w:val="0"/>
          <w:numId w:val="5"/>
        </w:numPr>
        <w:jc w:val="both"/>
        <w:rPr>
          <w:sz w:val="28"/>
          <w:szCs w:val="28"/>
        </w:rPr>
      </w:pPr>
      <w:r w:rsidRPr="005A7B48">
        <w:rPr>
          <w:sz w:val="28"/>
          <w:szCs w:val="28"/>
        </w:rPr>
        <w:t>Aussi existe</w:t>
      </w:r>
      <w:r w:rsidR="005A7B48">
        <w:rPr>
          <w:sz w:val="28"/>
          <w:szCs w:val="28"/>
        </w:rPr>
        <w:t>-t-il</w:t>
      </w:r>
      <w:r w:rsidRPr="005A7B48">
        <w:rPr>
          <w:sz w:val="28"/>
          <w:szCs w:val="28"/>
        </w:rPr>
        <w:t xml:space="preserve"> un défaut de régulation et d’organisation du droit à la communication des prisonniers</w:t>
      </w:r>
      <w:r w:rsidR="0031781A">
        <w:rPr>
          <w:sz w:val="28"/>
          <w:szCs w:val="28"/>
        </w:rPr>
        <w:t xml:space="preserve"> avec le monde extérieur par l’administration pénitentiaire</w:t>
      </w:r>
      <w:r w:rsidRPr="005A7B48">
        <w:rPr>
          <w:sz w:val="28"/>
          <w:szCs w:val="28"/>
        </w:rPr>
        <w:t>. P</w:t>
      </w:r>
      <w:r w:rsidR="0031781A">
        <w:rPr>
          <w:sz w:val="28"/>
          <w:szCs w:val="28"/>
        </w:rPr>
        <w:t xml:space="preserve">our corroborer ce fait, certains détenus compte tenu de leur influence et de leurs moyens arrivent à se doter de </w:t>
      </w:r>
      <w:r w:rsidR="00C83463" w:rsidRPr="005A7B48">
        <w:rPr>
          <w:sz w:val="28"/>
          <w:szCs w:val="28"/>
        </w:rPr>
        <w:t>téléphone</w:t>
      </w:r>
      <w:r w:rsidR="0031781A">
        <w:rPr>
          <w:sz w:val="28"/>
          <w:szCs w:val="28"/>
        </w:rPr>
        <w:t>s</w:t>
      </w:r>
      <w:r w:rsidR="00C83463" w:rsidRPr="005A7B48">
        <w:rPr>
          <w:sz w:val="28"/>
          <w:szCs w:val="28"/>
        </w:rPr>
        <w:t xml:space="preserve"> </w:t>
      </w:r>
      <w:r w:rsidR="0031781A">
        <w:rPr>
          <w:sz w:val="28"/>
          <w:szCs w:val="28"/>
        </w:rPr>
        <w:t>moyennant environ</w:t>
      </w:r>
      <w:r w:rsidR="005A7B48" w:rsidRPr="005A7B48">
        <w:rPr>
          <w:sz w:val="28"/>
          <w:szCs w:val="28"/>
        </w:rPr>
        <w:t xml:space="preserve"> </w:t>
      </w:r>
      <w:r w:rsidR="00C83463" w:rsidRPr="005A7B48">
        <w:rPr>
          <w:sz w:val="28"/>
          <w:szCs w:val="28"/>
        </w:rPr>
        <w:t xml:space="preserve">30.000 </w:t>
      </w:r>
      <w:r w:rsidR="00845CAD" w:rsidRPr="005A7B48">
        <w:rPr>
          <w:sz w:val="28"/>
          <w:szCs w:val="28"/>
        </w:rPr>
        <w:t>CFA</w:t>
      </w:r>
      <w:r w:rsidR="00C83463" w:rsidRPr="005A7B48">
        <w:rPr>
          <w:sz w:val="28"/>
          <w:szCs w:val="28"/>
        </w:rPr>
        <w:t xml:space="preserve"> le mois</w:t>
      </w:r>
      <w:r w:rsidR="0031781A">
        <w:rPr>
          <w:sz w:val="28"/>
          <w:szCs w:val="28"/>
        </w:rPr>
        <w:t>.</w:t>
      </w:r>
      <w:r w:rsidR="0031781A" w:rsidRPr="005A7B48">
        <w:rPr>
          <w:sz w:val="28"/>
          <w:szCs w:val="28"/>
        </w:rPr>
        <w:t xml:space="preserve"> </w:t>
      </w:r>
    </w:p>
    <w:p w:rsidR="00967210" w:rsidRDefault="00C83463" w:rsidP="00967210">
      <w:pPr>
        <w:jc w:val="both"/>
        <w:rPr>
          <w:sz w:val="28"/>
          <w:szCs w:val="28"/>
        </w:rPr>
      </w:pPr>
      <w:r w:rsidRPr="0031781A">
        <w:rPr>
          <w:sz w:val="28"/>
          <w:szCs w:val="28"/>
        </w:rPr>
        <w:t>Il apparaît donc finalement un défaut d’organisation de la situation carcérale de la part des autorités pénitentiaires</w:t>
      </w:r>
      <w:r w:rsidR="0031781A">
        <w:rPr>
          <w:sz w:val="28"/>
          <w:szCs w:val="28"/>
        </w:rPr>
        <w:t xml:space="preserve">. Ce fait avait été rappelé par le SPT lors de sa visite officielle </w:t>
      </w:r>
      <w:r w:rsidR="00CD2C9A">
        <w:rPr>
          <w:sz w:val="28"/>
          <w:szCs w:val="28"/>
        </w:rPr>
        <w:t>par suite de</w:t>
      </w:r>
      <w:r w:rsidR="0031781A">
        <w:rPr>
          <w:sz w:val="28"/>
          <w:szCs w:val="28"/>
        </w:rPr>
        <w:t xml:space="preserve"> laquelle </w:t>
      </w:r>
      <w:r w:rsidR="0031781A">
        <w:rPr>
          <w:sz w:val="28"/>
          <w:szCs w:val="28"/>
        </w:rPr>
        <w:lastRenderedPageBreak/>
        <w:t xml:space="preserve">il a recommandé aux autorités béninoises de mettre en place des mécanismes </w:t>
      </w:r>
      <w:r w:rsidR="00631A8E">
        <w:rPr>
          <w:sz w:val="28"/>
          <w:szCs w:val="28"/>
        </w:rPr>
        <w:t xml:space="preserve">formels </w:t>
      </w:r>
      <w:r w:rsidR="0031781A">
        <w:rPr>
          <w:sz w:val="28"/>
          <w:szCs w:val="28"/>
        </w:rPr>
        <w:t>de plaintes et efficaces au sein des prisons pour ne plus être en violation des règles minima</w:t>
      </w:r>
      <w:r w:rsidR="0031781A">
        <w:rPr>
          <w:rStyle w:val="FootnoteReference"/>
          <w:sz w:val="28"/>
          <w:szCs w:val="28"/>
        </w:rPr>
        <w:footnoteReference w:id="10"/>
      </w:r>
      <w:r w:rsidR="0031781A">
        <w:rPr>
          <w:sz w:val="28"/>
          <w:szCs w:val="28"/>
        </w:rPr>
        <w:t>.</w:t>
      </w:r>
      <w:r w:rsidR="00967210" w:rsidRPr="003170BE">
        <w:rPr>
          <w:sz w:val="28"/>
          <w:szCs w:val="28"/>
        </w:rPr>
        <w:t xml:space="preserve"> </w:t>
      </w:r>
    </w:p>
    <w:p w:rsidR="00845CAD" w:rsidRPr="003170BE" w:rsidRDefault="00541E1F" w:rsidP="00967210">
      <w:pPr>
        <w:jc w:val="both"/>
        <w:rPr>
          <w:sz w:val="28"/>
          <w:szCs w:val="28"/>
        </w:rPr>
      </w:pPr>
      <w:r>
        <w:rPr>
          <w:sz w:val="28"/>
          <w:szCs w:val="28"/>
        </w:rPr>
        <w:t xml:space="preserve">A ceci s’ajoute l’inexistence d’une politique pénale adaptée à des groupes spécifiques tels que les mineurs, les femmes, les personnes âgées et </w:t>
      </w:r>
      <w:r w:rsidR="004D7027">
        <w:rPr>
          <w:sz w:val="28"/>
          <w:szCs w:val="28"/>
        </w:rPr>
        <w:t>les personnes handicapées</w:t>
      </w:r>
      <w:r>
        <w:rPr>
          <w:sz w:val="28"/>
          <w:szCs w:val="28"/>
        </w:rPr>
        <w:t>. Cela avait été déjà relevé par le SPT</w:t>
      </w:r>
      <w:r w:rsidR="004D7027">
        <w:rPr>
          <w:sz w:val="28"/>
          <w:szCs w:val="28"/>
        </w:rPr>
        <w:t xml:space="preserve"> lors de sa visite</w:t>
      </w:r>
      <w:r w:rsidR="004D7027">
        <w:rPr>
          <w:rStyle w:val="FootnoteReference"/>
          <w:sz w:val="28"/>
          <w:szCs w:val="28"/>
        </w:rPr>
        <w:footnoteReference w:id="11"/>
      </w:r>
      <w:r>
        <w:rPr>
          <w:sz w:val="28"/>
          <w:szCs w:val="28"/>
        </w:rPr>
        <w:t xml:space="preserve">. </w:t>
      </w:r>
    </w:p>
    <w:p w:rsidR="00967210" w:rsidRPr="003B5BC5" w:rsidRDefault="00967210" w:rsidP="00967210">
      <w:pPr>
        <w:pStyle w:val="Heading3"/>
        <w:jc w:val="both"/>
        <w:rPr>
          <w:sz w:val="28"/>
          <w:szCs w:val="28"/>
        </w:rPr>
      </w:pPr>
      <w:bookmarkStart w:id="11" w:name="_Toc517349937"/>
      <w:r w:rsidRPr="003B5BC5">
        <w:rPr>
          <w:sz w:val="28"/>
          <w:szCs w:val="28"/>
        </w:rPr>
        <w:t>La violence</w:t>
      </w:r>
      <w:bookmarkEnd w:id="11"/>
    </w:p>
    <w:p w:rsidR="00967210" w:rsidRPr="003170BE" w:rsidRDefault="00967210" w:rsidP="00547387">
      <w:pPr>
        <w:jc w:val="both"/>
        <w:rPr>
          <w:sz w:val="28"/>
          <w:szCs w:val="28"/>
        </w:rPr>
      </w:pPr>
      <w:r w:rsidRPr="003170BE">
        <w:rPr>
          <w:sz w:val="28"/>
          <w:szCs w:val="28"/>
        </w:rPr>
        <w:t>La violence subsiste dans un contexte de pseudo apaisement politique. La violence structurelle des agents étatiques </w:t>
      </w:r>
      <w:r w:rsidR="00547387">
        <w:rPr>
          <w:sz w:val="28"/>
          <w:szCs w:val="28"/>
        </w:rPr>
        <w:t xml:space="preserve">se traduit par </w:t>
      </w:r>
      <w:r w:rsidR="007C5833">
        <w:rPr>
          <w:sz w:val="28"/>
          <w:szCs w:val="28"/>
        </w:rPr>
        <w:t xml:space="preserve">l’existence </w:t>
      </w:r>
      <w:r w:rsidR="00D82034">
        <w:rPr>
          <w:sz w:val="28"/>
          <w:szCs w:val="28"/>
        </w:rPr>
        <w:t xml:space="preserve">par exemple </w:t>
      </w:r>
      <w:r w:rsidR="00A27DD2">
        <w:rPr>
          <w:sz w:val="28"/>
          <w:szCs w:val="28"/>
        </w:rPr>
        <w:t>d</w:t>
      </w:r>
      <w:r w:rsidR="00BB73EC">
        <w:rPr>
          <w:sz w:val="28"/>
          <w:szCs w:val="28"/>
        </w:rPr>
        <w:t>’</w:t>
      </w:r>
      <w:r w:rsidR="00A27DD2">
        <w:rPr>
          <w:sz w:val="28"/>
          <w:szCs w:val="28"/>
        </w:rPr>
        <w:t>u</w:t>
      </w:r>
      <w:r w:rsidR="00BB73EC">
        <w:rPr>
          <w:sz w:val="28"/>
          <w:szCs w:val="28"/>
        </w:rPr>
        <w:t>n </w:t>
      </w:r>
      <w:r w:rsidR="00A27DD2">
        <w:rPr>
          <w:sz w:val="28"/>
          <w:szCs w:val="28"/>
        </w:rPr>
        <w:t>système</w:t>
      </w:r>
      <w:r w:rsidR="00BB73EC">
        <w:rPr>
          <w:sz w:val="28"/>
          <w:szCs w:val="28"/>
        </w:rPr>
        <w:t> </w:t>
      </w:r>
      <w:r w:rsidR="00A27DD2">
        <w:rPr>
          <w:sz w:val="28"/>
          <w:szCs w:val="28"/>
        </w:rPr>
        <w:t>d’autogestion</w:t>
      </w:r>
      <w:r w:rsidR="00BB73EC">
        <w:rPr>
          <w:sz w:val="28"/>
          <w:szCs w:val="28"/>
        </w:rPr>
        <w:t> </w:t>
      </w:r>
      <w:r w:rsidR="00A27DD2">
        <w:rPr>
          <w:sz w:val="28"/>
          <w:szCs w:val="28"/>
        </w:rPr>
        <w:t>ayant</w:t>
      </w:r>
      <w:r w:rsidR="00BB73EC">
        <w:rPr>
          <w:sz w:val="28"/>
          <w:szCs w:val="28"/>
        </w:rPr>
        <w:t> </w:t>
      </w:r>
      <w:r w:rsidR="00A27DD2">
        <w:rPr>
          <w:sz w:val="28"/>
          <w:szCs w:val="28"/>
        </w:rPr>
        <w:t>généré</w:t>
      </w:r>
      <w:r w:rsidR="00BB73EC">
        <w:rPr>
          <w:sz w:val="28"/>
          <w:szCs w:val="28"/>
        </w:rPr>
        <w:t> </w:t>
      </w:r>
      <w:r w:rsidR="00A27DD2">
        <w:rPr>
          <w:sz w:val="28"/>
          <w:szCs w:val="28"/>
        </w:rPr>
        <w:t>une</w:t>
      </w:r>
      <w:r w:rsidR="00BB73EC">
        <w:rPr>
          <w:sz w:val="28"/>
          <w:szCs w:val="28"/>
        </w:rPr>
        <w:t> </w:t>
      </w:r>
      <w:r w:rsidR="00A27DD2">
        <w:rPr>
          <w:sz w:val="28"/>
          <w:szCs w:val="28"/>
        </w:rPr>
        <w:t>co</w:t>
      </w:r>
      <w:r w:rsidR="00BB73EC">
        <w:rPr>
          <w:sz w:val="28"/>
          <w:szCs w:val="28"/>
        </w:rPr>
        <w:t>rruption institutionnalisée</w:t>
      </w:r>
      <w:r w:rsidR="00BB73EC">
        <w:rPr>
          <w:rStyle w:val="FootnoteReference"/>
          <w:sz w:val="28"/>
          <w:szCs w:val="28"/>
        </w:rPr>
        <w:footnoteReference w:id="12"/>
      </w:r>
      <w:r w:rsidR="00BB73EC">
        <w:rPr>
          <w:sz w:val="28"/>
          <w:szCs w:val="28"/>
        </w:rPr>
        <w:t>, systématique, généralisée et encouragée par les autorités de la prison.</w:t>
      </w:r>
    </w:p>
    <w:p w:rsidR="00967210" w:rsidRDefault="00967210" w:rsidP="00967210">
      <w:pPr>
        <w:jc w:val="both"/>
      </w:pPr>
    </w:p>
    <w:p w:rsidR="00967210" w:rsidRDefault="00967210" w:rsidP="00967210">
      <w:pPr>
        <w:pStyle w:val="Heading3"/>
        <w:jc w:val="both"/>
        <w:rPr>
          <w:sz w:val="28"/>
          <w:szCs w:val="28"/>
        </w:rPr>
      </w:pPr>
      <w:bookmarkStart w:id="12" w:name="_Toc517349938"/>
      <w:r w:rsidRPr="00EC39E3">
        <w:rPr>
          <w:sz w:val="28"/>
          <w:szCs w:val="28"/>
        </w:rPr>
        <w:lastRenderedPageBreak/>
        <w:t>Sur la formation préventive</w:t>
      </w:r>
      <w:bookmarkEnd w:id="12"/>
    </w:p>
    <w:p w:rsidR="00967210" w:rsidRPr="00136007" w:rsidRDefault="00967210" w:rsidP="00967210">
      <w:pPr>
        <w:jc w:val="both"/>
        <w:rPr>
          <w:sz w:val="28"/>
          <w:szCs w:val="28"/>
        </w:rPr>
      </w:pPr>
      <w:r w:rsidRPr="00136007">
        <w:rPr>
          <w:sz w:val="28"/>
          <w:szCs w:val="28"/>
        </w:rPr>
        <w:t>Aucune donnée réelle n’a été fournie dans le rapport étatique sur les trois éléments suivants :</w:t>
      </w:r>
    </w:p>
    <w:p w:rsidR="00967210" w:rsidRPr="00136007" w:rsidRDefault="00967210" w:rsidP="00967210">
      <w:pPr>
        <w:pStyle w:val="ListParagraph"/>
        <w:numPr>
          <w:ilvl w:val="0"/>
          <w:numId w:val="1"/>
        </w:numPr>
        <w:jc w:val="both"/>
        <w:rPr>
          <w:sz w:val="28"/>
          <w:szCs w:val="28"/>
        </w:rPr>
      </w:pPr>
      <w:r w:rsidRPr="00136007">
        <w:rPr>
          <w:sz w:val="28"/>
          <w:szCs w:val="28"/>
        </w:rPr>
        <w:t>La formation des agents étatiques.</w:t>
      </w:r>
    </w:p>
    <w:p w:rsidR="00967210" w:rsidRPr="00136007" w:rsidRDefault="00967210" w:rsidP="00967210">
      <w:pPr>
        <w:pStyle w:val="ListParagraph"/>
        <w:numPr>
          <w:ilvl w:val="0"/>
          <w:numId w:val="1"/>
        </w:numPr>
        <w:jc w:val="both"/>
        <w:rPr>
          <w:sz w:val="28"/>
          <w:szCs w:val="28"/>
        </w:rPr>
      </w:pPr>
      <w:r w:rsidRPr="00136007">
        <w:rPr>
          <w:sz w:val="28"/>
          <w:szCs w:val="28"/>
        </w:rPr>
        <w:t>La formation des OSC.</w:t>
      </w:r>
    </w:p>
    <w:p w:rsidR="00967210" w:rsidRPr="00136007" w:rsidRDefault="00967210" w:rsidP="00967210">
      <w:pPr>
        <w:pStyle w:val="ListParagraph"/>
        <w:numPr>
          <w:ilvl w:val="0"/>
          <w:numId w:val="1"/>
        </w:numPr>
        <w:jc w:val="both"/>
        <w:rPr>
          <w:sz w:val="28"/>
          <w:szCs w:val="28"/>
        </w:rPr>
      </w:pPr>
      <w:r w:rsidRPr="00136007">
        <w:rPr>
          <w:sz w:val="28"/>
          <w:szCs w:val="28"/>
        </w:rPr>
        <w:t>La mise en place de mécanismes de collecte de données.</w:t>
      </w:r>
    </w:p>
    <w:bookmarkEnd w:id="9"/>
    <w:p w:rsidR="00967210" w:rsidRDefault="00967210" w:rsidP="00967210">
      <w:pPr>
        <w:jc w:val="both"/>
        <w:rPr>
          <w:sz w:val="28"/>
          <w:szCs w:val="28"/>
        </w:rPr>
      </w:pPr>
    </w:p>
    <w:p w:rsidR="00967210" w:rsidRDefault="00967210" w:rsidP="00967210">
      <w:pPr>
        <w:jc w:val="both"/>
      </w:pPr>
      <w:r w:rsidRPr="00EC39E3">
        <w:rPr>
          <w:sz w:val="28"/>
          <w:szCs w:val="28"/>
        </w:rPr>
        <w:t>Ces éléments pourtant objectifs ne figurent pas cependant dans le rapport étatique.</w:t>
      </w:r>
    </w:p>
    <w:p w:rsidR="00967210" w:rsidRDefault="00967210" w:rsidP="00967210">
      <w:pPr>
        <w:jc w:val="both"/>
        <w:rPr>
          <w:sz w:val="28"/>
          <w:szCs w:val="28"/>
        </w:rPr>
      </w:pPr>
      <w:bookmarkStart w:id="13" w:name="_Hlk511294810"/>
      <w:r w:rsidRPr="00EC39E3">
        <w:rPr>
          <w:sz w:val="28"/>
          <w:szCs w:val="28"/>
        </w:rPr>
        <w:t xml:space="preserve"> Au regard de ces points essentiels, il en ressort des interrogations persistantes et révélatrices du déphasage entre les engagements pris par le Benin et la situation effective à l’heure actuelle.</w:t>
      </w:r>
    </w:p>
    <w:p w:rsidR="00967210" w:rsidRDefault="00967210" w:rsidP="00967210">
      <w:pPr>
        <w:jc w:val="both"/>
      </w:pPr>
    </w:p>
    <w:p w:rsidR="00967210" w:rsidRDefault="00967210" w:rsidP="00967210">
      <w:pPr>
        <w:pStyle w:val="Heading2"/>
        <w:jc w:val="both"/>
        <w:rPr>
          <w:sz w:val="32"/>
          <w:szCs w:val="32"/>
        </w:rPr>
      </w:pPr>
      <w:bookmarkStart w:id="14" w:name="_Toc517349939"/>
      <w:bookmarkStart w:id="15" w:name="_Hlk511294792"/>
      <w:r w:rsidRPr="003B5BC5">
        <w:rPr>
          <w:sz w:val="32"/>
          <w:szCs w:val="32"/>
        </w:rPr>
        <w:t xml:space="preserve">Les interrogations persistantes reflétées </w:t>
      </w:r>
      <w:r>
        <w:rPr>
          <w:sz w:val="32"/>
          <w:szCs w:val="32"/>
        </w:rPr>
        <w:t>à</w:t>
      </w:r>
      <w:r w:rsidRPr="003B5BC5">
        <w:rPr>
          <w:sz w:val="32"/>
          <w:szCs w:val="32"/>
        </w:rPr>
        <w:t xml:space="preserve"> travers le nouveau rapport soumis par l’Etat :</w:t>
      </w:r>
      <w:bookmarkEnd w:id="14"/>
    </w:p>
    <w:p w:rsidR="00967210" w:rsidRPr="00C40C02" w:rsidRDefault="00967210" w:rsidP="00967210">
      <w:pPr>
        <w:jc w:val="both"/>
        <w:rPr>
          <w:sz w:val="28"/>
          <w:szCs w:val="28"/>
        </w:rPr>
      </w:pPr>
      <w:r w:rsidRPr="00C40C02">
        <w:rPr>
          <w:sz w:val="28"/>
          <w:szCs w:val="28"/>
        </w:rPr>
        <w:t xml:space="preserve">Il convient de s’interroger au regard de la situation </w:t>
      </w:r>
      <w:r>
        <w:rPr>
          <w:sz w:val="28"/>
          <w:szCs w:val="28"/>
        </w:rPr>
        <w:t xml:space="preserve">qui semble stagner alors que l’Etat partie vient de </w:t>
      </w:r>
      <w:r>
        <w:rPr>
          <w:sz w:val="28"/>
          <w:szCs w:val="28"/>
        </w:rPr>
        <w:lastRenderedPageBreak/>
        <w:t>soumettre son 3</w:t>
      </w:r>
      <w:r w:rsidRPr="006F6C4C">
        <w:rPr>
          <w:sz w:val="28"/>
          <w:szCs w:val="28"/>
          <w:vertAlign w:val="superscript"/>
        </w:rPr>
        <w:t>ème</w:t>
      </w:r>
      <w:r>
        <w:rPr>
          <w:sz w:val="28"/>
          <w:szCs w:val="28"/>
        </w:rPr>
        <w:t xml:space="preserve"> rapport. Plusieurs interrogations demeurent notamment :</w:t>
      </w:r>
    </w:p>
    <w:bookmarkEnd w:id="15"/>
    <w:p w:rsidR="00967210" w:rsidRPr="00C40C02" w:rsidRDefault="00967210" w:rsidP="00967210">
      <w:pPr>
        <w:jc w:val="both"/>
        <w:rPr>
          <w:sz w:val="28"/>
          <w:szCs w:val="28"/>
        </w:rPr>
      </w:pPr>
    </w:p>
    <w:p w:rsidR="00967210" w:rsidRPr="00C40C02" w:rsidRDefault="00967210" w:rsidP="00967210">
      <w:pPr>
        <w:pStyle w:val="ListParagraph"/>
        <w:numPr>
          <w:ilvl w:val="0"/>
          <w:numId w:val="3"/>
        </w:numPr>
        <w:jc w:val="both"/>
        <w:rPr>
          <w:sz w:val="28"/>
          <w:szCs w:val="28"/>
        </w:rPr>
      </w:pPr>
      <w:r w:rsidRPr="00C40C02">
        <w:rPr>
          <w:sz w:val="28"/>
          <w:szCs w:val="28"/>
        </w:rPr>
        <w:t>Qu’est-ce qui empêche</w:t>
      </w:r>
      <w:r>
        <w:rPr>
          <w:sz w:val="28"/>
          <w:szCs w:val="28"/>
        </w:rPr>
        <w:t xml:space="preserve"> dans</w:t>
      </w:r>
      <w:r w:rsidRPr="00C40C02">
        <w:rPr>
          <w:sz w:val="28"/>
          <w:szCs w:val="28"/>
        </w:rPr>
        <w:t xml:space="preserve"> l’heure actuelle une véritable incrimination pénale de la torture malgré l’amélioration du cadre normatif conformément aux exigences de l’article 4 de la Convention ?</w:t>
      </w:r>
    </w:p>
    <w:p w:rsidR="00967210" w:rsidRPr="00C40C02" w:rsidRDefault="00967210" w:rsidP="00967210">
      <w:pPr>
        <w:pStyle w:val="ListParagraph"/>
        <w:numPr>
          <w:ilvl w:val="0"/>
          <w:numId w:val="3"/>
        </w:numPr>
        <w:jc w:val="both"/>
        <w:rPr>
          <w:sz w:val="28"/>
          <w:szCs w:val="28"/>
        </w:rPr>
      </w:pPr>
      <w:r w:rsidRPr="00C40C02">
        <w:rPr>
          <w:sz w:val="28"/>
          <w:szCs w:val="28"/>
        </w:rPr>
        <w:t>Ce défaut d’incrimination ne facilite-t-il pas l’impunité des coupables</w:t>
      </w:r>
      <w:r w:rsidRPr="00C40C02">
        <w:rPr>
          <w:rStyle w:val="FootnoteReference"/>
          <w:sz w:val="28"/>
          <w:szCs w:val="28"/>
        </w:rPr>
        <w:footnoteReference w:id="13"/>
      </w:r>
      <w:r w:rsidR="001003C8">
        <w:rPr>
          <w:sz w:val="28"/>
          <w:szCs w:val="28"/>
        </w:rPr>
        <w:t xml:space="preserve"> </w:t>
      </w:r>
      <w:r w:rsidRPr="00C40C02">
        <w:rPr>
          <w:sz w:val="28"/>
          <w:szCs w:val="28"/>
        </w:rPr>
        <w:t>?</w:t>
      </w:r>
    </w:p>
    <w:p w:rsidR="00967210" w:rsidRPr="00C40C02" w:rsidRDefault="00967210" w:rsidP="00967210">
      <w:pPr>
        <w:pStyle w:val="ListParagraph"/>
        <w:numPr>
          <w:ilvl w:val="0"/>
          <w:numId w:val="3"/>
        </w:numPr>
        <w:jc w:val="both"/>
        <w:rPr>
          <w:sz w:val="28"/>
          <w:szCs w:val="28"/>
        </w:rPr>
      </w:pPr>
      <w:r w:rsidRPr="00C40C02">
        <w:rPr>
          <w:sz w:val="28"/>
          <w:szCs w:val="28"/>
        </w:rPr>
        <w:t>La création d’une nouvelle prison citée dans le nouveau rapport comme un exploit l’est-il vraiment si le problème de la surpopulation carcérale persiste</w:t>
      </w:r>
      <w:r w:rsidRPr="00C40C02">
        <w:rPr>
          <w:rStyle w:val="FootnoteReference"/>
          <w:sz w:val="28"/>
          <w:szCs w:val="28"/>
        </w:rPr>
        <w:footnoteReference w:id="14"/>
      </w:r>
      <w:r w:rsidRPr="00C40C02">
        <w:rPr>
          <w:sz w:val="28"/>
          <w:szCs w:val="28"/>
        </w:rPr>
        <w:t xml:space="preserve"> ? </w:t>
      </w:r>
    </w:p>
    <w:p w:rsidR="00967210" w:rsidRPr="00C40C02" w:rsidRDefault="00967210" w:rsidP="00967210">
      <w:pPr>
        <w:pStyle w:val="ListParagraph"/>
        <w:numPr>
          <w:ilvl w:val="0"/>
          <w:numId w:val="3"/>
        </w:numPr>
        <w:jc w:val="both"/>
        <w:rPr>
          <w:sz w:val="28"/>
          <w:szCs w:val="28"/>
        </w:rPr>
      </w:pPr>
      <w:r w:rsidRPr="00C40C02">
        <w:rPr>
          <w:sz w:val="28"/>
          <w:szCs w:val="28"/>
        </w:rPr>
        <w:t xml:space="preserve">Pourquoi la Commission Béninoise des droits de l’Homme est-elle ineffective à ce jour ? </w:t>
      </w:r>
    </w:p>
    <w:p w:rsidR="00967210" w:rsidRPr="00C40C02" w:rsidRDefault="00967210" w:rsidP="00967210">
      <w:pPr>
        <w:pStyle w:val="ListParagraph"/>
        <w:numPr>
          <w:ilvl w:val="0"/>
          <w:numId w:val="3"/>
        </w:numPr>
        <w:jc w:val="both"/>
        <w:rPr>
          <w:sz w:val="28"/>
          <w:szCs w:val="28"/>
        </w:rPr>
      </w:pPr>
      <w:r w:rsidRPr="00C40C02">
        <w:rPr>
          <w:sz w:val="28"/>
          <w:szCs w:val="28"/>
        </w:rPr>
        <w:t xml:space="preserve"> Pourquoi n’existe-t-il pas à ce jour une protection spécifique des victimes ?</w:t>
      </w:r>
    </w:p>
    <w:p w:rsidR="00967210" w:rsidRPr="00C40C02" w:rsidRDefault="00967210" w:rsidP="00967210">
      <w:pPr>
        <w:pStyle w:val="ListParagraph"/>
        <w:numPr>
          <w:ilvl w:val="0"/>
          <w:numId w:val="3"/>
        </w:numPr>
        <w:jc w:val="both"/>
        <w:rPr>
          <w:sz w:val="28"/>
          <w:szCs w:val="28"/>
        </w:rPr>
      </w:pPr>
      <w:r w:rsidRPr="00C40C02">
        <w:rPr>
          <w:sz w:val="28"/>
          <w:szCs w:val="28"/>
        </w:rPr>
        <w:lastRenderedPageBreak/>
        <w:t>Qu’en est-il de la situation des personnes vulnérables notamment les mineurs</w:t>
      </w:r>
      <w:r w:rsidRPr="00C40C02">
        <w:rPr>
          <w:rStyle w:val="FootnoteReference"/>
          <w:sz w:val="28"/>
          <w:szCs w:val="28"/>
        </w:rPr>
        <w:footnoteReference w:id="15"/>
      </w:r>
      <w:r w:rsidRPr="00C40C02">
        <w:rPr>
          <w:sz w:val="28"/>
          <w:szCs w:val="28"/>
        </w:rPr>
        <w:t xml:space="preserve"> et les femmes ?</w:t>
      </w:r>
    </w:p>
    <w:p w:rsidR="00967210" w:rsidRPr="00C40C02" w:rsidRDefault="00967210" w:rsidP="00967210">
      <w:pPr>
        <w:pStyle w:val="ListParagraph"/>
        <w:numPr>
          <w:ilvl w:val="0"/>
          <w:numId w:val="3"/>
        </w:numPr>
        <w:jc w:val="both"/>
        <w:rPr>
          <w:sz w:val="28"/>
          <w:szCs w:val="28"/>
        </w:rPr>
      </w:pPr>
      <w:r w:rsidRPr="00C40C02">
        <w:rPr>
          <w:sz w:val="28"/>
          <w:szCs w:val="28"/>
        </w:rPr>
        <w:t>Les acteurs de la société civile ont-ils véritablement été associés dans la mise en place des projets de vulgarisation autour des thématiques spécifiques ?</w:t>
      </w:r>
    </w:p>
    <w:p w:rsidR="00967210" w:rsidRPr="00C40C02" w:rsidRDefault="00967210" w:rsidP="00967210">
      <w:pPr>
        <w:pStyle w:val="ListParagraph"/>
        <w:numPr>
          <w:ilvl w:val="0"/>
          <w:numId w:val="3"/>
        </w:numPr>
        <w:jc w:val="both"/>
        <w:rPr>
          <w:sz w:val="28"/>
          <w:szCs w:val="28"/>
        </w:rPr>
      </w:pPr>
      <w:r w:rsidRPr="00C40C02">
        <w:rPr>
          <w:sz w:val="28"/>
          <w:szCs w:val="28"/>
        </w:rPr>
        <w:t>Le monitoring des lieux de privation par les OSC est -il effectif à ce jour ?</w:t>
      </w:r>
    </w:p>
    <w:p w:rsidR="00967210" w:rsidRPr="00C40C02" w:rsidRDefault="00967210" w:rsidP="00967210">
      <w:pPr>
        <w:pStyle w:val="ListParagraph"/>
        <w:numPr>
          <w:ilvl w:val="0"/>
          <w:numId w:val="3"/>
        </w:numPr>
        <w:jc w:val="both"/>
        <w:rPr>
          <w:sz w:val="28"/>
          <w:szCs w:val="28"/>
        </w:rPr>
      </w:pPr>
      <w:r w:rsidRPr="00C40C02">
        <w:rPr>
          <w:sz w:val="28"/>
          <w:szCs w:val="28"/>
        </w:rPr>
        <w:t>Sur les nouvelles mesures prises touchant l’application de la Convention, la population a-t-elle été effectivement concernée ?</w:t>
      </w:r>
    </w:p>
    <w:p w:rsidR="00967210" w:rsidRDefault="00967210" w:rsidP="00967210">
      <w:pPr>
        <w:jc w:val="both"/>
        <w:rPr>
          <w:sz w:val="28"/>
          <w:szCs w:val="28"/>
        </w:rPr>
      </w:pPr>
      <w:r w:rsidRPr="00C40C02">
        <w:rPr>
          <w:sz w:val="28"/>
          <w:szCs w:val="28"/>
        </w:rPr>
        <w:t>Il s’agit finalement d’interrogations qui mérite</w:t>
      </w:r>
      <w:r>
        <w:rPr>
          <w:sz w:val="28"/>
          <w:szCs w:val="28"/>
        </w:rPr>
        <w:t>nt</w:t>
      </w:r>
      <w:r w:rsidRPr="00C40C02">
        <w:rPr>
          <w:sz w:val="28"/>
          <w:szCs w:val="28"/>
        </w:rPr>
        <w:t xml:space="preserve"> d’être </w:t>
      </w:r>
      <w:r>
        <w:rPr>
          <w:sz w:val="28"/>
          <w:szCs w:val="28"/>
        </w:rPr>
        <w:t>connues du</w:t>
      </w:r>
      <w:r w:rsidRPr="00C40C02">
        <w:rPr>
          <w:sz w:val="28"/>
          <w:szCs w:val="28"/>
        </w:rPr>
        <w:t xml:space="preserve"> Comité.</w:t>
      </w:r>
    </w:p>
    <w:p w:rsidR="00967210" w:rsidRPr="00C40C02" w:rsidRDefault="00967210" w:rsidP="00967210">
      <w:pPr>
        <w:jc w:val="both"/>
        <w:rPr>
          <w:sz w:val="28"/>
          <w:szCs w:val="28"/>
        </w:rPr>
      </w:pPr>
    </w:p>
    <w:p w:rsidR="00967210" w:rsidRPr="006F6C4C" w:rsidRDefault="00967210" w:rsidP="00967210">
      <w:pPr>
        <w:pStyle w:val="Heading1"/>
        <w:jc w:val="both"/>
        <w:rPr>
          <w:b/>
        </w:rPr>
      </w:pPr>
      <w:bookmarkStart w:id="16" w:name="_Toc517349940"/>
      <w:bookmarkEnd w:id="13"/>
      <w:r w:rsidRPr="006F6C4C">
        <w:rPr>
          <w:b/>
        </w:rPr>
        <w:lastRenderedPageBreak/>
        <w:t>OBSERVATIONS</w:t>
      </w:r>
      <w:bookmarkEnd w:id="16"/>
    </w:p>
    <w:p w:rsidR="00967210" w:rsidRPr="00795449" w:rsidRDefault="00967210" w:rsidP="00967210">
      <w:pPr>
        <w:jc w:val="both"/>
        <w:rPr>
          <w:sz w:val="28"/>
          <w:szCs w:val="28"/>
        </w:rPr>
      </w:pPr>
      <w:r w:rsidRPr="00795449">
        <w:rPr>
          <w:sz w:val="28"/>
          <w:szCs w:val="28"/>
        </w:rPr>
        <w:t>Il apparaît in fine que le nouveau rapport étatique soulève quelques observations :</w:t>
      </w:r>
    </w:p>
    <w:p w:rsidR="00967210" w:rsidRPr="00795449" w:rsidRDefault="00967210" w:rsidP="00967210">
      <w:pPr>
        <w:pStyle w:val="ListParagraph"/>
        <w:numPr>
          <w:ilvl w:val="0"/>
          <w:numId w:val="1"/>
        </w:numPr>
        <w:jc w:val="both"/>
        <w:rPr>
          <w:sz w:val="28"/>
          <w:szCs w:val="28"/>
        </w:rPr>
      </w:pPr>
      <w:r w:rsidRPr="00795449">
        <w:rPr>
          <w:sz w:val="28"/>
          <w:szCs w:val="28"/>
        </w:rPr>
        <w:t>L’Etat partie n’a toujours pas adopté des pratiques conformes à l’ensemble de règles minima concernant le traitement des détenus.</w:t>
      </w:r>
    </w:p>
    <w:p w:rsidR="00967210" w:rsidRPr="00795449" w:rsidRDefault="00967210" w:rsidP="00967210">
      <w:pPr>
        <w:pStyle w:val="ListParagraph"/>
        <w:numPr>
          <w:ilvl w:val="0"/>
          <w:numId w:val="1"/>
        </w:numPr>
        <w:jc w:val="both"/>
        <w:rPr>
          <w:sz w:val="28"/>
          <w:szCs w:val="28"/>
        </w:rPr>
      </w:pPr>
      <w:r w:rsidRPr="00795449">
        <w:rPr>
          <w:sz w:val="28"/>
          <w:szCs w:val="28"/>
        </w:rPr>
        <w:t>L’Etat partie n’a toujours pas une politique inclusive qui vise une véritable amélioration des conditions de détention.</w:t>
      </w:r>
    </w:p>
    <w:p w:rsidR="00967210" w:rsidRPr="00795449" w:rsidRDefault="00967210" w:rsidP="00967210">
      <w:pPr>
        <w:pStyle w:val="ListParagraph"/>
        <w:numPr>
          <w:ilvl w:val="0"/>
          <w:numId w:val="1"/>
        </w:numPr>
        <w:jc w:val="both"/>
        <w:rPr>
          <w:sz w:val="28"/>
          <w:szCs w:val="28"/>
        </w:rPr>
      </w:pPr>
      <w:r w:rsidRPr="00795449">
        <w:rPr>
          <w:sz w:val="28"/>
          <w:szCs w:val="28"/>
        </w:rPr>
        <w:t>La surpopulation carcérale demeure encore un problème persistant surtout causé par la lenteur des procédures judiciaires.</w:t>
      </w:r>
    </w:p>
    <w:p w:rsidR="00967210" w:rsidRPr="00795449" w:rsidRDefault="00967210" w:rsidP="00967210">
      <w:pPr>
        <w:pStyle w:val="ListParagraph"/>
        <w:numPr>
          <w:ilvl w:val="0"/>
          <w:numId w:val="1"/>
        </w:numPr>
        <w:jc w:val="both"/>
        <w:rPr>
          <w:sz w:val="28"/>
          <w:szCs w:val="28"/>
        </w:rPr>
      </w:pPr>
      <w:r w:rsidRPr="00795449">
        <w:rPr>
          <w:sz w:val="28"/>
          <w:szCs w:val="28"/>
        </w:rPr>
        <w:t>L’accès aux centres de détentions par les OSC reste toujours soumis à des conditions drastiques qui ne facilitent pas une meilleure promotion des droits humains par ces dernières et remettent vraiment en cause le rôle de l’Etat protecteur et garant des droits humains.</w:t>
      </w:r>
    </w:p>
    <w:p w:rsidR="00967210" w:rsidRPr="00795449" w:rsidRDefault="00967210" w:rsidP="00967210">
      <w:pPr>
        <w:pStyle w:val="ListParagraph"/>
        <w:numPr>
          <w:ilvl w:val="0"/>
          <w:numId w:val="1"/>
        </w:numPr>
        <w:jc w:val="both"/>
        <w:rPr>
          <w:sz w:val="28"/>
          <w:szCs w:val="28"/>
        </w:rPr>
      </w:pPr>
      <w:r w:rsidRPr="00795449">
        <w:rPr>
          <w:sz w:val="28"/>
          <w:szCs w:val="28"/>
        </w:rPr>
        <w:t xml:space="preserve">Le nouveau Code pénal n’est toujours pas disponible et une incrimination de la torture ne reste toujours pas envisageable malgré le fait </w:t>
      </w:r>
      <w:r w:rsidRPr="00795449">
        <w:rPr>
          <w:sz w:val="28"/>
          <w:szCs w:val="28"/>
        </w:rPr>
        <w:lastRenderedPageBreak/>
        <w:t xml:space="preserve">qu’il s’agisse d’une recommandation issue du dernier examen de l’Etat par le Comité. </w:t>
      </w:r>
    </w:p>
    <w:p w:rsidR="00A518C3" w:rsidRPr="00967210" w:rsidRDefault="00A518C3" w:rsidP="00967210"/>
    <w:sectPr w:rsidR="00A518C3" w:rsidRPr="00967210">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FEE" w:rsidRDefault="00645FEE" w:rsidP="005E7C1B">
      <w:pPr>
        <w:spacing w:after="0" w:line="240" w:lineRule="auto"/>
      </w:pPr>
      <w:r>
        <w:separator/>
      </w:r>
    </w:p>
  </w:endnote>
  <w:endnote w:type="continuationSeparator" w:id="0">
    <w:p w:rsidR="00645FEE" w:rsidRDefault="00645FEE" w:rsidP="005E7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ras Demi ITC">
    <w:panose1 w:val="020B08050305040208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8424468"/>
      <w:docPartObj>
        <w:docPartGallery w:val="Page Numbers (Bottom of Page)"/>
        <w:docPartUnique/>
      </w:docPartObj>
    </w:sdtPr>
    <w:sdtEndPr/>
    <w:sdtContent>
      <w:p w:rsidR="00A90753" w:rsidRDefault="00A90753">
        <w:pPr>
          <w:pStyle w:val="Footer"/>
          <w:jc w:val="right"/>
        </w:pPr>
        <w:r>
          <w:fldChar w:fldCharType="begin"/>
        </w:r>
        <w:r>
          <w:instrText>PAGE   \* MERGEFORMAT</w:instrText>
        </w:r>
        <w:r>
          <w:fldChar w:fldCharType="separate"/>
        </w:r>
        <w:r w:rsidR="00DC2457">
          <w:rPr>
            <w:noProof/>
          </w:rPr>
          <w:t>1</w:t>
        </w:r>
        <w:r>
          <w:fldChar w:fldCharType="end"/>
        </w:r>
      </w:p>
    </w:sdtContent>
  </w:sdt>
  <w:p w:rsidR="00A90753" w:rsidRDefault="00A907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FEE" w:rsidRDefault="00645FEE" w:rsidP="005E7C1B">
      <w:pPr>
        <w:spacing w:after="0" w:line="240" w:lineRule="auto"/>
      </w:pPr>
      <w:r>
        <w:separator/>
      </w:r>
    </w:p>
  </w:footnote>
  <w:footnote w:type="continuationSeparator" w:id="0">
    <w:p w:rsidR="00645FEE" w:rsidRDefault="00645FEE" w:rsidP="005E7C1B">
      <w:pPr>
        <w:spacing w:after="0" w:line="240" w:lineRule="auto"/>
      </w:pPr>
      <w:r>
        <w:continuationSeparator/>
      </w:r>
    </w:p>
  </w:footnote>
  <w:footnote w:id="1">
    <w:p w:rsidR="00967210" w:rsidRPr="00CA2A36" w:rsidRDefault="00967210" w:rsidP="00967210">
      <w:pPr>
        <w:pStyle w:val="FootnoteText"/>
        <w:rPr>
          <w:b/>
          <w:bCs/>
        </w:rPr>
      </w:pPr>
      <w:r>
        <w:rPr>
          <w:rStyle w:val="FootnoteReference"/>
        </w:rPr>
        <w:footnoteRef/>
      </w:r>
      <w:r>
        <w:t xml:space="preserve"> </w:t>
      </w:r>
      <w:r w:rsidRPr="00CA2A36">
        <w:rPr>
          <w:b/>
          <w:bCs/>
        </w:rPr>
        <w:t>Article 19</w:t>
      </w:r>
    </w:p>
    <w:p w:rsidR="00967210" w:rsidRPr="00CA2A36" w:rsidRDefault="00967210" w:rsidP="00967210">
      <w:pPr>
        <w:pStyle w:val="FootnoteText"/>
      </w:pPr>
      <w:r w:rsidRPr="00CA2A36">
        <w:t>1. Les Etats parties présentent au Comité, par l'entremise du Secrétaire général de l'Organisation des Nations</w:t>
      </w:r>
    </w:p>
    <w:p w:rsidR="00967210" w:rsidRPr="00CA2A36" w:rsidRDefault="00967210" w:rsidP="00967210">
      <w:pPr>
        <w:pStyle w:val="FootnoteText"/>
      </w:pPr>
      <w:r w:rsidRPr="00CA2A36">
        <w:t>Unies, des rapports sur les mesures qu'ils ont prises pour donner effet à leurs engagements en vertu de la présente</w:t>
      </w:r>
      <w:r>
        <w:t xml:space="preserve"> </w:t>
      </w:r>
      <w:r w:rsidRPr="00CA2A36">
        <w:t>Convention, dans un délai d'un an à compter de l'entrée en vigueur de la Convention pour l'Etat partie intéressé.</w:t>
      </w:r>
    </w:p>
    <w:p w:rsidR="00967210" w:rsidRPr="00CA2A36" w:rsidRDefault="00967210" w:rsidP="00967210">
      <w:pPr>
        <w:pStyle w:val="FootnoteText"/>
      </w:pPr>
      <w:r w:rsidRPr="00CA2A36">
        <w:t>Les Etats parties présentent ensuite des rapports complémentaires tous les quatre ans sur toutes nouvelles</w:t>
      </w:r>
      <w:r>
        <w:t xml:space="preserve"> </w:t>
      </w:r>
      <w:r w:rsidRPr="00CA2A36">
        <w:t>mesures prises, et tous autres rapports demandés par le Comité.</w:t>
      </w:r>
    </w:p>
    <w:p w:rsidR="00967210" w:rsidRPr="00CA2A36" w:rsidRDefault="00967210" w:rsidP="00967210">
      <w:pPr>
        <w:pStyle w:val="FootnoteText"/>
      </w:pPr>
      <w:r w:rsidRPr="00CA2A36">
        <w:t>2. Le Secrétaire général de l'Organisation des Nations Unies transmet les rapports à tous les Etats parties.</w:t>
      </w:r>
    </w:p>
    <w:p w:rsidR="00967210" w:rsidRPr="00CA2A36" w:rsidRDefault="00967210" w:rsidP="00967210">
      <w:pPr>
        <w:pStyle w:val="FootnoteText"/>
      </w:pPr>
      <w:r w:rsidRPr="00CA2A36">
        <w:t>3. Chaque rapport est étudié par le Comité, qui peut faire les commentaires d'ordre général sur le rapport qu'il</w:t>
      </w:r>
      <w:r>
        <w:t xml:space="preserve"> </w:t>
      </w:r>
      <w:r w:rsidRPr="00CA2A36">
        <w:t>estime appropriés et qui transmet lesdits commentaires à l'Etat partie intéressé. Cet Etat partie peut communiquer</w:t>
      </w:r>
      <w:r>
        <w:t xml:space="preserve"> </w:t>
      </w:r>
      <w:r w:rsidRPr="00CA2A36">
        <w:t>en réponse au Comité toutes observations qu'il juge utiles.</w:t>
      </w:r>
    </w:p>
    <w:p w:rsidR="00967210" w:rsidRDefault="00967210" w:rsidP="00967210">
      <w:pPr>
        <w:pStyle w:val="FootnoteText"/>
      </w:pPr>
      <w:r w:rsidRPr="00CA2A36">
        <w:t>4. Le Comité peut, à sa discrétion, décider de reproduire dans le rapport annuel qu'il établit conformément à</w:t>
      </w:r>
      <w:r>
        <w:t xml:space="preserve"> </w:t>
      </w:r>
      <w:r w:rsidRPr="00CA2A36">
        <w:t>l'article 24 tous commentaires formulés par lui en vertu du paragraphe 3 du présent article, accompagnés des</w:t>
      </w:r>
      <w:r>
        <w:t xml:space="preserve"> </w:t>
      </w:r>
      <w:r w:rsidRPr="00CA2A36">
        <w:t>observations reçues à ce sujet de l'Etat partie intéressé. Si l'Etat partie intéressé le demande, le Comité peut aussi</w:t>
      </w:r>
      <w:r>
        <w:t xml:space="preserve"> </w:t>
      </w:r>
      <w:r w:rsidRPr="00CA2A36">
        <w:t>reproduire le rapport présenté au titre du paragraphe 1 du présent article.</w:t>
      </w:r>
    </w:p>
  </w:footnote>
  <w:footnote w:id="2">
    <w:p w:rsidR="00967210" w:rsidRDefault="00967210" w:rsidP="00967210">
      <w:pPr>
        <w:pStyle w:val="FootnoteText"/>
      </w:pPr>
      <w:r>
        <w:rPr>
          <w:rStyle w:val="FootnoteReference"/>
        </w:rPr>
        <w:footnoteRef/>
      </w:r>
      <w:r>
        <w:t xml:space="preserve"> Signé et non ratifié</w:t>
      </w:r>
    </w:p>
  </w:footnote>
  <w:footnote w:id="3">
    <w:p w:rsidR="00967210" w:rsidRDefault="00967210" w:rsidP="00967210">
      <w:pPr>
        <w:pStyle w:val="FootnoteText"/>
      </w:pPr>
      <w:r>
        <w:rPr>
          <w:rStyle w:val="FootnoteReference"/>
        </w:rPr>
        <w:footnoteRef/>
      </w:r>
      <w:r>
        <w:t xml:space="preserve"> Idem</w:t>
      </w:r>
    </w:p>
  </w:footnote>
  <w:footnote w:id="4">
    <w:p w:rsidR="00967210" w:rsidRDefault="00967210" w:rsidP="00967210">
      <w:pPr>
        <w:pStyle w:val="FootnoteText"/>
      </w:pPr>
      <w:r>
        <w:rPr>
          <w:rStyle w:val="FootnoteReference"/>
        </w:rPr>
        <w:footnoteRef/>
      </w:r>
      <w:r>
        <w:t xml:space="preserve"> </w:t>
      </w:r>
      <w:r w:rsidRPr="000E3586">
        <w:t>Rapport alternatif</w:t>
      </w:r>
      <w:r>
        <w:t xml:space="preserve"> </w:t>
      </w:r>
      <w:r w:rsidRPr="000E3586">
        <w:t>sur la mise en œuvre de la Convention contre la Torture</w:t>
      </w:r>
      <w:r>
        <w:t xml:space="preserve"> </w:t>
      </w:r>
      <w:r w:rsidRPr="000E3586">
        <w:t>et autres peines ou traitements cruels, inhumains ou</w:t>
      </w:r>
      <w:r>
        <w:t xml:space="preserve"> </w:t>
      </w:r>
      <w:r w:rsidRPr="000E3586">
        <w:t>dégradants</w:t>
      </w:r>
      <w:r>
        <w:t>, novembre 2017. P 12</w:t>
      </w:r>
    </w:p>
  </w:footnote>
  <w:footnote w:id="5">
    <w:p w:rsidR="00967210" w:rsidRDefault="00967210" w:rsidP="00967210">
      <w:pPr>
        <w:pStyle w:val="FootnoteText"/>
      </w:pPr>
      <w:r>
        <w:rPr>
          <w:rStyle w:val="FootnoteReference"/>
        </w:rPr>
        <w:footnoteRef/>
      </w:r>
      <w:r>
        <w:t xml:space="preserve"> </w:t>
      </w:r>
      <w:r w:rsidRPr="00DE6D39">
        <w:t>Les articles 18 et 19 de la Constitution posent le principe d’interdiction et de punition</w:t>
      </w:r>
      <w:r>
        <w:t xml:space="preserve"> </w:t>
      </w:r>
      <w:r w:rsidRPr="00DE6D39">
        <w:t>des actes de torture notamment ceux commis par un agent de l’Etat.</w:t>
      </w:r>
    </w:p>
  </w:footnote>
  <w:footnote w:id="6">
    <w:p w:rsidR="00967210" w:rsidRDefault="00967210" w:rsidP="00967210">
      <w:pPr>
        <w:pStyle w:val="FootnoteText"/>
      </w:pPr>
      <w:r>
        <w:rPr>
          <w:rStyle w:val="FootnoteReference"/>
        </w:rPr>
        <w:footnoteRef/>
      </w:r>
      <w:r>
        <w:t xml:space="preserve"> </w:t>
      </w:r>
      <w:r w:rsidRPr="00DE6D39">
        <w:t>Voir également dans ce sens les rapports analytiques du Comité des droits de l’homme des 2232</w:t>
      </w:r>
      <w:r w:rsidRPr="00DE6D39">
        <w:rPr>
          <w:vertAlign w:val="superscript"/>
        </w:rPr>
        <w:t>e</w:t>
      </w:r>
      <w:r w:rsidRPr="00DE6D39">
        <w:t xml:space="preserve"> et 2234</w:t>
      </w:r>
      <w:r w:rsidRPr="00DE6D39">
        <w:rPr>
          <w:vertAlign w:val="superscript"/>
        </w:rPr>
        <w:t>e</w:t>
      </w:r>
      <w:r w:rsidRPr="00DE6D39">
        <w:t xml:space="preserve"> session des 21 et 22 octobre 2004</w:t>
      </w:r>
    </w:p>
  </w:footnote>
  <w:footnote w:id="7">
    <w:p w:rsidR="00967210" w:rsidRDefault="00967210">
      <w:pPr>
        <w:pStyle w:val="FootnoteText"/>
      </w:pPr>
      <w:r>
        <w:rPr>
          <w:rStyle w:val="FootnoteReference"/>
        </w:rPr>
        <w:footnoteRef/>
      </w:r>
      <w:r>
        <w:t xml:space="preserve"> </w:t>
      </w:r>
      <w:r w:rsidRPr="00967210">
        <w:t>La population carcérale béninoise est en constante augmentation avec un taux d’occupation allant de 170% à 500% selon les prisons (rapport du Ministère de la Justice en 2016), ce qui n’est pas sans conséquence sur les conditions de vie et de santé des détenus</w:t>
      </w:r>
    </w:p>
  </w:footnote>
  <w:footnote w:id="8">
    <w:p w:rsidR="00967210" w:rsidRDefault="00967210" w:rsidP="00967210">
      <w:pPr>
        <w:pStyle w:val="FootnoteText"/>
      </w:pPr>
      <w:r>
        <w:rPr>
          <w:rStyle w:val="FootnoteReference"/>
        </w:rPr>
        <w:footnoteRef/>
      </w:r>
      <w:r>
        <w:t xml:space="preserve"> C’est ce qui ressortait d’une étude menée par </w:t>
      </w:r>
      <w:r w:rsidRPr="00BC16AF">
        <w:t>Amnesty International Bénin, la Coordination Nationale de l’ACAT Bénin, Dimension Sociale et l’Organisation pour la Défense des Intérêts des Prisonniers.</w:t>
      </w:r>
    </w:p>
  </w:footnote>
  <w:footnote w:id="9">
    <w:p w:rsidR="0031781A" w:rsidRPr="0031781A" w:rsidRDefault="0031781A" w:rsidP="0031781A">
      <w:pPr>
        <w:pStyle w:val="FootnoteText"/>
      </w:pPr>
      <w:r>
        <w:rPr>
          <w:rStyle w:val="FootnoteReference"/>
        </w:rPr>
        <w:footnoteRef/>
      </w:r>
      <w:r>
        <w:t xml:space="preserve"> Ainsi, des</w:t>
      </w:r>
      <w:r w:rsidRPr="0031781A">
        <w:t xml:space="preserve"> bâtiments construits pour 45 personnes peuvent contenir jusqu’à 150 détenus. Dans les bâtiments exigus, les prisonniers sont disposés en rangée dans des cartons et souvent en quinconce.</w:t>
      </w:r>
    </w:p>
    <w:p w:rsidR="0031781A" w:rsidRDefault="0031781A">
      <w:pPr>
        <w:pStyle w:val="FootnoteText"/>
      </w:pPr>
    </w:p>
  </w:footnote>
  <w:footnote w:id="10">
    <w:p w:rsidR="0031781A" w:rsidRDefault="0031781A">
      <w:pPr>
        <w:pStyle w:val="FootnoteText"/>
      </w:pPr>
      <w:r>
        <w:rPr>
          <w:rStyle w:val="FootnoteReference"/>
        </w:rPr>
        <w:footnoteRef/>
      </w:r>
      <w:r>
        <w:t xml:space="preserve"> Visite officielle du Sous-comité de prévention de la Torture en date du 11 au 15 janvier 2016. CAT/OP/BEN/R.2</w:t>
      </w:r>
    </w:p>
  </w:footnote>
  <w:footnote w:id="11">
    <w:p w:rsidR="004D7027" w:rsidRDefault="004D7027">
      <w:pPr>
        <w:pStyle w:val="FootnoteText"/>
      </w:pPr>
      <w:r>
        <w:rPr>
          <w:rStyle w:val="FootnoteReference"/>
        </w:rPr>
        <w:footnoteRef/>
      </w:r>
      <w:r>
        <w:t xml:space="preserve"> Idem, Page 14.</w:t>
      </w:r>
    </w:p>
  </w:footnote>
  <w:footnote w:id="12">
    <w:p w:rsidR="00BB73EC" w:rsidRDefault="00BB73EC">
      <w:pPr>
        <w:pStyle w:val="FootnoteText"/>
      </w:pPr>
      <w:r>
        <w:rPr>
          <w:rStyle w:val="FootnoteReference"/>
        </w:rPr>
        <w:footnoteRef/>
      </w:r>
      <w:r>
        <w:t xml:space="preserve"> Idem P. 17 où le SPT a visé le Septième Rapport annuel, CAT/C/52/2(2014).</w:t>
      </w:r>
    </w:p>
  </w:footnote>
  <w:footnote w:id="13">
    <w:p w:rsidR="00967210" w:rsidRDefault="00967210" w:rsidP="00967210">
      <w:pPr>
        <w:pStyle w:val="FootnoteText"/>
      </w:pPr>
      <w:r>
        <w:rPr>
          <w:rStyle w:val="FootnoteReference"/>
        </w:rPr>
        <w:footnoteRef/>
      </w:r>
      <w:r>
        <w:t xml:space="preserve"> Ce qui est contraire aux dispositions de l’article 14 de la Convention.</w:t>
      </w:r>
    </w:p>
  </w:footnote>
  <w:footnote w:id="14">
    <w:p w:rsidR="00967210" w:rsidRDefault="00967210" w:rsidP="00967210">
      <w:pPr>
        <w:pStyle w:val="FootnoteText"/>
      </w:pPr>
      <w:r>
        <w:rPr>
          <w:rStyle w:val="FootnoteReference"/>
        </w:rPr>
        <w:footnoteRef/>
      </w:r>
      <w:r>
        <w:t xml:space="preserve"> La surpopulation carcérale a passé le seuil des 100%.</w:t>
      </w:r>
    </w:p>
  </w:footnote>
  <w:footnote w:id="15">
    <w:p w:rsidR="00967210" w:rsidRPr="000615E8" w:rsidRDefault="00967210" w:rsidP="00967210">
      <w:pPr>
        <w:pStyle w:val="FootnoteText"/>
      </w:pPr>
      <w:r>
        <w:rPr>
          <w:rStyle w:val="FootnoteReference"/>
        </w:rPr>
        <w:footnoteRef/>
      </w:r>
      <w:r>
        <w:t xml:space="preserve"> </w:t>
      </w:r>
      <w:r w:rsidRPr="000615E8">
        <w:rPr>
          <w:bCs/>
        </w:rPr>
        <w:t>Le Comité regrette que, selon le droit pénal béninois, le mineur de plus de 13 ans puisse se voir condamner à une peine privative de liberté. L’État partie devrait prendre les mesures nécessaires pour relever l’âge de la responsabilité pénale et le fixer à un niveau acceptable selon les normes internationales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FB7F04"/>
    <w:multiLevelType w:val="hybridMultilevel"/>
    <w:tmpl w:val="1AC6687A"/>
    <w:lvl w:ilvl="0" w:tplc="FD1C9EBC">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95D3B45"/>
    <w:multiLevelType w:val="hybridMultilevel"/>
    <w:tmpl w:val="2BDCFE20"/>
    <w:lvl w:ilvl="0" w:tplc="BBF42A1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4B29315D"/>
    <w:multiLevelType w:val="multilevel"/>
    <w:tmpl w:val="E1A29674"/>
    <w:lvl w:ilvl="0">
      <w:start w:val="1"/>
      <w:numFmt w:val="decimal"/>
      <w:lvlText w:val="%1."/>
      <w:lvlJc w:val="left"/>
      <w:pPr>
        <w:ind w:left="178" w:hanging="281"/>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78" w:hanging="421"/>
        <w:jc w:val="right"/>
      </w:pPr>
      <w:rPr>
        <w:rFonts w:ascii="Times New Roman" w:eastAsia="Times New Roman" w:hAnsi="Times New Roman" w:cs="Times New Roman" w:hint="default"/>
        <w:b/>
        <w:bCs/>
        <w:w w:val="99"/>
        <w:sz w:val="24"/>
        <w:szCs w:val="24"/>
      </w:rPr>
    </w:lvl>
    <w:lvl w:ilvl="2">
      <w:numFmt w:val="bullet"/>
      <w:lvlText w:val=""/>
      <w:lvlJc w:val="left"/>
      <w:pPr>
        <w:ind w:left="898" w:hanging="360"/>
      </w:pPr>
      <w:rPr>
        <w:rFonts w:hint="default"/>
        <w:w w:val="99"/>
      </w:rPr>
    </w:lvl>
    <w:lvl w:ilvl="3">
      <w:numFmt w:val="bullet"/>
      <w:lvlText w:val="•"/>
      <w:lvlJc w:val="left"/>
      <w:pPr>
        <w:ind w:left="980" w:hanging="360"/>
      </w:pPr>
      <w:rPr>
        <w:rFonts w:hint="default"/>
      </w:rPr>
    </w:lvl>
    <w:lvl w:ilvl="4">
      <w:numFmt w:val="bullet"/>
      <w:lvlText w:val="•"/>
      <w:lvlJc w:val="left"/>
      <w:pPr>
        <w:ind w:left="2328" w:hanging="360"/>
      </w:pPr>
      <w:rPr>
        <w:rFonts w:hint="default"/>
      </w:rPr>
    </w:lvl>
    <w:lvl w:ilvl="5">
      <w:numFmt w:val="bullet"/>
      <w:lvlText w:val="•"/>
      <w:lvlJc w:val="left"/>
      <w:pPr>
        <w:ind w:left="3677" w:hanging="360"/>
      </w:pPr>
      <w:rPr>
        <w:rFonts w:hint="default"/>
      </w:rPr>
    </w:lvl>
    <w:lvl w:ilvl="6">
      <w:numFmt w:val="bullet"/>
      <w:lvlText w:val="•"/>
      <w:lvlJc w:val="left"/>
      <w:pPr>
        <w:ind w:left="5025" w:hanging="360"/>
      </w:pPr>
      <w:rPr>
        <w:rFonts w:hint="default"/>
      </w:rPr>
    </w:lvl>
    <w:lvl w:ilvl="7">
      <w:numFmt w:val="bullet"/>
      <w:lvlText w:val="•"/>
      <w:lvlJc w:val="left"/>
      <w:pPr>
        <w:ind w:left="6374" w:hanging="360"/>
      </w:pPr>
      <w:rPr>
        <w:rFonts w:hint="default"/>
      </w:rPr>
    </w:lvl>
    <w:lvl w:ilvl="8">
      <w:numFmt w:val="bullet"/>
      <w:lvlText w:val="•"/>
      <w:lvlJc w:val="left"/>
      <w:pPr>
        <w:ind w:left="7722" w:hanging="360"/>
      </w:pPr>
      <w:rPr>
        <w:rFonts w:hint="default"/>
      </w:rPr>
    </w:lvl>
  </w:abstractNum>
  <w:abstractNum w:abstractNumId="3">
    <w:nsid w:val="59BC5CBE"/>
    <w:multiLevelType w:val="multilevel"/>
    <w:tmpl w:val="4A04F2EA"/>
    <w:lvl w:ilvl="0">
      <w:start w:val="1"/>
      <w:numFmt w:val="decimal"/>
      <w:lvlText w:val="%1."/>
      <w:lvlJc w:val="left"/>
      <w:pPr>
        <w:ind w:left="178" w:hanging="360"/>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598" w:hanging="420"/>
      </w:pPr>
      <w:rPr>
        <w:rFonts w:ascii="Times New Roman" w:eastAsia="Times New Roman" w:hAnsi="Times New Roman" w:cs="Times New Roman" w:hint="default"/>
        <w:b/>
        <w:bCs/>
        <w:w w:val="99"/>
        <w:sz w:val="24"/>
        <w:szCs w:val="24"/>
      </w:rPr>
    </w:lvl>
    <w:lvl w:ilvl="2">
      <w:numFmt w:val="bullet"/>
      <w:lvlText w:val=""/>
      <w:lvlJc w:val="left"/>
      <w:pPr>
        <w:ind w:left="1668" w:hanging="360"/>
      </w:pPr>
      <w:rPr>
        <w:rFonts w:ascii="Symbol" w:eastAsia="Symbol" w:hAnsi="Symbol" w:cs="Symbol" w:hint="default"/>
        <w:w w:val="99"/>
        <w:sz w:val="24"/>
        <w:szCs w:val="24"/>
      </w:rPr>
    </w:lvl>
    <w:lvl w:ilvl="3">
      <w:numFmt w:val="bullet"/>
      <w:lvlText w:val="•"/>
      <w:lvlJc w:val="left"/>
      <w:pPr>
        <w:ind w:left="2755" w:hanging="360"/>
      </w:pPr>
      <w:rPr>
        <w:rFonts w:hint="default"/>
      </w:rPr>
    </w:lvl>
    <w:lvl w:ilvl="4">
      <w:numFmt w:val="bullet"/>
      <w:lvlText w:val="•"/>
      <w:lvlJc w:val="left"/>
      <w:pPr>
        <w:ind w:left="3850" w:hanging="360"/>
      </w:pPr>
      <w:rPr>
        <w:rFonts w:hint="default"/>
      </w:rPr>
    </w:lvl>
    <w:lvl w:ilvl="5">
      <w:numFmt w:val="bullet"/>
      <w:lvlText w:val="•"/>
      <w:lvlJc w:val="left"/>
      <w:pPr>
        <w:ind w:left="4945" w:hanging="360"/>
      </w:pPr>
      <w:rPr>
        <w:rFonts w:hint="default"/>
      </w:rPr>
    </w:lvl>
    <w:lvl w:ilvl="6">
      <w:numFmt w:val="bullet"/>
      <w:lvlText w:val="•"/>
      <w:lvlJc w:val="left"/>
      <w:pPr>
        <w:ind w:left="6040" w:hanging="360"/>
      </w:pPr>
      <w:rPr>
        <w:rFonts w:hint="default"/>
      </w:rPr>
    </w:lvl>
    <w:lvl w:ilvl="7">
      <w:numFmt w:val="bullet"/>
      <w:lvlText w:val="•"/>
      <w:lvlJc w:val="left"/>
      <w:pPr>
        <w:ind w:left="7135" w:hanging="360"/>
      </w:pPr>
      <w:rPr>
        <w:rFonts w:hint="default"/>
      </w:rPr>
    </w:lvl>
    <w:lvl w:ilvl="8">
      <w:numFmt w:val="bullet"/>
      <w:lvlText w:val="•"/>
      <w:lvlJc w:val="left"/>
      <w:pPr>
        <w:ind w:left="8230" w:hanging="360"/>
      </w:pPr>
      <w:rPr>
        <w:rFonts w:hint="default"/>
      </w:rPr>
    </w:lvl>
  </w:abstractNum>
  <w:abstractNum w:abstractNumId="4">
    <w:nsid w:val="7C8837C4"/>
    <w:multiLevelType w:val="hybridMultilevel"/>
    <w:tmpl w:val="DD1E74E8"/>
    <w:lvl w:ilvl="0" w:tplc="F64098D0">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646"/>
    <w:rsid w:val="000679CB"/>
    <w:rsid w:val="00074E19"/>
    <w:rsid w:val="000C7C5A"/>
    <w:rsid w:val="000E3586"/>
    <w:rsid w:val="000E5420"/>
    <w:rsid w:val="001003C8"/>
    <w:rsid w:val="00133888"/>
    <w:rsid w:val="00136007"/>
    <w:rsid w:val="0014164C"/>
    <w:rsid w:val="001D734F"/>
    <w:rsid w:val="00201357"/>
    <w:rsid w:val="0021667A"/>
    <w:rsid w:val="002C0A11"/>
    <w:rsid w:val="00301602"/>
    <w:rsid w:val="003170BE"/>
    <w:rsid w:val="0031781A"/>
    <w:rsid w:val="00370582"/>
    <w:rsid w:val="0037232E"/>
    <w:rsid w:val="003B06AC"/>
    <w:rsid w:val="003B5BC5"/>
    <w:rsid w:val="004224B6"/>
    <w:rsid w:val="00455ADB"/>
    <w:rsid w:val="004762DD"/>
    <w:rsid w:val="004A163B"/>
    <w:rsid w:val="004D631A"/>
    <w:rsid w:val="004D7027"/>
    <w:rsid w:val="005269BE"/>
    <w:rsid w:val="00541E1F"/>
    <w:rsid w:val="00547387"/>
    <w:rsid w:val="005652D1"/>
    <w:rsid w:val="005678F8"/>
    <w:rsid w:val="005937D4"/>
    <w:rsid w:val="00594229"/>
    <w:rsid w:val="005A7B48"/>
    <w:rsid w:val="005D0163"/>
    <w:rsid w:val="005E7C1B"/>
    <w:rsid w:val="00612A0F"/>
    <w:rsid w:val="00631A8E"/>
    <w:rsid w:val="00645FEE"/>
    <w:rsid w:val="00680B38"/>
    <w:rsid w:val="006D1646"/>
    <w:rsid w:val="006D3A1B"/>
    <w:rsid w:val="006F12E3"/>
    <w:rsid w:val="006F6C4C"/>
    <w:rsid w:val="00732DCA"/>
    <w:rsid w:val="007714F2"/>
    <w:rsid w:val="00795449"/>
    <w:rsid w:val="007971B3"/>
    <w:rsid w:val="007C5833"/>
    <w:rsid w:val="007E211E"/>
    <w:rsid w:val="00845AB6"/>
    <w:rsid w:val="00845CAD"/>
    <w:rsid w:val="008C2D8A"/>
    <w:rsid w:val="008D7B67"/>
    <w:rsid w:val="00915085"/>
    <w:rsid w:val="0091512C"/>
    <w:rsid w:val="0092475F"/>
    <w:rsid w:val="00967210"/>
    <w:rsid w:val="00974D26"/>
    <w:rsid w:val="00995A52"/>
    <w:rsid w:val="009C018B"/>
    <w:rsid w:val="00A27DD2"/>
    <w:rsid w:val="00A518C3"/>
    <w:rsid w:val="00A644A0"/>
    <w:rsid w:val="00A75CC2"/>
    <w:rsid w:val="00A76B04"/>
    <w:rsid w:val="00A90753"/>
    <w:rsid w:val="00A96DD0"/>
    <w:rsid w:val="00BB0F81"/>
    <w:rsid w:val="00BB73EC"/>
    <w:rsid w:val="00BC16AF"/>
    <w:rsid w:val="00BC7D48"/>
    <w:rsid w:val="00BE4326"/>
    <w:rsid w:val="00BF20FB"/>
    <w:rsid w:val="00C06430"/>
    <w:rsid w:val="00C40C02"/>
    <w:rsid w:val="00C47B78"/>
    <w:rsid w:val="00C83463"/>
    <w:rsid w:val="00C9359C"/>
    <w:rsid w:val="00CA2A36"/>
    <w:rsid w:val="00CD2C9A"/>
    <w:rsid w:val="00CE7FA8"/>
    <w:rsid w:val="00D12F6C"/>
    <w:rsid w:val="00D31937"/>
    <w:rsid w:val="00D46D17"/>
    <w:rsid w:val="00D72633"/>
    <w:rsid w:val="00D72FAE"/>
    <w:rsid w:val="00D82034"/>
    <w:rsid w:val="00D8220D"/>
    <w:rsid w:val="00D943E0"/>
    <w:rsid w:val="00DB4E17"/>
    <w:rsid w:val="00DC2457"/>
    <w:rsid w:val="00DD006A"/>
    <w:rsid w:val="00DE008F"/>
    <w:rsid w:val="00DE042C"/>
    <w:rsid w:val="00DE6D39"/>
    <w:rsid w:val="00DF0676"/>
    <w:rsid w:val="00E03564"/>
    <w:rsid w:val="00E17A5C"/>
    <w:rsid w:val="00E22213"/>
    <w:rsid w:val="00E27D45"/>
    <w:rsid w:val="00EB039B"/>
    <w:rsid w:val="00EC39E3"/>
    <w:rsid w:val="00ED75B1"/>
    <w:rsid w:val="00F135B9"/>
    <w:rsid w:val="00F50184"/>
    <w:rsid w:val="00F82F3E"/>
    <w:rsid w:val="00F96324"/>
    <w:rsid w:val="00FB0289"/>
    <w:rsid w:val="00FE2E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0AF38B-0658-488D-B5A5-A6A90568B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210"/>
  </w:style>
  <w:style w:type="paragraph" w:styleId="Heading1">
    <w:name w:val="heading 1"/>
    <w:basedOn w:val="Normal"/>
    <w:next w:val="Normal"/>
    <w:link w:val="Heading1Char"/>
    <w:uiPriority w:val="9"/>
    <w:qFormat/>
    <w:rsid w:val="006D16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06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F06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6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4E17"/>
    <w:pPr>
      <w:outlineLvl w:val="9"/>
    </w:pPr>
    <w:rPr>
      <w:lang w:eastAsia="fr-FR"/>
    </w:rPr>
  </w:style>
  <w:style w:type="paragraph" w:styleId="TOC1">
    <w:name w:val="toc 1"/>
    <w:basedOn w:val="Normal"/>
    <w:next w:val="Normal"/>
    <w:autoRedefine/>
    <w:uiPriority w:val="39"/>
    <w:unhideWhenUsed/>
    <w:rsid w:val="00DB4E17"/>
    <w:pPr>
      <w:spacing w:after="100"/>
    </w:pPr>
  </w:style>
  <w:style w:type="character" w:styleId="Hyperlink">
    <w:name w:val="Hyperlink"/>
    <w:basedOn w:val="DefaultParagraphFont"/>
    <w:uiPriority w:val="99"/>
    <w:unhideWhenUsed/>
    <w:rsid w:val="00DB4E17"/>
    <w:rPr>
      <w:color w:val="0563C1" w:themeColor="hyperlink"/>
      <w:u w:val="single"/>
    </w:rPr>
  </w:style>
  <w:style w:type="paragraph" w:styleId="FootnoteText">
    <w:name w:val="footnote text"/>
    <w:basedOn w:val="Normal"/>
    <w:link w:val="FootnoteTextChar"/>
    <w:uiPriority w:val="99"/>
    <w:semiHidden/>
    <w:unhideWhenUsed/>
    <w:rsid w:val="005E7C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7C1B"/>
    <w:rPr>
      <w:sz w:val="20"/>
      <w:szCs w:val="20"/>
    </w:rPr>
  </w:style>
  <w:style w:type="character" w:styleId="FootnoteReference">
    <w:name w:val="footnote reference"/>
    <w:basedOn w:val="DefaultParagraphFont"/>
    <w:uiPriority w:val="99"/>
    <w:semiHidden/>
    <w:unhideWhenUsed/>
    <w:rsid w:val="005E7C1B"/>
    <w:rPr>
      <w:vertAlign w:val="superscript"/>
    </w:rPr>
  </w:style>
  <w:style w:type="table" w:styleId="TableGrid">
    <w:name w:val="Table Grid"/>
    <w:basedOn w:val="TableNormal"/>
    <w:uiPriority w:val="39"/>
    <w:rsid w:val="00D319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E27D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7D45"/>
    <w:pPr>
      <w:widowControl w:val="0"/>
      <w:autoSpaceDE w:val="0"/>
      <w:autoSpaceDN w:val="0"/>
      <w:spacing w:after="0" w:line="256" w:lineRule="exact"/>
      <w:jc w:val="center"/>
    </w:pPr>
    <w:rPr>
      <w:rFonts w:ascii="Arial" w:eastAsia="Arial" w:hAnsi="Arial" w:cs="Arial"/>
      <w:lang w:val="en-US"/>
    </w:rPr>
  </w:style>
  <w:style w:type="character" w:customStyle="1" w:styleId="Heading2Char">
    <w:name w:val="Heading 2 Char"/>
    <w:basedOn w:val="DefaultParagraphFont"/>
    <w:link w:val="Heading2"/>
    <w:uiPriority w:val="9"/>
    <w:rsid w:val="00DF067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F067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F0676"/>
    <w:pPr>
      <w:ind w:left="720"/>
      <w:contextualSpacing/>
    </w:pPr>
  </w:style>
  <w:style w:type="paragraph" w:styleId="TOC2">
    <w:name w:val="toc 2"/>
    <w:basedOn w:val="Normal"/>
    <w:next w:val="Normal"/>
    <w:autoRedefine/>
    <w:uiPriority w:val="39"/>
    <w:unhideWhenUsed/>
    <w:rsid w:val="00DF0676"/>
    <w:pPr>
      <w:spacing w:after="100"/>
      <w:ind w:left="220"/>
    </w:pPr>
  </w:style>
  <w:style w:type="paragraph" w:styleId="TOC3">
    <w:name w:val="toc 3"/>
    <w:basedOn w:val="Normal"/>
    <w:next w:val="Normal"/>
    <w:autoRedefine/>
    <w:uiPriority w:val="39"/>
    <w:unhideWhenUsed/>
    <w:rsid w:val="00DF0676"/>
    <w:pPr>
      <w:spacing w:after="100"/>
      <w:ind w:left="440"/>
    </w:pPr>
  </w:style>
  <w:style w:type="character" w:customStyle="1" w:styleId="UnresolvedMention">
    <w:name w:val="Unresolved Mention"/>
    <w:basedOn w:val="DefaultParagraphFont"/>
    <w:uiPriority w:val="99"/>
    <w:semiHidden/>
    <w:unhideWhenUsed/>
    <w:rsid w:val="000679CB"/>
    <w:rPr>
      <w:color w:val="605E5C"/>
      <w:shd w:val="clear" w:color="auto" w:fill="E1DFDD"/>
    </w:rPr>
  </w:style>
  <w:style w:type="paragraph" w:styleId="Header">
    <w:name w:val="header"/>
    <w:basedOn w:val="Normal"/>
    <w:link w:val="HeaderChar"/>
    <w:uiPriority w:val="99"/>
    <w:unhideWhenUsed/>
    <w:rsid w:val="00A90753"/>
    <w:pPr>
      <w:tabs>
        <w:tab w:val="center" w:pos="4536"/>
        <w:tab w:val="right" w:pos="9072"/>
      </w:tabs>
      <w:spacing w:after="0" w:line="240" w:lineRule="auto"/>
    </w:pPr>
  </w:style>
  <w:style w:type="character" w:customStyle="1" w:styleId="HeaderChar">
    <w:name w:val="Header Char"/>
    <w:basedOn w:val="DefaultParagraphFont"/>
    <w:link w:val="Header"/>
    <w:uiPriority w:val="99"/>
    <w:rsid w:val="00A90753"/>
  </w:style>
  <w:style w:type="paragraph" w:styleId="Footer">
    <w:name w:val="footer"/>
    <w:basedOn w:val="Normal"/>
    <w:link w:val="FooterChar"/>
    <w:uiPriority w:val="99"/>
    <w:unhideWhenUsed/>
    <w:rsid w:val="00A90753"/>
    <w:pPr>
      <w:tabs>
        <w:tab w:val="center" w:pos="4536"/>
        <w:tab w:val="right" w:pos="9072"/>
      </w:tabs>
      <w:spacing w:after="0" w:line="240" w:lineRule="auto"/>
    </w:pPr>
  </w:style>
  <w:style w:type="character" w:customStyle="1" w:styleId="FooterChar">
    <w:name w:val="Footer Char"/>
    <w:basedOn w:val="DefaultParagraphFont"/>
    <w:link w:val="Footer"/>
    <w:uiPriority w:val="99"/>
    <w:rsid w:val="00A90753"/>
  </w:style>
  <w:style w:type="paragraph" w:styleId="BalloonText">
    <w:name w:val="Balloon Text"/>
    <w:basedOn w:val="Normal"/>
    <w:link w:val="BalloonTextChar"/>
    <w:uiPriority w:val="99"/>
    <w:semiHidden/>
    <w:unhideWhenUsed/>
    <w:rsid w:val="00EB03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39B"/>
    <w:rPr>
      <w:rFonts w:ascii="Tahoma" w:hAnsi="Tahoma" w:cs="Tahoma"/>
      <w:sz w:val="16"/>
      <w:szCs w:val="16"/>
    </w:rPr>
  </w:style>
  <w:style w:type="paragraph" w:customStyle="1" w:styleId="Default">
    <w:name w:val="Default"/>
    <w:rsid w:val="003016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9EAA68-8D0C-4243-B16D-482F4EE8E036}"/>
</file>

<file path=customXml/itemProps2.xml><?xml version="1.0" encoding="utf-8"?>
<ds:datastoreItem xmlns:ds="http://schemas.openxmlformats.org/officeDocument/2006/customXml" ds:itemID="{27BBDE90-FEA3-4648-89A7-C115103A2DB4}"/>
</file>

<file path=customXml/itemProps3.xml><?xml version="1.0" encoding="utf-8"?>
<ds:datastoreItem xmlns:ds="http://schemas.openxmlformats.org/officeDocument/2006/customXml" ds:itemID="{3E59549E-AE72-433D-A8DE-930F5EF6F5F7}"/>
</file>

<file path=customXml/itemProps4.xml><?xml version="1.0" encoding="utf-8"?>
<ds:datastoreItem xmlns:ds="http://schemas.openxmlformats.org/officeDocument/2006/customXml" ds:itemID="{18EF5055-31F6-4024-8D4A-44324B37FAD7}"/>
</file>

<file path=docProps/app.xml><?xml version="1.0" encoding="utf-8"?>
<Properties xmlns="http://schemas.openxmlformats.org/officeDocument/2006/extended-properties" xmlns:vt="http://schemas.openxmlformats.org/officeDocument/2006/docPropsVTypes">
  <Template>Normal.dotm</Template>
  <TotalTime>0</TotalTime>
  <Pages>11</Pages>
  <Words>2026</Words>
  <Characters>11551</Characters>
  <Application>Microsoft Office Word</Application>
  <DocSecurity>4</DocSecurity>
  <Lines>96</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Jean-Serge SABI</dc:creator>
  <cp:keywords/>
  <dc:description/>
  <cp:lastModifiedBy>TRILLO DIAZ Liliana</cp:lastModifiedBy>
  <cp:revision>2</cp:revision>
  <dcterms:created xsi:type="dcterms:W3CDTF">2018-08-08T08:00:00Z</dcterms:created>
  <dcterms:modified xsi:type="dcterms:W3CDTF">2018-08-08T08:00:00Z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