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7CC5A" w14:textId="00854D86" w:rsidR="00F67A9F" w:rsidRDefault="00F67A9F" w:rsidP="0031489F">
      <w:pPr>
        <w:pStyle w:val="NormalWeb"/>
        <w:jc w:val="both"/>
        <w:rPr>
          <w:b/>
          <w:bCs/>
        </w:rPr>
      </w:pPr>
    </w:p>
    <w:p w14:paraId="08E0C384" w14:textId="6DA671A0" w:rsidR="000D4200" w:rsidRDefault="000D4200" w:rsidP="000D4200">
      <w:pPr>
        <w:jc w:val="center"/>
      </w:pPr>
      <w:r>
        <w:rPr>
          <w:noProof/>
        </w:rPr>
        <w:drawing>
          <wp:inline distT="0" distB="0" distL="0" distR="0" wp14:anchorId="604503DC" wp14:editId="14FB843A">
            <wp:extent cx="3627120" cy="2583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627120" cy="2583180"/>
                    </a:xfrm>
                    <a:prstGeom prst="rect">
                      <a:avLst/>
                    </a:prstGeom>
                  </pic:spPr>
                </pic:pic>
              </a:graphicData>
            </a:graphic>
          </wp:inline>
        </w:drawing>
      </w:r>
    </w:p>
    <w:p w14:paraId="31B966F6" w14:textId="00854D86" w:rsidR="000D4200" w:rsidRDefault="000D4200" w:rsidP="000D4200">
      <w:pPr>
        <w:jc w:val="center"/>
        <w:rPr>
          <w:rFonts w:asciiTheme="majorBidi" w:hAnsiTheme="majorBidi" w:cstheme="majorBidi"/>
          <w:b/>
          <w:bCs/>
          <w:sz w:val="32"/>
          <w:szCs w:val="32"/>
        </w:rPr>
      </w:pPr>
    </w:p>
    <w:p w14:paraId="30AFB433" w14:textId="00854D86" w:rsidR="000D4200" w:rsidRDefault="000D4200" w:rsidP="000D4200">
      <w:pPr>
        <w:jc w:val="center"/>
        <w:rPr>
          <w:rFonts w:asciiTheme="majorBidi" w:hAnsiTheme="majorBidi" w:cstheme="majorBidi"/>
          <w:b/>
          <w:bCs/>
          <w:sz w:val="44"/>
          <w:szCs w:val="44"/>
        </w:rPr>
      </w:pPr>
      <w:r w:rsidRPr="0029415A">
        <w:rPr>
          <w:rFonts w:asciiTheme="majorBidi" w:hAnsiTheme="majorBidi" w:cstheme="majorBidi"/>
          <w:b/>
          <w:bCs/>
          <w:sz w:val="44"/>
          <w:szCs w:val="44"/>
        </w:rPr>
        <w:t>Venezuela</w:t>
      </w:r>
    </w:p>
    <w:p w14:paraId="5755ABBB" w14:textId="00854D86" w:rsidR="000D4200" w:rsidRDefault="000D4200" w:rsidP="000D4200">
      <w:pPr>
        <w:jc w:val="center"/>
        <w:rPr>
          <w:rFonts w:asciiTheme="majorBidi" w:hAnsiTheme="majorBidi" w:cstheme="majorBidi"/>
          <w:b/>
          <w:bCs/>
          <w:sz w:val="44"/>
          <w:szCs w:val="44"/>
        </w:rPr>
      </w:pPr>
    </w:p>
    <w:p w14:paraId="71017F34" w14:textId="00854D86" w:rsidR="000D4200" w:rsidRPr="0029415A" w:rsidRDefault="000D4200" w:rsidP="000D4200">
      <w:pPr>
        <w:jc w:val="center"/>
        <w:rPr>
          <w:rFonts w:asciiTheme="majorBidi" w:hAnsiTheme="majorBidi" w:cstheme="majorBidi"/>
          <w:b/>
          <w:bCs/>
          <w:sz w:val="44"/>
          <w:szCs w:val="44"/>
        </w:rPr>
      </w:pPr>
    </w:p>
    <w:p w14:paraId="5FA0D148" w14:textId="00854D86" w:rsidR="000D4200" w:rsidRPr="00445A43" w:rsidRDefault="000D4200" w:rsidP="000D4200">
      <w:pPr>
        <w:jc w:val="center"/>
        <w:rPr>
          <w:rFonts w:ascii="Times New Roman" w:hAnsi="Times New Roman" w:cs="Times New Roman"/>
          <w:sz w:val="28"/>
          <w:szCs w:val="28"/>
        </w:rPr>
      </w:pPr>
    </w:p>
    <w:p w14:paraId="37899F4F" w14:textId="00854D86" w:rsidR="000D4200" w:rsidRPr="00445A43" w:rsidRDefault="000D4200" w:rsidP="000D4200">
      <w:pPr>
        <w:jc w:val="center"/>
        <w:rPr>
          <w:rFonts w:ascii="Times New Roman" w:hAnsi="Times New Roman" w:cs="Times New Roman"/>
          <w:b/>
          <w:bCs/>
          <w:sz w:val="28"/>
          <w:szCs w:val="28"/>
        </w:rPr>
      </w:pPr>
      <w:r w:rsidRPr="00445A43">
        <w:rPr>
          <w:rFonts w:ascii="Times New Roman" w:hAnsi="Times New Roman" w:cs="Times New Roman"/>
          <w:b/>
          <w:bCs/>
          <w:sz w:val="28"/>
          <w:szCs w:val="28"/>
        </w:rPr>
        <w:t>NGO Submission to the U.N. Human Rights Committee</w:t>
      </w:r>
    </w:p>
    <w:p w14:paraId="35B15F9C" w14:textId="1D164ABD" w:rsidR="000D4200" w:rsidRDefault="000D4200" w:rsidP="000D4200">
      <w:pPr>
        <w:jc w:val="center"/>
        <w:rPr>
          <w:rFonts w:ascii="Times New Roman" w:hAnsi="Times New Roman" w:cs="Times New Roman"/>
          <w:b/>
          <w:bCs/>
          <w:sz w:val="28"/>
          <w:szCs w:val="28"/>
        </w:rPr>
      </w:pPr>
      <w:r>
        <w:rPr>
          <w:rFonts w:ascii="Times New Roman" w:hAnsi="Times New Roman" w:cs="Times New Roman"/>
          <w:b/>
          <w:bCs/>
          <w:sz w:val="28"/>
          <w:szCs w:val="28"/>
        </w:rPr>
        <w:t>List of Issues:</w:t>
      </w:r>
      <w:r w:rsidR="00545DD7" w:rsidRPr="00545DD7">
        <w:rPr>
          <w:rFonts w:ascii="Times New Roman" w:hAnsi="Times New Roman" w:cs="Times New Roman"/>
          <w:b/>
          <w:bCs/>
          <w:sz w:val="28"/>
          <w:szCs w:val="28"/>
        </w:rPr>
        <w:t xml:space="preserve"> </w:t>
      </w:r>
      <w:r w:rsidR="00545DD7" w:rsidRPr="00445A43">
        <w:rPr>
          <w:rFonts w:ascii="Times New Roman" w:hAnsi="Times New Roman" w:cs="Times New Roman"/>
          <w:b/>
          <w:bCs/>
          <w:sz w:val="28"/>
          <w:szCs w:val="28"/>
        </w:rPr>
        <w:t>13</w:t>
      </w:r>
      <w:r w:rsidR="00545DD7">
        <w:rPr>
          <w:rFonts w:ascii="Times New Roman" w:hAnsi="Times New Roman" w:cs="Times New Roman"/>
          <w:b/>
          <w:bCs/>
          <w:sz w:val="28"/>
          <w:szCs w:val="28"/>
        </w:rPr>
        <w:t>6</w:t>
      </w:r>
      <w:r w:rsidR="00545DD7" w:rsidRPr="00445A43">
        <w:rPr>
          <w:rFonts w:ascii="Times New Roman" w:hAnsi="Times New Roman" w:cs="Times New Roman"/>
          <w:b/>
          <w:bCs/>
          <w:sz w:val="28"/>
          <w:szCs w:val="28"/>
        </w:rPr>
        <w:t>th Session</w:t>
      </w:r>
    </w:p>
    <w:p w14:paraId="70ADA934" w14:textId="276269F9" w:rsidR="000D4200" w:rsidRPr="00445A43" w:rsidRDefault="000D4200" w:rsidP="000D4200">
      <w:pPr>
        <w:jc w:val="center"/>
        <w:rPr>
          <w:rFonts w:ascii="Times New Roman" w:hAnsi="Times New Roman" w:cs="Times New Roman"/>
          <w:b/>
          <w:bCs/>
          <w:sz w:val="28"/>
          <w:szCs w:val="28"/>
        </w:rPr>
      </w:pPr>
      <w:r w:rsidRPr="00445A43">
        <w:rPr>
          <w:rFonts w:ascii="Times New Roman" w:hAnsi="Times New Roman" w:cs="Times New Roman"/>
          <w:b/>
          <w:bCs/>
          <w:sz w:val="28"/>
          <w:szCs w:val="28"/>
        </w:rPr>
        <w:t xml:space="preserve"> (</w:t>
      </w:r>
      <w:r w:rsidR="0073659D">
        <w:rPr>
          <w:rFonts w:ascii="Times New Roman" w:hAnsi="Times New Roman" w:cs="Times New Roman"/>
          <w:b/>
          <w:bCs/>
          <w:sz w:val="28"/>
          <w:szCs w:val="28"/>
        </w:rPr>
        <w:t>October</w:t>
      </w:r>
      <w:r w:rsidRPr="00445A43">
        <w:rPr>
          <w:rFonts w:ascii="Times New Roman" w:hAnsi="Times New Roman" w:cs="Times New Roman"/>
          <w:b/>
          <w:bCs/>
          <w:sz w:val="28"/>
          <w:szCs w:val="28"/>
        </w:rPr>
        <w:t xml:space="preserve"> </w:t>
      </w:r>
      <w:r>
        <w:rPr>
          <w:rFonts w:ascii="Times New Roman" w:hAnsi="Times New Roman" w:cs="Times New Roman"/>
          <w:b/>
          <w:bCs/>
          <w:sz w:val="28"/>
          <w:szCs w:val="28"/>
        </w:rPr>
        <w:t>10</w:t>
      </w:r>
      <w:r w:rsidRPr="00445A43">
        <w:rPr>
          <w:rFonts w:ascii="Times New Roman" w:hAnsi="Times New Roman" w:cs="Times New Roman"/>
          <w:b/>
          <w:bCs/>
          <w:sz w:val="28"/>
          <w:szCs w:val="28"/>
        </w:rPr>
        <w:t xml:space="preserve">, 2022 – </w:t>
      </w:r>
      <w:r>
        <w:rPr>
          <w:rFonts w:ascii="Times New Roman" w:hAnsi="Times New Roman" w:cs="Times New Roman"/>
          <w:b/>
          <w:bCs/>
          <w:sz w:val="28"/>
          <w:szCs w:val="28"/>
        </w:rPr>
        <w:t>November 4</w:t>
      </w:r>
      <w:r w:rsidRPr="00445A43">
        <w:rPr>
          <w:rFonts w:ascii="Times New Roman" w:hAnsi="Times New Roman" w:cs="Times New Roman"/>
          <w:b/>
          <w:bCs/>
          <w:sz w:val="28"/>
          <w:szCs w:val="28"/>
        </w:rPr>
        <w:t>, 2022)</w:t>
      </w:r>
    </w:p>
    <w:p w14:paraId="51411F4F" w14:textId="00854D86" w:rsidR="000D4200" w:rsidRDefault="000D4200" w:rsidP="000D4200">
      <w:pPr>
        <w:jc w:val="center"/>
        <w:rPr>
          <w:rFonts w:ascii="Times New Roman" w:hAnsi="Times New Roman" w:cs="Times New Roman"/>
          <w:b/>
          <w:bCs/>
        </w:rPr>
      </w:pPr>
    </w:p>
    <w:p w14:paraId="4A5AF76F" w14:textId="00854D86" w:rsidR="000D4200" w:rsidRDefault="000D4200" w:rsidP="000D4200">
      <w:pPr>
        <w:jc w:val="center"/>
        <w:rPr>
          <w:rFonts w:ascii="Times New Roman" w:hAnsi="Times New Roman" w:cs="Times New Roman"/>
          <w:b/>
          <w:bCs/>
        </w:rPr>
      </w:pPr>
      <w:r>
        <w:rPr>
          <w:rFonts w:ascii="Times New Roman" w:hAnsi="Times New Roman" w:cs="Times New Roman"/>
          <w:b/>
          <w:bCs/>
        </w:rPr>
        <w:t>The Carter Center</w:t>
      </w:r>
    </w:p>
    <w:p w14:paraId="1ED34015" w14:textId="00854D86" w:rsidR="000D4200" w:rsidRPr="00D64A82" w:rsidRDefault="000D4200" w:rsidP="000D4200">
      <w:pPr>
        <w:jc w:val="center"/>
        <w:rPr>
          <w:b/>
          <w:bCs/>
          <w:i/>
          <w:iCs/>
        </w:rPr>
      </w:pPr>
      <w:r>
        <w:rPr>
          <w:rFonts w:ascii="Times New Roman" w:hAnsi="Times New Roman" w:cs="Times New Roman"/>
          <w:b/>
          <w:bCs/>
        </w:rPr>
        <w:t>August 15, 2022</w:t>
      </w:r>
    </w:p>
    <w:p w14:paraId="294E288B" w14:textId="00854D86" w:rsidR="000D4200" w:rsidRPr="00D64A82" w:rsidRDefault="000D4200" w:rsidP="000D4200">
      <w:pPr>
        <w:rPr>
          <w:rFonts w:ascii="Times New Roman" w:hAnsi="Times New Roman" w:cs="Times New Roman"/>
        </w:rPr>
      </w:pPr>
    </w:p>
    <w:p w14:paraId="367617D7" w14:textId="00854D86" w:rsidR="000D4200" w:rsidRDefault="000D4200" w:rsidP="000D4200">
      <w:pPr>
        <w:rPr>
          <w:rFonts w:ascii="Times New Roman" w:hAnsi="Times New Roman" w:cs="Times New Roman"/>
          <w:b/>
          <w:bCs/>
        </w:rPr>
      </w:pPr>
    </w:p>
    <w:p w14:paraId="6B7D678C" w14:textId="00854D86" w:rsidR="000D4200" w:rsidRDefault="000D4200" w:rsidP="000D4200">
      <w:pPr>
        <w:rPr>
          <w:rFonts w:ascii="Times New Roman" w:hAnsi="Times New Roman" w:cs="Times New Roman"/>
          <w:b/>
          <w:bCs/>
        </w:rPr>
      </w:pPr>
    </w:p>
    <w:p w14:paraId="44FA5AE6" w14:textId="00854D86" w:rsidR="000D4200" w:rsidRDefault="000D4200" w:rsidP="000D4200">
      <w:pPr>
        <w:rPr>
          <w:rFonts w:ascii="Times New Roman" w:hAnsi="Times New Roman" w:cs="Times New Roman"/>
          <w:b/>
          <w:bCs/>
        </w:rPr>
      </w:pPr>
    </w:p>
    <w:p w14:paraId="537DF8E7" w14:textId="00854D86" w:rsidR="000D4200" w:rsidRPr="00D64A82" w:rsidRDefault="000D4200" w:rsidP="000D4200">
      <w:pPr>
        <w:rPr>
          <w:rFonts w:ascii="Times New Roman" w:hAnsi="Times New Roman" w:cs="Times New Roman"/>
        </w:rPr>
      </w:pPr>
      <w:r w:rsidRPr="00D64A82">
        <w:rPr>
          <w:rFonts w:ascii="Times New Roman" w:hAnsi="Times New Roman" w:cs="Times New Roman"/>
          <w:b/>
          <w:bCs/>
        </w:rPr>
        <w:t xml:space="preserve">Submitted by: The Carter Center </w:t>
      </w:r>
    </w:p>
    <w:p w14:paraId="22C29D79" w14:textId="00854D86" w:rsidR="000D4200" w:rsidRPr="00D64A82" w:rsidRDefault="000D4200" w:rsidP="000D4200">
      <w:pPr>
        <w:rPr>
          <w:rFonts w:ascii="Times New Roman" w:hAnsi="Times New Roman" w:cs="Times New Roman"/>
        </w:rPr>
      </w:pPr>
      <w:r w:rsidRPr="00D64A82">
        <w:rPr>
          <w:rFonts w:ascii="Times New Roman" w:hAnsi="Times New Roman" w:cs="Times New Roman"/>
          <w:b/>
          <w:bCs/>
        </w:rPr>
        <w:t xml:space="preserve">Contact name: David Carroll, Director, Democracy Program </w:t>
      </w:r>
    </w:p>
    <w:p w14:paraId="1F1FDF7C" w14:textId="00854D86" w:rsidR="000D4200" w:rsidRPr="00DD2DCD" w:rsidRDefault="000D4200" w:rsidP="000D4200">
      <w:pPr>
        <w:rPr>
          <w:rFonts w:ascii="Times New Roman" w:hAnsi="Times New Roman" w:cs="Times New Roman"/>
        </w:rPr>
      </w:pPr>
      <w:r w:rsidRPr="00DD2DCD">
        <w:rPr>
          <w:rFonts w:ascii="Times New Roman" w:hAnsi="Times New Roman" w:cs="Times New Roman"/>
          <w:b/>
          <w:bCs/>
        </w:rPr>
        <w:t>Contact email: david.carroll@cartercenter.org</w:t>
      </w:r>
    </w:p>
    <w:p w14:paraId="24CD5830" w14:textId="00854D86" w:rsidR="000D4200" w:rsidRPr="007A6E9C" w:rsidRDefault="000D4200" w:rsidP="000D4200">
      <w:pPr>
        <w:rPr>
          <w:rFonts w:ascii="Times New Roman" w:hAnsi="Times New Roman" w:cs="Times New Roman"/>
          <w:b/>
          <w:bCs/>
        </w:rPr>
      </w:pPr>
      <w:r w:rsidRPr="007A6E9C">
        <w:rPr>
          <w:rFonts w:ascii="Times New Roman" w:hAnsi="Times New Roman" w:cs="Times New Roman"/>
          <w:b/>
          <w:bCs/>
        </w:rPr>
        <w:t xml:space="preserve">Website: </w:t>
      </w:r>
      <w:hyperlink r:id="rId9" w:history="1">
        <w:r w:rsidRPr="007A6E9C">
          <w:rPr>
            <w:rStyle w:val="Hyperlink"/>
            <w:rFonts w:ascii="Times New Roman" w:hAnsi="Times New Roman" w:cs="Times New Roman"/>
            <w:b/>
            <w:bCs/>
          </w:rPr>
          <w:t>www.cartercenter.org</w:t>
        </w:r>
      </w:hyperlink>
    </w:p>
    <w:p w14:paraId="74BCEF7E" w14:textId="00854D86" w:rsidR="000D4200" w:rsidRDefault="000D4200" w:rsidP="000D4200"/>
    <w:p w14:paraId="22810B00" w14:textId="5297FACD" w:rsidR="00F67A9F" w:rsidRDefault="00F67A9F" w:rsidP="0031489F">
      <w:pPr>
        <w:pStyle w:val="NormalWeb"/>
        <w:jc w:val="both"/>
        <w:rPr>
          <w:b/>
          <w:bCs/>
        </w:rPr>
      </w:pPr>
    </w:p>
    <w:p w14:paraId="0CB09025" w14:textId="5297FACD" w:rsidR="000D4200" w:rsidRDefault="000D4200" w:rsidP="0031489F">
      <w:pPr>
        <w:pStyle w:val="NormalWeb"/>
        <w:jc w:val="both"/>
        <w:rPr>
          <w:b/>
          <w:bCs/>
        </w:rPr>
      </w:pPr>
    </w:p>
    <w:p w14:paraId="6B9AFF27" w14:textId="77777777" w:rsidR="00F67A9F" w:rsidRDefault="00F67A9F" w:rsidP="0031489F">
      <w:pPr>
        <w:pStyle w:val="NormalWeb"/>
        <w:jc w:val="both"/>
        <w:rPr>
          <w:b/>
          <w:bCs/>
        </w:rPr>
      </w:pPr>
    </w:p>
    <w:p w14:paraId="76C2CEC4" w14:textId="7DFCF048" w:rsidR="000D373C" w:rsidRDefault="000D373C" w:rsidP="0031489F">
      <w:pPr>
        <w:pStyle w:val="NormalWeb"/>
        <w:jc w:val="both"/>
      </w:pPr>
      <w:r w:rsidRPr="00DD2DCD">
        <w:rPr>
          <w:b/>
          <w:bCs/>
        </w:rPr>
        <w:lastRenderedPageBreak/>
        <w:t xml:space="preserve">Reporting Organization </w:t>
      </w:r>
    </w:p>
    <w:p w14:paraId="0F07CED8" w14:textId="77777777" w:rsidR="00885F76" w:rsidRDefault="00885F76" w:rsidP="0031489F">
      <w:pPr>
        <w:pStyle w:val="NormalWeb"/>
        <w:jc w:val="both"/>
      </w:pPr>
      <w:r w:rsidRPr="00DD2DCD">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p>
    <w:p w14:paraId="39020657" w14:textId="09B86FE8" w:rsidR="00480A34" w:rsidRDefault="00885F76" w:rsidP="0031489F">
      <w:pPr>
        <w:pStyle w:val="NormalWeb"/>
        <w:jc w:val="both"/>
      </w:pPr>
      <w:r w:rsidRPr="00DD2DCD">
        <w:t>The Carter Center’s Democracy Program works globally to promote democratic elections and governance consistent with human rights. The Center has monitored more than 100 elections in 3</w:t>
      </w:r>
      <w:r w:rsidR="00556C27">
        <w:t>9</w:t>
      </w:r>
      <w:r w:rsidRPr="00DD2DCD">
        <w:t xml:space="preserve">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 </w:t>
      </w:r>
    </w:p>
    <w:p w14:paraId="6ADEBF42" w14:textId="3C4738ED" w:rsidR="000D373C" w:rsidRPr="0074169C" w:rsidRDefault="000D373C" w:rsidP="0031489F">
      <w:pPr>
        <w:pStyle w:val="NormalWeb"/>
        <w:jc w:val="both"/>
      </w:pPr>
      <w:r w:rsidRPr="00DD2DCD">
        <w:rPr>
          <w:b/>
          <w:bCs/>
        </w:rPr>
        <w:t xml:space="preserve">The Carter Center in Venezuela </w:t>
      </w:r>
    </w:p>
    <w:p w14:paraId="5BE72775" w14:textId="616C480E" w:rsidR="00556C27" w:rsidRDefault="0074169C" w:rsidP="0074169C">
      <w:pPr>
        <w:pStyle w:val="NormalWeb"/>
        <w:jc w:val="both"/>
      </w:pPr>
      <w:r w:rsidRPr="00DD2DCD">
        <w:t xml:space="preserve">The Carter Center </w:t>
      </w:r>
      <w:r w:rsidR="001F16B9">
        <w:t>had ongoing projects in Venezuela since 1998</w:t>
      </w:r>
      <w:r w:rsidR="001053DD">
        <w:t xml:space="preserve"> or has mon</w:t>
      </w:r>
      <w:r w:rsidR="00823464">
        <w:t>i</w:t>
      </w:r>
      <w:r w:rsidR="001053DD">
        <w:t>tored political conditions in Venezuela since 1998</w:t>
      </w:r>
      <w:r w:rsidR="001F16B9">
        <w:t xml:space="preserve">. The Center </w:t>
      </w:r>
      <w:r w:rsidRPr="00DD2DCD">
        <w:t>observed elections in Venezuela in 1998</w:t>
      </w:r>
      <w:r w:rsidR="00B71121" w:rsidRPr="00DD2DCD">
        <w:t>,</w:t>
      </w:r>
      <w:r w:rsidRPr="00DD2DCD">
        <w:t xml:space="preserve"> 2000</w:t>
      </w:r>
      <w:r w:rsidR="001F16B9">
        <w:t xml:space="preserve"> and established a field office in 2002 during a political crisis that was mediated by The Carter Center</w:t>
      </w:r>
      <w:r w:rsidR="00A76C8E">
        <w:t xml:space="preserve"> and </w:t>
      </w:r>
      <w:r w:rsidR="001F16B9">
        <w:t>the Organization of Ame</w:t>
      </w:r>
      <w:r w:rsidR="00A76C8E">
        <w:t xml:space="preserve">rican </w:t>
      </w:r>
      <w:r w:rsidR="001518D6">
        <w:t xml:space="preserve">States </w:t>
      </w:r>
      <w:r w:rsidR="00A76C8E">
        <w:t xml:space="preserve">with the help of the UN Development Program.  </w:t>
      </w:r>
      <w:r w:rsidRPr="00DD2DCD">
        <w:t>The mediation led to a recall referendum, which the Center also was invited to observe</w:t>
      </w:r>
      <w:r w:rsidR="00B666A3">
        <w:t xml:space="preserve"> in 200</w:t>
      </w:r>
      <w:r w:rsidR="00DE2422">
        <w:t xml:space="preserve">4. </w:t>
      </w:r>
      <w:r w:rsidR="00555B5D">
        <w:t xml:space="preserve">The Carter Center closed </w:t>
      </w:r>
      <w:r w:rsidR="00E74CB3">
        <w:t xml:space="preserve">its </w:t>
      </w:r>
      <w:r w:rsidR="00555B5D">
        <w:t xml:space="preserve">field office in 2015 following a deterioration in conditions in the </w:t>
      </w:r>
      <w:proofErr w:type="gramStart"/>
      <w:r w:rsidR="00555B5D">
        <w:t>country</w:t>
      </w:r>
      <w:r w:rsidR="001F55A3">
        <w:t>, but</w:t>
      </w:r>
      <w:proofErr w:type="gramEnd"/>
      <w:r w:rsidR="001F55A3">
        <w:t xml:space="preserve"> continued to monitor developments </w:t>
      </w:r>
      <w:r w:rsidR="00DF21F5">
        <w:t>with a look toward return to the country.</w:t>
      </w:r>
      <w:r w:rsidRPr="00DD2DCD">
        <w:t xml:space="preserve"> </w:t>
      </w:r>
    </w:p>
    <w:p w14:paraId="235E8E93" w14:textId="4B1FDAD7" w:rsidR="0074169C" w:rsidRPr="00DD2DCD" w:rsidRDefault="0074169C" w:rsidP="0074169C">
      <w:pPr>
        <w:pStyle w:val="NormalWeb"/>
        <w:jc w:val="both"/>
      </w:pPr>
      <w:r w:rsidRPr="00DD2DCD">
        <w:t xml:space="preserve">This submission </w:t>
      </w:r>
      <w:r w:rsidR="00556C27">
        <w:t xml:space="preserve">is based on </w:t>
      </w:r>
      <w:r w:rsidRPr="00DD2DCD">
        <w:t xml:space="preserve">data </w:t>
      </w:r>
      <w:r w:rsidR="00556C27">
        <w:t>and reporting from</w:t>
      </w:r>
      <w:r>
        <w:t xml:space="preserve"> </w:t>
      </w:r>
      <w:r w:rsidRPr="00DD2DCD">
        <w:t xml:space="preserve">The Carter Center’s 2021 </w:t>
      </w:r>
      <w:r w:rsidR="00DF21F5">
        <w:t xml:space="preserve">expert </w:t>
      </w:r>
      <w:r w:rsidRPr="00DD2DCD">
        <w:t>election mission to the Bolivarian Republic of Venezuela</w:t>
      </w:r>
      <w:r w:rsidR="00DF21F5">
        <w:t xml:space="preserve"> following the invitation to send an election mission for the Regional and Municipal </w:t>
      </w:r>
      <w:r w:rsidR="00FA3C1F">
        <w:t>elections held in November</w:t>
      </w:r>
      <w:r w:rsidR="000065F2">
        <w:t xml:space="preserve"> 2921</w:t>
      </w:r>
      <w:r w:rsidR="00FA3C1F">
        <w:t>.</w:t>
      </w:r>
      <w:r w:rsidR="00287292">
        <w:t xml:space="preserve"> </w:t>
      </w:r>
      <w:r w:rsidRPr="00DD2DCD">
        <w:t xml:space="preserve"> </w:t>
      </w:r>
      <w:r w:rsidR="000065F2">
        <w:t>The Center’s submission</w:t>
      </w:r>
      <w:r w:rsidRPr="00DD2DCD">
        <w:t xml:space="preserve"> addresses gaps in the legal framework for elections in Venezuela, as well as observed issues related to the implementation of elections during the 2021 regional and local elections</w:t>
      </w:r>
      <w:r w:rsidR="0006201E">
        <w:t xml:space="preserve"> that are relevant</w:t>
      </w:r>
      <w:r w:rsidRPr="00DD2DCD">
        <w:t xml:space="preserve"> </w:t>
      </w:r>
      <w:r w:rsidR="00591B28" w:rsidRPr="00DD2DCD">
        <w:t>for</w:t>
      </w:r>
      <w:r w:rsidR="00591B28" w:rsidRPr="00DD2DCD">
        <w:t xml:space="preserve"> </w:t>
      </w:r>
      <w:r w:rsidRPr="00DD2DCD">
        <w:t xml:space="preserve">the Committee </w:t>
      </w:r>
      <w:r w:rsidR="00591B28" w:rsidRPr="00DD2DCD">
        <w:t xml:space="preserve">to </w:t>
      </w:r>
      <w:r w:rsidRPr="00DD2DCD">
        <w:t>consider</w:t>
      </w:r>
      <w:r w:rsidRPr="00DD2DCD" w:rsidDel="00591B28">
        <w:t xml:space="preserve"> </w:t>
      </w:r>
      <w:r w:rsidR="00094A16" w:rsidRPr="00DD2DCD">
        <w:t xml:space="preserve">for the List of </w:t>
      </w:r>
      <w:proofErr w:type="gramStart"/>
      <w:r w:rsidR="00094A16" w:rsidRPr="00DD2DCD">
        <w:t>Issues</w:t>
      </w:r>
      <w:r w:rsidRPr="00DD2DCD">
        <w:t>,</w:t>
      </w:r>
      <w:r w:rsidR="00DD2DCD">
        <w:t xml:space="preserve"> </w:t>
      </w:r>
      <w:r w:rsidRPr="00DD2DCD">
        <w:t>and</w:t>
      </w:r>
      <w:proofErr w:type="gramEnd"/>
      <w:r w:rsidRPr="00DD2DCD">
        <w:t xml:space="preserve"> provides key recommendations to ensure that various stages of the electoral process are implemented in accordance with Venezuela’s obligations under the ICCPR in the future. </w:t>
      </w:r>
    </w:p>
    <w:p w14:paraId="3B7FAFB8" w14:textId="0A54D1FD" w:rsidR="000D373C" w:rsidRDefault="000D373C" w:rsidP="0074169C">
      <w:pPr>
        <w:pStyle w:val="NormalWeb"/>
        <w:jc w:val="both"/>
        <w:rPr>
          <w:b/>
          <w:bCs/>
        </w:rPr>
      </w:pPr>
      <w:r w:rsidRPr="00DD2DCD">
        <w:rPr>
          <w:b/>
          <w:bCs/>
        </w:rPr>
        <w:t xml:space="preserve">Issues and Suggested Questions for the Human Rights Committee </w:t>
      </w:r>
    </w:p>
    <w:p w14:paraId="01DD857C" w14:textId="77777777" w:rsidR="002A0B70" w:rsidRDefault="002A0B70" w:rsidP="002A0B70">
      <w:pPr>
        <w:pStyle w:val="NormalWeb"/>
        <w:jc w:val="both"/>
      </w:pPr>
      <w:r w:rsidRPr="257A3D9F">
        <w:rPr>
          <w:rFonts w:ascii="TimesNewRomanPSMT" w:hAnsi="TimesNewRomanPSMT"/>
          <w:color w:val="595959" w:themeColor="text1" w:themeTint="A6"/>
          <w:sz w:val="28"/>
          <w:szCs w:val="28"/>
        </w:rPr>
        <w:t xml:space="preserve">Article 25: Right to Participate in Public Affairs </w:t>
      </w:r>
    </w:p>
    <w:p w14:paraId="7A91DC4C" w14:textId="77777777" w:rsidR="002A0B70" w:rsidRPr="003B0A54" w:rsidRDefault="002A0B70" w:rsidP="002A0B70">
      <w:pPr>
        <w:spacing w:after="240" w:line="276" w:lineRule="auto"/>
        <w:jc w:val="both"/>
        <w:rPr>
          <w:rFonts w:ascii="Times New Roman" w:hAnsi="Times New Roman" w:cs="Times New Roman"/>
          <w:i/>
          <w:iCs/>
          <w:color w:val="000000" w:themeColor="text1"/>
          <w:u w:val="single"/>
        </w:rPr>
      </w:pPr>
      <w:r w:rsidRPr="003B0A54">
        <w:rPr>
          <w:rFonts w:ascii="Times New Roman" w:hAnsi="Times New Roman" w:cs="Times New Roman"/>
          <w:i/>
          <w:iCs/>
          <w:color w:val="000000" w:themeColor="text1"/>
          <w:u w:val="single"/>
        </w:rPr>
        <w:t>Unequal application of the law</w:t>
      </w:r>
    </w:p>
    <w:p w14:paraId="48BD3849" w14:textId="77777777" w:rsidR="002A0B70" w:rsidRDefault="002A0B70" w:rsidP="002A0B70">
      <w:pPr>
        <w:shd w:val="clear" w:color="auto" w:fill="FFFFFF" w:themeFill="background1"/>
        <w:spacing w:after="240" w:line="276" w:lineRule="auto"/>
        <w:jc w:val="both"/>
        <w:rPr>
          <w:rFonts w:ascii="Times New Roman" w:hAnsi="Times New Roman" w:cs="Times New Roman"/>
        </w:rPr>
      </w:pPr>
      <w:r w:rsidRPr="66CAB909">
        <w:rPr>
          <w:rFonts w:ascii="Times New Roman" w:hAnsi="Times New Roman" w:cs="Times New Roman"/>
        </w:rPr>
        <w:t xml:space="preserve">Even though the right of individual freedom is protected by Article 44 of the Constitution, the executive branch’s hegemony over other branches and institutions, coupled with ineffective separation of power, opens the door to arbitrary use of legal provisions for political or partisan </w:t>
      </w:r>
      <w:r w:rsidRPr="66CAB909">
        <w:rPr>
          <w:rFonts w:ascii="Times New Roman" w:hAnsi="Times New Roman" w:cs="Times New Roman"/>
        </w:rPr>
        <w:lastRenderedPageBreak/>
        <w:t xml:space="preserve">ends, and puts opposition and independent actors in a vulnerable </w:t>
      </w:r>
      <w:r w:rsidRPr="413529DA">
        <w:rPr>
          <w:rFonts w:ascii="Times New Roman" w:hAnsi="Times New Roman" w:cs="Times New Roman"/>
        </w:rPr>
        <w:t xml:space="preserve">position.  The Supreme Tribunal </w:t>
      </w:r>
      <w:r w:rsidRPr="138CCE11">
        <w:rPr>
          <w:rFonts w:ascii="Times New Roman" w:hAnsi="Times New Roman" w:cs="Times New Roman"/>
        </w:rPr>
        <w:t>of Justice (</w:t>
      </w:r>
      <w:r w:rsidRPr="5ABAE7FD">
        <w:rPr>
          <w:rFonts w:ascii="Times New Roman" w:hAnsi="Times New Roman" w:cs="Times New Roman"/>
        </w:rPr>
        <w:t>TSJ</w:t>
      </w:r>
      <w:r w:rsidRPr="0D2C04DD">
        <w:rPr>
          <w:rFonts w:ascii="Times New Roman" w:hAnsi="Times New Roman" w:cs="Times New Roman"/>
        </w:rPr>
        <w:t xml:space="preserve"> in </w:t>
      </w:r>
      <w:r w:rsidRPr="69D9EED5">
        <w:rPr>
          <w:rFonts w:ascii="Times New Roman" w:hAnsi="Times New Roman" w:cs="Times New Roman"/>
        </w:rPr>
        <w:t>Spanish</w:t>
      </w:r>
      <w:r w:rsidRPr="5ABAE7FD">
        <w:rPr>
          <w:rFonts w:ascii="Times New Roman" w:hAnsi="Times New Roman" w:cs="Times New Roman"/>
        </w:rPr>
        <w:t xml:space="preserve">) is an </w:t>
      </w:r>
      <w:r w:rsidRPr="42D7532F">
        <w:rPr>
          <w:rFonts w:ascii="Times New Roman" w:hAnsi="Times New Roman" w:cs="Times New Roman"/>
        </w:rPr>
        <w:t xml:space="preserve">example of </w:t>
      </w:r>
      <w:r w:rsidRPr="1A745CFA">
        <w:rPr>
          <w:rFonts w:ascii="Times New Roman" w:hAnsi="Times New Roman" w:cs="Times New Roman"/>
        </w:rPr>
        <w:t xml:space="preserve">this </w:t>
      </w:r>
      <w:r w:rsidRPr="42D7532F">
        <w:rPr>
          <w:rFonts w:ascii="Times New Roman" w:hAnsi="Times New Roman" w:cs="Times New Roman"/>
        </w:rPr>
        <w:t xml:space="preserve">undue influence of the </w:t>
      </w:r>
      <w:r w:rsidRPr="1A745CFA">
        <w:rPr>
          <w:rFonts w:ascii="Times New Roman" w:hAnsi="Times New Roman" w:cs="Times New Roman"/>
        </w:rPr>
        <w:t xml:space="preserve">executive.  </w:t>
      </w:r>
    </w:p>
    <w:p w14:paraId="1E252475" w14:textId="2AF0488B" w:rsidR="002A0B70" w:rsidRDefault="002A0B70" w:rsidP="002A0B70">
      <w:pPr>
        <w:shd w:val="clear" w:color="auto" w:fill="FFFFFF" w:themeFill="background1"/>
        <w:spacing w:after="240" w:line="276" w:lineRule="auto"/>
        <w:jc w:val="both"/>
        <w:rPr>
          <w:rFonts w:ascii="Times New Roman" w:hAnsi="Times New Roman" w:cs="Times New Roman"/>
          <w:color w:val="000000" w:themeColor="text1"/>
        </w:rPr>
      </w:pPr>
      <w:r>
        <w:rPr>
          <w:rFonts w:ascii="Times New Roman" w:hAnsi="Times New Roman" w:cs="Times New Roman"/>
          <w:color w:val="000000" w:themeColor="text1"/>
        </w:rPr>
        <w:t>The</w:t>
      </w:r>
      <w:r w:rsidRPr="002B0EA6">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decisions of </w:t>
      </w:r>
      <w:r w:rsidRPr="002B0EA6">
        <w:rPr>
          <w:rFonts w:ascii="Times New Roman" w:hAnsi="Times New Roman" w:cs="Times New Roman"/>
          <w:color w:val="000000" w:themeColor="text1"/>
        </w:rPr>
        <w:t xml:space="preserve">the Supreme Tribunal of Justice </w:t>
      </w:r>
      <w:r>
        <w:rPr>
          <w:rFonts w:ascii="Times New Roman" w:hAnsi="Times New Roman" w:cs="Times New Roman"/>
          <w:color w:val="000000" w:themeColor="text1"/>
        </w:rPr>
        <w:t xml:space="preserve">(TSJ in Spanish) </w:t>
      </w:r>
      <w:r w:rsidRPr="002B0EA6">
        <w:rPr>
          <w:rFonts w:ascii="Times New Roman" w:hAnsi="Times New Roman" w:cs="Times New Roman"/>
          <w:color w:val="000000" w:themeColor="text1"/>
        </w:rPr>
        <w:t xml:space="preserve">directly affected the </w:t>
      </w:r>
      <w:r>
        <w:rPr>
          <w:rFonts w:ascii="Times New Roman" w:hAnsi="Times New Roman" w:cs="Times New Roman"/>
          <w:color w:val="000000" w:themeColor="text1"/>
        </w:rPr>
        <w:t xml:space="preserve">legal environment of the 2021 </w:t>
      </w:r>
      <w:r w:rsidRPr="002B0EA6">
        <w:rPr>
          <w:rFonts w:ascii="Times New Roman" w:hAnsi="Times New Roman" w:cs="Times New Roman"/>
          <w:color w:val="000000" w:themeColor="text1"/>
        </w:rPr>
        <w:t>election</w:t>
      </w:r>
      <w:r>
        <w:rPr>
          <w:rFonts w:ascii="Times New Roman" w:hAnsi="Times New Roman" w:cs="Times New Roman"/>
          <w:color w:val="000000" w:themeColor="text1"/>
        </w:rPr>
        <w:t xml:space="preserve">s, including limiting broad participation that was seen as partisan and arbitrary. This was exacerbated by the fact that the TSJ did not provide </w:t>
      </w:r>
      <w:r w:rsidRPr="002B0EA6">
        <w:rPr>
          <w:rFonts w:ascii="Times New Roman" w:hAnsi="Times New Roman" w:cs="Times New Roman"/>
          <w:color w:val="000000" w:themeColor="text1"/>
        </w:rPr>
        <w:t xml:space="preserve">clear and objective criteria </w:t>
      </w:r>
      <w:r>
        <w:rPr>
          <w:rFonts w:ascii="Times New Roman" w:hAnsi="Times New Roman" w:cs="Times New Roman"/>
          <w:color w:val="000000" w:themeColor="text1"/>
        </w:rPr>
        <w:t>to justify the measure and decisions it introduce during the lectins. Specific examples of these measures include:</w:t>
      </w:r>
    </w:p>
    <w:p w14:paraId="11F4717A" w14:textId="77777777" w:rsidR="002A0B70" w:rsidRPr="003B0A54" w:rsidRDefault="002A0B70" w:rsidP="002A0B70">
      <w:pPr>
        <w:pStyle w:val="ListParagraph"/>
        <w:numPr>
          <w:ilvl w:val="0"/>
          <w:numId w:val="2"/>
        </w:numPr>
        <w:spacing w:after="240" w:line="276" w:lineRule="auto"/>
        <w:jc w:val="both"/>
        <w:rPr>
          <w:rFonts w:ascii="Times New Roman" w:eastAsia="Cambria" w:hAnsi="Times New Roman" w:cs="Times New Roman"/>
          <w:color w:val="000000"/>
          <w:sz w:val="24"/>
          <w:szCs w:val="24"/>
        </w:rPr>
      </w:pPr>
      <w:r w:rsidRPr="003B0A54">
        <w:rPr>
          <w:rFonts w:ascii="Times New Roman" w:hAnsi="Times New Roman" w:cs="Times New Roman"/>
          <w:color w:val="000000" w:themeColor="text1"/>
          <w:sz w:val="24"/>
          <w:szCs w:val="24"/>
        </w:rPr>
        <w:t xml:space="preserve">TSJ’s electoral chamber cited a breach of party bylaws to justify its intervention to replace the executive committees of opposition and dissenting political parties with other leadership bodies without offering clear or objective criteria for its decision. </w:t>
      </w:r>
    </w:p>
    <w:p w14:paraId="69B2080B" w14:textId="77777777" w:rsidR="002A0B70" w:rsidRPr="003B0A54" w:rsidRDefault="002A0B70" w:rsidP="002A0B70">
      <w:pPr>
        <w:pStyle w:val="ListParagraph"/>
        <w:numPr>
          <w:ilvl w:val="0"/>
          <w:numId w:val="2"/>
        </w:numPr>
        <w:spacing w:after="240" w:line="276" w:lineRule="auto"/>
        <w:jc w:val="both"/>
        <w:rPr>
          <w:rFonts w:ascii="Times New Roman" w:hAnsi="Times New Roman" w:cs="Times New Roman"/>
          <w:color w:val="000000"/>
          <w:sz w:val="24"/>
          <w:szCs w:val="24"/>
        </w:rPr>
      </w:pPr>
      <w:r w:rsidRPr="003B0A54">
        <w:rPr>
          <w:rFonts w:ascii="Times New Roman" w:hAnsi="Times New Roman" w:cs="Times New Roman"/>
          <w:color w:val="000000" w:themeColor="text1"/>
          <w:sz w:val="24"/>
          <w:szCs w:val="24"/>
        </w:rPr>
        <w:t xml:space="preserve">The TSJ called for new elections to be held in Barinas state in January 2022, citing the disqualification of the opposition candidate Freddy </w:t>
      </w:r>
      <w:proofErr w:type="spellStart"/>
      <w:r w:rsidRPr="003B0A54">
        <w:rPr>
          <w:rFonts w:ascii="Times New Roman" w:hAnsi="Times New Roman" w:cs="Times New Roman"/>
          <w:color w:val="000000" w:themeColor="text1"/>
          <w:sz w:val="24"/>
          <w:szCs w:val="24"/>
        </w:rPr>
        <w:t>Superlano</w:t>
      </w:r>
      <w:proofErr w:type="spellEnd"/>
      <w:r w:rsidRPr="003B0A54">
        <w:rPr>
          <w:rFonts w:ascii="Times New Roman" w:hAnsi="Times New Roman" w:cs="Times New Roman"/>
          <w:color w:val="000000" w:themeColor="text1"/>
          <w:sz w:val="24"/>
          <w:szCs w:val="24"/>
        </w:rPr>
        <w:t xml:space="preserve">, ignoring the presidential decree of Aug. 31, 2020, which pardoned 110 citizens, including </w:t>
      </w:r>
      <w:proofErr w:type="spellStart"/>
      <w:r w:rsidRPr="003B0A54">
        <w:rPr>
          <w:rFonts w:ascii="Times New Roman" w:hAnsi="Times New Roman" w:cs="Times New Roman"/>
          <w:color w:val="000000" w:themeColor="text1"/>
          <w:sz w:val="24"/>
          <w:szCs w:val="24"/>
        </w:rPr>
        <w:t>Superlano</w:t>
      </w:r>
      <w:proofErr w:type="spellEnd"/>
      <w:r w:rsidRPr="003B0A54">
        <w:rPr>
          <w:rFonts w:ascii="Times New Roman" w:hAnsi="Times New Roman" w:cs="Times New Roman"/>
          <w:color w:val="000000" w:themeColor="text1"/>
          <w:sz w:val="24"/>
          <w:szCs w:val="24"/>
        </w:rPr>
        <w:t>, making him eligible to run for office.</w:t>
      </w:r>
    </w:p>
    <w:p w14:paraId="6DEB8D12" w14:textId="77777777" w:rsidR="002A0B70" w:rsidRDefault="002A0B70" w:rsidP="002A0B70">
      <w:pPr>
        <w:shd w:val="clear" w:color="auto" w:fill="FFFFFF"/>
        <w:spacing w:before="280" w:after="240" w:line="276" w:lineRule="auto"/>
        <w:jc w:val="both"/>
        <w:rPr>
          <w:rFonts w:ascii="Times New Roman" w:hAnsi="Times New Roman" w:cs="Times New Roman"/>
          <w:color w:val="000000" w:themeColor="text1"/>
        </w:rPr>
      </w:pPr>
      <w:r w:rsidRPr="002B0EA6">
        <w:rPr>
          <w:rFonts w:ascii="Times New Roman" w:hAnsi="Times New Roman" w:cs="Times New Roman"/>
          <w:color w:val="000000" w:themeColor="text1"/>
        </w:rPr>
        <w:t>Furthermore, the process’s overall competitiveness has been negatively affected by failure to enforce national legislation (including campaign rules); the CNE’s reluctance or failure to address blatant legal violations; the lack of transparency about the criteria used to make essential decisions about the electoral process, such as barring or replacing barred candidates; and the inadequate or nonexistent access to official information from the CNE on key decisions, which undermined the clarity of the process and legal certainty.</w:t>
      </w:r>
    </w:p>
    <w:p w14:paraId="1DD5EB09" w14:textId="77777777" w:rsidR="00477ACB" w:rsidRPr="003B0A54" w:rsidRDefault="00477ACB" w:rsidP="00477ACB">
      <w:pPr>
        <w:shd w:val="clear" w:color="auto" w:fill="FFFFFF" w:themeFill="background1"/>
        <w:spacing w:after="240" w:line="276" w:lineRule="auto"/>
        <w:jc w:val="both"/>
        <w:rPr>
          <w:rFonts w:ascii="Times New Roman" w:hAnsi="Times New Roman" w:cs="Times New Roman"/>
          <w:i/>
          <w:iCs/>
          <w:color w:val="000000" w:themeColor="text1"/>
        </w:rPr>
      </w:pPr>
      <w:r w:rsidRPr="003B0A54">
        <w:rPr>
          <w:rFonts w:ascii="Times New Roman" w:hAnsi="Times New Roman" w:cs="Times New Roman"/>
          <w:i/>
          <w:iCs/>
          <w:color w:val="000000" w:themeColor="text1"/>
        </w:rPr>
        <w:t>Indigenous Peoples’ Right to Participate in Public Affairs</w:t>
      </w:r>
    </w:p>
    <w:p w14:paraId="32A6836C" w14:textId="77777777" w:rsidR="00477ACB" w:rsidRDefault="00477ACB" w:rsidP="00477ACB">
      <w:pPr>
        <w:shd w:val="clear" w:color="auto" w:fill="FFFFFF" w:themeFill="background1"/>
        <w:spacing w:after="240" w:line="276" w:lineRule="auto"/>
        <w:jc w:val="both"/>
        <w:rPr>
          <w:rFonts w:ascii="Times New Roman" w:hAnsi="Times New Roman" w:cs="Times New Roman"/>
          <w:color w:val="000000"/>
        </w:rPr>
      </w:pPr>
      <w:r w:rsidRPr="002B0EA6">
        <w:rPr>
          <w:rFonts w:ascii="Times New Roman" w:hAnsi="Times New Roman" w:cs="Times New Roman"/>
          <w:color w:val="000000" w:themeColor="text1"/>
        </w:rPr>
        <w:t xml:space="preserve">The </w:t>
      </w:r>
      <w:r>
        <w:rPr>
          <w:rFonts w:ascii="Times New Roman" w:hAnsi="Times New Roman" w:cs="Times New Roman"/>
          <w:color w:val="000000" w:themeColor="text1"/>
        </w:rPr>
        <w:t>Venezuelan C</w:t>
      </w:r>
      <w:r w:rsidRPr="002B0EA6">
        <w:rPr>
          <w:rFonts w:ascii="Times New Roman" w:hAnsi="Times New Roman" w:cs="Times New Roman"/>
          <w:color w:val="000000" w:themeColor="text1"/>
        </w:rPr>
        <w:t>onstitution recognizes the rights of indigenous peoples</w:t>
      </w:r>
      <w:r>
        <w:rPr>
          <w:rStyle w:val="FootnoteReference"/>
          <w:rFonts w:ascii="Times New Roman" w:hAnsi="Times New Roman" w:cs="Times New Roman"/>
          <w:color w:val="000000" w:themeColor="text1"/>
        </w:rPr>
        <w:footnoteReference w:id="2"/>
      </w:r>
      <w:r w:rsidRPr="002B0EA6">
        <w:rPr>
          <w:rFonts w:ascii="Times New Roman" w:hAnsi="Times New Roman" w:cs="Times New Roman"/>
          <w:color w:val="000000" w:themeColor="text1"/>
        </w:rPr>
        <w:t xml:space="preserve"> and Venezuela as a multiethnic and pluricultural nation and grants official status to indigenous languages (Article 9). The political participation of indigenous peoples at every level of government is guaranteed by law; the national parliament, regional legislative assemblies, and municipal councils have seats allocated for indigenous representatives in districts with indigenous populations. However, </w:t>
      </w:r>
      <w:r>
        <w:rPr>
          <w:rFonts w:ascii="Times New Roman" w:hAnsi="Times New Roman" w:cs="Times New Roman"/>
          <w:color w:val="000000"/>
        </w:rPr>
        <w:t>t</w:t>
      </w:r>
      <w:r w:rsidRPr="002B0EA6">
        <w:rPr>
          <w:rFonts w:ascii="Times New Roman" w:hAnsi="Times New Roman" w:cs="Times New Roman"/>
          <w:color w:val="000000"/>
        </w:rPr>
        <w:t xml:space="preserve">here is no specific voter registry for the indigenous population. </w:t>
      </w:r>
    </w:p>
    <w:p w14:paraId="390CA731" w14:textId="77777777" w:rsidR="00477ACB" w:rsidRPr="00063C72" w:rsidRDefault="00477ACB" w:rsidP="00477ACB">
      <w:pPr>
        <w:shd w:val="clear" w:color="auto" w:fill="FFFFFF" w:themeFill="background1"/>
        <w:spacing w:after="240" w:line="276" w:lineRule="auto"/>
        <w:jc w:val="both"/>
        <w:rPr>
          <w:rFonts w:ascii="Times New Roman" w:eastAsia="Times New Roman" w:hAnsi="Times New Roman" w:cs="Times New Roman"/>
          <w:color w:val="000000"/>
        </w:rPr>
      </w:pPr>
      <w:r>
        <w:rPr>
          <w:rFonts w:ascii="Times New Roman" w:hAnsi="Times New Roman" w:cs="Times New Roman"/>
        </w:rPr>
        <w:t>Prior to the regional and local elections in</w:t>
      </w:r>
      <w:r>
        <w:rPr>
          <w:rFonts w:ascii="Times New Roman" w:hAnsi="Times New Roman" w:cs="Times New Roman"/>
        </w:rPr>
        <w:t xml:space="preserve"> </w:t>
      </w:r>
      <w:r>
        <w:rPr>
          <w:rFonts w:ascii="Times New Roman" w:hAnsi="Times New Roman" w:cs="Times New Roman"/>
        </w:rPr>
        <w:t>2021, t</w:t>
      </w:r>
      <w:r w:rsidRPr="002B0EA6">
        <w:rPr>
          <w:rFonts w:ascii="Times New Roman" w:hAnsi="Times New Roman" w:cs="Times New Roman"/>
        </w:rPr>
        <w:t xml:space="preserve">he </w:t>
      </w:r>
      <w:r>
        <w:rPr>
          <w:rFonts w:ascii="Times New Roman" w:hAnsi="Times New Roman" w:cs="Times New Roman"/>
          <w:color w:val="000000" w:themeColor="text1"/>
        </w:rPr>
        <w:t>Supreme Tribunal of Justice’s</w:t>
      </w:r>
      <w:r w:rsidRPr="002B0EA6">
        <w:rPr>
          <w:rFonts w:ascii="Times New Roman" w:hAnsi="Times New Roman" w:cs="Times New Roman"/>
        </w:rPr>
        <w:t xml:space="preserve"> constitutional chamber repealed provisions of the electoral law governing the election of indigenous representatives</w:t>
      </w:r>
      <w:r w:rsidRPr="002B0EA6">
        <w:rPr>
          <w:rFonts w:ascii="Times New Roman" w:eastAsia="Cambria" w:hAnsi="Times New Roman" w:cs="Times New Roman"/>
          <w:color w:val="000000"/>
          <w:vertAlign w:val="superscript"/>
        </w:rPr>
        <w:footnoteReference w:id="3"/>
      </w:r>
      <w:r w:rsidRPr="002B0EA6">
        <w:rPr>
          <w:rFonts w:ascii="Times New Roman" w:hAnsi="Times New Roman" w:cs="Times New Roman"/>
          <w:color w:val="000000"/>
        </w:rPr>
        <w:t xml:space="preserve"> </w:t>
      </w:r>
      <w:r w:rsidRPr="002B0EA6">
        <w:rPr>
          <w:rFonts w:ascii="Times New Roman" w:hAnsi="Times New Roman" w:cs="Times New Roman"/>
        </w:rPr>
        <w:t>and ordered the CNE to fill the “legal vacuum</w:t>
      </w:r>
      <w:r>
        <w:rPr>
          <w:rFonts w:ascii="Times New Roman" w:hAnsi="Times New Roman" w:cs="Times New Roman"/>
        </w:rPr>
        <w:t>.</w:t>
      </w:r>
      <w:r w:rsidRPr="002B0EA6">
        <w:rPr>
          <w:rFonts w:ascii="Times New Roman" w:hAnsi="Times New Roman" w:cs="Times New Roman"/>
        </w:rPr>
        <w:t xml:space="preserve">” </w:t>
      </w:r>
      <w:r w:rsidRPr="002B0EA6">
        <w:rPr>
          <w:rFonts w:ascii="Times New Roman" w:hAnsi="Times New Roman" w:cs="Times New Roman"/>
          <w:color w:val="000000"/>
        </w:rPr>
        <w:t xml:space="preserve">On May 27, 2021, the CNE issued </w:t>
      </w:r>
      <w:r>
        <w:rPr>
          <w:rFonts w:ascii="Times New Roman" w:hAnsi="Times New Roman" w:cs="Times New Roman"/>
          <w:color w:val="000000"/>
        </w:rPr>
        <w:t xml:space="preserve">regulations for indirect voting system </w:t>
      </w:r>
      <w:r w:rsidRPr="002B0EA6">
        <w:rPr>
          <w:rFonts w:ascii="Times New Roman" w:hAnsi="Times New Roman" w:cs="Times New Roman"/>
          <w:color w:val="000000"/>
        </w:rPr>
        <w:t xml:space="preserve">for the seats allocated to indigenous representatives. </w:t>
      </w:r>
      <w:r>
        <w:rPr>
          <w:rFonts w:ascii="Times New Roman" w:hAnsi="Times New Roman" w:cs="Times New Roman"/>
          <w:color w:val="000000"/>
        </w:rPr>
        <w:t xml:space="preserve"> Between July 6 and Aug. 13, 2021, </w:t>
      </w:r>
      <w:r w:rsidRPr="002B0EA6">
        <w:rPr>
          <w:rFonts w:ascii="Times New Roman" w:hAnsi="Times New Roman" w:cs="Times New Roman"/>
        </w:rPr>
        <w:t xml:space="preserve">4,334 </w:t>
      </w:r>
      <w:r w:rsidRPr="003B0A54">
        <w:rPr>
          <w:rFonts w:asciiTheme="majorBidi" w:hAnsiTheme="majorBidi" w:cstheme="majorBidi"/>
          <w:color w:val="000000" w:themeColor="text1"/>
        </w:rPr>
        <w:t>spokespersons (</w:t>
      </w:r>
      <w:proofErr w:type="spellStart"/>
      <w:r w:rsidRPr="003B0A54">
        <w:rPr>
          <w:rFonts w:asciiTheme="majorBidi" w:hAnsiTheme="majorBidi" w:cstheme="majorBidi"/>
          <w:i/>
          <w:iCs/>
          <w:color w:val="000000" w:themeColor="text1"/>
        </w:rPr>
        <w:t>voceros</w:t>
      </w:r>
      <w:proofErr w:type="spellEnd"/>
      <w:r w:rsidRPr="003B0A54">
        <w:rPr>
          <w:rFonts w:asciiTheme="majorBidi" w:hAnsiTheme="majorBidi" w:cstheme="majorBidi"/>
          <w:color w:val="000000" w:themeColor="text1"/>
        </w:rPr>
        <w:t>) elected by indigenous</w:t>
      </w:r>
      <w:r>
        <w:rPr>
          <w:color w:val="000000" w:themeColor="text1"/>
        </w:rPr>
        <w:t xml:space="preserve"> </w:t>
      </w:r>
      <w:r w:rsidRPr="003B0A54">
        <w:rPr>
          <w:rFonts w:asciiTheme="majorBidi" w:hAnsiTheme="majorBidi" w:cstheme="majorBidi"/>
          <w:color w:val="000000" w:themeColor="text1"/>
        </w:rPr>
        <w:t>communities</w:t>
      </w:r>
      <w:r>
        <w:rPr>
          <w:color w:val="000000" w:themeColor="text1"/>
        </w:rPr>
        <w:t xml:space="preserve"> </w:t>
      </w:r>
      <w:r w:rsidRPr="002B0EA6">
        <w:rPr>
          <w:rFonts w:ascii="Times New Roman" w:hAnsi="Times New Roman" w:cs="Times New Roman"/>
        </w:rPr>
        <w:t>in open assemblies (where secret ballots are not guaranteed)</w:t>
      </w:r>
      <w:r>
        <w:rPr>
          <w:rFonts w:ascii="Times New Roman" w:hAnsi="Times New Roman" w:cs="Times New Roman"/>
        </w:rPr>
        <w:t xml:space="preserve"> </w:t>
      </w:r>
      <w:r w:rsidRPr="002B0EA6">
        <w:rPr>
          <w:rFonts w:ascii="Times New Roman" w:hAnsi="Times New Roman" w:cs="Times New Roman"/>
        </w:rPr>
        <w:t xml:space="preserve">selected regional </w:t>
      </w:r>
      <w:r w:rsidRPr="002B0EA6">
        <w:rPr>
          <w:rFonts w:ascii="Times New Roman" w:hAnsi="Times New Roman" w:cs="Times New Roman"/>
        </w:rPr>
        <w:lastRenderedPageBreak/>
        <w:t>councilors in eight states</w:t>
      </w:r>
      <w:r>
        <w:rPr>
          <w:rFonts w:ascii="Times New Roman" w:hAnsi="Times New Roman" w:cs="Times New Roman"/>
        </w:rPr>
        <w:t xml:space="preserve">. They also selected </w:t>
      </w:r>
      <w:r w:rsidRPr="002B0EA6">
        <w:rPr>
          <w:rFonts w:ascii="Times New Roman" w:hAnsi="Times New Roman" w:cs="Times New Roman"/>
        </w:rPr>
        <w:t>a total of 69 municipal councilors on behalf of their communities on Nov. 26.</w:t>
      </w:r>
      <w:r w:rsidRPr="002B0EA6">
        <w:rPr>
          <w:rFonts w:ascii="Times New Roman" w:hAnsi="Times New Roman" w:cs="Times New Roman"/>
          <w:color w:val="000000"/>
        </w:rPr>
        <w:t xml:space="preserve"> </w:t>
      </w:r>
      <w:r w:rsidRPr="001E746E">
        <w:rPr>
          <w:color w:val="000000" w:themeColor="text1"/>
        </w:rPr>
        <w:t xml:space="preserve"> </w:t>
      </w:r>
      <w:r w:rsidRPr="002B0EA6">
        <w:rPr>
          <w:rFonts w:ascii="Times New Roman" w:hAnsi="Times New Roman" w:cs="Times New Roman"/>
          <w:color w:val="000000"/>
        </w:rPr>
        <w:t xml:space="preserve">The </w:t>
      </w:r>
      <w:r>
        <w:rPr>
          <w:rFonts w:ascii="Times New Roman" w:hAnsi="Times New Roman" w:cs="Times New Roman"/>
          <w:color w:val="000000"/>
        </w:rPr>
        <w:t xml:space="preserve">process was </w:t>
      </w:r>
      <w:proofErr w:type="gramStart"/>
      <w:r>
        <w:rPr>
          <w:rFonts w:ascii="Times New Roman" w:hAnsi="Times New Roman" w:cs="Times New Roman"/>
          <w:color w:val="000000"/>
        </w:rPr>
        <w:t>similar to</w:t>
      </w:r>
      <w:proofErr w:type="gramEnd"/>
      <w:r>
        <w:rPr>
          <w:rFonts w:ascii="Times New Roman" w:hAnsi="Times New Roman" w:cs="Times New Roman"/>
          <w:color w:val="000000"/>
        </w:rPr>
        <w:t xml:space="preserve"> the </w:t>
      </w:r>
      <w:r w:rsidRPr="002B0EA6">
        <w:rPr>
          <w:rFonts w:ascii="Times New Roman" w:hAnsi="Times New Roman" w:cs="Times New Roman"/>
          <w:color w:val="000000"/>
        </w:rPr>
        <w:t xml:space="preserve">election system used during the 2020 parliamentary elections, which was widely criticized by indigenous groups and representatives on the grounds that the </w:t>
      </w:r>
      <w:r>
        <w:rPr>
          <w:rFonts w:ascii="Times New Roman" w:hAnsi="Times New Roman" w:cs="Times New Roman"/>
          <w:color w:val="000000"/>
        </w:rPr>
        <w:t xml:space="preserve">system </w:t>
      </w:r>
      <w:r w:rsidRPr="002B0EA6">
        <w:rPr>
          <w:rFonts w:ascii="Times New Roman" w:hAnsi="Times New Roman" w:cs="Times New Roman"/>
          <w:color w:val="000000"/>
        </w:rPr>
        <w:t>violate</w:t>
      </w:r>
      <w:r>
        <w:rPr>
          <w:rFonts w:ascii="Times New Roman" w:hAnsi="Times New Roman" w:cs="Times New Roman"/>
          <w:color w:val="000000"/>
        </w:rPr>
        <w:t>s</w:t>
      </w:r>
      <w:r w:rsidRPr="002B0EA6">
        <w:rPr>
          <w:rFonts w:ascii="Times New Roman" w:hAnsi="Times New Roman" w:cs="Times New Roman"/>
          <w:color w:val="000000"/>
        </w:rPr>
        <w:t xml:space="preserve"> the principles of universal </w:t>
      </w:r>
      <w:r>
        <w:rPr>
          <w:rFonts w:ascii="Times New Roman" w:hAnsi="Times New Roman" w:cs="Times New Roman"/>
          <w:color w:val="000000"/>
        </w:rPr>
        <w:t xml:space="preserve">suffrage </w:t>
      </w:r>
      <w:r w:rsidRPr="002B0EA6">
        <w:rPr>
          <w:rFonts w:ascii="Times New Roman" w:hAnsi="Times New Roman" w:cs="Times New Roman"/>
          <w:color w:val="000000"/>
        </w:rPr>
        <w:t>and direct voting by secret ballot enshrined in the constitution (Article 63).</w:t>
      </w:r>
      <w:r w:rsidRPr="002B0EA6">
        <w:rPr>
          <w:rFonts w:ascii="Times New Roman" w:hAnsi="Times New Roman" w:cs="Times New Roman"/>
        </w:rPr>
        <w:t xml:space="preserve"> </w:t>
      </w:r>
    </w:p>
    <w:p w14:paraId="175DEEEE" w14:textId="7AB068C5" w:rsidR="002B3EC0" w:rsidRPr="00DD2DCD" w:rsidRDefault="00477ACB">
      <w:pPr>
        <w:shd w:val="clear" w:color="auto" w:fill="FFFFFF"/>
        <w:spacing w:before="280" w:after="240" w:line="276" w:lineRule="auto"/>
        <w:jc w:val="both"/>
        <w:rPr>
          <w:rFonts w:ascii="Times New Roman" w:hAnsi="Times New Roman" w:cs="Times New Roman"/>
        </w:rPr>
      </w:pPr>
      <w:r w:rsidRPr="002B0EA6">
        <w:rPr>
          <w:rFonts w:ascii="Times New Roman" w:hAnsi="Times New Roman" w:cs="Times New Roman"/>
        </w:rPr>
        <w:t>The Carter Center received complaints of irregularities during these special elections, such as low participation among indigenous peoples in elections for spokespersons, either because the election was not properly called or was held far from the geographical areas of some groups, who could not afford transportation to participate. Other groups decided not to participate in protest of the indirect voting system. Although this system is presumably a temporary solution until the indigenous population is registered—its purpose being to ensure that only members of indigenous peoples participate in electing their representatives—</w:t>
      </w:r>
      <w:r>
        <w:rPr>
          <w:rFonts w:ascii="Times New Roman" w:hAnsi="Times New Roman" w:cs="Times New Roman"/>
        </w:rPr>
        <w:t xml:space="preserve">indigenous leaders </w:t>
      </w:r>
      <w:r w:rsidRPr="002B0EA6">
        <w:rPr>
          <w:rFonts w:ascii="Times New Roman" w:hAnsi="Times New Roman" w:cs="Times New Roman"/>
        </w:rPr>
        <w:t xml:space="preserve">believe indirect voting is detrimental because it hampers broader participation. </w:t>
      </w:r>
    </w:p>
    <w:p w14:paraId="008FEE25" w14:textId="0077070C" w:rsidR="002A0B70" w:rsidRDefault="002A0B70" w:rsidP="002A0B70">
      <w:pPr>
        <w:pStyle w:val="NormalWeb"/>
        <w:jc w:val="both"/>
      </w:pPr>
      <w:r>
        <w:rPr>
          <w:rFonts w:ascii="TimesNewRomanPS" w:hAnsi="TimesNewRomanPS"/>
          <w:b/>
          <w:bCs/>
          <w:i/>
          <w:iCs/>
        </w:rPr>
        <w:t xml:space="preserve">Questions for Consideration: </w:t>
      </w:r>
    </w:p>
    <w:p w14:paraId="6972076D" w14:textId="380A739B" w:rsidR="002A0B70" w:rsidRDefault="002A0B70" w:rsidP="002A0B70">
      <w:pPr>
        <w:spacing w:before="100" w:beforeAutospacing="1" w:after="100" w:afterAutospacing="1"/>
        <w:rPr>
          <w:rFonts w:ascii="TimesNewRomanPS" w:eastAsia="Times New Roman" w:hAnsi="TimesNewRomanPS" w:cs="Times New Roman"/>
          <w:b/>
          <w:bCs/>
          <w:i/>
          <w:iCs/>
        </w:rPr>
      </w:pPr>
      <w:r w:rsidRPr="00014D13">
        <w:rPr>
          <w:rFonts w:ascii="TimesNewRomanPS" w:eastAsia="Times New Roman" w:hAnsi="TimesNewRomanPS" w:cs="Times New Roman"/>
          <w:b/>
          <w:bCs/>
          <w:i/>
          <w:iCs/>
        </w:rPr>
        <w:t xml:space="preserve">What specific measures will be put into place in the future to </w:t>
      </w:r>
      <w:r>
        <w:rPr>
          <w:rFonts w:ascii="TimesNewRomanPS" w:eastAsia="Times New Roman" w:hAnsi="TimesNewRomanPS" w:cs="Times New Roman"/>
          <w:b/>
          <w:bCs/>
          <w:i/>
          <w:iCs/>
        </w:rPr>
        <w:t>ensure judicia</w:t>
      </w:r>
      <w:r w:rsidR="00FC68EC">
        <w:rPr>
          <w:rFonts w:ascii="TimesNewRomanPS" w:eastAsia="Times New Roman" w:hAnsi="TimesNewRomanPS" w:cs="Times New Roman"/>
          <w:b/>
          <w:bCs/>
          <w:i/>
          <w:iCs/>
        </w:rPr>
        <w:t>l</w:t>
      </w:r>
      <w:r>
        <w:rPr>
          <w:rFonts w:ascii="TimesNewRomanPS" w:eastAsia="Times New Roman" w:hAnsi="TimesNewRomanPS" w:cs="Times New Roman"/>
          <w:b/>
          <w:bCs/>
          <w:i/>
          <w:iCs/>
        </w:rPr>
        <w:t xml:space="preserve"> independence from pressure and interference of any kind as recommended by </w:t>
      </w:r>
      <w:r w:rsidRPr="00C73B48">
        <w:rPr>
          <w:rFonts w:ascii="Times New Roman" w:eastAsia="Times New Roman" w:hAnsi="Times New Roman" w:cs="Times New Roman"/>
          <w:b/>
          <w:bCs/>
          <w:i/>
          <w:iCs/>
        </w:rPr>
        <w:t xml:space="preserve">the </w:t>
      </w:r>
      <w:r w:rsidRPr="00C73B48">
        <w:rPr>
          <w:rFonts w:ascii="Times New Roman" w:hAnsi="Times New Roman" w:cs="Times New Roman"/>
          <w:b/>
          <w:bCs/>
          <w:i/>
          <w:iCs/>
        </w:rPr>
        <w:t xml:space="preserve">United </w:t>
      </w:r>
      <w:r>
        <w:rPr>
          <w:rFonts w:ascii="Times New Roman" w:hAnsi="Times New Roman" w:cs="Times New Roman"/>
          <w:b/>
          <w:bCs/>
          <w:i/>
          <w:iCs/>
        </w:rPr>
        <w:t>Nations</w:t>
      </w:r>
      <w:r w:rsidRPr="00C73B48">
        <w:rPr>
          <w:rFonts w:ascii="Times New Roman" w:hAnsi="Times New Roman" w:cs="Times New Roman"/>
          <w:b/>
          <w:bCs/>
          <w:i/>
          <w:iCs/>
        </w:rPr>
        <w:t xml:space="preserve"> (CCPR) Concluding observations on the Bolivarian Republic of Venezuela</w:t>
      </w:r>
      <w:r>
        <w:rPr>
          <w:rFonts w:ascii="Times New Roman" w:hAnsi="Times New Roman" w:cs="Times New Roman"/>
          <w:b/>
          <w:bCs/>
          <w:i/>
          <w:iCs/>
        </w:rPr>
        <w:t xml:space="preserve"> (2015)</w:t>
      </w:r>
      <w:r w:rsidRPr="00C73B48">
        <w:rPr>
          <w:rFonts w:ascii="Times New Roman" w:hAnsi="Times New Roman" w:cs="Times New Roman"/>
          <w:b/>
          <w:bCs/>
          <w:i/>
          <w:iCs/>
        </w:rPr>
        <w:t>, paragraph 15</w:t>
      </w:r>
      <w:r>
        <w:rPr>
          <w:rFonts w:ascii="TimesNewRomanPS" w:eastAsia="Times New Roman" w:hAnsi="TimesNewRomanPS" w:cs="Times New Roman"/>
          <w:b/>
          <w:bCs/>
          <w:i/>
          <w:iCs/>
        </w:rPr>
        <w:t>?</w:t>
      </w:r>
    </w:p>
    <w:p w14:paraId="5693C231" w14:textId="77777777" w:rsidR="002A0B70" w:rsidRPr="007767AE" w:rsidRDefault="002A0B70" w:rsidP="002A0B70">
      <w:pPr>
        <w:spacing w:before="100" w:beforeAutospacing="1" w:after="100" w:afterAutospacing="1"/>
        <w:rPr>
          <w:rFonts w:ascii="Times New Roman" w:eastAsia="Times New Roman" w:hAnsi="Times New Roman" w:cs="Times New Roman"/>
        </w:rPr>
      </w:pPr>
      <w:r w:rsidRPr="007767AE">
        <w:rPr>
          <w:rFonts w:ascii="TimesNewRomanPS" w:eastAsia="Times New Roman" w:hAnsi="TimesNewRomanPS" w:cs="Times New Roman"/>
          <w:b/>
          <w:bCs/>
          <w:i/>
          <w:iCs/>
        </w:rPr>
        <w:t xml:space="preserve">What steps can and has the government taken to support and strengthen the </w:t>
      </w:r>
      <w:r>
        <w:rPr>
          <w:rFonts w:ascii="TimesNewRomanPS" w:eastAsia="Times New Roman" w:hAnsi="TimesNewRomanPS" w:cs="Times New Roman"/>
          <w:b/>
          <w:bCs/>
          <w:i/>
          <w:iCs/>
        </w:rPr>
        <w:t>CNE autonomy and independence from government?</w:t>
      </w:r>
    </w:p>
    <w:p w14:paraId="74E7F637" w14:textId="0077070C" w:rsidR="002A0B70" w:rsidRDefault="002A0B70" w:rsidP="78BB22F6">
      <w:pPr>
        <w:spacing w:before="100" w:beforeAutospacing="1" w:after="100" w:afterAutospacing="1"/>
        <w:rPr>
          <w:rFonts w:ascii="TimesNewRomanPS" w:eastAsia="Times New Roman" w:hAnsi="TimesNewRomanPS" w:cs="Times New Roman"/>
          <w:b/>
          <w:bCs/>
          <w:i/>
          <w:iCs/>
        </w:rPr>
      </w:pPr>
      <w:r w:rsidRPr="00014D13">
        <w:rPr>
          <w:rFonts w:ascii="TimesNewRomanPS" w:eastAsia="Times New Roman" w:hAnsi="TimesNewRomanPS" w:cs="Times New Roman"/>
          <w:b/>
          <w:bCs/>
          <w:i/>
          <w:iCs/>
        </w:rPr>
        <w:t xml:space="preserve">What specific measures will </w:t>
      </w:r>
      <w:r>
        <w:rPr>
          <w:rFonts w:ascii="TimesNewRomanPS" w:eastAsia="Times New Roman" w:hAnsi="TimesNewRomanPS" w:cs="Times New Roman"/>
          <w:b/>
          <w:bCs/>
          <w:i/>
          <w:iCs/>
        </w:rPr>
        <w:t>Bolivarian Republic of Venezuela</w:t>
      </w:r>
      <w:r w:rsidRPr="00C73B48">
        <w:rPr>
          <w:rFonts w:ascii="TimesNewRomanPS" w:eastAsia="Times New Roman" w:hAnsi="TimesNewRomanPS" w:cs="Times New Roman"/>
          <w:b/>
          <w:bCs/>
          <w:i/>
          <w:iCs/>
        </w:rPr>
        <w:t xml:space="preserve"> </w:t>
      </w:r>
      <w:r>
        <w:rPr>
          <w:rFonts w:ascii="TimesNewRomanPS" w:eastAsia="Times New Roman" w:hAnsi="TimesNewRomanPS" w:cs="Times New Roman"/>
          <w:b/>
          <w:bCs/>
          <w:i/>
          <w:iCs/>
        </w:rPr>
        <w:t xml:space="preserve">and the CNE </w:t>
      </w:r>
      <w:r w:rsidRPr="00014D13">
        <w:rPr>
          <w:rFonts w:ascii="TimesNewRomanPS" w:eastAsia="Times New Roman" w:hAnsi="TimesNewRomanPS" w:cs="Times New Roman"/>
          <w:b/>
          <w:bCs/>
          <w:i/>
          <w:iCs/>
        </w:rPr>
        <w:t>put i</w:t>
      </w:r>
      <w:r>
        <w:rPr>
          <w:rFonts w:ascii="TimesNewRomanPS" w:eastAsia="Times New Roman" w:hAnsi="TimesNewRomanPS" w:cs="Times New Roman"/>
          <w:b/>
          <w:bCs/>
          <w:i/>
          <w:iCs/>
        </w:rPr>
        <w:t>n</w:t>
      </w:r>
      <w:r w:rsidRPr="00014D13">
        <w:rPr>
          <w:rFonts w:ascii="TimesNewRomanPS" w:eastAsia="Times New Roman" w:hAnsi="TimesNewRomanPS" w:cs="Times New Roman"/>
          <w:b/>
          <w:bCs/>
          <w:i/>
          <w:iCs/>
        </w:rPr>
        <w:t xml:space="preserve"> place to hold </w:t>
      </w:r>
      <w:r>
        <w:rPr>
          <w:rFonts w:ascii="TimesNewRomanPS" w:eastAsia="Times New Roman" w:hAnsi="TimesNewRomanPS" w:cs="Times New Roman"/>
          <w:b/>
          <w:bCs/>
          <w:i/>
          <w:iCs/>
        </w:rPr>
        <w:t xml:space="preserve">those who commit blatant electoral legal violations </w:t>
      </w:r>
      <w:r w:rsidRPr="00014D13">
        <w:rPr>
          <w:rFonts w:ascii="TimesNewRomanPS" w:eastAsia="Times New Roman" w:hAnsi="TimesNewRomanPS" w:cs="Times New Roman"/>
          <w:b/>
          <w:bCs/>
          <w:i/>
          <w:iCs/>
        </w:rPr>
        <w:t xml:space="preserve">accountable? </w:t>
      </w:r>
    </w:p>
    <w:p w14:paraId="09D8C6CE" w14:textId="0077070C" w:rsidR="00FC68EC" w:rsidRDefault="00FC68EC" w:rsidP="00FC68EC">
      <w:pPr>
        <w:spacing w:before="100" w:beforeAutospacing="1" w:after="100" w:afterAutospacing="1"/>
        <w:rPr>
          <w:rFonts w:ascii="TimesNewRomanPS" w:eastAsia="Times New Roman" w:hAnsi="TimesNewRomanPS" w:cs="Times New Roman"/>
          <w:b/>
          <w:bCs/>
          <w:i/>
          <w:iCs/>
        </w:rPr>
      </w:pPr>
      <w:r w:rsidRPr="00063C72">
        <w:rPr>
          <w:rFonts w:ascii="TimesNewRomanPS" w:eastAsia="Times New Roman" w:hAnsi="TimesNewRomanPS" w:cs="Times New Roman"/>
          <w:b/>
          <w:bCs/>
          <w:i/>
          <w:iCs/>
        </w:rPr>
        <w:t xml:space="preserve">What special measures will </w:t>
      </w:r>
      <w:r w:rsidRPr="00C73B48">
        <w:rPr>
          <w:rFonts w:ascii="TimesNewRomanPS" w:eastAsia="Times New Roman" w:hAnsi="TimesNewRomanPS" w:cs="Times New Roman"/>
          <w:b/>
          <w:bCs/>
          <w:i/>
          <w:iCs/>
        </w:rPr>
        <w:t xml:space="preserve">the </w:t>
      </w:r>
      <w:r>
        <w:rPr>
          <w:rFonts w:ascii="TimesNewRomanPS" w:eastAsia="Times New Roman" w:hAnsi="TimesNewRomanPS" w:cs="Times New Roman"/>
          <w:b/>
          <w:bCs/>
          <w:i/>
          <w:iCs/>
        </w:rPr>
        <w:t>Bolivarian Republic of Venezuela</w:t>
      </w:r>
      <w:r w:rsidRPr="00C73B48">
        <w:rPr>
          <w:rFonts w:ascii="TimesNewRomanPS" w:eastAsia="Times New Roman" w:hAnsi="TimesNewRomanPS" w:cs="Times New Roman"/>
          <w:b/>
          <w:bCs/>
          <w:i/>
          <w:iCs/>
        </w:rPr>
        <w:t xml:space="preserve"> </w:t>
      </w:r>
      <w:r w:rsidRPr="00063C72">
        <w:rPr>
          <w:rFonts w:ascii="TimesNewRomanPS" w:eastAsia="Times New Roman" w:hAnsi="TimesNewRomanPS" w:cs="Times New Roman"/>
          <w:b/>
          <w:bCs/>
          <w:i/>
          <w:iCs/>
        </w:rPr>
        <w:t xml:space="preserve">enact and implement to ensure </w:t>
      </w:r>
      <w:r>
        <w:rPr>
          <w:rFonts w:ascii="TimesNewRomanPS" w:eastAsia="Times New Roman" w:hAnsi="TimesNewRomanPS" w:cs="Times New Roman"/>
          <w:b/>
          <w:bCs/>
          <w:i/>
          <w:iCs/>
        </w:rPr>
        <w:t>that the elections for indigenous representatives respect the principles of direct voting by secret ballot and universal suffrage presented in the Constitution (Article 63)</w:t>
      </w:r>
      <w:r w:rsidRPr="00063C72">
        <w:rPr>
          <w:rFonts w:ascii="TimesNewRomanPS" w:eastAsia="Times New Roman" w:hAnsi="TimesNewRomanPS" w:cs="Times New Roman"/>
          <w:b/>
          <w:bCs/>
          <w:i/>
          <w:iCs/>
        </w:rPr>
        <w:t>?</w:t>
      </w:r>
    </w:p>
    <w:p w14:paraId="26C18473" w14:textId="77777777" w:rsidR="00B65E1D" w:rsidRPr="003B0A54" w:rsidRDefault="00B65E1D" w:rsidP="00B65E1D">
      <w:pPr>
        <w:pStyle w:val="NormalWeb"/>
        <w:jc w:val="both"/>
        <w:rPr>
          <w:rFonts w:ascii="TimesNewRomanPSMT" w:hAnsi="TimesNewRomanPSMT"/>
          <w:color w:val="595959"/>
          <w:sz w:val="28"/>
          <w:szCs w:val="28"/>
        </w:rPr>
      </w:pPr>
      <w:r>
        <w:rPr>
          <w:rFonts w:ascii="TimesNewRomanPSMT" w:hAnsi="TimesNewRomanPSMT"/>
          <w:color w:val="595959"/>
          <w:sz w:val="28"/>
          <w:szCs w:val="28"/>
        </w:rPr>
        <w:t>Articles 9 and 14: Right to Liberty and Fair Hearing by an Independent and Impartial tribunal</w:t>
      </w:r>
    </w:p>
    <w:p w14:paraId="6902F263" w14:textId="65962FD6" w:rsidR="00B65E1D" w:rsidRPr="002B0EA6" w:rsidRDefault="00B65E1D" w:rsidP="00B65E1D">
      <w:pPr>
        <w:pStyle w:val="NormalWeb"/>
        <w:shd w:val="clear" w:color="auto" w:fill="FFFFFF"/>
        <w:spacing w:before="0" w:beforeAutospacing="0" w:after="240" w:afterAutospacing="0" w:line="276" w:lineRule="auto"/>
        <w:jc w:val="both"/>
      </w:pPr>
      <w:r w:rsidRPr="002B0EA6">
        <w:t xml:space="preserve">Political persecution </w:t>
      </w:r>
      <w:r>
        <w:t xml:space="preserve">and repression aimed at stifling opposition to the government </w:t>
      </w:r>
      <w:r w:rsidRPr="002B0EA6">
        <w:t>is a serious problem in Venezuela</w:t>
      </w:r>
      <w:r>
        <w:t xml:space="preserve">. Arbitrary arrest and detention of those holding opinions different from the government had a generally chilling effect on the 2021 election atmosphere, with some opposition candidates and supporters going into exile. </w:t>
      </w:r>
      <w:r w:rsidRPr="002B0EA6">
        <w:t>A</w:t>
      </w:r>
      <w:r>
        <w:t xml:space="preserve"> civil society organization that provides legal aid to detainees in Venezuela,</w:t>
      </w:r>
      <w:r w:rsidRPr="002B0EA6">
        <w:t xml:space="preserve"> Criminal Forum (</w:t>
      </w:r>
      <w:proofErr w:type="spellStart"/>
      <w:r w:rsidRPr="002B0EA6">
        <w:rPr>
          <w:i/>
        </w:rPr>
        <w:t>Foro</w:t>
      </w:r>
      <w:proofErr w:type="spellEnd"/>
      <w:r w:rsidRPr="002B0EA6">
        <w:rPr>
          <w:i/>
        </w:rPr>
        <w:t xml:space="preserve"> Penal</w:t>
      </w:r>
      <w:r w:rsidRPr="002B0EA6">
        <w:t xml:space="preserve">), </w:t>
      </w:r>
      <w:r>
        <w:t>classified</w:t>
      </w:r>
      <w:r w:rsidRPr="002B0EA6">
        <w:t xml:space="preserve"> </w:t>
      </w:r>
      <w:r>
        <w:t xml:space="preserve">a </w:t>
      </w:r>
      <w:r w:rsidRPr="002B0EA6">
        <w:t xml:space="preserve">total of 251 </w:t>
      </w:r>
      <w:r>
        <w:t>detainees</w:t>
      </w:r>
      <w:r w:rsidRPr="002B0EA6">
        <w:t xml:space="preserve"> as political</w:t>
      </w:r>
      <w:r>
        <w:t xml:space="preserve"> </w:t>
      </w:r>
      <w:r w:rsidRPr="002B0EA6">
        <w:t>prisoners</w:t>
      </w:r>
      <w:r>
        <w:t xml:space="preserve"> </w:t>
      </w:r>
      <w:r w:rsidRPr="002B0EA6">
        <w:t>as of Nov. 22, 2021</w:t>
      </w:r>
      <w:r>
        <w:t>.</w:t>
      </w:r>
      <w:r>
        <w:rPr>
          <w:rStyle w:val="FootnoteReference"/>
        </w:rPr>
        <w:footnoteReference w:id="4"/>
      </w:r>
      <w:r w:rsidRPr="002B0EA6">
        <w:t xml:space="preserve"> </w:t>
      </w:r>
      <w:r>
        <w:t>S</w:t>
      </w:r>
      <w:r w:rsidRPr="002B0EA6">
        <w:t>ince 2014, there have been 15,749 political</w:t>
      </w:r>
      <w:r>
        <w:t>ly motivated</w:t>
      </w:r>
      <w:r w:rsidRPr="002B0EA6">
        <w:t xml:space="preserve"> </w:t>
      </w:r>
      <w:r w:rsidRPr="002B0EA6">
        <w:lastRenderedPageBreak/>
        <w:t xml:space="preserve">arrests. </w:t>
      </w:r>
      <w:proofErr w:type="spellStart"/>
      <w:r w:rsidRPr="002B0EA6">
        <w:t>Foro</w:t>
      </w:r>
      <w:proofErr w:type="spellEnd"/>
      <w:r w:rsidRPr="002B0EA6">
        <w:t xml:space="preserve"> Penal </w:t>
      </w:r>
      <w:r>
        <w:t>estimates</w:t>
      </w:r>
      <w:r w:rsidRPr="002B0EA6">
        <w:t xml:space="preserve"> that there are an additional 9,000-plus people in Venezuela who remain “subject, arbitrarily, to measures restricting their freedom.” In 2021, a total of 42 politically motivated arrests were made, and four of those arrested remain behind bars and 38 have been released. On Nov. 3, 2021, the prosecutor of the International Criminal Court reported that the case known as “Venezuela I” had entered a phase of formal investigation of crimes against humanity allegedly committed since at least 2017. </w:t>
      </w:r>
    </w:p>
    <w:p w14:paraId="3119AC2A" w14:textId="77777777" w:rsidR="00B65E1D" w:rsidRPr="00014D13" w:rsidRDefault="00B65E1D" w:rsidP="00B65E1D">
      <w:pPr>
        <w:pStyle w:val="NormalWeb"/>
        <w:jc w:val="both"/>
      </w:pPr>
      <w:r>
        <w:rPr>
          <w:rFonts w:ascii="TimesNewRomanPS" w:hAnsi="TimesNewRomanPS"/>
          <w:b/>
          <w:bCs/>
          <w:i/>
          <w:iCs/>
        </w:rPr>
        <w:t xml:space="preserve">Questions for Consideration: </w:t>
      </w:r>
    </w:p>
    <w:p w14:paraId="40EE85D3" w14:textId="77777777" w:rsidR="00B65E1D" w:rsidRDefault="00B65E1D" w:rsidP="00B65E1D">
      <w:pPr>
        <w:spacing w:before="100" w:beforeAutospacing="1" w:after="100" w:afterAutospacing="1"/>
        <w:rPr>
          <w:rFonts w:ascii="TimesNewRomanPS" w:eastAsia="Times New Roman" w:hAnsi="TimesNewRomanPS" w:cs="Times New Roman"/>
          <w:b/>
          <w:bCs/>
          <w:i/>
          <w:iCs/>
        </w:rPr>
      </w:pPr>
      <w:r w:rsidRPr="00014D13">
        <w:rPr>
          <w:rFonts w:ascii="TimesNewRomanPS" w:eastAsia="Times New Roman" w:hAnsi="TimesNewRomanPS" w:cs="Times New Roman"/>
          <w:b/>
          <w:bCs/>
          <w:i/>
          <w:iCs/>
        </w:rPr>
        <w:t>What steps can the</w:t>
      </w:r>
      <w:r>
        <w:rPr>
          <w:rFonts w:ascii="TimesNewRomanPS" w:eastAsia="Times New Roman" w:hAnsi="TimesNewRomanPS" w:cs="Times New Roman"/>
          <w:b/>
          <w:bCs/>
          <w:i/>
          <w:iCs/>
        </w:rPr>
        <w:t xml:space="preserve"> Bolivarian Republic of Venezuela</w:t>
      </w:r>
      <w:r w:rsidRPr="00014D13">
        <w:rPr>
          <w:rFonts w:ascii="TimesNewRomanPS" w:eastAsia="Times New Roman" w:hAnsi="TimesNewRomanPS" w:cs="Times New Roman"/>
          <w:b/>
          <w:bCs/>
          <w:i/>
          <w:iCs/>
        </w:rPr>
        <w:t xml:space="preserve"> take to </w:t>
      </w:r>
      <w:r>
        <w:rPr>
          <w:rFonts w:ascii="TimesNewRomanPS" w:eastAsia="Times New Roman" w:hAnsi="TimesNewRomanPS" w:cs="Times New Roman"/>
          <w:b/>
          <w:bCs/>
          <w:i/>
          <w:iCs/>
        </w:rPr>
        <w:t xml:space="preserve">ensure the right to a fair and public hearing for the State’s population, especially among opposition political figures and former government allies? </w:t>
      </w:r>
    </w:p>
    <w:p w14:paraId="3F3D08F4" w14:textId="22656C4F" w:rsidR="00893340" w:rsidRPr="002B0EA6" w:rsidRDefault="00B65E1D" w:rsidP="00DD2DCD">
      <w:pPr>
        <w:spacing w:before="100" w:beforeAutospacing="1" w:after="100" w:afterAutospacing="1"/>
        <w:rPr>
          <w:rFonts w:ascii="Times New Roman" w:eastAsia="Cambria" w:hAnsi="Times New Roman" w:cs="Times New Roman"/>
          <w:color w:val="000000" w:themeColor="text1"/>
        </w:rPr>
      </w:pPr>
      <w:r w:rsidRPr="00014D13">
        <w:rPr>
          <w:rFonts w:ascii="TimesNewRomanPS" w:eastAsia="Times New Roman" w:hAnsi="TimesNewRomanPS" w:cs="Times New Roman"/>
          <w:b/>
          <w:bCs/>
          <w:i/>
          <w:iCs/>
        </w:rPr>
        <w:t xml:space="preserve">What specific measures will </w:t>
      </w:r>
      <w:r>
        <w:rPr>
          <w:rFonts w:ascii="TimesNewRomanPS" w:eastAsia="Times New Roman" w:hAnsi="TimesNewRomanPS" w:cs="Times New Roman"/>
          <w:b/>
          <w:bCs/>
          <w:i/>
          <w:iCs/>
        </w:rPr>
        <w:t>the Bolivarian Republic of Venezuela take</w:t>
      </w:r>
      <w:r w:rsidRPr="00014D13">
        <w:rPr>
          <w:rFonts w:ascii="TimesNewRomanPS" w:eastAsia="Times New Roman" w:hAnsi="TimesNewRomanPS" w:cs="Times New Roman"/>
          <w:b/>
          <w:bCs/>
          <w:i/>
          <w:iCs/>
        </w:rPr>
        <w:t xml:space="preserve"> to</w:t>
      </w:r>
      <w:r>
        <w:rPr>
          <w:rFonts w:ascii="TimesNewRomanPS" w:eastAsia="Times New Roman" w:hAnsi="TimesNewRomanPS" w:cs="Times New Roman"/>
          <w:b/>
          <w:bCs/>
          <w:i/>
          <w:iCs/>
        </w:rPr>
        <w:t xml:space="preserve"> ensure that political prisoners will not face arbitrary trials and sentences and no further harassment or threats that stand in the way of the fulfillment of the State’s Constitution (Article 44) and the provisions of CCPR (Articles 9 and 14)?</w:t>
      </w:r>
    </w:p>
    <w:p w14:paraId="7B60E8C5" w14:textId="42D628AD" w:rsidR="000D373C" w:rsidRDefault="000D373C" w:rsidP="0031489F">
      <w:pPr>
        <w:pStyle w:val="NormalWeb"/>
        <w:jc w:val="both"/>
        <w:rPr>
          <w:rFonts w:ascii="TimesNewRomanPSMT" w:hAnsi="TimesNewRomanPSMT"/>
          <w:color w:val="595959"/>
          <w:sz w:val="28"/>
          <w:szCs w:val="28"/>
        </w:rPr>
      </w:pPr>
      <w:r>
        <w:rPr>
          <w:rFonts w:ascii="TimesNewRomanPSMT" w:hAnsi="TimesNewRomanPSMT"/>
          <w:color w:val="595959"/>
          <w:sz w:val="28"/>
          <w:szCs w:val="28"/>
        </w:rPr>
        <w:t>Article 19</w:t>
      </w:r>
      <w:r w:rsidR="001426D9">
        <w:rPr>
          <w:rFonts w:ascii="TimesNewRomanPSMT" w:hAnsi="TimesNewRomanPSMT"/>
          <w:color w:val="595959"/>
          <w:sz w:val="28"/>
          <w:szCs w:val="28"/>
        </w:rPr>
        <w:t xml:space="preserve">: Freedom of </w:t>
      </w:r>
      <w:r w:rsidR="00617907">
        <w:rPr>
          <w:rFonts w:ascii="TimesNewRomanPSMT" w:hAnsi="TimesNewRomanPSMT"/>
          <w:color w:val="595959"/>
          <w:sz w:val="28"/>
          <w:szCs w:val="28"/>
        </w:rPr>
        <w:t>O</w:t>
      </w:r>
      <w:r w:rsidR="001426D9">
        <w:rPr>
          <w:rFonts w:ascii="TimesNewRomanPSMT" w:hAnsi="TimesNewRomanPSMT"/>
          <w:color w:val="595959"/>
          <w:sz w:val="28"/>
          <w:szCs w:val="28"/>
        </w:rPr>
        <w:t xml:space="preserve">pinion and </w:t>
      </w:r>
      <w:r w:rsidR="00617907">
        <w:rPr>
          <w:rFonts w:ascii="TimesNewRomanPSMT" w:hAnsi="TimesNewRomanPSMT"/>
          <w:color w:val="595959"/>
          <w:sz w:val="28"/>
          <w:szCs w:val="28"/>
        </w:rPr>
        <w:t>E</w:t>
      </w:r>
      <w:r w:rsidR="001426D9">
        <w:rPr>
          <w:rFonts w:ascii="TimesNewRomanPSMT" w:hAnsi="TimesNewRomanPSMT"/>
          <w:color w:val="595959"/>
          <w:sz w:val="28"/>
          <w:szCs w:val="28"/>
        </w:rPr>
        <w:t xml:space="preserve">xpression </w:t>
      </w:r>
    </w:p>
    <w:p w14:paraId="17C2A17A" w14:textId="0AF37F46" w:rsidR="00893340" w:rsidRPr="002B0EA6" w:rsidRDefault="00893340" w:rsidP="00893340">
      <w:pPr>
        <w:spacing w:after="240" w:line="276" w:lineRule="auto"/>
        <w:jc w:val="both"/>
        <w:rPr>
          <w:rFonts w:ascii="Times New Roman" w:hAnsi="Times New Roman" w:cs="Times New Roman"/>
        </w:rPr>
      </w:pPr>
      <w:r w:rsidRPr="002B0EA6">
        <w:rPr>
          <w:rFonts w:ascii="Times New Roman" w:hAnsi="Times New Roman" w:cs="Times New Roman"/>
        </w:rPr>
        <w:t>The</w:t>
      </w:r>
      <w:r w:rsidR="00C73B48">
        <w:rPr>
          <w:rFonts w:ascii="Times New Roman" w:hAnsi="Times New Roman" w:cs="Times New Roman"/>
        </w:rPr>
        <w:t xml:space="preserve"> Venezuelan C</w:t>
      </w:r>
      <w:r w:rsidRPr="002B0EA6">
        <w:rPr>
          <w:rFonts w:ascii="Times New Roman" w:hAnsi="Times New Roman" w:cs="Times New Roman"/>
        </w:rPr>
        <w:t xml:space="preserve">onstitution recognizes freedom of expression and the right to diverse, truthful, and impartial information (Articles 57 and 58). The 2010 Law on Social Responsibility in Radio, Television, and Electronic Media </w:t>
      </w:r>
      <w:r w:rsidRPr="002B0EA6">
        <w:rPr>
          <w:rFonts w:ascii="Times New Roman" w:hAnsi="Times New Roman" w:cs="Times New Roman"/>
          <w:i/>
          <w:iCs/>
        </w:rPr>
        <w:t xml:space="preserve">(Ley de </w:t>
      </w:r>
      <w:proofErr w:type="spellStart"/>
      <w:r w:rsidRPr="002B0EA6">
        <w:rPr>
          <w:rFonts w:ascii="Times New Roman" w:hAnsi="Times New Roman" w:cs="Times New Roman"/>
          <w:i/>
          <w:iCs/>
        </w:rPr>
        <w:t>Responsabilidad</w:t>
      </w:r>
      <w:proofErr w:type="spellEnd"/>
      <w:r w:rsidRPr="002B0EA6">
        <w:rPr>
          <w:rFonts w:ascii="Times New Roman" w:hAnsi="Times New Roman" w:cs="Times New Roman"/>
          <w:i/>
          <w:iCs/>
        </w:rPr>
        <w:t xml:space="preserve"> Social </w:t>
      </w:r>
      <w:proofErr w:type="spellStart"/>
      <w:r w:rsidRPr="002B0EA6">
        <w:rPr>
          <w:rFonts w:ascii="Times New Roman" w:hAnsi="Times New Roman" w:cs="Times New Roman"/>
          <w:i/>
          <w:iCs/>
        </w:rPr>
        <w:t>en</w:t>
      </w:r>
      <w:proofErr w:type="spellEnd"/>
      <w:r w:rsidRPr="002B0EA6">
        <w:rPr>
          <w:rFonts w:ascii="Times New Roman" w:hAnsi="Times New Roman" w:cs="Times New Roman"/>
          <w:i/>
          <w:iCs/>
        </w:rPr>
        <w:t xml:space="preserve"> Radio, Televisión y </w:t>
      </w:r>
      <w:proofErr w:type="spellStart"/>
      <w:r w:rsidRPr="002B0EA6">
        <w:rPr>
          <w:rFonts w:ascii="Times New Roman" w:hAnsi="Times New Roman" w:cs="Times New Roman"/>
          <w:i/>
          <w:iCs/>
        </w:rPr>
        <w:t>Medios</w:t>
      </w:r>
      <w:proofErr w:type="spellEnd"/>
      <w:r w:rsidRPr="002B0EA6">
        <w:rPr>
          <w:rFonts w:ascii="Times New Roman" w:hAnsi="Times New Roman" w:cs="Times New Roman"/>
          <w:i/>
          <w:iCs/>
        </w:rPr>
        <w:t xml:space="preserve"> </w:t>
      </w:r>
      <w:proofErr w:type="spellStart"/>
      <w:r w:rsidRPr="002B0EA6">
        <w:rPr>
          <w:rFonts w:ascii="Times New Roman" w:hAnsi="Times New Roman" w:cs="Times New Roman"/>
          <w:i/>
          <w:iCs/>
        </w:rPr>
        <w:t>electrónicos</w:t>
      </w:r>
      <w:proofErr w:type="spellEnd"/>
      <w:r w:rsidRPr="002B0EA6">
        <w:rPr>
          <w:rFonts w:ascii="Times New Roman" w:hAnsi="Times New Roman" w:cs="Times New Roman"/>
          <w:i/>
          <w:iCs/>
        </w:rPr>
        <w:t>)</w:t>
      </w:r>
      <w:r w:rsidRPr="002B0EA6">
        <w:rPr>
          <w:rFonts w:ascii="Times New Roman" w:hAnsi="Times New Roman" w:cs="Times New Roman"/>
        </w:rPr>
        <w:t xml:space="preserve"> sets out the rights and responsibilities of media and journalists and establishes the National Commission of Telecommunications (</w:t>
      </w:r>
      <w:proofErr w:type="spellStart"/>
      <w:r w:rsidRPr="002B0EA6">
        <w:rPr>
          <w:rFonts w:ascii="Times New Roman" w:hAnsi="Times New Roman" w:cs="Times New Roman"/>
          <w:i/>
          <w:iCs/>
        </w:rPr>
        <w:t>Comisión</w:t>
      </w:r>
      <w:proofErr w:type="spellEnd"/>
      <w:r w:rsidRPr="002B0EA6">
        <w:rPr>
          <w:rFonts w:ascii="Times New Roman" w:hAnsi="Times New Roman" w:cs="Times New Roman"/>
          <w:i/>
          <w:iCs/>
        </w:rPr>
        <w:t xml:space="preserve"> Nacional de </w:t>
      </w:r>
      <w:proofErr w:type="spellStart"/>
      <w:r w:rsidRPr="002B0EA6">
        <w:rPr>
          <w:rFonts w:ascii="Times New Roman" w:hAnsi="Times New Roman" w:cs="Times New Roman"/>
          <w:i/>
          <w:iCs/>
        </w:rPr>
        <w:t>Telecomunicaciones</w:t>
      </w:r>
      <w:proofErr w:type="spellEnd"/>
      <w:r w:rsidRPr="002B0EA6">
        <w:rPr>
          <w:rFonts w:ascii="Times New Roman" w:hAnsi="Times New Roman" w:cs="Times New Roman"/>
        </w:rPr>
        <w:t>—CONATEL) as the principal regulatory authority. Electoral law governs campaigns, political advertising, and social media</w:t>
      </w:r>
      <w:r w:rsidR="000657F1">
        <w:rPr>
          <w:rFonts w:ascii="Times New Roman" w:hAnsi="Times New Roman" w:cs="Times New Roman"/>
        </w:rPr>
        <w:t xml:space="preserve"> </w:t>
      </w:r>
      <w:r w:rsidR="00140DF8">
        <w:rPr>
          <w:rFonts w:ascii="Times New Roman" w:hAnsi="Times New Roman" w:cs="Times New Roman"/>
        </w:rPr>
        <w:t>campaigns</w:t>
      </w:r>
      <w:r w:rsidRPr="002B0EA6">
        <w:rPr>
          <w:rFonts w:ascii="Times New Roman" w:hAnsi="Times New Roman" w:cs="Times New Roman"/>
        </w:rPr>
        <w:t>.</w:t>
      </w:r>
      <w:r w:rsidRPr="002B0EA6">
        <w:rPr>
          <w:rFonts w:ascii="Times New Roman" w:hAnsi="Times New Roman" w:cs="Times New Roman"/>
          <w:vertAlign w:val="superscript"/>
        </w:rPr>
        <w:footnoteReference w:id="5"/>
      </w:r>
    </w:p>
    <w:p w14:paraId="01AB4E9E" w14:textId="272ABD84" w:rsidR="00893340" w:rsidRPr="002B0EA6" w:rsidRDefault="00893340" w:rsidP="00893340">
      <w:pPr>
        <w:spacing w:after="240" w:line="276" w:lineRule="auto"/>
        <w:jc w:val="both"/>
        <w:rPr>
          <w:rFonts w:ascii="Times New Roman" w:hAnsi="Times New Roman" w:cs="Times New Roman"/>
        </w:rPr>
      </w:pPr>
      <w:r w:rsidRPr="002B0EA6">
        <w:rPr>
          <w:rFonts w:ascii="Times New Roman" w:hAnsi="Times New Roman" w:cs="Times New Roman"/>
        </w:rPr>
        <w:t xml:space="preserve">However, </w:t>
      </w:r>
      <w:r w:rsidR="00115FC7">
        <w:rPr>
          <w:rFonts w:ascii="Times New Roman" w:hAnsi="Times New Roman" w:cs="Times New Roman"/>
        </w:rPr>
        <w:t>d</w:t>
      </w:r>
      <w:r w:rsidR="00B223B4">
        <w:rPr>
          <w:rFonts w:ascii="Times New Roman" w:hAnsi="Times New Roman" w:cs="Times New Roman"/>
        </w:rPr>
        <w:t xml:space="preserve">uring </w:t>
      </w:r>
      <w:r w:rsidRPr="002B0EA6">
        <w:rPr>
          <w:rFonts w:ascii="Times New Roman" w:hAnsi="Times New Roman" w:cs="Times New Roman"/>
        </w:rPr>
        <w:t xml:space="preserve">the last 20 years the Venezuelan government has </w:t>
      </w:r>
      <w:r w:rsidR="00140DF8">
        <w:rPr>
          <w:rFonts w:ascii="Times New Roman" w:hAnsi="Times New Roman" w:cs="Times New Roman"/>
        </w:rPr>
        <w:t>instituted</w:t>
      </w:r>
      <w:r w:rsidRPr="002B0EA6">
        <w:rPr>
          <w:rFonts w:ascii="Times New Roman" w:hAnsi="Times New Roman" w:cs="Times New Roman"/>
        </w:rPr>
        <w:t xml:space="preserve"> a legal framework comprising around 60 laws, decrees, regulations, and court decisions,</w:t>
      </w:r>
      <w:r w:rsidRPr="002B0EA6">
        <w:rPr>
          <w:rStyle w:val="FootnoteReference"/>
          <w:rFonts w:ascii="Times New Roman" w:hAnsi="Times New Roman" w:cs="Times New Roman"/>
        </w:rPr>
        <w:footnoteReference w:id="6"/>
      </w:r>
      <w:r w:rsidRPr="002B0EA6">
        <w:rPr>
          <w:rFonts w:ascii="Times New Roman" w:hAnsi="Times New Roman" w:cs="Times New Roman"/>
        </w:rPr>
        <w:t xml:space="preserve"> of which 43 have severely restricted freedom of expression and the right to access to information. </w:t>
      </w:r>
      <w:r w:rsidR="00C73B48">
        <w:rPr>
          <w:rFonts w:ascii="Times New Roman" w:hAnsi="Times New Roman" w:cs="Times New Roman"/>
        </w:rPr>
        <w:t xml:space="preserve">This </w:t>
      </w:r>
      <w:r w:rsidR="004B09C0">
        <w:rPr>
          <w:rFonts w:ascii="Times New Roman" w:hAnsi="Times New Roman" w:cs="Times New Roman"/>
        </w:rPr>
        <w:t>body of law</w:t>
      </w:r>
      <w:r w:rsidRPr="002B0EA6">
        <w:rPr>
          <w:rFonts w:ascii="Times New Roman" w:hAnsi="Times New Roman" w:cs="Times New Roman"/>
        </w:rPr>
        <w:t xml:space="preserve"> </w:t>
      </w:r>
      <w:r w:rsidR="00C73B48">
        <w:rPr>
          <w:rFonts w:ascii="Times New Roman" w:hAnsi="Times New Roman" w:cs="Times New Roman"/>
        </w:rPr>
        <w:t>restricts</w:t>
      </w:r>
      <w:r w:rsidRPr="002B0EA6">
        <w:rPr>
          <w:rFonts w:ascii="Times New Roman" w:hAnsi="Times New Roman" w:cs="Times New Roman"/>
        </w:rPr>
        <w:t xml:space="preserve"> the actions of private media on the grounds of protecting national security, combating terrorism, or protecting the truthfulness of information. This has led to the shutdown of media outlets, restricted access to resources monopolized by the government (foreign currencies, replacement parts, newsprint, etc.), and criminalized critical opinions, among other consequences. </w:t>
      </w:r>
    </w:p>
    <w:p w14:paraId="23F3C6B0" w14:textId="135C267D" w:rsidR="00893340" w:rsidRPr="002B0EA6" w:rsidRDefault="005951E1" w:rsidP="00893340">
      <w:pPr>
        <w:spacing w:after="240" w:line="276" w:lineRule="auto"/>
        <w:jc w:val="both"/>
        <w:rPr>
          <w:rFonts w:ascii="Times New Roman" w:eastAsia="Times New Roman" w:hAnsi="Times New Roman" w:cs="Times New Roman"/>
        </w:rPr>
      </w:pPr>
      <w:r>
        <w:rPr>
          <w:rFonts w:ascii="Times New Roman" w:hAnsi="Times New Roman" w:cs="Times New Roman"/>
        </w:rPr>
        <w:t>In addition</w:t>
      </w:r>
      <w:r w:rsidR="00893340" w:rsidRPr="002B0EA6">
        <w:rPr>
          <w:rFonts w:ascii="Times New Roman" w:hAnsi="Times New Roman" w:cs="Times New Roman"/>
        </w:rPr>
        <w:t xml:space="preserve">, the ambiguous wording of the laws and regulations allows for arbitrary interpretations and discretionary censorship of media and journalists, without the need for court orders. </w:t>
      </w:r>
      <w:r w:rsidR="00893340" w:rsidRPr="002B0EA6">
        <w:rPr>
          <w:rFonts w:ascii="Times New Roman" w:hAnsi="Times New Roman" w:cs="Times New Roman"/>
        </w:rPr>
        <w:lastRenderedPageBreak/>
        <w:t>CONATEL has issued directives to censor digital media, and the Law on Social Responsibility on Radio and Television and the 2017 Law against Hatred (</w:t>
      </w:r>
      <w:r w:rsidR="00893340" w:rsidRPr="002B0EA6">
        <w:rPr>
          <w:rFonts w:ascii="Times New Roman" w:hAnsi="Times New Roman" w:cs="Times New Roman"/>
          <w:i/>
          <w:iCs/>
        </w:rPr>
        <w:t xml:space="preserve">Ley contra </w:t>
      </w:r>
      <w:proofErr w:type="spellStart"/>
      <w:r w:rsidR="00893340" w:rsidRPr="002B0EA6">
        <w:rPr>
          <w:rFonts w:ascii="Times New Roman" w:hAnsi="Times New Roman" w:cs="Times New Roman"/>
          <w:i/>
          <w:iCs/>
        </w:rPr>
        <w:t>el</w:t>
      </w:r>
      <w:proofErr w:type="spellEnd"/>
      <w:r w:rsidR="00893340" w:rsidRPr="002B0EA6">
        <w:rPr>
          <w:rFonts w:ascii="Times New Roman" w:hAnsi="Times New Roman" w:cs="Times New Roman"/>
          <w:i/>
          <w:iCs/>
        </w:rPr>
        <w:t xml:space="preserve"> </w:t>
      </w:r>
      <w:proofErr w:type="spellStart"/>
      <w:r w:rsidR="00893340" w:rsidRPr="002B0EA6">
        <w:rPr>
          <w:rFonts w:ascii="Times New Roman" w:hAnsi="Times New Roman" w:cs="Times New Roman"/>
          <w:i/>
          <w:iCs/>
        </w:rPr>
        <w:t>Odio</w:t>
      </w:r>
      <w:proofErr w:type="spellEnd"/>
      <w:r w:rsidR="00893340" w:rsidRPr="002B0EA6">
        <w:rPr>
          <w:rFonts w:ascii="Times New Roman" w:hAnsi="Times New Roman" w:cs="Times New Roman"/>
        </w:rPr>
        <w:t>) give</w:t>
      </w:r>
      <w:r w:rsidR="00001415">
        <w:rPr>
          <w:rFonts w:ascii="Times New Roman" w:hAnsi="Times New Roman" w:cs="Times New Roman"/>
        </w:rPr>
        <w:t>s</w:t>
      </w:r>
      <w:r w:rsidR="00893340" w:rsidRPr="002B0EA6">
        <w:rPr>
          <w:rFonts w:ascii="Times New Roman" w:hAnsi="Times New Roman" w:cs="Times New Roman"/>
        </w:rPr>
        <w:t xml:space="preserve"> government officials and bodies considerable discretion to restrict reporting and journalism.</w:t>
      </w:r>
    </w:p>
    <w:p w14:paraId="6435A0B4" w14:textId="1832F0EB" w:rsidR="00893340" w:rsidRPr="002B0EA6" w:rsidRDefault="00280877" w:rsidP="00893340">
      <w:pPr>
        <w:spacing w:after="240" w:line="276" w:lineRule="auto"/>
        <w:jc w:val="both"/>
        <w:rPr>
          <w:rFonts w:ascii="Times New Roman" w:hAnsi="Times New Roman" w:cs="Times New Roman"/>
        </w:rPr>
      </w:pPr>
      <w:r>
        <w:rPr>
          <w:rFonts w:ascii="Times New Roman" w:hAnsi="Times New Roman" w:cs="Times New Roman"/>
        </w:rPr>
        <w:t>O</w:t>
      </w:r>
      <w:r w:rsidR="002C2B5B">
        <w:rPr>
          <w:rFonts w:ascii="Times New Roman" w:hAnsi="Times New Roman" w:cs="Times New Roman"/>
        </w:rPr>
        <w:t xml:space="preserve">ther ad-hoc </w:t>
      </w:r>
      <w:r w:rsidR="00893340" w:rsidRPr="002B0EA6">
        <w:rPr>
          <w:rFonts w:ascii="Times New Roman" w:hAnsi="Times New Roman" w:cs="Times New Roman"/>
        </w:rPr>
        <w:t xml:space="preserve">measures </w:t>
      </w:r>
      <w:r>
        <w:rPr>
          <w:rFonts w:ascii="Times New Roman" w:hAnsi="Times New Roman" w:cs="Times New Roman"/>
        </w:rPr>
        <w:t xml:space="preserve">also </w:t>
      </w:r>
      <w:r w:rsidR="00893340" w:rsidRPr="002B0EA6">
        <w:rPr>
          <w:rFonts w:ascii="Times New Roman" w:hAnsi="Times New Roman" w:cs="Times New Roman"/>
        </w:rPr>
        <w:t xml:space="preserve">have </w:t>
      </w:r>
      <w:r w:rsidR="002C2B5B">
        <w:rPr>
          <w:rFonts w:ascii="Times New Roman" w:hAnsi="Times New Roman" w:cs="Times New Roman"/>
        </w:rPr>
        <w:t xml:space="preserve">contributed to </w:t>
      </w:r>
      <w:r>
        <w:rPr>
          <w:rFonts w:ascii="Times New Roman" w:hAnsi="Times New Roman" w:cs="Times New Roman"/>
        </w:rPr>
        <w:t>stifling</w:t>
      </w:r>
      <w:r w:rsidR="00893340" w:rsidRPr="002B0EA6">
        <w:rPr>
          <w:rFonts w:ascii="Times New Roman" w:hAnsi="Times New Roman" w:cs="Times New Roman"/>
        </w:rPr>
        <w:t xml:space="preserve"> the media</w:t>
      </w:r>
      <w:r w:rsidR="00617907">
        <w:rPr>
          <w:rFonts w:ascii="Times New Roman" w:hAnsi="Times New Roman" w:cs="Times New Roman"/>
        </w:rPr>
        <w:t>,</w:t>
      </w:r>
      <w:r w:rsidR="00F6368E">
        <w:rPr>
          <w:rFonts w:ascii="Times New Roman" w:hAnsi="Times New Roman" w:cs="Times New Roman"/>
        </w:rPr>
        <w:t xml:space="preserve"> free </w:t>
      </w:r>
      <w:proofErr w:type="gramStart"/>
      <w:r w:rsidR="00F6368E">
        <w:rPr>
          <w:rFonts w:ascii="Times New Roman" w:hAnsi="Times New Roman" w:cs="Times New Roman"/>
        </w:rPr>
        <w:t>speech</w:t>
      </w:r>
      <w:proofErr w:type="gramEnd"/>
      <w:r w:rsidR="00617907">
        <w:rPr>
          <w:rFonts w:ascii="Times New Roman" w:hAnsi="Times New Roman" w:cs="Times New Roman"/>
        </w:rPr>
        <w:t xml:space="preserve"> and diversity of sources of information</w:t>
      </w:r>
      <w:r w:rsidR="00F6368E">
        <w:rPr>
          <w:rFonts w:ascii="Times New Roman" w:hAnsi="Times New Roman" w:cs="Times New Roman"/>
        </w:rPr>
        <w:t xml:space="preserve">. </w:t>
      </w:r>
      <w:r w:rsidR="00893340" w:rsidRPr="002B0EA6">
        <w:rPr>
          <w:rFonts w:ascii="Times New Roman" w:hAnsi="Times New Roman" w:cs="Times New Roman"/>
        </w:rPr>
        <w:t xml:space="preserve">For example, foreign news channels have been removed from the programming schedule (NTN 24, CNN), </w:t>
      </w:r>
      <w:r>
        <w:rPr>
          <w:rFonts w:ascii="Times New Roman" w:hAnsi="Times New Roman" w:cs="Times New Roman"/>
        </w:rPr>
        <w:t>sometimes</w:t>
      </w:r>
      <w:r w:rsidR="00893340" w:rsidRPr="002B0EA6">
        <w:rPr>
          <w:rFonts w:ascii="Times New Roman" w:hAnsi="Times New Roman" w:cs="Times New Roman"/>
        </w:rPr>
        <w:t xml:space="preserve"> by presidential decisions. </w:t>
      </w:r>
      <w:r w:rsidR="00F6368E">
        <w:rPr>
          <w:rFonts w:ascii="Times New Roman" w:hAnsi="Times New Roman" w:cs="Times New Roman"/>
        </w:rPr>
        <w:t>Several</w:t>
      </w:r>
      <w:r w:rsidR="007900BB">
        <w:rPr>
          <w:rFonts w:ascii="Times New Roman" w:hAnsi="Times New Roman" w:cs="Times New Roman"/>
        </w:rPr>
        <w:t xml:space="preserve"> independent </w:t>
      </w:r>
      <w:r w:rsidR="00893340" w:rsidRPr="002B0EA6">
        <w:rPr>
          <w:rFonts w:ascii="Times New Roman" w:hAnsi="Times New Roman" w:cs="Times New Roman"/>
        </w:rPr>
        <w:t xml:space="preserve">media outlets have </w:t>
      </w:r>
      <w:proofErr w:type="gramStart"/>
      <w:r w:rsidR="00893340" w:rsidRPr="002B0EA6">
        <w:rPr>
          <w:rFonts w:ascii="Times New Roman" w:hAnsi="Times New Roman" w:cs="Times New Roman"/>
        </w:rPr>
        <w:t>closed,</w:t>
      </w:r>
      <w:r w:rsidR="00617907" w:rsidRPr="002B0EA6">
        <w:rPr>
          <w:rFonts w:ascii="Times New Roman" w:hAnsi="Times New Roman" w:cs="Times New Roman"/>
        </w:rPr>
        <w:t xml:space="preserve"> or</w:t>
      </w:r>
      <w:proofErr w:type="gramEnd"/>
      <w:r w:rsidR="00617907">
        <w:rPr>
          <w:rFonts w:ascii="Times New Roman" w:hAnsi="Times New Roman" w:cs="Times New Roman"/>
        </w:rPr>
        <w:t xml:space="preserve"> </w:t>
      </w:r>
      <w:r w:rsidR="00893340" w:rsidRPr="002B0EA6">
        <w:rPr>
          <w:rFonts w:ascii="Times New Roman" w:hAnsi="Times New Roman" w:cs="Times New Roman"/>
        </w:rPr>
        <w:t>have been handed over to people or companies with close ties to the ruling party, or shield themselves through various forms of self-censorship. There are also considerable obstacles blocking online access to information portals.</w:t>
      </w:r>
    </w:p>
    <w:p w14:paraId="673E67A7" w14:textId="755133B8" w:rsidR="00893340" w:rsidRPr="002B0EA6" w:rsidRDefault="00F6368E" w:rsidP="00893340">
      <w:pPr>
        <w:spacing w:after="240" w:line="276" w:lineRule="auto"/>
        <w:jc w:val="both"/>
        <w:rPr>
          <w:rFonts w:ascii="Times New Roman" w:eastAsia="Cambria" w:hAnsi="Times New Roman" w:cs="Times New Roman"/>
          <w:color w:val="000000" w:themeColor="text1"/>
        </w:rPr>
      </w:pPr>
      <w:r>
        <w:rPr>
          <w:rFonts w:ascii="Times New Roman" w:hAnsi="Times New Roman" w:cs="Times New Roman"/>
          <w:color w:val="000000" w:themeColor="text1"/>
        </w:rPr>
        <w:t xml:space="preserve">During the </w:t>
      </w:r>
      <w:r w:rsidR="00B47C20">
        <w:rPr>
          <w:rFonts w:ascii="Times New Roman" w:hAnsi="Times New Roman" w:cs="Times New Roman"/>
          <w:color w:val="000000" w:themeColor="text1"/>
        </w:rPr>
        <w:t>November</w:t>
      </w:r>
      <w:r>
        <w:rPr>
          <w:rFonts w:ascii="Times New Roman" w:hAnsi="Times New Roman" w:cs="Times New Roman"/>
          <w:color w:val="000000" w:themeColor="text1"/>
        </w:rPr>
        <w:t xml:space="preserve"> 2021 elections, </w:t>
      </w:r>
      <w:r w:rsidR="00893340" w:rsidRPr="002B0EA6">
        <w:rPr>
          <w:rFonts w:ascii="Times New Roman" w:hAnsi="Times New Roman" w:cs="Times New Roman"/>
          <w:color w:val="000000" w:themeColor="text1"/>
        </w:rPr>
        <w:t xml:space="preserve">The Carter </w:t>
      </w:r>
      <w:r w:rsidRPr="002B0EA6">
        <w:rPr>
          <w:rFonts w:ascii="Times New Roman" w:hAnsi="Times New Roman" w:cs="Times New Roman"/>
          <w:color w:val="000000" w:themeColor="text1"/>
        </w:rPr>
        <w:t>Center</w:t>
      </w:r>
      <w:r>
        <w:rPr>
          <w:rFonts w:ascii="Times New Roman" w:hAnsi="Times New Roman" w:cs="Times New Roman"/>
          <w:color w:val="000000" w:themeColor="text1"/>
        </w:rPr>
        <w:t xml:space="preserve"> found that </w:t>
      </w:r>
      <w:r w:rsidR="00893340" w:rsidRPr="002B0EA6">
        <w:rPr>
          <w:rFonts w:ascii="Times New Roman" w:hAnsi="Times New Roman" w:cs="Times New Roman"/>
          <w:color w:val="000000" w:themeColor="text1"/>
        </w:rPr>
        <w:t>radio broadcasters avoid</w:t>
      </w:r>
      <w:r w:rsidR="00617907">
        <w:rPr>
          <w:rFonts w:ascii="Times New Roman" w:hAnsi="Times New Roman" w:cs="Times New Roman"/>
          <w:color w:val="000000" w:themeColor="text1"/>
        </w:rPr>
        <w:t>ed</w:t>
      </w:r>
      <w:r w:rsidR="00893340" w:rsidRPr="002B0EA6">
        <w:rPr>
          <w:rFonts w:ascii="Times New Roman" w:hAnsi="Times New Roman" w:cs="Times New Roman"/>
          <w:color w:val="000000" w:themeColor="text1"/>
        </w:rPr>
        <w:t xml:space="preserve"> sharp criticism</w:t>
      </w:r>
      <w:r w:rsidR="00617907">
        <w:rPr>
          <w:rFonts w:ascii="Times New Roman" w:hAnsi="Times New Roman" w:cs="Times New Roman"/>
          <w:color w:val="000000" w:themeColor="text1"/>
        </w:rPr>
        <w:t>s</w:t>
      </w:r>
      <w:r w:rsidR="00893340" w:rsidRPr="002B0EA6">
        <w:rPr>
          <w:rFonts w:ascii="Times New Roman" w:hAnsi="Times New Roman" w:cs="Times New Roman"/>
          <w:color w:val="000000" w:themeColor="text1"/>
        </w:rPr>
        <w:t xml:space="preserve"> of the government and prevented </w:t>
      </w:r>
      <w:r w:rsidR="00617907">
        <w:rPr>
          <w:rFonts w:ascii="Times New Roman" w:hAnsi="Times New Roman" w:cs="Times New Roman"/>
          <w:color w:val="000000" w:themeColor="text1"/>
        </w:rPr>
        <w:t xml:space="preserve">their </w:t>
      </w:r>
      <w:r w:rsidR="00893340" w:rsidRPr="002B0EA6">
        <w:rPr>
          <w:rFonts w:ascii="Times New Roman" w:hAnsi="Times New Roman" w:cs="Times New Roman"/>
          <w:color w:val="000000" w:themeColor="text1"/>
        </w:rPr>
        <w:t>guests from expressing criticism</w:t>
      </w:r>
      <w:r w:rsidR="00617907">
        <w:rPr>
          <w:rFonts w:ascii="Times New Roman" w:hAnsi="Times New Roman" w:cs="Times New Roman"/>
          <w:color w:val="000000" w:themeColor="text1"/>
        </w:rPr>
        <w:t>s</w:t>
      </w:r>
      <w:r w:rsidR="00893340" w:rsidRPr="002B0EA6">
        <w:rPr>
          <w:rFonts w:ascii="Times New Roman" w:hAnsi="Times New Roman" w:cs="Times New Roman"/>
          <w:color w:val="000000" w:themeColor="text1"/>
        </w:rPr>
        <w:t xml:space="preserve"> for fear of receiving a warning or fine that could threaten the station’s licens</w:t>
      </w:r>
      <w:r w:rsidR="00617907">
        <w:rPr>
          <w:rFonts w:ascii="Times New Roman" w:hAnsi="Times New Roman" w:cs="Times New Roman"/>
          <w:color w:val="000000" w:themeColor="text1"/>
        </w:rPr>
        <w:t>e</w:t>
      </w:r>
      <w:r w:rsidR="00893340" w:rsidRPr="002B0EA6">
        <w:rPr>
          <w:rFonts w:ascii="Times New Roman" w:hAnsi="Times New Roman" w:cs="Times New Roman"/>
          <w:color w:val="000000" w:themeColor="text1"/>
        </w:rPr>
        <w:t>. According to CONATEL data, the regulatory body filed disciplinary proceedings against 79 radio stations in the last four years for failure to comply with the Organic Law on Telecommunications’ (</w:t>
      </w:r>
      <w:r w:rsidR="00893340" w:rsidRPr="002B0EA6">
        <w:rPr>
          <w:rFonts w:ascii="Times New Roman" w:hAnsi="Times New Roman" w:cs="Times New Roman"/>
          <w:i/>
          <w:iCs/>
          <w:color w:val="000000" w:themeColor="text1"/>
        </w:rPr>
        <w:t xml:space="preserve">Ley </w:t>
      </w:r>
      <w:proofErr w:type="spellStart"/>
      <w:r w:rsidR="00893340" w:rsidRPr="002B0EA6">
        <w:rPr>
          <w:rFonts w:ascii="Times New Roman" w:hAnsi="Times New Roman" w:cs="Times New Roman"/>
          <w:i/>
          <w:iCs/>
          <w:color w:val="000000" w:themeColor="text1"/>
        </w:rPr>
        <w:t>Orgánica</w:t>
      </w:r>
      <w:proofErr w:type="spellEnd"/>
      <w:r w:rsidR="00893340" w:rsidRPr="002B0EA6">
        <w:rPr>
          <w:rFonts w:ascii="Times New Roman" w:hAnsi="Times New Roman" w:cs="Times New Roman"/>
          <w:i/>
          <w:iCs/>
          <w:color w:val="000000" w:themeColor="text1"/>
        </w:rPr>
        <w:t xml:space="preserve"> de </w:t>
      </w:r>
      <w:proofErr w:type="spellStart"/>
      <w:r w:rsidR="00893340" w:rsidRPr="002B0EA6">
        <w:rPr>
          <w:rFonts w:ascii="Times New Roman" w:hAnsi="Times New Roman" w:cs="Times New Roman"/>
          <w:i/>
          <w:iCs/>
          <w:color w:val="000000" w:themeColor="text1"/>
        </w:rPr>
        <w:t>Telecomunicaciones</w:t>
      </w:r>
      <w:proofErr w:type="spellEnd"/>
      <w:r w:rsidR="00893340" w:rsidRPr="002B0EA6">
        <w:rPr>
          <w:rFonts w:ascii="Times New Roman" w:hAnsi="Times New Roman" w:cs="Times New Roman"/>
          <w:color w:val="000000" w:themeColor="text1"/>
        </w:rPr>
        <w:t xml:space="preserve">) rules </w:t>
      </w:r>
      <w:r w:rsidR="00140DF8">
        <w:rPr>
          <w:rFonts w:ascii="Times New Roman" w:hAnsi="Times New Roman" w:cs="Times New Roman"/>
          <w:color w:val="000000" w:themeColor="text1"/>
        </w:rPr>
        <w:t>against</w:t>
      </w:r>
      <w:r w:rsidR="00140DF8" w:rsidRPr="002B0EA6">
        <w:rPr>
          <w:rFonts w:ascii="Times New Roman" w:hAnsi="Times New Roman" w:cs="Times New Roman"/>
          <w:color w:val="000000" w:themeColor="text1"/>
        </w:rPr>
        <w:t xml:space="preserve"> </w:t>
      </w:r>
      <w:r w:rsidR="00893340" w:rsidRPr="002B0EA6">
        <w:rPr>
          <w:rFonts w:ascii="Times New Roman" w:hAnsi="Times New Roman" w:cs="Times New Roman"/>
          <w:color w:val="000000" w:themeColor="text1"/>
        </w:rPr>
        <w:t>clandestine use of the radio spectrum (Article 165)</w:t>
      </w:r>
      <w:r w:rsidR="00140DF8">
        <w:rPr>
          <w:rFonts w:ascii="Times New Roman" w:hAnsi="Times New Roman" w:cs="Times New Roman"/>
          <w:color w:val="000000" w:themeColor="text1"/>
        </w:rPr>
        <w:t>.</w:t>
      </w:r>
      <w:r w:rsidR="00893340" w:rsidRPr="002B0EA6">
        <w:rPr>
          <w:rFonts w:ascii="Times New Roman" w:hAnsi="Times New Roman" w:cs="Times New Roman"/>
          <w:color w:val="000000" w:themeColor="text1"/>
        </w:rPr>
        <w:t xml:space="preserve"> </w:t>
      </w:r>
      <w:r w:rsidR="00140DF8">
        <w:rPr>
          <w:rFonts w:ascii="Times New Roman" w:hAnsi="Times New Roman" w:cs="Times New Roman"/>
          <w:color w:val="000000" w:themeColor="text1"/>
        </w:rPr>
        <w:t xml:space="preserve">Disciplinary proceedings were also filed </w:t>
      </w:r>
      <w:r w:rsidR="00893340" w:rsidRPr="002B0EA6">
        <w:rPr>
          <w:rFonts w:ascii="Times New Roman" w:hAnsi="Times New Roman" w:cs="Times New Roman"/>
          <w:color w:val="000000" w:themeColor="text1"/>
        </w:rPr>
        <w:t xml:space="preserve">against 19 radio and TV stations for violating </w:t>
      </w:r>
      <w:r w:rsidR="00140DF8">
        <w:rPr>
          <w:rFonts w:ascii="Times New Roman" w:hAnsi="Times New Roman" w:cs="Times New Roman"/>
          <w:color w:val="000000" w:themeColor="text1"/>
        </w:rPr>
        <w:t>Article 17</w:t>
      </w:r>
      <w:r w:rsidR="00140DF8">
        <w:rPr>
          <w:rStyle w:val="FootnoteReference"/>
          <w:rFonts w:ascii="Times New Roman" w:hAnsi="Times New Roman" w:cs="Times New Roman"/>
          <w:color w:val="000000" w:themeColor="text1"/>
        </w:rPr>
        <w:footnoteReference w:id="7"/>
      </w:r>
      <w:r w:rsidR="00140DF8">
        <w:rPr>
          <w:rFonts w:ascii="Times New Roman" w:hAnsi="Times New Roman" w:cs="Times New Roman"/>
          <w:color w:val="000000" w:themeColor="text1"/>
        </w:rPr>
        <w:t xml:space="preserve"> of </w:t>
      </w:r>
      <w:r w:rsidR="00893340" w:rsidRPr="002B0EA6">
        <w:rPr>
          <w:rFonts w:ascii="Times New Roman" w:hAnsi="Times New Roman" w:cs="Times New Roman"/>
          <w:color w:val="000000" w:themeColor="text1"/>
        </w:rPr>
        <w:t>the Law on Social Responsibility in Radio, Television, and Electronic Media</w:t>
      </w:r>
      <w:r w:rsidR="00140DF8">
        <w:rPr>
          <w:rFonts w:ascii="Times New Roman" w:hAnsi="Times New Roman" w:cs="Times New Roman"/>
          <w:color w:val="000000" w:themeColor="text1"/>
        </w:rPr>
        <w:t>, which</w:t>
      </w:r>
      <w:r w:rsidR="00893340" w:rsidRPr="002B0EA6">
        <w:rPr>
          <w:rFonts w:ascii="Times New Roman" w:hAnsi="Times New Roman" w:cs="Times New Roman"/>
          <w:color w:val="000000" w:themeColor="text1"/>
        </w:rPr>
        <w:t xml:space="preserve"> prohibits the broadcasting of messages that promote hate and intolerance or incite crime, as well as those that “foment unease among citizens.”</w:t>
      </w:r>
    </w:p>
    <w:p w14:paraId="132428F7" w14:textId="094C2ABC" w:rsidR="0032740C" w:rsidRPr="00063C72" w:rsidRDefault="00893340" w:rsidP="00063C72">
      <w:pPr>
        <w:spacing w:line="276" w:lineRule="auto"/>
        <w:jc w:val="both"/>
        <w:rPr>
          <w:rFonts w:ascii="Times New Roman" w:eastAsia="Cambria" w:hAnsi="Times New Roman" w:cs="Times New Roman"/>
          <w:color w:val="000000" w:themeColor="text1"/>
        </w:rPr>
      </w:pPr>
      <w:r w:rsidRPr="002B0EA6">
        <w:rPr>
          <w:rFonts w:ascii="Times New Roman" w:hAnsi="Times New Roman" w:cs="Times New Roman"/>
          <w:color w:val="000000" w:themeColor="text1"/>
        </w:rPr>
        <w:t xml:space="preserve">Assaults against journalists have also been recorded. The National Journalists Association </w:t>
      </w:r>
      <w:r w:rsidRPr="002B0EA6">
        <w:rPr>
          <w:rFonts w:ascii="Times New Roman" w:hAnsi="Times New Roman" w:cs="Times New Roman"/>
          <w:i/>
          <w:iCs/>
          <w:color w:val="000000" w:themeColor="text1"/>
        </w:rPr>
        <w:t xml:space="preserve">(Colegio Nacional de </w:t>
      </w:r>
      <w:proofErr w:type="spellStart"/>
      <w:r w:rsidRPr="002B0EA6">
        <w:rPr>
          <w:rFonts w:ascii="Times New Roman" w:hAnsi="Times New Roman" w:cs="Times New Roman"/>
          <w:i/>
          <w:iCs/>
          <w:color w:val="000000" w:themeColor="text1"/>
        </w:rPr>
        <w:t>Periodistas</w:t>
      </w:r>
      <w:proofErr w:type="spellEnd"/>
      <w:r w:rsidRPr="002B0EA6">
        <w:rPr>
          <w:rFonts w:ascii="Times New Roman" w:hAnsi="Times New Roman" w:cs="Times New Roman"/>
          <w:color w:val="000000" w:themeColor="text1"/>
        </w:rPr>
        <w:t>) reported several acts of violence against the press on election day. According to this association, reporters were denied access to voting centers in at least 25 instances; in another five, they were required to erase recorded materials; and in another two</w:t>
      </w:r>
      <w:r w:rsidR="00F6368E">
        <w:rPr>
          <w:rFonts w:ascii="Times New Roman" w:hAnsi="Times New Roman" w:cs="Times New Roman"/>
          <w:color w:val="000000" w:themeColor="text1"/>
        </w:rPr>
        <w:t xml:space="preserve"> instances</w:t>
      </w:r>
      <w:r w:rsidRPr="002B0EA6">
        <w:rPr>
          <w:rFonts w:ascii="Times New Roman" w:hAnsi="Times New Roman" w:cs="Times New Roman"/>
          <w:color w:val="000000" w:themeColor="text1"/>
        </w:rPr>
        <w:t>, attempts were made to confiscate their equipment. The association also reported three threats, two incidents of harassment, and one arbitrary detention.</w:t>
      </w:r>
      <w:r w:rsidR="00063C72">
        <w:rPr>
          <w:rFonts w:ascii="Times New Roman" w:hAnsi="Times New Roman" w:cs="Times New Roman"/>
          <w:color w:val="000000" w:themeColor="text1"/>
        </w:rPr>
        <w:t xml:space="preserve"> </w:t>
      </w:r>
    </w:p>
    <w:p w14:paraId="5C8B3101" w14:textId="77777777" w:rsidR="00202C0C" w:rsidRDefault="00202C0C" w:rsidP="0031489F">
      <w:pPr>
        <w:pStyle w:val="NormalWeb"/>
        <w:jc w:val="both"/>
      </w:pPr>
      <w:r>
        <w:rPr>
          <w:rFonts w:ascii="TimesNewRomanPS" w:hAnsi="TimesNewRomanPS"/>
          <w:b/>
          <w:bCs/>
          <w:i/>
          <w:iCs/>
        </w:rPr>
        <w:t xml:space="preserve">Questions for Consideration: </w:t>
      </w:r>
    </w:p>
    <w:p w14:paraId="462BC7B7" w14:textId="63E3335A" w:rsidR="00C73B48" w:rsidRDefault="00C73B48" w:rsidP="00C73B48">
      <w:pPr>
        <w:spacing w:before="100" w:beforeAutospacing="1" w:after="100" w:afterAutospacing="1"/>
        <w:rPr>
          <w:rFonts w:ascii="TimesNewRomanPS" w:eastAsia="Times New Roman" w:hAnsi="TimesNewRomanPS" w:cs="Times New Roman"/>
          <w:b/>
          <w:bCs/>
          <w:i/>
          <w:iCs/>
        </w:rPr>
      </w:pPr>
      <w:r w:rsidRPr="00C73B48">
        <w:rPr>
          <w:rFonts w:ascii="TimesNewRomanPS" w:eastAsia="Times New Roman" w:hAnsi="TimesNewRomanPS" w:cs="Times New Roman"/>
          <w:b/>
          <w:bCs/>
          <w:i/>
          <w:iCs/>
        </w:rPr>
        <w:t xml:space="preserve">How will the </w:t>
      </w:r>
      <w:r>
        <w:rPr>
          <w:rFonts w:ascii="TimesNewRomanPS" w:eastAsia="Times New Roman" w:hAnsi="TimesNewRomanPS" w:cs="Times New Roman"/>
          <w:b/>
          <w:bCs/>
          <w:i/>
          <w:iCs/>
        </w:rPr>
        <w:t>Bolivarian Republic of Venezuela</w:t>
      </w:r>
      <w:r w:rsidRPr="00C73B48">
        <w:rPr>
          <w:rFonts w:ascii="TimesNewRomanPS" w:eastAsia="Times New Roman" w:hAnsi="TimesNewRomanPS" w:cs="Times New Roman"/>
          <w:b/>
          <w:bCs/>
          <w:i/>
          <w:iCs/>
        </w:rPr>
        <w:t xml:space="preserve"> ensure a free media environment, that is conducive to the conduct of genuine elections? </w:t>
      </w:r>
    </w:p>
    <w:p w14:paraId="73203F3E" w14:textId="7EA64907" w:rsidR="00202C0C" w:rsidRDefault="00063C72" w:rsidP="00DD2DCD">
      <w:pPr>
        <w:spacing w:before="100" w:beforeAutospacing="1" w:after="100" w:afterAutospacing="1"/>
      </w:pPr>
      <w:r w:rsidRPr="00014D13">
        <w:rPr>
          <w:rFonts w:ascii="TimesNewRomanPS" w:eastAsia="Times New Roman" w:hAnsi="TimesNewRomanPS" w:cs="Times New Roman"/>
          <w:b/>
          <w:bCs/>
          <w:i/>
          <w:iCs/>
        </w:rPr>
        <w:t>What steps can the government take</w:t>
      </w:r>
      <w:r>
        <w:rPr>
          <w:rFonts w:ascii="TimesNewRomanPS" w:eastAsia="Times New Roman" w:hAnsi="TimesNewRomanPS" w:cs="Times New Roman"/>
          <w:b/>
          <w:bCs/>
          <w:i/>
          <w:iCs/>
        </w:rPr>
        <w:t xml:space="preserve"> to</w:t>
      </w:r>
      <w:r w:rsidRPr="00014D13">
        <w:rPr>
          <w:rFonts w:ascii="TimesNewRomanPS" w:eastAsia="Times New Roman" w:hAnsi="TimesNewRomanPS" w:cs="Times New Roman"/>
          <w:b/>
          <w:bCs/>
          <w:i/>
          <w:iCs/>
        </w:rPr>
        <w:t xml:space="preserve"> </w:t>
      </w:r>
      <w:r>
        <w:rPr>
          <w:rFonts w:ascii="TimesNewRomanPS" w:eastAsia="Times New Roman" w:hAnsi="TimesNewRomanPS" w:cs="Times New Roman"/>
          <w:b/>
          <w:bCs/>
          <w:i/>
          <w:iCs/>
        </w:rPr>
        <w:t xml:space="preserve">guarantee that CONATEL’s authority will not trump constitutional rights like freedom of expression? </w:t>
      </w:r>
    </w:p>
    <w:p w14:paraId="57FC1D41" w14:textId="77777777" w:rsidR="00B65E1D" w:rsidRPr="003B0A54" w:rsidRDefault="00B65E1D" w:rsidP="00B65E1D">
      <w:pPr>
        <w:pStyle w:val="NormalWeb"/>
        <w:jc w:val="both"/>
        <w:rPr>
          <w:color w:val="595959"/>
          <w:sz w:val="28"/>
          <w:szCs w:val="28"/>
        </w:rPr>
      </w:pPr>
      <w:r w:rsidRPr="003B0A54">
        <w:rPr>
          <w:color w:val="595959"/>
          <w:sz w:val="28"/>
          <w:szCs w:val="28"/>
        </w:rPr>
        <w:t xml:space="preserve">Article 3: Equality Between Men and Women </w:t>
      </w:r>
    </w:p>
    <w:p w14:paraId="7DFB307C" w14:textId="77777777" w:rsidR="00B65E1D" w:rsidRDefault="00B65E1D" w:rsidP="00B65E1D">
      <w:pPr>
        <w:pStyle w:val="NormalWeb"/>
        <w:jc w:val="both"/>
      </w:pPr>
      <w:r w:rsidRPr="006D7EC2">
        <w:rPr>
          <w:color w:val="000000"/>
          <w:shd w:val="clear" w:color="auto" w:fill="FFFFFF"/>
        </w:rPr>
        <w:t xml:space="preserve">Article 21 of the </w:t>
      </w:r>
      <w:r>
        <w:rPr>
          <w:color w:val="000000"/>
          <w:shd w:val="clear" w:color="auto" w:fill="FFFFFF"/>
        </w:rPr>
        <w:t xml:space="preserve">Venezuelan </w:t>
      </w:r>
      <w:r w:rsidRPr="006D7EC2">
        <w:rPr>
          <w:color w:val="000000"/>
          <w:shd w:val="clear" w:color="auto" w:fill="FFFFFF"/>
        </w:rPr>
        <w:t>constitution prohibits discrimination based on sex</w:t>
      </w:r>
      <w:r>
        <w:rPr>
          <w:color w:val="000000"/>
          <w:shd w:val="clear" w:color="auto" w:fill="FFFFFF"/>
        </w:rPr>
        <w:t>. T</w:t>
      </w:r>
      <w:r>
        <w:t>he State</w:t>
      </w:r>
      <w:r w:rsidRPr="006D7EC2">
        <w:t xml:space="preserve"> has </w:t>
      </w:r>
      <w:r>
        <w:t xml:space="preserve">also </w:t>
      </w:r>
      <w:r w:rsidRPr="006D7EC2">
        <w:t xml:space="preserve">ratified </w:t>
      </w:r>
      <w:r>
        <w:t xml:space="preserve">several relevant human rights </w:t>
      </w:r>
      <w:r w:rsidRPr="006D7EC2">
        <w:t>treaties</w:t>
      </w:r>
      <w:r>
        <w:t>, including</w:t>
      </w:r>
      <w:r w:rsidRPr="006D7EC2">
        <w:t xml:space="preserve"> the Convention on the Elimination of All </w:t>
      </w:r>
      <w:r w:rsidRPr="006D7EC2">
        <w:lastRenderedPageBreak/>
        <w:t>Forms of Discrimination against Women (CEDAW) and its optional protocol</w:t>
      </w:r>
      <w:r>
        <w:t xml:space="preserve">. </w:t>
      </w:r>
      <w:r>
        <w:rPr>
          <w:color w:val="000000"/>
          <w:shd w:val="clear" w:color="auto" w:fill="FFFFFF"/>
        </w:rPr>
        <w:t>Despite this, women remain underrepresented in political life in Venezuela, occupying only 33% of the seats in parliament.</w:t>
      </w:r>
    </w:p>
    <w:p w14:paraId="287FF823" w14:textId="77777777" w:rsidR="00B65E1D" w:rsidRPr="00EA4CAF" w:rsidRDefault="00B65E1D" w:rsidP="00B65E1D">
      <w:pPr>
        <w:pStyle w:val="NormalWeb"/>
        <w:jc w:val="both"/>
      </w:pPr>
      <w:r>
        <w:t>There is no gender parity or gender quotas law in Venezuela. However, a</w:t>
      </w:r>
      <w:r>
        <w:t xml:space="preserve">s </w:t>
      </w:r>
      <w:r>
        <w:t>mentioned in the most recent State report,</w:t>
      </w:r>
      <w:r>
        <w:rPr>
          <w:rStyle w:val="FootnoteReference"/>
        </w:rPr>
        <w:footnoteReference w:id="8"/>
      </w:r>
      <w:r>
        <w:t xml:space="preserve"> the State Party takes policy measures to ensure more equal political participation of women. </w:t>
      </w:r>
      <w:r w:rsidRPr="006D7EC2">
        <w:t xml:space="preserve"> </w:t>
      </w:r>
      <w:r>
        <w:t>Over the years, t</w:t>
      </w:r>
      <w:r w:rsidRPr="006D7EC2">
        <w:t>he</w:t>
      </w:r>
      <w:r>
        <w:t xml:space="preserve"> National Electoral Council (</w:t>
      </w:r>
      <w:proofErr w:type="spellStart"/>
      <w:r w:rsidRPr="005050B5">
        <w:rPr>
          <w:i/>
          <w:iCs/>
        </w:rPr>
        <w:t>Consejo</w:t>
      </w:r>
      <w:proofErr w:type="spellEnd"/>
      <w:r w:rsidRPr="005050B5">
        <w:rPr>
          <w:i/>
          <w:iCs/>
        </w:rPr>
        <w:t xml:space="preserve"> Nacional Electoral,</w:t>
      </w:r>
      <w:r>
        <w:t xml:space="preserve"> </w:t>
      </w:r>
      <w:r w:rsidRPr="006D7EC2">
        <w:t>CNE</w:t>
      </w:r>
      <w:r>
        <w:t>)</w:t>
      </w:r>
      <w:r w:rsidRPr="006D7EC2">
        <w:t xml:space="preserve"> has issued </w:t>
      </w:r>
      <w:r>
        <w:t xml:space="preserve">various </w:t>
      </w:r>
      <w:r w:rsidRPr="006D7EC2">
        <w:t xml:space="preserve">regulations that seek </w:t>
      </w:r>
      <w:r>
        <w:t xml:space="preserve">to promote </w:t>
      </w:r>
      <w:r w:rsidRPr="006D7EC2">
        <w:t>parity in candidate lists at all levels of government</w:t>
      </w:r>
      <w:r>
        <w:t>, with</w:t>
      </w:r>
      <w:r>
        <w:t xml:space="preserve"> </w:t>
      </w:r>
      <w:r>
        <w:t>the most recent focusing on Equal and Alternate Composition of party lists.</w:t>
      </w:r>
      <w:r>
        <w:rPr>
          <w:rStyle w:val="FootnoteReference"/>
        </w:rPr>
        <w:footnoteReference w:id="9"/>
      </w:r>
      <w:r>
        <w:t xml:space="preserve"> </w:t>
      </w:r>
    </w:p>
    <w:p w14:paraId="505F308E" w14:textId="77777777" w:rsidR="00B65E1D" w:rsidRPr="001E71ED" w:rsidRDefault="00B65E1D" w:rsidP="00B65E1D">
      <w:pPr>
        <w:jc w:val="both"/>
        <w:rPr>
          <w:rFonts w:ascii="Times New Roman" w:hAnsi="Times New Roman" w:cs="Times New Roman"/>
        </w:rPr>
      </w:pPr>
      <w:r>
        <w:rPr>
          <w:rFonts w:ascii="Times New Roman" w:hAnsi="Times New Roman" w:cs="Times New Roman"/>
        </w:rPr>
        <w:t>However, enforcement of this regulation is lax.</w:t>
      </w:r>
      <w:r w:rsidRPr="006D7EC2">
        <w:rPr>
          <w:rFonts w:ascii="Times New Roman" w:hAnsi="Times New Roman" w:cs="Times New Roman"/>
        </w:rPr>
        <w:t xml:space="preserve"> The Carter Center </w:t>
      </w:r>
      <w:r>
        <w:rPr>
          <w:rFonts w:ascii="Times New Roman" w:hAnsi="Times New Roman" w:cs="Times New Roman"/>
        </w:rPr>
        <w:t>found</w:t>
      </w:r>
      <w:r w:rsidRPr="006D7EC2">
        <w:rPr>
          <w:rFonts w:ascii="Times New Roman" w:hAnsi="Times New Roman" w:cs="Times New Roman"/>
        </w:rPr>
        <w:t xml:space="preserve"> that candidate lists that did not meet the gender alternation requirement—where women were relegated to the end of lists in positions where they had little </w:t>
      </w:r>
      <w:r w:rsidRPr="00E01AF2">
        <w:rPr>
          <w:rFonts w:ascii="Times New Roman" w:hAnsi="Times New Roman" w:cs="Times New Roman"/>
        </w:rPr>
        <w:t xml:space="preserve">chance of being elected—were </w:t>
      </w:r>
      <w:r>
        <w:rPr>
          <w:rFonts w:ascii="Times New Roman" w:hAnsi="Times New Roman" w:cs="Times New Roman"/>
        </w:rPr>
        <w:t xml:space="preserve">nonetheless </w:t>
      </w:r>
      <w:r w:rsidRPr="00E01AF2">
        <w:rPr>
          <w:rFonts w:ascii="Times New Roman" w:hAnsi="Times New Roman" w:cs="Times New Roman"/>
        </w:rPr>
        <w:t xml:space="preserve">registered for the </w:t>
      </w:r>
      <w:r>
        <w:rPr>
          <w:rFonts w:ascii="Times New Roman" w:hAnsi="Times New Roman" w:cs="Times New Roman"/>
        </w:rPr>
        <w:t xml:space="preserve">2021 </w:t>
      </w:r>
      <w:r w:rsidRPr="00E01AF2">
        <w:rPr>
          <w:rFonts w:ascii="Times New Roman" w:hAnsi="Times New Roman" w:cs="Times New Roman"/>
        </w:rPr>
        <w:t>regional and local elections.</w:t>
      </w:r>
      <w:r w:rsidRPr="006D7EC2">
        <w:rPr>
          <w:rFonts w:ascii="Times New Roman" w:hAnsi="Times New Roman" w:cs="Times New Roman"/>
          <w:color w:val="000000"/>
          <w:shd w:val="clear" w:color="auto" w:fill="FFFFFF"/>
        </w:rPr>
        <w:t xml:space="preserve"> The CNE </w:t>
      </w:r>
      <w:r>
        <w:rPr>
          <w:rFonts w:ascii="Times New Roman" w:hAnsi="Times New Roman" w:cs="Times New Roman"/>
          <w:color w:val="000000"/>
          <w:shd w:val="clear" w:color="auto" w:fill="FFFFFF"/>
        </w:rPr>
        <w:t xml:space="preserve">registered such lists without formally changing its gender parity regulation. </w:t>
      </w:r>
      <w:r w:rsidRPr="006D7EC2">
        <w:rPr>
          <w:rFonts w:ascii="Times New Roman" w:hAnsi="Times New Roman" w:cs="Times New Roman"/>
          <w:color w:val="000000"/>
        </w:rPr>
        <w:t>Women constituted 51.4% of registered voters, and 49.44% of the candidates running for assemblies and councils were women</w:t>
      </w:r>
      <w:r>
        <w:rPr>
          <w:rFonts w:ascii="Times New Roman" w:hAnsi="Times New Roman" w:cs="Times New Roman"/>
          <w:color w:val="000000"/>
        </w:rPr>
        <w:t>. However,</w:t>
      </w:r>
      <w:r w:rsidRPr="00456973">
        <w:rPr>
          <w:rFonts w:ascii="Times New Roman" w:hAnsi="Times New Roman" w:cs="Times New Roman"/>
        </w:rPr>
        <w:t xml:space="preserve"> </w:t>
      </w:r>
      <w:r>
        <w:rPr>
          <w:rFonts w:ascii="Times New Roman" w:hAnsi="Times New Roman" w:cs="Times New Roman"/>
        </w:rPr>
        <w:t>w</w:t>
      </w:r>
      <w:r w:rsidRPr="006D7EC2">
        <w:rPr>
          <w:rFonts w:ascii="Times New Roman" w:hAnsi="Times New Roman" w:cs="Times New Roman"/>
        </w:rPr>
        <w:t xml:space="preserve">omen won fewer </w:t>
      </w:r>
      <w:r>
        <w:rPr>
          <w:rFonts w:ascii="Times New Roman" w:hAnsi="Times New Roman" w:cs="Times New Roman"/>
        </w:rPr>
        <w:t>regional and municipal</w:t>
      </w:r>
      <w:r w:rsidRPr="006D7EC2">
        <w:rPr>
          <w:rFonts w:ascii="Times New Roman" w:hAnsi="Times New Roman" w:cs="Times New Roman"/>
        </w:rPr>
        <w:t xml:space="preserve"> elected offices in the 2021 elections than in the 2017 elections. </w:t>
      </w:r>
    </w:p>
    <w:p w14:paraId="6ED68941" w14:textId="04D651B7" w:rsidR="00B65E1D" w:rsidRPr="001E71ED" w:rsidRDefault="00B65E1D" w:rsidP="00B65E1D">
      <w:pPr>
        <w:pStyle w:val="NormalWeb"/>
        <w:jc w:val="both"/>
      </w:pPr>
      <w:r w:rsidRPr="006D7EC2">
        <w:rPr>
          <w:color w:val="000000"/>
        </w:rPr>
        <w:t>Of a total of 2,730 candidates for the 335 mayoral pos</w:t>
      </w:r>
      <w:r>
        <w:rPr>
          <w:color w:val="000000"/>
        </w:rPr>
        <w:t>itions</w:t>
      </w:r>
      <w:r w:rsidRPr="006D7EC2">
        <w:rPr>
          <w:color w:val="000000"/>
        </w:rPr>
        <w:t>, 496 were women (18</w:t>
      </w:r>
      <w:r>
        <w:rPr>
          <w:color w:val="000000"/>
        </w:rPr>
        <w:t xml:space="preserve"> percent</w:t>
      </w:r>
      <w:r w:rsidRPr="006D7EC2">
        <w:rPr>
          <w:color w:val="000000"/>
        </w:rPr>
        <w:t>). Sixty were elected (18</w:t>
      </w:r>
      <w:r>
        <w:rPr>
          <w:color w:val="000000"/>
        </w:rPr>
        <w:t xml:space="preserve"> percent</w:t>
      </w:r>
      <w:r w:rsidRPr="006D7EC2">
        <w:rPr>
          <w:color w:val="000000"/>
        </w:rPr>
        <w:t xml:space="preserve"> of mayoral posts</w:t>
      </w:r>
      <w:r>
        <w:rPr>
          <w:color w:val="000000"/>
        </w:rPr>
        <w:t xml:space="preserve"> are now filled by women</w:t>
      </w:r>
      <w:r w:rsidRPr="006D7EC2">
        <w:rPr>
          <w:color w:val="000000"/>
        </w:rPr>
        <w:t xml:space="preserve">). A total of 183 candidates competed for the 23 governorships, 20 of whom were women, resulting in the election of </w:t>
      </w:r>
      <w:r>
        <w:rPr>
          <w:color w:val="000000"/>
        </w:rPr>
        <w:t>just</w:t>
      </w:r>
      <w:r w:rsidRPr="006D7EC2">
        <w:rPr>
          <w:color w:val="000000"/>
        </w:rPr>
        <w:t xml:space="preserve"> two female governors (8.7</w:t>
      </w:r>
      <w:r>
        <w:rPr>
          <w:color w:val="000000"/>
        </w:rPr>
        <w:t xml:space="preserve"> percent</w:t>
      </w:r>
      <w:r w:rsidRPr="006D7EC2">
        <w:rPr>
          <w:color w:val="000000"/>
        </w:rPr>
        <w:t xml:space="preserve">). </w:t>
      </w:r>
      <w:r>
        <w:t>T</w:t>
      </w:r>
      <w:r w:rsidRPr="006D7EC2">
        <w:t>he number of women elected as governor</w:t>
      </w:r>
      <w:r>
        <w:t>s</w:t>
      </w:r>
      <w:r w:rsidRPr="006D7EC2">
        <w:t xml:space="preserve"> </w:t>
      </w:r>
      <w:r>
        <w:t>in 2021 dropped</w:t>
      </w:r>
      <w:r w:rsidRPr="006D7EC2">
        <w:t xml:space="preserve"> by 40</w:t>
      </w:r>
      <w:r>
        <w:t xml:space="preserve"> percent when compared to 2017</w:t>
      </w:r>
      <w:r w:rsidRPr="006D7EC2">
        <w:t>, while the number of female mayors elected decreased by 16</w:t>
      </w:r>
      <w:r>
        <w:t xml:space="preserve"> percent</w:t>
      </w:r>
      <w:r w:rsidRPr="006D7EC2">
        <w:t>.</w:t>
      </w:r>
    </w:p>
    <w:p w14:paraId="375C825E" w14:textId="77777777" w:rsidR="00B65E1D" w:rsidRDefault="00B65E1D" w:rsidP="00B65E1D">
      <w:pPr>
        <w:pStyle w:val="NormalWeb"/>
        <w:jc w:val="both"/>
      </w:pPr>
      <w:r>
        <w:rPr>
          <w:rFonts w:ascii="TimesNewRomanPS" w:hAnsi="TimesNewRomanPS"/>
          <w:b/>
          <w:bCs/>
          <w:i/>
          <w:iCs/>
        </w:rPr>
        <w:t xml:space="preserve">Questions for Consideration: </w:t>
      </w:r>
    </w:p>
    <w:p w14:paraId="73021E72" w14:textId="77777777" w:rsidR="00B65E1D" w:rsidRPr="001E71ED" w:rsidRDefault="00B65E1D" w:rsidP="00B65E1D">
      <w:pPr>
        <w:spacing w:before="100" w:beforeAutospacing="1" w:after="100" w:afterAutospacing="1"/>
        <w:rPr>
          <w:rFonts w:ascii="Times New Roman" w:eastAsia="Times New Roman" w:hAnsi="Times New Roman" w:cs="Times New Roman"/>
        </w:rPr>
      </w:pPr>
      <w:r w:rsidRPr="001E71ED">
        <w:rPr>
          <w:rFonts w:ascii="TimesNewRomanPS" w:eastAsia="Times New Roman" w:hAnsi="TimesNewRomanPS" w:cs="Times New Roman"/>
          <w:b/>
          <w:bCs/>
          <w:i/>
          <w:iCs/>
        </w:rPr>
        <w:t xml:space="preserve">What specific steps will </w:t>
      </w:r>
      <w:r>
        <w:rPr>
          <w:rFonts w:ascii="TimesNewRomanPS" w:eastAsia="Times New Roman" w:hAnsi="TimesNewRomanPS" w:cs="Times New Roman"/>
          <w:b/>
          <w:bCs/>
          <w:i/>
          <w:iCs/>
        </w:rPr>
        <w:t>the Bolivarian Republic of Venezuela</w:t>
      </w:r>
      <w:r w:rsidRPr="001E71ED">
        <w:rPr>
          <w:rFonts w:ascii="TimesNewRomanPS" w:eastAsia="Times New Roman" w:hAnsi="TimesNewRomanPS" w:cs="Times New Roman"/>
          <w:b/>
          <w:bCs/>
          <w:i/>
          <w:iCs/>
        </w:rPr>
        <w:t xml:space="preserve"> take to increase women’s representation in decision</w:t>
      </w:r>
      <w:r>
        <w:rPr>
          <w:rFonts w:ascii="TimesNewRomanPS" w:eastAsia="Times New Roman" w:hAnsi="TimesNewRomanPS" w:cs="Times New Roman"/>
          <w:b/>
          <w:bCs/>
          <w:i/>
          <w:iCs/>
        </w:rPr>
        <w:t xml:space="preserve"> making so they can enjoy equal political rights</w:t>
      </w:r>
      <w:r w:rsidRPr="001E71ED">
        <w:rPr>
          <w:rFonts w:ascii="TimesNewRomanPS" w:eastAsia="Times New Roman" w:hAnsi="TimesNewRomanPS" w:cs="Times New Roman"/>
          <w:b/>
          <w:bCs/>
          <w:i/>
          <w:iCs/>
        </w:rPr>
        <w:t xml:space="preserve">? </w:t>
      </w:r>
    </w:p>
    <w:p w14:paraId="3356F480" w14:textId="77777777" w:rsidR="00B65E1D" w:rsidRPr="001E71ED" w:rsidRDefault="00B65E1D" w:rsidP="00B65E1D">
      <w:pPr>
        <w:jc w:val="both"/>
        <w:rPr>
          <w:rFonts w:ascii="Times New Roman" w:hAnsi="Times New Roman" w:cs="Times New Roman"/>
          <w:b/>
          <w:bCs/>
          <w:i/>
          <w:iCs/>
        </w:rPr>
      </w:pPr>
      <w:r w:rsidRPr="001E71ED">
        <w:rPr>
          <w:rFonts w:ascii="TimesNewRomanPS" w:eastAsia="Times New Roman" w:hAnsi="TimesNewRomanPS" w:cs="Times New Roman"/>
          <w:b/>
          <w:bCs/>
          <w:i/>
          <w:iCs/>
        </w:rPr>
        <w:t xml:space="preserve">What specific steps will </w:t>
      </w:r>
      <w:r w:rsidRPr="00456973">
        <w:rPr>
          <w:rFonts w:ascii="TimesNewRomanPS" w:eastAsia="Times New Roman" w:hAnsi="TimesNewRomanPS" w:cs="Times New Roman"/>
          <w:b/>
          <w:bCs/>
          <w:i/>
          <w:iCs/>
        </w:rPr>
        <w:t>the Bolivarian Republic of Venezuela</w:t>
      </w:r>
      <w:r w:rsidRPr="001E71ED">
        <w:rPr>
          <w:rFonts w:ascii="TimesNewRomanPS" w:eastAsia="Times New Roman" w:hAnsi="TimesNewRomanPS" w:cs="Times New Roman"/>
          <w:b/>
          <w:bCs/>
          <w:i/>
          <w:iCs/>
        </w:rPr>
        <w:t xml:space="preserve"> take </w:t>
      </w:r>
      <w:r w:rsidRPr="00456973">
        <w:rPr>
          <w:rFonts w:ascii="TimesNewRomanPS" w:eastAsia="Times New Roman" w:hAnsi="TimesNewRomanPS" w:cs="Times New Roman"/>
          <w:b/>
          <w:bCs/>
          <w:i/>
          <w:iCs/>
        </w:rPr>
        <w:t xml:space="preserve">to </w:t>
      </w:r>
      <w:r>
        <w:rPr>
          <w:rFonts w:ascii="TimesNewRomanPS" w:eastAsia="Times New Roman" w:hAnsi="TimesNewRomanPS" w:cs="Times New Roman"/>
          <w:b/>
          <w:bCs/>
          <w:i/>
          <w:iCs/>
        </w:rPr>
        <w:t>ensure</w:t>
      </w:r>
      <w:r w:rsidRPr="00456973">
        <w:rPr>
          <w:rFonts w:ascii="TimesNewRomanPS" w:eastAsia="Times New Roman" w:hAnsi="TimesNewRomanPS" w:cs="Times New Roman"/>
          <w:b/>
          <w:bCs/>
          <w:i/>
          <w:iCs/>
        </w:rPr>
        <w:t xml:space="preserve"> </w:t>
      </w:r>
      <w:r w:rsidRPr="00456973">
        <w:rPr>
          <w:rFonts w:ascii="TimesNewRomanPS" w:eastAsia="Times New Roman" w:hAnsi="TimesNewRomanPS" w:cs="Times New Roman"/>
          <w:b/>
          <w:bCs/>
          <w:i/>
          <w:iCs/>
        </w:rPr>
        <w:t xml:space="preserve">that men and women have </w:t>
      </w:r>
      <w:r>
        <w:rPr>
          <w:rFonts w:ascii="TimesNewRomanPS" w:eastAsia="Times New Roman" w:hAnsi="TimesNewRomanPS" w:cs="Times New Roman"/>
          <w:b/>
          <w:bCs/>
          <w:i/>
          <w:iCs/>
        </w:rPr>
        <w:t>equal</w:t>
      </w:r>
      <w:r w:rsidRPr="00456973">
        <w:rPr>
          <w:rFonts w:ascii="TimesNewRomanPS" w:eastAsia="Times New Roman" w:hAnsi="TimesNewRomanPS" w:cs="Times New Roman"/>
          <w:b/>
          <w:bCs/>
          <w:i/>
          <w:iCs/>
        </w:rPr>
        <w:t xml:space="preserve"> </w:t>
      </w:r>
      <w:r w:rsidRPr="00456973">
        <w:rPr>
          <w:rFonts w:ascii="TimesNewRomanPS" w:eastAsia="Times New Roman" w:hAnsi="TimesNewRomanPS" w:cs="Times New Roman"/>
          <w:b/>
          <w:bCs/>
          <w:i/>
          <w:iCs/>
        </w:rPr>
        <w:t xml:space="preserve">opportunities to </w:t>
      </w:r>
      <w:r>
        <w:rPr>
          <w:rFonts w:ascii="TimesNewRomanPS" w:eastAsia="Times New Roman" w:hAnsi="TimesNewRomanPS" w:cs="Times New Roman"/>
          <w:b/>
          <w:bCs/>
          <w:i/>
          <w:iCs/>
        </w:rPr>
        <w:t>compete</w:t>
      </w:r>
      <w:r w:rsidRPr="00456973">
        <w:rPr>
          <w:rFonts w:ascii="TimesNewRomanPS" w:eastAsia="Times New Roman" w:hAnsi="TimesNewRomanPS" w:cs="Times New Roman"/>
          <w:b/>
          <w:bCs/>
          <w:i/>
          <w:iCs/>
        </w:rPr>
        <w:t xml:space="preserve"> </w:t>
      </w:r>
      <w:r>
        <w:rPr>
          <w:rFonts w:ascii="TimesNewRomanPS" w:eastAsia="Times New Roman" w:hAnsi="TimesNewRomanPS" w:cs="Times New Roman"/>
          <w:b/>
          <w:bCs/>
          <w:i/>
          <w:iCs/>
        </w:rPr>
        <w:t>for</w:t>
      </w:r>
      <w:r w:rsidRPr="00456973">
        <w:rPr>
          <w:rFonts w:ascii="TimesNewRomanPS" w:eastAsia="Times New Roman" w:hAnsi="TimesNewRomanPS" w:cs="Times New Roman"/>
          <w:b/>
          <w:bCs/>
          <w:i/>
          <w:iCs/>
        </w:rPr>
        <w:t xml:space="preserve"> office on a level playing field</w:t>
      </w:r>
      <w:r>
        <w:rPr>
          <w:rFonts w:ascii="TimesNewRomanPS" w:eastAsia="Times New Roman" w:hAnsi="TimesNewRomanPS" w:cs="Times New Roman"/>
          <w:b/>
          <w:bCs/>
          <w:i/>
          <w:iCs/>
        </w:rPr>
        <w:t>?</w:t>
      </w:r>
      <w:r w:rsidRPr="00456973" w:rsidDel="001A2B45">
        <w:rPr>
          <w:rFonts w:ascii="Times New Roman" w:hAnsi="Times New Roman" w:cs="Times New Roman"/>
          <w:b/>
          <w:bCs/>
          <w:i/>
          <w:iCs/>
        </w:rPr>
        <w:t xml:space="preserve"> </w:t>
      </w:r>
      <w:r>
        <w:rPr>
          <w:rFonts w:ascii="TimesNewRomanPS" w:eastAsia="Times New Roman" w:hAnsi="TimesNewRomanPS" w:cs="Times New Roman"/>
          <w:b/>
          <w:bCs/>
          <w:i/>
          <w:iCs/>
        </w:rPr>
        <w:t>What steps will the</w:t>
      </w:r>
      <w:r w:rsidRPr="00EF613B">
        <w:rPr>
          <w:rFonts w:ascii="TimesNewRomanPS" w:eastAsia="Times New Roman" w:hAnsi="TimesNewRomanPS" w:cs="Times New Roman"/>
          <w:b/>
          <w:bCs/>
          <w:i/>
          <w:iCs/>
        </w:rPr>
        <w:t xml:space="preserve"> National Electoral Council (</w:t>
      </w:r>
      <w:proofErr w:type="spellStart"/>
      <w:r w:rsidRPr="00EF613B">
        <w:rPr>
          <w:rFonts w:ascii="TimesNewRomanPS" w:eastAsia="Times New Roman" w:hAnsi="TimesNewRomanPS" w:cs="Times New Roman"/>
          <w:b/>
          <w:bCs/>
          <w:i/>
          <w:iCs/>
        </w:rPr>
        <w:t>Consejo</w:t>
      </w:r>
      <w:proofErr w:type="spellEnd"/>
      <w:r w:rsidRPr="00EF613B">
        <w:rPr>
          <w:rFonts w:ascii="TimesNewRomanPS" w:eastAsia="Times New Roman" w:hAnsi="TimesNewRomanPS" w:cs="Times New Roman"/>
          <w:b/>
          <w:bCs/>
          <w:i/>
          <w:iCs/>
        </w:rPr>
        <w:t xml:space="preserve"> Nacional Electoral, CNE)</w:t>
      </w:r>
      <w:r>
        <w:rPr>
          <w:rFonts w:ascii="TimesNewRomanPS" w:eastAsia="Times New Roman" w:hAnsi="TimesNewRomanPS" w:cs="Times New Roman"/>
          <w:b/>
          <w:bCs/>
          <w:i/>
          <w:iCs/>
        </w:rPr>
        <w:t xml:space="preserve"> take to ensure compliance with its gender parity and alternate composition regulations? </w:t>
      </w:r>
    </w:p>
    <w:p w14:paraId="0460391D" w14:textId="4D803F11" w:rsidR="000D373C" w:rsidRDefault="000D373C" w:rsidP="0031489F">
      <w:pPr>
        <w:pStyle w:val="NormalWeb"/>
        <w:jc w:val="both"/>
      </w:pPr>
    </w:p>
    <w:p w14:paraId="309D1581" w14:textId="6864C2CA" w:rsidR="000D373C" w:rsidRDefault="000D373C" w:rsidP="0031489F">
      <w:pPr>
        <w:jc w:val="both"/>
      </w:pPr>
    </w:p>
    <w:p w14:paraId="7C91A788" w14:textId="078ED3E4" w:rsidR="000D373C" w:rsidRDefault="000D373C" w:rsidP="0031489F">
      <w:pPr>
        <w:jc w:val="both"/>
      </w:pPr>
    </w:p>
    <w:sectPr w:rsidR="000D373C">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14AD3" w14:textId="77777777" w:rsidR="0075389A" w:rsidRDefault="0075389A" w:rsidP="00893340">
      <w:r>
        <w:separator/>
      </w:r>
    </w:p>
  </w:endnote>
  <w:endnote w:type="continuationSeparator" w:id="0">
    <w:p w14:paraId="64E5D24E" w14:textId="77777777" w:rsidR="0075389A" w:rsidRDefault="0075389A" w:rsidP="00893340">
      <w:r>
        <w:continuationSeparator/>
      </w:r>
    </w:p>
  </w:endnote>
  <w:endnote w:type="continuationNotice" w:id="1">
    <w:p w14:paraId="2A79CE12" w14:textId="77777777" w:rsidR="0075389A" w:rsidRDefault="007538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 w:name="TimesNewRomanPS">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B39A" w14:textId="60C8704F" w:rsidR="0005079D" w:rsidRDefault="0005079D" w:rsidP="00630B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F407607" w14:textId="77777777" w:rsidR="0005079D" w:rsidRDefault="00050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230769"/>
      <w:docPartObj>
        <w:docPartGallery w:val="Page Numbers (Bottom of Page)"/>
        <w:docPartUnique/>
      </w:docPartObj>
    </w:sdtPr>
    <w:sdtEndPr>
      <w:rPr>
        <w:rStyle w:val="PageNumber"/>
      </w:rPr>
    </w:sdtEndPr>
    <w:sdtContent>
      <w:p w14:paraId="228F38BF" w14:textId="0D49B067" w:rsidR="0005079D" w:rsidRDefault="0005079D" w:rsidP="00630B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D3B338" w14:textId="77777777" w:rsidR="0005079D" w:rsidRDefault="0005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800BB" w14:textId="77777777" w:rsidR="0075389A" w:rsidRDefault="0075389A" w:rsidP="00893340">
      <w:r>
        <w:separator/>
      </w:r>
    </w:p>
  </w:footnote>
  <w:footnote w:type="continuationSeparator" w:id="0">
    <w:p w14:paraId="1BEB0A6F" w14:textId="77777777" w:rsidR="0075389A" w:rsidRDefault="0075389A" w:rsidP="00893340">
      <w:r>
        <w:continuationSeparator/>
      </w:r>
    </w:p>
  </w:footnote>
  <w:footnote w:type="continuationNotice" w:id="1">
    <w:p w14:paraId="38443ACD" w14:textId="77777777" w:rsidR="0075389A" w:rsidRDefault="0075389A"/>
  </w:footnote>
  <w:footnote w:id="2">
    <w:p w14:paraId="2C3A8E68" w14:textId="77777777" w:rsidR="00477ACB" w:rsidRPr="003B0A54" w:rsidRDefault="00477ACB" w:rsidP="00477ACB">
      <w:pPr>
        <w:pStyle w:val="FootnoteText"/>
        <w:rPr>
          <w:rFonts w:asciiTheme="majorBidi" w:hAnsiTheme="majorBidi" w:cstheme="majorBidi"/>
        </w:rPr>
      </w:pPr>
      <w:r w:rsidRPr="003B0A54">
        <w:rPr>
          <w:rStyle w:val="FootnoteReference"/>
          <w:rFonts w:asciiTheme="majorBidi" w:hAnsiTheme="majorBidi" w:cstheme="majorBidi"/>
        </w:rPr>
        <w:footnoteRef/>
      </w:r>
      <w:r w:rsidRPr="003B0A54">
        <w:rPr>
          <w:rFonts w:asciiTheme="majorBidi" w:hAnsiTheme="majorBidi" w:cstheme="majorBidi"/>
        </w:rPr>
        <w:t xml:space="preserve"> </w:t>
      </w:r>
      <w:r w:rsidRPr="003B0A54">
        <w:rPr>
          <w:rFonts w:asciiTheme="majorBidi" w:hAnsiTheme="majorBidi" w:cstheme="majorBidi"/>
          <w:color w:val="000000" w:themeColor="text1"/>
        </w:rPr>
        <w:t>Indigenous peoples constitute approximately 2.5% of Venezuela’s total population of 32.9 million.</w:t>
      </w:r>
    </w:p>
  </w:footnote>
  <w:footnote w:id="3">
    <w:p w14:paraId="5D75F73C" w14:textId="77777777" w:rsidR="00477ACB" w:rsidRPr="003B0A54" w:rsidRDefault="00477ACB" w:rsidP="00477ACB">
      <w:pPr>
        <w:pStyle w:val="FootnoteText"/>
        <w:jc w:val="both"/>
        <w:rPr>
          <w:rFonts w:asciiTheme="majorBidi" w:hAnsiTheme="majorBidi" w:cstheme="majorBidi"/>
        </w:rPr>
      </w:pPr>
      <w:r w:rsidRPr="003B0A54">
        <w:rPr>
          <w:rStyle w:val="FootnoteReference"/>
          <w:rFonts w:asciiTheme="majorBidi" w:hAnsiTheme="majorBidi" w:cstheme="majorBidi"/>
        </w:rPr>
        <w:footnoteRef/>
      </w:r>
      <w:r w:rsidRPr="003B0A54">
        <w:rPr>
          <w:rFonts w:asciiTheme="majorBidi" w:hAnsiTheme="majorBidi" w:cstheme="majorBidi"/>
        </w:rPr>
        <w:t xml:space="preserve"> Electoral Law, articles 174, 175, 176, 177, 178, 179, 180, 181, 182 and 186. </w:t>
      </w:r>
    </w:p>
  </w:footnote>
  <w:footnote w:id="4">
    <w:p w14:paraId="60A8EE4D" w14:textId="77777777" w:rsidR="00B65E1D" w:rsidRPr="003B0A54" w:rsidRDefault="00B65E1D" w:rsidP="00B65E1D">
      <w:pPr>
        <w:pStyle w:val="FootnoteText"/>
        <w:rPr>
          <w:rFonts w:asciiTheme="majorBidi" w:hAnsiTheme="majorBidi" w:cstheme="majorBidi"/>
        </w:rPr>
      </w:pPr>
      <w:r w:rsidRPr="003B0A54">
        <w:rPr>
          <w:rStyle w:val="FootnoteReference"/>
          <w:rFonts w:asciiTheme="majorBidi" w:hAnsiTheme="majorBidi" w:cstheme="majorBidi"/>
        </w:rPr>
        <w:footnoteRef/>
      </w:r>
      <w:r w:rsidRPr="003B0A54">
        <w:rPr>
          <w:rFonts w:asciiTheme="majorBidi" w:hAnsiTheme="majorBidi" w:cstheme="majorBidi"/>
        </w:rPr>
        <w:t xml:space="preserve"> See; https://www.infobae.com/en/2022/04/14/the-criminal-forum-denounced-that-there-are-240-political-prisoners-in-venezuela/</w:t>
      </w:r>
    </w:p>
  </w:footnote>
  <w:footnote w:id="5">
    <w:p w14:paraId="0A97AB07" w14:textId="77777777" w:rsidR="00893340" w:rsidRPr="00DD2DCD" w:rsidRDefault="00893340" w:rsidP="00893340">
      <w:pPr>
        <w:pStyle w:val="FootnoteText"/>
        <w:rPr>
          <w:rFonts w:asciiTheme="majorBidi" w:hAnsiTheme="majorBidi" w:cstheme="majorBidi"/>
        </w:rPr>
      </w:pPr>
      <w:r w:rsidRPr="00DD2DCD">
        <w:rPr>
          <w:rFonts w:asciiTheme="majorBidi" w:hAnsiTheme="majorBidi" w:cstheme="majorBidi"/>
        </w:rPr>
        <w:footnoteRef/>
      </w:r>
      <w:r w:rsidRPr="00DD2DCD">
        <w:rPr>
          <w:rFonts w:asciiTheme="majorBidi" w:hAnsiTheme="majorBidi" w:cstheme="majorBidi"/>
        </w:rPr>
        <w:t xml:space="preserve"> http://www.cne.gob.ve/web/normativa_electoral/reglamentos/Reglamento_General_LOPRE.pdf</w:t>
      </w:r>
    </w:p>
    <w:p w14:paraId="7788F1D3" w14:textId="77777777" w:rsidR="00893340" w:rsidRPr="00DD2DCD" w:rsidRDefault="00893340" w:rsidP="00893340">
      <w:pPr>
        <w:pStyle w:val="FootnoteText"/>
        <w:rPr>
          <w:rFonts w:asciiTheme="majorBidi" w:hAnsiTheme="majorBidi" w:cstheme="majorBidi"/>
        </w:rPr>
      </w:pPr>
      <w:r w:rsidRPr="00DD2DCD">
        <w:rPr>
          <w:rFonts w:asciiTheme="majorBidi" w:hAnsiTheme="majorBidi" w:cstheme="majorBidi"/>
        </w:rPr>
        <w:t>TITLE VI, ON ADVERTISING DURING THE ELECTION CAMPAIGN PERIOD.</w:t>
      </w:r>
    </w:p>
  </w:footnote>
  <w:footnote w:id="6">
    <w:p w14:paraId="5BB21407" w14:textId="77777777" w:rsidR="00893340" w:rsidRPr="00DD2DCD" w:rsidRDefault="00893340" w:rsidP="00893340">
      <w:pPr>
        <w:pStyle w:val="FootnoteText"/>
        <w:rPr>
          <w:rFonts w:asciiTheme="majorBidi" w:hAnsiTheme="majorBidi" w:cstheme="majorBidi"/>
        </w:rPr>
      </w:pPr>
      <w:r w:rsidRPr="00DD2DCD">
        <w:rPr>
          <w:rFonts w:asciiTheme="majorBidi" w:hAnsiTheme="majorBidi" w:cstheme="majorBidi"/>
        </w:rPr>
        <w:footnoteRef/>
      </w:r>
      <w:r w:rsidRPr="00DD2DCD">
        <w:rPr>
          <w:rFonts w:asciiTheme="majorBidi" w:hAnsiTheme="majorBidi" w:cstheme="majorBidi"/>
        </w:rPr>
        <w:t xml:space="preserve"> The Legal Framework for Communications in Venezuela, 1999-2019 (</w:t>
      </w:r>
      <w:r w:rsidRPr="00DD2DCD">
        <w:rPr>
          <w:rFonts w:asciiTheme="majorBidi" w:hAnsiTheme="majorBidi" w:cstheme="majorBidi"/>
          <w:i/>
          <w:iCs/>
        </w:rPr>
        <w:t xml:space="preserve">Marco Legal </w:t>
      </w:r>
      <w:proofErr w:type="spellStart"/>
      <w:r w:rsidRPr="00DD2DCD">
        <w:rPr>
          <w:rFonts w:asciiTheme="majorBidi" w:hAnsiTheme="majorBidi" w:cstheme="majorBidi"/>
          <w:i/>
          <w:iCs/>
        </w:rPr>
        <w:t>Comunicacional</w:t>
      </w:r>
      <w:proofErr w:type="spellEnd"/>
      <w:r w:rsidRPr="00DD2DCD">
        <w:rPr>
          <w:rFonts w:asciiTheme="majorBidi" w:hAnsiTheme="majorBidi" w:cstheme="majorBidi"/>
          <w:i/>
          <w:iCs/>
        </w:rPr>
        <w:t xml:space="preserve"> </w:t>
      </w:r>
      <w:proofErr w:type="spellStart"/>
      <w:r w:rsidRPr="00DD2DCD">
        <w:rPr>
          <w:rFonts w:asciiTheme="majorBidi" w:hAnsiTheme="majorBidi" w:cstheme="majorBidi"/>
          <w:i/>
          <w:iCs/>
        </w:rPr>
        <w:t>en</w:t>
      </w:r>
      <w:proofErr w:type="spellEnd"/>
      <w:r w:rsidRPr="00DD2DCD">
        <w:rPr>
          <w:rFonts w:asciiTheme="majorBidi" w:hAnsiTheme="majorBidi" w:cstheme="majorBidi"/>
          <w:i/>
          <w:iCs/>
        </w:rPr>
        <w:t xml:space="preserve"> Venezuela 1999-2019</w:t>
      </w:r>
      <w:r w:rsidRPr="00DD2DCD">
        <w:rPr>
          <w:rFonts w:asciiTheme="majorBidi" w:hAnsiTheme="majorBidi" w:cstheme="majorBidi"/>
        </w:rPr>
        <w:t xml:space="preserve">), </w:t>
      </w:r>
      <w:proofErr w:type="spellStart"/>
      <w:r w:rsidRPr="00DD2DCD">
        <w:rPr>
          <w:rFonts w:asciiTheme="majorBidi" w:hAnsiTheme="majorBidi" w:cstheme="majorBidi"/>
        </w:rPr>
        <w:t>Lupa</w:t>
      </w:r>
      <w:proofErr w:type="spellEnd"/>
      <w:r w:rsidRPr="00DD2DCD">
        <w:rPr>
          <w:rFonts w:asciiTheme="majorBidi" w:hAnsiTheme="majorBidi" w:cstheme="majorBidi"/>
        </w:rPr>
        <w:t xml:space="preserve"> </w:t>
      </w:r>
      <w:proofErr w:type="spellStart"/>
      <w:r w:rsidRPr="00DD2DCD">
        <w:rPr>
          <w:rFonts w:asciiTheme="majorBidi" w:hAnsiTheme="majorBidi" w:cstheme="majorBidi"/>
        </w:rPr>
        <w:t>Ininco</w:t>
      </w:r>
      <w:proofErr w:type="spellEnd"/>
      <w:r w:rsidRPr="00DD2DCD">
        <w:rPr>
          <w:rFonts w:asciiTheme="majorBidi" w:hAnsiTheme="majorBidi" w:cstheme="majorBidi"/>
        </w:rPr>
        <w:t xml:space="preserve">- Global Observatory for Communication and Democracy (GOCD): </w:t>
      </w:r>
      <w:hyperlink r:id="rId1" w:history="1">
        <w:r w:rsidRPr="00DD2DCD">
          <w:rPr>
            <w:rFonts w:asciiTheme="majorBidi" w:hAnsiTheme="majorBidi" w:cstheme="majorBidi"/>
          </w:rPr>
          <w:t>https://www.observademocracia.org/33666-2/</w:t>
        </w:r>
      </w:hyperlink>
    </w:p>
  </w:footnote>
  <w:footnote w:id="7">
    <w:p w14:paraId="41C503C1" w14:textId="2F405269" w:rsidR="00140DF8" w:rsidRPr="00DD2DCD" w:rsidRDefault="00140DF8">
      <w:pPr>
        <w:pStyle w:val="FootnoteText"/>
        <w:rPr>
          <w:rFonts w:asciiTheme="majorBidi" w:hAnsiTheme="majorBidi" w:cstheme="majorBidi"/>
        </w:rPr>
      </w:pPr>
      <w:r w:rsidRPr="00DD2DCD">
        <w:rPr>
          <w:rStyle w:val="FootnoteReference"/>
          <w:rFonts w:asciiTheme="majorBidi" w:hAnsiTheme="majorBidi" w:cstheme="majorBidi"/>
        </w:rPr>
        <w:footnoteRef/>
      </w:r>
      <w:r w:rsidRPr="00DD2DCD">
        <w:rPr>
          <w:rFonts w:asciiTheme="majorBidi" w:hAnsiTheme="majorBidi" w:cstheme="majorBidi"/>
        </w:rPr>
        <w:t xml:space="preserve"> The Article is known by the </w:t>
      </w:r>
      <w:r w:rsidRPr="00DD2DCD">
        <w:rPr>
          <w:rFonts w:asciiTheme="majorBidi" w:hAnsiTheme="majorBidi" w:cstheme="majorBidi"/>
          <w:color w:val="000000" w:themeColor="text1"/>
        </w:rPr>
        <w:t>acronym “</w:t>
      </w:r>
      <w:r w:rsidRPr="00DD2DCD">
        <w:rPr>
          <w:rFonts w:asciiTheme="majorBidi" w:hAnsiTheme="majorBidi" w:cstheme="majorBidi"/>
          <w:i/>
          <w:iCs/>
          <w:color w:val="000000" w:themeColor="text1"/>
        </w:rPr>
        <w:t>Ley RESORTE</w:t>
      </w:r>
      <w:r w:rsidRPr="00DD2DCD">
        <w:rPr>
          <w:rFonts w:asciiTheme="majorBidi" w:hAnsiTheme="majorBidi" w:cstheme="majorBidi"/>
          <w:color w:val="000000" w:themeColor="text1"/>
        </w:rPr>
        <w:t>” in Spanish</w:t>
      </w:r>
      <w:r w:rsidRPr="00DD2DCD">
        <w:rPr>
          <w:rFonts w:asciiTheme="majorBidi" w:hAnsiTheme="majorBidi" w:cstheme="majorBidi"/>
          <w:color w:val="000000" w:themeColor="text1"/>
        </w:rPr>
        <w:t>.</w:t>
      </w:r>
    </w:p>
  </w:footnote>
  <w:footnote w:id="8">
    <w:p w14:paraId="29EE9A5C" w14:textId="77777777" w:rsidR="00B65E1D" w:rsidRPr="003B0A54" w:rsidRDefault="00B65E1D" w:rsidP="00B65E1D">
      <w:pPr>
        <w:pStyle w:val="FootnoteText"/>
        <w:rPr>
          <w:rFonts w:asciiTheme="majorBidi" w:hAnsiTheme="majorBidi" w:cstheme="majorBidi"/>
        </w:rPr>
      </w:pPr>
      <w:r w:rsidRPr="003B0A54">
        <w:rPr>
          <w:rStyle w:val="FootnoteReference"/>
          <w:rFonts w:asciiTheme="majorBidi" w:hAnsiTheme="majorBidi" w:cstheme="majorBidi"/>
        </w:rPr>
        <w:footnoteRef/>
      </w:r>
      <w:r w:rsidRPr="003B0A54">
        <w:rPr>
          <w:rFonts w:asciiTheme="majorBidi" w:hAnsiTheme="majorBidi" w:cstheme="majorBidi"/>
        </w:rPr>
        <w:t xml:space="preserve">  Fifth Periodic Report Submitted by the Bolivarian Republic of Venezuela Under Article 40 of the Covenant, CCPR/C/VEN/5, (September 7, 2021), Paragraphs 41 and 42    </w:t>
      </w:r>
    </w:p>
  </w:footnote>
  <w:footnote w:id="9">
    <w:p w14:paraId="41A47651" w14:textId="77777777" w:rsidR="00B65E1D" w:rsidRPr="003B0A54" w:rsidRDefault="00B65E1D" w:rsidP="00B65E1D">
      <w:pPr>
        <w:pStyle w:val="FootnoteText"/>
        <w:rPr>
          <w:rFonts w:asciiTheme="majorBidi" w:hAnsiTheme="majorBidi" w:cstheme="majorBidi"/>
        </w:rPr>
      </w:pPr>
      <w:r w:rsidRPr="003B0A54">
        <w:rPr>
          <w:rStyle w:val="FootnoteReference"/>
          <w:rFonts w:asciiTheme="majorBidi" w:hAnsiTheme="majorBidi" w:cstheme="majorBidi"/>
        </w:rPr>
        <w:footnoteRef/>
      </w:r>
      <w:r w:rsidRPr="003B0A54">
        <w:rPr>
          <w:rFonts w:asciiTheme="majorBidi" w:hAnsiTheme="majorBidi" w:cstheme="majorBidi"/>
        </w:rPr>
        <w:t xml:space="preserve"> Special rules guaranteeing rights to political participation with gender parity and alternation of male and female state representatives and councilors in the 2021 regional and municipal elections (</w:t>
      </w:r>
      <w:proofErr w:type="spellStart"/>
      <w:r w:rsidRPr="003B0A54">
        <w:rPr>
          <w:rFonts w:asciiTheme="majorBidi" w:hAnsiTheme="majorBidi" w:cstheme="majorBidi"/>
        </w:rPr>
        <w:t>Reglamento</w:t>
      </w:r>
      <w:proofErr w:type="spellEnd"/>
      <w:r w:rsidRPr="003B0A54">
        <w:rPr>
          <w:rFonts w:asciiTheme="majorBidi" w:hAnsiTheme="majorBidi" w:cstheme="majorBidi"/>
        </w:rPr>
        <w:t xml:space="preserve"> especial para </w:t>
      </w:r>
      <w:proofErr w:type="spellStart"/>
      <w:r w:rsidRPr="003B0A54">
        <w:rPr>
          <w:rFonts w:asciiTheme="majorBidi" w:hAnsiTheme="majorBidi" w:cstheme="majorBidi"/>
        </w:rPr>
        <w:t>garantizar</w:t>
      </w:r>
      <w:proofErr w:type="spellEnd"/>
      <w:r w:rsidRPr="003B0A54">
        <w:rPr>
          <w:rFonts w:asciiTheme="majorBidi" w:hAnsiTheme="majorBidi" w:cstheme="majorBidi"/>
        </w:rPr>
        <w:t xml:space="preserve"> los derechos de la </w:t>
      </w:r>
      <w:proofErr w:type="spellStart"/>
      <w:r w:rsidRPr="003B0A54">
        <w:rPr>
          <w:rFonts w:asciiTheme="majorBidi" w:hAnsiTheme="majorBidi" w:cstheme="majorBidi"/>
        </w:rPr>
        <w:t>participación</w:t>
      </w:r>
      <w:proofErr w:type="spellEnd"/>
      <w:r w:rsidRPr="003B0A54">
        <w:rPr>
          <w:rFonts w:asciiTheme="majorBidi" w:hAnsiTheme="majorBidi" w:cstheme="majorBidi"/>
        </w:rPr>
        <w:t xml:space="preserve"> </w:t>
      </w:r>
      <w:proofErr w:type="spellStart"/>
      <w:r w:rsidRPr="003B0A54">
        <w:rPr>
          <w:rFonts w:asciiTheme="majorBidi" w:hAnsiTheme="majorBidi" w:cstheme="majorBidi"/>
        </w:rPr>
        <w:t>paritaria</w:t>
      </w:r>
      <w:proofErr w:type="spellEnd"/>
      <w:r w:rsidRPr="003B0A54">
        <w:rPr>
          <w:rFonts w:asciiTheme="majorBidi" w:hAnsiTheme="majorBidi" w:cstheme="majorBidi"/>
        </w:rPr>
        <w:t xml:space="preserve">, </w:t>
      </w:r>
      <w:proofErr w:type="spellStart"/>
      <w:r w:rsidRPr="003B0A54">
        <w:rPr>
          <w:rFonts w:asciiTheme="majorBidi" w:hAnsiTheme="majorBidi" w:cstheme="majorBidi"/>
        </w:rPr>
        <w:t>alterna</w:t>
      </w:r>
      <w:proofErr w:type="spellEnd"/>
      <w:r w:rsidRPr="003B0A54">
        <w:rPr>
          <w:rFonts w:asciiTheme="majorBidi" w:hAnsiTheme="majorBidi" w:cstheme="majorBidi"/>
        </w:rPr>
        <w:t xml:space="preserve"> y </w:t>
      </w:r>
      <w:proofErr w:type="spellStart"/>
      <w:r w:rsidRPr="003B0A54">
        <w:rPr>
          <w:rFonts w:asciiTheme="majorBidi" w:hAnsiTheme="majorBidi" w:cstheme="majorBidi"/>
        </w:rPr>
        <w:t>política</w:t>
      </w:r>
      <w:proofErr w:type="spellEnd"/>
      <w:r w:rsidRPr="003B0A54">
        <w:rPr>
          <w:rFonts w:asciiTheme="majorBidi" w:hAnsiTheme="majorBidi" w:cstheme="majorBidi"/>
        </w:rPr>
        <w:t xml:space="preserve"> de </w:t>
      </w:r>
      <w:proofErr w:type="spellStart"/>
      <w:r w:rsidRPr="003B0A54">
        <w:rPr>
          <w:rFonts w:asciiTheme="majorBidi" w:hAnsiTheme="majorBidi" w:cstheme="majorBidi"/>
        </w:rPr>
        <w:t>legisladoras</w:t>
      </w:r>
      <w:proofErr w:type="spellEnd"/>
      <w:r w:rsidRPr="003B0A54">
        <w:rPr>
          <w:rFonts w:asciiTheme="majorBidi" w:hAnsiTheme="majorBidi" w:cstheme="majorBidi"/>
        </w:rPr>
        <w:t xml:space="preserve"> o </w:t>
      </w:r>
      <w:proofErr w:type="spellStart"/>
      <w:r w:rsidRPr="003B0A54">
        <w:rPr>
          <w:rFonts w:asciiTheme="majorBidi" w:hAnsiTheme="majorBidi" w:cstheme="majorBidi"/>
        </w:rPr>
        <w:t>legisladores</w:t>
      </w:r>
      <w:proofErr w:type="spellEnd"/>
      <w:r w:rsidRPr="003B0A54">
        <w:rPr>
          <w:rFonts w:asciiTheme="majorBidi" w:hAnsiTheme="majorBidi" w:cstheme="majorBidi"/>
        </w:rPr>
        <w:t xml:space="preserve"> y </w:t>
      </w:r>
      <w:proofErr w:type="spellStart"/>
      <w:r w:rsidRPr="003B0A54">
        <w:rPr>
          <w:rFonts w:asciiTheme="majorBidi" w:hAnsiTheme="majorBidi" w:cstheme="majorBidi"/>
        </w:rPr>
        <w:t>concejalas</w:t>
      </w:r>
      <w:proofErr w:type="spellEnd"/>
      <w:r w:rsidRPr="003B0A54">
        <w:rPr>
          <w:rFonts w:asciiTheme="majorBidi" w:hAnsiTheme="majorBidi" w:cstheme="majorBidi"/>
        </w:rPr>
        <w:t xml:space="preserve"> o </w:t>
      </w:r>
      <w:proofErr w:type="spellStart"/>
      <w:r w:rsidRPr="003B0A54">
        <w:rPr>
          <w:rFonts w:asciiTheme="majorBidi" w:hAnsiTheme="majorBidi" w:cstheme="majorBidi"/>
        </w:rPr>
        <w:t>concejales</w:t>
      </w:r>
      <w:proofErr w:type="spellEnd"/>
      <w:r w:rsidRPr="003B0A54">
        <w:rPr>
          <w:rFonts w:asciiTheme="majorBidi" w:hAnsiTheme="majorBidi" w:cstheme="majorBidi"/>
        </w:rPr>
        <w:t xml:space="preserve"> </w:t>
      </w:r>
      <w:proofErr w:type="spellStart"/>
      <w:r w:rsidRPr="003B0A54">
        <w:rPr>
          <w:rFonts w:asciiTheme="majorBidi" w:hAnsiTheme="majorBidi" w:cstheme="majorBidi"/>
        </w:rPr>
        <w:t>en</w:t>
      </w:r>
      <w:proofErr w:type="spellEnd"/>
      <w:r w:rsidRPr="003B0A54">
        <w:rPr>
          <w:rFonts w:asciiTheme="majorBidi" w:hAnsiTheme="majorBidi" w:cstheme="majorBidi"/>
        </w:rPr>
        <w:t xml:space="preserve"> las </w:t>
      </w:r>
      <w:proofErr w:type="spellStart"/>
      <w:r w:rsidRPr="003B0A54">
        <w:rPr>
          <w:rFonts w:asciiTheme="majorBidi" w:hAnsiTheme="majorBidi" w:cstheme="majorBidi"/>
        </w:rPr>
        <w:t>elecciones</w:t>
      </w:r>
      <w:proofErr w:type="spellEnd"/>
      <w:r w:rsidRPr="003B0A54">
        <w:rPr>
          <w:rFonts w:asciiTheme="majorBidi" w:hAnsiTheme="majorBidi" w:cstheme="majorBidi"/>
        </w:rPr>
        <w:t xml:space="preserve"> </w:t>
      </w:r>
      <w:proofErr w:type="spellStart"/>
      <w:r w:rsidRPr="003B0A54">
        <w:rPr>
          <w:rFonts w:asciiTheme="majorBidi" w:hAnsiTheme="majorBidi" w:cstheme="majorBidi"/>
        </w:rPr>
        <w:t>regionales</w:t>
      </w:r>
      <w:proofErr w:type="spellEnd"/>
      <w:r w:rsidRPr="003B0A54">
        <w:rPr>
          <w:rFonts w:asciiTheme="majorBidi" w:hAnsiTheme="majorBidi" w:cstheme="majorBidi"/>
        </w:rPr>
        <w:t xml:space="preserve"> and </w:t>
      </w:r>
      <w:proofErr w:type="spellStart"/>
      <w:r w:rsidRPr="003B0A54">
        <w:rPr>
          <w:rFonts w:asciiTheme="majorBidi" w:hAnsiTheme="majorBidi" w:cstheme="majorBidi"/>
        </w:rPr>
        <w:t>municipales</w:t>
      </w:r>
      <w:proofErr w:type="spellEnd"/>
      <w:r w:rsidRPr="003B0A54">
        <w:rPr>
          <w:rFonts w:asciiTheme="majorBidi" w:hAnsiTheme="majorBidi" w:cstheme="majorBidi"/>
        </w:rPr>
        <w:t xml:space="preserve"> 2021) and instructions for implementing these rules.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C1443"/>
    <w:multiLevelType w:val="hybridMultilevel"/>
    <w:tmpl w:val="05C22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460392"/>
    <w:multiLevelType w:val="hybridMultilevel"/>
    <w:tmpl w:val="904A0C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73C"/>
    <w:rsid w:val="00001415"/>
    <w:rsid w:val="00002149"/>
    <w:rsid w:val="000024D2"/>
    <w:rsid w:val="00002CFC"/>
    <w:rsid w:val="00004E97"/>
    <w:rsid w:val="000060D5"/>
    <w:rsid w:val="000065F2"/>
    <w:rsid w:val="00014D13"/>
    <w:rsid w:val="0002318B"/>
    <w:rsid w:val="00043280"/>
    <w:rsid w:val="00044B62"/>
    <w:rsid w:val="00044C4A"/>
    <w:rsid w:val="0005079D"/>
    <w:rsid w:val="00054DD2"/>
    <w:rsid w:val="000615C6"/>
    <w:rsid w:val="0006201E"/>
    <w:rsid w:val="00063C72"/>
    <w:rsid w:val="000657F1"/>
    <w:rsid w:val="00074086"/>
    <w:rsid w:val="00081A39"/>
    <w:rsid w:val="0009337F"/>
    <w:rsid w:val="0009495E"/>
    <w:rsid w:val="00094A16"/>
    <w:rsid w:val="000A33D4"/>
    <w:rsid w:val="000C573A"/>
    <w:rsid w:val="000D1A51"/>
    <w:rsid w:val="000D373C"/>
    <w:rsid w:val="000D4200"/>
    <w:rsid w:val="000D57D4"/>
    <w:rsid w:val="000D6985"/>
    <w:rsid w:val="000E293A"/>
    <w:rsid w:val="001039B6"/>
    <w:rsid w:val="001053DD"/>
    <w:rsid w:val="00111BB7"/>
    <w:rsid w:val="00111BE9"/>
    <w:rsid w:val="00115FC7"/>
    <w:rsid w:val="001177DF"/>
    <w:rsid w:val="00124255"/>
    <w:rsid w:val="00136706"/>
    <w:rsid w:val="00140369"/>
    <w:rsid w:val="00140DF8"/>
    <w:rsid w:val="001426D9"/>
    <w:rsid w:val="00144968"/>
    <w:rsid w:val="001518D6"/>
    <w:rsid w:val="00153033"/>
    <w:rsid w:val="00156087"/>
    <w:rsid w:val="00161ED9"/>
    <w:rsid w:val="00164ED4"/>
    <w:rsid w:val="00165EF6"/>
    <w:rsid w:val="001663BE"/>
    <w:rsid w:val="001733BF"/>
    <w:rsid w:val="00174253"/>
    <w:rsid w:val="00185F1F"/>
    <w:rsid w:val="001A1E0F"/>
    <w:rsid w:val="001A2B45"/>
    <w:rsid w:val="001A344A"/>
    <w:rsid w:val="001A4635"/>
    <w:rsid w:val="001A5DB8"/>
    <w:rsid w:val="001A66EA"/>
    <w:rsid w:val="001B1AFB"/>
    <w:rsid w:val="001C4E23"/>
    <w:rsid w:val="001D1C88"/>
    <w:rsid w:val="001E4115"/>
    <w:rsid w:val="001E4876"/>
    <w:rsid w:val="001E6BC3"/>
    <w:rsid w:val="001E71ED"/>
    <w:rsid w:val="001F16B9"/>
    <w:rsid w:val="001F55A3"/>
    <w:rsid w:val="00202AEE"/>
    <w:rsid w:val="00202C0C"/>
    <w:rsid w:val="00205EEB"/>
    <w:rsid w:val="00211318"/>
    <w:rsid w:val="00236FBB"/>
    <w:rsid w:val="002415D2"/>
    <w:rsid w:val="0024171F"/>
    <w:rsid w:val="002624EE"/>
    <w:rsid w:val="00275C9E"/>
    <w:rsid w:val="00280877"/>
    <w:rsid w:val="002812EB"/>
    <w:rsid w:val="00287292"/>
    <w:rsid w:val="00293B6C"/>
    <w:rsid w:val="002A0B70"/>
    <w:rsid w:val="002A0F8F"/>
    <w:rsid w:val="002A2EDA"/>
    <w:rsid w:val="002A76B8"/>
    <w:rsid w:val="002A79FA"/>
    <w:rsid w:val="002B0EA6"/>
    <w:rsid w:val="002B3EC0"/>
    <w:rsid w:val="002B65C6"/>
    <w:rsid w:val="002C2B5B"/>
    <w:rsid w:val="002C3F3F"/>
    <w:rsid w:val="002C58C5"/>
    <w:rsid w:val="002D310B"/>
    <w:rsid w:val="002E0D4A"/>
    <w:rsid w:val="002E4853"/>
    <w:rsid w:val="002F40B2"/>
    <w:rsid w:val="002F45A5"/>
    <w:rsid w:val="002F6666"/>
    <w:rsid w:val="00313097"/>
    <w:rsid w:val="0031489F"/>
    <w:rsid w:val="003153C3"/>
    <w:rsid w:val="003170CA"/>
    <w:rsid w:val="003173D7"/>
    <w:rsid w:val="00323832"/>
    <w:rsid w:val="0032740C"/>
    <w:rsid w:val="00334F16"/>
    <w:rsid w:val="00335B50"/>
    <w:rsid w:val="00356306"/>
    <w:rsid w:val="00361328"/>
    <w:rsid w:val="00362D58"/>
    <w:rsid w:val="00363589"/>
    <w:rsid w:val="00376909"/>
    <w:rsid w:val="00380E22"/>
    <w:rsid w:val="00385B27"/>
    <w:rsid w:val="003874B2"/>
    <w:rsid w:val="0039395B"/>
    <w:rsid w:val="003A76FA"/>
    <w:rsid w:val="003B34E0"/>
    <w:rsid w:val="003C7231"/>
    <w:rsid w:val="003E4FA8"/>
    <w:rsid w:val="00400551"/>
    <w:rsid w:val="00406B18"/>
    <w:rsid w:val="00411368"/>
    <w:rsid w:val="0041646D"/>
    <w:rsid w:val="004165E8"/>
    <w:rsid w:val="00416DD9"/>
    <w:rsid w:val="00422CAE"/>
    <w:rsid w:val="004474C4"/>
    <w:rsid w:val="00456973"/>
    <w:rsid w:val="00466B67"/>
    <w:rsid w:val="00477ACB"/>
    <w:rsid w:val="00480A34"/>
    <w:rsid w:val="0048602B"/>
    <w:rsid w:val="00487B34"/>
    <w:rsid w:val="00487F8E"/>
    <w:rsid w:val="004928F9"/>
    <w:rsid w:val="004A266B"/>
    <w:rsid w:val="004B09C0"/>
    <w:rsid w:val="004B2860"/>
    <w:rsid w:val="004B3A7D"/>
    <w:rsid w:val="004B4049"/>
    <w:rsid w:val="004C2FB5"/>
    <w:rsid w:val="004C6DF3"/>
    <w:rsid w:val="004D0EB6"/>
    <w:rsid w:val="004D2145"/>
    <w:rsid w:val="005050B5"/>
    <w:rsid w:val="00545DD7"/>
    <w:rsid w:val="00555339"/>
    <w:rsid w:val="00555B5D"/>
    <w:rsid w:val="00556989"/>
    <w:rsid w:val="00556C27"/>
    <w:rsid w:val="00565E5F"/>
    <w:rsid w:val="0056746F"/>
    <w:rsid w:val="00570E26"/>
    <w:rsid w:val="00576837"/>
    <w:rsid w:val="005771F1"/>
    <w:rsid w:val="0058023F"/>
    <w:rsid w:val="00583252"/>
    <w:rsid w:val="00591B28"/>
    <w:rsid w:val="005951E1"/>
    <w:rsid w:val="00597136"/>
    <w:rsid w:val="00597218"/>
    <w:rsid w:val="0059725D"/>
    <w:rsid w:val="005972E9"/>
    <w:rsid w:val="005A4F61"/>
    <w:rsid w:val="005B2E32"/>
    <w:rsid w:val="005C087C"/>
    <w:rsid w:val="005C6A0D"/>
    <w:rsid w:val="005D2A01"/>
    <w:rsid w:val="005F1DC7"/>
    <w:rsid w:val="005F2ACE"/>
    <w:rsid w:val="00613D04"/>
    <w:rsid w:val="00614A89"/>
    <w:rsid w:val="00617907"/>
    <w:rsid w:val="00636140"/>
    <w:rsid w:val="00636601"/>
    <w:rsid w:val="006402F0"/>
    <w:rsid w:val="00657BA9"/>
    <w:rsid w:val="0066301D"/>
    <w:rsid w:val="00673DDF"/>
    <w:rsid w:val="00683238"/>
    <w:rsid w:val="00683280"/>
    <w:rsid w:val="00690494"/>
    <w:rsid w:val="00697C97"/>
    <w:rsid w:val="006A3815"/>
    <w:rsid w:val="006B23BB"/>
    <w:rsid w:val="006C1500"/>
    <w:rsid w:val="006D4C0C"/>
    <w:rsid w:val="006D7EC2"/>
    <w:rsid w:val="006E3966"/>
    <w:rsid w:val="006F5695"/>
    <w:rsid w:val="0070065D"/>
    <w:rsid w:val="0070190A"/>
    <w:rsid w:val="007063FE"/>
    <w:rsid w:val="00707D23"/>
    <w:rsid w:val="007141BD"/>
    <w:rsid w:val="00726167"/>
    <w:rsid w:val="00731137"/>
    <w:rsid w:val="00734485"/>
    <w:rsid w:val="0073659D"/>
    <w:rsid w:val="0074169C"/>
    <w:rsid w:val="00747795"/>
    <w:rsid w:val="00747876"/>
    <w:rsid w:val="0075389A"/>
    <w:rsid w:val="0075547D"/>
    <w:rsid w:val="00764234"/>
    <w:rsid w:val="00764935"/>
    <w:rsid w:val="007767AE"/>
    <w:rsid w:val="0077794D"/>
    <w:rsid w:val="0078566A"/>
    <w:rsid w:val="00786FCF"/>
    <w:rsid w:val="007900BB"/>
    <w:rsid w:val="007A0FC6"/>
    <w:rsid w:val="007A4E89"/>
    <w:rsid w:val="007A77AB"/>
    <w:rsid w:val="007B2AD3"/>
    <w:rsid w:val="007B35C1"/>
    <w:rsid w:val="007C588D"/>
    <w:rsid w:val="007D76F7"/>
    <w:rsid w:val="007E1818"/>
    <w:rsid w:val="007F54DA"/>
    <w:rsid w:val="0080190E"/>
    <w:rsid w:val="00803D37"/>
    <w:rsid w:val="00804CA6"/>
    <w:rsid w:val="00822D77"/>
    <w:rsid w:val="00823464"/>
    <w:rsid w:val="0082796F"/>
    <w:rsid w:val="00841EAF"/>
    <w:rsid w:val="00846666"/>
    <w:rsid w:val="00850C91"/>
    <w:rsid w:val="008523B1"/>
    <w:rsid w:val="00856C4F"/>
    <w:rsid w:val="00860018"/>
    <w:rsid w:val="00860B20"/>
    <w:rsid w:val="00860B72"/>
    <w:rsid w:val="0087651C"/>
    <w:rsid w:val="0088032D"/>
    <w:rsid w:val="00883B10"/>
    <w:rsid w:val="00885F76"/>
    <w:rsid w:val="00893340"/>
    <w:rsid w:val="00897B6A"/>
    <w:rsid w:val="008A553C"/>
    <w:rsid w:val="008A6B07"/>
    <w:rsid w:val="008B220F"/>
    <w:rsid w:val="008C1076"/>
    <w:rsid w:val="008E0FA7"/>
    <w:rsid w:val="008E7046"/>
    <w:rsid w:val="008E758F"/>
    <w:rsid w:val="008E770B"/>
    <w:rsid w:val="008F128B"/>
    <w:rsid w:val="009327D8"/>
    <w:rsid w:val="009402BC"/>
    <w:rsid w:val="0095136D"/>
    <w:rsid w:val="0095219B"/>
    <w:rsid w:val="00954EE0"/>
    <w:rsid w:val="00970A77"/>
    <w:rsid w:val="0099387F"/>
    <w:rsid w:val="009969E2"/>
    <w:rsid w:val="00997AFC"/>
    <w:rsid w:val="009A013F"/>
    <w:rsid w:val="009A4460"/>
    <w:rsid w:val="009B59A0"/>
    <w:rsid w:val="009D0BD8"/>
    <w:rsid w:val="009D25B3"/>
    <w:rsid w:val="009D58FB"/>
    <w:rsid w:val="009D730D"/>
    <w:rsid w:val="009E269C"/>
    <w:rsid w:val="009E2ED1"/>
    <w:rsid w:val="009E30AD"/>
    <w:rsid w:val="009F1C70"/>
    <w:rsid w:val="00A06B5E"/>
    <w:rsid w:val="00A1626C"/>
    <w:rsid w:val="00A1635E"/>
    <w:rsid w:val="00A17B43"/>
    <w:rsid w:val="00A25092"/>
    <w:rsid w:val="00A27ED2"/>
    <w:rsid w:val="00A35C77"/>
    <w:rsid w:val="00A35E21"/>
    <w:rsid w:val="00A47CB1"/>
    <w:rsid w:val="00A76C8E"/>
    <w:rsid w:val="00A864A7"/>
    <w:rsid w:val="00A86785"/>
    <w:rsid w:val="00A922BA"/>
    <w:rsid w:val="00A96719"/>
    <w:rsid w:val="00AA011A"/>
    <w:rsid w:val="00AB3AC8"/>
    <w:rsid w:val="00AF396D"/>
    <w:rsid w:val="00AF41CB"/>
    <w:rsid w:val="00B05EC2"/>
    <w:rsid w:val="00B10B61"/>
    <w:rsid w:val="00B223B4"/>
    <w:rsid w:val="00B34BFC"/>
    <w:rsid w:val="00B34C8D"/>
    <w:rsid w:val="00B47C20"/>
    <w:rsid w:val="00B56ACF"/>
    <w:rsid w:val="00B630AF"/>
    <w:rsid w:val="00B6389C"/>
    <w:rsid w:val="00B65065"/>
    <w:rsid w:val="00B657E5"/>
    <w:rsid w:val="00B65E1D"/>
    <w:rsid w:val="00B666A3"/>
    <w:rsid w:val="00B71121"/>
    <w:rsid w:val="00B748C5"/>
    <w:rsid w:val="00B94441"/>
    <w:rsid w:val="00BA0C29"/>
    <w:rsid w:val="00BB1205"/>
    <w:rsid w:val="00BB3A1B"/>
    <w:rsid w:val="00BB6C71"/>
    <w:rsid w:val="00BC1A05"/>
    <w:rsid w:val="00BC7CFC"/>
    <w:rsid w:val="00BD0889"/>
    <w:rsid w:val="00BD1F2E"/>
    <w:rsid w:val="00BD6E88"/>
    <w:rsid w:val="00BE40AA"/>
    <w:rsid w:val="00BF4B93"/>
    <w:rsid w:val="00C0039B"/>
    <w:rsid w:val="00C06427"/>
    <w:rsid w:val="00C1263D"/>
    <w:rsid w:val="00C163F3"/>
    <w:rsid w:val="00C24495"/>
    <w:rsid w:val="00C5382C"/>
    <w:rsid w:val="00C63801"/>
    <w:rsid w:val="00C6699C"/>
    <w:rsid w:val="00C72106"/>
    <w:rsid w:val="00C73B48"/>
    <w:rsid w:val="00C7624F"/>
    <w:rsid w:val="00C84AB6"/>
    <w:rsid w:val="00C94FF3"/>
    <w:rsid w:val="00CA2B14"/>
    <w:rsid w:val="00CD168E"/>
    <w:rsid w:val="00CD79C3"/>
    <w:rsid w:val="00CF3608"/>
    <w:rsid w:val="00D05680"/>
    <w:rsid w:val="00D21E5B"/>
    <w:rsid w:val="00D2390A"/>
    <w:rsid w:val="00D32282"/>
    <w:rsid w:val="00D3406E"/>
    <w:rsid w:val="00D34DD2"/>
    <w:rsid w:val="00D61CC7"/>
    <w:rsid w:val="00D73061"/>
    <w:rsid w:val="00D74C4E"/>
    <w:rsid w:val="00D83D5F"/>
    <w:rsid w:val="00D865EA"/>
    <w:rsid w:val="00DA22FC"/>
    <w:rsid w:val="00DA3313"/>
    <w:rsid w:val="00DA75AB"/>
    <w:rsid w:val="00DC36D9"/>
    <w:rsid w:val="00DD2DCD"/>
    <w:rsid w:val="00DE2422"/>
    <w:rsid w:val="00DE55C5"/>
    <w:rsid w:val="00DF0AE0"/>
    <w:rsid w:val="00DF21F5"/>
    <w:rsid w:val="00E00331"/>
    <w:rsid w:val="00E01AF2"/>
    <w:rsid w:val="00E10633"/>
    <w:rsid w:val="00E22EF3"/>
    <w:rsid w:val="00E27C9E"/>
    <w:rsid w:val="00E373A7"/>
    <w:rsid w:val="00E377C5"/>
    <w:rsid w:val="00E43BF1"/>
    <w:rsid w:val="00E46910"/>
    <w:rsid w:val="00E53D4A"/>
    <w:rsid w:val="00E546FC"/>
    <w:rsid w:val="00E6149D"/>
    <w:rsid w:val="00E62204"/>
    <w:rsid w:val="00E728A2"/>
    <w:rsid w:val="00E74CB3"/>
    <w:rsid w:val="00E76B26"/>
    <w:rsid w:val="00E92098"/>
    <w:rsid w:val="00E94E70"/>
    <w:rsid w:val="00EA4CAF"/>
    <w:rsid w:val="00EB3E94"/>
    <w:rsid w:val="00EB76CA"/>
    <w:rsid w:val="00EC50BB"/>
    <w:rsid w:val="00ED1C18"/>
    <w:rsid w:val="00EF4134"/>
    <w:rsid w:val="00EF613B"/>
    <w:rsid w:val="00F030E8"/>
    <w:rsid w:val="00F05C30"/>
    <w:rsid w:val="00F05CA1"/>
    <w:rsid w:val="00F06CC3"/>
    <w:rsid w:val="00F1799D"/>
    <w:rsid w:val="00F20836"/>
    <w:rsid w:val="00F2228D"/>
    <w:rsid w:val="00F244AE"/>
    <w:rsid w:val="00F30461"/>
    <w:rsid w:val="00F36F3C"/>
    <w:rsid w:val="00F46A8E"/>
    <w:rsid w:val="00F47DD4"/>
    <w:rsid w:val="00F55B85"/>
    <w:rsid w:val="00F5689F"/>
    <w:rsid w:val="00F622F4"/>
    <w:rsid w:val="00F6368E"/>
    <w:rsid w:val="00F638AF"/>
    <w:rsid w:val="00F67A9F"/>
    <w:rsid w:val="00F71B76"/>
    <w:rsid w:val="00F80F61"/>
    <w:rsid w:val="00F90B74"/>
    <w:rsid w:val="00F95623"/>
    <w:rsid w:val="00F973B9"/>
    <w:rsid w:val="00FA3C1F"/>
    <w:rsid w:val="00FA6194"/>
    <w:rsid w:val="00FA7B8B"/>
    <w:rsid w:val="00FC061C"/>
    <w:rsid w:val="00FC30E8"/>
    <w:rsid w:val="00FC3295"/>
    <w:rsid w:val="00FC37EB"/>
    <w:rsid w:val="00FC59A9"/>
    <w:rsid w:val="00FC68EC"/>
    <w:rsid w:val="00FD42DE"/>
    <w:rsid w:val="00FD6309"/>
    <w:rsid w:val="00FF7168"/>
    <w:rsid w:val="00FF7A41"/>
    <w:rsid w:val="06896CE3"/>
    <w:rsid w:val="08F19160"/>
    <w:rsid w:val="09A2BB44"/>
    <w:rsid w:val="0CAA049E"/>
    <w:rsid w:val="0D2C04DD"/>
    <w:rsid w:val="138CCE11"/>
    <w:rsid w:val="1A745CFA"/>
    <w:rsid w:val="1E6D01B1"/>
    <w:rsid w:val="23537EAB"/>
    <w:rsid w:val="257A3D9F"/>
    <w:rsid w:val="2A2079D9"/>
    <w:rsid w:val="2D668853"/>
    <w:rsid w:val="329CE8B7"/>
    <w:rsid w:val="35EB53F6"/>
    <w:rsid w:val="4071972A"/>
    <w:rsid w:val="413529DA"/>
    <w:rsid w:val="42D7532F"/>
    <w:rsid w:val="4D2D98F1"/>
    <w:rsid w:val="55EEFEBE"/>
    <w:rsid w:val="5ABAE7FD"/>
    <w:rsid w:val="66CAB909"/>
    <w:rsid w:val="69D9EED5"/>
    <w:rsid w:val="6DD2938C"/>
    <w:rsid w:val="7183192B"/>
    <w:rsid w:val="725985DC"/>
    <w:rsid w:val="78BB2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1B55"/>
  <w15:chartTrackingRefBased/>
  <w15:docId w15:val="{96938C80-E9CE-0046-8DFF-08E136E3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73C"/>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893340"/>
    <w:rPr>
      <w:sz w:val="20"/>
      <w:szCs w:val="20"/>
    </w:rPr>
  </w:style>
  <w:style w:type="character" w:customStyle="1" w:styleId="FootnoteTextChar">
    <w:name w:val="Footnote Text Char"/>
    <w:basedOn w:val="DefaultParagraphFont"/>
    <w:link w:val="FootnoteText"/>
    <w:uiPriority w:val="99"/>
    <w:qFormat/>
    <w:rsid w:val="00893340"/>
    <w:rPr>
      <w:sz w:val="20"/>
      <w:szCs w:val="20"/>
    </w:rPr>
  </w:style>
  <w:style w:type="character" w:styleId="FootnoteReference">
    <w:name w:val="footnote reference"/>
    <w:aliases w:val="List Bullet1,BVI fnr, BVI fnr,Car Car Car Car Car Car Char Char Car Car,note bp,Liste à puces1,Liste à puces11,Liste à puces111,Liste à puces1111,Знак сноски1,4_G,Footnotes refss,Texto de nota al pie,Appel note de bas de page,f"/>
    <w:basedOn w:val="DefaultParagraphFont"/>
    <w:uiPriority w:val="99"/>
    <w:unhideWhenUsed/>
    <w:rsid w:val="00893340"/>
    <w:rPr>
      <w:vertAlign w:val="superscript"/>
    </w:rPr>
  </w:style>
  <w:style w:type="paragraph" w:styleId="ListParagraph">
    <w:name w:val="List Paragraph"/>
    <w:basedOn w:val="Normal"/>
    <w:uiPriority w:val="34"/>
    <w:qFormat/>
    <w:rsid w:val="00893340"/>
    <w:pPr>
      <w:spacing w:after="160" w:line="259" w:lineRule="auto"/>
      <w:ind w:left="720"/>
      <w:contextualSpacing/>
    </w:pPr>
    <w:rPr>
      <w:sz w:val="22"/>
      <w:szCs w:val="22"/>
    </w:rPr>
  </w:style>
  <w:style w:type="character" w:customStyle="1" w:styleId="Caracteresdenotaalpie">
    <w:name w:val="Caracteres de nota al pie"/>
    <w:qFormat/>
    <w:rsid w:val="00893340"/>
  </w:style>
  <w:style w:type="character" w:customStyle="1" w:styleId="EnlacedeInternet">
    <w:name w:val="Enlace de Internet"/>
    <w:rsid w:val="00893340"/>
    <w:rPr>
      <w:color w:val="000080"/>
      <w:u w:val="single"/>
    </w:rPr>
  </w:style>
  <w:style w:type="character" w:customStyle="1" w:styleId="Ancladenotaalpie">
    <w:name w:val="Ancla de nota al pie"/>
    <w:rsid w:val="00893340"/>
    <w:rPr>
      <w:vertAlign w:val="superscript"/>
    </w:rPr>
  </w:style>
  <w:style w:type="paragraph" w:styleId="BodyText">
    <w:name w:val="Body Text"/>
    <w:basedOn w:val="Normal"/>
    <w:link w:val="BodyTextChar"/>
    <w:uiPriority w:val="99"/>
    <w:semiHidden/>
    <w:unhideWhenUsed/>
    <w:rsid w:val="00893340"/>
    <w:pPr>
      <w:spacing w:after="120" w:line="259" w:lineRule="auto"/>
    </w:pPr>
    <w:rPr>
      <w:sz w:val="22"/>
      <w:szCs w:val="22"/>
    </w:rPr>
  </w:style>
  <w:style w:type="character" w:customStyle="1" w:styleId="BodyTextChar">
    <w:name w:val="Body Text Char"/>
    <w:basedOn w:val="DefaultParagraphFont"/>
    <w:link w:val="BodyText"/>
    <w:uiPriority w:val="99"/>
    <w:semiHidden/>
    <w:rsid w:val="00893340"/>
    <w:rPr>
      <w:sz w:val="22"/>
      <w:szCs w:val="22"/>
    </w:rPr>
  </w:style>
  <w:style w:type="character" w:styleId="Hyperlink">
    <w:name w:val="Hyperlink"/>
    <w:basedOn w:val="DefaultParagraphFont"/>
    <w:uiPriority w:val="99"/>
    <w:unhideWhenUsed/>
    <w:rsid w:val="00893340"/>
    <w:rPr>
      <w:color w:val="0000FF"/>
      <w:u w:val="single"/>
    </w:rPr>
  </w:style>
  <w:style w:type="character" w:styleId="CommentReference">
    <w:name w:val="annotation reference"/>
    <w:basedOn w:val="DefaultParagraphFont"/>
    <w:uiPriority w:val="99"/>
    <w:semiHidden/>
    <w:unhideWhenUsed/>
    <w:rsid w:val="00893340"/>
    <w:rPr>
      <w:sz w:val="16"/>
      <w:szCs w:val="16"/>
    </w:rPr>
  </w:style>
  <w:style w:type="paragraph" w:styleId="CommentText">
    <w:name w:val="annotation text"/>
    <w:basedOn w:val="Normal"/>
    <w:link w:val="CommentTextChar"/>
    <w:uiPriority w:val="99"/>
    <w:semiHidden/>
    <w:unhideWhenUsed/>
    <w:rsid w:val="00893340"/>
    <w:pPr>
      <w:spacing w:after="160"/>
    </w:pPr>
    <w:rPr>
      <w:sz w:val="20"/>
      <w:szCs w:val="20"/>
    </w:rPr>
  </w:style>
  <w:style w:type="character" w:customStyle="1" w:styleId="CommentTextChar">
    <w:name w:val="Comment Text Char"/>
    <w:basedOn w:val="DefaultParagraphFont"/>
    <w:link w:val="CommentText"/>
    <w:uiPriority w:val="99"/>
    <w:semiHidden/>
    <w:rsid w:val="00893340"/>
    <w:rPr>
      <w:sz w:val="20"/>
      <w:szCs w:val="20"/>
    </w:rPr>
  </w:style>
  <w:style w:type="paragraph" w:customStyle="1" w:styleId="SingleTxtG">
    <w:name w:val="_ Single Txt_G"/>
    <w:basedOn w:val="Normal"/>
    <w:link w:val="SingleTxtGChar"/>
    <w:qFormat/>
    <w:rsid w:val="00153033"/>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153033"/>
    <w:rPr>
      <w:rFonts w:ascii="Times New Roman" w:eastAsia="Times New Roman" w:hAnsi="Times New Roman" w:cs="Times New Roman"/>
      <w:sz w:val="20"/>
      <w:szCs w:val="20"/>
      <w:lang w:val="es-ES" w:eastAsia="es-ES"/>
    </w:rPr>
  </w:style>
  <w:style w:type="paragraph" w:styleId="Footer">
    <w:name w:val="footer"/>
    <w:basedOn w:val="Normal"/>
    <w:link w:val="FooterChar"/>
    <w:uiPriority w:val="99"/>
    <w:unhideWhenUsed/>
    <w:rsid w:val="0005079D"/>
    <w:pPr>
      <w:tabs>
        <w:tab w:val="center" w:pos="4680"/>
        <w:tab w:val="right" w:pos="9360"/>
      </w:tabs>
    </w:pPr>
  </w:style>
  <w:style w:type="character" w:customStyle="1" w:styleId="FooterChar">
    <w:name w:val="Footer Char"/>
    <w:basedOn w:val="DefaultParagraphFont"/>
    <w:link w:val="Footer"/>
    <w:uiPriority w:val="99"/>
    <w:rsid w:val="0005079D"/>
  </w:style>
  <w:style w:type="character" w:styleId="PageNumber">
    <w:name w:val="page number"/>
    <w:basedOn w:val="DefaultParagraphFont"/>
    <w:uiPriority w:val="99"/>
    <w:semiHidden/>
    <w:unhideWhenUsed/>
    <w:rsid w:val="0005079D"/>
  </w:style>
  <w:style w:type="paragraph" w:styleId="CommentSubject">
    <w:name w:val="annotation subject"/>
    <w:basedOn w:val="CommentText"/>
    <w:next w:val="CommentText"/>
    <w:link w:val="CommentSubjectChar"/>
    <w:uiPriority w:val="99"/>
    <w:semiHidden/>
    <w:unhideWhenUsed/>
    <w:rsid w:val="000657F1"/>
    <w:pPr>
      <w:spacing w:after="0"/>
    </w:pPr>
    <w:rPr>
      <w:b/>
      <w:bCs/>
    </w:rPr>
  </w:style>
  <w:style w:type="character" w:customStyle="1" w:styleId="CommentSubjectChar">
    <w:name w:val="Comment Subject Char"/>
    <w:basedOn w:val="CommentTextChar"/>
    <w:link w:val="CommentSubject"/>
    <w:uiPriority w:val="99"/>
    <w:semiHidden/>
    <w:rsid w:val="000657F1"/>
    <w:rPr>
      <w:b/>
      <w:bCs/>
      <w:sz w:val="20"/>
      <w:szCs w:val="20"/>
    </w:rPr>
  </w:style>
  <w:style w:type="paragraph" w:styleId="Header">
    <w:name w:val="header"/>
    <w:basedOn w:val="Normal"/>
    <w:link w:val="HeaderChar"/>
    <w:uiPriority w:val="99"/>
    <w:semiHidden/>
    <w:unhideWhenUsed/>
    <w:rsid w:val="00144968"/>
    <w:pPr>
      <w:tabs>
        <w:tab w:val="center" w:pos="4680"/>
        <w:tab w:val="right" w:pos="9360"/>
      </w:tabs>
    </w:pPr>
  </w:style>
  <w:style w:type="character" w:customStyle="1" w:styleId="HeaderChar">
    <w:name w:val="Header Char"/>
    <w:basedOn w:val="DefaultParagraphFont"/>
    <w:link w:val="Header"/>
    <w:uiPriority w:val="99"/>
    <w:semiHidden/>
    <w:rsid w:val="00144968"/>
  </w:style>
  <w:style w:type="paragraph" w:styleId="Revision">
    <w:name w:val="Revision"/>
    <w:hidden/>
    <w:uiPriority w:val="99"/>
    <w:semiHidden/>
    <w:rsid w:val="0024171F"/>
  </w:style>
  <w:style w:type="character" w:styleId="Mention">
    <w:name w:val="Mention"/>
    <w:basedOn w:val="DefaultParagraphFont"/>
    <w:uiPriority w:val="99"/>
    <w:unhideWhenUsed/>
    <w:rsid w:val="00361328"/>
    <w:rPr>
      <w:color w:val="2B579A"/>
      <w:shd w:val="clear" w:color="auto" w:fill="E1DFDD"/>
    </w:rPr>
  </w:style>
  <w:style w:type="character" w:styleId="UnresolvedMention">
    <w:name w:val="Unresolved Mention"/>
    <w:basedOn w:val="DefaultParagraphFont"/>
    <w:uiPriority w:val="99"/>
    <w:unhideWhenUsed/>
    <w:rsid w:val="008A5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023278">
      <w:bodyDiv w:val="1"/>
      <w:marLeft w:val="0"/>
      <w:marRight w:val="0"/>
      <w:marTop w:val="0"/>
      <w:marBottom w:val="0"/>
      <w:divBdr>
        <w:top w:val="none" w:sz="0" w:space="0" w:color="auto"/>
        <w:left w:val="none" w:sz="0" w:space="0" w:color="auto"/>
        <w:bottom w:val="none" w:sz="0" w:space="0" w:color="auto"/>
        <w:right w:val="none" w:sz="0" w:space="0" w:color="auto"/>
      </w:divBdr>
      <w:divsChild>
        <w:div w:id="530151910">
          <w:marLeft w:val="0"/>
          <w:marRight w:val="0"/>
          <w:marTop w:val="0"/>
          <w:marBottom w:val="0"/>
          <w:divBdr>
            <w:top w:val="none" w:sz="0" w:space="0" w:color="auto"/>
            <w:left w:val="none" w:sz="0" w:space="0" w:color="auto"/>
            <w:bottom w:val="none" w:sz="0" w:space="0" w:color="auto"/>
            <w:right w:val="none" w:sz="0" w:space="0" w:color="auto"/>
          </w:divBdr>
          <w:divsChild>
            <w:div w:id="1328829557">
              <w:marLeft w:val="0"/>
              <w:marRight w:val="0"/>
              <w:marTop w:val="0"/>
              <w:marBottom w:val="0"/>
              <w:divBdr>
                <w:top w:val="none" w:sz="0" w:space="0" w:color="auto"/>
                <w:left w:val="none" w:sz="0" w:space="0" w:color="auto"/>
                <w:bottom w:val="none" w:sz="0" w:space="0" w:color="auto"/>
                <w:right w:val="none" w:sz="0" w:space="0" w:color="auto"/>
              </w:divBdr>
              <w:divsChild>
                <w:div w:id="134837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226895">
      <w:bodyDiv w:val="1"/>
      <w:marLeft w:val="0"/>
      <w:marRight w:val="0"/>
      <w:marTop w:val="0"/>
      <w:marBottom w:val="0"/>
      <w:divBdr>
        <w:top w:val="none" w:sz="0" w:space="0" w:color="auto"/>
        <w:left w:val="none" w:sz="0" w:space="0" w:color="auto"/>
        <w:bottom w:val="none" w:sz="0" w:space="0" w:color="auto"/>
        <w:right w:val="none" w:sz="0" w:space="0" w:color="auto"/>
      </w:divBdr>
      <w:divsChild>
        <w:div w:id="1058167848">
          <w:marLeft w:val="0"/>
          <w:marRight w:val="0"/>
          <w:marTop w:val="0"/>
          <w:marBottom w:val="0"/>
          <w:divBdr>
            <w:top w:val="none" w:sz="0" w:space="0" w:color="auto"/>
            <w:left w:val="none" w:sz="0" w:space="0" w:color="auto"/>
            <w:bottom w:val="none" w:sz="0" w:space="0" w:color="auto"/>
            <w:right w:val="none" w:sz="0" w:space="0" w:color="auto"/>
          </w:divBdr>
          <w:divsChild>
            <w:div w:id="2074883938">
              <w:marLeft w:val="0"/>
              <w:marRight w:val="0"/>
              <w:marTop w:val="0"/>
              <w:marBottom w:val="0"/>
              <w:divBdr>
                <w:top w:val="none" w:sz="0" w:space="0" w:color="auto"/>
                <w:left w:val="none" w:sz="0" w:space="0" w:color="auto"/>
                <w:bottom w:val="none" w:sz="0" w:space="0" w:color="auto"/>
                <w:right w:val="none" w:sz="0" w:space="0" w:color="auto"/>
              </w:divBdr>
              <w:divsChild>
                <w:div w:id="734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927122">
      <w:bodyDiv w:val="1"/>
      <w:marLeft w:val="0"/>
      <w:marRight w:val="0"/>
      <w:marTop w:val="0"/>
      <w:marBottom w:val="0"/>
      <w:divBdr>
        <w:top w:val="none" w:sz="0" w:space="0" w:color="auto"/>
        <w:left w:val="none" w:sz="0" w:space="0" w:color="auto"/>
        <w:bottom w:val="none" w:sz="0" w:space="0" w:color="auto"/>
        <w:right w:val="none" w:sz="0" w:space="0" w:color="auto"/>
      </w:divBdr>
      <w:divsChild>
        <w:div w:id="1852720921">
          <w:marLeft w:val="0"/>
          <w:marRight w:val="0"/>
          <w:marTop w:val="0"/>
          <w:marBottom w:val="0"/>
          <w:divBdr>
            <w:top w:val="none" w:sz="0" w:space="0" w:color="auto"/>
            <w:left w:val="none" w:sz="0" w:space="0" w:color="auto"/>
            <w:bottom w:val="none" w:sz="0" w:space="0" w:color="auto"/>
            <w:right w:val="none" w:sz="0" w:space="0" w:color="auto"/>
          </w:divBdr>
          <w:divsChild>
            <w:div w:id="648939817">
              <w:marLeft w:val="0"/>
              <w:marRight w:val="0"/>
              <w:marTop w:val="0"/>
              <w:marBottom w:val="0"/>
              <w:divBdr>
                <w:top w:val="none" w:sz="0" w:space="0" w:color="auto"/>
                <w:left w:val="none" w:sz="0" w:space="0" w:color="auto"/>
                <w:bottom w:val="none" w:sz="0" w:space="0" w:color="auto"/>
                <w:right w:val="none" w:sz="0" w:space="0" w:color="auto"/>
              </w:divBdr>
              <w:divsChild>
                <w:div w:id="20497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81954">
      <w:bodyDiv w:val="1"/>
      <w:marLeft w:val="0"/>
      <w:marRight w:val="0"/>
      <w:marTop w:val="0"/>
      <w:marBottom w:val="0"/>
      <w:divBdr>
        <w:top w:val="none" w:sz="0" w:space="0" w:color="auto"/>
        <w:left w:val="none" w:sz="0" w:space="0" w:color="auto"/>
        <w:bottom w:val="none" w:sz="0" w:space="0" w:color="auto"/>
        <w:right w:val="none" w:sz="0" w:space="0" w:color="auto"/>
      </w:divBdr>
    </w:div>
    <w:div w:id="694112554">
      <w:bodyDiv w:val="1"/>
      <w:marLeft w:val="0"/>
      <w:marRight w:val="0"/>
      <w:marTop w:val="0"/>
      <w:marBottom w:val="0"/>
      <w:divBdr>
        <w:top w:val="none" w:sz="0" w:space="0" w:color="auto"/>
        <w:left w:val="none" w:sz="0" w:space="0" w:color="auto"/>
        <w:bottom w:val="none" w:sz="0" w:space="0" w:color="auto"/>
        <w:right w:val="none" w:sz="0" w:space="0" w:color="auto"/>
      </w:divBdr>
      <w:divsChild>
        <w:div w:id="1876766721">
          <w:marLeft w:val="0"/>
          <w:marRight w:val="0"/>
          <w:marTop w:val="0"/>
          <w:marBottom w:val="0"/>
          <w:divBdr>
            <w:top w:val="none" w:sz="0" w:space="0" w:color="auto"/>
            <w:left w:val="none" w:sz="0" w:space="0" w:color="auto"/>
            <w:bottom w:val="none" w:sz="0" w:space="0" w:color="auto"/>
            <w:right w:val="none" w:sz="0" w:space="0" w:color="auto"/>
          </w:divBdr>
          <w:divsChild>
            <w:div w:id="961493826">
              <w:marLeft w:val="0"/>
              <w:marRight w:val="0"/>
              <w:marTop w:val="0"/>
              <w:marBottom w:val="0"/>
              <w:divBdr>
                <w:top w:val="none" w:sz="0" w:space="0" w:color="auto"/>
                <w:left w:val="none" w:sz="0" w:space="0" w:color="auto"/>
                <w:bottom w:val="none" w:sz="0" w:space="0" w:color="auto"/>
                <w:right w:val="none" w:sz="0" w:space="0" w:color="auto"/>
              </w:divBdr>
              <w:divsChild>
                <w:div w:id="136308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015125">
      <w:bodyDiv w:val="1"/>
      <w:marLeft w:val="0"/>
      <w:marRight w:val="0"/>
      <w:marTop w:val="0"/>
      <w:marBottom w:val="0"/>
      <w:divBdr>
        <w:top w:val="none" w:sz="0" w:space="0" w:color="auto"/>
        <w:left w:val="none" w:sz="0" w:space="0" w:color="auto"/>
        <w:bottom w:val="none" w:sz="0" w:space="0" w:color="auto"/>
        <w:right w:val="none" w:sz="0" w:space="0" w:color="auto"/>
      </w:divBdr>
      <w:divsChild>
        <w:div w:id="1330601044">
          <w:marLeft w:val="0"/>
          <w:marRight w:val="0"/>
          <w:marTop w:val="0"/>
          <w:marBottom w:val="0"/>
          <w:divBdr>
            <w:top w:val="none" w:sz="0" w:space="0" w:color="auto"/>
            <w:left w:val="none" w:sz="0" w:space="0" w:color="auto"/>
            <w:bottom w:val="none" w:sz="0" w:space="0" w:color="auto"/>
            <w:right w:val="none" w:sz="0" w:space="0" w:color="auto"/>
          </w:divBdr>
          <w:divsChild>
            <w:div w:id="756904777">
              <w:marLeft w:val="0"/>
              <w:marRight w:val="0"/>
              <w:marTop w:val="0"/>
              <w:marBottom w:val="0"/>
              <w:divBdr>
                <w:top w:val="none" w:sz="0" w:space="0" w:color="auto"/>
                <w:left w:val="none" w:sz="0" w:space="0" w:color="auto"/>
                <w:bottom w:val="none" w:sz="0" w:space="0" w:color="auto"/>
                <w:right w:val="none" w:sz="0" w:space="0" w:color="auto"/>
              </w:divBdr>
              <w:divsChild>
                <w:div w:id="163691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51937">
      <w:bodyDiv w:val="1"/>
      <w:marLeft w:val="0"/>
      <w:marRight w:val="0"/>
      <w:marTop w:val="0"/>
      <w:marBottom w:val="0"/>
      <w:divBdr>
        <w:top w:val="none" w:sz="0" w:space="0" w:color="auto"/>
        <w:left w:val="none" w:sz="0" w:space="0" w:color="auto"/>
        <w:bottom w:val="none" w:sz="0" w:space="0" w:color="auto"/>
        <w:right w:val="none" w:sz="0" w:space="0" w:color="auto"/>
      </w:divBdr>
      <w:divsChild>
        <w:div w:id="403144331">
          <w:marLeft w:val="0"/>
          <w:marRight w:val="0"/>
          <w:marTop w:val="0"/>
          <w:marBottom w:val="0"/>
          <w:divBdr>
            <w:top w:val="none" w:sz="0" w:space="0" w:color="auto"/>
            <w:left w:val="none" w:sz="0" w:space="0" w:color="auto"/>
            <w:bottom w:val="none" w:sz="0" w:space="0" w:color="auto"/>
            <w:right w:val="none" w:sz="0" w:space="0" w:color="auto"/>
          </w:divBdr>
          <w:divsChild>
            <w:div w:id="817037983">
              <w:marLeft w:val="0"/>
              <w:marRight w:val="0"/>
              <w:marTop w:val="0"/>
              <w:marBottom w:val="0"/>
              <w:divBdr>
                <w:top w:val="none" w:sz="0" w:space="0" w:color="auto"/>
                <w:left w:val="none" w:sz="0" w:space="0" w:color="auto"/>
                <w:bottom w:val="none" w:sz="0" w:space="0" w:color="auto"/>
                <w:right w:val="none" w:sz="0" w:space="0" w:color="auto"/>
              </w:divBdr>
              <w:divsChild>
                <w:div w:id="6492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87174">
      <w:bodyDiv w:val="1"/>
      <w:marLeft w:val="0"/>
      <w:marRight w:val="0"/>
      <w:marTop w:val="0"/>
      <w:marBottom w:val="0"/>
      <w:divBdr>
        <w:top w:val="none" w:sz="0" w:space="0" w:color="auto"/>
        <w:left w:val="none" w:sz="0" w:space="0" w:color="auto"/>
        <w:bottom w:val="none" w:sz="0" w:space="0" w:color="auto"/>
        <w:right w:val="none" w:sz="0" w:space="0" w:color="auto"/>
      </w:divBdr>
      <w:divsChild>
        <w:div w:id="42561148">
          <w:marLeft w:val="0"/>
          <w:marRight w:val="0"/>
          <w:marTop w:val="0"/>
          <w:marBottom w:val="0"/>
          <w:divBdr>
            <w:top w:val="none" w:sz="0" w:space="0" w:color="auto"/>
            <w:left w:val="none" w:sz="0" w:space="0" w:color="auto"/>
            <w:bottom w:val="none" w:sz="0" w:space="0" w:color="auto"/>
            <w:right w:val="none" w:sz="0" w:space="0" w:color="auto"/>
          </w:divBdr>
          <w:divsChild>
            <w:div w:id="1864127437">
              <w:marLeft w:val="0"/>
              <w:marRight w:val="0"/>
              <w:marTop w:val="0"/>
              <w:marBottom w:val="0"/>
              <w:divBdr>
                <w:top w:val="none" w:sz="0" w:space="0" w:color="auto"/>
                <w:left w:val="none" w:sz="0" w:space="0" w:color="auto"/>
                <w:bottom w:val="none" w:sz="0" w:space="0" w:color="auto"/>
                <w:right w:val="none" w:sz="0" w:space="0" w:color="auto"/>
              </w:divBdr>
              <w:divsChild>
                <w:div w:id="17010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530888">
      <w:bodyDiv w:val="1"/>
      <w:marLeft w:val="0"/>
      <w:marRight w:val="0"/>
      <w:marTop w:val="0"/>
      <w:marBottom w:val="0"/>
      <w:divBdr>
        <w:top w:val="none" w:sz="0" w:space="0" w:color="auto"/>
        <w:left w:val="none" w:sz="0" w:space="0" w:color="auto"/>
        <w:bottom w:val="none" w:sz="0" w:space="0" w:color="auto"/>
        <w:right w:val="none" w:sz="0" w:space="0" w:color="auto"/>
      </w:divBdr>
      <w:divsChild>
        <w:div w:id="318581955">
          <w:marLeft w:val="0"/>
          <w:marRight w:val="0"/>
          <w:marTop w:val="0"/>
          <w:marBottom w:val="0"/>
          <w:divBdr>
            <w:top w:val="none" w:sz="0" w:space="0" w:color="auto"/>
            <w:left w:val="none" w:sz="0" w:space="0" w:color="auto"/>
            <w:bottom w:val="none" w:sz="0" w:space="0" w:color="auto"/>
            <w:right w:val="none" w:sz="0" w:space="0" w:color="auto"/>
          </w:divBdr>
          <w:divsChild>
            <w:div w:id="1717460549">
              <w:marLeft w:val="0"/>
              <w:marRight w:val="0"/>
              <w:marTop w:val="0"/>
              <w:marBottom w:val="0"/>
              <w:divBdr>
                <w:top w:val="none" w:sz="0" w:space="0" w:color="auto"/>
                <w:left w:val="none" w:sz="0" w:space="0" w:color="auto"/>
                <w:bottom w:val="none" w:sz="0" w:space="0" w:color="auto"/>
                <w:right w:val="none" w:sz="0" w:space="0" w:color="auto"/>
              </w:divBdr>
              <w:divsChild>
                <w:div w:id="3558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438982">
      <w:bodyDiv w:val="1"/>
      <w:marLeft w:val="0"/>
      <w:marRight w:val="0"/>
      <w:marTop w:val="0"/>
      <w:marBottom w:val="0"/>
      <w:divBdr>
        <w:top w:val="none" w:sz="0" w:space="0" w:color="auto"/>
        <w:left w:val="none" w:sz="0" w:space="0" w:color="auto"/>
        <w:bottom w:val="none" w:sz="0" w:space="0" w:color="auto"/>
        <w:right w:val="none" w:sz="0" w:space="0" w:color="auto"/>
      </w:divBdr>
      <w:divsChild>
        <w:div w:id="355230058">
          <w:marLeft w:val="0"/>
          <w:marRight w:val="0"/>
          <w:marTop w:val="0"/>
          <w:marBottom w:val="0"/>
          <w:divBdr>
            <w:top w:val="none" w:sz="0" w:space="0" w:color="auto"/>
            <w:left w:val="none" w:sz="0" w:space="0" w:color="auto"/>
            <w:bottom w:val="none" w:sz="0" w:space="0" w:color="auto"/>
            <w:right w:val="none" w:sz="0" w:space="0" w:color="auto"/>
          </w:divBdr>
          <w:divsChild>
            <w:div w:id="1070539042">
              <w:marLeft w:val="0"/>
              <w:marRight w:val="0"/>
              <w:marTop w:val="0"/>
              <w:marBottom w:val="0"/>
              <w:divBdr>
                <w:top w:val="none" w:sz="0" w:space="0" w:color="auto"/>
                <w:left w:val="none" w:sz="0" w:space="0" w:color="auto"/>
                <w:bottom w:val="none" w:sz="0" w:space="0" w:color="auto"/>
                <w:right w:val="none" w:sz="0" w:space="0" w:color="auto"/>
              </w:divBdr>
              <w:divsChild>
                <w:div w:id="13566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4005">
      <w:bodyDiv w:val="1"/>
      <w:marLeft w:val="0"/>
      <w:marRight w:val="0"/>
      <w:marTop w:val="0"/>
      <w:marBottom w:val="0"/>
      <w:divBdr>
        <w:top w:val="none" w:sz="0" w:space="0" w:color="auto"/>
        <w:left w:val="none" w:sz="0" w:space="0" w:color="auto"/>
        <w:bottom w:val="none" w:sz="0" w:space="0" w:color="auto"/>
        <w:right w:val="none" w:sz="0" w:space="0" w:color="auto"/>
      </w:divBdr>
      <w:divsChild>
        <w:div w:id="1448429612">
          <w:marLeft w:val="0"/>
          <w:marRight w:val="0"/>
          <w:marTop w:val="0"/>
          <w:marBottom w:val="0"/>
          <w:divBdr>
            <w:top w:val="none" w:sz="0" w:space="0" w:color="auto"/>
            <w:left w:val="none" w:sz="0" w:space="0" w:color="auto"/>
            <w:bottom w:val="none" w:sz="0" w:space="0" w:color="auto"/>
            <w:right w:val="none" w:sz="0" w:space="0" w:color="auto"/>
          </w:divBdr>
          <w:divsChild>
            <w:div w:id="528877197">
              <w:marLeft w:val="0"/>
              <w:marRight w:val="0"/>
              <w:marTop w:val="0"/>
              <w:marBottom w:val="0"/>
              <w:divBdr>
                <w:top w:val="none" w:sz="0" w:space="0" w:color="auto"/>
                <w:left w:val="none" w:sz="0" w:space="0" w:color="auto"/>
                <w:bottom w:val="none" w:sz="0" w:space="0" w:color="auto"/>
                <w:right w:val="none" w:sz="0" w:space="0" w:color="auto"/>
              </w:divBdr>
              <w:divsChild>
                <w:div w:id="9854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50227">
      <w:bodyDiv w:val="1"/>
      <w:marLeft w:val="0"/>
      <w:marRight w:val="0"/>
      <w:marTop w:val="0"/>
      <w:marBottom w:val="0"/>
      <w:divBdr>
        <w:top w:val="none" w:sz="0" w:space="0" w:color="auto"/>
        <w:left w:val="none" w:sz="0" w:space="0" w:color="auto"/>
        <w:bottom w:val="none" w:sz="0" w:space="0" w:color="auto"/>
        <w:right w:val="none" w:sz="0" w:space="0" w:color="auto"/>
      </w:divBdr>
    </w:div>
    <w:div w:id="1340349619">
      <w:bodyDiv w:val="1"/>
      <w:marLeft w:val="0"/>
      <w:marRight w:val="0"/>
      <w:marTop w:val="0"/>
      <w:marBottom w:val="0"/>
      <w:divBdr>
        <w:top w:val="none" w:sz="0" w:space="0" w:color="auto"/>
        <w:left w:val="none" w:sz="0" w:space="0" w:color="auto"/>
        <w:bottom w:val="none" w:sz="0" w:space="0" w:color="auto"/>
        <w:right w:val="none" w:sz="0" w:space="0" w:color="auto"/>
      </w:divBdr>
      <w:divsChild>
        <w:div w:id="871772919">
          <w:marLeft w:val="0"/>
          <w:marRight w:val="0"/>
          <w:marTop w:val="0"/>
          <w:marBottom w:val="0"/>
          <w:divBdr>
            <w:top w:val="none" w:sz="0" w:space="0" w:color="auto"/>
            <w:left w:val="none" w:sz="0" w:space="0" w:color="auto"/>
            <w:bottom w:val="none" w:sz="0" w:space="0" w:color="auto"/>
            <w:right w:val="none" w:sz="0" w:space="0" w:color="auto"/>
          </w:divBdr>
          <w:divsChild>
            <w:div w:id="1686521138">
              <w:marLeft w:val="0"/>
              <w:marRight w:val="0"/>
              <w:marTop w:val="0"/>
              <w:marBottom w:val="0"/>
              <w:divBdr>
                <w:top w:val="none" w:sz="0" w:space="0" w:color="auto"/>
                <w:left w:val="none" w:sz="0" w:space="0" w:color="auto"/>
                <w:bottom w:val="none" w:sz="0" w:space="0" w:color="auto"/>
                <w:right w:val="none" w:sz="0" w:space="0" w:color="auto"/>
              </w:divBdr>
              <w:divsChild>
                <w:div w:id="90808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642161">
      <w:bodyDiv w:val="1"/>
      <w:marLeft w:val="0"/>
      <w:marRight w:val="0"/>
      <w:marTop w:val="0"/>
      <w:marBottom w:val="0"/>
      <w:divBdr>
        <w:top w:val="none" w:sz="0" w:space="0" w:color="auto"/>
        <w:left w:val="none" w:sz="0" w:space="0" w:color="auto"/>
        <w:bottom w:val="none" w:sz="0" w:space="0" w:color="auto"/>
        <w:right w:val="none" w:sz="0" w:space="0" w:color="auto"/>
      </w:divBdr>
    </w:div>
    <w:div w:id="1641958114">
      <w:bodyDiv w:val="1"/>
      <w:marLeft w:val="0"/>
      <w:marRight w:val="0"/>
      <w:marTop w:val="0"/>
      <w:marBottom w:val="0"/>
      <w:divBdr>
        <w:top w:val="none" w:sz="0" w:space="0" w:color="auto"/>
        <w:left w:val="none" w:sz="0" w:space="0" w:color="auto"/>
        <w:bottom w:val="none" w:sz="0" w:space="0" w:color="auto"/>
        <w:right w:val="none" w:sz="0" w:space="0" w:color="auto"/>
      </w:divBdr>
      <w:divsChild>
        <w:div w:id="38363922">
          <w:marLeft w:val="0"/>
          <w:marRight w:val="0"/>
          <w:marTop w:val="0"/>
          <w:marBottom w:val="0"/>
          <w:divBdr>
            <w:top w:val="none" w:sz="0" w:space="0" w:color="auto"/>
            <w:left w:val="none" w:sz="0" w:space="0" w:color="auto"/>
            <w:bottom w:val="none" w:sz="0" w:space="0" w:color="auto"/>
            <w:right w:val="none" w:sz="0" w:space="0" w:color="auto"/>
          </w:divBdr>
          <w:divsChild>
            <w:div w:id="1607807770">
              <w:marLeft w:val="0"/>
              <w:marRight w:val="0"/>
              <w:marTop w:val="0"/>
              <w:marBottom w:val="0"/>
              <w:divBdr>
                <w:top w:val="none" w:sz="0" w:space="0" w:color="auto"/>
                <w:left w:val="none" w:sz="0" w:space="0" w:color="auto"/>
                <w:bottom w:val="none" w:sz="0" w:space="0" w:color="auto"/>
                <w:right w:val="none" w:sz="0" w:space="0" w:color="auto"/>
              </w:divBdr>
              <w:divsChild>
                <w:div w:id="3464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879868">
      <w:bodyDiv w:val="1"/>
      <w:marLeft w:val="0"/>
      <w:marRight w:val="0"/>
      <w:marTop w:val="0"/>
      <w:marBottom w:val="0"/>
      <w:divBdr>
        <w:top w:val="none" w:sz="0" w:space="0" w:color="auto"/>
        <w:left w:val="none" w:sz="0" w:space="0" w:color="auto"/>
        <w:bottom w:val="none" w:sz="0" w:space="0" w:color="auto"/>
        <w:right w:val="none" w:sz="0" w:space="0" w:color="auto"/>
      </w:divBdr>
      <w:divsChild>
        <w:div w:id="124858164">
          <w:marLeft w:val="0"/>
          <w:marRight w:val="0"/>
          <w:marTop w:val="0"/>
          <w:marBottom w:val="0"/>
          <w:divBdr>
            <w:top w:val="none" w:sz="0" w:space="0" w:color="auto"/>
            <w:left w:val="none" w:sz="0" w:space="0" w:color="auto"/>
            <w:bottom w:val="none" w:sz="0" w:space="0" w:color="auto"/>
            <w:right w:val="none" w:sz="0" w:space="0" w:color="auto"/>
          </w:divBdr>
          <w:divsChild>
            <w:div w:id="833492447">
              <w:marLeft w:val="0"/>
              <w:marRight w:val="0"/>
              <w:marTop w:val="0"/>
              <w:marBottom w:val="0"/>
              <w:divBdr>
                <w:top w:val="none" w:sz="0" w:space="0" w:color="auto"/>
                <w:left w:val="none" w:sz="0" w:space="0" w:color="auto"/>
                <w:bottom w:val="none" w:sz="0" w:space="0" w:color="auto"/>
                <w:right w:val="none" w:sz="0" w:space="0" w:color="auto"/>
              </w:divBdr>
              <w:divsChild>
                <w:div w:id="4089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0303">
      <w:bodyDiv w:val="1"/>
      <w:marLeft w:val="0"/>
      <w:marRight w:val="0"/>
      <w:marTop w:val="0"/>
      <w:marBottom w:val="0"/>
      <w:divBdr>
        <w:top w:val="none" w:sz="0" w:space="0" w:color="auto"/>
        <w:left w:val="none" w:sz="0" w:space="0" w:color="auto"/>
        <w:bottom w:val="none" w:sz="0" w:space="0" w:color="auto"/>
        <w:right w:val="none" w:sz="0" w:space="0" w:color="auto"/>
      </w:divBdr>
      <w:divsChild>
        <w:div w:id="305597807">
          <w:marLeft w:val="0"/>
          <w:marRight w:val="0"/>
          <w:marTop w:val="0"/>
          <w:marBottom w:val="0"/>
          <w:divBdr>
            <w:top w:val="none" w:sz="0" w:space="0" w:color="auto"/>
            <w:left w:val="none" w:sz="0" w:space="0" w:color="auto"/>
            <w:bottom w:val="none" w:sz="0" w:space="0" w:color="auto"/>
            <w:right w:val="none" w:sz="0" w:space="0" w:color="auto"/>
          </w:divBdr>
          <w:divsChild>
            <w:div w:id="1264921036">
              <w:marLeft w:val="0"/>
              <w:marRight w:val="0"/>
              <w:marTop w:val="0"/>
              <w:marBottom w:val="0"/>
              <w:divBdr>
                <w:top w:val="none" w:sz="0" w:space="0" w:color="auto"/>
                <w:left w:val="none" w:sz="0" w:space="0" w:color="auto"/>
                <w:bottom w:val="none" w:sz="0" w:space="0" w:color="auto"/>
                <w:right w:val="none" w:sz="0" w:space="0" w:color="auto"/>
              </w:divBdr>
              <w:divsChild>
                <w:div w:id="214272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4574">
      <w:bodyDiv w:val="1"/>
      <w:marLeft w:val="0"/>
      <w:marRight w:val="0"/>
      <w:marTop w:val="0"/>
      <w:marBottom w:val="0"/>
      <w:divBdr>
        <w:top w:val="none" w:sz="0" w:space="0" w:color="auto"/>
        <w:left w:val="none" w:sz="0" w:space="0" w:color="auto"/>
        <w:bottom w:val="none" w:sz="0" w:space="0" w:color="auto"/>
        <w:right w:val="none" w:sz="0" w:space="0" w:color="auto"/>
      </w:divBdr>
      <w:divsChild>
        <w:div w:id="81461725">
          <w:marLeft w:val="0"/>
          <w:marRight w:val="0"/>
          <w:marTop w:val="0"/>
          <w:marBottom w:val="0"/>
          <w:divBdr>
            <w:top w:val="none" w:sz="0" w:space="0" w:color="auto"/>
            <w:left w:val="none" w:sz="0" w:space="0" w:color="auto"/>
            <w:bottom w:val="none" w:sz="0" w:space="0" w:color="auto"/>
            <w:right w:val="none" w:sz="0" w:space="0" w:color="auto"/>
          </w:divBdr>
          <w:divsChild>
            <w:div w:id="965551574">
              <w:marLeft w:val="0"/>
              <w:marRight w:val="0"/>
              <w:marTop w:val="0"/>
              <w:marBottom w:val="0"/>
              <w:divBdr>
                <w:top w:val="none" w:sz="0" w:space="0" w:color="auto"/>
                <w:left w:val="none" w:sz="0" w:space="0" w:color="auto"/>
                <w:bottom w:val="none" w:sz="0" w:space="0" w:color="auto"/>
                <w:right w:val="none" w:sz="0" w:space="0" w:color="auto"/>
              </w:divBdr>
              <w:divsChild>
                <w:div w:id="15595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834720">
      <w:bodyDiv w:val="1"/>
      <w:marLeft w:val="0"/>
      <w:marRight w:val="0"/>
      <w:marTop w:val="0"/>
      <w:marBottom w:val="0"/>
      <w:divBdr>
        <w:top w:val="none" w:sz="0" w:space="0" w:color="auto"/>
        <w:left w:val="none" w:sz="0" w:space="0" w:color="auto"/>
        <w:bottom w:val="none" w:sz="0" w:space="0" w:color="auto"/>
        <w:right w:val="none" w:sz="0" w:space="0" w:color="auto"/>
      </w:divBdr>
      <w:divsChild>
        <w:div w:id="1020160944">
          <w:marLeft w:val="0"/>
          <w:marRight w:val="0"/>
          <w:marTop w:val="0"/>
          <w:marBottom w:val="0"/>
          <w:divBdr>
            <w:top w:val="none" w:sz="0" w:space="0" w:color="auto"/>
            <w:left w:val="none" w:sz="0" w:space="0" w:color="auto"/>
            <w:bottom w:val="none" w:sz="0" w:space="0" w:color="auto"/>
            <w:right w:val="none" w:sz="0" w:space="0" w:color="auto"/>
          </w:divBdr>
          <w:divsChild>
            <w:div w:id="2019503419">
              <w:marLeft w:val="0"/>
              <w:marRight w:val="0"/>
              <w:marTop w:val="0"/>
              <w:marBottom w:val="0"/>
              <w:divBdr>
                <w:top w:val="none" w:sz="0" w:space="0" w:color="auto"/>
                <w:left w:val="none" w:sz="0" w:space="0" w:color="auto"/>
                <w:bottom w:val="none" w:sz="0" w:space="0" w:color="auto"/>
                <w:right w:val="none" w:sz="0" w:space="0" w:color="auto"/>
              </w:divBdr>
              <w:divsChild>
                <w:div w:id="13509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18017">
      <w:bodyDiv w:val="1"/>
      <w:marLeft w:val="0"/>
      <w:marRight w:val="0"/>
      <w:marTop w:val="0"/>
      <w:marBottom w:val="0"/>
      <w:divBdr>
        <w:top w:val="none" w:sz="0" w:space="0" w:color="auto"/>
        <w:left w:val="none" w:sz="0" w:space="0" w:color="auto"/>
        <w:bottom w:val="none" w:sz="0" w:space="0" w:color="auto"/>
        <w:right w:val="none" w:sz="0" w:space="0" w:color="auto"/>
      </w:divBdr>
      <w:divsChild>
        <w:div w:id="689601004">
          <w:marLeft w:val="0"/>
          <w:marRight w:val="0"/>
          <w:marTop w:val="0"/>
          <w:marBottom w:val="0"/>
          <w:divBdr>
            <w:top w:val="none" w:sz="0" w:space="0" w:color="auto"/>
            <w:left w:val="none" w:sz="0" w:space="0" w:color="auto"/>
            <w:bottom w:val="none" w:sz="0" w:space="0" w:color="auto"/>
            <w:right w:val="none" w:sz="0" w:space="0" w:color="auto"/>
          </w:divBdr>
          <w:divsChild>
            <w:div w:id="1020937512">
              <w:marLeft w:val="0"/>
              <w:marRight w:val="0"/>
              <w:marTop w:val="0"/>
              <w:marBottom w:val="0"/>
              <w:divBdr>
                <w:top w:val="none" w:sz="0" w:space="0" w:color="auto"/>
                <w:left w:val="none" w:sz="0" w:space="0" w:color="auto"/>
                <w:bottom w:val="none" w:sz="0" w:space="0" w:color="auto"/>
                <w:right w:val="none" w:sz="0" w:space="0" w:color="auto"/>
              </w:divBdr>
              <w:divsChild>
                <w:div w:id="171661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326188">
      <w:bodyDiv w:val="1"/>
      <w:marLeft w:val="0"/>
      <w:marRight w:val="0"/>
      <w:marTop w:val="0"/>
      <w:marBottom w:val="0"/>
      <w:divBdr>
        <w:top w:val="none" w:sz="0" w:space="0" w:color="auto"/>
        <w:left w:val="none" w:sz="0" w:space="0" w:color="auto"/>
        <w:bottom w:val="none" w:sz="0" w:space="0" w:color="auto"/>
        <w:right w:val="none" w:sz="0" w:space="0" w:color="auto"/>
      </w:divBdr>
      <w:divsChild>
        <w:div w:id="549267902">
          <w:marLeft w:val="0"/>
          <w:marRight w:val="0"/>
          <w:marTop w:val="0"/>
          <w:marBottom w:val="0"/>
          <w:divBdr>
            <w:top w:val="none" w:sz="0" w:space="0" w:color="auto"/>
            <w:left w:val="none" w:sz="0" w:space="0" w:color="auto"/>
            <w:bottom w:val="none" w:sz="0" w:space="0" w:color="auto"/>
            <w:right w:val="none" w:sz="0" w:space="0" w:color="auto"/>
          </w:divBdr>
          <w:divsChild>
            <w:div w:id="697314521">
              <w:marLeft w:val="0"/>
              <w:marRight w:val="0"/>
              <w:marTop w:val="0"/>
              <w:marBottom w:val="0"/>
              <w:divBdr>
                <w:top w:val="none" w:sz="0" w:space="0" w:color="auto"/>
                <w:left w:val="none" w:sz="0" w:space="0" w:color="auto"/>
                <w:bottom w:val="none" w:sz="0" w:space="0" w:color="auto"/>
                <w:right w:val="none" w:sz="0" w:space="0" w:color="auto"/>
              </w:divBdr>
              <w:divsChild>
                <w:div w:id="20655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rtercenter.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observademocracia.org/3366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DCCC21-5BAD-4541-8129-F968D8C6B584}">
  <ds:schemaRefs>
    <ds:schemaRef ds:uri="http://schemas.openxmlformats.org/officeDocument/2006/bibliography"/>
  </ds:schemaRefs>
</ds:datastoreItem>
</file>

<file path=customXml/itemProps2.xml><?xml version="1.0" encoding="utf-8"?>
<ds:datastoreItem xmlns:ds="http://schemas.openxmlformats.org/officeDocument/2006/customXml" ds:itemID="{6962D6C3-5E17-4289-B516-4049D5DB6EA9}"/>
</file>

<file path=customXml/itemProps3.xml><?xml version="1.0" encoding="utf-8"?>
<ds:datastoreItem xmlns:ds="http://schemas.openxmlformats.org/officeDocument/2006/customXml" ds:itemID="{655A001E-1D22-425F-9BC7-67C63983A98B}"/>
</file>

<file path=customXml/itemProps4.xml><?xml version="1.0" encoding="utf-8"?>
<ds:datastoreItem xmlns:ds="http://schemas.openxmlformats.org/officeDocument/2006/customXml" ds:itemID="{11373F06-333F-422E-A594-C0732DBE6EE8}"/>
</file>

<file path=docProps/app.xml><?xml version="1.0" encoding="utf-8"?>
<Properties xmlns="http://schemas.openxmlformats.org/officeDocument/2006/extended-properties" xmlns:vt="http://schemas.openxmlformats.org/officeDocument/2006/docPropsVTypes">
  <Template>Normal</Template>
  <TotalTime>7</TotalTime>
  <Pages>7</Pages>
  <Words>2446</Words>
  <Characters>14189</Characters>
  <Application>Microsoft Office Word</Application>
  <DocSecurity>0</DocSecurity>
  <Lines>308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Links>
    <vt:vector size="18" baseType="variant">
      <vt:variant>
        <vt:i4>4456540</vt:i4>
      </vt:variant>
      <vt:variant>
        <vt:i4>0</vt:i4>
      </vt:variant>
      <vt:variant>
        <vt:i4>0</vt:i4>
      </vt:variant>
      <vt:variant>
        <vt:i4>5</vt:i4>
      </vt:variant>
      <vt:variant>
        <vt:lpwstr>http://www.cartercenter.org/</vt:lpwstr>
      </vt:variant>
      <vt:variant>
        <vt:lpwstr/>
      </vt:variant>
      <vt:variant>
        <vt:i4>3080252</vt:i4>
      </vt:variant>
      <vt:variant>
        <vt:i4>0</vt:i4>
      </vt:variant>
      <vt:variant>
        <vt:i4>0</vt:i4>
      </vt:variant>
      <vt:variant>
        <vt:i4>5</vt:i4>
      </vt:variant>
      <vt:variant>
        <vt:lpwstr>https://www.observademocracia.org/33666-2/</vt:lpwstr>
      </vt:variant>
      <vt:variant>
        <vt:lpwstr/>
      </vt:variant>
      <vt:variant>
        <vt:i4>2359370</vt:i4>
      </vt:variant>
      <vt:variant>
        <vt:i4>0</vt:i4>
      </vt:variant>
      <vt:variant>
        <vt:i4>0</vt:i4>
      </vt:variant>
      <vt:variant>
        <vt:i4>5</vt:i4>
      </vt:variant>
      <vt:variant>
        <vt:lpwstr>mailto:Obehi.Okojie@cartercenter.org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Rebouças</dc:creator>
  <cp:keywords/>
  <dc:description/>
  <cp:lastModifiedBy>Obehi Okojie</cp:lastModifiedBy>
  <cp:revision>3</cp:revision>
  <dcterms:created xsi:type="dcterms:W3CDTF">2022-08-15T20:59:00Z</dcterms:created>
  <dcterms:modified xsi:type="dcterms:W3CDTF">2022-08-15T21:01:00Z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