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31831" w14:textId="12A94A0E" w:rsidR="00CA3B31" w:rsidRPr="00C27DD3" w:rsidRDefault="00020684" w:rsidP="00C27DD3">
      <w:pPr>
        <w:spacing w:line="240" w:lineRule="auto"/>
        <w:jc w:val="center"/>
        <w:rPr>
          <w:rFonts w:cs="Arial"/>
          <w:b/>
          <w:sz w:val="22"/>
        </w:rPr>
      </w:pPr>
      <w:r w:rsidRPr="00C27DD3">
        <w:rPr>
          <w:rFonts w:cs="Arial"/>
          <w:b/>
          <w:sz w:val="22"/>
        </w:rPr>
        <w:t>Informe</w:t>
      </w:r>
      <w:r w:rsidR="001968B9" w:rsidRPr="00C27DD3">
        <w:rPr>
          <w:rFonts w:cs="Arial"/>
          <w:b/>
          <w:sz w:val="22"/>
        </w:rPr>
        <w:t xml:space="preserve"> complementario sobre el cumplimiento </w:t>
      </w:r>
      <w:r w:rsidR="0051245A" w:rsidRPr="00C27DD3">
        <w:rPr>
          <w:rFonts w:cs="Arial"/>
          <w:b/>
          <w:sz w:val="22"/>
        </w:rPr>
        <w:t xml:space="preserve">en México </w:t>
      </w:r>
      <w:r w:rsidR="001968B9" w:rsidRPr="00C27DD3">
        <w:rPr>
          <w:rFonts w:cs="Arial"/>
          <w:b/>
          <w:sz w:val="22"/>
        </w:rPr>
        <w:t xml:space="preserve">de la </w:t>
      </w:r>
      <w:r w:rsidR="0051245A" w:rsidRPr="00C27DD3">
        <w:rPr>
          <w:rFonts w:cs="Arial"/>
          <w:b/>
          <w:sz w:val="22"/>
        </w:rPr>
        <w:t>Convención Internacional sobre la Eliminación de Todas las Formas de Discriminación Racial</w:t>
      </w:r>
    </w:p>
    <w:p w14:paraId="3E7A1E48" w14:textId="1A2E189F" w:rsidR="00020684" w:rsidRPr="00C27DD3" w:rsidRDefault="001968B9" w:rsidP="00C27DD3">
      <w:pPr>
        <w:spacing w:line="240" w:lineRule="auto"/>
        <w:jc w:val="center"/>
        <w:rPr>
          <w:rFonts w:cs="Arial"/>
          <w:i/>
          <w:sz w:val="22"/>
        </w:rPr>
      </w:pPr>
      <w:r w:rsidRPr="00C27DD3">
        <w:rPr>
          <w:rFonts w:cs="Arial"/>
          <w:i/>
          <w:sz w:val="22"/>
        </w:rPr>
        <w:t>Comité de Naciones Unidas para la Eliminación de la Discriminación Racial</w:t>
      </w:r>
    </w:p>
    <w:p w14:paraId="75733B0A" w14:textId="77777777" w:rsidR="001968B9" w:rsidRPr="00C27DD3" w:rsidRDefault="001968B9" w:rsidP="00C27DD3">
      <w:pPr>
        <w:spacing w:line="240" w:lineRule="auto"/>
        <w:jc w:val="center"/>
        <w:rPr>
          <w:rFonts w:cs="Arial"/>
          <w:b/>
          <w:sz w:val="22"/>
        </w:rPr>
      </w:pPr>
    </w:p>
    <w:p w14:paraId="2C05FA77" w14:textId="77777777" w:rsidR="007F6B72" w:rsidRPr="00C27DD3" w:rsidRDefault="007F6B72" w:rsidP="00C27DD3">
      <w:pPr>
        <w:spacing w:line="240" w:lineRule="auto"/>
        <w:jc w:val="both"/>
        <w:rPr>
          <w:rFonts w:cs="Arial"/>
          <w:sz w:val="22"/>
          <w:lang w:val="es-ES"/>
        </w:rPr>
      </w:pPr>
      <w:r w:rsidRPr="00C27DD3">
        <w:rPr>
          <w:rFonts w:cs="Arial"/>
          <w:sz w:val="22"/>
          <w:lang w:val="es-ES"/>
        </w:rPr>
        <w:t>La Comisión de Derechos Humanos del Distrito Federal (CDHDF) es un organismo público autónomo, con personalidad jurídica y patrimonio propio, cuyo objetivo es la protección, defensa, vigilancia, promoción, estudio, educación y difusión de los derechos humanos de las personas que habitan y transitan en la Ciudad de México (CDMX), así como el combate a toda forma de discriminación y exclusión, como consecuencia de un acto de autoridad en contra de cualquier persona o grupo social.</w:t>
      </w:r>
    </w:p>
    <w:p w14:paraId="7C667E85" w14:textId="77777777" w:rsidR="007F6B72" w:rsidRPr="00C27DD3" w:rsidRDefault="007F6B72" w:rsidP="00C27DD3">
      <w:pPr>
        <w:spacing w:line="240" w:lineRule="auto"/>
        <w:jc w:val="both"/>
        <w:rPr>
          <w:rFonts w:cs="Arial"/>
          <w:sz w:val="22"/>
          <w:lang w:val="es-ES"/>
        </w:rPr>
      </w:pPr>
    </w:p>
    <w:p w14:paraId="584F589D" w14:textId="20074034" w:rsidR="00541B87" w:rsidRPr="00C27DD3" w:rsidRDefault="00541B87" w:rsidP="00C27DD3">
      <w:pPr>
        <w:spacing w:line="240" w:lineRule="auto"/>
        <w:jc w:val="both"/>
        <w:rPr>
          <w:rFonts w:cs="Arial"/>
          <w:sz w:val="22"/>
          <w:lang w:val="es-ES"/>
        </w:rPr>
      </w:pPr>
      <w:r w:rsidRPr="00C27DD3">
        <w:rPr>
          <w:rFonts w:cs="Arial"/>
          <w:sz w:val="22"/>
          <w:lang w:val="es-ES"/>
        </w:rPr>
        <w:t xml:space="preserve">Con motivo de la 99ª sesión del Comité de Naciones Unidas para la Eliminación de la Discriminación Racial, en la que estudiará el informe periódico presentado por el Estado mexicano (XVIII a XXI), sobre el cumplimiento de la Convención </w:t>
      </w:r>
      <w:r w:rsidR="001968B9" w:rsidRPr="00C27DD3">
        <w:rPr>
          <w:rFonts w:cs="Arial"/>
          <w:sz w:val="22"/>
          <w:lang w:val="es-ES"/>
        </w:rPr>
        <w:t>Internacional sobre la Eliminación de Todas las Formas de Discriminación Racial</w:t>
      </w:r>
      <w:r w:rsidRPr="00C27DD3">
        <w:rPr>
          <w:rFonts w:cs="Arial"/>
          <w:sz w:val="22"/>
          <w:lang w:val="es-ES"/>
        </w:rPr>
        <w:t xml:space="preserve">, esta CDHDF elaboró el presente informe complementario, con el objetivo de allegar al Comité de información actualizada sobre diversos retos y pendientes en </w:t>
      </w:r>
      <w:r w:rsidR="001968B9" w:rsidRPr="00C27DD3">
        <w:rPr>
          <w:rFonts w:cs="Arial"/>
          <w:sz w:val="22"/>
          <w:lang w:val="es-ES"/>
        </w:rPr>
        <w:t xml:space="preserve">la </w:t>
      </w:r>
      <w:r w:rsidRPr="00C27DD3">
        <w:rPr>
          <w:rFonts w:cs="Arial"/>
          <w:sz w:val="22"/>
          <w:lang w:val="es-ES"/>
        </w:rPr>
        <w:t>materia en México, a partir de la experiencia y labor que este Organismo Público Autónomo realiza en la Ciudad de México desde hace 25 años.</w:t>
      </w:r>
    </w:p>
    <w:p w14:paraId="5136D0A6" w14:textId="252ED4EA" w:rsidR="00166F5D" w:rsidRPr="00C27DD3" w:rsidRDefault="00166F5D" w:rsidP="00C27DD3">
      <w:pPr>
        <w:spacing w:line="240" w:lineRule="auto"/>
        <w:jc w:val="both"/>
        <w:rPr>
          <w:rFonts w:cs="Arial"/>
          <w:sz w:val="22"/>
          <w:lang w:val="es-ES"/>
        </w:rPr>
      </w:pPr>
    </w:p>
    <w:p w14:paraId="63475661" w14:textId="6BF1F7B6" w:rsidR="00771324" w:rsidRPr="00C27DD3" w:rsidRDefault="006D5F44" w:rsidP="00771324">
      <w:pPr>
        <w:spacing w:line="240" w:lineRule="auto"/>
        <w:jc w:val="both"/>
        <w:rPr>
          <w:rFonts w:cs="Arial"/>
          <w:b/>
          <w:i/>
          <w:sz w:val="22"/>
          <w:lang w:val="es-ES"/>
        </w:rPr>
      </w:pPr>
      <w:r w:rsidRPr="00C27DD3">
        <w:rPr>
          <w:rFonts w:cs="Arial"/>
          <w:b/>
          <w:i/>
          <w:sz w:val="22"/>
          <w:lang w:val="es-ES"/>
        </w:rPr>
        <w:t>a)</w:t>
      </w:r>
      <w:r w:rsidR="00EA4752" w:rsidRPr="00C27DD3">
        <w:rPr>
          <w:rFonts w:cs="Arial"/>
          <w:b/>
          <w:i/>
          <w:sz w:val="22"/>
          <w:lang w:val="es-ES"/>
        </w:rPr>
        <w:t xml:space="preserve"> </w:t>
      </w:r>
      <w:r w:rsidR="00771324" w:rsidRPr="00771324">
        <w:rPr>
          <w:rFonts w:cs="Arial"/>
          <w:b/>
          <w:sz w:val="22"/>
          <w:u w:val="single"/>
          <w:lang w:val="es-ES"/>
        </w:rPr>
        <w:t>Normatividad en materia de no discriminación</w:t>
      </w:r>
    </w:p>
    <w:p w14:paraId="42C9BA07" w14:textId="1FC8F405" w:rsidR="00771324" w:rsidRPr="00C27DD3" w:rsidRDefault="00771324" w:rsidP="00771324">
      <w:pPr>
        <w:spacing w:line="240" w:lineRule="auto"/>
        <w:jc w:val="both"/>
        <w:rPr>
          <w:rFonts w:cs="Arial"/>
          <w:b/>
          <w:i/>
          <w:sz w:val="22"/>
          <w:lang w:val="es-ES"/>
        </w:rPr>
      </w:pPr>
      <w:r w:rsidRPr="00C46768">
        <w:rPr>
          <w:rFonts w:cs="Arial"/>
          <w:i/>
          <w:sz w:val="22"/>
          <w:lang w:val="es-ES"/>
        </w:rPr>
        <w:t>Párrafo</w:t>
      </w:r>
      <w:r w:rsidR="00C46768">
        <w:rPr>
          <w:rFonts w:cs="Arial"/>
          <w:i/>
          <w:sz w:val="22"/>
          <w:lang w:val="es-ES"/>
        </w:rPr>
        <w:t>s</w:t>
      </w:r>
      <w:r w:rsidRPr="00C46768">
        <w:rPr>
          <w:rFonts w:cs="Arial"/>
          <w:i/>
          <w:sz w:val="22"/>
          <w:lang w:val="es-ES"/>
        </w:rPr>
        <w:t xml:space="preserve"> del informe del Estado Mexicano: </w:t>
      </w:r>
      <w:r>
        <w:rPr>
          <w:rFonts w:cs="Arial"/>
          <w:i/>
          <w:sz w:val="22"/>
          <w:lang w:val="es-ES"/>
        </w:rPr>
        <w:t>7 y 15</w:t>
      </w:r>
      <w:r w:rsidRPr="00C27DD3">
        <w:rPr>
          <w:rFonts w:cs="Arial"/>
          <w:i/>
          <w:sz w:val="22"/>
          <w:lang w:val="es-ES"/>
        </w:rPr>
        <w:t>.</w:t>
      </w:r>
    </w:p>
    <w:p w14:paraId="3EEDF9EC" w14:textId="0C07EB1C" w:rsidR="00771324" w:rsidRDefault="00771324" w:rsidP="00C27DD3">
      <w:pPr>
        <w:spacing w:line="240" w:lineRule="auto"/>
        <w:jc w:val="both"/>
        <w:rPr>
          <w:rFonts w:cs="Arial"/>
          <w:b/>
          <w:i/>
          <w:sz w:val="22"/>
          <w:lang w:val="es-ES"/>
        </w:rPr>
      </w:pPr>
    </w:p>
    <w:p w14:paraId="091E78D4" w14:textId="77777777" w:rsidR="00414B3E" w:rsidRPr="00651068" w:rsidRDefault="004D3E16" w:rsidP="00C27DD3">
      <w:pPr>
        <w:spacing w:line="240" w:lineRule="auto"/>
        <w:jc w:val="both"/>
        <w:rPr>
          <w:rFonts w:cs="Arial"/>
          <w:sz w:val="22"/>
          <w:lang w:val="es-ES"/>
        </w:rPr>
      </w:pPr>
      <w:r w:rsidRPr="00651068">
        <w:rPr>
          <w:rFonts w:cs="Arial"/>
          <w:sz w:val="22"/>
          <w:lang w:val="es-ES"/>
        </w:rPr>
        <w:t>Es preciso resaltar</w:t>
      </w:r>
      <w:r w:rsidR="001A4EE0" w:rsidRPr="00651068">
        <w:rPr>
          <w:rFonts w:cs="Arial"/>
          <w:sz w:val="22"/>
          <w:lang w:val="es-ES"/>
        </w:rPr>
        <w:t xml:space="preserve"> </w:t>
      </w:r>
      <w:r w:rsidRPr="00651068">
        <w:rPr>
          <w:rFonts w:cs="Arial"/>
          <w:sz w:val="22"/>
          <w:lang w:val="es-ES"/>
        </w:rPr>
        <w:t>los avances normativos en la Ciudad de México, a partir de la adopción de la Constitución Política de la Ciudad de M</w:t>
      </w:r>
      <w:r w:rsidR="001A4EE0" w:rsidRPr="00651068">
        <w:rPr>
          <w:rFonts w:cs="Arial"/>
          <w:sz w:val="22"/>
          <w:lang w:val="es-ES"/>
        </w:rPr>
        <w:t>éxico (5 de febrero de 2017)</w:t>
      </w:r>
      <w:r w:rsidR="007C6CA1" w:rsidRPr="00651068">
        <w:rPr>
          <w:rStyle w:val="Refdenotaalpie"/>
          <w:rFonts w:cs="Arial"/>
          <w:sz w:val="22"/>
          <w:lang w:val="es-ES"/>
        </w:rPr>
        <w:footnoteReference w:id="1"/>
      </w:r>
      <w:r w:rsidR="001A4EE0" w:rsidRPr="00651068">
        <w:rPr>
          <w:rFonts w:cs="Arial"/>
          <w:sz w:val="22"/>
          <w:lang w:val="es-ES"/>
        </w:rPr>
        <w:t xml:space="preserve">, </w:t>
      </w:r>
      <w:r w:rsidR="00325F28" w:rsidRPr="00651068">
        <w:rPr>
          <w:rFonts w:cs="Arial"/>
          <w:sz w:val="22"/>
          <w:lang w:val="es-ES"/>
        </w:rPr>
        <w:t>ya que</w:t>
      </w:r>
      <w:r w:rsidR="00414B3E" w:rsidRPr="00651068">
        <w:rPr>
          <w:rFonts w:cs="Arial"/>
          <w:sz w:val="22"/>
          <w:lang w:val="es-ES"/>
        </w:rPr>
        <w:t>:</w:t>
      </w:r>
    </w:p>
    <w:p w14:paraId="51070EC1" w14:textId="77777777" w:rsidR="00414B3E" w:rsidRPr="00651068" w:rsidRDefault="00414B3E" w:rsidP="00414B3E">
      <w:pPr>
        <w:pStyle w:val="Prrafodelista"/>
        <w:numPr>
          <w:ilvl w:val="0"/>
          <w:numId w:val="27"/>
        </w:numPr>
        <w:spacing w:line="240" w:lineRule="auto"/>
        <w:jc w:val="both"/>
        <w:rPr>
          <w:rFonts w:cs="Arial"/>
          <w:sz w:val="22"/>
          <w:lang w:val="es-ES"/>
        </w:rPr>
      </w:pPr>
      <w:r w:rsidRPr="00651068">
        <w:rPr>
          <w:rFonts w:cs="Arial"/>
          <w:sz w:val="22"/>
          <w:lang w:val="es-ES"/>
        </w:rPr>
        <w:t>R</w:t>
      </w:r>
      <w:r w:rsidR="00325F28" w:rsidRPr="00651068">
        <w:rPr>
          <w:rFonts w:cs="Arial"/>
          <w:sz w:val="22"/>
          <w:lang w:val="es-ES"/>
        </w:rPr>
        <w:t xml:space="preserve">econoce </w:t>
      </w:r>
      <w:r w:rsidR="007C6CA1" w:rsidRPr="00651068">
        <w:rPr>
          <w:rFonts w:cs="Arial"/>
          <w:sz w:val="22"/>
          <w:lang w:val="es-ES"/>
        </w:rPr>
        <w:t>como principio rector la no discriminación (artículo 3, apartado 2, inciso a</w:t>
      </w:r>
      <w:r w:rsidR="00B16D07" w:rsidRPr="00651068">
        <w:rPr>
          <w:rFonts w:cs="Arial"/>
          <w:sz w:val="22"/>
          <w:lang w:val="es-ES"/>
        </w:rPr>
        <w:t>; art</w:t>
      </w:r>
      <w:r w:rsidRPr="00651068">
        <w:rPr>
          <w:rFonts w:cs="Arial"/>
          <w:sz w:val="22"/>
          <w:lang w:val="es-ES"/>
        </w:rPr>
        <w:t>ículo 4, apartado c).</w:t>
      </w:r>
    </w:p>
    <w:p w14:paraId="26D34ED7" w14:textId="62058207" w:rsidR="004D3E16" w:rsidRDefault="00414B3E" w:rsidP="00414B3E">
      <w:pPr>
        <w:pStyle w:val="Prrafodelista"/>
        <w:numPr>
          <w:ilvl w:val="0"/>
          <w:numId w:val="27"/>
        </w:numPr>
        <w:spacing w:line="240" w:lineRule="auto"/>
        <w:jc w:val="both"/>
        <w:rPr>
          <w:rFonts w:cs="Arial"/>
          <w:sz w:val="22"/>
          <w:lang w:val="es-ES"/>
        </w:rPr>
      </w:pPr>
      <w:r w:rsidRPr="00651068">
        <w:rPr>
          <w:sz w:val="22"/>
        </w:rPr>
        <w:t>“Prohíbe toda forma de discriminación, formal o de facto, que atente contra la dignidad humana o tenga por objeto o resultado la negación, exclusión, distinción, menoscabo, impedimento o restricción de los derechos de las personas, grupos y comunidades, motivada por origen étnico o nacional, apariencia física, color de piel, lengua, género, edad, discapacidades, condición social, situación migratoria, condiciones de salud, embarazo, religión, opiniones, preferencia sexual, orientación sexual, identidad de género, expresión de género, características sexuales, estado civil o cualquier otra. También se considerará discriminación la misoginia, cualquier manifestación de xenofobia, segregación racial, antisemitismo, islamofobia, así como la discriminación racial y otras formas conexas de intolerancia. La negación de ajustes razonables, proporcionales y objetivos, se considerará discriminación.”</w:t>
      </w:r>
      <w:r w:rsidRPr="00651068">
        <w:rPr>
          <w:rStyle w:val="Refdenotaalpie"/>
          <w:sz w:val="22"/>
        </w:rPr>
        <w:footnoteReference w:id="2"/>
      </w:r>
      <w:r w:rsidRPr="00651068">
        <w:rPr>
          <w:sz w:val="22"/>
        </w:rPr>
        <w:t xml:space="preserve"> </w:t>
      </w:r>
      <w:r w:rsidR="007C6CA1" w:rsidRPr="00651068">
        <w:rPr>
          <w:rFonts w:cs="Arial"/>
          <w:sz w:val="22"/>
          <w:lang w:val="es-ES"/>
        </w:rPr>
        <w:t xml:space="preserve"> </w:t>
      </w:r>
    </w:p>
    <w:p w14:paraId="085A3B49" w14:textId="0655031E" w:rsidR="00D14006" w:rsidRPr="00651068" w:rsidRDefault="00D14006" w:rsidP="00414B3E">
      <w:pPr>
        <w:pStyle w:val="Prrafodelista"/>
        <w:numPr>
          <w:ilvl w:val="0"/>
          <w:numId w:val="27"/>
        </w:numPr>
        <w:spacing w:line="240" w:lineRule="auto"/>
        <w:jc w:val="both"/>
        <w:rPr>
          <w:rFonts w:cs="Arial"/>
          <w:sz w:val="22"/>
          <w:lang w:val="es-ES"/>
        </w:rPr>
      </w:pPr>
      <w:r>
        <w:rPr>
          <w:rFonts w:cs="Arial"/>
          <w:sz w:val="22"/>
          <w:lang w:val="es-ES"/>
        </w:rPr>
        <w:t>Reconoce expresamente los derechos de: las personas afrodescendientes</w:t>
      </w:r>
      <w:r>
        <w:rPr>
          <w:rStyle w:val="Refdenotaalpie"/>
          <w:rFonts w:cs="Arial"/>
          <w:sz w:val="22"/>
          <w:lang w:val="es-ES"/>
        </w:rPr>
        <w:footnoteReference w:id="3"/>
      </w:r>
      <w:r>
        <w:rPr>
          <w:rFonts w:cs="Arial"/>
          <w:sz w:val="22"/>
          <w:lang w:val="es-ES"/>
        </w:rPr>
        <w:t xml:space="preserve">; </w:t>
      </w:r>
      <w:r w:rsidR="00126555">
        <w:rPr>
          <w:rFonts w:cs="Arial"/>
          <w:sz w:val="22"/>
          <w:lang w:val="es-ES"/>
        </w:rPr>
        <w:t>las personas de identidad indígena</w:t>
      </w:r>
      <w:r w:rsidR="00126555">
        <w:rPr>
          <w:rStyle w:val="Refdenotaalpie"/>
          <w:rFonts w:cs="Arial"/>
          <w:sz w:val="22"/>
          <w:lang w:val="es-ES"/>
        </w:rPr>
        <w:footnoteReference w:id="4"/>
      </w:r>
      <w:r w:rsidR="00126555">
        <w:rPr>
          <w:rFonts w:cs="Arial"/>
          <w:sz w:val="22"/>
          <w:lang w:val="es-ES"/>
        </w:rPr>
        <w:t>;</w:t>
      </w:r>
      <w:r w:rsidR="00D65E18">
        <w:rPr>
          <w:rFonts w:cs="Arial"/>
          <w:sz w:val="22"/>
          <w:lang w:val="es-ES"/>
        </w:rPr>
        <w:t xml:space="preserve"> las personas migrantes y sujetas de protección internacional</w:t>
      </w:r>
      <w:r w:rsidR="00D65E18">
        <w:rPr>
          <w:rStyle w:val="Refdenotaalpie"/>
          <w:rFonts w:cs="Arial"/>
          <w:sz w:val="22"/>
          <w:lang w:val="es-ES"/>
        </w:rPr>
        <w:footnoteReference w:id="5"/>
      </w:r>
      <w:r w:rsidR="00D65E18">
        <w:rPr>
          <w:rFonts w:cs="Arial"/>
          <w:sz w:val="22"/>
          <w:lang w:val="es-ES"/>
        </w:rPr>
        <w:t>;</w:t>
      </w:r>
      <w:r w:rsidR="00760780">
        <w:rPr>
          <w:rFonts w:cs="Arial"/>
          <w:sz w:val="22"/>
          <w:lang w:val="es-ES"/>
        </w:rPr>
        <w:t xml:space="preserve"> las personas en situación de calle</w:t>
      </w:r>
      <w:r w:rsidR="00760780">
        <w:rPr>
          <w:rStyle w:val="Refdenotaalpie"/>
          <w:rFonts w:cs="Arial"/>
          <w:sz w:val="22"/>
          <w:lang w:val="es-ES"/>
        </w:rPr>
        <w:footnoteReference w:id="6"/>
      </w:r>
      <w:r w:rsidR="00760780">
        <w:rPr>
          <w:rFonts w:cs="Arial"/>
          <w:sz w:val="22"/>
          <w:lang w:val="es-ES"/>
        </w:rPr>
        <w:t>;</w:t>
      </w:r>
      <w:r w:rsidR="00723CC4">
        <w:rPr>
          <w:rFonts w:cs="Arial"/>
          <w:sz w:val="22"/>
          <w:lang w:val="es-ES"/>
        </w:rPr>
        <w:t xml:space="preserve"> entre otros grupos de atención prioritaria.</w:t>
      </w:r>
    </w:p>
    <w:p w14:paraId="370D3184" w14:textId="77777777" w:rsidR="00771324" w:rsidRPr="00771324" w:rsidRDefault="00771324" w:rsidP="00C27DD3">
      <w:pPr>
        <w:spacing w:line="240" w:lineRule="auto"/>
        <w:jc w:val="both"/>
        <w:rPr>
          <w:rFonts w:cs="Arial"/>
          <w:b/>
          <w:sz w:val="22"/>
          <w:lang w:val="es-ES"/>
        </w:rPr>
      </w:pPr>
    </w:p>
    <w:p w14:paraId="292359DC" w14:textId="4308B23E" w:rsidR="00677EB9" w:rsidRPr="002457FC" w:rsidRDefault="002457FC" w:rsidP="00C27DD3">
      <w:pPr>
        <w:spacing w:line="240" w:lineRule="auto"/>
        <w:jc w:val="both"/>
        <w:rPr>
          <w:rFonts w:cs="Arial"/>
          <w:b/>
          <w:sz w:val="22"/>
          <w:lang w:val="es-ES"/>
        </w:rPr>
      </w:pPr>
      <w:r w:rsidRPr="002457FC">
        <w:rPr>
          <w:rFonts w:cs="Arial"/>
          <w:b/>
          <w:sz w:val="22"/>
          <w:lang w:val="es-ES"/>
        </w:rPr>
        <w:t>b)</w:t>
      </w:r>
      <w:r w:rsidR="00677EB9" w:rsidRPr="002457FC">
        <w:rPr>
          <w:rFonts w:cs="Arial"/>
          <w:b/>
          <w:sz w:val="22"/>
          <w:lang w:val="es-ES"/>
        </w:rPr>
        <w:t xml:space="preserve"> </w:t>
      </w:r>
      <w:r w:rsidR="007243F1" w:rsidRPr="002457FC">
        <w:rPr>
          <w:rFonts w:cs="Arial"/>
          <w:b/>
          <w:sz w:val="22"/>
          <w:u w:val="single"/>
          <w:lang w:val="es-ES"/>
        </w:rPr>
        <w:t>Protección para Personas Defensoras de Derechos Humanos y Periodistas</w:t>
      </w:r>
    </w:p>
    <w:p w14:paraId="4C3B1634" w14:textId="65187351" w:rsidR="00677EB9" w:rsidRPr="00C27DD3" w:rsidRDefault="00677EB9" w:rsidP="00C27DD3">
      <w:pPr>
        <w:spacing w:line="240" w:lineRule="auto"/>
        <w:jc w:val="both"/>
        <w:rPr>
          <w:rFonts w:cs="Arial"/>
          <w:b/>
          <w:i/>
          <w:sz w:val="22"/>
          <w:lang w:val="es-ES"/>
        </w:rPr>
      </w:pPr>
      <w:r w:rsidRPr="002457FC">
        <w:rPr>
          <w:rFonts w:cs="Arial"/>
          <w:i/>
          <w:sz w:val="22"/>
          <w:lang w:val="es-ES"/>
        </w:rPr>
        <w:t>Párrafo del informe del Estado Mexicano:</w:t>
      </w:r>
      <w:r w:rsidRPr="00C27DD3">
        <w:rPr>
          <w:rFonts w:cs="Arial"/>
          <w:b/>
          <w:i/>
          <w:sz w:val="22"/>
          <w:lang w:val="es-ES"/>
        </w:rPr>
        <w:t xml:space="preserve"> </w:t>
      </w:r>
      <w:r w:rsidR="00457344" w:rsidRPr="00C27DD3">
        <w:rPr>
          <w:rFonts w:cs="Arial"/>
          <w:i/>
          <w:sz w:val="22"/>
          <w:lang w:val="es-ES"/>
        </w:rPr>
        <w:t>19 a 24.</w:t>
      </w:r>
    </w:p>
    <w:p w14:paraId="30E23A76" w14:textId="2610B307" w:rsidR="00F703C2" w:rsidRPr="00C27DD3" w:rsidRDefault="00616B4A" w:rsidP="00C27DD3">
      <w:pPr>
        <w:spacing w:line="240" w:lineRule="auto"/>
        <w:jc w:val="both"/>
        <w:rPr>
          <w:rFonts w:cs="Arial"/>
          <w:sz w:val="22"/>
        </w:rPr>
      </w:pPr>
      <w:r w:rsidRPr="00C27DD3">
        <w:rPr>
          <w:rFonts w:cs="Arial"/>
          <w:sz w:val="22"/>
        </w:rPr>
        <w:lastRenderedPageBreak/>
        <w:t>Respecto del Mecanismo Nacional de Protección para Personas Defensoras de Derechos Humanos y Periodistas</w:t>
      </w:r>
      <w:r w:rsidR="00E45A6A" w:rsidRPr="00C27DD3">
        <w:rPr>
          <w:rFonts w:cs="Arial"/>
          <w:sz w:val="22"/>
        </w:rPr>
        <w:t>, OSC han señalado que las medidas de protección que brinda el Mecanismo, “a menudo son poco confiables, no se implementan adecuadamente y no toman en cuenta la realidad sobre el terreno en las diferentes regiones del país. En algunos casos, las medidas no han podido brindar protección suficiente: desde agosto de 2017, seis personas beneficiarias del Mecanismo han sido asesinadas”</w:t>
      </w:r>
      <w:r w:rsidR="00E45A6A" w:rsidRPr="00C27DD3">
        <w:rPr>
          <w:rStyle w:val="Refdenotaalpie"/>
          <w:rFonts w:cs="Arial"/>
          <w:sz w:val="22"/>
        </w:rPr>
        <w:footnoteReference w:id="7"/>
      </w:r>
      <w:r w:rsidR="00E45A6A" w:rsidRPr="00C27DD3">
        <w:rPr>
          <w:rFonts w:cs="Arial"/>
          <w:sz w:val="22"/>
        </w:rPr>
        <w:t xml:space="preserve">. </w:t>
      </w:r>
    </w:p>
    <w:p w14:paraId="01655686" w14:textId="77777777" w:rsidR="00F703C2" w:rsidRPr="00C27DD3" w:rsidRDefault="00F703C2" w:rsidP="00C27DD3">
      <w:pPr>
        <w:spacing w:line="240" w:lineRule="auto"/>
        <w:jc w:val="both"/>
        <w:rPr>
          <w:rFonts w:cs="Arial"/>
          <w:sz w:val="22"/>
        </w:rPr>
      </w:pPr>
    </w:p>
    <w:p w14:paraId="06C2AD79" w14:textId="794B946B" w:rsidR="00E45A6A" w:rsidRPr="00C27DD3" w:rsidRDefault="00E45A6A" w:rsidP="00C27DD3">
      <w:pPr>
        <w:spacing w:line="240" w:lineRule="auto"/>
        <w:jc w:val="both"/>
        <w:rPr>
          <w:rFonts w:cs="Arial"/>
          <w:sz w:val="22"/>
        </w:rPr>
      </w:pPr>
      <w:r w:rsidRPr="00C27DD3">
        <w:rPr>
          <w:rFonts w:cs="Arial"/>
          <w:sz w:val="22"/>
        </w:rPr>
        <w:t>En marzo de 2019, la Secretaría de Gobernación del Estado mexicano realizó una valoración del Mecanismo</w:t>
      </w:r>
      <w:r w:rsidR="00F703C2" w:rsidRPr="00C27DD3">
        <w:rPr>
          <w:rFonts w:cs="Arial"/>
          <w:sz w:val="22"/>
        </w:rPr>
        <w:t xml:space="preserve"> Nacional</w:t>
      </w:r>
      <w:r w:rsidRPr="00C27DD3">
        <w:rPr>
          <w:rFonts w:cs="Arial"/>
          <w:sz w:val="22"/>
        </w:rPr>
        <w:t xml:space="preserve"> e identificó diversas deficiencias, entre ellas: </w:t>
      </w:r>
    </w:p>
    <w:p w14:paraId="7585BED7" w14:textId="77777777" w:rsidR="00E45A6A" w:rsidRPr="00C27DD3" w:rsidRDefault="00E45A6A" w:rsidP="00C27DD3">
      <w:pPr>
        <w:pStyle w:val="Prrafodelista"/>
        <w:numPr>
          <w:ilvl w:val="0"/>
          <w:numId w:val="25"/>
        </w:numPr>
        <w:spacing w:after="160" w:line="240" w:lineRule="auto"/>
        <w:jc w:val="both"/>
        <w:rPr>
          <w:rFonts w:cs="Arial"/>
          <w:sz w:val="22"/>
        </w:rPr>
      </w:pPr>
      <w:r w:rsidRPr="00C27DD3">
        <w:rPr>
          <w:rFonts w:cs="Arial"/>
          <w:sz w:val="22"/>
        </w:rPr>
        <w:t>“Las acciones del Mecanismo son reactivas, burocráticas, con pocas medidas de prevención y no atienden al universo de los defensores […] (solamente a los que reportan situación de riesgo).</w:t>
      </w:r>
    </w:p>
    <w:p w14:paraId="26F72DAD" w14:textId="77777777" w:rsidR="00E45A6A" w:rsidRPr="00C27DD3" w:rsidRDefault="00E45A6A" w:rsidP="00C27DD3">
      <w:pPr>
        <w:pStyle w:val="Prrafodelista"/>
        <w:numPr>
          <w:ilvl w:val="0"/>
          <w:numId w:val="25"/>
        </w:numPr>
        <w:spacing w:after="160" w:line="240" w:lineRule="auto"/>
        <w:jc w:val="both"/>
        <w:rPr>
          <w:rFonts w:cs="Arial"/>
          <w:sz w:val="22"/>
        </w:rPr>
      </w:pPr>
      <w:r w:rsidRPr="00C27DD3">
        <w:rPr>
          <w:rFonts w:cs="Arial"/>
          <w:sz w:val="22"/>
        </w:rPr>
        <w:t>Existe una empresa privada que desde del origen del Mecanismo, otorga exclusivamente todas las medidas de protección y que tiene reportes de deficiencias en su operación, particularmente en sus dispositivos tecnológicos y de su personal.</w:t>
      </w:r>
    </w:p>
    <w:p w14:paraId="73A00B27" w14:textId="77777777" w:rsidR="00E45A6A" w:rsidRPr="00C27DD3" w:rsidRDefault="00E45A6A" w:rsidP="00C27DD3">
      <w:pPr>
        <w:pStyle w:val="Prrafodelista"/>
        <w:numPr>
          <w:ilvl w:val="0"/>
          <w:numId w:val="25"/>
        </w:numPr>
        <w:spacing w:after="160" w:line="240" w:lineRule="auto"/>
        <w:jc w:val="both"/>
        <w:rPr>
          <w:rFonts w:cs="Arial"/>
          <w:sz w:val="22"/>
        </w:rPr>
      </w:pPr>
      <w:r w:rsidRPr="00C27DD3">
        <w:rPr>
          <w:rFonts w:cs="Arial"/>
          <w:sz w:val="22"/>
        </w:rPr>
        <w:t>El presupuesto […] es insuficiente.</w:t>
      </w:r>
    </w:p>
    <w:p w14:paraId="5DD8D80B" w14:textId="77777777" w:rsidR="00E45A6A" w:rsidRPr="00C27DD3" w:rsidRDefault="00E45A6A" w:rsidP="00C27DD3">
      <w:pPr>
        <w:pStyle w:val="Prrafodelista"/>
        <w:numPr>
          <w:ilvl w:val="0"/>
          <w:numId w:val="25"/>
        </w:numPr>
        <w:spacing w:after="160" w:line="240" w:lineRule="auto"/>
        <w:jc w:val="both"/>
        <w:rPr>
          <w:rFonts w:cs="Arial"/>
          <w:sz w:val="22"/>
        </w:rPr>
      </w:pPr>
      <w:r w:rsidRPr="00C27DD3">
        <w:rPr>
          <w:rFonts w:cs="Arial"/>
          <w:sz w:val="22"/>
        </w:rPr>
        <w:t>Existe cooperación entre la Federación y las entidades federativas en esta tarea, pero no son normativamente vinculatorias, lo que genera discrecionalidad en la atención a beneficiarios.”</w:t>
      </w:r>
      <w:r w:rsidRPr="00C27DD3">
        <w:rPr>
          <w:rStyle w:val="Refdenotaalpie"/>
          <w:rFonts w:cs="Arial"/>
          <w:sz w:val="22"/>
        </w:rPr>
        <w:footnoteReference w:id="8"/>
      </w:r>
    </w:p>
    <w:p w14:paraId="62D8FF06" w14:textId="7C04E636" w:rsidR="00616B4A" w:rsidRPr="00C27DD3" w:rsidRDefault="00F84232" w:rsidP="00C27DD3">
      <w:pPr>
        <w:spacing w:line="240" w:lineRule="auto"/>
        <w:jc w:val="both"/>
        <w:rPr>
          <w:rFonts w:cs="Arial"/>
          <w:sz w:val="22"/>
        </w:rPr>
      </w:pPr>
      <w:r w:rsidRPr="00C27DD3">
        <w:rPr>
          <w:rFonts w:cs="Arial"/>
          <w:sz w:val="22"/>
        </w:rPr>
        <w:t>Además, s</w:t>
      </w:r>
      <w:r w:rsidR="00616B4A" w:rsidRPr="00C27DD3">
        <w:rPr>
          <w:rFonts w:cs="Arial"/>
          <w:sz w:val="22"/>
        </w:rPr>
        <w:t>e observa que</w:t>
      </w:r>
      <w:r w:rsidRPr="00C27DD3">
        <w:rPr>
          <w:rFonts w:cs="Arial"/>
          <w:sz w:val="22"/>
        </w:rPr>
        <w:t xml:space="preserve"> el Mecanismo Nacional</w:t>
      </w:r>
      <w:r w:rsidR="00616B4A" w:rsidRPr="00C27DD3">
        <w:rPr>
          <w:rFonts w:cs="Arial"/>
          <w:sz w:val="22"/>
        </w:rPr>
        <w:t xml:space="preserve"> sólo publica información estadística de las personas defensoras de derechos humanos asesinadas en 2018, pero no hace referencia a otro tipo de violencia y abusos</w:t>
      </w:r>
      <w:r w:rsidR="00616B4A" w:rsidRPr="00C27DD3">
        <w:rPr>
          <w:rStyle w:val="Refdenotaalpie"/>
          <w:rFonts w:cs="Arial"/>
          <w:sz w:val="22"/>
        </w:rPr>
        <w:footnoteReference w:id="9"/>
      </w:r>
      <w:r w:rsidR="00616B4A" w:rsidRPr="00C27DD3">
        <w:rPr>
          <w:rFonts w:cs="Arial"/>
          <w:sz w:val="22"/>
        </w:rPr>
        <w:t>, por lo que no genera datos estadísticos sobre otros tipos de agresiones y violencias, para la adopción de medidas preventivas y reactivas adecuadas y oportunas.</w:t>
      </w:r>
    </w:p>
    <w:p w14:paraId="11CF9519" w14:textId="77777777" w:rsidR="00677EB9" w:rsidRPr="00C27DD3" w:rsidRDefault="00677EB9" w:rsidP="00C27DD3">
      <w:pPr>
        <w:tabs>
          <w:tab w:val="left" w:pos="1085"/>
        </w:tabs>
        <w:spacing w:line="240" w:lineRule="auto"/>
        <w:rPr>
          <w:rFonts w:cs="Arial"/>
          <w:b/>
          <w:i/>
          <w:sz w:val="22"/>
          <w:lang w:val="es-ES"/>
        </w:rPr>
      </w:pPr>
    </w:p>
    <w:p w14:paraId="6E25F575" w14:textId="22382A4C" w:rsidR="00F703C2" w:rsidRPr="00C27DD3" w:rsidRDefault="00F703C2" w:rsidP="00C27DD3">
      <w:pPr>
        <w:spacing w:line="240" w:lineRule="auto"/>
        <w:jc w:val="both"/>
        <w:rPr>
          <w:rFonts w:cs="Arial"/>
          <w:sz w:val="22"/>
        </w:rPr>
      </w:pPr>
      <w:r w:rsidRPr="00C27DD3">
        <w:rPr>
          <w:rFonts w:cs="Arial"/>
          <w:sz w:val="22"/>
        </w:rPr>
        <w:t xml:space="preserve">A nivel local, en la Ciudad de México, se cuenta con </w:t>
      </w:r>
      <w:r w:rsidRPr="00C27DD3">
        <w:rPr>
          <w:rFonts w:cs="Arial"/>
          <w:sz w:val="22"/>
          <w:lang w:val="es-ES"/>
        </w:rPr>
        <w:t xml:space="preserve">el </w:t>
      </w:r>
      <w:r w:rsidRPr="00C27DD3">
        <w:rPr>
          <w:rFonts w:cs="Arial"/>
          <w:sz w:val="22"/>
        </w:rPr>
        <w:t>Mecanismo de Protección Integral de Personas Defensoras de Derechos Humanos y Periodistas de la Ciudad de México, creado apenas en el año 2015.</w:t>
      </w:r>
      <w:r w:rsidRPr="00C27DD3">
        <w:rPr>
          <w:rFonts w:cs="Arial"/>
          <w:sz w:val="22"/>
          <w:lang w:val="es-ES"/>
        </w:rPr>
        <w:t xml:space="preserve"> Esta CDHDF ha observado que el </w:t>
      </w:r>
      <w:r w:rsidRPr="00C27DD3">
        <w:rPr>
          <w:rFonts w:cs="Arial"/>
          <w:sz w:val="22"/>
        </w:rPr>
        <w:t>Mecanismo de Protección Integral de Personas Defensoras de Derechos Humanos y Periodistas de la Ciudad de México</w:t>
      </w:r>
      <w:r w:rsidRPr="00C27DD3">
        <w:rPr>
          <w:rFonts w:cs="Arial"/>
          <w:sz w:val="22"/>
          <w:lang w:val="es-ES"/>
        </w:rPr>
        <w:t xml:space="preserve"> no opera de manera íntegra y eficaz, ya que, a pesar de que la Ley que creó este Mecanismo fue publicada en agosto de 2015, fue hasta enero de 2018 que se instaló su Consejo Consultivo, órgano principal para la toma de decisiones. </w:t>
      </w:r>
    </w:p>
    <w:p w14:paraId="414688F5" w14:textId="77777777" w:rsidR="00F703C2" w:rsidRPr="00C27DD3" w:rsidRDefault="00F703C2" w:rsidP="00C27DD3">
      <w:pPr>
        <w:spacing w:before="100" w:beforeAutospacing="1" w:after="100" w:afterAutospacing="1" w:line="240" w:lineRule="auto"/>
        <w:jc w:val="both"/>
        <w:rPr>
          <w:rFonts w:cs="Arial"/>
          <w:sz w:val="22"/>
        </w:rPr>
      </w:pPr>
      <w:r w:rsidRPr="00C27DD3">
        <w:rPr>
          <w:rFonts w:cs="Arial"/>
          <w:sz w:val="22"/>
        </w:rPr>
        <w:t xml:space="preserve">Además, hace falta que las autoridades garanticen el adecuado y efectivo funcionamiento del Mecanismo local, garantizando que cuente con recursos materiales, económicos y humanos calificados y suficientes; que se genere una cultura de confianza y participación de las personas beneficiarias del Mecanismo, a través del diálogo permanente, la transparencia y la información clara sobre los alcances, limitaciones, requisitos y recursos. </w:t>
      </w:r>
    </w:p>
    <w:p w14:paraId="4A00F7CB" w14:textId="77777777" w:rsidR="00F703C2" w:rsidRPr="00C27DD3" w:rsidRDefault="00F703C2" w:rsidP="00C27DD3">
      <w:pPr>
        <w:spacing w:before="100" w:beforeAutospacing="1" w:after="100" w:afterAutospacing="1" w:line="240" w:lineRule="auto"/>
        <w:jc w:val="both"/>
        <w:rPr>
          <w:rFonts w:cs="Arial"/>
          <w:sz w:val="22"/>
        </w:rPr>
      </w:pPr>
      <w:r w:rsidRPr="00C27DD3">
        <w:rPr>
          <w:rFonts w:cs="Arial"/>
          <w:sz w:val="22"/>
        </w:rPr>
        <w:t xml:space="preserve">También hace falta que se garantice una debida articulación con el Mecanismo federal, a efecto de coadyuvar, complementar y reforzar las medidas; y que se diseñen protocolos para la implementación de acciones de reacción inmediata ante los casos de riesgo extremo, la elaboración de análisis de riesgo y el seguimiento de los esquemas de protección. Todo lo anterior, en aras de asegurar que las personas defensoras cuenten con </w:t>
      </w:r>
      <w:r w:rsidRPr="00C27DD3">
        <w:rPr>
          <w:rFonts w:cs="Arial"/>
          <w:sz w:val="22"/>
        </w:rPr>
        <w:lastRenderedPageBreak/>
        <w:t>la voluntad política y el compromiso de las autoridades para implementar correcta y oportunamente las medidas de protección conducentes</w:t>
      </w:r>
      <w:r w:rsidRPr="00C27DD3">
        <w:rPr>
          <w:rStyle w:val="Refdenotaalpie"/>
          <w:rFonts w:cs="Arial"/>
          <w:sz w:val="22"/>
        </w:rPr>
        <w:footnoteReference w:id="10"/>
      </w:r>
      <w:r w:rsidRPr="00C27DD3">
        <w:rPr>
          <w:rFonts w:cs="Arial"/>
          <w:sz w:val="22"/>
        </w:rPr>
        <w:t xml:space="preserve">. </w:t>
      </w:r>
    </w:p>
    <w:p w14:paraId="222F09F4" w14:textId="77777777" w:rsidR="00F703C2" w:rsidRPr="00C27DD3" w:rsidRDefault="00F703C2" w:rsidP="00C27DD3">
      <w:pPr>
        <w:spacing w:before="100" w:beforeAutospacing="1" w:after="100" w:afterAutospacing="1" w:line="240" w:lineRule="auto"/>
        <w:jc w:val="both"/>
        <w:rPr>
          <w:rFonts w:cs="Arial"/>
          <w:sz w:val="22"/>
        </w:rPr>
      </w:pPr>
      <w:r w:rsidRPr="00C27DD3">
        <w:rPr>
          <w:rFonts w:cs="Arial"/>
          <w:sz w:val="22"/>
        </w:rPr>
        <w:t>A su vez, llama la atención que el Mecanismo de la Ciudad de México no publica datos estadísticos de las agresiones contra personas defensoras de derechos humanos en la Ciudad, ni del número de personas solicitantes y beneficiarias del Mecanismo. Sólo publica periódicamente un documento denominado “Monitoreo situacional de la labor de personas defensoras de los derechos humanos y sobre el ejercicio de la libertad de expresión”</w:t>
      </w:r>
      <w:r w:rsidRPr="00C27DD3">
        <w:rPr>
          <w:rStyle w:val="Refdenotaalpie"/>
          <w:rFonts w:cs="Arial"/>
          <w:sz w:val="22"/>
        </w:rPr>
        <w:footnoteReference w:id="11"/>
      </w:r>
      <w:r w:rsidRPr="00C27DD3">
        <w:rPr>
          <w:rFonts w:cs="Arial"/>
          <w:sz w:val="22"/>
        </w:rPr>
        <w:t>, a pesar de que en realidad el contenido de estos es sólo una lista de notas periodísticas relacionadas con agresiones a periodistas y defensores, sin que contenga algún análisis de la información que identifique patrones de violaciones o cuestiones contextuales relevantes.</w:t>
      </w:r>
    </w:p>
    <w:p w14:paraId="42253F87" w14:textId="2201E576" w:rsidR="00ED51B0" w:rsidRPr="00C27DD3" w:rsidRDefault="00F703C2" w:rsidP="00C27DD3">
      <w:pPr>
        <w:spacing w:before="100" w:beforeAutospacing="1" w:after="100" w:afterAutospacing="1" w:line="240" w:lineRule="auto"/>
        <w:jc w:val="both"/>
        <w:rPr>
          <w:rFonts w:cs="Arial"/>
          <w:sz w:val="22"/>
        </w:rPr>
      </w:pPr>
      <w:r w:rsidRPr="00C27DD3">
        <w:rPr>
          <w:rFonts w:cs="Arial"/>
          <w:sz w:val="22"/>
        </w:rPr>
        <w:t>No obstante, resalta positivamente que el 29 de enero de 2019, la CDHDF celebró un convenio de colaboración interinstitucional</w:t>
      </w:r>
      <w:r w:rsidRPr="00C27DD3">
        <w:rPr>
          <w:rStyle w:val="Refdenotaalpie"/>
          <w:rFonts w:cs="Arial"/>
          <w:sz w:val="22"/>
        </w:rPr>
        <w:footnoteReference w:id="12"/>
      </w:r>
      <w:r w:rsidRPr="00C27DD3">
        <w:rPr>
          <w:rFonts w:cs="Arial"/>
          <w:sz w:val="22"/>
        </w:rPr>
        <w:t xml:space="preserve"> con el Mecanismo de Protección Integral de Personas Defensoras de Derechos Humanos y Periodistas de la Ciudad de México, con el objetivo de establecer las bases y mecanismos de colaboración en el ámbito de sus respectivas competencias, para conjugar esfuerzos y recursos, con la finalidad de garantizar los derechos humanos de las personas defensoras de derechos humanos en la Ciudad de México, de forma más efectiva.</w:t>
      </w:r>
    </w:p>
    <w:p w14:paraId="253EC429" w14:textId="66D67056" w:rsidR="00ED51B0" w:rsidRPr="00C27DD3" w:rsidRDefault="00EC4B5F" w:rsidP="00C27DD3">
      <w:pPr>
        <w:spacing w:line="240" w:lineRule="auto"/>
        <w:jc w:val="both"/>
        <w:rPr>
          <w:rFonts w:cs="Arial"/>
          <w:b/>
          <w:i/>
          <w:sz w:val="22"/>
          <w:u w:val="single"/>
          <w:lang w:val="es-ES"/>
        </w:rPr>
      </w:pPr>
      <w:r>
        <w:rPr>
          <w:rFonts w:cs="Arial"/>
          <w:b/>
          <w:i/>
          <w:sz w:val="22"/>
          <w:lang w:val="es-ES"/>
        </w:rPr>
        <w:t>b.1)</w:t>
      </w:r>
      <w:r w:rsidR="00ED51B0" w:rsidRPr="00C27DD3">
        <w:rPr>
          <w:rFonts w:cs="Arial"/>
          <w:i/>
          <w:sz w:val="22"/>
          <w:lang w:val="es-ES"/>
        </w:rPr>
        <w:t xml:space="preserve"> </w:t>
      </w:r>
      <w:r w:rsidR="008306C0" w:rsidRPr="00EC4B5F">
        <w:rPr>
          <w:rFonts w:cs="Arial"/>
          <w:b/>
          <w:sz w:val="22"/>
          <w:u w:val="single"/>
          <w:lang w:val="es-ES"/>
        </w:rPr>
        <w:t xml:space="preserve">Investigación de delitos cometidos contra </w:t>
      </w:r>
      <w:r w:rsidR="00ED51B0" w:rsidRPr="00EC4B5F">
        <w:rPr>
          <w:rFonts w:cs="Arial"/>
          <w:b/>
          <w:sz w:val="22"/>
          <w:u w:val="single"/>
          <w:lang w:val="es-ES"/>
        </w:rPr>
        <w:t>personas defensoras de derechos humanos y periodistas</w:t>
      </w:r>
    </w:p>
    <w:p w14:paraId="73F81249" w14:textId="42123A57" w:rsidR="00ED51B0" w:rsidRPr="00EC4B5F" w:rsidRDefault="00ED51B0" w:rsidP="00C27DD3">
      <w:pPr>
        <w:spacing w:line="240" w:lineRule="auto"/>
        <w:jc w:val="both"/>
        <w:rPr>
          <w:rFonts w:cs="Arial"/>
          <w:i/>
          <w:sz w:val="22"/>
          <w:lang w:val="es-ES"/>
        </w:rPr>
      </w:pPr>
      <w:r w:rsidRPr="00EC4B5F">
        <w:rPr>
          <w:rFonts w:cs="Arial"/>
          <w:i/>
          <w:sz w:val="22"/>
          <w:lang w:val="es-ES"/>
        </w:rPr>
        <w:t>Párrafo del informe del Estado Mexicano: 25.</w:t>
      </w:r>
    </w:p>
    <w:p w14:paraId="0AC114D1" w14:textId="77777777" w:rsidR="00885FA6" w:rsidRDefault="00885FA6" w:rsidP="00C27DD3">
      <w:pPr>
        <w:spacing w:line="240" w:lineRule="auto"/>
        <w:jc w:val="both"/>
        <w:rPr>
          <w:rFonts w:cs="Arial"/>
          <w:i/>
          <w:sz w:val="22"/>
          <w:lang w:val="es-ES"/>
        </w:rPr>
      </w:pPr>
    </w:p>
    <w:p w14:paraId="75E8C5BB" w14:textId="2E54EAD1" w:rsidR="00236928" w:rsidRPr="00C27DD3" w:rsidRDefault="008306C0" w:rsidP="00C27DD3">
      <w:pPr>
        <w:spacing w:line="240" w:lineRule="auto"/>
        <w:jc w:val="both"/>
        <w:rPr>
          <w:rFonts w:cs="Arial"/>
          <w:sz w:val="22"/>
        </w:rPr>
      </w:pPr>
      <w:r w:rsidRPr="00C27DD3">
        <w:rPr>
          <w:rFonts w:cs="Arial"/>
          <w:sz w:val="22"/>
          <w:lang w:val="es-ES"/>
        </w:rPr>
        <w:t>A pesar de la existencia de</w:t>
      </w:r>
      <w:r w:rsidR="003C05E8" w:rsidRPr="00C27DD3">
        <w:rPr>
          <w:rFonts w:cs="Arial"/>
          <w:sz w:val="22"/>
          <w:lang w:val="es-ES"/>
        </w:rPr>
        <w:t>l Mecanismo de Protección, de Protocolos de investigación especializados para este tipo de delitos y de la capacitación que recibe el personal ministerial de las Procuradurías,</w:t>
      </w:r>
      <w:r w:rsidR="00236928" w:rsidRPr="00C27DD3">
        <w:rPr>
          <w:rFonts w:cs="Arial"/>
          <w:sz w:val="22"/>
          <w:lang w:val="es-ES"/>
        </w:rPr>
        <w:t xml:space="preserve"> se ha identificado que </w:t>
      </w:r>
      <w:r w:rsidR="006D69EF" w:rsidRPr="00C27DD3">
        <w:rPr>
          <w:rFonts w:cs="Arial"/>
          <w:sz w:val="22"/>
        </w:rPr>
        <w:t xml:space="preserve">hay deficiencias en cuanto al análisis de contexto y la aplicación de enfoques diferenciados desde el primer momento en que se tiene conocimiento de delitos cometidos en contra de personas defensoras de derechos humanos. </w:t>
      </w:r>
      <w:r w:rsidR="006D69EF" w:rsidRPr="00C27DD3">
        <w:rPr>
          <w:rFonts w:cs="Arial"/>
          <w:sz w:val="22"/>
          <w:lang w:val="es-ES"/>
        </w:rPr>
        <w:t xml:space="preserve">Además, </w:t>
      </w:r>
      <w:r w:rsidR="00236928" w:rsidRPr="00C27DD3">
        <w:rPr>
          <w:rFonts w:cs="Arial"/>
          <w:sz w:val="22"/>
          <w:lang w:val="es-ES"/>
        </w:rPr>
        <w:t xml:space="preserve">no </w:t>
      </w:r>
      <w:r w:rsidR="00236928" w:rsidRPr="00C27DD3">
        <w:rPr>
          <w:rFonts w:cs="Arial"/>
          <w:sz w:val="22"/>
        </w:rPr>
        <w:t>se cuenta con bases de datos sistematizadas con datos desagregados sobre delitos contra periodistas y personas defensoras de derechos humanos, por lo cual “los ministerios públicos no pueden establecer patrones y conexiones entre los casos, ni identificar los modus operandi de los perpetradores.”</w:t>
      </w:r>
      <w:r w:rsidR="00236928" w:rsidRPr="00C27DD3">
        <w:rPr>
          <w:rStyle w:val="Refdenotaalpie"/>
          <w:rFonts w:cs="Arial"/>
          <w:sz w:val="22"/>
        </w:rPr>
        <w:footnoteReference w:id="13"/>
      </w:r>
    </w:p>
    <w:p w14:paraId="6DD765ED" w14:textId="77777777" w:rsidR="00236928" w:rsidRPr="00C27DD3" w:rsidRDefault="00236928" w:rsidP="00C27DD3">
      <w:pPr>
        <w:tabs>
          <w:tab w:val="left" w:pos="1085"/>
        </w:tabs>
        <w:spacing w:line="240" w:lineRule="auto"/>
        <w:jc w:val="both"/>
        <w:rPr>
          <w:rFonts w:cs="Arial"/>
          <w:sz w:val="22"/>
          <w:lang w:val="es-ES"/>
        </w:rPr>
      </w:pPr>
    </w:p>
    <w:p w14:paraId="226880E8" w14:textId="647FF071" w:rsidR="00EC5A4F" w:rsidRPr="00C27DD3" w:rsidRDefault="00236928" w:rsidP="00C27DD3">
      <w:pPr>
        <w:spacing w:line="240" w:lineRule="auto"/>
        <w:jc w:val="both"/>
        <w:rPr>
          <w:rFonts w:cs="Arial"/>
          <w:sz w:val="22"/>
        </w:rPr>
      </w:pPr>
      <w:r w:rsidRPr="00C27DD3">
        <w:rPr>
          <w:rFonts w:cs="Arial"/>
          <w:sz w:val="22"/>
          <w:lang w:val="es-ES"/>
        </w:rPr>
        <w:t xml:space="preserve">A su vez, </w:t>
      </w:r>
      <w:r w:rsidR="00EC5A4F" w:rsidRPr="00C27DD3">
        <w:rPr>
          <w:rFonts w:cs="Arial"/>
          <w:sz w:val="22"/>
        </w:rPr>
        <w:t xml:space="preserve">esta CDHDF ha identificado que uno de los principales obstáculos es la falta de respuesta oportuna y efectiva por parte de las autoridades encargadas de procurar justicia en México. Esta situación no es exclusiva de delitos contra personas defensoras de derechos humanos, sino que es una situación general de falta de garantía del derecho de acceso a la justicia, así como de falta de debida diligencia en la actuación de las autoridades respecto de riesgos conocidos contra personas en situación de vulnerabilidad, como las personas defensoras de derechos humanos. </w:t>
      </w:r>
    </w:p>
    <w:p w14:paraId="1B380BA0" w14:textId="77777777" w:rsidR="00EC5A4F" w:rsidRPr="00C27DD3" w:rsidRDefault="00EC5A4F" w:rsidP="00C27DD3">
      <w:pPr>
        <w:spacing w:line="240" w:lineRule="auto"/>
        <w:jc w:val="both"/>
        <w:rPr>
          <w:rFonts w:cs="Arial"/>
          <w:sz w:val="22"/>
        </w:rPr>
      </w:pPr>
    </w:p>
    <w:p w14:paraId="1E260E50" w14:textId="3A4E0715" w:rsidR="00EC5A4F" w:rsidRPr="00C27DD3" w:rsidRDefault="00EC5A4F" w:rsidP="00C27DD3">
      <w:pPr>
        <w:spacing w:line="240" w:lineRule="auto"/>
        <w:jc w:val="both"/>
        <w:rPr>
          <w:rFonts w:cs="Arial"/>
          <w:sz w:val="22"/>
        </w:rPr>
      </w:pPr>
      <w:r w:rsidRPr="00C27DD3">
        <w:rPr>
          <w:rFonts w:cs="Arial"/>
          <w:sz w:val="22"/>
        </w:rPr>
        <w:t xml:space="preserve">La negligencia de las autoridades en su respuesta e investigación de las agresiones cometidas en contra de personas defensoras perpetúan la impunidad y minan el ejercicio </w:t>
      </w:r>
      <w:r w:rsidRPr="00C27DD3">
        <w:rPr>
          <w:rFonts w:cs="Arial"/>
          <w:sz w:val="22"/>
        </w:rPr>
        <w:lastRenderedPageBreak/>
        <w:t>del derecho a defender los derechos humanos en México. Esta CDHDF ha documentado múltiples omisiones a la debida diligencia en la investigación de homicidios y feminicidios de personas defensoras de derechos humanos, por ejemplo</w:t>
      </w:r>
      <w:r w:rsidRPr="00C27DD3">
        <w:rPr>
          <w:rStyle w:val="Refdenotaalpie"/>
          <w:rFonts w:cs="Arial"/>
          <w:sz w:val="22"/>
        </w:rPr>
        <w:footnoteReference w:id="14"/>
      </w:r>
      <w:r w:rsidRPr="00C27DD3">
        <w:rPr>
          <w:rFonts w:cs="Arial"/>
          <w:sz w:val="22"/>
        </w:rPr>
        <w:t>: omisión de preservar el lugar de los hechos; omisión de agotar todas las líneas de investigación; omisión resguardar la información contenida en la averiguación previa; y omisiones en la práctica de las necropsias de los cuerpos de las víctimas.</w:t>
      </w:r>
    </w:p>
    <w:p w14:paraId="5E728645" w14:textId="77777777" w:rsidR="00EC5A4F" w:rsidRPr="00C27DD3" w:rsidRDefault="00EC5A4F" w:rsidP="00C27DD3">
      <w:pPr>
        <w:spacing w:line="240" w:lineRule="auto"/>
        <w:jc w:val="both"/>
        <w:rPr>
          <w:rFonts w:cs="Arial"/>
          <w:sz w:val="22"/>
        </w:rPr>
      </w:pPr>
    </w:p>
    <w:p w14:paraId="34FFD839" w14:textId="3E631B45" w:rsidR="00EC5A4F" w:rsidRPr="00C27DD3" w:rsidRDefault="00EC5A4F" w:rsidP="00C27DD3">
      <w:pPr>
        <w:spacing w:line="240" w:lineRule="auto"/>
        <w:jc w:val="both"/>
        <w:rPr>
          <w:rFonts w:cs="Arial"/>
          <w:sz w:val="22"/>
          <w:lang w:val="es-ES"/>
        </w:rPr>
      </w:pPr>
      <w:r w:rsidRPr="00C27DD3">
        <w:rPr>
          <w:rFonts w:cs="Arial"/>
          <w:sz w:val="22"/>
        </w:rPr>
        <w:t>Asimismo, se ha identificado la falta de capacitación del personal policial y ministerial para la aplicación de los “</w:t>
      </w:r>
      <w:r w:rsidRPr="00C27DD3">
        <w:rPr>
          <w:rFonts w:cs="Arial"/>
          <w:i/>
          <w:sz w:val="22"/>
          <w:lang w:val="es-ES"/>
        </w:rPr>
        <w:t>Lineamientos respecto a la investigación e integración de averiguaciones previas donde se encuentren involucradas personas defensoras de los derechos humanos como víctimas de delitos, por el ejercicio de sus funciones o con motivo de ellas”</w:t>
      </w:r>
      <w:r w:rsidRPr="00C27DD3">
        <w:rPr>
          <w:rStyle w:val="Refdenotaalpie"/>
          <w:rFonts w:cs="Arial"/>
          <w:i/>
          <w:sz w:val="22"/>
          <w:lang w:val="es-ES"/>
        </w:rPr>
        <w:footnoteReference w:id="15"/>
      </w:r>
      <w:r w:rsidRPr="00C27DD3">
        <w:rPr>
          <w:rFonts w:cs="Arial"/>
          <w:i/>
          <w:sz w:val="22"/>
          <w:lang w:val="es-ES"/>
        </w:rPr>
        <w:t xml:space="preserve">, </w:t>
      </w:r>
      <w:r w:rsidRPr="00C27DD3">
        <w:rPr>
          <w:rFonts w:cs="Arial"/>
          <w:sz w:val="22"/>
          <w:lang w:val="es-ES"/>
        </w:rPr>
        <w:t>aunado a que las personas denunciantes son víctimas de intimidación y revictimización por parte de las autoridades de procuración de justicia, además de la dilación en las investigaciones</w:t>
      </w:r>
      <w:r w:rsidRPr="00C27DD3">
        <w:rPr>
          <w:rStyle w:val="Refdenotaalpie"/>
          <w:rFonts w:cs="Arial"/>
          <w:sz w:val="22"/>
          <w:lang w:val="es-ES"/>
        </w:rPr>
        <w:footnoteReference w:id="16"/>
      </w:r>
      <w:r w:rsidRPr="00C27DD3">
        <w:rPr>
          <w:rFonts w:cs="Arial"/>
          <w:sz w:val="22"/>
          <w:lang w:val="es-ES"/>
        </w:rPr>
        <w:t>.</w:t>
      </w:r>
    </w:p>
    <w:p w14:paraId="7B1A0A51" w14:textId="77777777" w:rsidR="00EC5A4F" w:rsidRPr="00C27DD3" w:rsidRDefault="00EC5A4F" w:rsidP="00C27DD3">
      <w:pPr>
        <w:spacing w:line="240" w:lineRule="auto"/>
        <w:jc w:val="both"/>
        <w:rPr>
          <w:rFonts w:cs="Arial"/>
          <w:sz w:val="22"/>
        </w:rPr>
      </w:pPr>
    </w:p>
    <w:p w14:paraId="5616CF48" w14:textId="7E29F2C6" w:rsidR="00EC5A4F" w:rsidRPr="00C27DD3" w:rsidRDefault="00EC5A4F" w:rsidP="00C27DD3">
      <w:pPr>
        <w:spacing w:line="240" w:lineRule="auto"/>
        <w:jc w:val="both"/>
        <w:rPr>
          <w:rFonts w:cs="Arial"/>
          <w:sz w:val="22"/>
        </w:rPr>
      </w:pPr>
      <w:r w:rsidRPr="00C27DD3">
        <w:rPr>
          <w:rFonts w:cs="Arial"/>
          <w:sz w:val="22"/>
        </w:rPr>
        <w:t>En relación con lo anterior, la CNDH identifica como obstáculo: “la reiterada omisión por parte del Estado Mexicano de establecer protocolos de investigación en los que sea obligatorio y prioritario identificar a las personas defensoras víctimas de delitos en relación con el contexto sociopolítico inherente al desempeño de sus actividades”</w:t>
      </w:r>
      <w:r w:rsidRPr="00C27DD3">
        <w:rPr>
          <w:rStyle w:val="Refdenotaalpie"/>
          <w:rFonts w:cs="Arial"/>
          <w:sz w:val="22"/>
        </w:rPr>
        <w:footnoteReference w:id="17"/>
      </w:r>
      <w:r w:rsidRPr="00C27DD3">
        <w:rPr>
          <w:rFonts w:cs="Arial"/>
          <w:sz w:val="22"/>
        </w:rPr>
        <w:t>.</w:t>
      </w:r>
    </w:p>
    <w:p w14:paraId="2A538619" w14:textId="77777777" w:rsidR="00EC5A4F" w:rsidRPr="00C27DD3" w:rsidRDefault="00EC5A4F" w:rsidP="00C27DD3">
      <w:pPr>
        <w:spacing w:line="240" w:lineRule="auto"/>
        <w:jc w:val="both"/>
        <w:rPr>
          <w:rFonts w:cs="Arial"/>
          <w:sz w:val="22"/>
        </w:rPr>
      </w:pPr>
    </w:p>
    <w:p w14:paraId="441AEF6C" w14:textId="77777777" w:rsidR="00EC5A4F" w:rsidRPr="00C27DD3" w:rsidRDefault="00EC5A4F" w:rsidP="00C27DD3">
      <w:pPr>
        <w:spacing w:line="240" w:lineRule="auto"/>
        <w:jc w:val="both"/>
        <w:rPr>
          <w:rFonts w:cs="Arial"/>
          <w:sz w:val="22"/>
        </w:rPr>
      </w:pPr>
      <w:r w:rsidRPr="00C27DD3">
        <w:rPr>
          <w:rFonts w:cs="Arial"/>
          <w:sz w:val="22"/>
        </w:rPr>
        <w:t xml:space="preserve">Por otro lado, los diferentes sectores de atención prioritaria como son mujeres defensoras, personas defensoras de pueblos indígenas o aquellas que ejercen su trabajo en zonas rurales presentan desafíos específicos que deben analizarse, a partir de los impactos diferenciados que la impunidad generalizada en la procuración de justicia genera hacia estos grupos. </w:t>
      </w:r>
    </w:p>
    <w:p w14:paraId="5FD8AA48" w14:textId="54DFA277" w:rsidR="00ED51B0" w:rsidRPr="00C27DD3" w:rsidRDefault="00ED51B0" w:rsidP="00C27DD3">
      <w:pPr>
        <w:tabs>
          <w:tab w:val="left" w:pos="1085"/>
        </w:tabs>
        <w:spacing w:line="240" w:lineRule="auto"/>
        <w:jc w:val="both"/>
        <w:rPr>
          <w:rFonts w:cs="Arial"/>
          <w:sz w:val="22"/>
        </w:rPr>
      </w:pPr>
    </w:p>
    <w:p w14:paraId="7B80B8C3" w14:textId="7162F112" w:rsidR="00677EB9" w:rsidRPr="00C27DD3" w:rsidRDefault="006D5F44" w:rsidP="00C27DD3">
      <w:pPr>
        <w:spacing w:line="240" w:lineRule="auto"/>
        <w:jc w:val="both"/>
        <w:rPr>
          <w:rFonts w:cs="Arial"/>
          <w:b/>
          <w:i/>
          <w:sz w:val="22"/>
          <w:lang w:val="es-ES"/>
        </w:rPr>
      </w:pPr>
      <w:r w:rsidRPr="00C27DD3">
        <w:rPr>
          <w:rFonts w:cs="Arial"/>
          <w:b/>
          <w:i/>
          <w:sz w:val="22"/>
          <w:lang w:val="es-ES"/>
        </w:rPr>
        <w:t>c)</w:t>
      </w:r>
      <w:r w:rsidR="00EA4752" w:rsidRPr="00C27DD3">
        <w:rPr>
          <w:rFonts w:cs="Arial"/>
          <w:b/>
          <w:i/>
          <w:sz w:val="22"/>
          <w:lang w:val="es-ES"/>
        </w:rPr>
        <w:t xml:space="preserve"> </w:t>
      </w:r>
      <w:r w:rsidRPr="00885FA6">
        <w:rPr>
          <w:rFonts w:cs="Arial"/>
          <w:b/>
          <w:sz w:val="22"/>
          <w:u w:val="single"/>
          <w:lang w:val="es-ES"/>
        </w:rPr>
        <w:t>Personas migrantes y sujetas de protección internacional</w:t>
      </w:r>
    </w:p>
    <w:p w14:paraId="143CFE50" w14:textId="2EB9CF89" w:rsidR="00677EB9" w:rsidRPr="00885FA6" w:rsidRDefault="00677EB9" w:rsidP="00C27DD3">
      <w:pPr>
        <w:spacing w:line="240" w:lineRule="auto"/>
        <w:jc w:val="both"/>
        <w:rPr>
          <w:rFonts w:cs="Arial"/>
          <w:i/>
          <w:sz w:val="22"/>
          <w:lang w:val="es-ES"/>
        </w:rPr>
      </w:pPr>
      <w:r w:rsidRPr="00885FA6">
        <w:rPr>
          <w:rFonts w:cs="Arial"/>
          <w:i/>
          <w:sz w:val="22"/>
          <w:lang w:val="es-ES"/>
        </w:rPr>
        <w:t>Párrafo</w:t>
      </w:r>
      <w:r w:rsidR="00885FA6">
        <w:rPr>
          <w:rFonts w:cs="Arial"/>
          <w:i/>
          <w:sz w:val="22"/>
          <w:lang w:val="es-ES"/>
        </w:rPr>
        <w:t>s</w:t>
      </w:r>
      <w:r w:rsidRPr="00885FA6">
        <w:rPr>
          <w:rFonts w:cs="Arial"/>
          <w:i/>
          <w:sz w:val="22"/>
          <w:lang w:val="es-ES"/>
        </w:rPr>
        <w:t xml:space="preserve"> del informe del Estado Mexicano: 29 a 74.</w:t>
      </w:r>
    </w:p>
    <w:p w14:paraId="0CD084B8" w14:textId="77777777" w:rsidR="00677EB9" w:rsidRDefault="00677EB9" w:rsidP="00C27DD3">
      <w:pPr>
        <w:tabs>
          <w:tab w:val="left" w:pos="1085"/>
        </w:tabs>
        <w:spacing w:line="240" w:lineRule="auto"/>
        <w:rPr>
          <w:rFonts w:cs="Arial"/>
          <w:sz w:val="22"/>
        </w:rPr>
      </w:pPr>
    </w:p>
    <w:p w14:paraId="08769317" w14:textId="039C6309" w:rsidR="00AC5103" w:rsidRDefault="00AC5103" w:rsidP="00AC5103">
      <w:pPr>
        <w:tabs>
          <w:tab w:val="left" w:pos="1085"/>
        </w:tabs>
        <w:spacing w:line="240" w:lineRule="auto"/>
        <w:jc w:val="both"/>
        <w:rPr>
          <w:rFonts w:cs="Arial"/>
          <w:sz w:val="22"/>
          <w:lang w:val="es-ES"/>
        </w:rPr>
      </w:pPr>
      <w:r>
        <w:rPr>
          <w:rFonts w:cs="Arial"/>
          <w:sz w:val="22"/>
        </w:rPr>
        <w:t>En lo relativo a la Ciudad de México, es importante destacar que a partir de la reciente Constitución Política publicada el 5 de febrero de 2017</w:t>
      </w:r>
      <w:r w:rsidRPr="00651068">
        <w:rPr>
          <w:rStyle w:val="Refdenotaalpie"/>
          <w:rFonts w:cs="Arial"/>
          <w:sz w:val="22"/>
          <w:lang w:val="es-ES"/>
        </w:rPr>
        <w:footnoteReference w:id="18"/>
      </w:r>
      <w:r w:rsidRPr="00651068">
        <w:rPr>
          <w:rFonts w:cs="Arial"/>
          <w:sz w:val="22"/>
          <w:lang w:val="es-ES"/>
        </w:rPr>
        <w:t>,</w:t>
      </w:r>
      <w:r>
        <w:rPr>
          <w:rFonts w:cs="Arial"/>
          <w:sz w:val="22"/>
          <w:lang w:val="es-ES"/>
        </w:rPr>
        <w:t xml:space="preserve"> reconoce que la Ciudad se </w:t>
      </w:r>
      <w:r w:rsidRPr="00AC5103">
        <w:rPr>
          <w:rFonts w:cs="Arial"/>
          <w:i/>
          <w:sz w:val="22"/>
          <w:lang w:val="es-ES"/>
        </w:rPr>
        <w:t>enriquece con el tránsito, destino y retorno de la migración nacional e internacional</w:t>
      </w:r>
      <w:r w:rsidR="00265A76">
        <w:rPr>
          <w:rFonts w:cs="Arial"/>
          <w:sz w:val="22"/>
          <w:lang w:val="es-ES"/>
        </w:rPr>
        <w:t>; asumiendo como grupos de atención prioritaria a las personas migrantes y sujetas de protección internacional y en otro contexto de movilidad humana, en su artículo 11 que aborda la Ciudad Incluyente.</w:t>
      </w:r>
    </w:p>
    <w:p w14:paraId="4A69DBD4" w14:textId="77777777" w:rsidR="00265A76" w:rsidRDefault="00265A76" w:rsidP="00AC5103">
      <w:pPr>
        <w:tabs>
          <w:tab w:val="left" w:pos="1085"/>
        </w:tabs>
        <w:spacing w:line="240" w:lineRule="auto"/>
        <w:jc w:val="both"/>
        <w:rPr>
          <w:rFonts w:cs="Arial"/>
          <w:sz w:val="22"/>
          <w:lang w:val="es-ES"/>
        </w:rPr>
      </w:pPr>
    </w:p>
    <w:p w14:paraId="236577A0" w14:textId="1749C22F" w:rsidR="00265A76" w:rsidRPr="00C27DD3" w:rsidRDefault="00265A76" w:rsidP="00AC5103">
      <w:pPr>
        <w:tabs>
          <w:tab w:val="left" w:pos="1085"/>
        </w:tabs>
        <w:spacing w:line="240" w:lineRule="auto"/>
        <w:jc w:val="both"/>
        <w:rPr>
          <w:rFonts w:cs="Arial"/>
          <w:sz w:val="22"/>
        </w:rPr>
      </w:pPr>
      <w:r>
        <w:rPr>
          <w:rFonts w:cs="Arial"/>
          <w:sz w:val="22"/>
        </w:rPr>
        <w:t>Lo anterior independientemente de la situación jurídica, evitando la criminalización</w:t>
      </w:r>
      <w:r w:rsidR="00687A6F">
        <w:rPr>
          <w:rFonts w:cs="Arial"/>
          <w:sz w:val="22"/>
        </w:rPr>
        <w:t>,</w:t>
      </w:r>
      <w:r>
        <w:rPr>
          <w:rFonts w:cs="Arial"/>
          <w:sz w:val="22"/>
        </w:rPr>
        <w:t xml:space="preserve"> y bajo los criterios de hospitalidad, solidaridad, interculturalidad e inclusión.</w:t>
      </w:r>
    </w:p>
    <w:p w14:paraId="59129E04" w14:textId="77777777" w:rsidR="00AC5103" w:rsidRDefault="00AC5103" w:rsidP="00AC5103">
      <w:pPr>
        <w:tabs>
          <w:tab w:val="left" w:pos="1085"/>
        </w:tabs>
        <w:spacing w:line="240" w:lineRule="auto"/>
        <w:jc w:val="both"/>
        <w:rPr>
          <w:rFonts w:cs="Arial"/>
          <w:sz w:val="22"/>
        </w:rPr>
      </w:pPr>
    </w:p>
    <w:p w14:paraId="3F8D710C" w14:textId="77777777" w:rsidR="005F72BE" w:rsidRDefault="005F72BE" w:rsidP="008741F2">
      <w:pPr>
        <w:tabs>
          <w:tab w:val="left" w:pos="1085"/>
        </w:tabs>
        <w:spacing w:line="240" w:lineRule="auto"/>
        <w:jc w:val="both"/>
        <w:rPr>
          <w:rFonts w:cs="Arial"/>
          <w:sz w:val="22"/>
        </w:rPr>
      </w:pPr>
    </w:p>
    <w:p w14:paraId="222BA434" w14:textId="02059764" w:rsidR="008741F2" w:rsidRPr="00F966DE" w:rsidRDefault="003073F8" w:rsidP="008741F2">
      <w:pPr>
        <w:tabs>
          <w:tab w:val="left" w:pos="1085"/>
        </w:tabs>
        <w:spacing w:line="240" w:lineRule="auto"/>
        <w:jc w:val="both"/>
        <w:rPr>
          <w:sz w:val="22"/>
        </w:rPr>
      </w:pPr>
      <w:bookmarkStart w:id="0" w:name="_GoBack"/>
      <w:bookmarkEnd w:id="0"/>
      <w:r>
        <w:rPr>
          <w:rFonts w:cs="Arial"/>
          <w:sz w:val="22"/>
        </w:rPr>
        <w:lastRenderedPageBreak/>
        <w:t>En cuanto a la protección de Niñas, Niños y Adolescentes (NNA) migrantes, s</w:t>
      </w:r>
      <w:r w:rsidR="00265A76" w:rsidRPr="008741F2">
        <w:rPr>
          <w:rFonts w:cs="Arial"/>
          <w:sz w:val="22"/>
        </w:rPr>
        <w:t>i bien desde el 2015 se cuenta con una Ley General de Derechos de  Niñas, Niños y Adolescentes (LGDNNA)</w:t>
      </w:r>
      <w:r w:rsidR="008741F2">
        <w:rPr>
          <w:rFonts w:cs="Arial"/>
          <w:sz w:val="22"/>
        </w:rPr>
        <w:t xml:space="preserve"> </w:t>
      </w:r>
      <w:r w:rsidR="008741F2" w:rsidRPr="008741F2">
        <w:rPr>
          <w:rFonts w:cs="Arial"/>
          <w:sz w:val="22"/>
        </w:rPr>
        <w:t xml:space="preserve">y </w:t>
      </w:r>
      <w:r w:rsidR="008741F2">
        <w:rPr>
          <w:rFonts w:cs="Arial"/>
          <w:sz w:val="22"/>
        </w:rPr>
        <w:t xml:space="preserve">en </w:t>
      </w:r>
      <w:r w:rsidR="00EA01BD">
        <w:rPr>
          <w:rFonts w:cs="Arial"/>
          <w:sz w:val="22"/>
        </w:rPr>
        <w:t>su Reglamento especi</w:t>
      </w:r>
      <w:r w:rsidR="008741F2" w:rsidRPr="008741F2">
        <w:rPr>
          <w:rFonts w:cs="Arial"/>
          <w:sz w:val="22"/>
        </w:rPr>
        <w:t xml:space="preserve">fica que </w:t>
      </w:r>
      <w:r w:rsidR="008741F2">
        <w:rPr>
          <w:rFonts w:cs="Arial"/>
          <w:i/>
          <w:sz w:val="22"/>
        </w:rPr>
        <w:t>e</w:t>
      </w:r>
      <w:r w:rsidR="008741F2" w:rsidRPr="008741F2">
        <w:rPr>
          <w:rFonts w:cs="Arial"/>
          <w:i/>
          <w:sz w:val="22"/>
        </w:rPr>
        <w:t>n ningún momento las niñas, niños o adolescentes migrantes, independientemente de que viajen o no en compañía de una persona adulta, serán privados de la libertad en estaciones migratorias o en cualquier otro centro de detención migratoria</w:t>
      </w:r>
      <w:r w:rsidR="008741F2">
        <w:rPr>
          <w:rFonts w:cs="Arial"/>
          <w:i/>
          <w:sz w:val="22"/>
        </w:rPr>
        <w:t xml:space="preserve"> </w:t>
      </w:r>
      <w:r w:rsidR="008741F2" w:rsidRPr="008741F2">
        <w:rPr>
          <w:rFonts w:cs="Arial"/>
          <w:sz w:val="22"/>
        </w:rPr>
        <w:t>(artículo 111)</w:t>
      </w:r>
      <w:r w:rsidR="008741F2" w:rsidRPr="008741F2">
        <w:rPr>
          <w:i/>
          <w:sz w:val="22"/>
        </w:rPr>
        <w:t xml:space="preserve">, </w:t>
      </w:r>
      <w:r w:rsidR="008741F2" w:rsidRPr="00F966DE">
        <w:rPr>
          <w:sz w:val="22"/>
        </w:rPr>
        <w:t>la realidad es que</w:t>
      </w:r>
      <w:r w:rsidR="008741F2" w:rsidRPr="00F966DE">
        <w:rPr>
          <w:i/>
          <w:sz w:val="22"/>
        </w:rPr>
        <w:t xml:space="preserve"> </w:t>
      </w:r>
      <w:r w:rsidR="00124902">
        <w:rPr>
          <w:sz w:val="22"/>
        </w:rPr>
        <w:t>se continú</w:t>
      </w:r>
      <w:r w:rsidR="00DC0359">
        <w:rPr>
          <w:sz w:val="22"/>
        </w:rPr>
        <w:t>a con la detención de NNA. E</w:t>
      </w:r>
      <w:r w:rsidR="008741F2" w:rsidRPr="00F966DE">
        <w:rPr>
          <w:sz w:val="22"/>
        </w:rPr>
        <w:t xml:space="preserve">n el año 2018 se registraron 31,717 eventos de detención de menores de edad, de los cuales 15, 429 corresponden a menores de 11 años. De enero a </w:t>
      </w:r>
      <w:r w:rsidR="00F966DE">
        <w:rPr>
          <w:sz w:val="22"/>
        </w:rPr>
        <w:t>mayo</w:t>
      </w:r>
      <w:r w:rsidR="008741F2" w:rsidRPr="00F966DE">
        <w:rPr>
          <w:sz w:val="22"/>
        </w:rPr>
        <w:t xml:space="preserve"> de 2019 el Instituto Nacional de Migración, ha reportado 22,263 eventos de presentación de niñas, niños y adolescentes, de los cuales 13,216 oscilan entre los 0 y 11 años de edad</w:t>
      </w:r>
      <w:r w:rsidR="008741F2" w:rsidRPr="00F966DE">
        <w:rPr>
          <w:rStyle w:val="Refdenotaalpie"/>
          <w:sz w:val="22"/>
        </w:rPr>
        <w:footnoteReference w:id="19"/>
      </w:r>
      <w:r w:rsidR="008741F2" w:rsidRPr="00F966DE">
        <w:rPr>
          <w:sz w:val="22"/>
        </w:rPr>
        <w:t xml:space="preserve">. </w:t>
      </w:r>
    </w:p>
    <w:p w14:paraId="34044083" w14:textId="77777777" w:rsidR="008741F2" w:rsidRPr="00F966DE" w:rsidRDefault="008741F2" w:rsidP="008741F2">
      <w:pPr>
        <w:tabs>
          <w:tab w:val="left" w:pos="1085"/>
        </w:tabs>
        <w:spacing w:line="240" w:lineRule="auto"/>
        <w:jc w:val="both"/>
        <w:rPr>
          <w:rFonts w:cs="Arial"/>
          <w:sz w:val="22"/>
        </w:rPr>
      </w:pPr>
    </w:p>
    <w:p w14:paraId="7582E7BF" w14:textId="5F8E30DD" w:rsidR="008741F2" w:rsidRPr="005F72BE" w:rsidRDefault="005F72BE" w:rsidP="005F72BE">
      <w:pPr>
        <w:tabs>
          <w:tab w:val="left" w:pos="1085"/>
        </w:tabs>
        <w:spacing w:line="240" w:lineRule="auto"/>
        <w:jc w:val="both"/>
        <w:rPr>
          <w:sz w:val="22"/>
        </w:rPr>
      </w:pPr>
      <w:r w:rsidRPr="005F72BE">
        <w:rPr>
          <w:rFonts w:cs="Arial"/>
          <w:sz w:val="22"/>
        </w:rPr>
        <w:t>Cabe destacar la muerte de una niña Guatemalteca de 10 años</w:t>
      </w:r>
      <w:r w:rsidR="008741F2" w:rsidRPr="005F72BE">
        <w:rPr>
          <w:sz w:val="22"/>
        </w:rPr>
        <w:t xml:space="preserve">, </w:t>
      </w:r>
      <w:r w:rsidRPr="005F72BE">
        <w:rPr>
          <w:sz w:val="22"/>
        </w:rPr>
        <w:t xml:space="preserve">ocurrida </w:t>
      </w:r>
      <w:r w:rsidR="008741F2" w:rsidRPr="005F72BE">
        <w:rPr>
          <w:sz w:val="22"/>
        </w:rPr>
        <w:t xml:space="preserve">en la Estación Migratoria de la Ciudad de México, </w:t>
      </w:r>
      <w:r>
        <w:rPr>
          <w:sz w:val="22"/>
        </w:rPr>
        <w:t>el pasado 15 de mayo de 2019</w:t>
      </w:r>
      <w:r w:rsidR="002D6C10">
        <w:rPr>
          <w:sz w:val="22"/>
        </w:rPr>
        <w:t>. A</w:t>
      </w:r>
      <w:r w:rsidR="00DB1F23">
        <w:rPr>
          <w:sz w:val="22"/>
        </w:rPr>
        <w:t>demás de la pé</w:t>
      </w:r>
      <w:r w:rsidR="008741F2" w:rsidRPr="005F72BE">
        <w:rPr>
          <w:sz w:val="22"/>
        </w:rPr>
        <w:t xml:space="preserve">rdida de la vida de una niña, es un claro ejemplo del incumplimiento de la valoración del </w:t>
      </w:r>
      <w:r w:rsidR="002D6C10">
        <w:rPr>
          <w:sz w:val="22"/>
        </w:rPr>
        <w:t>i</w:t>
      </w:r>
      <w:r w:rsidR="008741F2" w:rsidRPr="005F72BE">
        <w:rPr>
          <w:sz w:val="22"/>
        </w:rPr>
        <w:t xml:space="preserve">nterés </w:t>
      </w:r>
      <w:r w:rsidR="002D6C10">
        <w:rPr>
          <w:sz w:val="22"/>
        </w:rPr>
        <w:t>s</w:t>
      </w:r>
      <w:r w:rsidR="008741F2" w:rsidRPr="005F72BE">
        <w:rPr>
          <w:sz w:val="22"/>
        </w:rPr>
        <w:t>uperior</w:t>
      </w:r>
      <w:r w:rsidR="002D6C10">
        <w:rPr>
          <w:sz w:val="22"/>
        </w:rPr>
        <w:t xml:space="preserve"> de la niñez</w:t>
      </w:r>
      <w:r w:rsidR="008741F2" w:rsidRPr="005F72BE">
        <w:rPr>
          <w:sz w:val="22"/>
        </w:rPr>
        <w:t>, de la Ley General y de la propia Constitución</w:t>
      </w:r>
      <w:r>
        <w:rPr>
          <w:sz w:val="22"/>
        </w:rPr>
        <w:t xml:space="preserve"> Política de los Estados Unidos Mexicanos</w:t>
      </w:r>
      <w:r w:rsidR="002D6C10">
        <w:rPr>
          <w:sz w:val="22"/>
        </w:rPr>
        <w:t>,</w:t>
      </w:r>
      <w:r>
        <w:rPr>
          <w:sz w:val="22"/>
        </w:rPr>
        <w:t xml:space="preserve"> la cual prevé la privación de la libertad en solo dos casos, cuando es relativa a la comisión de un delito o por cometer una infracción administrativa, la cual no debe exceder las 36 horas</w:t>
      </w:r>
      <w:r w:rsidR="002D0387">
        <w:rPr>
          <w:sz w:val="22"/>
        </w:rPr>
        <w:t>, contrario a lo que ocurre con la detención migratoria</w:t>
      </w:r>
      <w:r w:rsidR="008741F2" w:rsidRPr="005F72BE">
        <w:rPr>
          <w:sz w:val="22"/>
        </w:rPr>
        <w:t>.</w:t>
      </w:r>
    </w:p>
    <w:p w14:paraId="4B0A0B51" w14:textId="77777777" w:rsidR="008741F2" w:rsidRDefault="008741F2" w:rsidP="00AC5103">
      <w:pPr>
        <w:tabs>
          <w:tab w:val="left" w:pos="1085"/>
        </w:tabs>
        <w:spacing w:line="240" w:lineRule="auto"/>
        <w:jc w:val="both"/>
        <w:rPr>
          <w:rFonts w:cs="Arial"/>
          <w:sz w:val="22"/>
        </w:rPr>
      </w:pPr>
    </w:p>
    <w:p w14:paraId="346F7AB8" w14:textId="61A3EF3D" w:rsidR="008741F2" w:rsidRDefault="005F72BE" w:rsidP="00AC5103">
      <w:pPr>
        <w:tabs>
          <w:tab w:val="left" w:pos="1085"/>
        </w:tabs>
        <w:spacing w:line="240" w:lineRule="auto"/>
        <w:jc w:val="both"/>
        <w:rPr>
          <w:sz w:val="22"/>
        </w:rPr>
      </w:pPr>
      <w:r w:rsidRPr="00484DC5">
        <w:rPr>
          <w:rFonts w:cs="Arial"/>
          <w:sz w:val="22"/>
        </w:rPr>
        <w:t>En este sentido urge la Armonización de l</w:t>
      </w:r>
      <w:r w:rsidRPr="00484DC5">
        <w:rPr>
          <w:sz w:val="22"/>
        </w:rPr>
        <w:t>a Ley de Migración y la Ley General de los Derechos de Niñas, Niños y Adolescentes</w:t>
      </w:r>
      <w:r w:rsidR="00484DC5">
        <w:rPr>
          <w:sz w:val="22"/>
        </w:rPr>
        <w:t>.</w:t>
      </w:r>
    </w:p>
    <w:p w14:paraId="051DC1E4" w14:textId="77777777" w:rsidR="00484DC5" w:rsidRDefault="00484DC5" w:rsidP="00AC5103">
      <w:pPr>
        <w:tabs>
          <w:tab w:val="left" w:pos="1085"/>
        </w:tabs>
        <w:spacing w:line="240" w:lineRule="auto"/>
        <w:jc w:val="both"/>
        <w:rPr>
          <w:sz w:val="22"/>
        </w:rPr>
      </w:pPr>
    </w:p>
    <w:p w14:paraId="691DE5D4" w14:textId="2C7E1A82" w:rsidR="00484DC5" w:rsidRDefault="003073F8" w:rsidP="003073F8">
      <w:pPr>
        <w:tabs>
          <w:tab w:val="left" w:pos="1085"/>
        </w:tabs>
        <w:spacing w:line="240" w:lineRule="auto"/>
        <w:jc w:val="both"/>
        <w:rPr>
          <w:sz w:val="22"/>
        </w:rPr>
      </w:pPr>
      <w:r>
        <w:rPr>
          <w:sz w:val="22"/>
        </w:rPr>
        <w:t xml:space="preserve">En cuanto a la protección de personas que solicitan el reconocimiento de la condición de refugiados, ha </w:t>
      </w:r>
      <w:r w:rsidR="003E44B4">
        <w:rPr>
          <w:sz w:val="22"/>
        </w:rPr>
        <w:t>ocurrido</w:t>
      </w:r>
      <w:r>
        <w:rPr>
          <w:sz w:val="22"/>
        </w:rPr>
        <w:t xml:space="preserve"> un incremento de 2,137 solicitudes que se recibieron en 2014 a 31,555 que se han atendido en lo que va de enero a junio de 2019, de acuerdo a los datos recabados por la </w:t>
      </w:r>
      <w:r w:rsidR="00416BE5">
        <w:rPr>
          <w:sz w:val="22"/>
        </w:rPr>
        <w:t>Comisión Mexicana de Ayuda a Refugiados</w:t>
      </w:r>
      <w:r w:rsidR="00416BE5">
        <w:rPr>
          <w:rStyle w:val="Refdenotaalpie"/>
          <w:sz w:val="22"/>
        </w:rPr>
        <w:footnoteReference w:id="20"/>
      </w:r>
      <w:r w:rsidR="00416BE5">
        <w:rPr>
          <w:sz w:val="22"/>
        </w:rPr>
        <w:t xml:space="preserve">, </w:t>
      </w:r>
      <w:r>
        <w:rPr>
          <w:sz w:val="22"/>
        </w:rPr>
        <w:t>lo q</w:t>
      </w:r>
      <w:r w:rsidR="00830EF5">
        <w:rPr>
          <w:sz w:val="22"/>
        </w:rPr>
        <w:t xml:space="preserve">ue equivale a un incremento de casi </w:t>
      </w:r>
      <w:r w:rsidR="009D3601">
        <w:rPr>
          <w:sz w:val="22"/>
        </w:rPr>
        <w:t>mil por ciento en ese período. E</w:t>
      </w:r>
      <w:r w:rsidR="00830EF5">
        <w:rPr>
          <w:sz w:val="22"/>
        </w:rPr>
        <w:t xml:space="preserve">sta situación ha rebasado la capacidad operativa de la COMAR, obstaculizando que las </w:t>
      </w:r>
      <w:r w:rsidR="00416BE5">
        <w:rPr>
          <w:sz w:val="22"/>
        </w:rPr>
        <w:t xml:space="preserve">solicitudes se resuelvan en </w:t>
      </w:r>
      <w:r w:rsidR="009D3601">
        <w:rPr>
          <w:sz w:val="22"/>
        </w:rPr>
        <w:t xml:space="preserve">el </w:t>
      </w:r>
      <w:r w:rsidR="00416BE5">
        <w:rPr>
          <w:sz w:val="22"/>
        </w:rPr>
        <w:t xml:space="preserve">tiempo que establece la Ley, por lo que existe un rezago en la determinación, impactando en la vida de las personas que carecen de un documento </w:t>
      </w:r>
      <w:r w:rsidR="00194423">
        <w:rPr>
          <w:sz w:val="22"/>
        </w:rPr>
        <w:t xml:space="preserve">que les permita ejercer plenamente sus derechos y lograr la inclusión </w:t>
      </w:r>
      <w:r w:rsidR="009D3601">
        <w:rPr>
          <w:sz w:val="22"/>
        </w:rPr>
        <w:t>en</w:t>
      </w:r>
      <w:r w:rsidR="00194423">
        <w:rPr>
          <w:sz w:val="22"/>
        </w:rPr>
        <w:t xml:space="preserve"> la sociedad mexicana.</w:t>
      </w:r>
    </w:p>
    <w:p w14:paraId="4A362BC1" w14:textId="77777777" w:rsidR="003E34BA" w:rsidRDefault="003E34BA" w:rsidP="003073F8">
      <w:pPr>
        <w:tabs>
          <w:tab w:val="left" w:pos="1085"/>
        </w:tabs>
        <w:spacing w:line="240" w:lineRule="auto"/>
        <w:jc w:val="both"/>
        <w:rPr>
          <w:sz w:val="22"/>
        </w:rPr>
      </w:pPr>
    </w:p>
    <w:p w14:paraId="49A94A97" w14:textId="6600543D" w:rsidR="003E34BA" w:rsidRPr="003E34BA" w:rsidRDefault="003E34BA" w:rsidP="003073F8">
      <w:pPr>
        <w:tabs>
          <w:tab w:val="left" w:pos="1085"/>
        </w:tabs>
        <w:spacing w:line="240" w:lineRule="auto"/>
        <w:jc w:val="both"/>
        <w:rPr>
          <w:rFonts w:cs="Arial"/>
          <w:sz w:val="22"/>
        </w:rPr>
      </w:pPr>
      <w:r>
        <w:rPr>
          <w:sz w:val="22"/>
        </w:rPr>
        <w:t xml:space="preserve">El pasado 26 de junio de 2019, la Comisión Nacional de Derechos Humanos, emitió la Recomendación </w:t>
      </w:r>
      <w:r w:rsidRPr="003E34BA">
        <w:rPr>
          <w:rFonts w:cs="Arial"/>
          <w:sz w:val="22"/>
        </w:rPr>
        <w:t xml:space="preserve">38 /2019 </w:t>
      </w:r>
      <w:r>
        <w:rPr>
          <w:rFonts w:cs="Arial"/>
          <w:sz w:val="22"/>
        </w:rPr>
        <w:t>s</w:t>
      </w:r>
      <w:r w:rsidRPr="003E34BA">
        <w:rPr>
          <w:rFonts w:cs="Arial"/>
          <w:sz w:val="22"/>
        </w:rPr>
        <w:t xml:space="preserve">obre </w:t>
      </w:r>
      <w:r>
        <w:rPr>
          <w:rFonts w:cs="Arial"/>
          <w:sz w:val="22"/>
        </w:rPr>
        <w:t>el Caso d</w:t>
      </w:r>
      <w:r w:rsidRPr="003E34BA">
        <w:rPr>
          <w:rFonts w:cs="Arial"/>
          <w:sz w:val="22"/>
        </w:rPr>
        <w:t xml:space="preserve">e Violaciones </w:t>
      </w:r>
      <w:r>
        <w:rPr>
          <w:rFonts w:cs="Arial"/>
          <w:sz w:val="22"/>
        </w:rPr>
        <w:t>a l</w:t>
      </w:r>
      <w:r w:rsidRPr="003E34BA">
        <w:rPr>
          <w:rFonts w:cs="Arial"/>
          <w:sz w:val="22"/>
        </w:rPr>
        <w:t>os Derechos Humanos</w:t>
      </w:r>
      <w:r>
        <w:rPr>
          <w:rFonts w:cs="Arial"/>
          <w:sz w:val="22"/>
        </w:rPr>
        <w:t>,</w:t>
      </w:r>
      <w:r w:rsidRPr="003E34BA">
        <w:rPr>
          <w:rFonts w:cs="Arial"/>
          <w:sz w:val="22"/>
        </w:rPr>
        <w:t xml:space="preserve"> </w:t>
      </w:r>
      <w:r>
        <w:rPr>
          <w:rFonts w:cs="Arial"/>
          <w:sz w:val="22"/>
        </w:rPr>
        <w:t>a</w:t>
      </w:r>
      <w:r w:rsidRPr="003E34BA">
        <w:rPr>
          <w:rFonts w:cs="Arial"/>
          <w:sz w:val="22"/>
        </w:rPr>
        <w:t xml:space="preserve"> </w:t>
      </w:r>
      <w:r>
        <w:rPr>
          <w:rFonts w:cs="Arial"/>
          <w:sz w:val="22"/>
        </w:rPr>
        <w:t>l</w:t>
      </w:r>
      <w:r w:rsidRPr="003E34BA">
        <w:rPr>
          <w:rFonts w:cs="Arial"/>
          <w:sz w:val="22"/>
        </w:rPr>
        <w:t>a</w:t>
      </w:r>
      <w:r>
        <w:rPr>
          <w:rFonts w:cs="Arial"/>
          <w:sz w:val="22"/>
        </w:rPr>
        <w:t xml:space="preserve"> Seguridad Jurídica, Legalidad y</w:t>
      </w:r>
      <w:r w:rsidRPr="003E34BA">
        <w:rPr>
          <w:rFonts w:cs="Arial"/>
          <w:sz w:val="22"/>
        </w:rPr>
        <w:t xml:space="preserve"> </w:t>
      </w:r>
      <w:r>
        <w:rPr>
          <w:rFonts w:cs="Arial"/>
          <w:sz w:val="22"/>
        </w:rPr>
        <w:t>al Interé</w:t>
      </w:r>
      <w:r w:rsidRPr="003E34BA">
        <w:rPr>
          <w:rFonts w:cs="Arial"/>
          <w:sz w:val="22"/>
        </w:rPr>
        <w:t xml:space="preserve">s Superior De La Niñez, </w:t>
      </w:r>
      <w:r>
        <w:rPr>
          <w:rFonts w:cs="Arial"/>
          <w:sz w:val="22"/>
        </w:rPr>
        <w:t>en a</w:t>
      </w:r>
      <w:r w:rsidRPr="003E34BA">
        <w:rPr>
          <w:rFonts w:cs="Arial"/>
          <w:sz w:val="22"/>
        </w:rPr>
        <w:t xml:space="preserve">gravio </w:t>
      </w:r>
      <w:r>
        <w:rPr>
          <w:rFonts w:cs="Arial"/>
          <w:sz w:val="22"/>
        </w:rPr>
        <w:t>d</w:t>
      </w:r>
      <w:r w:rsidRPr="003E34BA">
        <w:rPr>
          <w:rFonts w:cs="Arial"/>
          <w:sz w:val="22"/>
        </w:rPr>
        <w:t>e 112 Personas Solicitantes Del Reconocimiento De La Condición De Refugiado</w:t>
      </w:r>
      <w:r w:rsidRPr="003E34BA">
        <w:rPr>
          <w:rStyle w:val="Refdenotaalpie"/>
          <w:rFonts w:cs="Arial"/>
          <w:sz w:val="22"/>
        </w:rPr>
        <w:footnoteReference w:id="21"/>
      </w:r>
      <w:r>
        <w:rPr>
          <w:rFonts w:cs="Arial"/>
          <w:sz w:val="22"/>
        </w:rPr>
        <w:t xml:space="preserve">, en la que señala como autoridad responsable a la Comisión Mexicana de Ayuda a Refugiados, </w:t>
      </w:r>
      <w:r w:rsidR="00921222">
        <w:rPr>
          <w:rFonts w:cs="Arial"/>
          <w:sz w:val="22"/>
        </w:rPr>
        <w:t xml:space="preserve">por la </w:t>
      </w:r>
      <w:r>
        <w:rPr>
          <w:rFonts w:cs="Arial"/>
          <w:sz w:val="22"/>
        </w:rPr>
        <w:t xml:space="preserve">dilación para admitir una solicitud, determinar una resolución, </w:t>
      </w:r>
      <w:r w:rsidR="006A09BC">
        <w:rPr>
          <w:rFonts w:cs="Arial"/>
          <w:sz w:val="22"/>
        </w:rPr>
        <w:t>omisiones dentro del procedimiento, entre otras. Las principales recomendaciones están orientadas a la atención a las víctimas y a la brevedad puedan resolverse sus solicitudes, además de establecer mecanismos para evitar la repetición.</w:t>
      </w:r>
    </w:p>
    <w:p w14:paraId="2B7F98AF" w14:textId="77777777" w:rsidR="00194423" w:rsidRDefault="00194423" w:rsidP="00AC5103">
      <w:pPr>
        <w:tabs>
          <w:tab w:val="left" w:pos="1085"/>
        </w:tabs>
        <w:spacing w:line="240" w:lineRule="auto"/>
        <w:jc w:val="both"/>
        <w:rPr>
          <w:sz w:val="22"/>
        </w:rPr>
      </w:pPr>
    </w:p>
    <w:p w14:paraId="7368CF0B" w14:textId="02D3586B" w:rsidR="00C55C84" w:rsidRPr="002D0387" w:rsidRDefault="00194423" w:rsidP="00AC5103">
      <w:pPr>
        <w:tabs>
          <w:tab w:val="left" w:pos="1085"/>
        </w:tabs>
        <w:spacing w:line="240" w:lineRule="auto"/>
        <w:jc w:val="both"/>
        <w:rPr>
          <w:rFonts w:cs="Arial"/>
          <w:sz w:val="22"/>
        </w:rPr>
      </w:pPr>
      <w:r w:rsidRPr="002D0387">
        <w:rPr>
          <w:rFonts w:cs="Arial"/>
          <w:sz w:val="22"/>
        </w:rPr>
        <w:t xml:space="preserve">Ante la llegada de grupos masivos de personas migrantes al país a finales de 2018, en lo que se denominaban Caravanas, la Ciudad de México </w:t>
      </w:r>
      <w:r w:rsidR="00C55C84" w:rsidRPr="002D0387">
        <w:rPr>
          <w:rFonts w:cs="Arial"/>
          <w:sz w:val="22"/>
        </w:rPr>
        <w:t xml:space="preserve">impulsó lo que denominó Puente Humanitario, </w:t>
      </w:r>
      <w:r w:rsidR="00431901">
        <w:rPr>
          <w:rFonts w:cs="Arial"/>
          <w:sz w:val="22"/>
        </w:rPr>
        <w:t>consistente en un</w:t>
      </w:r>
      <w:r w:rsidR="00C55C84" w:rsidRPr="002D0387">
        <w:rPr>
          <w:rFonts w:cs="Arial"/>
          <w:i/>
          <w:sz w:val="22"/>
        </w:rPr>
        <w:t xml:space="preserve"> mecanismo de coordinación interinstitucional y estrategia de acompañamiento de ayuda humanitaria, creado específicamente para la atención de las personas que conformaron el Éxodo Migrante y que de acuerdo a las rutas migratorias </w:t>
      </w:r>
      <w:r w:rsidR="00C55C84" w:rsidRPr="002D0387">
        <w:rPr>
          <w:rFonts w:cs="Arial"/>
          <w:i/>
          <w:sz w:val="22"/>
        </w:rPr>
        <w:lastRenderedPageBreak/>
        <w:t>generalmente seguidas para llegar a la frontera con Estados Unidos, debían pasar por la Ciudad de México, con la intención de salvaguardar los sus derechos humanos, mediante el trabajo conjunto de diversas dependencias gubernamentales, organismos públicos y privados, nacionales e internacionales de defensa y protección de los derechos humanos</w:t>
      </w:r>
      <w:r w:rsidR="00C55C84" w:rsidRPr="002D0387">
        <w:rPr>
          <w:rFonts w:cs="Arial"/>
          <w:sz w:val="22"/>
        </w:rPr>
        <w:t>, bajo la Coordinación General de la Comisión de Derechos Humanos del Distrito Federal.</w:t>
      </w:r>
    </w:p>
    <w:p w14:paraId="0D812DC0" w14:textId="77777777" w:rsidR="00C55C84" w:rsidRDefault="00C55C84" w:rsidP="00AC5103">
      <w:pPr>
        <w:tabs>
          <w:tab w:val="left" w:pos="1085"/>
        </w:tabs>
        <w:spacing w:line="240" w:lineRule="auto"/>
        <w:jc w:val="both"/>
        <w:rPr>
          <w:sz w:val="22"/>
        </w:rPr>
      </w:pPr>
    </w:p>
    <w:p w14:paraId="01073D3D" w14:textId="630D67DD" w:rsidR="00194423" w:rsidRDefault="00C55C84" w:rsidP="00AC5103">
      <w:pPr>
        <w:tabs>
          <w:tab w:val="left" w:pos="1085"/>
        </w:tabs>
        <w:spacing w:line="240" w:lineRule="auto"/>
        <w:jc w:val="both"/>
        <w:rPr>
          <w:sz w:val="22"/>
        </w:rPr>
      </w:pPr>
      <w:r>
        <w:rPr>
          <w:sz w:val="22"/>
        </w:rPr>
        <w:t>Además</w:t>
      </w:r>
      <w:r w:rsidR="00DD5618">
        <w:rPr>
          <w:sz w:val="22"/>
        </w:rPr>
        <w:t>,</w:t>
      </w:r>
      <w:r w:rsidR="002D0387">
        <w:rPr>
          <w:sz w:val="22"/>
        </w:rPr>
        <w:t xml:space="preserve"> el gobierno de la Ciudad</w:t>
      </w:r>
      <w:r>
        <w:rPr>
          <w:sz w:val="22"/>
        </w:rPr>
        <w:t xml:space="preserve"> </w:t>
      </w:r>
      <w:r w:rsidR="00194423">
        <w:rPr>
          <w:sz w:val="22"/>
        </w:rPr>
        <w:t xml:space="preserve">habilitó espacios como albergues </w:t>
      </w:r>
      <w:r w:rsidR="00830EF5">
        <w:rPr>
          <w:sz w:val="22"/>
        </w:rPr>
        <w:t xml:space="preserve">temporales </w:t>
      </w:r>
      <w:r w:rsidR="00194423">
        <w:rPr>
          <w:sz w:val="22"/>
        </w:rPr>
        <w:t xml:space="preserve">para recibir a la población y </w:t>
      </w:r>
      <w:r w:rsidR="002D0387">
        <w:rPr>
          <w:sz w:val="22"/>
        </w:rPr>
        <w:t xml:space="preserve">la CDHDF </w:t>
      </w:r>
      <w:r w:rsidR="00194423">
        <w:rPr>
          <w:sz w:val="22"/>
        </w:rPr>
        <w:t xml:space="preserve">desarrolló un Protocolo para la atención humanitaria de emergencia y/o sujetas de protección internacional en la Ciudad de México. Albergues o campamentos temporales, que sirva a los gobiernos locales </w:t>
      </w:r>
      <w:r w:rsidR="00194423" w:rsidRPr="00194423">
        <w:rPr>
          <w:i/>
          <w:sz w:val="22"/>
        </w:rPr>
        <w:t>para brindar asistencia humanitaria en casos de atención a grupos masivos de personas que de manera forzada han sido desplazadas de sus comunidades de origen, ya sea nacionales o extranjeras, con el objetivo de garantizar sus derechos a la vida, a la integridad personal, a la alimentación y nutrición, a la salud, al agua y el saneamiento y a solicitar asilo</w:t>
      </w:r>
      <w:r w:rsidR="00194423">
        <w:rPr>
          <w:sz w:val="22"/>
        </w:rPr>
        <w:t>.</w:t>
      </w:r>
      <w:r w:rsidR="002D0387">
        <w:rPr>
          <w:sz w:val="22"/>
        </w:rPr>
        <w:t xml:space="preserve"> Cabe destacar que el Protocolo hace énfasis en la protección a grupos como NNA, familias y personas de la comunidad LGBTTTIQA</w:t>
      </w:r>
      <w:r w:rsidR="00DD5618">
        <w:rPr>
          <w:sz w:val="22"/>
        </w:rPr>
        <w:t>P</w:t>
      </w:r>
      <w:r w:rsidR="002D0387">
        <w:rPr>
          <w:sz w:val="22"/>
        </w:rPr>
        <w:t>+.</w:t>
      </w:r>
    </w:p>
    <w:p w14:paraId="349E32C7" w14:textId="77777777" w:rsidR="00194423" w:rsidRDefault="00194423" w:rsidP="00AC5103">
      <w:pPr>
        <w:tabs>
          <w:tab w:val="left" w:pos="1085"/>
        </w:tabs>
        <w:spacing w:line="240" w:lineRule="auto"/>
        <w:jc w:val="both"/>
        <w:rPr>
          <w:sz w:val="22"/>
        </w:rPr>
      </w:pPr>
    </w:p>
    <w:p w14:paraId="51368493" w14:textId="5E0C0AA5" w:rsidR="004C49F6" w:rsidRDefault="009B7F06" w:rsidP="009B7F06">
      <w:pPr>
        <w:tabs>
          <w:tab w:val="left" w:pos="1085"/>
        </w:tabs>
        <w:spacing w:line="240" w:lineRule="auto"/>
        <w:jc w:val="both"/>
        <w:rPr>
          <w:rFonts w:cs="Arial"/>
          <w:sz w:val="22"/>
        </w:rPr>
      </w:pPr>
      <w:r>
        <w:rPr>
          <w:rFonts w:cs="Arial"/>
          <w:sz w:val="22"/>
        </w:rPr>
        <w:t>Desde 2016</w:t>
      </w:r>
      <w:r w:rsidR="00B35C6D">
        <w:rPr>
          <w:rFonts w:cs="Arial"/>
          <w:sz w:val="22"/>
        </w:rPr>
        <w:t>,</w:t>
      </w:r>
      <w:r w:rsidR="00194423">
        <w:rPr>
          <w:rFonts w:cs="Arial"/>
          <w:sz w:val="22"/>
        </w:rPr>
        <w:t xml:space="preserve"> la Suprema Corte de Justicia de la Nación, junto con organismos internacionales y</w:t>
      </w:r>
      <w:r>
        <w:rPr>
          <w:rFonts w:cs="Arial"/>
          <w:sz w:val="22"/>
        </w:rPr>
        <w:t xml:space="preserve"> recientemente</w:t>
      </w:r>
      <w:r w:rsidR="00194423">
        <w:rPr>
          <w:rFonts w:cs="Arial"/>
          <w:sz w:val="22"/>
        </w:rPr>
        <w:t xml:space="preserve"> la Comisión de Derechos Humanos</w:t>
      </w:r>
      <w:r>
        <w:rPr>
          <w:rFonts w:cs="Arial"/>
          <w:sz w:val="22"/>
        </w:rPr>
        <w:t xml:space="preserve"> del Distrito Federal</w:t>
      </w:r>
      <w:r w:rsidR="00B35C6D">
        <w:rPr>
          <w:rFonts w:cs="Arial"/>
          <w:sz w:val="22"/>
        </w:rPr>
        <w:t>,</w:t>
      </w:r>
      <w:r w:rsidR="00194423">
        <w:rPr>
          <w:rFonts w:cs="Arial"/>
          <w:sz w:val="22"/>
        </w:rPr>
        <w:t xml:space="preserve"> han impulsado un Premio de</w:t>
      </w:r>
      <w:r>
        <w:rPr>
          <w:rFonts w:cs="Arial"/>
          <w:sz w:val="22"/>
        </w:rPr>
        <w:t xml:space="preserve"> Sentencias, favoreciendo el Acceso a la Justicia de personas migrantes y sujetas de protecci</w:t>
      </w:r>
      <w:r w:rsidR="00223D24">
        <w:rPr>
          <w:rFonts w:cs="Arial"/>
          <w:sz w:val="22"/>
        </w:rPr>
        <w:t xml:space="preserve">ón internacional a nivel regional, con el objetivo </w:t>
      </w:r>
      <w:r w:rsidR="00223D24" w:rsidRPr="00223D24">
        <w:rPr>
          <w:rFonts w:cs="Arial"/>
          <w:i/>
          <w:sz w:val="22"/>
        </w:rPr>
        <w:t>de visibilizar aquellas sentencias que se han emitido bajo las más altas normas y estándares en derechos humanos, así como las buenas prácticas que han servido para garantizar el acceso a la justicia y el goce efectivo de los derechos humanos de las personas migrantes o sujetas de protección internacional en las Américas</w:t>
      </w:r>
      <w:r w:rsidR="00223D24">
        <w:rPr>
          <w:rFonts w:cs="Arial"/>
          <w:sz w:val="22"/>
        </w:rPr>
        <w:t xml:space="preserve">. </w:t>
      </w:r>
    </w:p>
    <w:p w14:paraId="2B9A9F20" w14:textId="77777777" w:rsidR="00223D24" w:rsidRDefault="00223D24" w:rsidP="009B7F06">
      <w:pPr>
        <w:tabs>
          <w:tab w:val="left" w:pos="1085"/>
        </w:tabs>
        <w:spacing w:line="240" w:lineRule="auto"/>
        <w:jc w:val="both"/>
        <w:rPr>
          <w:rFonts w:cs="Arial"/>
          <w:sz w:val="22"/>
        </w:rPr>
      </w:pPr>
    </w:p>
    <w:p w14:paraId="2847CB83" w14:textId="480CA1B6" w:rsidR="001204E5" w:rsidRPr="001204E5" w:rsidRDefault="001204E5" w:rsidP="001204E5">
      <w:pPr>
        <w:tabs>
          <w:tab w:val="left" w:pos="1085"/>
        </w:tabs>
        <w:spacing w:line="240" w:lineRule="auto"/>
        <w:jc w:val="both"/>
        <w:rPr>
          <w:rFonts w:cs="Arial"/>
          <w:color w:val="000000"/>
          <w:sz w:val="22"/>
          <w:shd w:val="clear" w:color="auto" w:fill="FFFFFF"/>
        </w:rPr>
      </w:pPr>
      <w:r w:rsidRPr="001204E5">
        <w:rPr>
          <w:rFonts w:cs="Arial"/>
          <w:color w:val="000000"/>
          <w:sz w:val="22"/>
          <w:shd w:val="clear" w:color="auto" w:fill="FFFFFF"/>
        </w:rPr>
        <w:t>Cabe destacar que dentro de los flujos migratorios que se encuentran arribando a México, particularmente a finales de 2018 y principios de 2019, además de una gran afluencia de origen Centroamericano, se ha visibilizado la presencia de personas provenientes del caribe y extracontinentales, tales como Cuba, Haití, Congo, Nigeria, Bangladesh</w:t>
      </w:r>
      <w:r w:rsidR="00B35C6D">
        <w:rPr>
          <w:rFonts w:cs="Arial"/>
          <w:color w:val="000000"/>
          <w:sz w:val="22"/>
          <w:shd w:val="clear" w:color="auto" w:fill="FFFFFF"/>
        </w:rPr>
        <w:t>,</w:t>
      </w:r>
      <w:r w:rsidRPr="001204E5">
        <w:rPr>
          <w:rFonts w:cs="Arial"/>
          <w:color w:val="000000"/>
          <w:sz w:val="22"/>
          <w:shd w:val="clear" w:color="auto" w:fill="FFFFFF"/>
        </w:rPr>
        <w:t xml:space="preserve"> por mencionar solo algunas.</w:t>
      </w:r>
    </w:p>
    <w:p w14:paraId="4ABF4F08" w14:textId="77777777" w:rsidR="001204E5" w:rsidRPr="001204E5" w:rsidRDefault="001204E5" w:rsidP="009B7F06">
      <w:pPr>
        <w:tabs>
          <w:tab w:val="left" w:pos="1085"/>
        </w:tabs>
        <w:spacing w:line="240" w:lineRule="auto"/>
        <w:jc w:val="both"/>
        <w:rPr>
          <w:rFonts w:cs="Arial"/>
          <w:sz w:val="22"/>
        </w:rPr>
      </w:pPr>
    </w:p>
    <w:p w14:paraId="3111C791" w14:textId="7C81EF8E" w:rsidR="001204E5" w:rsidRPr="001204E5" w:rsidRDefault="009B58EA" w:rsidP="009B7F06">
      <w:pPr>
        <w:tabs>
          <w:tab w:val="left" w:pos="1085"/>
        </w:tabs>
        <w:spacing w:line="240" w:lineRule="auto"/>
        <w:jc w:val="both"/>
        <w:rPr>
          <w:rFonts w:cs="Arial"/>
          <w:sz w:val="22"/>
        </w:rPr>
      </w:pPr>
      <w:r w:rsidRPr="001204E5">
        <w:rPr>
          <w:rFonts w:cs="Arial"/>
          <w:sz w:val="22"/>
        </w:rPr>
        <w:t>Ante el Acuerdo entre Estados Unidos de América y México el pasado 7 de junio de 2019</w:t>
      </w:r>
      <w:r w:rsidR="001204E5">
        <w:rPr>
          <w:rStyle w:val="Refdenotaalpie"/>
          <w:rFonts w:cs="Arial"/>
          <w:sz w:val="22"/>
        </w:rPr>
        <w:footnoteReference w:id="22"/>
      </w:r>
      <w:r w:rsidRPr="001204E5">
        <w:rPr>
          <w:rFonts w:cs="Arial"/>
          <w:sz w:val="22"/>
        </w:rPr>
        <w:t xml:space="preserve">, </w:t>
      </w:r>
      <w:r w:rsidR="001204E5" w:rsidRPr="001204E5">
        <w:rPr>
          <w:rFonts w:cs="Arial"/>
          <w:sz w:val="22"/>
        </w:rPr>
        <w:t xml:space="preserve"> se acordó que el país tomará medidas para frenar la migración irregular, desplegando la Guardia Nacional, principalmente en la frontera sur, </w:t>
      </w:r>
      <w:r w:rsidR="001204E5" w:rsidRPr="001204E5">
        <w:rPr>
          <w:sz w:val="22"/>
        </w:rPr>
        <w:t>además de implementar acciones para desarticular el tráfico de personas y organizaciones de trata; por otro lado Estados Unidos devolverá a aquellas personas que soliciten asilo, donde tendrán que esperar las resoluciones, las cuales se comprometen a acelerar los procedimientos</w:t>
      </w:r>
      <w:r w:rsidR="001204E5">
        <w:rPr>
          <w:sz w:val="22"/>
        </w:rPr>
        <w:t>,</w:t>
      </w:r>
      <w:r w:rsidR="001204E5" w:rsidRPr="001204E5">
        <w:rPr>
          <w:sz w:val="22"/>
        </w:rPr>
        <w:t xml:space="preserve"> por lo tanto México autorizará la entrada bajo razones humanitarias comprometiéndose a brindar empleo, salud y </w:t>
      </w:r>
      <w:r w:rsidR="00B81A65">
        <w:rPr>
          <w:sz w:val="22"/>
        </w:rPr>
        <w:t>educación. T</w:t>
      </w:r>
      <w:r w:rsidR="001204E5">
        <w:rPr>
          <w:sz w:val="22"/>
        </w:rPr>
        <w:t xml:space="preserve">an solo </w:t>
      </w:r>
      <w:r w:rsidR="001204E5">
        <w:rPr>
          <w:rFonts w:cs="Arial"/>
          <w:sz w:val="22"/>
        </w:rPr>
        <w:t>de enero a junio de 2019, se han recibido 16,714 personas</w:t>
      </w:r>
      <w:r w:rsidR="001204E5">
        <w:rPr>
          <w:rStyle w:val="Refdenotaalpie"/>
          <w:rFonts w:cs="Arial"/>
          <w:sz w:val="22"/>
        </w:rPr>
        <w:footnoteReference w:id="23"/>
      </w:r>
      <w:r w:rsidR="001204E5">
        <w:rPr>
          <w:rFonts w:cs="Arial"/>
          <w:sz w:val="22"/>
        </w:rPr>
        <w:t xml:space="preserve"> que esperan en la frontera norte del país.</w:t>
      </w:r>
    </w:p>
    <w:p w14:paraId="3494CA26" w14:textId="77777777" w:rsidR="001204E5" w:rsidRDefault="001204E5" w:rsidP="009B7F06">
      <w:pPr>
        <w:tabs>
          <w:tab w:val="left" w:pos="1085"/>
        </w:tabs>
        <w:spacing w:line="240" w:lineRule="auto"/>
        <w:jc w:val="both"/>
        <w:rPr>
          <w:rFonts w:cs="Arial"/>
          <w:sz w:val="22"/>
        </w:rPr>
      </w:pPr>
    </w:p>
    <w:p w14:paraId="56BA6A32" w14:textId="29BF1ABC" w:rsidR="00DD3BA7" w:rsidRDefault="001204E5" w:rsidP="009B7F06">
      <w:pPr>
        <w:tabs>
          <w:tab w:val="left" w:pos="1085"/>
        </w:tabs>
        <w:spacing w:line="240" w:lineRule="auto"/>
        <w:jc w:val="both"/>
        <w:rPr>
          <w:rFonts w:cs="Arial"/>
          <w:color w:val="000000"/>
          <w:sz w:val="22"/>
          <w:shd w:val="clear" w:color="auto" w:fill="FFFFFF"/>
        </w:rPr>
      </w:pPr>
      <w:r>
        <w:rPr>
          <w:rFonts w:cs="Arial"/>
          <w:sz w:val="22"/>
        </w:rPr>
        <w:t xml:space="preserve">En las últimas </w:t>
      </w:r>
      <w:r w:rsidR="009B58EA">
        <w:rPr>
          <w:rFonts w:cs="Arial"/>
          <w:sz w:val="22"/>
        </w:rPr>
        <w:t>semanas</w:t>
      </w:r>
      <w:r>
        <w:rPr>
          <w:rFonts w:cs="Arial"/>
          <w:sz w:val="22"/>
        </w:rPr>
        <w:t xml:space="preserve"> se han recrudecido</w:t>
      </w:r>
      <w:r w:rsidR="009B58EA">
        <w:rPr>
          <w:rFonts w:cs="Arial"/>
          <w:sz w:val="22"/>
        </w:rPr>
        <w:t xml:space="preserve"> </w:t>
      </w:r>
      <w:r w:rsidR="00DF7F7F">
        <w:rPr>
          <w:rFonts w:cs="Arial"/>
          <w:sz w:val="22"/>
        </w:rPr>
        <w:t>los operativos para la detención de personas migrantes</w:t>
      </w:r>
      <w:r w:rsidR="00DF552E">
        <w:rPr>
          <w:rFonts w:cs="Arial"/>
          <w:sz w:val="22"/>
        </w:rPr>
        <w:t>,</w:t>
      </w:r>
      <w:r w:rsidR="00DF7F7F">
        <w:rPr>
          <w:rFonts w:cs="Arial"/>
          <w:sz w:val="22"/>
        </w:rPr>
        <w:t xml:space="preserve"> así como la deportación masiva de las mismas</w:t>
      </w:r>
      <w:r w:rsidR="00DF552E">
        <w:rPr>
          <w:rFonts w:cs="Arial"/>
          <w:sz w:val="22"/>
        </w:rPr>
        <w:t>. Tan só</w:t>
      </w:r>
      <w:r w:rsidR="00DD3BA7">
        <w:rPr>
          <w:rFonts w:cs="Arial"/>
          <w:sz w:val="22"/>
        </w:rPr>
        <w:t>lo en seis meses</w:t>
      </w:r>
      <w:r w:rsidR="00DF552E">
        <w:rPr>
          <w:rFonts w:cs="Arial"/>
          <w:sz w:val="22"/>
        </w:rPr>
        <w:t>,</w:t>
      </w:r>
      <w:r w:rsidR="00DD3BA7">
        <w:rPr>
          <w:rFonts w:cs="Arial"/>
          <w:sz w:val="22"/>
        </w:rPr>
        <w:t xml:space="preserve"> el INM reportó </w:t>
      </w:r>
      <w:r w:rsidR="00DD3BA7" w:rsidRPr="00DD3BA7">
        <w:rPr>
          <w:rFonts w:cs="Arial"/>
          <w:sz w:val="22"/>
        </w:rPr>
        <w:t>1</w:t>
      </w:r>
      <w:r w:rsidR="00DF7F7F" w:rsidRPr="00DD3BA7">
        <w:rPr>
          <w:rFonts w:cs="Arial"/>
          <w:color w:val="000000"/>
          <w:sz w:val="22"/>
          <w:shd w:val="clear" w:color="auto" w:fill="FFFFFF"/>
        </w:rPr>
        <w:t xml:space="preserve">04,439 </w:t>
      </w:r>
      <w:r w:rsidR="00DD3BA7" w:rsidRPr="00DD3BA7">
        <w:rPr>
          <w:rFonts w:cs="Arial"/>
          <w:color w:val="000000"/>
          <w:sz w:val="22"/>
          <w:shd w:val="clear" w:color="auto" w:fill="FFFFFF"/>
        </w:rPr>
        <w:t>detenciones y</w:t>
      </w:r>
      <w:r w:rsidR="00DF7F7F" w:rsidRPr="00DD3BA7">
        <w:rPr>
          <w:rFonts w:cs="Arial"/>
          <w:color w:val="000000"/>
          <w:sz w:val="22"/>
          <w:shd w:val="clear" w:color="auto" w:fill="FFFFFF"/>
        </w:rPr>
        <w:t xml:space="preserve"> 75 mil 759</w:t>
      </w:r>
      <w:r w:rsidR="00DD3BA7" w:rsidRPr="00DD3BA7">
        <w:rPr>
          <w:rFonts w:cs="Arial"/>
          <w:color w:val="000000"/>
          <w:sz w:val="22"/>
          <w:shd w:val="clear" w:color="auto" w:fill="FFFFFF"/>
        </w:rPr>
        <w:t xml:space="preserve"> deportaciones.</w:t>
      </w:r>
    </w:p>
    <w:p w14:paraId="4164DDF8" w14:textId="77777777" w:rsidR="00845EBA" w:rsidRDefault="00845EBA" w:rsidP="009B7F06">
      <w:pPr>
        <w:tabs>
          <w:tab w:val="left" w:pos="1085"/>
        </w:tabs>
        <w:spacing w:line="240" w:lineRule="auto"/>
        <w:jc w:val="both"/>
        <w:rPr>
          <w:rFonts w:cs="Arial"/>
          <w:color w:val="000000"/>
          <w:sz w:val="22"/>
          <w:shd w:val="clear" w:color="auto" w:fill="FFFFFF"/>
        </w:rPr>
      </w:pPr>
    </w:p>
    <w:p w14:paraId="35AC8466" w14:textId="77777777" w:rsidR="006A09BC" w:rsidRDefault="006A09BC" w:rsidP="001204E5">
      <w:pPr>
        <w:tabs>
          <w:tab w:val="left" w:pos="1085"/>
        </w:tabs>
        <w:spacing w:line="240" w:lineRule="auto"/>
        <w:jc w:val="both"/>
        <w:rPr>
          <w:rFonts w:cs="Arial"/>
          <w:color w:val="000000"/>
          <w:sz w:val="22"/>
          <w:shd w:val="clear" w:color="auto" w:fill="FFFFFF"/>
        </w:rPr>
      </w:pPr>
    </w:p>
    <w:p w14:paraId="5CB21832" w14:textId="7BA10B6B" w:rsidR="001204E5" w:rsidRPr="001204E5" w:rsidRDefault="001204E5" w:rsidP="001204E5">
      <w:pPr>
        <w:tabs>
          <w:tab w:val="left" w:pos="1085"/>
        </w:tabs>
        <w:spacing w:line="240" w:lineRule="auto"/>
        <w:jc w:val="both"/>
        <w:rPr>
          <w:sz w:val="22"/>
        </w:rPr>
      </w:pPr>
      <w:r w:rsidRPr="001204E5">
        <w:rPr>
          <w:rFonts w:cs="Arial"/>
          <w:color w:val="000000"/>
          <w:sz w:val="22"/>
          <w:shd w:val="clear" w:color="auto" w:fill="FFFFFF"/>
        </w:rPr>
        <w:lastRenderedPageBreak/>
        <w:t>En este contexto</w:t>
      </w:r>
      <w:r w:rsidR="004024BC">
        <w:rPr>
          <w:rFonts w:cs="Arial"/>
          <w:color w:val="000000"/>
          <w:sz w:val="22"/>
          <w:shd w:val="clear" w:color="auto" w:fill="FFFFFF"/>
        </w:rPr>
        <w:t>,</w:t>
      </w:r>
      <w:r w:rsidRPr="001204E5">
        <w:rPr>
          <w:rFonts w:cs="Arial"/>
          <w:color w:val="000000"/>
          <w:sz w:val="22"/>
          <w:shd w:val="clear" w:color="auto" w:fill="FFFFFF"/>
        </w:rPr>
        <w:t xml:space="preserve"> México impulsó el </w:t>
      </w:r>
      <w:r w:rsidRPr="001204E5">
        <w:rPr>
          <w:sz w:val="22"/>
        </w:rPr>
        <w:t xml:space="preserve">Plan de Desarrollo Integral para El Salvador, Guatemala y Honduras, abordando las causas subyacentes de la migración. </w:t>
      </w:r>
    </w:p>
    <w:p w14:paraId="5DB03581" w14:textId="77777777" w:rsidR="001204E5" w:rsidRPr="001204E5" w:rsidRDefault="001204E5" w:rsidP="009B7F06">
      <w:pPr>
        <w:tabs>
          <w:tab w:val="left" w:pos="1085"/>
        </w:tabs>
        <w:spacing w:line="240" w:lineRule="auto"/>
        <w:jc w:val="both"/>
        <w:rPr>
          <w:rFonts w:cs="Arial"/>
          <w:color w:val="000000"/>
          <w:sz w:val="22"/>
          <w:shd w:val="clear" w:color="auto" w:fill="FFFFFF"/>
        </w:rPr>
      </w:pPr>
    </w:p>
    <w:p w14:paraId="48005F40" w14:textId="5D213F3F" w:rsidR="002D0387" w:rsidRDefault="00683D48" w:rsidP="009B7F06">
      <w:pPr>
        <w:tabs>
          <w:tab w:val="left" w:pos="1085"/>
        </w:tabs>
        <w:spacing w:line="240" w:lineRule="auto"/>
        <w:jc w:val="both"/>
        <w:rPr>
          <w:rFonts w:cs="Arial"/>
          <w:sz w:val="22"/>
        </w:rPr>
      </w:pPr>
      <w:r>
        <w:rPr>
          <w:rFonts w:cs="Arial"/>
          <w:sz w:val="22"/>
        </w:rPr>
        <w:t xml:space="preserve">Finalmente el 3 de julio de 2019, se publicó en el Diario Oficial de la Federación, la reforma a los artículos 109 y 140 de la Ley de Migración, encaminada a </w:t>
      </w:r>
      <w:r w:rsidRPr="00683D48">
        <w:rPr>
          <w:rFonts w:cs="Arial"/>
          <w:sz w:val="22"/>
        </w:rPr>
        <w:t>la inhabilitación de personas funcionarias responsables de cometer violaciones a derechos de personas migrantes.</w:t>
      </w:r>
    </w:p>
    <w:p w14:paraId="673CE217" w14:textId="77777777" w:rsidR="00683D48" w:rsidRDefault="00683D48" w:rsidP="009B7F06">
      <w:pPr>
        <w:tabs>
          <w:tab w:val="left" w:pos="1085"/>
        </w:tabs>
        <w:spacing w:line="240" w:lineRule="auto"/>
        <w:jc w:val="both"/>
        <w:rPr>
          <w:rFonts w:cs="Arial"/>
          <w:sz w:val="22"/>
        </w:rPr>
      </w:pPr>
    </w:p>
    <w:p w14:paraId="43440350" w14:textId="77777777" w:rsidR="00683D48" w:rsidRDefault="00683D48" w:rsidP="009B7F06">
      <w:pPr>
        <w:tabs>
          <w:tab w:val="left" w:pos="1085"/>
        </w:tabs>
        <w:spacing w:line="240" w:lineRule="auto"/>
        <w:jc w:val="both"/>
        <w:rPr>
          <w:rFonts w:cs="Arial"/>
          <w:sz w:val="22"/>
        </w:rPr>
      </w:pPr>
    </w:p>
    <w:p w14:paraId="2DED0D95" w14:textId="729D1DBA" w:rsidR="00A825E4" w:rsidRPr="00C27DD3" w:rsidRDefault="006D5F44" w:rsidP="00C27DD3">
      <w:pPr>
        <w:spacing w:line="240" w:lineRule="auto"/>
        <w:jc w:val="both"/>
        <w:rPr>
          <w:rFonts w:cs="Arial"/>
          <w:i/>
          <w:sz w:val="22"/>
          <w:u w:val="single"/>
          <w:lang w:val="es-ES"/>
        </w:rPr>
      </w:pPr>
      <w:r w:rsidRPr="00C27DD3">
        <w:rPr>
          <w:rFonts w:cs="Arial"/>
          <w:b/>
          <w:i/>
          <w:sz w:val="22"/>
          <w:lang w:val="es-ES"/>
        </w:rPr>
        <w:t>d)</w:t>
      </w:r>
      <w:r w:rsidR="00EA4752" w:rsidRPr="00C27DD3">
        <w:rPr>
          <w:rFonts w:cs="Arial"/>
          <w:b/>
          <w:i/>
          <w:sz w:val="22"/>
          <w:lang w:val="es-ES"/>
        </w:rPr>
        <w:t xml:space="preserve"> </w:t>
      </w:r>
      <w:r w:rsidR="004F4A85" w:rsidRPr="00885FA6">
        <w:rPr>
          <w:rFonts w:cs="Arial"/>
          <w:b/>
          <w:sz w:val="22"/>
          <w:u w:val="single"/>
          <w:lang w:val="es-ES"/>
        </w:rPr>
        <w:t>Pueblos indígenas</w:t>
      </w:r>
      <w:r w:rsidR="00E878F5" w:rsidRPr="00885FA6">
        <w:rPr>
          <w:rFonts w:cs="Arial"/>
          <w:b/>
          <w:sz w:val="22"/>
          <w:u w:val="single"/>
          <w:lang w:val="es-ES"/>
        </w:rPr>
        <w:t>:</w:t>
      </w:r>
      <w:r w:rsidR="00E878F5" w:rsidRPr="00C27DD3">
        <w:rPr>
          <w:rFonts w:cs="Arial"/>
          <w:i/>
          <w:sz w:val="22"/>
          <w:u w:val="single"/>
          <w:lang w:val="es-ES"/>
        </w:rPr>
        <w:t xml:space="preserve"> </w:t>
      </w:r>
    </w:p>
    <w:p w14:paraId="14E54F4C" w14:textId="77777777" w:rsidR="00A825E4" w:rsidRPr="00C27DD3" w:rsidRDefault="00A825E4" w:rsidP="00C27DD3">
      <w:pPr>
        <w:spacing w:line="240" w:lineRule="auto"/>
        <w:jc w:val="both"/>
        <w:rPr>
          <w:rFonts w:cs="Arial"/>
          <w:i/>
          <w:sz w:val="22"/>
          <w:u w:val="single"/>
          <w:lang w:val="es-ES"/>
        </w:rPr>
      </w:pPr>
    </w:p>
    <w:p w14:paraId="5A71ECB6" w14:textId="52262738" w:rsidR="00EA4752" w:rsidRPr="00C27DD3" w:rsidRDefault="00A825E4" w:rsidP="00C27DD3">
      <w:pPr>
        <w:spacing w:line="240" w:lineRule="auto"/>
        <w:jc w:val="both"/>
        <w:rPr>
          <w:rFonts w:cs="Arial"/>
          <w:b/>
          <w:i/>
          <w:sz w:val="22"/>
          <w:u w:val="single"/>
          <w:lang w:val="es-ES"/>
        </w:rPr>
      </w:pPr>
      <w:r w:rsidRPr="00C27DD3">
        <w:rPr>
          <w:rFonts w:cs="Arial"/>
          <w:i/>
          <w:sz w:val="22"/>
          <w:u w:val="single"/>
          <w:lang w:val="es-ES"/>
        </w:rPr>
        <w:t xml:space="preserve">d.1) </w:t>
      </w:r>
      <w:r w:rsidRPr="00885FA6">
        <w:rPr>
          <w:rFonts w:cs="Arial"/>
          <w:b/>
          <w:sz w:val="22"/>
          <w:u w:val="single"/>
          <w:lang w:val="es-ES"/>
        </w:rPr>
        <w:t xml:space="preserve">Derecho al </w:t>
      </w:r>
      <w:r w:rsidR="00E878F5" w:rsidRPr="00885FA6">
        <w:rPr>
          <w:rFonts w:cs="Arial"/>
          <w:b/>
          <w:sz w:val="22"/>
          <w:u w:val="single"/>
          <w:lang w:val="es-ES"/>
        </w:rPr>
        <w:t>debido proceso y acceso a la justicia</w:t>
      </w:r>
    </w:p>
    <w:p w14:paraId="5F92E3D2" w14:textId="5259B704" w:rsidR="00EA4752" w:rsidRPr="00C27DD3" w:rsidRDefault="00EA4752" w:rsidP="00C27DD3">
      <w:pPr>
        <w:spacing w:line="240" w:lineRule="auto"/>
        <w:jc w:val="both"/>
        <w:rPr>
          <w:rFonts w:cs="Arial"/>
          <w:b/>
          <w:i/>
          <w:sz w:val="22"/>
          <w:lang w:val="es-ES"/>
        </w:rPr>
      </w:pPr>
      <w:r w:rsidRPr="00885FA6">
        <w:rPr>
          <w:rFonts w:cs="Arial"/>
          <w:i/>
          <w:sz w:val="22"/>
          <w:lang w:val="es-ES"/>
        </w:rPr>
        <w:t>Párrafo del informe del Estado Mexicano:</w:t>
      </w:r>
      <w:r w:rsidRPr="00C27DD3">
        <w:rPr>
          <w:rFonts w:cs="Arial"/>
          <w:i/>
          <w:sz w:val="22"/>
          <w:lang w:val="es-ES"/>
        </w:rPr>
        <w:t xml:space="preserve"> </w:t>
      </w:r>
      <w:r w:rsidR="004F4A85" w:rsidRPr="00C27DD3">
        <w:rPr>
          <w:rFonts w:cs="Arial"/>
          <w:i/>
          <w:sz w:val="22"/>
          <w:lang w:val="es-ES"/>
        </w:rPr>
        <w:t>79, 83, 84</w:t>
      </w:r>
      <w:r w:rsidRPr="00C27DD3">
        <w:rPr>
          <w:rFonts w:cs="Arial"/>
          <w:i/>
          <w:sz w:val="22"/>
          <w:lang w:val="es-ES"/>
        </w:rPr>
        <w:t>.</w:t>
      </w:r>
    </w:p>
    <w:p w14:paraId="160127D7" w14:textId="77777777" w:rsidR="00885FA6" w:rsidRDefault="00885FA6" w:rsidP="00C27DD3">
      <w:pPr>
        <w:tabs>
          <w:tab w:val="left" w:pos="1085"/>
        </w:tabs>
        <w:spacing w:line="240" w:lineRule="auto"/>
        <w:jc w:val="both"/>
        <w:rPr>
          <w:rFonts w:cs="Arial"/>
          <w:b/>
          <w:i/>
          <w:sz w:val="22"/>
          <w:lang w:val="es-ES"/>
        </w:rPr>
      </w:pPr>
    </w:p>
    <w:p w14:paraId="7C9EC749" w14:textId="37BE2E40" w:rsidR="00AF21D1" w:rsidRPr="00C27DD3" w:rsidRDefault="00AF21D1" w:rsidP="00C27DD3">
      <w:pPr>
        <w:tabs>
          <w:tab w:val="left" w:pos="1085"/>
        </w:tabs>
        <w:spacing w:line="240" w:lineRule="auto"/>
        <w:jc w:val="both"/>
        <w:rPr>
          <w:rFonts w:cs="Arial"/>
          <w:sz w:val="22"/>
        </w:rPr>
      </w:pPr>
      <w:r w:rsidRPr="00C27DD3">
        <w:rPr>
          <w:rFonts w:cs="Arial"/>
          <w:sz w:val="22"/>
        </w:rPr>
        <w:t xml:space="preserve">En contraste con los esfuerzos reportados por el Estado, este Organismo público autónomo de derechos humanos ha documentado que las autoridades de la Ciudad de México continúan sin cumplir cabalmente su obligación de garantizar los derechos al debido proceso y al acceso a la justicia de las personas indígenas, ya que no respetan sus derechos a la autoadscripción y a ser asistidos por un intérprete. </w:t>
      </w:r>
    </w:p>
    <w:p w14:paraId="64D7BE7B" w14:textId="77777777" w:rsidR="00AF21D1" w:rsidRPr="00C27DD3" w:rsidRDefault="00AF21D1" w:rsidP="00C27DD3">
      <w:pPr>
        <w:tabs>
          <w:tab w:val="left" w:pos="1085"/>
        </w:tabs>
        <w:spacing w:line="240" w:lineRule="auto"/>
        <w:jc w:val="both"/>
        <w:rPr>
          <w:rFonts w:cs="Arial"/>
          <w:b/>
          <w:i/>
          <w:sz w:val="22"/>
          <w:lang w:val="es-ES"/>
        </w:rPr>
      </w:pPr>
    </w:p>
    <w:p w14:paraId="51889EB0" w14:textId="0D27F531" w:rsidR="006D5F44" w:rsidRPr="00C27DD3" w:rsidRDefault="006D5F44" w:rsidP="00C27DD3">
      <w:pPr>
        <w:spacing w:line="240" w:lineRule="auto"/>
        <w:jc w:val="both"/>
        <w:rPr>
          <w:rFonts w:eastAsia="Arial" w:cs="Arial"/>
          <w:color w:val="000000"/>
          <w:sz w:val="22"/>
        </w:rPr>
      </w:pPr>
      <w:r w:rsidRPr="00C27DD3">
        <w:rPr>
          <w:rFonts w:cs="Arial"/>
          <w:sz w:val="22"/>
        </w:rPr>
        <w:t>En la Recomendación 3/2018</w:t>
      </w:r>
      <w:r w:rsidRPr="00C27DD3">
        <w:rPr>
          <w:rStyle w:val="Refdenotaalpie"/>
          <w:rFonts w:cs="Arial"/>
          <w:sz w:val="22"/>
        </w:rPr>
        <w:footnoteReference w:id="24"/>
      </w:r>
      <w:r w:rsidRPr="00C27DD3">
        <w:rPr>
          <w:rFonts w:cs="Arial"/>
          <w:sz w:val="22"/>
        </w:rPr>
        <w:t>, esta CDHDF documentó 12 casos</w:t>
      </w:r>
      <w:r w:rsidR="00AB28FF" w:rsidRPr="00C27DD3">
        <w:rPr>
          <w:rStyle w:val="Refdenotaalpie"/>
          <w:rFonts w:cs="Arial"/>
          <w:sz w:val="22"/>
        </w:rPr>
        <w:footnoteReference w:id="25"/>
      </w:r>
      <w:r w:rsidRPr="00C27DD3">
        <w:rPr>
          <w:rFonts w:cs="Arial"/>
          <w:sz w:val="22"/>
        </w:rPr>
        <w:t xml:space="preserve"> en los que las autoridades capitalinas omitieron garantizar el derecho de 14 víctimas indígenas imputadas de un delito, a autoadscribirse como indígenas, lo que obstaculizó su derecho al debido proceso, ya que tampoco les fue asignado intérprete desde su detención y a lo largo del proceso penal en su contra. </w:t>
      </w:r>
      <w:r w:rsidRPr="00C27DD3">
        <w:rPr>
          <w:rFonts w:eastAsia="Arial" w:cs="Arial"/>
          <w:color w:val="000000"/>
          <w:sz w:val="22"/>
        </w:rPr>
        <w:t xml:space="preserve">En los pocos casos en los que las víctimas se autoadscribieron como indígenas, no se les brindó la asistencia de un intérprete en su lengua debido a que, a consideración de los servidores públicos de las instituciones de justicia, dichas personas tenían un manejo suficiente del español, cuestión que determinaron sin realizar ninguna pericial lingüística. En ese sentido, la determinación partió exclusivamente del criterio de la autoridad, quien no cuenta con la capacidad técnica para determinar el grado de comprensión que una persona pudiera tener respecto a una lengua. </w:t>
      </w:r>
    </w:p>
    <w:p w14:paraId="50F61C03" w14:textId="77777777" w:rsidR="00AF21D1" w:rsidRPr="00C27DD3" w:rsidRDefault="00AF21D1" w:rsidP="00C27DD3">
      <w:pPr>
        <w:spacing w:line="240" w:lineRule="auto"/>
        <w:jc w:val="both"/>
        <w:rPr>
          <w:rFonts w:eastAsia="Arial" w:cs="Arial"/>
          <w:color w:val="000000"/>
          <w:sz w:val="22"/>
        </w:rPr>
      </w:pPr>
    </w:p>
    <w:p w14:paraId="013CA8B2" w14:textId="6142C13B" w:rsidR="006D5F44" w:rsidRPr="00C27DD3" w:rsidRDefault="006D5F44" w:rsidP="00C27DD3">
      <w:pPr>
        <w:spacing w:line="240" w:lineRule="auto"/>
        <w:jc w:val="both"/>
        <w:rPr>
          <w:rFonts w:cs="Arial"/>
          <w:sz w:val="22"/>
        </w:rPr>
      </w:pPr>
      <w:r w:rsidRPr="00C27DD3">
        <w:rPr>
          <w:rFonts w:cs="Arial"/>
          <w:sz w:val="22"/>
        </w:rPr>
        <w:t xml:space="preserve">Las autoridades señaladas como responsables fueron la </w:t>
      </w:r>
      <w:r w:rsidR="00AF21D1" w:rsidRPr="00C27DD3">
        <w:rPr>
          <w:rFonts w:cs="Arial"/>
          <w:sz w:val="22"/>
        </w:rPr>
        <w:t>Procuraduría General de Justicia</w:t>
      </w:r>
      <w:r w:rsidRPr="00C27DD3">
        <w:rPr>
          <w:rFonts w:cs="Arial"/>
          <w:sz w:val="22"/>
        </w:rPr>
        <w:t xml:space="preserve">, el </w:t>
      </w:r>
      <w:r w:rsidR="00AF21D1" w:rsidRPr="00C27DD3">
        <w:rPr>
          <w:rFonts w:cs="Arial"/>
          <w:sz w:val="22"/>
        </w:rPr>
        <w:t xml:space="preserve">Tribunal Superior de Justicia </w:t>
      </w:r>
      <w:r w:rsidRPr="00C27DD3">
        <w:rPr>
          <w:rFonts w:cs="Arial"/>
          <w:sz w:val="22"/>
        </w:rPr>
        <w:t>y la Consejería Jurídica y de Servicios Legales (</w:t>
      </w:r>
      <w:r w:rsidR="00AF21D1" w:rsidRPr="00C27DD3">
        <w:rPr>
          <w:rFonts w:cs="Arial"/>
          <w:sz w:val="22"/>
        </w:rPr>
        <w:t xml:space="preserve">de la cual dependen la </w:t>
      </w:r>
      <w:r w:rsidRPr="00C27DD3">
        <w:rPr>
          <w:rFonts w:cs="Arial"/>
          <w:sz w:val="22"/>
        </w:rPr>
        <w:t>Defensoría Pública), todas de la Ciudad de México, por la omisión de realizar las diligencias pertinentes para establecer la identidad étnica de las personas probables responsables, aunado a la falta de mecanismos idóneos para posibilitar su autoadscripción.</w:t>
      </w:r>
    </w:p>
    <w:p w14:paraId="58FBD9E3" w14:textId="77777777" w:rsidR="00AF21D1" w:rsidRPr="00C27DD3" w:rsidRDefault="00AF21D1" w:rsidP="00C27DD3">
      <w:pPr>
        <w:spacing w:line="240" w:lineRule="auto"/>
        <w:jc w:val="both"/>
        <w:rPr>
          <w:rFonts w:cs="Arial"/>
          <w:sz w:val="22"/>
        </w:rPr>
      </w:pPr>
    </w:p>
    <w:p w14:paraId="0F207794" w14:textId="71CEB306" w:rsidR="006D5F44" w:rsidRPr="00C27DD3" w:rsidRDefault="006D5F44" w:rsidP="00C27DD3">
      <w:pPr>
        <w:spacing w:line="240" w:lineRule="auto"/>
        <w:jc w:val="both"/>
        <w:rPr>
          <w:rFonts w:cs="Arial"/>
          <w:sz w:val="22"/>
        </w:rPr>
      </w:pPr>
      <w:r w:rsidRPr="00C27DD3">
        <w:rPr>
          <w:rFonts w:cs="Arial"/>
          <w:sz w:val="22"/>
        </w:rPr>
        <w:t xml:space="preserve">Por lo anterior, las personas indígenas imputadas enfrentaron el proceso penal sin saber lo que ocurría y sin poder manifestar plenamente lo que a su derecho convenía, lo cual también vulneró su derecho de acceso a la justicia. Este instrumento recomendatorio evidenció la falta de perspectiva pluricultural por parte de los funcionarios públicos involucrados en la procuración e impartición de justicia en la Ciudad, </w:t>
      </w:r>
      <w:r w:rsidRPr="00C27DD3">
        <w:rPr>
          <w:rFonts w:eastAsia="Arial" w:cs="Arial"/>
          <w:color w:val="000000"/>
          <w:sz w:val="22"/>
        </w:rPr>
        <w:t xml:space="preserve">que generó un contexto desigual </w:t>
      </w:r>
      <w:r w:rsidRPr="00C27DD3">
        <w:rPr>
          <w:rFonts w:cs="Arial"/>
          <w:sz w:val="22"/>
        </w:rPr>
        <w:t>y perpetuó la exclusión estructural e histórica de las personas indígenas, en el ámbito de la justicia.</w:t>
      </w:r>
    </w:p>
    <w:p w14:paraId="21B6DC00" w14:textId="77777777" w:rsidR="00AF21D1" w:rsidRPr="00C27DD3" w:rsidRDefault="00AF21D1" w:rsidP="00C27DD3">
      <w:pPr>
        <w:spacing w:line="240" w:lineRule="auto"/>
        <w:jc w:val="both"/>
        <w:rPr>
          <w:rFonts w:cs="Arial"/>
          <w:sz w:val="22"/>
        </w:rPr>
      </w:pPr>
    </w:p>
    <w:p w14:paraId="6B98241C" w14:textId="77777777" w:rsidR="006D5F44" w:rsidRPr="00C27DD3" w:rsidRDefault="006D5F44" w:rsidP="00C27DD3">
      <w:pPr>
        <w:spacing w:line="240" w:lineRule="auto"/>
        <w:jc w:val="both"/>
        <w:rPr>
          <w:rFonts w:cs="Arial"/>
          <w:sz w:val="22"/>
        </w:rPr>
      </w:pPr>
      <w:r w:rsidRPr="00C27DD3">
        <w:rPr>
          <w:rFonts w:eastAsia="Arial" w:cs="Arial"/>
          <w:color w:val="000000"/>
          <w:sz w:val="22"/>
        </w:rPr>
        <w:t xml:space="preserve">Además, las violaciones al derecho al debido proceso han causado estragos importantes en las redes comunitarias de las personas indígenas. Las condiciones penitenciarias que obstaculizan el libre contacto con familiares y otras personas de la comunidad, interfieren </w:t>
      </w:r>
      <w:r w:rsidRPr="00C27DD3">
        <w:rPr>
          <w:rFonts w:eastAsia="Arial" w:cs="Arial"/>
          <w:color w:val="000000"/>
          <w:sz w:val="22"/>
        </w:rPr>
        <w:lastRenderedPageBreak/>
        <w:t>de manera importante con los lazos de reciprocidad que se extienden desde el ámbito urbano hasta la comunidad de origen, lo cual no solo reduce significativamente las oportunidades de subsistencia de las personas indígenas sometidas a proceso penal, sino que impactan directamente en la familia y comunidad</w:t>
      </w:r>
    </w:p>
    <w:p w14:paraId="34DE5E1D" w14:textId="67EABB17" w:rsidR="00CC7BC0" w:rsidRPr="00C27DD3" w:rsidRDefault="00CC7BC0" w:rsidP="00C27DD3">
      <w:pPr>
        <w:tabs>
          <w:tab w:val="left" w:pos="1085"/>
        </w:tabs>
        <w:spacing w:line="240" w:lineRule="auto"/>
        <w:rPr>
          <w:rFonts w:cs="Arial"/>
          <w:b/>
          <w:i/>
          <w:sz w:val="22"/>
          <w:lang w:val="es-ES"/>
        </w:rPr>
      </w:pPr>
    </w:p>
    <w:p w14:paraId="0B32BB5C" w14:textId="0AC06B0C" w:rsidR="00E878F5" w:rsidRPr="00DC350D" w:rsidRDefault="00A825E4" w:rsidP="00C27DD3">
      <w:pPr>
        <w:spacing w:line="240" w:lineRule="auto"/>
        <w:jc w:val="both"/>
        <w:rPr>
          <w:rFonts w:cs="Arial"/>
          <w:b/>
          <w:sz w:val="22"/>
          <w:u w:val="single"/>
          <w:lang w:val="es-ES"/>
        </w:rPr>
      </w:pPr>
      <w:r w:rsidRPr="00DC350D">
        <w:rPr>
          <w:rFonts w:cs="Arial"/>
          <w:b/>
          <w:sz w:val="22"/>
          <w:u w:val="single"/>
          <w:lang w:val="es-ES"/>
        </w:rPr>
        <w:t>d.2</w:t>
      </w:r>
      <w:r w:rsidR="00F70D8A" w:rsidRPr="00DC350D">
        <w:rPr>
          <w:rFonts w:cs="Arial"/>
          <w:b/>
          <w:sz w:val="22"/>
          <w:u w:val="single"/>
          <w:lang w:val="es-ES"/>
        </w:rPr>
        <w:t>)</w:t>
      </w:r>
      <w:r w:rsidR="00E878F5" w:rsidRPr="00DC350D">
        <w:rPr>
          <w:rFonts w:cs="Arial"/>
          <w:b/>
          <w:sz w:val="22"/>
          <w:u w:val="single"/>
          <w:lang w:val="es-ES"/>
        </w:rPr>
        <w:t xml:space="preserve"> </w:t>
      </w:r>
      <w:r w:rsidRPr="00DC350D">
        <w:rPr>
          <w:rFonts w:cs="Arial"/>
          <w:b/>
          <w:sz w:val="22"/>
          <w:u w:val="single"/>
          <w:lang w:val="es-ES"/>
        </w:rPr>
        <w:t>D</w:t>
      </w:r>
      <w:r w:rsidR="00E878F5" w:rsidRPr="00DC350D">
        <w:rPr>
          <w:rFonts w:cs="Arial"/>
          <w:b/>
          <w:sz w:val="22"/>
          <w:u w:val="single"/>
          <w:lang w:val="es-ES"/>
        </w:rPr>
        <w:t>erecho a la consulta</w:t>
      </w:r>
    </w:p>
    <w:p w14:paraId="4E0E98EC" w14:textId="116109FF" w:rsidR="00CC7BC0" w:rsidRPr="00C27DD3" w:rsidRDefault="00CC7BC0" w:rsidP="00C27DD3">
      <w:pPr>
        <w:spacing w:line="240" w:lineRule="auto"/>
        <w:jc w:val="both"/>
        <w:rPr>
          <w:rFonts w:cs="Arial"/>
          <w:b/>
          <w:i/>
          <w:sz w:val="22"/>
          <w:lang w:val="es-ES"/>
        </w:rPr>
      </w:pPr>
      <w:r w:rsidRPr="00DC350D">
        <w:rPr>
          <w:rFonts w:cs="Arial"/>
          <w:i/>
          <w:sz w:val="22"/>
          <w:lang w:val="es-ES"/>
        </w:rPr>
        <w:t>Párrafo del informe del Estado Mexicano:</w:t>
      </w:r>
      <w:r w:rsidRPr="00C27DD3">
        <w:rPr>
          <w:rFonts w:cs="Arial"/>
          <w:i/>
          <w:sz w:val="22"/>
          <w:lang w:val="es-ES"/>
        </w:rPr>
        <w:t xml:space="preserve"> 93, 94, 96</w:t>
      </w:r>
    </w:p>
    <w:p w14:paraId="603BB463" w14:textId="77777777" w:rsidR="00DC350D" w:rsidRDefault="00DC350D" w:rsidP="00C27DD3">
      <w:pPr>
        <w:spacing w:line="240" w:lineRule="auto"/>
        <w:jc w:val="both"/>
        <w:rPr>
          <w:rFonts w:cs="Arial"/>
          <w:b/>
          <w:i/>
          <w:sz w:val="22"/>
          <w:lang w:val="es-ES"/>
        </w:rPr>
      </w:pPr>
    </w:p>
    <w:p w14:paraId="6C3219F2" w14:textId="5F050FCA" w:rsidR="00A946EF" w:rsidRPr="00C27DD3" w:rsidRDefault="00A946EF" w:rsidP="00C27DD3">
      <w:pPr>
        <w:spacing w:line="240" w:lineRule="auto"/>
        <w:jc w:val="both"/>
        <w:rPr>
          <w:rFonts w:cs="Arial"/>
          <w:sz w:val="22"/>
        </w:rPr>
      </w:pPr>
      <w:r w:rsidRPr="00C27DD3">
        <w:rPr>
          <w:rFonts w:cs="Arial"/>
          <w:sz w:val="22"/>
        </w:rPr>
        <w:t>El proceso Constituyente de la Ciudad de México sentó un precedente para México y otros países respecto del cumplimiento del derecho a la consulta a pueblos, barrios y comunidades indígenas, atendiendo así a los estándares internacionales en la materia, concretamente el Convenio 169 de la OIT, la Declaración de Naciones Unidas sobre los Derechos de los Pueblos Indígenas y la Declaración Americana sobre los Derechos de los Pueblos Indígenas.</w:t>
      </w:r>
    </w:p>
    <w:p w14:paraId="591A5538" w14:textId="77777777" w:rsidR="00A946EF" w:rsidRPr="00C27DD3" w:rsidRDefault="00A946EF" w:rsidP="00C27DD3">
      <w:pPr>
        <w:spacing w:line="240" w:lineRule="auto"/>
        <w:jc w:val="both"/>
        <w:rPr>
          <w:rFonts w:cs="Arial"/>
          <w:sz w:val="22"/>
        </w:rPr>
      </w:pPr>
    </w:p>
    <w:p w14:paraId="62442C5E" w14:textId="77777777" w:rsidR="00A946EF" w:rsidRPr="00C27DD3" w:rsidRDefault="00A946EF" w:rsidP="00C27DD3">
      <w:pPr>
        <w:spacing w:line="240" w:lineRule="auto"/>
        <w:jc w:val="both"/>
        <w:rPr>
          <w:rFonts w:cs="Arial"/>
          <w:sz w:val="22"/>
        </w:rPr>
      </w:pPr>
      <w:r w:rsidRPr="00C27DD3">
        <w:rPr>
          <w:rFonts w:cs="Arial"/>
          <w:sz w:val="22"/>
        </w:rPr>
        <w:t xml:space="preserve">Entre diciembre de 2016 y enero de 2017, la Comisión de Pueblos y Barrios Originarios y Comunidades Indígenas Residentes de la Asamblea Constituyente llevó a cabo un amplio proceso de consulta en el que se realizaron 940 asambleas deliberativas, con la participación de 17,558 personas indígenas para analizar y presentar propuestas el Dictamen elaborado por dicha Comisión y que integraría el apartado de reconocimiento de los derechos individuales y colectivos de esta población. </w:t>
      </w:r>
    </w:p>
    <w:p w14:paraId="6C6708FB" w14:textId="77777777" w:rsidR="00A946EF" w:rsidRPr="00C27DD3" w:rsidRDefault="00A946EF" w:rsidP="00C27DD3">
      <w:pPr>
        <w:spacing w:line="240" w:lineRule="auto"/>
        <w:jc w:val="both"/>
        <w:rPr>
          <w:rFonts w:cs="Arial"/>
          <w:sz w:val="22"/>
        </w:rPr>
      </w:pPr>
    </w:p>
    <w:p w14:paraId="47D08888" w14:textId="77777777" w:rsidR="00A946EF" w:rsidRPr="00C27DD3" w:rsidRDefault="00A946EF" w:rsidP="00C27DD3">
      <w:pPr>
        <w:spacing w:line="240" w:lineRule="auto"/>
        <w:jc w:val="both"/>
        <w:rPr>
          <w:rFonts w:cs="Arial"/>
          <w:sz w:val="22"/>
        </w:rPr>
      </w:pPr>
      <w:r w:rsidRPr="00C27DD3">
        <w:rPr>
          <w:rFonts w:cs="Arial"/>
          <w:sz w:val="22"/>
        </w:rPr>
        <w:t>Posterior a la publicación de la Constitución, la Procuraduría General de la República, entre otras instancias, impugnó diversas disposiciones contenidas en el texto constitucional local ante la Suprema Corte de Justicia de la Nación (SCJN), entre ellas, el propio proceso de consulta indígena. Su argumento fue que ésta no se había llevado a cabo conforme a lo establecido en el derecho internacional y lo dispuesto en los artículos 1° y 2° de la CPEUM.</w:t>
      </w:r>
    </w:p>
    <w:p w14:paraId="2612B348" w14:textId="77777777" w:rsidR="00A946EF" w:rsidRPr="00C27DD3" w:rsidRDefault="00A946EF" w:rsidP="00C27DD3">
      <w:pPr>
        <w:spacing w:line="240" w:lineRule="auto"/>
        <w:jc w:val="both"/>
        <w:rPr>
          <w:rFonts w:cs="Arial"/>
          <w:sz w:val="22"/>
        </w:rPr>
      </w:pPr>
    </w:p>
    <w:p w14:paraId="36749DE2" w14:textId="77777777" w:rsidR="00A946EF" w:rsidRPr="00C27DD3" w:rsidRDefault="00A946EF" w:rsidP="00C27DD3">
      <w:pPr>
        <w:spacing w:line="240" w:lineRule="auto"/>
        <w:jc w:val="both"/>
        <w:rPr>
          <w:rFonts w:cs="Arial"/>
          <w:sz w:val="22"/>
        </w:rPr>
      </w:pPr>
      <w:r w:rsidRPr="00C27DD3">
        <w:rPr>
          <w:rFonts w:cs="Arial"/>
          <w:sz w:val="22"/>
        </w:rPr>
        <w:t xml:space="preserve">No obstante, en octubre de 2017, la SCJN resolvió esta acción de inconstitucionalidad declarando la validez en lo general de la CPCM, al determinar que las consultas a personas, pueblos y comunidades indígenas y a personas con discapacidad, se realizaron atendiendo a los estándares internacionales. </w:t>
      </w:r>
    </w:p>
    <w:p w14:paraId="32D9C0F1" w14:textId="77777777" w:rsidR="00A946EF" w:rsidRPr="00C27DD3" w:rsidRDefault="00A946EF" w:rsidP="00C27DD3">
      <w:pPr>
        <w:spacing w:line="240" w:lineRule="auto"/>
        <w:jc w:val="both"/>
        <w:rPr>
          <w:rFonts w:cs="Arial"/>
          <w:sz w:val="22"/>
        </w:rPr>
      </w:pPr>
    </w:p>
    <w:p w14:paraId="66CBAF38" w14:textId="77777777" w:rsidR="00A946EF" w:rsidRPr="00C27DD3" w:rsidRDefault="00A946EF" w:rsidP="00C27DD3">
      <w:pPr>
        <w:spacing w:line="240" w:lineRule="auto"/>
        <w:jc w:val="both"/>
        <w:rPr>
          <w:rFonts w:cs="Arial"/>
          <w:sz w:val="22"/>
        </w:rPr>
      </w:pPr>
      <w:r w:rsidRPr="00C27DD3">
        <w:rPr>
          <w:rFonts w:cs="Arial"/>
          <w:sz w:val="22"/>
        </w:rPr>
        <w:t>Con esta resolución, el Máximo Tribunal establece un parámetro en materia de derechos humanos de las personas, pueblos y comunidades indígenas que deberá ser respetado durante el proceso de elaboración de la legislación secundaria que emane de la CPCM, pues toda ley, política o programa susceptible de afectar directamente a esta población deberá ser consultada. Es decir, la consulta a los pueblos y comunidades indígenas no será prescindible en el proceso de armonización de las leyes secundarias.</w:t>
      </w:r>
    </w:p>
    <w:p w14:paraId="72E158BD" w14:textId="77777777" w:rsidR="00A946EF" w:rsidRPr="00C27DD3" w:rsidRDefault="00A946EF" w:rsidP="00C27DD3">
      <w:pPr>
        <w:tabs>
          <w:tab w:val="left" w:pos="1085"/>
        </w:tabs>
        <w:spacing w:line="240" w:lineRule="auto"/>
        <w:jc w:val="both"/>
        <w:rPr>
          <w:rFonts w:cs="Arial"/>
          <w:b/>
          <w:i/>
          <w:sz w:val="22"/>
          <w:lang w:val="es-ES"/>
        </w:rPr>
      </w:pPr>
    </w:p>
    <w:p w14:paraId="29BF0DDF" w14:textId="758E822C" w:rsidR="00EA1C68" w:rsidRPr="00C27DD3" w:rsidRDefault="00A946EF" w:rsidP="00C27DD3">
      <w:pPr>
        <w:tabs>
          <w:tab w:val="left" w:pos="1085"/>
        </w:tabs>
        <w:spacing w:line="240" w:lineRule="auto"/>
        <w:jc w:val="both"/>
        <w:rPr>
          <w:rFonts w:cs="Arial"/>
          <w:b/>
          <w:i/>
          <w:sz w:val="22"/>
          <w:lang w:val="es-ES"/>
        </w:rPr>
      </w:pPr>
      <w:r w:rsidRPr="00C27DD3">
        <w:rPr>
          <w:rFonts w:cs="Arial"/>
          <w:sz w:val="22"/>
          <w:lang w:val="es-ES"/>
        </w:rPr>
        <w:t>Cabe mencionar que,</w:t>
      </w:r>
      <w:r w:rsidR="00EA1C68" w:rsidRPr="00C27DD3">
        <w:rPr>
          <w:rFonts w:cs="Arial"/>
          <w:sz w:val="22"/>
          <w:lang w:val="es-ES"/>
        </w:rPr>
        <w:t xml:space="preserve"> </w:t>
      </w:r>
      <w:r w:rsidR="00EA1C68" w:rsidRPr="00C27DD3">
        <w:rPr>
          <w:rFonts w:cs="Arial"/>
          <w:sz w:val="22"/>
        </w:rPr>
        <w:t>en la Recomendación 10/2018</w:t>
      </w:r>
      <w:r w:rsidR="00EA1C68" w:rsidRPr="00C27DD3">
        <w:rPr>
          <w:rStyle w:val="Refdenotaalpie"/>
          <w:rFonts w:cs="Arial"/>
          <w:sz w:val="22"/>
        </w:rPr>
        <w:footnoteReference w:id="26"/>
      </w:r>
      <w:r w:rsidR="00EA1C68" w:rsidRPr="00C27DD3">
        <w:rPr>
          <w:rFonts w:cs="Arial"/>
          <w:sz w:val="22"/>
        </w:rPr>
        <w:t>, esta CDHDF acreditó que la Jefatura Delegacional en Iztapalapa omitió consultar al Pueblo Originario de Culhuacán</w:t>
      </w:r>
      <w:r w:rsidR="00EA1C68" w:rsidRPr="00C27DD3">
        <w:rPr>
          <w:rStyle w:val="Refdenotaalpie"/>
          <w:rFonts w:cs="Arial"/>
          <w:sz w:val="22"/>
        </w:rPr>
        <w:footnoteReference w:id="27"/>
      </w:r>
      <w:r w:rsidR="00EA1C68" w:rsidRPr="00C27DD3">
        <w:rPr>
          <w:rFonts w:cs="Arial"/>
          <w:sz w:val="22"/>
        </w:rPr>
        <w:t xml:space="preserve">, antes de adoptar diversas medidas susceptibles de afectarles, respecto de la construcción y administración del panteón vecinal. Además de esta violación al derecho a la consulta de pueblos indígenas, desde 2011, la Delegación Iztapalapa no ha garantizado que el Pueblo Originario de Culhuacán cuente con un espacio para inhumar a sus familiares conforme a </w:t>
      </w:r>
      <w:r w:rsidR="00EA1C68" w:rsidRPr="00C27DD3">
        <w:rPr>
          <w:rFonts w:cs="Arial"/>
          <w:sz w:val="22"/>
        </w:rPr>
        <w:lastRenderedPageBreak/>
        <w:t>su cultura; y durante un desalojo, las autoridades delegacionales destruyeron un Teocalli</w:t>
      </w:r>
      <w:r w:rsidR="00EA1C68" w:rsidRPr="00C27DD3">
        <w:rPr>
          <w:rStyle w:val="Refdenotaalpie"/>
          <w:rFonts w:cs="Arial"/>
          <w:sz w:val="22"/>
        </w:rPr>
        <w:footnoteReference w:id="28"/>
      </w:r>
      <w:r w:rsidR="00EA1C68" w:rsidRPr="00C27DD3">
        <w:rPr>
          <w:rFonts w:cs="Arial"/>
          <w:sz w:val="22"/>
        </w:rPr>
        <w:t xml:space="preserve"> construido por el pueblo, como una expresión cultural del mismo.</w:t>
      </w:r>
    </w:p>
    <w:p w14:paraId="09306CA1" w14:textId="77777777" w:rsidR="00EA1C68" w:rsidRPr="00C27DD3" w:rsidRDefault="00EA1C68" w:rsidP="00C27DD3">
      <w:pPr>
        <w:tabs>
          <w:tab w:val="left" w:pos="1085"/>
        </w:tabs>
        <w:spacing w:line="240" w:lineRule="auto"/>
        <w:jc w:val="both"/>
        <w:rPr>
          <w:rFonts w:cs="Arial"/>
          <w:sz w:val="22"/>
        </w:rPr>
      </w:pPr>
    </w:p>
    <w:p w14:paraId="2183FCF4" w14:textId="3F3723B4" w:rsidR="00EA1C68" w:rsidRPr="00C27DD3" w:rsidRDefault="00EA1C68" w:rsidP="00C27DD3">
      <w:pPr>
        <w:spacing w:line="240" w:lineRule="auto"/>
        <w:jc w:val="both"/>
        <w:rPr>
          <w:rFonts w:cs="Arial"/>
          <w:sz w:val="22"/>
        </w:rPr>
      </w:pPr>
      <w:r w:rsidRPr="00C27DD3">
        <w:rPr>
          <w:rFonts w:cs="Arial"/>
          <w:sz w:val="22"/>
        </w:rPr>
        <w:t>Es preciso mencionar que el artículo 2.1 de la Constitución Política de la Ciudad de México, reconoce que esta Ciudad “es intercultural, tiene una composición plurilingüe, pluriétnica y pluricultural sustentada en sus habitantes; sus pueblos y barrios originarios históricamente asentados en su territorio y en sus comunidades indígenas residentes. Se funda en la diversidad de sus tradiciones y expresiones sociales y culturales.”</w:t>
      </w:r>
    </w:p>
    <w:p w14:paraId="416196E5" w14:textId="77777777" w:rsidR="00A946EF" w:rsidRPr="00C27DD3" w:rsidRDefault="00A946EF" w:rsidP="00C27DD3">
      <w:pPr>
        <w:spacing w:line="240" w:lineRule="auto"/>
        <w:jc w:val="both"/>
        <w:rPr>
          <w:rFonts w:cs="Arial"/>
          <w:sz w:val="22"/>
        </w:rPr>
      </w:pPr>
    </w:p>
    <w:p w14:paraId="5F8BE76B" w14:textId="23C6C1FA" w:rsidR="00EA1C68" w:rsidRPr="00C27DD3" w:rsidRDefault="00EA1C68" w:rsidP="00C27DD3">
      <w:pPr>
        <w:spacing w:line="240" w:lineRule="auto"/>
        <w:jc w:val="both"/>
        <w:rPr>
          <w:rFonts w:cs="Arial"/>
          <w:color w:val="000000"/>
          <w:sz w:val="22"/>
        </w:rPr>
      </w:pPr>
      <w:r w:rsidRPr="00C27DD3">
        <w:rPr>
          <w:rFonts w:cs="Arial"/>
          <w:sz w:val="22"/>
        </w:rPr>
        <w:t xml:space="preserve">En ese sentido, la CDHDF aplicó los derechos reconocidos a pueblos indígenas, a los pueblos y barrios originarios de la Ciudad de México, mismos que “descienden de </w:t>
      </w:r>
      <w:r w:rsidRPr="00C27DD3">
        <w:rPr>
          <w:rFonts w:cs="Arial"/>
          <w:color w:val="000000"/>
          <w:sz w:val="22"/>
        </w:rPr>
        <w:t>poblaciones asentadas en el territorio actual de la Ciudad de México desde antes de la colonización y del establecimiento de las fronteras actuales y que conservan sus propias instituciones sociales, económicas, culturales y políticas, sistemas normativos propios, tradición histórica, territorialidad y cosmovisión, o parte de ellas. […]la Constitución Local […] puede servir como un documento orientador para identificar a los pueblos originarios de la Ciudad de México como indígenas.”</w:t>
      </w:r>
      <w:r w:rsidRPr="00C27DD3">
        <w:rPr>
          <w:rStyle w:val="Refdenotaalpie"/>
          <w:rFonts w:cs="Arial"/>
          <w:color w:val="000000"/>
          <w:sz w:val="22"/>
        </w:rPr>
        <w:footnoteReference w:id="29"/>
      </w:r>
    </w:p>
    <w:p w14:paraId="1B0C5D41" w14:textId="77777777" w:rsidR="00EA1C68" w:rsidRPr="00C27DD3" w:rsidRDefault="00EA1C68" w:rsidP="00C27DD3">
      <w:pPr>
        <w:spacing w:line="240" w:lineRule="auto"/>
        <w:jc w:val="both"/>
        <w:rPr>
          <w:rFonts w:cs="Arial"/>
          <w:color w:val="000000"/>
          <w:sz w:val="22"/>
        </w:rPr>
      </w:pPr>
    </w:p>
    <w:p w14:paraId="1539D85A" w14:textId="18B20C85" w:rsidR="00EA1C68" w:rsidRPr="00C27DD3" w:rsidRDefault="00EA1C68" w:rsidP="00C27DD3">
      <w:pPr>
        <w:spacing w:line="240" w:lineRule="auto"/>
        <w:jc w:val="both"/>
        <w:rPr>
          <w:rFonts w:cs="Arial"/>
          <w:sz w:val="22"/>
        </w:rPr>
      </w:pPr>
      <w:r w:rsidRPr="00C27DD3">
        <w:rPr>
          <w:rFonts w:cs="Arial"/>
          <w:sz w:val="22"/>
        </w:rPr>
        <w:t xml:space="preserve">Derivado de lo anterior, este caso evidenció que la composición pluriétnica e intercultural de la Ciudad de México implica el reconocimiento de los derechos de los pueblos indígenas también para los pueblos y barrios originarios, incluyendo el derecho a la </w:t>
      </w:r>
      <w:r w:rsidRPr="00C27DD3">
        <w:rPr>
          <w:rFonts w:cs="Arial"/>
          <w:sz w:val="22"/>
          <w:highlight w:val="white"/>
        </w:rPr>
        <w:t>consulta previa, libre, informada, de buena fe y de manera apropiada a las circunstancias, cada vez que se prevean medidas legislativas o administrativas susceptibles de afectarles directamente, con suficiente antelación y respetando las exigencias cronológicas de los procesos indígenas</w:t>
      </w:r>
      <w:r w:rsidRPr="00C27DD3">
        <w:rPr>
          <w:rFonts w:cs="Arial"/>
          <w:sz w:val="22"/>
        </w:rPr>
        <w:t>.</w:t>
      </w:r>
    </w:p>
    <w:p w14:paraId="0196FDA5" w14:textId="4B516662" w:rsidR="0086502F" w:rsidRPr="00C27DD3" w:rsidRDefault="0086502F" w:rsidP="00C27DD3">
      <w:pPr>
        <w:spacing w:line="240" w:lineRule="auto"/>
        <w:jc w:val="both"/>
        <w:rPr>
          <w:rFonts w:cs="Arial"/>
          <w:sz w:val="22"/>
        </w:rPr>
      </w:pPr>
    </w:p>
    <w:p w14:paraId="40557ECB" w14:textId="5A513BC9" w:rsidR="0086502F" w:rsidRPr="00C27DD3" w:rsidRDefault="0086502F" w:rsidP="00C27DD3">
      <w:pPr>
        <w:spacing w:line="240" w:lineRule="auto"/>
        <w:jc w:val="both"/>
        <w:rPr>
          <w:rFonts w:cs="Arial"/>
          <w:sz w:val="22"/>
        </w:rPr>
      </w:pPr>
      <w:r w:rsidRPr="00C27DD3">
        <w:rPr>
          <w:rFonts w:cs="Arial"/>
          <w:sz w:val="22"/>
        </w:rPr>
        <w:t>Es preciso mencionar que la implementación de la Constitución Política de la Ciudad de México (CPCM) supone un reto mayúsculo por la amplia gama de derechos que reconoce, y de los cuales un número considerable está vinculado a los derechos de las personas de identidad indígena y a su reconocimiento como sujetos colectivos de derecho público, con personalidad jurídica y patrimonio propio</w:t>
      </w:r>
      <w:r w:rsidRPr="00C27DD3">
        <w:rPr>
          <w:rFonts w:cs="Arial"/>
          <w:sz w:val="22"/>
          <w:vertAlign w:val="superscript"/>
        </w:rPr>
        <w:footnoteReference w:id="30"/>
      </w:r>
      <w:r w:rsidRPr="00C27DD3">
        <w:rPr>
          <w:rFonts w:cs="Arial"/>
          <w:sz w:val="22"/>
        </w:rPr>
        <w:t xml:space="preserve">. Este reconocimiento plantea en sí mismo la difícil ruptura de paradigmas sobre las formas en las que tradicionalmente se administra la vida institucional de esta Ciudad. </w:t>
      </w:r>
    </w:p>
    <w:p w14:paraId="2AEDF735" w14:textId="77777777" w:rsidR="0086502F" w:rsidRPr="00C27DD3" w:rsidRDefault="0086502F" w:rsidP="00C27DD3">
      <w:pPr>
        <w:spacing w:line="240" w:lineRule="auto"/>
        <w:jc w:val="both"/>
        <w:rPr>
          <w:rFonts w:cs="Arial"/>
          <w:sz w:val="22"/>
        </w:rPr>
      </w:pPr>
    </w:p>
    <w:p w14:paraId="2C42E68B" w14:textId="1936ED80" w:rsidR="00EA4752" w:rsidRPr="00C27DD3" w:rsidRDefault="0086502F" w:rsidP="00C27DD3">
      <w:pPr>
        <w:spacing w:line="240" w:lineRule="auto"/>
        <w:jc w:val="both"/>
        <w:rPr>
          <w:rFonts w:cs="Arial"/>
          <w:sz w:val="22"/>
        </w:rPr>
      </w:pPr>
      <w:r w:rsidRPr="00C27DD3">
        <w:rPr>
          <w:rFonts w:cs="Arial"/>
          <w:sz w:val="22"/>
        </w:rPr>
        <w:t>Este reconocimiento constitucional logrado, requiere el respeto de sus sistemas normativos y de su derecho a mantener, administrar, proteger y desarrollar su patrimonio cultural, a mantener y desarrollar sus sistemas o instituciones políticas, económicas y sociales. El reto es lograr la comunión, entre estas formas de organización y las formas en las que se realiza la administración pública actual, respetando sus propias formas de entender y buscar el desarrollo local.</w:t>
      </w:r>
    </w:p>
    <w:p w14:paraId="6B42120D" w14:textId="64AEBB9F" w:rsidR="00070E2E" w:rsidRPr="00C27DD3" w:rsidRDefault="00070E2E" w:rsidP="00C27DD3">
      <w:pPr>
        <w:spacing w:line="240" w:lineRule="auto"/>
        <w:jc w:val="both"/>
        <w:rPr>
          <w:rFonts w:cs="Arial"/>
          <w:sz w:val="22"/>
        </w:rPr>
      </w:pPr>
    </w:p>
    <w:p w14:paraId="7DEECAF9" w14:textId="77777777" w:rsidR="00070E2E" w:rsidRPr="00C27DD3" w:rsidRDefault="00070E2E" w:rsidP="00C27DD3">
      <w:pPr>
        <w:spacing w:before="100" w:line="240" w:lineRule="auto"/>
        <w:jc w:val="both"/>
        <w:rPr>
          <w:rFonts w:cs="Arial"/>
          <w:sz w:val="22"/>
        </w:rPr>
      </w:pPr>
      <w:r w:rsidRPr="00C27DD3">
        <w:rPr>
          <w:rFonts w:cs="Arial"/>
          <w:sz w:val="22"/>
        </w:rPr>
        <w:t xml:space="preserve">Otro reto importante será concretar una legislación secundaria en la que se establezcan los mecanismos a través de los cuales se destinarán los recursos económicos etiquetados para pueblos y barrios originarios y comunidades indígenas residentes, garantizando que dichos recursos impacten realmente en el mejoramiento de sus condiciones de vida, desde su propia mirada de desarrollo local, uso y aprovechamiento de sus recursos naturales y administración de sus lugares tradicionales. Cabe resaltar aquí la importancia de que </w:t>
      </w:r>
      <w:r w:rsidRPr="00C27DD3">
        <w:rPr>
          <w:rFonts w:cs="Arial"/>
          <w:sz w:val="22"/>
        </w:rPr>
        <w:lastRenderedPageBreak/>
        <w:t>quedara establecido en el artículo 59 de la Constitución de la Ciudad de México (inciso M) la creación de un organismo público para la política pública en materia indígena</w:t>
      </w:r>
      <w:r w:rsidRPr="00C27DD3">
        <w:rPr>
          <w:rFonts w:cs="Arial"/>
          <w:sz w:val="22"/>
          <w:vertAlign w:val="superscript"/>
        </w:rPr>
        <w:footnoteReference w:id="31"/>
      </w:r>
      <w:r w:rsidRPr="00C27DD3">
        <w:rPr>
          <w:rFonts w:cs="Arial"/>
          <w:sz w:val="22"/>
        </w:rPr>
        <w:t>.</w:t>
      </w:r>
    </w:p>
    <w:p w14:paraId="1E609FC0" w14:textId="77777777" w:rsidR="00070E2E" w:rsidRPr="00C27DD3" w:rsidRDefault="00070E2E" w:rsidP="00C27DD3">
      <w:pPr>
        <w:spacing w:line="240" w:lineRule="auto"/>
        <w:jc w:val="both"/>
        <w:rPr>
          <w:rFonts w:cs="Arial"/>
          <w:sz w:val="22"/>
        </w:rPr>
      </w:pPr>
    </w:p>
    <w:p w14:paraId="2FAD6BCD" w14:textId="2BEF87D3" w:rsidR="00677EB9" w:rsidRPr="000D62AF" w:rsidRDefault="00A825E4" w:rsidP="00C27DD3">
      <w:pPr>
        <w:tabs>
          <w:tab w:val="left" w:pos="1085"/>
        </w:tabs>
        <w:spacing w:line="240" w:lineRule="auto"/>
        <w:rPr>
          <w:rFonts w:cs="Arial"/>
          <w:b/>
          <w:sz w:val="22"/>
          <w:u w:val="single"/>
        </w:rPr>
      </w:pPr>
      <w:r w:rsidRPr="000D62AF">
        <w:rPr>
          <w:rFonts w:cs="Arial"/>
          <w:b/>
          <w:sz w:val="22"/>
          <w:u w:val="single"/>
        </w:rPr>
        <w:t>d.3) Derecho a la salud</w:t>
      </w:r>
    </w:p>
    <w:p w14:paraId="16DDD8AB" w14:textId="2AFEA2CA" w:rsidR="008F1DB9" w:rsidRPr="00C27DD3" w:rsidRDefault="008F1DB9" w:rsidP="008F1DB9">
      <w:pPr>
        <w:spacing w:line="240" w:lineRule="auto"/>
        <w:jc w:val="both"/>
        <w:rPr>
          <w:rFonts w:cs="Arial"/>
          <w:b/>
          <w:i/>
          <w:sz w:val="22"/>
          <w:lang w:val="es-ES"/>
        </w:rPr>
      </w:pPr>
      <w:r w:rsidRPr="000D62AF">
        <w:rPr>
          <w:rFonts w:cs="Arial"/>
          <w:i/>
          <w:sz w:val="22"/>
          <w:lang w:val="es-ES"/>
        </w:rPr>
        <w:t>Párrafo del informe del Estado Mexicano: 1</w:t>
      </w:r>
      <w:r>
        <w:rPr>
          <w:rFonts w:cs="Arial"/>
          <w:i/>
          <w:sz w:val="22"/>
          <w:lang w:val="es-ES"/>
        </w:rPr>
        <w:t>26 a 135.</w:t>
      </w:r>
    </w:p>
    <w:p w14:paraId="6D7C7F25" w14:textId="77777777" w:rsidR="000D62AF" w:rsidRDefault="000D62AF" w:rsidP="008F1DB9">
      <w:pPr>
        <w:tabs>
          <w:tab w:val="left" w:pos="1085"/>
        </w:tabs>
        <w:spacing w:line="240" w:lineRule="auto"/>
        <w:rPr>
          <w:rFonts w:cs="Arial"/>
          <w:b/>
          <w:i/>
          <w:sz w:val="22"/>
          <w:lang w:val="es-ES"/>
        </w:rPr>
      </w:pPr>
    </w:p>
    <w:p w14:paraId="769E5F4B" w14:textId="5DFDD25F" w:rsidR="00A825E4" w:rsidRPr="00C27DD3" w:rsidRDefault="00A825E4" w:rsidP="000D62AF">
      <w:pPr>
        <w:tabs>
          <w:tab w:val="left" w:pos="1085"/>
        </w:tabs>
        <w:spacing w:line="240" w:lineRule="auto"/>
        <w:jc w:val="both"/>
        <w:rPr>
          <w:rFonts w:cs="Arial"/>
          <w:sz w:val="22"/>
        </w:rPr>
      </w:pPr>
      <w:r w:rsidRPr="00C27DD3">
        <w:rPr>
          <w:rFonts w:cs="Arial"/>
          <w:sz w:val="22"/>
        </w:rPr>
        <w:t xml:space="preserve">En la Constitución Política de la Ciudad de México, de manera colectiva se reconoce la generación de centros de salud comunitaria y las prácticas de salud, sanación y medicina tradicional; incluida la conservación de las plantas medicinales, animales y minerales de interés vital. Aunado a ello, en la Ciudad de México se fomentará la formación de médicos tradicionales a través de escuelas de medicina y partería. De igual forma, los pueblos tendrán el derecho de la libre circulación de sus plantas medicinales y de todos sus recursos curativos. </w:t>
      </w:r>
    </w:p>
    <w:p w14:paraId="55DBE2D2" w14:textId="77777777" w:rsidR="00A825E4" w:rsidRPr="00C27DD3" w:rsidRDefault="00A825E4" w:rsidP="00C27DD3">
      <w:pPr>
        <w:tabs>
          <w:tab w:val="left" w:pos="1085"/>
        </w:tabs>
        <w:spacing w:line="240" w:lineRule="auto"/>
        <w:rPr>
          <w:rFonts w:cs="Arial"/>
          <w:sz w:val="22"/>
        </w:rPr>
      </w:pPr>
    </w:p>
    <w:p w14:paraId="088CF1C5" w14:textId="77777777" w:rsidR="00154ED0" w:rsidRDefault="00154ED0" w:rsidP="00C27DD3">
      <w:pPr>
        <w:spacing w:line="240" w:lineRule="auto"/>
        <w:jc w:val="both"/>
        <w:rPr>
          <w:rFonts w:cs="Arial"/>
          <w:b/>
          <w:i/>
          <w:sz w:val="22"/>
          <w:highlight w:val="green"/>
          <w:lang w:val="es-ES"/>
        </w:rPr>
      </w:pPr>
    </w:p>
    <w:p w14:paraId="1CCE4694" w14:textId="7065188E" w:rsidR="00F37DB2" w:rsidRPr="00C27DD3" w:rsidRDefault="00AC4E63" w:rsidP="00C27DD3">
      <w:pPr>
        <w:spacing w:line="240" w:lineRule="auto"/>
        <w:jc w:val="both"/>
        <w:rPr>
          <w:rFonts w:cs="Arial"/>
          <w:b/>
          <w:i/>
          <w:sz w:val="22"/>
          <w:lang w:val="es-ES"/>
        </w:rPr>
      </w:pPr>
      <w:r w:rsidRPr="00AC4E63">
        <w:rPr>
          <w:rFonts w:cs="Arial"/>
          <w:b/>
          <w:i/>
          <w:sz w:val="22"/>
          <w:lang w:val="es-ES"/>
        </w:rPr>
        <w:t>e</w:t>
      </w:r>
      <w:r w:rsidR="00F37DB2" w:rsidRPr="00AC4E63">
        <w:rPr>
          <w:rFonts w:cs="Arial"/>
          <w:b/>
          <w:i/>
          <w:sz w:val="22"/>
          <w:lang w:val="es-ES"/>
        </w:rPr>
        <w:t xml:space="preserve">) </w:t>
      </w:r>
      <w:r w:rsidR="00F37DB2" w:rsidRPr="00AC4E63">
        <w:rPr>
          <w:rFonts w:cs="Arial"/>
          <w:b/>
          <w:sz w:val="22"/>
          <w:u w:val="single"/>
          <w:lang w:val="es-ES"/>
        </w:rPr>
        <w:t>Personas afrodescendientes y afromexicanas</w:t>
      </w:r>
    </w:p>
    <w:p w14:paraId="30765A8F" w14:textId="104C625A" w:rsidR="00F37DB2" w:rsidRPr="00AC4E63" w:rsidRDefault="00F37DB2" w:rsidP="00C27DD3">
      <w:pPr>
        <w:spacing w:line="240" w:lineRule="auto"/>
        <w:jc w:val="both"/>
        <w:rPr>
          <w:rFonts w:cs="Arial"/>
          <w:i/>
          <w:sz w:val="22"/>
          <w:lang w:val="es-ES"/>
        </w:rPr>
      </w:pPr>
      <w:r w:rsidRPr="00AC4E63">
        <w:rPr>
          <w:rFonts w:cs="Arial"/>
          <w:i/>
          <w:sz w:val="22"/>
          <w:lang w:val="es-ES"/>
        </w:rPr>
        <w:t xml:space="preserve">Párrafo del informe del Estado Mexicano: </w:t>
      </w:r>
      <w:r w:rsidR="00AC4E63">
        <w:rPr>
          <w:rFonts w:cs="Arial"/>
          <w:i/>
          <w:sz w:val="22"/>
          <w:lang w:val="es-ES"/>
        </w:rPr>
        <w:t>168 a 180.</w:t>
      </w:r>
    </w:p>
    <w:p w14:paraId="0EBF4E16" w14:textId="77777777" w:rsidR="00AC4E63" w:rsidRDefault="00AC4E63" w:rsidP="00C27DD3">
      <w:pPr>
        <w:widowControl w:val="0"/>
        <w:spacing w:line="240" w:lineRule="auto"/>
        <w:jc w:val="both"/>
        <w:rPr>
          <w:rFonts w:cs="Arial"/>
          <w:sz w:val="22"/>
        </w:rPr>
      </w:pPr>
    </w:p>
    <w:p w14:paraId="3544EB19" w14:textId="310E5AD4" w:rsidR="00F37DB2" w:rsidRDefault="00F37DB2" w:rsidP="00C27DD3">
      <w:pPr>
        <w:widowControl w:val="0"/>
        <w:spacing w:line="240" w:lineRule="auto"/>
        <w:jc w:val="both"/>
        <w:rPr>
          <w:rFonts w:cs="Arial"/>
          <w:sz w:val="22"/>
        </w:rPr>
      </w:pPr>
      <w:r w:rsidRPr="00C27DD3">
        <w:rPr>
          <w:rFonts w:cs="Arial"/>
          <w:sz w:val="22"/>
        </w:rPr>
        <w:t xml:space="preserve">Es importante referir que el reconocimiento como grupo prioritario de las personas afrodescendientes y afromexicanas en la </w:t>
      </w:r>
      <w:r w:rsidR="005547EF" w:rsidRPr="00C27DD3">
        <w:rPr>
          <w:rFonts w:cs="Arial"/>
          <w:sz w:val="22"/>
        </w:rPr>
        <w:t>Constitución Política de la Ciudad de México,</w:t>
      </w:r>
      <w:r w:rsidRPr="00C27DD3">
        <w:rPr>
          <w:rFonts w:cs="Arial"/>
          <w:sz w:val="22"/>
        </w:rPr>
        <w:t xml:space="preserve"> se realizó de manera independiente de los derechos de los pueblos originarios y comunidades indígenas de la capital.</w:t>
      </w:r>
    </w:p>
    <w:p w14:paraId="572D308A" w14:textId="77777777" w:rsidR="00C27DD3" w:rsidRPr="00C27DD3" w:rsidRDefault="00C27DD3" w:rsidP="00C27DD3">
      <w:pPr>
        <w:widowControl w:val="0"/>
        <w:spacing w:line="240" w:lineRule="auto"/>
        <w:jc w:val="both"/>
        <w:rPr>
          <w:rFonts w:cs="Arial"/>
          <w:sz w:val="22"/>
        </w:rPr>
      </w:pPr>
    </w:p>
    <w:p w14:paraId="426177E8" w14:textId="55390EFC" w:rsidR="003A5104" w:rsidRPr="00C27DD3" w:rsidRDefault="001129BB" w:rsidP="00C27DD3">
      <w:pPr>
        <w:widowControl w:val="0"/>
        <w:spacing w:line="240" w:lineRule="auto"/>
        <w:jc w:val="both"/>
        <w:rPr>
          <w:rFonts w:cs="Arial"/>
          <w:sz w:val="22"/>
        </w:rPr>
      </w:pPr>
      <w:r w:rsidRPr="00C27DD3">
        <w:rPr>
          <w:rFonts w:cs="Arial"/>
          <w:sz w:val="22"/>
        </w:rPr>
        <w:t>Asimismo, con el esfuerzo de varias organizaciones no gubernamentales y de diversas entidades académicas, el derecho a la autoadscripción para la identificación cultural de las persona afrodescendientes fue utilizado como categoría censal para lograr visibilidad estadística, a partir de su inclusión en la Encuesta Intercensal de 2015</w:t>
      </w:r>
      <w:r w:rsidRPr="00C27DD3">
        <w:rPr>
          <w:rFonts w:cs="Arial"/>
          <w:sz w:val="22"/>
          <w:vertAlign w:val="superscript"/>
        </w:rPr>
        <w:footnoteReference w:id="32"/>
      </w:r>
      <w:r w:rsidRPr="00C27DD3">
        <w:rPr>
          <w:rFonts w:cs="Arial"/>
          <w:sz w:val="22"/>
        </w:rPr>
        <w:t>.</w:t>
      </w:r>
      <w:r w:rsidR="003A5104" w:rsidRPr="00C27DD3">
        <w:rPr>
          <w:rFonts w:cs="Arial"/>
          <w:sz w:val="22"/>
        </w:rPr>
        <w:t xml:space="preserve"> No obstante la importancia de esta encuesta, la utilización del término afrodescendiente en el levantamiento de la información provocó confusiones entre habitantes de la Costa Chica de Oaxaca y de Guerrero, quienes no se sintieron identificados con esa palabra. Por ello, el Programa Universitario de Estudios de la Diversidad Cultural y la Interculturalidad de la </w:t>
      </w:r>
      <w:r w:rsidR="00C27DD3">
        <w:rPr>
          <w:rFonts w:cs="Arial"/>
          <w:sz w:val="22"/>
        </w:rPr>
        <w:t>UNAM</w:t>
      </w:r>
      <w:r w:rsidR="003A5104" w:rsidRPr="00C27DD3">
        <w:rPr>
          <w:rFonts w:cs="Arial"/>
          <w:sz w:val="22"/>
        </w:rPr>
        <w:t xml:space="preserve"> organizó el Coloquio nacional ¿Cómo queremos llamarnos? Horizonte Censo INEGI 2020, a partir del cual se elaboró el Catálogo de autodenominaciones, que refleja la diversidad de formas de nombrarse: Estas formas de nombrar dependen de la autoidentificación de las personas que integran las comunidades, por lo que la adopción de un término o categoría censal para denominarlos sigue siendo una discusión inacabada.</w:t>
      </w:r>
      <w:r w:rsidR="003A5104" w:rsidRPr="00C27DD3">
        <w:rPr>
          <w:rFonts w:cs="Arial"/>
          <w:sz w:val="22"/>
          <w:vertAlign w:val="superscript"/>
        </w:rPr>
        <w:footnoteReference w:id="33"/>
      </w:r>
    </w:p>
    <w:p w14:paraId="2D0E716F" w14:textId="18345E37" w:rsidR="005547EF" w:rsidRPr="00C27DD3" w:rsidRDefault="005547EF" w:rsidP="00C27DD3">
      <w:pPr>
        <w:widowControl w:val="0"/>
        <w:spacing w:line="240" w:lineRule="auto"/>
        <w:jc w:val="both"/>
        <w:rPr>
          <w:rFonts w:cs="Arial"/>
          <w:sz w:val="22"/>
          <w:highlight w:val="white"/>
        </w:rPr>
      </w:pPr>
      <w:r w:rsidRPr="00C27DD3">
        <w:rPr>
          <w:rFonts w:cs="Arial"/>
          <w:sz w:val="22"/>
          <w:highlight w:val="white"/>
        </w:rPr>
        <w:t>Esta CDHDF identifica los siguientes retos para el reconocimiento y ejercicio de los derechos humanos de la población afromexicana:</w:t>
      </w:r>
    </w:p>
    <w:p w14:paraId="1E2283FF" w14:textId="77777777" w:rsidR="005547EF" w:rsidRPr="00C27DD3" w:rsidRDefault="005547EF" w:rsidP="00C27DD3">
      <w:pPr>
        <w:widowControl w:val="0"/>
        <w:spacing w:line="240" w:lineRule="auto"/>
        <w:ind w:left="720"/>
        <w:jc w:val="both"/>
        <w:rPr>
          <w:rFonts w:cs="Arial"/>
          <w:color w:val="000000"/>
          <w:sz w:val="22"/>
        </w:rPr>
      </w:pPr>
      <w:r w:rsidRPr="00C27DD3">
        <w:rPr>
          <w:rFonts w:cs="Arial"/>
          <w:color w:val="000000"/>
          <w:sz w:val="22"/>
        </w:rPr>
        <w:t xml:space="preserve"> </w:t>
      </w:r>
    </w:p>
    <w:p w14:paraId="2D2E8ADB" w14:textId="63946518" w:rsidR="005547EF" w:rsidRPr="00C27DD3" w:rsidRDefault="005547EF" w:rsidP="00C27DD3">
      <w:pPr>
        <w:widowControl w:val="0"/>
        <w:numPr>
          <w:ilvl w:val="0"/>
          <w:numId w:val="26"/>
        </w:numPr>
        <w:spacing w:line="240" w:lineRule="auto"/>
        <w:jc w:val="both"/>
        <w:rPr>
          <w:rFonts w:cs="Arial"/>
          <w:color w:val="222222"/>
          <w:sz w:val="22"/>
          <w:highlight w:val="white"/>
        </w:rPr>
      </w:pPr>
      <w:r w:rsidRPr="00C27DD3">
        <w:rPr>
          <w:rFonts w:cs="Arial"/>
          <w:color w:val="000000"/>
          <w:sz w:val="22"/>
        </w:rPr>
        <w:t xml:space="preserve">Es importante que en la normatividad y políticas públicas se reconozca  que las personas afromexicanas son personas de nacionalidad mexicana que históricamente han estado en la sociedad previo a la conformación del Estado-nación, y por ende se le reconocen los derechos colectivos, tal como lo específica </w:t>
      </w:r>
      <w:r w:rsidRPr="00C27DD3">
        <w:rPr>
          <w:rFonts w:cs="Arial"/>
          <w:color w:val="000000"/>
          <w:sz w:val="22"/>
        </w:rPr>
        <w:lastRenderedPageBreak/>
        <w:t>el Convenio 169 de la Organización Internacional del Trabajo.</w:t>
      </w:r>
    </w:p>
    <w:p w14:paraId="6D91B664" w14:textId="25136D50" w:rsidR="005547EF" w:rsidRPr="00C27DD3" w:rsidRDefault="005547EF"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Reconocer y garantizar no solo los derechos individuales de las personas afromexicanas y afrodescendientes, sino los derechos colectivo</w:t>
      </w:r>
      <w:r w:rsidR="00224876" w:rsidRPr="00C27DD3">
        <w:rPr>
          <w:rFonts w:cs="Arial"/>
          <w:sz w:val="22"/>
          <w:highlight w:val="white"/>
        </w:rPr>
        <w:t>s</w:t>
      </w:r>
      <w:r w:rsidRPr="00C27DD3">
        <w:rPr>
          <w:rFonts w:cs="Arial"/>
          <w:sz w:val="22"/>
          <w:highlight w:val="white"/>
        </w:rPr>
        <w:t xml:space="preserve"> de los pueblos y comunidades afrodescendientes en la Constitución Política Federal de México.</w:t>
      </w:r>
    </w:p>
    <w:p w14:paraId="009C239B" w14:textId="77777777" w:rsidR="005547EF" w:rsidRPr="00C27DD3" w:rsidRDefault="005547EF"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 xml:space="preserve">Impulsar la firma y ratificación de la Convención Interamericana contra el Racismo, la Discriminación racial y Formas Conexas de Intolerancia, por parte del Estado mexicano.  </w:t>
      </w:r>
    </w:p>
    <w:p w14:paraId="010EA038" w14:textId="183C35FC" w:rsidR="005547EF" w:rsidRPr="00C27DD3" w:rsidRDefault="005547EF"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 xml:space="preserve">Elaborar programas y actividades, especialmente programas educativos en los niveles de enseñanza escolar primaria y secundaria, para promover un mayor entendimiento la presencia y participación de la población afromexicana, así como reconocer los aportes de las personas afrodescendientes a la vida económica, cultural y social en la </w:t>
      </w:r>
      <w:r w:rsidR="00B0611B" w:rsidRPr="00C27DD3">
        <w:rPr>
          <w:rFonts w:cs="Arial"/>
          <w:sz w:val="22"/>
          <w:highlight w:val="white"/>
        </w:rPr>
        <w:t>conformación del Estado-nación.</w:t>
      </w:r>
    </w:p>
    <w:p w14:paraId="653D0CA8" w14:textId="77777777" w:rsidR="00B0611B" w:rsidRPr="00C27DD3" w:rsidRDefault="00B0611B"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Generar acciones afirmativas y de promoción de los derechos humanos dirigidas a reconocer la presencia de la población afrodescendiente en México en los diferentes ámbitos, con la finalidad de erradicar la discriminación múltiple y formas conexas de intolerancia de la que son parte.</w:t>
      </w:r>
    </w:p>
    <w:p w14:paraId="721B7B7B" w14:textId="277989A5" w:rsidR="00B0611B" w:rsidRPr="00C27DD3" w:rsidRDefault="00B0611B"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Generar acciones promoción y campañas informativas que coadyuven a la autoad</w:t>
      </w:r>
      <w:r w:rsidR="0016641C" w:rsidRPr="00C27DD3">
        <w:rPr>
          <w:rFonts w:cs="Arial"/>
          <w:sz w:val="22"/>
          <w:highlight w:val="white"/>
        </w:rPr>
        <w:t>s</w:t>
      </w:r>
      <w:r w:rsidRPr="00C27DD3">
        <w:rPr>
          <w:rFonts w:cs="Arial"/>
          <w:sz w:val="22"/>
          <w:highlight w:val="white"/>
        </w:rPr>
        <w:t xml:space="preserve">cripción de la población afromexicana para el censo 2020 del INEGI. </w:t>
      </w:r>
    </w:p>
    <w:p w14:paraId="235D1C2A" w14:textId="77777777" w:rsidR="00B0611B" w:rsidRPr="00C27DD3" w:rsidRDefault="00B0611B"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 xml:space="preserve">Promover políticas públicas y acciones gubernamentales orientadas a brindar un trato equitativo y no discriminatorio que permita la igualdad de acceso al sistema de justicia a las personas afromexicanas; eliminando el perfilamiento racial. </w:t>
      </w:r>
    </w:p>
    <w:p w14:paraId="460E421C" w14:textId="77777777" w:rsidR="00B0611B" w:rsidRPr="00C27DD3" w:rsidRDefault="00B0611B" w:rsidP="00C27DD3">
      <w:pPr>
        <w:widowControl w:val="0"/>
        <w:numPr>
          <w:ilvl w:val="0"/>
          <w:numId w:val="26"/>
        </w:numPr>
        <w:spacing w:line="240" w:lineRule="auto"/>
        <w:jc w:val="both"/>
        <w:rPr>
          <w:rFonts w:cs="Arial"/>
          <w:color w:val="222222"/>
          <w:sz w:val="22"/>
          <w:highlight w:val="white"/>
        </w:rPr>
      </w:pPr>
      <w:r w:rsidRPr="00C27DD3">
        <w:rPr>
          <w:rFonts w:cs="Arial"/>
          <w:sz w:val="22"/>
          <w:highlight w:val="white"/>
        </w:rPr>
        <w:t xml:space="preserve">Fomentar la inclusión del enfoque de los derechos de las personas afrodescendientes en la agenda de las políticas y programas de desarrollo social y combate a la pobreza.   </w:t>
      </w:r>
    </w:p>
    <w:p w14:paraId="668A64DD" w14:textId="3090A4B1" w:rsidR="005547EF" w:rsidRPr="00C27DD3" w:rsidRDefault="005547EF" w:rsidP="00C27DD3">
      <w:pPr>
        <w:widowControl w:val="0"/>
        <w:spacing w:line="240" w:lineRule="auto"/>
        <w:ind w:left="720"/>
        <w:jc w:val="both"/>
        <w:rPr>
          <w:rFonts w:cs="Arial"/>
          <w:color w:val="222222"/>
          <w:sz w:val="22"/>
          <w:highlight w:val="white"/>
        </w:rPr>
      </w:pPr>
    </w:p>
    <w:p w14:paraId="49015DD7" w14:textId="46B45649" w:rsidR="00ED51B0" w:rsidRPr="00C27DD3" w:rsidRDefault="00ED51B0" w:rsidP="00C27DD3">
      <w:pPr>
        <w:tabs>
          <w:tab w:val="left" w:pos="1085"/>
        </w:tabs>
        <w:spacing w:line="240" w:lineRule="auto"/>
        <w:rPr>
          <w:rFonts w:cs="Arial"/>
          <w:sz w:val="22"/>
        </w:rPr>
      </w:pPr>
    </w:p>
    <w:sectPr w:rsidR="00ED51B0" w:rsidRPr="00C27DD3" w:rsidSect="00186DA9">
      <w:headerReference w:type="default" r:id="rId8"/>
      <w:footerReference w:type="default" r:id="rId9"/>
      <w:pgSz w:w="12240" w:h="15840"/>
      <w:pgMar w:top="1417" w:right="1701" w:bottom="1417" w:left="1701" w:header="708" w:footer="0" w:gutter="0"/>
      <w:cols w:space="720"/>
      <w:formProt w:val="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EDD439" w16cid:durableId="207FEAA4"/>
  <w16cid:commentId w16cid:paraId="7DF37701" w16cid:durableId="207FFA88"/>
  <w16cid:commentId w16cid:paraId="00295B93" w16cid:durableId="207FFC16"/>
  <w16cid:commentId w16cid:paraId="108D0EC6" w16cid:durableId="208519A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6EDB8" w14:textId="77777777" w:rsidR="00507FE2" w:rsidRDefault="00507FE2">
      <w:pPr>
        <w:spacing w:line="240" w:lineRule="auto"/>
      </w:pPr>
      <w:r>
        <w:separator/>
      </w:r>
    </w:p>
  </w:endnote>
  <w:endnote w:type="continuationSeparator" w:id="0">
    <w:p w14:paraId="40972A96" w14:textId="77777777" w:rsidR="00507FE2" w:rsidRDefault="00507F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iberation Sans">
    <w:altName w:val="MS PMincho"/>
    <w:charset w:val="8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0723735"/>
      <w:docPartObj>
        <w:docPartGallery w:val="Page Numbers (Bottom of Page)"/>
        <w:docPartUnique/>
      </w:docPartObj>
    </w:sdtPr>
    <w:sdtEndPr/>
    <w:sdtContent>
      <w:p w14:paraId="2B1714EA" w14:textId="2423A393" w:rsidR="00B94BD5" w:rsidRDefault="00B94BD5">
        <w:pPr>
          <w:pStyle w:val="Piedepgina"/>
          <w:jc w:val="center"/>
        </w:pPr>
        <w:r>
          <w:rPr>
            <w:noProof/>
            <w:lang w:val="es-ES"/>
          </w:rPr>
          <w:fldChar w:fldCharType="begin"/>
        </w:r>
        <w:r>
          <w:rPr>
            <w:noProof/>
            <w:lang w:val="es-ES"/>
          </w:rPr>
          <w:instrText>PAGE   \* MERGEFORMAT</w:instrText>
        </w:r>
        <w:r>
          <w:rPr>
            <w:noProof/>
            <w:lang w:val="es-ES"/>
          </w:rPr>
          <w:fldChar w:fldCharType="separate"/>
        </w:r>
        <w:r w:rsidR="006A09BC">
          <w:rPr>
            <w:noProof/>
            <w:lang w:val="es-ES"/>
          </w:rPr>
          <w:t>5</w:t>
        </w:r>
        <w:r>
          <w:rPr>
            <w:noProof/>
            <w:lang w:val="es-ES"/>
          </w:rPr>
          <w:fldChar w:fldCharType="end"/>
        </w:r>
      </w:p>
    </w:sdtContent>
  </w:sdt>
  <w:p w14:paraId="2F8A14A0" w14:textId="77777777" w:rsidR="00B94BD5" w:rsidRDefault="00B94B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3034AF" w14:textId="77777777" w:rsidR="00507FE2" w:rsidRDefault="00507FE2">
      <w:pPr>
        <w:spacing w:line="240" w:lineRule="auto"/>
      </w:pPr>
      <w:r>
        <w:separator/>
      </w:r>
    </w:p>
  </w:footnote>
  <w:footnote w:type="continuationSeparator" w:id="0">
    <w:p w14:paraId="68A1BE09" w14:textId="77777777" w:rsidR="00507FE2" w:rsidRDefault="00507FE2">
      <w:pPr>
        <w:spacing w:line="240" w:lineRule="auto"/>
      </w:pPr>
      <w:r>
        <w:continuationSeparator/>
      </w:r>
    </w:p>
  </w:footnote>
  <w:footnote w:id="1">
    <w:p w14:paraId="4B871F7E" w14:textId="0E530B0E" w:rsidR="007C6CA1" w:rsidRDefault="007C6CA1" w:rsidP="00416BE5">
      <w:pPr>
        <w:pStyle w:val="Textonotapie"/>
      </w:pPr>
      <w:r>
        <w:rPr>
          <w:rStyle w:val="Refdenotaalpie"/>
        </w:rPr>
        <w:footnoteRef/>
      </w:r>
      <w:r>
        <w:t xml:space="preserve"> </w:t>
      </w:r>
      <w:hyperlink r:id="rId1" w:history="1">
        <w:r>
          <w:rPr>
            <w:rStyle w:val="Hipervnculo"/>
          </w:rPr>
          <w:t>https://data.consejeria.cdmx.gob.mx/images/leyes/estatutos/Constitucion_Politica_Ciudad_de_Mexico.pdf</w:t>
        </w:r>
      </w:hyperlink>
    </w:p>
  </w:footnote>
  <w:footnote w:id="2">
    <w:p w14:paraId="2030ECA3" w14:textId="310FE9C3" w:rsidR="00414B3E" w:rsidRDefault="00414B3E" w:rsidP="00416BE5">
      <w:pPr>
        <w:pStyle w:val="Textonotapie"/>
      </w:pPr>
      <w:r>
        <w:rPr>
          <w:rStyle w:val="Refdenotaalpie"/>
        </w:rPr>
        <w:footnoteRef/>
      </w:r>
      <w:r>
        <w:t xml:space="preserve"> </w:t>
      </w:r>
      <w:r w:rsidR="00ED7AFB" w:rsidRPr="00ED7AFB">
        <w:t xml:space="preserve">Constitución </w:t>
      </w:r>
      <w:r w:rsidR="00ED7AFB">
        <w:t xml:space="preserve">Política de la Ciudad de México, </w:t>
      </w:r>
      <w:r>
        <w:t>Artículo 4, apartado C, numeral 2.</w:t>
      </w:r>
    </w:p>
  </w:footnote>
  <w:footnote w:id="3">
    <w:p w14:paraId="555A79A1" w14:textId="2598484F" w:rsidR="00D14006" w:rsidRDefault="00D14006" w:rsidP="00416BE5">
      <w:pPr>
        <w:pStyle w:val="Textonotapie"/>
      </w:pPr>
      <w:r>
        <w:rPr>
          <w:rStyle w:val="Refdenotaalpie"/>
        </w:rPr>
        <w:footnoteRef/>
      </w:r>
      <w:r>
        <w:t xml:space="preserve"> </w:t>
      </w:r>
      <w:r w:rsidRPr="00ED7AFB">
        <w:t xml:space="preserve">Constitución </w:t>
      </w:r>
      <w:r>
        <w:t>Política de la Ciudad de México, Artículo</w:t>
      </w:r>
      <w:r w:rsidR="00500E42">
        <w:t xml:space="preserve"> 11, apartado N.</w:t>
      </w:r>
    </w:p>
  </w:footnote>
  <w:footnote w:id="4">
    <w:p w14:paraId="5FEF4B61" w14:textId="64030A6C" w:rsidR="00126555" w:rsidRDefault="00126555" w:rsidP="00416BE5">
      <w:pPr>
        <w:pStyle w:val="Textonotapie"/>
      </w:pPr>
      <w:r>
        <w:rPr>
          <w:rStyle w:val="Refdenotaalpie"/>
        </w:rPr>
        <w:footnoteRef/>
      </w:r>
      <w:r>
        <w:t xml:space="preserve"> </w:t>
      </w:r>
      <w:r w:rsidRPr="00ED7AFB">
        <w:t xml:space="preserve">Constitución </w:t>
      </w:r>
      <w:r>
        <w:t>Política de la Ciudad de México, Artículo 11, apartado O.</w:t>
      </w:r>
    </w:p>
  </w:footnote>
  <w:footnote w:id="5">
    <w:p w14:paraId="0D7729E1" w14:textId="617C2A10" w:rsidR="00D65E18" w:rsidRDefault="00D65E18" w:rsidP="00416BE5">
      <w:pPr>
        <w:pStyle w:val="Textonotapie"/>
      </w:pPr>
      <w:r>
        <w:rPr>
          <w:rStyle w:val="Refdenotaalpie"/>
        </w:rPr>
        <w:footnoteRef/>
      </w:r>
      <w:r>
        <w:t xml:space="preserve"> </w:t>
      </w:r>
      <w:r w:rsidRPr="00ED7AFB">
        <w:t xml:space="preserve">Constitución </w:t>
      </w:r>
      <w:r>
        <w:t>Política de la Ciudad de México, Artículo 11, apartado I.</w:t>
      </w:r>
    </w:p>
  </w:footnote>
  <w:footnote w:id="6">
    <w:p w14:paraId="3243C374" w14:textId="7129016D" w:rsidR="00760780" w:rsidRDefault="00760780" w:rsidP="00416BE5">
      <w:pPr>
        <w:pStyle w:val="Textonotapie"/>
      </w:pPr>
      <w:r>
        <w:rPr>
          <w:rStyle w:val="Refdenotaalpie"/>
        </w:rPr>
        <w:footnoteRef/>
      </w:r>
      <w:r>
        <w:t xml:space="preserve"> </w:t>
      </w:r>
      <w:r w:rsidRPr="00ED7AFB">
        <w:t xml:space="preserve">Constitución </w:t>
      </w:r>
      <w:r>
        <w:t>Política de la Ciudad de México, Artículo 11, apartado K.</w:t>
      </w:r>
    </w:p>
  </w:footnote>
  <w:footnote w:id="7">
    <w:p w14:paraId="62E50805" w14:textId="77777777" w:rsidR="00E45A6A" w:rsidRPr="00C27DD3" w:rsidRDefault="00E45A6A" w:rsidP="00416BE5">
      <w:pPr>
        <w:pStyle w:val="Textonotapie"/>
      </w:pPr>
      <w:r w:rsidRPr="00C27DD3">
        <w:rPr>
          <w:rStyle w:val="Refdenotaalpie"/>
          <w:szCs w:val="20"/>
        </w:rPr>
        <w:footnoteRef/>
      </w:r>
      <w:r w:rsidRPr="00C27DD3">
        <w:t xml:space="preserve"> WOLA y PBI, Cambiando el curso de la impunidad: Protección y acceso a la justicia para personas defensoras de derechos humanos y periodistas en México, marzo de 2019, pág. 4. Disponible en: </w:t>
      </w:r>
      <w:hyperlink r:id="rId2" w:history="1">
        <w:r w:rsidRPr="00C27DD3">
          <w:rPr>
            <w:rStyle w:val="Hipervnculo"/>
            <w:szCs w:val="20"/>
          </w:rPr>
          <w:t>https://www.wola.org/wp-content/uploads/2019/03/SPN_WOLA-PBI-2019.pdf</w:t>
        </w:r>
      </w:hyperlink>
    </w:p>
  </w:footnote>
  <w:footnote w:id="8">
    <w:p w14:paraId="0771827C" w14:textId="77777777" w:rsidR="00E45A6A" w:rsidRPr="00C27DD3" w:rsidRDefault="00E45A6A" w:rsidP="00416BE5">
      <w:pPr>
        <w:pStyle w:val="Textonotapie"/>
      </w:pPr>
      <w:r w:rsidRPr="00C27DD3">
        <w:rPr>
          <w:rStyle w:val="Refdenotaalpie"/>
          <w:szCs w:val="20"/>
        </w:rPr>
        <w:footnoteRef/>
      </w:r>
      <w:r w:rsidRPr="00C27DD3">
        <w:t xml:space="preserve"> Secretaría de Gobernación, Mecanismo de protección para las personas defensoras de Derechos Humanos y Periodistas, marzo de 2019, disponible en: </w:t>
      </w:r>
      <w:hyperlink r:id="rId3" w:history="1">
        <w:r w:rsidRPr="00C27DD3">
          <w:rPr>
            <w:rStyle w:val="Hipervnculo"/>
            <w:szCs w:val="20"/>
          </w:rPr>
          <w:t>http://www.alejandroencinas.mx/wp-content/uploads/2019/03/Mecanismo-3.2.pdf</w:t>
        </w:r>
      </w:hyperlink>
    </w:p>
  </w:footnote>
  <w:footnote w:id="9">
    <w:p w14:paraId="39BC6B56" w14:textId="77777777" w:rsidR="00616B4A" w:rsidRPr="00C27DD3" w:rsidRDefault="00616B4A" w:rsidP="00416BE5">
      <w:pPr>
        <w:pStyle w:val="Textonotapie"/>
        <w:rPr>
          <w:szCs w:val="20"/>
        </w:rPr>
      </w:pPr>
      <w:r w:rsidRPr="00C27DD3">
        <w:rPr>
          <w:rStyle w:val="Refdenotaalpie"/>
          <w:szCs w:val="20"/>
        </w:rPr>
        <w:footnoteRef/>
      </w:r>
      <w:r w:rsidRPr="00C27DD3">
        <w:rPr>
          <w:szCs w:val="20"/>
        </w:rPr>
        <w:t xml:space="preserve"> Véase: </w:t>
      </w:r>
      <w:hyperlink r:id="rId4" w:history="1">
        <w:r w:rsidRPr="00C27DD3">
          <w:rPr>
            <w:rStyle w:val="Hipervnculo"/>
            <w:szCs w:val="20"/>
          </w:rPr>
          <w:t>https://www.gob.mx/defensorasyperiodistas/articulos/personas-defensoras-de-derechos-humanos-asesinadas-2018</w:t>
        </w:r>
      </w:hyperlink>
    </w:p>
  </w:footnote>
  <w:footnote w:id="10">
    <w:p w14:paraId="167674FC" w14:textId="77777777" w:rsidR="00F703C2" w:rsidRPr="00C27DD3" w:rsidRDefault="00F703C2" w:rsidP="00416BE5">
      <w:pPr>
        <w:pStyle w:val="Textonotapie"/>
      </w:pPr>
      <w:r w:rsidRPr="00C27DD3">
        <w:rPr>
          <w:rStyle w:val="Refdenotaalpie"/>
          <w:szCs w:val="20"/>
        </w:rPr>
        <w:footnoteRef/>
      </w:r>
      <w:r w:rsidRPr="00C27DD3">
        <w:t xml:space="preserve"> Véase CDHDF, Reporte en el marco del encuentro con los Relatores sobre Libertad de Expresión de Naciones Unidas y de la Comisión Interamericana de Derechos Humanos, 29 de noviembre de 2017</w:t>
      </w:r>
    </w:p>
  </w:footnote>
  <w:footnote w:id="11">
    <w:p w14:paraId="597297E0" w14:textId="77777777" w:rsidR="00F703C2" w:rsidRPr="00C27DD3" w:rsidRDefault="00F703C2" w:rsidP="00416BE5">
      <w:pPr>
        <w:pStyle w:val="Textonotapie"/>
        <w:rPr>
          <w:szCs w:val="20"/>
        </w:rPr>
      </w:pPr>
      <w:r w:rsidRPr="00C27DD3">
        <w:rPr>
          <w:rStyle w:val="Refdenotaalpie"/>
          <w:szCs w:val="20"/>
        </w:rPr>
        <w:footnoteRef/>
      </w:r>
      <w:r w:rsidRPr="00C27DD3">
        <w:rPr>
          <w:szCs w:val="20"/>
        </w:rPr>
        <w:t xml:space="preserve"> Véase: </w:t>
      </w:r>
      <w:hyperlink r:id="rId5" w:history="1">
        <w:r w:rsidRPr="00C27DD3">
          <w:rPr>
            <w:rStyle w:val="Hipervnculo"/>
            <w:szCs w:val="20"/>
          </w:rPr>
          <w:t>https://www.mpi.cdmx.gob.mx/comunicacion/nota/Monitoreo</w:t>
        </w:r>
      </w:hyperlink>
    </w:p>
  </w:footnote>
  <w:footnote w:id="12">
    <w:p w14:paraId="1C3957CA" w14:textId="77777777" w:rsidR="00F703C2" w:rsidRPr="00C27DD3" w:rsidRDefault="00F703C2" w:rsidP="00416BE5">
      <w:pPr>
        <w:pStyle w:val="Textonotapie"/>
      </w:pPr>
      <w:r w:rsidRPr="00C27DD3">
        <w:rPr>
          <w:rStyle w:val="Refdenotaalpie"/>
          <w:szCs w:val="20"/>
        </w:rPr>
        <w:footnoteRef/>
      </w:r>
      <w:r w:rsidRPr="00C27DD3">
        <w:t xml:space="preserve"> Disponible en: </w:t>
      </w:r>
      <w:hyperlink r:id="rId6" w:history="1">
        <w:r w:rsidRPr="00C27DD3">
          <w:rPr>
            <w:rStyle w:val="Hipervnculo"/>
            <w:szCs w:val="20"/>
          </w:rPr>
          <w:t>https://www.mpi.cdmx.gob.mx/storage/app/uploads/public/5ca/3a4/209/5ca3a4209ac9d089667033.pdf</w:t>
        </w:r>
      </w:hyperlink>
    </w:p>
  </w:footnote>
  <w:footnote w:id="13">
    <w:p w14:paraId="65E9EBDA" w14:textId="77777777" w:rsidR="00236928" w:rsidRPr="00C27DD3" w:rsidRDefault="00236928" w:rsidP="00416BE5">
      <w:pPr>
        <w:pStyle w:val="Textonotapie"/>
      </w:pPr>
      <w:r w:rsidRPr="00C27DD3">
        <w:rPr>
          <w:rStyle w:val="Refdenotaalpie"/>
          <w:szCs w:val="20"/>
        </w:rPr>
        <w:footnoteRef/>
      </w:r>
      <w:r w:rsidRPr="00C27DD3">
        <w:t xml:space="preserve"> WOLA y PBI, Cambiando el curso de la impunidad: Protección y acceso a la justicia para personas defensoras de derechos humanos y periodistas en México, marzo de 2019, pág. 5. Disponible en: </w:t>
      </w:r>
      <w:hyperlink r:id="rId7" w:history="1">
        <w:r w:rsidRPr="00C27DD3">
          <w:rPr>
            <w:rStyle w:val="Hipervnculo"/>
            <w:szCs w:val="20"/>
          </w:rPr>
          <w:t>https://www.wola.org/wp-content/uploads/2019/03/SPN_WOLA-PBI-2019.pdf</w:t>
        </w:r>
      </w:hyperlink>
    </w:p>
  </w:footnote>
  <w:footnote w:id="14">
    <w:p w14:paraId="585FDC26" w14:textId="77777777" w:rsidR="00EC5A4F" w:rsidRPr="00C27DD3" w:rsidRDefault="00EC5A4F" w:rsidP="00416BE5">
      <w:pPr>
        <w:pStyle w:val="Textonotapie"/>
      </w:pPr>
      <w:r w:rsidRPr="00C27DD3">
        <w:rPr>
          <w:rStyle w:val="Refdenotaalpie"/>
          <w:szCs w:val="20"/>
        </w:rPr>
        <w:footnoteRef/>
      </w:r>
      <w:r w:rsidRPr="00C27DD3">
        <w:t xml:space="preserve"> Véase CDHDF, Recomendación 4/2017, disponible en: </w:t>
      </w:r>
      <w:hyperlink r:id="rId8" w:history="1">
        <w:r w:rsidRPr="00C27DD3">
          <w:rPr>
            <w:rStyle w:val="Hipervnculo"/>
            <w:szCs w:val="20"/>
          </w:rPr>
          <w:t>https://cdhdf.org.mx/2017/06/recomendacion-42017/</w:t>
        </w:r>
      </w:hyperlink>
    </w:p>
  </w:footnote>
  <w:footnote w:id="15">
    <w:p w14:paraId="708D7671" w14:textId="77777777" w:rsidR="00EC5A4F" w:rsidRPr="00C27DD3" w:rsidRDefault="00EC5A4F" w:rsidP="00416BE5">
      <w:pPr>
        <w:pStyle w:val="Textonotapie"/>
      </w:pPr>
      <w:r w:rsidRPr="00C27DD3">
        <w:rPr>
          <w:rStyle w:val="Refdenotaalpie"/>
          <w:szCs w:val="20"/>
        </w:rPr>
        <w:footnoteRef/>
      </w:r>
      <w:r w:rsidRPr="00C27DD3">
        <w:t xml:space="preserve"> Procuraduría General de Justicia del Distrito Federal, </w:t>
      </w:r>
      <w:r w:rsidRPr="00C27DD3">
        <w:rPr>
          <w:lang w:val="es-ES"/>
        </w:rPr>
        <w:t>Acuerdo A/ 010 /2010 del Procurador General de Justicia del Distrito Federal, por el cual se establecen lineamientos respecto a la investigación e integración de averiguaciones previas donde se encuentren involucradas personas defensoras de los derechos humanos como víctimas de delitos, por el ejercicio de sus funciones o con motivo de ellas. Publicado en la Gaceta Oficial del Distrito Federal, el 23 de abril de 2010. Disponible</w:t>
      </w:r>
      <w:r w:rsidRPr="00C27DD3">
        <w:rPr>
          <w:i/>
          <w:lang w:val="es-ES"/>
        </w:rPr>
        <w:t xml:space="preserve"> en: </w:t>
      </w:r>
      <w:hyperlink r:id="rId9" w:history="1">
        <w:r w:rsidRPr="00C27DD3">
          <w:rPr>
            <w:rStyle w:val="Hipervnculo"/>
            <w:szCs w:val="20"/>
          </w:rPr>
          <w:t>http://cgservicios.df.gob.mx/prontuario/vigente/3050.pdf</w:t>
        </w:r>
      </w:hyperlink>
    </w:p>
  </w:footnote>
  <w:footnote w:id="16">
    <w:p w14:paraId="7E05C8AE" w14:textId="77777777" w:rsidR="00EC5A4F" w:rsidRPr="00C27DD3" w:rsidRDefault="00EC5A4F" w:rsidP="00416BE5">
      <w:pPr>
        <w:pStyle w:val="Textonotapie"/>
      </w:pPr>
      <w:r w:rsidRPr="00C27DD3">
        <w:rPr>
          <w:rStyle w:val="Refdenotaalpie"/>
          <w:szCs w:val="20"/>
        </w:rPr>
        <w:footnoteRef/>
      </w:r>
      <w:r w:rsidRPr="00C27DD3">
        <w:t xml:space="preserve"> CDHDF, Reporte en el marco del encuentro con los Relatores sobre Libertad de Expresión de Naciones Unidas y de la Comisión Interamericana de Derechos Humanos, 29 de noviembre de 2017, disponible en: http://cdhdf.org.mx/wp-content/uploads/2014/02/Informe-Relatores-Lib-Exp-OEA_ONU.pdf</w:t>
      </w:r>
    </w:p>
  </w:footnote>
  <w:footnote w:id="17">
    <w:p w14:paraId="3EF0B053" w14:textId="77777777" w:rsidR="00EC5A4F" w:rsidRPr="00C27DD3" w:rsidRDefault="00EC5A4F" w:rsidP="00416BE5">
      <w:pPr>
        <w:pStyle w:val="Textonotapie"/>
      </w:pPr>
      <w:r w:rsidRPr="00C27DD3">
        <w:rPr>
          <w:rStyle w:val="Refdenotaalpie"/>
          <w:szCs w:val="20"/>
        </w:rPr>
        <w:footnoteRef/>
      </w:r>
      <w:r w:rsidRPr="00C27DD3">
        <w:t xml:space="preserve"> CNDH, Periodistas y personas defensoras civiles, Análisis situacional de los derechos humanos de periodistas y personas defensoras. Disponible en: </w:t>
      </w:r>
      <w:hyperlink r:id="rId10" w:history="1">
        <w:r w:rsidRPr="00C27DD3">
          <w:rPr>
            <w:rStyle w:val="Hipervnculo"/>
            <w:szCs w:val="20"/>
          </w:rPr>
          <w:t>http://informe.cndh.org.mx/menu.aspx?id=30063</w:t>
        </w:r>
      </w:hyperlink>
    </w:p>
  </w:footnote>
  <w:footnote w:id="18">
    <w:p w14:paraId="0CCA241F" w14:textId="77777777" w:rsidR="00AC5103" w:rsidRDefault="00AC5103" w:rsidP="00416BE5">
      <w:pPr>
        <w:pStyle w:val="Textonotapie"/>
      </w:pPr>
      <w:r>
        <w:rPr>
          <w:rStyle w:val="Refdenotaalpie"/>
        </w:rPr>
        <w:footnoteRef/>
      </w:r>
      <w:r>
        <w:t xml:space="preserve"> </w:t>
      </w:r>
      <w:hyperlink r:id="rId11" w:history="1">
        <w:r>
          <w:rPr>
            <w:rStyle w:val="Hipervnculo"/>
          </w:rPr>
          <w:t>https://data.consejeria.cdmx.gob.mx/images/leyes/estatutos/Constitucion_Politica_Ciudad_de_Mexico.pdf</w:t>
        </w:r>
      </w:hyperlink>
    </w:p>
  </w:footnote>
  <w:footnote w:id="19">
    <w:p w14:paraId="6F79D7A0" w14:textId="728493F3" w:rsidR="008741F2" w:rsidRDefault="008741F2" w:rsidP="00416BE5">
      <w:pPr>
        <w:pStyle w:val="Textonotapie"/>
      </w:pPr>
      <w:r>
        <w:rPr>
          <w:rStyle w:val="Refdenotaalpie"/>
        </w:rPr>
        <w:footnoteRef/>
      </w:r>
      <w:r>
        <w:t xml:space="preserve"> </w:t>
      </w:r>
      <w:r w:rsidRPr="00F966DE">
        <w:t xml:space="preserve">Consultar: </w:t>
      </w:r>
      <w:hyperlink r:id="rId12" w:history="1">
        <w:r w:rsidR="00F966DE" w:rsidRPr="00F966DE">
          <w:rPr>
            <w:rStyle w:val="Hipervnculo"/>
          </w:rPr>
          <w:t>http://www.politicamigratoria.gob.mx/es_mx/SEGOB/Extranjeros_presentados_y_devueltos</w:t>
        </w:r>
      </w:hyperlink>
    </w:p>
  </w:footnote>
  <w:footnote w:id="20">
    <w:p w14:paraId="13E39433" w14:textId="71F1BED3" w:rsidR="00416BE5" w:rsidRPr="00416BE5" w:rsidRDefault="00416BE5" w:rsidP="00416BE5">
      <w:pPr>
        <w:pStyle w:val="Textonotapie"/>
      </w:pPr>
      <w:r w:rsidRPr="00416BE5">
        <w:rPr>
          <w:rStyle w:val="Refdenotaalpie"/>
        </w:rPr>
        <w:footnoteRef/>
      </w:r>
      <w:r w:rsidRPr="00416BE5">
        <w:t xml:space="preserve"> Revisar: </w:t>
      </w:r>
      <w:hyperlink r:id="rId13" w:history="1">
        <w:r w:rsidRPr="00416BE5">
          <w:rPr>
            <w:rStyle w:val="Hipervnculo"/>
          </w:rPr>
          <w:t>https://www.gob.mx/comar</w:t>
        </w:r>
      </w:hyperlink>
    </w:p>
  </w:footnote>
  <w:footnote w:id="21">
    <w:p w14:paraId="4D772D0A" w14:textId="77777777" w:rsidR="003E34BA" w:rsidRPr="009773C0" w:rsidRDefault="003E34BA" w:rsidP="003E34BA">
      <w:pPr>
        <w:pStyle w:val="Textonotapie"/>
      </w:pPr>
      <w:r w:rsidRPr="009773C0">
        <w:rPr>
          <w:rStyle w:val="Refdenotaalpie"/>
        </w:rPr>
        <w:footnoteRef/>
      </w:r>
      <w:r w:rsidRPr="009773C0">
        <w:t xml:space="preserve"> Ver: </w:t>
      </w:r>
      <w:hyperlink r:id="rId14" w:history="1">
        <w:r w:rsidRPr="009773C0">
          <w:rPr>
            <w:rStyle w:val="Hipervnculo"/>
          </w:rPr>
          <w:t>http://www.cndh.org.mx/sites/all/doc/Recomendaciones/2019/Rec_2019_038.pdf</w:t>
        </w:r>
      </w:hyperlink>
    </w:p>
  </w:footnote>
  <w:footnote w:id="22">
    <w:p w14:paraId="128176B9" w14:textId="05CC9B19" w:rsidR="001204E5" w:rsidRDefault="001204E5">
      <w:pPr>
        <w:pStyle w:val="Textonotapie"/>
      </w:pPr>
      <w:r>
        <w:rPr>
          <w:rStyle w:val="Refdenotaalpie"/>
        </w:rPr>
        <w:footnoteRef/>
      </w:r>
      <w:r>
        <w:t xml:space="preserve"> </w:t>
      </w:r>
      <w:r w:rsidRPr="003D3309">
        <w:t xml:space="preserve">Revisado en: </w:t>
      </w:r>
      <w:hyperlink r:id="rId15" w:history="1">
        <w:r w:rsidRPr="003D3309">
          <w:rPr>
            <w:rStyle w:val="Hipervnculo"/>
          </w:rPr>
          <w:t>https://www.state.gov/u-s-mexico-joint-declaration/</w:t>
        </w:r>
      </w:hyperlink>
    </w:p>
  </w:footnote>
  <w:footnote w:id="23">
    <w:p w14:paraId="1BD865EF" w14:textId="77777777" w:rsidR="001204E5" w:rsidRDefault="001204E5" w:rsidP="001204E5">
      <w:pPr>
        <w:pStyle w:val="Textonotapie"/>
      </w:pPr>
      <w:r>
        <w:rPr>
          <w:rStyle w:val="Refdenotaalpie"/>
        </w:rPr>
        <w:footnoteRef/>
      </w:r>
      <w:r>
        <w:t xml:space="preserve"> Consultar: </w:t>
      </w:r>
      <w:hyperlink r:id="rId16" w:history="1">
        <w:r>
          <w:rPr>
            <w:rStyle w:val="Hipervnculo"/>
          </w:rPr>
          <w:t>https://www.gob.mx/inm/articulos/informe-sobre-internaciones-de-centroamericanos-a-territorio-mexicano-en-espera-de-la-resolucion-de-su-tramite-de-asilo-en-estados-unidos?idiom=es</w:t>
        </w:r>
      </w:hyperlink>
    </w:p>
  </w:footnote>
  <w:footnote w:id="24">
    <w:p w14:paraId="46AE261E" w14:textId="0348EA9F" w:rsidR="006D5F44" w:rsidRPr="00C27DD3" w:rsidRDefault="006D5F44" w:rsidP="00416BE5">
      <w:pPr>
        <w:pStyle w:val="Textonotapie"/>
      </w:pPr>
      <w:r w:rsidRPr="00C27DD3">
        <w:rPr>
          <w:rStyle w:val="Refdenotaalpie"/>
          <w:szCs w:val="20"/>
        </w:rPr>
        <w:footnoteRef/>
      </w:r>
      <w:r w:rsidRPr="00C27DD3">
        <w:t xml:space="preserve"> Véase: </w:t>
      </w:r>
      <w:hyperlink r:id="rId17" w:history="1">
        <w:r w:rsidR="00F966DE" w:rsidRPr="009A2895">
          <w:rPr>
            <w:rStyle w:val="Hipervnculo"/>
            <w:szCs w:val="20"/>
          </w:rPr>
          <w:t>https://cdhdf.org.mx/wp-content/uploads/2018/08/reco_0318.pdf</w:t>
        </w:r>
      </w:hyperlink>
      <w:r w:rsidR="00F966DE">
        <w:t xml:space="preserve"> </w:t>
      </w:r>
    </w:p>
  </w:footnote>
  <w:footnote w:id="25">
    <w:p w14:paraId="346F3989" w14:textId="603BCD16" w:rsidR="00AB28FF" w:rsidRPr="00C27DD3" w:rsidRDefault="00AB28FF" w:rsidP="00416BE5">
      <w:pPr>
        <w:pStyle w:val="Textonotapie"/>
      </w:pPr>
      <w:r w:rsidRPr="00C27DD3">
        <w:rPr>
          <w:rStyle w:val="Refdenotaalpie"/>
          <w:szCs w:val="20"/>
        </w:rPr>
        <w:footnoteRef/>
      </w:r>
      <w:r w:rsidRPr="00C27DD3">
        <w:t xml:space="preserve"> Cuyos hechos ocurrieron entre los años 2012 y 2016.</w:t>
      </w:r>
    </w:p>
  </w:footnote>
  <w:footnote w:id="26">
    <w:p w14:paraId="672DBE6C" w14:textId="77777777" w:rsidR="00EA1C68" w:rsidRPr="00C27DD3" w:rsidRDefault="00EA1C68" w:rsidP="00416BE5">
      <w:pPr>
        <w:pStyle w:val="Textonotapie"/>
      </w:pPr>
      <w:r w:rsidRPr="00C27DD3">
        <w:rPr>
          <w:rStyle w:val="Refdenotaalpie"/>
          <w:szCs w:val="20"/>
        </w:rPr>
        <w:footnoteRef/>
      </w:r>
      <w:r w:rsidRPr="00C27DD3">
        <w:t xml:space="preserve"> Véase: https://cdhdf.org.mx/wp-content/uploads/2018/09/reco_1018.pdf</w:t>
      </w:r>
    </w:p>
  </w:footnote>
  <w:footnote w:id="27">
    <w:p w14:paraId="60EF2B3F" w14:textId="77777777" w:rsidR="00EA1C68" w:rsidRPr="00C27DD3" w:rsidRDefault="00EA1C68" w:rsidP="00416BE5">
      <w:pPr>
        <w:pStyle w:val="Textonotapie"/>
      </w:pPr>
      <w:r w:rsidRPr="00C27DD3">
        <w:rPr>
          <w:rStyle w:val="Refdenotaalpie"/>
          <w:szCs w:val="20"/>
        </w:rPr>
        <w:footnoteRef/>
      </w:r>
      <w:r w:rsidRPr="00C27DD3">
        <w:t xml:space="preserve"> Comunidad de la Ciudad de México conformada por 11 pueblos y barrios originarios, herederos de la tradición indígena de los pueblos prehispánicos de habla náhuatl de la Cuenca de México, conocidos como los pueblos Colhuas.</w:t>
      </w:r>
    </w:p>
  </w:footnote>
  <w:footnote w:id="28">
    <w:p w14:paraId="525AECF2" w14:textId="77777777" w:rsidR="00EA1C68" w:rsidRPr="00C27DD3" w:rsidRDefault="00EA1C68" w:rsidP="00416BE5">
      <w:pPr>
        <w:pStyle w:val="Textonotapie"/>
      </w:pPr>
      <w:r w:rsidRPr="00C27DD3">
        <w:rPr>
          <w:rStyle w:val="Refdenotaalpie"/>
          <w:szCs w:val="20"/>
        </w:rPr>
        <w:footnoteRef/>
      </w:r>
      <w:r w:rsidRPr="00C27DD3">
        <w:t xml:space="preserve"> Templo con diseño de inspiración prehispánica con temáticas religiosas.</w:t>
      </w:r>
    </w:p>
  </w:footnote>
  <w:footnote w:id="29">
    <w:p w14:paraId="0540F0AF" w14:textId="77777777" w:rsidR="00EA1C68" w:rsidRPr="00C27DD3" w:rsidRDefault="00EA1C68" w:rsidP="00416BE5">
      <w:pPr>
        <w:pStyle w:val="Textonotapie"/>
      </w:pPr>
      <w:r w:rsidRPr="00C27DD3">
        <w:rPr>
          <w:rStyle w:val="Refdenotaalpie"/>
          <w:szCs w:val="20"/>
        </w:rPr>
        <w:footnoteRef/>
      </w:r>
      <w:r w:rsidRPr="00C27DD3">
        <w:t xml:space="preserve"> Tribunales Colegiados de Circuito, Pueblos originarios de la Ciudad de México. La constitución local, previo a su entrada en vigor, puede servir como un documento orientador para su identificación como pueblos indígenas. Tesis: I.18o.A.8 CS (10a.), julio de 2018.</w:t>
      </w:r>
    </w:p>
  </w:footnote>
  <w:footnote w:id="30">
    <w:p w14:paraId="3162E163" w14:textId="77777777" w:rsidR="0086502F" w:rsidRPr="00C27DD3" w:rsidRDefault="0086502F" w:rsidP="00C27DD3">
      <w:pPr>
        <w:spacing w:line="240" w:lineRule="auto"/>
        <w:jc w:val="both"/>
        <w:rPr>
          <w:rFonts w:ascii="Arial Narrow" w:hAnsi="Arial Narrow"/>
          <w:sz w:val="18"/>
          <w:szCs w:val="20"/>
        </w:rPr>
      </w:pPr>
      <w:r w:rsidRPr="00C27DD3">
        <w:rPr>
          <w:rFonts w:ascii="Arial Narrow" w:hAnsi="Arial Narrow"/>
          <w:sz w:val="18"/>
          <w:szCs w:val="20"/>
          <w:vertAlign w:val="superscript"/>
        </w:rPr>
        <w:footnoteRef/>
      </w:r>
      <w:r w:rsidRPr="00C27DD3">
        <w:rPr>
          <w:rFonts w:ascii="Arial Narrow" w:hAnsi="Arial Narrow"/>
          <w:sz w:val="18"/>
          <w:szCs w:val="20"/>
        </w:rPr>
        <w:t xml:space="preserve"> Título quinto. Capítulo VII. Ciudad Pluricultural; Artículo 57. Derechos de los pueblos indígenas en la Ciudad de México.</w:t>
      </w:r>
    </w:p>
  </w:footnote>
  <w:footnote w:id="31">
    <w:p w14:paraId="526AF77D" w14:textId="00773C31" w:rsidR="00070E2E" w:rsidRPr="00C27DD3" w:rsidRDefault="00070E2E" w:rsidP="00C27DD3">
      <w:pPr>
        <w:spacing w:line="240" w:lineRule="auto"/>
        <w:jc w:val="both"/>
        <w:rPr>
          <w:rFonts w:ascii="Arial Narrow" w:hAnsi="Arial Narrow"/>
          <w:i/>
          <w:sz w:val="18"/>
          <w:szCs w:val="20"/>
        </w:rPr>
      </w:pPr>
      <w:r w:rsidRPr="00C27DD3">
        <w:rPr>
          <w:rFonts w:ascii="Arial Narrow" w:hAnsi="Arial Narrow"/>
          <w:sz w:val="18"/>
          <w:szCs w:val="20"/>
          <w:vertAlign w:val="superscript"/>
        </w:rPr>
        <w:footnoteRef/>
      </w:r>
      <w:r w:rsidRPr="00C27DD3">
        <w:rPr>
          <w:rFonts w:ascii="Arial Narrow" w:hAnsi="Arial Narrow"/>
          <w:sz w:val="18"/>
          <w:szCs w:val="20"/>
        </w:rPr>
        <w:t xml:space="preserve"> Capítulo VII. Ciudad Pluricultural, Artículo 59. De los derechos de los pueblos y barrios originarios y comunidades indígenas residentes, Inciso M. </w:t>
      </w:r>
      <w:r w:rsidRPr="00C27DD3">
        <w:rPr>
          <w:rFonts w:ascii="Arial Narrow" w:hAnsi="Arial Narrow"/>
          <w:i/>
          <w:sz w:val="18"/>
          <w:szCs w:val="20"/>
        </w:rPr>
        <w:t>Se constituye un organismo público para cumplir con las disposiciones que se establecen en esta Constitución para los pueblos y barrios originarios y comunidades indígenas residentes de la Ciudad de México con personalidad jurídica y patrimonio propio. Concurrirán a este organismo los representantes de los pueblos a través de un Consejo cuya función esencial es la implementación de las políticas para garantizar el ejercicio de su autonomía; se encargará además del diseño de las políticas públicas con respecto a las comunidades indígenas residentes y población indígena en general. Sus funciones y operación se determinarán en su ley orgánica.</w:t>
      </w:r>
    </w:p>
  </w:footnote>
  <w:footnote w:id="32">
    <w:p w14:paraId="10326162" w14:textId="77777777" w:rsidR="001129BB" w:rsidRPr="00C27DD3" w:rsidRDefault="001129BB" w:rsidP="00C27DD3">
      <w:pPr>
        <w:spacing w:line="240" w:lineRule="auto"/>
        <w:jc w:val="both"/>
        <w:rPr>
          <w:rFonts w:ascii="Arial Narrow" w:hAnsi="Arial Narrow"/>
          <w:sz w:val="18"/>
          <w:szCs w:val="20"/>
        </w:rPr>
      </w:pPr>
      <w:r w:rsidRPr="00C27DD3">
        <w:rPr>
          <w:rFonts w:ascii="Arial Narrow" w:hAnsi="Arial Narrow"/>
          <w:sz w:val="18"/>
          <w:szCs w:val="20"/>
          <w:vertAlign w:val="superscript"/>
        </w:rPr>
        <w:footnoteRef/>
      </w:r>
      <w:r w:rsidRPr="00C27DD3">
        <w:rPr>
          <w:rFonts w:ascii="Arial Narrow" w:hAnsi="Arial Narrow"/>
          <w:sz w:val="18"/>
          <w:szCs w:val="20"/>
        </w:rPr>
        <w:t xml:space="preserve"> Véase: </w:t>
      </w:r>
      <w:hyperlink r:id="rId18">
        <w:r w:rsidRPr="00C27DD3">
          <w:rPr>
            <w:rFonts w:ascii="Arial Narrow" w:hAnsi="Arial Narrow"/>
            <w:color w:val="1155CC"/>
            <w:sz w:val="18"/>
            <w:szCs w:val="20"/>
            <w:u w:val="single"/>
          </w:rPr>
          <w:t>https://www.inegi.org.mx/contenidos/programas/intercensal/2015/doc/eic_2015_presentacion.pdf</w:t>
        </w:r>
      </w:hyperlink>
      <w:r w:rsidRPr="00C27DD3">
        <w:rPr>
          <w:rFonts w:ascii="Arial Narrow" w:hAnsi="Arial Narrow"/>
          <w:sz w:val="18"/>
          <w:szCs w:val="20"/>
        </w:rPr>
        <w:t xml:space="preserve"> </w:t>
      </w:r>
    </w:p>
  </w:footnote>
  <w:footnote w:id="33">
    <w:p w14:paraId="3041CA83" w14:textId="77777777" w:rsidR="003A5104" w:rsidRPr="00C27DD3" w:rsidRDefault="003A5104" w:rsidP="00C27DD3">
      <w:pPr>
        <w:spacing w:line="240" w:lineRule="auto"/>
        <w:jc w:val="both"/>
        <w:rPr>
          <w:rFonts w:ascii="Arial Narrow" w:hAnsi="Arial Narrow"/>
          <w:sz w:val="18"/>
          <w:szCs w:val="20"/>
        </w:rPr>
      </w:pPr>
      <w:r w:rsidRPr="00C27DD3">
        <w:rPr>
          <w:rFonts w:ascii="Arial Narrow" w:hAnsi="Arial Narrow"/>
          <w:sz w:val="18"/>
          <w:szCs w:val="20"/>
          <w:vertAlign w:val="superscript"/>
        </w:rPr>
        <w:footnoteRef/>
      </w:r>
      <w:r w:rsidRPr="00C27DD3">
        <w:rPr>
          <w:rFonts w:ascii="Arial Narrow" w:hAnsi="Arial Narrow"/>
          <w:sz w:val="18"/>
          <w:szCs w:val="20"/>
        </w:rPr>
        <w:t xml:space="preserve"> Véase: </w:t>
      </w:r>
      <w:hyperlink r:id="rId19">
        <w:r w:rsidRPr="00C27DD3">
          <w:rPr>
            <w:rFonts w:ascii="Arial Narrow" w:hAnsi="Arial Narrow"/>
            <w:color w:val="1155CC"/>
            <w:sz w:val="18"/>
            <w:szCs w:val="20"/>
            <w:u w:val="single"/>
          </w:rPr>
          <w:t>https://cdhdf.org.mx/wp-content/uploads/2014/05/dfensor_07_2017.pdf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376E7" w14:textId="183F3B2C" w:rsidR="00B94BD5" w:rsidRDefault="00B94BD5">
    <w:pPr>
      <w:tabs>
        <w:tab w:val="center" w:pos="4419"/>
        <w:tab w:val="right" w:pos="8838"/>
      </w:tabs>
      <w:spacing w:line="240" w:lineRule="auto"/>
      <w:jc w:val="right"/>
      <w:rPr>
        <w:rFonts w:ascii="Arial Narrow" w:eastAsia="Arial" w:hAnsi="Arial Narrow" w:cs="Arial"/>
        <w:b/>
        <w:smallCaps/>
        <w:sz w:val="22"/>
        <w:szCs w:val="24"/>
        <w:lang w:val="es-ES_tradnl" w:eastAsia="es-ES_tradnl"/>
      </w:rPr>
    </w:pPr>
    <w:r w:rsidRPr="00DA3402">
      <w:rPr>
        <w:noProof/>
        <w:sz w:val="22"/>
        <w:lang w:eastAsia="es-MX"/>
      </w:rPr>
      <w:drawing>
        <wp:anchor distT="0" distB="0" distL="0" distR="0" simplePos="0" relativeHeight="251658240" behindDoc="1" locked="0" layoutInCell="1" allowOverlap="1" wp14:anchorId="7EFF06DE" wp14:editId="77009E7F">
          <wp:simplePos x="0" y="0"/>
          <wp:positionH relativeFrom="column">
            <wp:posOffset>-331470</wp:posOffset>
          </wp:positionH>
          <wp:positionV relativeFrom="paragraph">
            <wp:posOffset>-152400</wp:posOffset>
          </wp:positionV>
          <wp:extent cx="667385" cy="667385"/>
          <wp:effectExtent l="0" t="0" r="0" b="0"/>
          <wp:wrapNone/>
          <wp:docPr id="11" name="Imagen 2"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2" descr="Imagen relacionada"/>
                  <pic:cNvPicPr>
                    <a:picLocks noChangeAspect="1" noChangeArrowheads="1"/>
                  </pic:cNvPicPr>
                </pic:nvPicPr>
                <pic:blipFill>
                  <a:blip r:embed="rId1"/>
                  <a:stretch>
                    <a:fillRect/>
                  </a:stretch>
                </pic:blipFill>
                <pic:spPr bwMode="auto">
                  <a:xfrm>
                    <a:off x="0" y="0"/>
                    <a:ext cx="667385" cy="667385"/>
                  </a:xfrm>
                  <a:prstGeom prst="rect">
                    <a:avLst/>
                  </a:prstGeom>
                </pic:spPr>
              </pic:pic>
            </a:graphicData>
          </a:graphic>
        </wp:anchor>
      </w:drawing>
    </w:r>
    <w:r w:rsidRPr="00DA3402">
      <w:rPr>
        <w:rFonts w:ascii="Arial Narrow" w:eastAsia="Arial" w:hAnsi="Arial Narrow" w:cs="Arial"/>
        <w:b/>
        <w:smallCaps/>
        <w:sz w:val="22"/>
        <w:szCs w:val="24"/>
        <w:lang w:val="es-ES_tradnl" w:eastAsia="es-ES_tradnl"/>
      </w:rPr>
      <w:t>COMISIÓN DE DERECHOS HUMANOS DEL DISTRITO FEDERAL</w:t>
    </w:r>
  </w:p>
  <w:p w14:paraId="250AC3AA" w14:textId="06EBDB15" w:rsidR="00B94BD5" w:rsidRPr="00140CEE" w:rsidRDefault="00140CEE" w:rsidP="00140CEE">
    <w:pPr>
      <w:pStyle w:val="Encabezado"/>
      <w:jc w:val="right"/>
      <w:rPr>
        <w:sz w:val="22"/>
      </w:rPr>
    </w:pPr>
    <w:r w:rsidRPr="00140CEE">
      <w:rPr>
        <w:sz w:val="22"/>
      </w:rPr>
      <w:t>5 de julio de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402"/>
    <w:multiLevelType w:val="multilevel"/>
    <w:tmpl w:val="00000885"/>
    <w:lvl w:ilvl="0">
      <w:numFmt w:val="bullet"/>
      <w:lvlText w:val="•"/>
      <w:lvlJc w:val="left"/>
      <w:pPr>
        <w:ind w:left="864" w:hanging="240"/>
      </w:pPr>
      <w:rPr>
        <w:rFonts w:ascii="Century" w:hAnsi="Century" w:cs="Century"/>
        <w:b w:val="0"/>
        <w:bCs w:val="0"/>
        <w:w w:val="64"/>
        <w:sz w:val="24"/>
        <w:szCs w:val="24"/>
      </w:rPr>
    </w:lvl>
    <w:lvl w:ilvl="1">
      <w:numFmt w:val="bullet"/>
      <w:lvlText w:val="•"/>
      <w:lvlJc w:val="left"/>
      <w:pPr>
        <w:ind w:left="1718" w:hanging="240"/>
      </w:pPr>
    </w:lvl>
    <w:lvl w:ilvl="2">
      <w:numFmt w:val="bullet"/>
      <w:lvlText w:val="•"/>
      <w:lvlJc w:val="left"/>
      <w:pPr>
        <w:ind w:left="2576" w:hanging="240"/>
      </w:pPr>
    </w:lvl>
    <w:lvl w:ilvl="3">
      <w:numFmt w:val="bullet"/>
      <w:lvlText w:val="•"/>
      <w:lvlJc w:val="left"/>
      <w:pPr>
        <w:ind w:left="3434" w:hanging="240"/>
      </w:pPr>
    </w:lvl>
    <w:lvl w:ilvl="4">
      <w:numFmt w:val="bullet"/>
      <w:lvlText w:val="•"/>
      <w:lvlJc w:val="left"/>
      <w:pPr>
        <w:ind w:left="4292" w:hanging="240"/>
      </w:pPr>
    </w:lvl>
    <w:lvl w:ilvl="5">
      <w:numFmt w:val="bullet"/>
      <w:lvlText w:val="•"/>
      <w:lvlJc w:val="left"/>
      <w:pPr>
        <w:ind w:left="5150" w:hanging="240"/>
      </w:pPr>
    </w:lvl>
    <w:lvl w:ilvl="6">
      <w:numFmt w:val="bullet"/>
      <w:lvlText w:val="•"/>
      <w:lvlJc w:val="left"/>
      <w:pPr>
        <w:ind w:left="6008" w:hanging="240"/>
      </w:pPr>
    </w:lvl>
    <w:lvl w:ilvl="7">
      <w:numFmt w:val="bullet"/>
      <w:lvlText w:val="•"/>
      <w:lvlJc w:val="left"/>
      <w:pPr>
        <w:ind w:left="6866" w:hanging="240"/>
      </w:pPr>
    </w:lvl>
    <w:lvl w:ilvl="8">
      <w:numFmt w:val="bullet"/>
      <w:lvlText w:val="•"/>
      <w:lvlJc w:val="left"/>
      <w:pPr>
        <w:ind w:left="7724" w:hanging="240"/>
      </w:pPr>
    </w:lvl>
  </w:abstractNum>
  <w:abstractNum w:abstractNumId="1">
    <w:nsid w:val="00905554"/>
    <w:multiLevelType w:val="multilevel"/>
    <w:tmpl w:val="7D0A83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78E782A"/>
    <w:multiLevelType w:val="multilevel"/>
    <w:tmpl w:val="7FCC3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063767"/>
    <w:multiLevelType w:val="hybridMultilevel"/>
    <w:tmpl w:val="E01073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5812F2C"/>
    <w:multiLevelType w:val="multilevel"/>
    <w:tmpl w:val="F4FC1F86"/>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17D20DFA"/>
    <w:multiLevelType w:val="hybridMultilevel"/>
    <w:tmpl w:val="B002D0F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85A7739"/>
    <w:multiLevelType w:val="hybridMultilevel"/>
    <w:tmpl w:val="33CEDF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8DF4B9E"/>
    <w:multiLevelType w:val="multilevel"/>
    <w:tmpl w:val="6E8C6110"/>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196A1EB5"/>
    <w:multiLevelType w:val="hybridMultilevel"/>
    <w:tmpl w:val="82A0CE5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02E4905"/>
    <w:multiLevelType w:val="hybridMultilevel"/>
    <w:tmpl w:val="0ACEDCAE"/>
    <w:lvl w:ilvl="0" w:tplc="74181CB0">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15C0E55"/>
    <w:multiLevelType w:val="multilevel"/>
    <w:tmpl w:val="19C05528"/>
    <w:lvl w:ilvl="0">
      <w:start w:val="1"/>
      <w:numFmt w:val="lowerLetter"/>
      <w:lvlText w:val="%1."/>
      <w:lvlJc w:val="left"/>
      <w:pPr>
        <w:ind w:left="1202" w:hanging="241"/>
      </w:pPr>
      <w:rPr>
        <w:b w:val="0"/>
        <w:bCs w:val="0"/>
        <w:w w:val="64"/>
        <w:sz w:val="22"/>
        <w:szCs w:val="22"/>
      </w:rPr>
    </w:lvl>
    <w:lvl w:ilvl="1">
      <w:start w:val="1"/>
      <w:numFmt w:val="bullet"/>
      <w:lvlText w:val=""/>
      <w:lvlJc w:val="left"/>
      <w:pPr>
        <w:ind w:left="2068" w:hanging="241"/>
      </w:pPr>
      <w:rPr>
        <w:rFonts w:ascii="Symbol" w:hAnsi="Symbol" w:cs="Symbol" w:hint="default"/>
      </w:rPr>
    </w:lvl>
    <w:lvl w:ilvl="2">
      <w:start w:val="1"/>
      <w:numFmt w:val="bullet"/>
      <w:lvlText w:val=""/>
      <w:lvlJc w:val="left"/>
      <w:pPr>
        <w:ind w:left="2938" w:hanging="241"/>
      </w:pPr>
      <w:rPr>
        <w:rFonts w:ascii="Symbol" w:hAnsi="Symbol" w:cs="Symbol" w:hint="default"/>
      </w:rPr>
    </w:lvl>
    <w:lvl w:ilvl="3">
      <w:start w:val="1"/>
      <w:numFmt w:val="bullet"/>
      <w:lvlText w:val=""/>
      <w:lvlJc w:val="left"/>
      <w:pPr>
        <w:ind w:left="3808" w:hanging="241"/>
      </w:pPr>
      <w:rPr>
        <w:rFonts w:ascii="Symbol" w:hAnsi="Symbol" w:cs="Symbol" w:hint="default"/>
      </w:rPr>
    </w:lvl>
    <w:lvl w:ilvl="4">
      <w:start w:val="1"/>
      <w:numFmt w:val="bullet"/>
      <w:lvlText w:val=""/>
      <w:lvlJc w:val="left"/>
      <w:pPr>
        <w:ind w:left="4678" w:hanging="241"/>
      </w:pPr>
      <w:rPr>
        <w:rFonts w:ascii="Symbol" w:hAnsi="Symbol" w:cs="Symbol" w:hint="default"/>
      </w:rPr>
    </w:lvl>
    <w:lvl w:ilvl="5">
      <w:start w:val="1"/>
      <w:numFmt w:val="bullet"/>
      <w:lvlText w:val=""/>
      <w:lvlJc w:val="left"/>
      <w:pPr>
        <w:ind w:left="5548" w:hanging="241"/>
      </w:pPr>
      <w:rPr>
        <w:rFonts w:ascii="Symbol" w:hAnsi="Symbol" w:cs="Symbol" w:hint="default"/>
      </w:rPr>
    </w:lvl>
    <w:lvl w:ilvl="6">
      <w:start w:val="1"/>
      <w:numFmt w:val="bullet"/>
      <w:lvlText w:val=""/>
      <w:lvlJc w:val="left"/>
      <w:pPr>
        <w:ind w:left="6418" w:hanging="241"/>
      </w:pPr>
      <w:rPr>
        <w:rFonts w:ascii="Symbol" w:hAnsi="Symbol" w:cs="Symbol" w:hint="default"/>
      </w:rPr>
    </w:lvl>
    <w:lvl w:ilvl="7">
      <w:start w:val="1"/>
      <w:numFmt w:val="bullet"/>
      <w:lvlText w:val=""/>
      <w:lvlJc w:val="left"/>
      <w:pPr>
        <w:ind w:left="7288" w:hanging="241"/>
      </w:pPr>
      <w:rPr>
        <w:rFonts w:ascii="Symbol" w:hAnsi="Symbol" w:cs="Symbol" w:hint="default"/>
      </w:rPr>
    </w:lvl>
    <w:lvl w:ilvl="8">
      <w:start w:val="1"/>
      <w:numFmt w:val="bullet"/>
      <w:lvlText w:val=""/>
      <w:lvlJc w:val="left"/>
      <w:pPr>
        <w:ind w:left="8158" w:hanging="241"/>
      </w:pPr>
      <w:rPr>
        <w:rFonts w:ascii="Symbol" w:hAnsi="Symbol" w:cs="Symbol" w:hint="default"/>
      </w:rPr>
    </w:lvl>
  </w:abstractNum>
  <w:abstractNum w:abstractNumId="11">
    <w:nsid w:val="21A02FF8"/>
    <w:multiLevelType w:val="hybridMultilevel"/>
    <w:tmpl w:val="8D94D3A0"/>
    <w:lvl w:ilvl="0" w:tplc="58040934">
      <w:numFmt w:val="bullet"/>
      <w:lvlText w:val=""/>
      <w:lvlJc w:val="left"/>
      <w:pPr>
        <w:ind w:left="720" w:hanging="360"/>
      </w:pPr>
      <w:rPr>
        <w:rFonts w:ascii="Symbol" w:eastAsiaTheme="minorHAnsi" w:hAnsi="Symbol" w:cs="Helvetica" w:hint="default"/>
        <w:b/>
        <w:color w:val="2C2C2B"/>
        <w:sz w:val="19"/>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247457C"/>
    <w:multiLevelType w:val="hybridMultilevel"/>
    <w:tmpl w:val="DD9060B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29AD7E4F"/>
    <w:multiLevelType w:val="hybridMultilevel"/>
    <w:tmpl w:val="F458691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A792634"/>
    <w:multiLevelType w:val="hybridMultilevel"/>
    <w:tmpl w:val="0D7CACE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5">
    <w:nsid w:val="2EF369F0"/>
    <w:multiLevelType w:val="multilevel"/>
    <w:tmpl w:val="00286F02"/>
    <w:lvl w:ilvl="0">
      <w:start w:val="1"/>
      <w:numFmt w:val="decimal"/>
      <w:pStyle w:val="Ttulo1"/>
      <w:lvlText w:val="%1."/>
      <w:lvlJc w:val="left"/>
      <w:pPr>
        <w:ind w:left="360" w:hanging="360"/>
      </w:pPr>
      <w:rPr>
        <w:rFonts w:hint="default"/>
      </w:rPr>
    </w:lvl>
    <w:lvl w:ilvl="1">
      <w:start w:val="2"/>
      <w:numFmt w:val="decimal"/>
      <w:isLgl/>
      <w:lvlText w:val="%1.%2"/>
      <w:lvlJc w:val="left"/>
      <w:pPr>
        <w:ind w:left="4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54303F5"/>
    <w:multiLevelType w:val="hybridMultilevel"/>
    <w:tmpl w:val="16C6EA5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9524C1F"/>
    <w:multiLevelType w:val="hybridMultilevel"/>
    <w:tmpl w:val="A4E0C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D63335B"/>
    <w:multiLevelType w:val="hybridMultilevel"/>
    <w:tmpl w:val="BB2C08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0EC534E"/>
    <w:multiLevelType w:val="hybridMultilevel"/>
    <w:tmpl w:val="8DF212EE"/>
    <w:lvl w:ilvl="0" w:tplc="080A000F">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57D0F4D"/>
    <w:multiLevelType w:val="hybridMultilevel"/>
    <w:tmpl w:val="7B82C8F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CDD7353"/>
    <w:multiLevelType w:val="hybridMultilevel"/>
    <w:tmpl w:val="1B3884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2">
    <w:nsid w:val="505B025F"/>
    <w:multiLevelType w:val="hybridMultilevel"/>
    <w:tmpl w:val="4F328F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78C4C6B"/>
    <w:multiLevelType w:val="hybridMultilevel"/>
    <w:tmpl w:val="D02A6582"/>
    <w:lvl w:ilvl="0" w:tplc="080A0003">
      <w:start w:val="1"/>
      <w:numFmt w:val="bullet"/>
      <w:lvlText w:val="o"/>
      <w:lvlJc w:val="left"/>
      <w:pPr>
        <w:ind w:left="1344" w:hanging="360"/>
      </w:pPr>
      <w:rPr>
        <w:rFonts w:ascii="Courier New" w:hAnsi="Courier New" w:cs="Courier New" w:hint="default"/>
      </w:rPr>
    </w:lvl>
    <w:lvl w:ilvl="1" w:tplc="080A0003" w:tentative="1">
      <w:start w:val="1"/>
      <w:numFmt w:val="bullet"/>
      <w:lvlText w:val="o"/>
      <w:lvlJc w:val="left"/>
      <w:pPr>
        <w:ind w:left="2064" w:hanging="360"/>
      </w:pPr>
      <w:rPr>
        <w:rFonts w:ascii="Courier New" w:hAnsi="Courier New" w:cs="Courier New" w:hint="default"/>
      </w:rPr>
    </w:lvl>
    <w:lvl w:ilvl="2" w:tplc="080A0005" w:tentative="1">
      <w:start w:val="1"/>
      <w:numFmt w:val="bullet"/>
      <w:lvlText w:val=""/>
      <w:lvlJc w:val="left"/>
      <w:pPr>
        <w:ind w:left="2784" w:hanging="360"/>
      </w:pPr>
      <w:rPr>
        <w:rFonts w:ascii="Wingdings" w:hAnsi="Wingdings" w:hint="default"/>
      </w:rPr>
    </w:lvl>
    <w:lvl w:ilvl="3" w:tplc="080A0001" w:tentative="1">
      <w:start w:val="1"/>
      <w:numFmt w:val="bullet"/>
      <w:lvlText w:val=""/>
      <w:lvlJc w:val="left"/>
      <w:pPr>
        <w:ind w:left="3504" w:hanging="360"/>
      </w:pPr>
      <w:rPr>
        <w:rFonts w:ascii="Symbol" w:hAnsi="Symbol" w:hint="default"/>
      </w:rPr>
    </w:lvl>
    <w:lvl w:ilvl="4" w:tplc="080A0003" w:tentative="1">
      <w:start w:val="1"/>
      <w:numFmt w:val="bullet"/>
      <w:lvlText w:val="o"/>
      <w:lvlJc w:val="left"/>
      <w:pPr>
        <w:ind w:left="4224" w:hanging="360"/>
      </w:pPr>
      <w:rPr>
        <w:rFonts w:ascii="Courier New" w:hAnsi="Courier New" w:cs="Courier New" w:hint="default"/>
      </w:rPr>
    </w:lvl>
    <w:lvl w:ilvl="5" w:tplc="080A0005" w:tentative="1">
      <w:start w:val="1"/>
      <w:numFmt w:val="bullet"/>
      <w:lvlText w:val=""/>
      <w:lvlJc w:val="left"/>
      <w:pPr>
        <w:ind w:left="4944" w:hanging="360"/>
      </w:pPr>
      <w:rPr>
        <w:rFonts w:ascii="Wingdings" w:hAnsi="Wingdings" w:hint="default"/>
      </w:rPr>
    </w:lvl>
    <w:lvl w:ilvl="6" w:tplc="080A0001" w:tentative="1">
      <w:start w:val="1"/>
      <w:numFmt w:val="bullet"/>
      <w:lvlText w:val=""/>
      <w:lvlJc w:val="left"/>
      <w:pPr>
        <w:ind w:left="5664" w:hanging="360"/>
      </w:pPr>
      <w:rPr>
        <w:rFonts w:ascii="Symbol" w:hAnsi="Symbol" w:hint="default"/>
      </w:rPr>
    </w:lvl>
    <w:lvl w:ilvl="7" w:tplc="080A0003" w:tentative="1">
      <w:start w:val="1"/>
      <w:numFmt w:val="bullet"/>
      <w:lvlText w:val="o"/>
      <w:lvlJc w:val="left"/>
      <w:pPr>
        <w:ind w:left="6384" w:hanging="360"/>
      </w:pPr>
      <w:rPr>
        <w:rFonts w:ascii="Courier New" w:hAnsi="Courier New" w:cs="Courier New" w:hint="default"/>
      </w:rPr>
    </w:lvl>
    <w:lvl w:ilvl="8" w:tplc="080A0005" w:tentative="1">
      <w:start w:val="1"/>
      <w:numFmt w:val="bullet"/>
      <w:lvlText w:val=""/>
      <w:lvlJc w:val="left"/>
      <w:pPr>
        <w:ind w:left="7104" w:hanging="360"/>
      </w:pPr>
      <w:rPr>
        <w:rFonts w:ascii="Wingdings" w:hAnsi="Wingdings" w:hint="default"/>
      </w:rPr>
    </w:lvl>
  </w:abstractNum>
  <w:abstractNum w:abstractNumId="24">
    <w:nsid w:val="5E745A66"/>
    <w:multiLevelType w:val="multilevel"/>
    <w:tmpl w:val="668C8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A5F1F66"/>
    <w:multiLevelType w:val="multilevel"/>
    <w:tmpl w:val="74FA327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10"/>
  </w:num>
  <w:num w:numId="3">
    <w:abstractNumId w:val="7"/>
  </w:num>
  <w:num w:numId="4">
    <w:abstractNumId w:val="4"/>
  </w:num>
  <w:num w:numId="5">
    <w:abstractNumId w:val="25"/>
  </w:num>
  <w:num w:numId="6">
    <w:abstractNumId w:val="0"/>
  </w:num>
  <w:num w:numId="7">
    <w:abstractNumId w:val="8"/>
  </w:num>
  <w:num w:numId="8">
    <w:abstractNumId w:val="13"/>
  </w:num>
  <w:num w:numId="9">
    <w:abstractNumId w:val="20"/>
  </w:num>
  <w:num w:numId="10">
    <w:abstractNumId w:val="12"/>
  </w:num>
  <w:num w:numId="11">
    <w:abstractNumId w:val="23"/>
  </w:num>
  <w:num w:numId="12">
    <w:abstractNumId w:val="14"/>
  </w:num>
  <w:num w:numId="13">
    <w:abstractNumId w:val="15"/>
  </w:num>
  <w:num w:numId="14">
    <w:abstractNumId w:val="22"/>
  </w:num>
  <w:num w:numId="15">
    <w:abstractNumId w:val="17"/>
  </w:num>
  <w:num w:numId="16">
    <w:abstractNumId w:val="2"/>
  </w:num>
  <w:num w:numId="17">
    <w:abstractNumId w:val="19"/>
  </w:num>
  <w:num w:numId="18">
    <w:abstractNumId w:val="9"/>
  </w:num>
  <w:num w:numId="19">
    <w:abstractNumId w:val="15"/>
  </w:num>
  <w:num w:numId="20">
    <w:abstractNumId w:val="3"/>
  </w:num>
  <w:num w:numId="21">
    <w:abstractNumId w:val="15"/>
  </w:num>
  <w:num w:numId="22">
    <w:abstractNumId w:val="11"/>
  </w:num>
  <w:num w:numId="23">
    <w:abstractNumId w:val="16"/>
  </w:num>
  <w:num w:numId="24">
    <w:abstractNumId w:val="6"/>
  </w:num>
  <w:num w:numId="25">
    <w:abstractNumId w:val="18"/>
  </w:num>
  <w:num w:numId="26">
    <w:abstractNumId w:val="24"/>
  </w:num>
  <w:num w:numId="27">
    <w:abstractNumId w:val="2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A6"/>
    <w:rsid w:val="0001213E"/>
    <w:rsid w:val="00020684"/>
    <w:rsid w:val="00026254"/>
    <w:rsid w:val="00027B5C"/>
    <w:rsid w:val="00034230"/>
    <w:rsid w:val="000407A1"/>
    <w:rsid w:val="0004092D"/>
    <w:rsid w:val="00046B78"/>
    <w:rsid w:val="00055B4D"/>
    <w:rsid w:val="00070D8A"/>
    <w:rsid w:val="00070E2E"/>
    <w:rsid w:val="0007607D"/>
    <w:rsid w:val="00076EE4"/>
    <w:rsid w:val="00082190"/>
    <w:rsid w:val="000845F5"/>
    <w:rsid w:val="000914FF"/>
    <w:rsid w:val="000947DF"/>
    <w:rsid w:val="000952B0"/>
    <w:rsid w:val="000A114F"/>
    <w:rsid w:val="000A2944"/>
    <w:rsid w:val="000B1AB8"/>
    <w:rsid w:val="000D1272"/>
    <w:rsid w:val="000D4E36"/>
    <w:rsid w:val="000D62AF"/>
    <w:rsid w:val="000E1DF9"/>
    <w:rsid w:val="000F0CF3"/>
    <w:rsid w:val="000F4B29"/>
    <w:rsid w:val="00103063"/>
    <w:rsid w:val="001040B5"/>
    <w:rsid w:val="00111328"/>
    <w:rsid w:val="00111BED"/>
    <w:rsid w:val="001129BB"/>
    <w:rsid w:val="001204E5"/>
    <w:rsid w:val="00124902"/>
    <w:rsid w:val="00125A62"/>
    <w:rsid w:val="00126555"/>
    <w:rsid w:val="00127574"/>
    <w:rsid w:val="00140CEE"/>
    <w:rsid w:val="00154ED0"/>
    <w:rsid w:val="00156790"/>
    <w:rsid w:val="00160399"/>
    <w:rsid w:val="00162A2F"/>
    <w:rsid w:val="0016641C"/>
    <w:rsid w:val="00166F5D"/>
    <w:rsid w:val="001736DE"/>
    <w:rsid w:val="0018050C"/>
    <w:rsid w:val="0018286F"/>
    <w:rsid w:val="00184798"/>
    <w:rsid w:val="00186DA9"/>
    <w:rsid w:val="00190CCE"/>
    <w:rsid w:val="00191B22"/>
    <w:rsid w:val="00194423"/>
    <w:rsid w:val="001968B9"/>
    <w:rsid w:val="00196C6D"/>
    <w:rsid w:val="001A1A2E"/>
    <w:rsid w:val="001A4EE0"/>
    <w:rsid w:val="001A5885"/>
    <w:rsid w:val="001A6018"/>
    <w:rsid w:val="001B035F"/>
    <w:rsid w:val="001B3E87"/>
    <w:rsid w:val="001B51AC"/>
    <w:rsid w:val="001E38E1"/>
    <w:rsid w:val="001E71F1"/>
    <w:rsid w:val="001F0D94"/>
    <w:rsid w:val="001F6BA2"/>
    <w:rsid w:val="00201880"/>
    <w:rsid w:val="0021060E"/>
    <w:rsid w:val="002237BD"/>
    <w:rsid w:val="00223D24"/>
    <w:rsid w:val="00224876"/>
    <w:rsid w:val="0022534F"/>
    <w:rsid w:val="00231415"/>
    <w:rsid w:val="00236928"/>
    <w:rsid w:val="002409E0"/>
    <w:rsid w:val="00245463"/>
    <w:rsid w:val="002457FC"/>
    <w:rsid w:val="00256BE0"/>
    <w:rsid w:val="0026396B"/>
    <w:rsid w:val="00265A76"/>
    <w:rsid w:val="00266ACA"/>
    <w:rsid w:val="00281040"/>
    <w:rsid w:val="00282612"/>
    <w:rsid w:val="0028426C"/>
    <w:rsid w:val="00286973"/>
    <w:rsid w:val="002912F7"/>
    <w:rsid w:val="002975E4"/>
    <w:rsid w:val="002A1C5F"/>
    <w:rsid w:val="002A721D"/>
    <w:rsid w:val="002B5803"/>
    <w:rsid w:val="002C08AD"/>
    <w:rsid w:val="002D0387"/>
    <w:rsid w:val="002D1366"/>
    <w:rsid w:val="002D3D2D"/>
    <w:rsid w:val="002D4BE8"/>
    <w:rsid w:val="002D6C10"/>
    <w:rsid w:val="002E065F"/>
    <w:rsid w:val="002E06A6"/>
    <w:rsid w:val="002F0FB8"/>
    <w:rsid w:val="00303341"/>
    <w:rsid w:val="003056A0"/>
    <w:rsid w:val="003073F8"/>
    <w:rsid w:val="00307691"/>
    <w:rsid w:val="00325673"/>
    <w:rsid w:val="00325F28"/>
    <w:rsid w:val="00331472"/>
    <w:rsid w:val="0034110C"/>
    <w:rsid w:val="003437AA"/>
    <w:rsid w:val="00344C61"/>
    <w:rsid w:val="00351BD5"/>
    <w:rsid w:val="00354BE2"/>
    <w:rsid w:val="0036023F"/>
    <w:rsid w:val="003651D8"/>
    <w:rsid w:val="00371612"/>
    <w:rsid w:val="003756F4"/>
    <w:rsid w:val="0038747F"/>
    <w:rsid w:val="003875E6"/>
    <w:rsid w:val="003940F3"/>
    <w:rsid w:val="0039761C"/>
    <w:rsid w:val="003A0A39"/>
    <w:rsid w:val="003A5104"/>
    <w:rsid w:val="003A55BF"/>
    <w:rsid w:val="003A7CD4"/>
    <w:rsid w:val="003B289D"/>
    <w:rsid w:val="003B4A00"/>
    <w:rsid w:val="003B64FF"/>
    <w:rsid w:val="003C05E8"/>
    <w:rsid w:val="003D08D8"/>
    <w:rsid w:val="003E34BA"/>
    <w:rsid w:val="003E44B4"/>
    <w:rsid w:val="003E6879"/>
    <w:rsid w:val="003E79D7"/>
    <w:rsid w:val="003F075C"/>
    <w:rsid w:val="003F763F"/>
    <w:rsid w:val="004024BC"/>
    <w:rsid w:val="0040480D"/>
    <w:rsid w:val="00406281"/>
    <w:rsid w:val="00410749"/>
    <w:rsid w:val="00414B3E"/>
    <w:rsid w:val="00416BE5"/>
    <w:rsid w:val="00420616"/>
    <w:rsid w:val="00425E96"/>
    <w:rsid w:val="00431901"/>
    <w:rsid w:val="00434C20"/>
    <w:rsid w:val="0044295F"/>
    <w:rsid w:val="00450C15"/>
    <w:rsid w:val="0045476C"/>
    <w:rsid w:val="00455553"/>
    <w:rsid w:val="00456775"/>
    <w:rsid w:val="00457344"/>
    <w:rsid w:val="0046498E"/>
    <w:rsid w:val="00473E57"/>
    <w:rsid w:val="00474FB7"/>
    <w:rsid w:val="00477CA8"/>
    <w:rsid w:val="00484DC5"/>
    <w:rsid w:val="00485EA3"/>
    <w:rsid w:val="00491016"/>
    <w:rsid w:val="00492634"/>
    <w:rsid w:val="004A0229"/>
    <w:rsid w:val="004A2E4C"/>
    <w:rsid w:val="004A3EFE"/>
    <w:rsid w:val="004A4C28"/>
    <w:rsid w:val="004B0CD5"/>
    <w:rsid w:val="004B2B66"/>
    <w:rsid w:val="004C49F6"/>
    <w:rsid w:val="004D3E16"/>
    <w:rsid w:val="004F4A85"/>
    <w:rsid w:val="00500439"/>
    <w:rsid w:val="00500E42"/>
    <w:rsid w:val="0050459B"/>
    <w:rsid w:val="00504F93"/>
    <w:rsid w:val="00505778"/>
    <w:rsid w:val="00507FE2"/>
    <w:rsid w:val="0051194A"/>
    <w:rsid w:val="0051245A"/>
    <w:rsid w:val="00513D59"/>
    <w:rsid w:val="00534D82"/>
    <w:rsid w:val="00541B87"/>
    <w:rsid w:val="0054262E"/>
    <w:rsid w:val="00542FAE"/>
    <w:rsid w:val="0054523D"/>
    <w:rsid w:val="00550C8A"/>
    <w:rsid w:val="005527CE"/>
    <w:rsid w:val="005547EF"/>
    <w:rsid w:val="0057033A"/>
    <w:rsid w:val="00586B41"/>
    <w:rsid w:val="005906B1"/>
    <w:rsid w:val="00591904"/>
    <w:rsid w:val="0059667C"/>
    <w:rsid w:val="005972F0"/>
    <w:rsid w:val="005A3F3E"/>
    <w:rsid w:val="005A4392"/>
    <w:rsid w:val="005B3CDA"/>
    <w:rsid w:val="005D3461"/>
    <w:rsid w:val="005D406E"/>
    <w:rsid w:val="005D4D61"/>
    <w:rsid w:val="005E0FA3"/>
    <w:rsid w:val="005E3BA9"/>
    <w:rsid w:val="005E6880"/>
    <w:rsid w:val="005F364D"/>
    <w:rsid w:val="005F72BE"/>
    <w:rsid w:val="0060125F"/>
    <w:rsid w:val="006062E2"/>
    <w:rsid w:val="00616236"/>
    <w:rsid w:val="00616B4A"/>
    <w:rsid w:val="00617446"/>
    <w:rsid w:val="006175CB"/>
    <w:rsid w:val="006202F0"/>
    <w:rsid w:val="00624958"/>
    <w:rsid w:val="00625CDE"/>
    <w:rsid w:val="00631C78"/>
    <w:rsid w:val="0063355B"/>
    <w:rsid w:val="00633CE2"/>
    <w:rsid w:val="00634E4F"/>
    <w:rsid w:val="006359BE"/>
    <w:rsid w:val="00646BFC"/>
    <w:rsid w:val="00651068"/>
    <w:rsid w:val="006619C5"/>
    <w:rsid w:val="00671774"/>
    <w:rsid w:val="00674E86"/>
    <w:rsid w:val="00677EB9"/>
    <w:rsid w:val="00681978"/>
    <w:rsid w:val="00683D48"/>
    <w:rsid w:val="006868A3"/>
    <w:rsid w:val="00687A6F"/>
    <w:rsid w:val="006909FC"/>
    <w:rsid w:val="006911D5"/>
    <w:rsid w:val="00691264"/>
    <w:rsid w:val="006A09BC"/>
    <w:rsid w:val="006A4227"/>
    <w:rsid w:val="006A5505"/>
    <w:rsid w:val="006B30D4"/>
    <w:rsid w:val="006B6142"/>
    <w:rsid w:val="006D211B"/>
    <w:rsid w:val="006D2271"/>
    <w:rsid w:val="006D5F44"/>
    <w:rsid w:val="006D69EF"/>
    <w:rsid w:val="006D7FE0"/>
    <w:rsid w:val="006E527B"/>
    <w:rsid w:val="007110DE"/>
    <w:rsid w:val="0071485E"/>
    <w:rsid w:val="00714ED5"/>
    <w:rsid w:val="00721E1A"/>
    <w:rsid w:val="00723CC4"/>
    <w:rsid w:val="00724396"/>
    <w:rsid w:val="007243F1"/>
    <w:rsid w:val="007258CF"/>
    <w:rsid w:val="007267F1"/>
    <w:rsid w:val="0074443C"/>
    <w:rsid w:val="007449EB"/>
    <w:rsid w:val="00747D61"/>
    <w:rsid w:val="00752B00"/>
    <w:rsid w:val="00760780"/>
    <w:rsid w:val="00760BE8"/>
    <w:rsid w:val="00765A56"/>
    <w:rsid w:val="00765D1D"/>
    <w:rsid w:val="0076648D"/>
    <w:rsid w:val="007702BB"/>
    <w:rsid w:val="007710DB"/>
    <w:rsid w:val="00771324"/>
    <w:rsid w:val="00771781"/>
    <w:rsid w:val="00771A17"/>
    <w:rsid w:val="00780908"/>
    <w:rsid w:val="007855BA"/>
    <w:rsid w:val="007871EE"/>
    <w:rsid w:val="007A09DA"/>
    <w:rsid w:val="007A404A"/>
    <w:rsid w:val="007B7850"/>
    <w:rsid w:val="007C6CA1"/>
    <w:rsid w:val="007C704F"/>
    <w:rsid w:val="007D0AB2"/>
    <w:rsid w:val="007D27B8"/>
    <w:rsid w:val="007E0B15"/>
    <w:rsid w:val="007F5356"/>
    <w:rsid w:val="007F6B72"/>
    <w:rsid w:val="008019B9"/>
    <w:rsid w:val="00807F4F"/>
    <w:rsid w:val="0081138D"/>
    <w:rsid w:val="008141EE"/>
    <w:rsid w:val="00814F98"/>
    <w:rsid w:val="00822DAB"/>
    <w:rsid w:val="008306C0"/>
    <w:rsid w:val="00830EF5"/>
    <w:rsid w:val="00831685"/>
    <w:rsid w:val="00834EF2"/>
    <w:rsid w:val="008356B8"/>
    <w:rsid w:val="008421B5"/>
    <w:rsid w:val="00845EBA"/>
    <w:rsid w:val="00847B04"/>
    <w:rsid w:val="008535A8"/>
    <w:rsid w:val="00857B8C"/>
    <w:rsid w:val="0086502F"/>
    <w:rsid w:val="00866E2B"/>
    <w:rsid w:val="008741F2"/>
    <w:rsid w:val="008750F4"/>
    <w:rsid w:val="00875891"/>
    <w:rsid w:val="00877BEA"/>
    <w:rsid w:val="00877DEC"/>
    <w:rsid w:val="00882BEB"/>
    <w:rsid w:val="00885FA6"/>
    <w:rsid w:val="00891DDC"/>
    <w:rsid w:val="008929D4"/>
    <w:rsid w:val="008A2F28"/>
    <w:rsid w:val="008B5AEE"/>
    <w:rsid w:val="008B7DC6"/>
    <w:rsid w:val="008C2340"/>
    <w:rsid w:val="008E5774"/>
    <w:rsid w:val="008E7131"/>
    <w:rsid w:val="008F1DB9"/>
    <w:rsid w:val="008F4417"/>
    <w:rsid w:val="00900400"/>
    <w:rsid w:val="009011D6"/>
    <w:rsid w:val="009035EF"/>
    <w:rsid w:val="00904A06"/>
    <w:rsid w:val="00905E25"/>
    <w:rsid w:val="00921222"/>
    <w:rsid w:val="00922C11"/>
    <w:rsid w:val="00933338"/>
    <w:rsid w:val="00935254"/>
    <w:rsid w:val="00935887"/>
    <w:rsid w:val="009413D8"/>
    <w:rsid w:val="00943223"/>
    <w:rsid w:val="009623FB"/>
    <w:rsid w:val="009673DC"/>
    <w:rsid w:val="009727F0"/>
    <w:rsid w:val="00977256"/>
    <w:rsid w:val="00985F0E"/>
    <w:rsid w:val="009947F4"/>
    <w:rsid w:val="009A5F9E"/>
    <w:rsid w:val="009A7F9C"/>
    <w:rsid w:val="009B3B7E"/>
    <w:rsid w:val="009B58EA"/>
    <w:rsid w:val="009B7F06"/>
    <w:rsid w:val="009C1382"/>
    <w:rsid w:val="009C1582"/>
    <w:rsid w:val="009C6231"/>
    <w:rsid w:val="009C7A4F"/>
    <w:rsid w:val="009D2795"/>
    <w:rsid w:val="009D3601"/>
    <w:rsid w:val="009D6525"/>
    <w:rsid w:val="009D7FB4"/>
    <w:rsid w:val="009F1894"/>
    <w:rsid w:val="009F5D39"/>
    <w:rsid w:val="009F7AF9"/>
    <w:rsid w:val="00A03BE1"/>
    <w:rsid w:val="00A03D19"/>
    <w:rsid w:val="00A124F2"/>
    <w:rsid w:val="00A125E3"/>
    <w:rsid w:val="00A14443"/>
    <w:rsid w:val="00A204E1"/>
    <w:rsid w:val="00A2320B"/>
    <w:rsid w:val="00A33995"/>
    <w:rsid w:val="00A361BA"/>
    <w:rsid w:val="00A37DEA"/>
    <w:rsid w:val="00A40EA4"/>
    <w:rsid w:val="00A431FA"/>
    <w:rsid w:val="00A442CC"/>
    <w:rsid w:val="00A523F9"/>
    <w:rsid w:val="00A533FE"/>
    <w:rsid w:val="00A65495"/>
    <w:rsid w:val="00A80735"/>
    <w:rsid w:val="00A825E4"/>
    <w:rsid w:val="00A86ACF"/>
    <w:rsid w:val="00A8795D"/>
    <w:rsid w:val="00A946EF"/>
    <w:rsid w:val="00A94989"/>
    <w:rsid w:val="00A97F0B"/>
    <w:rsid w:val="00AA2610"/>
    <w:rsid w:val="00AB28FF"/>
    <w:rsid w:val="00AC2626"/>
    <w:rsid w:val="00AC4E63"/>
    <w:rsid w:val="00AC5103"/>
    <w:rsid w:val="00AC70F1"/>
    <w:rsid w:val="00AD015B"/>
    <w:rsid w:val="00AD08F8"/>
    <w:rsid w:val="00AD15C0"/>
    <w:rsid w:val="00AD4F89"/>
    <w:rsid w:val="00AD5AD9"/>
    <w:rsid w:val="00AF10AC"/>
    <w:rsid w:val="00AF21D1"/>
    <w:rsid w:val="00AF6AA3"/>
    <w:rsid w:val="00B028C5"/>
    <w:rsid w:val="00B02FF3"/>
    <w:rsid w:val="00B0611B"/>
    <w:rsid w:val="00B16D07"/>
    <w:rsid w:val="00B22596"/>
    <w:rsid w:val="00B24A1C"/>
    <w:rsid w:val="00B27EEB"/>
    <w:rsid w:val="00B3090F"/>
    <w:rsid w:val="00B34D86"/>
    <w:rsid w:val="00B35C6D"/>
    <w:rsid w:val="00B36566"/>
    <w:rsid w:val="00B64B38"/>
    <w:rsid w:val="00B66731"/>
    <w:rsid w:val="00B72037"/>
    <w:rsid w:val="00B764C4"/>
    <w:rsid w:val="00B81A65"/>
    <w:rsid w:val="00B9294B"/>
    <w:rsid w:val="00B94BD5"/>
    <w:rsid w:val="00BA2C0A"/>
    <w:rsid w:val="00BB4A8D"/>
    <w:rsid w:val="00BB7141"/>
    <w:rsid w:val="00BC1E6C"/>
    <w:rsid w:val="00BC3E4B"/>
    <w:rsid w:val="00BC422F"/>
    <w:rsid w:val="00BD65CE"/>
    <w:rsid w:val="00BE2ED2"/>
    <w:rsid w:val="00BF00CA"/>
    <w:rsid w:val="00BF2736"/>
    <w:rsid w:val="00C06589"/>
    <w:rsid w:val="00C07E8D"/>
    <w:rsid w:val="00C24B3E"/>
    <w:rsid w:val="00C27DD3"/>
    <w:rsid w:val="00C30742"/>
    <w:rsid w:val="00C351B8"/>
    <w:rsid w:val="00C46768"/>
    <w:rsid w:val="00C473C4"/>
    <w:rsid w:val="00C55C84"/>
    <w:rsid w:val="00C60AB3"/>
    <w:rsid w:val="00C63B8E"/>
    <w:rsid w:val="00C70A84"/>
    <w:rsid w:val="00C72831"/>
    <w:rsid w:val="00C7656E"/>
    <w:rsid w:val="00C77339"/>
    <w:rsid w:val="00C8129A"/>
    <w:rsid w:val="00C81531"/>
    <w:rsid w:val="00C84D42"/>
    <w:rsid w:val="00C856BF"/>
    <w:rsid w:val="00C85AE5"/>
    <w:rsid w:val="00C87584"/>
    <w:rsid w:val="00C9171B"/>
    <w:rsid w:val="00C97B49"/>
    <w:rsid w:val="00CA3B31"/>
    <w:rsid w:val="00CA4F16"/>
    <w:rsid w:val="00CA7231"/>
    <w:rsid w:val="00CB1C7A"/>
    <w:rsid w:val="00CB6450"/>
    <w:rsid w:val="00CB7312"/>
    <w:rsid w:val="00CC0223"/>
    <w:rsid w:val="00CC7BC0"/>
    <w:rsid w:val="00CD3971"/>
    <w:rsid w:val="00CF0170"/>
    <w:rsid w:val="00CF377C"/>
    <w:rsid w:val="00D02924"/>
    <w:rsid w:val="00D02D02"/>
    <w:rsid w:val="00D13FBD"/>
    <w:rsid w:val="00D14006"/>
    <w:rsid w:val="00D20E1F"/>
    <w:rsid w:val="00D211F4"/>
    <w:rsid w:val="00D23928"/>
    <w:rsid w:val="00D2553B"/>
    <w:rsid w:val="00D26BE4"/>
    <w:rsid w:val="00D330F0"/>
    <w:rsid w:val="00D34EAA"/>
    <w:rsid w:val="00D36829"/>
    <w:rsid w:val="00D433E6"/>
    <w:rsid w:val="00D462D0"/>
    <w:rsid w:val="00D54298"/>
    <w:rsid w:val="00D55D3E"/>
    <w:rsid w:val="00D56317"/>
    <w:rsid w:val="00D65E18"/>
    <w:rsid w:val="00D66072"/>
    <w:rsid w:val="00D84F28"/>
    <w:rsid w:val="00D91B10"/>
    <w:rsid w:val="00DA1684"/>
    <w:rsid w:val="00DA24EB"/>
    <w:rsid w:val="00DA2FDC"/>
    <w:rsid w:val="00DA3402"/>
    <w:rsid w:val="00DB1F23"/>
    <w:rsid w:val="00DB40B1"/>
    <w:rsid w:val="00DC0359"/>
    <w:rsid w:val="00DC350D"/>
    <w:rsid w:val="00DC43A1"/>
    <w:rsid w:val="00DD3BA7"/>
    <w:rsid w:val="00DD5618"/>
    <w:rsid w:val="00DE59B0"/>
    <w:rsid w:val="00DE6904"/>
    <w:rsid w:val="00DF552E"/>
    <w:rsid w:val="00DF5ADE"/>
    <w:rsid w:val="00DF7F7F"/>
    <w:rsid w:val="00E00F93"/>
    <w:rsid w:val="00E01C90"/>
    <w:rsid w:val="00E143F8"/>
    <w:rsid w:val="00E16489"/>
    <w:rsid w:val="00E16D15"/>
    <w:rsid w:val="00E22E35"/>
    <w:rsid w:val="00E263E1"/>
    <w:rsid w:val="00E350E5"/>
    <w:rsid w:val="00E45A6A"/>
    <w:rsid w:val="00E460F0"/>
    <w:rsid w:val="00E52202"/>
    <w:rsid w:val="00E66F2D"/>
    <w:rsid w:val="00E6762D"/>
    <w:rsid w:val="00E827B7"/>
    <w:rsid w:val="00E828FB"/>
    <w:rsid w:val="00E869EF"/>
    <w:rsid w:val="00E878F5"/>
    <w:rsid w:val="00E90D6B"/>
    <w:rsid w:val="00E9156E"/>
    <w:rsid w:val="00E97009"/>
    <w:rsid w:val="00EA01BD"/>
    <w:rsid w:val="00EA1C68"/>
    <w:rsid w:val="00EA4752"/>
    <w:rsid w:val="00EB604A"/>
    <w:rsid w:val="00EC4B5F"/>
    <w:rsid w:val="00EC5A4F"/>
    <w:rsid w:val="00EC7601"/>
    <w:rsid w:val="00ED0753"/>
    <w:rsid w:val="00ED1823"/>
    <w:rsid w:val="00ED1CB1"/>
    <w:rsid w:val="00ED1F65"/>
    <w:rsid w:val="00ED51B0"/>
    <w:rsid w:val="00ED7AFB"/>
    <w:rsid w:val="00EE157D"/>
    <w:rsid w:val="00EE39DE"/>
    <w:rsid w:val="00EF0569"/>
    <w:rsid w:val="00EF7A34"/>
    <w:rsid w:val="00F011A2"/>
    <w:rsid w:val="00F04329"/>
    <w:rsid w:val="00F069F6"/>
    <w:rsid w:val="00F20ED7"/>
    <w:rsid w:val="00F323AB"/>
    <w:rsid w:val="00F3549B"/>
    <w:rsid w:val="00F37DB2"/>
    <w:rsid w:val="00F4579A"/>
    <w:rsid w:val="00F670A5"/>
    <w:rsid w:val="00F67E1E"/>
    <w:rsid w:val="00F703C2"/>
    <w:rsid w:val="00F70D8A"/>
    <w:rsid w:val="00F7631D"/>
    <w:rsid w:val="00F76666"/>
    <w:rsid w:val="00F774BE"/>
    <w:rsid w:val="00F80DD0"/>
    <w:rsid w:val="00F84232"/>
    <w:rsid w:val="00F85BE8"/>
    <w:rsid w:val="00F90CDE"/>
    <w:rsid w:val="00F966DE"/>
    <w:rsid w:val="00F969AC"/>
    <w:rsid w:val="00FA1A6F"/>
    <w:rsid w:val="00FA54A8"/>
    <w:rsid w:val="00FA6F7C"/>
    <w:rsid w:val="00FB150D"/>
    <w:rsid w:val="00FB5FD2"/>
    <w:rsid w:val="00FC0B8B"/>
    <w:rsid w:val="00FD0211"/>
    <w:rsid w:val="00FD2820"/>
    <w:rsid w:val="00FD4AA6"/>
    <w:rsid w:val="00FE12AC"/>
    <w:rsid w:val="00FE566D"/>
    <w:rsid w:val="00FE5C75"/>
    <w:rsid w:val="00FF40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A2760"/>
  <w15:docId w15:val="{14CF4BDA-7235-46EC-B5C5-662F3911D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Cs w:val="22"/>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9A9"/>
    <w:pPr>
      <w:spacing w:line="360" w:lineRule="auto"/>
    </w:pPr>
    <w:rPr>
      <w:rFonts w:ascii="Arial" w:hAnsi="Arial" w:cs="Times New Roman"/>
      <w:sz w:val="24"/>
    </w:rPr>
  </w:style>
  <w:style w:type="paragraph" w:styleId="Ttulo1">
    <w:name w:val="heading 1"/>
    <w:basedOn w:val="Normal"/>
    <w:next w:val="Normal"/>
    <w:link w:val="Ttulo1Car"/>
    <w:autoRedefine/>
    <w:uiPriority w:val="9"/>
    <w:qFormat/>
    <w:rsid w:val="003056A0"/>
    <w:pPr>
      <w:keepNext/>
      <w:numPr>
        <w:numId w:val="13"/>
      </w:numPr>
      <w:spacing w:line="240" w:lineRule="auto"/>
      <w:jc w:val="both"/>
      <w:outlineLvl w:val="0"/>
    </w:pPr>
    <w:rPr>
      <w:rFonts w:cs="Arial"/>
      <w:b/>
      <w:sz w:val="22"/>
    </w:rPr>
  </w:style>
  <w:style w:type="paragraph" w:styleId="Ttulo2">
    <w:name w:val="heading 2"/>
    <w:basedOn w:val="Normal"/>
    <w:next w:val="Normal"/>
    <w:link w:val="Ttulo2Car"/>
    <w:autoRedefine/>
    <w:uiPriority w:val="9"/>
    <w:unhideWhenUsed/>
    <w:qFormat/>
    <w:rsid w:val="00BB39A9"/>
    <w:pPr>
      <w:keepNext/>
      <w:spacing w:before="60" w:after="60"/>
      <w:jc w:val="both"/>
      <w:outlineLvl w:val="1"/>
    </w:pPr>
    <w:rPr>
      <w:rFonts w:eastAsiaTheme="majorEastAsia" w:cstheme="majorBidi"/>
      <w:bCs/>
      <w:i/>
      <w:iCs/>
      <w:szCs w:val="28"/>
    </w:rPr>
  </w:style>
  <w:style w:type="paragraph" w:styleId="Ttulo3">
    <w:name w:val="heading 3"/>
    <w:basedOn w:val="Normal"/>
    <w:next w:val="Normal"/>
    <w:link w:val="Ttulo3Car"/>
    <w:autoRedefine/>
    <w:uiPriority w:val="9"/>
    <w:unhideWhenUsed/>
    <w:qFormat/>
    <w:rsid w:val="00BB39A9"/>
    <w:pPr>
      <w:keepNext/>
      <w:spacing w:before="60" w:after="60"/>
      <w:outlineLvl w:val="2"/>
    </w:pPr>
    <w:rPr>
      <w:rFonts w:eastAsiaTheme="majorEastAsia" w:cstheme="majorBidi"/>
      <w:bCs/>
      <w:smallCaps/>
      <w:szCs w:val="26"/>
    </w:rPr>
  </w:style>
  <w:style w:type="paragraph" w:styleId="Ttulo4">
    <w:name w:val="heading 4"/>
    <w:basedOn w:val="Normal"/>
    <w:next w:val="Normal"/>
    <w:link w:val="Ttulo4Car"/>
    <w:autoRedefine/>
    <w:uiPriority w:val="9"/>
    <w:unhideWhenUsed/>
    <w:qFormat/>
    <w:rsid w:val="00F16CCC"/>
    <w:pPr>
      <w:outlineLvl w:val="3"/>
    </w:pPr>
    <w:rPr>
      <w:rFonts w:cstheme="minorBidi"/>
      <w:smallCaps/>
      <w:spacing w:val="10"/>
    </w:rPr>
  </w:style>
  <w:style w:type="paragraph" w:styleId="Ttulo5">
    <w:name w:val="heading 5"/>
    <w:basedOn w:val="Normal"/>
    <w:next w:val="Normal"/>
    <w:link w:val="Ttulo5Car"/>
    <w:autoRedefine/>
    <w:uiPriority w:val="9"/>
    <w:unhideWhenUsed/>
    <w:qFormat/>
    <w:rsid w:val="00743295"/>
    <w:pPr>
      <w:outlineLvl w:val="4"/>
    </w:pPr>
    <w:rPr>
      <w:rFonts w:cstheme="minorBidi"/>
      <w:smallCaps/>
      <w:color w:val="943634" w:themeColor="accent2" w:themeShade="BF"/>
      <w:spacing w:val="10"/>
      <w:sz w:val="22"/>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3056A0"/>
    <w:rPr>
      <w:rFonts w:ascii="Arial" w:hAnsi="Arial" w:cs="Arial"/>
      <w:b/>
      <w:sz w:val="22"/>
    </w:rPr>
  </w:style>
  <w:style w:type="character" w:customStyle="1" w:styleId="Ttulo2Car">
    <w:name w:val="Título 2 Car"/>
    <w:basedOn w:val="Fuentedeprrafopredeter"/>
    <w:link w:val="Ttulo2"/>
    <w:uiPriority w:val="9"/>
    <w:qFormat/>
    <w:rsid w:val="00BB39A9"/>
    <w:rPr>
      <w:rFonts w:ascii="Arial" w:eastAsiaTheme="majorEastAsia" w:hAnsi="Arial" w:cstheme="majorBidi"/>
      <w:bCs/>
      <w:i/>
      <w:iCs/>
      <w:sz w:val="24"/>
      <w:szCs w:val="28"/>
    </w:rPr>
  </w:style>
  <w:style w:type="character" w:customStyle="1" w:styleId="Ttulo3Car">
    <w:name w:val="Título 3 Car"/>
    <w:basedOn w:val="Fuentedeprrafopredeter"/>
    <w:link w:val="Ttulo3"/>
    <w:uiPriority w:val="9"/>
    <w:qFormat/>
    <w:rsid w:val="00BB39A9"/>
    <w:rPr>
      <w:rFonts w:ascii="Arial" w:eastAsiaTheme="majorEastAsia" w:hAnsi="Arial" w:cstheme="majorBidi"/>
      <w:bCs/>
      <w:smallCaps/>
      <w:sz w:val="24"/>
      <w:szCs w:val="26"/>
    </w:rPr>
  </w:style>
  <w:style w:type="character" w:customStyle="1" w:styleId="Ttulo4Car">
    <w:name w:val="Título 4 Car"/>
    <w:basedOn w:val="Fuentedeprrafopredeter"/>
    <w:link w:val="Ttulo4"/>
    <w:uiPriority w:val="9"/>
    <w:qFormat/>
    <w:rsid w:val="00F16CCC"/>
    <w:rPr>
      <w:rFonts w:ascii="Arial" w:hAnsi="Arial"/>
      <w:smallCaps/>
      <w:spacing w:val="10"/>
      <w:sz w:val="24"/>
    </w:rPr>
  </w:style>
  <w:style w:type="character" w:customStyle="1" w:styleId="Ancladenotaalpie">
    <w:name w:val="Ancla de nota al pie"/>
    <w:rsid w:val="00186DA9"/>
    <w:rPr>
      <w:rFonts w:ascii="Arial" w:hAnsi="Arial"/>
      <w:sz w:val="20"/>
      <w:vertAlign w:val="superscript"/>
    </w:rPr>
  </w:style>
  <w:style w:type="character" w:customStyle="1" w:styleId="FootnoteCharacters">
    <w:name w:val="Footnote Characters"/>
    <w:uiPriority w:val="99"/>
    <w:unhideWhenUsed/>
    <w:qFormat/>
    <w:rsid w:val="00E04B59"/>
    <w:rPr>
      <w:rFonts w:ascii="Arial" w:hAnsi="Arial"/>
      <w:sz w:val="20"/>
      <w:vertAlign w:val="superscript"/>
    </w:rPr>
  </w:style>
  <w:style w:type="character" w:customStyle="1" w:styleId="Ttulo5Car">
    <w:name w:val="Título 5 Car"/>
    <w:basedOn w:val="Fuentedeprrafopredeter"/>
    <w:link w:val="Ttulo5"/>
    <w:uiPriority w:val="9"/>
    <w:qFormat/>
    <w:rsid w:val="00743295"/>
    <w:rPr>
      <w:rFonts w:ascii="Arial" w:hAnsi="Arial"/>
      <w:smallCaps/>
      <w:color w:val="943634" w:themeColor="accent2" w:themeShade="BF"/>
      <w:spacing w:val="10"/>
      <w:szCs w:val="26"/>
    </w:rPr>
  </w:style>
  <w:style w:type="character" w:customStyle="1" w:styleId="TextonotapieCar">
    <w:name w:val="Texto nota pie Car"/>
    <w:aliases w:val="Car9 Car Car,Footnote reference Car,FA Fu Car,Footnote Text Char Char Char Char Char Car,Footnote Text Char Char Char Char Car, Car9 Car Car,Footnote Text Char Char Char Car,Footnote Text Cha Car,FA Fußnotentext Car,Ca Car"/>
    <w:basedOn w:val="Fuentedeprrafopredeter"/>
    <w:link w:val="Textonotapie"/>
    <w:uiPriority w:val="99"/>
    <w:qFormat/>
    <w:rsid w:val="00416BE5"/>
    <w:rPr>
      <w:rFonts w:ascii="Arial Narrow" w:hAnsi="Arial Narrow" w:cs="Arial"/>
      <w:sz w:val="18"/>
      <w:szCs w:val="18"/>
    </w:rPr>
  </w:style>
  <w:style w:type="character" w:customStyle="1" w:styleId="EncabezadoCar">
    <w:name w:val="Encabezado Car"/>
    <w:basedOn w:val="Fuentedeprrafopredeter"/>
    <w:link w:val="Encabezado"/>
    <w:uiPriority w:val="99"/>
    <w:qFormat/>
    <w:rsid w:val="002C153C"/>
    <w:rPr>
      <w:rFonts w:ascii="Arial" w:hAnsi="Arial" w:cs="Times New Roman"/>
      <w:sz w:val="24"/>
    </w:rPr>
  </w:style>
  <w:style w:type="character" w:customStyle="1" w:styleId="PiedepginaCar">
    <w:name w:val="Pie de página Car"/>
    <w:basedOn w:val="Fuentedeprrafopredeter"/>
    <w:link w:val="Piedepgina"/>
    <w:uiPriority w:val="99"/>
    <w:qFormat/>
    <w:rsid w:val="002C153C"/>
    <w:rPr>
      <w:rFonts w:ascii="Arial" w:hAnsi="Arial" w:cs="Times New Roman"/>
      <w:sz w:val="24"/>
    </w:rPr>
  </w:style>
  <w:style w:type="character" w:customStyle="1" w:styleId="TextoindependienteCar">
    <w:name w:val="Texto independiente Car"/>
    <w:basedOn w:val="Fuentedeprrafopredeter"/>
    <w:link w:val="Textoindependiente"/>
    <w:uiPriority w:val="99"/>
    <w:semiHidden/>
    <w:qFormat/>
    <w:rsid w:val="0062695E"/>
    <w:rPr>
      <w:rFonts w:ascii="Arial" w:hAnsi="Arial" w:cs="Times New Roman"/>
      <w:sz w:val="24"/>
    </w:rPr>
  </w:style>
  <w:style w:type="character" w:customStyle="1" w:styleId="TextodegloboCar">
    <w:name w:val="Texto de globo Car"/>
    <w:basedOn w:val="Fuentedeprrafopredeter"/>
    <w:link w:val="Textodeglobo"/>
    <w:uiPriority w:val="99"/>
    <w:semiHidden/>
    <w:qFormat/>
    <w:rsid w:val="00467162"/>
    <w:rPr>
      <w:rFonts w:ascii="Tahoma" w:hAnsi="Tahoma" w:cs="Tahoma"/>
      <w:sz w:val="16"/>
      <w:szCs w:val="16"/>
    </w:rPr>
  </w:style>
  <w:style w:type="character" w:customStyle="1" w:styleId="ListLabel1">
    <w:name w:val="ListLabel 1"/>
    <w:qFormat/>
    <w:rsid w:val="00186DA9"/>
    <w:rPr>
      <w:rFonts w:cs="Courier New"/>
    </w:rPr>
  </w:style>
  <w:style w:type="character" w:customStyle="1" w:styleId="ListLabel2">
    <w:name w:val="ListLabel 2"/>
    <w:qFormat/>
    <w:rsid w:val="00186DA9"/>
    <w:rPr>
      <w:rFonts w:cs="Courier New"/>
    </w:rPr>
  </w:style>
  <w:style w:type="character" w:customStyle="1" w:styleId="ListLabel3">
    <w:name w:val="ListLabel 3"/>
    <w:qFormat/>
    <w:rsid w:val="00186DA9"/>
    <w:rPr>
      <w:rFonts w:cs="Courier New"/>
    </w:rPr>
  </w:style>
  <w:style w:type="character" w:customStyle="1" w:styleId="ListLabel4">
    <w:name w:val="ListLabel 4"/>
    <w:qFormat/>
    <w:rsid w:val="00186DA9"/>
    <w:rPr>
      <w:rFonts w:cs="Book Antiqua"/>
      <w:b w:val="0"/>
      <w:bCs w:val="0"/>
      <w:w w:val="64"/>
      <w:sz w:val="22"/>
      <w:szCs w:val="22"/>
    </w:rPr>
  </w:style>
  <w:style w:type="character" w:customStyle="1" w:styleId="ListLabel5">
    <w:name w:val="ListLabel 5"/>
    <w:qFormat/>
    <w:rsid w:val="00186DA9"/>
    <w:rPr>
      <w:b w:val="0"/>
      <w:bCs w:val="0"/>
      <w:w w:val="64"/>
      <w:sz w:val="22"/>
      <w:szCs w:val="22"/>
    </w:rPr>
  </w:style>
  <w:style w:type="character" w:customStyle="1" w:styleId="ListLabel6">
    <w:name w:val="ListLabel 6"/>
    <w:qFormat/>
    <w:rsid w:val="00186DA9"/>
    <w:rPr>
      <w:rFonts w:cs="Courier New"/>
    </w:rPr>
  </w:style>
  <w:style w:type="character" w:customStyle="1" w:styleId="ListLabel7">
    <w:name w:val="ListLabel 7"/>
    <w:qFormat/>
    <w:rsid w:val="00186DA9"/>
    <w:rPr>
      <w:rFonts w:cs="Courier New"/>
    </w:rPr>
  </w:style>
  <w:style w:type="character" w:customStyle="1" w:styleId="ListLabel8">
    <w:name w:val="ListLabel 8"/>
    <w:qFormat/>
    <w:rsid w:val="00186DA9"/>
    <w:rPr>
      <w:rFonts w:cs="Courier New"/>
    </w:rPr>
  </w:style>
  <w:style w:type="character" w:customStyle="1" w:styleId="ListLabel9">
    <w:name w:val="ListLabel 9"/>
    <w:qFormat/>
    <w:rsid w:val="00186DA9"/>
    <w:rPr>
      <w:rFonts w:cs="Courier New"/>
    </w:rPr>
  </w:style>
  <w:style w:type="character" w:customStyle="1" w:styleId="ListLabel10">
    <w:name w:val="ListLabel 10"/>
    <w:qFormat/>
    <w:rsid w:val="00186DA9"/>
    <w:rPr>
      <w:rFonts w:cs="Courier New"/>
    </w:rPr>
  </w:style>
  <w:style w:type="character" w:customStyle="1" w:styleId="ListLabel11">
    <w:name w:val="ListLabel 11"/>
    <w:qFormat/>
    <w:rsid w:val="00186DA9"/>
    <w:rPr>
      <w:rFonts w:cs="Courier New"/>
    </w:rPr>
  </w:style>
  <w:style w:type="character" w:customStyle="1" w:styleId="ListLabel12">
    <w:name w:val="ListLabel 12"/>
    <w:qFormat/>
    <w:rsid w:val="00186DA9"/>
    <w:rPr>
      <w:rFonts w:cs="Symbol"/>
    </w:rPr>
  </w:style>
  <w:style w:type="character" w:customStyle="1" w:styleId="ListLabel13">
    <w:name w:val="ListLabel 13"/>
    <w:qFormat/>
    <w:rsid w:val="00186DA9"/>
    <w:rPr>
      <w:rFonts w:cs="Courier New"/>
    </w:rPr>
  </w:style>
  <w:style w:type="character" w:customStyle="1" w:styleId="ListLabel14">
    <w:name w:val="ListLabel 14"/>
    <w:qFormat/>
    <w:rsid w:val="00186DA9"/>
    <w:rPr>
      <w:rFonts w:cs="Wingdings"/>
    </w:rPr>
  </w:style>
  <w:style w:type="character" w:customStyle="1" w:styleId="ListLabel15">
    <w:name w:val="ListLabel 15"/>
    <w:qFormat/>
    <w:rsid w:val="00186DA9"/>
    <w:rPr>
      <w:rFonts w:cs="Symbol"/>
    </w:rPr>
  </w:style>
  <w:style w:type="character" w:customStyle="1" w:styleId="ListLabel16">
    <w:name w:val="ListLabel 16"/>
    <w:qFormat/>
    <w:rsid w:val="00186DA9"/>
    <w:rPr>
      <w:rFonts w:cs="Courier New"/>
    </w:rPr>
  </w:style>
  <w:style w:type="character" w:customStyle="1" w:styleId="ListLabel17">
    <w:name w:val="ListLabel 17"/>
    <w:qFormat/>
    <w:rsid w:val="00186DA9"/>
    <w:rPr>
      <w:rFonts w:cs="Wingdings"/>
    </w:rPr>
  </w:style>
  <w:style w:type="character" w:customStyle="1" w:styleId="ListLabel18">
    <w:name w:val="ListLabel 18"/>
    <w:qFormat/>
    <w:rsid w:val="00186DA9"/>
    <w:rPr>
      <w:rFonts w:cs="Symbol"/>
    </w:rPr>
  </w:style>
  <w:style w:type="character" w:customStyle="1" w:styleId="ListLabel19">
    <w:name w:val="ListLabel 19"/>
    <w:qFormat/>
    <w:rsid w:val="00186DA9"/>
    <w:rPr>
      <w:rFonts w:cs="Courier New"/>
    </w:rPr>
  </w:style>
  <w:style w:type="character" w:customStyle="1" w:styleId="ListLabel20">
    <w:name w:val="ListLabel 20"/>
    <w:qFormat/>
    <w:rsid w:val="00186DA9"/>
    <w:rPr>
      <w:rFonts w:cs="Wingdings"/>
    </w:rPr>
  </w:style>
  <w:style w:type="character" w:customStyle="1" w:styleId="ListLabel21">
    <w:name w:val="ListLabel 21"/>
    <w:qFormat/>
    <w:rsid w:val="00186DA9"/>
    <w:rPr>
      <w:b w:val="0"/>
      <w:bCs w:val="0"/>
      <w:w w:val="64"/>
      <w:sz w:val="22"/>
      <w:szCs w:val="22"/>
    </w:rPr>
  </w:style>
  <w:style w:type="character" w:customStyle="1" w:styleId="ListLabel22">
    <w:name w:val="ListLabel 22"/>
    <w:qFormat/>
    <w:rsid w:val="00186DA9"/>
    <w:rPr>
      <w:rFonts w:cs="Symbol"/>
    </w:rPr>
  </w:style>
  <w:style w:type="character" w:customStyle="1" w:styleId="ListLabel23">
    <w:name w:val="ListLabel 23"/>
    <w:qFormat/>
    <w:rsid w:val="00186DA9"/>
    <w:rPr>
      <w:rFonts w:cs="Symbol"/>
    </w:rPr>
  </w:style>
  <w:style w:type="character" w:customStyle="1" w:styleId="ListLabel24">
    <w:name w:val="ListLabel 24"/>
    <w:qFormat/>
    <w:rsid w:val="00186DA9"/>
    <w:rPr>
      <w:rFonts w:cs="Symbol"/>
    </w:rPr>
  </w:style>
  <w:style w:type="character" w:customStyle="1" w:styleId="ListLabel25">
    <w:name w:val="ListLabel 25"/>
    <w:qFormat/>
    <w:rsid w:val="00186DA9"/>
    <w:rPr>
      <w:rFonts w:cs="Symbol"/>
    </w:rPr>
  </w:style>
  <w:style w:type="character" w:customStyle="1" w:styleId="ListLabel26">
    <w:name w:val="ListLabel 26"/>
    <w:qFormat/>
    <w:rsid w:val="00186DA9"/>
    <w:rPr>
      <w:rFonts w:cs="Symbol"/>
    </w:rPr>
  </w:style>
  <w:style w:type="character" w:customStyle="1" w:styleId="ListLabel27">
    <w:name w:val="ListLabel 27"/>
    <w:qFormat/>
    <w:rsid w:val="00186DA9"/>
    <w:rPr>
      <w:rFonts w:cs="Symbol"/>
    </w:rPr>
  </w:style>
  <w:style w:type="character" w:customStyle="1" w:styleId="ListLabel28">
    <w:name w:val="ListLabel 28"/>
    <w:qFormat/>
    <w:rsid w:val="00186DA9"/>
    <w:rPr>
      <w:rFonts w:cs="Symbol"/>
    </w:rPr>
  </w:style>
  <w:style w:type="character" w:customStyle="1" w:styleId="ListLabel29">
    <w:name w:val="ListLabel 29"/>
    <w:qFormat/>
    <w:rsid w:val="00186DA9"/>
    <w:rPr>
      <w:rFonts w:cs="Symbol"/>
    </w:rPr>
  </w:style>
  <w:style w:type="character" w:customStyle="1" w:styleId="ListLabel30">
    <w:name w:val="ListLabel 30"/>
    <w:qFormat/>
    <w:rsid w:val="00186DA9"/>
    <w:rPr>
      <w:rFonts w:cs="Symbol"/>
      <w:b/>
    </w:rPr>
  </w:style>
  <w:style w:type="character" w:customStyle="1" w:styleId="ListLabel31">
    <w:name w:val="ListLabel 31"/>
    <w:qFormat/>
    <w:rsid w:val="00186DA9"/>
    <w:rPr>
      <w:rFonts w:cs="Courier New"/>
    </w:rPr>
  </w:style>
  <w:style w:type="character" w:customStyle="1" w:styleId="ListLabel32">
    <w:name w:val="ListLabel 32"/>
    <w:qFormat/>
    <w:rsid w:val="00186DA9"/>
    <w:rPr>
      <w:rFonts w:cs="Wingdings"/>
    </w:rPr>
  </w:style>
  <w:style w:type="character" w:customStyle="1" w:styleId="ListLabel33">
    <w:name w:val="ListLabel 33"/>
    <w:qFormat/>
    <w:rsid w:val="00186DA9"/>
    <w:rPr>
      <w:rFonts w:cs="Symbol"/>
    </w:rPr>
  </w:style>
  <w:style w:type="character" w:customStyle="1" w:styleId="ListLabel34">
    <w:name w:val="ListLabel 34"/>
    <w:qFormat/>
    <w:rsid w:val="00186DA9"/>
    <w:rPr>
      <w:rFonts w:cs="Courier New"/>
    </w:rPr>
  </w:style>
  <w:style w:type="character" w:customStyle="1" w:styleId="ListLabel35">
    <w:name w:val="ListLabel 35"/>
    <w:qFormat/>
    <w:rsid w:val="00186DA9"/>
    <w:rPr>
      <w:rFonts w:cs="Wingdings"/>
    </w:rPr>
  </w:style>
  <w:style w:type="character" w:customStyle="1" w:styleId="ListLabel36">
    <w:name w:val="ListLabel 36"/>
    <w:qFormat/>
    <w:rsid w:val="00186DA9"/>
    <w:rPr>
      <w:rFonts w:cs="Symbol"/>
    </w:rPr>
  </w:style>
  <w:style w:type="character" w:customStyle="1" w:styleId="ListLabel37">
    <w:name w:val="ListLabel 37"/>
    <w:qFormat/>
    <w:rsid w:val="00186DA9"/>
    <w:rPr>
      <w:rFonts w:cs="Courier New"/>
    </w:rPr>
  </w:style>
  <w:style w:type="character" w:customStyle="1" w:styleId="ListLabel38">
    <w:name w:val="ListLabel 38"/>
    <w:qFormat/>
    <w:rsid w:val="00186DA9"/>
    <w:rPr>
      <w:rFonts w:cs="Wingdings"/>
    </w:rPr>
  </w:style>
  <w:style w:type="character" w:customStyle="1" w:styleId="ListLabel39">
    <w:name w:val="ListLabel 39"/>
    <w:qFormat/>
    <w:rsid w:val="00186DA9"/>
    <w:rPr>
      <w:rFonts w:cs="Symbol"/>
      <w:b/>
    </w:rPr>
  </w:style>
  <w:style w:type="character" w:customStyle="1" w:styleId="ListLabel40">
    <w:name w:val="ListLabel 40"/>
    <w:qFormat/>
    <w:rsid w:val="00186DA9"/>
    <w:rPr>
      <w:rFonts w:cs="Courier New"/>
    </w:rPr>
  </w:style>
  <w:style w:type="character" w:customStyle="1" w:styleId="ListLabel41">
    <w:name w:val="ListLabel 41"/>
    <w:qFormat/>
    <w:rsid w:val="00186DA9"/>
    <w:rPr>
      <w:rFonts w:cs="Wingdings"/>
    </w:rPr>
  </w:style>
  <w:style w:type="character" w:customStyle="1" w:styleId="ListLabel42">
    <w:name w:val="ListLabel 42"/>
    <w:qFormat/>
    <w:rsid w:val="00186DA9"/>
    <w:rPr>
      <w:rFonts w:cs="Symbol"/>
    </w:rPr>
  </w:style>
  <w:style w:type="character" w:customStyle="1" w:styleId="ListLabel43">
    <w:name w:val="ListLabel 43"/>
    <w:qFormat/>
    <w:rsid w:val="00186DA9"/>
    <w:rPr>
      <w:rFonts w:cs="Courier New"/>
    </w:rPr>
  </w:style>
  <w:style w:type="character" w:customStyle="1" w:styleId="ListLabel44">
    <w:name w:val="ListLabel 44"/>
    <w:qFormat/>
    <w:rsid w:val="00186DA9"/>
    <w:rPr>
      <w:rFonts w:cs="Wingdings"/>
    </w:rPr>
  </w:style>
  <w:style w:type="character" w:customStyle="1" w:styleId="ListLabel45">
    <w:name w:val="ListLabel 45"/>
    <w:qFormat/>
    <w:rsid w:val="00186DA9"/>
    <w:rPr>
      <w:rFonts w:cs="Symbol"/>
    </w:rPr>
  </w:style>
  <w:style w:type="character" w:customStyle="1" w:styleId="ListLabel46">
    <w:name w:val="ListLabel 46"/>
    <w:qFormat/>
    <w:rsid w:val="00186DA9"/>
    <w:rPr>
      <w:rFonts w:cs="Courier New"/>
    </w:rPr>
  </w:style>
  <w:style w:type="character" w:customStyle="1" w:styleId="ListLabel47">
    <w:name w:val="ListLabel 47"/>
    <w:qFormat/>
    <w:rsid w:val="00186DA9"/>
    <w:rPr>
      <w:rFonts w:cs="Wingdings"/>
    </w:rPr>
  </w:style>
  <w:style w:type="character" w:customStyle="1" w:styleId="ListLabel48">
    <w:name w:val="ListLabel 48"/>
    <w:qFormat/>
    <w:rsid w:val="00186DA9"/>
    <w:rPr>
      <w:rFonts w:cs="Symbol"/>
    </w:rPr>
  </w:style>
  <w:style w:type="character" w:customStyle="1" w:styleId="ListLabel49">
    <w:name w:val="ListLabel 49"/>
    <w:qFormat/>
    <w:rsid w:val="00186DA9"/>
    <w:rPr>
      <w:rFonts w:cs="Courier New"/>
    </w:rPr>
  </w:style>
  <w:style w:type="character" w:customStyle="1" w:styleId="ListLabel50">
    <w:name w:val="ListLabel 50"/>
    <w:qFormat/>
    <w:rsid w:val="00186DA9"/>
    <w:rPr>
      <w:rFonts w:cs="Wingdings"/>
    </w:rPr>
  </w:style>
  <w:style w:type="character" w:customStyle="1" w:styleId="ListLabel51">
    <w:name w:val="ListLabel 51"/>
    <w:qFormat/>
    <w:rsid w:val="00186DA9"/>
    <w:rPr>
      <w:rFonts w:cs="Symbol"/>
    </w:rPr>
  </w:style>
  <w:style w:type="character" w:customStyle="1" w:styleId="ListLabel52">
    <w:name w:val="ListLabel 52"/>
    <w:qFormat/>
    <w:rsid w:val="00186DA9"/>
    <w:rPr>
      <w:rFonts w:cs="Courier New"/>
    </w:rPr>
  </w:style>
  <w:style w:type="character" w:customStyle="1" w:styleId="ListLabel53">
    <w:name w:val="ListLabel 53"/>
    <w:qFormat/>
    <w:rsid w:val="00186DA9"/>
    <w:rPr>
      <w:rFonts w:cs="Wingdings"/>
    </w:rPr>
  </w:style>
  <w:style w:type="character" w:customStyle="1" w:styleId="ListLabel54">
    <w:name w:val="ListLabel 54"/>
    <w:qFormat/>
    <w:rsid w:val="00186DA9"/>
    <w:rPr>
      <w:rFonts w:cs="Symbol"/>
    </w:rPr>
  </w:style>
  <w:style w:type="character" w:customStyle="1" w:styleId="ListLabel55">
    <w:name w:val="ListLabel 55"/>
    <w:qFormat/>
    <w:rsid w:val="00186DA9"/>
    <w:rPr>
      <w:rFonts w:cs="Courier New"/>
    </w:rPr>
  </w:style>
  <w:style w:type="character" w:customStyle="1" w:styleId="ListLabel56">
    <w:name w:val="ListLabel 56"/>
    <w:qFormat/>
    <w:rsid w:val="00186DA9"/>
    <w:rPr>
      <w:rFonts w:cs="Wingdings"/>
    </w:rPr>
  </w:style>
  <w:style w:type="character" w:customStyle="1" w:styleId="ListLabel57">
    <w:name w:val="ListLabel 57"/>
    <w:qFormat/>
    <w:rsid w:val="00186DA9"/>
    <w:rPr>
      <w:b w:val="0"/>
      <w:bCs w:val="0"/>
      <w:w w:val="64"/>
      <w:sz w:val="22"/>
      <w:szCs w:val="22"/>
    </w:rPr>
  </w:style>
  <w:style w:type="character" w:customStyle="1" w:styleId="ListLabel58">
    <w:name w:val="ListLabel 58"/>
    <w:qFormat/>
    <w:rsid w:val="00186DA9"/>
    <w:rPr>
      <w:rFonts w:cs="Symbol"/>
    </w:rPr>
  </w:style>
  <w:style w:type="character" w:customStyle="1" w:styleId="ListLabel59">
    <w:name w:val="ListLabel 59"/>
    <w:qFormat/>
    <w:rsid w:val="00186DA9"/>
    <w:rPr>
      <w:rFonts w:cs="Symbol"/>
    </w:rPr>
  </w:style>
  <w:style w:type="character" w:customStyle="1" w:styleId="ListLabel60">
    <w:name w:val="ListLabel 60"/>
    <w:qFormat/>
    <w:rsid w:val="00186DA9"/>
    <w:rPr>
      <w:rFonts w:cs="Symbol"/>
    </w:rPr>
  </w:style>
  <w:style w:type="character" w:customStyle="1" w:styleId="ListLabel61">
    <w:name w:val="ListLabel 61"/>
    <w:qFormat/>
    <w:rsid w:val="00186DA9"/>
    <w:rPr>
      <w:rFonts w:cs="Symbol"/>
    </w:rPr>
  </w:style>
  <w:style w:type="character" w:customStyle="1" w:styleId="ListLabel62">
    <w:name w:val="ListLabel 62"/>
    <w:qFormat/>
    <w:rsid w:val="00186DA9"/>
    <w:rPr>
      <w:rFonts w:cs="Symbol"/>
    </w:rPr>
  </w:style>
  <w:style w:type="character" w:customStyle="1" w:styleId="ListLabel63">
    <w:name w:val="ListLabel 63"/>
    <w:qFormat/>
    <w:rsid w:val="00186DA9"/>
    <w:rPr>
      <w:rFonts w:cs="Symbol"/>
    </w:rPr>
  </w:style>
  <w:style w:type="character" w:customStyle="1" w:styleId="ListLabel64">
    <w:name w:val="ListLabel 64"/>
    <w:qFormat/>
    <w:rsid w:val="00186DA9"/>
    <w:rPr>
      <w:rFonts w:cs="Symbol"/>
    </w:rPr>
  </w:style>
  <w:style w:type="character" w:customStyle="1" w:styleId="ListLabel65">
    <w:name w:val="ListLabel 65"/>
    <w:qFormat/>
    <w:rsid w:val="00186DA9"/>
    <w:rPr>
      <w:rFonts w:cs="Symbol"/>
    </w:rPr>
  </w:style>
  <w:style w:type="character" w:customStyle="1" w:styleId="ListLabel66">
    <w:name w:val="ListLabel 66"/>
    <w:qFormat/>
    <w:rsid w:val="00186DA9"/>
    <w:rPr>
      <w:rFonts w:cs="Symbol"/>
      <w:b/>
    </w:rPr>
  </w:style>
  <w:style w:type="character" w:customStyle="1" w:styleId="ListLabel67">
    <w:name w:val="ListLabel 67"/>
    <w:qFormat/>
    <w:rsid w:val="00186DA9"/>
    <w:rPr>
      <w:rFonts w:cs="Courier New"/>
    </w:rPr>
  </w:style>
  <w:style w:type="character" w:customStyle="1" w:styleId="ListLabel68">
    <w:name w:val="ListLabel 68"/>
    <w:qFormat/>
    <w:rsid w:val="00186DA9"/>
    <w:rPr>
      <w:rFonts w:cs="Wingdings"/>
    </w:rPr>
  </w:style>
  <w:style w:type="character" w:customStyle="1" w:styleId="ListLabel69">
    <w:name w:val="ListLabel 69"/>
    <w:qFormat/>
    <w:rsid w:val="00186DA9"/>
    <w:rPr>
      <w:rFonts w:cs="Symbol"/>
    </w:rPr>
  </w:style>
  <w:style w:type="character" w:customStyle="1" w:styleId="ListLabel70">
    <w:name w:val="ListLabel 70"/>
    <w:qFormat/>
    <w:rsid w:val="00186DA9"/>
    <w:rPr>
      <w:rFonts w:cs="Courier New"/>
    </w:rPr>
  </w:style>
  <w:style w:type="character" w:customStyle="1" w:styleId="ListLabel71">
    <w:name w:val="ListLabel 71"/>
    <w:qFormat/>
    <w:rsid w:val="00186DA9"/>
    <w:rPr>
      <w:rFonts w:cs="Wingdings"/>
    </w:rPr>
  </w:style>
  <w:style w:type="character" w:customStyle="1" w:styleId="ListLabel72">
    <w:name w:val="ListLabel 72"/>
    <w:qFormat/>
    <w:rsid w:val="00186DA9"/>
    <w:rPr>
      <w:rFonts w:cs="Symbol"/>
    </w:rPr>
  </w:style>
  <w:style w:type="character" w:customStyle="1" w:styleId="ListLabel73">
    <w:name w:val="ListLabel 73"/>
    <w:qFormat/>
    <w:rsid w:val="00186DA9"/>
    <w:rPr>
      <w:rFonts w:cs="Courier New"/>
    </w:rPr>
  </w:style>
  <w:style w:type="character" w:customStyle="1" w:styleId="ListLabel74">
    <w:name w:val="ListLabel 74"/>
    <w:qFormat/>
    <w:rsid w:val="00186DA9"/>
    <w:rPr>
      <w:rFonts w:cs="Wingdings"/>
    </w:rPr>
  </w:style>
  <w:style w:type="character" w:customStyle="1" w:styleId="ListLabel75">
    <w:name w:val="ListLabel 75"/>
    <w:qFormat/>
    <w:rsid w:val="00186DA9"/>
    <w:rPr>
      <w:rFonts w:cs="Symbol"/>
      <w:b/>
    </w:rPr>
  </w:style>
  <w:style w:type="character" w:customStyle="1" w:styleId="ListLabel76">
    <w:name w:val="ListLabel 76"/>
    <w:qFormat/>
    <w:rsid w:val="00186DA9"/>
    <w:rPr>
      <w:rFonts w:cs="Courier New"/>
    </w:rPr>
  </w:style>
  <w:style w:type="character" w:customStyle="1" w:styleId="ListLabel77">
    <w:name w:val="ListLabel 77"/>
    <w:qFormat/>
    <w:rsid w:val="00186DA9"/>
    <w:rPr>
      <w:rFonts w:cs="Wingdings"/>
    </w:rPr>
  </w:style>
  <w:style w:type="character" w:customStyle="1" w:styleId="ListLabel78">
    <w:name w:val="ListLabel 78"/>
    <w:qFormat/>
    <w:rsid w:val="00186DA9"/>
    <w:rPr>
      <w:rFonts w:cs="Symbol"/>
    </w:rPr>
  </w:style>
  <w:style w:type="character" w:customStyle="1" w:styleId="ListLabel79">
    <w:name w:val="ListLabel 79"/>
    <w:qFormat/>
    <w:rsid w:val="00186DA9"/>
    <w:rPr>
      <w:rFonts w:cs="Courier New"/>
    </w:rPr>
  </w:style>
  <w:style w:type="character" w:customStyle="1" w:styleId="ListLabel80">
    <w:name w:val="ListLabel 80"/>
    <w:qFormat/>
    <w:rsid w:val="00186DA9"/>
    <w:rPr>
      <w:rFonts w:cs="Wingdings"/>
    </w:rPr>
  </w:style>
  <w:style w:type="character" w:customStyle="1" w:styleId="ListLabel81">
    <w:name w:val="ListLabel 81"/>
    <w:qFormat/>
    <w:rsid w:val="00186DA9"/>
    <w:rPr>
      <w:rFonts w:cs="Symbol"/>
    </w:rPr>
  </w:style>
  <w:style w:type="character" w:customStyle="1" w:styleId="ListLabel82">
    <w:name w:val="ListLabel 82"/>
    <w:qFormat/>
    <w:rsid w:val="00186DA9"/>
    <w:rPr>
      <w:rFonts w:cs="Courier New"/>
    </w:rPr>
  </w:style>
  <w:style w:type="character" w:customStyle="1" w:styleId="ListLabel83">
    <w:name w:val="ListLabel 83"/>
    <w:qFormat/>
    <w:rsid w:val="00186DA9"/>
    <w:rPr>
      <w:rFonts w:cs="Wingdings"/>
    </w:rPr>
  </w:style>
  <w:style w:type="paragraph" w:styleId="Puesto">
    <w:name w:val="Title"/>
    <w:basedOn w:val="Normal"/>
    <w:next w:val="Textoindependiente"/>
    <w:qFormat/>
    <w:rsid w:val="00186DA9"/>
    <w:pPr>
      <w:keepNext/>
      <w:spacing w:before="240" w:after="120"/>
    </w:pPr>
    <w:rPr>
      <w:rFonts w:ascii="Liberation Sans" w:eastAsia="MS Gothic" w:hAnsi="Liberation Sans" w:cs="Arial"/>
      <w:sz w:val="28"/>
      <w:szCs w:val="28"/>
    </w:rPr>
  </w:style>
  <w:style w:type="paragraph" w:styleId="Textoindependiente">
    <w:name w:val="Body Text"/>
    <w:basedOn w:val="Normal"/>
    <w:link w:val="TextoindependienteCar"/>
    <w:uiPriority w:val="99"/>
    <w:semiHidden/>
    <w:unhideWhenUsed/>
    <w:rsid w:val="0062695E"/>
    <w:pPr>
      <w:spacing w:after="120"/>
    </w:pPr>
  </w:style>
  <w:style w:type="paragraph" w:styleId="Lista">
    <w:name w:val="List"/>
    <w:basedOn w:val="Textoindependiente"/>
    <w:rsid w:val="00186DA9"/>
    <w:rPr>
      <w:rFonts w:cs="Arial"/>
    </w:rPr>
  </w:style>
  <w:style w:type="paragraph" w:styleId="Descripcin">
    <w:name w:val="caption"/>
    <w:basedOn w:val="Normal"/>
    <w:qFormat/>
    <w:rsid w:val="00186DA9"/>
    <w:pPr>
      <w:suppressLineNumbers/>
      <w:spacing w:before="120" w:after="120"/>
    </w:pPr>
    <w:rPr>
      <w:rFonts w:cs="Arial"/>
      <w:i/>
      <w:iCs/>
      <w:szCs w:val="24"/>
    </w:rPr>
  </w:style>
  <w:style w:type="paragraph" w:customStyle="1" w:styleId="ndice">
    <w:name w:val="Índice"/>
    <w:basedOn w:val="Normal"/>
    <w:qFormat/>
    <w:rsid w:val="00186DA9"/>
    <w:pPr>
      <w:suppressLineNumbers/>
    </w:pPr>
    <w:rPr>
      <w:rFonts w:cs="Arial"/>
    </w:rPr>
  </w:style>
  <w:style w:type="paragraph" w:styleId="Textonotapie">
    <w:name w:val="footnote text"/>
    <w:aliases w:val="Car9 Car,Footnote reference,FA Fu,Footnote Text Char Char Char Char Char,Footnote Text Char Char Char Char, Car9 Car,Footnote Text Char Char Char,Footnote Text Cha,FA Fußnotentext,FA Fuﬂnotentext,Footnote Text Char Char,Ca,FA Fu?notentext"/>
    <w:basedOn w:val="Normal"/>
    <w:link w:val="TextonotapieCar"/>
    <w:autoRedefine/>
    <w:uiPriority w:val="99"/>
    <w:unhideWhenUsed/>
    <w:qFormat/>
    <w:rsid w:val="00416BE5"/>
    <w:pPr>
      <w:spacing w:line="240" w:lineRule="auto"/>
      <w:contextualSpacing/>
      <w:jc w:val="both"/>
    </w:pPr>
    <w:rPr>
      <w:rFonts w:ascii="Arial Narrow" w:hAnsi="Arial Narrow" w:cs="Arial"/>
      <w:sz w:val="18"/>
      <w:szCs w:val="18"/>
    </w:rPr>
  </w:style>
  <w:style w:type="paragraph" w:styleId="Encabezado">
    <w:name w:val="header"/>
    <w:basedOn w:val="Normal"/>
    <w:link w:val="EncabezadoCar"/>
    <w:uiPriority w:val="99"/>
    <w:unhideWhenUsed/>
    <w:rsid w:val="002C153C"/>
    <w:pPr>
      <w:tabs>
        <w:tab w:val="center" w:pos="4419"/>
        <w:tab w:val="right" w:pos="8838"/>
      </w:tabs>
      <w:spacing w:line="240" w:lineRule="auto"/>
    </w:pPr>
  </w:style>
  <w:style w:type="paragraph" w:styleId="Piedepgina">
    <w:name w:val="footer"/>
    <w:basedOn w:val="Normal"/>
    <w:link w:val="PiedepginaCar"/>
    <w:uiPriority w:val="99"/>
    <w:unhideWhenUsed/>
    <w:rsid w:val="002C153C"/>
    <w:pPr>
      <w:tabs>
        <w:tab w:val="center" w:pos="4419"/>
        <w:tab w:val="right" w:pos="8838"/>
      </w:tabs>
      <w:spacing w:line="240" w:lineRule="auto"/>
    </w:pPr>
  </w:style>
  <w:style w:type="paragraph" w:styleId="NormalWeb">
    <w:name w:val="Normal (Web)"/>
    <w:basedOn w:val="Normal"/>
    <w:uiPriority w:val="99"/>
    <w:semiHidden/>
    <w:unhideWhenUsed/>
    <w:qFormat/>
    <w:rsid w:val="002C153C"/>
    <w:rPr>
      <w:rFonts w:ascii="Times New Roman" w:hAnsi="Times New Roman"/>
      <w:szCs w:val="24"/>
    </w:rPr>
  </w:style>
  <w:style w:type="paragraph" w:styleId="Prrafodelista">
    <w:name w:val="List Paragraph"/>
    <w:basedOn w:val="Normal"/>
    <w:uiPriority w:val="34"/>
    <w:qFormat/>
    <w:rsid w:val="003502E6"/>
    <w:pPr>
      <w:ind w:left="720"/>
      <w:contextualSpacing/>
    </w:pPr>
  </w:style>
  <w:style w:type="paragraph" w:styleId="Textodeglobo">
    <w:name w:val="Balloon Text"/>
    <w:basedOn w:val="Normal"/>
    <w:link w:val="TextodegloboCar"/>
    <w:uiPriority w:val="99"/>
    <w:semiHidden/>
    <w:unhideWhenUsed/>
    <w:qFormat/>
    <w:rsid w:val="00467162"/>
    <w:pPr>
      <w:spacing w:line="240" w:lineRule="auto"/>
    </w:pPr>
    <w:rPr>
      <w:rFonts w:ascii="Tahoma" w:hAnsi="Tahoma" w:cs="Tahoma"/>
      <w:sz w:val="16"/>
      <w:szCs w:val="16"/>
    </w:rPr>
  </w:style>
  <w:style w:type="paragraph" w:customStyle="1" w:styleId="Contenidodelmarco">
    <w:name w:val="Contenido del marco"/>
    <w:basedOn w:val="Normal"/>
    <w:qFormat/>
    <w:rsid w:val="00186DA9"/>
  </w:style>
  <w:style w:type="character" w:styleId="Refdenotaalpie">
    <w:name w:val="footnote reference"/>
    <w:aliases w:val="Texto de nota al pie,Appel note de bas de page,Footnotes refss,f,Footnote number,referencia nota al pie,BVI fnr,4_G,16 Point,Superscript 6 Point,Footnote Reference,Ref,Ref. de nota al pie1,Texto nota al pie,Ref. de nota al pie 2"/>
    <w:basedOn w:val="Fuentedeprrafopredeter"/>
    <w:link w:val="Refdenotaalpie2"/>
    <w:uiPriority w:val="99"/>
    <w:unhideWhenUsed/>
    <w:qFormat/>
    <w:rsid w:val="00D211F4"/>
    <w:rPr>
      <w:vertAlign w:val="superscript"/>
    </w:rPr>
  </w:style>
  <w:style w:type="paragraph" w:customStyle="1" w:styleId="Default">
    <w:name w:val="Default"/>
    <w:rsid w:val="007D27B8"/>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E66F2D"/>
    <w:rPr>
      <w:color w:val="0000FF" w:themeColor="hyperlink"/>
      <w:u w:val="single"/>
    </w:rPr>
  </w:style>
  <w:style w:type="table" w:styleId="Tablaconcuadrcula">
    <w:name w:val="Table Grid"/>
    <w:basedOn w:val="Tablanormal"/>
    <w:uiPriority w:val="59"/>
    <w:rsid w:val="00F45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492634"/>
    <w:rPr>
      <w:b/>
      <w:bCs/>
    </w:rPr>
  </w:style>
  <w:style w:type="paragraph" w:customStyle="1" w:styleId="Texto">
    <w:name w:val="Texto"/>
    <w:basedOn w:val="Normal"/>
    <w:rsid w:val="006868A3"/>
    <w:pPr>
      <w:spacing w:after="101" w:line="216" w:lineRule="exact"/>
      <w:ind w:firstLine="288"/>
      <w:jc w:val="both"/>
    </w:pPr>
    <w:rPr>
      <w:rFonts w:eastAsia="Times New Roman" w:cs="Arial"/>
      <w:sz w:val="18"/>
      <w:szCs w:val="18"/>
      <w:lang w:val="es-ES" w:eastAsia="es-ES"/>
    </w:rPr>
  </w:style>
  <w:style w:type="character" w:customStyle="1" w:styleId="apple-converted-space">
    <w:name w:val="apple-converted-space"/>
    <w:basedOn w:val="Fuentedeprrafopredeter"/>
    <w:rsid w:val="002237BD"/>
    <w:rPr>
      <w:rFonts w:cs="Times New Roman"/>
    </w:rPr>
  </w:style>
  <w:style w:type="character" w:styleId="nfasis">
    <w:name w:val="Emphasis"/>
    <w:basedOn w:val="Fuentedeprrafopredeter"/>
    <w:uiPriority w:val="20"/>
    <w:qFormat/>
    <w:rsid w:val="009D6525"/>
    <w:rPr>
      <w:i/>
      <w:iCs/>
    </w:rPr>
  </w:style>
  <w:style w:type="character" w:styleId="Refdecomentario">
    <w:name w:val="annotation reference"/>
    <w:basedOn w:val="Fuentedeprrafopredeter"/>
    <w:uiPriority w:val="99"/>
    <w:semiHidden/>
    <w:unhideWhenUsed/>
    <w:rsid w:val="00111328"/>
    <w:rPr>
      <w:sz w:val="16"/>
      <w:szCs w:val="16"/>
    </w:rPr>
  </w:style>
  <w:style w:type="paragraph" w:styleId="Textocomentario">
    <w:name w:val="annotation text"/>
    <w:basedOn w:val="Normal"/>
    <w:link w:val="TextocomentarioCar"/>
    <w:uiPriority w:val="99"/>
    <w:semiHidden/>
    <w:unhideWhenUsed/>
    <w:rsid w:val="0011132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1328"/>
    <w:rPr>
      <w:rFonts w:ascii="Arial" w:hAnsi="Arial" w:cs="Times New Roman"/>
      <w:szCs w:val="20"/>
    </w:rPr>
  </w:style>
  <w:style w:type="paragraph" w:styleId="Asuntodelcomentario">
    <w:name w:val="annotation subject"/>
    <w:basedOn w:val="Textocomentario"/>
    <w:next w:val="Textocomentario"/>
    <w:link w:val="AsuntodelcomentarioCar"/>
    <w:uiPriority w:val="99"/>
    <w:semiHidden/>
    <w:unhideWhenUsed/>
    <w:rsid w:val="00111328"/>
    <w:rPr>
      <w:b/>
      <w:bCs/>
    </w:rPr>
  </w:style>
  <w:style w:type="character" w:customStyle="1" w:styleId="AsuntodelcomentarioCar">
    <w:name w:val="Asunto del comentario Car"/>
    <w:basedOn w:val="TextocomentarioCar"/>
    <w:link w:val="Asuntodelcomentario"/>
    <w:uiPriority w:val="99"/>
    <w:semiHidden/>
    <w:rsid w:val="00111328"/>
    <w:rPr>
      <w:rFonts w:ascii="Arial" w:hAnsi="Arial" w:cs="Times New Roman"/>
      <w:b/>
      <w:bCs/>
      <w:szCs w:val="20"/>
    </w:rPr>
  </w:style>
  <w:style w:type="character" w:customStyle="1" w:styleId="UnresolvedMention">
    <w:name w:val="Unresolved Mention"/>
    <w:basedOn w:val="Fuentedeprrafopredeter"/>
    <w:uiPriority w:val="99"/>
    <w:semiHidden/>
    <w:unhideWhenUsed/>
    <w:rsid w:val="005E0FA3"/>
    <w:rPr>
      <w:color w:val="605E5C"/>
      <w:shd w:val="clear" w:color="auto" w:fill="E1DFDD"/>
    </w:rPr>
  </w:style>
  <w:style w:type="paragraph" w:customStyle="1" w:styleId="Refdenotaalpie2">
    <w:name w:val="Ref. de nota al pie2"/>
    <w:aliases w:val="Footnote Reference Char3,Footnotes refss Car"/>
    <w:basedOn w:val="Normal"/>
    <w:link w:val="Refdenotaalpie"/>
    <w:uiPriority w:val="99"/>
    <w:qFormat/>
    <w:rsid w:val="006D5F44"/>
    <w:pPr>
      <w:spacing w:after="160" w:line="240" w:lineRule="exact"/>
    </w:pPr>
    <w:rPr>
      <w:rFonts w:asciiTheme="minorHAnsi" w:hAnsiTheme="minorHAnsi" w:cstheme="minorBidi"/>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13815">
      <w:bodyDiv w:val="1"/>
      <w:marLeft w:val="0"/>
      <w:marRight w:val="0"/>
      <w:marTop w:val="0"/>
      <w:marBottom w:val="0"/>
      <w:divBdr>
        <w:top w:val="none" w:sz="0" w:space="0" w:color="auto"/>
        <w:left w:val="none" w:sz="0" w:space="0" w:color="auto"/>
        <w:bottom w:val="none" w:sz="0" w:space="0" w:color="auto"/>
        <w:right w:val="none" w:sz="0" w:space="0" w:color="auto"/>
      </w:divBdr>
      <w:divsChild>
        <w:div w:id="700981903">
          <w:marLeft w:val="0"/>
          <w:marRight w:val="0"/>
          <w:marTop w:val="0"/>
          <w:marBottom w:val="100"/>
          <w:divBdr>
            <w:top w:val="none" w:sz="0" w:space="0" w:color="auto"/>
            <w:left w:val="none" w:sz="0" w:space="0" w:color="auto"/>
            <w:bottom w:val="none" w:sz="0" w:space="0" w:color="auto"/>
            <w:right w:val="none" w:sz="0" w:space="0" w:color="auto"/>
          </w:divBdr>
        </w:div>
        <w:div w:id="1318338341">
          <w:marLeft w:val="0"/>
          <w:marRight w:val="0"/>
          <w:marTop w:val="0"/>
          <w:marBottom w:val="100"/>
          <w:divBdr>
            <w:top w:val="none" w:sz="0" w:space="0" w:color="auto"/>
            <w:left w:val="none" w:sz="0" w:space="0" w:color="auto"/>
            <w:bottom w:val="none" w:sz="0" w:space="0" w:color="auto"/>
            <w:right w:val="none" w:sz="0" w:space="0" w:color="auto"/>
          </w:divBdr>
        </w:div>
        <w:div w:id="424307452">
          <w:marLeft w:val="0"/>
          <w:marRight w:val="0"/>
          <w:marTop w:val="0"/>
          <w:marBottom w:val="100"/>
          <w:divBdr>
            <w:top w:val="none" w:sz="0" w:space="0" w:color="auto"/>
            <w:left w:val="none" w:sz="0" w:space="0" w:color="auto"/>
            <w:bottom w:val="none" w:sz="0" w:space="0" w:color="auto"/>
            <w:right w:val="none" w:sz="0" w:space="0" w:color="auto"/>
          </w:divBdr>
        </w:div>
        <w:div w:id="1984698406">
          <w:marLeft w:val="0"/>
          <w:marRight w:val="0"/>
          <w:marTop w:val="0"/>
          <w:marBottom w:val="100"/>
          <w:divBdr>
            <w:top w:val="none" w:sz="0" w:space="0" w:color="auto"/>
            <w:left w:val="none" w:sz="0" w:space="0" w:color="auto"/>
            <w:bottom w:val="none" w:sz="0" w:space="0" w:color="auto"/>
            <w:right w:val="none" w:sz="0" w:space="0" w:color="auto"/>
          </w:divBdr>
        </w:div>
        <w:div w:id="1767309329">
          <w:marLeft w:val="0"/>
          <w:marRight w:val="0"/>
          <w:marTop w:val="0"/>
          <w:marBottom w:val="100"/>
          <w:divBdr>
            <w:top w:val="none" w:sz="0" w:space="0" w:color="auto"/>
            <w:left w:val="none" w:sz="0" w:space="0" w:color="auto"/>
            <w:bottom w:val="none" w:sz="0" w:space="0" w:color="auto"/>
            <w:right w:val="none" w:sz="0" w:space="0" w:color="auto"/>
          </w:divBdr>
        </w:div>
        <w:div w:id="224336545">
          <w:marLeft w:val="0"/>
          <w:marRight w:val="0"/>
          <w:marTop w:val="0"/>
          <w:marBottom w:val="100"/>
          <w:divBdr>
            <w:top w:val="none" w:sz="0" w:space="0" w:color="auto"/>
            <w:left w:val="none" w:sz="0" w:space="0" w:color="auto"/>
            <w:bottom w:val="none" w:sz="0" w:space="0" w:color="auto"/>
            <w:right w:val="none" w:sz="0" w:space="0" w:color="auto"/>
          </w:divBdr>
        </w:div>
        <w:div w:id="457063728">
          <w:marLeft w:val="0"/>
          <w:marRight w:val="0"/>
          <w:marTop w:val="0"/>
          <w:marBottom w:val="100"/>
          <w:divBdr>
            <w:top w:val="none" w:sz="0" w:space="0" w:color="auto"/>
            <w:left w:val="none" w:sz="0" w:space="0" w:color="auto"/>
            <w:bottom w:val="none" w:sz="0" w:space="0" w:color="auto"/>
            <w:right w:val="none" w:sz="0" w:space="0" w:color="auto"/>
          </w:divBdr>
        </w:div>
        <w:div w:id="1653290057">
          <w:marLeft w:val="0"/>
          <w:marRight w:val="0"/>
          <w:marTop w:val="0"/>
          <w:marBottom w:val="100"/>
          <w:divBdr>
            <w:top w:val="none" w:sz="0" w:space="0" w:color="auto"/>
            <w:left w:val="none" w:sz="0" w:space="0" w:color="auto"/>
            <w:bottom w:val="none" w:sz="0" w:space="0" w:color="auto"/>
            <w:right w:val="none" w:sz="0" w:space="0" w:color="auto"/>
          </w:divBdr>
        </w:div>
        <w:div w:id="2043819241">
          <w:marLeft w:val="0"/>
          <w:marRight w:val="0"/>
          <w:marTop w:val="0"/>
          <w:marBottom w:val="100"/>
          <w:divBdr>
            <w:top w:val="none" w:sz="0" w:space="0" w:color="auto"/>
            <w:left w:val="none" w:sz="0" w:space="0" w:color="auto"/>
            <w:bottom w:val="none" w:sz="0" w:space="0" w:color="auto"/>
            <w:right w:val="none" w:sz="0" w:space="0" w:color="auto"/>
          </w:divBdr>
        </w:div>
        <w:div w:id="1674065592">
          <w:marLeft w:val="0"/>
          <w:marRight w:val="0"/>
          <w:marTop w:val="0"/>
          <w:marBottom w:val="100"/>
          <w:divBdr>
            <w:top w:val="none" w:sz="0" w:space="0" w:color="auto"/>
            <w:left w:val="none" w:sz="0" w:space="0" w:color="auto"/>
            <w:bottom w:val="none" w:sz="0" w:space="0" w:color="auto"/>
            <w:right w:val="none" w:sz="0" w:space="0" w:color="auto"/>
          </w:divBdr>
        </w:div>
      </w:divsChild>
    </w:div>
    <w:div w:id="1151023152">
      <w:bodyDiv w:val="1"/>
      <w:marLeft w:val="0"/>
      <w:marRight w:val="0"/>
      <w:marTop w:val="0"/>
      <w:marBottom w:val="0"/>
      <w:divBdr>
        <w:top w:val="none" w:sz="0" w:space="0" w:color="auto"/>
        <w:left w:val="none" w:sz="0" w:space="0" w:color="auto"/>
        <w:bottom w:val="none" w:sz="0" w:space="0" w:color="auto"/>
        <w:right w:val="none" w:sz="0" w:space="0" w:color="auto"/>
      </w:divBdr>
    </w:div>
    <w:div w:id="1266381093">
      <w:bodyDiv w:val="1"/>
      <w:marLeft w:val="0"/>
      <w:marRight w:val="0"/>
      <w:marTop w:val="0"/>
      <w:marBottom w:val="0"/>
      <w:divBdr>
        <w:top w:val="none" w:sz="0" w:space="0" w:color="auto"/>
        <w:left w:val="none" w:sz="0" w:space="0" w:color="auto"/>
        <w:bottom w:val="none" w:sz="0" w:space="0" w:color="auto"/>
        <w:right w:val="none" w:sz="0" w:space="0" w:color="auto"/>
      </w:divBdr>
    </w:div>
    <w:div w:id="1936477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dhdf.org.mx/2017/06/recomendacion-42017/" TargetMode="External"/><Relationship Id="rId13" Type="http://schemas.openxmlformats.org/officeDocument/2006/relationships/hyperlink" Target="https://www.gob.mx/comar" TargetMode="External"/><Relationship Id="rId18" Type="http://schemas.openxmlformats.org/officeDocument/2006/relationships/hyperlink" Target="https://www.inegi.org.mx/contenidos/programas/intercensal/2015/doc/eic_2015_presentacion.pdf" TargetMode="External"/><Relationship Id="rId3" Type="http://schemas.openxmlformats.org/officeDocument/2006/relationships/hyperlink" Target="http://www.alejandroencinas.mx/wp-content/uploads/2019/03/Mecanismo-3.2.pdf" TargetMode="External"/><Relationship Id="rId7" Type="http://schemas.openxmlformats.org/officeDocument/2006/relationships/hyperlink" Target="https://www.wola.org/wp-content/uploads/2019/03/SPN_WOLA-PBI-2019.pdf" TargetMode="External"/><Relationship Id="rId12" Type="http://schemas.openxmlformats.org/officeDocument/2006/relationships/hyperlink" Target="http://www.politicamigratoria.gob.mx/es_mx/SEGOB/Extranjeros_presentados_y_devueltos" TargetMode="External"/><Relationship Id="rId17" Type="http://schemas.openxmlformats.org/officeDocument/2006/relationships/hyperlink" Target="https://cdhdf.org.mx/wp-content/uploads/2018/08/reco_0318.pdf" TargetMode="External"/><Relationship Id="rId2" Type="http://schemas.openxmlformats.org/officeDocument/2006/relationships/hyperlink" Target="https://www.wola.org/wp-content/uploads/2019/03/SPN_WOLA-PBI-2019.pdf" TargetMode="External"/><Relationship Id="rId16" Type="http://schemas.openxmlformats.org/officeDocument/2006/relationships/hyperlink" Target="https://www.gob.mx/inm/articulos/informe-sobre-internaciones-de-centroamericanos-a-territorio-mexicano-en-espera-de-la-resolucion-de-su-tramite-de-asilo-en-estados-unidos?idiom=es" TargetMode="External"/><Relationship Id="rId1" Type="http://schemas.openxmlformats.org/officeDocument/2006/relationships/hyperlink" Target="https://data.consejeria.cdmx.gob.mx/images/leyes/estatutos/Constitucion_Politica_Ciudad_de_Mexico.pdf" TargetMode="External"/><Relationship Id="rId6" Type="http://schemas.openxmlformats.org/officeDocument/2006/relationships/hyperlink" Target="https://www.mpi.cdmx.gob.mx/storage/app/uploads/public/5ca/3a4/209/5ca3a4209ac9d089667033.pdf" TargetMode="External"/><Relationship Id="rId11" Type="http://schemas.openxmlformats.org/officeDocument/2006/relationships/hyperlink" Target="https://data.consejeria.cdmx.gob.mx/images/leyes/estatutos/Constitucion_Politica_Ciudad_de_Mexico.pdf" TargetMode="External"/><Relationship Id="rId5" Type="http://schemas.openxmlformats.org/officeDocument/2006/relationships/hyperlink" Target="https://www.mpi.cdmx.gob.mx/comunicacion/nota/Monitoreo" TargetMode="External"/><Relationship Id="rId15" Type="http://schemas.openxmlformats.org/officeDocument/2006/relationships/hyperlink" Target="https://www.state.gov/u-s-mexico-joint-declaration/" TargetMode="External"/><Relationship Id="rId10" Type="http://schemas.openxmlformats.org/officeDocument/2006/relationships/hyperlink" Target="http://informe.cndh.org.mx/menu.aspx?id=30063" TargetMode="External"/><Relationship Id="rId19" Type="http://schemas.openxmlformats.org/officeDocument/2006/relationships/hyperlink" Target="https://cdhdf.org.mx/wp-content/uploads/2014/05/dfensor_07_2017.pdf" TargetMode="External"/><Relationship Id="rId4" Type="http://schemas.openxmlformats.org/officeDocument/2006/relationships/hyperlink" Target="https://www.gob.mx/defensorasyperiodistas/articulos/personas-defensoras-de-derechos-humanos-asesinadas-2018" TargetMode="External"/><Relationship Id="rId9" Type="http://schemas.openxmlformats.org/officeDocument/2006/relationships/hyperlink" Target="http://cgservicios.df.gob.mx/prontuario/vigente/3050.pdf" TargetMode="External"/><Relationship Id="rId14" Type="http://schemas.openxmlformats.org/officeDocument/2006/relationships/hyperlink" Target="http://www.cndh.org.mx/sites/all/doc/Recomendaciones/2019/Rec_2019_03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DA3E8-0C0D-429A-8582-DF1BFDB7F57A}">
  <ds:schemaRefs>
    <ds:schemaRef ds:uri="http://schemas.openxmlformats.org/officeDocument/2006/bibliography"/>
  </ds:schemaRefs>
</ds:datastoreItem>
</file>

<file path=customXml/itemProps2.xml><?xml version="1.0" encoding="utf-8"?>
<ds:datastoreItem xmlns:ds="http://schemas.openxmlformats.org/officeDocument/2006/customXml" ds:itemID="{230D3171-F9F6-4F59-BEAC-EC25E02E5086}"/>
</file>

<file path=customXml/itemProps3.xml><?xml version="1.0" encoding="utf-8"?>
<ds:datastoreItem xmlns:ds="http://schemas.openxmlformats.org/officeDocument/2006/customXml" ds:itemID="{6151839F-3281-4949-A633-11A14C54E632}"/>
</file>

<file path=customXml/itemProps4.xml><?xml version="1.0" encoding="utf-8"?>
<ds:datastoreItem xmlns:ds="http://schemas.openxmlformats.org/officeDocument/2006/customXml" ds:itemID="{73E92C6E-9ADD-41AE-8A1E-56BCE5B38793}"/>
</file>

<file path=docProps/app.xml><?xml version="1.0" encoding="utf-8"?>
<Properties xmlns="http://schemas.openxmlformats.org/officeDocument/2006/extended-properties" xmlns:vt="http://schemas.openxmlformats.org/officeDocument/2006/docPropsVTypes">
  <Template>Normal</Template>
  <TotalTime>35</TotalTime>
  <Pages>11</Pages>
  <Words>4996</Words>
  <Characters>27482</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oemc</dc:creator>
  <cp:lastModifiedBy>Carolina Carreño</cp:lastModifiedBy>
  <cp:revision>20</cp:revision>
  <cp:lastPrinted>2019-05-07T23:51:00Z</cp:lastPrinted>
  <dcterms:created xsi:type="dcterms:W3CDTF">2019-07-05T21:02:00Z</dcterms:created>
  <dcterms:modified xsi:type="dcterms:W3CDTF">2019-07-05T22:03:00Z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0x010100619F83A6D186D14591065E56FDFCE7B0</vt:lpwstr>
  </property>
</Properties>
</file>